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89A" w:rsidRPr="00C44229" w:rsidRDefault="0088089A" w:rsidP="004C03B9">
      <w:pPr>
        <w:jc w:val="both"/>
        <w:rPr>
          <w:rFonts w:cs="Arial"/>
          <w:szCs w:val="24"/>
        </w:rPr>
      </w:pPr>
      <w:bookmarkStart w:id="0" w:name="_GoBack"/>
      <w:bookmarkEnd w:id="0"/>
      <w:r w:rsidRPr="00C44229">
        <w:rPr>
          <w:rFonts w:cs="Arial"/>
          <w:szCs w:val="24"/>
        </w:rPr>
        <w:t xml:space="preserve">Bogotá, D.C., </w:t>
      </w:r>
      <w:r w:rsidR="008504F4" w:rsidRPr="00C44229">
        <w:rPr>
          <w:rFonts w:cs="Arial"/>
          <w:szCs w:val="24"/>
        </w:rPr>
        <w:fldChar w:fldCharType="begin"/>
      </w:r>
      <w:r w:rsidR="00C44229" w:rsidRPr="00C44229">
        <w:rPr>
          <w:rFonts w:cs="Arial"/>
          <w:szCs w:val="24"/>
        </w:rPr>
        <w:instrText xml:space="preserve"> TIME \@ "dddd, dd' de 'MMMM' de 'yyyy" </w:instrText>
      </w:r>
      <w:r w:rsidR="008504F4" w:rsidRPr="00C44229">
        <w:rPr>
          <w:rFonts w:cs="Arial"/>
          <w:szCs w:val="24"/>
        </w:rPr>
        <w:fldChar w:fldCharType="separate"/>
      </w:r>
      <w:r w:rsidR="00E75154">
        <w:rPr>
          <w:rFonts w:cs="Arial"/>
          <w:noProof/>
          <w:szCs w:val="24"/>
        </w:rPr>
        <w:t>lunes, 20 de mayo de 2019</w:t>
      </w:r>
      <w:r w:rsidR="008504F4" w:rsidRPr="00C44229">
        <w:rPr>
          <w:rFonts w:cs="Arial"/>
          <w:szCs w:val="24"/>
        </w:rPr>
        <w:fldChar w:fldCharType="end"/>
      </w:r>
    </w:p>
    <w:p w:rsidR="00E966E2" w:rsidRDefault="00E966E2" w:rsidP="004C03B9">
      <w:pPr>
        <w:jc w:val="both"/>
        <w:rPr>
          <w:rFonts w:cs="Arial"/>
          <w:szCs w:val="24"/>
        </w:rPr>
      </w:pPr>
    </w:p>
    <w:p w:rsidR="00CE5AB9" w:rsidRDefault="00CE5AB9" w:rsidP="004C03B9">
      <w:pPr>
        <w:jc w:val="both"/>
        <w:rPr>
          <w:rFonts w:cs="Arial"/>
          <w:szCs w:val="24"/>
        </w:rPr>
      </w:pPr>
    </w:p>
    <w:p w:rsidR="00D642DC" w:rsidRPr="005C4DC6" w:rsidRDefault="00D642DC" w:rsidP="00D642DC">
      <w:pPr>
        <w:jc w:val="both"/>
        <w:rPr>
          <w:rFonts w:cs="Arial"/>
          <w:szCs w:val="24"/>
        </w:rPr>
      </w:pPr>
      <w:r w:rsidRPr="005C4DC6">
        <w:rPr>
          <w:rFonts w:cs="Arial"/>
          <w:szCs w:val="24"/>
        </w:rPr>
        <w:t>Doctor</w:t>
      </w:r>
    </w:p>
    <w:p w:rsidR="00E75154" w:rsidRPr="008C25EE" w:rsidRDefault="00E75154" w:rsidP="00E75154">
      <w:pPr>
        <w:jc w:val="both"/>
        <w:rPr>
          <w:rFonts w:cs="Arial"/>
          <w:b/>
          <w:szCs w:val="24"/>
        </w:rPr>
      </w:pPr>
      <w:r>
        <w:rPr>
          <w:rFonts w:cs="Arial"/>
          <w:b/>
          <w:szCs w:val="24"/>
        </w:rPr>
        <w:t>GUILLERMO RAUL BOTTÍA BOHÓRQUEZ</w:t>
      </w:r>
    </w:p>
    <w:p w:rsidR="00D642DC" w:rsidRPr="005C4DC6" w:rsidRDefault="00E75154" w:rsidP="00E75154">
      <w:pPr>
        <w:jc w:val="both"/>
        <w:rPr>
          <w:rFonts w:cs="Arial"/>
          <w:szCs w:val="24"/>
        </w:rPr>
      </w:pPr>
      <w:r w:rsidRPr="008C25EE">
        <w:rPr>
          <w:rFonts w:cs="Arial"/>
          <w:szCs w:val="24"/>
        </w:rPr>
        <w:t xml:space="preserve">Juez </w:t>
      </w:r>
      <w:r>
        <w:rPr>
          <w:rFonts w:cs="Arial"/>
          <w:szCs w:val="24"/>
        </w:rPr>
        <w:t>Veinte</w:t>
      </w:r>
      <w:r w:rsidRPr="008C25EE">
        <w:rPr>
          <w:rFonts w:cs="Arial"/>
          <w:szCs w:val="24"/>
        </w:rPr>
        <w:t xml:space="preserve"> (</w:t>
      </w:r>
      <w:r>
        <w:rPr>
          <w:rFonts w:cs="Arial"/>
          <w:szCs w:val="24"/>
        </w:rPr>
        <w:t>20</w:t>
      </w:r>
      <w:r w:rsidRPr="008C25EE">
        <w:rPr>
          <w:rFonts w:cs="Arial"/>
          <w:szCs w:val="24"/>
        </w:rPr>
        <w:t>) de Familia del Circuito de Bogotá</w:t>
      </w:r>
    </w:p>
    <w:p w:rsidR="0086546F" w:rsidRPr="00C44229" w:rsidRDefault="00D642DC" w:rsidP="00D642DC">
      <w:pPr>
        <w:jc w:val="both"/>
        <w:rPr>
          <w:rFonts w:cs="Arial"/>
          <w:szCs w:val="24"/>
        </w:rPr>
      </w:pPr>
      <w:r w:rsidRPr="005C4DC6">
        <w:rPr>
          <w:rFonts w:cs="Arial"/>
          <w:szCs w:val="24"/>
        </w:rPr>
        <w:t xml:space="preserve">E. </w:t>
      </w:r>
      <w:r w:rsidRPr="005C4DC6">
        <w:rPr>
          <w:rFonts w:cs="Arial"/>
          <w:szCs w:val="24"/>
        </w:rPr>
        <w:tab/>
      </w:r>
      <w:r w:rsidRPr="005C4DC6">
        <w:rPr>
          <w:rFonts w:cs="Arial"/>
          <w:szCs w:val="24"/>
        </w:rPr>
        <w:tab/>
      </w:r>
      <w:r w:rsidRPr="005C4DC6">
        <w:rPr>
          <w:rFonts w:cs="Arial"/>
          <w:szCs w:val="24"/>
        </w:rPr>
        <w:tab/>
        <w:t xml:space="preserve">S. </w:t>
      </w:r>
      <w:r w:rsidRPr="005C4DC6">
        <w:rPr>
          <w:rFonts w:cs="Arial"/>
          <w:szCs w:val="24"/>
        </w:rPr>
        <w:tab/>
      </w:r>
      <w:r w:rsidRPr="005C4DC6">
        <w:rPr>
          <w:rFonts w:cs="Arial"/>
          <w:szCs w:val="24"/>
        </w:rPr>
        <w:tab/>
      </w:r>
      <w:r w:rsidRPr="005C4DC6">
        <w:rPr>
          <w:rFonts w:cs="Arial"/>
          <w:szCs w:val="24"/>
        </w:rPr>
        <w:tab/>
        <w:t>D.</w:t>
      </w:r>
    </w:p>
    <w:p w:rsidR="00211141" w:rsidRDefault="00211141" w:rsidP="004C03B9">
      <w:pPr>
        <w:jc w:val="both"/>
        <w:rPr>
          <w:rFonts w:cs="Arial"/>
          <w:szCs w:val="24"/>
        </w:rPr>
      </w:pPr>
    </w:p>
    <w:p w:rsidR="00CE5AB9" w:rsidRPr="00C44229" w:rsidRDefault="00CE5AB9" w:rsidP="004C03B9">
      <w:pPr>
        <w:jc w:val="both"/>
        <w:rPr>
          <w:rFonts w:cs="Arial"/>
          <w:szCs w:val="24"/>
        </w:rPr>
      </w:pPr>
    </w:p>
    <w:p w:rsidR="00C44229" w:rsidRPr="00C44229" w:rsidRDefault="00C44229" w:rsidP="004C03B9">
      <w:pPr>
        <w:jc w:val="both"/>
        <w:rPr>
          <w:rFonts w:cs="Arial"/>
          <w:b/>
          <w:szCs w:val="24"/>
        </w:rPr>
      </w:pPr>
      <w:r w:rsidRPr="00C44229">
        <w:rPr>
          <w:rFonts w:cs="Arial"/>
          <w:b/>
          <w:szCs w:val="24"/>
        </w:rPr>
        <w:t xml:space="preserve">Ref. </w:t>
      </w:r>
      <w:r w:rsidR="0086546F">
        <w:rPr>
          <w:rFonts w:cs="Arial"/>
          <w:b/>
          <w:szCs w:val="24"/>
        </w:rPr>
        <w:t>Homologació</w:t>
      </w:r>
      <w:r w:rsidR="006A0437">
        <w:rPr>
          <w:rFonts w:cs="Arial"/>
          <w:b/>
          <w:szCs w:val="24"/>
        </w:rPr>
        <w:t xml:space="preserve">n </w:t>
      </w:r>
    </w:p>
    <w:p w:rsidR="00C44229" w:rsidRPr="00C44229" w:rsidRDefault="00C44229" w:rsidP="004C03B9">
      <w:pPr>
        <w:jc w:val="both"/>
        <w:rPr>
          <w:rFonts w:cs="Arial"/>
          <w:b/>
          <w:szCs w:val="24"/>
        </w:rPr>
      </w:pPr>
      <w:r w:rsidRPr="00C44229">
        <w:rPr>
          <w:rFonts w:cs="Arial"/>
          <w:b/>
          <w:szCs w:val="24"/>
        </w:rPr>
        <w:t>Rad. 11001 31 10 0</w:t>
      </w:r>
      <w:r w:rsidR="0086546F">
        <w:rPr>
          <w:rFonts w:cs="Arial"/>
          <w:b/>
          <w:szCs w:val="24"/>
        </w:rPr>
        <w:t>2</w:t>
      </w:r>
      <w:r w:rsidR="00E75154">
        <w:rPr>
          <w:rFonts w:cs="Arial"/>
          <w:b/>
          <w:szCs w:val="24"/>
        </w:rPr>
        <w:t>0</w:t>
      </w:r>
      <w:r w:rsidRPr="00C44229">
        <w:rPr>
          <w:rFonts w:cs="Arial"/>
          <w:b/>
          <w:szCs w:val="24"/>
        </w:rPr>
        <w:t xml:space="preserve"> 201</w:t>
      </w:r>
      <w:r w:rsidR="00D642DC">
        <w:rPr>
          <w:rFonts w:cs="Arial"/>
          <w:b/>
          <w:szCs w:val="24"/>
        </w:rPr>
        <w:t xml:space="preserve">9 </w:t>
      </w:r>
      <w:r w:rsidRPr="00C44229">
        <w:rPr>
          <w:rFonts w:cs="Arial"/>
          <w:b/>
          <w:szCs w:val="24"/>
        </w:rPr>
        <w:t>00</w:t>
      </w:r>
      <w:r w:rsidR="00D642DC">
        <w:rPr>
          <w:rFonts w:cs="Arial"/>
          <w:b/>
          <w:szCs w:val="24"/>
        </w:rPr>
        <w:t>1</w:t>
      </w:r>
      <w:r w:rsidR="00E75154">
        <w:rPr>
          <w:rFonts w:cs="Arial"/>
          <w:b/>
          <w:szCs w:val="24"/>
        </w:rPr>
        <w:t>52</w:t>
      </w:r>
      <w:r w:rsidR="009641F3">
        <w:rPr>
          <w:rFonts w:cs="Arial"/>
          <w:b/>
          <w:szCs w:val="24"/>
        </w:rPr>
        <w:t xml:space="preserve"> </w:t>
      </w:r>
      <w:r w:rsidR="00016C25">
        <w:rPr>
          <w:rFonts w:cs="Arial"/>
          <w:b/>
          <w:szCs w:val="24"/>
        </w:rPr>
        <w:t>0</w:t>
      </w:r>
      <w:r w:rsidR="0086546F">
        <w:rPr>
          <w:rFonts w:cs="Arial"/>
          <w:b/>
          <w:szCs w:val="24"/>
        </w:rPr>
        <w:t>0</w:t>
      </w:r>
    </w:p>
    <w:p w:rsidR="00C44229" w:rsidRDefault="00E80C32" w:rsidP="004C03B9">
      <w:pPr>
        <w:jc w:val="both"/>
        <w:rPr>
          <w:rFonts w:cs="Arial"/>
          <w:b/>
          <w:szCs w:val="24"/>
        </w:rPr>
      </w:pPr>
      <w:r>
        <w:rPr>
          <w:rFonts w:cs="Arial"/>
          <w:b/>
          <w:szCs w:val="24"/>
        </w:rPr>
        <w:t>Joven</w:t>
      </w:r>
      <w:r w:rsidR="00C44229" w:rsidRPr="00C44229">
        <w:rPr>
          <w:rFonts w:cs="Arial"/>
          <w:b/>
          <w:szCs w:val="24"/>
        </w:rPr>
        <w:t xml:space="preserve">: </w:t>
      </w:r>
      <w:r w:rsidR="00E75154">
        <w:rPr>
          <w:rFonts w:cs="Arial"/>
          <w:b/>
          <w:szCs w:val="24"/>
        </w:rPr>
        <w:t>Luis Andrés Díaz Gómez</w:t>
      </w:r>
      <w:r w:rsidR="009641F3">
        <w:rPr>
          <w:rFonts w:cs="Arial"/>
          <w:b/>
          <w:szCs w:val="24"/>
        </w:rPr>
        <w:t xml:space="preserve"> </w:t>
      </w:r>
      <w:r w:rsidR="00D032D2">
        <w:rPr>
          <w:rFonts w:cs="Arial"/>
          <w:szCs w:val="24"/>
          <w:lang w:val="es-CO"/>
        </w:rPr>
        <w:t xml:space="preserve"> </w:t>
      </w:r>
    </w:p>
    <w:p w:rsidR="00C44229" w:rsidRDefault="00C44229" w:rsidP="004C03B9">
      <w:pPr>
        <w:jc w:val="both"/>
        <w:rPr>
          <w:rFonts w:cs="Arial"/>
          <w:b/>
          <w:szCs w:val="24"/>
        </w:rPr>
      </w:pPr>
    </w:p>
    <w:p w:rsidR="00CE5AB9" w:rsidRDefault="00CE5AB9" w:rsidP="004C03B9">
      <w:pPr>
        <w:jc w:val="both"/>
        <w:rPr>
          <w:rFonts w:cs="Arial"/>
          <w:b/>
          <w:szCs w:val="24"/>
        </w:rPr>
      </w:pPr>
    </w:p>
    <w:p w:rsidR="00DA2C30" w:rsidRPr="00C44229" w:rsidRDefault="00DA2C30" w:rsidP="004C03B9">
      <w:pPr>
        <w:jc w:val="both"/>
        <w:rPr>
          <w:rFonts w:cs="Arial"/>
          <w:szCs w:val="24"/>
        </w:rPr>
      </w:pPr>
      <w:r w:rsidRPr="00C44229">
        <w:rPr>
          <w:rFonts w:cs="Arial"/>
          <w:szCs w:val="24"/>
        </w:rPr>
        <w:t>Respetad</w:t>
      </w:r>
      <w:r w:rsidR="006117AB" w:rsidRPr="00C44229">
        <w:rPr>
          <w:rFonts w:cs="Arial"/>
          <w:szCs w:val="24"/>
        </w:rPr>
        <w:t>o</w:t>
      </w:r>
      <w:r w:rsidRPr="00C44229">
        <w:rPr>
          <w:rFonts w:cs="Arial"/>
          <w:szCs w:val="24"/>
        </w:rPr>
        <w:t xml:space="preserve"> Doctor:  </w:t>
      </w:r>
    </w:p>
    <w:p w:rsidR="00DA2C30" w:rsidRPr="00C44229" w:rsidRDefault="00DA2C30" w:rsidP="004C03B9">
      <w:pPr>
        <w:jc w:val="both"/>
        <w:rPr>
          <w:rFonts w:cs="Arial"/>
          <w:szCs w:val="24"/>
        </w:rPr>
      </w:pPr>
    </w:p>
    <w:p w:rsidR="00EF2C1E" w:rsidRDefault="00DA2C30" w:rsidP="004C03B9">
      <w:pPr>
        <w:jc w:val="both"/>
        <w:rPr>
          <w:rFonts w:cs="Arial"/>
          <w:szCs w:val="24"/>
        </w:rPr>
      </w:pPr>
      <w:r w:rsidRPr="00C44229">
        <w:rPr>
          <w:rFonts w:cs="Arial"/>
          <w:szCs w:val="24"/>
        </w:rPr>
        <w:t>En calidad de Agente del Ministerio Público, actuando en defensa de los derechos de los niños, las niñas y los adolescentes y de la legalidad de la actuación conforme al mandato Constitucional y legal,</w:t>
      </w:r>
      <w:r w:rsidR="00D032D2">
        <w:rPr>
          <w:rFonts w:cs="Arial"/>
          <w:szCs w:val="24"/>
        </w:rPr>
        <w:t xml:space="preserve"> </w:t>
      </w:r>
      <w:r w:rsidR="00C44229">
        <w:rPr>
          <w:rFonts w:cs="Arial"/>
          <w:szCs w:val="24"/>
          <w:lang w:val="es-CO"/>
        </w:rPr>
        <w:t xml:space="preserve">una vez </w:t>
      </w:r>
      <w:r w:rsidR="00C04B86" w:rsidRPr="00C44229">
        <w:rPr>
          <w:rFonts w:cs="Arial"/>
          <w:szCs w:val="24"/>
          <w:lang w:val="es-CO"/>
        </w:rPr>
        <w:t xml:space="preserve">notificado del auto admisorio, </w:t>
      </w:r>
      <w:r w:rsidR="00C44229">
        <w:rPr>
          <w:rFonts w:cs="Arial"/>
          <w:szCs w:val="24"/>
          <w:lang w:val="es-CO"/>
        </w:rPr>
        <w:t xml:space="preserve">y estando </w:t>
      </w:r>
      <w:r w:rsidR="00C04B86" w:rsidRPr="00C44229">
        <w:rPr>
          <w:rFonts w:cs="Arial"/>
          <w:szCs w:val="24"/>
          <w:lang w:val="es-CO"/>
        </w:rPr>
        <w:t>dentro de la oportunidad</w:t>
      </w:r>
      <w:r w:rsidRPr="00C44229">
        <w:rPr>
          <w:rFonts w:cs="Arial"/>
          <w:szCs w:val="24"/>
        </w:rPr>
        <w:t xml:space="preserve"> procesal, </w:t>
      </w:r>
      <w:r w:rsidR="00C44229" w:rsidRPr="006C3939">
        <w:rPr>
          <w:rFonts w:cs="Arial"/>
          <w:lang w:val="es-CO"/>
        </w:rPr>
        <w:t>me permito presentar concepto en los siguientes términos</w:t>
      </w:r>
      <w:r w:rsidR="00EF2C1E" w:rsidRPr="00C44229">
        <w:rPr>
          <w:rFonts w:cs="Arial"/>
          <w:szCs w:val="24"/>
        </w:rPr>
        <w:t>:</w:t>
      </w:r>
    </w:p>
    <w:p w:rsidR="00787A11" w:rsidRDefault="00787A11" w:rsidP="004C03B9">
      <w:pPr>
        <w:jc w:val="both"/>
        <w:rPr>
          <w:rFonts w:cs="Arial"/>
          <w:szCs w:val="24"/>
        </w:rPr>
      </w:pPr>
    </w:p>
    <w:p w:rsidR="00787A11" w:rsidRPr="00787A11" w:rsidRDefault="00787A11" w:rsidP="00787A11">
      <w:pPr>
        <w:pStyle w:val="Prrafodelista"/>
        <w:numPr>
          <w:ilvl w:val="0"/>
          <w:numId w:val="16"/>
        </w:numPr>
        <w:jc w:val="center"/>
        <w:rPr>
          <w:rFonts w:cs="Arial"/>
          <w:b/>
          <w:bCs/>
          <w:szCs w:val="24"/>
          <w:lang w:val="es-CO"/>
        </w:rPr>
      </w:pPr>
      <w:r w:rsidRPr="00787A11">
        <w:rPr>
          <w:rFonts w:cs="Arial"/>
          <w:b/>
          <w:bCs/>
          <w:szCs w:val="24"/>
          <w:lang w:val="es-CO"/>
        </w:rPr>
        <w:t>PROBLEMA JURÍDICO</w:t>
      </w:r>
    </w:p>
    <w:p w:rsidR="00787A11" w:rsidRPr="00787A11" w:rsidRDefault="00787A11" w:rsidP="00787A11">
      <w:pPr>
        <w:jc w:val="center"/>
        <w:rPr>
          <w:rFonts w:cs="Arial"/>
          <w:szCs w:val="24"/>
          <w:lang w:val="es-CO"/>
        </w:rPr>
      </w:pPr>
    </w:p>
    <w:p w:rsidR="00787A11" w:rsidRDefault="00787A11" w:rsidP="00787A11">
      <w:pPr>
        <w:tabs>
          <w:tab w:val="left" w:pos="2852"/>
        </w:tabs>
        <w:jc w:val="both"/>
        <w:rPr>
          <w:rFonts w:cs="Arial"/>
          <w:szCs w:val="24"/>
          <w:lang w:val="es-CO"/>
        </w:rPr>
      </w:pPr>
      <w:r w:rsidRPr="00787A11">
        <w:rPr>
          <w:rFonts w:cs="Arial"/>
          <w:szCs w:val="24"/>
          <w:lang w:val="es-CO"/>
        </w:rPr>
        <w:t>¿El Instituto Colombiano de Bienestar Familiar –ICBF– vulnera los derechos</w:t>
      </w:r>
      <w:r>
        <w:rPr>
          <w:rFonts w:cs="Arial"/>
          <w:szCs w:val="24"/>
          <w:lang w:val="es-CO"/>
        </w:rPr>
        <w:t xml:space="preserve"> </w:t>
      </w:r>
      <w:r w:rsidRPr="00787A11">
        <w:rPr>
          <w:rFonts w:cs="Arial"/>
          <w:szCs w:val="24"/>
          <w:lang w:val="es-CO"/>
        </w:rPr>
        <w:t>fundamentales del</w:t>
      </w:r>
      <w:r>
        <w:rPr>
          <w:rFonts w:cs="Arial"/>
          <w:szCs w:val="24"/>
          <w:lang w:val="es-CO"/>
        </w:rPr>
        <w:t xml:space="preserve"> joven </w:t>
      </w:r>
      <w:r w:rsidR="00E75154">
        <w:rPr>
          <w:rFonts w:cs="Arial"/>
          <w:b/>
          <w:szCs w:val="24"/>
        </w:rPr>
        <w:t>Luis Andrés Díaz Gómez</w:t>
      </w:r>
      <w:r w:rsidRPr="00787A11">
        <w:rPr>
          <w:rFonts w:cs="Arial"/>
          <w:szCs w:val="24"/>
          <w:lang w:val="es-CO"/>
        </w:rPr>
        <w:t>,</w:t>
      </w:r>
      <w:r>
        <w:rPr>
          <w:rFonts w:cs="Arial"/>
          <w:szCs w:val="24"/>
          <w:lang w:val="es-CO"/>
        </w:rPr>
        <w:t xml:space="preserve"> </w:t>
      </w:r>
      <w:r w:rsidRPr="00787A11">
        <w:rPr>
          <w:rFonts w:cs="Arial"/>
          <w:szCs w:val="24"/>
          <w:lang w:val="es-CO"/>
        </w:rPr>
        <w:t>al desvincularlo del program</w:t>
      </w:r>
      <w:r>
        <w:rPr>
          <w:rFonts w:cs="Arial"/>
          <w:szCs w:val="24"/>
          <w:lang w:val="es-CO"/>
        </w:rPr>
        <w:t>a Hogar Gestor, argumentando: (I</w:t>
      </w:r>
      <w:r w:rsidRPr="00787A11">
        <w:rPr>
          <w:rFonts w:cs="Arial"/>
          <w:szCs w:val="24"/>
          <w:lang w:val="es-CO"/>
        </w:rPr>
        <w:t xml:space="preserve">) </w:t>
      </w:r>
      <w:r>
        <w:rPr>
          <w:rFonts w:cs="Arial"/>
          <w:szCs w:val="24"/>
          <w:lang w:val="es-CO"/>
        </w:rPr>
        <w:t>la presencia de los factores de protección que satisfacen la garantía integral de los derechos de joven</w:t>
      </w:r>
      <w:r w:rsidRPr="00787A11">
        <w:rPr>
          <w:rFonts w:cs="Arial"/>
          <w:szCs w:val="24"/>
          <w:lang w:val="es-CO"/>
        </w:rPr>
        <w:t xml:space="preserve"> y (</w:t>
      </w:r>
      <w:r>
        <w:rPr>
          <w:rFonts w:cs="Arial"/>
          <w:szCs w:val="24"/>
          <w:lang w:val="es-CO"/>
        </w:rPr>
        <w:t>II</w:t>
      </w:r>
      <w:r w:rsidRPr="00787A11">
        <w:rPr>
          <w:rFonts w:cs="Arial"/>
          <w:szCs w:val="24"/>
          <w:lang w:val="es-CO"/>
        </w:rPr>
        <w:t xml:space="preserve">) la superación </w:t>
      </w:r>
      <w:r>
        <w:rPr>
          <w:rFonts w:cs="Arial"/>
          <w:szCs w:val="24"/>
          <w:lang w:val="es-CO"/>
        </w:rPr>
        <w:t>y mitigación de las circunstancias de vulnerabilidad encontradas al inicio de la actuación administrativa</w:t>
      </w:r>
      <w:r w:rsidRPr="00787A11">
        <w:rPr>
          <w:rFonts w:cs="Arial"/>
          <w:szCs w:val="24"/>
          <w:lang w:val="es-CO"/>
        </w:rPr>
        <w:t>?</w:t>
      </w:r>
      <w:r>
        <w:rPr>
          <w:rFonts w:cs="Arial"/>
          <w:szCs w:val="24"/>
          <w:lang w:val="es-CO"/>
        </w:rPr>
        <w:tab/>
      </w:r>
    </w:p>
    <w:p w:rsidR="00787A11" w:rsidRDefault="00787A11" w:rsidP="00787A11">
      <w:pPr>
        <w:tabs>
          <w:tab w:val="left" w:pos="2852"/>
        </w:tabs>
        <w:jc w:val="both"/>
        <w:rPr>
          <w:rFonts w:cs="Arial"/>
          <w:szCs w:val="24"/>
          <w:lang w:val="es-CO"/>
        </w:rPr>
      </w:pPr>
    </w:p>
    <w:p w:rsidR="00787A11" w:rsidRPr="00787A11" w:rsidRDefault="00787A11" w:rsidP="00787A11">
      <w:pPr>
        <w:pStyle w:val="Prrafodelista"/>
        <w:numPr>
          <w:ilvl w:val="0"/>
          <w:numId w:val="16"/>
        </w:numPr>
        <w:jc w:val="center"/>
        <w:rPr>
          <w:rFonts w:cs="Arial"/>
          <w:b/>
          <w:bCs/>
          <w:szCs w:val="24"/>
          <w:lang w:val="es-CO"/>
        </w:rPr>
      </w:pPr>
      <w:r w:rsidRPr="00787A11">
        <w:rPr>
          <w:rFonts w:cs="Arial"/>
          <w:b/>
          <w:bCs/>
          <w:szCs w:val="24"/>
          <w:lang w:val="es-CO"/>
        </w:rPr>
        <w:t>ANÁLISIS DEL ASUNTO</w:t>
      </w:r>
    </w:p>
    <w:p w:rsidR="00787A11" w:rsidRDefault="00787A11" w:rsidP="00787A11">
      <w:pPr>
        <w:jc w:val="center"/>
        <w:rPr>
          <w:rFonts w:cs="Arial"/>
          <w:szCs w:val="24"/>
          <w:lang w:val="es-CO"/>
        </w:rPr>
      </w:pPr>
    </w:p>
    <w:p w:rsidR="00787A11" w:rsidRPr="00787A11" w:rsidRDefault="00787A11" w:rsidP="00787A11">
      <w:pPr>
        <w:jc w:val="both"/>
        <w:rPr>
          <w:rFonts w:cs="Arial"/>
          <w:szCs w:val="24"/>
          <w:lang w:val="es-CO"/>
        </w:rPr>
      </w:pPr>
      <w:r w:rsidRPr="00787A11">
        <w:rPr>
          <w:rFonts w:cs="Arial"/>
          <w:szCs w:val="24"/>
          <w:lang w:val="es-CO"/>
        </w:rPr>
        <w:t>Se abordara el tema analizando: 2.1.</w:t>
      </w:r>
      <w:r w:rsidRPr="00787A11">
        <w:rPr>
          <w:rFonts w:cs="Arial"/>
          <w:lang w:val="es-CO"/>
        </w:rPr>
        <w:t xml:space="preserve"> </w:t>
      </w:r>
      <w:r w:rsidRPr="00787A11">
        <w:rPr>
          <w:rFonts w:cs="Arial"/>
          <w:bCs/>
          <w:lang w:val="es-CO"/>
        </w:rPr>
        <w:t>Obligación del Estado, la familia y la sociedad en el cuidado y desarrollo</w:t>
      </w:r>
      <w:r>
        <w:rPr>
          <w:rFonts w:cs="Arial"/>
          <w:bCs/>
          <w:lang w:val="es-CO"/>
        </w:rPr>
        <w:t xml:space="preserve"> </w:t>
      </w:r>
      <w:r w:rsidRPr="00787A11">
        <w:rPr>
          <w:rFonts w:cs="Arial"/>
          <w:bCs/>
          <w:lang w:val="es-CO"/>
        </w:rPr>
        <w:t>integral de los niños, niñas y adolescentes</w:t>
      </w:r>
      <w:r w:rsidR="002F1E11">
        <w:rPr>
          <w:rFonts w:cs="Arial"/>
          <w:bCs/>
          <w:lang w:val="es-CO"/>
        </w:rPr>
        <w:t>;</w:t>
      </w:r>
      <w:r w:rsidRPr="00787A11">
        <w:rPr>
          <w:rFonts w:cs="Arial"/>
          <w:szCs w:val="24"/>
          <w:lang w:val="es-CO"/>
        </w:rPr>
        <w:t xml:space="preserve"> 2.</w:t>
      </w:r>
      <w:r w:rsidR="00A85FA5">
        <w:rPr>
          <w:rFonts w:cs="Arial"/>
          <w:szCs w:val="24"/>
          <w:lang w:val="es-CO"/>
        </w:rPr>
        <w:t>2</w:t>
      </w:r>
      <w:r w:rsidRPr="00787A11">
        <w:rPr>
          <w:rFonts w:cs="Arial"/>
          <w:szCs w:val="24"/>
          <w:lang w:val="es-CO"/>
        </w:rPr>
        <w:t>. El Proceso de Restablecimiento de Derechos; 2.</w:t>
      </w:r>
      <w:r w:rsidR="00A85FA5">
        <w:rPr>
          <w:rFonts w:cs="Arial"/>
          <w:szCs w:val="24"/>
          <w:lang w:val="es-CO"/>
        </w:rPr>
        <w:t>3</w:t>
      </w:r>
      <w:r w:rsidRPr="00787A11">
        <w:rPr>
          <w:rFonts w:cs="Arial"/>
          <w:szCs w:val="24"/>
          <w:lang w:val="es-CO"/>
        </w:rPr>
        <w:t>. El Hogar Gestor como medida de restablecimiento de derechos; 2.</w:t>
      </w:r>
      <w:r w:rsidR="00A85FA5">
        <w:rPr>
          <w:rFonts w:cs="Arial"/>
          <w:szCs w:val="24"/>
          <w:lang w:val="es-CO"/>
        </w:rPr>
        <w:t>4</w:t>
      </w:r>
      <w:r w:rsidRPr="00787A11">
        <w:rPr>
          <w:rFonts w:cs="Arial"/>
          <w:szCs w:val="24"/>
          <w:lang w:val="es-CO"/>
        </w:rPr>
        <w:t>. El Caso Concreto.</w:t>
      </w:r>
    </w:p>
    <w:p w:rsidR="00787A11" w:rsidRDefault="00787A11" w:rsidP="004C03B9">
      <w:pPr>
        <w:jc w:val="both"/>
        <w:rPr>
          <w:rFonts w:cs="Arial"/>
          <w:szCs w:val="24"/>
        </w:rPr>
      </w:pPr>
    </w:p>
    <w:p w:rsidR="002F1E11" w:rsidRPr="002F1E11" w:rsidRDefault="002F1E11" w:rsidP="00EA1D6F">
      <w:pPr>
        <w:jc w:val="both"/>
        <w:rPr>
          <w:rFonts w:cs="Arial"/>
          <w:b/>
          <w:u w:val="single"/>
        </w:rPr>
      </w:pPr>
      <w:r w:rsidRPr="002F1E11">
        <w:rPr>
          <w:rFonts w:cs="Arial"/>
          <w:b/>
          <w:u w:val="single"/>
        </w:rPr>
        <w:t>2.</w:t>
      </w:r>
      <w:r w:rsidR="00A85FA5">
        <w:rPr>
          <w:rFonts w:cs="Arial"/>
          <w:b/>
          <w:u w:val="single"/>
        </w:rPr>
        <w:t>1</w:t>
      </w:r>
      <w:r w:rsidRPr="002F1E11">
        <w:rPr>
          <w:rFonts w:cs="Arial"/>
          <w:b/>
          <w:u w:val="single"/>
        </w:rPr>
        <w:t xml:space="preserve"> </w:t>
      </w:r>
      <w:r w:rsidRPr="002F1E11">
        <w:rPr>
          <w:rFonts w:cs="Arial"/>
          <w:b/>
          <w:bCs/>
          <w:u w:val="single"/>
          <w:lang w:val="es-CO"/>
        </w:rPr>
        <w:t>Obligación del Estado, la familia y la sociedad en el cuidado y desarrollo integral de los niños, niñas y adolescentes</w:t>
      </w:r>
    </w:p>
    <w:p w:rsidR="002F1E11" w:rsidRDefault="002F1E11" w:rsidP="00EA1D6F">
      <w:pPr>
        <w:jc w:val="both"/>
        <w:rPr>
          <w:rFonts w:cs="Arial"/>
        </w:rPr>
      </w:pPr>
    </w:p>
    <w:p w:rsidR="002F1E11" w:rsidRDefault="002F1E11" w:rsidP="002F1E11">
      <w:pPr>
        <w:jc w:val="both"/>
        <w:rPr>
          <w:rFonts w:cs="Arial"/>
          <w:lang w:val="es-CO"/>
        </w:rPr>
      </w:pPr>
      <w:r w:rsidRPr="002F1E11">
        <w:rPr>
          <w:rFonts w:cs="Arial"/>
          <w:lang w:val="es-CO"/>
        </w:rPr>
        <w:t>Los niños, niñas y adolescentes gozan de una especial protección en el</w:t>
      </w:r>
      <w:r>
        <w:rPr>
          <w:rFonts w:cs="Arial"/>
          <w:lang w:val="es-CO"/>
        </w:rPr>
        <w:t xml:space="preserve"> </w:t>
      </w:r>
      <w:r w:rsidRPr="002F1E11">
        <w:rPr>
          <w:rFonts w:cs="Arial"/>
          <w:lang w:val="es-CO"/>
        </w:rPr>
        <w:t>ámbito nacional e internacional, pues dada su falta de madurez física y mental</w:t>
      </w:r>
      <w:r>
        <w:rPr>
          <w:rFonts w:cs="Arial"/>
          <w:lang w:val="es-CO"/>
        </w:rPr>
        <w:t xml:space="preserve"> </w:t>
      </w:r>
      <w:r w:rsidRPr="002F1E11">
        <w:rPr>
          <w:rFonts w:cs="Arial"/>
          <w:lang w:val="es-CO"/>
        </w:rPr>
        <w:t>que los pone en una situación de indefensión, vulnerabilidad y debilidad</w:t>
      </w:r>
      <w:r>
        <w:rPr>
          <w:rFonts w:cs="Arial"/>
          <w:lang w:val="es-CO"/>
        </w:rPr>
        <w:t xml:space="preserve"> </w:t>
      </w:r>
      <w:r w:rsidRPr="002F1E11">
        <w:rPr>
          <w:rFonts w:cs="Arial"/>
          <w:lang w:val="es-CO"/>
        </w:rPr>
        <w:t xml:space="preserve">manifiesta, requieren de </w:t>
      </w:r>
      <w:r w:rsidRPr="002F1E11">
        <w:rPr>
          <w:rFonts w:cs="Arial"/>
          <w:lang w:val="es-CO"/>
        </w:rPr>
        <w:lastRenderedPageBreak/>
        <w:t>cuidados especiales, en términos materiales,</w:t>
      </w:r>
      <w:r>
        <w:rPr>
          <w:rFonts w:cs="Arial"/>
          <w:lang w:val="es-CO"/>
        </w:rPr>
        <w:t xml:space="preserve"> </w:t>
      </w:r>
      <w:r w:rsidRPr="002F1E11">
        <w:rPr>
          <w:rFonts w:cs="Arial"/>
          <w:lang w:val="es-CO"/>
        </w:rPr>
        <w:t>psicológicos, afectivos y jurídicos, que permitan garantizar un desarrollo</w:t>
      </w:r>
      <w:r>
        <w:rPr>
          <w:rFonts w:cs="Arial"/>
          <w:lang w:val="es-CO"/>
        </w:rPr>
        <w:t xml:space="preserve"> </w:t>
      </w:r>
      <w:r w:rsidRPr="002F1E11">
        <w:rPr>
          <w:rFonts w:cs="Arial"/>
          <w:lang w:val="es-CO"/>
        </w:rPr>
        <w:t>armónico e integral en la sociedad.</w:t>
      </w:r>
      <w:r>
        <w:rPr>
          <w:rStyle w:val="Refdenotaalpie"/>
          <w:rFonts w:cs="Arial"/>
          <w:lang w:val="es-CO"/>
        </w:rPr>
        <w:footnoteReference w:id="1"/>
      </w:r>
    </w:p>
    <w:p w:rsidR="002F1E11" w:rsidRPr="002F1E11" w:rsidRDefault="002F1E11" w:rsidP="002F1E11">
      <w:pPr>
        <w:jc w:val="both"/>
        <w:rPr>
          <w:rFonts w:cs="Arial"/>
          <w:lang w:val="es-CO"/>
        </w:rPr>
      </w:pPr>
    </w:p>
    <w:p w:rsidR="002F1E11" w:rsidRPr="002F1E11" w:rsidRDefault="002F1E11" w:rsidP="002F1E11">
      <w:pPr>
        <w:jc w:val="both"/>
        <w:rPr>
          <w:rFonts w:cs="Arial"/>
          <w:i/>
          <w:iCs/>
          <w:lang w:val="es-CO"/>
        </w:rPr>
      </w:pPr>
      <w:r w:rsidRPr="002F1E11">
        <w:rPr>
          <w:rFonts w:cs="Arial"/>
          <w:lang w:val="es-CO"/>
        </w:rPr>
        <w:t>En cuanto al deber de la familia respecto de los menores de edad, la Corte</w:t>
      </w:r>
      <w:r>
        <w:rPr>
          <w:rFonts w:cs="Arial"/>
          <w:lang w:val="es-CO"/>
        </w:rPr>
        <w:t xml:space="preserve"> </w:t>
      </w:r>
      <w:r w:rsidRPr="002F1E11">
        <w:rPr>
          <w:rFonts w:cs="Arial"/>
          <w:lang w:val="es-CO"/>
        </w:rPr>
        <w:t>Constitucional ha señalado que su responsabilidad no se limita al concepto</w:t>
      </w:r>
      <w:r>
        <w:rPr>
          <w:rFonts w:cs="Arial"/>
          <w:lang w:val="es-CO"/>
        </w:rPr>
        <w:t xml:space="preserve"> </w:t>
      </w:r>
      <w:r w:rsidRPr="002F1E11">
        <w:rPr>
          <w:rFonts w:cs="Arial"/>
          <w:lang w:val="es-CO"/>
        </w:rPr>
        <w:t>tradicional, sino que abarca todas aquellas formas de unidad social fundamental</w:t>
      </w:r>
      <w:r>
        <w:rPr>
          <w:rFonts w:cs="Arial"/>
          <w:lang w:val="es-CO"/>
        </w:rPr>
        <w:t xml:space="preserve"> </w:t>
      </w:r>
      <w:r w:rsidRPr="002F1E11">
        <w:rPr>
          <w:rFonts w:cs="Arial"/>
          <w:lang w:val="es-CO"/>
        </w:rPr>
        <w:t>en la que se inserte el niño</w:t>
      </w:r>
      <w:r>
        <w:rPr>
          <w:rStyle w:val="Refdenotaalpie"/>
          <w:rFonts w:cs="Arial"/>
          <w:lang w:val="es-CO"/>
        </w:rPr>
        <w:footnoteReference w:id="2"/>
      </w:r>
      <w:r w:rsidRPr="002F1E11">
        <w:rPr>
          <w:rFonts w:cs="Arial"/>
          <w:lang w:val="es-CO"/>
        </w:rPr>
        <w:t>. En este sentido, expuso lo siguiente:</w:t>
      </w:r>
      <w:r>
        <w:rPr>
          <w:rFonts w:cs="Arial"/>
          <w:lang w:val="es-CO"/>
        </w:rPr>
        <w:t xml:space="preserve"> </w:t>
      </w:r>
      <w:r w:rsidRPr="002F1E11">
        <w:rPr>
          <w:rFonts w:cs="Arial"/>
          <w:lang w:val="es-CO"/>
        </w:rPr>
        <w:t>“</w:t>
      </w:r>
      <w:r w:rsidRPr="002F1E11">
        <w:rPr>
          <w:rFonts w:cs="Arial"/>
          <w:i/>
          <w:iCs/>
          <w:lang w:val="es-CO"/>
        </w:rPr>
        <w:t>Se entiende entonces que la responsabilidad principal en lo que respecta</w:t>
      </w:r>
      <w:r>
        <w:rPr>
          <w:rFonts w:cs="Arial"/>
          <w:i/>
          <w:iCs/>
          <w:lang w:val="es-CO"/>
        </w:rPr>
        <w:t xml:space="preserve"> </w:t>
      </w:r>
      <w:r w:rsidRPr="002F1E11">
        <w:rPr>
          <w:rFonts w:cs="Arial"/>
          <w:i/>
          <w:iCs/>
          <w:lang w:val="es-CO"/>
        </w:rPr>
        <w:t>a la crianza y la provisión de los medios económicos básicos para el</w:t>
      </w:r>
      <w:r>
        <w:rPr>
          <w:rFonts w:cs="Arial"/>
          <w:i/>
          <w:iCs/>
          <w:lang w:val="es-CO"/>
        </w:rPr>
        <w:t xml:space="preserve"> </w:t>
      </w:r>
      <w:r w:rsidRPr="002F1E11">
        <w:rPr>
          <w:rFonts w:cs="Arial"/>
          <w:i/>
          <w:iCs/>
          <w:lang w:val="es-CO"/>
        </w:rPr>
        <w:t>bienestar de los niños, reposa en la familia. La familia, en este contexto,</w:t>
      </w:r>
      <w:r>
        <w:rPr>
          <w:rFonts w:cs="Arial"/>
          <w:i/>
          <w:iCs/>
          <w:lang w:val="es-CO"/>
        </w:rPr>
        <w:t xml:space="preserve"> </w:t>
      </w:r>
      <w:r w:rsidRPr="002F1E11">
        <w:rPr>
          <w:rFonts w:cs="Arial"/>
          <w:i/>
          <w:iCs/>
          <w:lang w:val="es-CO"/>
        </w:rPr>
        <w:t>no puede entenderse solamente en su acepción tradicional, sino que</w:t>
      </w:r>
      <w:r>
        <w:rPr>
          <w:rFonts w:cs="Arial"/>
          <w:i/>
          <w:iCs/>
          <w:lang w:val="es-CO"/>
        </w:rPr>
        <w:t xml:space="preserve"> </w:t>
      </w:r>
      <w:r w:rsidRPr="002F1E11">
        <w:rPr>
          <w:rFonts w:cs="Arial"/>
          <w:i/>
          <w:iCs/>
          <w:lang w:val="es-CO"/>
        </w:rPr>
        <w:t>abarca todas aquellas formas de unidad social fundamental en la que se</w:t>
      </w:r>
      <w:r>
        <w:rPr>
          <w:rFonts w:cs="Arial"/>
          <w:i/>
          <w:iCs/>
          <w:lang w:val="es-CO"/>
        </w:rPr>
        <w:t xml:space="preserve"> </w:t>
      </w:r>
      <w:r w:rsidRPr="002F1E11">
        <w:rPr>
          <w:rFonts w:cs="Arial"/>
          <w:i/>
          <w:iCs/>
          <w:lang w:val="es-CO"/>
        </w:rPr>
        <w:t>inserte el niño, incluso extendiéndose a la familia ampliada o a la</w:t>
      </w:r>
      <w:r>
        <w:rPr>
          <w:rFonts w:cs="Arial"/>
          <w:i/>
          <w:iCs/>
          <w:lang w:val="es-CO"/>
        </w:rPr>
        <w:t xml:space="preserve"> </w:t>
      </w:r>
      <w:r w:rsidRPr="002F1E11">
        <w:rPr>
          <w:rFonts w:cs="Arial"/>
          <w:i/>
          <w:iCs/>
          <w:lang w:val="es-CO"/>
        </w:rPr>
        <w:t>comunidad</w:t>
      </w:r>
      <w:r>
        <w:rPr>
          <w:rStyle w:val="Refdenotaalpie"/>
          <w:rFonts w:cs="Arial"/>
          <w:i/>
          <w:iCs/>
          <w:lang w:val="es-CO"/>
        </w:rPr>
        <w:footnoteReference w:id="3"/>
      </w:r>
      <w:r w:rsidRPr="002F1E11">
        <w:rPr>
          <w:rFonts w:cs="Arial"/>
          <w:i/>
          <w:iCs/>
          <w:lang w:val="es-CO"/>
        </w:rPr>
        <w:t>.</w:t>
      </w:r>
    </w:p>
    <w:p w:rsidR="002F1E11" w:rsidRDefault="002F1E11" w:rsidP="002F1E11">
      <w:pPr>
        <w:jc w:val="both"/>
        <w:rPr>
          <w:rFonts w:cs="Arial"/>
          <w:i/>
          <w:iCs/>
          <w:lang w:val="es-CO"/>
        </w:rPr>
      </w:pPr>
    </w:p>
    <w:p w:rsidR="00C00F49" w:rsidRDefault="002F1E11" w:rsidP="002F1E11">
      <w:pPr>
        <w:jc w:val="both"/>
        <w:rPr>
          <w:rFonts w:cs="Arial"/>
          <w:lang w:val="es-CO"/>
        </w:rPr>
      </w:pPr>
      <w:r w:rsidRPr="002F1E11">
        <w:rPr>
          <w:rFonts w:cs="Arial"/>
          <w:i/>
          <w:iCs/>
          <w:lang w:val="es-CO"/>
        </w:rPr>
        <w:t>Ahora bien, cuando las labores de crianza y garantía de las condiciones</w:t>
      </w:r>
      <w:r>
        <w:rPr>
          <w:rFonts w:cs="Arial"/>
          <w:i/>
          <w:iCs/>
          <w:lang w:val="es-CO"/>
        </w:rPr>
        <w:t xml:space="preserve"> </w:t>
      </w:r>
      <w:r w:rsidRPr="002F1E11">
        <w:rPr>
          <w:rFonts w:cs="Arial"/>
          <w:i/>
          <w:iCs/>
          <w:lang w:val="es-CO"/>
        </w:rPr>
        <w:t>mínimas de vida superan las capacidades de la familia en sentido amplio</w:t>
      </w:r>
      <w:r>
        <w:rPr>
          <w:rFonts w:cs="Arial"/>
          <w:i/>
          <w:iCs/>
          <w:lang w:val="es-CO"/>
        </w:rPr>
        <w:t xml:space="preserve"> </w:t>
      </w:r>
      <w:r w:rsidRPr="002F1E11">
        <w:rPr>
          <w:rFonts w:cs="Arial"/>
          <w:i/>
          <w:iCs/>
          <w:lang w:val="es-CO"/>
        </w:rPr>
        <w:t>de la que se hablaba anteriormente, son la sociedad y el Estado quienes</w:t>
      </w:r>
      <w:r>
        <w:rPr>
          <w:rFonts w:cs="Arial"/>
          <w:i/>
          <w:iCs/>
          <w:lang w:val="es-CO"/>
        </w:rPr>
        <w:t xml:space="preserve"> </w:t>
      </w:r>
      <w:r w:rsidRPr="002F1E11">
        <w:rPr>
          <w:rFonts w:cs="Arial"/>
          <w:i/>
          <w:iCs/>
          <w:lang w:val="es-CO"/>
        </w:rPr>
        <w:t>deben suplir la labor familiar. En el caso del Estado, la normativa</w:t>
      </w:r>
      <w:r>
        <w:rPr>
          <w:rFonts w:cs="Arial"/>
          <w:i/>
          <w:iCs/>
          <w:lang w:val="es-CO"/>
        </w:rPr>
        <w:t xml:space="preserve"> </w:t>
      </w:r>
      <w:r w:rsidRPr="002F1E11">
        <w:rPr>
          <w:rFonts w:cs="Arial"/>
          <w:i/>
          <w:iCs/>
          <w:lang w:val="es-CO"/>
        </w:rPr>
        <w:t>internacional indica la obligación de que disponga de mecanismos</w:t>
      </w:r>
      <w:r>
        <w:rPr>
          <w:rFonts w:cs="Arial"/>
          <w:i/>
          <w:iCs/>
          <w:lang w:val="es-CO"/>
        </w:rPr>
        <w:t xml:space="preserve"> </w:t>
      </w:r>
      <w:r w:rsidRPr="002F1E11">
        <w:rPr>
          <w:rFonts w:cs="Arial"/>
          <w:i/>
          <w:iCs/>
          <w:lang w:val="es-CO"/>
        </w:rPr>
        <w:t>adecuados para evitar situaciones nocivas mientras el niño se encuentre</w:t>
      </w:r>
      <w:r>
        <w:rPr>
          <w:rFonts w:cs="Arial"/>
          <w:i/>
          <w:iCs/>
          <w:lang w:val="es-CO"/>
        </w:rPr>
        <w:t xml:space="preserve"> </w:t>
      </w:r>
      <w:r w:rsidRPr="002F1E11">
        <w:rPr>
          <w:rFonts w:cs="Arial"/>
          <w:i/>
          <w:iCs/>
          <w:lang w:val="es-CO"/>
        </w:rPr>
        <w:t>bajo el cuidado de los padres</w:t>
      </w:r>
      <w:r w:rsidR="00C00F49">
        <w:rPr>
          <w:rStyle w:val="Refdenotaalpie"/>
          <w:rFonts w:cs="Arial"/>
          <w:i/>
          <w:iCs/>
          <w:lang w:val="es-CO"/>
        </w:rPr>
        <w:footnoteReference w:id="4"/>
      </w:r>
      <w:r w:rsidRPr="002F1E11">
        <w:rPr>
          <w:rFonts w:cs="Arial"/>
          <w:i/>
          <w:iCs/>
          <w:lang w:val="es-CO"/>
        </w:rPr>
        <w:t>, que se concretan en nuestra normativa</w:t>
      </w:r>
      <w:r w:rsidR="00C00F49">
        <w:rPr>
          <w:rFonts w:cs="Arial"/>
          <w:i/>
          <w:iCs/>
          <w:lang w:val="es-CO"/>
        </w:rPr>
        <w:t xml:space="preserve"> </w:t>
      </w:r>
      <w:r w:rsidRPr="002F1E11">
        <w:rPr>
          <w:rFonts w:cs="Arial"/>
          <w:i/>
          <w:iCs/>
          <w:lang w:val="es-CO"/>
        </w:rPr>
        <w:t>nacional, especialmente en las dispuestas en el Código de la Infancia y la</w:t>
      </w:r>
      <w:r w:rsidR="00C00F49">
        <w:rPr>
          <w:rFonts w:cs="Arial"/>
          <w:i/>
          <w:iCs/>
          <w:lang w:val="es-CO"/>
        </w:rPr>
        <w:t xml:space="preserve"> </w:t>
      </w:r>
      <w:r w:rsidRPr="002F1E11">
        <w:rPr>
          <w:rFonts w:cs="Arial"/>
          <w:i/>
          <w:iCs/>
          <w:lang w:val="es-CO"/>
        </w:rPr>
        <w:t>Adolescencia, que se complementan con otras medidas existentes para el</w:t>
      </w:r>
      <w:r w:rsidR="00C00F49">
        <w:rPr>
          <w:rFonts w:cs="Arial"/>
          <w:i/>
          <w:iCs/>
          <w:lang w:val="es-CO"/>
        </w:rPr>
        <w:t xml:space="preserve"> </w:t>
      </w:r>
      <w:r w:rsidRPr="002F1E11">
        <w:rPr>
          <w:rFonts w:cs="Arial"/>
          <w:i/>
          <w:iCs/>
          <w:lang w:val="es-CO"/>
        </w:rPr>
        <w:t>acceso a la asistencia social del Estado. Para terminar con la</w:t>
      </w:r>
      <w:r w:rsidR="00C00F49">
        <w:rPr>
          <w:rFonts w:cs="Arial"/>
          <w:i/>
          <w:iCs/>
          <w:lang w:val="es-CO"/>
        </w:rPr>
        <w:t xml:space="preserve"> </w:t>
      </w:r>
      <w:r w:rsidRPr="002F1E11">
        <w:rPr>
          <w:rFonts w:cs="Arial"/>
          <w:i/>
          <w:iCs/>
          <w:lang w:val="es-CO"/>
        </w:rPr>
        <w:t>caracterización del interés superior del niño, la Corte señala que este</w:t>
      </w:r>
      <w:r w:rsidR="00C00F49">
        <w:rPr>
          <w:rFonts w:cs="Arial"/>
          <w:i/>
          <w:iCs/>
          <w:lang w:val="es-CO"/>
        </w:rPr>
        <w:t xml:space="preserve"> </w:t>
      </w:r>
      <w:r w:rsidRPr="002F1E11">
        <w:rPr>
          <w:rFonts w:cs="Arial"/>
          <w:i/>
          <w:iCs/>
          <w:lang w:val="es-CO"/>
        </w:rPr>
        <w:t>implica para las autoridades estatales y para los particulares la</w:t>
      </w:r>
      <w:r w:rsidR="00C00F49">
        <w:rPr>
          <w:rFonts w:cs="Arial"/>
          <w:i/>
          <w:iCs/>
          <w:lang w:val="es-CO"/>
        </w:rPr>
        <w:t xml:space="preserve"> </w:t>
      </w:r>
      <w:r w:rsidRPr="002F1E11">
        <w:rPr>
          <w:rFonts w:cs="Arial"/>
          <w:i/>
          <w:iCs/>
          <w:lang w:val="es-CO"/>
        </w:rPr>
        <w:t>obligación de adoptar medidas encaminadas a promover el bienestar de</w:t>
      </w:r>
      <w:r w:rsidR="00C00F49">
        <w:rPr>
          <w:rFonts w:cs="Arial"/>
          <w:i/>
          <w:iCs/>
          <w:lang w:val="es-CO"/>
        </w:rPr>
        <w:t xml:space="preserve"> </w:t>
      </w:r>
      <w:r w:rsidRPr="002F1E11">
        <w:rPr>
          <w:rFonts w:cs="Arial"/>
          <w:i/>
          <w:iCs/>
          <w:lang w:val="es-CO"/>
        </w:rPr>
        <w:t>los niños. Como consecuencia de este deber, las autoridades y los</w:t>
      </w:r>
      <w:r w:rsidR="00C00F49">
        <w:rPr>
          <w:rFonts w:cs="Arial"/>
          <w:i/>
          <w:iCs/>
          <w:lang w:val="es-CO"/>
        </w:rPr>
        <w:t xml:space="preserve"> </w:t>
      </w:r>
      <w:r w:rsidRPr="002F1E11">
        <w:rPr>
          <w:rFonts w:cs="Arial"/>
          <w:i/>
          <w:iCs/>
          <w:lang w:val="es-CO"/>
        </w:rPr>
        <w:t>particulares deben abstenerse de adoptar medidas que desmejoren la</w:t>
      </w:r>
      <w:r w:rsidR="00C00F49">
        <w:rPr>
          <w:rFonts w:cs="Arial"/>
          <w:i/>
          <w:iCs/>
          <w:lang w:val="es-CO"/>
        </w:rPr>
        <w:t xml:space="preserve"> </w:t>
      </w:r>
      <w:r w:rsidRPr="002F1E11">
        <w:rPr>
          <w:rFonts w:cs="Arial"/>
          <w:i/>
          <w:iCs/>
          <w:lang w:val="es-CO"/>
        </w:rPr>
        <w:t>situación en la que se encuentran los niños</w:t>
      </w:r>
      <w:r w:rsidR="00C00F49">
        <w:rPr>
          <w:rStyle w:val="Refdenotaalpie"/>
          <w:rFonts w:cs="Arial"/>
          <w:i/>
          <w:iCs/>
          <w:lang w:val="es-CO"/>
        </w:rPr>
        <w:footnoteReference w:id="5"/>
      </w:r>
      <w:r w:rsidR="00C00F49">
        <w:rPr>
          <w:rFonts w:cs="Arial"/>
          <w:lang w:val="es-CO"/>
        </w:rPr>
        <w:t>.</w:t>
      </w:r>
    </w:p>
    <w:p w:rsidR="00C00F49" w:rsidRDefault="00C00F49" w:rsidP="002F1E11">
      <w:pPr>
        <w:jc w:val="both"/>
        <w:rPr>
          <w:rFonts w:cs="Arial"/>
          <w:lang w:val="es-CO"/>
        </w:rPr>
      </w:pPr>
    </w:p>
    <w:p w:rsidR="002F1E11" w:rsidRDefault="00C00F49" w:rsidP="00C00F49">
      <w:pPr>
        <w:jc w:val="both"/>
        <w:rPr>
          <w:rFonts w:cs="Arial"/>
          <w:lang w:val="es-CO"/>
        </w:rPr>
      </w:pPr>
      <w:r>
        <w:rPr>
          <w:rFonts w:cs="Arial"/>
          <w:lang w:val="es-CO"/>
        </w:rPr>
        <w:t>De lo dicho es factible concluir que</w:t>
      </w:r>
      <w:r w:rsidRPr="00C00F49">
        <w:rPr>
          <w:rFonts w:cs="Arial"/>
          <w:lang w:val="es-CO"/>
        </w:rPr>
        <w:t xml:space="preserve"> la familia, la sociedad y el Estado, en atención al principio del</w:t>
      </w:r>
      <w:r>
        <w:rPr>
          <w:rFonts w:cs="Arial"/>
          <w:lang w:val="es-CO"/>
        </w:rPr>
        <w:t xml:space="preserve"> </w:t>
      </w:r>
      <w:r w:rsidRPr="00C00F49">
        <w:rPr>
          <w:rFonts w:cs="Arial"/>
          <w:lang w:val="es-CO"/>
        </w:rPr>
        <w:t>interés superior del niño</w:t>
      </w:r>
      <w:r>
        <w:rPr>
          <w:rFonts w:cs="Arial"/>
          <w:lang w:val="es-CO"/>
        </w:rPr>
        <w:t xml:space="preserve"> y de la prevalencia de sus derechos</w:t>
      </w:r>
      <w:r w:rsidRPr="00C00F49">
        <w:rPr>
          <w:rFonts w:cs="Arial"/>
          <w:lang w:val="es-CO"/>
        </w:rPr>
        <w:t>, tienen la obligación de promover acciones afirmativas</w:t>
      </w:r>
      <w:r>
        <w:rPr>
          <w:rFonts w:cs="Arial"/>
          <w:lang w:val="es-CO"/>
        </w:rPr>
        <w:t xml:space="preserve"> </w:t>
      </w:r>
      <w:r w:rsidRPr="00C00F49">
        <w:rPr>
          <w:rFonts w:cs="Arial"/>
          <w:lang w:val="es-CO"/>
        </w:rPr>
        <w:t>y efectivas que garanticen el goce pleno de los derechos de los niños, niñas y</w:t>
      </w:r>
      <w:r w:rsidR="00A82679">
        <w:rPr>
          <w:rFonts w:cs="Arial"/>
          <w:lang w:val="es-CO"/>
        </w:rPr>
        <w:t xml:space="preserve"> </w:t>
      </w:r>
      <w:r w:rsidRPr="00C00F49">
        <w:rPr>
          <w:rFonts w:cs="Arial"/>
          <w:lang w:val="es-CO"/>
        </w:rPr>
        <w:t>adolescentes y el desarrollo de sus actividades de manera autónoma y libre</w:t>
      </w:r>
      <w:r>
        <w:rPr>
          <w:rFonts w:cs="Arial"/>
          <w:lang w:val="es-CO"/>
        </w:rPr>
        <w:t>.</w:t>
      </w:r>
      <w:r w:rsidR="002F1E11" w:rsidRPr="002F1E11">
        <w:rPr>
          <w:rFonts w:cs="Arial"/>
          <w:lang w:val="es-CO"/>
        </w:rPr>
        <w:t xml:space="preserve"> </w:t>
      </w:r>
    </w:p>
    <w:p w:rsidR="002F1E11" w:rsidRDefault="002F1E11" w:rsidP="002F1E11">
      <w:pPr>
        <w:jc w:val="both"/>
        <w:rPr>
          <w:rFonts w:cs="Arial"/>
          <w:lang w:val="es-CO"/>
        </w:rPr>
      </w:pPr>
    </w:p>
    <w:p w:rsidR="00EA1D6F" w:rsidRPr="00F93A73" w:rsidRDefault="00787A11" w:rsidP="00EA1D6F">
      <w:pPr>
        <w:jc w:val="both"/>
        <w:rPr>
          <w:rFonts w:cs="Arial"/>
          <w:b/>
          <w:szCs w:val="24"/>
          <w:u w:val="single"/>
          <w:lang w:val="es-CO"/>
        </w:rPr>
      </w:pPr>
      <w:r>
        <w:rPr>
          <w:rFonts w:cs="Arial"/>
          <w:b/>
          <w:szCs w:val="24"/>
          <w:u w:val="single"/>
          <w:lang w:val="es-CO"/>
        </w:rPr>
        <w:t>2.</w:t>
      </w:r>
      <w:r w:rsidR="00A85FA5">
        <w:rPr>
          <w:rFonts w:cs="Arial"/>
          <w:b/>
          <w:szCs w:val="24"/>
          <w:u w:val="single"/>
          <w:lang w:val="es-CO"/>
        </w:rPr>
        <w:t>2</w:t>
      </w:r>
      <w:r>
        <w:rPr>
          <w:rFonts w:cs="Arial"/>
          <w:b/>
          <w:szCs w:val="24"/>
          <w:u w:val="single"/>
          <w:lang w:val="es-CO"/>
        </w:rPr>
        <w:t xml:space="preserve"> </w:t>
      </w:r>
      <w:r w:rsidR="00EA1D6F">
        <w:rPr>
          <w:rFonts w:cs="Arial"/>
          <w:b/>
          <w:szCs w:val="24"/>
          <w:u w:val="single"/>
          <w:lang w:val="es-CO"/>
        </w:rPr>
        <w:t xml:space="preserve">Proceso de </w:t>
      </w:r>
      <w:r w:rsidR="00EA1D6F" w:rsidRPr="00F93A73">
        <w:rPr>
          <w:rFonts w:cs="Arial"/>
          <w:b/>
          <w:szCs w:val="24"/>
          <w:u w:val="single"/>
          <w:lang w:val="es-CO"/>
        </w:rPr>
        <w:t>Restablecimiento de derechos</w:t>
      </w:r>
    </w:p>
    <w:p w:rsidR="00EA1D6F" w:rsidRDefault="00EA1D6F" w:rsidP="00EA1D6F">
      <w:pPr>
        <w:jc w:val="both"/>
        <w:rPr>
          <w:rFonts w:cs="Arial"/>
          <w:szCs w:val="24"/>
          <w:lang w:val="es-CO"/>
        </w:rPr>
      </w:pPr>
    </w:p>
    <w:p w:rsidR="00EA1D6F" w:rsidRPr="00F7003B" w:rsidRDefault="00EA1D6F" w:rsidP="00EA1D6F">
      <w:pPr>
        <w:jc w:val="both"/>
        <w:rPr>
          <w:rFonts w:cs="Arial"/>
          <w:szCs w:val="24"/>
          <w:lang w:val="es-CO"/>
        </w:rPr>
      </w:pPr>
      <w:r>
        <w:rPr>
          <w:rFonts w:cs="Arial"/>
          <w:szCs w:val="24"/>
          <w:lang w:val="es-CO"/>
        </w:rPr>
        <w:t>Respecto al</w:t>
      </w:r>
      <w:r w:rsidRPr="00523C93">
        <w:rPr>
          <w:rFonts w:cs="Arial"/>
          <w:szCs w:val="24"/>
          <w:lang w:val="es-CO"/>
        </w:rPr>
        <w:t xml:space="preserve"> restablecimiento de derechos es </w:t>
      </w:r>
      <w:r>
        <w:rPr>
          <w:rFonts w:cs="Arial"/>
          <w:szCs w:val="24"/>
          <w:lang w:val="es-CO"/>
        </w:rPr>
        <w:t>preciso indicar que se trata de</w:t>
      </w:r>
      <w:r w:rsidRPr="00F7003B">
        <w:rPr>
          <w:rFonts w:cs="Arial"/>
          <w:szCs w:val="24"/>
          <w:lang w:val="es-CO"/>
        </w:rPr>
        <w:t xml:space="preserve">l conjunto de actuaciones, competencias y procedimientos que debe adelantar la autoridad administrativa con el fin de promover la realización y el restablecimiento efectivo de los derechos de los niños, niñas y adolescentes que han sido </w:t>
      </w:r>
      <w:r w:rsidRPr="00F7003B">
        <w:rPr>
          <w:rFonts w:cs="Arial"/>
          <w:szCs w:val="24"/>
          <w:lang w:val="es-CO"/>
        </w:rPr>
        <w:lastRenderedPageBreak/>
        <w:t>vulnerados,</w:t>
      </w:r>
      <w:r w:rsidRPr="00F7003B">
        <w:rPr>
          <w:rFonts w:cs="Arial"/>
          <w:szCs w:val="24"/>
          <w:vertAlign w:val="superscript"/>
          <w:lang w:val="es-CO"/>
        </w:rPr>
        <w:footnoteReference w:id="6"/>
      </w:r>
      <w:r w:rsidRPr="00F7003B">
        <w:rPr>
          <w:rFonts w:cs="Arial"/>
          <w:szCs w:val="24"/>
          <w:lang w:val="es-CO"/>
        </w:rPr>
        <w:t> y, en esta medida, también puede decirse que constituye una herramienta fundamental a través de la cual se asegura la operatividad del esquema de garantías, responsabilidades y competencias consagrado en la Constitución Política, en los convenios y tratados internacionales ratificados por Colombia y en el Código de la Infancia y la Adolescencia, en aplicación del principio de la protección integral.</w:t>
      </w:r>
    </w:p>
    <w:p w:rsidR="00EA1D6F" w:rsidRPr="00523C93" w:rsidRDefault="00EA1D6F" w:rsidP="00EA1D6F">
      <w:pPr>
        <w:jc w:val="both"/>
        <w:rPr>
          <w:rFonts w:cs="Arial"/>
          <w:szCs w:val="24"/>
          <w:lang w:val="es-CO"/>
        </w:rPr>
      </w:pPr>
      <w:r w:rsidRPr="00523C93">
        <w:rPr>
          <w:rFonts w:cs="Arial"/>
          <w:szCs w:val="24"/>
          <w:lang w:val="es-CO"/>
        </w:rPr>
        <w:t> </w:t>
      </w:r>
    </w:p>
    <w:p w:rsidR="00EA1D6F" w:rsidRPr="00523C93" w:rsidRDefault="00EA1D6F" w:rsidP="00EA1D6F">
      <w:pPr>
        <w:jc w:val="both"/>
        <w:rPr>
          <w:rFonts w:cs="Arial"/>
          <w:szCs w:val="24"/>
          <w:lang w:val="es-CO"/>
        </w:rPr>
      </w:pPr>
      <w:r w:rsidRPr="00523C93">
        <w:rPr>
          <w:rFonts w:cs="Arial"/>
          <w:szCs w:val="24"/>
          <w:lang w:val="es-CO"/>
        </w:rPr>
        <w:t xml:space="preserve">El ejercicio de aquella obligación estatal implica que, de manera inmediata, la autoridad competente compruebe el estado de cumplimiento de cada uno de los derechos de los niños, las niñas y los adolescentes, y verifique: 1. el estado de salud física y psicológica; 2. el estado de nutrición y vacunación; 3. la inscripción en el Registro Civil de Nacimiento; </w:t>
      </w:r>
      <w:r w:rsidRPr="005C1162">
        <w:rPr>
          <w:rFonts w:cs="Arial"/>
          <w:szCs w:val="24"/>
          <w:lang w:val="es-CO"/>
        </w:rPr>
        <w:t>4. la ubicación de la familia de origen</w:t>
      </w:r>
      <w:r w:rsidRPr="00523C93">
        <w:rPr>
          <w:rFonts w:cs="Arial"/>
          <w:szCs w:val="24"/>
          <w:lang w:val="es-CO"/>
        </w:rPr>
        <w:t>; 5. el entorno familiar y la identificación, tanto de elementos protectores, como de riesgo para la vigencia de los derechos; 6. la vinculación al sistema de salud y seguridad social; y 7. la vinculación al sistema educativo.</w:t>
      </w:r>
    </w:p>
    <w:p w:rsidR="00EA1D6F" w:rsidRPr="00523C93" w:rsidRDefault="00EA1D6F" w:rsidP="00EA1D6F">
      <w:pPr>
        <w:jc w:val="both"/>
        <w:rPr>
          <w:rFonts w:cs="Arial"/>
          <w:szCs w:val="24"/>
          <w:lang w:val="es-CO"/>
        </w:rPr>
      </w:pPr>
      <w:r w:rsidRPr="00523C93">
        <w:rPr>
          <w:rFonts w:cs="Arial"/>
          <w:szCs w:val="24"/>
          <w:lang w:val="es-CO"/>
        </w:rPr>
        <w:t> </w:t>
      </w:r>
    </w:p>
    <w:p w:rsidR="00EA1D6F" w:rsidRPr="0000635D" w:rsidRDefault="00EA1D6F" w:rsidP="00EA1D6F">
      <w:pPr>
        <w:jc w:val="both"/>
        <w:rPr>
          <w:rFonts w:cs="Arial"/>
          <w:szCs w:val="24"/>
          <w:lang w:val="es-CO"/>
        </w:rPr>
      </w:pPr>
      <w:r>
        <w:rPr>
          <w:rFonts w:cs="Arial"/>
          <w:szCs w:val="24"/>
          <w:lang w:val="es-CO"/>
        </w:rPr>
        <w:t>De igual forma,</w:t>
      </w:r>
      <w:r w:rsidRPr="0000635D">
        <w:rPr>
          <w:rFonts w:cs="Arial"/>
          <w:szCs w:val="24"/>
          <w:lang w:val="es-CO"/>
        </w:rPr>
        <w:t xml:space="preserve"> la Corte ha sostenido que, en los procesos administrativos y judiciales, el operador jurídico debe tener en cuenta al momento de adoptar cualquier determinación tres pilares propios del sistema de protección de los menores de edad, los cuales a saber son: (i) el derecho a tener una familia y a no ser separada de ella, (ii) el principio del interés superior de los infantes, y (iii) el mencionado derecho fundamental de los niños a ser escuchados</w:t>
      </w:r>
      <w:r>
        <w:rPr>
          <w:rStyle w:val="Refdenotaalpie"/>
          <w:rFonts w:cs="Arial"/>
          <w:szCs w:val="24"/>
          <w:lang w:val="es-CO"/>
        </w:rPr>
        <w:footnoteReference w:id="7"/>
      </w:r>
      <w:r w:rsidRPr="0000635D">
        <w:rPr>
          <w:rFonts w:cs="Arial"/>
          <w:szCs w:val="24"/>
          <w:lang w:val="es-CO"/>
        </w:rPr>
        <w:t>.</w:t>
      </w:r>
    </w:p>
    <w:p w:rsidR="00EA1D6F" w:rsidRPr="0000635D" w:rsidRDefault="00EA1D6F" w:rsidP="00EA1D6F">
      <w:pPr>
        <w:jc w:val="both"/>
        <w:rPr>
          <w:rFonts w:cs="Arial"/>
          <w:szCs w:val="24"/>
          <w:lang w:val="es-CO"/>
        </w:rPr>
      </w:pPr>
      <w:r w:rsidRPr="0000635D">
        <w:rPr>
          <w:rFonts w:cs="Arial"/>
          <w:szCs w:val="24"/>
          <w:lang w:val="es-CO"/>
        </w:rPr>
        <w:t> </w:t>
      </w:r>
    </w:p>
    <w:p w:rsidR="00EA1D6F" w:rsidRPr="0000635D" w:rsidRDefault="00EA1D6F" w:rsidP="00EA1D6F">
      <w:pPr>
        <w:jc w:val="both"/>
        <w:rPr>
          <w:rFonts w:cs="Arial"/>
          <w:szCs w:val="24"/>
          <w:lang w:val="es-CO"/>
        </w:rPr>
      </w:pPr>
      <w:r w:rsidRPr="0000635D">
        <w:rPr>
          <w:rFonts w:cs="Arial"/>
          <w:szCs w:val="24"/>
          <w:lang w:val="es-CO"/>
        </w:rPr>
        <w:t xml:space="preserve">De lo anterior se ha entendido que, por regla general, la familia constituye el entorno ideal para la crianza y la educación de los hijos. Así, </w:t>
      </w:r>
      <w:r>
        <w:rPr>
          <w:rFonts w:cs="Arial"/>
          <w:szCs w:val="24"/>
          <w:lang w:val="es-CO"/>
        </w:rPr>
        <w:t>dicho tribunal d</w:t>
      </w:r>
      <w:r w:rsidRPr="0000635D">
        <w:rPr>
          <w:rFonts w:cs="Arial"/>
          <w:szCs w:val="24"/>
          <w:lang w:val="es-CO"/>
        </w:rPr>
        <w:t>e</w:t>
      </w:r>
      <w:r>
        <w:rPr>
          <w:rFonts w:cs="Arial"/>
          <w:szCs w:val="24"/>
          <w:lang w:val="es-CO"/>
        </w:rPr>
        <w:t xml:space="preserve"> cierre</w:t>
      </w:r>
      <w:r w:rsidRPr="0000635D">
        <w:rPr>
          <w:rFonts w:cs="Arial"/>
          <w:szCs w:val="24"/>
          <w:lang w:val="es-CO"/>
        </w:rPr>
        <w:t xml:space="preserve"> ha considerado que el derecho a tener una familia y a no ser separado de ella implica “</w:t>
      </w:r>
      <w:r w:rsidRPr="0000635D">
        <w:rPr>
          <w:rFonts w:cs="Arial"/>
          <w:i/>
          <w:iCs/>
          <w:szCs w:val="24"/>
          <w:lang w:val="es-CO"/>
        </w:rPr>
        <w:t>la integración real del menor en un medio propicio para su desarrollo, que presupone la presencia de estrechos vínculos de afecto y confianza y que exige relaciones equilibradas y armónicas entre los padres y el pedagógico comportamiento de éstos respecto de sus hijos”</w:t>
      </w:r>
      <w:r>
        <w:rPr>
          <w:rStyle w:val="Refdenotaalpie"/>
          <w:rFonts w:cs="Arial"/>
          <w:i/>
          <w:iCs/>
          <w:szCs w:val="24"/>
          <w:lang w:val="es-CO"/>
        </w:rPr>
        <w:footnoteReference w:id="8"/>
      </w:r>
      <w:r w:rsidRPr="0000635D">
        <w:rPr>
          <w:rFonts w:cs="Arial"/>
          <w:szCs w:val="24"/>
          <w:lang w:val="es-CO"/>
        </w:rPr>
        <w:t>.</w:t>
      </w:r>
    </w:p>
    <w:p w:rsidR="00EA1D6F" w:rsidRPr="0000635D" w:rsidRDefault="00EA1D6F" w:rsidP="00EA1D6F">
      <w:pPr>
        <w:jc w:val="both"/>
        <w:rPr>
          <w:rFonts w:cs="Arial"/>
          <w:szCs w:val="24"/>
          <w:lang w:val="es-CO"/>
        </w:rPr>
      </w:pPr>
      <w:r w:rsidRPr="0000635D">
        <w:rPr>
          <w:rFonts w:cs="Arial"/>
          <w:szCs w:val="24"/>
          <w:lang w:val="es-CO"/>
        </w:rPr>
        <w:t> </w:t>
      </w:r>
    </w:p>
    <w:p w:rsidR="00EA1D6F" w:rsidRPr="0000635D" w:rsidRDefault="00EA1D6F" w:rsidP="00EA1D6F">
      <w:pPr>
        <w:jc w:val="both"/>
        <w:rPr>
          <w:rFonts w:cs="Arial"/>
          <w:szCs w:val="24"/>
          <w:lang w:val="es-CO"/>
        </w:rPr>
      </w:pPr>
      <w:r w:rsidRPr="0000635D">
        <w:rPr>
          <w:rFonts w:cs="Arial"/>
          <w:szCs w:val="24"/>
          <w:lang w:val="es-CO"/>
        </w:rPr>
        <w:t xml:space="preserve">Igualmente, </w:t>
      </w:r>
      <w:r>
        <w:rPr>
          <w:rFonts w:cs="Arial"/>
          <w:szCs w:val="24"/>
          <w:lang w:val="es-CO"/>
        </w:rPr>
        <w:t xml:space="preserve">la Corte </w:t>
      </w:r>
      <w:r w:rsidRPr="0000635D">
        <w:rPr>
          <w:rFonts w:cs="Arial"/>
          <w:szCs w:val="24"/>
          <w:lang w:val="es-CO"/>
        </w:rPr>
        <w:t>ha estimado que existe una presunción a favor de la familia biológica, en el sentido de que ésta se encuentra, en principio, mejor situada para brindar al niño el cuidado y afecto que necesita. Lo anterior no obedece a un privilegio de la familia natural sobre otras formas de familia, ya que todas las distintas formas de organización familiar son merecedoras de la misma protección, sino al simple reconocimiento del hecho físico de que</w:t>
      </w:r>
      <w:r w:rsidRPr="0000635D">
        <w:rPr>
          <w:rFonts w:cs="Arial"/>
          <w:i/>
          <w:iCs/>
          <w:szCs w:val="24"/>
          <w:lang w:val="es-CO"/>
        </w:rPr>
        <w:t> “los niños nacen dentro de una determinada familia biológica, y sólo se justificará removerlos de dicha familia cuando existan razones significativas para ello reguladas en las leyes vigentes”</w:t>
      </w:r>
      <w:r>
        <w:rPr>
          <w:rFonts w:cs="Arial"/>
          <w:i/>
          <w:iCs/>
          <w:szCs w:val="24"/>
          <w:lang w:val="es-CO"/>
        </w:rPr>
        <w:t xml:space="preserve">. </w:t>
      </w:r>
      <w:r w:rsidRPr="00D30A04">
        <w:rPr>
          <w:rFonts w:cs="Arial"/>
          <w:iCs/>
          <w:szCs w:val="24"/>
          <w:lang w:val="es-CO"/>
        </w:rPr>
        <w:t>E</w:t>
      </w:r>
      <w:r w:rsidRPr="0000635D">
        <w:rPr>
          <w:rFonts w:cs="Arial"/>
          <w:szCs w:val="24"/>
          <w:lang w:val="es-CO"/>
        </w:rPr>
        <w:t>n ese orden, la presunción a favor de la familia biológica únicamente puede ser desvirtuada cuando se cuenten </w:t>
      </w:r>
      <w:r w:rsidRPr="0000635D">
        <w:rPr>
          <w:rFonts w:cs="Arial"/>
          <w:i/>
          <w:iCs/>
          <w:szCs w:val="24"/>
          <w:lang w:val="es-CO"/>
        </w:rPr>
        <w:t>“con argumentos poderosos sobre su ineptitud para asegurar el bienestar del niño, o sobre la existencia de riesgos o peligros concretos para el desarrollo de éste (…).”</w:t>
      </w:r>
      <w:r w:rsidRPr="0000635D">
        <w:rPr>
          <w:rFonts w:cs="Arial"/>
          <w:szCs w:val="24"/>
          <w:lang w:val="es-CO"/>
        </w:rPr>
        <w:t> Asimismo, </w:t>
      </w:r>
      <w:r w:rsidRPr="0000635D">
        <w:rPr>
          <w:rFonts w:cs="Arial"/>
          <w:i/>
          <w:iCs/>
          <w:szCs w:val="24"/>
          <w:lang w:val="es-CO"/>
        </w:rPr>
        <w:t xml:space="preserve">“la prueba sobre la existencia de tal </w:t>
      </w:r>
      <w:r w:rsidRPr="0000635D">
        <w:rPr>
          <w:rFonts w:cs="Arial"/>
          <w:i/>
          <w:iCs/>
          <w:szCs w:val="24"/>
          <w:lang w:val="es-CO"/>
        </w:rPr>
        <w:lastRenderedPageBreak/>
        <w:t>ineptitud o tales riesgos le corresponde no a la familia biológica, sino a quien pretende desvirtuar la presunción para efectos de sustentar la ubicación del menor en cuestión en un ambiente familiar alterno.”</w:t>
      </w:r>
      <w:r>
        <w:rPr>
          <w:rStyle w:val="Refdenotaalpie"/>
          <w:rFonts w:cs="Arial"/>
          <w:i/>
          <w:iCs/>
          <w:szCs w:val="24"/>
          <w:lang w:val="es-CO"/>
        </w:rPr>
        <w:footnoteReference w:id="9"/>
      </w:r>
    </w:p>
    <w:p w:rsidR="00EA1D6F" w:rsidRPr="0000635D" w:rsidRDefault="00EA1D6F" w:rsidP="00EA1D6F">
      <w:pPr>
        <w:jc w:val="both"/>
        <w:rPr>
          <w:rFonts w:cs="Arial"/>
          <w:szCs w:val="24"/>
          <w:lang w:val="es-CO"/>
        </w:rPr>
      </w:pPr>
      <w:r w:rsidRPr="0000635D">
        <w:rPr>
          <w:rFonts w:cs="Arial"/>
          <w:szCs w:val="24"/>
          <w:lang w:val="es-CO"/>
        </w:rPr>
        <w:t> </w:t>
      </w:r>
    </w:p>
    <w:p w:rsidR="00EA1D6F" w:rsidRPr="00523C93" w:rsidRDefault="00EA1D6F" w:rsidP="00EA1D6F">
      <w:pPr>
        <w:jc w:val="both"/>
        <w:rPr>
          <w:rFonts w:cs="Arial"/>
          <w:szCs w:val="24"/>
          <w:lang w:val="es-CO"/>
        </w:rPr>
      </w:pPr>
      <w:r w:rsidRPr="00523C93">
        <w:rPr>
          <w:rFonts w:cs="Arial"/>
          <w:szCs w:val="24"/>
          <w:lang w:val="es-CO"/>
        </w:rPr>
        <w:t>Así pues, la adopción de medidas de restablecimiento de derechos, tiene como fundamento la verificación metódica de las circunstancias particulares en las que se encuentra el menor de edad, con el fin de determinar si existe una real amenaza o vulneración de sus derechos fundamentales.</w:t>
      </w:r>
    </w:p>
    <w:p w:rsidR="00EA1D6F" w:rsidRPr="00523C93" w:rsidRDefault="00EA1D6F" w:rsidP="00EA1D6F">
      <w:pPr>
        <w:jc w:val="both"/>
        <w:rPr>
          <w:rFonts w:cs="Arial"/>
          <w:szCs w:val="24"/>
          <w:lang w:val="es-CO"/>
        </w:rPr>
      </w:pPr>
      <w:r w:rsidRPr="00523C93">
        <w:rPr>
          <w:rFonts w:cs="Arial"/>
          <w:szCs w:val="24"/>
          <w:lang w:val="es-CO"/>
        </w:rPr>
        <w:t> </w:t>
      </w:r>
    </w:p>
    <w:p w:rsidR="00EA1D6F" w:rsidRPr="00523C93" w:rsidRDefault="00EA1D6F" w:rsidP="00EA1D6F">
      <w:pPr>
        <w:jc w:val="both"/>
        <w:rPr>
          <w:rFonts w:cs="Arial"/>
          <w:szCs w:val="24"/>
          <w:lang w:val="es-CO"/>
        </w:rPr>
      </w:pPr>
      <w:r w:rsidRPr="00523C93">
        <w:rPr>
          <w:rFonts w:cs="Arial"/>
          <w:szCs w:val="24"/>
          <w:lang w:val="es-CO"/>
        </w:rPr>
        <w:t>La Corte Constitucional ha fijado reglas para la adopción de medidas de restablecimiento de derechos de los menores de edad, y específicamente ha señalado que el decreto y práctica de medidas de restablecimiento de derechos están sujetos a límites constitucionales, tales como la motivación objetiva, por tal razón toda medida</w:t>
      </w:r>
      <w:r>
        <w:rPr>
          <w:rFonts w:cs="Arial"/>
          <w:szCs w:val="24"/>
          <w:lang w:val="es-CO"/>
        </w:rPr>
        <w:t xml:space="preserve"> </w:t>
      </w:r>
      <w:r w:rsidRPr="00523C93">
        <w:rPr>
          <w:rFonts w:cs="Arial"/>
          <w:i/>
          <w:iCs/>
          <w:szCs w:val="24"/>
          <w:lang w:val="es-CO"/>
        </w:rPr>
        <w:t>“debe encontrarse precedida y soportada por labores de verificación, encaminadas a determinar la existencia de una real situación de abandono, riesgo o peligro que se cierne sobre los derechos fundamentales del niño, niña o adolescente</w:t>
      </w:r>
      <w:r w:rsidRPr="00523C93">
        <w:rPr>
          <w:rFonts w:cs="Arial"/>
          <w:szCs w:val="24"/>
          <w:lang w:val="es-CO"/>
        </w:rPr>
        <w:t>”</w:t>
      </w:r>
      <w:bookmarkStart w:id="1" w:name="_ftnref69"/>
      <w:r>
        <w:rPr>
          <w:rFonts w:cs="Arial"/>
          <w:szCs w:val="24"/>
          <w:lang w:val="es-CO"/>
        </w:rPr>
        <w:t>.</w:t>
      </w:r>
      <w:r>
        <w:rPr>
          <w:rStyle w:val="Refdenotaalpie"/>
          <w:rFonts w:cs="Arial"/>
          <w:szCs w:val="24"/>
          <w:lang w:val="es-CO"/>
        </w:rPr>
        <w:footnoteReference w:id="10"/>
      </w:r>
      <w:bookmarkEnd w:id="1"/>
    </w:p>
    <w:p w:rsidR="00EA1D6F" w:rsidRPr="00523C93" w:rsidRDefault="00EA1D6F" w:rsidP="00EA1D6F">
      <w:pPr>
        <w:jc w:val="both"/>
        <w:rPr>
          <w:rFonts w:cs="Arial"/>
          <w:szCs w:val="24"/>
          <w:lang w:val="es-CO"/>
        </w:rPr>
      </w:pPr>
      <w:r w:rsidRPr="00523C93">
        <w:rPr>
          <w:rFonts w:cs="Arial"/>
          <w:szCs w:val="24"/>
          <w:lang w:val="es-CO"/>
        </w:rPr>
        <w:t> </w:t>
      </w:r>
    </w:p>
    <w:p w:rsidR="00EA1D6F" w:rsidRPr="00523C93" w:rsidRDefault="00EA1D6F" w:rsidP="00EA1D6F">
      <w:pPr>
        <w:jc w:val="both"/>
        <w:rPr>
          <w:rFonts w:cs="Arial"/>
          <w:szCs w:val="24"/>
          <w:lang w:val="es-CO"/>
        </w:rPr>
      </w:pPr>
      <w:r w:rsidRPr="00523C93">
        <w:rPr>
          <w:rFonts w:cs="Arial"/>
          <w:szCs w:val="24"/>
          <w:lang w:val="es-CO"/>
        </w:rPr>
        <w:t>La jurisprudencia constitucional ha establecido algunos elementos que deben considerar tales decisiones, en razón a que se trata de procesos técnicos e interdisciplinarios complejos. Particularmente ha establecido que estas medidas deben:</w:t>
      </w:r>
    </w:p>
    <w:p w:rsidR="00EA1D6F" w:rsidRPr="00523C93" w:rsidRDefault="00EA1D6F" w:rsidP="00EA1D6F">
      <w:pPr>
        <w:jc w:val="both"/>
        <w:rPr>
          <w:rFonts w:cs="Arial"/>
          <w:szCs w:val="24"/>
          <w:lang w:val="es-CO"/>
        </w:rPr>
      </w:pPr>
      <w:r w:rsidRPr="00523C93">
        <w:rPr>
          <w:rFonts w:cs="Arial"/>
          <w:szCs w:val="24"/>
          <w:lang w:val="es-CO"/>
        </w:rPr>
        <w:t> </w:t>
      </w:r>
    </w:p>
    <w:p w:rsidR="00EA1D6F" w:rsidRPr="00523C93" w:rsidRDefault="00EA1D6F" w:rsidP="00EA1D6F">
      <w:pPr>
        <w:jc w:val="both"/>
        <w:rPr>
          <w:rFonts w:cs="Arial"/>
          <w:szCs w:val="24"/>
          <w:lang w:val="es-CO"/>
        </w:rPr>
      </w:pPr>
      <w:r w:rsidRPr="00523C93">
        <w:rPr>
          <w:rFonts w:cs="Arial"/>
          <w:i/>
          <w:iCs/>
          <w:szCs w:val="24"/>
          <w:lang w:val="es-CO"/>
        </w:rPr>
        <w:t>“(i) ser precedidas de un examen integral de la situación en que se halla el niño, de modo que no pueden basarse en apariencias, preconceptos o prejuicios; en otras palabras, cualquier medida de restablecimiento debe fundamentarse en evidencia y criterios objetivos; (ii) deben además responder a una lógica de gradación, es decir, a mayor gravedad de los hechos, medidas de restablecimiento más drásticas; (iii) por tanto, deben sujetarse al principio de proporcionalidad; (iv) se deben adoptar por un término razonable; (v) cuando impliquen la separación del niño de su familia, deben ser excepcionales, preferiblemente temporales y deben basarse en evidencia de que aquella no es apta para cumplir con sus funciones básicas, pues el niño tiene derecho a vivir con ella, así como a recibir protección contra injerencias arbitrarias e ilegales en su ámbito familiar; (vi) deben estar justificadas en el principio de interés superior del niño; (vii); no pueden basarse únicamente en la carencia de recursos económicos de la familia, especialmente cuando conlleven la separación del niño de su familia; y (viii) en ningún caso pueden significar una desmejora de la situación</w:t>
      </w:r>
      <w:r>
        <w:rPr>
          <w:rFonts w:cs="Arial"/>
          <w:i/>
          <w:iCs/>
          <w:szCs w:val="24"/>
          <w:lang w:val="es-CO"/>
        </w:rPr>
        <w:t xml:space="preserve"> en la que se encuentra el niño</w:t>
      </w:r>
      <w:r w:rsidRPr="00523C93">
        <w:rPr>
          <w:rFonts w:cs="Arial"/>
          <w:i/>
          <w:iCs/>
          <w:szCs w:val="24"/>
          <w:lang w:val="es-CO"/>
        </w:rPr>
        <w:t>”.</w:t>
      </w:r>
      <w:r>
        <w:rPr>
          <w:rStyle w:val="Refdenotaalpie"/>
          <w:rFonts w:cs="Arial"/>
          <w:szCs w:val="24"/>
        </w:rPr>
        <w:footnoteReference w:id="11"/>
      </w:r>
    </w:p>
    <w:p w:rsidR="00EA1D6F" w:rsidRPr="00523C93" w:rsidRDefault="00EA1D6F" w:rsidP="00EA1D6F">
      <w:pPr>
        <w:jc w:val="both"/>
        <w:rPr>
          <w:rFonts w:cs="Arial"/>
          <w:szCs w:val="24"/>
          <w:lang w:val="es-CO"/>
        </w:rPr>
      </w:pPr>
      <w:r w:rsidRPr="00523C93">
        <w:rPr>
          <w:rFonts w:cs="Arial"/>
          <w:szCs w:val="24"/>
          <w:lang w:val="es-CO"/>
        </w:rPr>
        <w:t> </w:t>
      </w:r>
    </w:p>
    <w:p w:rsidR="00EA1D6F" w:rsidRPr="00523C93" w:rsidRDefault="00EA1D6F" w:rsidP="00EA1D6F">
      <w:pPr>
        <w:jc w:val="both"/>
        <w:rPr>
          <w:rFonts w:cs="Arial"/>
          <w:szCs w:val="24"/>
          <w:lang w:val="es-CO"/>
        </w:rPr>
      </w:pPr>
      <w:r w:rsidRPr="00523C93">
        <w:rPr>
          <w:rFonts w:cs="Arial"/>
          <w:szCs w:val="24"/>
          <w:lang w:val="es-CO"/>
        </w:rPr>
        <w:t xml:space="preserve">En conclusión, cuando las autoridades administrativas decretan una medida de restablecimiento de derechos a favor de un menor de edad, deben ir más allá de la revisión de los requisitos sustanciales del asunto, pues están en la obligación de ejercer sus competencias legales de conformidad con los mandatos de la Constitución y tal imperativo implica proteger los derechos fundamentales de los </w:t>
      </w:r>
      <w:r w:rsidRPr="00523C93">
        <w:rPr>
          <w:rFonts w:cs="Arial"/>
          <w:szCs w:val="24"/>
          <w:lang w:val="es-CO"/>
        </w:rPr>
        <w:lastRenderedPageBreak/>
        <w:t>niños de manera prevalente, con fundamento en criterios de razonabilidad y proporcionalidad.</w:t>
      </w:r>
    </w:p>
    <w:p w:rsidR="00EA1D6F" w:rsidRPr="00523C93" w:rsidRDefault="00EA1D6F" w:rsidP="00EA1D6F">
      <w:pPr>
        <w:jc w:val="both"/>
        <w:rPr>
          <w:rFonts w:cs="Arial"/>
          <w:szCs w:val="24"/>
          <w:lang w:val="es-CO"/>
        </w:rPr>
      </w:pPr>
      <w:r w:rsidRPr="00523C93">
        <w:rPr>
          <w:rFonts w:cs="Arial"/>
          <w:szCs w:val="24"/>
          <w:lang w:val="es-CO"/>
        </w:rPr>
        <w:t> </w:t>
      </w:r>
    </w:p>
    <w:p w:rsidR="00EA1D6F" w:rsidRDefault="00EA1D6F" w:rsidP="00EA1D6F">
      <w:pPr>
        <w:jc w:val="both"/>
        <w:rPr>
          <w:rFonts w:cs="Arial"/>
          <w:szCs w:val="24"/>
          <w:lang w:val="es-CO"/>
        </w:rPr>
      </w:pPr>
      <w:r w:rsidRPr="00523C93">
        <w:rPr>
          <w:rFonts w:cs="Arial"/>
          <w:szCs w:val="24"/>
          <w:lang w:val="es-CO"/>
        </w:rPr>
        <w:t>En este sentido, cualquier medida de restablecimiento de derechos debe estar precedida por un análisis de oportunidad, conducencia y conveniencia. Lo contrario podría conllevar, de manera paradójica, a la negación de los derechos que el Estado pretende proteger y a la admisión de la arbitrariedad como regla, en contra del derecho fundamental al debido proceso administrativo.</w:t>
      </w:r>
    </w:p>
    <w:p w:rsidR="00EA1D6F" w:rsidRDefault="00EA1D6F" w:rsidP="0086546F">
      <w:pPr>
        <w:jc w:val="both"/>
        <w:rPr>
          <w:rFonts w:cs="Arial"/>
          <w:szCs w:val="24"/>
          <w:lang w:val="es-CO"/>
        </w:rPr>
      </w:pPr>
    </w:p>
    <w:p w:rsidR="00A82679" w:rsidRPr="00A82679" w:rsidRDefault="00A82679" w:rsidP="00A82679">
      <w:pPr>
        <w:jc w:val="both"/>
        <w:rPr>
          <w:rFonts w:cs="Arial"/>
          <w:szCs w:val="24"/>
          <w:lang w:val="es-CO"/>
        </w:rPr>
      </w:pPr>
      <w:r>
        <w:rPr>
          <w:rFonts w:cs="Arial"/>
          <w:b/>
          <w:bCs/>
          <w:szCs w:val="24"/>
          <w:lang w:val="es-CO"/>
        </w:rPr>
        <w:t>2.</w:t>
      </w:r>
      <w:r w:rsidR="00A85FA5">
        <w:rPr>
          <w:rFonts w:cs="Arial"/>
          <w:b/>
          <w:bCs/>
          <w:szCs w:val="24"/>
          <w:lang w:val="es-CO"/>
        </w:rPr>
        <w:t>3</w:t>
      </w:r>
      <w:r>
        <w:rPr>
          <w:rFonts w:cs="Arial"/>
          <w:b/>
          <w:bCs/>
          <w:szCs w:val="24"/>
          <w:lang w:val="es-CO"/>
        </w:rPr>
        <w:t xml:space="preserve"> </w:t>
      </w:r>
      <w:r w:rsidRPr="00A82679">
        <w:rPr>
          <w:rFonts w:cs="Arial"/>
          <w:b/>
          <w:bCs/>
          <w:szCs w:val="24"/>
          <w:u w:val="single"/>
          <w:lang w:val="es-CO"/>
        </w:rPr>
        <w:t>El Hogar Gestor como medida de restablecimiento de derechos</w:t>
      </w:r>
    </w:p>
    <w:p w:rsidR="00A82679" w:rsidRDefault="00A82679" w:rsidP="00A82679">
      <w:pPr>
        <w:jc w:val="both"/>
        <w:rPr>
          <w:rFonts w:cs="Arial"/>
          <w:szCs w:val="24"/>
          <w:lang w:val="es-CO"/>
        </w:rPr>
      </w:pPr>
    </w:p>
    <w:p w:rsidR="00A82679" w:rsidRDefault="00A82679" w:rsidP="00A82679">
      <w:pPr>
        <w:jc w:val="both"/>
        <w:rPr>
          <w:rFonts w:cs="Arial"/>
          <w:szCs w:val="24"/>
          <w:lang w:val="es-CO"/>
        </w:rPr>
      </w:pPr>
      <w:r w:rsidRPr="00A82679">
        <w:rPr>
          <w:rFonts w:cs="Arial"/>
          <w:szCs w:val="24"/>
          <w:lang w:val="es-CO"/>
        </w:rPr>
        <w:t>El Lineamiento Técnico de Modalidades para la Atención de Niños, Niñas y Adolescentes, con Derechos Inobservados, Amenazados o Vulnerados, aprobado mediante Resolución </w:t>
      </w:r>
      <w:r>
        <w:rPr>
          <w:rFonts w:cs="Arial"/>
          <w:szCs w:val="24"/>
          <w:lang w:val="es-CO"/>
        </w:rPr>
        <w:t>1520</w:t>
      </w:r>
      <w:r w:rsidRPr="00A82679">
        <w:rPr>
          <w:rFonts w:cs="Arial"/>
          <w:szCs w:val="24"/>
          <w:lang w:val="es-CO"/>
        </w:rPr>
        <w:t> de febrero 23 de 2016 y modificado mediante las Resoluciones </w:t>
      </w:r>
      <w:r>
        <w:rPr>
          <w:rFonts w:cs="Arial"/>
          <w:szCs w:val="24"/>
          <w:lang w:val="es-CO"/>
        </w:rPr>
        <w:t>5863</w:t>
      </w:r>
      <w:r w:rsidRPr="00A82679">
        <w:rPr>
          <w:rFonts w:cs="Arial"/>
          <w:szCs w:val="24"/>
          <w:lang w:val="es-CO"/>
        </w:rPr>
        <w:t> de junio 22 de 2016 y </w:t>
      </w:r>
      <w:r>
        <w:rPr>
          <w:rFonts w:cs="Arial"/>
          <w:szCs w:val="24"/>
          <w:lang w:val="es-CO"/>
        </w:rPr>
        <w:t>7960</w:t>
      </w:r>
      <w:r w:rsidRPr="00A82679">
        <w:rPr>
          <w:rFonts w:cs="Arial"/>
          <w:szCs w:val="24"/>
          <w:lang w:val="es-CO"/>
        </w:rPr>
        <w:t> de agosto 10 de 2016, define la medida de Hogar Gestor como:</w:t>
      </w:r>
    </w:p>
    <w:p w:rsidR="00A82679" w:rsidRPr="00A82679" w:rsidRDefault="00A82679" w:rsidP="00A82679">
      <w:pPr>
        <w:jc w:val="both"/>
        <w:rPr>
          <w:rFonts w:cs="Arial"/>
          <w:szCs w:val="24"/>
          <w:lang w:val="es-CO"/>
        </w:rPr>
      </w:pPr>
    </w:p>
    <w:p w:rsidR="00A82679" w:rsidRPr="00A82679" w:rsidRDefault="00A82679" w:rsidP="00A82679">
      <w:pPr>
        <w:jc w:val="both"/>
        <w:rPr>
          <w:rFonts w:cs="Arial"/>
          <w:i/>
          <w:iCs/>
          <w:szCs w:val="24"/>
          <w:lang w:val="es-CO"/>
        </w:rPr>
      </w:pPr>
      <w:r w:rsidRPr="00A82679">
        <w:rPr>
          <w:rFonts w:cs="Arial"/>
          <w:i/>
          <w:iCs/>
          <w:szCs w:val="24"/>
          <w:lang w:val="es-CO"/>
        </w:rPr>
        <w:t>“Modalidad para el restablecimiento de derechos de los niños, las niñas y adolescentes con discapacidad, enfermedad de cuidado especial, víctimas del conflicto armado y mayores de 18 años con discapacidad mental absoluta, en situación de inobservancia, amenaza o vulneración de derechos. Esta modalidad se desarrolla a través de acompañamiento psicosocial y apoyo económico cuando se requiera,</w:t>
      </w:r>
      <w:r>
        <w:rPr>
          <w:rFonts w:cs="Arial"/>
          <w:i/>
          <w:iCs/>
          <w:szCs w:val="24"/>
          <w:vertAlign w:val="superscript"/>
          <w:lang w:val="es-CO"/>
        </w:rPr>
        <w:t xml:space="preserve"> </w:t>
      </w:r>
      <w:r w:rsidRPr="00A82679">
        <w:rPr>
          <w:rFonts w:cs="Arial"/>
          <w:i/>
          <w:iCs/>
          <w:szCs w:val="24"/>
          <w:lang w:val="es-CO"/>
        </w:rPr>
        <w:t>dirigido al niño, niña o adolescente en su medio familiar, con el fin que la red familiar o vincular, asuma de manera corresponsable la protección integral y desde la garantía de el “derecho de los niños, niñas adolescentes de tener una fami</w:t>
      </w:r>
      <w:r>
        <w:rPr>
          <w:rFonts w:cs="Arial"/>
          <w:i/>
          <w:iCs/>
          <w:szCs w:val="24"/>
          <w:lang w:val="es-CO"/>
        </w:rPr>
        <w:t>lia y no ser separado de ella.”</w:t>
      </w:r>
      <w:r>
        <w:rPr>
          <w:rStyle w:val="Refdenotaalpie"/>
          <w:rFonts w:cs="Arial"/>
          <w:i/>
          <w:iCs/>
          <w:szCs w:val="24"/>
          <w:lang w:val="es-CO"/>
        </w:rPr>
        <w:footnoteReference w:id="12"/>
      </w:r>
    </w:p>
    <w:p w:rsidR="00A82679" w:rsidRPr="00A82679" w:rsidRDefault="00A82679" w:rsidP="00A82679">
      <w:pPr>
        <w:jc w:val="both"/>
        <w:rPr>
          <w:rFonts w:cs="Arial"/>
          <w:szCs w:val="24"/>
          <w:lang w:val="es-CO"/>
        </w:rPr>
      </w:pPr>
    </w:p>
    <w:p w:rsidR="00A82679" w:rsidRPr="00A82679" w:rsidRDefault="00A82679" w:rsidP="00A82679">
      <w:pPr>
        <w:jc w:val="both"/>
        <w:rPr>
          <w:rFonts w:cs="Arial"/>
          <w:szCs w:val="24"/>
          <w:lang w:val="es-CO"/>
        </w:rPr>
      </w:pPr>
      <w:r>
        <w:rPr>
          <w:rFonts w:cs="Arial"/>
          <w:szCs w:val="24"/>
          <w:lang w:val="es-CO"/>
        </w:rPr>
        <w:t>Por su parte l</w:t>
      </w:r>
      <w:r w:rsidRPr="00A82679">
        <w:rPr>
          <w:rFonts w:cs="Arial"/>
          <w:szCs w:val="24"/>
          <w:lang w:val="es-CO"/>
        </w:rPr>
        <w:t>a Corte Constitucional</w:t>
      </w:r>
      <w:r>
        <w:rPr>
          <w:rFonts w:cs="Arial"/>
          <w:szCs w:val="24"/>
          <w:lang w:val="es-CO"/>
        </w:rPr>
        <w:t xml:space="preserve">, en sentencia </w:t>
      </w:r>
      <w:r w:rsidRPr="00A82679">
        <w:rPr>
          <w:rFonts w:cs="Arial"/>
          <w:szCs w:val="24"/>
        </w:rPr>
        <w:t>Sentencia T-</w:t>
      </w:r>
      <w:r>
        <w:rPr>
          <w:rFonts w:cs="Arial"/>
          <w:szCs w:val="24"/>
        </w:rPr>
        <w:t xml:space="preserve">301 </w:t>
      </w:r>
      <w:r w:rsidRPr="00A82679">
        <w:rPr>
          <w:rFonts w:cs="Arial"/>
          <w:szCs w:val="24"/>
        </w:rPr>
        <w:t>de 2014</w:t>
      </w:r>
      <w:r>
        <w:rPr>
          <w:rFonts w:cs="Arial"/>
          <w:szCs w:val="24"/>
        </w:rPr>
        <w:t>,</w:t>
      </w:r>
      <w:r w:rsidRPr="00A82679">
        <w:rPr>
          <w:rFonts w:cs="Arial"/>
          <w:szCs w:val="24"/>
          <w:lang w:val="es-CO"/>
        </w:rPr>
        <w:t xml:space="preserve"> defini</w:t>
      </w:r>
      <w:r>
        <w:rPr>
          <w:rFonts w:cs="Arial"/>
          <w:szCs w:val="24"/>
          <w:lang w:val="es-CO"/>
        </w:rPr>
        <w:t>ó</w:t>
      </w:r>
      <w:r w:rsidRPr="00A82679">
        <w:rPr>
          <w:rFonts w:cs="Arial"/>
          <w:szCs w:val="24"/>
          <w:lang w:val="es-CO"/>
        </w:rPr>
        <w:t xml:space="preserve"> el hogar gestor así:</w:t>
      </w:r>
    </w:p>
    <w:p w:rsidR="00A82679" w:rsidRDefault="00A82679" w:rsidP="00A82679">
      <w:pPr>
        <w:jc w:val="both"/>
        <w:rPr>
          <w:rFonts w:cs="Arial"/>
          <w:i/>
          <w:iCs/>
          <w:szCs w:val="24"/>
          <w:vertAlign w:val="superscript"/>
          <w:lang w:val="es-CO"/>
        </w:rPr>
      </w:pPr>
      <w:r w:rsidRPr="00A82679">
        <w:rPr>
          <w:rFonts w:cs="Arial"/>
          <w:i/>
          <w:iCs/>
          <w:szCs w:val="24"/>
          <w:lang w:val="es-CO"/>
        </w:rPr>
        <w:t>“Con este programa se busca restablecer los derechos de los niños en condición de amenaza o vulneración con discapacidad o enfermedad de cuidado especial que consiste en el acompañamiento, la asesoría y el apoyo económico para el fortalecimiento familiar y de esta manera, con el apoyo del Estado, la familia corresponsablemente asume la protección integral del niño. El programa va dirigido a brindar herramientas- a la familia para el mejoramiento de la atención a niños, para el empoderamiento en la utilización de redes de servicios para asumir su corresponsabilidad en la atención de las necesidades de sus hijos, y para promover la inclusión de los niños en los servicios institucionales, sociales y comunitari</w:t>
      </w:r>
      <w:r>
        <w:rPr>
          <w:rFonts w:cs="Arial"/>
          <w:i/>
          <w:iCs/>
          <w:szCs w:val="24"/>
          <w:lang w:val="es-CO"/>
        </w:rPr>
        <w:t>os de la localidad o municipio”.</w:t>
      </w:r>
    </w:p>
    <w:p w:rsidR="00A82679" w:rsidRPr="00A82679" w:rsidRDefault="00A82679" w:rsidP="00A82679">
      <w:pPr>
        <w:jc w:val="both"/>
        <w:rPr>
          <w:rFonts w:cs="Arial"/>
          <w:szCs w:val="24"/>
          <w:lang w:val="es-CO"/>
        </w:rPr>
      </w:pPr>
    </w:p>
    <w:p w:rsidR="00A82679" w:rsidRPr="00A82679" w:rsidRDefault="00A82679" w:rsidP="00A82679">
      <w:pPr>
        <w:jc w:val="both"/>
        <w:rPr>
          <w:rFonts w:cs="Arial"/>
          <w:szCs w:val="24"/>
          <w:lang w:val="es-CO"/>
        </w:rPr>
      </w:pPr>
      <w:r w:rsidRPr="00A82679">
        <w:rPr>
          <w:rFonts w:cs="Arial"/>
          <w:szCs w:val="24"/>
          <w:lang w:val="es-CO"/>
        </w:rPr>
        <w:t>E</w:t>
      </w:r>
      <w:r>
        <w:rPr>
          <w:rFonts w:cs="Arial"/>
          <w:szCs w:val="24"/>
          <w:lang w:val="es-CO"/>
        </w:rPr>
        <w:t>n cuanto a la procedencia de esta medida de restablecimiento de derechos e</w:t>
      </w:r>
      <w:r w:rsidRPr="00A82679">
        <w:rPr>
          <w:rFonts w:cs="Arial"/>
          <w:szCs w:val="24"/>
          <w:lang w:val="es-CO"/>
        </w:rPr>
        <w:t>l</w:t>
      </w:r>
      <w:r>
        <w:rPr>
          <w:rFonts w:cs="Arial"/>
          <w:szCs w:val="24"/>
          <w:lang w:val="es-CO"/>
        </w:rPr>
        <w:t xml:space="preserve"> l</w:t>
      </w:r>
      <w:r w:rsidRPr="00A82679">
        <w:rPr>
          <w:rFonts w:cs="Arial"/>
          <w:szCs w:val="24"/>
          <w:lang w:val="es-CO"/>
        </w:rPr>
        <w:t xml:space="preserve">ineamiento </w:t>
      </w:r>
      <w:r>
        <w:rPr>
          <w:rFonts w:cs="Arial"/>
          <w:szCs w:val="24"/>
          <w:lang w:val="es-CO"/>
        </w:rPr>
        <w:t xml:space="preserve">indica que ésta se da </w:t>
      </w:r>
      <w:r w:rsidRPr="00A82679">
        <w:rPr>
          <w:rFonts w:cs="Arial"/>
          <w:szCs w:val="24"/>
          <w:lang w:val="es-CO"/>
        </w:rPr>
        <w:t xml:space="preserve">cuando la familia ofrece condiciones comprobadas para acoger, brindar cuidado, afecto y atención a los niños, niñas y adolescentes con discapacidad o persona mayor de 18 años con discapacidad mental absoluta, niños, y/o niñas y adolescentes víctimas del conflicto armado; y a su vez, la familia </w:t>
      </w:r>
      <w:r w:rsidRPr="00A82679">
        <w:rPr>
          <w:rFonts w:cs="Arial"/>
          <w:szCs w:val="24"/>
          <w:lang w:val="es-CO"/>
        </w:rPr>
        <w:lastRenderedPageBreak/>
        <w:t>pueda asumir la gestión de su desarrollo integral, con el apoyo institucional y articulación de la red de servicios del Estado.</w:t>
      </w:r>
    </w:p>
    <w:p w:rsidR="00A82679" w:rsidRDefault="00A82679" w:rsidP="00A82679">
      <w:pPr>
        <w:jc w:val="both"/>
        <w:rPr>
          <w:rFonts w:cs="Arial"/>
          <w:szCs w:val="24"/>
          <w:lang w:val="es-CO"/>
        </w:rPr>
      </w:pPr>
    </w:p>
    <w:p w:rsidR="00A82679" w:rsidRPr="00A82679" w:rsidRDefault="00A82679" w:rsidP="00A82679">
      <w:pPr>
        <w:jc w:val="both"/>
        <w:rPr>
          <w:rFonts w:cs="Arial"/>
          <w:szCs w:val="24"/>
          <w:lang w:val="es-CO"/>
        </w:rPr>
      </w:pPr>
      <w:r w:rsidRPr="00A82679">
        <w:rPr>
          <w:rFonts w:cs="Arial"/>
          <w:szCs w:val="24"/>
          <w:lang w:val="es-CO"/>
        </w:rPr>
        <w:t>Asimismo, el lineamiento establece:</w:t>
      </w:r>
    </w:p>
    <w:p w:rsidR="00A82679" w:rsidRDefault="00A82679" w:rsidP="00A82679">
      <w:pPr>
        <w:jc w:val="both"/>
        <w:rPr>
          <w:rFonts w:cs="Arial"/>
          <w:b/>
          <w:bCs/>
          <w:i/>
          <w:iCs/>
          <w:szCs w:val="24"/>
          <w:lang w:val="es-CO"/>
        </w:rPr>
      </w:pPr>
    </w:p>
    <w:p w:rsidR="00A82679" w:rsidRDefault="00A82679" w:rsidP="00A82679">
      <w:pPr>
        <w:jc w:val="both"/>
        <w:rPr>
          <w:rFonts w:cs="Arial"/>
          <w:b/>
          <w:bCs/>
          <w:i/>
          <w:iCs/>
          <w:szCs w:val="24"/>
          <w:lang w:val="es-CO"/>
        </w:rPr>
      </w:pPr>
      <w:r w:rsidRPr="00A82679">
        <w:rPr>
          <w:rFonts w:cs="Arial"/>
          <w:b/>
          <w:bCs/>
          <w:i/>
          <w:iCs/>
          <w:szCs w:val="24"/>
          <w:lang w:val="es-CO"/>
        </w:rPr>
        <w:t>Población objetivo</w:t>
      </w:r>
    </w:p>
    <w:p w:rsidR="00A82679" w:rsidRDefault="00A82679" w:rsidP="00A82679">
      <w:pPr>
        <w:jc w:val="both"/>
        <w:rPr>
          <w:rFonts w:cs="Arial"/>
          <w:b/>
          <w:bCs/>
          <w:i/>
          <w:iCs/>
          <w:szCs w:val="24"/>
          <w:lang w:val="es-CO"/>
        </w:rPr>
      </w:pPr>
    </w:p>
    <w:p w:rsidR="00A82679" w:rsidRPr="00A82679" w:rsidRDefault="00A82679" w:rsidP="00A82679">
      <w:pPr>
        <w:jc w:val="both"/>
        <w:rPr>
          <w:rFonts w:cs="Arial"/>
          <w:szCs w:val="24"/>
          <w:lang w:val="es-CO"/>
        </w:rPr>
      </w:pPr>
      <w:r w:rsidRPr="00A82679">
        <w:rPr>
          <w:rFonts w:cs="Arial"/>
          <w:szCs w:val="24"/>
          <w:lang w:val="es-CO"/>
        </w:rPr>
        <w:t>- </w:t>
      </w:r>
      <w:r w:rsidRPr="00A82679">
        <w:rPr>
          <w:rFonts w:cs="Arial"/>
          <w:i/>
          <w:iCs/>
          <w:szCs w:val="24"/>
          <w:lang w:val="es-CO"/>
        </w:rPr>
        <w:t>Niños, niñas, adolescentes de 0 a 18 años, con derechos inobservados, amenazados o vulnerados, con discapacidad mental cognitiva y discapacidad mental psicosocial.</w:t>
      </w:r>
    </w:p>
    <w:p w:rsidR="00A82679" w:rsidRDefault="00A82679" w:rsidP="00A82679">
      <w:pPr>
        <w:jc w:val="both"/>
        <w:rPr>
          <w:rFonts w:cs="Arial"/>
          <w:i/>
          <w:iCs/>
          <w:szCs w:val="24"/>
          <w:lang w:val="es-CO"/>
        </w:rPr>
      </w:pPr>
    </w:p>
    <w:p w:rsidR="00A82679" w:rsidRPr="00A82679" w:rsidRDefault="00A82679" w:rsidP="00A82679">
      <w:pPr>
        <w:jc w:val="both"/>
        <w:rPr>
          <w:rFonts w:cs="Arial"/>
          <w:szCs w:val="24"/>
          <w:lang w:val="es-CO"/>
        </w:rPr>
      </w:pPr>
      <w:r w:rsidRPr="00A82679">
        <w:rPr>
          <w:rFonts w:cs="Arial"/>
          <w:i/>
          <w:iCs/>
          <w:szCs w:val="24"/>
          <w:lang w:val="es-CO"/>
        </w:rPr>
        <w:t>- Niños, niñas, adolescentes de 0 a 18 años, con derechos inobservados, amenazados o vulnerados, con discapacidad</w:t>
      </w:r>
      <w:proofErr w:type="gramStart"/>
      <w:r w:rsidRPr="00A82679">
        <w:rPr>
          <w:rFonts w:cs="Arial"/>
          <w:i/>
          <w:iCs/>
          <w:szCs w:val="24"/>
          <w:lang w:val="es-CO"/>
        </w:rPr>
        <w:t>.</w:t>
      </w:r>
      <w:r w:rsidRPr="00A82679">
        <w:rPr>
          <w:rFonts w:cs="Arial"/>
          <w:i/>
          <w:iCs/>
          <w:szCs w:val="24"/>
          <w:vertAlign w:val="superscript"/>
          <w:lang w:val="es-CO"/>
        </w:rPr>
        <w:t>[</w:t>
      </w:r>
      <w:proofErr w:type="gramEnd"/>
      <w:r w:rsidRPr="00A82679">
        <w:rPr>
          <w:rFonts w:cs="Arial"/>
          <w:i/>
          <w:iCs/>
          <w:szCs w:val="24"/>
          <w:vertAlign w:val="superscript"/>
          <w:lang w:val="es-CO"/>
        </w:rPr>
        <w:t>10]</w:t>
      </w:r>
    </w:p>
    <w:p w:rsidR="00A82679" w:rsidRDefault="00A82679" w:rsidP="00A82679">
      <w:pPr>
        <w:jc w:val="both"/>
        <w:rPr>
          <w:rFonts w:cs="Arial"/>
          <w:i/>
          <w:iCs/>
          <w:szCs w:val="24"/>
          <w:lang w:val="es-CO"/>
        </w:rPr>
      </w:pPr>
    </w:p>
    <w:p w:rsidR="00A82679" w:rsidRPr="00A82679" w:rsidRDefault="00A82679" w:rsidP="00A82679">
      <w:pPr>
        <w:jc w:val="both"/>
        <w:rPr>
          <w:rFonts w:cs="Arial"/>
          <w:szCs w:val="24"/>
          <w:lang w:val="es-CO"/>
        </w:rPr>
      </w:pPr>
      <w:r w:rsidRPr="00A82679">
        <w:rPr>
          <w:rFonts w:cs="Arial"/>
          <w:i/>
          <w:iCs/>
          <w:szCs w:val="24"/>
          <w:lang w:val="es-CO"/>
        </w:rPr>
        <w:t>- Mayores de 18 años, con derechos inobservados, amenazados o vulnerados, con discapacidad mental cognitiva o discapacidad mental psicosocial, con limitación severa en su desempeño (discapacidad mental absoluta).</w:t>
      </w:r>
    </w:p>
    <w:p w:rsidR="00A82679" w:rsidRDefault="00A82679" w:rsidP="00A82679">
      <w:pPr>
        <w:jc w:val="both"/>
        <w:rPr>
          <w:rFonts w:cs="Arial"/>
          <w:i/>
          <w:iCs/>
          <w:szCs w:val="24"/>
          <w:lang w:val="es-CO"/>
        </w:rPr>
      </w:pPr>
    </w:p>
    <w:p w:rsidR="00A82679" w:rsidRPr="00A82679" w:rsidRDefault="00A82679" w:rsidP="00A82679">
      <w:pPr>
        <w:jc w:val="both"/>
        <w:rPr>
          <w:rFonts w:cs="Arial"/>
          <w:szCs w:val="24"/>
          <w:lang w:val="es-CO"/>
        </w:rPr>
      </w:pPr>
      <w:r w:rsidRPr="00A82679">
        <w:rPr>
          <w:rFonts w:cs="Arial"/>
          <w:i/>
          <w:iCs/>
          <w:szCs w:val="24"/>
          <w:lang w:val="es-CO"/>
        </w:rPr>
        <w:t>- Niños, niñas y adolescentes de 0 a 18 años, con derechos inobservados, amenazados o vulnerados, víctimas de conflicto armado.</w:t>
      </w:r>
    </w:p>
    <w:p w:rsidR="00A82679" w:rsidRDefault="00A82679" w:rsidP="00A82679">
      <w:pPr>
        <w:jc w:val="both"/>
        <w:rPr>
          <w:rFonts w:cs="Arial"/>
          <w:b/>
          <w:bCs/>
          <w:i/>
          <w:iCs/>
          <w:szCs w:val="24"/>
          <w:lang w:val="es-CO"/>
        </w:rPr>
      </w:pPr>
    </w:p>
    <w:p w:rsidR="00A82679" w:rsidRPr="00A82679" w:rsidRDefault="00A82679" w:rsidP="00A82679">
      <w:pPr>
        <w:jc w:val="both"/>
        <w:rPr>
          <w:rFonts w:cs="Arial"/>
          <w:szCs w:val="24"/>
          <w:lang w:val="es-CO"/>
        </w:rPr>
      </w:pPr>
      <w:r w:rsidRPr="00A82679">
        <w:rPr>
          <w:rFonts w:cs="Arial"/>
          <w:b/>
          <w:bCs/>
          <w:i/>
          <w:iCs/>
          <w:szCs w:val="24"/>
          <w:lang w:val="es-CO"/>
        </w:rPr>
        <w:t>Criterios de ubicación</w:t>
      </w:r>
    </w:p>
    <w:p w:rsidR="00A82679" w:rsidRDefault="00A82679" w:rsidP="00A82679">
      <w:pPr>
        <w:jc w:val="both"/>
        <w:rPr>
          <w:rFonts w:cs="Arial"/>
          <w:i/>
          <w:iCs/>
          <w:szCs w:val="24"/>
          <w:lang w:val="es-CO"/>
        </w:rPr>
      </w:pPr>
    </w:p>
    <w:p w:rsidR="00A82679" w:rsidRDefault="00A82679" w:rsidP="00A82679">
      <w:pPr>
        <w:jc w:val="both"/>
        <w:rPr>
          <w:rFonts w:cs="Arial"/>
          <w:i/>
          <w:iCs/>
          <w:szCs w:val="24"/>
          <w:lang w:val="es-CO"/>
        </w:rPr>
      </w:pPr>
      <w:r w:rsidRPr="00A82679">
        <w:rPr>
          <w:rFonts w:cs="Arial"/>
          <w:i/>
          <w:iCs/>
          <w:szCs w:val="24"/>
          <w:lang w:val="es-CO"/>
        </w:rPr>
        <w:t>- Procede cuando la autoridad administrativa posterior a la verificación del estado de los derechos, establece que la familia ofrece condiciones comprobadas de protección, cuidado, afecto y de atención del niño, la niña, el adolescente con discapacidad, víctima del conflicto armado con o sin discapacidad, pero requiere el apoyo institucional y la articulación de la red de servicios del Estado para satisfacer necesidades básicas que favorezcan su desarrollo integral y nivel de vida adecuado.</w:t>
      </w:r>
    </w:p>
    <w:p w:rsidR="00A82679" w:rsidRDefault="00A82679" w:rsidP="00A82679">
      <w:pPr>
        <w:jc w:val="both"/>
        <w:rPr>
          <w:rFonts w:cs="Arial"/>
          <w:i/>
          <w:iCs/>
          <w:szCs w:val="24"/>
          <w:lang w:val="es-CO"/>
        </w:rPr>
      </w:pPr>
    </w:p>
    <w:p w:rsidR="00A82679" w:rsidRPr="00A82679" w:rsidRDefault="00A82679" w:rsidP="00A82679">
      <w:pPr>
        <w:jc w:val="both"/>
        <w:rPr>
          <w:rFonts w:cs="Arial"/>
          <w:szCs w:val="24"/>
          <w:lang w:val="es-CO"/>
        </w:rPr>
      </w:pPr>
    </w:p>
    <w:p w:rsidR="00A82679" w:rsidRDefault="00A82679" w:rsidP="00A82679">
      <w:pPr>
        <w:jc w:val="both"/>
        <w:rPr>
          <w:rFonts w:cs="Arial"/>
          <w:i/>
          <w:iCs/>
          <w:szCs w:val="24"/>
          <w:lang w:val="es-CO"/>
        </w:rPr>
      </w:pPr>
      <w:r w:rsidRPr="00A82679">
        <w:rPr>
          <w:rFonts w:cs="Arial"/>
          <w:i/>
          <w:iCs/>
          <w:szCs w:val="24"/>
          <w:lang w:val="es-CO"/>
        </w:rPr>
        <w:t xml:space="preserve">- En el caso de grupos étnicos, la constitución del Hogar gestor y la valoración a la familia se realiza entre el equipo técnico interdisciplinario </w:t>
      </w:r>
      <w:proofErr w:type="spellStart"/>
      <w:r w:rsidRPr="00A82679">
        <w:rPr>
          <w:rFonts w:cs="Arial"/>
          <w:i/>
          <w:iCs/>
          <w:szCs w:val="24"/>
          <w:lang w:val="es-CO"/>
        </w:rPr>
        <w:t>defensorial</w:t>
      </w:r>
      <w:proofErr w:type="spellEnd"/>
      <w:r w:rsidRPr="00A82679">
        <w:rPr>
          <w:rFonts w:cs="Arial"/>
          <w:i/>
          <w:iCs/>
          <w:szCs w:val="24"/>
          <w:lang w:val="es-CO"/>
        </w:rPr>
        <w:t xml:space="preserve"> en coordinación con la familia y la autoridad étnica, según sea el caso.</w:t>
      </w:r>
    </w:p>
    <w:p w:rsidR="00A82679" w:rsidRPr="00A82679" w:rsidRDefault="00A82679" w:rsidP="00A82679">
      <w:pPr>
        <w:jc w:val="both"/>
        <w:rPr>
          <w:rFonts w:cs="Arial"/>
          <w:szCs w:val="24"/>
          <w:lang w:val="es-CO"/>
        </w:rPr>
      </w:pPr>
    </w:p>
    <w:p w:rsidR="00A82679" w:rsidRDefault="00A82679" w:rsidP="00A82679">
      <w:pPr>
        <w:jc w:val="both"/>
        <w:rPr>
          <w:rFonts w:cs="Arial"/>
          <w:i/>
          <w:iCs/>
          <w:szCs w:val="24"/>
          <w:lang w:val="es-CO"/>
        </w:rPr>
      </w:pPr>
      <w:r w:rsidRPr="00A82679">
        <w:rPr>
          <w:rFonts w:cs="Arial"/>
          <w:i/>
          <w:iCs/>
          <w:szCs w:val="24"/>
          <w:lang w:val="es-CO"/>
        </w:rPr>
        <w:t>- Para pueblos indígenas, la autoridad tradicional es quien certifica si el niño, la niña o el adolescente puede o no estar en su comunidad dentro de las funciones que adquiere como autoridad.</w:t>
      </w:r>
    </w:p>
    <w:p w:rsidR="00A82679" w:rsidRPr="00A82679" w:rsidRDefault="00A82679" w:rsidP="00A82679">
      <w:pPr>
        <w:jc w:val="both"/>
        <w:rPr>
          <w:rFonts w:cs="Arial"/>
          <w:szCs w:val="24"/>
          <w:lang w:val="es-CO"/>
        </w:rPr>
      </w:pPr>
    </w:p>
    <w:p w:rsidR="00A82679" w:rsidRPr="00A82679" w:rsidRDefault="00A82679" w:rsidP="00A82679">
      <w:pPr>
        <w:jc w:val="both"/>
        <w:rPr>
          <w:rFonts w:cs="Arial"/>
          <w:szCs w:val="24"/>
          <w:lang w:val="es-CO"/>
        </w:rPr>
      </w:pPr>
      <w:r w:rsidRPr="00A82679">
        <w:rPr>
          <w:rFonts w:cs="Arial"/>
          <w:i/>
          <w:iCs/>
          <w:szCs w:val="24"/>
          <w:lang w:val="es-CO"/>
        </w:rPr>
        <w:t>- En caso que no sea una opción posible la ubicación en la comunidad, deberá priorizarse y verificarse por la familia y la autoridad tradicional, si otra comunidad indígena puede y quiere acoger al niño, niña y/o adolescente antes de ubicarlo en modalidades que no apliquen atención con enfoque diferencial étnico.</w:t>
      </w:r>
    </w:p>
    <w:p w:rsidR="00A82679" w:rsidRDefault="00A82679" w:rsidP="00A82679">
      <w:pPr>
        <w:jc w:val="both"/>
        <w:rPr>
          <w:rFonts w:cs="Arial"/>
          <w:i/>
          <w:iCs/>
          <w:szCs w:val="24"/>
          <w:lang w:val="es-CO"/>
        </w:rPr>
      </w:pPr>
    </w:p>
    <w:p w:rsidR="00A82679" w:rsidRPr="00A82679" w:rsidRDefault="00A82679" w:rsidP="00A82679">
      <w:pPr>
        <w:jc w:val="both"/>
        <w:rPr>
          <w:rFonts w:cs="Arial"/>
          <w:szCs w:val="24"/>
          <w:lang w:val="es-CO"/>
        </w:rPr>
      </w:pPr>
      <w:r w:rsidRPr="00A82679">
        <w:rPr>
          <w:rFonts w:cs="Arial"/>
          <w:i/>
          <w:iCs/>
          <w:szCs w:val="24"/>
          <w:lang w:val="es-CO"/>
        </w:rPr>
        <w:t>- Para el caso de los demás grupos étnicos, las autoridades revisarán si el colectivo tiene la intención de acogida y el apoyo de este niño, niña o adolescente.</w:t>
      </w:r>
    </w:p>
    <w:p w:rsidR="00A82679" w:rsidRDefault="00A82679" w:rsidP="00A82679">
      <w:pPr>
        <w:jc w:val="both"/>
        <w:rPr>
          <w:rFonts w:cs="Arial"/>
          <w:i/>
          <w:iCs/>
          <w:szCs w:val="24"/>
          <w:lang w:val="es-CO"/>
        </w:rPr>
      </w:pPr>
    </w:p>
    <w:p w:rsidR="00A82679" w:rsidRPr="00A82679" w:rsidRDefault="00A82679" w:rsidP="00A82679">
      <w:pPr>
        <w:jc w:val="both"/>
        <w:rPr>
          <w:rFonts w:cs="Arial"/>
          <w:szCs w:val="24"/>
          <w:lang w:val="es-CO"/>
        </w:rPr>
      </w:pPr>
      <w:r w:rsidRPr="00A82679">
        <w:rPr>
          <w:rFonts w:cs="Arial"/>
          <w:i/>
          <w:iCs/>
          <w:szCs w:val="24"/>
          <w:lang w:val="es-CO"/>
        </w:rPr>
        <w:lastRenderedPageBreak/>
        <w:t>- En los casos en que los facilitadores UNAFA o unidades de apoyo identifiquen familias que requieren de la medida de hogar gestor para ejercer los derechos de los niños, las niñas y adolescentes, estos comunicarán a la autoridad administrativa, para que esta proceda a la verificación de garantía de derechos de acuerdo a lo establecido en la Ley 1098. Art 52.</w:t>
      </w:r>
    </w:p>
    <w:p w:rsidR="00A82679" w:rsidRDefault="00A82679" w:rsidP="00A82679">
      <w:pPr>
        <w:jc w:val="both"/>
        <w:rPr>
          <w:rFonts w:cs="Arial"/>
          <w:i/>
          <w:iCs/>
          <w:szCs w:val="24"/>
          <w:lang w:val="es-CO"/>
        </w:rPr>
      </w:pPr>
    </w:p>
    <w:p w:rsidR="00A82679" w:rsidRPr="00A82679" w:rsidRDefault="00A82679" w:rsidP="00A82679">
      <w:pPr>
        <w:jc w:val="both"/>
        <w:rPr>
          <w:rFonts w:cs="Arial"/>
          <w:szCs w:val="24"/>
          <w:lang w:val="es-CO"/>
        </w:rPr>
      </w:pPr>
      <w:r w:rsidRPr="00A82679">
        <w:rPr>
          <w:rFonts w:cs="Arial"/>
          <w:i/>
          <w:iCs/>
          <w:szCs w:val="24"/>
          <w:lang w:val="es-CO"/>
        </w:rPr>
        <w:t>Para determinar esta modalidad, la autoridad administrativa con su equipo técnico interdisciplinario, deberán verificar que la familia cumpla adicionalmente con los </w:t>
      </w:r>
      <w:r w:rsidRPr="00A82679">
        <w:rPr>
          <w:rFonts w:cs="Arial"/>
          <w:b/>
          <w:bCs/>
          <w:i/>
          <w:iCs/>
          <w:szCs w:val="24"/>
          <w:lang w:val="es-CO"/>
        </w:rPr>
        <w:t>criterios siguientes</w:t>
      </w:r>
      <w:r w:rsidRPr="00A82679">
        <w:rPr>
          <w:rFonts w:cs="Arial"/>
          <w:i/>
          <w:iCs/>
          <w:szCs w:val="24"/>
          <w:lang w:val="es-CO"/>
        </w:rPr>
        <w:t>:</w:t>
      </w:r>
    </w:p>
    <w:p w:rsidR="00A82679" w:rsidRDefault="00A82679" w:rsidP="00A82679">
      <w:pPr>
        <w:jc w:val="both"/>
        <w:rPr>
          <w:rFonts w:cs="Arial"/>
          <w:i/>
          <w:iCs/>
          <w:szCs w:val="24"/>
          <w:lang w:val="es-CO"/>
        </w:rPr>
      </w:pPr>
    </w:p>
    <w:p w:rsidR="00A82679" w:rsidRDefault="00A82679" w:rsidP="00A82679">
      <w:pPr>
        <w:jc w:val="both"/>
        <w:rPr>
          <w:rFonts w:cs="Arial"/>
          <w:i/>
          <w:iCs/>
          <w:szCs w:val="24"/>
          <w:lang w:val="es-CO"/>
        </w:rPr>
      </w:pPr>
      <w:r w:rsidRPr="00A82679">
        <w:rPr>
          <w:rFonts w:cs="Arial"/>
          <w:i/>
          <w:iCs/>
          <w:szCs w:val="24"/>
          <w:lang w:val="es-CO"/>
        </w:rPr>
        <w:t>a) Familias con nivel de SISBEN 1 y 2o familias con un puntaje SISBEN metodología III de acuerdo con los puntos de corte establecidos en la Resolución No. 0490 del 4 de febrero de 2013.</w:t>
      </w:r>
    </w:p>
    <w:p w:rsidR="003D4067" w:rsidRPr="00A82679" w:rsidRDefault="003D4067" w:rsidP="00A82679">
      <w:pPr>
        <w:jc w:val="both"/>
        <w:rPr>
          <w:rFonts w:cs="Arial"/>
          <w:szCs w:val="24"/>
          <w:lang w:val="es-C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8"/>
        <w:gridCol w:w="2636"/>
        <w:gridCol w:w="2376"/>
        <w:gridCol w:w="2738"/>
      </w:tblGrid>
      <w:tr w:rsidR="00A82679" w:rsidRPr="00A82679" w:rsidTr="00A82679">
        <w:trPr>
          <w:tblCellSpacing w:w="15" w:type="dxa"/>
        </w:trPr>
        <w:tc>
          <w:tcPr>
            <w:tcW w:w="600" w:type="pct"/>
            <w:tcBorders>
              <w:top w:val="nil"/>
              <w:left w:val="nil"/>
              <w:bottom w:val="nil"/>
              <w:right w:val="nil"/>
            </w:tcBorders>
            <w:hideMark/>
          </w:tcPr>
          <w:p w:rsidR="00A82679" w:rsidRPr="00A82679" w:rsidRDefault="00A82679" w:rsidP="00A82679">
            <w:pPr>
              <w:jc w:val="both"/>
              <w:rPr>
                <w:rFonts w:cs="Arial"/>
                <w:szCs w:val="24"/>
                <w:lang w:val="es-CO"/>
              </w:rPr>
            </w:pPr>
            <w:r w:rsidRPr="00A82679">
              <w:rPr>
                <w:rFonts w:cs="Arial"/>
                <w:b/>
                <w:bCs/>
                <w:i/>
                <w:iCs/>
                <w:szCs w:val="24"/>
                <w:lang w:val="es-CO"/>
              </w:rPr>
              <w:t>Nivel</w:t>
            </w:r>
          </w:p>
        </w:tc>
        <w:tc>
          <w:tcPr>
            <w:tcW w:w="1500" w:type="pct"/>
            <w:tcBorders>
              <w:top w:val="nil"/>
              <w:left w:val="nil"/>
              <w:bottom w:val="nil"/>
              <w:right w:val="nil"/>
            </w:tcBorders>
            <w:hideMark/>
          </w:tcPr>
          <w:p w:rsidR="00A82679" w:rsidRPr="00A82679" w:rsidRDefault="00A82679" w:rsidP="00A82679">
            <w:pPr>
              <w:jc w:val="both"/>
              <w:rPr>
                <w:rFonts w:cs="Arial"/>
                <w:szCs w:val="24"/>
                <w:lang w:val="es-CO"/>
              </w:rPr>
            </w:pPr>
            <w:r w:rsidRPr="00A82679">
              <w:rPr>
                <w:rFonts w:cs="Arial"/>
                <w:b/>
                <w:bCs/>
                <w:i/>
                <w:iCs/>
                <w:szCs w:val="24"/>
                <w:lang w:val="es-CO"/>
              </w:rPr>
              <w:t>14 ciudades (*)</w:t>
            </w:r>
          </w:p>
        </w:tc>
        <w:tc>
          <w:tcPr>
            <w:tcW w:w="1350" w:type="pct"/>
            <w:tcBorders>
              <w:top w:val="nil"/>
              <w:left w:val="nil"/>
              <w:bottom w:val="nil"/>
              <w:right w:val="nil"/>
            </w:tcBorders>
            <w:hideMark/>
          </w:tcPr>
          <w:p w:rsidR="00A82679" w:rsidRPr="00A82679" w:rsidRDefault="00A82679" w:rsidP="00A82679">
            <w:pPr>
              <w:jc w:val="both"/>
              <w:rPr>
                <w:rFonts w:cs="Arial"/>
                <w:szCs w:val="24"/>
                <w:lang w:val="es-CO"/>
              </w:rPr>
            </w:pPr>
            <w:r w:rsidRPr="00A82679">
              <w:rPr>
                <w:rFonts w:cs="Arial"/>
                <w:b/>
                <w:bCs/>
                <w:i/>
                <w:iCs/>
                <w:szCs w:val="24"/>
                <w:lang w:val="es-CO"/>
              </w:rPr>
              <w:t>Resto urbano</w:t>
            </w:r>
          </w:p>
        </w:tc>
        <w:tc>
          <w:tcPr>
            <w:tcW w:w="1550" w:type="pct"/>
            <w:tcBorders>
              <w:top w:val="nil"/>
              <w:left w:val="nil"/>
              <w:bottom w:val="nil"/>
              <w:right w:val="nil"/>
            </w:tcBorders>
            <w:hideMark/>
          </w:tcPr>
          <w:p w:rsidR="00A82679" w:rsidRPr="00A82679" w:rsidRDefault="00A82679" w:rsidP="00A82679">
            <w:pPr>
              <w:jc w:val="both"/>
              <w:rPr>
                <w:rFonts w:cs="Arial"/>
                <w:szCs w:val="24"/>
                <w:lang w:val="es-CO"/>
              </w:rPr>
            </w:pPr>
            <w:r w:rsidRPr="00A82679">
              <w:rPr>
                <w:rFonts w:cs="Arial"/>
                <w:b/>
                <w:bCs/>
                <w:i/>
                <w:iCs/>
                <w:szCs w:val="24"/>
                <w:lang w:val="es-CO"/>
              </w:rPr>
              <w:t>Rural disperso</w:t>
            </w:r>
          </w:p>
        </w:tc>
      </w:tr>
      <w:tr w:rsidR="00A82679" w:rsidRPr="00A82679" w:rsidTr="00A82679">
        <w:trPr>
          <w:tblCellSpacing w:w="15" w:type="dxa"/>
        </w:trPr>
        <w:tc>
          <w:tcPr>
            <w:tcW w:w="600" w:type="pct"/>
            <w:tcBorders>
              <w:top w:val="nil"/>
              <w:left w:val="nil"/>
              <w:bottom w:val="nil"/>
              <w:right w:val="nil"/>
            </w:tcBorders>
            <w:hideMark/>
          </w:tcPr>
          <w:p w:rsidR="00A82679" w:rsidRPr="00A82679" w:rsidRDefault="00A82679" w:rsidP="00A82679">
            <w:pPr>
              <w:jc w:val="both"/>
              <w:rPr>
                <w:rFonts w:cs="Arial"/>
                <w:szCs w:val="24"/>
                <w:lang w:val="es-CO"/>
              </w:rPr>
            </w:pPr>
            <w:r w:rsidRPr="00A82679">
              <w:rPr>
                <w:rFonts w:cs="Arial"/>
                <w:i/>
                <w:iCs/>
                <w:szCs w:val="24"/>
                <w:lang w:val="es-CO"/>
              </w:rPr>
              <w:t>UNICO</w:t>
            </w:r>
          </w:p>
        </w:tc>
        <w:tc>
          <w:tcPr>
            <w:tcW w:w="1500" w:type="pct"/>
            <w:tcBorders>
              <w:top w:val="nil"/>
              <w:left w:val="nil"/>
              <w:bottom w:val="nil"/>
              <w:right w:val="nil"/>
            </w:tcBorders>
            <w:hideMark/>
          </w:tcPr>
          <w:p w:rsidR="00A82679" w:rsidRPr="00A82679" w:rsidRDefault="00A82679" w:rsidP="00A82679">
            <w:pPr>
              <w:jc w:val="both"/>
              <w:rPr>
                <w:rFonts w:cs="Arial"/>
                <w:szCs w:val="24"/>
                <w:lang w:val="es-CO"/>
              </w:rPr>
            </w:pPr>
            <w:r w:rsidRPr="00A82679">
              <w:rPr>
                <w:rFonts w:cs="Arial"/>
                <w:i/>
                <w:iCs/>
                <w:szCs w:val="24"/>
                <w:lang w:val="es-CO"/>
              </w:rPr>
              <w:t>57,21</w:t>
            </w:r>
          </w:p>
        </w:tc>
        <w:tc>
          <w:tcPr>
            <w:tcW w:w="1350" w:type="pct"/>
            <w:tcBorders>
              <w:top w:val="nil"/>
              <w:left w:val="nil"/>
              <w:bottom w:val="nil"/>
              <w:right w:val="nil"/>
            </w:tcBorders>
            <w:hideMark/>
          </w:tcPr>
          <w:p w:rsidR="00A82679" w:rsidRPr="00A82679" w:rsidRDefault="00A82679" w:rsidP="00A82679">
            <w:pPr>
              <w:jc w:val="both"/>
              <w:rPr>
                <w:rFonts w:cs="Arial"/>
                <w:szCs w:val="24"/>
                <w:lang w:val="es-CO"/>
              </w:rPr>
            </w:pPr>
            <w:r w:rsidRPr="00A82679">
              <w:rPr>
                <w:rFonts w:cs="Arial"/>
                <w:i/>
                <w:iCs/>
                <w:szCs w:val="24"/>
                <w:lang w:val="es-CO"/>
              </w:rPr>
              <w:t>56,32</w:t>
            </w:r>
          </w:p>
        </w:tc>
        <w:tc>
          <w:tcPr>
            <w:tcW w:w="1550" w:type="pct"/>
            <w:tcBorders>
              <w:top w:val="nil"/>
              <w:left w:val="nil"/>
              <w:bottom w:val="nil"/>
              <w:right w:val="nil"/>
            </w:tcBorders>
            <w:hideMark/>
          </w:tcPr>
          <w:p w:rsidR="00A82679" w:rsidRPr="00A82679" w:rsidRDefault="00A82679" w:rsidP="00A82679">
            <w:pPr>
              <w:jc w:val="both"/>
              <w:rPr>
                <w:rFonts w:cs="Arial"/>
                <w:szCs w:val="24"/>
                <w:lang w:val="es-CO"/>
              </w:rPr>
            </w:pPr>
            <w:r w:rsidRPr="00A82679">
              <w:rPr>
                <w:rFonts w:cs="Arial"/>
                <w:i/>
                <w:iCs/>
                <w:szCs w:val="24"/>
                <w:lang w:val="es-CO"/>
              </w:rPr>
              <w:t>40,75</w:t>
            </w:r>
          </w:p>
        </w:tc>
      </w:tr>
    </w:tbl>
    <w:p w:rsidR="003D4067" w:rsidRDefault="003D4067" w:rsidP="00A82679">
      <w:pPr>
        <w:jc w:val="both"/>
        <w:rPr>
          <w:rFonts w:cs="Arial"/>
          <w:i/>
          <w:iCs/>
          <w:szCs w:val="24"/>
          <w:lang w:val="es-CO"/>
        </w:rPr>
      </w:pPr>
    </w:p>
    <w:p w:rsidR="00A82679" w:rsidRPr="00A82679" w:rsidRDefault="00A82679" w:rsidP="00A82679">
      <w:pPr>
        <w:jc w:val="both"/>
        <w:rPr>
          <w:rFonts w:cs="Arial"/>
          <w:szCs w:val="24"/>
          <w:lang w:val="es-CO"/>
        </w:rPr>
      </w:pPr>
      <w:r w:rsidRPr="00A82679">
        <w:rPr>
          <w:rFonts w:cs="Arial"/>
          <w:i/>
          <w:iCs/>
          <w:szCs w:val="24"/>
          <w:lang w:val="es-CO"/>
        </w:rPr>
        <w:t>(*) 14 ciudades principales: Bogotá D.C., Medellín, Cali Barranquilla, Cartagena, Cúcuta, Bucaramanga, Ibagué, Pereira, Villavicencio, Pasto, Montería, Manizales y Santa Marta.</w:t>
      </w:r>
    </w:p>
    <w:p w:rsidR="003D4067" w:rsidRDefault="003D4067" w:rsidP="00A82679">
      <w:pPr>
        <w:jc w:val="both"/>
        <w:rPr>
          <w:rFonts w:cs="Arial"/>
          <w:i/>
          <w:iCs/>
          <w:szCs w:val="24"/>
          <w:lang w:val="es-CO"/>
        </w:rPr>
      </w:pPr>
    </w:p>
    <w:p w:rsidR="00A82679" w:rsidRPr="00A82679" w:rsidRDefault="00A82679" w:rsidP="00A82679">
      <w:pPr>
        <w:jc w:val="both"/>
        <w:rPr>
          <w:rFonts w:cs="Arial"/>
          <w:szCs w:val="24"/>
          <w:lang w:val="es-CO"/>
        </w:rPr>
      </w:pPr>
      <w:r w:rsidRPr="00A82679">
        <w:rPr>
          <w:rFonts w:cs="Arial"/>
          <w:i/>
          <w:iCs/>
          <w:szCs w:val="24"/>
          <w:lang w:val="es-CO"/>
        </w:rPr>
        <w:t>b) Familias con compromiso para dar cumplimiento a los requerimientos del hogar gestor.</w:t>
      </w:r>
    </w:p>
    <w:p w:rsidR="003D4067" w:rsidRDefault="003D4067" w:rsidP="00A82679">
      <w:pPr>
        <w:jc w:val="both"/>
        <w:rPr>
          <w:rFonts w:cs="Arial"/>
          <w:i/>
          <w:iCs/>
          <w:szCs w:val="24"/>
          <w:lang w:val="es-CO"/>
        </w:rPr>
      </w:pPr>
    </w:p>
    <w:p w:rsidR="00A82679" w:rsidRPr="00A82679" w:rsidRDefault="00A82679" w:rsidP="00A82679">
      <w:pPr>
        <w:jc w:val="both"/>
        <w:rPr>
          <w:rFonts w:cs="Arial"/>
          <w:szCs w:val="24"/>
          <w:lang w:val="es-CO"/>
        </w:rPr>
      </w:pPr>
      <w:r w:rsidRPr="00A82679">
        <w:rPr>
          <w:rFonts w:cs="Arial"/>
          <w:i/>
          <w:iCs/>
          <w:szCs w:val="24"/>
          <w:lang w:val="es-CO"/>
        </w:rPr>
        <w:t>c) Familias con escasa o ninguna red de apoyo social o familiar que le brinden soporte para suplir las necesidades básicas del niño, la niña o el adolescente con discapacidad o víctima del conflicto armado con o sin discapacidad.</w:t>
      </w:r>
    </w:p>
    <w:p w:rsidR="003D4067" w:rsidRDefault="003D4067" w:rsidP="00A82679">
      <w:pPr>
        <w:jc w:val="both"/>
        <w:rPr>
          <w:rFonts w:cs="Arial"/>
          <w:i/>
          <w:iCs/>
          <w:szCs w:val="24"/>
          <w:lang w:val="es-CO"/>
        </w:rPr>
      </w:pPr>
    </w:p>
    <w:p w:rsidR="00A82679" w:rsidRPr="00A82679" w:rsidRDefault="00A82679" w:rsidP="00A82679">
      <w:pPr>
        <w:jc w:val="both"/>
        <w:rPr>
          <w:rFonts w:cs="Arial"/>
          <w:szCs w:val="24"/>
          <w:lang w:val="es-CO"/>
        </w:rPr>
      </w:pPr>
      <w:r w:rsidRPr="00A82679">
        <w:rPr>
          <w:rFonts w:cs="Arial"/>
          <w:i/>
          <w:iCs/>
          <w:szCs w:val="24"/>
          <w:lang w:val="es-CO"/>
        </w:rPr>
        <w:t>d) Familias con niños, niñas, adolescentes con discapacidad y víctimas de conflicto armado.</w:t>
      </w:r>
    </w:p>
    <w:p w:rsidR="00A82679" w:rsidRPr="00A82679" w:rsidRDefault="00A82679" w:rsidP="00A82679">
      <w:pPr>
        <w:jc w:val="both"/>
        <w:rPr>
          <w:rFonts w:cs="Arial"/>
          <w:szCs w:val="24"/>
          <w:lang w:val="es-CO"/>
        </w:rPr>
      </w:pPr>
      <w:r w:rsidRPr="00A82679">
        <w:rPr>
          <w:rFonts w:cs="Arial"/>
          <w:i/>
          <w:iCs/>
          <w:szCs w:val="24"/>
          <w:lang w:val="es-CO"/>
        </w:rPr>
        <w:t>e) Familias que no están recibiendo apoyo económico o subsidios económicos con los mismos fines, por parte del Estado o de otra organización.</w:t>
      </w:r>
    </w:p>
    <w:p w:rsidR="003D4067" w:rsidRDefault="003D4067" w:rsidP="00A82679">
      <w:pPr>
        <w:jc w:val="both"/>
        <w:rPr>
          <w:rFonts w:cs="Arial"/>
          <w:i/>
          <w:iCs/>
          <w:szCs w:val="24"/>
          <w:lang w:val="es-CO"/>
        </w:rPr>
      </w:pPr>
    </w:p>
    <w:p w:rsidR="00A82679" w:rsidRDefault="00A82679" w:rsidP="00A82679">
      <w:pPr>
        <w:jc w:val="both"/>
        <w:rPr>
          <w:rFonts w:cs="Arial"/>
          <w:i/>
          <w:iCs/>
          <w:szCs w:val="24"/>
          <w:lang w:val="es-CO"/>
        </w:rPr>
      </w:pPr>
      <w:r w:rsidRPr="00A82679">
        <w:rPr>
          <w:rFonts w:cs="Arial"/>
          <w:i/>
          <w:iCs/>
          <w:szCs w:val="24"/>
          <w:lang w:val="es-CO"/>
        </w:rPr>
        <w:t>A partir de la verificación de derechos y de los resultados de las evaluaciones realizadas por el equipo técnico interdisciplinario de la autoridad administrativa, ésta procederá a ordenar mediante resolución motivada la medida de restablecimiento de derechos, establecida en el Artículo </w:t>
      </w:r>
      <w:r w:rsidRPr="003D4067">
        <w:rPr>
          <w:rFonts w:cs="Arial"/>
          <w:i/>
          <w:iCs/>
          <w:szCs w:val="24"/>
          <w:lang w:val="es-CO"/>
        </w:rPr>
        <w:t>53</w:t>
      </w:r>
      <w:r w:rsidRPr="00A82679">
        <w:rPr>
          <w:rFonts w:cs="Arial"/>
          <w:i/>
          <w:iCs/>
          <w:szCs w:val="24"/>
          <w:lang w:val="es-CO"/>
        </w:rPr>
        <w:t> de la Ley 1098 de 2006 y suscribirá la respectiva acta de constitución, en donde se establecen las condiciones y compromisos de la familia, y se menciona, además, si se requiere o no el apoyo económico.</w:t>
      </w:r>
      <w:r w:rsidR="003D4067">
        <w:rPr>
          <w:rFonts w:cs="Arial"/>
          <w:i/>
          <w:iCs/>
          <w:szCs w:val="24"/>
          <w:lang w:val="es-CO"/>
        </w:rPr>
        <w:t>”</w:t>
      </w:r>
    </w:p>
    <w:p w:rsidR="003D4067" w:rsidRPr="00A82679" w:rsidRDefault="003D4067" w:rsidP="00A82679">
      <w:pPr>
        <w:jc w:val="both"/>
        <w:rPr>
          <w:rFonts w:cs="Arial"/>
          <w:szCs w:val="24"/>
          <w:lang w:val="es-CO"/>
        </w:rPr>
      </w:pPr>
    </w:p>
    <w:p w:rsidR="003D4067" w:rsidRDefault="003D4067" w:rsidP="003D4067">
      <w:pPr>
        <w:jc w:val="both"/>
        <w:rPr>
          <w:rFonts w:cs="Arial"/>
          <w:szCs w:val="24"/>
          <w:lang w:val="es-CO"/>
        </w:rPr>
      </w:pPr>
      <w:r w:rsidRPr="003D4067">
        <w:rPr>
          <w:rFonts w:cs="Arial"/>
          <w:szCs w:val="24"/>
          <w:lang w:val="es-CO"/>
        </w:rPr>
        <w:t xml:space="preserve">De conformidad con el lineamiento técnico del programa, </w:t>
      </w:r>
      <w:r>
        <w:rPr>
          <w:rFonts w:cs="Arial"/>
          <w:szCs w:val="24"/>
          <w:lang w:val="es-CO"/>
        </w:rPr>
        <w:t>la</w:t>
      </w:r>
      <w:r w:rsidRPr="003D4067">
        <w:rPr>
          <w:rFonts w:cs="Arial"/>
          <w:szCs w:val="24"/>
          <w:lang w:val="es-CO"/>
        </w:rPr>
        <w:t xml:space="preserve"> Cor</w:t>
      </w:r>
      <w:r>
        <w:rPr>
          <w:rFonts w:cs="Arial"/>
          <w:szCs w:val="24"/>
          <w:lang w:val="es-CO"/>
        </w:rPr>
        <w:t xml:space="preserve">te Constitucional </w:t>
      </w:r>
      <w:r w:rsidRPr="003D4067">
        <w:rPr>
          <w:rFonts w:cs="Arial"/>
          <w:szCs w:val="24"/>
          <w:lang w:val="es-CO"/>
        </w:rPr>
        <w:t>ha</w:t>
      </w:r>
      <w:r>
        <w:rPr>
          <w:rFonts w:cs="Arial"/>
          <w:szCs w:val="24"/>
          <w:lang w:val="es-CO"/>
        </w:rPr>
        <w:t xml:space="preserve"> </w:t>
      </w:r>
      <w:r w:rsidRPr="003D4067">
        <w:rPr>
          <w:rFonts w:cs="Arial"/>
          <w:szCs w:val="24"/>
          <w:lang w:val="es-CO"/>
        </w:rPr>
        <w:t>señalado que el mismo se desarrolla en cuatro (4) etapas</w:t>
      </w:r>
      <w:r>
        <w:rPr>
          <w:rStyle w:val="Refdenotaalpie"/>
          <w:rFonts w:cs="Arial"/>
          <w:szCs w:val="24"/>
          <w:lang w:val="es-CO"/>
        </w:rPr>
        <w:footnoteReference w:id="13"/>
      </w:r>
      <w:r w:rsidRPr="003D4067">
        <w:rPr>
          <w:rFonts w:cs="Arial"/>
          <w:szCs w:val="24"/>
          <w:lang w:val="es-CO"/>
        </w:rPr>
        <w:t>, a saber:</w:t>
      </w:r>
    </w:p>
    <w:p w:rsidR="003D4067" w:rsidRPr="003D4067" w:rsidRDefault="003D4067" w:rsidP="003D4067">
      <w:pPr>
        <w:jc w:val="both"/>
        <w:rPr>
          <w:rFonts w:cs="Arial"/>
          <w:szCs w:val="24"/>
          <w:lang w:val="es-CO"/>
        </w:rPr>
      </w:pPr>
    </w:p>
    <w:p w:rsidR="003D4067" w:rsidRDefault="003D4067" w:rsidP="003D4067">
      <w:pPr>
        <w:pStyle w:val="Prrafodelista"/>
        <w:numPr>
          <w:ilvl w:val="0"/>
          <w:numId w:val="17"/>
        </w:numPr>
        <w:jc w:val="both"/>
        <w:rPr>
          <w:rFonts w:cs="Arial"/>
          <w:szCs w:val="24"/>
          <w:lang w:val="es-CO"/>
        </w:rPr>
      </w:pPr>
      <w:r w:rsidRPr="003D4067">
        <w:rPr>
          <w:rFonts w:cs="Arial"/>
          <w:b/>
          <w:bCs/>
          <w:szCs w:val="24"/>
          <w:lang w:val="es-CO"/>
        </w:rPr>
        <w:lastRenderedPageBreak/>
        <w:t>Identificación, diagnóstico y acogida para el ingreso del niño</w:t>
      </w:r>
      <w:r w:rsidRPr="003D4067">
        <w:rPr>
          <w:rFonts w:cs="Arial"/>
          <w:szCs w:val="24"/>
          <w:lang w:val="es-CO"/>
        </w:rPr>
        <w:t>. En esta primera fase se verifica la afiliación al Sistema General de Seguridad Social en Salud del beneficiario. En caso de no encontrarse registrado, se brinda una orientación sobre la materia a la red familiar, se realizan unos compromisos familiares con el fin de determinar y evaluar los avances y el cambio en las condiciones familiares.</w:t>
      </w:r>
    </w:p>
    <w:p w:rsidR="003D4067" w:rsidRPr="003D4067" w:rsidRDefault="003D4067" w:rsidP="003D4067">
      <w:pPr>
        <w:pStyle w:val="Prrafodelista"/>
        <w:ind w:left="1080"/>
        <w:jc w:val="both"/>
        <w:rPr>
          <w:rFonts w:cs="Arial"/>
          <w:szCs w:val="24"/>
          <w:lang w:val="es-CO"/>
        </w:rPr>
      </w:pPr>
    </w:p>
    <w:p w:rsidR="003D4067" w:rsidRDefault="003D4067" w:rsidP="00A9672A">
      <w:pPr>
        <w:pStyle w:val="Prrafodelista"/>
        <w:numPr>
          <w:ilvl w:val="0"/>
          <w:numId w:val="17"/>
        </w:numPr>
        <w:jc w:val="both"/>
        <w:rPr>
          <w:rFonts w:cs="Arial"/>
          <w:szCs w:val="24"/>
          <w:lang w:val="es-CO"/>
        </w:rPr>
      </w:pPr>
      <w:r w:rsidRPr="003D4067">
        <w:rPr>
          <w:rFonts w:cs="Arial"/>
          <w:b/>
          <w:bCs/>
          <w:szCs w:val="24"/>
          <w:lang w:val="es-CO"/>
        </w:rPr>
        <w:t>Intervención y proyección</w:t>
      </w:r>
      <w:r w:rsidRPr="003D4067">
        <w:rPr>
          <w:rFonts w:cs="Arial"/>
          <w:szCs w:val="24"/>
          <w:lang w:val="es-CO"/>
        </w:rPr>
        <w:t>. En esta etapa se desarrollan acciones para fortalecer a la familia a nivel individual y social, se verifica el cumplimiento de la asistencia médica recomendada, se analizan los componentes de amor y afecto que promueven el fortalecimiento de las relaciones familiares; el de ciudadanía con el que se pretende la inclusión social efectiva de las personas con discapacidad; el de productividad; el de gestión social que busca promover</w:t>
      </w:r>
      <w:r>
        <w:rPr>
          <w:rFonts w:cs="Arial"/>
          <w:szCs w:val="24"/>
          <w:lang w:val="es-CO"/>
        </w:rPr>
        <w:t xml:space="preserve"> </w:t>
      </w:r>
      <w:r w:rsidRPr="003D4067">
        <w:rPr>
          <w:rFonts w:cs="Arial"/>
          <w:szCs w:val="24"/>
          <w:lang w:val="es-CO"/>
        </w:rPr>
        <w:t>la relación de la familia con las instancias de gobierno y otros sectores sociales.</w:t>
      </w:r>
    </w:p>
    <w:p w:rsidR="003D4067" w:rsidRDefault="003D4067" w:rsidP="003D4067">
      <w:pPr>
        <w:pStyle w:val="Prrafodelista"/>
        <w:ind w:left="1080"/>
        <w:jc w:val="both"/>
        <w:rPr>
          <w:rFonts w:cs="Arial"/>
          <w:szCs w:val="24"/>
          <w:lang w:val="es-CO"/>
        </w:rPr>
      </w:pPr>
    </w:p>
    <w:p w:rsidR="003D4067" w:rsidRDefault="003D4067" w:rsidP="00A9672A">
      <w:pPr>
        <w:pStyle w:val="Prrafodelista"/>
        <w:numPr>
          <w:ilvl w:val="0"/>
          <w:numId w:val="17"/>
        </w:numPr>
        <w:jc w:val="both"/>
        <w:rPr>
          <w:rFonts w:cs="Arial"/>
          <w:szCs w:val="24"/>
          <w:lang w:val="es-CO"/>
        </w:rPr>
      </w:pPr>
      <w:r w:rsidRPr="003D4067">
        <w:rPr>
          <w:rFonts w:cs="Arial"/>
          <w:b/>
          <w:bCs/>
          <w:szCs w:val="24"/>
          <w:lang w:val="es-CO"/>
        </w:rPr>
        <w:t>Preparación para el egreso</w:t>
      </w:r>
      <w:r w:rsidRPr="003D4067">
        <w:rPr>
          <w:rFonts w:cs="Arial"/>
          <w:szCs w:val="24"/>
          <w:lang w:val="es-CO"/>
        </w:rPr>
        <w:t xml:space="preserve">. En este espacio se desarrollan estrategias y acciones para la terminación del programa, a partir del cumplimiento de objetivos. En este punto, se garantiza que: </w:t>
      </w:r>
      <w:r w:rsidRPr="003D4067">
        <w:rPr>
          <w:rFonts w:cs="Arial"/>
          <w:b/>
          <w:bCs/>
          <w:szCs w:val="24"/>
          <w:lang w:val="es-CO"/>
        </w:rPr>
        <w:t xml:space="preserve">(a) </w:t>
      </w:r>
      <w:r w:rsidRPr="003D4067">
        <w:rPr>
          <w:rFonts w:cs="Arial"/>
          <w:szCs w:val="24"/>
          <w:lang w:val="es-CO"/>
        </w:rPr>
        <w:t xml:space="preserve">el beneficiario se encuentre en el Sistema de Salud, </w:t>
      </w:r>
      <w:r w:rsidRPr="003D4067">
        <w:rPr>
          <w:rFonts w:cs="Arial"/>
          <w:b/>
          <w:bCs/>
          <w:szCs w:val="24"/>
          <w:lang w:val="es-CO"/>
        </w:rPr>
        <w:t xml:space="preserve">(b) </w:t>
      </w:r>
      <w:r w:rsidRPr="003D4067">
        <w:rPr>
          <w:rFonts w:cs="Arial"/>
          <w:szCs w:val="24"/>
          <w:lang w:val="es-CO"/>
        </w:rPr>
        <w:t xml:space="preserve">la familia comprenda la necesidad de continuar con el tratamiento, esto es, que reconoce que el niño tiene derecho a ser atendido en salud y conoce los procedimientos para acceder a los servicios que requiere, en términos de tratamientos e intervenciones específicas; </w:t>
      </w:r>
      <w:r w:rsidRPr="003D4067">
        <w:rPr>
          <w:rFonts w:cs="Arial"/>
          <w:b/>
          <w:bCs/>
          <w:szCs w:val="24"/>
          <w:lang w:val="es-CO"/>
        </w:rPr>
        <w:t xml:space="preserve">(c) </w:t>
      </w:r>
      <w:r w:rsidRPr="003D4067">
        <w:rPr>
          <w:rFonts w:cs="Arial"/>
          <w:szCs w:val="24"/>
          <w:lang w:val="es-CO"/>
        </w:rPr>
        <w:t>el protegido con esta medida, tenga un soporte básico para mantener el bienestar emocional adecuado, entre otros.</w:t>
      </w:r>
    </w:p>
    <w:p w:rsidR="003D4067" w:rsidRPr="003D4067" w:rsidRDefault="003D4067" w:rsidP="003D4067">
      <w:pPr>
        <w:pStyle w:val="Prrafodelista"/>
        <w:rPr>
          <w:rFonts w:cs="Arial"/>
          <w:b/>
          <w:bCs/>
          <w:szCs w:val="24"/>
          <w:lang w:val="es-CO"/>
        </w:rPr>
      </w:pPr>
    </w:p>
    <w:p w:rsidR="003D4067" w:rsidRDefault="003D4067" w:rsidP="003D4067">
      <w:pPr>
        <w:pStyle w:val="Prrafodelista"/>
        <w:numPr>
          <w:ilvl w:val="0"/>
          <w:numId w:val="17"/>
        </w:numPr>
        <w:jc w:val="both"/>
        <w:rPr>
          <w:rFonts w:cs="Arial"/>
          <w:szCs w:val="24"/>
          <w:lang w:val="es-CO"/>
        </w:rPr>
      </w:pPr>
      <w:r w:rsidRPr="003D4067">
        <w:rPr>
          <w:rFonts w:cs="Arial"/>
          <w:b/>
          <w:bCs/>
          <w:szCs w:val="24"/>
          <w:lang w:val="es-CO"/>
        </w:rPr>
        <w:t>(iv) Seguimiento pos egreso</w:t>
      </w:r>
      <w:r w:rsidRPr="003D4067">
        <w:rPr>
          <w:rFonts w:cs="Arial"/>
          <w:szCs w:val="24"/>
          <w:lang w:val="es-CO"/>
        </w:rPr>
        <w:t>. Este ciclo se sigue luego de terminada la medida por cumplimiento del objetivo o por cualquier otra razón, con el fin de que se</w:t>
      </w:r>
      <w:r>
        <w:rPr>
          <w:rFonts w:cs="Arial"/>
          <w:szCs w:val="24"/>
          <w:lang w:val="es-CO"/>
        </w:rPr>
        <w:t xml:space="preserve"> </w:t>
      </w:r>
      <w:r w:rsidRPr="003D4067">
        <w:rPr>
          <w:rFonts w:cs="Arial"/>
          <w:szCs w:val="24"/>
          <w:lang w:val="es-CO"/>
        </w:rPr>
        <w:t>mantengan las condiciones de garantía de derechos.</w:t>
      </w:r>
    </w:p>
    <w:p w:rsidR="003D4067" w:rsidRPr="003D4067" w:rsidRDefault="003D4067" w:rsidP="003D4067">
      <w:pPr>
        <w:jc w:val="both"/>
        <w:rPr>
          <w:rFonts w:cs="Arial"/>
          <w:szCs w:val="24"/>
          <w:lang w:val="es-CO"/>
        </w:rPr>
      </w:pPr>
    </w:p>
    <w:p w:rsidR="003D4067" w:rsidRDefault="003D4067" w:rsidP="003D4067">
      <w:pPr>
        <w:jc w:val="both"/>
        <w:rPr>
          <w:rFonts w:cs="Arial"/>
          <w:szCs w:val="24"/>
          <w:lang w:val="es-CO"/>
        </w:rPr>
      </w:pPr>
      <w:r w:rsidRPr="003D4067">
        <w:rPr>
          <w:rFonts w:cs="Arial"/>
          <w:szCs w:val="24"/>
          <w:lang w:val="es-CO"/>
        </w:rPr>
        <w:t>En cuanto a la terminación de la medida de hogar gestor, el lineamiento</w:t>
      </w:r>
      <w:r>
        <w:rPr>
          <w:rFonts w:cs="Arial"/>
          <w:szCs w:val="24"/>
          <w:lang w:val="es-CO"/>
        </w:rPr>
        <w:t xml:space="preserve"> </w:t>
      </w:r>
      <w:r w:rsidRPr="003D4067">
        <w:rPr>
          <w:rFonts w:cs="Arial"/>
          <w:szCs w:val="24"/>
          <w:lang w:val="es-CO"/>
        </w:rPr>
        <w:t>establece lo siguiente:</w:t>
      </w:r>
    </w:p>
    <w:p w:rsidR="003D4067" w:rsidRPr="003D4067" w:rsidRDefault="003D4067" w:rsidP="003D4067">
      <w:pPr>
        <w:jc w:val="both"/>
        <w:rPr>
          <w:rFonts w:cs="Arial"/>
          <w:szCs w:val="24"/>
          <w:lang w:val="es-CO"/>
        </w:rPr>
      </w:pPr>
    </w:p>
    <w:p w:rsidR="003D4067" w:rsidRDefault="003D4067" w:rsidP="003D4067">
      <w:pPr>
        <w:jc w:val="both"/>
        <w:rPr>
          <w:rFonts w:cs="Arial"/>
          <w:i/>
          <w:iCs/>
          <w:lang w:val="es-CO"/>
        </w:rPr>
      </w:pPr>
      <w:r w:rsidRPr="003D4067">
        <w:rPr>
          <w:rFonts w:cs="Arial"/>
          <w:i/>
          <w:iCs/>
          <w:szCs w:val="24"/>
          <w:lang w:val="es-CO"/>
        </w:rPr>
        <w:t>“</w:t>
      </w:r>
      <w:r w:rsidRPr="003D4067">
        <w:rPr>
          <w:rFonts w:cs="Arial"/>
          <w:i/>
          <w:iCs/>
          <w:lang w:val="es-CO"/>
        </w:rPr>
        <w:t>La terminación de la medida de Hogar Gestor, independientemente del tiempo de</w:t>
      </w:r>
      <w:r>
        <w:rPr>
          <w:rFonts w:cs="Arial"/>
          <w:i/>
          <w:iCs/>
          <w:lang w:val="es-CO"/>
        </w:rPr>
        <w:t xml:space="preserve"> </w:t>
      </w:r>
      <w:r w:rsidRPr="003D4067">
        <w:rPr>
          <w:rFonts w:cs="Arial"/>
          <w:i/>
          <w:iCs/>
          <w:lang w:val="es-CO"/>
        </w:rPr>
        <w:t>constitución, se podrá dar siempre y cuando al niño, niña o adolescente se le</w:t>
      </w:r>
      <w:r>
        <w:rPr>
          <w:rFonts w:cs="Arial"/>
          <w:i/>
          <w:iCs/>
          <w:lang w:val="es-CO"/>
        </w:rPr>
        <w:t xml:space="preserve"> </w:t>
      </w:r>
      <w:r w:rsidRPr="003D4067">
        <w:rPr>
          <w:rFonts w:cs="Arial"/>
          <w:i/>
          <w:iCs/>
          <w:lang w:val="es-CO"/>
        </w:rPr>
        <w:t>hayan restablecido los derechos que motivaron la apertura de la medida. En tal sentido, la autoridad administrativa en coordinación con su equipo y los facilitadores de las Unidades de Apoyo y Fortalecimiento Familiar - UNAFA o Unidad de Apoyo y de la autoridad tradicional, evaluarán la pertinencia de la continuidad o el cierre del hogar gestor.</w:t>
      </w:r>
    </w:p>
    <w:p w:rsidR="004F70C8" w:rsidRDefault="004F70C8" w:rsidP="003D4067">
      <w:pPr>
        <w:jc w:val="both"/>
        <w:rPr>
          <w:rFonts w:cs="Arial"/>
          <w:i/>
          <w:iCs/>
          <w:lang w:val="es-CO"/>
        </w:rPr>
      </w:pPr>
      <w:r>
        <w:rPr>
          <w:rFonts w:cs="Arial"/>
          <w:i/>
          <w:iCs/>
          <w:lang w:val="es-CO"/>
        </w:rPr>
        <w:t>(…)</w:t>
      </w:r>
    </w:p>
    <w:p w:rsidR="003D4067" w:rsidRPr="003D4067" w:rsidRDefault="003D4067" w:rsidP="003D4067">
      <w:pPr>
        <w:jc w:val="both"/>
        <w:rPr>
          <w:rFonts w:cs="Arial"/>
          <w:i/>
          <w:iCs/>
          <w:szCs w:val="24"/>
          <w:lang w:val="es-CO"/>
        </w:rPr>
      </w:pPr>
      <w:r w:rsidRPr="003D4067">
        <w:rPr>
          <w:rFonts w:cs="Arial"/>
          <w:i/>
          <w:iCs/>
          <w:szCs w:val="24"/>
          <w:lang w:val="es-CO"/>
        </w:rPr>
        <w:t>Si a partir de los seguimientos que realiza el equipo de la autoridad administrativa, ésta determina que se han restablecido los derechos de los niños, niñas y adolescentes que motivaron la apertura del Hogar Gestor, la autoridad administrativa podrá cerrarlo anticipadamente.</w:t>
      </w:r>
    </w:p>
    <w:p w:rsidR="003D4067" w:rsidRDefault="003D4067" w:rsidP="003D4067">
      <w:pPr>
        <w:jc w:val="both"/>
        <w:rPr>
          <w:rFonts w:cs="Arial"/>
          <w:i/>
          <w:iCs/>
          <w:szCs w:val="24"/>
          <w:lang w:val="es-CO"/>
        </w:rPr>
      </w:pPr>
    </w:p>
    <w:p w:rsidR="004F70C8" w:rsidRDefault="004F70C8" w:rsidP="003D4067">
      <w:pPr>
        <w:jc w:val="both"/>
        <w:rPr>
          <w:rFonts w:cs="Arial"/>
          <w:i/>
          <w:iCs/>
          <w:szCs w:val="24"/>
        </w:rPr>
      </w:pPr>
      <w:r w:rsidRPr="004F70C8">
        <w:rPr>
          <w:rFonts w:cs="Arial"/>
          <w:i/>
          <w:iCs/>
          <w:szCs w:val="24"/>
        </w:rPr>
        <w:lastRenderedPageBreak/>
        <w:t xml:space="preserve">Es importante tener en cuenta que, de acuerdo con la sentencia T-075 / 2013, no debe limitarse o suspender la continuidad en la modalidad sólo por haber cumplido el tiempo de permanencia en el Hogar Gestor, es importante tener en cuenta la verificación constante de cumplimiento de derechos y la existencia o superación de las circunstancias que dieron origen a la medida, mientras subsistan las circunstancias que dieron lugar al ingreso a la misma. </w:t>
      </w:r>
    </w:p>
    <w:p w:rsidR="003D4067" w:rsidRDefault="003D4067" w:rsidP="003D4067">
      <w:pPr>
        <w:jc w:val="both"/>
        <w:rPr>
          <w:rFonts w:cs="Arial"/>
          <w:i/>
          <w:iCs/>
          <w:szCs w:val="24"/>
          <w:lang w:val="es-CO"/>
        </w:rPr>
      </w:pPr>
    </w:p>
    <w:p w:rsidR="004F70C8" w:rsidRDefault="003D4067" w:rsidP="003D4067">
      <w:pPr>
        <w:jc w:val="both"/>
        <w:rPr>
          <w:rFonts w:cs="Arial"/>
          <w:i/>
          <w:iCs/>
          <w:szCs w:val="24"/>
          <w:lang w:val="es-CO"/>
        </w:rPr>
      </w:pPr>
      <w:r w:rsidRPr="003D4067">
        <w:rPr>
          <w:rFonts w:cs="Arial"/>
          <w:i/>
          <w:iCs/>
          <w:szCs w:val="24"/>
          <w:lang w:val="es-CO"/>
        </w:rPr>
        <w:t>La autoridad administrativa y su equipo determinarán la terminación o modificación de la medida cuando se dé incumplimiento a los compromisos establecidos, situación en la cual se debe tener en consideración la decisión más favorable a razón del interés superior del niño, niña o adolescente y prevalencia de sus derechos</w:t>
      </w:r>
      <w:r w:rsidR="004F70C8">
        <w:rPr>
          <w:rFonts w:cs="Arial"/>
          <w:i/>
          <w:iCs/>
          <w:szCs w:val="24"/>
          <w:lang w:val="es-CO"/>
        </w:rPr>
        <w:t>.</w:t>
      </w:r>
    </w:p>
    <w:p w:rsidR="004F70C8" w:rsidRDefault="004F70C8" w:rsidP="003D4067">
      <w:pPr>
        <w:jc w:val="both"/>
        <w:rPr>
          <w:rFonts w:cs="Arial"/>
          <w:i/>
          <w:iCs/>
          <w:szCs w:val="24"/>
          <w:lang w:val="es-CO"/>
        </w:rPr>
      </w:pPr>
      <w:r>
        <w:rPr>
          <w:rFonts w:cs="Arial"/>
          <w:i/>
          <w:iCs/>
          <w:szCs w:val="24"/>
          <w:lang w:val="es-CO"/>
        </w:rPr>
        <w:t>(…)</w:t>
      </w:r>
    </w:p>
    <w:p w:rsidR="003D4067" w:rsidRDefault="004F70C8" w:rsidP="003D4067">
      <w:pPr>
        <w:jc w:val="both"/>
        <w:rPr>
          <w:rFonts w:cs="Arial"/>
          <w:i/>
          <w:iCs/>
          <w:szCs w:val="24"/>
          <w:lang w:val="es-CO"/>
        </w:rPr>
      </w:pPr>
      <w:r>
        <w:t>Es importante resaltar que en el caso de finalización de la medida la autoridad administrativa deberá realizar gestión de recursos para la atención de la población con discapacidad con las demás entidades que conforman el SNBF para que a través de otros programas institucionales le brinden a la familia los recursos adecuados mientras ella puede garantizarlos, en concordancia con el artículo 56 de la ley 1098 de 2006</w:t>
      </w:r>
      <w:r w:rsidR="003D4067">
        <w:rPr>
          <w:rFonts w:cs="Arial"/>
          <w:i/>
          <w:iCs/>
          <w:szCs w:val="24"/>
          <w:lang w:val="es-CO"/>
        </w:rPr>
        <w:t>”</w:t>
      </w:r>
    </w:p>
    <w:p w:rsidR="004F70C8" w:rsidRDefault="004F70C8" w:rsidP="003D4067">
      <w:pPr>
        <w:jc w:val="both"/>
        <w:rPr>
          <w:rFonts w:cs="Arial"/>
          <w:i/>
          <w:iCs/>
          <w:szCs w:val="24"/>
          <w:lang w:val="es-CO"/>
        </w:rPr>
      </w:pPr>
    </w:p>
    <w:p w:rsidR="004F70C8" w:rsidRPr="00972E68" w:rsidRDefault="00972E68" w:rsidP="003D4067">
      <w:pPr>
        <w:jc w:val="both"/>
        <w:rPr>
          <w:rFonts w:cs="Arial"/>
          <w:b/>
          <w:iCs/>
          <w:szCs w:val="24"/>
          <w:u w:val="single"/>
          <w:lang w:val="es-CO"/>
        </w:rPr>
      </w:pPr>
      <w:r>
        <w:rPr>
          <w:rFonts w:cs="Arial"/>
          <w:b/>
          <w:iCs/>
          <w:szCs w:val="24"/>
          <w:u w:val="single"/>
          <w:lang w:val="es-CO"/>
        </w:rPr>
        <w:t>2.</w:t>
      </w:r>
      <w:r w:rsidR="00A85FA5">
        <w:rPr>
          <w:rFonts w:cs="Arial"/>
          <w:b/>
          <w:iCs/>
          <w:szCs w:val="24"/>
          <w:u w:val="single"/>
          <w:lang w:val="es-CO"/>
        </w:rPr>
        <w:t>4</w:t>
      </w:r>
      <w:r>
        <w:rPr>
          <w:rFonts w:cs="Arial"/>
          <w:b/>
          <w:iCs/>
          <w:szCs w:val="24"/>
          <w:u w:val="single"/>
          <w:lang w:val="es-CO"/>
        </w:rPr>
        <w:t xml:space="preserve"> </w:t>
      </w:r>
      <w:r w:rsidRPr="00972E68">
        <w:rPr>
          <w:rFonts w:cs="Arial"/>
          <w:b/>
          <w:iCs/>
          <w:szCs w:val="24"/>
          <w:u w:val="single"/>
          <w:lang w:val="es-CO"/>
        </w:rPr>
        <w:t>CASO EN CONCRETO</w:t>
      </w:r>
    </w:p>
    <w:p w:rsidR="00A82679" w:rsidRDefault="00A82679" w:rsidP="0086546F">
      <w:pPr>
        <w:jc w:val="both"/>
        <w:rPr>
          <w:rFonts w:cs="Arial"/>
          <w:szCs w:val="24"/>
          <w:lang w:val="es-CO"/>
        </w:rPr>
      </w:pPr>
    </w:p>
    <w:p w:rsidR="00F92471" w:rsidRDefault="0086546F" w:rsidP="0086546F">
      <w:pPr>
        <w:jc w:val="both"/>
        <w:rPr>
          <w:rFonts w:cs="Arial"/>
          <w:szCs w:val="24"/>
          <w:lang w:val="es-CO"/>
        </w:rPr>
      </w:pPr>
      <w:r w:rsidRPr="00523C93">
        <w:rPr>
          <w:rFonts w:cs="Arial"/>
          <w:szCs w:val="24"/>
          <w:lang w:val="es-CO"/>
        </w:rPr>
        <w:t xml:space="preserve">En el caso objeto de estudio, </w:t>
      </w:r>
      <w:r w:rsidR="00F92471">
        <w:rPr>
          <w:rFonts w:cs="Arial"/>
          <w:szCs w:val="24"/>
          <w:lang w:val="es-CO"/>
        </w:rPr>
        <w:t xml:space="preserve">la Doctora </w:t>
      </w:r>
      <w:proofErr w:type="spellStart"/>
      <w:r w:rsidR="00E75154">
        <w:rPr>
          <w:rFonts w:cs="Arial"/>
          <w:szCs w:val="24"/>
          <w:lang w:val="es-CO"/>
        </w:rPr>
        <w:t>Lorna</w:t>
      </w:r>
      <w:proofErr w:type="spellEnd"/>
      <w:r w:rsidR="00E75154">
        <w:rPr>
          <w:rFonts w:cs="Arial"/>
          <w:szCs w:val="24"/>
          <w:lang w:val="es-CO"/>
        </w:rPr>
        <w:t xml:space="preserve"> Lizbeth </w:t>
      </w:r>
      <w:proofErr w:type="spellStart"/>
      <w:r w:rsidR="00E75154">
        <w:rPr>
          <w:rFonts w:cs="Arial"/>
          <w:szCs w:val="24"/>
          <w:lang w:val="es-CO"/>
        </w:rPr>
        <w:t>Marin</w:t>
      </w:r>
      <w:proofErr w:type="spellEnd"/>
      <w:r w:rsidR="00E75154">
        <w:rPr>
          <w:rFonts w:cs="Arial"/>
          <w:szCs w:val="24"/>
          <w:lang w:val="es-CO"/>
        </w:rPr>
        <w:t xml:space="preserve"> Ariza</w:t>
      </w:r>
      <w:r w:rsidR="00F92471">
        <w:rPr>
          <w:rFonts w:cs="Arial"/>
          <w:szCs w:val="24"/>
          <w:lang w:val="es-CO"/>
        </w:rPr>
        <w:t>, Defensora de Familia ICBF Centro Zonal B</w:t>
      </w:r>
      <w:r w:rsidR="00E75154">
        <w:rPr>
          <w:rFonts w:cs="Arial"/>
          <w:szCs w:val="24"/>
          <w:lang w:val="es-CO"/>
        </w:rPr>
        <w:t>arrios Unidos</w:t>
      </w:r>
      <w:r w:rsidR="00F92471">
        <w:rPr>
          <w:rFonts w:cs="Arial"/>
          <w:szCs w:val="24"/>
          <w:lang w:val="es-CO"/>
        </w:rPr>
        <w:t xml:space="preserve">, radicó el </w:t>
      </w:r>
      <w:r w:rsidR="00D642DC">
        <w:rPr>
          <w:rFonts w:cs="Arial"/>
          <w:szCs w:val="24"/>
          <w:lang w:val="es-CO"/>
        </w:rPr>
        <w:t>1</w:t>
      </w:r>
      <w:r w:rsidR="00E75154">
        <w:rPr>
          <w:rFonts w:cs="Arial"/>
          <w:szCs w:val="24"/>
          <w:lang w:val="es-CO"/>
        </w:rPr>
        <w:t>4</w:t>
      </w:r>
      <w:r w:rsidR="00F92471">
        <w:rPr>
          <w:rFonts w:cs="Arial"/>
          <w:szCs w:val="24"/>
          <w:lang w:val="es-CO"/>
        </w:rPr>
        <w:t xml:space="preserve"> de </w:t>
      </w:r>
      <w:r w:rsidR="00E75154">
        <w:rPr>
          <w:rFonts w:cs="Arial"/>
          <w:szCs w:val="24"/>
          <w:lang w:val="es-CO"/>
        </w:rPr>
        <w:t xml:space="preserve">mayo </w:t>
      </w:r>
      <w:r w:rsidR="00F92471">
        <w:rPr>
          <w:rFonts w:cs="Arial"/>
          <w:szCs w:val="24"/>
          <w:lang w:val="es-CO"/>
        </w:rPr>
        <w:t>de 201</w:t>
      </w:r>
      <w:r w:rsidR="00D642DC">
        <w:rPr>
          <w:rFonts w:cs="Arial"/>
          <w:szCs w:val="24"/>
          <w:lang w:val="es-CO"/>
        </w:rPr>
        <w:t>9</w:t>
      </w:r>
      <w:r w:rsidR="00F92471">
        <w:rPr>
          <w:rFonts w:cs="Arial"/>
          <w:szCs w:val="24"/>
          <w:lang w:val="es-CO"/>
        </w:rPr>
        <w:t xml:space="preserve"> las diligencias contentivas del Proceso de Restablecimiento de Derechos del joven </w:t>
      </w:r>
      <w:r w:rsidR="00E75154">
        <w:rPr>
          <w:rFonts w:cs="Arial"/>
          <w:b/>
          <w:szCs w:val="24"/>
        </w:rPr>
        <w:t>Luis Andrés Díaz Gómez</w:t>
      </w:r>
      <w:r w:rsidR="00F92471">
        <w:rPr>
          <w:rFonts w:cs="Arial"/>
          <w:szCs w:val="24"/>
          <w:lang w:val="es-CO"/>
        </w:rPr>
        <w:t xml:space="preserve"> con el fin de que se surtiera la homologación de la resolución No. 0</w:t>
      </w:r>
      <w:r w:rsidR="00E75154">
        <w:rPr>
          <w:rFonts w:cs="Arial"/>
          <w:szCs w:val="24"/>
          <w:lang w:val="es-CO"/>
        </w:rPr>
        <w:t>37</w:t>
      </w:r>
      <w:r w:rsidR="00D642DC">
        <w:rPr>
          <w:rFonts w:cs="Arial"/>
          <w:szCs w:val="24"/>
          <w:lang w:val="es-CO"/>
        </w:rPr>
        <w:t>4</w:t>
      </w:r>
      <w:r w:rsidR="00F92471">
        <w:rPr>
          <w:rFonts w:cs="Arial"/>
          <w:szCs w:val="24"/>
          <w:lang w:val="es-CO"/>
        </w:rPr>
        <w:t xml:space="preserve"> del </w:t>
      </w:r>
      <w:r w:rsidR="00E75154">
        <w:rPr>
          <w:rFonts w:cs="Arial"/>
          <w:szCs w:val="24"/>
          <w:lang w:val="es-CO"/>
        </w:rPr>
        <w:t>12</w:t>
      </w:r>
      <w:r w:rsidR="00F92471">
        <w:rPr>
          <w:rFonts w:cs="Arial"/>
          <w:szCs w:val="24"/>
          <w:lang w:val="es-CO"/>
        </w:rPr>
        <w:t xml:space="preserve"> de </w:t>
      </w:r>
      <w:r w:rsidR="00E75154">
        <w:rPr>
          <w:rFonts w:cs="Arial"/>
          <w:szCs w:val="24"/>
          <w:lang w:val="es-CO"/>
        </w:rPr>
        <w:t>diciembre</w:t>
      </w:r>
      <w:r w:rsidR="00F92471">
        <w:rPr>
          <w:rFonts w:cs="Arial"/>
          <w:szCs w:val="24"/>
          <w:lang w:val="es-CO"/>
        </w:rPr>
        <w:t xml:space="preserve"> de 201</w:t>
      </w:r>
      <w:r w:rsidR="00490B06">
        <w:rPr>
          <w:rFonts w:cs="Arial"/>
          <w:szCs w:val="24"/>
          <w:lang w:val="es-CO"/>
        </w:rPr>
        <w:t>8</w:t>
      </w:r>
      <w:r w:rsidR="00E75154">
        <w:rPr>
          <w:rFonts w:cs="Arial"/>
          <w:szCs w:val="24"/>
          <w:lang w:val="es-CO"/>
        </w:rPr>
        <w:t>,</w:t>
      </w:r>
      <w:r w:rsidR="00F92471">
        <w:rPr>
          <w:rFonts w:cs="Arial"/>
          <w:szCs w:val="24"/>
          <w:lang w:val="es-CO"/>
        </w:rPr>
        <w:t xml:space="preserve"> por medio de la cual se da por terminado l</w:t>
      </w:r>
      <w:r w:rsidR="00D642DC">
        <w:rPr>
          <w:rFonts w:cs="Arial"/>
          <w:szCs w:val="24"/>
          <w:lang w:val="es-CO"/>
        </w:rPr>
        <w:t>a</w:t>
      </w:r>
      <w:r w:rsidR="00F92471">
        <w:rPr>
          <w:rFonts w:cs="Arial"/>
          <w:szCs w:val="24"/>
          <w:lang w:val="es-CO"/>
        </w:rPr>
        <w:t xml:space="preserve"> </w:t>
      </w:r>
      <w:r w:rsidR="00D642DC">
        <w:rPr>
          <w:rFonts w:cs="Arial"/>
          <w:szCs w:val="24"/>
          <w:lang w:val="es-CO"/>
        </w:rPr>
        <w:t>medida</w:t>
      </w:r>
      <w:r w:rsidR="00F92471">
        <w:rPr>
          <w:rFonts w:cs="Arial"/>
          <w:szCs w:val="24"/>
          <w:lang w:val="es-CO"/>
        </w:rPr>
        <w:t xml:space="preserve"> de restablecimiento de derechos</w:t>
      </w:r>
      <w:r w:rsidR="00D642DC">
        <w:rPr>
          <w:rFonts w:cs="Arial"/>
          <w:szCs w:val="24"/>
          <w:lang w:val="es-CO"/>
        </w:rPr>
        <w:t xml:space="preserve"> en la modalidad de Hogar Gestor </w:t>
      </w:r>
      <w:r w:rsidR="00F92471">
        <w:rPr>
          <w:rFonts w:cs="Arial"/>
          <w:szCs w:val="24"/>
          <w:lang w:val="es-CO"/>
        </w:rPr>
        <w:t xml:space="preserve">a favor del citado joven, en ocasión a la </w:t>
      </w:r>
      <w:r w:rsidR="00D642DC">
        <w:rPr>
          <w:rFonts w:cs="Arial"/>
          <w:szCs w:val="24"/>
          <w:lang w:val="es-CO"/>
        </w:rPr>
        <w:t xml:space="preserve">oposición </w:t>
      </w:r>
      <w:r w:rsidR="00F92471">
        <w:rPr>
          <w:rFonts w:cs="Arial"/>
          <w:szCs w:val="24"/>
          <w:lang w:val="es-CO"/>
        </w:rPr>
        <w:t xml:space="preserve">presentada por la señora </w:t>
      </w:r>
      <w:r w:rsidR="00E75154">
        <w:rPr>
          <w:rFonts w:cs="Arial"/>
          <w:szCs w:val="24"/>
          <w:lang w:val="es-CO"/>
        </w:rPr>
        <w:t>Carmen Cecilia Gómez López</w:t>
      </w:r>
      <w:r w:rsidR="00F92471">
        <w:rPr>
          <w:rFonts w:cs="Arial"/>
          <w:szCs w:val="24"/>
          <w:lang w:val="es-CO"/>
        </w:rPr>
        <w:t>, en calidad de progenitora del joven.</w:t>
      </w:r>
    </w:p>
    <w:p w:rsidR="00F92471" w:rsidRDefault="00F92471" w:rsidP="0086546F">
      <w:pPr>
        <w:jc w:val="both"/>
        <w:rPr>
          <w:rFonts w:cs="Arial"/>
          <w:szCs w:val="24"/>
          <w:lang w:val="es-CO"/>
        </w:rPr>
      </w:pPr>
    </w:p>
    <w:p w:rsidR="00F92471" w:rsidRDefault="00F92471" w:rsidP="0086546F">
      <w:pPr>
        <w:jc w:val="both"/>
        <w:rPr>
          <w:rFonts w:cs="Arial"/>
          <w:szCs w:val="24"/>
          <w:lang w:val="es-CO"/>
        </w:rPr>
      </w:pPr>
      <w:r>
        <w:rPr>
          <w:rFonts w:cs="Arial"/>
          <w:szCs w:val="24"/>
          <w:lang w:val="es-CO"/>
        </w:rPr>
        <w:t xml:space="preserve">Frente al particular, de la revisión del expediente se encuentra que: </w:t>
      </w:r>
    </w:p>
    <w:p w:rsidR="00F92471" w:rsidRDefault="00F92471" w:rsidP="0086546F">
      <w:pPr>
        <w:jc w:val="both"/>
        <w:rPr>
          <w:rFonts w:cs="Arial"/>
          <w:szCs w:val="24"/>
          <w:lang w:val="es-CO"/>
        </w:rPr>
      </w:pPr>
    </w:p>
    <w:p w:rsidR="00F231BB" w:rsidRDefault="00F92471" w:rsidP="0086546F">
      <w:pPr>
        <w:jc w:val="both"/>
        <w:rPr>
          <w:rFonts w:cs="Arial"/>
          <w:szCs w:val="24"/>
          <w:lang w:val="es-CO"/>
        </w:rPr>
      </w:pPr>
      <w:r>
        <w:rPr>
          <w:rFonts w:cs="Arial"/>
          <w:szCs w:val="24"/>
          <w:lang w:val="es-CO"/>
        </w:rPr>
        <w:t>E</w:t>
      </w:r>
      <w:r w:rsidR="00972E68">
        <w:rPr>
          <w:rFonts w:cs="Arial"/>
          <w:szCs w:val="24"/>
          <w:lang w:val="es-CO"/>
        </w:rPr>
        <w:t xml:space="preserve">n decisión del </w:t>
      </w:r>
      <w:r w:rsidR="00E75154">
        <w:rPr>
          <w:rFonts w:cs="Arial"/>
          <w:szCs w:val="24"/>
          <w:lang w:val="es-CO"/>
        </w:rPr>
        <w:t>8</w:t>
      </w:r>
      <w:r w:rsidR="00972E68">
        <w:rPr>
          <w:rFonts w:cs="Arial"/>
          <w:szCs w:val="24"/>
          <w:lang w:val="es-CO"/>
        </w:rPr>
        <w:t xml:space="preserve"> de </w:t>
      </w:r>
      <w:r w:rsidR="0006602E">
        <w:rPr>
          <w:rFonts w:cs="Arial"/>
          <w:szCs w:val="24"/>
          <w:lang w:val="es-CO"/>
        </w:rPr>
        <w:t>octubre</w:t>
      </w:r>
      <w:r w:rsidR="00972E68">
        <w:rPr>
          <w:rFonts w:cs="Arial"/>
          <w:szCs w:val="24"/>
          <w:lang w:val="es-CO"/>
        </w:rPr>
        <w:t xml:space="preserve"> de 20</w:t>
      </w:r>
      <w:r w:rsidR="0006602E">
        <w:rPr>
          <w:rFonts w:cs="Arial"/>
          <w:szCs w:val="24"/>
          <w:lang w:val="es-CO"/>
        </w:rPr>
        <w:t>1</w:t>
      </w:r>
      <w:r w:rsidR="00E75154">
        <w:rPr>
          <w:rFonts w:cs="Arial"/>
          <w:szCs w:val="24"/>
          <w:lang w:val="es-CO"/>
        </w:rPr>
        <w:t>3</w:t>
      </w:r>
      <w:r w:rsidR="0006602E">
        <w:rPr>
          <w:rFonts w:cs="Arial"/>
          <w:szCs w:val="24"/>
          <w:lang w:val="es-CO"/>
        </w:rPr>
        <w:t xml:space="preserve">, mediante resolución </w:t>
      </w:r>
      <w:r w:rsidR="00E75154">
        <w:rPr>
          <w:rFonts w:cs="Arial"/>
          <w:szCs w:val="24"/>
          <w:lang w:val="es-CO"/>
        </w:rPr>
        <w:t>No. 1</w:t>
      </w:r>
      <w:r w:rsidR="0006602E">
        <w:rPr>
          <w:rFonts w:cs="Arial"/>
          <w:szCs w:val="24"/>
          <w:lang w:val="es-CO"/>
        </w:rPr>
        <w:t>00</w:t>
      </w:r>
      <w:r w:rsidR="00972E68">
        <w:rPr>
          <w:rFonts w:cs="Arial"/>
          <w:szCs w:val="24"/>
          <w:lang w:val="es-CO"/>
        </w:rPr>
        <w:t xml:space="preserve"> se dispuso la constitución de hogar </w:t>
      </w:r>
      <w:r w:rsidR="0006602E">
        <w:rPr>
          <w:rFonts w:cs="Arial"/>
          <w:szCs w:val="24"/>
          <w:lang w:val="es-CO"/>
        </w:rPr>
        <w:t>gestor</w:t>
      </w:r>
      <w:r w:rsidR="00972E68">
        <w:rPr>
          <w:rFonts w:cs="Arial"/>
          <w:szCs w:val="24"/>
          <w:lang w:val="es-CO"/>
        </w:rPr>
        <w:t xml:space="preserve"> en favor de </w:t>
      </w:r>
      <w:r w:rsidR="0086546F">
        <w:rPr>
          <w:rFonts w:cs="Arial"/>
          <w:szCs w:val="24"/>
          <w:lang w:val="es-CO"/>
        </w:rPr>
        <w:t xml:space="preserve"> </w:t>
      </w:r>
      <w:r w:rsidR="00E75154">
        <w:rPr>
          <w:rFonts w:cs="Arial"/>
          <w:b/>
          <w:szCs w:val="24"/>
        </w:rPr>
        <w:t>Luis Andrés Díaz Gómez</w:t>
      </w:r>
      <w:r w:rsidR="00972E68">
        <w:rPr>
          <w:rFonts w:cs="Arial"/>
          <w:szCs w:val="24"/>
          <w:lang w:val="es-CO"/>
        </w:rPr>
        <w:t>,</w:t>
      </w:r>
      <w:r w:rsidR="00972E68" w:rsidRPr="00972E68">
        <w:rPr>
          <w:rFonts w:cs="Arial"/>
          <w:szCs w:val="24"/>
          <w:lang w:val="es-CO"/>
        </w:rPr>
        <w:t xml:space="preserve"> </w:t>
      </w:r>
      <w:r w:rsidR="0006602E">
        <w:rPr>
          <w:rFonts w:cs="Arial"/>
          <w:szCs w:val="24"/>
          <w:lang w:val="es-CO"/>
        </w:rPr>
        <w:t xml:space="preserve"> a cargo de su progenitora, </w:t>
      </w:r>
      <w:r w:rsidR="00972E68" w:rsidRPr="00972E68">
        <w:rPr>
          <w:rFonts w:cs="Arial"/>
          <w:szCs w:val="24"/>
          <w:lang w:val="es-CO"/>
        </w:rPr>
        <w:t>con fundamento en la situación económica de l</w:t>
      </w:r>
      <w:r w:rsidR="0006602E">
        <w:rPr>
          <w:rFonts w:cs="Arial"/>
          <w:szCs w:val="24"/>
          <w:lang w:val="es-CO"/>
        </w:rPr>
        <w:t xml:space="preserve">a madre quien </w:t>
      </w:r>
      <w:r w:rsidR="00E75154">
        <w:rPr>
          <w:rFonts w:cs="Arial"/>
          <w:szCs w:val="24"/>
          <w:lang w:val="es-CO"/>
        </w:rPr>
        <w:t>a</w:t>
      </w:r>
      <w:r w:rsidR="0006602E">
        <w:rPr>
          <w:rFonts w:cs="Arial"/>
          <w:szCs w:val="24"/>
          <w:lang w:val="es-CO"/>
        </w:rPr>
        <w:t>de</w:t>
      </w:r>
      <w:r w:rsidR="00E75154">
        <w:rPr>
          <w:rFonts w:cs="Arial"/>
          <w:szCs w:val="24"/>
          <w:lang w:val="es-CO"/>
        </w:rPr>
        <w:t>más tenía otro hijo en condición de discapacidad</w:t>
      </w:r>
      <w:r w:rsidR="00972E68">
        <w:rPr>
          <w:rFonts w:cs="Arial"/>
          <w:szCs w:val="24"/>
          <w:lang w:val="es-CO"/>
        </w:rPr>
        <w:t>.</w:t>
      </w:r>
    </w:p>
    <w:p w:rsidR="00F231BB" w:rsidRDefault="00F231BB" w:rsidP="0086546F">
      <w:pPr>
        <w:jc w:val="both"/>
        <w:rPr>
          <w:rFonts w:cs="Arial"/>
          <w:szCs w:val="24"/>
          <w:lang w:val="es-CO"/>
        </w:rPr>
      </w:pPr>
    </w:p>
    <w:p w:rsidR="0006602E" w:rsidRDefault="0006602E" w:rsidP="0086546F">
      <w:pPr>
        <w:jc w:val="both"/>
        <w:rPr>
          <w:rFonts w:cs="Arial"/>
          <w:szCs w:val="24"/>
          <w:lang w:val="es-CO"/>
        </w:rPr>
      </w:pPr>
      <w:r>
        <w:rPr>
          <w:rFonts w:cs="Arial"/>
          <w:szCs w:val="24"/>
          <w:lang w:val="es-CO"/>
        </w:rPr>
        <w:t>En distintos seguimientos a la medid</w:t>
      </w:r>
      <w:r w:rsidR="00E75154">
        <w:rPr>
          <w:rFonts w:cs="Arial"/>
          <w:szCs w:val="24"/>
          <w:lang w:val="es-CO"/>
        </w:rPr>
        <w:t>a</w:t>
      </w:r>
      <w:r>
        <w:rPr>
          <w:rFonts w:cs="Arial"/>
          <w:szCs w:val="24"/>
          <w:lang w:val="es-CO"/>
        </w:rPr>
        <w:t xml:space="preserve"> adoptada se evidencia que los profesionales del equipo técnico advierten la necesidad de que la familia gestione alternativas laborales de tal manera que no subsista solamente con este aporte, sin que se evidencie tal movilización por parte de la progenitora.</w:t>
      </w:r>
    </w:p>
    <w:p w:rsidR="0006602E" w:rsidRDefault="0006602E" w:rsidP="0086546F">
      <w:pPr>
        <w:jc w:val="both"/>
        <w:rPr>
          <w:rFonts w:cs="Arial"/>
          <w:szCs w:val="24"/>
          <w:lang w:val="es-CO"/>
        </w:rPr>
      </w:pPr>
    </w:p>
    <w:p w:rsidR="00972E68" w:rsidRDefault="0006602E" w:rsidP="00C93ED3">
      <w:pPr>
        <w:jc w:val="both"/>
        <w:rPr>
          <w:rFonts w:cs="Arial"/>
          <w:szCs w:val="24"/>
          <w:lang w:val="es-CO"/>
        </w:rPr>
      </w:pPr>
      <w:r>
        <w:rPr>
          <w:rFonts w:cs="Arial"/>
          <w:szCs w:val="24"/>
          <w:lang w:val="es-CO"/>
        </w:rPr>
        <w:t xml:space="preserve">Así mismo, se encuentra que en los </w:t>
      </w:r>
      <w:r w:rsidR="00E75154">
        <w:rPr>
          <w:rFonts w:cs="Arial"/>
          <w:szCs w:val="24"/>
          <w:lang w:val="es-CO"/>
        </w:rPr>
        <w:t xml:space="preserve">últimos </w:t>
      </w:r>
      <w:r>
        <w:rPr>
          <w:rFonts w:cs="Arial"/>
          <w:szCs w:val="24"/>
          <w:lang w:val="es-CO"/>
        </w:rPr>
        <w:t xml:space="preserve">seguimientos </w:t>
      </w:r>
      <w:r w:rsidR="00E75154">
        <w:rPr>
          <w:rFonts w:cs="Arial"/>
          <w:szCs w:val="24"/>
          <w:lang w:val="es-CO"/>
        </w:rPr>
        <w:t>realizado</w:t>
      </w:r>
      <w:r>
        <w:rPr>
          <w:rFonts w:cs="Arial"/>
          <w:szCs w:val="24"/>
          <w:lang w:val="es-CO"/>
        </w:rPr>
        <w:t xml:space="preserve"> se sugiere la terminación de la medida, en razón a </w:t>
      </w:r>
      <w:r w:rsidR="00E75154">
        <w:rPr>
          <w:rFonts w:cs="Arial"/>
          <w:szCs w:val="24"/>
          <w:lang w:val="es-CO"/>
        </w:rPr>
        <w:t xml:space="preserve">que </w:t>
      </w:r>
      <w:r>
        <w:rPr>
          <w:rFonts w:cs="Arial"/>
          <w:szCs w:val="24"/>
          <w:lang w:val="es-CO"/>
        </w:rPr>
        <w:t xml:space="preserve">existe independencia económica de la señora </w:t>
      </w:r>
      <w:r w:rsidR="00E75154">
        <w:rPr>
          <w:rFonts w:cs="Arial"/>
          <w:szCs w:val="24"/>
          <w:lang w:val="es-CO"/>
        </w:rPr>
        <w:t>Carmen Cecilia Gómez López</w:t>
      </w:r>
      <w:r w:rsidR="00E75154">
        <w:rPr>
          <w:rFonts w:cs="Arial"/>
          <w:szCs w:val="24"/>
          <w:lang w:val="es-CO"/>
        </w:rPr>
        <w:t xml:space="preserve"> y el medio familiar es beneficiario del programa de alimentación por parte de la Secretaría de Integración Social, </w:t>
      </w:r>
      <w:r>
        <w:rPr>
          <w:rFonts w:cs="Arial"/>
          <w:szCs w:val="24"/>
          <w:lang w:val="es-CO"/>
        </w:rPr>
        <w:t xml:space="preserve">aunado  </w:t>
      </w:r>
      <w:r>
        <w:rPr>
          <w:rFonts w:cs="Arial"/>
          <w:szCs w:val="24"/>
          <w:lang w:val="es-CO"/>
        </w:rPr>
        <w:lastRenderedPageBreak/>
        <w:t xml:space="preserve">a que </w:t>
      </w:r>
      <w:r w:rsidR="00E75154">
        <w:rPr>
          <w:rFonts w:cs="Arial"/>
          <w:szCs w:val="24"/>
          <w:lang w:val="es-CO"/>
        </w:rPr>
        <w:t xml:space="preserve">falleció el hermano mayor de </w:t>
      </w:r>
      <w:r w:rsidR="00E75154">
        <w:rPr>
          <w:rFonts w:cs="Arial"/>
          <w:b/>
          <w:szCs w:val="24"/>
        </w:rPr>
        <w:t>Luis Andrés Díaz Gómez</w:t>
      </w:r>
      <w:r w:rsidR="00E75154">
        <w:rPr>
          <w:rFonts w:cs="Arial"/>
          <w:szCs w:val="24"/>
          <w:lang w:val="es-CO"/>
        </w:rPr>
        <w:t xml:space="preserve"> quien también fue beneficiario del mismo programa</w:t>
      </w:r>
      <w:r w:rsidR="00C93ED3">
        <w:rPr>
          <w:rFonts w:cs="Arial"/>
          <w:szCs w:val="24"/>
          <w:lang w:val="es-CO"/>
        </w:rPr>
        <w:t xml:space="preserve">, los cuales </w:t>
      </w:r>
      <w:r w:rsidR="004869CD">
        <w:rPr>
          <w:rFonts w:cs="Arial"/>
          <w:szCs w:val="24"/>
          <w:lang w:val="es-CO"/>
        </w:rPr>
        <w:t>fue</w:t>
      </w:r>
      <w:r w:rsidR="00C93ED3">
        <w:rPr>
          <w:rFonts w:cs="Arial"/>
          <w:szCs w:val="24"/>
          <w:lang w:val="es-CO"/>
        </w:rPr>
        <w:t xml:space="preserve">ron </w:t>
      </w:r>
      <w:r w:rsidR="004869CD">
        <w:rPr>
          <w:rFonts w:cs="Arial"/>
          <w:szCs w:val="24"/>
          <w:lang w:val="es-CO"/>
        </w:rPr>
        <w:t xml:space="preserve"> acogido</w:t>
      </w:r>
      <w:r w:rsidR="00C93ED3">
        <w:rPr>
          <w:rFonts w:cs="Arial"/>
          <w:szCs w:val="24"/>
          <w:lang w:val="es-CO"/>
        </w:rPr>
        <w:t>s</w:t>
      </w:r>
      <w:r w:rsidR="004869CD">
        <w:rPr>
          <w:rFonts w:cs="Arial"/>
          <w:szCs w:val="24"/>
          <w:lang w:val="es-CO"/>
        </w:rPr>
        <w:t xml:space="preserve"> por la defensora de familia, fundamentando su decisión en </w:t>
      </w:r>
      <w:r w:rsidR="00714975">
        <w:rPr>
          <w:rFonts w:cs="Arial"/>
          <w:szCs w:val="24"/>
          <w:lang w:val="es-CO"/>
        </w:rPr>
        <w:t>la presencia de los factores de protección que satisfacen la garantía integral de los derechos de joven</w:t>
      </w:r>
      <w:r w:rsidR="00714975" w:rsidRPr="00787A11">
        <w:rPr>
          <w:rFonts w:cs="Arial"/>
          <w:szCs w:val="24"/>
          <w:lang w:val="es-CO"/>
        </w:rPr>
        <w:t xml:space="preserve"> y la superación </w:t>
      </w:r>
      <w:r w:rsidR="00714975">
        <w:rPr>
          <w:rFonts w:cs="Arial"/>
          <w:szCs w:val="24"/>
          <w:lang w:val="es-CO"/>
        </w:rPr>
        <w:t>y mitigación de las circunstancias de vulnerabilidad encontradas al inicio de la actuación administrativa</w:t>
      </w:r>
      <w:r w:rsidR="00D9549F">
        <w:rPr>
          <w:rFonts w:cs="Arial"/>
          <w:szCs w:val="24"/>
          <w:lang w:val="es-CO"/>
        </w:rPr>
        <w:t xml:space="preserve">.  </w:t>
      </w:r>
    </w:p>
    <w:p w:rsidR="0086546F" w:rsidRDefault="0086546F" w:rsidP="00EF03C5">
      <w:pPr>
        <w:jc w:val="both"/>
        <w:rPr>
          <w:rFonts w:cs="Arial"/>
          <w:szCs w:val="24"/>
          <w:lang w:val="es-CO"/>
        </w:rPr>
      </w:pPr>
    </w:p>
    <w:p w:rsidR="00C61BE5" w:rsidRDefault="00714975" w:rsidP="006E7976">
      <w:pPr>
        <w:jc w:val="both"/>
        <w:rPr>
          <w:rFonts w:cs="Arial"/>
          <w:szCs w:val="24"/>
          <w:lang w:val="es-CO"/>
        </w:rPr>
      </w:pPr>
      <w:r>
        <w:rPr>
          <w:rFonts w:cs="Arial"/>
          <w:szCs w:val="24"/>
          <w:lang w:val="es-CO"/>
        </w:rPr>
        <w:t>Al r</w:t>
      </w:r>
      <w:r w:rsidR="00160FAF">
        <w:rPr>
          <w:rFonts w:cs="Arial"/>
          <w:szCs w:val="24"/>
          <w:lang w:val="es-CO"/>
        </w:rPr>
        <w:t>especto</w:t>
      </w:r>
      <w:r>
        <w:rPr>
          <w:rFonts w:cs="Arial"/>
          <w:szCs w:val="24"/>
          <w:lang w:val="es-CO"/>
        </w:rPr>
        <w:t>, sea lo primero aclarar</w:t>
      </w:r>
      <w:r w:rsidR="00160FAF">
        <w:rPr>
          <w:rFonts w:cs="Arial"/>
          <w:szCs w:val="24"/>
          <w:lang w:val="es-CO"/>
        </w:rPr>
        <w:t xml:space="preserve"> que</w:t>
      </w:r>
      <w:r>
        <w:rPr>
          <w:rFonts w:cs="Arial"/>
          <w:szCs w:val="24"/>
          <w:lang w:val="es-CO"/>
        </w:rPr>
        <w:t xml:space="preserve">, si bien </w:t>
      </w:r>
      <w:r w:rsidR="00160FAF">
        <w:rPr>
          <w:rFonts w:cs="Arial"/>
          <w:szCs w:val="24"/>
          <w:lang w:val="es-CO"/>
        </w:rPr>
        <w:t xml:space="preserve">han sido ampliamente superados los términos contemplados por el Lineamiento para esta clase de medida de restablecimiento, ya que la misma se mantuvo por  más de </w:t>
      </w:r>
      <w:r w:rsidR="00E75154">
        <w:rPr>
          <w:rFonts w:cs="Arial"/>
          <w:szCs w:val="24"/>
          <w:lang w:val="es-CO"/>
        </w:rPr>
        <w:t>cinco</w:t>
      </w:r>
      <w:r w:rsidR="00160FAF">
        <w:rPr>
          <w:rFonts w:cs="Arial"/>
          <w:szCs w:val="24"/>
          <w:lang w:val="es-CO"/>
        </w:rPr>
        <w:t xml:space="preserve"> (</w:t>
      </w:r>
      <w:r w:rsidR="00E75154">
        <w:rPr>
          <w:rFonts w:cs="Arial"/>
          <w:szCs w:val="24"/>
          <w:lang w:val="es-CO"/>
        </w:rPr>
        <w:t>5</w:t>
      </w:r>
      <w:r w:rsidR="00160FAF">
        <w:rPr>
          <w:rFonts w:cs="Arial"/>
          <w:szCs w:val="24"/>
          <w:lang w:val="es-CO"/>
        </w:rPr>
        <w:t xml:space="preserve">) años, </w:t>
      </w:r>
      <w:r w:rsidR="004869CD">
        <w:rPr>
          <w:rFonts w:cs="Arial"/>
          <w:szCs w:val="24"/>
          <w:lang w:val="es-CO"/>
        </w:rPr>
        <w:t>carácter temporal que fue advertido en distintas ocasiones a la progenitora, a quien además se le insto para que generara un proyecto productivo que permitiera el auto sostenimiento del medio familiar, sin que después de tanto tiempo se hubiese adelantado por esta</w:t>
      </w:r>
      <w:r w:rsidR="00C61BE5">
        <w:rPr>
          <w:rFonts w:cs="Arial"/>
          <w:szCs w:val="24"/>
          <w:lang w:val="es-CO"/>
        </w:rPr>
        <w:t xml:space="preserve">, </w:t>
      </w:r>
      <w:r>
        <w:rPr>
          <w:rFonts w:cs="Arial"/>
          <w:szCs w:val="24"/>
          <w:lang w:val="es-CO"/>
        </w:rPr>
        <w:t xml:space="preserve">tal argumento por sí mismo no es válido para la terminación de la medida de restablecimiento, por lo que, a la luz de la prevalencia de los derechos de </w:t>
      </w:r>
      <w:r w:rsidR="00E75154">
        <w:rPr>
          <w:rFonts w:cs="Arial"/>
          <w:b/>
          <w:szCs w:val="24"/>
          <w:lang w:val="es-CO"/>
        </w:rPr>
        <w:t>Luis Andrés</w:t>
      </w:r>
      <w:r>
        <w:rPr>
          <w:rFonts w:cs="Arial"/>
          <w:szCs w:val="24"/>
          <w:lang w:val="es-CO"/>
        </w:rPr>
        <w:t xml:space="preserve"> resulta necesario constatar si la </w:t>
      </w:r>
      <w:r w:rsidRPr="006E7976">
        <w:rPr>
          <w:rFonts w:cs="Arial"/>
          <w:szCs w:val="24"/>
          <w:lang w:val="es-CO"/>
        </w:rPr>
        <w:t>autori</w:t>
      </w:r>
      <w:r w:rsidR="00C93ED3">
        <w:rPr>
          <w:rFonts w:cs="Arial"/>
          <w:szCs w:val="24"/>
          <w:lang w:val="es-CO"/>
        </w:rPr>
        <w:t>d</w:t>
      </w:r>
      <w:r w:rsidRPr="006E7976">
        <w:rPr>
          <w:rFonts w:cs="Arial"/>
          <w:szCs w:val="24"/>
          <w:lang w:val="es-CO"/>
        </w:rPr>
        <w:t>ad</w:t>
      </w:r>
      <w:r w:rsidR="00C93ED3">
        <w:rPr>
          <w:rFonts w:cs="Arial"/>
          <w:szCs w:val="24"/>
          <w:lang w:val="es-CO"/>
        </w:rPr>
        <w:t xml:space="preserve"> </w:t>
      </w:r>
      <w:r w:rsidRPr="006E7976">
        <w:rPr>
          <w:rFonts w:cs="Arial"/>
          <w:szCs w:val="24"/>
          <w:lang w:val="es-CO"/>
        </w:rPr>
        <w:t>administrativa verific</w:t>
      </w:r>
      <w:r>
        <w:rPr>
          <w:rFonts w:cs="Arial"/>
          <w:szCs w:val="24"/>
          <w:lang w:val="es-CO"/>
        </w:rPr>
        <w:t>ó</w:t>
      </w:r>
      <w:r w:rsidRPr="006E7976">
        <w:rPr>
          <w:rFonts w:cs="Arial"/>
          <w:szCs w:val="24"/>
          <w:lang w:val="es-CO"/>
        </w:rPr>
        <w:t xml:space="preserve"> el cumplimiento del objeto</w:t>
      </w:r>
      <w:r>
        <w:rPr>
          <w:rFonts w:cs="Arial"/>
          <w:szCs w:val="24"/>
          <w:lang w:val="es-CO"/>
        </w:rPr>
        <w:t xml:space="preserve"> </w:t>
      </w:r>
      <w:r w:rsidRPr="006E7976">
        <w:rPr>
          <w:rFonts w:cs="Arial"/>
          <w:szCs w:val="24"/>
          <w:lang w:val="es-CO"/>
        </w:rPr>
        <w:t>por el cual el grupo familiar fue beneficiario de esta medida</w:t>
      </w:r>
      <w:r>
        <w:rPr>
          <w:rFonts w:cs="Arial"/>
          <w:szCs w:val="24"/>
          <w:lang w:val="es-CO"/>
        </w:rPr>
        <w:t xml:space="preserve"> y si se encuentra </w:t>
      </w:r>
      <w:r w:rsidRPr="006E7976">
        <w:rPr>
          <w:rFonts w:cs="Arial"/>
          <w:szCs w:val="24"/>
          <w:lang w:val="es-CO"/>
        </w:rPr>
        <w:t>comprobad</w:t>
      </w:r>
      <w:r>
        <w:rPr>
          <w:rFonts w:cs="Arial"/>
          <w:szCs w:val="24"/>
          <w:lang w:val="es-CO"/>
        </w:rPr>
        <w:t>a</w:t>
      </w:r>
      <w:r w:rsidRPr="006E7976">
        <w:rPr>
          <w:rFonts w:cs="Arial"/>
          <w:szCs w:val="24"/>
          <w:lang w:val="es-CO"/>
        </w:rPr>
        <w:t xml:space="preserve"> la</w:t>
      </w:r>
      <w:r>
        <w:rPr>
          <w:rFonts w:cs="Arial"/>
          <w:szCs w:val="24"/>
          <w:lang w:val="es-CO"/>
        </w:rPr>
        <w:t xml:space="preserve"> </w:t>
      </w:r>
      <w:r w:rsidRPr="006E7976">
        <w:rPr>
          <w:rFonts w:cs="Arial"/>
          <w:szCs w:val="24"/>
          <w:lang w:val="es-CO"/>
        </w:rPr>
        <w:t>superación del estado de vulnerabilidad</w:t>
      </w:r>
      <w:r w:rsidR="004869CD">
        <w:rPr>
          <w:rFonts w:cs="Arial"/>
          <w:szCs w:val="24"/>
          <w:lang w:val="es-CO"/>
        </w:rPr>
        <w:t>.</w:t>
      </w:r>
      <w:r w:rsidR="00C61BE5">
        <w:rPr>
          <w:rFonts w:cs="Arial"/>
          <w:szCs w:val="24"/>
          <w:lang w:val="es-CO"/>
        </w:rPr>
        <w:t xml:space="preserve"> </w:t>
      </w:r>
    </w:p>
    <w:p w:rsidR="00C61BE5" w:rsidRDefault="00C61BE5" w:rsidP="006E7976">
      <w:pPr>
        <w:jc w:val="both"/>
        <w:rPr>
          <w:rFonts w:cs="Arial"/>
          <w:szCs w:val="24"/>
          <w:lang w:val="es-CO"/>
        </w:rPr>
      </w:pPr>
    </w:p>
    <w:p w:rsidR="00C61BE5" w:rsidRDefault="00C61BE5" w:rsidP="00C61BE5">
      <w:pPr>
        <w:jc w:val="both"/>
        <w:rPr>
          <w:rFonts w:cs="Arial"/>
          <w:szCs w:val="24"/>
          <w:lang w:val="es-CO"/>
        </w:rPr>
      </w:pPr>
      <w:r>
        <w:rPr>
          <w:rFonts w:cs="Arial"/>
          <w:szCs w:val="24"/>
          <w:lang w:val="es-CO"/>
        </w:rPr>
        <w:t xml:space="preserve">Para el efecto </w:t>
      </w:r>
      <w:r w:rsidR="004C07BF">
        <w:rPr>
          <w:rFonts w:cs="Arial"/>
          <w:szCs w:val="24"/>
          <w:lang w:val="es-CO"/>
        </w:rPr>
        <w:t xml:space="preserve">es preciso recordar que </w:t>
      </w:r>
      <w:r>
        <w:rPr>
          <w:rFonts w:cs="Arial"/>
          <w:szCs w:val="24"/>
          <w:lang w:val="es-CO"/>
        </w:rPr>
        <w:t xml:space="preserve">la medida de restablecimiento de derechos adoptada en favor de  </w:t>
      </w:r>
      <w:r w:rsidR="00E75154">
        <w:rPr>
          <w:rFonts w:cs="Arial"/>
          <w:b/>
          <w:szCs w:val="24"/>
        </w:rPr>
        <w:t>Luis Andrés Díaz Gómez</w:t>
      </w:r>
      <w:r>
        <w:rPr>
          <w:rFonts w:cs="Arial"/>
          <w:szCs w:val="24"/>
          <w:lang w:val="es-CO"/>
        </w:rPr>
        <w:t>,</w:t>
      </w:r>
      <w:r w:rsidRPr="00972E68">
        <w:rPr>
          <w:rFonts w:cs="Arial"/>
          <w:szCs w:val="24"/>
          <w:lang w:val="es-CO"/>
        </w:rPr>
        <w:t xml:space="preserve"> </w:t>
      </w:r>
      <w:r>
        <w:rPr>
          <w:rFonts w:cs="Arial"/>
          <w:szCs w:val="24"/>
          <w:lang w:val="es-CO"/>
        </w:rPr>
        <w:t xml:space="preserve">tuvo como génesis la </w:t>
      </w:r>
      <w:r w:rsidRPr="00972E68">
        <w:rPr>
          <w:rFonts w:cs="Arial"/>
          <w:szCs w:val="24"/>
          <w:lang w:val="es-CO"/>
        </w:rPr>
        <w:t>situación económica de l</w:t>
      </w:r>
      <w:r w:rsidR="00C93ED3">
        <w:rPr>
          <w:rFonts w:cs="Arial"/>
          <w:szCs w:val="24"/>
          <w:lang w:val="es-CO"/>
        </w:rPr>
        <w:t>a</w:t>
      </w:r>
      <w:r w:rsidRPr="00972E68">
        <w:rPr>
          <w:rFonts w:cs="Arial"/>
          <w:szCs w:val="24"/>
          <w:lang w:val="es-CO"/>
        </w:rPr>
        <w:t xml:space="preserve"> progenitor</w:t>
      </w:r>
      <w:r w:rsidR="00C93ED3">
        <w:rPr>
          <w:rFonts w:cs="Arial"/>
          <w:szCs w:val="24"/>
          <w:lang w:val="es-CO"/>
        </w:rPr>
        <w:t>a</w:t>
      </w:r>
      <w:r>
        <w:rPr>
          <w:rFonts w:cs="Arial"/>
          <w:szCs w:val="24"/>
          <w:lang w:val="es-CO"/>
        </w:rPr>
        <w:t>,</w:t>
      </w:r>
      <w:r w:rsidRPr="00972E68">
        <w:rPr>
          <w:rFonts w:cs="Arial"/>
          <w:szCs w:val="24"/>
          <w:lang w:val="es-CO"/>
        </w:rPr>
        <w:t xml:space="preserve"> </w:t>
      </w:r>
      <w:r w:rsidR="003E3A41">
        <w:rPr>
          <w:rFonts w:cs="Arial"/>
          <w:szCs w:val="24"/>
          <w:lang w:val="es-CO"/>
        </w:rPr>
        <w:t>quien</w:t>
      </w:r>
      <w:r>
        <w:rPr>
          <w:rFonts w:cs="Arial"/>
          <w:szCs w:val="24"/>
          <w:lang w:val="es-CO"/>
        </w:rPr>
        <w:t xml:space="preserve"> para dicha fecha tenía</w:t>
      </w:r>
      <w:r w:rsidR="00C93ED3">
        <w:rPr>
          <w:rFonts w:cs="Arial"/>
          <w:szCs w:val="24"/>
          <w:lang w:val="es-CO"/>
        </w:rPr>
        <w:t xml:space="preserve"> </w:t>
      </w:r>
      <w:r w:rsidR="00E75154">
        <w:rPr>
          <w:rFonts w:cs="Arial"/>
          <w:szCs w:val="24"/>
          <w:lang w:val="es-CO"/>
        </w:rPr>
        <w:t>otra obligación alimentaria, con un hijo en condición de discapacidad</w:t>
      </w:r>
      <w:r>
        <w:rPr>
          <w:rFonts w:cs="Arial"/>
          <w:szCs w:val="24"/>
          <w:lang w:val="es-CO"/>
        </w:rPr>
        <w:t xml:space="preserve">, y </w:t>
      </w:r>
      <w:r w:rsidR="00C93ED3">
        <w:rPr>
          <w:rFonts w:cs="Arial"/>
          <w:szCs w:val="24"/>
          <w:lang w:val="es-CO"/>
        </w:rPr>
        <w:t>no se contaba con apo</w:t>
      </w:r>
      <w:r w:rsidR="00E75154">
        <w:rPr>
          <w:rFonts w:cs="Arial"/>
          <w:szCs w:val="24"/>
          <w:lang w:val="es-CO"/>
        </w:rPr>
        <w:t>yo institucional</w:t>
      </w:r>
      <w:r>
        <w:rPr>
          <w:rFonts w:cs="Arial"/>
          <w:szCs w:val="24"/>
          <w:lang w:val="es-CO"/>
        </w:rPr>
        <w:t>.</w:t>
      </w:r>
    </w:p>
    <w:p w:rsidR="00C61BE5" w:rsidRDefault="00C61BE5" w:rsidP="00C61BE5">
      <w:pPr>
        <w:jc w:val="both"/>
        <w:rPr>
          <w:rFonts w:cs="Arial"/>
          <w:szCs w:val="24"/>
          <w:lang w:val="es-CO"/>
        </w:rPr>
      </w:pPr>
    </w:p>
    <w:p w:rsidR="00C93ED3" w:rsidRDefault="004C07BF" w:rsidP="00C61BE5">
      <w:pPr>
        <w:jc w:val="both"/>
        <w:rPr>
          <w:rFonts w:cs="Arial"/>
          <w:szCs w:val="24"/>
          <w:lang w:val="es-CO"/>
        </w:rPr>
      </w:pPr>
      <w:r>
        <w:rPr>
          <w:rFonts w:cs="Arial"/>
          <w:szCs w:val="24"/>
          <w:lang w:val="es-CO"/>
        </w:rPr>
        <w:t>De l</w:t>
      </w:r>
      <w:r w:rsidR="003E3A41">
        <w:rPr>
          <w:rFonts w:cs="Arial"/>
          <w:szCs w:val="24"/>
          <w:lang w:val="es-CO"/>
        </w:rPr>
        <w:t>os</w:t>
      </w:r>
      <w:r w:rsidR="00C61BE5">
        <w:rPr>
          <w:rFonts w:cs="Arial"/>
          <w:szCs w:val="24"/>
          <w:lang w:val="es-CO"/>
        </w:rPr>
        <w:t xml:space="preserve"> conceptos emitidos por los distintos equipos interdisciplinarios </w:t>
      </w:r>
      <w:r w:rsidR="003E3A41">
        <w:rPr>
          <w:rFonts w:cs="Arial"/>
          <w:szCs w:val="24"/>
          <w:lang w:val="es-CO"/>
        </w:rPr>
        <w:t xml:space="preserve">es fácilmente deducible </w:t>
      </w:r>
      <w:r w:rsidR="00C61BE5">
        <w:rPr>
          <w:rFonts w:cs="Arial"/>
          <w:szCs w:val="24"/>
          <w:lang w:val="es-CO"/>
        </w:rPr>
        <w:t>que el núcleo familiar super</w:t>
      </w:r>
      <w:r w:rsidR="003E3A41">
        <w:rPr>
          <w:rFonts w:cs="Arial"/>
          <w:szCs w:val="24"/>
          <w:lang w:val="es-CO"/>
        </w:rPr>
        <w:t>ó</w:t>
      </w:r>
      <w:r w:rsidR="00C61BE5">
        <w:rPr>
          <w:rFonts w:cs="Arial"/>
          <w:szCs w:val="24"/>
          <w:lang w:val="es-CO"/>
        </w:rPr>
        <w:t xml:space="preserve"> tales c</w:t>
      </w:r>
      <w:r w:rsidR="003E3A41">
        <w:rPr>
          <w:rFonts w:cs="Arial"/>
          <w:szCs w:val="24"/>
          <w:lang w:val="es-CO"/>
        </w:rPr>
        <w:t xml:space="preserve">ircunstancias de vulnerabilidad, ya que consta </w:t>
      </w:r>
      <w:r w:rsidR="00C93ED3">
        <w:rPr>
          <w:rFonts w:cs="Arial"/>
          <w:szCs w:val="24"/>
          <w:lang w:val="es-CO"/>
        </w:rPr>
        <w:t>que el</w:t>
      </w:r>
      <w:r w:rsidR="003E3A41">
        <w:rPr>
          <w:rFonts w:cs="Arial"/>
          <w:szCs w:val="24"/>
          <w:lang w:val="es-CO"/>
        </w:rPr>
        <w:t xml:space="preserve"> núcleo familiar cuenta con los ingresos </w:t>
      </w:r>
      <w:r w:rsidR="00C61BE5">
        <w:rPr>
          <w:rFonts w:cs="Arial"/>
          <w:szCs w:val="24"/>
          <w:lang w:val="es-CO"/>
        </w:rPr>
        <w:t>de</w:t>
      </w:r>
      <w:r w:rsidR="00C93ED3">
        <w:rPr>
          <w:rFonts w:cs="Arial"/>
          <w:szCs w:val="24"/>
          <w:lang w:val="es-CO"/>
        </w:rPr>
        <w:t xml:space="preserve"> </w:t>
      </w:r>
      <w:r w:rsidR="00C61BE5">
        <w:rPr>
          <w:rFonts w:cs="Arial"/>
          <w:szCs w:val="24"/>
          <w:lang w:val="es-CO"/>
        </w:rPr>
        <w:t>l</w:t>
      </w:r>
      <w:r w:rsidR="00C93ED3">
        <w:rPr>
          <w:rFonts w:cs="Arial"/>
          <w:szCs w:val="24"/>
          <w:lang w:val="es-CO"/>
        </w:rPr>
        <w:t>a</w:t>
      </w:r>
      <w:r w:rsidR="00C61BE5">
        <w:rPr>
          <w:rFonts w:cs="Arial"/>
          <w:szCs w:val="24"/>
          <w:lang w:val="es-CO"/>
        </w:rPr>
        <w:t xml:space="preserve"> progenitor</w:t>
      </w:r>
      <w:r w:rsidR="00C93ED3">
        <w:rPr>
          <w:rFonts w:cs="Arial"/>
          <w:szCs w:val="24"/>
          <w:lang w:val="es-CO"/>
        </w:rPr>
        <w:t>a, quien</w:t>
      </w:r>
      <w:r w:rsidR="00E75154">
        <w:rPr>
          <w:rFonts w:cs="Arial"/>
          <w:szCs w:val="24"/>
          <w:lang w:val="es-CO"/>
        </w:rPr>
        <w:t xml:space="preserve"> cuida adultos mayores</w:t>
      </w:r>
      <w:r w:rsidR="00484516">
        <w:rPr>
          <w:rFonts w:cs="Arial"/>
          <w:szCs w:val="24"/>
          <w:lang w:val="es-CO"/>
        </w:rPr>
        <w:t xml:space="preserve">, </w:t>
      </w:r>
      <w:r w:rsidR="00C93ED3">
        <w:rPr>
          <w:rFonts w:cs="Arial"/>
          <w:szCs w:val="24"/>
          <w:lang w:val="es-CO"/>
        </w:rPr>
        <w:t>y s</w:t>
      </w:r>
      <w:r w:rsidR="00E75154">
        <w:rPr>
          <w:rFonts w:cs="Arial"/>
          <w:szCs w:val="24"/>
          <w:lang w:val="es-CO"/>
        </w:rPr>
        <w:t xml:space="preserve">e encuentran vinculados como </w:t>
      </w:r>
      <w:r w:rsidR="00C93ED3">
        <w:rPr>
          <w:rFonts w:cs="Arial"/>
          <w:szCs w:val="24"/>
          <w:lang w:val="es-CO"/>
        </w:rPr>
        <w:t>beneficiario</w:t>
      </w:r>
      <w:r w:rsidR="00E75154">
        <w:rPr>
          <w:rFonts w:cs="Arial"/>
          <w:szCs w:val="24"/>
          <w:lang w:val="es-CO"/>
        </w:rPr>
        <w:t>s del programa de alimentación brindado por el Distrito</w:t>
      </w:r>
      <w:r w:rsidR="00C93ED3">
        <w:rPr>
          <w:rFonts w:cs="Arial"/>
          <w:szCs w:val="24"/>
          <w:lang w:val="es-CO"/>
        </w:rPr>
        <w:t>.</w:t>
      </w:r>
    </w:p>
    <w:p w:rsidR="00C93ED3" w:rsidRDefault="00C93ED3" w:rsidP="00C61BE5">
      <w:pPr>
        <w:jc w:val="both"/>
        <w:rPr>
          <w:rFonts w:cs="Arial"/>
          <w:szCs w:val="24"/>
          <w:lang w:val="es-CO"/>
        </w:rPr>
      </w:pPr>
    </w:p>
    <w:p w:rsidR="004869CD" w:rsidRDefault="004869CD" w:rsidP="004869CD">
      <w:pPr>
        <w:jc w:val="both"/>
        <w:rPr>
          <w:rFonts w:cs="Arial"/>
          <w:szCs w:val="24"/>
          <w:lang w:val="es-CO"/>
        </w:rPr>
      </w:pPr>
      <w:r>
        <w:rPr>
          <w:rFonts w:cs="Arial"/>
          <w:szCs w:val="24"/>
          <w:lang w:val="es-CO"/>
        </w:rPr>
        <w:t xml:space="preserve">En </w:t>
      </w:r>
      <w:r w:rsidR="009F7E2C">
        <w:rPr>
          <w:rFonts w:cs="Arial"/>
          <w:szCs w:val="24"/>
          <w:lang w:val="es-CO"/>
        </w:rPr>
        <w:t xml:space="preserve">cuanto a los argumentos de la </w:t>
      </w:r>
      <w:r w:rsidR="006D5FE2">
        <w:rPr>
          <w:rFonts w:cs="Arial"/>
          <w:szCs w:val="24"/>
          <w:lang w:val="es-CO"/>
        </w:rPr>
        <w:t xml:space="preserve">señora </w:t>
      </w:r>
      <w:r w:rsidR="00E75154">
        <w:rPr>
          <w:rFonts w:cs="Arial"/>
          <w:szCs w:val="24"/>
          <w:lang w:val="es-CO"/>
        </w:rPr>
        <w:t>Carmen Cecilia Gómez López</w:t>
      </w:r>
      <w:r w:rsidR="006D5FE2">
        <w:rPr>
          <w:rFonts w:cs="Arial"/>
          <w:szCs w:val="24"/>
          <w:lang w:val="es-CO"/>
        </w:rPr>
        <w:t xml:space="preserve">, </w:t>
      </w:r>
      <w:r w:rsidR="009F7E2C">
        <w:rPr>
          <w:rFonts w:cs="Arial"/>
          <w:szCs w:val="24"/>
          <w:lang w:val="es-CO"/>
        </w:rPr>
        <w:t xml:space="preserve">progenitora del joven, </w:t>
      </w:r>
      <w:r>
        <w:rPr>
          <w:rFonts w:cs="Arial"/>
          <w:szCs w:val="24"/>
          <w:lang w:val="es-CO"/>
        </w:rPr>
        <w:t xml:space="preserve">es pertinente traer a colación el contenido de la </w:t>
      </w:r>
      <w:r w:rsidRPr="00482A11">
        <w:rPr>
          <w:rFonts w:cs="Arial"/>
          <w:bCs/>
          <w:szCs w:val="24"/>
          <w:lang w:val="es-CO"/>
        </w:rPr>
        <w:t>sentencia T-301 de 2014</w:t>
      </w:r>
      <w:r w:rsidRPr="00482A11">
        <w:rPr>
          <w:rFonts w:cs="Arial"/>
          <w:szCs w:val="24"/>
          <w:lang w:val="es-CO"/>
        </w:rPr>
        <w:t xml:space="preserve">, </w:t>
      </w:r>
      <w:r>
        <w:rPr>
          <w:rFonts w:cs="Arial"/>
          <w:szCs w:val="24"/>
          <w:lang w:val="es-CO"/>
        </w:rPr>
        <w:t xml:space="preserve">en la cual la </w:t>
      </w:r>
      <w:r w:rsidRPr="00A85FA5">
        <w:rPr>
          <w:rFonts w:cs="Arial"/>
          <w:szCs w:val="24"/>
          <w:lang w:val="es-CO"/>
        </w:rPr>
        <w:t xml:space="preserve">Sala Tercera </w:t>
      </w:r>
      <w:r>
        <w:rPr>
          <w:rFonts w:cs="Arial"/>
          <w:szCs w:val="24"/>
          <w:lang w:val="es-CO"/>
        </w:rPr>
        <w:t xml:space="preserve">de la Corte Constitucional al </w:t>
      </w:r>
      <w:r w:rsidRPr="00A85FA5">
        <w:rPr>
          <w:rFonts w:cs="Arial"/>
          <w:szCs w:val="24"/>
          <w:lang w:val="es-CO"/>
        </w:rPr>
        <w:t>revis</w:t>
      </w:r>
      <w:r>
        <w:rPr>
          <w:rFonts w:cs="Arial"/>
          <w:szCs w:val="24"/>
          <w:lang w:val="es-CO"/>
        </w:rPr>
        <w:t>ar</w:t>
      </w:r>
      <w:r w:rsidRPr="00A85FA5">
        <w:rPr>
          <w:rFonts w:cs="Arial"/>
          <w:szCs w:val="24"/>
          <w:lang w:val="es-CO"/>
        </w:rPr>
        <w:t xml:space="preserve"> el caso</w:t>
      </w:r>
      <w:r>
        <w:rPr>
          <w:rFonts w:cs="Arial"/>
          <w:szCs w:val="24"/>
          <w:lang w:val="es-CO"/>
        </w:rPr>
        <w:t xml:space="preserve"> </w:t>
      </w:r>
      <w:r w:rsidRPr="00A85FA5">
        <w:rPr>
          <w:rFonts w:cs="Arial"/>
          <w:szCs w:val="24"/>
          <w:lang w:val="es-CO"/>
        </w:rPr>
        <w:t xml:space="preserve">de un menor que había sido retirado del programa </w:t>
      </w:r>
      <w:r>
        <w:rPr>
          <w:rFonts w:cs="Arial"/>
          <w:szCs w:val="24"/>
          <w:lang w:val="es-CO"/>
        </w:rPr>
        <w:t xml:space="preserve">Hogar Gestor, </w:t>
      </w:r>
      <w:r w:rsidRPr="00A85FA5">
        <w:rPr>
          <w:rFonts w:cs="Arial"/>
          <w:szCs w:val="24"/>
          <w:lang w:val="es-CO"/>
        </w:rPr>
        <w:t>indicó que el solo hecho de excluir al menor del</w:t>
      </w:r>
      <w:r>
        <w:rPr>
          <w:rFonts w:cs="Arial"/>
          <w:szCs w:val="24"/>
          <w:lang w:val="es-CO"/>
        </w:rPr>
        <w:t xml:space="preserve"> </w:t>
      </w:r>
      <w:r w:rsidRPr="00A85FA5">
        <w:rPr>
          <w:rFonts w:cs="Arial"/>
          <w:szCs w:val="24"/>
          <w:lang w:val="es-CO"/>
        </w:rPr>
        <w:t>programa y la consecuencia inmediata de que el núcleo familiar del menor no</w:t>
      </w:r>
      <w:r>
        <w:rPr>
          <w:rFonts w:cs="Arial"/>
          <w:szCs w:val="24"/>
          <w:lang w:val="es-CO"/>
        </w:rPr>
        <w:t xml:space="preserve"> </w:t>
      </w:r>
      <w:r w:rsidRPr="00A85FA5">
        <w:rPr>
          <w:rFonts w:cs="Arial"/>
          <w:szCs w:val="24"/>
          <w:lang w:val="es-CO"/>
        </w:rPr>
        <w:t xml:space="preserve">reciba un apoyo económico no genera, </w:t>
      </w:r>
      <w:r w:rsidRPr="00A85FA5">
        <w:rPr>
          <w:rFonts w:cs="Arial"/>
          <w:i/>
          <w:iCs/>
          <w:szCs w:val="24"/>
          <w:lang w:val="es-CO"/>
        </w:rPr>
        <w:t>per se</w:t>
      </w:r>
      <w:r w:rsidRPr="00A85FA5">
        <w:rPr>
          <w:rFonts w:cs="Arial"/>
          <w:szCs w:val="24"/>
          <w:lang w:val="es-CO"/>
        </w:rPr>
        <w:t>, una vulneración del derecho a la</w:t>
      </w:r>
      <w:r>
        <w:rPr>
          <w:rFonts w:cs="Arial"/>
          <w:szCs w:val="24"/>
          <w:lang w:val="es-CO"/>
        </w:rPr>
        <w:t xml:space="preserve"> </w:t>
      </w:r>
      <w:r w:rsidRPr="00A85FA5">
        <w:rPr>
          <w:rFonts w:cs="Arial"/>
          <w:szCs w:val="24"/>
          <w:lang w:val="es-CO"/>
        </w:rPr>
        <w:t>salud del menor, toda vez que este se encontraba afiliado al Sistema General de</w:t>
      </w:r>
      <w:r>
        <w:rPr>
          <w:rFonts w:cs="Arial"/>
          <w:szCs w:val="24"/>
          <w:lang w:val="es-CO"/>
        </w:rPr>
        <w:t xml:space="preserve"> </w:t>
      </w:r>
      <w:r w:rsidRPr="00A85FA5">
        <w:rPr>
          <w:rFonts w:cs="Arial"/>
          <w:szCs w:val="24"/>
          <w:lang w:val="es-CO"/>
        </w:rPr>
        <w:t>Seguridad Social en Salud y la entidad promotora de salud estaba dispuesta a</w:t>
      </w:r>
      <w:r>
        <w:rPr>
          <w:rFonts w:cs="Arial"/>
          <w:szCs w:val="24"/>
          <w:lang w:val="es-CO"/>
        </w:rPr>
        <w:t xml:space="preserve"> </w:t>
      </w:r>
      <w:r w:rsidRPr="00A85FA5">
        <w:rPr>
          <w:rFonts w:cs="Arial"/>
          <w:szCs w:val="24"/>
          <w:lang w:val="es-CO"/>
        </w:rPr>
        <w:t>prestar los servi</w:t>
      </w:r>
      <w:r w:rsidR="006D5FE2">
        <w:rPr>
          <w:rFonts w:cs="Arial"/>
          <w:szCs w:val="24"/>
          <w:lang w:val="es-CO"/>
        </w:rPr>
        <w:t>cios médicos que se necesitaran, tal y como ocurre en el presente asunto.</w:t>
      </w:r>
    </w:p>
    <w:p w:rsidR="004869CD" w:rsidRPr="00A85FA5" w:rsidRDefault="004869CD" w:rsidP="004869CD">
      <w:pPr>
        <w:jc w:val="both"/>
        <w:rPr>
          <w:rFonts w:cs="Arial"/>
          <w:szCs w:val="24"/>
          <w:lang w:val="es-CO"/>
        </w:rPr>
      </w:pPr>
    </w:p>
    <w:p w:rsidR="004869CD" w:rsidRDefault="00C61BE5" w:rsidP="004869CD">
      <w:pPr>
        <w:jc w:val="both"/>
        <w:rPr>
          <w:rFonts w:cs="Arial"/>
          <w:szCs w:val="24"/>
          <w:lang w:val="es-CO"/>
        </w:rPr>
      </w:pPr>
      <w:r>
        <w:rPr>
          <w:rFonts w:cs="Arial"/>
          <w:szCs w:val="24"/>
          <w:lang w:val="es-CO"/>
        </w:rPr>
        <w:t>En el mismo</w:t>
      </w:r>
      <w:r w:rsidR="00333315">
        <w:rPr>
          <w:rFonts w:cs="Arial"/>
          <w:szCs w:val="24"/>
          <w:lang w:val="es-CO"/>
        </w:rPr>
        <w:t>,</w:t>
      </w:r>
      <w:r>
        <w:rPr>
          <w:rFonts w:cs="Arial"/>
          <w:szCs w:val="24"/>
          <w:lang w:val="es-CO"/>
        </w:rPr>
        <w:t xml:space="preserve"> la Corte recalcó </w:t>
      </w:r>
      <w:r w:rsidR="004869CD" w:rsidRPr="00A85FA5">
        <w:rPr>
          <w:rFonts w:cs="Arial"/>
          <w:szCs w:val="24"/>
          <w:lang w:val="es-CO"/>
        </w:rPr>
        <w:t>que el apoyo económico tenía como fin hacer cesar la situación de</w:t>
      </w:r>
      <w:r w:rsidR="004869CD">
        <w:rPr>
          <w:rFonts w:cs="Arial"/>
          <w:szCs w:val="24"/>
          <w:lang w:val="es-CO"/>
        </w:rPr>
        <w:t xml:space="preserve"> </w:t>
      </w:r>
      <w:r w:rsidR="004869CD" w:rsidRPr="00A85FA5">
        <w:rPr>
          <w:rFonts w:cs="Arial"/>
          <w:szCs w:val="24"/>
          <w:lang w:val="es-CO"/>
        </w:rPr>
        <w:t>vulnerabilidad y apoyar el fortalecimiento de la familia, para que esta asumiera</w:t>
      </w:r>
      <w:r w:rsidR="004869CD">
        <w:rPr>
          <w:rFonts w:cs="Arial"/>
          <w:szCs w:val="24"/>
          <w:lang w:val="es-CO"/>
        </w:rPr>
        <w:t xml:space="preserve"> </w:t>
      </w:r>
      <w:r w:rsidR="004869CD" w:rsidRPr="00A85FA5">
        <w:rPr>
          <w:rFonts w:cs="Arial"/>
          <w:szCs w:val="24"/>
          <w:lang w:val="es-CO"/>
        </w:rPr>
        <w:t>la obligación de garantizar el bienestar del menor. En este sentido</w:t>
      </w:r>
      <w:r w:rsidR="004869CD" w:rsidRPr="00A85FA5">
        <w:rPr>
          <w:rFonts w:cs="Arial"/>
          <w:i/>
          <w:iCs/>
          <w:szCs w:val="24"/>
          <w:lang w:val="es-CO"/>
        </w:rPr>
        <w:t>“[p]</w:t>
      </w:r>
      <w:proofErr w:type="spellStart"/>
      <w:r w:rsidR="004869CD" w:rsidRPr="00A85FA5">
        <w:rPr>
          <w:rFonts w:cs="Arial"/>
          <w:i/>
          <w:iCs/>
          <w:szCs w:val="24"/>
          <w:lang w:val="es-CO"/>
        </w:rPr>
        <w:t>ermitir</w:t>
      </w:r>
      <w:proofErr w:type="spellEnd"/>
      <w:r w:rsidR="004869CD">
        <w:rPr>
          <w:rFonts w:cs="Arial"/>
          <w:i/>
          <w:iCs/>
          <w:szCs w:val="24"/>
          <w:lang w:val="es-CO"/>
        </w:rPr>
        <w:t xml:space="preserve"> </w:t>
      </w:r>
      <w:r w:rsidR="004869CD" w:rsidRPr="00A85FA5">
        <w:rPr>
          <w:rFonts w:cs="Arial"/>
          <w:i/>
          <w:iCs/>
          <w:szCs w:val="24"/>
          <w:lang w:val="es-CO"/>
        </w:rPr>
        <w:t>derivar sin mayor análisis, que como el apoyo económico estaba dirigido</w:t>
      </w:r>
      <w:r w:rsidR="004869CD">
        <w:rPr>
          <w:rFonts w:cs="Arial"/>
          <w:i/>
          <w:iCs/>
          <w:szCs w:val="24"/>
          <w:lang w:val="es-CO"/>
        </w:rPr>
        <w:t xml:space="preserve"> </w:t>
      </w:r>
      <w:r w:rsidR="004869CD" w:rsidRPr="00A85FA5">
        <w:rPr>
          <w:rFonts w:cs="Arial"/>
          <w:i/>
          <w:iCs/>
          <w:szCs w:val="24"/>
          <w:lang w:val="es-CO"/>
        </w:rPr>
        <w:t>exclusivamente al tratamiento de la enfermedad del menor, entonces es</w:t>
      </w:r>
      <w:r w:rsidR="004869CD">
        <w:rPr>
          <w:rFonts w:cs="Arial"/>
          <w:i/>
          <w:iCs/>
          <w:szCs w:val="24"/>
          <w:lang w:val="es-CO"/>
        </w:rPr>
        <w:t xml:space="preserve"> </w:t>
      </w:r>
      <w:r w:rsidR="004869CD" w:rsidRPr="00A85FA5">
        <w:rPr>
          <w:rFonts w:cs="Arial"/>
          <w:i/>
          <w:iCs/>
          <w:szCs w:val="24"/>
          <w:lang w:val="es-CO"/>
        </w:rPr>
        <w:lastRenderedPageBreak/>
        <w:t>necesario el apoyo económico de manera indeterminada, implicaría</w:t>
      </w:r>
      <w:r w:rsidR="004869CD">
        <w:rPr>
          <w:rFonts w:cs="Arial"/>
          <w:i/>
          <w:iCs/>
          <w:szCs w:val="24"/>
          <w:lang w:val="es-CO"/>
        </w:rPr>
        <w:t xml:space="preserve"> </w:t>
      </w:r>
      <w:r w:rsidR="004869CD" w:rsidRPr="00A85FA5">
        <w:rPr>
          <w:rFonts w:cs="Arial"/>
          <w:i/>
          <w:iCs/>
          <w:szCs w:val="24"/>
          <w:lang w:val="es-CO"/>
        </w:rPr>
        <w:t>desnaturalizar no sólo el carácter transitorio de la medida, sino también la</w:t>
      </w:r>
      <w:r w:rsidR="004869CD">
        <w:rPr>
          <w:rFonts w:cs="Arial"/>
          <w:i/>
          <w:iCs/>
          <w:szCs w:val="24"/>
          <w:lang w:val="es-CO"/>
        </w:rPr>
        <w:t xml:space="preserve"> </w:t>
      </w:r>
      <w:r w:rsidR="004869CD" w:rsidRPr="00A85FA5">
        <w:rPr>
          <w:rFonts w:cs="Arial"/>
          <w:i/>
          <w:iCs/>
          <w:szCs w:val="24"/>
          <w:lang w:val="es-CO"/>
        </w:rPr>
        <w:t>finalidad misma del programa que no es suplir las necesidades de la</w:t>
      </w:r>
      <w:r w:rsidR="004869CD">
        <w:rPr>
          <w:rFonts w:cs="Arial"/>
          <w:i/>
          <w:iCs/>
          <w:szCs w:val="24"/>
          <w:lang w:val="es-CO"/>
        </w:rPr>
        <w:t xml:space="preserve"> </w:t>
      </w:r>
      <w:r w:rsidR="004869CD" w:rsidRPr="00A85FA5">
        <w:rPr>
          <w:rFonts w:cs="Arial"/>
          <w:i/>
          <w:iCs/>
          <w:szCs w:val="24"/>
          <w:lang w:val="es-CO"/>
        </w:rPr>
        <w:t>discapacidad, la cual, en este caso, es permanente e indefinida, sino el de</w:t>
      </w:r>
      <w:r w:rsidR="004869CD">
        <w:rPr>
          <w:rFonts w:cs="Arial"/>
          <w:i/>
          <w:iCs/>
          <w:szCs w:val="24"/>
          <w:lang w:val="es-CO"/>
        </w:rPr>
        <w:t xml:space="preserve"> </w:t>
      </w:r>
      <w:r w:rsidR="004869CD" w:rsidRPr="00A85FA5">
        <w:rPr>
          <w:rFonts w:cs="Arial"/>
          <w:i/>
          <w:iCs/>
          <w:szCs w:val="24"/>
          <w:lang w:val="es-CO"/>
        </w:rPr>
        <w:t>brindar apoyo para que la familia con ayuda de las entidades estatales busque</w:t>
      </w:r>
      <w:r w:rsidR="004869CD">
        <w:rPr>
          <w:rFonts w:cs="Arial"/>
          <w:i/>
          <w:iCs/>
          <w:szCs w:val="24"/>
          <w:lang w:val="es-CO"/>
        </w:rPr>
        <w:t xml:space="preserve"> </w:t>
      </w:r>
      <w:r w:rsidR="004869CD" w:rsidRPr="00A85FA5">
        <w:rPr>
          <w:rFonts w:cs="Arial"/>
          <w:i/>
          <w:iCs/>
          <w:szCs w:val="24"/>
          <w:lang w:val="es-CO"/>
        </w:rPr>
        <w:t>la satisfacción de dichos derechos</w:t>
      </w:r>
      <w:r w:rsidR="004869CD" w:rsidRPr="00A85FA5">
        <w:rPr>
          <w:rFonts w:cs="Arial"/>
          <w:szCs w:val="24"/>
          <w:lang w:val="es-CO"/>
        </w:rPr>
        <w:t>”.</w:t>
      </w:r>
    </w:p>
    <w:p w:rsidR="004869CD" w:rsidRDefault="004869CD" w:rsidP="004869CD">
      <w:pPr>
        <w:jc w:val="both"/>
        <w:rPr>
          <w:rFonts w:cs="Arial"/>
          <w:szCs w:val="24"/>
          <w:lang w:val="es-CO"/>
        </w:rPr>
      </w:pPr>
    </w:p>
    <w:p w:rsidR="004869CD" w:rsidRDefault="004869CD" w:rsidP="004869CD">
      <w:pPr>
        <w:jc w:val="both"/>
        <w:rPr>
          <w:rFonts w:cs="Arial"/>
          <w:i/>
          <w:iCs/>
          <w:szCs w:val="24"/>
          <w:lang w:val="es-CO"/>
        </w:rPr>
      </w:pPr>
      <w:r>
        <w:rPr>
          <w:rFonts w:cs="Arial"/>
          <w:szCs w:val="24"/>
          <w:lang w:val="es-CO"/>
        </w:rPr>
        <w:t xml:space="preserve">Así mismo se debe recordar que el máximo tribunal constitucional ha reiterado </w:t>
      </w:r>
      <w:r w:rsidRPr="00482A11">
        <w:rPr>
          <w:rFonts w:cs="Arial"/>
          <w:szCs w:val="24"/>
          <w:lang w:val="es-CO"/>
        </w:rPr>
        <w:t>que “</w:t>
      </w:r>
      <w:r w:rsidRPr="00482A11">
        <w:rPr>
          <w:rFonts w:cs="Arial"/>
          <w:i/>
          <w:iCs/>
          <w:szCs w:val="24"/>
          <w:lang w:val="es-CO"/>
        </w:rPr>
        <w:t>dentro de las obligaciones del ICBF se encuentra la de</w:t>
      </w:r>
      <w:r>
        <w:rPr>
          <w:rFonts w:cs="Arial"/>
          <w:i/>
          <w:iCs/>
          <w:szCs w:val="24"/>
          <w:lang w:val="es-CO"/>
        </w:rPr>
        <w:t xml:space="preserve"> </w:t>
      </w:r>
      <w:r w:rsidRPr="00482A11">
        <w:rPr>
          <w:rFonts w:cs="Arial"/>
          <w:i/>
          <w:iCs/>
          <w:szCs w:val="24"/>
          <w:lang w:val="es-CO"/>
        </w:rPr>
        <w:t>informar a las familias la transitoriedad de la medida y, a su vez, realizar una</w:t>
      </w:r>
      <w:r>
        <w:rPr>
          <w:rFonts w:cs="Arial"/>
          <w:i/>
          <w:iCs/>
          <w:szCs w:val="24"/>
          <w:lang w:val="es-CO"/>
        </w:rPr>
        <w:t xml:space="preserve"> </w:t>
      </w:r>
      <w:r w:rsidRPr="00482A11">
        <w:rPr>
          <w:rFonts w:cs="Arial"/>
          <w:i/>
          <w:iCs/>
          <w:szCs w:val="24"/>
          <w:lang w:val="es-CO"/>
        </w:rPr>
        <w:t>evaluación que permita dar cuenta de la superación de las condiciones de</w:t>
      </w:r>
      <w:r>
        <w:rPr>
          <w:rFonts w:cs="Arial"/>
          <w:i/>
          <w:iCs/>
          <w:szCs w:val="24"/>
          <w:lang w:val="es-CO"/>
        </w:rPr>
        <w:t xml:space="preserve"> </w:t>
      </w:r>
      <w:r w:rsidRPr="00482A11">
        <w:rPr>
          <w:rFonts w:cs="Arial"/>
          <w:i/>
          <w:iCs/>
          <w:szCs w:val="24"/>
          <w:lang w:val="es-CO"/>
        </w:rPr>
        <w:t>vulnerabilidad del menor de edad. De igual manera, en cabeza de la familia</w:t>
      </w:r>
      <w:r>
        <w:rPr>
          <w:rFonts w:cs="Arial"/>
          <w:i/>
          <w:iCs/>
          <w:szCs w:val="24"/>
          <w:lang w:val="es-CO"/>
        </w:rPr>
        <w:t xml:space="preserve"> </w:t>
      </w:r>
      <w:r w:rsidRPr="00482A11">
        <w:rPr>
          <w:rFonts w:cs="Arial"/>
          <w:i/>
          <w:iCs/>
          <w:szCs w:val="24"/>
          <w:lang w:val="es-CO"/>
        </w:rPr>
        <w:t>recae el deber de acoger las herramientas o directrices que brinda la entidad</w:t>
      </w:r>
      <w:r>
        <w:rPr>
          <w:rFonts w:cs="Arial"/>
          <w:szCs w:val="24"/>
          <w:lang w:val="es-CO"/>
        </w:rPr>
        <w:t xml:space="preserve"> </w:t>
      </w:r>
      <w:r w:rsidRPr="00482A11">
        <w:rPr>
          <w:rFonts w:cs="Arial"/>
          <w:i/>
          <w:iCs/>
          <w:szCs w:val="24"/>
          <w:lang w:val="es-CO"/>
        </w:rPr>
        <w:t xml:space="preserve">para al momento del egreso lograr el </w:t>
      </w:r>
      <w:proofErr w:type="spellStart"/>
      <w:r w:rsidRPr="00482A11">
        <w:rPr>
          <w:rFonts w:cs="Arial"/>
          <w:i/>
          <w:iCs/>
          <w:szCs w:val="24"/>
          <w:lang w:val="es-CO"/>
        </w:rPr>
        <w:t>autosostenimiento</w:t>
      </w:r>
      <w:proofErr w:type="spellEnd"/>
      <w:r w:rsidRPr="00482A11">
        <w:rPr>
          <w:rFonts w:cs="Arial"/>
          <w:i/>
          <w:iCs/>
          <w:szCs w:val="24"/>
          <w:lang w:val="es-CO"/>
        </w:rPr>
        <w:t xml:space="preserve"> pues, de evidenciar</w:t>
      </w:r>
      <w:r>
        <w:rPr>
          <w:rFonts w:cs="Arial"/>
          <w:i/>
          <w:iCs/>
          <w:szCs w:val="24"/>
          <w:lang w:val="es-CO"/>
        </w:rPr>
        <w:t xml:space="preserve"> </w:t>
      </w:r>
      <w:r w:rsidRPr="00482A11">
        <w:rPr>
          <w:rFonts w:cs="Arial"/>
          <w:i/>
          <w:iCs/>
          <w:szCs w:val="24"/>
          <w:lang w:val="es-CO"/>
        </w:rPr>
        <w:t>negligencia por parte de las personas a cargo del niño, no se puede predicar</w:t>
      </w:r>
      <w:r>
        <w:rPr>
          <w:rFonts w:cs="Arial"/>
          <w:i/>
          <w:iCs/>
          <w:szCs w:val="24"/>
          <w:lang w:val="es-CO"/>
        </w:rPr>
        <w:t xml:space="preserve"> </w:t>
      </w:r>
      <w:r w:rsidRPr="00482A11">
        <w:rPr>
          <w:rFonts w:cs="Arial"/>
          <w:i/>
          <w:iCs/>
          <w:szCs w:val="24"/>
          <w:lang w:val="es-CO"/>
        </w:rPr>
        <w:t>una vulneración de derechos al presentarse la terminación de la medida</w:t>
      </w:r>
      <w:r>
        <w:rPr>
          <w:rFonts w:cs="Arial"/>
          <w:i/>
          <w:iCs/>
          <w:szCs w:val="24"/>
          <w:lang w:val="es-CO"/>
        </w:rPr>
        <w:t>”</w:t>
      </w:r>
      <w:r>
        <w:rPr>
          <w:rStyle w:val="Refdenotaalpie"/>
          <w:rFonts w:cs="Arial"/>
          <w:i/>
          <w:iCs/>
          <w:szCs w:val="24"/>
          <w:lang w:val="es-CO"/>
        </w:rPr>
        <w:footnoteReference w:id="14"/>
      </w:r>
      <w:r>
        <w:rPr>
          <w:rFonts w:cs="Arial"/>
          <w:i/>
          <w:iCs/>
          <w:szCs w:val="24"/>
          <w:lang w:val="es-CO"/>
        </w:rPr>
        <w:t>.</w:t>
      </w:r>
    </w:p>
    <w:p w:rsidR="004869CD" w:rsidRDefault="004869CD" w:rsidP="006E7976">
      <w:pPr>
        <w:jc w:val="both"/>
        <w:rPr>
          <w:rFonts w:cs="Arial"/>
          <w:szCs w:val="24"/>
          <w:lang w:val="es-CO"/>
        </w:rPr>
      </w:pPr>
    </w:p>
    <w:p w:rsidR="00CE5AB9" w:rsidRDefault="00333315" w:rsidP="00490B06">
      <w:pPr>
        <w:jc w:val="both"/>
        <w:rPr>
          <w:rFonts w:cs="Arial"/>
          <w:szCs w:val="24"/>
          <w:lang w:val="es-CO"/>
        </w:rPr>
      </w:pPr>
      <w:r>
        <w:rPr>
          <w:rFonts w:cs="Arial"/>
          <w:szCs w:val="24"/>
          <w:lang w:val="es-CO"/>
        </w:rPr>
        <w:t xml:space="preserve">En el caso sub examine, </w:t>
      </w:r>
      <w:r w:rsidR="005B30A1">
        <w:rPr>
          <w:rFonts w:cs="Arial"/>
          <w:szCs w:val="24"/>
          <w:lang w:val="es-CO"/>
        </w:rPr>
        <w:t xml:space="preserve">se observa que la </w:t>
      </w:r>
      <w:r w:rsidR="005B30A1">
        <w:rPr>
          <w:rFonts w:cs="Arial"/>
          <w:iCs/>
          <w:szCs w:val="24"/>
        </w:rPr>
        <w:t>decisión adoptada por la autoridad administrativa</w:t>
      </w:r>
      <w:r w:rsidR="001F643F" w:rsidRPr="00523C93">
        <w:rPr>
          <w:rFonts w:cs="Arial"/>
          <w:szCs w:val="24"/>
          <w:lang w:val="es-CO"/>
        </w:rPr>
        <w:t xml:space="preserve"> </w:t>
      </w:r>
      <w:r w:rsidR="005B30A1">
        <w:rPr>
          <w:rFonts w:cs="Arial"/>
          <w:szCs w:val="24"/>
          <w:lang w:val="es-CO"/>
        </w:rPr>
        <w:t>fue</w:t>
      </w:r>
      <w:r w:rsidR="001F643F" w:rsidRPr="00523C93">
        <w:rPr>
          <w:rFonts w:cs="Arial"/>
          <w:szCs w:val="24"/>
          <w:lang w:val="es-CO"/>
        </w:rPr>
        <w:t xml:space="preserve"> precedida por un análisis de oportunidad, conducencia y conveniencia</w:t>
      </w:r>
      <w:r w:rsidR="005B30A1">
        <w:rPr>
          <w:rFonts w:cs="Arial"/>
          <w:szCs w:val="24"/>
          <w:lang w:val="es-CO"/>
        </w:rPr>
        <w:t xml:space="preserve">, </w:t>
      </w:r>
      <w:r w:rsidR="00C243E9">
        <w:rPr>
          <w:rFonts w:cs="Arial"/>
          <w:szCs w:val="24"/>
          <w:lang w:val="es-CO"/>
        </w:rPr>
        <w:t xml:space="preserve">ya que </w:t>
      </w:r>
      <w:r w:rsidR="00E75154">
        <w:rPr>
          <w:rFonts w:cs="Arial"/>
          <w:b/>
          <w:szCs w:val="24"/>
        </w:rPr>
        <w:t>Luis Andrés Díaz Gómez</w:t>
      </w:r>
      <w:r w:rsidR="00C243E9">
        <w:rPr>
          <w:rFonts w:cs="Arial"/>
          <w:szCs w:val="24"/>
          <w:lang w:val="es-CO"/>
        </w:rPr>
        <w:t xml:space="preserve"> tiene garantizados todos sus derechos por parte del medio familiar, se encuentra vinculado de forma efectiva al sistema de salud</w:t>
      </w:r>
      <w:r w:rsidR="006D5FE2">
        <w:rPr>
          <w:rFonts w:cs="Arial"/>
          <w:szCs w:val="24"/>
          <w:lang w:val="es-CO"/>
        </w:rPr>
        <w:t>;</w:t>
      </w:r>
      <w:r w:rsidR="00C243E9">
        <w:rPr>
          <w:rFonts w:cs="Arial"/>
          <w:szCs w:val="24"/>
          <w:lang w:val="es-CO"/>
        </w:rPr>
        <w:t xml:space="preserve"> al parecer es beneficiario de apoyo  por parte de la Secretaría de Integración Social</w:t>
      </w:r>
      <w:r w:rsidR="006D5FE2">
        <w:rPr>
          <w:rFonts w:cs="Arial"/>
          <w:szCs w:val="24"/>
          <w:lang w:val="es-CO"/>
        </w:rPr>
        <w:t>;</w:t>
      </w:r>
      <w:r w:rsidR="00C243E9">
        <w:rPr>
          <w:rFonts w:cs="Arial"/>
          <w:szCs w:val="24"/>
          <w:lang w:val="es-CO"/>
        </w:rPr>
        <w:t xml:space="preserve"> y, </w:t>
      </w:r>
      <w:r w:rsidR="00E75154">
        <w:rPr>
          <w:rFonts w:cs="Arial"/>
          <w:szCs w:val="24"/>
          <w:lang w:val="es-CO"/>
        </w:rPr>
        <w:t>la progenitora no tiene obligación alimentaria adicional, ante el fallecimiento de su hijo mayor quien</w:t>
      </w:r>
      <w:r w:rsidR="00490B06">
        <w:rPr>
          <w:rFonts w:cs="Arial"/>
          <w:szCs w:val="24"/>
          <w:lang w:val="es-CO"/>
        </w:rPr>
        <w:t>,</w:t>
      </w:r>
      <w:r w:rsidR="00E75154">
        <w:rPr>
          <w:rFonts w:cs="Arial"/>
          <w:szCs w:val="24"/>
          <w:lang w:val="es-CO"/>
        </w:rPr>
        <w:t xml:space="preserve"> valga la pena recordarlo</w:t>
      </w:r>
      <w:r w:rsidR="00490B06">
        <w:rPr>
          <w:rFonts w:cs="Arial"/>
          <w:szCs w:val="24"/>
          <w:lang w:val="es-CO"/>
        </w:rPr>
        <w:t>,</w:t>
      </w:r>
      <w:r w:rsidR="00E75154">
        <w:rPr>
          <w:rFonts w:cs="Arial"/>
          <w:szCs w:val="24"/>
          <w:lang w:val="es-CO"/>
        </w:rPr>
        <w:t xml:space="preserve"> también </w:t>
      </w:r>
      <w:r w:rsidR="00490B06">
        <w:rPr>
          <w:rFonts w:cs="Arial"/>
          <w:szCs w:val="24"/>
          <w:lang w:val="es-CO"/>
        </w:rPr>
        <w:t xml:space="preserve">fue </w:t>
      </w:r>
      <w:r w:rsidR="00E75154">
        <w:rPr>
          <w:rFonts w:cs="Arial"/>
          <w:szCs w:val="24"/>
          <w:lang w:val="es-CO"/>
        </w:rPr>
        <w:t>beneficiario del programa de Hogar Gestor</w:t>
      </w:r>
      <w:r w:rsidR="00490B06">
        <w:rPr>
          <w:rFonts w:cs="Arial"/>
          <w:szCs w:val="24"/>
          <w:lang w:val="es-CO"/>
        </w:rPr>
        <w:t xml:space="preserve">, sin que se tenga constancia que dichos dineros </w:t>
      </w:r>
      <w:r w:rsidR="00CE5AB9">
        <w:rPr>
          <w:rFonts w:cs="Arial"/>
          <w:szCs w:val="24"/>
          <w:lang w:val="es-CO"/>
        </w:rPr>
        <w:t xml:space="preserve">se hubieran </w:t>
      </w:r>
      <w:r w:rsidR="00714975">
        <w:rPr>
          <w:rFonts w:cs="Arial"/>
          <w:szCs w:val="24"/>
          <w:lang w:val="es-CO"/>
        </w:rPr>
        <w:t xml:space="preserve">invertido de forma favorable o provechosa </w:t>
      </w:r>
      <w:r w:rsidR="00CE5AB9">
        <w:rPr>
          <w:rFonts w:cs="Arial"/>
          <w:szCs w:val="24"/>
          <w:lang w:val="es-CO"/>
        </w:rPr>
        <w:t xml:space="preserve">para </w:t>
      </w:r>
      <w:r w:rsidR="00E75154">
        <w:rPr>
          <w:rFonts w:cs="Arial"/>
          <w:b/>
          <w:szCs w:val="24"/>
        </w:rPr>
        <w:t>Luis Andrés</w:t>
      </w:r>
      <w:r w:rsidR="00490B06">
        <w:rPr>
          <w:rFonts w:cs="Arial"/>
          <w:szCs w:val="24"/>
          <w:lang w:val="es-CO"/>
        </w:rPr>
        <w:t xml:space="preserve">, sino que por el contrario consta que eran usados </w:t>
      </w:r>
      <w:r w:rsidR="00CE5AB9">
        <w:rPr>
          <w:rFonts w:cs="Arial"/>
          <w:szCs w:val="24"/>
          <w:lang w:val="es-CO"/>
        </w:rPr>
        <w:t xml:space="preserve">para suplir los gastos </w:t>
      </w:r>
      <w:r w:rsidR="00490B06">
        <w:rPr>
          <w:rFonts w:cs="Arial"/>
          <w:szCs w:val="24"/>
          <w:lang w:val="es-CO"/>
        </w:rPr>
        <w:t xml:space="preserve">propios </w:t>
      </w:r>
      <w:r w:rsidR="00CE5AB9">
        <w:rPr>
          <w:rFonts w:cs="Arial"/>
          <w:szCs w:val="24"/>
          <w:lang w:val="es-CO"/>
        </w:rPr>
        <w:t>del hogar</w:t>
      </w:r>
      <w:r w:rsidR="00490B06">
        <w:rPr>
          <w:rFonts w:cs="Arial"/>
          <w:szCs w:val="24"/>
          <w:lang w:val="es-CO"/>
        </w:rPr>
        <w:t>, como por ejemplo para la compra de implementos de aseo de la casa (detergentes, papel higiénico)  y de pipeta de gas, desconociendo la finalidad de la medida decretada</w:t>
      </w:r>
      <w:r w:rsidR="00CE5AB9">
        <w:rPr>
          <w:rFonts w:cs="Arial"/>
          <w:szCs w:val="24"/>
          <w:lang w:val="es-CO"/>
        </w:rPr>
        <w:t>.</w:t>
      </w:r>
    </w:p>
    <w:p w:rsidR="00CE5AB9" w:rsidRDefault="00CE5AB9" w:rsidP="00714975">
      <w:pPr>
        <w:jc w:val="both"/>
        <w:rPr>
          <w:rFonts w:cs="Arial"/>
          <w:szCs w:val="24"/>
          <w:lang w:val="es-CO"/>
        </w:rPr>
      </w:pPr>
    </w:p>
    <w:p w:rsidR="001E70AD" w:rsidRDefault="006D5FE2" w:rsidP="002616E9">
      <w:pPr>
        <w:jc w:val="both"/>
        <w:rPr>
          <w:rFonts w:cs="Arial"/>
          <w:iCs/>
          <w:szCs w:val="24"/>
        </w:rPr>
      </w:pPr>
      <w:r>
        <w:rPr>
          <w:rFonts w:cs="Arial"/>
          <w:szCs w:val="24"/>
          <w:lang w:val="es-CO"/>
        </w:rPr>
        <w:t>En mérito de lo antes descrito</w:t>
      </w:r>
      <w:r w:rsidR="001E70AD">
        <w:rPr>
          <w:rFonts w:cs="Arial"/>
          <w:szCs w:val="24"/>
          <w:lang w:val="es-CO"/>
        </w:rPr>
        <w:t xml:space="preserve"> </w:t>
      </w:r>
      <w:r w:rsidR="001E70AD">
        <w:rPr>
          <w:rFonts w:cs="Arial"/>
          <w:iCs/>
          <w:szCs w:val="24"/>
          <w:lang w:val="es-CO"/>
        </w:rPr>
        <w:t>se solicita</w:t>
      </w:r>
      <w:r w:rsidR="002616E9">
        <w:rPr>
          <w:rFonts w:cs="Arial"/>
          <w:iCs/>
          <w:szCs w:val="24"/>
          <w:lang w:val="es-CO"/>
        </w:rPr>
        <w:t>:</w:t>
      </w:r>
      <w:r w:rsidR="001E70AD">
        <w:rPr>
          <w:rFonts w:cs="Arial"/>
          <w:iCs/>
          <w:szCs w:val="24"/>
          <w:lang w:val="es-CO"/>
        </w:rPr>
        <w:t xml:space="preserve"> </w:t>
      </w:r>
    </w:p>
    <w:p w:rsidR="001E70AD" w:rsidRDefault="001E70AD" w:rsidP="001E70AD">
      <w:pPr>
        <w:jc w:val="both"/>
        <w:rPr>
          <w:rFonts w:cs="Arial"/>
          <w:iCs/>
          <w:szCs w:val="24"/>
        </w:rPr>
      </w:pPr>
    </w:p>
    <w:p w:rsidR="00936A1A" w:rsidRDefault="002616E9" w:rsidP="00936A1A">
      <w:pPr>
        <w:jc w:val="both"/>
        <w:rPr>
          <w:rFonts w:cs="Arial"/>
          <w:szCs w:val="24"/>
          <w:lang w:val="es-CO"/>
        </w:rPr>
      </w:pPr>
      <w:r>
        <w:rPr>
          <w:rFonts w:cs="Arial"/>
          <w:b/>
          <w:iCs/>
          <w:szCs w:val="24"/>
          <w:lang w:val="es-CO"/>
        </w:rPr>
        <w:t>PRIMERO: Homologar</w:t>
      </w:r>
      <w:r w:rsidR="00936A1A">
        <w:rPr>
          <w:rFonts w:cs="Arial"/>
          <w:szCs w:val="24"/>
        </w:rPr>
        <w:t xml:space="preserve"> </w:t>
      </w:r>
      <w:r w:rsidR="00936A1A" w:rsidRPr="00CF74E0">
        <w:rPr>
          <w:rFonts w:cs="Arial"/>
          <w:szCs w:val="24"/>
        </w:rPr>
        <w:t>la Resolución</w:t>
      </w:r>
      <w:r w:rsidR="00936A1A">
        <w:rPr>
          <w:rFonts w:cs="Arial"/>
          <w:szCs w:val="24"/>
        </w:rPr>
        <w:t xml:space="preserve"> No</w:t>
      </w:r>
      <w:r w:rsidR="00936A1A">
        <w:rPr>
          <w:rFonts w:cs="Arial"/>
          <w:szCs w:val="24"/>
          <w:lang w:val="es-CO"/>
        </w:rPr>
        <w:t xml:space="preserve">. </w:t>
      </w:r>
      <w:r w:rsidR="00CE5AB9">
        <w:rPr>
          <w:rFonts w:cs="Arial"/>
          <w:szCs w:val="24"/>
          <w:lang w:val="es-CO"/>
        </w:rPr>
        <w:t>0</w:t>
      </w:r>
      <w:r w:rsidR="00490B06">
        <w:rPr>
          <w:rFonts w:cs="Arial"/>
          <w:szCs w:val="24"/>
          <w:lang w:val="es-CO"/>
        </w:rPr>
        <w:t>0374 del 12 de diciembre de 201</w:t>
      </w:r>
      <w:r w:rsidR="00490B06">
        <w:rPr>
          <w:rFonts w:cs="Arial"/>
          <w:szCs w:val="24"/>
          <w:lang w:val="es-CO"/>
        </w:rPr>
        <w:t>8,</w:t>
      </w:r>
      <w:r w:rsidR="00CE5AB9">
        <w:rPr>
          <w:rFonts w:cs="Arial"/>
          <w:szCs w:val="24"/>
          <w:lang w:val="es-CO"/>
        </w:rPr>
        <w:t xml:space="preserve"> por medio de la cual se da por terminado la medida de restablecimiento de derechos en la modalidad de Hogar Gestor</w:t>
      </w:r>
      <w:r w:rsidR="00936A1A">
        <w:rPr>
          <w:rFonts w:cs="Arial"/>
          <w:szCs w:val="24"/>
          <w:lang w:val="es-CO"/>
        </w:rPr>
        <w:t xml:space="preserve">, </w:t>
      </w:r>
      <w:r w:rsidR="00936A1A">
        <w:rPr>
          <w:rFonts w:cs="Arial"/>
          <w:szCs w:val="24"/>
        </w:rPr>
        <w:t xml:space="preserve">proferida </w:t>
      </w:r>
      <w:r w:rsidR="00936A1A" w:rsidRPr="00CF74E0">
        <w:rPr>
          <w:rFonts w:cs="Arial"/>
          <w:szCs w:val="24"/>
        </w:rPr>
        <w:t xml:space="preserve">dentro del proceso administrativo de restablecimiento de derechos </w:t>
      </w:r>
      <w:r w:rsidR="00936A1A">
        <w:rPr>
          <w:rFonts w:cs="Arial"/>
          <w:szCs w:val="24"/>
          <w:lang w:val="es-CO"/>
        </w:rPr>
        <w:t>de</w:t>
      </w:r>
      <w:r w:rsidR="009641F3">
        <w:rPr>
          <w:rFonts w:cs="Arial"/>
          <w:szCs w:val="24"/>
          <w:lang w:val="es-CO"/>
        </w:rPr>
        <w:t xml:space="preserve">l </w:t>
      </w:r>
      <w:r w:rsidR="006D5FE2">
        <w:rPr>
          <w:rFonts w:cs="Arial"/>
          <w:szCs w:val="24"/>
          <w:lang w:val="es-CO"/>
        </w:rPr>
        <w:t xml:space="preserve">joven </w:t>
      </w:r>
      <w:r w:rsidR="00E75154">
        <w:rPr>
          <w:rFonts w:cs="Arial"/>
          <w:b/>
          <w:szCs w:val="24"/>
        </w:rPr>
        <w:t>Luis Andrés Díaz Gómez</w:t>
      </w:r>
      <w:r w:rsidR="00714975" w:rsidRPr="00714975">
        <w:rPr>
          <w:rFonts w:cs="Arial"/>
          <w:szCs w:val="24"/>
          <w:lang w:val="es-CO"/>
        </w:rPr>
        <w:t xml:space="preserve">, </w:t>
      </w:r>
      <w:r w:rsidR="00714975">
        <w:rPr>
          <w:rFonts w:cs="Arial"/>
          <w:szCs w:val="24"/>
          <w:lang w:val="es-CO"/>
        </w:rPr>
        <w:t xml:space="preserve">puesto que la autoridad administrativa acredito </w:t>
      </w:r>
      <w:r w:rsidR="00714975" w:rsidRPr="006E7976">
        <w:rPr>
          <w:rFonts w:cs="Arial"/>
          <w:szCs w:val="24"/>
          <w:lang w:val="es-CO"/>
        </w:rPr>
        <w:t>el cumplimiento del objeto</w:t>
      </w:r>
      <w:r w:rsidR="00714975">
        <w:rPr>
          <w:rFonts w:cs="Arial"/>
          <w:szCs w:val="24"/>
          <w:lang w:val="es-CO"/>
        </w:rPr>
        <w:t xml:space="preserve"> </w:t>
      </w:r>
      <w:r w:rsidR="00714975" w:rsidRPr="006E7976">
        <w:rPr>
          <w:rFonts w:cs="Arial"/>
          <w:szCs w:val="24"/>
          <w:lang w:val="es-CO"/>
        </w:rPr>
        <w:t>por el cual el grupo familiar fue beneficiario de esta medida</w:t>
      </w:r>
      <w:r w:rsidR="00714975">
        <w:rPr>
          <w:rFonts w:cs="Arial"/>
          <w:szCs w:val="24"/>
          <w:lang w:val="es-CO"/>
        </w:rPr>
        <w:t xml:space="preserve"> y se encuentra </w:t>
      </w:r>
      <w:r w:rsidR="00714975" w:rsidRPr="006E7976">
        <w:rPr>
          <w:rFonts w:cs="Arial"/>
          <w:szCs w:val="24"/>
          <w:lang w:val="es-CO"/>
        </w:rPr>
        <w:t>comprobad</w:t>
      </w:r>
      <w:r w:rsidR="00714975">
        <w:rPr>
          <w:rFonts w:cs="Arial"/>
          <w:szCs w:val="24"/>
          <w:lang w:val="es-CO"/>
        </w:rPr>
        <w:t>a</w:t>
      </w:r>
      <w:r w:rsidR="00714975" w:rsidRPr="006E7976">
        <w:rPr>
          <w:rFonts w:cs="Arial"/>
          <w:szCs w:val="24"/>
          <w:lang w:val="es-CO"/>
        </w:rPr>
        <w:t xml:space="preserve"> la</w:t>
      </w:r>
      <w:r w:rsidR="00714975">
        <w:rPr>
          <w:rFonts w:cs="Arial"/>
          <w:szCs w:val="24"/>
          <w:lang w:val="es-CO"/>
        </w:rPr>
        <w:t xml:space="preserve"> </w:t>
      </w:r>
      <w:r w:rsidR="00714975" w:rsidRPr="006E7976">
        <w:rPr>
          <w:rFonts w:cs="Arial"/>
          <w:szCs w:val="24"/>
          <w:lang w:val="es-CO"/>
        </w:rPr>
        <w:t>superación del estado de vulnerabilidad</w:t>
      </w:r>
      <w:r w:rsidR="00714975">
        <w:rPr>
          <w:rFonts w:cs="Arial"/>
          <w:szCs w:val="24"/>
          <w:lang w:val="es-CO"/>
        </w:rPr>
        <w:t>.</w:t>
      </w:r>
    </w:p>
    <w:p w:rsidR="00936A1A" w:rsidRPr="009F358B" w:rsidRDefault="00936A1A" w:rsidP="00936A1A">
      <w:pPr>
        <w:jc w:val="both"/>
        <w:rPr>
          <w:rFonts w:cs="Arial"/>
          <w:iCs/>
          <w:szCs w:val="24"/>
          <w:lang w:val="es-CO"/>
        </w:rPr>
      </w:pPr>
    </w:p>
    <w:p w:rsidR="00F30C4E" w:rsidRDefault="00F30C4E" w:rsidP="004C03B9">
      <w:pPr>
        <w:jc w:val="both"/>
        <w:rPr>
          <w:rFonts w:cs="Arial"/>
          <w:szCs w:val="24"/>
        </w:rPr>
      </w:pPr>
      <w:r w:rsidRPr="00C44229">
        <w:rPr>
          <w:rFonts w:cs="Arial"/>
          <w:szCs w:val="24"/>
        </w:rPr>
        <w:t>Cordialmente,</w:t>
      </w:r>
    </w:p>
    <w:p w:rsidR="00D22BFB" w:rsidRPr="00C44229" w:rsidRDefault="00D22BFB" w:rsidP="004C03B9">
      <w:pPr>
        <w:jc w:val="both"/>
        <w:rPr>
          <w:rFonts w:cs="Arial"/>
          <w:szCs w:val="24"/>
        </w:rPr>
      </w:pPr>
    </w:p>
    <w:p w:rsidR="00F30C4E" w:rsidRPr="00C44229" w:rsidRDefault="00F30C4E" w:rsidP="004C03B9">
      <w:pPr>
        <w:jc w:val="center"/>
        <w:rPr>
          <w:rFonts w:cs="Arial"/>
          <w:b/>
          <w:szCs w:val="24"/>
        </w:rPr>
      </w:pPr>
      <w:r w:rsidRPr="00C44229">
        <w:rPr>
          <w:rFonts w:cs="Arial"/>
          <w:b/>
          <w:szCs w:val="24"/>
        </w:rPr>
        <w:t>PABLO SERGIO SANDINO BADILLO GARCIA</w:t>
      </w:r>
    </w:p>
    <w:p w:rsidR="00F30C4E" w:rsidRPr="00C44229" w:rsidRDefault="00F30C4E" w:rsidP="004C03B9">
      <w:pPr>
        <w:jc w:val="center"/>
        <w:rPr>
          <w:rFonts w:cs="Arial"/>
          <w:b/>
          <w:szCs w:val="24"/>
        </w:rPr>
      </w:pPr>
      <w:r w:rsidRPr="00C44229">
        <w:rPr>
          <w:rFonts w:cs="Arial"/>
          <w:szCs w:val="24"/>
        </w:rPr>
        <w:t xml:space="preserve">Procurador 246 Judicial I </w:t>
      </w:r>
    </w:p>
    <w:sectPr w:rsidR="00F30C4E" w:rsidRPr="00C44229" w:rsidSect="00541A3F">
      <w:headerReference w:type="default" r:id="rId8"/>
      <w:footerReference w:type="default" r:id="rId9"/>
      <w:pgSz w:w="12240" w:h="18720" w:code="14"/>
      <w:pgMar w:top="3402" w:right="1701" w:bottom="1701" w:left="1701" w:header="902" w:footer="1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380" w:rsidRDefault="002A0380">
      <w:r>
        <w:separator/>
      </w:r>
    </w:p>
  </w:endnote>
  <w:endnote w:type="continuationSeparator" w:id="0">
    <w:p w:rsidR="002A0380" w:rsidRDefault="002A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72A" w:rsidRPr="001B7DDA" w:rsidRDefault="00A9672A" w:rsidP="006F3F22">
    <w:pPr>
      <w:pStyle w:val="Piedepgina"/>
      <w:jc w:val="center"/>
      <w:rPr>
        <w:rFonts w:cs="Arial"/>
        <w:i/>
        <w:color w:val="17365D" w:themeColor="text2" w:themeShade="BF"/>
      </w:rPr>
    </w:pPr>
    <w:r w:rsidRPr="001B7DDA">
      <w:rPr>
        <w:rFonts w:cs="Arial"/>
        <w:i/>
        <w:color w:val="17365D" w:themeColor="text2" w:themeShade="BF"/>
      </w:rPr>
      <w:t xml:space="preserve">Procuraduría 246 Judicial I para la Defensa de los Derechos </w:t>
    </w:r>
  </w:p>
  <w:p w:rsidR="00A9672A" w:rsidRPr="001B7DDA" w:rsidRDefault="00A9672A" w:rsidP="006F3F22">
    <w:pPr>
      <w:pStyle w:val="Piedepgina"/>
      <w:jc w:val="center"/>
      <w:rPr>
        <w:rFonts w:cs="Arial"/>
        <w:i/>
        <w:color w:val="17365D" w:themeColor="text2" w:themeShade="BF"/>
      </w:rPr>
    </w:pPr>
    <w:proofErr w:type="gramStart"/>
    <w:r w:rsidRPr="001B7DDA">
      <w:rPr>
        <w:rFonts w:cs="Arial"/>
        <w:i/>
        <w:color w:val="17365D" w:themeColor="text2" w:themeShade="BF"/>
      </w:rPr>
      <w:t>de</w:t>
    </w:r>
    <w:proofErr w:type="gramEnd"/>
    <w:r w:rsidRPr="001B7DDA">
      <w:rPr>
        <w:rFonts w:cs="Arial"/>
        <w:i/>
        <w:color w:val="17365D" w:themeColor="text2" w:themeShade="BF"/>
      </w:rPr>
      <w:t xml:space="preserve"> la Infancia, la Adolescencia y la Familia </w:t>
    </w:r>
  </w:p>
  <w:p w:rsidR="00A9672A" w:rsidRPr="001B7DDA" w:rsidRDefault="00A9672A" w:rsidP="006F3F22">
    <w:pPr>
      <w:pStyle w:val="Piedepgina"/>
      <w:jc w:val="center"/>
      <w:rPr>
        <w:rFonts w:cs="Arial"/>
        <w:i/>
        <w:color w:val="17365D" w:themeColor="text2" w:themeShade="BF"/>
      </w:rPr>
    </w:pPr>
    <w:r w:rsidRPr="001B7DDA">
      <w:rPr>
        <w:rFonts w:cs="Arial"/>
        <w:i/>
        <w:color w:val="17365D" w:themeColor="text2" w:themeShade="BF"/>
      </w:rPr>
      <w:t>Calle 16 N°. 4 – 75, Piso 2° Oficina 202</w:t>
    </w:r>
  </w:p>
  <w:p w:rsidR="00A9672A" w:rsidRPr="001B7DDA" w:rsidRDefault="00A9672A" w:rsidP="006F3F22">
    <w:pPr>
      <w:pStyle w:val="Piedepgina"/>
      <w:jc w:val="center"/>
      <w:rPr>
        <w:color w:val="17365D" w:themeColor="text2" w:themeShade="BF"/>
      </w:rPr>
    </w:pPr>
    <w:r w:rsidRPr="001B7DDA">
      <w:rPr>
        <w:rFonts w:cs="Arial"/>
        <w:i/>
        <w:color w:val="17365D" w:themeColor="text2" w:themeShade="BF"/>
      </w:rPr>
      <w:t>Teléfono: 5878750 Ext. 13511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380" w:rsidRDefault="002A0380">
      <w:r>
        <w:separator/>
      </w:r>
    </w:p>
  </w:footnote>
  <w:footnote w:type="continuationSeparator" w:id="0">
    <w:p w:rsidR="002A0380" w:rsidRDefault="002A0380">
      <w:r>
        <w:continuationSeparator/>
      </w:r>
    </w:p>
  </w:footnote>
  <w:footnote w:id="1">
    <w:p w:rsidR="00A9672A" w:rsidRPr="002F1E11" w:rsidRDefault="00A9672A">
      <w:pPr>
        <w:pStyle w:val="Textonotapie"/>
        <w:rPr>
          <w:lang w:val="es-CO"/>
        </w:rPr>
      </w:pPr>
      <w:r>
        <w:rPr>
          <w:rStyle w:val="Refdenotaalpie"/>
        </w:rPr>
        <w:footnoteRef/>
      </w:r>
      <w:r>
        <w:t xml:space="preserve"> </w:t>
      </w:r>
      <w:r w:rsidRPr="002F1E11">
        <w:rPr>
          <w:lang w:val="es-CO"/>
        </w:rPr>
        <w:t>Sentencia T-260 de 2012.</w:t>
      </w:r>
    </w:p>
  </w:footnote>
  <w:footnote w:id="2">
    <w:p w:rsidR="00A9672A" w:rsidRPr="002F1E11" w:rsidRDefault="00A9672A">
      <w:pPr>
        <w:pStyle w:val="Textonotapie"/>
        <w:rPr>
          <w:lang w:val="es-CO"/>
        </w:rPr>
      </w:pPr>
      <w:r>
        <w:rPr>
          <w:rStyle w:val="Refdenotaalpie"/>
        </w:rPr>
        <w:footnoteRef/>
      </w:r>
      <w:r>
        <w:t xml:space="preserve"> </w:t>
      </w:r>
      <w:r w:rsidRPr="002F1E11">
        <w:rPr>
          <w:lang w:val="es-CO"/>
        </w:rPr>
        <w:t>Sentencia C-569 de 2016</w:t>
      </w:r>
    </w:p>
  </w:footnote>
  <w:footnote w:id="3">
    <w:p w:rsidR="00A9672A" w:rsidRPr="002F1E11" w:rsidRDefault="00A9672A">
      <w:pPr>
        <w:pStyle w:val="Textonotapie"/>
        <w:rPr>
          <w:lang w:val="es-CO"/>
        </w:rPr>
      </w:pPr>
      <w:r>
        <w:rPr>
          <w:rStyle w:val="Refdenotaalpie"/>
        </w:rPr>
        <w:footnoteRef/>
      </w:r>
      <w:r>
        <w:t xml:space="preserve"> </w:t>
      </w:r>
      <w:r w:rsidRPr="002F1E11">
        <w:rPr>
          <w:lang w:val="es-CO"/>
        </w:rPr>
        <w:t>Convención sobre los Derechos del Niño, 1990, Art. 5.</w:t>
      </w:r>
    </w:p>
  </w:footnote>
  <w:footnote w:id="4">
    <w:p w:rsidR="00A9672A" w:rsidRPr="00C00F49" w:rsidRDefault="00A9672A">
      <w:pPr>
        <w:pStyle w:val="Textonotapie"/>
        <w:rPr>
          <w:lang w:val="es-CO"/>
        </w:rPr>
      </w:pPr>
      <w:r>
        <w:rPr>
          <w:rStyle w:val="Refdenotaalpie"/>
        </w:rPr>
        <w:footnoteRef/>
      </w:r>
      <w:r>
        <w:t xml:space="preserve"> </w:t>
      </w:r>
      <w:r>
        <w:rPr>
          <w:rFonts w:eastAsiaTheme="minorHAnsi"/>
          <w:lang w:val="es-CO" w:eastAsia="en-US"/>
        </w:rPr>
        <w:t>Convención sobre los Derechos del Niño, 1990, Arts. 9 núm. 1 y 19</w:t>
      </w:r>
    </w:p>
  </w:footnote>
  <w:footnote w:id="5">
    <w:p w:rsidR="00A9672A" w:rsidRPr="00C00F49" w:rsidRDefault="00A9672A">
      <w:pPr>
        <w:pStyle w:val="Textonotapie"/>
        <w:rPr>
          <w:lang w:val="es-CO"/>
        </w:rPr>
      </w:pPr>
      <w:r>
        <w:rPr>
          <w:rStyle w:val="Refdenotaalpie"/>
        </w:rPr>
        <w:footnoteRef/>
      </w:r>
      <w:r>
        <w:t xml:space="preserve"> </w:t>
      </w:r>
      <w:r>
        <w:rPr>
          <w:rFonts w:eastAsiaTheme="minorHAnsi"/>
          <w:lang w:val="es-CO" w:eastAsia="en-US"/>
        </w:rPr>
        <w:t>Sentencia T-397 de 2004</w:t>
      </w:r>
    </w:p>
  </w:footnote>
  <w:footnote w:id="6">
    <w:p w:rsidR="00A9672A" w:rsidRPr="006F13C6" w:rsidRDefault="00A9672A" w:rsidP="00EA1D6F">
      <w:pPr>
        <w:pStyle w:val="Textonotapie"/>
        <w:jc w:val="both"/>
        <w:rPr>
          <w:lang w:val="es-CO"/>
        </w:rPr>
      </w:pPr>
      <w:r>
        <w:rPr>
          <w:rStyle w:val="Refdenotaalpie"/>
        </w:rPr>
        <w:footnoteRef/>
      </w:r>
      <w:r w:rsidRPr="00E36959">
        <w:t> </w:t>
      </w:r>
      <w:r w:rsidRPr="006F13C6">
        <w:t>Resolución No. 5929 del 27 de diciembre de 2010.</w:t>
      </w:r>
    </w:p>
  </w:footnote>
  <w:footnote w:id="7">
    <w:p w:rsidR="00A9672A" w:rsidRPr="006F13C6" w:rsidRDefault="00A9672A" w:rsidP="00EA1D6F">
      <w:pPr>
        <w:pStyle w:val="Textonotapie"/>
        <w:jc w:val="both"/>
      </w:pPr>
      <w:r w:rsidRPr="006F13C6">
        <w:rPr>
          <w:rStyle w:val="Refdenotaalpie"/>
        </w:rPr>
        <w:footnoteRef/>
      </w:r>
      <w:r w:rsidRPr="006F13C6">
        <w:rPr>
          <w:color w:val="2D2D2D"/>
          <w:shd w:val="clear" w:color="auto" w:fill="FFFFFF"/>
        </w:rPr>
        <w:t xml:space="preserve"> Al respecto, se pueden consultar, entre otras, las sentencias T-679 de 2012 (M.P. María Victoria Calle Correa), T-569 de 2013 (M.P. Luis Ernesto Vargas Silva) y T-768 de 2013 (M.P. Jorge Ignacio </w:t>
      </w:r>
      <w:proofErr w:type="spellStart"/>
      <w:r w:rsidRPr="006F13C6">
        <w:rPr>
          <w:color w:val="2D2D2D"/>
          <w:shd w:val="clear" w:color="auto" w:fill="FFFFFF"/>
        </w:rPr>
        <w:t>PreteltChaljub</w:t>
      </w:r>
      <w:proofErr w:type="spellEnd"/>
      <w:r w:rsidRPr="006F13C6">
        <w:rPr>
          <w:color w:val="2D2D2D"/>
          <w:shd w:val="clear" w:color="auto" w:fill="FFFFFF"/>
        </w:rPr>
        <w:t>).</w:t>
      </w:r>
    </w:p>
  </w:footnote>
  <w:footnote w:id="8">
    <w:p w:rsidR="00A9672A" w:rsidRPr="0000635D" w:rsidRDefault="00A9672A" w:rsidP="00EA1D6F">
      <w:pPr>
        <w:pStyle w:val="Textonotapie"/>
        <w:jc w:val="both"/>
      </w:pPr>
      <w:r w:rsidRPr="006F13C6">
        <w:rPr>
          <w:rStyle w:val="Refdenotaalpie"/>
        </w:rPr>
        <w:footnoteRef/>
      </w:r>
      <w:r w:rsidRPr="006F13C6">
        <w:rPr>
          <w:color w:val="2D2D2D"/>
          <w:shd w:val="clear" w:color="auto" w:fill="FFFFFF"/>
        </w:rPr>
        <w:t>Sentencia T-378 de 1995 (M.P. José Gregorio Hernández Galindo).</w:t>
      </w:r>
    </w:p>
  </w:footnote>
  <w:footnote w:id="9">
    <w:p w:rsidR="00A9672A" w:rsidRPr="0000635D" w:rsidRDefault="00A9672A" w:rsidP="00EA1D6F">
      <w:pPr>
        <w:pStyle w:val="Textonotapie"/>
        <w:jc w:val="both"/>
      </w:pPr>
      <w:r>
        <w:rPr>
          <w:rStyle w:val="Refdenotaalpie"/>
        </w:rPr>
        <w:footnoteRef/>
      </w:r>
      <w:r>
        <w:rPr>
          <w:color w:val="2D2D2D"/>
          <w:shd w:val="clear" w:color="auto" w:fill="FFFFFF"/>
        </w:rPr>
        <w:t xml:space="preserve"> Sentencia T-510 de 2003 (M.P. Manuel José Cepeda Espinosa).</w:t>
      </w:r>
    </w:p>
  </w:footnote>
  <w:footnote w:id="10">
    <w:p w:rsidR="00A9672A" w:rsidRPr="00D64662" w:rsidRDefault="00A9672A" w:rsidP="00EA1D6F">
      <w:pPr>
        <w:pStyle w:val="Textonotapie"/>
      </w:pPr>
      <w:r>
        <w:rPr>
          <w:rStyle w:val="Refdenotaalpie"/>
        </w:rPr>
        <w:footnoteRef/>
      </w:r>
      <w:r>
        <w:rPr>
          <w:color w:val="2D2D2D"/>
          <w:shd w:val="clear" w:color="auto" w:fill="FFFFFF"/>
        </w:rPr>
        <w:t xml:space="preserve"> Sentencia T-572 de 2009. M.P. Humberto Antonio Sierra Porto.</w:t>
      </w:r>
    </w:p>
  </w:footnote>
  <w:footnote w:id="11">
    <w:p w:rsidR="00A9672A" w:rsidRPr="00D64662" w:rsidRDefault="00A9672A" w:rsidP="00EA1D6F">
      <w:pPr>
        <w:pStyle w:val="Textonotapie"/>
      </w:pPr>
      <w:r>
        <w:rPr>
          <w:rStyle w:val="Refdenotaalpie"/>
        </w:rPr>
        <w:footnoteRef/>
      </w:r>
      <w:r>
        <w:rPr>
          <w:color w:val="2D2D2D"/>
          <w:shd w:val="clear" w:color="auto" w:fill="FFFFFF"/>
        </w:rPr>
        <w:t xml:space="preserve">Sentencia T- 276 de 2012; M. P. Jorge Ignacio </w:t>
      </w:r>
      <w:proofErr w:type="spellStart"/>
      <w:r>
        <w:rPr>
          <w:color w:val="2D2D2D"/>
          <w:shd w:val="clear" w:color="auto" w:fill="FFFFFF"/>
        </w:rPr>
        <w:t>Pretelt</w:t>
      </w:r>
      <w:proofErr w:type="spellEnd"/>
      <w:r>
        <w:rPr>
          <w:color w:val="2D2D2D"/>
          <w:shd w:val="clear" w:color="auto" w:fill="FFFFFF"/>
        </w:rPr>
        <w:t xml:space="preserve"> </w:t>
      </w:r>
      <w:proofErr w:type="spellStart"/>
      <w:r>
        <w:rPr>
          <w:color w:val="2D2D2D"/>
          <w:shd w:val="clear" w:color="auto" w:fill="FFFFFF"/>
        </w:rPr>
        <w:t>Chaljub</w:t>
      </w:r>
      <w:proofErr w:type="spellEnd"/>
    </w:p>
  </w:footnote>
  <w:footnote w:id="12">
    <w:p w:rsidR="00A9672A" w:rsidRPr="00A82679" w:rsidRDefault="00A9672A">
      <w:pPr>
        <w:pStyle w:val="Textonotapie"/>
        <w:rPr>
          <w:lang w:val="es-CO"/>
        </w:rPr>
      </w:pPr>
      <w:r>
        <w:rPr>
          <w:rStyle w:val="Refdenotaalpie"/>
        </w:rPr>
        <w:footnoteRef/>
      </w:r>
      <w:r>
        <w:t xml:space="preserve"> </w:t>
      </w:r>
      <w:r w:rsidRPr="00A82679">
        <w:t>Artículo 22 ley 1098 del 2006.</w:t>
      </w:r>
    </w:p>
  </w:footnote>
  <w:footnote w:id="13">
    <w:p w:rsidR="00A9672A" w:rsidRPr="003D4067" w:rsidRDefault="00A9672A">
      <w:pPr>
        <w:pStyle w:val="Textonotapie"/>
        <w:rPr>
          <w:lang w:val="es-CO"/>
        </w:rPr>
      </w:pPr>
      <w:r>
        <w:rPr>
          <w:rStyle w:val="Refdenotaalpie"/>
        </w:rPr>
        <w:footnoteRef/>
      </w:r>
      <w:r>
        <w:t xml:space="preserve"> </w:t>
      </w:r>
      <w:r>
        <w:rPr>
          <w:rFonts w:eastAsiaTheme="minorHAnsi"/>
          <w:lang w:val="es-CO" w:eastAsia="en-US"/>
        </w:rPr>
        <w:t>Sentencia T-301 de 2014.</w:t>
      </w:r>
    </w:p>
  </w:footnote>
  <w:footnote w:id="14">
    <w:p w:rsidR="004869CD" w:rsidRPr="006E7976" w:rsidRDefault="004869CD" w:rsidP="004869CD">
      <w:pPr>
        <w:pStyle w:val="Textonotapie"/>
        <w:rPr>
          <w:lang w:val="es-CO"/>
        </w:rPr>
      </w:pPr>
      <w:r w:rsidRPr="006E7976">
        <w:rPr>
          <w:rStyle w:val="Refdenotaalpie"/>
        </w:rPr>
        <w:footnoteRef/>
      </w:r>
      <w:r w:rsidRPr="006E7976">
        <w:t xml:space="preserve"> </w:t>
      </w:r>
      <w:r>
        <w:rPr>
          <w:rFonts w:eastAsiaTheme="minorHAnsi"/>
          <w:lang w:val="es-CO" w:eastAsia="en-US"/>
        </w:rPr>
        <w:t xml:space="preserve">Sentencias T-244 de 2005 y T-608 de 2007, reiterado en </w:t>
      </w:r>
      <w:r w:rsidRPr="006E7976">
        <w:rPr>
          <w:bCs/>
          <w:lang w:val="es-CO"/>
        </w:rPr>
        <w:t>sentencia T-215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72A" w:rsidRDefault="00A9672A" w:rsidP="006F3F22">
    <w:pPr>
      <w:pStyle w:val="Encabezado"/>
      <w:jc w:val="center"/>
      <w:rPr>
        <w:noProof/>
        <w:sz w:val="20"/>
        <w:lang w:val="es-CO" w:eastAsia="es-CO"/>
      </w:rPr>
    </w:pPr>
    <w:r>
      <w:rPr>
        <w:noProof/>
        <w:sz w:val="20"/>
        <w:lang w:val="es-CO" w:eastAsia="es-CO"/>
      </w:rPr>
      <w:drawing>
        <wp:inline distT="0" distB="0" distL="0" distR="0">
          <wp:extent cx="895985" cy="1383665"/>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1383665"/>
                  </a:xfrm>
                  <a:prstGeom prst="rect">
                    <a:avLst/>
                  </a:prstGeom>
                  <a:noFill/>
                </pic:spPr>
              </pic:pic>
            </a:graphicData>
          </a:graphic>
        </wp:inline>
      </w:drawing>
    </w:r>
  </w:p>
  <w:p w:rsidR="00A9672A" w:rsidRDefault="00A9672A" w:rsidP="006F3F22">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40"/>
    <w:multiLevelType w:val="hybridMultilevel"/>
    <w:tmpl w:val="0AE0790C"/>
    <w:lvl w:ilvl="0" w:tplc="64B6131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1DA0DE9"/>
    <w:multiLevelType w:val="hybridMultilevel"/>
    <w:tmpl w:val="0AE0790C"/>
    <w:lvl w:ilvl="0" w:tplc="64B6131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40125EE"/>
    <w:multiLevelType w:val="hybridMultilevel"/>
    <w:tmpl w:val="0E7863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8EC40FA"/>
    <w:multiLevelType w:val="hybridMultilevel"/>
    <w:tmpl w:val="0AE0790C"/>
    <w:lvl w:ilvl="0" w:tplc="64B6131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A4910EE"/>
    <w:multiLevelType w:val="hybridMultilevel"/>
    <w:tmpl w:val="11705B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E47467E"/>
    <w:multiLevelType w:val="hybridMultilevel"/>
    <w:tmpl w:val="83CCB234"/>
    <w:lvl w:ilvl="0" w:tplc="19CCF70C">
      <w:start w:val="1"/>
      <w:numFmt w:val="bullet"/>
      <w:lvlText w:val=""/>
      <w:lvlJc w:val="left"/>
      <w:pPr>
        <w:tabs>
          <w:tab w:val="num" w:pos="644"/>
        </w:tabs>
        <w:ind w:left="644"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7646C13"/>
    <w:multiLevelType w:val="hybridMultilevel"/>
    <w:tmpl w:val="62A009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7A223FE"/>
    <w:multiLevelType w:val="hybridMultilevel"/>
    <w:tmpl w:val="C69CD9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CB6009F"/>
    <w:multiLevelType w:val="hybridMultilevel"/>
    <w:tmpl w:val="0AE0790C"/>
    <w:lvl w:ilvl="0" w:tplc="64B6131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1F25B12"/>
    <w:multiLevelType w:val="hybridMultilevel"/>
    <w:tmpl w:val="0AE0790C"/>
    <w:lvl w:ilvl="0" w:tplc="64B6131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E7E23D5"/>
    <w:multiLevelType w:val="hybridMultilevel"/>
    <w:tmpl w:val="0AE0790C"/>
    <w:lvl w:ilvl="0" w:tplc="64B6131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18A173E"/>
    <w:multiLevelType w:val="hybridMultilevel"/>
    <w:tmpl w:val="1A967346"/>
    <w:lvl w:ilvl="0" w:tplc="6752487C">
      <w:start w:val="5"/>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2D23790"/>
    <w:multiLevelType w:val="hybridMultilevel"/>
    <w:tmpl w:val="0AE0790C"/>
    <w:lvl w:ilvl="0" w:tplc="64B6131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F065645"/>
    <w:multiLevelType w:val="hybridMultilevel"/>
    <w:tmpl w:val="C826D52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F8B69AC"/>
    <w:multiLevelType w:val="hybridMultilevel"/>
    <w:tmpl w:val="373C66B2"/>
    <w:lvl w:ilvl="0" w:tplc="18F6F964">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0BB1778"/>
    <w:multiLevelType w:val="hybridMultilevel"/>
    <w:tmpl w:val="0AE0790C"/>
    <w:lvl w:ilvl="0" w:tplc="64B6131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4D84AA6"/>
    <w:multiLevelType w:val="hybridMultilevel"/>
    <w:tmpl w:val="0AE0790C"/>
    <w:lvl w:ilvl="0" w:tplc="64B6131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9"/>
  </w:num>
  <w:num w:numId="5">
    <w:abstractNumId w:val="16"/>
  </w:num>
  <w:num w:numId="6">
    <w:abstractNumId w:val="15"/>
  </w:num>
  <w:num w:numId="7">
    <w:abstractNumId w:val="3"/>
  </w:num>
  <w:num w:numId="8">
    <w:abstractNumId w:val="1"/>
  </w:num>
  <w:num w:numId="9">
    <w:abstractNumId w:val="12"/>
  </w:num>
  <w:num w:numId="10">
    <w:abstractNumId w:val="0"/>
  </w:num>
  <w:num w:numId="11">
    <w:abstractNumId w:val="7"/>
  </w:num>
  <w:num w:numId="12">
    <w:abstractNumId w:val="11"/>
  </w:num>
  <w:num w:numId="13">
    <w:abstractNumId w:val="5"/>
  </w:num>
  <w:num w:numId="14">
    <w:abstractNumId w:val="4"/>
  </w:num>
  <w:num w:numId="15">
    <w:abstractNumId w:val="13"/>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89A"/>
    <w:rsid w:val="0000635D"/>
    <w:rsid w:val="00006E8A"/>
    <w:rsid w:val="00010ACC"/>
    <w:rsid w:val="00015D9F"/>
    <w:rsid w:val="00016C25"/>
    <w:rsid w:val="00020BFB"/>
    <w:rsid w:val="00025C46"/>
    <w:rsid w:val="00057FE4"/>
    <w:rsid w:val="0006602E"/>
    <w:rsid w:val="00075037"/>
    <w:rsid w:val="00096402"/>
    <w:rsid w:val="000C5BE6"/>
    <w:rsid w:val="000C7DAE"/>
    <w:rsid w:val="000E66AE"/>
    <w:rsid w:val="0010088B"/>
    <w:rsid w:val="00116409"/>
    <w:rsid w:val="00137F38"/>
    <w:rsid w:val="001559A2"/>
    <w:rsid w:val="00160FAF"/>
    <w:rsid w:val="00165CCD"/>
    <w:rsid w:val="00192643"/>
    <w:rsid w:val="00193590"/>
    <w:rsid w:val="001A0896"/>
    <w:rsid w:val="001A0BE9"/>
    <w:rsid w:val="001A42A1"/>
    <w:rsid w:val="001C3B0D"/>
    <w:rsid w:val="001C75C2"/>
    <w:rsid w:val="001D167D"/>
    <w:rsid w:val="001D1A34"/>
    <w:rsid w:val="001E2E63"/>
    <w:rsid w:val="001E70AD"/>
    <w:rsid w:val="001F643F"/>
    <w:rsid w:val="001F7125"/>
    <w:rsid w:val="00211141"/>
    <w:rsid w:val="0022213C"/>
    <w:rsid w:val="00223C1C"/>
    <w:rsid w:val="00257C32"/>
    <w:rsid w:val="00260C4E"/>
    <w:rsid w:val="002616E9"/>
    <w:rsid w:val="00271981"/>
    <w:rsid w:val="00280CC6"/>
    <w:rsid w:val="00290526"/>
    <w:rsid w:val="0029679A"/>
    <w:rsid w:val="002A0380"/>
    <w:rsid w:val="002A5682"/>
    <w:rsid w:val="002A5D95"/>
    <w:rsid w:val="002B74C8"/>
    <w:rsid w:val="002B7C56"/>
    <w:rsid w:val="002C1DC5"/>
    <w:rsid w:val="002C217C"/>
    <w:rsid w:val="002C542B"/>
    <w:rsid w:val="002D0967"/>
    <w:rsid w:val="002D3B28"/>
    <w:rsid w:val="002D5E9D"/>
    <w:rsid w:val="002F1E11"/>
    <w:rsid w:val="002F6AE8"/>
    <w:rsid w:val="003002F2"/>
    <w:rsid w:val="00300C06"/>
    <w:rsid w:val="00305CA2"/>
    <w:rsid w:val="003145C7"/>
    <w:rsid w:val="00323A72"/>
    <w:rsid w:val="00323B4B"/>
    <w:rsid w:val="00325C57"/>
    <w:rsid w:val="00333315"/>
    <w:rsid w:val="00336B38"/>
    <w:rsid w:val="00337BFE"/>
    <w:rsid w:val="00362296"/>
    <w:rsid w:val="003720B9"/>
    <w:rsid w:val="00377877"/>
    <w:rsid w:val="003B423F"/>
    <w:rsid w:val="003D38C4"/>
    <w:rsid w:val="003D4067"/>
    <w:rsid w:val="003E1182"/>
    <w:rsid w:val="003E3A41"/>
    <w:rsid w:val="003E46A0"/>
    <w:rsid w:val="00406EFF"/>
    <w:rsid w:val="00453F33"/>
    <w:rsid w:val="0046636B"/>
    <w:rsid w:val="004732DC"/>
    <w:rsid w:val="00481727"/>
    <w:rsid w:val="00482A11"/>
    <w:rsid w:val="00484516"/>
    <w:rsid w:val="004869CD"/>
    <w:rsid w:val="0049089A"/>
    <w:rsid w:val="00490B06"/>
    <w:rsid w:val="00494D74"/>
    <w:rsid w:val="004B5ABB"/>
    <w:rsid w:val="004C03B9"/>
    <w:rsid w:val="004C07BF"/>
    <w:rsid w:val="004C21E4"/>
    <w:rsid w:val="004C3C42"/>
    <w:rsid w:val="004C7B98"/>
    <w:rsid w:val="004D4D15"/>
    <w:rsid w:val="004E2202"/>
    <w:rsid w:val="004F70C8"/>
    <w:rsid w:val="005018BB"/>
    <w:rsid w:val="00506C8A"/>
    <w:rsid w:val="00513C16"/>
    <w:rsid w:val="00523C93"/>
    <w:rsid w:val="00526D2F"/>
    <w:rsid w:val="00527A03"/>
    <w:rsid w:val="00534BB9"/>
    <w:rsid w:val="00541A3F"/>
    <w:rsid w:val="005537BD"/>
    <w:rsid w:val="0055672B"/>
    <w:rsid w:val="00565806"/>
    <w:rsid w:val="005675D7"/>
    <w:rsid w:val="00570A6D"/>
    <w:rsid w:val="00597393"/>
    <w:rsid w:val="005973E4"/>
    <w:rsid w:val="005B30A1"/>
    <w:rsid w:val="005B69C9"/>
    <w:rsid w:val="005C1162"/>
    <w:rsid w:val="005D5B70"/>
    <w:rsid w:val="005F24AA"/>
    <w:rsid w:val="005F557E"/>
    <w:rsid w:val="005F56EB"/>
    <w:rsid w:val="005F6683"/>
    <w:rsid w:val="00602533"/>
    <w:rsid w:val="006117AB"/>
    <w:rsid w:val="006230B8"/>
    <w:rsid w:val="00630EB2"/>
    <w:rsid w:val="00634D08"/>
    <w:rsid w:val="00640437"/>
    <w:rsid w:val="00643502"/>
    <w:rsid w:val="006541F0"/>
    <w:rsid w:val="00663D39"/>
    <w:rsid w:val="0066714D"/>
    <w:rsid w:val="0067417A"/>
    <w:rsid w:val="006958CE"/>
    <w:rsid w:val="006A0437"/>
    <w:rsid w:val="006A11D8"/>
    <w:rsid w:val="006A6224"/>
    <w:rsid w:val="006D5FE2"/>
    <w:rsid w:val="006E6D02"/>
    <w:rsid w:val="006E7976"/>
    <w:rsid w:val="006F0785"/>
    <w:rsid w:val="006F0CFE"/>
    <w:rsid w:val="006F2C98"/>
    <w:rsid w:val="006F3F22"/>
    <w:rsid w:val="00714975"/>
    <w:rsid w:val="0072116B"/>
    <w:rsid w:val="00731FB2"/>
    <w:rsid w:val="007350D6"/>
    <w:rsid w:val="00751A4E"/>
    <w:rsid w:val="00767682"/>
    <w:rsid w:val="007750A2"/>
    <w:rsid w:val="00776D94"/>
    <w:rsid w:val="007776DD"/>
    <w:rsid w:val="00787A11"/>
    <w:rsid w:val="00791BEA"/>
    <w:rsid w:val="00791FBA"/>
    <w:rsid w:val="0079537F"/>
    <w:rsid w:val="007A25D3"/>
    <w:rsid w:val="007A5744"/>
    <w:rsid w:val="007D7835"/>
    <w:rsid w:val="007E221B"/>
    <w:rsid w:val="007F7E75"/>
    <w:rsid w:val="00801C21"/>
    <w:rsid w:val="00810C02"/>
    <w:rsid w:val="00815F02"/>
    <w:rsid w:val="008219A0"/>
    <w:rsid w:val="008223FF"/>
    <w:rsid w:val="00827FB6"/>
    <w:rsid w:val="00837DC1"/>
    <w:rsid w:val="00842E12"/>
    <w:rsid w:val="008504F4"/>
    <w:rsid w:val="008620A4"/>
    <w:rsid w:val="0086546F"/>
    <w:rsid w:val="0087003E"/>
    <w:rsid w:val="008745EC"/>
    <w:rsid w:val="00876DA1"/>
    <w:rsid w:val="0088089A"/>
    <w:rsid w:val="008B23F4"/>
    <w:rsid w:val="008C54A7"/>
    <w:rsid w:val="008C559C"/>
    <w:rsid w:val="008D485B"/>
    <w:rsid w:val="008D4C83"/>
    <w:rsid w:val="008D5C13"/>
    <w:rsid w:val="008E08C8"/>
    <w:rsid w:val="008E1B02"/>
    <w:rsid w:val="009022EE"/>
    <w:rsid w:val="00907852"/>
    <w:rsid w:val="00911844"/>
    <w:rsid w:val="00913125"/>
    <w:rsid w:val="009270DC"/>
    <w:rsid w:val="009346CA"/>
    <w:rsid w:val="00936A1A"/>
    <w:rsid w:val="00957D61"/>
    <w:rsid w:val="009641F3"/>
    <w:rsid w:val="009666A2"/>
    <w:rsid w:val="00972E68"/>
    <w:rsid w:val="00981B15"/>
    <w:rsid w:val="0098204F"/>
    <w:rsid w:val="00990C07"/>
    <w:rsid w:val="009938AC"/>
    <w:rsid w:val="009C055C"/>
    <w:rsid w:val="009E0641"/>
    <w:rsid w:val="009F358B"/>
    <w:rsid w:val="009F7E2C"/>
    <w:rsid w:val="00A11B4B"/>
    <w:rsid w:val="00A235BE"/>
    <w:rsid w:val="00A47808"/>
    <w:rsid w:val="00A504DB"/>
    <w:rsid w:val="00A61307"/>
    <w:rsid w:val="00A75F40"/>
    <w:rsid w:val="00A82679"/>
    <w:rsid w:val="00A85FA5"/>
    <w:rsid w:val="00A9672A"/>
    <w:rsid w:val="00AA32EC"/>
    <w:rsid w:val="00AC4FB3"/>
    <w:rsid w:val="00AD7B97"/>
    <w:rsid w:val="00AE07F7"/>
    <w:rsid w:val="00AF19C5"/>
    <w:rsid w:val="00AF22AD"/>
    <w:rsid w:val="00AF4BBC"/>
    <w:rsid w:val="00B30695"/>
    <w:rsid w:val="00B50512"/>
    <w:rsid w:val="00B60182"/>
    <w:rsid w:val="00B60D4F"/>
    <w:rsid w:val="00B6358B"/>
    <w:rsid w:val="00B7553B"/>
    <w:rsid w:val="00B8653C"/>
    <w:rsid w:val="00B958D8"/>
    <w:rsid w:val="00BA0A21"/>
    <w:rsid w:val="00BA7CCE"/>
    <w:rsid w:val="00BB1DEF"/>
    <w:rsid w:val="00BB71F0"/>
    <w:rsid w:val="00BC163E"/>
    <w:rsid w:val="00BD7D1D"/>
    <w:rsid w:val="00BD7FCC"/>
    <w:rsid w:val="00BE4B1C"/>
    <w:rsid w:val="00BF1C2D"/>
    <w:rsid w:val="00C00F49"/>
    <w:rsid w:val="00C01834"/>
    <w:rsid w:val="00C04B86"/>
    <w:rsid w:val="00C243E9"/>
    <w:rsid w:val="00C25383"/>
    <w:rsid w:val="00C267FB"/>
    <w:rsid w:val="00C4230A"/>
    <w:rsid w:val="00C44229"/>
    <w:rsid w:val="00C61BE5"/>
    <w:rsid w:val="00C64E7B"/>
    <w:rsid w:val="00C7749F"/>
    <w:rsid w:val="00C82937"/>
    <w:rsid w:val="00C93ED3"/>
    <w:rsid w:val="00C97793"/>
    <w:rsid w:val="00C9792B"/>
    <w:rsid w:val="00CC10AD"/>
    <w:rsid w:val="00CC6556"/>
    <w:rsid w:val="00CD0799"/>
    <w:rsid w:val="00CD1AB5"/>
    <w:rsid w:val="00CE5AB9"/>
    <w:rsid w:val="00CF5288"/>
    <w:rsid w:val="00CF74E0"/>
    <w:rsid w:val="00D01F93"/>
    <w:rsid w:val="00D025FB"/>
    <w:rsid w:val="00D032D2"/>
    <w:rsid w:val="00D2014D"/>
    <w:rsid w:val="00D20FB2"/>
    <w:rsid w:val="00D22BFB"/>
    <w:rsid w:val="00D273FE"/>
    <w:rsid w:val="00D30A04"/>
    <w:rsid w:val="00D459AB"/>
    <w:rsid w:val="00D5081C"/>
    <w:rsid w:val="00D50A63"/>
    <w:rsid w:val="00D526E4"/>
    <w:rsid w:val="00D642DC"/>
    <w:rsid w:val="00D64662"/>
    <w:rsid w:val="00D9549F"/>
    <w:rsid w:val="00D9659E"/>
    <w:rsid w:val="00D96C91"/>
    <w:rsid w:val="00DA202F"/>
    <w:rsid w:val="00DA2C30"/>
    <w:rsid w:val="00DB58A0"/>
    <w:rsid w:val="00DC15C0"/>
    <w:rsid w:val="00DD638F"/>
    <w:rsid w:val="00DE1B11"/>
    <w:rsid w:val="00DE4C6A"/>
    <w:rsid w:val="00DF52DD"/>
    <w:rsid w:val="00E02023"/>
    <w:rsid w:val="00E45926"/>
    <w:rsid w:val="00E5361F"/>
    <w:rsid w:val="00E60569"/>
    <w:rsid w:val="00E633D2"/>
    <w:rsid w:val="00E64D1B"/>
    <w:rsid w:val="00E711A6"/>
    <w:rsid w:val="00E72276"/>
    <w:rsid w:val="00E75154"/>
    <w:rsid w:val="00E80C32"/>
    <w:rsid w:val="00E85484"/>
    <w:rsid w:val="00E966E2"/>
    <w:rsid w:val="00EA1D6F"/>
    <w:rsid w:val="00EB2D9E"/>
    <w:rsid w:val="00EE0785"/>
    <w:rsid w:val="00EF03C5"/>
    <w:rsid w:val="00EF2C1E"/>
    <w:rsid w:val="00EF366B"/>
    <w:rsid w:val="00EF42F8"/>
    <w:rsid w:val="00F204A4"/>
    <w:rsid w:val="00F231BB"/>
    <w:rsid w:val="00F26984"/>
    <w:rsid w:val="00F30C4E"/>
    <w:rsid w:val="00F60A98"/>
    <w:rsid w:val="00F60B3F"/>
    <w:rsid w:val="00F7003B"/>
    <w:rsid w:val="00F728A5"/>
    <w:rsid w:val="00F737D3"/>
    <w:rsid w:val="00F82FC0"/>
    <w:rsid w:val="00F92471"/>
    <w:rsid w:val="00FA07EB"/>
    <w:rsid w:val="00FA2459"/>
    <w:rsid w:val="00FA79A3"/>
    <w:rsid w:val="00FC53BF"/>
    <w:rsid w:val="00FD5CA9"/>
    <w:rsid w:val="00FE0827"/>
    <w:rsid w:val="00FF4758"/>
    <w:rsid w:val="00FF58DE"/>
    <w:rsid w:val="00FF6C0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3F43DA-98E2-4D53-8594-08E8B962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89A"/>
    <w:pPr>
      <w:spacing w:after="0" w:line="240" w:lineRule="auto"/>
    </w:pPr>
    <w:rPr>
      <w:rFonts w:ascii="Arial" w:eastAsia="Times New Roman" w:hAnsi="Arial" w:cs="Times New Roman"/>
      <w:sz w:val="24"/>
      <w:szCs w:val="20"/>
      <w:lang w:eastAsia="es-ES"/>
    </w:rPr>
  </w:style>
  <w:style w:type="paragraph" w:styleId="Ttulo1">
    <w:name w:val="heading 1"/>
    <w:basedOn w:val="Normal"/>
    <w:next w:val="Normal"/>
    <w:link w:val="Ttulo1Car"/>
    <w:qFormat/>
    <w:rsid w:val="0088089A"/>
    <w:pPr>
      <w:keepNext/>
      <w:jc w:val="both"/>
      <w:outlineLvl w:val="0"/>
    </w:pPr>
    <w:rPr>
      <w:rFonts w:ascii="Comic Sans MS" w:hAnsi="Comic Sans MS"/>
      <w:b/>
    </w:rPr>
  </w:style>
  <w:style w:type="paragraph" w:styleId="Ttulo2">
    <w:name w:val="heading 2"/>
    <w:basedOn w:val="Normal"/>
    <w:next w:val="Normal"/>
    <w:link w:val="Ttulo2Car"/>
    <w:uiPriority w:val="9"/>
    <w:semiHidden/>
    <w:unhideWhenUsed/>
    <w:qFormat/>
    <w:rsid w:val="00EB2D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8089A"/>
    <w:rPr>
      <w:rFonts w:ascii="Comic Sans MS" w:eastAsia="Times New Roman" w:hAnsi="Comic Sans MS" w:cs="Times New Roman"/>
      <w:b/>
      <w:sz w:val="24"/>
      <w:szCs w:val="20"/>
      <w:lang w:eastAsia="es-ES"/>
    </w:rPr>
  </w:style>
  <w:style w:type="paragraph" w:styleId="Encabezado">
    <w:name w:val="header"/>
    <w:basedOn w:val="Normal"/>
    <w:link w:val="EncabezadoCar"/>
    <w:uiPriority w:val="99"/>
    <w:rsid w:val="0088089A"/>
    <w:pPr>
      <w:tabs>
        <w:tab w:val="center" w:pos="4252"/>
        <w:tab w:val="right" w:pos="8504"/>
      </w:tabs>
    </w:pPr>
  </w:style>
  <w:style w:type="character" w:customStyle="1" w:styleId="EncabezadoCar">
    <w:name w:val="Encabezado Car"/>
    <w:basedOn w:val="Fuentedeprrafopredeter"/>
    <w:link w:val="Encabezado"/>
    <w:uiPriority w:val="99"/>
    <w:rsid w:val="0088089A"/>
    <w:rPr>
      <w:rFonts w:ascii="Arial" w:eastAsia="Times New Roman" w:hAnsi="Arial" w:cs="Times New Roman"/>
      <w:sz w:val="24"/>
      <w:szCs w:val="20"/>
      <w:lang w:eastAsia="es-ES"/>
    </w:rPr>
  </w:style>
  <w:style w:type="paragraph" w:styleId="Piedepgina">
    <w:name w:val="footer"/>
    <w:basedOn w:val="Normal"/>
    <w:link w:val="PiedepginaCar"/>
    <w:uiPriority w:val="99"/>
    <w:rsid w:val="0088089A"/>
    <w:pPr>
      <w:tabs>
        <w:tab w:val="center" w:pos="4252"/>
        <w:tab w:val="right" w:pos="8504"/>
      </w:tabs>
    </w:pPr>
  </w:style>
  <w:style w:type="character" w:customStyle="1" w:styleId="PiedepginaCar">
    <w:name w:val="Pie de página Car"/>
    <w:basedOn w:val="Fuentedeprrafopredeter"/>
    <w:link w:val="Piedepgina"/>
    <w:uiPriority w:val="99"/>
    <w:rsid w:val="0088089A"/>
    <w:rPr>
      <w:rFonts w:ascii="Arial" w:eastAsia="Times New Roman" w:hAnsi="Arial" w:cs="Times New Roman"/>
      <w:sz w:val="24"/>
      <w:szCs w:val="20"/>
      <w:lang w:eastAsia="es-ES"/>
    </w:rPr>
  </w:style>
  <w:style w:type="paragraph" w:styleId="Textodeglobo">
    <w:name w:val="Balloon Text"/>
    <w:basedOn w:val="Normal"/>
    <w:link w:val="TextodegloboCar"/>
    <w:uiPriority w:val="99"/>
    <w:semiHidden/>
    <w:unhideWhenUsed/>
    <w:rsid w:val="0088089A"/>
    <w:rPr>
      <w:rFonts w:ascii="Tahoma" w:hAnsi="Tahoma" w:cs="Tahoma"/>
      <w:sz w:val="16"/>
      <w:szCs w:val="16"/>
    </w:rPr>
  </w:style>
  <w:style w:type="character" w:customStyle="1" w:styleId="TextodegloboCar">
    <w:name w:val="Texto de globo Car"/>
    <w:basedOn w:val="Fuentedeprrafopredeter"/>
    <w:link w:val="Textodeglobo"/>
    <w:uiPriority w:val="99"/>
    <w:semiHidden/>
    <w:rsid w:val="0088089A"/>
    <w:rPr>
      <w:rFonts w:ascii="Tahoma" w:eastAsia="Times New Roman" w:hAnsi="Tahoma" w:cs="Tahoma"/>
      <w:sz w:val="16"/>
      <w:szCs w:val="16"/>
      <w:lang w:eastAsia="es-ES"/>
    </w:rPr>
  </w:style>
  <w:style w:type="character" w:customStyle="1" w:styleId="Ttulo2Car">
    <w:name w:val="Título 2 Car"/>
    <w:basedOn w:val="Fuentedeprrafopredeter"/>
    <w:link w:val="Ttulo2"/>
    <w:uiPriority w:val="9"/>
    <w:semiHidden/>
    <w:rsid w:val="00EB2D9E"/>
    <w:rPr>
      <w:rFonts w:asciiTheme="majorHAnsi" w:eastAsiaTheme="majorEastAsia" w:hAnsiTheme="majorHAnsi" w:cstheme="majorBidi"/>
      <w:b/>
      <w:bCs/>
      <w:color w:val="4F81BD" w:themeColor="accent1"/>
      <w:sz w:val="26"/>
      <w:szCs w:val="26"/>
      <w:lang w:eastAsia="es-ES"/>
    </w:rPr>
  </w:style>
  <w:style w:type="paragraph" w:styleId="Prrafodelista">
    <w:name w:val="List Paragraph"/>
    <w:basedOn w:val="Normal"/>
    <w:uiPriority w:val="34"/>
    <w:qFormat/>
    <w:rsid w:val="005F6683"/>
    <w:pPr>
      <w:ind w:left="720"/>
      <w:contextualSpacing/>
    </w:pPr>
  </w:style>
  <w:style w:type="paragraph" w:styleId="NormalWeb">
    <w:name w:val="Normal (Web)"/>
    <w:basedOn w:val="Normal"/>
    <w:uiPriority w:val="99"/>
    <w:semiHidden/>
    <w:unhideWhenUsed/>
    <w:rsid w:val="00907852"/>
    <w:rPr>
      <w:rFonts w:ascii="Times New Roman" w:hAnsi="Times New Roman"/>
      <w:szCs w:val="24"/>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rsid w:val="00F7003B"/>
    <w:rPr>
      <w:vertAlign w:val="superscript"/>
    </w:r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qFormat/>
    <w:rsid w:val="00F7003B"/>
    <w:rPr>
      <w:rFonts w:ascii="Times New Roman" w:hAnsi="Times New Roman"/>
      <w:sz w:val="20"/>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basedOn w:val="Fuentedeprrafopredeter"/>
    <w:link w:val="Textonotapie"/>
    <w:uiPriority w:val="99"/>
    <w:rsid w:val="00F7003B"/>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F7003B"/>
    <w:rPr>
      <w:color w:val="0000FF" w:themeColor="hyperlink"/>
      <w:u w:val="single"/>
    </w:rPr>
  </w:style>
  <w:style w:type="character" w:customStyle="1" w:styleId="apple-converted-space">
    <w:name w:val="apple-converted-space"/>
    <w:basedOn w:val="Fuentedeprrafopredeter"/>
    <w:rsid w:val="00D64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361834">
      <w:bodyDiv w:val="1"/>
      <w:marLeft w:val="0"/>
      <w:marRight w:val="0"/>
      <w:marTop w:val="0"/>
      <w:marBottom w:val="0"/>
      <w:divBdr>
        <w:top w:val="none" w:sz="0" w:space="0" w:color="auto"/>
        <w:left w:val="none" w:sz="0" w:space="0" w:color="auto"/>
        <w:bottom w:val="none" w:sz="0" w:space="0" w:color="auto"/>
        <w:right w:val="none" w:sz="0" w:space="0" w:color="auto"/>
      </w:divBdr>
    </w:div>
    <w:div w:id="483204272">
      <w:bodyDiv w:val="1"/>
      <w:marLeft w:val="0"/>
      <w:marRight w:val="0"/>
      <w:marTop w:val="0"/>
      <w:marBottom w:val="0"/>
      <w:divBdr>
        <w:top w:val="none" w:sz="0" w:space="0" w:color="auto"/>
        <w:left w:val="none" w:sz="0" w:space="0" w:color="auto"/>
        <w:bottom w:val="none" w:sz="0" w:space="0" w:color="auto"/>
        <w:right w:val="none" w:sz="0" w:space="0" w:color="auto"/>
      </w:divBdr>
    </w:div>
    <w:div w:id="510610972">
      <w:bodyDiv w:val="1"/>
      <w:marLeft w:val="0"/>
      <w:marRight w:val="0"/>
      <w:marTop w:val="0"/>
      <w:marBottom w:val="0"/>
      <w:divBdr>
        <w:top w:val="none" w:sz="0" w:space="0" w:color="auto"/>
        <w:left w:val="none" w:sz="0" w:space="0" w:color="auto"/>
        <w:bottom w:val="none" w:sz="0" w:space="0" w:color="auto"/>
        <w:right w:val="none" w:sz="0" w:space="0" w:color="auto"/>
      </w:divBdr>
    </w:div>
    <w:div w:id="574977634">
      <w:bodyDiv w:val="1"/>
      <w:marLeft w:val="0"/>
      <w:marRight w:val="0"/>
      <w:marTop w:val="0"/>
      <w:marBottom w:val="0"/>
      <w:divBdr>
        <w:top w:val="none" w:sz="0" w:space="0" w:color="auto"/>
        <w:left w:val="none" w:sz="0" w:space="0" w:color="auto"/>
        <w:bottom w:val="none" w:sz="0" w:space="0" w:color="auto"/>
        <w:right w:val="none" w:sz="0" w:space="0" w:color="auto"/>
      </w:divBdr>
    </w:div>
    <w:div w:id="604314342">
      <w:bodyDiv w:val="1"/>
      <w:marLeft w:val="0"/>
      <w:marRight w:val="0"/>
      <w:marTop w:val="0"/>
      <w:marBottom w:val="0"/>
      <w:divBdr>
        <w:top w:val="none" w:sz="0" w:space="0" w:color="auto"/>
        <w:left w:val="none" w:sz="0" w:space="0" w:color="auto"/>
        <w:bottom w:val="none" w:sz="0" w:space="0" w:color="auto"/>
        <w:right w:val="none" w:sz="0" w:space="0" w:color="auto"/>
      </w:divBdr>
    </w:div>
    <w:div w:id="1011907218">
      <w:bodyDiv w:val="1"/>
      <w:marLeft w:val="0"/>
      <w:marRight w:val="0"/>
      <w:marTop w:val="0"/>
      <w:marBottom w:val="0"/>
      <w:divBdr>
        <w:top w:val="none" w:sz="0" w:space="0" w:color="auto"/>
        <w:left w:val="none" w:sz="0" w:space="0" w:color="auto"/>
        <w:bottom w:val="none" w:sz="0" w:space="0" w:color="auto"/>
        <w:right w:val="none" w:sz="0" w:space="0" w:color="auto"/>
      </w:divBdr>
    </w:div>
    <w:div w:id="1134982702">
      <w:bodyDiv w:val="1"/>
      <w:marLeft w:val="0"/>
      <w:marRight w:val="0"/>
      <w:marTop w:val="0"/>
      <w:marBottom w:val="0"/>
      <w:divBdr>
        <w:top w:val="none" w:sz="0" w:space="0" w:color="auto"/>
        <w:left w:val="none" w:sz="0" w:space="0" w:color="auto"/>
        <w:bottom w:val="none" w:sz="0" w:space="0" w:color="auto"/>
        <w:right w:val="none" w:sz="0" w:space="0" w:color="auto"/>
      </w:divBdr>
    </w:div>
    <w:div w:id="1204636930">
      <w:bodyDiv w:val="1"/>
      <w:marLeft w:val="0"/>
      <w:marRight w:val="0"/>
      <w:marTop w:val="0"/>
      <w:marBottom w:val="0"/>
      <w:divBdr>
        <w:top w:val="none" w:sz="0" w:space="0" w:color="auto"/>
        <w:left w:val="none" w:sz="0" w:space="0" w:color="auto"/>
        <w:bottom w:val="none" w:sz="0" w:space="0" w:color="auto"/>
        <w:right w:val="none" w:sz="0" w:space="0" w:color="auto"/>
      </w:divBdr>
    </w:div>
    <w:div w:id="1360738955">
      <w:bodyDiv w:val="1"/>
      <w:marLeft w:val="0"/>
      <w:marRight w:val="0"/>
      <w:marTop w:val="0"/>
      <w:marBottom w:val="0"/>
      <w:divBdr>
        <w:top w:val="none" w:sz="0" w:space="0" w:color="auto"/>
        <w:left w:val="none" w:sz="0" w:space="0" w:color="auto"/>
        <w:bottom w:val="none" w:sz="0" w:space="0" w:color="auto"/>
        <w:right w:val="none" w:sz="0" w:space="0" w:color="auto"/>
      </w:divBdr>
    </w:div>
    <w:div w:id="1378817474">
      <w:bodyDiv w:val="1"/>
      <w:marLeft w:val="0"/>
      <w:marRight w:val="0"/>
      <w:marTop w:val="0"/>
      <w:marBottom w:val="0"/>
      <w:divBdr>
        <w:top w:val="none" w:sz="0" w:space="0" w:color="auto"/>
        <w:left w:val="none" w:sz="0" w:space="0" w:color="auto"/>
        <w:bottom w:val="none" w:sz="0" w:space="0" w:color="auto"/>
        <w:right w:val="none" w:sz="0" w:space="0" w:color="auto"/>
      </w:divBdr>
    </w:div>
    <w:div w:id="1390616420">
      <w:bodyDiv w:val="1"/>
      <w:marLeft w:val="0"/>
      <w:marRight w:val="0"/>
      <w:marTop w:val="0"/>
      <w:marBottom w:val="0"/>
      <w:divBdr>
        <w:top w:val="none" w:sz="0" w:space="0" w:color="auto"/>
        <w:left w:val="none" w:sz="0" w:space="0" w:color="auto"/>
        <w:bottom w:val="none" w:sz="0" w:space="0" w:color="auto"/>
        <w:right w:val="none" w:sz="0" w:space="0" w:color="auto"/>
      </w:divBdr>
    </w:div>
    <w:div w:id="1406953899">
      <w:bodyDiv w:val="1"/>
      <w:marLeft w:val="0"/>
      <w:marRight w:val="0"/>
      <w:marTop w:val="0"/>
      <w:marBottom w:val="0"/>
      <w:divBdr>
        <w:top w:val="none" w:sz="0" w:space="0" w:color="auto"/>
        <w:left w:val="none" w:sz="0" w:space="0" w:color="auto"/>
        <w:bottom w:val="none" w:sz="0" w:space="0" w:color="auto"/>
        <w:right w:val="none" w:sz="0" w:space="0" w:color="auto"/>
      </w:divBdr>
    </w:div>
    <w:div w:id="1424230028">
      <w:bodyDiv w:val="1"/>
      <w:marLeft w:val="0"/>
      <w:marRight w:val="0"/>
      <w:marTop w:val="0"/>
      <w:marBottom w:val="0"/>
      <w:divBdr>
        <w:top w:val="none" w:sz="0" w:space="0" w:color="auto"/>
        <w:left w:val="none" w:sz="0" w:space="0" w:color="auto"/>
        <w:bottom w:val="none" w:sz="0" w:space="0" w:color="auto"/>
        <w:right w:val="none" w:sz="0" w:space="0" w:color="auto"/>
      </w:divBdr>
    </w:div>
    <w:div w:id="1936791009">
      <w:bodyDiv w:val="1"/>
      <w:marLeft w:val="0"/>
      <w:marRight w:val="0"/>
      <w:marTop w:val="0"/>
      <w:marBottom w:val="0"/>
      <w:divBdr>
        <w:top w:val="none" w:sz="0" w:space="0" w:color="auto"/>
        <w:left w:val="none" w:sz="0" w:space="0" w:color="auto"/>
        <w:bottom w:val="none" w:sz="0" w:space="0" w:color="auto"/>
        <w:right w:val="none" w:sz="0" w:space="0" w:color="auto"/>
      </w:divBdr>
    </w:div>
    <w:div w:id="197702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9D25D-8D02-4F44-AAE0-53EA167E1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4464</Words>
  <Characters>24556</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Ligia Patron Lopez</dc:creator>
  <cp:lastModifiedBy>Pablo Sergio Sandino Badillo Garcia</cp:lastModifiedBy>
  <cp:revision>2</cp:revision>
  <cp:lastPrinted>2019-03-04T21:07:00Z</cp:lastPrinted>
  <dcterms:created xsi:type="dcterms:W3CDTF">2019-05-20T19:39:00Z</dcterms:created>
  <dcterms:modified xsi:type="dcterms:W3CDTF">2019-05-20T19:39:00Z</dcterms:modified>
</cp:coreProperties>
</file>