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9A" w:rsidRPr="005C4DC6" w:rsidRDefault="0088089A" w:rsidP="005C4DC6">
      <w:pPr>
        <w:jc w:val="both"/>
        <w:rPr>
          <w:rFonts w:cs="Arial"/>
          <w:szCs w:val="24"/>
        </w:rPr>
      </w:pPr>
      <w:r w:rsidRPr="005C4DC6">
        <w:rPr>
          <w:rFonts w:cs="Arial"/>
          <w:szCs w:val="24"/>
        </w:rPr>
        <w:t xml:space="preserve">Bogotá, D.C., </w:t>
      </w:r>
      <w:r w:rsidR="004A6EA9">
        <w:rPr>
          <w:rFonts w:cs="Arial"/>
          <w:szCs w:val="24"/>
        </w:rPr>
        <w:t>jue</w:t>
      </w:r>
      <w:r w:rsidR="00337485">
        <w:rPr>
          <w:rFonts w:cs="Arial"/>
          <w:szCs w:val="24"/>
        </w:rPr>
        <w:t xml:space="preserve">ves, </w:t>
      </w:r>
      <w:r w:rsidR="002C47E6">
        <w:rPr>
          <w:rFonts w:cs="Arial"/>
          <w:szCs w:val="24"/>
        </w:rPr>
        <w:t>30</w:t>
      </w:r>
      <w:r w:rsidR="004A6EA9">
        <w:rPr>
          <w:rFonts w:cs="Arial"/>
          <w:szCs w:val="24"/>
        </w:rPr>
        <w:t>5</w:t>
      </w:r>
      <w:r w:rsidR="00337485">
        <w:rPr>
          <w:rFonts w:cs="Arial"/>
          <w:szCs w:val="24"/>
        </w:rPr>
        <w:t xml:space="preserve"> de </w:t>
      </w:r>
      <w:r w:rsidR="002C47E6">
        <w:rPr>
          <w:rFonts w:cs="Arial"/>
          <w:szCs w:val="24"/>
        </w:rPr>
        <w:t>agosto</w:t>
      </w:r>
      <w:r w:rsidR="00337485">
        <w:rPr>
          <w:rFonts w:cs="Arial"/>
          <w:szCs w:val="24"/>
        </w:rPr>
        <w:t xml:space="preserve"> de 201</w:t>
      </w:r>
      <w:r w:rsidR="004A6EA9">
        <w:rPr>
          <w:rFonts w:cs="Arial"/>
          <w:szCs w:val="24"/>
        </w:rPr>
        <w:t>8</w:t>
      </w:r>
    </w:p>
    <w:p w:rsidR="005C4DC6" w:rsidRDefault="005C4DC6" w:rsidP="005C4DC6">
      <w:pPr>
        <w:jc w:val="both"/>
        <w:rPr>
          <w:rFonts w:cs="Arial"/>
          <w:szCs w:val="24"/>
        </w:rPr>
      </w:pPr>
    </w:p>
    <w:p w:rsidR="004D7BB6" w:rsidRDefault="004D7BB6" w:rsidP="005C4DC6">
      <w:pPr>
        <w:jc w:val="both"/>
        <w:rPr>
          <w:rFonts w:cs="Arial"/>
          <w:szCs w:val="24"/>
        </w:rPr>
      </w:pPr>
    </w:p>
    <w:p w:rsidR="0088089A" w:rsidRPr="005C4DC6" w:rsidRDefault="0088089A" w:rsidP="005C4DC6">
      <w:pPr>
        <w:jc w:val="both"/>
        <w:rPr>
          <w:rFonts w:cs="Arial"/>
          <w:szCs w:val="24"/>
        </w:rPr>
      </w:pPr>
      <w:r w:rsidRPr="005C4DC6">
        <w:rPr>
          <w:rFonts w:cs="Arial"/>
          <w:szCs w:val="24"/>
        </w:rPr>
        <w:t>Doctor</w:t>
      </w:r>
    </w:p>
    <w:p w:rsidR="004A6EA9" w:rsidRPr="008C25EE" w:rsidRDefault="004A6EA9" w:rsidP="004A6EA9">
      <w:pPr>
        <w:jc w:val="both"/>
        <w:rPr>
          <w:rFonts w:cs="Arial"/>
          <w:b/>
          <w:szCs w:val="24"/>
        </w:rPr>
      </w:pPr>
      <w:r w:rsidRPr="008C25EE">
        <w:rPr>
          <w:rFonts w:cs="Arial"/>
          <w:b/>
          <w:szCs w:val="24"/>
        </w:rPr>
        <w:t xml:space="preserve">GUILLERMO RAÚL BOTTIA BOHORQUEZ </w:t>
      </w:r>
    </w:p>
    <w:p w:rsidR="0088089A" w:rsidRPr="005C4DC6" w:rsidRDefault="004A6EA9" w:rsidP="004A6EA9">
      <w:pPr>
        <w:jc w:val="both"/>
        <w:rPr>
          <w:rFonts w:cs="Arial"/>
          <w:szCs w:val="24"/>
        </w:rPr>
      </w:pPr>
      <w:r>
        <w:rPr>
          <w:rFonts w:cs="Arial"/>
          <w:szCs w:val="24"/>
        </w:rPr>
        <w:t>Juez Veinte (20</w:t>
      </w:r>
      <w:r w:rsidRPr="003B4591">
        <w:rPr>
          <w:rFonts w:cs="Arial"/>
          <w:szCs w:val="24"/>
        </w:rPr>
        <w:t>) de Familia del Circuito de Bogotá</w:t>
      </w:r>
    </w:p>
    <w:p w:rsidR="0088089A" w:rsidRPr="005C4DC6" w:rsidRDefault="0088089A" w:rsidP="005C4DC6">
      <w:pPr>
        <w:jc w:val="both"/>
        <w:rPr>
          <w:rFonts w:cs="Arial"/>
          <w:szCs w:val="24"/>
        </w:rPr>
      </w:pPr>
      <w:r w:rsidRPr="005C4DC6">
        <w:rPr>
          <w:rFonts w:cs="Arial"/>
          <w:szCs w:val="24"/>
        </w:rPr>
        <w:t xml:space="preserve">E. </w:t>
      </w:r>
      <w:r w:rsidR="00815F02" w:rsidRPr="005C4DC6">
        <w:rPr>
          <w:rFonts w:cs="Arial"/>
          <w:szCs w:val="24"/>
        </w:rPr>
        <w:tab/>
      </w:r>
      <w:r w:rsidR="00815F02" w:rsidRPr="005C4DC6">
        <w:rPr>
          <w:rFonts w:cs="Arial"/>
          <w:szCs w:val="24"/>
        </w:rPr>
        <w:tab/>
      </w:r>
      <w:r w:rsidR="00815F02" w:rsidRPr="005C4DC6">
        <w:rPr>
          <w:rFonts w:cs="Arial"/>
          <w:szCs w:val="24"/>
        </w:rPr>
        <w:tab/>
      </w:r>
      <w:r w:rsidRPr="005C4DC6">
        <w:rPr>
          <w:rFonts w:cs="Arial"/>
          <w:szCs w:val="24"/>
        </w:rPr>
        <w:t xml:space="preserve">S. </w:t>
      </w:r>
      <w:r w:rsidR="00815F02" w:rsidRPr="005C4DC6">
        <w:rPr>
          <w:rFonts w:cs="Arial"/>
          <w:szCs w:val="24"/>
        </w:rPr>
        <w:tab/>
      </w:r>
      <w:r w:rsidR="00815F02" w:rsidRPr="005C4DC6">
        <w:rPr>
          <w:rFonts w:cs="Arial"/>
          <w:szCs w:val="24"/>
        </w:rPr>
        <w:tab/>
      </w:r>
      <w:r w:rsidR="00815F02" w:rsidRPr="005C4DC6">
        <w:rPr>
          <w:rFonts w:cs="Arial"/>
          <w:szCs w:val="24"/>
        </w:rPr>
        <w:tab/>
      </w:r>
      <w:r w:rsidRPr="005C4DC6">
        <w:rPr>
          <w:rFonts w:cs="Arial"/>
          <w:szCs w:val="24"/>
        </w:rPr>
        <w:t>D.</w:t>
      </w:r>
    </w:p>
    <w:p w:rsidR="001336A5" w:rsidRDefault="001336A5" w:rsidP="005C4DC6">
      <w:pPr>
        <w:jc w:val="both"/>
        <w:rPr>
          <w:rFonts w:cs="Arial"/>
          <w:szCs w:val="24"/>
        </w:rPr>
      </w:pPr>
    </w:p>
    <w:p w:rsidR="004D7BB6" w:rsidRPr="005C4DC6" w:rsidRDefault="004D7BB6" w:rsidP="005C4DC6">
      <w:pPr>
        <w:jc w:val="both"/>
        <w:rPr>
          <w:rFonts w:cs="Arial"/>
          <w:szCs w:val="24"/>
        </w:rPr>
      </w:pPr>
    </w:p>
    <w:p w:rsidR="00DA2C30" w:rsidRPr="005C4DC6" w:rsidRDefault="00663D39" w:rsidP="005C4DC6">
      <w:pPr>
        <w:jc w:val="both"/>
        <w:rPr>
          <w:rFonts w:cs="Arial"/>
          <w:b/>
          <w:szCs w:val="24"/>
        </w:rPr>
      </w:pPr>
      <w:r w:rsidRPr="005C4DC6">
        <w:rPr>
          <w:rFonts w:cs="Arial"/>
          <w:b/>
          <w:szCs w:val="24"/>
        </w:rPr>
        <w:t>Re</w:t>
      </w:r>
      <w:r w:rsidR="00DA2C30" w:rsidRPr="005C4DC6">
        <w:rPr>
          <w:rFonts w:cs="Arial"/>
          <w:b/>
          <w:szCs w:val="24"/>
        </w:rPr>
        <w:t xml:space="preserve">f. </w:t>
      </w:r>
      <w:r w:rsidR="002C47E6">
        <w:rPr>
          <w:rFonts w:cs="Arial"/>
          <w:b/>
          <w:szCs w:val="24"/>
        </w:rPr>
        <w:tab/>
      </w:r>
      <w:r w:rsidR="002C47E6">
        <w:rPr>
          <w:rFonts w:cs="Arial"/>
          <w:b/>
          <w:szCs w:val="24"/>
        </w:rPr>
        <w:tab/>
      </w:r>
      <w:r w:rsidR="002C47E6">
        <w:rPr>
          <w:rFonts w:cs="Arial"/>
          <w:b/>
          <w:szCs w:val="24"/>
        </w:rPr>
        <w:tab/>
        <w:t xml:space="preserve">Nulidad </w:t>
      </w:r>
    </w:p>
    <w:p w:rsidR="00DA2C30" w:rsidRDefault="00DA2C30" w:rsidP="005C4DC6">
      <w:pPr>
        <w:jc w:val="both"/>
        <w:rPr>
          <w:rFonts w:cs="Arial"/>
          <w:b/>
          <w:szCs w:val="24"/>
        </w:rPr>
      </w:pPr>
      <w:r w:rsidRPr="005C4DC6">
        <w:rPr>
          <w:rFonts w:cs="Arial"/>
          <w:b/>
          <w:szCs w:val="24"/>
        </w:rPr>
        <w:t xml:space="preserve">Rad. </w:t>
      </w:r>
      <w:r w:rsidR="002C47E6">
        <w:rPr>
          <w:rFonts w:cs="Arial"/>
          <w:b/>
          <w:szCs w:val="24"/>
        </w:rPr>
        <w:tab/>
      </w:r>
      <w:r w:rsidR="002C47E6">
        <w:rPr>
          <w:rFonts w:cs="Arial"/>
          <w:b/>
          <w:szCs w:val="24"/>
        </w:rPr>
        <w:tab/>
      </w:r>
      <w:r w:rsidR="002C47E6">
        <w:rPr>
          <w:rFonts w:cs="Arial"/>
          <w:b/>
          <w:szCs w:val="24"/>
        </w:rPr>
        <w:tab/>
      </w:r>
      <w:r w:rsidRPr="005C4DC6">
        <w:rPr>
          <w:rFonts w:cs="Arial"/>
          <w:b/>
          <w:szCs w:val="24"/>
        </w:rPr>
        <w:t>11001 31 10 0</w:t>
      </w:r>
      <w:r w:rsidR="00D878D1">
        <w:rPr>
          <w:rFonts w:cs="Arial"/>
          <w:b/>
          <w:szCs w:val="24"/>
        </w:rPr>
        <w:t>2</w:t>
      </w:r>
      <w:r w:rsidR="009466BC">
        <w:rPr>
          <w:rFonts w:cs="Arial"/>
          <w:b/>
          <w:szCs w:val="24"/>
        </w:rPr>
        <w:t>0</w:t>
      </w:r>
      <w:r w:rsidRPr="005C4DC6">
        <w:rPr>
          <w:rFonts w:cs="Arial"/>
          <w:b/>
          <w:szCs w:val="24"/>
        </w:rPr>
        <w:t xml:space="preserve"> 201</w:t>
      </w:r>
      <w:r w:rsidR="002C47E6">
        <w:rPr>
          <w:rFonts w:cs="Arial"/>
          <w:b/>
          <w:szCs w:val="24"/>
        </w:rPr>
        <w:t>8</w:t>
      </w:r>
      <w:r w:rsidRPr="005C4DC6">
        <w:rPr>
          <w:rFonts w:cs="Arial"/>
          <w:b/>
          <w:szCs w:val="24"/>
        </w:rPr>
        <w:t xml:space="preserve"> 0</w:t>
      </w:r>
      <w:r w:rsidR="009346CA" w:rsidRPr="005C4DC6">
        <w:rPr>
          <w:rFonts w:cs="Arial"/>
          <w:b/>
          <w:szCs w:val="24"/>
        </w:rPr>
        <w:t>0</w:t>
      </w:r>
      <w:r w:rsidR="002C47E6">
        <w:rPr>
          <w:rFonts w:cs="Arial"/>
          <w:b/>
          <w:szCs w:val="24"/>
        </w:rPr>
        <w:t>505</w:t>
      </w:r>
      <w:r w:rsidRPr="005C4DC6">
        <w:rPr>
          <w:rFonts w:cs="Arial"/>
          <w:b/>
          <w:szCs w:val="24"/>
        </w:rPr>
        <w:t xml:space="preserve"> 00</w:t>
      </w:r>
    </w:p>
    <w:p w:rsidR="002C47E6" w:rsidRDefault="002C47E6" w:rsidP="005C4DC6">
      <w:pPr>
        <w:jc w:val="both"/>
        <w:rPr>
          <w:rFonts w:cs="Arial"/>
          <w:b/>
          <w:szCs w:val="24"/>
        </w:rPr>
      </w:pPr>
      <w:r>
        <w:rPr>
          <w:rFonts w:cs="Arial"/>
          <w:b/>
          <w:szCs w:val="24"/>
        </w:rPr>
        <w:t xml:space="preserve">Demandante: </w:t>
      </w:r>
      <w:r>
        <w:rPr>
          <w:rFonts w:cs="Arial"/>
          <w:b/>
          <w:szCs w:val="24"/>
        </w:rPr>
        <w:tab/>
        <w:t>Hugo Quiroga Cruz</w:t>
      </w:r>
    </w:p>
    <w:p w:rsidR="002C47E6" w:rsidRDefault="002C47E6" w:rsidP="002C47E6">
      <w:pPr>
        <w:jc w:val="both"/>
        <w:rPr>
          <w:rFonts w:cs="Arial"/>
          <w:b/>
          <w:szCs w:val="24"/>
        </w:rPr>
      </w:pPr>
      <w:r>
        <w:rPr>
          <w:rFonts w:cs="Arial"/>
          <w:b/>
          <w:szCs w:val="24"/>
        </w:rPr>
        <w:t xml:space="preserve">Demandados: </w:t>
      </w:r>
      <w:r>
        <w:rPr>
          <w:rFonts w:cs="Arial"/>
          <w:b/>
          <w:szCs w:val="24"/>
        </w:rPr>
        <w:tab/>
        <w:t xml:space="preserve">Juan Simón y Maria Julieta Quiroga Fierro, menores de </w:t>
      </w:r>
    </w:p>
    <w:p w:rsidR="002C47E6" w:rsidRPr="005C4DC6" w:rsidRDefault="002C47E6" w:rsidP="002C47E6">
      <w:pPr>
        <w:ind w:left="2124"/>
        <w:jc w:val="both"/>
        <w:rPr>
          <w:rFonts w:cs="Arial"/>
          <w:b/>
          <w:szCs w:val="24"/>
        </w:rPr>
      </w:pPr>
      <w:proofErr w:type="gramStart"/>
      <w:r>
        <w:rPr>
          <w:rFonts w:cs="Arial"/>
          <w:b/>
          <w:szCs w:val="24"/>
        </w:rPr>
        <w:t>edad</w:t>
      </w:r>
      <w:proofErr w:type="gramEnd"/>
      <w:r>
        <w:rPr>
          <w:rFonts w:cs="Arial"/>
          <w:b/>
          <w:szCs w:val="24"/>
        </w:rPr>
        <w:t xml:space="preserve"> representados por su progenitora Ana </w:t>
      </w:r>
      <w:proofErr w:type="spellStart"/>
      <w:r>
        <w:rPr>
          <w:rFonts w:cs="Arial"/>
          <w:b/>
          <w:szCs w:val="24"/>
        </w:rPr>
        <w:t>Violeth</w:t>
      </w:r>
      <w:proofErr w:type="spellEnd"/>
      <w:r>
        <w:rPr>
          <w:rFonts w:cs="Arial"/>
          <w:b/>
          <w:szCs w:val="24"/>
        </w:rPr>
        <w:t xml:space="preserve"> Fierro Camargo </w:t>
      </w:r>
    </w:p>
    <w:p w:rsidR="001336A5" w:rsidRDefault="001336A5" w:rsidP="005C4DC6">
      <w:pPr>
        <w:jc w:val="both"/>
        <w:rPr>
          <w:rFonts w:cs="Arial"/>
          <w:b/>
          <w:szCs w:val="24"/>
        </w:rPr>
      </w:pPr>
    </w:p>
    <w:p w:rsidR="00DA2C30" w:rsidRPr="005C4DC6" w:rsidRDefault="00DA2C30" w:rsidP="005C4DC6">
      <w:pPr>
        <w:jc w:val="both"/>
        <w:rPr>
          <w:rFonts w:cs="Arial"/>
          <w:szCs w:val="24"/>
        </w:rPr>
      </w:pPr>
      <w:r w:rsidRPr="005C4DC6">
        <w:rPr>
          <w:rFonts w:cs="Arial"/>
          <w:szCs w:val="24"/>
        </w:rPr>
        <w:t>Respetad</w:t>
      </w:r>
      <w:r w:rsidR="009466BC">
        <w:rPr>
          <w:rFonts w:cs="Arial"/>
          <w:szCs w:val="24"/>
        </w:rPr>
        <w:t>o</w:t>
      </w:r>
      <w:r w:rsidRPr="005C4DC6">
        <w:rPr>
          <w:rFonts w:cs="Arial"/>
          <w:szCs w:val="24"/>
        </w:rPr>
        <w:t xml:space="preserve"> Doctor:  </w:t>
      </w:r>
    </w:p>
    <w:p w:rsidR="00871CF3" w:rsidRPr="005C4DC6" w:rsidRDefault="00871CF3" w:rsidP="005C4DC6">
      <w:pPr>
        <w:jc w:val="both"/>
        <w:rPr>
          <w:rFonts w:cs="Arial"/>
          <w:szCs w:val="24"/>
        </w:rPr>
      </w:pPr>
    </w:p>
    <w:p w:rsidR="00300C06" w:rsidRPr="005C4DC6" w:rsidRDefault="00DA2C30" w:rsidP="005C4DC6">
      <w:pPr>
        <w:jc w:val="both"/>
        <w:rPr>
          <w:rFonts w:cs="Arial"/>
          <w:szCs w:val="24"/>
        </w:rPr>
      </w:pPr>
      <w:r w:rsidRPr="005C4DC6">
        <w:rPr>
          <w:rFonts w:cs="Arial"/>
          <w:szCs w:val="24"/>
        </w:rPr>
        <w:t>En calidad de Agente del Ministerio Público, actuando en defensa de los derechos de los niños, las niñas y los adolescentes y de la legalidad de la actuación</w:t>
      </w:r>
      <w:r w:rsidR="002438C6" w:rsidRPr="005C4DC6">
        <w:rPr>
          <w:rFonts w:cs="Arial"/>
          <w:szCs w:val="24"/>
        </w:rPr>
        <w:t>,</w:t>
      </w:r>
      <w:r w:rsidRPr="005C4DC6">
        <w:rPr>
          <w:rFonts w:cs="Arial"/>
          <w:szCs w:val="24"/>
        </w:rPr>
        <w:t xml:space="preserve"> conforme al mandato Constitucional y legal, </w:t>
      </w:r>
      <w:r w:rsidR="002438C6" w:rsidRPr="005C4DC6">
        <w:rPr>
          <w:rFonts w:cs="Arial"/>
          <w:szCs w:val="24"/>
        </w:rPr>
        <w:t xml:space="preserve">estando </w:t>
      </w:r>
      <w:r w:rsidRPr="005C4DC6">
        <w:rPr>
          <w:rFonts w:cs="Arial"/>
          <w:szCs w:val="24"/>
        </w:rPr>
        <w:t xml:space="preserve">dentro de la oportunidad procesal, en forma atenta, me permito </w:t>
      </w:r>
      <w:r w:rsidR="002C47E6">
        <w:rPr>
          <w:rFonts w:cs="Arial"/>
          <w:szCs w:val="24"/>
        </w:rPr>
        <w:t xml:space="preserve">presentar recurso de REPOSICIÓN y en subsidio de APELACIÓN, en contra del </w:t>
      </w:r>
      <w:r w:rsidRPr="005C4DC6">
        <w:rPr>
          <w:rFonts w:cs="Arial"/>
          <w:szCs w:val="24"/>
        </w:rPr>
        <w:t>auto</w:t>
      </w:r>
      <w:r w:rsidR="002C47E6">
        <w:rPr>
          <w:rFonts w:cs="Arial"/>
          <w:szCs w:val="24"/>
        </w:rPr>
        <w:t xml:space="preserve"> que admitió la demanda,</w:t>
      </w:r>
      <w:r w:rsidRPr="005C4DC6">
        <w:rPr>
          <w:rFonts w:cs="Arial"/>
          <w:szCs w:val="24"/>
        </w:rPr>
        <w:t xml:space="preserve"> proferido por ese Despacho el </w:t>
      </w:r>
      <w:r w:rsidR="002C47E6">
        <w:rPr>
          <w:rFonts w:cs="Arial"/>
          <w:szCs w:val="24"/>
        </w:rPr>
        <w:t xml:space="preserve">veintidós </w:t>
      </w:r>
      <w:r w:rsidRPr="005C4DC6">
        <w:rPr>
          <w:rFonts w:cs="Arial"/>
          <w:szCs w:val="24"/>
        </w:rPr>
        <w:t>(</w:t>
      </w:r>
      <w:r w:rsidR="002C47E6">
        <w:rPr>
          <w:rFonts w:cs="Arial"/>
          <w:szCs w:val="24"/>
        </w:rPr>
        <w:t>22</w:t>
      </w:r>
      <w:r w:rsidRPr="005C4DC6">
        <w:rPr>
          <w:rFonts w:cs="Arial"/>
          <w:szCs w:val="24"/>
        </w:rPr>
        <w:t xml:space="preserve">) de </w:t>
      </w:r>
      <w:r w:rsidR="00D246C0">
        <w:rPr>
          <w:rFonts w:cs="Arial"/>
          <w:szCs w:val="24"/>
        </w:rPr>
        <w:t>agosto</w:t>
      </w:r>
      <w:r w:rsidR="002C47E6">
        <w:rPr>
          <w:rFonts w:cs="Arial"/>
          <w:szCs w:val="24"/>
        </w:rPr>
        <w:t xml:space="preserve"> </w:t>
      </w:r>
      <w:r w:rsidRPr="005C4DC6">
        <w:rPr>
          <w:rFonts w:cs="Arial"/>
          <w:szCs w:val="24"/>
        </w:rPr>
        <w:t>de dos mil dieci</w:t>
      </w:r>
      <w:r w:rsidR="000F2357">
        <w:rPr>
          <w:rFonts w:cs="Arial"/>
          <w:szCs w:val="24"/>
        </w:rPr>
        <w:t>ocho</w:t>
      </w:r>
      <w:r w:rsidRPr="005C4DC6">
        <w:rPr>
          <w:rFonts w:cs="Arial"/>
          <w:szCs w:val="24"/>
        </w:rPr>
        <w:t xml:space="preserve"> (201</w:t>
      </w:r>
      <w:r w:rsidR="000F2357">
        <w:rPr>
          <w:rFonts w:cs="Arial"/>
          <w:szCs w:val="24"/>
        </w:rPr>
        <w:t>8</w:t>
      </w:r>
      <w:r w:rsidRPr="005C4DC6">
        <w:rPr>
          <w:rFonts w:cs="Arial"/>
          <w:szCs w:val="24"/>
        </w:rPr>
        <w:t>)</w:t>
      </w:r>
      <w:r w:rsidR="002438C6" w:rsidRPr="005C4DC6">
        <w:rPr>
          <w:rFonts w:cs="Arial"/>
          <w:szCs w:val="24"/>
        </w:rPr>
        <w:t xml:space="preserve">, </w:t>
      </w:r>
      <w:r w:rsidR="002C47E6">
        <w:rPr>
          <w:rFonts w:cs="Arial"/>
          <w:szCs w:val="24"/>
        </w:rPr>
        <w:t xml:space="preserve">el cual fue notificado al suscrito el 28 de agosto de 2018, </w:t>
      </w:r>
      <w:r w:rsidR="002438C6" w:rsidRPr="005C4DC6">
        <w:rPr>
          <w:rFonts w:cs="Arial"/>
          <w:szCs w:val="24"/>
        </w:rPr>
        <w:t xml:space="preserve">en </w:t>
      </w:r>
      <w:r w:rsidR="00006E8A" w:rsidRPr="005C4DC6">
        <w:rPr>
          <w:rFonts w:cs="Arial"/>
          <w:szCs w:val="24"/>
        </w:rPr>
        <w:t>consideración a lo siguiente:</w:t>
      </w:r>
    </w:p>
    <w:p w:rsidR="00871CF3" w:rsidRPr="005C4DC6" w:rsidRDefault="00871CF3" w:rsidP="005C4DC6">
      <w:pPr>
        <w:jc w:val="both"/>
        <w:rPr>
          <w:rFonts w:cs="Arial"/>
          <w:szCs w:val="24"/>
        </w:rPr>
      </w:pPr>
    </w:p>
    <w:p w:rsidR="00EE0287" w:rsidRDefault="004D7BB6" w:rsidP="00A71FDD">
      <w:pPr>
        <w:jc w:val="both"/>
        <w:rPr>
          <w:rFonts w:cs="Arial"/>
          <w:szCs w:val="24"/>
        </w:rPr>
      </w:pPr>
      <w:r>
        <w:rPr>
          <w:rFonts w:cs="Arial"/>
          <w:szCs w:val="24"/>
        </w:rPr>
        <w:t>Sea lo primero advertir que, d</w:t>
      </w:r>
      <w:r w:rsidR="00D05B07">
        <w:rPr>
          <w:rFonts w:cs="Arial"/>
          <w:szCs w:val="24"/>
        </w:rPr>
        <w:t xml:space="preserve">e conformidad con lo dispuesto en el </w:t>
      </w:r>
      <w:r w:rsidR="002C47E6">
        <w:rPr>
          <w:rFonts w:cs="Arial"/>
          <w:szCs w:val="24"/>
        </w:rPr>
        <w:t xml:space="preserve">inciso 1 del </w:t>
      </w:r>
      <w:r w:rsidR="00D05B07">
        <w:rPr>
          <w:rFonts w:cs="Arial"/>
          <w:szCs w:val="24"/>
        </w:rPr>
        <w:t xml:space="preserve">artículo </w:t>
      </w:r>
      <w:r w:rsidR="000F2357">
        <w:rPr>
          <w:rFonts w:cs="Arial"/>
          <w:szCs w:val="24"/>
        </w:rPr>
        <w:t>9</w:t>
      </w:r>
      <w:r w:rsidR="002C47E6">
        <w:rPr>
          <w:rFonts w:cs="Arial"/>
          <w:szCs w:val="24"/>
        </w:rPr>
        <w:t>0 “</w:t>
      </w:r>
      <w:r w:rsidR="002C47E6" w:rsidRPr="00D246C0">
        <w:rPr>
          <w:rFonts w:cs="Arial"/>
          <w:i/>
          <w:szCs w:val="24"/>
        </w:rPr>
        <w:t>El juez admitirá la demanda que reúna los requisitos de ley, y le dará el trámite que legalmente le corresponda aunque el demandante haya indicado una vía procesal inadecuada</w:t>
      </w:r>
      <w:r w:rsidR="002C47E6">
        <w:rPr>
          <w:rFonts w:cs="Arial"/>
          <w:szCs w:val="24"/>
        </w:rPr>
        <w:t>”.</w:t>
      </w:r>
    </w:p>
    <w:p w:rsidR="00EE0287" w:rsidRDefault="00EE0287" w:rsidP="00A71FDD">
      <w:pPr>
        <w:jc w:val="both"/>
        <w:rPr>
          <w:rFonts w:cs="Arial"/>
          <w:szCs w:val="24"/>
        </w:rPr>
      </w:pPr>
    </w:p>
    <w:p w:rsidR="002C47E6" w:rsidRDefault="002C47E6" w:rsidP="00A71FDD">
      <w:pPr>
        <w:jc w:val="both"/>
        <w:rPr>
          <w:rFonts w:cs="Arial"/>
          <w:szCs w:val="24"/>
          <w:lang w:val="es-CO"/>
        </w:rPr>
      </w:pPr>
      <w:r>
        <w:rPr>
          <w:rFonts w:cs="Arial"/>
          <w:szCs w:val="24"/>
        </w:rPr>
        <w:t xml:space="preserve">De la lectura de la demanda se evidencia que </w:t>
      </w:r>
      <w:r w:rsidR="00C60994">
        <w:rPr>
          <w:rFonts w:cs="Arial"/>
          <w:szCs w:val="24"/>
        </w:rPr>
        <w:t xml:space="preserve">el actor </w:t>
      </w:r>
      <w:r w:rsidR="00C60994">
        <w:rPr>
          <w:rFonts w:cs="Arial"/>
          <w:szCs w:val="24"/>
          <w:lang w:val="es-CO"/>
        </w:rPr>
        <w:t xml:space="preserve">pretende sea declarada </w:t>
      </w:r>
      <w:r w:rsidR="00C60994" w:rsidRPr="002C47E6">
        <w:rPr>
          <w:rFonts w:cs="Arial"/>
          <w:szCs w:val="24"/>
          <w:lang w:val="es-CO"/>
        </w:rPr>
        <w:t xml:space="preserve">la nulidad </w:t>
      </w:r>
      <w:r w:rsidR="00C60994">
        <w:rPr>
          <w:rFonts w:cs="Arial"/>
          <w:szCs w:val="24"/>
          <w:lang w:val="es-CO"/>
        </w:rPr>
        <w:t xml:space="preserve">absoluta de los registros civiles de nacimiento de </w:t>
      </w:r>
      <w:r w:rsidR="00C60994">
        <w:rPr>
          <w:rFonts w:cs="Arial"/>
          <w:b/>
          <w:szCs w:val="24"/>
        </w:rPr>
        <w:t>Juan Simón y Maria Julieta Quiroga Fierro</w:t>
      </w:r>
      <w:r w:rsidR="00C60994">
        <w:rPr>
          <w:rFonts w:cs="Arial"/>
          <w:szCs w:val="24"/>
          <w:lang w:val="es-CO"/>
        </w:rPr>
        <w:t xml:space="preserve"> </w:t>
      </w:r>
      <w:r w:rsidRPr="002C47E6">
        <w:rPr>
          <w:rFonts w:cs="Arial"/>
          <w:szCs w:val="24"/>
          <w:lang w:val="es-CO"/>
        </w:rPr>
        <w:t xml:space="preserve">como mecanismo para fustigar el estado civil </w:t>
      </w:r>
      <w:r w:rsidR="00C60994">
        <w:rPr>
          <w:rFonts w:cs="Arial"/>
          <w:szCs w:val="24"/>
          <w:lang w:val="es-CO"/>
        </w:rPr>
        <w:t xml:space="preserve">de dichos menores de edad </w:t>
      </w:r>
      <w:r w:rsidRPr="002C47E6">
        <w:rPr>
          <w:rFonts w:cs="Arial"/>
          <w:szCs w:val="24"/>
          <w:lang w:val="es-CO"/>
        </w:rPr>
        <w:t xml:space="preserve">y, más particularmente, </w:t>
      </w:r>
      <w:r w:rsidR="00C60994">
        <w:rPr>
          <w:rFonts w:cs="Arial"/>
          <w:szCs w:val="24"/>
          <w:lang w:val="es-CO"/>
        </w:rPr>
        <w:t>su</w:t>
      </w:r>
      <w:r w:rsidRPr="002C47E6">
        <w:rPr>
          <w:rFonts w:cs="Arial"/>
          <w:szCs w:val="24"/>
          <w:lang w:val="es-CO"/>
        </w:rPr>
        <w:t xml:space="preserve"> reconocimiento </w:t>
      </w:r>
      <w:r w:rsidR="00C60994">
        <w:rPr>
          <w:rFonts w:cs="Arial"/>
          <w:szCs w:val="24"/>
          <w:lang w:val="es-CO"/>
        </w:rPr>
        <w:t>como</w:t>
      </w:r>
      <w:r w:rsidRPr="002C47E6">
        <w:rPr>
          <w:rFonts w:cs="Arial"/>
          <w:szCs w:val="24"/>
          <w:lang w:val="es-CO"/>
        </w:rPr>
        <w:t xml:space="preserve"> hijo</w:t>
      </w:r>
      <w:r w:rsidR="00C60994">
        <w:rPr>
          <w:rFonts w:cs="Arial"/>
          <w:szCs w:val="24"/>
          <w:lang w:val="es-CO"/>
        </w:rPr>
        <w:t>s</w:t>
      </w:r>
      <w:r w:rsidRPr="002C47E6">
        <w:rPr>
          <w:rFonts w:cs="Arial"/>
          <w:szCs w:val="24"/>
          <w:lang w:val="es-CO"/>
        </w:rPr>
        <w:t xml:space="preserve"> extramatrimonial</w:t>
      </w:r>
      <w:r w:rsidR="00C60994">
        <w:rPr>
          <w:rFonts w:cs="Arial"/>
          <w:szCs w:val="24"/>
          <w:lang w:val="es-CO"/>
        </w:rPr>
        <w:t>es</w:t>
      </w:r>
      <w:r w:rsidRPr="002C47E6">
        <w:rPr>
          <w:rFonts w:cs="Arial"/>
          <w:szCs w:val="24"/>
          <w:lang w:val="es-CO"/>
        </w:rPr>
        <w:t xml:space="preserve">, </w:t>
      </w:r>
      <w:r w:rsidR="00C60994">
        <w:rPr>
          <w:rFonts w:cs="Arial"/>
          <w:szCs w:val="24"/>
          <w:lang w:val="es-CO"/>
        </w:rPr>
        <w:t xml:space="preserve">situación que </w:t>
      </w:r>
      <w:r w:rsidRPr="002C47E6">
        <w:rPr>
          <w:rFonts w:cs="Arial"/>
          <w:szCs w:val="24"/>
          <w:lang w:val="es-CO"/>
        </w:rPr>
        <w:t>debe ser encauzada</w:t>
      </w:r>
      <w:r w:rsidR="00C60994">
        <w:rPr>
          <w:rFonts w:cs="Arial"/>
          <w:szCs w:val="24"/>
          <w:lang w:val="es-CO"/>
        </w:rPr>
        <w:t>,</w:t>
      </w:r>
      <w:r w:rsidRPr="002C47E6">
        <w:rPr>
          <w:rFonts w:cs="Arial"/>
          <w:szCs w:val="24"/>
          <w:lang w:val="es-CO"/>
        </w:rPr>
        <w:t xml:space="preserve"> necesariamente</w:t>
      </w:r>
      <w:r w:rsidR="00C60994">
        <w:rPr>
          <w:rFonts w:cs="Arial"/>
          <w:szCs w:val="24"/>
          <w:lang w:val="es-CO"/>
        </w:rPr>
        <w:t>,</w:t>
      </w:r>
      <w:r w:rsidRPr="002C47E6">
        <w:rPr>
          <w:rFonts w:cs="Arial"/>
          <w:szCs w:val="24"/>
          <w:lang w:val="es-CO"/>
        </w:rPr>
        <w:t xml:space="preserve"> como acción de impugnación, así se alegue </w:t>
      </w:r>
      <w:r w:rsidR="00C60994">
        <w:rPr>
          <w:rFonts w:cs="Arial"/>
          <w:szCs w:val="24"/>
          <w:lang w:val="es-CO"/>
        </w:rPr>
        <w:t xml:space="preserve">la presunta existencia de causa </w:t>
      </w:r>
      <w:r w:rsidR="004D7BB6">
        <w:rPr>
          <w:rFonts w:cs="Arial"/>
          <w:szCs w:val="24"/>
          <w:lang w:val="es-CO"/>
        </w:rPr>
        <w:t>ilícita</w:t>
      </w:r>
      <w:r w:rsidR="00C60994">
        <w:rPr>
          <w:rFonts w:cs="Arial"/>
          <w:szCs w:val="24"/>
          <w:lang w:val="es-CO"/>
        </w:rPr>
        <w:t>.</w:t>
      </w:r>
    </w:p>
    <w:p w:rsidR="00C60994" w:rsidRDefault="00C60994" w:rsidP="00A71FDD">
      <w:pPr>
        <w:jc w:val="both"/>
        <w:rPr>
          <w:rFonts w:cs="Arial"/>
          <w:szCs w:val="24"/>
          <w:lang w:val="es-CO"/>
        </w:rPr>
      </w:pPr>
    </w:p>
    <w:p w:rsidR="00C60994" w:rsidRDefault="00C60994" w:rsidP="00A71FDD">
      <w:pPr>
        <w:jc w:val="both"/>
        <w:rPr>
          <w:rFonts w:cs="Arial"/>
          <w:szCs w:val="24"/>
          <w:lang w:val="es-CO"/>
        </w:rPr>
      </w:pPr>
      <w:r>
        <w:rPr>
          <w:rFonts w:cs="Arial"/>
          <w:szCs w:val="24"/>
          <w:lang w:val="es-CO"/>
        </w:rPr>
        <w:t>Sobre el particular la Sala de Casación civil de la Corte Suprema de Justicia, en sentencia de fecha 26 de septiembre de 200</w:t>
      </w:r>
      <w:r w:rsidR="004D7BB6">
        <w:rPr>
          <w:rFonts w:cs="Arial"/>
          <w:szCs w:val="24"/>
          <w:lang w:val="es-CO"/>
        </w:rPr>
        <w:t>5, con ponencia del Magistrado C</w:t>
      </w:r>
      <w:r>
        <w:rPr>
          <w:rFonts w:cs="Arial"/>
          <w:szCs w:val="24"/>
          <w:lang w:val="es-CO"/>
        </w:rPr>
        <w:t xml:space="preserve">arlos Ignacio Jaramillo </w:t>
      </w:r>
      <w:proofErr w:type="spellStart"/>
      <w:r>
        <w:rPr>
          <w:rFonts w:cs="Arial"/>
          <w:szCs w:val="24"/>
          <w:lang w:val="es-CO"/>
        </w:rPr>
        <w:t>Jaramillo</w:t>
      </w:r>
      <w:proofErr w:type="spellEnd"/>
      <w:r>
        <w:rPr>
          <w:rFonts w:cs="Arial"/>
          <w:szCs w:val="24"/>
          <w:lang w:val="es-CO"/>
        </w:rPr>
        <w:t>, fue clara a señalar que:</w:t>
      </w:r>
    </w:p>
    <w:p w:rsidR="00C60994" w:rsidRDefault="00C60994" w:rsidP="00A71FDD">
      <w:pPr>
        <w:jc w:val="both"/>
        <w:rPr>
          <w:rFonts w:cs="Arial"/>
          <w:szCs w:val="24"/>
          <w:lang w:val="es-CO"/>
        </w:rPr>
      </w:pPr>
    </w:p>
    <w:p w:rsidR="00C60994" w:rsidRPr="001336A5" w:rsidRDefault="00C60994" w:rsidP="00C60994">
      <w:pPr>
        <w:jc w:val="both"/>
        <w:rPr>
          <w:rFonts w:cs="Arial"/>
          <w:i/>
          <w:szCs w:val="24"/>
          <w:lang w:val="es-CO"/>
        </w:rPr>
      </w:pPr>
      <w:r w:rsidRPr="00D246C0">
        <w:rPr>
          <w:rFonts w:cs="Arial"/>
          <w:i/>
          <w:szCs w:val="24"/>
          <w:lang w:val="es-CO"/>
        </w:rPr>
        <w:t xml:space="preserve">“se sabe que la filiación es el vínculo jurídico de parentesco establecido por la ley entre ascendientes y descendientes de primer grado, que da lugar a un estado civil, de suyo "indivisible, indisponible e imprescriptible" (art. 1º, </w:t>
      </w:r>
      <w:proofErr w:type="spellStart"/>
      <w:r w:rsidRPr="00D246C0">
        <w:rPr>
          <w:rFonts w:cs="Arial"/>
          <w:i/>
          <w:szCs w:val="24"/>
          <w:lang w:val="es-CO"/>
        </w:rPr>
        <w:t>Dec</w:t>
      </w:r>
      <w:proofErr w:type="spellEnd"/>
      <w:r w:rsidRPr="00D246C0">
        <w:rPr>
          <w:rFonts w:cs="Arial"/>
          <w:i/>
          <w:szCs w:val="24"/>
          <w:lang w:val="es-CO"/>
        </w:rPr>
        <w:t xml:space="preserve">. 1260/70), </w:t>
      </w:r>
      <w:proofErr w:type="gramStart"/>
      <w:r w:rsidRPr="00D246C0">
        <w:rPr>
          <w:rFonts w:cs="Arial"/>
          <w:i/>
          <w:szCs w:val="24"/>
          <w:lang w:val="es-CO"/>
        </w:rPr>
        <w:t>para</w:t>
      </w:r>
      <w:proofErr w:type="gramEnd"/>
      <w:r w:rsidRPr="00D246C0">
        <w:rPr>
          <w:rFonts w:cs="Arial"/>
          <w:i/>
          <w:szCs w:val="24"/>
          <w:lang w:val="es-CO"/>
        </w:rPr>
        <w:t xml:space="preserve"> cuya protección fueron consagradas las apellidadas acciones de impugnación y de reclamación de estado, que “son de índole sustancial pues se confunden, </w:t>
      </w:r>
      <w:r w:rsidRPr="00D246C0">
        <w:rPr>
          <w:rFonts w:cs="Arial"/>
          <w:i/>
          <w:szCs w:val="24"/>
          <w:lang w:val="es-CO"/>
        </w:rPr>
        <w:lastRenderedPageBreak/>
        <w:t>respectivamente, con el derecho del interesado para liberarse de las obligaciones que le impone un estado que realmente no le corresponde, o para adquirir los derechos inherentes al que injustamente no se le ha querido reconocer en</w:t>
      </w:r>
      <w:r w:rsidR="001336A5">
        <w:rPr>
          <w:rFonts w:cs="Arial"/>
          <w:i/>
          <w:szCs w:val="24"/>
          <w:lang w:val="es-CO"/>
        </w:rPr>
        <w:t xml:space="preserve"> forma voluntaria” (CXXXV, 124)</w:t>
      </w:r>
      <w:r w:rsidRPr="00D246C0">
        <w:rPr>
          <w:rFonts w:cs="Arial"/>
          <w:i/>
          <w:szCs w:val="24"/>
          <w:lang w:val="es-CO"/>
        </w:rPr>
        <w:t xml:space="preserve">.” </w:t>
      </w:r>
    </w:p>
    <w:p w:rsidR="00C60994" w:rsidRPr="00C60994" w:rsidRDefault="00C60994" w:rsidP="00C60994">
      <w:pPr>
        <w:jc w:val="both"/>
        <w:rPr>
          <w:rFonts w:cs="Arial"/>
          <w:szCs w:val="24"/>
          <w:lang w:val="es-CO"/>
        </w:rPr>
      </w:pPr>
    </w:p>
    <w:p w:rsidR="00C60994" w:rsidRPr="00C60994" w:rsidRDefault="00C60994" w:rsidP="00C60994">
      <w:pPr>
        <w:jc w:val="both"/>
        <w:rPr>
          <w:rFonts w:cs="Arial"/>
          <w:szCs w:val="24"/>
          <w:lang w:val="es-ES_tradnl"/>
        </w:rPr>
      </w:pPr>
      <w:r>
        <w:rPr>
          <w:rFonts w:cs="Arial"/>
          <w:szCs w:val="24"/>
          <w:lang w:val="es-ES_tradnl"/>
        </w:rPr>
        <w:t>En la misma providencia se recuerdan múltiples pronunciamientos</w:t>
      </w:r>
      <w:r w:rsidR="004002F2">
        <w:rPr>
          <w:rStyle w:val="Refdenotaalpie"/>
          <w:rFonts w:cs="Arial"/>
          <w:szCs w:val="24"/>
          <w:lang w:val="es-ES_tradnl"/>
        </w:rPr>
        <w:footnoteReference w:id="1"/>
      </w:r>
      <w:r w:rsidR="004002F2">
        <w:rPr>
          <w:rFonts w:cs="Arial"/>
          <w:szCs w:val="24"/>
          <w:lang w:val="es-ES_tradnl"/>
        </w:rPr>
        <w:t xml:space="preserve"> de dicha corporación respecto a que </w:t>
      </w:r>
      <w:r w:rsidRPr="00C60994">
        <w:rPr>
          <w:rFonts w:cs="Arial"/>
          <w:szCs w:val="24"/>
          <w:lang w:val="es-ES_tradnl"/>
        </w:rPr>
        <w:t>en aquellos eventos en los "</w:t>
      </w:r>
      <w:r w:rsidRPr="00D246C0">
        <w:rPr>
          <w:rFonts w:cs="Arial"/>
          <w:i/>
          <w:szCs w:val="24"/>
          <w:lang w:val="es-ES_tradnl"/>
        </w:rPr>
        <w:t>que la pretensión debatida en juicio estuvo orientada, en resumidas cuentas, a obtener la declaración judicial de que una determinada persona carecía del estado civil que ostentaba en la correspondiente partida, por no corresponder ese hecho a la realidad", lo que en últimas de debatía era “</w:t>
      </w:r>
      <w:r w:rsidRPr="00D246C0">
        <w:rPr>
          <w:rFonts w:cs="Arial"/>
          <w:i/>
          <w:szCs w:val="24"/>
          <w:u w:val="single"/>
          <w:lang w:val="es-ES_tradnl"/>
        </w:rPr>
        <w:t>una auténtica y genuina acción de impugnación de esa filiación</w:t>
      </w:r>
      <w:r w:rsidRPr="00D246C0">
        <w:rPr>
          <w:rFonts w:cs="Arial"/>
          <w:i/>
          <w:szCs w:val="24"/>
          <w:lang w:val="es-ES_tradnl"/>
        </w:rPr>
        <w:t xml:space="preserve">, </w:t>
      </w:r>
      <w:r w:rsidRPr="00D246C0">
        <w:rPr>
          <w:rFonts w:cs="Arial"/>
          <w:i/>
          <w:szCs w:val="24"/>
          <w:u w:val="single"/>
          <w:lang w:val="es-ES_tradnl"/>
        </w:rPr>
        <w:t>así se le llame</w:t>
      </w:r>
      <w:r w:rsidRPr="00D246C0">
        <w:rPr>
          <w:rFonts w:cs="Arial"/>
          <w:i/>
          <w:szCs w:val="24"/>
          <w:lang w:val="es-ES_tradnl"/>
        </w:rPr>
        <w:t xml:space="preserve"> por el actor acción </w:t>
      </w:r>
      <w:r w:rsidRPr="00D246C0">
        <w:rPr>
          <w:rFonts w:cs="Arial"/>
          <w:i/>
          <w:szCs w:val="24"/>
          <w:u w:val="single"/>
          <w:lang w:val="es-ES_tradnl"/>
        </w:rPr>
        <w:t xml:space="preserve">de nulidad del registro o de </w:t>
      </w:r>
      <w:proofErr w:type="spellStart"/>
      <w:r w:rsidRPr="00D246C0">
        <w:rPr>
          <w:rFonts w:cs="Arial"/>
          <w:i/>
          <w:szCs w:val="24"/>
          <w:u w:val="single"/>
          <w:lang w:val="es-ES_tradnl"/>
        </w:rPr>
        <w:t>inoponibilidad</w:t>
      </w:r>
      <w:proofErr w:type="spellEnd"/>
      <w:r w:rsidRPr="00D246C0">
        <w:rPr>
          <w:rFonts w:cs="Arial"/>
          <w:i/>
          <w:szCs w:val="24"/>
          <w:u w:val="single"/>
          <w:lang w:val="es-ES_tradnl"/>
        </w:rPr>
        <w:t xml:space="preserve"> o invalidez</w:t>
      </w:r>
      <w:r w:rsidRPr="00D246C0">
        <w:rPr>
          <w:rFonts w:cs="Arial"/>
          <w:i/>
          <w:szCs w:val="24"/>
          <w:lang w:val="es-ES_tradnl"/>
        </w:rPr>
        <w:t xml:space="preserve">, </w:t>
      </w:r>
      <w:r w:rsidRPr="00D246C0">
        <w:rPr>
          <w:rFonts w:cs="Arial"/>
          <w:i/>
          <w:szCs w:val="24"/>
          <w:u w:val="single"/>
          <w:lang w:val="es-ES_tradnl"/>
        </w:rPr>
        <w:t>pues lo que en el fondo prevalece e importa en todas ellas es que se declare judicialmente que es irreal el hecho afirmado en la partida</w:t>
      </w:r>
      <w:r w:rsidR="004002F2" w:rsidRPr="00D246C0">
        <w:rPr>
          <w:rFonts w:cs="Arial"/>
          <w:i/>
          <w:szCs w:val="24"/>
          <w:lang w:val="es-ES_tradnl"/>
        </w:rPr>
        <w:t xml:space="preserve"> (C</w:t>
      </w:r>
      <w:r w:rsidRPr="00D246C0">
        <w:rPr>
          <w:rFonts w:cs="Arial"/>
          <w:i/>
          <w:szCs w:val="24"/>
          <w:lang w:val="es-ES_tradnl"/>
        </w:rPr>
        <w:t xml:space="preserve">as. civ. 25 de agosto de 2000, </w:t>
      </w:r>
      <w:proofErr w:type="spellStart"/>
      <w:r w:rsidRPr="00D246C0">
        <w:rPr>
          <w:rFonts w:cs="Arial"/>
          <w:i/>
          <w:szCs w:val="24"/>
          <w:lang w:val="es-ES_tradnl"/>
        </w:rPr>
        <w:t>exp</w:t>
      </w:r>
      <w:proofErr w:type="spellEnd"/>
      <w:r w:rsidRPr="00D246C0">
        <w:rPr>
          <w:rFonts w:cs="Arial"/>
          <w:i/>
          <w:szCs w:val="24"/>
          <w:lang w:val="es-ES_tradnl"/>
        </w:rPr>
        <w:t>. 5215)</w:t>
      </w:r>
      <w:r w:rsidR="00CA73FA">
        <w:rPr>
          <w:rFonts w:cs="Arial"/>
          <w:i/>
          <w:szCs w:val="24"/>
          <w:lang w:val="es-ES_tradnl"/>
        </w:rPr>
        <w:t>”</w:t>
      </w:r>
      <w:r w:rsidRPr="00C60994">
        <w:rPr>
          <w:rFonts w:cs="Arial"/>
          <w:szCs w:val="24"/>
          <w:lang w:val="es-ES_tradnl"/>
        </w:rPr>
        <w:tab/>
      </w:r>
    </w:p>
    <w:p w:rsidR="00C60994" w:rsidRPr="00C60994" w:rsidRDefault="00C60994" w:rsidP="00C60994">
      <w:pPr>
        <w:jc w:val="both"/>
        <w:rPr>
          <w:rFonts w:cs="Arial"/>
          <w:szCs w:val="24"/>
          <w:lang w:val="es-ES_tradnl"/>
        </w:rPr>
      </w:pPr>
    </w:p>
    <w:p w:rsidR="00C60994" w:rsidRPr="00CA73FA" w:rsidRDefault="004002F2" w:rsidP="00C60994">
      <w:pPr>
        <w:jc w:val="both"/>
        <w:rPr>
          <w:rFonts w:cs="Arial"/>
          <w:i/>
          <w:szCs w:val="24"/>
          <w:lang w:val="es-ES_tradnl"/>
        </w:rPr>
      </w:pPr>
      <w:r>
        <w:rPr>
          <w:rFonts w:cs="Arial"/>
          <w:szCs w:val="24"/>
          <w:lang w:val="es-ES_tradnl"/>
        </w:rPr>
        <w:t xml:space="preserve">Resulta pertinente la afirmación que se hace en </w:t>
      </w:r>
      <w:r w:rsidR="001336A5">
        <w:rPr>
          <w:rFonts w:cs="Arial"/>
          <w:szCs w:val="24"/>
          <w:lang w:val="es-ES_tradnl"/>
        </w:rPr>
        <w:t>la</w:t>
      </w:r>
      <w:r>
        <w:rPr>
          <w:rFonts w:cs="Arial"/>
          <w:szCs w:val="24"/>
          <w:lang w:val="es-ES_tradnl"/>
        </w:rPr>
        <w:t xml:space="preserve"> sentencia </w:t>
      </w:r>
      <w:r w:rsidR="001336A5">
        <w:rPr>
          <w:rFonts w:cs="Arial"/>
          <w:szCs w:val="24"/>
          <w:lang w:val="es-ES_tradnl"/>
        </w:rPr>
        <w:t xml:space="preserve">frente </w:t>
      </w:r>
      <w:r>
        <w:rPr>
          <w:rFonts w:cs="Arial"/>
          <w:szCs w:val="24"/>
          <w:lang w:val="es-ES_tradnl"/>
        </w:rPr>
        <w:t xml:space="preserve">a que </w:t>
      </w:r>
      <w:r w:rsidR="00C60994" w:rsidRPr="00CA73FA">
        <w:rPr>
          <w:rFonts w:cs="Arial"/>
          <w:i/>
          <w:szCs w:val="24"/>
          <w:lang w:val="es-ES_tradnl"/>
        </w:rPr>
        <w:t>“</w:t>
      </w:r>
      <w:r w:rsidR="00C60994" w:rsidRPr="00CA73FA">
        <w:rPr>
          <w:rFonts w:cs="Arial"/>
          <w:i/>
          <w:szCs w:val="24"/>
          <w:u w:val="single"/>
          <w:lang w:val="es-ES_tradnl"/>
        </w:rPr>
        <w:t>si el legislador se tomó el trabajo de otorgar al evento de la falsedad en la declaración de paternidad natural un especial y cauteloso tratamiento jurídico, determinando estrictamente quiénes, cuándo y cómo pueden impugnar el reconocimiento del hijo, absurdo sería pensar que admitió simultáneamente  la existencia de una acción paralela (léase la de nulidad) cuyo objetivo sería así mismo el de despojar al reconocido de su filiación con fundamento en idénticas circunstancias fácticas, acción que, por si fuera poco, no solo  coexistiría  con la de impugnación sino que subsistiría, y por largo  tiempo, luego  de fenecida ésta</w:t>
      </w:r>
      <w:r w:rsidR="00D246C0" w:rsidRPr="00CA73FA">
        <w:rPr>
          <w:rFonts w:cs="Arial"/>
          <w:i/>
          <w:szCs w:val="24"/>
          <w:lang w:val="es-ES_tradnl"/>
        </w:rPr>
        <w:t>.</w:t>
      </w:r>
    </w:p>
    <w:p w:rsidR="00C60994" w:rsidRPr="00CA73FA" w:rsidRDefault="00C60994" w:rsidP="00C60994">
      <w:pPr>
        <w:jc w:val="both"/>
        <w:rPr>
          <w:rFonts w:cs="Arial"/>
          <w:i/>
          <w:szCs w:val="24"/>
          <w:lang w:val="es-ES_tradnl"/>
        </w:rPr>
      </w:pPr>
    </w:p>
    <w:p w:rsidR="00C60994" w:rsidRDefault="001336A5" w:rsidP="00C60994">
      <w:pPr>
        <w:jc w:val="both"/>
        <w:rPr>
          <w:rFonts w:cs="Arial"/>
          <w:i/>
          <w:szCs w:val="24"/>
          <w:lang w:val="es-ES_tradnl"/>
        </w:rPr>
      </w:pPr>
      <w:r>
        <w:rPr>
          <w:rFonts w:cs="Arial"/>
          <w:i/>
          <w:szCs w:val="24"/>
          <w:lang w:val="es-ES_tradnl"/>
        </w:rPr>
        <w:t>(…)</w:t>
      </w:r>
    </w:p>
    <w:p w:rsidR="001336A5" w:rsidRPr="00CA73FA" w:rsidRDefault="001336A5" w:rsidP="00C60994">
      <w:pPr>
        <w:jc w:val="both"/>
        <w:rPr>
          <w:rFonts w:cs="Arial"/>
          <w:i/>
          <w:szCs w:val="24"/>
          <w:lang w:val="es-ES_tradnl"/>
        </w:rPr>
      </w:pPr>
    </w:p>
    <w:p w:rsidR="00C60994" w:rsidRPr="00CA73FA" w:rsidRDefault="00C60994" w:rsidP="00C60994">
      <w:pPr>
        <w:jc w:val="both"/>
        <w:rPr>
          <w:rFonts w:cs="Arial"/>
          <w:i/>
          <w:szCs w:val="24"/>
          <w:lang w:val="es-ES_tradnl"/>
        </w:rPr>
      </w:pPr>
      <w:r w:rsidRPr="00CA73FA">
        <w:rPr>
          <w:rFonts w:cs="Arial"/>
          <w:i/>
          <w:szCs w:val="24"/>
          <w:lang w:val="es-ES_tradnl"/>
        </w:rPr>
        <w:t xml:space="preserve">Todo se  conjunta, pues, para señalar cómo la única interpretación valedera es la de que en estas materias del estado civil, y concretamente en lo de las acciones encaminadas a suprimirlo, ha de estarse a las causas y a los términos que específicas normas consagran para esos efectos, </w:t>
      </w:r>
      <w:r w:rsidRPr="00CA73FA">
        <w:rPr>
          <w:rFonts w:cs="Arial"/>
          <w:i/>
          <w:szCs w:val="24"/>
          <w:u w:val="single"/>
          <w:lang w:val="es-ES_tradnl"/>
        </w:rPr>
        <w:t>sin que pueda pensarse que el alegar esas mismas causas de impugnación pero situándolas en un diferente marco jurídico, - para el caso el de las nulidades-, se convierta en  airoso medio de esquivar aquellas normas y evadir su tan justificado rigor</w:t>
      </w:r>
      <w:r w:rsidRPr="00CA73FA">
        <w:rPr>
          <w:rFonts w:cs="Arial"/>
          <w:i/>
          <w:szCs w:val="24"/>
          <w:lang w:val="es-ES_tradnl"/>
        </w:rPr>
        <w:t xml:space="preserve">” (se subraya; cas. civ. de 27 de octubre de 2000; </w:t>
      </w:r>
      <w:proofErr w:type="spellStart"/>
      <w:r w:rsidRPr="00CA73FA">
        <w:rPr>
          <w:rFonts w:cs="Arial"/>
          <w:i/>
          <w:szCs w:val="24"/>
          <w:lang w:val="es-ES_tradnl"/>
        </w:rPr>
        <w:t>exp</w:t>
      </w:r>
      <w:proofErr w:type="spellEnd"/>
      <w:r w:rsidRPr="00CA73FA">
        <w:rPr>
          <w:rFonts w:cs="Arial"/>
          <w:i/>
          <w:szCs w:val="24"/>
          <w:lang w:val="es-ES_tradnl"/>
        </w:rPr>
        <w:t>.: 5639).</w:t>
      </w:r>
      <w:r w:rsidR="00D246C0" w:rsidRPr="00CA73FA">
        <w:rPr>
          <w:rFonts w:cs="Arial"/>
          <w:i/>
          <w:szCs w:val="24"/>
          <w:lang w:val="es-ES_tradnl"/>
        </w:rPr>
        <w:t>”</w:t>
      </w:r>
    </w:p>
    <w:p w:rsidR="00C60994" w:rsidRPr="00C60994" w:rsidRDefault="00C60994" w:rsidP="00C60994">
      <w:pPr>
        <w:jc w:val="both"/>
        <w:rPr>
          <w:rFonts w:cs="Arial"/>
          <w:szCs w:val="24"/>
          <w:lang w:val="es-ES_tradnl"/>
        </w:rPr>
      </w:pPr>
      <w:r w:rsidRPr="00C60994">
        <w:rPr>
          <w:rFonts w:cs="Arial"/>
          <w:szCs w:val="24"/>
          <w:lang w:val="es-ES_tradnl"/>
        </w:rPr>
        <w:t xml:space="preserve">   </w:t>
      </w:r>
    </w:p>
    <w:p w:rsidR="00C60994" w:rsidRDefault="00D246C0" w:rsidP="00C60994">
      <w:pPr>
        <w:jc w:val="both"/>
        <w:rPr>
          <w:rFonts w:cs="Arial"/>
          <w:szCs w:val="24"/>
          <w:lang w:val="es-CO"/>
        </w:rPr>
      </w:pPr>
      <w:r>
        <w:rPr>
          <w:rFonts w:cs="Arial"/>
          <w:szCs w:val="24"/>
          <w:lang w:val="es-CO"/>
        </w:rPr>
        <w:t>Y concluye advirtiendo que</w:t>
      </w:r>
      <w:r w:rsidR="00C60994" w:rsidRPr="00C60994">
        <w:rPr>
          <w:rFonts w:cs="Arial"/>
          <w:szCs w:val="24"/>
          <w:lang w:val="es-CO"/>
        </w:rPr>
        <w:t xml:space="preserve"> </w:t>
      </w:r>
      <w:r w:rsidRPr="00CA73FA">
        <w:rPr>
          <w:rFonts w:cs="Arial"/>
          <w:i/>
          <w:szCs w:val="24"/>
          <w:lang w:val="es-CO"/>
        </w:rPr>
        <w:t>“</w:t>
      </w:r>
      <w:r w:rsidR="00C60994" w:rsidRPr="00CA73FA">
        <w:rPr>
          <w:rFonts w:cs="Arial"/>
          <w:i/>
          <w:szCs w:val="24"/>
          <w:lang w:val="es-CO"/>
        </w:rPr>
        <w:t xml:space="preserve">el único camino que tiene la persona que ha reconocido a otra como hijo suyo, para controvertir ese acto sobre la base de no ser su progenitor, es el de impugnar el reconocimiento, en los términos y condiciones a que hace referencia el artículo 5º de la Ley 75 de 1968, toda vez que, en últimas, por más que se pretenda calificar esa circunstancia como falta de causa, causa irreal u objeto ilícito, lo que se habrá cuestionado por el demandante es la filiación paterna, asunto que tiene reservada una acción especial para esos fines, que no </w:t>
      </w:r>
      <w:r w:rsidR="00C60994" w:rsidRPr="00CA73FA">
        <w:rPr>
          <w:rFonts w:cs="Arial"/>
          <w:i/>
          <w:szCs w:val="24"/>
          <w:lang w:val="es-CO"/>
        </w:rPr>
        <w:lastRenderedPageBreak/>
        <w:t>puede ser desconocida o soslayada, so capa de acudir al régimen general de las nulidades sustanciales</w:t>
      </w:r>
      <w:r w:rsidRPr="00CA73FA">
        <w:rPr>
          <w:rFonts w:cs="Arial"/>
          <w:i/>
          <w:szCs w:val="24"/>
          <w:lang w:val="es-CO"/>
        </w:rPr>
        <w:t>”</w:t>
      </w:r>
    </w:p>
    <w:p w:rsidR="00C60994" w:rsidRDefault="00C60994" w:rsidP="00A71FDD">
      <w:pPr>
        <w:jc w:val="both"/>
        <w:rPr>
          <w:rFonts w:cs="Arial"/>
          <w:szCs w:val="24"/>
          <w:lang w:val="es-CO"/>
        </w:rPr>
      </w:pPr>
    </w:p>
    <w:p w:rsidR="001336A5" w:rsidRDefault="00D246C0" w:rsidP="00A71FDD">
      <w:pPr>
        <w:jc w:val="both"/>
        <w:rPr>
          <w:rFonts w:cs="Arial"/>
          <w:szCs w:val="24"/>
        </w:rPr>
      </w:pPr>
      <w:r>
        <w:rPr>
          <w:rFonts w:cs="Arial"/>
          <w:szCs w:val="24"/>
          <w:lang w:val="es-CO"/>
        </w:rPr>
        <w:t xml:space="preserve">Con </w:t>
      </w:r>
      <w:r w:rsidR="00CA73FA">
        <w:rPr>
          <w:rFonts w:cs="Arial"/>
          <w:szCs w:val="24"/>
          <w:lang w:val="es-CO"/>
        </w:rPr>
        <w:t xml:space="preserve">fundamento </w:t>
      </w:r>
      <w:r w:rsidR="00B15EE1">
        <w:rPr>
          <w:rFonts w:cs="Arial"/>
          <w:szCs w:val="24"/>
        </w:rPr>
        <w:t xml:space="preserve">en lo anterior se solicita revocar el auto proferido el </w:t>
      </w:r>
      <w:r>
        <w:rPr>
          <w:rFonts w:cs="Arial"/>
          <w:szCs w:val="24"/>
        </w:rPr>
        <w:t xml:space="preserve">veintidós </w:t>
      </w:r>
      <w:r w:rsidRPr="005C4DC6">
        <w:rPr>
          <w:rFonts w:cs="Arial"/>
          <w:szCs w:val="24"/>
        </w:rPr>
        <w:t>(</w:t>
      </w:r>
      <w:r>
        <w:rPr>
          <w:rFonts w:cs="Arial"/>
          <w:szCs w:val="24"/>
        </w:rPr>
        <w:t>22</w:t>
      </w:r>
      <w:r w:rsidRPr="005C4DC6">
        <w:rPr>
          <w:rFonts w:cs="Arial"/>
          <w:szCs w:val="24"/>
        </w:rPr>
        <w:t xml:space="preserve">) de </w:t>
      </w:r>
      <w:r>
        <w:rPr>
          <w:rFonts w:cs="Arial"/>
          <w:szCs w:val="24"/>
        </w:rPr>
        <w:t xml:space="preserve">agosto </w:t>
      </w:r>
      <w:r w:rsidRPr="005C4DC6">
        <w:rPr>
          <w:rFonts w:cs="Arial"/>
          <w:szCs w:val="24"/>
        </w:rPr>
        <w:t>de dos mil dieci</w:t>
      </w:r>
      <w:r>
        <w:rPr>
          <w:rFonts w:cs="Arial"/>
          <w:szCs w:val="24"/>
        </w:rPr>
        <w:t>ocho</w:t>
      </w:r>
      <w:r w:rsidRPr="005C4DC6">
        <w:rPr>
          <w:rFonts w:cs="Arial"/>
          <w:szCs w:val="24"/>
        </w:rPr>
        <w:t xml:space="preserve"> (201</w:t>
      </w:r>
      <w:r>
        <w:rPr>
          <w:rFonts w:cs="Arial"/>
          <w:szCs w:val="24"/>
        </w:rPr>
        <w:t>8</w:t>
      </w:r>
      <w:r w:rsidRPr="005C4DC6">
        <w:rPr>
          <w:rFonts w:cs="Arial"/>
          <w:szCs w:val="24"/>
        </w:rPr>
        <w:t>)</w:t>
      </w:r>
      <w:r w:rsidR="00B15EE1">
        <w:rPr>
          <w:rFonts w:cs="Arial"/>
          <w:szCs w:val="24"/>
        </w:rPr>
        <w:t xml:space="preserve">, </w:t>
      </w:r>
      <w:r w:rsidR="004D7BB6">
        <w:rPr>
          <w:rFonts w:cs="Arial"/>
          <w:szCs w:val="24"/>
        </w:rPr>
        <w:t xml:space="preserve">mediante el cual se admitió la demanda de nulidad absoluta, para que en su lugar se admita el </w:t>
      </w:r>
      <w:r w:rsidR="001336A5">
        <w:rPr>
          <w:rFonts w:cs="Arial"/>
          <w:szCs w:val="24"/>
        </w:rPr>
        <w:t xml:space="preserve">presente proceso </w:t>
      </w:r>
      <w:r w:rsidR="004D7BB6">
        <w:rPr>
          <w:rFonts w:cs="Arial"/>
          <w:szCs w:val="24"/>
        </w:rPr>
        <w:t xml:space="preserve">como </w:t>
      </w:r>
      <w:r w:rsidR="001336A5">
        <w:rPr>
          <w:rFonts w:cs="Arial"/>
          <w:szCs w:val="24"/>
        </w:rPr>
        <w:t>de impugnación de paternidad</w:t>
      </w:r>
      <w:r w:rsidR="004D7BB6">
        <w:rPr>
          <w:rFonts w:cs="Arial"/>
          <w:szCs w:val="24"/>
        </w:rPr>
        <w:t xml:space="preserve">, toda vez </w:t>
      </w:r>
      <w:r w:rsidR="004D7BB6">
        <w:rPr>
          <w:rFonts w:cs="Arial"/>
          <w:szCs w:val="24"/>
          <w:lang w:val="es-CO"/>
        </w:rPr>
        <w:t xml:space="preserve">que </w:t>
      </w:r>
      <w:r w:rsidR="004D7BB6">
        <w:rPr>
          <w:rFonts w:cs="Arial"/>
          <w:szCs w:val="24"/>
          <w:lang w:val="es-CO"/>
        </w:rPr>
        <w:t xml:space="preserve">lo pretendido por </w:t>
      </w:r>
      <w:r w:rsidR="004D7BB6">
        <w:rPr>
          <w:rFonts w:cs="Arial"/>
          <w:szCs w:val="24"/>
          <w:lang w:val="es-CO"/>
        </w:rPr>
        <w:t xml:space="preserve">el señor </w:t>
      </w:r>
      <w:r w:rsidR="004D7BB6">
        <w:rPr>
          <w:rFonts w:cs="Arial"/>
          <w:b/>
          <w:szCs w:val="24"/>
        </w:rPr>
        <w:t xml:space="preserve">Hugo Quiroga Cruz </w:t>
      </w:r>
      <w:r w:rsidR="004D7BB6" w:rsidRPr="004D7BB6">
        <w:rPr>
          <w:rFonts w:cs="Arial"/>
          <w:szCs w:val="24"/>
        </w:rPr>
        <w:t>es</w:t>
      </w:r>
      <w:r w:rsidR="004D7BB6">
        <w:rPr>
          <w:rFonts w:cs="Arial"/>
          <w:b/>
          <w:szCs w:val="24"/>
        </w:rPr>
        <w:t xml:space="preserve"> </w:t>
      </w:r>
      <w:r w:rsidR="004D7BB6">
        <w:rPr>
          <w:rFonts w:cs="Arial"/>
          <w:szCs w:val="24"/>
        </w:rPr>
        <w:t>ataca</w:t>
      </w:r>
      <w:r w:rsidR="004D7BB6">
        <w:rPr>
          <w:rFonts w:cs="Arial"/>
          <w:szCs w:val="24"/>
        </w:rPr>
        <w:t>r</w:t>
      </w:r>
      <w:r w:rsidR="004D7BB6">
        <w:rPr>
          <w:rFonts w:cs="Arial"/>
          <w:szCs w:val="24"/>
        </w:rPr>
        <w:t xml:space="preserve"> el reconocimiento paterno contenido en la escritura pública No. 0423 del 24 de febrero del año 2017</w:t>
      </w:r>
      <w:r w:rsidR="004D7BB6">
        <w:rPr>
          <w:rFonts w:cs="Arial"/>
          <w:szCs w:val="24"/>
        </w:rPr>
        <w:t>,</w:t>
      </w:r>
      <w:bookmarkStart w:id="0" w:name="_GoBack"/>
      <w:bookmarkEnd w:id="0"/>
      <w:r w:rsidR="004D7BB6">
        <w:rPr>
          <w:rFonts w:cs="Arial"/>
          <w:szCs w:val="24"/>
        </w:rPr>
        <w:t xml:space="preserve"> suscrita ante la Notaría Tercera de Neiva</w:t>
      </w:r>
      <w:r w:rsidR="004D7BB6">
        <w:rPr>
          <w:rFonts w:cs="Arial"/>
          <w:szCs w:val="24"/>
        </w:rPr>
        <w:t xml:space="preserve">, que dio origen a los </w:t>
      </w:r>
      <w:r w:rsidR="004D7BB6">
        <w:rPr>
          <w:rFonts w:cs="Arial"/>
          <w:szCs w:val="24"/>
        </w:rPr>
        <w:t xml:space="preserve">registros civiles de nacimiento de los menores de edad </w:t>
      </w:r>
      <w:r w:rsidR="004D7BB6" w:rsidRPr="00CA73FA">
        <w:rPr>
          <w:rFonts w:cs="Arial"/>
          <w:b/>
          <w:szCs w:val="24"/>
        </w:rPr>
        <w:t>Juan Simón Quiroga Fierro</w:t>
      </w:r>
      <w:r w:rsidR="004D7BB6" w:rsidRPr="00CA73FA">
        <w:rPr>
          <w:rFonts w:cs="Arial"/>
          <w:b/>
          <w:szCs w:val="24"/>
        </w:rPr>
        <w:t xml:space="preserve"> </w:t>
      </w:r>
      <w:r w:rsidR="004D7BB6" w:rsidRPr="004D7BB6">
        <w:rPr>
          <w:rFonts w:cs="Arial"/>
          <w:szCs w:val="24"/>
        </w:rPr>
        <w:t>y</w:t>
      </w:r>
      <w:r w:rsidR="004D7BB6" w:rsidRPr="00CA73FA">
        <w:rPr>
          <w:rFonts w:cs="Arial"/>
          <w:b/>
          <w:szCs w:val="24"/>
        </w:rPr>
        <w:t xml:space="preserve"> Maria Julieta Quiroga Fierro</w:t>
      </w:r>
      <w:r w:rsidR="001336A5">
        <w:rPr>
          <w:rFonts w:cs="Arial"/>
          <w:szCs w:val="24"/>
        </w:rPr>
        <w:t>.</w:t>
      </w:r>
    </w:p>
    <w:p w:rsidR="00D246C0" w:rsidRDefault="00D246C0" w:rsidP="00A71FDD">
      <w:pPr>
        <w:jc w:val="both"/>
        <w:rPr>
          <w:rFonts w:cs="Arial"/>
          <w:b/>
          <w:szCs w:val="24"/>
        </w:rPr>
      </w:pPr>
    </w:p>
    <w:p w:rsidR="001336A5" w:rsidRPr="006A0EB7" w:rsidRDefault="001336A5" w:rsidP="001336A5">
      <w:pPr>
        <w:jc w:val="both"/>
        <w:rPr>
          <w:rFonts w:cs="Arial"/>
          <w:szCs w:val="24"/>
        </w:rPr>
      </w:pPr>
      <w:r w:rsidRPr="006A0EB7">
        <w:rPr>
          <w:rFonts w:cs="Arial"/>
          <w:szCs w:val="24"/>
        </w:rPr>
        <w:t>Cordialmente,</w:t>
      </w:r>
    </w:p>
    <w:p w:rsidR="001336A5" w:rsidRPr="006A0EB7" w:rsidRDefault="001336A5" w:rsidP="001336A5">
      <w:pPr>
        <w:jc w:val="both"/>
        <w:rPr>
          <w:rFonts w:cs="Arial"/>
          <w:szCs w:val="24"/>
        </w:rPr>
      </w:pPr>
    </w:p>
    <w:p w:rsidR="001336A5" w:rsidRPr="006A0EB7" w:rsidRDefault="001336A5" w:rsidP="001336A5">
      <w:pPr>
        <w:jc w:val="center"/>
        <w:rPr>
          <w:rFonts w:cs="Arial"/>
          <w:b/>
          <w:szCs w:val="24"/>
        </w:rPr>
      </w:pPr>
      <w:r w:rsidRPr="006A0EB7">
        <w:rPr>
          <w:rFonts w:cs="Arial"/>
          <w:b/>
          <w:szCs w:val="24"/>
        </w:rPr>
        <w:t>PABLO SERGIO SANDINO BADILLO GARCIA</w:t>
      </w:r>
    </w:p>
    <w:p w:rsidR="001336A5" w:rsidRPr="005C4DC6" w:rsidRDefault="001336A5" w:rsidP="001336A5">
      <w:pPr>
        <w:jc w:val="center"/>
        <w:rPr>
          <w:rFonts w:cs="Arial"/>
          <w:b/>
          <w:szCs w:val="24"/>
        </w:rPr>
      </w:pPr>
      <w:r w:rsidRPr="005C4DC6">
        <w:rPr>
          <w:rFonts w:cs="Arial"/>
          <w:szCs w:val="24"/>
        </w:rPr>
        <w:t xml:space="preserve">Procurador 246 Judicial I </w:t>
      </w:r>
    </w:p>
    <w:p w:rsidR="00D246C0" w:rsidRDefault="00D246C0" w:rsidP="00A71FDD">
      <w:pPr>
        <w:jc w:val="both"/>
        <w:rPr>
          <w:rFonts w:cs="Arial"/>
          <w:b/>
          <w:szCs w:val="24"/>
        </w:rPr>
      </w:pPr>
    </w:p>
    <w:p w:rsidR="00D246C0" w:rsidRDefault="00D246C0" w:rsidP="00A71FDD">
      <w:pPr>
        <w:jc w:val="both"/>
        <w:rPr>
          <w:rFonts w:cs="Arial"/>
          <w:b/>
          <w:szCs w:val="24"/>
        </w:rPr>
      </w:pPr>
    </w:p>
    <w:sectPr w:rsidR="00D246C0" w:rsidSect="00541A3F">
      <w:headerReference w:type="default" r:id="rId8"/>
      <w:footerReference w:type="default" r:id="rId9"/>
      <w:pgSz w:w="12240" w:h="18720" w:code="14"/>
      <w:pgMar w:top="3402" w:right="1701" w:bottom="1701" w:left="1701" w:header="902" w:footer="1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D3" w:rsidRDefault="00F703D3">
      <w:r>
        <w:separator/>
      </w:r>
    </w:p>
  </w:endnote>
  <w:endnote w:type="continuationSeparator" w:id="0">
    <w:p w:rsidR="00F703D3" w:rsidRDefault="00F7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A0" w:rsidRPr="001B7DDA" w:rsidRDefault="003E46A0" w:rsidP="006F3F22">
    <w:pPr>
      <w:pStyle w:val="Piedepgina"/>
      <w:jc w:val="center"/>
      <w:rPr>
        <w:rFonts w:cs="Arial"/>
        <w:i/>
        <w:color w:val="17365D" w:themeColor="text2" w:themeShade="BF"/>
      </w:rPr>
    </w:pPr>
    <w:r w:rsidRPr="001B7DDA">
      <w:rPr>
        <w:rFonts w:cs="Arial"/>
        <w:i/>
        <w:color w:val="17365D" w:themeColor="text2" w:themeShade="BF"/>
      </w:rPr>
      <w:t xml:space="preserve">Procuraduría 246 Judicial I para la Defensa de los Derechos </w:t>
    </w:r>
  </w:p>
  <w:p w:rsidR="003E46A0" w:rsidRPr="001B7DDA" w:rsidRDefault="003E46A0" w:rsidP="006F3F22">
    <w:pPr>
      <w:pStyle w:val="Piedepgina"/>
      <w:jc w:val="center"/>
      <w:rPr>
        <w:rFonts w:cs="Arial"/>
        <w:i/>
        <w:color w:val="17365D" w:themeColor="text2" w:themeShade="BF"/>
      </w:rPr>
    </w:pPr>
    <w:r w:rsidRPr="001B7DDA">
      <w:rPr>
        <w:rFonts w:cs="Arial"/>
        <w:i/>
        <w:color w:val="17365D" w:themeColor="text2" w:themeShade="BF"/>
      </w:rPr>
      <w:t xml:space="preserve">de la Infancia, la Adolescencia y la Familia </w:t>
    </w:r>
  </w:p>
  <w:p w:rsidR="003E46A0" w:rsidRPr="001B7DDA" w:rsidRDefault="003E46A0" w:rsidP="006F3F22">
    <w:pPr>
      <w:pStyle w:val="Piedepgina"/>
      <w:jc w:val="center"/>
      <w:rPr>
        <w:rFonts w:cs="Arial"/>
        <w:i/>
        <w:color w:val="17365D" w:themeColor="text2" w:themeShade="BF"/>
      </w:rPr>
    </w:pPr>
    <w:r w:rsidRPr="001B7DDA">
      <w:rPr>
        <w:rFonts w:cs="Arial"/>
        <w:i/>
        <w:color w:val="17365D" w:themeColor="text2" w:themeShade="BF"/>
      </w:rPr>
      <w:t>Calle 16 N°. 4 – 75, Piso 2° Oficina 202</w:t>
    </w:r>
  </w:p>
  <w:p w:rsidR="003E46A0" w:rsidRPr="001B7DDA" w:rsidRDefault="003E46A0" w:rsidP="006F3F22">
    <w:pPr>
      <w:pStyle w:val="Piedepgina"/>
      <w:jc w:val="center"/>
      <w:rPr>
        <w:color w:val="17365D" w:themeColor="text2" w:themeShade="BF"/>
      </w:rPr>
    </w:pPr>
    <w:r w:rsidRPr="001B7DDA">
      <w:rPr>
        <w:rFonts w:cs="Arial"/>
        <w:i/>
        <w:color w:val="17365D" w:themeColor="text2" w:themeShade="BF"/>
      </w:rPr>
      <w:t>Teléfono: 5878750 Ext. 13511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D3" w:rsidRDefault="00F703D3">
      <w:r>
        <w:separator/>
      </w:r>
    </w:p>
  </w:footnote>
  <w:footnote w:type="continuationSeparator" w:id="0">
    <w:p w:rsidR="00F703D3" w:rsidRDefault="00F703D3">
      <w:r>
        <w:continuationSeparator/>
      </w:r>
    </w:p>
  </w:footnote>
  <w:footnote w:id="1">
    <w:p w:rsidR="004002F2" w:rsidRPr="004002F2" w:rsidRDefault="004002F2">
      <w:pPr>
        <w:pStyle w:val="Textonotapie"/>
        <w:rPr>
          <w:lang w:val="es-CO"/>
        </w:rPr>
      </w:pPr>
      <w:r>
        <w:rPr>
          <w:rStyle w:val="Refdenotaalpie"/>
        </w:rPr>
        <w:footnoteRef/>
      </w:r>
      <w:r>
        <w:t xml:space="preserve"> </w:t>
      </w:r>
      <w:r>
        <w:rPr>
          <w:lang w:val="es-ES_tradnl"/>
        </w:rPr>
        <w:t>S</w:t>
      </w:r>
      <w:r w:rsidRPr="004002F2">
        <w:rPr>
          <w:lang w:val="es-ES_tradnl"/>
        </w:rPr>
        <w:t>entencias de febrero 14 de 1942, julio 18 de 1944, junio 8 de 1948, junio 9 de 1970, octubre 2 de 1975 y marzo 28 de 1984</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A0" w:rsidRDefault="003E46A0" w:rsidP="006F3F22">
    <w:pPr>
      <w:pStyle w:val="Encabezado"/>
      <w:jc w:val="center"/>
      <w:rPr>
        <w:noProof/>
        <w:sz w:val="20"/>
        <w:lang w:val="es-CO" w:eastAsia="es-CO"/>
      </w:rPr>
    </w:pPr>
    <w:r>
      <w:rPr>
        <w:noProof/>
        <w:sz w:val="20"/>
        <w:lang w:val="es-CO" w:eastAsia="es-CO"/>
      </w:rPr>
      <w:drawing>
        <wp:inline distT="0" distB="0" distL="0" distR="0">
          <wp:extent cx="895985" cy="13836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1383665"/>
                  </a:xfrm>
                  <a:prstGeom prst="rect">
                    <a:avLst/>
                  </a:prstGeom>
                  <a:noFill/>
                </pic:spPr>
              </pic:pic>
            </a:graphicData>
          </a:graphic>
        </wp:inline>
      </w:drawing>
    </w:r>
  </w:p>
  <w:p w:rsidR="003E46A0" w:rsidRDefault="003E46A0" w:rsidP="006F3F2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40"/>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DA0DE9"/>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0125EE"/>
    <w:multiLevelType w:val="hybridMultilevel"/>
    <w:tmpl w:val="0E7863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EC40FA"/>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A223FE"/>
    <w:multiLevelType w:val="hybridMultilevel"/>
    <w:tmpl w:val="C69CD9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B6009F"/>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F25B12"/>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7E23D5"/>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D23790"/>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0BB1778"/>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4D84AA6"/>
    <w:multiLevelType w:val="hybridMultilevel"/>
    <w:tmpl w:val="0AE0790C"/>
    <w:lvl w:ilvl="0" w:tplc="64B613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0"/>
  </w:num>
  <w:num w:numId="6">
    <w:abstractNumId w:val="9"/>
  </w:num>
  <w:num w:numId="7">
    <w:abstractNumId w:val="3"/>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9A"/>
    <w:rsid w:val="00006E8A"/>
    <w:rsid w:val="00015D9F"/>
    <w:rsid w:val="00063B32"/>
    <w:rsid w:val="0006659C"/>
    <w:rsid w:val="00075037"/>
    <w:rsid w:val="00090D3A"/>
    <w:rsid w:val="000E1D8B"/>
    <w:rsid w:val="000E3D78"/>
    <w:rsid w:val="000E4871"/>
    <w:rsid w:val="000F2357"/>
    <w:rsid w:val="001336A5"/>
    <w:rsid w:val="00137F38"/>
    <w:rsid w:val="00165CCD"/>
    <w:rsid w:val="001A0896"/>
    <w:rsid w:val="001A42A1"/>
    <w:rsid w:val="001C3B0D"/>
    <w:rsid w:val="001C75C2"/>
    <w:rsid w:val="001D167D"/>
    <w:rsid w:val="001D4E07"/>
    <w:rsid w:val="0022213C"/>
    <w:rsid w:val="002230B4"/>
    <w:rsid w:val="002438C6"/>
    <w:rsid w:val="00257C32"/>
    <w:rsid w:val="00271981"/>
    <w:rsid w:val="00280CC6"/>
    <w:rsid w:val="002A65D4"/>
    <w:rsid w:val="002C1DC5"/>
    <w:rsid w:val="002C47E6"/>
    <w:rsid w:val="002D0967"/>
    <w:rsid w:val="002D5E9D"/>
    <w:rsid w:val="00300C06"/>
    <w:rsid w:val="00323A72"/>
    <w:rsid w:val="00336B38"/>
    <w:rsid w:val="00337485"/>
    <w:rsid w:val="003549E7"/>
    <w:rsid w:val="00362296"/>
    <w:rsid w:val="003810F7"/>
    <w:rsid w:val="003E46A0"/>
    <w:rsid w:val="004002F2"/>
    <w:rsid w:val="00406EFF"/>
    <w:rsid w:val="00407298"/>
    <w:rsid w:val="00430139"/>
    <w:rsid w:val="00453F33"/>
    <w:rsid w:val="0046636B"/>
    <w:rsid w:val="004732DC"/>
    <w:rsid w:val="00481727"/>
    <w:rsid w:val="0049089A"/>
    <w:rsid w:val="004A6EA9"/>
    <w:rsid w:val="004B5ABB"/>
    <w:rsid w:val="004C21E4"/>
    <w:rsid w:val="004C7B98"/>
    <w:rsid w:val="004D4D15"/>
    <w:rsid w:val="004D7BB6"/>
    <w:rsid w:val="004E2202"/>
    <w:rsid w:val="004F4DED"/>
    <w:rsid w:val="00527A03"/>
    <w:rsid w:val="00541A3F"/>
    <w:rsid w:val="00570A6D"/>
    <w:rsid w:val="00597393"/>
    <w:rsid w:val="005A29C6"/>
    <w:rsid w:val="005C4DC6"/>
    <w:rsid w:val="005F24AA"/>
    <w:rsid w:val="005F557E"/>
    <w:rsid w:val="005F6683"/>
    <w:rsid w:val="006117AB"/>
    <w:rsid w:val="006230B8"/>
    <w:rsid w:val="00630EB2"/>
    <w:rsid w:val="00632224"/>
    <w:rsid w:val="006541F0"/>
    <w:rsid w:val="00663D39"/>
    <w:rsid w:val="0067417A"/>
    <w:rsid w:val="006917FF"/>
    <w:rsid w:val="006958CE"/>
    <w:rsid w:val="006A0EB7"/>
    <w:rsid w:val="006A4D19"/>
    <w:rsid w:val="006A6224"/>
    <w:rsid w:val="006E6D02"/>
    <w:rsid w:val="006F0CFE"/>
    <w:rsid w:val="006F2C98"/>
    <w:rsid w:val="006F3F22"/>
    <w:rsid w:val="007350D6"/>
    <w:rsid w:val="00767682"/>
    <w:rsid w:val="007750A2"/>
    <w:rsid w:val="00776D94"/>
    <w:rsid w:val="007776DD"/>
    <w:rsid w:val="00791BEA"/>
    <w:rsid w:val="0079537F"/>
    <w:rsid w:val="007A25D3"/>
    <w:rsid w:val="007B5B25"/>
    <w:rsid w:val="007C4171"/>
    <w:rsid w:val="007E221B"/>
    <w:rsid w:val="007F688E"/>
    <w:rsid w:val="007F7E75"/>
    <w:rsid w:val="00810C02"/>
    <w:rsid w:val="00815F02"/>
    <w:rsid w:val="008223FF"/>
    <w:rsid w:val="008275D5"/>
    <w:rsid w:val="00827FB6"/>
    <w:rsid w:val="00837DC1"/>
    <w:rsid w:val="00842E12"/>
    <w:rsid w:val="00871CF3"/>
    <w:rsid w:val="00876DA1"/>
    <w:rsid w:val="0088089A"/>
    <w:rsid w:val="008B23F4"/>
    <w:rsid w:val="008D5C13"/>
    <w:rsid w:val="008E08C8"/>
    <w:rsid w:val="008E1B02"/>
    <w:rsid w:val="008E4514"/>
    <w:rsid w:val="009022EE"/>
    <w:rsid w:val="00907852"/>
    <w:rsid w:val="00911844"/>
    <w:rsid w:val="009346CA"/>
    <w:rsid w:val="009466BC"/>
    <w:rsid w:val="00957D61"/>
    <w:rsid w:val="00960A70"/>
    <w:rsid w:val="009666A2"/>
    <w:rsid w:val="00981B15"/>
    <w:rsid w:val="009938AC"/>
    <w:rsid w:val="009E0641"/>
    <w:rsid w:val="00A11B4B"/>
    <w:rsid w:val="00A11D29"/>
    <w:rsid w:val="00A235BE"/>
    <w:rsid w:val="00A344F5"/>
    <w:rsid w:val="00A71FDD"/>
    <w:rsid w:val="00AA32EC"/>
    <w:rsid w:val="00AC4FB3"/>
    <w:rsid w:val="00AD7B97"/>
    <w:rsid w:val="00AE07F7"/>
    <w:rsid w:val="00AF19C5"/>
    <w:rsid w:val="00AF22AD"/>
    <w:rsid w:val="00B1465E"/>
    <w:rsid w:val="00B15EE1"/>
    <w:rsid w:val="00B30695"/>
    <w:rsid w:val="00B50512"/>
    <w:rsid w:val="00B52002"/>
    <w:rsid w:val="00B531E7"/>
    <w:rsid w:val="00B60182"/>
    <w:rsid w:val="00B6358B"/>
    <w:rsid w:val="00B9672E"/>
    <w:rsid w:val="00BA0A21"/>
    <w:rsid w:val="00BB71F0"/>
    <w:rsid w:val="00BD7D1D"/>
    <w:rsid w:val="00BD7FCC"/>
    <w:rsid w:val="00BF1C2D"/>
    <w:rsid w:val="00C25383"/>
    <w:rsid w:val="00C4230A"/>
    <w:rsid w:val="00C60994"/>
    <w:rsid w:val="00CA73FA"/>
    <w:rsid w:val="00CB1D66"/>
    <w:rsid w:val="00CC10AD"/>
    <w:rsid w:val="00CC6556"/>
    <w:rsid w:val="00CD58B3"/>
    <w:rsid w:val="00CE3118"/>
    <w:rsid w:val="00CF0F2A"/>
    <w:rsid w:val="00CF5288"/>
    <w:rsid w:val="00D05B07"/>
    <w:rsid w:val="00D2014D"/>
    <w:rsid w:val="00D246C0"/>
    <w:rsid w:val="00D273FE"/>
    <w:rsid w:val="00D459AB"/>
    <w:rsid w:val="00D878D1"/>
    <w:rsid w:val="00D9659E"/>
    <w:rsid w:val="00DA2C30"/>
    <w:rsid w:val="00DB58A0"/>
    <w:rsid w:val="00DC1AB7"/>
    <w:rsid w:val="00DD638F"/>
    <w:rsid w:val="00DE1B11"/>
    <w:rsid w:val="00E633D2"/>
    <w:rsid w:val="00E64D1B"/>
    <w:rsid w:val="00E711A6"/>
    <w:rsid w:val="00E966E2"/>
    <w:rsid w:val="00EB2D9E"/>
    <w:rsid w:val="00EC1D53"/>
    <w:rsid w:val="00ED57BC"/>
    <w:rsid w:val="00EE0287"/>
    <w:rsid w:val="00EE0785"/>
    <w:rsid w:val="00EF366B"/>
    <w:rsid w:val="00EF42F8"/>
    <w:rsid w:val="00F204A4"/>
    <w:rsid w:val="00F30537"/>
    <w:rsid w:val="00F30C4E"/>
    <w:rsid w:val="00F60A98"/>
    <w:rsid w:val="00F703D3"/>
    <w:rsid w:val="00FA07EB"/>
    <w:rsid w:val="00FA2459"/>
    <w:rsid w:val="00FF4758"/>
    <w:rsid w:val="00FF6C0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BF0F1-CB2D-40A2-AA00-79CB84B0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9A"/>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qFormat/>
    <w:rsid w:val="0088089A"/>
    <w:pPr>
      <w:keepNext/>
      <w:jc w:val="both"/>
      <w:outlineLvl w:val="0"/>
    </w:pPr>
    <w:rPr>
      <w:rFonts w:ascii="Comic Sans MS" w:hAnsi="Comic Sans MS"/>
      <w:b/>
    </w:rPr>
  </w:style>
  <w:style w:type="paragraph" w:styleId="Ttulo2">
    <w:name w:val="heading 2"/>
    <w:basedOn w:val="Normal"/>
    <w:next w:val="Normal"/>
    <w:link w:val="Ttulo2Car"/>
    <w:uiPriority w:val="9"/>
    <w:semiHidden/>
    <w:unhideWhenUsed/>
    <w:qFormat/>
    <w:rsid w:val="00EB2D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89A"/>
    <w:rPr>
      <w:rFonts w:ascii="Comic Sans MS" w:eastAsia="Times New Roman" w:hAnsi="Comic Sans MS" w:cs="Times New Roman"/>
      <w:b/>
      <w:sz w:val="24"/>
      <w:szCs w:val="20"/>
      <w:lang w:eastAsia="es-ES"/>
    </w:rPr>
  </w:style>
  <w:style w:type="paragraph" w:styleId="Encabezado">
    <w:name w:val="header"/>
    <w:basedOn w:val="Normal"/>
    <w:link w:val="EncabezadoCar"/>
    <w:uiPriority w:val="99"/>
    <w:rsid w:val="0088089A"/>
    <w:pPr>
      <w:tabs>
        <w:tab w:val="center" w:pos="4252"/>
        <w:tab w:val="right" w:pos="8504"/>
      </w:tabs>
    </w:pPr>
  </w:style>
  <w:style w:type="character" w:customStyle="1" w:styleId="EncabezadoCar">
    <w:name w:val="Encabezado Car"/>
    <w:basedOn w:val="Fuentedeprrafopredeter"/>
    <w:link w:val="Encabezado"/>
    <w:uiPriority w:val="99"/>
    <w:rsid w:val="0088089A"/>
    <w:rPr>
      <w:rFonts w:ascii="Arial" w:eastAsia="Times New Roman" w:hAnsi="Arial" w:cs="Times New Roman"/>
      <w:sz w:val="24"/>
      <w:szCs w:val="20"/>
      <w:lang w:eastAsia="es-ES"/>
    </w:rPr>
  </w:style>
  <w:style w:type="paragraph" w:styleId="Piedepgina">
    <w:name w:val="footer"/>
    <w:basedOn w:val="Normal"/>
    <w:link w:val="PiedepginaCar"/>
    <w:uiPriority w:val="99"/>
    <w:rsid w:val="0088089A"/>
    <w:pPr>
      <w:tabs>
        <w:tab w:val="center" w:pos="4252"/>
        <w:tab w:val="right" w:pos="8504"/>
      </w:tabs>
    </w:pPr>
  </w:style>
  <w:style w:type="character" w:customStyle="1" w:styleId="PiedepginaCar">
    <w:name w:val="Pie de página Car"/>
    <w:basedOn w:val="Fuentedeprrafopredeter"/>
    <w:link w:val="Piedepgina"/>
    <w:uiPriority w:val="99"/>
    <w:rsid w:val="0088089A"/>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880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89A"/>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EB2D9E"/>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5F6683"/>
    <w:pPr>
      <w:ind w:left="720"/>
      <w:contextualSpacing/>
    </w:pPr>
  </w:style>
  <w:style w:type="paragraph" w:styleId="NormalWeb">
    <w:name w:val="Normal (Web)"/>
    <w:basedOn w:val="Normal"/>
    <w:uiPriority w:val="99"/>
    <w:semiHidden/>
    <w:unhideWhenUsed/>
    <w:rsid w:val="00907852"/>
    <w:rPr>
      <w:rFonts w:ascii="Times New Roman" w:hAnsi="Times New Roman"/>
      <w:szCs w:val="24"/>
    </w:rPr>
  </w:style>
  <w:style w:type="paragraph" w:styleId="Textoindependiente">
    <w:name w:val="Body Text"/>
    <w:basedOn w:val="Normal"/>
    <w:link w:val="TextoindependienteCar"/>
    <w:rsid w:val="00960A70"/>
    <w:pPr>
      <w:overflowPunct w:val="0"/>
      <w:autoSpaceDE w:val="0"/>
      <w:autoSpaceDN w:val="0"/>
      <w:adjustRightInd w:val="0"/>
      <w:jc w:val="both"/>
    </w:pPr>
  </w:style>
  <w:style w:type="character" w:customStyle="1" w:styleId="TextoindependienteCar">
    <w:name w:val="Texto independiente Car"/>
    <w:basedOn w:val="Fuentedeprrafopredeter"/>
    <w:link w:val="Textoindependiente"/>
    <w:rsid w:val="00960A70"/>
    <w:rPr>
      <w:rFonts w:ascii="Arial" w:eastAsia="Times New Roman" w:hAnsi="Arial" w:cs="Times New Roman"/>
      <w:sz w:val="24"/>
      <w:szCs w:val="20"/>
      <w:lang w:eastAsia="es-ES"/>
    </w:rPr>
  </w:style>
  <w:style w:type="character" w:styleId="Refdenotaalpie">
    <w:name w:val="footnote reference"/>
    <w:aliases w:val="Ref. de nota al pie 2,Appel note de bas de page,Footnotes refss,Footnote number,referencia nota al pie,BVI fnr,f,4_G,16 Point,Superscript 6 Point,Texto nota al pie,Texto de nota al pie,Pie de Página,FC,Texto de nota al pi,Pie de Pàgi"/>
    <w:uiPriority w:val="99"/>
    <w:rsid w:val="00960A70"/>
    <w:rPr>
      <w:vertAlign w:val="superscript"/>
    </w:rPr>
  </w:style>
  <w:style w:type="paragraph" w:customStyle="1" w:styleId="textocaja">
    <w:name w:val="textocaja"/>
    <w:basedOn w:val="Normal"/>
    <w:rsid w:val="00960A70"/>
    <w:pPr>
      <w:spacing w:before="100" w:beforeAutospacing="1" w:after="100" w:afterAutospacing="1"/>
      <w:jc w:val="both"/>
    </w:pPr>
    <w:rPr>
      <w:rFonts w:ascii="Georgia" w:hAnsi="Georgia"/>
      <w:sz w:val="22"/>
      <w:szCs w:val="22"/>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qFormat/>
    <w:rsid w:val="00B15EE1"/>
    <w:rPr>
      <w:sz w:val="20"/>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B15EE1"/>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0935">
      <w:bodyDiv w:val="1"/>
      <w:marLeft w:val="0"/>
      <w:marRight w:val="0"/>
      <w:marTop w:val="0"/>
      <w:marBottom w:val="0"/>
      <w:divBdr>
        <w:top w:val="none" w:sz="0" w:space="0" w:color="auto"/>
        <w:left w:val="none" w:sz="0" w:space="0" w:color="auto"/>
        <w:bottom w:val="none" w:sz="0" w:space="0" w:color="auto"/>
        <w:right w:val="none" w:sz="0" w:space="0" w:color="auto"/>
      </w:divBdr>
    </w:div>
    <w:div w:id="432744014">
      <w:bodyDiv w:val="1"/>
      <w:marLeft w:val="0"/>
      <w:marRight w:val="0"/>
      <w:marTop w:val="0"/>
      <w:marBottom w:val="0"/>
      <w:divBdr>
        <w:top w:val="none" w:sz="0" w:space="0" w:color="auto"/>
        <w:left w:val="none" w:sz="0" w:space="0" w:color="auto"/>
        <w:bottom w:val="none" w:sz="0" w:space="0" w:color="auto"/>
        <w:right w:val="none" w:sz="0" w:space="0" w:color="auto"/>
      </w:divBdr>
    </w:div>
    <w:div w:id="519708594">
      <w:bodyDiv w:val="1"/>
      <w:marLeft w:val="0"/>
      <w:marRight w:val="0"/>
      <w:marTop w:val="0"/>
      <w:marBottom w:val="0"/>
      <w:divBdr>
        <w:top w:val="none" w:sz="0" w:space="0" w:color="auto"/>
        <w:left w:val="none" w:sz="0" w:space="0" w:color="auto"/>
        <w:bottom w:val="none" w:sz="0" w:space="0" w:color="auto"/>
        <w:right w:val="none" w:sz="0" w:space="0" w:color="auto"/>
      </w:divBdr>
    </w:div>
    <w:div w:id="604314342">
      <w:bodyDiv w:val="1"/>
      <w:marLeft w:val="0"/>
      <w:marRight w:val="0"/>
      <w:marTop w:val="0"/>
      <w:marBottom w:val="0"/>
      <w:divBdr>
        <w:top w:val="none" w:sz="0" w:space="0" w:color="auto"/>
        <w:left w:val="none" w:sz="0" w:space="0" w:color="auto"/>
        <w:bottom w:val="none" w:sz="0" w:space="0" w:color="auto"/>
        <w:right w:val="none" w:sz="0" w:space="0" w:color="auto"/>
      </w:divBdr>
    </w:div>
    <w:div w:id="658659284">
      <w:bodyDiv w:val="1"/>
      <w:marLeft w:val="0"/>
      <w:marRight w:val="0"/>
      <w:marTop w:val="0"/>
      <w:marBottom w:val="0"/>
      <w:divBdr>
        <w:top w:val="none" w:sz="0" w:space="0" w:color="auto"/>
        <w:left w:val="none" w:sz="0" w:space="0" w:color="auto"/>
        <w:bottom w:val="none" w:sz="0" w:space="0" w:color="auto"/>
        <w:right w:val="none" w:sz="0" w:space="0" w:color="auto"/>
      </w:divBdr>
    </w:div>
    <w:div w:id="1334261277">
      <w:bodyDiv w:val="1"/>
      <w:marLeft w:val="0"/>
      <w:marRight w:val="0"/>
      <w:marTop w:val="0"/>
      <w:marBottom w:val="0"/>
      <w:divBdr>
        <w:top w:val="none" w:sz="0" w:space="0" w:color="auto"/>
        <w:left w:val="none" w:sz="0" w:space="0" w:color="auto"/>
        <w:bottom w:val="none" w:sz="0" w:space="0" w:color="auto"/>
        <w:right w:val="none" w:sz="0" w:space="0" w:color="auto"/>
      </w:divBdr>
    </w:div>
    <w:div w:id="1390616420">
      <w:bodyDiv w:val="1"/>
      <w:marLeft w:val="0"/>
      <w:marRight w:val="0"/>
      <w:marTop w:val="0"/>
      <w:marBottom w:val="0"/>
      <w:divBdr>
        <w:top w:val="none" w:sz="0" w:space="0" w:color="auto"/>
        <w:left w:val="none" w:sz="0" w:space="0" w:color="auto"/>
        <w:bottom w:val="none" w:sz="0" w:space="0" w:color="auto"/>
        <w:right w:val="none" w:sz="0" w:space="0" w:color="auto"/>
      </w:divBdr>
    </w:div>
    <w:div w:id="21204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E1F5-CC48-4A78-A333-11C492C7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Ligia Patron Lopez</dc:creator>
  <cp:lastModifiedBy>Pablo Sergio Sandino Badillo Garcia</cp:lastModifiedBy>
  <cp:revision>4</cp:revision>
  <cp:lastPrinted>2017-12-29T00:59:00Z</cp:lastPrinted>
  <dcterms:created xsi:type="dcterms:W3CDTF">2018-08-31T17:14:00Z</dcterms:created>
  <dcterms:modified xsi:type="dcterms:W3CDTF">2018-08-31T18:48:00Z</dcterms:modified>
</cp:coreProperties>
</file>