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880" w:rsidRDefault="00960880" w:rsidP="00960880">
      <w:pPr>
        <w:spacing w:after="0" w:line="240" w:lineRule="auto"/>
        <w:jc w:val="both"/>
        <w:rPr>
          <w:rFonts w:ascii="Arial" w:hAnsi="Arial" w:cs="Arial"/>
          <w:sz w:val="24"/>
          <w:szCs w:val="24"/>
        </w:rPr>
      </w:pPr>
    </w:p>
    <w:p w:rsidR="00115EA4" w:rsidRPr="0071159C" w:rsidRDefault="00115EA4" w:rsidP="0071159C">
      <w:pPr>
        <w:spacing w:after="0" w:line="276" w:lineRule="auto"/>
        <w:rPr>
          <w:rFonts w:ascii="Arial" w:hAnsi="Arial" w:cs="Arial"/>
          <w:b/>
          <w:i/>
          <w:sz w:val="24"/>
          <w:szCs w:val="24"/>
        </w:rPr>
      </w:pPr>
      <w:r w:rsidRPr="0071159C">
        <w:rPr>
          <w:rFonts w:ascii="Arial" w:hAnsi="Arial" w:cs="Arial"/>
          <w:b/>
          <w:i/>
          <w:sz w:val="24"/>
          <w:szCs w:val="24"/>
        </w:rPr>
        <w:t>H. MAGISTRADO</w:t>
      </w:r>
    </w:p>
    <w:p w:rsidR="00115EA4" w:rsidRPr="0071159C" w:rsidRDefault="006A2785" w:rsidP="0071159C">
      <w:pPr>
        <w:spacing w:after="0" w:line="276" w:lineRule="auto"/>
        <w:rPr>
          <w:rFonts w:ascii="Arial" w:hAnsi="Arial" w:cs="Arial"/>
          <w:b/>
          <w:i/>
          <w:sz w:val="24"/>
          <w:szCs w:val="24"/>
        </w:rPr>
      </w:pPr>
      <w:r>
        <w:rPr>
          <w:rFonts w:ascii="Arial" w:hAnsi="Arial" w:cs="Arial"/>
          <w:b/>
          <w:i/>
          <w:sz w:val="24"/>
          <w:szCs w:val="24"/>
        </w:rPr>
        <w:t>GERMÁN OCTAVIO RODRÍGUEZ VELÁSQUEZ</w:t>
      </w:r>
    </w:p>
    <w:p w:rsidR="00115EA4" w:rsidRPr="0071159C" w:rsidRDefault="00115EA4" w:rsidP="0071159C">
      <w:pPr>
        <w:spacing w:after="0" w:line="276" w:lineRule="auto"/>
        <w:rPr>
          <w:rFonts w:ascii="Arial" w:hAnsi="Arial" w:cs="Arial"/>
          <w:b/>
          <w:i/>
          <w:sz w:val="24"/>
          <w:szCs w:val="24"/>
        </w:rPr>
      </w:pPr>
      <w:r w:rsidRPr="0071159C">
        <w:rPr>
          <w:rFonts w:ascii="Arial" w:hAnsi="Arial" w:cs="Arial"/>
          <w:b/>
          <w:i/>
          <w:sz w:val="24"/>
          <w:szCs w:val="24"/>
        </w:rPr>
        <w:t>SALA CIVIL FAMILIA</w:t>
      </w:r>
    </w:p>
    <w:p w:rsidR="00115EA4" w:rsidRPr="0071159C" w:rsidRDefault="00115EA4" w:rsidP="0071159C">
      <w:pPr>
        <w:spacing w:after="0" w:line="276" w:lineRule="auto"/>
        <w:rPr>
          <w:rFonts w:ascii="Arial" w:hAnsi="Arial" w:cs="Arial"/>
          <w:b/>
          <w:i/>
          <w:sz w:val="24"/>
          <w:szCs w:val="24"/>
        </w:rPr>
      </w:pPr>
      <w:r w:rsidRPr="0071159C">
        <w:rPr>
          <w:rFonts w:ascii="Arial" w:hAnsi="Arial" w:cs="Arial"/>
          <w:b/>
          <w:i/>
          <w:sz w:val="24"/>
          <w:szCs w:val="24"/>
        </w:rPr>
        <w:t>TRIBUNAL SUPERIOR DE CUNDINAMARCA</w:t>
      </w:r>
    </w:p>
    <w:p w:rsidR="00115EA4" w:rsidRPr="0071159C" w:rsidRDefault="00115EA4" w:rsidP="0071159C">
      <w:pPr>
        <w:spacing w:after="0" w:line="276" w:lineRule="auto"/>
        <w:rPr>
          <w:rFonts w:ascii="Arial" w:hAnsi="Arial" w:cs="Arial"/>
          <w:b/>
          <w:i/>
          <w:sz w:val="24"/>
          <w:szCs w:val="24"/>
        </w:rPr>
      </w:pPr>
      <w:r w:rsidRPr="0071159C">
        <w:rPr>
          <w:rFonts w:ascii="Arial" w:hAnsi="Arial" w:cs="Arial"/>
          <w:b/>
          <w:i/>
          <w:sz w:val="24"/>
          <w:szCs w:val="24"/>
          <w:u w:val="single"/>
        </w:rPr>
        <w:t>E.                           S.                            D</w:t>
      </w:r>
      <w:r w:rsidRPr="0071159C">
        <w:rPr>
          <w:rFonts w:ascii="Arial" w:hAnsi="Arial" w:cs="Arial"/>
          <w:b/>
          <w:i/>
          <w:sz w:val="24"/>
          <w:szCs w:val="24"/>
        </w:rPr>
        <w:t>.</w:t>
      </w:r>
    </w:p>
    <w:p w:rsidR="00115EA4" w:rsidRPr="0071159C" w:rsidRDefault="00115EA4" w:rsidP="0071159C">
      <w:pPr>
        <w:spacing w:after="0" w:line="276" w:lineRule="auto"/>
        <w:rPr>
          <w:rFonts w:ascii="Arial" w:hAnsi="Arial" w:cs="Arial"/>
          <w:b/>
          <w:i/>
          <w:sz w:val="24"/>
          <w:szCs w:val="24"/>
        </w:rPr>
      </w:pPr>
    </w:p>
    <w:p w:rsidR="00115EA4" w:rsidRPr="0071159C" w:rsidRDefault="00115EA4" w:rsidP="0071159C">
      <w:pPr>
        <w:autoSpaceDE w:val="0"/>
        <w:autoSpaceDN w:val="0"/>
        <w:adjustRightInd w:val="0"/>
        <w:spacing w:after="0" w:line="276" w:lineRule="auto"/>
        <w:jc w:val="both"/>
        <w:rPr>
          <w:rFonts w:ascii="Arial" w:hAnsi="Arial" w:cs="Arial"/>
          <w:b/>
          <w:i/>
          <w:sz w:val="24"/>
          <w:szCs w:val="24"/>
        </w:rPr>
      </w:pPr>
    </w:p>
    <w:p w:rsidR="00115EA4" w:rsidRPr="0071159C" w:rsidRDefault="00115EA4" w:rsidP="0071159C">
      <w:pPr>
        <w:autoSpaceDE w:val="0"/>
        <w:autoSpaceDN w:val="0"/>
        <w:adjustRightInd w:val="0"/>
        <w:spacing w:after="0" w:line="276" w:lineRule="auto"/>
        <w:jc w:val="both"/>
        <w:rPr>
          <w:rFonts w:ascii="Arial" w:hAnsi="Arial" w:cs="Arial"/>
          <w:b/>
          <w:bCs/>
          <w:i/>
          <w:sz w:val="24"/>
          <w:szCs w:val="24"/>
        </w:rPr>
      </w:pPr>
      <w:r w:rsidRPr="0071159C">
        <w:rPr>
          <w:rFonts w:ascii="Arial" w:hAnsi="Arial" w:cs="Arial"/>
          <w:b/>
          <w:i/>
          <w:sz w:val="24"/>
          <w:szCs w:val="24"/>
        </w:rPr>
        <w:t xml:space="preserve">REFERENCIA:  </w:t>
      </w:r>
      <w:r w:rsidRPr="0071159C">
        <w:rPr>
          <w:rFonts w:ascii="Arial" w:hAnsi="Arial" w:cs="Arial"/>
          <w:b/>
          <w:i/>
          <w:sz w:val="24"/>
          <w:szCs w:val="24"/>
        </w:rPr>
        <w:tab/>
      </w:r>
      <w:r w:rsidRPr="0071159C">
        <w:rPr>
          <w:rFonts w:ascii="Arial" w:hAnsi="Arial" w:cs="Arial"/>
          <w:b/>
          <w:i/>
          <w:sz w:val="24"/>
          <w:szCs w:val="24"/>
        </w:rPr>
        <w:tab/>
        <w:t xml:space="preserve">N°. </w:t>
      </w:r>
      <w:r w:rsidRPr="0071159C">
        <w:rPr>
          <w:rFonts w:ascii="Arial" w:hAnsi="Arial" w:cs="Arial"/>
          <w:b/>
          <w:bCs/>
          <w:i/>
          <w:sz w:val="24"/>
          <w:szCs w:val="24"/>
        </w:rPr>
        <w:t>25000-22-13-000-201</w:t>
      </w:r>
      <w:r w:rsidR="00E5541A">
        <w:rPr>
          <w:rFonts w:ascii="Arial" w:hAnsi="Arial" w:cs="Arial"/>
          <w:b/>
          <w:bCs/>
          <w:i/>
          <w:sz w:val="24"/>
          <w:szCs w:val="24"/>
        </w:rPr>
        <w:t>8</w:t>
      </w:r>
      <w:r w:rsidRPr="0071159C">
        <w:rPr>
          <w:rFonts w:ascii="Arial" w:hAnsi="Arial" w:cs="Arial"/>
          <w:b/>
          <w:bCs/>
          <w:i/>
          <w:sz w:val="24"/>
          <w:szCs w:val="24"/>
        </w:rPr>
        <w:t>-</w:t>
      </w:r>
      <w:r w:rsidR="006F03A2">
        <w:rPr>
          <w:rFonts w:ascii="Arial" w:hAnsi="Arial" w:cs="Arial"/>
          <w:b/>
          <w:bCs/>
          <w:i/>
          <w:sz w:val="24"/>
          <w:szCs w:val="24"/>
        </w:rPr>
        <w:t>00</w:t>
      </w:r>
      <w:r w:rsidR="00E5541A">
        <w:rPr>
          <w:rFonts w:ascii="Arial" w:hAnsi="Arial" w:cs="Arial"/>
          <w:b/>
          <w:bCs/>
          <w:i/>
          <w:sz w:val="24"/>
          <w:szCs w:val="24"/>
        </w:rPr>
        <w:t>238</w:t>
      </w:r>
      <w:r w:rsidR="006F03A2">
        <w:rPr>
          <w:rFonts w:ascii="Arial" w:hAnsi="Arial" w:cs="Arial"/>
          <w:b/>
          <w:bCs/>
          <w:i/>
          <w:sz w:val="24"/>
          <w:szCs w:val="24"/>
        </w:rPr>
        <w:t>-00</w:t>
      </w:r>
    </w:p>
    <w:p w:rsidR="00115EA4" w:rsidRPr="0071159C" w:rsidRDefault="00115EA4" w:rsidP="0071159C">
      <w:pPr>
        <w:autoSpaceDE w:val="0"/>
        <w:autoSpaceDN w:val="0"/>
        <w:adjustRightInd w:val="0"/>
        <w:spacing w:after="0" w:line="276" w:lineRule="auto"/>
        <w:jc w:val="both"/>
        <w:rPr>
          <w:rFonts w:ascii="Arial" w:hAnsi="Arial" w:cs="Arial"/>
          <w:b/>
          <w:bCs/>
          <w:i/>
          <w:sz w:val="24"/>
          <w:szCs w:val="24"/>
        </w:rPr>
      </w:pPr>
      <w:r w:rsidRPr="0071159C">
        <w:rPr>
          <w:rFonts w:ascii="Arial" w:hAnsi="Arial" w:cs="Arial"/>
          <w:b/>
          <w:bCs/>
          <w:i/>
          <w:sz w:val="24"/>
          <w:szCs w:val="24"/>
        </w:rPr>
        <w:t xml:space="preserve">ACCIONANTE: </w:t>
      </w:r>
      <w:r w:rsidRPr="0071159C">
        <w:rPr>
          <w:rFonts w:ascii="Arial" w:hAnsi="Arial" w:cs="Arial"/>
          <w:b/>
          <w:bCs/>
          <w:i/>
          <w:sz w:val="24"/>
          <w:szCs w:val="24"/>
        </w:rPr>
        <w:tab/>
      </w:r>
      <w:r w:rsidRPr="0071159C">
        <w:rPr>
          <w:rFonts w:ascii="Arial" w:hAnsi="Arial" w:cs="Arial"/>
          <w:b/>
          <w:bCs/>
          <w:i/>
          <w:sz w:val="24"/>
          <w:szCs w:val="24"/>
        </w:rPr>
        <w:tab/>
      </w:r>
      <w:r w:rsidR="00E5541A">
        <w:rPr>
          <w:rFonts w:ascii="Arial" w:hAnsi="Arial" w:cs="Arial"/>
          <w:b/>
          <w:bCs/>
          <w:i/>
          <w:sz w:val="24"/>
          <w:szCs w:val="24"/>
        </w:rPr>
        <w:t>MARÍA CLAUDIA QUIROGA GARZÓN</w:t>
      </w:r>
      <w:r w:rsidRPr="0071159C">
        <w:rPr>
          <w:rFonts w:ascii="Arial" w:hAnsi="Arial" w:cs="Arial"/>
          <w:b/>
          <w:bCs/>
          <w:i/>
          <w:sz w:val="24"/>
          <w:szCs w:val="24"/>
        </w:rPr>
        <w:t>.</w:t>
      </w:r>
    </w:p>
    <w:p w:rsidR="00115EA4" w:rsidRPr="0071159C" w:rsidRDefault="00115EA4" w:rsidP="0071159C">
      <w:pPr>
        <w:autoSpaceDE w:val="0"/>
        <w:autoSpaceDN w:val="0"/>
        <w:adjustRightInd w:val="0"/>
        <w:spacing w:after="0" w:line="276" w:lineRule="auto"/>
        <w:ind w:left="2832" w:hanging="2832"/>
        <w:jc w:val="both"/>
        <w:rPr>
          <w:rFonts w:ascii="Arial" w:hAnsi="Arial" w:cs="Arial"/>
          <w:b/>
          <w:i/>
          <w:sz w:val="24"/>
          <w:szCs w:val="24"/>
        </w:rPr>
      </w:pPr>
      <w:r w:rsidRPr="0071159C">
        <w:rPr>
          <w:rFonts w:ascii="Arial" w:hAnsi="Arial" w:cs="Arial"/>
          <w:b/>
          <w:bCs/>
          <w:i/>
          <w:sz w:val="24"/>
          <w:szCs w:val="24"/>
        </w:rPr>
        <w:t xml:space="preserve">ACCIONADO: </w:t>
      </w:r>
      <w:r w:rsidRPr="0071159C">
        <w:rPr>
          <w:rFonts w:ascii="Arial" w:hAnsi="Arial" w:cs="Arial"/>
          <w:b/>
          <w:bCs/>
          <w:i/>
          <w:sz w:val="24"/>
          <w:szCs w:val="24"/>
        </w:rPr>
        <w:tab/>
        <w:t xml:space="preserve">JUZGADO </w:t>
      </w:r>
      <w:r w:rsidR="00E5541A">
        <w:rPr>
          <w:rFonts w:ascii="Arial" w:hAnsi="Arial" w:cs="Arial"/>
          <w:b/>
          <w:bCs/>
          <w:i/>
          <w:sz w:val="24"/>
          <w:szCs w:val="24"/>
        </w:rPr>
        <w:t>SEGUND</w:t>
      </w:r>
      <w:r w:rsidRPr="0071159C">
        <w:rPr>
          <w:rFonts w:ascii="Arial" w:hAnsi="Arial" w:cs="Arial"/>
          <w:b/>
          <w:bCs/>
          <w:i/>
          <w:sz w:val="24"/>
          <w:szCs w:val="24"/>
        </w:rPr>
        <w:t xml:space="preserve">O DE FAMILIA DE ZIPAQUIRÁ – CUNDINAMARCA </w:t>
      </w:r>
    </w:p>
    <w:p w:rsidR="00115EA4" w:rsidRPr="0071159C" w:rsidRDefault="00115EA4" w:rsidP="0071159C">
      <w:pPr>
        <w:spacing w:after="0" w:line="276" w:lineRule="auto"/>
        <w:jc w:val="both"/>
        <w:rPr>
          <w:rFonts w:ascii="Arial" w:hAnsi="Arial" w:cs="Arial"/>
          <w:sz w:val="24"/>
          <w:szCs w:val="24"/>
        </w:rPr>
      </w:pPr>
    </w:p>
    <w:p w:rsidR="00115EA4" w:rsidRPr="0071159C" w:rsidRDefault="00115EA4" w:rsidP="0071159C">
      <w:pPr>
        <w:spacing w:after="0" w:line="276" w:lineRule="auto"/>
        <w:rPr>
          <w:rFonts w:ascii="Arial" w:hAnsi="Arial" w:cs="Arial"/>
          <w:sz w:val="24"/>
          <w:szCs w:val="24"/>
        </w:rPr>
      </w:pPr>
    </w:p>
    <w:p w:rsidR="00115EA4" w:rsidRPr="0071159C" w:rsidRDefault="00115EA4" w:rsidP="0071159C">
      <w:pPr>
        <w:spacing w:after="0" w:line="276" w:lineRule="auto"/>
        <w:jc w:val="both"/>
        <w:rPr>
          <w:rFonts w:ascii="Arial" w:hAnsi="Arial" w:cs="Arial"/>
          <w:sz w:val="24"/>
          <w:szCs w:val="24"/>
        </w:rPr>
      </w:pPr>
      <w:r w:rsidRPr="0071159C">
        <w:rPr>
          <w:rFonts w:ascii="Arial" w:hAnsi="Arial" w:cs="Arial"/>
          <w:b/>
          <w:i/>
          <w:sz w:val="24"/>
          <w:szCs w:val="24"/>
        </w:rPr>
        <w:t>HENRY ZÁRATE CORTÉS</w:t>
      </w:r>
      <w:r w:rsidRPr="0071159C">
        <w:rPr>
          <w:rFonts w:ascii="Arial" w:hAnsi="Arial" w:cs="Arial"/>
          <w:sz w:val="24"/>
          <w:szCs w:val="24"/>
        </w:rPr>
        <w:t>, en como Procurador 61 Judicial II de Familia, en condición de agente del Ministerio Público me permito pronunciarme respecto de la acción de tutela de la referencia en los siguientes términos:</w:t>
      </w:r>
    </w:p>
    <w:p w:rsidR="00115EA4" w:rsidRPr="0071159C" w:rsidRDefault="00115EA4" w:rsidP="0071159C">
      <w:pPr>
        <w:spacing w:after="0" w:line="276" w:lineRule="auto"/>
        <w:jc w:val="both"/>
        <w:rPr>
          <w:rFonts w:ascii="Arial" w:hAnsi="Arial" w:cs="Arial"/>
          <w:sz w:val="24"/>
          <w:szCs w:val="24"/>
        </w:rPr>
      </w:pPr>
    </w:p>
    <w:p w:rsidR="00115EA4" w:rsidRPr="0071159C" w:rsidRDefault="00115EA4" w:rsidP="0071159C">
      <w:pPr>
        <w:pStyle w:val="Prrafodelista"/>
        <w:numPr>
          <w:ilvl w:val="0"/>
          <w:numId w:val="4"/>
        </w:numPr>
        <w:spacing w:after="0" w:line="276" w:lineRule="auto"/>
        <w:jc w:val="both"/>
        <w:rPr>
          <w:rFonts w:ascii="Arial" w:hAnsi="Arial" w:cs="Arial"/>
          <w:sz w:val="24"/>
          <w:szCs w:val="24"/>
        </w:rPr>
      </w:pPr>
      <w:r w:rsidRPr="0071159C">
        <w:rPr>
          <w:rFonts w:ascii="Arial" w:hAnsi="Arial" w:cs="Arial"/>
          <w:b/>
          <w:i/>
          <w:sz w:val="24"/>
          <w:szCs w:val="24"/>
        </w:rPr>
        <w:t>Antecedentes</w:t>
      </w:r>
    </w:p>
    <w:p w:rsidR="00115EA4" w:rsidRPr="0071159C" w:rsidRDefault="00115EA4" w:rsidP="0071159C">
      <w:pPr>
        <w:shd w:val="clear" w:color="auto" w:fill="FFFFFF"/>
        <w:spacing w:after="0" w:line="276" w:lineRule="auto"/>
        <w:jc w:val="both"/>
        <w:rPr>
          <w:rFonts w:ascii="Arial" w:hAnsi="Arial" w:cs="Arial"/>
          <w:sz w:val="24"/>
          <w:szCs w:val="24"/>
        </w:rPr>
      </w:pPr>
    </w:p>
    <w:p w:rsidR="00115EA4" w:rsidRPr="0071159C" w:rsidRDefault="00E5541A" w:rsidP="0071159C">
      <w:pPr>
        <w:pStyle w:val="Prrafodelista"/>
        <w:numPr>
          <w:ilvl w:val="1"/>
          <w:numId w:val="5"/>
        </w:numPr>
        <w:shd w:val="clear" w:color="auto" w:fill="FFFFFF"/>
        <w:spacing w:after="0" w:line="276" w:lineRule="auto"/>
        <w:jc w:val="both"/>
        <w:rPr>
          <w:rFonts w:ascii="Arial" w:eastAsia="Times New Roman" w:hAnsi="Arial" w:cs="Arial"/>
          <w:sz w:val="24"/>
          <w:szCs w:val="24"/>
          <w:lang w:eastAsia="es-CO"/>
        </w:rPr>
      </w:pPr>
      <w:r>
        <w:rPr>
          <w:rFonts w:ascii="Arial" w:eastAsia="Times New Roman" w:hAnsi="Arial" w:cs="Arial"/>
          <w:sz w:val="24"/>
          <w:szCs w:val="24"/>
          <w:lang w:eastAsia="es-CO"/>
        </w:rPr>
        <w:t>MARÍA CLAUDIA QUIROBA GARZÓN</w:t>
      </w:r>
      <w:r w:rsidR="00115EA4" w:rsidRPr="0071159C">
        <w:rPr>
          <w:rFonts w:ascii="Arial" w:eastAsia="Times New Roman" w:hAnsi="Arial" w:cs="Arial"/>
          <w:sz w:val="24"/>
          <w:szCs w:val="24"/>
          <w:lang w:eastAsia="es-CO"/>
        </w:rPr>
        <w:t xml:space="preserve"> promueve acción </w:t>
      </w:r>
      <w:r>
        <w:rPr>
          <w:rFonts w:ascii="Arial" w:eastAsia="Times New Roman" w:hAnsi="Arial" w:cs="Arial"/>
          <w:sz w:val="24"/>
          <w:szCs w:val="24"/>
          <w:lang w:eastAsia="es-CO"/>
        </w:rPr>
        <w:t>encaminada a obtener la protección de sus derechos fundamentales al debido proceso, a la vida digna, a la vida libre de violencias, al buen nombre y a la protección de los derechos humanos de la mujer</w:t>
      </w:r>
      <w:r w:rsidR="00115EA4" w:rsidRPr="0071159C">
        <w:rPr>
          <w:rFonts w:ascii="Arial" w:eastAsia="Times New Roman" w:hAnsi="Arial" w:cs="Arial"/>
          <w:sz w:val="24"/>
          <w:szCs w:val="24"/>
          <w:lang w:eastAsia="es-CO"/>
        </w:rPr>
        <w:t xml:space="preserve">, que </w:t>
      </w:r>
      <w:r>
        <w:rPr>
          <w:rFonts w:ascii="Arial" w:eastAsia="Times New Roman" w:hAnsi="Arial" w:cs="Arial"/>
          <w:sz w:val="24"/>
          <w:szCs w:val="24"/>
          <w:lang w:eastAsia="es-CO"/>
        </w:rPr>
        <w:t>afirma, le fueron vulnerados</w:t>
      </w:r>
      <w:r w:rsidR="00115EA4" w:rsidRPr="0071159C">
        <w:rPr>
          <w:rFonts w:ascii="Arial" w:eastAsia="Times New Roman" w:hAnsi="Arial" w:cs="Arial"/>
          <w:sz w:val="24"/>
          <w:szCs w:val="24"/>
          <w:lang w:eastAsia="es-CO"/>
        </w:rPr>
        <w:t xml:space="preserve"> por el JUZGADO </w:t>
      </w:r>
      <w:r>
        <w:rPr>
          <w:rFonts w:ascii="Arial" w:eastAsia="Times New Roman" w:hAnsi="Arial" w:cs="Arial"/>
          <w:sz w:val="24"/>
          <w:szCs w:val="24"/>
          <w:lang w:eastAsia="es-CO"/>
        </w:rPr>
        <w:t>SEGUND</w:t>
      </w:r>
      <w:r w:rsidR="00115EA4" w:rsidRPr="0071159C">
        <w:rPr>
          <w:rFonts w:ascii="Arial" w:eastAsia="Times New Roman" w:hAnsi="Arial" w:cs="Arial"/>
          <w:sz w:val="24"/>
          <w:szCs w:val="24"/>
          <w:lang w:eastAsia="es-CO"/>
        </w:rPr>
        <w:t>O DE FAMILIA DE ZIPAQUIRÁ.</w:t>
      </w:r>
    </w:p>
    <w:p w:rsidR="00115EA4" w:rsidRPr="0071159C" w:rsidRDefault="00115EA4" w:rsidP="0071159C">
      <w:pPr>
        <w:pStyle w:val="Prrafodelista"/>
        <w:shd w:val="clear" w:color="auto" w:fill="FFFFFF"/>
        <w:spacing w:after="0" w:line="276" w:lineRule="auto"/>
        <w:jc w:val="both"/>
        <w:rPr>
          <w:rFonts w:ascii="Arial" w:eastAsia="Times New Roman" w:hAnsi="Arial" w:cs="Arial"/>
          <w:sz w:val="24"/>
          <w:szCs w:val="24"/>
          <w:lang w:eastAsia="es-CO"/>
        </w:rPr>
      </w:pPr>
    </w:p>
    <w:p w:rsidR="00024DF1" w:rsidRPr="0071159C" w:rsidRDefault="00E5541A" w:rsidP="0071159C">
      <w:pPr>
        <w:pStyle w:val="Prrafodelista"/>
        <w:numPr>
          <w:ilvl w:val="1"/>
          <w:numId w:val="5"/>
        </w:numPr>
        <w:shd w:val="clear" w:color="auto" w:fill="FFFFFF"/>
        <w:spacing w:after="0" w:line="276" w:lineRule="auto"/>
        <w:jc w:val="both"/>
        <w:rPr>
          <w:rFonts w:ascii="Arial" w:eastAsia="Times New Roman" w:hAnsi="Arial" w:cs="Arial"/>
          <w:sz w:val="24"/>
          <w:szCs w:val="24"/>
          <w:lang w:eastAsia="es-CO"/>
        </w:rPr>
      </w:pPr>
      <w:r>
        <w:rPr>
          <w:rFonts w:ascii="Arial" w:eastAsia="Times New Roman" w:hAnsi="Arial" w:cs="Arial"/>
          <w:sz w:val="24"/>
          <w:szCs w:val="24"/>
          <w:lang w:eastAsia="es-CO"/>
        </w:rPr>
        <w:t>En su escrito introductorio de la acción constitucional, refiere MARÍA CLAUDIA todo el trámite que ha tenido que enfrentar para la protección de sus derechos, como víctima de violencia intrafamiliar de su cónyuge JOSÉ MIGUEL ALARCÓN.</w:t>
      </w:r>
    </w:p>
    <w:p w:rsidR="003869D8" w:rsidRPr="0071159C" w:rsidRDefault="003869D8" w:rsidP="0071159C">
      <w:pPr>
        <w:pStyle w:val="Prrafodelista"/>
        <w:spacing w:line="276" w:lineRule="auto"/>
        <w:rPr>
          <w:rFonts w:ascii="Arial" w:eastAsia="Times New Roman" w:hAnsi="Arial" w:cs="Arial"/>
          <w:sz w:val="24"/>
          <w:szCs w:val="24"/>
          <w:lang w:eastAsia="es-CO"/>
        </w:rPr>
      </w:pPr>
    </w:p>
    <w:p w:rsidR="003869D8" w:rsidRPr="0071159C" w:rsidRDefault="00E5541A" w:rsidP="0071159C">
      <w:pPr>
        <w:pStyle w:val="Prrafodelista"/>
        <w:numPr>
          <w:ilvl w:val="1"/>
          <w:numId w:val="5"/>
        </w:numPr>
        <w:shd w:val="clear" w:color="auto" w:fill="FFFFFF"/>
        <w:spacing w:after="0" w:line="276" w:lineRule="auto"/>
        <w:jc w:val="both"/>
        <w:rPr>
          <w:rFonts w:ascii="Arial" w:eastAsia="Times New Roman" w:hAnsi="Arial" w:cs="Arial"/>
          <w:sz w:val="24"/>
          <w:szCs w:val="24"/>
          <w:lang w:eastAsia="es-CO"/>
        </w:rPr>
      </w:pPr>
      <w:r>
        <w:rPr>
          <w:rFonts w:ascii="Arial" w:eastAsia="Times New Roman" w:hAnsi="Arial" w:cs="Arial"/>
          <w:sz w:val="24"/>
          <w:szCs w:val="24"/>
          <w:lang w:eastAsia="es-CO"/>
        </w:rPr>
        <w:t>Es detallado y prolija la narrativa para poner en contexto su situación, y refiere que ha sido declarada como víctima  de violencia doméstica por la Comisaría de Familia de Cajicá, mediante una acción que se inició  en 2016 y que apenas este año se ha visto desatado en definitiva.</w:t>
      </w:r>
    </w:p>
    <w:p w:rsidR="003869D8" w:rsidRPr="0071159C" w:rsidRDefault="003869D8" w:rsidP="0071159C">
      <w:pPr>
        <w:pStyle w:val="Prrafodelista"/>
        <w:spacing w:line="276" w:lineRule="auto"/>
        <w:rPr>
          <w:rFonts w:ascii="Arial" w:eastAsia="Times New Roman" w:hAnsi="Arial" w:cs="Arial"/>
          <w:sz w:val="24"/>
          <w:szCs w:val="24"/>
          <w:lang w:eastAsia="es-CO"/>
        </w:rPr>
      </w:pPr>
    </w:p>
    <w:p w:rsidR="003869D8" w:rsidRPr="0071159C" w:rsidRDefault="00BF3FC8" w:rsidP="0071159C">
      <w:pPr>
        <w:pStyle w:val="Prrafodelista"/>
        <w:numPr>
          <w:ilvl w:val="1"/>
          <w:numId w:val="5"/>
        </w:numPr>
        <w:shd w:val="clear" w:color="auto" w:fill="FFFFFF"/>
        <w:spacing w:after="0" w:line="276" w:lineRule="auto"/>
        <w:jc w:val="both"/>
        <w:rPr>
          <w:rFonts w:ascii="Arial" w:eastAsia="Times New Roman" w:hAnsi="Arial" w:cs="Arial"/>
          <w:sz w:val="24"/>
          <w:szCs w:val="24"/>
          <w:lang w:eastAsia="es-CO"/>
        </w:rPr>
      </w:pPr>
      <w:r>
        <w:rPr>
          <w:rFonts w:ascii="Arial" w:eastAsia="Times New Roman" w:hAnsi="Arial" w:cs="Arial"/>
          <w:sz w:val="24"/>
          <w:szCs w:val="24"/>
          <w:lang w:eastAsia="es-CO"/>
        </w:rPr>
        <w:t xml:space="preserve">Que con todo, el Juzgado de segunda instancia, el 2° de Familia de Zipaquirá, desconoció la decisión de la Comisaría que otorga en su favor  y extensivas a su hijo, menor de edad, SAMUEL QUIROGA GARZÓN medias de protección y a cargo de su cónyuge JOSÉ MIGUEL ALARCÓN, aunque en esa misma decisión proferida el 8 de </w:t>
      </w:r>
      <w:r>
        <w:rPr>
          <w:rFonts w:ascii="Arial" w:eastAsia="Times New Roman" w:hAnsi="Arial" w:cs="Arial"/>
          <w:sz w:val="24"/>
          <w:szCs w:val="24"/>
          <w:lang w:eastAsia="es-CO"/>
        </w:rPr>
        <w:lastRenderedPageBreak/>
        <w:t>septiembre de 2017, injustificadamente conmina a la víctima, desconociendo su condición de tal.</w:t>
      </w:r>
    </w:p>
    <w:p w:rsidR="003869D8" w:rsidRPr="0071159C" w:rsidRDefault="003869D8" w:rsidP="0071159C">
      <w:pPr>
        <w:pStyle w:val="Prrafodelista"/>
        <w:spacing w:line="276" w:lineRule="auto"/>
        <w:rPr>
          <w:rFonts w:ascii="Arial" w:eastAsia="Times New Roman" w:hAnsi="Arial" w:cs="Arial"/>
          <w:sz w:val="24"/>
          <w:szCs w:val="24"/>
          <w:lang w:eastAsia="es-CO"/>
        </w:rPr>
      </w:pPr>
    </w:p>
    <w:p w:rsidR="003869D8" w:rsidRPr="0071159C" w:rsidRDefault="00BF3FC8" w:rsidP="0071159C">
      <w:pPr>
        <w:pStyle w:val="Prrafodelista"/>
        <w:numPr>
          <w:ilvl w:val="1"/>
          <w:numId w:val="5"/>
        </w:numPr>
        <w:shd w:val="clear" w:color="auto" w:fill="FFFFFF"/>
        <w:spacing w:after="0" w:line="276" w:lineRule="auto"/>
        <w:jc w:val="both"/>
        <w:rPr>
          <w:rFonts w:ascii="Arial" w:eastAsia="Times New Roman" w:hAnsi="Arial" w:cs="Arial"/>
          <w:sz w:val="24"/>
          <w:szCs w:val="24"/>
          <w:lang w:eastAsia="es-CO"/>
        </w:rPr>
      </w:pPr>
      <w:r>
        <w:rPr>
          <w:rFonts w:ascii="Arial" w:eastAsia="Times New Roman" w:hAnsi="Arial" w:cs="Arial"/>
          <w:sz w:val="24"/>
          <w:szCs w:val="24"/>
          <w:lang w:eastAsia="es-CO"/>
        </w:rPr>
        <w:t>Que impugnó tal decisión por esa razón y además porque buscó siempre que las medidas de protección que le fueron otorgadas cobijaran a los hijos comunes de las partes MARÍA ANTONIA y JOSÉ MIGUEL ALARCÓN QUIROGA</w:t>
      </w:r>
      <w:r w:rsidR="003869D8" w:rsidRPr="0071159C">
        <w:rPr>
          <w:rFonts w:ascii="Arial" w:eastAsia="Times New Roman" w:hAnsi="Arial" w:cs="Arial"/>
          <w:sz w:val="24"/>
          <w:szCs w:val="24"/>
          <w:lang w:eastAsia="es-CO"/>
        </w:rPr>
        <w:t>.</w:t>
      </w:r>
    </w:p>
    <w:p w:rsidR="003869D8" w:rsidRPr="0071159C" w:rsidRDefault="003869D8" w:rsidP="0071159C">
      <w:pPr>
        <w:pStyle w:val="Prrafodelista"/>
        <w:spacing w:line="276" w:lineRule="auto"/>
        <w:rPr>
          <w:rFonts w:ascii="Arial" w:eastAsia="Times New Roman" w:hAnsi="Arial" w:cs="Arial"/>
          <w:sz w:val="24"/>
          <w:szCs w:val="24"/>
          <w:lang w:eastAsia="es-CO"/>
        </w:rPr>
      </w:pPr>
    </w:p>
    <w:p w:rsidR="003869D8" w:rsidRPr="0071159C" w:rsidRDefault="00BF3FC8" w:rsidP="0071159C">
      <w:pPr>
        <w:pStyle w:val="Prrafodelista"/>
        <w:numPr>
          <w:ilvl w:val="1"/>
          <w:numId w:val="5"/>
        </w:numPr>
        <w:shd w:val="clear" w:color="auto" w:fill="FFFFFF"/>
        <w:spacing w:after="0" w:line="276" w:lineRule="auto"/>
        <w:jc w:val="both"/>
        <w:rPr>
          <w:rFonts w:ascii="Arial" w:eastAsia="Times New Roman" w:hAnsi="Arial" w:cs="Arial"/>
          <w:sz w:val="24"/>
          <w:szCs w:val="24"/>
          <w:lang w:eastAsia="es-CO"/>
        </w:rPr>
      </w:pPr>
      <w:r>
        <w:rPr>
          <w:rFonts w:ascii="Arial" w:eastAsia="Times New Roman" w:hAnsi="Arial" w:cs="Arial"/>
          <w:sz w:val="24"/>
          <w:szCs w:val="24"/>
          <w:lang w:eastAsia="es-CO"/>
        </w:rPr>
        <w:t>Que en la segunda instancia</w:t>
      </w:r>
      <w:r w:rsidR="006F33F6">
        <w:rPr>
          <w:rFonts w:ascii="Arial" w:eastAsia="Times New Roman" w:hAnsi="Arial" w:cs="Arial"/>
          <w:sz w:val="24"/>
          <w:szCs w:val="24"/>
          <w:lang w:eastAsia="es-CO"/>
        </w:rPr>
        <w:t>, el juzgado accionado, que tomó más de seis meses para tomar su decisión, decide en contra de la víctima, y adopta medida d E protección oficiosamente en favor del agresor, lo que no tiene antecedentes y v conculca flagrantemente sus derechos.</w:t>
      </w:r>
    </w:p>
    <w:p w:rsidR="00CB2C11" w:rsidRPr="0071159C" w:rsidRDefault="00CB2C11" w:rsidP="0071159C">
      <w:pPr>
        <w:pStyle w:val="Prrafodelista"/>
        <w:spacing w:line="276" w:lineRule="auto"/>
        <w:rPr>
          <w:rFonts w:ascii="Arial" w:eastAsia="Times New Roman" w:hAnsi="Arial" w:cs="Arial"/>
          <w:sz w:val="24"/>
          <w:szCs w:val="24"/>
          <w:lang w:eastAsia="es-CO"/>
        </w:rPr>
      </w:pPr>
    </w:p>
    <w:p w:rsidR="00E53263" w:rsidRPr="0071159C" w:rsidRDefault="006F33F6" w:rsidP="0071159C">
      <w:pPr>
        <w:numPr>
          <w:ilvl w:val="1"/>
          <w:numId w:val="5"/>
        </w:numPr>
        <w:shd w:val="clear" w:color="auto" w:fill="FFFFFF"/>
        <w:spacing w:after="0" w:line="276" w:lineRule="auto"/>
        <w:contextualSpacing/>
        <w:jc w:val="both"/>
        <w:rPr>
          <w:rFonts w:ascii="Arial" w:eastAsia="Times New Roman" w:hAnsi="Arial" w:cs="Arial"/>
          <w:sz w:val="24"/>
          <w:szCs w:val="24"/>
          <w:lang w:eastAsia="es-CO"/>
        </w:rPr>
      </w:pPr>
      <w:r>
        <w:rPr>
          <w:rFonts w:ascii="Arial" w:eastAsia="Times New Roman" w:hAnsi="Arial" w:cs="Arial"/>
          <w:sz w:val="24"/>
          <w:szCs w:val="24"/>
          <w:lang w:eastAsia="es-CO"/>
        </w:rPr>
        <w:t>Que no hay solicitud del beneficiario de la medida de protección, JOSÉ MIGUEL ALARCÓN, lo que contraría la legislación que regula la tramitación del proceso, sin que se le hubiese dado la oportunidad de los descargos.</w:t>
      </w:r>
    </w:p>
    <w:p w:rsidR="00E53263" w:rsidRPr="0071159C" w:rsidRDefault="00E53263" w:rsidP="0071159C">
      <w:pPr>
        <w:spacing w:line="276" w:lineRule="auto"/>
        <w:ind w:left="720"/>
        <w:contextualSpacing/>
        <w:rPr>
          <w:rFonts w:ascii="Arial" w:eastAsia="Times New Roman" w:hAnsi="Arial" w:cs="Arial"/>
          <w:sz w:val="24"/>
          <w:szCs w:val="24"/>
          <w:lang w:eastAsia="es-CO"/>
        </w:rPr>
      </w:pPr>
    </w:p>
    <w:p w:rsidR="0056163B" w:rsidRPr="007C0415" w:rsidRDefault="006F33F6" w:rsidP="007C0415">
      <w:pPr>
        <w:numPr>
          <w:ilvl w:val="1"/>
          <w:numId w:val="5"/>
        </w:numPr>
        <w:shd w:val="clear" w:color="auto" w:fill="FFFFFF"/>
        <w:spacing w:after="0" w:line="276" w:lineRule="auto"/>
        <w:contextualSpacing/>
        <w:jc w:val="both"/>
        <w:rPr>
          <w:rFonts w:ascii="Arial" w:eastAsia="Times New Roman" w:hAnsi="Arial" w:cs="Arial"/>
          <w:sz w:val="24"/>
          <w:szCs w:val="24"/>
          <w:lang w:eastAsia="es-CO"/>
        </w:rPr>
      </w:pPr>
      <w:r>
        <w:rPr>
          <w:rFonts w:ascii="Arial" w:eastAsia="Times New Roman" w:hAnsi="Arial" w:cs="Arial"/>
          <w:sz w:val="24"/>
          <w:szCs w:val="24"/>
          <w:lang w:eastAsia="es-CO"/>
        </w:rPr>
        <w:t>En consecuencia, solicita que se revoque los numerales segundo, tercero y sexto del fallo de medida de protección emitida por la comisaria el 8 de septiembre de 2017</w:t>
      </w:r>
      <w:r w:rsidR="007C0415">
        <w:rPr>
          <w:rFonts w:ascii="Arial" w:eastAsia="Times New Roman" w:hAnsi="Arial" w:cs="Arial"/>
          <w:sz w:val="24"/>
          <w:szCs w:val="24"/>
          <w:lang w:eastAsia="es-CO"/>
        </w:rPr>
        <w:t>,</w:t>
      </w:r>
      <w:r>
        <w:rPr>
          <w:rFonts w:ascii="Arial" w:eastAsia="Times New Roman" w:hAnsi="Arial" w:cs="Arial"/>
          <w:sz w:val="24"/>
          <w:szCs w:val="24"/>
          <w:lang w:eastAsia="es-CO"/>
        </w:rPr>
        <w:t xml:space="preserve"> y revocar el</w:t>
      </w:r>
      <w:r w:rsidR="007C0415">
        <w:rPr>
          <w:rFonts w:ascii="Arial" w:eastAsia="Times New Roman" w:hAnsi="Arial" w:cs="Arial"/>
          <w:sz w:val="24"/>
          <w:szCs w:val="24"/>
          <w:lang w:eastAsia="es-CO"/>
        </w:rPr>
        <w:t xml:space="preserve"> numeral 2 del</w:t>
      </w:r>
      <w:r>
        <w:rPr>
          <w:rFonts w:ascii="Arial" w:eastAsia="Times New Roman" w:hAnsi="Arial" w:cs="Arial"/>
          <w:sz w:val="24"/>
          <w:szCs w:val="24"/>
          <w:lang w:eastAsia="es-CO"/>
        </w:rPr>
        <w:t xml:space="preserve"> fallo del Juzgado Segundo de Familia de Zipaquirá</w:t>
      </w:r>
      <w:r w:rsidR="007C0415">
        <w:rPr>
          <w:rFonts w:ascii="Arial" w:eastAsia="Times New Roman" w:hAnsi="Arial" w:cs="Arial"/>
          <w:sz w:val="24"/>
          <w:szCs w:val="24"/>
          <w:lang w:eastAsia="es-CO"/>
        </w:rPr>
        <w:t xml:space="preserve"> emitido el 30 de mayo de 2</w:t>
      </w:r>
      <w:r w:rsidR="007C0415" w:rsidRPr="007C0415">
        <w:rPr>
          <w:rFonts w:ascii="Arial" w:eastAsia="Times New Roman" w:hAnsi="Arial" w:cs="Arial"/>
          <w:sz w:val="24"/>
          <w:szCs w:val="24"/>
          <w:lang w:eastAsia="es-CO"/>
        </w:rPr>
        <w:t>018</w:t>
      </w:r>
      <w:r w:rsidR="007C0415">
        <w:rPr>
          <w:rFonts w:ascii="Arial" w:eastAsia="Times New Roman" w:hAnsi="Arial" w:cs="Arial"/>
          <w:sz w:val="24"/>
          <w:szCs w:val="24"/>
          <w:lang w:eastAsia="es-CO"/>
        </w:rPr>
        <w:t>, que adicional el de la comisaría al otorgar me</w:t>
      </w:r>
      <w:r w:rsidR="00EC159A">
        <w:rPr>
          <w:rFonts w:ascii="Arial" w:eastAsia="Times New Roman" w:hAnsi="Arial" w:cs="Arial"/>
          <w:sz w:val="24"/>
          <w:szCs w:val="24"/>
          <w:lang w:eastAsia="es-CO"/>
        </w:rPr>
        <w:t>dida de protección a su agresor.</w:t>
      </w:r>
      <w:bookmarkStart w:id="0" w:name="_GoBack"/>
      <w:bookmarkEnd w:id="0"/>
    </w:p>
    <w:p w:rsidR="0056163B" w:rsidRPr="0071159C" w:rsidRDefault="0056163B" w:rsidP="0071159C">
      <w:pPr>
        <w:shd w:val="clear" w:color="auto" w:fill="FFFFFF"/>
        <w:spacing w:after="0" w:line="276" w:lineRule="auto"/>
        <w:jc w:val="both"/>
        <w:rPr>
          <w:rFonts w:ascii="Arial" w:eastAsia="Times New Roman" w:hAnsi="Arial" w:cs="Arial"/>
          <w:sz w:val="24"/>
          <w:szCs w:val="24"/>
          <w:lang w:eastAsia="es-CO"/>
        </w:rPr>
      </w:pPr>
    </w:p>
    <w:p w:rsidR="0056163B" w:rsidRPr="0071159C" w:rsidRDefault="00DC40CB" w:rsidP="0071159C">
      <w:pPr>
        <w:pStyle w:val="Prrafodelista"/>
        <w:numPr>
          <w:ilvl w:val="0"/>
          <w:numId w:val="5"/>
        </w:numPr>
        <w:shd w:val="clear" w:color="auto" w:fill="FFFFFF"/>
        <w:spacing w:after="0" w:line="276" w:lineRule="auto"/>
        <w:jc w:val="both"/>
        <w:rPr>
          <w:rFonts w:ascii="Arial" w:eastAsia="Times New Roman" w:hAnsi="Arial" w:cs="Arial"/>
          <w:i/>
          <w:sz w:val="24"/>
          <w:szCs w:val="24"/>
          <w:lang w:eastAsia="es-CO"/>
        </w:rPr>
      </w:pPr>
      <w:r w:rsidRPr="0071159C">
        <w:rPr>
          <w:rFonts w:ascii="Arial" w:eastAsia="Times New Roman" w:hAnsi="Arial" w:cs="Arial"/>
          <w:b/>
          <w:bCs/>
          <w:i/>
          <w:iCs/>
          <w:sz w:val="24"/>
          <w:szCs w:val="24"/>
          <w:lang w:eastAsia="es-CO"/>
        </w:rPr>
        <w:t>Posición de la Procuraduría General de la Nación</w:t>
      </w:r>
    </w:p>
    <w:p w:rsidR="0056163B" w:rsidRPr="0071159C" w:rsidRDefault="0056163B" w:rsidP="0071159C">
      <w:pPr>
        <w:pStyle w:val="Prrafodelista"/>
        <w:shd w:val="clear" w:color="auto" w:fill="FFFFFF"/>
        <w:spacing w:after="0" w:line="276" w:lineRule="auto"/>
        <w:ind w:left="465"/>
        <w:jc w:val="both"/>
        <w:rPr>
          <w:rFonts w:ascii="Arial" w:eastAsia="Times New Roman" w:hAnsi="Arial" w:cs="Arial"/>
          <w:i/>
          <w:sz w:val="24"/>
          <w:szCs w:val="24"/>
          <w:lang w:eastAsia="es-CO"/>
        </w:rPr>
      </w:pPr>
    </w:p>
    <w:p w:rsidR="00DC40CB" w:rsidRPr="0071159C" w:rsidRDefault="000F779C" w:rsidP="0071159C">
      <w:pPr>
        <w:pStyle w:val="Prrafodelista"/>
        <w:numPr>
          <w:ilvl w:val="1"/>
          <w:numId w:val="6"/>
        </w:numPr>
        <w:shd w:val="clear" w:color="auto" w:fill="FFFFFF"/>
        <w:spacing w:after="0" w:line="276" w:lineRule="auto"/>
        <w:jc w:val="both"/>
        <w:rPr>
          <w:rFonts w:ascii="Arial" w:eastAsia="Times New Roman" w:hAnsi="Arial" w:cs="Arial"/>
          <w:i/>
          <w:sz w:val="24"/>
          <w:szCs w:val="24"/>
          <w:lang w:eastAsia="es-CO"/>
        </w:rPr>
      </w:pPr>
      <w:r w:rsidRPr="0071159C">
        <w:rPr>
          <w:rFonts w:ascii="Arial" w:eastAsia="Times New Roman" w:hAnsi="Arial" w:cs="Arial"/>
          <w:sz w:val="24"/>
          <w:szCs w:val="24"/>
          <w:lang w:eastAsia="es-CO"/>
        </w:rPr>
        <w:t xml:space="preserve">En materia de violencia intrafamiliar es amplio el espectro normativo previsto por el Legislador y que apunta en su esencia al cumplimiento del cometido constitucional de prevenirla, erradicarla y sancionarla, </w:t>
      </w:r>
      <w:r w:rsidR="00DD2C12" w:rsidRPr="0071159C">
        <w:rPr>
          <w:rFonts w:ascii="Arial" w:eastAsia="Times New Roman" w:hAnsi="Arial" w:cs="Arial"/>
          <w:sz w:val="24"/>
          <w:szCs w:val="24"/>
          <w:lang w:eastAsia="es-CO"/>
        </w:rPr>
        <w:t>teniendo en cuenta</w:t>
      </w:r>
      <w:r w:rsidRPr="0071159C">
        <w:rPr>
          <w:rFonts w:ascii="Arial" w:eastAsia="Times New Roman" w:hAnsi="Arial" w:cs="Arial"/>
          <w:sz w:val="24"/>
          <w:szCs w:val="24"/>
          <w:lang w:eastAsia="es-CO"/>
        </w:rPr>
        <w:t xml:space="preserve"> la protección diferenciada que se fija para personas categorizadas como de especial protección constitucional (T-373/98, C-776/10, T-706/13</w:t>
      </w:r>
      <w:r w:rsidR="0056163B" w:rsidRPr="0071159C">
        <w:rPr>
          <w:rFonts w:ascii="Arial" w:eastAsia="Times New Roman" w:hAnsi="Arial" w:cs="Arial"/>
          <w:sz w:val="24"/>
          <w:szCs w:val="24"/>
          <w:lang w:eastAsia="es-CO"/>
        </w:rPr>
        <w:t xml:space="preserve">, T-878/14, T-967/14, T-012/16, T-241/16, T-012/16, </w:t>
      </w:r>
      <w:r w:rsidR="00CC5578" w:rsidRPr="0071159C">
        <w:rPr>
          <w:rFonts w:ascii="Arial" w:eastAsia="Times New Roman" w:hAnsi="Arial" w:cs="Arial"/>
          <w:sz w:val="24"/>
          <w:szCs w:val="24"/>
          <w:lang w:eastAsia="es-CO"/>
        </w:rPr>
        <w:t>T-241/16, T-027/17, T-184/17, T-590/17</w:t>
      </w:r>
      <w:r w:rsidRPr="0071159C">
        <w:rPr>
          <w:rFonts w:ascii="Arial" w:eastAsia="Times New Roman" w:hAnsi="Arial" w:cs="Arial"/>
          <w:sz w:val="24"/>
          <w:szCs w:val="24"/>
          <w:lang w:eastAsia="es-CO"/>
        </w:rPr>
        <w:t>), imperativo consignado dentro de la regla fijada por el</w:t>
      </w:r>
      <w:r w:rsidR="00DC40CB" w:rsidRPr="0071159C">
        <w:rPr>
          <w:rFonts w:ascii="Arial" w:eastAsia="Times New Roman" w:hAnsi="Arial" w:cs="Arial"/>
          <w:sz w:val="24"/>
          <w:szCs w:val="24"/>
          <w:lang w:eastAsia="es-CO"/>
        </w:rPr>
        <w:t>  </w:t>
      </w:r>
      <w:r w:rsidR="00DC40CB" w:rsidRPr="0071159C">
        <w:rPr>
          <w:rFonts w:ascii="Arial" w:eastAsia="Times New Roman" w:hAnsi="Arial" w:cs="Arial"/>
          <w:b/>
          <w:bCs/>
          <w:sz w:val="24"/>
          <w:szCs w:val="24"/>
          <w:lang w:eastAsia="es-CO"/>
        </w:rPr>
        <w:t>Artículo 4. De la Ley 1257 de 2008, el que prescribe: “</w:t>
      </w:r>
      <w:bookmarkStart w:id="1" w:name="x_4"/>
      <w:r w:rsidR="00DC40CB" w:rsidRPr="0071159C">
        <w:rPr>
          <w:rFonts w:ascii="Arial" w:eastAsia="Times New Roman" w:hAnsi="Arial" w:cs="Arial"/>
          <w:b/>
          <w:bCs/>
          <w:i/>
          <w:iCs/>
          <w:sz w:val="24"/>
          <w:szCs w:val="24"/>
          <w:lang w:eastAsia="es-CO"/>
        </w:rPr>
        <w:t>Criterios de Interpretación.</w:t>
      </w:r>
      <w:bookmarkEnd w:id="1"/>
      <w:r w:rsidR="00DC40CB" w:rsidRPr="0071159C">
        <w:rPr>
          <w:rFonts w:ascii="Arial" w:eastAsia="Times New Roman" w:hAnsi="Arial" w:cs="Arial"/>
          <w:b/>
          <w:bCs/>
          <w:i/>
          <w:iCs/>
          <w:sz w:val="24"/>
          <w:szCs w:val="24"/>
          <w:lang w:eastAsia="es-CO"/>
        </w:rPr>
        <w:t> </w:t>
      </w:r>
      <w:r w:rsidR="00DC40CB" w:rsidRPr="0071159C">
        <w:rPr>
          <w:rFonts w:ascii="Arial" w:eastAsia="Times New Roman" w:hAnsi="Arial" w:cs="Arial"/>
          <w:sz w:val="24"/>
          <w:szCs w:val="24"/>
          <w:lang w:eastAsia="es-CO"/>
        </w:rPr>
        <w:t xml:space="preserve">Los principios contenidos en la Constitución Política, y en los Tratados o Convenios Internacionales de derechos humanos ratificados por Colombia, en especial la </w:t>
      </w:r>
      <w:r w:rsidR="00F37C48" w:rsidRPr="0071159C">
        <w:rPr>
          <w:rFonts w:ascii="Arial" w:eastAsia="Times New Roman" w:hAnsi="Arial" w:cs="Arial"/>
          <w:sz w:val="24"/>
          <w:szCs w:val="24"/>
          <w:lang w:eastAsia="es-CO"/>
        </w:rPr>
        <w:t>C</w:t>
      </w:r>
      <w:r w:rsidR="00DC40CB" w:rsidRPr="0071159C">
        <w:rPr>
          <w:rFonts w:ascii="Arial" w:eastAsia="Times New Roman" w:hAnsi="Arial" w:cs="Arial"/>
          <w:sz w:val="24"/>
          <w:szCs w:val="24"/>
          <w:lang w:eastAsia="es-CO"/>
        </w:rPr>
        <w:t>onvención sobre la eliminación de todas las formas de discr</w:t>
      </w:r>
      <w:r w:rsidR="00F37C48" w:rsidRPr="0071159C">
        <w:rPr>
          <w:rFonts w:ascii="Arial" w:eastAsia="Times New Roman" w:hAnsi="Arial" w:cs="Arial"/>
          <w:sz w:val="24"/>
          <w:szCs w:val="24"/>
          <w:lang w:eastAsia="es-CO"/>
        </w:rPr>
        <w:t>iminación contra la mujer y la Convención I</w:t>
      </w:r>
      <w:r w:rsidR="00DC40CB" w:rsidRPr="0071159C">
        <w:rPr>
          <w:rFonts w:ascii="Arial" w:eastAsia="Times New Roman" w:hAnsi="Arial" w:cs="Arial"/>
          <w:sz w:val="24"/>
          <w:szCs w:val="24"/>
          <w:lang w:eastAsia="es-CO"/>
        </w:rPr>
        <w:t xml:space="preserve">nteramericana para prevenir, sancionar y erradicar la violencia contra la mujer, las demás leyes, la </w:t>
      </w:r>
      <w:r w:rsidR="00DC40CB" w:rsidRPr="0071159C">
        <w:rPr>
          <w:rFonts w:ascii="Arial" w:eastAsia="Times New Roman" w:hAnsi="Arial" w:cs="Arial"/>
          <w:sz w:val="24"/>
          <w:szCs w:val="24"/>
          <w:lang w:eastAsia="es-CO"/>
        </w:rPr>
        <w:lastRenderedPageBreak/>
        <w:t>jurisprudencia referente a la materia, servirán de guía para su interpretación y aplicación.”</w:t>
      </w:r>
    </w:p>
    <w:p w:rsidR="00F37C48" w:rsidRPr="0071159C" w:rsidRDefault="00F37C48" w:rsidP="0071159C">
      <w:pPr>
        <w:shd w:val="clear" w:color="auto" w:fill="FFFFFF"/>
        <w:spacing w:after="0" w:line="276" w:lineRule="auto"/>
        <w:jc w:val="both"/>
        <w:rPr>
          <w:rFonts w:ascii="Arial" w:eastAsia="Times New Roman" w:hAnsi="Arial" w:cs="Arial"/>
          <w:sz w:val="24"/>
          <w:szCs w:val="24"/>
          <w:lang w:eastAsia="es-CO"/>
        </w:rPr>
      </w:pPr>
    </w:p>
    <w:p w:rsidR="00EC1179" w:rsidRPr="0071159C" w:rsidRDefault="00F37C48" w:rsidP="0071159C">
      <w:pPr>
        <w:pStyle w:val="Prrafodelista"/>
        <w:numPr>
          <w:ilvl w:val="1"/>
          <w:numId w:val="6"/>
        </w:numPr>
        <w:shd w:val="clear" w:color="auto" w:fill="FFFFFF"/>
        <w:spacing w:after="0" w:line="276" w:lineRule="auto"/>
        <w:jc w:val="both"/>
        <w:rPr>
          <w:rFonts w:ascii="Arial" w:hAnsi="Arial" w:cs="Arial"/>
          <w:sz w:val="24"/>
          <w:szCs w:val="24"/>
        </w:rPr>
      </w:pPr>
      <w:r w:rsidRPr="0071159C">
        <w:rPr>
          <w:rFonts w:ascii="Arial" w:eastAsia="Times New Roman" w:hAnsi="Arial" w:cs="Arial"/>
          <w:sz w:val="24"/>
          <w:szCs w:val="24"/>
          <w:lang w:eastAsia="es-CO"/>
        </w:rPr>
        <w:t>Se suman a los Tratados anteriores, referentes normativos de orden internacional, como la Declaración sobre la eliminación de la violencia contrala mujer, la Recomendación General No. 19 adoptada por el Comité para la Eliminación de la Discriminación contra la Mujer, lo que integra, junto con nuestra legislación interna, partiendo de la propia Constitución Política (arts. 2, 5, 13, 42), en un potente arsenal para hacer frente al flagelo de la violencia doméstica que carcome las estructuras familiar y social.</w:t>
      </w:r>
      <w:r w:rsidR="00EC1179" w:rsidRPr="0071159C">
        <w:rPr>
          <w:rFonts w:ascii="Arial" w:eastAsia="Times New Roman" w:hAnsi="Arial" w:cs="Arial"/>
          <w:sz w:val="24"/>
          <w:szCs w:val="24"/>
          <w:lang w:eastAsia="es-CO"/>
        </w:rPr>
        <w:t xml:space="preserve"> </w:t>
      </w:r>
    </w:p>
    <w:p w:rsidR="00EC1179" w:rsidRPr="0071159C" w:rsidRDefault="00EC1179" w:rsidP="0071159C">
      <w:pPr>
        <w:pStyle w:val="Prrafodelista"/>
        <w:spacing w:line="276" w:lineRule="auto"/>
        <w:rPr>
          <w:rFonts w:ascii="Arial" w:hAnsi="Arial" w:cs="Arial"/>
          <w:iCs/>
          <w:sz w:val="24"/>
          <w:szCs w:val="24"/>
          <w:bdr w:val="none" w:sz="0" w:space="0" w:color="auto" w:frame="1"/>
          <w:shd w:val="clear" w:color="auto" w:fill="FFFFFF"/>
        </w:rPr>
      </w:pPr>
    </w:p>
    <w:p w:rsidR="003C4AFC" w:rsidRPr="0071159C" w:rsidRDefault="00EC1179" w:rsidP="0071159C">
      <w:pPr>
        <w:pStyle w:val="Prrafodelista"/>
        <w:numPr>
          <w:ilvl w:val="1"/>
          <w:numId w:val="6"/>
        </w:numPr>
        <w:shd w:val="clear" w:color="auto" w:fill="FFFFFF"/>
        <w:spacing w:after="0" w:line="276" w:lineRule="auto"/>
        <w:jc w:val="both"/>
        <w:rPr>
          <w:rFonts w:ascii="Arial" w:hAnsi="Arial" w:cs="Arial"/>
          <w:sz w:val="24"/>
          <w:szCs w:val="24"/>
        </w:rPr>
      </w:pPr>
      <w:r w:rsidRPr="0071159C">
        <w:rPr>
          <w:rFonts w:ascii="Arial" w:hAnsi="Arial" w:cs="Arial"/>
          <w:iCs/>
          <w:sz w:val="24"/>
          <w:szCs w:val="24"/>
          <w:bdr w:val="none" w:sz="0" w:space="0" w:color="auto" w:frame="1"/>
          <w:shd w:val="clear" w:color="auto" w:fill="FFFFFF"/>
        </w:rPr>
        <w:t xml:space="preserve">El flagelo de la violencia intrafamiliar y en ese contexto la violencia contra la mujer, ha inspirado una reacción orbital, y puntualmente en el ámbito americano, que ha dado origen a un catálogo de instrumentos, muchos de ellos ratificados por Colombia,  y que han sido identificados y relacionados, para efectos de sus decisiones, por la Corte Constitucional  (T-145/2017 de 7 de marzo): </w:t>
      </w:r>
      <w:r w:rsidRPr="0071159C">
        <w:rPr>
          <w:rFonts w:ascii="Arial" w:eastAsia="Times New Roman" w:hAnsi="Arial" w:cs="Arial"/>
          <w:sz w:val="24"/>
          <w:szCs w:val="24"/>
        </w:rPr>
        <w:t>la Declaración sobre la Eliminación de la Discriminación contra la Mujer de 1967, la Convención sobre la Eliminación de todas las formas de Discriminación contra la Mujer, en adelante CEDAW, de 1981 ratificada mediante Ley 51 del mismo año, la Declaración sobre la Eliminación de la Violencia en contra de la Mujer (1993</w:t>
      </w:r>
      <w:r w:rsidRPr="0071159C">
        <w:rPr>
          <w:rFonts w:ascii="Arial" w:hAnsi="Arial" w:cs="Arial"/>
          <w:sz w:val="24"/>
          <w:szCs w:val="24"/>
        </w:rPr>
        <w:t xml:space="preserve">), que en el artículo 1 proclama: </w:t>
      </w:r>
      <w:r w:rsidRPr="0071159C">
        <w:rPr>
          <w:rFonts w:ascii="Arial" w:eastAsia="Times New Roman" w:hAnsi="Arial" w:cs="Arial"/>
          <w:sz w:val="24"/>
          <w:szCs w:val="24"/>
          <w:vertAlign w:val="superscript"/>
        </w:rPr>
        <w:t xml:space="preserve"> </w:t>
      </w:r>
      <w:r w:rsidRPr="0071159C">
        <w:rPr>
          <w:rFonts w:ascii="Arial" w:eastAsia="Times New Roman" w:hAnsi="Arial" w:cs="Arial"/>
          <w:sz w:val="24"/>
          <w:szCs w:val="24"/>
        </w:rPr>
        <w:t>“</w:t>
      </w:r>
      <w:r w:rsidRPr="0071159C">
        <w:rPr>
          <w:rFonts w:ascii="Arial" w:hAnsi="Arial" w:cs="Arial"/>
          <w:i/>
          <w:sz w:val="24"/>
          <w:szCs w:val="24"/>
        </w:rPr>
        <w:t xml:space="preserve">todo acto de violencia basado en la pertenencia al sexo femenino que tenga o pueda tener como resultado un daño o sufrimiento físico, sexual o sicológico para la mujer, así como las amenazas de tales actos, la coacción o la privación arbitraria de la libertad, tanto si se producen en la vida pública como en la vida privada”. </w:t>
      </w:r>
      <w:r w:rsidRPr="0071159C">
        <w:rPr>
          <w:rFonts w:ascii="Arial" w:hAnsi="Arial" w:cs="Arial"/>
          <w:sz w:val="24"/>
          <w:szCs w:val="24"/>
        </w:rPr>
        <w:t>L</w:t>
      </w:r>
      <w:r w:rsidRPr="0071159C">
        <w:rPr>
          <w:rFonts w:ascii="Arial" w:eastAsia="Times New Roman" w:hAnsi="Arial" w:cs="Arial"/>
          <w:sz w:val="24"/>
          <w:szCs w:val="24"/>
        </w:rPr>
        <w:t xml:space="preserve">a Cuarta Conferencia Mundial sobre la Mujer (Beijing, 1995). Además, en el Sistema Interamericano, la Organización de Estados Americanos (OEA) profirió la Convención Interamericana para Prevenir, Sancionar y Erradicar la Violencia Contra la Mujer, conocida como la Convención de Belém do Pará, </w:t>
      </w:r>
      <w:proofErr w:type="gramStart"/>
      <w:r w:rsidRPr="0071159C">
        <w:rPr>
          <w:rFonts w:ascii="Arial" w:eastAsia="Times New Roman" w:hAnsi="Arial" w:cs="Arial"/>
          <w:sz w:val="24"/>
          <w:szCs w:val="24"/>
        </w:rPr>
        <w:t>aprobada</w:t>
      </w:r>
      <w:proofErr w:type="gramEnd"/>
      <w:r w:rsidRPr="0071159C">
        <w:rPr>
          <w:rFonts w:ascii="Arial" w:eastAsia="Times New Roman" w:hAnsi="Arial" w:cs="Arial"/>
          <w:sz w:val="24"/>
          <w:szCs w:val="24"/>
        </w:rPr>
        <w:t xml:space="preserve"> mediante </w:t>
      </w:r>
      <w:r w:rsidRPr="0071159C">
        <w:rPr>
          <w:rFonts w:ascii="Arial" w:hAnsi="Arial" w:cs="Arial"/>
          <w:sz w:val="24"/>
          <w:szCs w:val="24"/>
        </w:rPr>
        <w:t xml:space="preserve">la </w:t>
      </w:r>
      <w:r w:rsidRPr="0071159C">
        <w:rPr>
          <w:rFonts w:ascii="Arial" w:eastAsia="Times New Roman" w:hAnsi="Arial" w:cs="Arial"/>
          <w:sz w:val="24"/>
          <w:szCs w:val="24"/>
        </w:rPr>
        <w:t>Ley 248 de 1995</w:t>
      </w:r>
      <w:r w:rsidRPr="0071159C">
        <w:rPr>
          <w:rFonts w:ascii="Arial" w:hAnsi="Arial" w:cs="Arial"/>
          <w:sz w:val="24"/>
          <w:szCs w:val="24"/>
        </w:rPr>
        <w:t>.</w:t>
      </w:r>
    </w:p>
    <w:p w:rsidR="003C4AFC" w:rsidRPr="0071159C" w:rsidRDefault="003C4AFC" w:rsidP="0071159C">
      <w:pPr>
        <w:pStyle w:val="Prrafodelista"/>
        <w:shd w:val="clear" w:color="auto" w:fill="FFFFFF"/>
        <w:spacing w:after="0" w:line="276" w:lineRule="auto"/>
        <w:jc w:val="both"/>
        <w:rPr>
          <w:rFonts w:ascii="Arial" w:hAnsi="Arial" w:cs="Arial"/>
          <w:sz w:val="24"/>
          <w:szCs w:val="24"/>
        </w:rPr>
      </w:pPr>
    </w:p>
    <w:p w:rsidR="00EC1179" w:rsidRPr="0071159C" w:rsidRDefault="006F03A2" w:rsidP="0071159C">
      <w:pPr>
        <w:pStyle w:val="Prrafodelista"/>
        <w:numPr>
          <w:ilvl w:val="1"/>
          <w:numId w:val="6"/>
        </w:numPr>
        <w:shd w:val="clear" w:color="auto" w:fill="FFFFFF"/>
        <w:spacing w:after="0" w:line="276" w:lineRule="auto"/>
        <w:jc w:val="both"/>
        <w:rPr>
          <w:rFonts w:ascii="Arial" w:hAnsi="Arial" w:cs="Arial"/>
          <w:sz w:val="24"/>
          <w:szCs w:val="24"/>
        </w:rPr>
      </w:pPr>
      <w:r>
        <w:rPr>
          <w:rFonts w:ascii="Arial" w:hAnsi="Arial" w:cs="Arial"/>
          <w:sz w:val="24"/>
          <w:szCs w:val="24"/>
        </w:rPr>
        <w:t>L</w:t>
      </w:r>
      <w:r w:rsidR="00EC1179" w:rsidRPr="0071159C">
        <w:rPr>
          <w:rFonts w:ascii="Arial" w:hAnsi="Arial" w:cs="Arial"/>
          <w:sz w:val="24"/>
          <w:szCs w:val="24"/>
        </w:rPr>
        <w:t xml:space="preserve">os derechos humanos de las mujeres, traducidos como derechos fundamentales en la Carta Política, deben ser materia de especial protección estatal a través de sus autoridades, por estar amparados, además de la normativa interna, por claros dispositivos convencionales ratificados por Colombia. La Jurisprudencia constitucional ha fijado unas reglas y subreglas para la intervención de los casos de violencia contra la mujer que </w:t>
      </w:r>
      <w:r w:rsidR="003C4AFC" w:rsidRPr="0071159C">
        <w:rPr>
          <w:rFonts w:ascii="Arial" w:hAnsi="Arial" w:cs="Arial"/>
          <w:sz w:val="24"/>
          <w:szCs w:val="24"/>
        </w:rPr>
        <w:t>desde las decisiones que atañen a la integración del bloque de constitucionalidad:</w:t>
      </w:r>
    </w:p>
    <w:p w:rsidR="00EC1179" w:rsidRPr="0071159C" w:rsidRDefault="00EC1179" w:rsidP="0071159C">
      <w:pPr>
        <w:pStyle w:val="Sinespaciado"/>
        <w:spacing w:line="276" w:lineRule="auto"/>
        <w:jc w:val="both"/>
        <w:rPr>
          <w:rFonts w:ascii="Arial" w:hAnsi="Arial" w:cs="Arial"/>
          <w:sz w:val="24"/>
          <w:szCs w:val="24"/>
        </w:rPr>
      </w:pPr>
    </w:p>
    <w:p w:rsidR="00EC1179" w:rsidRPr="0071159C" w:rsidRDefault="00EC1179" w:rsidP="0071159C">
      <w:pPr>
        <w:pStyle w:val="Sinespaciado"/>
        <w:spacing w:line="276" w:lineRule="auto"/>
        <w:jc w:val="both"/>
        <w:rPr>
          <w:rFonts w:ascii="Arial" w:hAnsi="Arial" w:cs="Arial"/>
          <w:sz w:val="24"/>
          <w:szCs w:val="24"/>
        </w:rPr>
      </w:pPr>
      <w:r w:rsidRPr="0071159C">
        <w:rPr>
          <w:rFonts w:ascii="Arial" w:hAnsi="Arial" w:cs="Arial"/>
          <w:sz w:val="24"/>
          <w:szCs w:val="24"/>
        </w:rPr>
        <w:t>Reglas</w:t>
      </w:r>
    </w:p>
    <w:p w:rsidR="003C4AFC" w:rsidRPr="0071159C" w:rsidRDefault="003C4AFC" w:rsidP="0071159C">
      <w:pPr>
        <w:pStyle w:val="Sinespaciado"/>
        <w:spacing w:line="276" w:lineRule="auto"/>
        <w:jc w:val="both"/>
        <w:rPr>
          <w:rFonts w:ascii="Arial" w:hAnsi="Arial" w:cs="Arial"/>
          <w:sz w:val="24"/>
          <w:szCs w:val="24"/>
        </w:rPr>
      </w:pPr>
    </w:p>
    <w:p w:rsidR="00EC1179" w:rsidRPr="0071159C" w:rsidRDefault="00EC1179" w:rsidP="0071159C">
      <w:pPr>
        <w:pStyle w:val="Sinespaciado"/>
        <w:spacing w:line="276" w:lineRule="auto"/>
        <w:jc w:val="both"/>
        <w:rPr>
          <w:rFonts w:ascii="Arial" w:hAnsi="Arial" w:cs="Arial"/>
          <w:sz w:val="24"/>
          <w:szCs w:val="24"/>
        </w:rPr>
      </w:pPr>
      <w:r w:rsidRPr="0071159C">
        <w:rPr>
          <w:rFonts w:ascii="Arial" w:hAnsi="Arial" w:cs="Arial"/>
          <w:sz w:val="24"/>
          <w:szCs w:val="24"/>
        </w:rPr>
        <w:t>1.- Las mujeres cuentan con un derecho fundamental a una vida libre de violencias, y dondequiera que se vulnere, cuenta con los instrumentos recogidos por el bloque de constitucionalidad para su amparo. (C-306  y T-878)</w:t>
      </w:r>
    </w:p>
    <w:p w:rsidR="00EC1179" w:rsidRPr="0071159C" w:rsidRDefault="00EC1179" w:rsidP="0071159C">
      <w:pPr>
        <w:pStyle w:val="Sinespaciado"/>
        <w:spacing w:line="276" w:lineRule="auto"/>
        <w:jc w:val="both"/>
        <w:rPr>
          <w:rFonts w:ascii="Arial" w:hAnsi="Arial" w:cs="Arial"/>
          <w:sz w:val="24"/>
          <w:szCs w:val="24"/>
        </w:rPr>
      </w:pPr>
    </w:p>
    <w:p w:rsidR="00EC1179" w:rsidRPr="0071159C" w:rsidRDefault="00EC1179" w:rsidP="0071159C">
      <w:pPr>
        <w:pStyle w:val="Sinespaciado"/>
        <w:spacing w:line="276" w:lineRule="auto"/>
        <w:jc w:val="both"/>
        <w:rPr>
          <w:rFonts w:ascii="Arial" w:hAnsi="Arial" w:cs="Arial"/>
          <w:sz w:val="24"/>
          <w:szCs w:val="24"/>
        </w:rPr>
      </w:pPr>
      <w:r w:rsidRPr="0071159C">
        <w:rPr>
          <w:rFonts w:ascii="Arial" w:hAnsi="Arial" w:cs="Arial"/>
          <w:sz w:val="24"/>
          <w:szCs w:val="24"/>
        </w:rPr>
        <w:t>Subreglas</w:t>
      </w:r>
    </w:p>
    <w:p w:rsidR="003C4AFC" w:rsidRPr="0071159C" w:rsidRDefault="003C4AFC" w:rsidP="0071159C">
      <w:pPr>
        <w:pStyle w:val="Sinespaciado"/>
        <w:spacing w:line="276" w:lineRule="auto"/>
        <w:jc w:val="both"/>
        <w:rPr>
          <w:rFonts w:ascii="Arial" w:hAnsi="Arial" w:cs="Arial"/>
          <w:iCs/>
          <w:sz w:val="24"/>
          <w:szCs w:val="24"/>
          <w:bdr w:val="none" w:sz="0" w:space="0" w:color="auto" w:frame="1"/>
        </w:rPr>
      </w:pPr>
    </w:p>
    <w:p w:rsidR="00EC1179" w:rsidRPr="0071159C" w:rsidRDefault="00EC1179" w:rsidP="0071159C">
      <w:pPr>
        <w:pStyle w:val="Sinespaciado"/>
        <w:spacing w:line="276" w:lineRule="auto"/>
        <w:jc w:val="both"/>
        <w:rPr>
          <w:rFonts w:ascii="Arial" w:hAnsi="Arial" w:cs="Arial"/>
          <w:sz w:val="24"/>
          <w:szCs w:val="24"/>
          <w:bdr w:val="none" w:sz="0" w:space="0" w:color="auto" w:frame="1"/>
          <w:shd w:val="clear" w:color="auto" w:fill="FFFFFF"/>
        </w:rPr>
      </w:pPr>
      <w:r w:rsidRPr="0071159C">
        <w:rPr>
          <w:rFonts w:ascii="Arial" w:hAnsi="Arial" w:cs="Arial"/>
          <w:iCs/>
          <w:sz w:val="24"/>
          <w:szCs w:val="24"/>
          <w:bdr w:val="none" w:sz="0" w:space="0" w:color="auto" w:frame="1"/>
        </w:rPr>
        <w:t xml:space="preserve">1.- La mujer debe contar con igualdad de oportunidades y tiene los mismos derechos que el hombre y no podrá ser sometida a ninguna clase de discriminación, y por ello </w:t>
      </w:r>
      <w:r w:rsidRPr="0071159C">
        <w:rPr>
          <w:rFonts w:ascii="Arial" w:hAnsi="Arial" w:cs="Arial"/>
          <w:sz w:val="24"/>
          <w:szCs w:val="24"/>
          <w:bdr w:val="none" w:sz="0" w:space="0" w:color="auto" w:frame="1"/>
          <w:shd w:val="clear" w:color="auto" w:fill="FFFFFF"/>
        </w:rPr>
        <w:t xml:space="preserve"> ha advertido que la igualdad material de género aún constituye una meta, ya que subsisten realidades sociales desiguales. (T-878).</w:t>
      </w:r>
    </w:p>
    <w:p w:rsidR="00EC1179" w:rsidRPr="0071159C" w:rsidRDefault="00EC1179" w:rsidP="0071159C">
      <w:pPr>
        <w:pStyle w:val="Sinespaciado"/>
        <w:spacing w:line="276" w:lineRule="auto"/>
        <w:jc w:val="both"/>
        <w:rPr>
          <w:rFonts w:ascii="Arial" w:hAnsi="Arial" w:cs="Arial"/>
          <w:sz w:val="24"/>
          <w:szCs w:val="24"/>
          <w:bdr w:val="none" w:sz="0" w:space="0" w:color="auto" w:frame="1"/>
          <w:shd w:val="clear" w:color="auto" w:fill="FFFFFF"/>
        </w:rPr>
      </w:pPr>
    </w:p>
    <w:p w:rsidR="00EC1179" w:rsidRPr="0071159C" w:rsidRDefault="00EC1179" w:rsidP="0071159C">
      <w:pPr>
        <w:pStyle w:val="Sinespaciado"/>
        <w:spacing w:line="276" w:lineRule="auto"/>
        <w:jc w:val="both"/>
        <w:rPr>
          <w:rFonts w:ascii="Arial" w:eastAsia="Times New Roman" w:hAnsi="Arial" w:cs="Arial"/>
          <w:sz w:val="24"/>
          <w:szCs w:val="24"/>
          <w:bdr w:val="none" w:sz="0" w:space="0" w:color="auto" w:frame="1"/>
          <w:lang w:eastAsia="es-CO"/>
        </w:rPr>
      </w:pPr>
      <w:r w:rsidRPr="0071159C">
        <w:rPr>
          <w:rFonts w:ascii="Arial" w:eastAsia="Times New Roman" w:hAnsi="Arial" w:cs="Arial"/>
          <w:iCs/>
          <w:sz w:val="24"/>
          <w:szCs w:val="24"/>
          <w:bdr w:val="none" w:sz="0" w:space="0" w:color="auto" w:frame="1"/>
          <w:lang w:eastAsia="es-CO"/>
        </w:rPr>
        <w:t xml:space="preserve"> 2.- Omisión de toda actividad investigativa cuando se deja de investigar por la falta de denuncia de la mujer, o porque se le traslada a ella la carga de la prueba.</w:t>
      </w:r>
      <w:r w:rsidRPr="0071159C">
        <w:rPr>
          <w:rFonts w:ascii="Arial" w:eastAsia="Times New Roman" w:hAnsi="Arial" w:cs="Arial"/>
          <w:sz w:val="24"/>
          <w:szCs w:val="24"/>
          <w:bdr w:val="none" w:sz="0" w:space="0" w:color="auto" w:frame="1"/>
          <w:lang w:eastAsia="es-CO"/>
        </w:rPr>
        <w:t> (C-539).</w:t>
      </w:r>
    </w:p>
    <w:p w:rsidR="00EC1179" w:rsidRPr="0071159C" w:rsidRDefault="00EC1179" w:rsidP="0071159C">
      <w:pPr>
        <w:pStyle w:val="Sinespaciado"/>
        <w:spacing w:line="276" w:lineRule="auto"/>
        <w:jc w:val="both"/>
        <w:rPr>
          <w:rFonts w:ascii="Arial" w:eastAsia="Times New Roman" w:hAnsi="Arial" w:cs="Arial"/>
          <w:sz w:val="24"/>
          <w:szCs w:val="24"/>
          <w:bdr w:val="none" w:sz="0" w:space="0" w:color="auto" w:frame="1"/>
          <w:lang w:eastAsia="es-CO"/>
        </w:rPr>
      </w:pPr>
    </w:p>
    <w:p w:rsidR="00EC1179" w:rsidRPr="0071159C" w:rsidRDefault="00EC1179" w:rsidP="0071159C">
      <w:pPr>
        <w:pStyle w:val="Sinespaciado"/>
        <w:spacing w:line="276" w:lineRule="auto"/>
        <w:jc w:val="both"/>
        <w:rPr>
          <w:rFonts w:ascii="Arial" w:eastAsia="Times New Roman" w:hAnsi="Arial" w:cs="Arial"/>
          <w:iCs/>
          <w:sz w:val="24"/>
          <w:szCs w:val="24"/>
          <w:bdr w:val="none" w:sz="0" w:space="0" w:color="auto" w:frame="1"/>
          <w:lang w:eastAsia="es-CO"/>
        </w:rPr>
      </w:pPr>
      <w:r w:rsidRPr="0071159C">
        <w:rPr>
          <w:rFonts w:ascii="Arial" w:eastAsia="Times New Roman" w:hAnsi="Arial" w:cs="Arial"/>
          <w:iCs/>
          <w:sz w:val="24"/>
          <w:szCs w:val="24"/>
          <w:bdr w:val="none" w:sz="0" w:space="0" w:color="auto" w:frame="1"/>
          <w:lang w:eastAsia="es-CO"/>
        </w:rPr>
        <w:t>3.- Falta de exhaustividad en el análisis de la prueba, como cuando se dispone el archivo por falta de pruebas, sin hacer uso de los poderes oficiosos, o cuando se hace una valoración incompleta, o cuando se desconoce el contexto de la mujer o el desconocimiento del patrón de violencia. (C-539).</w:t>
      </w:r>
    </w:p>
    <w:p w:rsidR="00EC1179" w:rsidRPr="0071159C" w:rsidRDefault="00EC1179" w:rsidP="0071159C">
      <w:pPr>
        <w:pStyle w:val="Sinespaciado"/>
        <w:spacing w:line="276" w:lineRule="auto"/>
        <w:jc w:val="both"/>
        <w:rPr>
          <w:rFonts w:ascii="Arial" w:eastAsia="Times New Roman" w:hAnsi="Arial" w:cs="Arial"/>
          <w:iCs/>
          <w:sz w:val="24"/>
          <w:szCs w:val="24"/>
          <w:bdr w:val="none" w:sz="0" w:space="0" w:color="auto" w:frame="1"/>
          <w:lang w:eastAsia="es-CO"/>
        </w:rPr>
      </w:pPr>
    </w:p>
    <w:p w:rsidR="00EC1179" w:rsidRPr="0071159C" w:rsidRDefault="00EC1179" w:rsidP="0071159C">
      <w:pPr>
        <w:pStyle w:val="Sinespaciado"/>
        <w:spacing w:line="276" w:lineRule="auto"/>
        <w:jc w:val="both"/>
        <w:rPr>
          <w:rFonts w:ascii="Arial" w:eastAsia="Times New Roman" w:hAnsi="Arial" w:cs="Arial"/>
          <w:iCs/>
          <w:sz w:val="24"/>
          <w:szCs w:val="24"/>
          <w:bdr w:val="none" w:sz="0" w:space="0" w:color="auto" w:frame="1"/>
          <w:lang w:eastAsia="es-CO"/>
        </w:rPr>
      </w:pPr>
      <w:r w:rsidRPr="0071159C">
        <w:rPr>
          <w:rFonts w:ascii="Arial" w:eastAsia="Times New Roman" w:hAnsi="Arial" w:cs="Arial"/>
          <w:iCs/>
          <w:sz w:val="24"/>
          <w:szCs w:val="24"/>
          <w:bdr w:val="none" w:sz="0" w:space="0" w:color="auto" w:frame="1"/>
          <w:lang w:eastAsia="es-CO"/>
        </w:rPr>
        <w:t>4.- Utilización de estereotipos de género, que tiene ocurrencia en situaciones en donde s estigmatiza a la mujer por serlo, o por desempeñar cualquier rol en la sociedad, laboral, o doméstico. (C-754).</w:t>
      </w:r>
    </w:p>
    <w:p w:rsidR="00EC1179" w:rsidRPr="0071159C" w:rsidRDefault="00EC1179" w:rsidP="0071159C">
      <w:pPr>
        <w:pStyle w:val="Sinespaciado"/>
        <w:spacing w:line="276" w:lineRule="auto"/>
        <w:jc w:val="both"/>
        <w:rPr>
          <w:rFonts w:ascii="Arial" w:eastAsia="Times New Roman" w:hAnsi="Arial" w:cs="Arial"/>
          <w:iCs/>
          <w:sz w:val="24"/>
          <w:szCs w:val="24"/>
          <w:bdr w:val="none" w:sz="0" w:space="0" w:color="auto" w:frame="1"/>
          <w:lang w:eastAsia="es-CO"/>
        </w:rPr>
      </w:pPr>
    </w:p>
    <w:p w:rsidR="00EC1179" w:rsidRPr="0071159C" w:rsidRDefault="00EC1179" w:rsidP="0071159C">
      <w:pPr>
        <w:pStyle w:val="Sinespaciado"/>
        <w:spacing w:line="276" w:lineRule="auto"/>
        <w:jc w:val="both"/>
        <w:rPr>
          <w:rFonts w:ascii="Arial" w:hAnsi="Arial" w:cs="Arial"/>
          <w:sz w:val="24"/>
          <w:szCs w:val="24"/>
        </w:rPr>
      </w:pPr>
      <w:r w:rsidRPr="0071159C">
        <w:rPr>
          <w:rFonts w:ascii="Arial" w:eastAsia="Times New Roman" w:hAnsi="Arial" w:cs="Arial"/>
          <w:iCs/>
          <w:sz w:val="24"/>
          <w:szCs w:val="24"/>
          <w:bdr w:val="none" w:sz="0" w:space="0" w:color="auto" w:frame="1"/>
          <w:lang w:eastAsia="es-CO"/>
        </w:rPr>
        <w:t xml:space="preserve">5.- </w:t>
      </w:r>
      <w:r w:rsidRPr="0071159C">
        <w:rPr>
          <w:rFonts w:ascii="Arial" w:hAnsi="Arial" w:cs="Arial"/>
          <w:sz w:val="24"/>
          <w:szCs w:val="24"/>
        </w:rPr>
        <w:t>Cumplimiento de los mínimos constitucionales para satisfacer las necesidades de atención en salud de las mujeres víctimas de la violencia (T-271 y C-754)</w:t>
      </w:r>
    </w:p>
    <w:p w:rsidR="00EC1179" w:rsidRPr="0071159C" w:rsidRDefault="00EC1179" w:rsidP="0071159C">
      <w:pPr>
        <w:pStyle w:val="Sinespaciado"/>
        <w:spacing w:line="276" w:lineRule="auto"/>
        <w:jc w:val="both"/>
        <w:rPr>
          <w:rFonts w:ascii="Arial" w:hAnsi="Arial" w:cs="Arial"/>
          <w:b/>
          <w:sz w:val="24"/>
          <w:szCs w:val="24"/>
        </w:rPr>
      </w:pPr>
    </w:p>
    <w:p w:rsidR="00EC1179" w:rsidRPr="0071159C" w:rsidRDefault="00EC1179" w:rsidP="0071159C">
      <w:pPr>
        <w:pStyle w:val="Sinespaciado"/>
        <w:numPr>
          <w:ilvl w:val="1"/>
          <w:numId w:val="6"/>
        </w:numPr>
        <w:spacing w:line="276" w:lineRule="auto"/>
        <w:jc w:val="both"/>
        <w:rPr>
          <w:rFonts w:ascii="Arial" w:hAnsi="Arial" w:cs="Arial"/>
          <w:sz w:val="24"/>
          <w:szCs w:val="24"/>
        </w:rPr>
      </w:pPr>
      <w:r w:rsidRPr="0071159C">
        <w:rPr>
          <w:rFonts w:ascii="Arial" w:hAnsi="Arial" w:cs="Arial"/>
          <w:sz w:val="24"/>
          <w:szCs w:val="24"/>
          <w:shd w:val="clear" w:color="auto" w:fill="FFFFFF"/>
        </w:rPr>
        <w:t>La sentencia C-539 de 2016, puntualiza que el tema de violencia contra la mujer, de “originarias manifestaciones domésticas, deja de ser un asunto privado y es identificado como un problema que implica la infracción de sus derechos fundamentales por razones de género, surgen una serie de obligaciones públicas para el Estado, en orden a contrarrestar tales violaciones…” y confirma la línea fijada en</w:t>
      </w:r>
      <w:r w:rsidR="003C4AFC" w:rsidRPr="0071159C">
        <w:rPr>
          <w:rFonts w:ascii="Arial" w:hAnsi="Arial" w:cs="Arial"/>
          <w:sz w:val="24"/>
          <w:szCs w:val="24"/>
          <w:shd w:val="clear" w:color="auto" w:fill="FFFFFF"/>
        </w:rPr>
        <w:t xml:space="preserve"> la sentencia T-271 de 2016, resp</w:t>
      </w:r>
      <w:r w:rsidRPr="0071159C">
        <w:rPr>
          <w:rFonts w:ascii="Arial" w:hAnsi="Arial" w:cs="Arial"/>
          <w:sz w:val="24"/>
          <w:szCs w:val="24"/>
          <w:shd w:val="clear" w:color="auto" w:fill="FFFFFF"/>
        </w:rPr>
        <w:t xml:space="preserve">ecto de los instrumentos internacionales que integran el bloque de constitucionalidad, esto es, que forman parte de él la </w:t>
      </w:r>
      <w:r w:rsidRPr="0071159C">
        <w:rPr>
          <w:rFonts w:ascii="Arial" w:hAnsi="Arial" w:cs="Arial"/>
          <w:bCs/>
          <w:sz w:val="24"/>
          <w:szCs w:val="24"/>
        </w:rPr>
        <w:t>Convención sobre la Eliminación de todas las Formas de Discriminación contra la Mujer</w:t>
      </w:r>
      <w:r w:rsidRPr="0071159C">
        <w:rPr>
          <w:rFonts w:ascii="Arial" w:hAnsi="Arial" w:cs="Arial"/>
          <w:sz w:val="24"/>
          <w:szCs w:val="24"/>
        </w:rPr>
        <w:t xml:space="preserve"> CEDAW, y la</w:t>
      </w:r>
      <w:r w:rsidRPr="0071159C">
        <w:rPr>
          <w:rFonts w:ascii="Arial" w:hAnsi="Arial" w:cs="Arial"/>
          <w:sz w:val="24"/>
          <w:szCs w:val="24"/>
          <w:shd w:val="clear" w:color="auto" w:fill="FFFFFF"/>
        </w:rPr>
        <w:t xml:space="preserve"> Convención Interamericana </w:t>
      </w:r>
      <w:r w:rsidRPr="0071159C">
        <w:rPr>
          <w:rFonts w:ascii="Arial" w:hAnsi="Arial" w:cs="Arial"/>
          <w:sz w:val="24"/>
          <w:szCs w:val="24"/>
          <w:shd w:val="clear" w:color="auto" w:fill="FFFFFF"/>
        </w:rPr>
        <w:lastRenderedPageBreak/>
        <w:t>para Prevenir, Sancionar y Erradicar la Violencia contra la Mujer, conocida como "Convención de Belém do Pará”.</w:t>
      </w:r>
    </w:p>
    <w:p w:rsidR="00EC1179" w:rsidRPr="0071159C" w:rsidRDefault="00EC1179" w:rsidP="0071159C">
      <w:pPr>
        <w:pStyle w:val="Sinespaciado"/>
        <w:spacing w:line="276" w:lineRule="auto"/>
        <w:jc w:val="both"/>
        <w:rPr>
          <w:rFonts w:ascii="Arial" w:hAnsi="Arial" w:cs="Arial"/>
          <w:sz w:val="24"/>
          <w:szCs w:val="24"/>
        </w:rPr>
      </w:pPr>
    </w:p>
    <w:p w:rsidR="00546046" w:rsidRPr="0071159C" w:rsidRDefault="00F37C48" w:rsidP="0071159C">
      <w:pPr>
        <w:pStyle w:val="Prrafodelista"/>
        <w:numPr>
          <w:ilvl w:val="1"/>
          <w:numId w:val="6"/>
        </w:numPr>
        <w:spacing w:after="0" w:line="276" w:lineRule="auto"/>
        <w:jc w:val="both"/>
        <w:rPr>
          <w:rFonts w:ascii="Arial" w:hAnsi="Arial" w:cs="Arial"/>
          <w:sz w:val="24"/>
          <w:szCs w:val="24"/>
        </w:rPr>
      </w:pPr>
      <w:r w:rsidRPr="0071159C">
        <w:rPr>
          <w:rFonts w:ascii="Arial" w:hAnsi="Arial" w:cs="Arial"/>
          <w:sz w:val="24"/>
          <w:szCs w:val="24"/>
        </w:rPr>
        <w:t>El Legislador desde 1996</w:t>
      </w:r>
      <w:r w:rsidR="00546046" w:rsidRPr="0071159C">
        <w:rPr>
          <w:rFonts w:ascii="Arial" w:hAnsi="Arial" w:cs="Arial"/>
          <w:sz w:val="24"/>
          <w:szCs w:val="24"/>
        </w:rPr>
        <w:t xml:space="preserve"> con la Ley 294</w:t>
      </w:r>
      <w:r w:rsidRPr="0071159C">
        <w:rPr>
          <w:rFonts w:ascii="Arial" w:hAnsi="Arial" w:cs="Arial"/>
          <w:sz w:val="24"/>
          <w:szCs w:val="24"/>
        </w:rPr>
        <w:t xml:space="preserve"> dispuso una acción judicial para enfrentar ese que se ha dado en denominar cáncer social</w:t>
      </w:r>
      <w:r w:rsidR="00546046" w:rsidRPr="0071159C">
        <w:rPr>
          <w:rFonts w:ascii="Arial" w:hAnsi="Arial" w:cs="Arial"/>
          <w:sz w:val="24"/>
          <w:szCs w:val="24"/>
        </w:rPr>
        <w:t>; antes de esta la protección de la violencia intrafamiliar se surtía por medio de la acción de tutela.</w:t>
      </w:r>
    </w:p>
    <w:p w:rsidR="00546046" w:rsidRPr="0071159C" w:rsidRDefault="00546046" w:rsidP="0071159C">
      <w:pPr>
        <w:spacing w:after="0" w:line="276" w:lineRule="auto"/>
        <w:jc w:val="both"/>
        <w:rPr>
          <w:rFonts w:ascii="Arial" w:hAnsi="Arial" w:cs="Arial"/>
          <w:sz w:val="24"/>
          <w:szCs w:val="24"/>
        </w:rPr>
      </w:pPr>
    </w:p>
    <w:p w:rsidR="00546046" w:rsidRPr="0071159C" w:rsidRDefault="00CC5578" w:rsidP="0071159C">
      <w:pPr>
        <w:pStyle w:val="Prrafodelista"/>
        <w:numPr>
          <w:ilvl w:val="1"/>
          <w:numId w:val="6"/>
        </w:numPr>
        <w:spacing w:after="0" w:line="276" w:lineRule="auto"/>
        <w:jc w:val="both"/>
        <w:rPr>
          <w:rFonts w:ascii="Arial" w:hAnsi="Arial" w:cs="Arial"/>
          <w:sz w:val="24"/>
          <w:szCs w:val="24"/>
        </w:rPr>
      </w:pPr>
      <w:r w:rsidRPr="0071159C">
        <w:rPr>
          <w:rFonts w:ascii="Arial" w:hAnsi="Arial" w:cs="Arial"/>
          <w:sz w:val="24"/>
          <w:szCs w:val="24"/>
        </w:rPr>
        <w:t xml:space="preserve">La </w:t>
      </w:r>
      <w:r w:rsidR="00546046" w:rsidRPr="0071159C">
        <w:rPr>
          <w:rFonts w:ascii="Arial" w:hAnsi="Arial" w:cs="Arial"/>
          <w:sz w:val="24"/>
          <w:szCs w:val="24"/>
        </w:rPr>
        <w:t>acción de protección</w:t>
      </w:r>
      <w:r w:rsidR="000F779C" w:rsidRPr="0071159C">
        <w:rPr>
          <w:rFonts w:ascii="Arial" w:hAnsi="Arial" w:cs="Arial"/>
          <w:sz w:val="24"/>
          <w:szCs w:val="24"/>
        </w:rPr>
        <w:t xml:space="preserve"> tiene una n</w:t>
      </w:r>
      <w:r w:rsidRPr="0071159C">
        <w:rPr>
          <w:rFonts w:ascii="Arial" w:hAnsi="Arial" w:cs="Arial"/>
          <w:sz w:val="24"/>
          <w:szCs w:val="24"/>
        </w:rPr>
        <w:t>aturaleza propia,</w:t>
      </w:r>
      <w:r w:rsidR="000F779C" w:rsidRPr="0071159C">
        <w:rPr>
          <w:rFonts w:ascii="Arial" w:hAnsi="Arial" w:cs="Arial"/>
          <w:sz w:val="24"/>
          <w:szCs w:val="24"/>
        </w:rPr>
        <w:t xml:space="preserve"> es </w:t>
      </w:r>
      <w:r w:rsidR="00546046" w:rsidRPr="0071159C">
        <w:rPr>
          <w:rFonts w:ascii="Arial" w:hAnsi="Arial" w:cs="Arial"/>
          <w:sz w:val="24"/>
          <w:szCs w:val="24"/>
        </w:rPr>
        <w:t>judicial</w:t>
      </w:r>
      <w:r w:rsidR="008D3400" w:rsidRPr="0071159C">
        <w:rPr>
          <w:rFonts w:ascii="Arial" w:hAnsi="Arial" w:cs="Arial"/>
          <w:sz w:val="24"/>
          <w:szCs w:val="24"/>
        </w:rPr>
        <w:t>, ti</w:t>
      </w:r>
      <w:r w:rsidRPr="0071159C">
        <w:rPr>
          <w:rFonts w:ascii="Arial" w:hAnsi="Arial" w:cs="Arial"/>
          <w:sz w:val="24"/>
          <w:szCs w:val="24"/>
        </w:rPr>
        <w:t>ene su propio procedimiento fijado por la ley. Pero hay más, es</w:t>
      </w:r>
      <w:r w:rsidR="00546046" w:rsidRPr="0071159C">
        <w:rPr>
          <w:rFonts w:ascii="Arial" w:hAnsi="Arial" w:cs="Arial"/>
          <w:sz w:val="24"/>
          <w:szCs w:val="24"/>
        </w:rPr>
        <w:t xml:space="preserve"> de linaje constitucional,</w:t>
      </w:r>
      <w:r w:rsidR="000F779C" w:rsidRPr="0071159C">
        <w:rPr>
          <w:rFonts w:ascii="Arial" w:hAnsi="Arial" w:cs="Arial"/>
          <w:sz w:val="24"/>
          <w:szCs w:val="24"/>
        </w:rPr>
        <w:t xml:space="preserve"> entre otras razones,</w:t>
      </w:r>
      <w:r w:rsidR="00546046" w:rsidRPr="0071159C">
        <w:rPr>
          <w:rFonts w:ascii="Arial" w:hAnsi="Arial" w:cs="Arial"/>
          <w:sz w:val="24"/>
          <w:szCs w:val="24"/>
        </w:rPr>
        <w:t xml:space="preserve"> por ser esencialmente tuitiva de derechos humanos -fundamentales-</w:t>
      </w:r>
      <w:r w:rsidRPr="0071159C">
        <w:rPr>
          <w:rFonts w:ascii="Arial" w:hAnsi="Arial" w:cs="Arial"/>
          <w:sz w:val="24"/>
          <w:szCs w:val="24"/>
        </w:rPr>
        <w:t>,</w:t>
      </w:r>
      <w:r w:rsidR="00546046" w:rsidRPr="0071159C">
        <w:rPr>
          <w:rFonts w:ascii="Arial" w:hAnsi="Arial" w:cs="Arial"/>
          <w:sz w:val="24"/>
          <w:szCs w:val="24"/>
        </w:rPr>
        <w:t xml:space="preserve"> </w:t>
      </w:r>
      <w:r w:rsidR="000F779C" w:rsidRPr="0071159C">
        <w:rPr>
          <w:rFonts w:ascii="Arial" w:hAnsi="Arial" w:cs="Arial"/>
          <w:sz w:val="24"/>
          <w:szCs w:val="24"/>
        </w:rPr>
        <w:t xml:space="preserve">por </w:t>
      </w:r>
      <w:r w:rsidR="00546046" w:rsidRPr="0071159C">
        <w:rPr>
          <w:rFonts w:ascii="Arial" w:hAnsi="Arial" w:cs="Arial"/>
          <w:sz w:val="24"/>
          <w:szCs w:val="24"/>
        </w:rPr>
        <w:t>tener remisión normat</w:t>
      </w:r>
      <w:r w:rsidRPr="0071159C">
        <w:rPr>
          <w:rFonts w:ascii="Arial" w:hAnsi="Arial" w:cs="Arial"/>
          <w:sz w:val="24"/>
          <w:szCs w:val="24"/>
        </w:rPr>
        <w:t xml:space="preserve">iva y procesal para adelantarse, </w:t>
      </w:r>
      <w:r w:rsidR="00546046" w:rsidRPr="0071159C">
        <w:rPr>
          <w:rFonts w:ascii="Arial" w:hAnsi="Arial" w:cs="Arial"/>
          <w:sz w:val="24"/>
          <w:szCs w:val="24"/>
        </w:rPr>
        <w:t>en cuanto no estuviere reglamentada</w:t>
      </w:r>
      <w:r w:rsidRPr="0071159C">
        <w:rPr>
          <w:rFonts w:ascii="Arial" w:hAnsi="Arial" w:cs="Arial"/>
          <w:sz w:val="24"/>
          <w:szCs w:val="24"/>
        </w:rPr>
        <w:t xml:space="preserve"> por otros dispositivos procesales,</w:t>
      </w:r>
      <w:r w:rsidR="00546046" w:rsidRPr="0071159C">
        <w:rPr>
          <w:rFonts w:ascii="Arial" w:hAnsi="Arial" w:cs="Arial"/>
          <w:sz w:val="24"/>
          <w:szCs w:val="24"/>
        </w:rPr>
        <w:t xml:space="preserve"> por los mismos lineamientos de la acción de tutela, con la que se emparenta íntimamente.</w:t>
      </w:r>
    </w:p>
    <w:p w:rsidR="00546046" w:rsidRPr="0071159C" w:rsidRDefault="00546046" w:rsidP="0071159C">
      <w:pPr>
        <w:spacing w:after="0" w:line="276" w:lineRule="auto"/>
        <w:jc w:val="both"/>
        <w:rPr>
          <w:rFonts w:ascii="Arial" w:hAnsi="Arial" w:cs="Arial"/>
          <w:sz w:val="24"/>
          <w:szCs w:val="24"/>
        </w:rPr>
      </w:pPr>
    </w:p>
    <w:p w:rsidR="00546046" w:rsidRPr="0071159C" w:rsidRDefault="00CC5578" w:rsidP="0071159C">
      <w:pPr>
        <w:pStyle w:val="Prrafodelista"/>
        <w:numPr>
          <w:ilvl w:val="1"/>
          <w:numId w:val="6"/>
        </w:numPr>
        <w:spacing w:after="0" w:line="276" w:lineRule="auto"/>
        <w:jc w:val="both"/>
        <w:rPr>
          <w:rFonts w:ascii="Arial" w:hAnsi="Arial" w:cs="Arial"/>
          <w:sz w:val="24"/>
          <w:szCs w:val="24"/>
        </w:rPr>
      </w:pPr>
      <w:r w:rsidRPr="0071159C">
        <w:rPr>
          <w:rFonts w:ascii="Arial" w:hAnsi="Arial" w:cs="Arial"/>
          <w:sz w:val="24"/>
          <w:szCs w:val="24"/>
        </w:rPr>
        <w:t>Haciendo un poco de historia, ha de recordarse que e</w:t>
      </w:r>
      <w:r w:rsidR="00546046" w:rsidRPr="0071159C">
        <w:rPr>
          <w:rFonts w:ascii="Arial" w:hAnsi="Arial" w:cs="Arial"/>
          <w:sz w:val="24"/>
          <w:szCs w:val="24"/>
        </w:rPr>
        <w:t xml:space="preserve">l proceso originalmente competencia del Juez de Familia, pasa a ser conocido por el Comisario de Familia por disposición de la Ley 575 de 2000, al que se le confiere la potestad de juzgamiento judicial para este efecto, por expresa autorización del art. 116 constitucional  </w:t>
      </w:r>
    </w:p>
    <w:p w:rsidR="00546046" w:rsidRPr="0071159C" w:rsidRDefault="00546046" w:rsidP="0071159C">
      <w:pPr>
        <w:spacing w:after="0" w:line="276" w:lineRule="auto"/>
        <w:jc w:val="both"/>
        <w:rPr>
          <w:rFonts w:ascii="Arial" w:hAnsi="Arial" w:cs="Arial"/>
          <w:sz w:val="24"/>
          <w:szCs w:val="24"/>
        </w:rPr>
      </w:pPr>
    </w:p>
    <w:p w:rsidR="009A34ED" w:rsidRPr="0071159C" w:rsidRDefault="00546046" w:rsidP="0071159C">
      <w:pPr>
        <w:pStyle w:val="Prrafodelista"/>
        <w:numPr>
          <w:ilvl w:val="1"/>
          <w:numId w:val="6"/>
        </w:numPr>
        <w:spacing w:after="0" w:line="276" w:lineRule="auto"/>
        <w:jc w:val="both"/>
        <w:rPr>
          <w:rFonts w:ascii="Arial" w:hAnsi="Arial" w:cs="Arial"/>
          <w:sz w:val="24"/>
          <w:szCs w:val="24"/>
        </w:rPr>
      </w:pPr>
      <w:r w:rsidRPr="0071159C">
        <w:rPr>
          <w:rFonts w:ascii="Arial" w:hAnsi="Arial" w:cs="Arial"/>
          <w:sz w:val="24"/>
          <w:szCs w:val="24"/>
        </w:rPr>
        <w:t xml:space="preserve">Hoy, las Leyes 294 de 1996, 575 de 2000 y 1257 de 2008, junto con sus Decretos Reglamentarios 652 de 2001 y 4799 de 2011, han dado cuerpo a un poderoso medio de intervención de la violencia intrafamiliar </w:t>
      </w:r>
      <w:r w:rsidR="00DD2C12" w:rsidRPr="0071159C">
        <w:rPr>
          <w:rFonts w:ascii="Arial" w:hAnsi="Arial" w:cs="Arial"/>
          <w:sz w:val="24"/>
          <w:szCs w:val="24"/>
        </w:rPr>
        <w:t>a través de un</w:t>
      </w:r>
      <w:r w:rsidRPr="0071159C">
        <w:rPr>
          <w:rFonts w:ascii="Arial" w:hAnsi="Arial" w:cs="Arial"/>
          <w:sz w:val="24"/>
          <w:szCs w:val="24"/>
        </w:rPr>
        <w:t xml:space="preserve"> funcionario administrativo con potes</w:t>
      </w:r>
      <w:r w:rsidR="009A34ED" w:rsidRPr="0071159C">
        <w:rPr>
          <w:rFonts w:ascii="Arial" w:hAnsi="Arial" w:cs="Arial"/>
          <w:sz w:val="24"/>
          <w:szCs w:val="24"/>
        </w:rPr>
        <w:t xml:space="preserve">tades judiciales para el efecto, cuyas decisiones son objeto de revisión por su superior funcional, el </w:t>
      </w:r>
      <w:r w:rsidR="007556AE" w:rsidRPr="0071159C">
        <w:rPr>
          <w:rFonts w:ascii="Arial" w:hAnsi="Arial" w:cs="Arial"/>
          <w:sz w:val="24"/>
          <w:szCs w:val="24"/>
        </w:rPr>
        <w:t>juez de f</w:t>
      </w:r>
      <w:r w:rsidR="009A34ED" w:rsidRPr="0071159C">
        <w:rPr>
          <w:rFonts w:ascii="Arial" w:hAnsi="Arial" w:cs="Arial"/>
          <w:sz w:val="24"/>
          <w:szCs w:val="24"/>
        </w:rPr>
        <w:t>amilia.</w:t>
      </w:r>
    </w:p>
    <w:p w:rsidR="009A34ED" w:rsidRPr="0071159C" w:rsidRDefault="009A34ED" w:rsidP="0071159C">
      <w:pPr>
        <w:spacing w:after="0" w:line="276" w:lineRule="auto"/>
        <w:jc w:val="both"/>
        <w:rPr>
          <w:rFonts w:ascii="Arial" w:hAnsi="Arial" w:cs="Arial"/>
          <w:sz w:val="24"/>
          <w:szCs w:val="24"/>
        </w:rPr>
      </w:pPr>
    </w:p>
    <w:p w:rsidR="00546046" w:rsidRPr="0071159C" w:rsidRDefault="009A34ED" w:rsidP="0071159C">
      <w:pPr>
        <w:pStyle w:val="Prrafodelista"/>
        <w:numPr>
          <w:ilvl w:val="1"/>
          <w:numId w:val="6"/>
        </w:numPr>
        <w:spacing w:after="0" w:line="276" w:lineRule="auto"/>
        <w:jc w:val="both"/>
        <w:rPr>
          <w:rFonts w:ascii="Arial" w:hAnsi="Arial" w:cs="Arial"/>
          <w:sz w:val="24"/>
          <w:szCs w:val="24"/>
        </w:rPr>
      </w:pPr>
      <w:r w:rsidRPr="0071159C">
        <w:rPr>
          <w:rFonts w:ascii="Arial" w:hAnsi="Arial" w:cs="Arial"/>
          <w:sz w:val="24"/>
          <w:szCs w:val="24"/>
        </w:rPr>
        <w:t>Después de todo ese esfuerzo orientado a superar la violación de derechos humanos de las mujeres y en general de las víctimas de la violencia doméstica</w:t>
      </w:r>
      <w:r w:rsidR="007556AE" w:rsidRPr="0071159C">
        <w:rPr>
          <w:rFonts w:ascii="Arial" w:hAnsi="Arial" w:cs="Arial"/>
          <w:sz w:val="24"/>
          <w:szCs w:val="24"/>
        </w:rPr>
        <w:t xml:space="preserve">, puede afirmarse que se cuenta </w:t>
      </w:r>
      <w:r w:rsidRPr="0071159C">
        <w:rPr>
          <w:rFonts w:ascii="Arial" w:hAnsi="Arial" w:cs="Arial"/>
          <w:sz w:val="24"/>
          <w:szCs w:val="24"/>
        </w:rPr>
        <w:t>con las herramientas jurídicas, imperfectas desde luego, pero no por ello menos poderosas,</w:t>
      </w:r>
      <w:r w:rsidR="007556AE" w:rsidRPr="0071159C">
        <w:rPr>
          <w:rFonts w:ascii="Arial" w:hAnsi="Arial" w:cs="Arial"/>
          <w:sz w:val="24"/>
          <w:szCs w:val="24"/>
        </w:rPr>
        <w:t xml:space="preserve"> por lo que corresponde a los </w:t>
      </w:r>
      <w:r w:rsidRPr="0071159C">
        <w:rPr>
          <w:rFonts w:ascii="Arial" w:hAnsi="Arial" w:cs="Arial"/>
          <w:sz w:val="24"/>
          <w:szCs w:val="24"/>
        </w:rPr>
        <w:t>operador hacer el uso adecua</w:t>
      </w:r>
      <w:r w:rsidR="00424E8B" w:rsidRPr="0071159C">
        <w:rPr>
          <w:rFonts w:ascii="Arial" w:hAnsi="Arial" w:cs="Arial"/>
          <w:sz w:val="24"/>
          <w:szCs w:val="24"/>
        </w:rPr>
        <w:t xml:space="preserve">do de </w:t>
      </w:r>
      <w:r w:rsidR="00846FD7" w:rsidRPr="0071159C">
        <w:rPr>
          <w:rFonts w:ascii="Arial" w:hAnsi="Arial" w:cs="Arial"/>
          <w:sz w:val="24"/>
          <w:szCs w:val="24"/>
        </w:rPr>
        <w:t>eso</w:t>
      </w:r>
      <w:r w:rsidR="00043293" w:rsidRPr="0071159C">
        <w:rPr>
          <w:rFonts w:ascii="Arial" w:hAnsi="Arial" w:cs="Arial"/>
          <w:sz w:val="24"/>
          <w:szCs w:val="24"/>
        </w:rPr>
        <w:t>s medios</w:t>
      </w:r>
      <w:r w:rsidR="00846FD7" w:rsidRPr="0071159C">
        <w:rPr>
          <w:rFonts w:ascii="Arial" w:hAnsi="Arial" w:cs="Arial"/>
          <w:sz w:val="24"/>
          <w:szCs w:val="24"/>
        </w:rPr>
        <w:t xml:space="preserve"> </w:t>
      </w:r>
      <w:r w:rsidR="00043293" w:rsidRPr="0071159C">
        <w:rPr>
          <w:rFonts w:ascii="Arial" w:hAnsi="Arial" w:cs="Arial"/>
          <w:sz w:val="24"/>
          <w:szCs w:val="24"/>
        </w:rPr>
        <w:t>y</w:t>
      </w:r>
      <w:r w:rsidR="00424E8B" w:rsidRPr="0071159C">
        <w:rPr>
          <w:rFonts w:ascii="Arial" w:hAnsi="Arial" w:cs="Arial"/>
          <w:sz w:val="24"/>
          <w:szCs w:val="24"/>
        </w:rPr>
        <w:t xml:space="preserve"> no con</w:t>
      </w:r>
      <w:r w:rsidR="00043293" w:rsidRPr="0071159C">
        <w:rPr>
          <w:rFonts w:ascii="Arial" w:hAnsi="Arial" w:cs="Arial"/>
          <w:sz w:val="24"/>
          <w:szCs w:val="24"/>
        </w:rPr>
        <w:t xml:space="preserve">stituirse en factor </w:t>
      </w:r>
      <w:r w:rsidR="00424E8B" w:rsidRPr="0071159C">
        <w:rPr>
          <w:rFonts w:ascii="Arial" w:hAnsi="Arial" w:cs="Arial"/>
          <w:sz w:val="24"/>
          <w:szCs w:val="24"/>
        </w:rPr>
        <w:t>de discriminación y de vulneración de los derechos de las personas maltratadas y violentadas.</w:t>
      </w:r>
    </w:p>
    <w:p w:rsidR="009A34ED" w:rsidRPr="0071159C" w:rsidRDefault="009A34ED" w:rsidP="0071159C">
      <w:pPr>
        <w:spacing w:after="0" w:line="276" w:lineRule="auto"/>
        <w:jc w:val="both"/>
        <w:rPr>
          <w:rFonts w:ascii="Arial" w:hAnsi="Arial" w:cs="Arial"/>
          <w:sz w:val="24"/>
          <w:szCs w:val="24"/>
        </w:rPr>
      </w:pPr>
    </w:p>
    <w:p w:rsidR="00424E8B" w:rsidRPr="0071159C" w:rsidRDefault="00846FD7" w:rsidP="0071159C">
      <w:pPr>
        <w:pStyle w:val="Prrafodelista"/>
        <w:numPr>
          <w:ilvl w:val="1"/>
          <w:numId w:val="6"/>
        </w:numPr>
        <w:shd w:val="clear" w:color="auto" w:fill="FFFFFF"/>
        <w:spacing w:line="276" w:lineRule="auto"/>
        <w:jc w:val="both"/>
        <w:textAlignment w:val="baseline"/>
        <w:rPr>
          <w:rFonts w:ascii="Arial" w:eastAsia="Times New Roman" w:hAnsi="Arial" w:cs="Arial"/>
          <w:sz w:val="24"/>
          <w:szCs w:val="24"/>
          <w:lang w:eastAsia="es-CO"/>
        </w:rPr>
      </w:pPr>
      <w:r w:rsidRPr="0071159C">
        <w:rPr>
          <w:rFonts w:ascii="Arial" w:hAnsi="Arial" w:cs="Arial"/>
          <w:sz w:val="24"/>
          <w:szCs w:val="24"/>
        </w:rPr>
        <w:t>La</w:t>
      </w:r>
      <w:r w:rsidR="009A34ED" w:rsidRPr="0071159C">
        <w:rPr>
          <w:rFonts w:ascii="Arial" w:hAnsi="Arial" w:cs="Arial"/>
          <w:sz w:val="24"/>
          <w:szCs w:val="24"/>
        </w:rPr>
        <w:t xml:space="preserve"> Corte Constitucional </w:t>
      </w:r>
      <w:r w:rsidR="00424E8B" w:rsidRPr="0071159C">
        <w:rPr>
          <w:rFonts w:ascii="Arial" w:hAnsi="Arial" w:cs="Arial"/>
          <w:sz w:val="24"/>
          <w:szCs w:val="24"/>
        </w:rPr>
        <w:t xml:space="preserve">ha </w:t>
      </w:r>
      <w:r w:rsidRPr="0071159C">
        <w:rPr>
          <w:rFonts w:ascii="Arial" w:hAnsi="Arial" w:cs="Arial"/>
          <w:sz w:val="24"/>
          <w:szCs w:val="24"/>
        </w:rPr>
        <w:t>fijado pautas respecto al enfoque de género como obligación de la administración de justicia en las decisiones  relacionadas con derechos de las mujeres y</w:t>
      </w:r>
      <w:r w:rsidR="00DD2C12" w:rsidRPr="0071159C">
        <w:rPr>
          <w:rFonts w:ascii="Arial" w:hAnsi="Arial" w:cs="Arial"/>
          <w:sz w:val="24"/>
          <w:szCs w:val="24"/>
        </w:rPr>
        <w:t>,</w:t>
      </w:r>
      <w:r w:rsidRPr="0071159C">
        <w:rPr>
          <w:rFonts w:ascii="Arial" w:hAnsi="Arial" w:cs="Arial"/>
          <w:sz w:val="24"/>
          <w:szCs w:val="24"/>
        </w:rPr>
        <w:t xml:space="preserve"> en especial</w:t>
      </w:r>
      <w:r w:rsidR="00DD2C12" w:rsidRPr="0071159C">
        <w:rPr>
          <w:rFonts w:ascii="Arial" w:hAnsi="Arial" w:cs="Arial"/>
          <w:sz w:val="24"/>
          <w:szCs w:val="24"/>
        </w:rPr>
        <w:t>,</w:t>
      </w:r>
      <w:r w:rsidRPr="0071159C">
        <w:rPr>
          <w:rFonts w:ascii="Arial" w:hAnsi="Arial" w:cs="Arial"/>
          <w:sz w:val="24"/>
          <w:szCs w:val="24"/>
        </w:rPr>
        <w:t xml:space="preserve"> cuando de violencia contra las </w:t>
      </w:r>
      <w:r w:rsidR="001E3E5D" w:rsidRPr="0071159C">
        <w:rPr>
          <w:rFonts w:ascii="Arial" w:hAnsi="Arial" w:cs="Arial"/>
          <w:sz w:val="24"/>
          <w:szCs w:val="24"/>
        </w:rPr>
        <w:t xml:space="preserve">mujeres </w:t>
      </w:r>
      <w:r w:rsidRPr="0071159C">
        <w:rPr>
          <w:rFonts w:ascii="Arial" w:hAnsi="Arial" w:cs="Arial"/>
          <w:sz w:val="24"/>
          <w:szCs w:val="24"/>
        </w:rPr>
        <w:t>se trata</w:t>
      </w:r>
      <w:r w:rsidR="00DD2C12" w:rsidRPr="0071159C">
        <w:rPr>
          <w:rFonts w:ascii="Arial" w:hAnsi="Arial" w:cs="Arial"/>
          <w:sz w:val="24"/>
          <w:szCs w:val="24"/>
        </w:rPr>
        <w:t>. En la</w:t>
      </w:r>
      <w:r w:rsidRPr="0071159C">
        <w:rPr>
          <w:rFonts w:ascii="Arial" w:hAnsi="Arial" w:cs="Arial"/>
          <w:sz w:val="24"/>
          <w:szCs w:val="24"/>
        </w:rPr>
        <w:t xml:space="preserve"> sentencia T-012 de 2016 </w:t>
      </w:r>
      <w:r w:rsidRPr="0071159C">
        <w:rPr>
          <w:rFonts w:ascii="Arial" w:hAnsi="Arial" w:cs="Arial"/>
          <w:sz w:val="24"/>
          <w:szCs w:val="24"/>
        </w:rPr>
        <w:lastRenderedPageBreak/>
        <w:t>hace un abordaje puntual, dejando claro que la doctrina internacional y constitucional ha desarrollado esas pautas</w:t>
      </w:r>
      <w:r w:rsidR="009F3AA9" w:rsidRPr="0071159C">
        <w:rPr>
          <w:rFonts w:ascii="Arial" w:hAnsi="Arial" w:cs="Arial"/>
          <w:sz w:val="24"/>
          <w:szCs w:val="24"/>
        </w:rPr>
        <w:t xml:space="preserve">, para lo cual incorpora </w:t>
      </w:r>
      <w:r w:rsidR="00FE736D" w:rsidRPr="0071159C">
        <w:rPr>
          <w:rFonts w:ascii="Arial" w:hAnsi="Arial" w:cs="Arial"/>
          <w:sz w:val="24"/>
          <w:szCs w:val="24"/>
        </w:rPr>
        <w:t xml:space="preserve"> acciones y medidas de protección especial, que dada su pertinencia me permito traer un aparte: </w:t>
      </w:r>
      <w:r w:rsidR="00424E8B" w:rsidRPr="0071159C">
        <w:rPr>
          <w:rFonts w:ascii="Arial" w:eastAsia="Times New Roman" w:hAnsi="Arial" w:cs="Arial"/>
          <w:sz w:val="24"/>
          <w:szCs w:val="24"/>
          <w:lang w:eastAsia="es-CO"/>
        </w:rPr>
        <w:t> </w:t>
      </w:r>
    </w:p>
    <w:p w:rsidR="000F779C" w:rsidRPr="00FD1038" w:rsidRDefault="00043293" w:rsidP="00FD1038">
      <w:pPr>
        <w:shd w:val="clear" w:color="auto" w:fill="FFFFFF"/>
        <w:spacing w:after="0" w:line="276" w:lineRule="auto"/>
        <w:ind w:left="708"/>
        <w:jc w:val="both"/>
        <w:textAlignment w:val="baseline"/>
        <w:rPr>
          <w:rFonts w:ascii="Arial" w:eastAsia="Times New Roman" w:hAnsi="Arial" w:cs="Arial"/>
          <w:lang w:eastAsia="es-CO"/>
        </w:rPr>
      </w:pPr>
      <w:r w:rsidRPr="00FD1038">
        <w:rPr>
          <w:rFonts w:ascii="Arial" w:eastAsia="Times New Roman" w:hAnsi="Arial" w:cs="Arial"/>
          <w:lang w:eastAsia="es-CO"/>
        </w:rPr>
        <w:t>“[</w:t>
      </w:r>
      <w:r w:rsidR="00424E8B" w:rsidRPr="00FD1038">
        <w:rPr>
          <w:rFonts w:ascii="Arial" w:eastAsia="Times New Roman" w:hAnsi="Arial" w:cs="Arial"/>
          <w:i/>
          <w:lang w:eastAsia="es-CO"/>
        </w:rPr>
        <w:t>e</w:t>
      </w:r>
      <w:r w:rsidRPr="00FD1038">
        <w:rPr>
          <w:rFonts w:ascii="Arial" w:eastAsia="Times New Roman" w:hAnsi="Arial" w:cs="Arial"/>
          <w:i/>
          <w:lang w:eastAsia="es-CO"/>
        </w:rPr>
        <w:t>]</w:t>
      </w:r>
      <w:proofErr w:type="spellStart"/>
      <w:r w:rsidR="00424E8B" w:rsidRPr="00FD1038">
        <w:rPr>
          <w:rFonts w:ascii="Arial" w:eastAsia="Times New Roman" w:hAnsi="Arial" w:cs="Arial"/>
          <w:i/>
          <w:lang w:eastAsia="es-CO"/>
        </w:rPr>
        <w:t>xiste</w:t>
      </w:r>
      <w:proofErr w:type="spellEnd"/>
      <w:r w:rsidR="00424E8B" w:rsidRPr="00FD1038">
        <w:rPr>
          <w:rFonts w:ascii="Arial" w:eastAsia="Times New Roman" w:hAnsi="Arial" w:cs="Arial"/>
          <w:i/>
          <w:lang w:eastAsia="es-CO"/>
        </w:rPr>
        <w:t xml:space="preserve"> un deber constitucional de los operadores judiciales cuando se enfrenten con casos de estas características. Ya se ha dicho cómo el Estado colombiano, en su conjunto, incluidos los jueces, están en la obligación de eliminar cualquier forma de discriminación en contra de la mujer. Por esa razón, entonces, es obligatorio para los jueces incorporar criterios de género al solucionar sus casos. En consecuencia, cuando menos, deben: (i) desplegar toda actividad investigativa en aras de garantizar los derechos en disputa y la dignidad de las mujeres; (ii) </w:t>
      </w:r>
      <w:r w:rsidR="00424E8B" w:rsidRPr="00FD1038">
        <w:rPr>
          <w:rFonts w:ascii="Arial" w:eastAsia="Times New Roman" w:hAnsi="Arial" w:cs="Arial"/>
          <w:b/>
          <w:i/>
          <w:u w:val="single"/>
          <w:lang w:eastAsia="es-CO"/>
        </w:rPr>
        <w:t>analizar los hechos, las pruebas y las normas con base en interpretaciones sistemáticas de la realidad, de manera que en ese ejercicio hermenéutico se reconozca que las mujeres han sido un grupo tradicionalmente discriminado y como tal, se justifica un trato diferencial</w:t>
      </w:r>
      <w:r w:rsidR="00424E8B" w:rsidRPr="00FD1038">
        <w:rPr>
          <w:rFonts w:ascii="Arial" w:eastAsia="Times New Roman" w:hAnsi="Arial" w:cs="Arial"/>
          <w:b/>
          <w:i/>
          <w:lang w:eastAsia="es-CO"/>
        </w:rPr>
        <w:t>;</w:t>
      </w:r>
      <w:r w:rsidR="00424E8B" w:rsidRPr="00FD1038">
        <w:rPr>
          <w:rFonts w:ascii="Arial" w:eastAsia="Times New Roman" w:hAnsi="Arial" w:cs="Arial"/>
          <w:i/>
          <w:lang w:eastAsia="es-CO"/>
        </w:rPr>
        <w:t xml:space="preserve"> (iii) no tomar decisiones con base en estereotipos de género; (iv) evitar la revictimización de la mujer a la hora de cumplir con sus funciones; reconocer las diferencias entre hombres y mujeres; (v) </w:t>
      </w:r>
      <w:r w:rsidR="00424E8B" w:rsidRPr="00FD1038">
        <w:rPr>
          <w:rFonts w:ascii="Arial" w:eastAsia="Times New Roman" w:hAnsi="Arial" w:cs="Arial"/>
          <w:b/>
          <w:i/>
          <w:u w:val="single"/>
          <w:lang w:eastAsia="es-CO"/>
        </w:rPr>
        <w:t>flexibilizar la carga probatoria en casos de violencia o discriminación, privilegiando los indicios sobre las pruebas directas, cuando estas últimas resulten insuficientes</w:t>
      </w:r>
      <w:r w:rsidR="00424E8B" w:rsidRPr="00FD1038">
        <w:rPr>
          <w:rFonts w:ascii="Arial" w:eastAsia="Times New Roman" w:hAnsi="Arial" w:cs="Arial"/>
          <w:i/>
          <w:lang w:eastAsia="es-CO"/>
        </w:rPr>
        <w:t xml:space="preserve">; (vi) considerar el rol transformador o perpetuador de las decisiones judiciales; (vii) </w:t>
      </w:r>
      <w:r w:rsidR="00424E8B" w:rsidRPr="00FD1038">
        <w:rPr>
          <w:rFonts w:ascii="Arial" w:eastAsia="Times New Roman" w:hAnsi="Arial" w:cs="Arial"/>
          <w:b/>
          <w:i/>
          <w:u w:val="single"/>
          <w:lang w:eastAsia="es-CO"/>
        </w:rPr>
        <w:t>efectuar un análisis rígido sobre las actuaciones de quien presuntamente comete la violencia</w:t>
      </w:r>
      <w:r w:rsidR="00424E8B" w:rsidRPr="00FD1038">
        <w:rPr>
          <w:rFonts w:ascii="Arial" w:eastAsia="Times New Roman" w:hAnsi="Arial" w:cs="Arial"/>
          <w:i/>
          <w:lang w:eastAsia="es-CO"/>
        </w:rPr>
        <w:t>; (viii) evaluar las posibilidades y recursos reales de acceso a trámites judiciales; (ix) analizar las relaciones de poder que afectan la dignidad y autonomía de las mujeres</w:t>
      </w:r>
      <w:r w:rsidR="00424E8B" w:rsidRPr="00FD1038">
        <w:rPr>
          <w:rFonts w:ascii="Arial" w:eastAsia="Times New Roman" w:hAnsi="Arial" w:cs="Arial"/>
          <w:lang w:eastAsia="es-CO"/>
        </w:rPr>
        <w:t>.</w:t>
      </w:r>
      <w:r w:rsidR="00FE736D" w:rsidRPr="00FD1038">
        <w:rPr>
          <w:rFonts w:ascii="Arial" w:eastAsia="Times New Roman" w:hAnsi="Arial" w:cs="Arial"/>
          <w:lang w:eastAsia="es-CO"/>
        </w:rPr>
        <w:t>”</w:t>
      </w:r>
      <w:r w:rsidR="000F779C" w:rsidRPr="00FD1038">
        <w:rPr>
          <w:rFonts w:ascii="Arial" w:eastAsia="Times New Roman" w:hAnsi="Arial" w:cs="Arial"/>
          <w:lang w:eastAsia="es-CO"/>
        </w:rPr>
        <w:t xml:space="preserve"> (</w:t>
      </w:r>
      <w:proofErr w:type="gramStart"/>
      <w:r w:rsidR="000F779C" w:rsidRPr="00FD1038">
        <w:rPr>
          <w:rFonts w:ascii="Arial" w:eastAsia="Times New Roman" w:hAnsi="Arial" w:cs="Arial"/>
          <w:lang w:eastAsia="es-CO"/>
        </w:rPr>
        <w:t>subrayas</w:t>
      </w:r>
      <w:proofErr w:type="gramEnd"/>
      <w:r w:rsidR="000F779C" w:rsidRPr="00FD1038">
        <w:rPr>
          <w:rFonts w:ascii="Arial" w:eastAsia="Times New Roman" w:hAnsi="Arial" w:cs="Arial"/>
          <w:lang w:eastAsia="es-CO"/>
        </w:rPr>
        <w:t xml:space="preserve"> fuera del texto)</w:t>
      </w:r>
    </w:p>
    <w:p w:rsidR="008D3400" w:rsidRPr="0071159C" w:rsidRDefault="000F779C" w:rsidP="0071159C">
      <w:pPr>
        <w:pStyle w:val="Prrafodelista"/>
        <w:numPr>
          <w:ilvl w:val="1"/>
          <w:numId w:val="6"/>
        </w:numPr>
        <w:spacing w:before="100" w:beforeAutospacing="1" w:after="100" w:afterAutospacing="1" w:line="276" w:lineRule="auto"/>
        <w:jc w:val="both"/>
        <w:rPr>
          <w:rFonts w:ascii="Arial" w:eastAsia="Times New Roman" w:hAnsi="Arial" w:cs="Arial"/>
          <w:i/>
          <w:sz w:val="24"/>
          <w:szCs w:val="24"/>
          <w:lang w:eastAsia="es-CO"/>
        </w:rPr>
      </w:pPr>
      <w:r w:rsidRPr="0071159C">
        <w:rPr>
          <w:rFonts w:ascii="Arial" w:eastAsia="Times New Roman" w:hAnsi="Arial" w:cs="Arial"/>
          <w:bCs/>
          <w:sz w:val="24"/>
          <w:szCs w:val="24"/>
          <w:bdr w:val="none" w:sz="0" w:space="0" w:color="auto" w:frame="1"/>
          <w:lang w:eastAsia="es-CO"/>
        </w:rPr>
        <w:t>Como se ve, es prolija y coherente</w:t>
      </w:r>
      <w:r w:rsidRPr="0071159C">
        <w:rPr>
          <w:rFonts w:ascii="Arial" w:eastAsia="Times New Roman" w:hAnsi="Arial" w:cs="Arial"/>
          <w:b/>
          <w:bCs/>
          <w:sz w:val="24"/>
          <w:szCs w:val="24"/>
          <w:bdr w:val="none" w:sz="0" w:space="0" w:color="auto" w:frame="1"/>
          <w:lang w:eastAsia="es-CO"/>
        </w:rPr>
        <w:t xml:space="preserve"> </w:t>
      </w:r>
      <w:r w:rsidR="001C07CA" w:rsidRPr="0071159C">
        <w:rPr>
          <w:rFonts w:ascii="Arial" w:eastAsia="Times New Roman" w:hAnsi="Arial" w:cs="Arial"/>
          <w:bCs/>
          <w:sz w:val="24"/>
          <w:szCs w:val="24"/>
          <w:bdr w:val="none" w:sz="0" w:space="0" w:color="auto" w:frame="1"/>
          <w:lang w:eastAsia="es-CO"/>
        </w:rPr>
        <w:t>esa conjunción</w:t>
      </w:r>
      <w:r w:rsidRPr="0071159C">
        <w:rPr>
          <w:rFonts w:ascii="Arial" w:eastAsia="Times New Roman" w:hAnsi="Arial" w:cs="Arial"/>
          <w:bCs/>
          <w:sz w:val="24"/>
          <w:szCs w:val="24"/>
          <w:bdr w:val="none" w:sz="0" w:space="0" w:color="auto" w:frame="1"/>
          <w:lang w:eastAsia="es-CO"/>
        </w:rPr>
        <w:t xml:space="preserve"> jurídica (normativa y doctrinal), la que deberá ser observada y aplicada por los juzgadores en las s</w:t>
      </w:r>
      <w:r w:rsidR="00B91128" w:rsidRPr="0071159C">
        <w:rPr>
          <w:rFonts w:ascii="Arial" w:eastAsia="Times New Roman" w:hAnsi="Arial" w:cs="Arial"/>
          <w:bCs/>
          <w:sz w:val="24"/>
          <w:szCs w:val="24"/>
          <w:bdr w:val="none" w:sz="0" w:space="0" w:color="auto" w:frame="1"/>
          <w:lang w:eastAsia="es-CO"/>
        </w:rPr>
        <w:t>ituaciones claramente descritas, a la que se suma lo dispuesto en sentencia T-241 de 2016, en cuya parte resolutiva impone a los juzgadores de la viole</w:t>
      </w:r>
      <w:r w:rsidR="005B151D" w:rsidRPr="0071159C">
        <w:rPr>
          <w:rFonts w:ascii="Arial" w:eastAsia="Times New Roman" w:hAnsi="Arial" w:cs="Arial"/>
          <w:bCs/>
          <w:sz w:val="24"/>
          <w:szCs w:val="24"/>
          <w:bdr w:val="none" w:sz="0" w:space="0" w:color="auto" w:frame="1"/>
          <w:lang w:eastAsia="es-CO"/>
        </w:rPr>
        <w:t>ncia intrafamiliar, la obligación d</w:t>
      </w:r>
      <w:r w:rsidR="00B91128" w:rsidRPr="0071159C">
        <w:rPr>
          <w:rFonts w:ascii="Arial" w:eastAsia="Times New Roman" w:hAnsi="Arial" w:cs="Arial"/>
          <w:bCs/>
          <w:sz w:val="24"/>
          <w:szCs w:val="24"/>
          <w:bdr w:val="none" w:sz="0" w:space="0" w:color="auto" w:frame="1"/>
          <w:lang w:eastAsia="es-CO"/>
        </w:rPr>
        <w:t>e</w:t>
      </w:r>
      <w:r w:rsidR="005B151D" w:rsidRPr="0071159C">
        <w:rPr>
          <w:rFonts w:ascii="Arial" w:eastAsia="Times New Roman" w:hAnsi="Arial" w:cs="Arial"/>
          <w:bCs/>
          <w:sz w:val="24"/>
          <w:szCs w:val="24"/>
          <w:bdr w:val="none" w:sz="0" w:space="0" w:color="auto" w:frame="1"/>
          <w:lang w:eastAsia="es-CO"/>
        </w:rPr>
        <w:t xml:space="preserve"> </w:t>
      </w:r>
      <w:r w:rsidR="00B91128" w:rsidRPr="0071159C">
        <w:rPr>
          <w:rFonts w:ascii="Arial" w:eastAsia="Times New Roman" w:hAnsi="Arial" w:cs="Arial"/>
          <w:bCs/>
          <w:sz w:val="24"/>
          <w:szCs w:val="24"/>
          <w:bdr w:val="none" w:sz="0" w:space="0" w:color="auto" w:frame="1"/>
          <w:lang w:eastAsia="es-CO"/>
        </w:rPr>
        <w:t>incursionar en modelo de justicia</w:t>
      </w:r>
      <w:r w:rsidR="005B151D" w:rsidRPr="0071159C">
        <w:rPr>
          <w:rFonts w:ascii="Arial" w:eastAsia="Times New Roman" w:hAnsi="Arial" w:cs="Arial"/>
          <w:bCs/>
          <w:sz w:val="24"/>
          <w:szCs w:val="24"/>
          <w:bdr w:val="none" w:sz="0" w:space="0" w:color="auto" w:frame="1"/>
          <w:lang w:eastAsia="es-CO"/>
        </w:rPr>
        <w:t xml:space="preserve"> incluyente, por lo que en el ordinal tercero ordena:</w:t>
      </w:r>
      <w:r w:rsidR="008D3400" w:rsidRPr="0071159C">
        <w:rPr>
          <w:rFonts w:ascii="Arial" w:eastAsia="Times New Roman" w:hAnsi="Arial" w:cs="Arial"/>
          <w:bCs/>
          <w:sz w:val="24"/>
          <w:szCs w:val="24"/>
          <w:bdr w:val="none" w:sz="0" w:space="0" w:color="auto" w:frame="1"/>
          <w:lang w:eastAsia="es-CO"/>
        </w:rPr>
        <w:t xml:space="preserve"> </w:t>
      </w:r>
      <w:r w:rsidR="008D3400" w:rsidRPr="0071159C">
        <w:rPr>
          <w:rFonts w:ascii="Arial" w:eastAsia="Times New Roman" w:hAnsi="Arial" w:cs="Arial"/>
          <w:bCs/>
          <w:i/>
          <w:sz w:val="24"/>
          <w:szCs w:val="24"/>
          <w:bdr w:val="none" w:sz="0" w:space="0" w:color="auto" w:frame="1"/>
          <w:lang w:eastAsia="es-CO"/>
        </w:rPr>
        <w:t>“</w:t>
      </w:r>
      <w:r w:rsidR="008D3400" w:rsidRPr="0071159C">
        <w:rPr>
          <w:rFonts w:ascii="Arial" w:eastAsia="Times New Roman" w:hAnsi="Arial" w:cs="Arial"/>
          <w:b/>
          <w:bCs/>
          <w:i/>
          <w:sz w:val="24"/>
          <w:szCs w:val="24"/>
          <w:lang w:val="es-MX" w:eastAsia="es-CO"/>
        </w:rPr>
        <w:t xml:space="preserve">PREVENIR </w:t>
      </w:r>
      <w:r w:rsidR="008D3400" w:rsidRPr="0071159C">
        <w:rPr>
          <w:rFonts w:ascii="Arial" w:eastAsia="Times New Roman" w:hAnsi="Arial" w:cs="Arial"/>
          <w:i/>
          <w:sz w:val="24"/>
          <w:szCs w:val="24"/>
          <w:lang w:val="es-ES_tradnl" w:eastAsia="es-CO"/>
        </w:rPr>
        <w:t>a los Comisarios de familia, a los Jueces Civiles o Promiscuos Municipales y a los Jueces de Control de Garantías que deberán ceñir sus actuaciones en casos similares de violencia familiar de manera estricta a la Ley 294 de 1996, modificada por la Ley 575 de 2000, y a la Ley 1257 de 2008, con un enfoque de género.”</w:t>
      </w:r>
    </w:p>
    <w:p w:rsidR="00507A59" w:rsidRPr="0071159C" w:rsidRDefault="00507A59" w:rsidP="0071159C">
      <w:pPr>
        <w:pStyle w:val="Prrafodelista"/>
        <w:spacing w:before="100" w:beforeAutospacing="1" w:after="100" w:afterAutospacing="1" w:line="276" w:lineRule="auto"/>
        <w:jc w:val="both"/>
        <w:rPr>
          <w:rFonts w:ascii="Arial" w:eastAsia="Times New Roman" w:hAnsi="Arial" w:cs="Arial"/>
          <w:i/>
          <w:sz w:val="24"/>
          <w:szCs w:val="24"/>
          <w:lang w:eastAsia="es-CO"/>
        </w:rPr>
      </w:pPr>
    </w:p>
    <w:p w:rsidR="00507A59" w:rsidRPr="0071159C" w:rsidRDefault="00FE736D" w:rsidP="0071159C">
      <w:pPr>
        <w:pStyle w:val="Prrafodelista"/>
        <w:numPr>
          <w:ilvl w:val="0"/>
          <w:numId w:val="6"/>
        </w:numPr>
        <w:spacing w:after="0" w:line="276" w:lineRule="auto"/>
        <w:jc w:val="both"/>
        <w:rPr>
          <w:rFonts w:ascii="Arial" w:hAnsi="Arial" w:cs="Arial"/>
          <w:b/>
          <w:sz w:val="24"/>
          <w:szCs w:val="24"/>
        </w:rPr>
      </w:pPr>
      <w:r w:rsidRPr="0071159C">
        <w:rPr>
          <w:rFonts w:ascii="Arial" w:hAnsi="Arial" w:cs="Arial"/>
          <w:b/>
          <w:sz w:val="24"/>
          <w:szCs w:val="24"/>
        </w:rPr>
        <w:t>Del caso en particular</w:t>
      </w:r>
    </w:p>
    <w:p w:rsidR="00507A59" w:rsidRPr="0071159C" w:rsidRDefault="00507A59" w:rsidP="0071159C">
      <w:pPr>
        <w:spacing w:after="0" w:line="276" w:lineRule="auto"/>
        <w:jc w:val="both"/>
        <w:rPr>
          <w:rFonts w:ascii="Arial" w:eastAsia="Times New Roman" w:hAnsi="Arial" w:cs="Arial"/>
          <w:sz w:val="24"/>
          <w:szCs w:val="24"/>
          <w:lang w:eastAsia="es-CO"/>
        </w:rPr>
      </w:pPr>
    </w:p>
    <w:p w:rsidR="00507A59" w:rsidRPr="0071159C" w:rsidRDefault="006D1382" w:rsidP="0071159C">
      <w:pPr>
        <w:pStyle w:val="Prrafodelista"/>
        <w:numPr>
          <w:ilvl w:val="1"/>
          <w:numId w:val="6"/>
        </w:numPr>
        <w:shd w:val="clear" w:color="auto" w:fill="FFFFFF"/>
        <w:spacing w:after="0" w:line="276" w:lineRule="auto"/>
        <w:jc w:val="both"/>
        <w:rPr>
          <w:rFonts w:ascii="Arial" w:eastAsia="Times New Roman" w:hAnsi="Arial" w:cs="Arial"/>
          <w:sz w:val="24"/>
          <w:szCs w:val="24"/>
          <w:lang w:eastAsia="es-CO"/>
        </w:rPr>
      </w:pPr>
      <w:r w:rsidRPr="0071159C">
        <w:rPr>
          <w:rFonts w:ascii="Arial" w:eastAsia="Times New Roman" w:hAnsi="Arial" w:cs="Arial"/>
          <w:sz w:val="24"/>
          <w:szCs w:val="24"/>
          <w:lang w:eastAsia="es-CO"/>
        </w:rPr>
        <w:t xml:space="preserve">Constituye la materia de estudio </w:t>
      </w:r>
      <w:r w:rsidR="00FE736D" w:rsidRPr="0071159C">
        <w:rPr>
          <w:rFonts w:ascii="Arial" w:eastAsia="Times New Roman" w:hAnsi="Arial" w:cs="Arial"/>
          <w:sz w:val="24"/>
          <w:szCs w:val="24"/>
          <w:lang w:eastAsia="es-CO"/>
        </w:rPr>
        <w:t>las decisiones</w:t>
      </w:r>
      <w:r w:rsidRPr="0071159C">
        <w:rPr>
          <w:rFonts w:ascii="Arial" w:eastAsia="Times New Roman" w:hAnsi="Arial" w:cs="Arial"/>
          <w:sz w:val="24"/>
          <w:szCs w:val="24"/>
          <w:lang w:eastAsia="es-CO"/>
        </w:rPr>
        <w:t xml:space="preserve"> judiciales</w:t>
      </w:r>
      <w:r w:rsidR="00FE736D" w:rsidRPr="0071159C">
        <w:rPr>
          <w:rFonts w:ascii="Arial" w:eastAsia="Times New Roman" w:hAnsi="Arial" w:cs="Arial"/>
          <w:sz w:val="24"/>
          <w:szCs w:val="24"/>
          <w:lang w:eastAsia="es-CO"/>
        </w:rPr>
        <w:t xml:space="preserve">, en su orden: i) la de la Comisaría de Familia de </w:t>
      </w:r>
      <w:r w:rsidR="0016035D" w:rsidRPr="0071159C">
        <w:rPr>
          <w:rFonts w:ascii="Arial" w:eastAsia="Times New Roman" w:hAnsi="Arial" w:cs="Arial"/>
          <w:sz w:val="24"/>
          <w:szCs w:val="24"/>
          <w:lang w:eastAsia="es-CO"/>
        </w:rPr>
        <w:t>Cajicá</w:t>
      </w:r>
      <w:r w:rsidR="00FE736D" w:rsidRPr="0071159C">
        <w:rPr>
          <w:rFonts w:ascii="Arial" w:eastAsia="Times New Roman" w:hAnsi="Arial" w:cs="Arial"/>
          <w:sz w:val="24"/>
          <w:szCs w:val="24"/>
          <w:lang w:eastAsia="es-CO"/>
        </w:rPr>
        <w:t xml:space="preserve"> que decide la acción de protección contra la violencia intrafamiliar de la que se declaró víctima </w:t>
      </w:r>
      <w:r w:rsidR="0016035D" w:rsidRPr="0071159C">
        <w:rPr>
          <w:rFonts w:ascii="Arial" w:eastAsia="Times New Roman" w:hAnsi="Arial" w:cs="Arial"/>
          <w:sz w:val="24"/>
          <w:szCs w:val="24"/>
          <w:lang w:eastAsia="es-CO"/>
        </w:rPr>
        <w:lastRenderedPageBreak/>
        <w:t>a MARÍA MÓNICA MORALES ACEVEDO y a sus hijos SIMÓN y VALERIA ÁVILA MORALES</w:t>
      </w:r>
      <w:r w:rsidR="00FE736D" w:rsidRPr="0071159C">
        <w:rPr>
          <w:rFonts w:ascii="Arial" w:eastAsia="Times New Roman" w:hAnsi="Arial" w:cs="Arial"/>
          <w:sz w:val="24"/>
          <w:szCs w:val="24"/>
          <w:lang w:eastAsia="es-CO"/>
        </w:rPr>
        <w:t xml:space="preserve">; ii) la del Juzgado </w:t>
      </w:r>
      <w:r w:rsidR="0016035D" w:rsidRPr="0071159C">
        <w:rPr>
          <w:rFonts w:ascii="Arial" w:eastAsia="Times New Roman" w:hAnsi="Arial" w:cs="Arial"/>
          <w:sz w:val="24"/>
          <w:szCs w:val="24"/>
          <w:lang w:eastAsia="es-CO"/>
        </w:rPr>
        <w:t xml:space="preserve">Primero </w:t>
      </w:r>
      <w:r w:rsidR="00FE736D" w:rsidRPr="0071159C">
        <w:rPr>
          <w:rFonts w:ascii="Arial" w:eastAsia="Times New Roman" w:hAnsi="Arial" w:cs="Arial"/>
          <w:sz w:val="24"/>
          <w:szCs w:val="24"/>
          <w:lang w:eastAsia="es-CO"/>
        </w:rPr>
        <w:t xml:space="preserve">de Familia de </w:t>
      </w:r>
      <w:r w:rsidR="0016035D" w:rsidRPr="0071159C">
        <w:rPr>
          <w:rFonts w:ascii="Arial" w:eastAsia="Times New Roman" w:hAnsi="Arial" w:cs="Arial"/>
          <w:sz w:val="24"/>
          <w:szCs w:val="24"/>
          <w:lang w:eastAsia="es-CO"/>
        </w:rPr>
        <w:t>Zipaquir</w:t>
      </w:r>
      <w:r w:rsidR="00FE736D" w:rsidRPr="0071159C">
        <w:rPr>
          <w:rFonts w:ascii="Arial" w:eastAsia="Times New Roman" w:hAnsi="Arial" w:cs="Arial"/>
          <w:sz w:val="24"/>
          <w:szCs w:val="24"/>
          <w:lang w:eastAsia="es-CO"/>
        </w:rPr>
        <w:t xml:space="preserve">á, que revoca el fallo de la Comisaría y fundamentalmente </w:t>
      </w:r>
      <w:r w:rsidR="0016035D" w:rsidRPr="0071159C">
        <w:rPr>
          <w:rFonts w:ascii="Arial" w:eastAsia="Times New Roman" w:hAnsi="Arial" w:cs="Arial"/>
          <w:sz w:val="24"/>
          <w:szCs w:val="24"/>
          <w:lang w:eastAsia="es-CO"/>
        </w:rPr>
        <w:t>la protección entrega a las víctimas</w:t>
      </w:r>
      <w:r w:rsidR="00FE736D" w:rsidRPr="0071159C">
        <w:rPr>
          <w:rFonts w:ascii="Arial" w:eastAsia="Times New Roman" w:hAnsi="Arial" w:cs="Arial"/>
          <w:sz w:val="24"/>
          <w:szCs w:val="24"/>
          <w:lang w:eastAsia="es-CO"/>
        </w:rPr>
        <w:t xml:space="preserve"> como medida de protección definitiva.</w:t>
      </w:r>
    </w:p>
    <w:p w:rsidR="00507A59" w:rsidRPr="0071159C" w:rsidRDefault="00507A59" w:rsidP="0071159C">
      <w:pPr>
        <w:pStyle w:val="Prrafodelista"/>
        <w:shd w:val="clear" w:color="auto" w:fill="FFFFFF"/>
        <w:spacing w:after="0" w:line="276" w:lineRule="auto"/>
        <w:jc w:val="both"/>
        <w:rPr>
          <w:rFonts w:ascii="Arial" w:eastAsia="Times New Roman" w:hAnsi="Arial" w:cs="Arial"/>
          <w:sz w:val="24"/>
          <w:szCs w:val="24"/>
          <w:lang w:eastAsia="es-CO"/>
        </w:rPr>
      </w:pPr>
    </w:p>
    <w:p w:rsidR="00507A59" w:rsidRPr="0071159C" w:rsidRDefault="0016035D" w:rsidP="0071159C">
      <w:pPr>
        <w:pStyle w:val="Prrafodelista"/>
        <w:numPr>
          <w:ilvl w:val="1"/>
          <w:numId w:val="6"/>
        </w:numPr>
        <w:shd w:val="clear" w:color="auto" w:fill="FFFFFF"/>
        <w:spacing w:after="0" w:line="276" w:lineRule="auto"/>
        <w:jc w:val="both"/>
        <w:rPr>
          <w:rFonts w:ascii="Arial" w:eastAsia="Times New Roman" w:hAnsi="Arial" w:cs="Arial"/>
          <w:sz w:val="24"/>
          <w:szCs w:val="24"/>
          <w:lang w:eastAsia="es-CO"/>
        </w:rPr>
      </w:pPr>
      <w:r w:rsidRPr="0071159C">
        <w:rPr>
          <w:rFonts w:ascii="Arial" w:eastAsia="Times New Roman" w:hAnsi="Arial" w:cs="Arial"/>
          <w:sz w:val="24"/>
          <w:szCs w:val="24"/>
          <w:lang w:eastAsia="es-CO"/>
        </w:rPr>
        <w:t>El desa</w:t>
      </w:r>
      <w:r w:rsidR="00FE736D" w:rsidRPr="0071159C">
        <w:rPr>
          <w:rFonts w:ascii="Arial" w:eastAsia="Times New Roman" w:hAnsi="Arial" w:cs="Arial"/>
          <w:sz w:val="24"/>
          <w:szCs w:val="24"/>
          <w:lang w:eastAsia="es-CO"/>
        </w:rPr>
        <w:t>rrollo esperado de los litigios plantados en ambas sedes</w:t>
      </w:r>
      <w:r w:rsidRPr="0071159C">
        <w:rPr>
          <w:rFonts w:ascii="Arial" w:eastAsia="Times New Roman" w:hAnsi="Arial" w:cs="Arial"/>
          <w:sz w:val="24"/>
          <w:szCs w:val="24"/>
          <w:lang w:eastAsia="es-CO"/>
        </w:rPr>
        <w:t>, era que se analizaran las situaciones planteadas por las partes y con las pruebas acopiadas, s</w:t>
      </w:r>
      <w:r w:rsidR="00FE736D" w:rsidRPr="0071159C">
        <w:rPr>
          <w:rFonts w:ascii="Arial" w:eastAsia="Times New Roman" w:hAnsi="Arial" w:cs="Arial"/>
          <w:sz w:val="24"/>
          <w:szCs w:val="24"/>
          <w:lang w:eastAsia="es-CO"/>
        </w:rPr>
        <w:t xml:space="preserve">in embargo, </w:t>
      </w:r>
      <w:r w:rsidR="00043293" w:rsidRPr="0071159C">
        <w:rPr>
          <w:rFonts w:ascii="Arial" w:eastAsia="Times New Roman" w:hAnsi="Arial" w:cs="Arial"/>
          <w:sz w:val="24"/>
          <w:szCs w:val="24"/>
          <w:lang w:eastAsia="es-CO"/>
        </w:rPr>
        <w:t>el Ministerio Público observa: i)</w:t>
      </w:r>
      <w:r w:rsidR="00FE736D" w:rsidRPr="0071159C">
        <w:rPr>
          <w:rFonts w:ascii="Arial" w:eastAsia="Times New Roman" w:hAnsi="Arial" w:cs="Arial"/>
          <w:sz w:val="24"/>
          <w:szCs w:val="24"/>
          <w:lang w:eastAsia="es-CO"/>
        </w:rPr>
        <w:t xml:space="preserve"> que las decisiones referidas no hacen el abordaje de la situación de violencia contra la mujer en el ámbito doméstico desde la perspectiva constitucional ni del</w:t>
      </w:r>
      <w:r w:rsidR="00043293" w:rsidRPr="0071159C">
        <w:rPr>
          <w:rFonts w:ascii="Arial" w:eastAsia="Times New Roman" w:hAnsi="Arial" w:cs="Arial"/>
          <w:sz w:val="24"/>
          <w:szCs w:val="24"/>
          <w:lang w:eastAsia="es-CO"/>
        </w:rPr>
        <w:t xml:space="preserve"> bloque de constitucionalidad; y ii)</w:t>
      </w:r>
      <w:r w:rsidR="006D1382" w:rsidRPr="0071159C">
        <w:rPr>
          <w:rFonts w:ascii="Arial" w:eastAsia="Times New Roman" w:hAnsi="Arial" w:cs="Arial"/>
          <w:sz w:val="24"/>
          <w:szCs w:val="24"/>
          <w:lang w:eastAsia="es-CO"/>
        </w:rPr>
        <w:t xml:space="preserve"> </w:t>
      </w:r>
      <w:r w:rsidR="00043293" w:rsidRPr="0071159C">
        <w:rPr>
          <w:rFonts w:ascii="Arial" w:eastAsia="Times New Roman" w:hAnsi="Arial" w:cs="Arial"/>
          <w:sz w:val="24"/>
          <w:szCs w:val="24"/>
          <w:lang w:eastAsia="es-CO"/>
        </w:rPr>
        <w:t>omi</w:t>
      </w:r>
      <w:r w:rsidR="001C07CA" w:rsidRPr="0071159C">
        <w:rPr>
          <w:rFonts w:ascii="Arial" w:eastAsia="Times New Roman" w:hAnsi="Arial" w:cs="Arial"/>
          <w:sz w:val="24"/>
          <w:szCs w:val="24"/>
          <w:lang w:eastAsia="es-CO"/>
        </w:rPr>
        <w:t>te</w:t>
      </w:r>
      <w:r w:rsidR="001643F7">
        <w:rPr>
          <w:rFonts w:ascii="Arial" w:eastAsia="Times New Roman" w:hAnsi="Arial" w:cs="Arial"/>
          <w:sz w:val="24"/>
          <w:szCs w:val="24"/>
          <w:lang w:eastAsia="es-CO"/>
        </w:rPr>
        <w:t xml:space="preserve"> el juzgado</w:t>
      </w:r>
      <w:r w:rsidR="001C07CA" w:rsidRPr="0071159C">
        <w:rPr>
          <w:rFonts w:ascii="Arial" w:eastAsia="Times New Roman" w:hAnsi="Arial" w:cs="Arial"/>
          <w:sz w:val="24"/>
          <w:szCs w:val="24"/>
          <w:lang w:eastAsia="es-CO"/>
        </w:rPr>
        <w:t xml:space="preserve"> la aplicación de </w:t>
      </w:r>
      <w:r w:rsidR="006D1382" w:rsidRPr="0071159C">
        <w:rPr>
          <w:rFonts w:ascii="Arial" w:eastAsia="Times New Roman" w:hAnsi="Arial" w:cs="Arial"/>
          <w:sz w:val="24"/>
          <w:szCs w:val="24"/>
          <w:lang w:eastAsia="es-CO"/>
        </w:rPr>
        <w:t xml:space="preserve"> las</w:t>
      </w:r>
      <w:r w:rsidR="001643F7">
        <w:rPr>
          <w:rFonts w:ascii="Arial" w:eastAsia="Times New Roman" w:hAnsi="Arial" w:cs="Arial"/>
          <w:sz w:val="24"/>
          <w:szCs w:val="24"/>
          <w:lang w:eastAsia="es-CO"/>
        </w:rPr>
        <w:t xml:space="preserve"> reglas y </w:t>
      </w:r>
      <w:r w:rsidR="006D1382" w:rsidRPr="0071159C">
        <w:rPr>
          <w:rFonts w:ascii="Arial" w:eastAsia="Times New Roman" w:hAnsi="Arial" w:cs="Arial"/>
          <w:sz w:val="24"/>
          <w:szCs w:val="24"/>
          <w:lang w:eastAsia="es-CO"/>
        </w:rPr>
        <w:t xml:space="preserve"> subreglas fijadas por la jurisprudencia reseñada</w:t>
      </w:r>
      <w:r w:rsidR="001C07CA" w:rsidRPr="0071159C">
        <w:rPr>
          <w:rFonts w:ascii="Arial" w:eastAsia="Times New Roman" w:hAnsi="Arial" w:cs="Arial"/>
          <w:sz w:val="24"/>
          <w:szCs w:val="24"/>
          <w:lang w:eastAsia="es-CO"/>
        </w:rPr>
        <w:t>.</w:t>
      </w:r>
    </w:p>
    <w:p w:rsidR="00507A59" w:rsidRPr="0071159C" w:rsidRDefault="00507A59" w:rsidP="0071159C">
      <w:pPr>
        <w:pStyle w:val="Prrafodelista"/>
        <w:spacing w:line="276" w:lineRule="auto"/>
        <w:rPr>
          <w:rFonts w:ascii="Arial" w:eastAsia="Times New Roman" w:hAnsi="Arial" w:cs="Arial"/>
          <w:sz w:val="24"/>
          <w:szCs w:val="24"/>
          <w:lang w:eastAsia="es-CO"/>
        </w:rPr>
      </w:pPr>
    </w:p>
    <w:p w:rsidR="00507A59" w:rsidRPr="0071159C" w:rsidRDefault="006D1382" w:rsidP="0071159C">
      <w:pPr>
        <w:pStyle w:val="Prrafodelista"/>
        <w:numPr>
          <w:ilvl w:val="1"/>
          <w:numId w:val="6"/>
        </w:numPr>
        <w:shd w:val="clear" w:color="auto" w:fill="FFFFFF"/>
        <w:spacing w:after="0" w:line="276" w:lineRule="auto"/>
        <w:jc w:val="both"/>
        <w:rPr>
          <w:rFonts w:ascii="Arial" w:eastAsia="Times New Roman" w:hAnsi="Arial" w:cs="Arial"/>
          <w:sz w:val="24"/>
          <w:szCs w:val="24"/>
          <w:lang w:eastAsia="es-CO"/>
        </w:rPr>
      </w:pPr>
      <w:r w:rsidRPr="0071159C">
        <w:rPr>
          <w:rFonts w:ascii="Arial" w:eastAsia="Times New Roman" w:hAnsi="Arial" w:cs="Arial"/>
          <w:sz w:val="24"/>
          <w:szCs w:val="24"/>
          <w:lang w:eastAsia="es-CO"/>
        </w:rPr>
        <w:t xml:space="preserve">Como ingredientes especiales de la situación de violencia intrafamiliar denunciada, deben rescatarse las siguientes: i) la demandante de protección </w:t>
      </w:r>
      <w:r w:rsidR="0016035D" w:rsidRPr="0071159C">
        <w:rPr>
          <w:rFonts w:ascii="Arial" w:eastAsia="Times New Roman" w:hAnsi="Arial" w:cs="Arial"/>
          <w:sz w:val="24"/>
          <w:szCs w:val="24"/>
          <w:lang w:eastAsia="es-CO"/>
        </w:rPr>
        <w:t>MÓNICA MARÍA MORALES CEVEDO</w:t>
      </w:r>
      <w:r w:rsidRPr="0071159C">
        <w:rPr>
          <w:rFonts w:ascii="Arial" w:eastAsia="Times New Roman" w:hAnsi="Arial" w:cs="Arial"/>
          <w:sz w:val="24"/>
          <w:szCs w:val="24"/>
          <w:lang w:eastAsia="es-CO"/>
        </w:rPr>
        <w:t xml:space="preserve">, </w:t>
      </w:r>
      <w:r w:rsidR="0016035D" w:rsidRPr="0071159C">
        <w:rPr>
          <w:rFonts w:ascii="Arial" w:eastAsia="Times New Roman" w:hAnsi="Arial" w:cs="Arial"/>
          <w:b/>
          <w:i/>
          <w:sz w:val="24"/>
          <w:szCs w:val="24"/>
          <w:lang w:eastAsia="es-CO"/>
        </w:rPr>
        <w:t>mujer</w:t>
      </w:r>
      <w:r w:rsidR="0016035D" w:rsidRPr="0071159C">
        <w:rPr>
          <w:rFonts w:ascii="Arial" w:eastAsia="Times New Roman" w:hAnsi="Arial" w:cs="Arial"/>
          <w:sz w:val="24"/>
          <w:szCs w:val="24"/>
          <w:lang w:eastAsia="es-CO"/>
        </w:rPr>
        <w:t xml:space="preserve">, ha sido </w:t>
      </w:r>
      <w:r w:rsidRPr="0071159C">
        <w:rPr>
          <w:rFonts w:ascii="Arial" w:eastAsia="Times New Roman" w:hAnsi="Arial" w:cs="Arial"/>
          <w:sz w:val="24"/>
          <w:szCs w:val="24"/>
          <w:lang w:eastAsia="es-CO"/>
        </w:rPr>
        <w:t xml:space="preserve">víctima de la violencia verbal y psicológica demostrada la que ha sido perenne a través de los años de su relación con su </w:t>
      </w:r>
      <w:r w:rsidR="0016035D" w:rsidRPr="0071159C">
        <w:rPr>
          <w:rFonts w:ascii="Arial" w:eastAsia="Times New Roman" w:hAnsi="Arial" w:cs="Arial"/>
          <w:sz w:val="24"/>
          <w:szCs w:val="24"/>
          <w:lang w:eastAsia="es-CO"/>
        </w:rPr>
        <w:t xml:space="preserve">cónyuge; ii) </w:t>
      </w:r>
      <w:r w:rsidRPr="0071159C">
        <w:rPr>
          <w:rFonts w:ascii="Arial" w:eastAsia="Times New Roman" w:hAnsi="Arial" w:cs="Arial"/>
          <w:sz w:val="24"/>
          <w:szCs w:val="24"/>
          <w:lang w:eastAsia="es-CO"/>
        </w:rPr>
        <w:t>se demostró la violen</w:t>
      </w:r>
      <w:r w:rsidR="0016035D" w:rsidRPr="0071159C">
        <w:rPr>
          <w:rFonts w:ascii="Arial" w:eastAsia="Times New Roman" w:hAnsi="Arial" w:cs="Arial"/>
          <w:sz w:val="24"/>
          <w:szCs w:val="24"/>
          <w:lang w:eastAsia="es-CO"/>
        </w:rPr>
        <w:t>cia a la que éste sometió a aqué</w:t>
      </w:r>
      <w:r w:rsidRPr="0071159C">
        <w:rPr>
          <w:rFonts w:ascii="Arial" w:eastAsia="Times New Roman" w:hAnsi="Arial" w:cs="Arial"/>
          <w:sz w:val="24"/>
          <w:szCs w:val="24"/>
          <w:lang w:eastAsia="es-CO"/>
        </w:rPr>
        <w:t xml:space="preserve">lla de manera reiterada como dan cuenta </w:t>
      </w:r>
      <w:r w:rsidR="0016035D" w:rsidRPr="0071159C">
        <w:rPr>
          <w:rFonts w:ascii="Arial" w:eastAsia="Times New Roman" w:hAnsi="Arial" w:cs="Arial"/>
          <w:sz w:val="24"/>
          <w:szCs w:val="24"/>
          <w:lang w:eastAsia="es-CO"/>
        </w:rPr>
        <w:t>las pruebas recaudadas; iii) el fallo de segunda instancia se limita al cotejo de las afirmaciones de las partes para tomar la decisión, lo que de por sí constituye un defecto</w:t>
      </w:r>
      <w:r w:rsidR="001643F7">
        <w:rPr>
          <w:rFonts w:ascii="Arial" w:eastAsia="Times New Roman" w:hAnsi="Arial" w:cs="Arial"/>
          <w:sz w:val="24"/>
          <w:szCs w:val="24"/>
          <w:lang w:eastAsia="es-CO"/>
        </w:rPr>
        <w:t xml:space="preserve"> fáctico</w:t>
      </w:r>
      <w:r w:rsidR="0016035D" w:rsidRPr="0071159C">
        <w:rPr>
          <w:rFonts w:ascii="Arial" w:eastAsia="Times New Roman" w:hAnsi="Arial" w:cs="Arial"/>
          <w:sz w:val="24"/>
          <w:szCs w:val="24"/>
          <w:lang w:eastAsia="es-CO"/>
        </w:rPr>
        <w:t>, sino que, más grave aún, le da mayor peso a la versión del agresor</w:t>
      </w:r>
      <w:r w:rsidR="001643F7">
        <w:rPr>
          <w:rFonts w:ascii="Arial" w:eastAsia="Times New Roman" w:hAnsi="Arial" w:cs="Arial"/>
          <w:sz w:val="24"/>
          <w:szCs w:val="24"/>
          <w:lang w:eastAsia="es-CO"/>
        </w:rPr>
        <w:t>, con lo cual se muestra un ,marcado desequilibrio en contra de la propia víctima.</w:t>
      </w:r>
      <w:r w:rsidR="0016035D" w:rsidRPr="0071159C">
        <w:rPr>
          <w:rFonts w:ascii="Arial" w:eastAsia="Times New Roman" w:hAnsi="Arial" w:cs="Arial"/>
          <w:sz w:val="24"/>
          <w:szCs w:val="24"/>
          <w:lang w:eastAsia="es-CO"/>
        </w:rPr>
        <w:t>.</w:t>
      </w:r>
      <w:r w:rsidR="00507A59" w:rsidRPr="0071159C">
        <w:rPr>
          <w:rFonts w:ascii="Arial" w:eastAsia="Times New Roman" w:hAnsi="Arial" w:cs="Arial"/>
          <w:sz w:val="24"/>
          <w:szCs w:val="24"/>
          <w:lang w:eastAsia="es-CO"/>
        </w:rPr>
        <w:t xml:space="preserve"> </w:t>
      </w:r>
    </w:p>
    <w:p w:rsidR="00507A59" w:rsidRPr="0071159C" w:rsidRDefault="00507A59" w:rsidP="0071159C">
      <w:pPr>
        <w:pStyle w:val="Prrafodelista"/>
        <w:spacing w:line="276" w:lineRule="auto"/>
        <w:rPr>
          <w:rFonts w:ascii="Arial" w:eastAsia="Times New Roman" w:hAnsi="Arial" w:cs="Arial"/>
          <w:sz w:val="24"/>
          <w:szCs w:val="24"/>
          <w:lang w:eastAsia="es-CO"/>
        </w:rPr>
      </w:pPr>
    </w:p>
    <w:p w:rsidR="00507A59" w:rsidRPr="0071159C" w:rsidRDefault="00A17327" w:rsidP="0071159C">
      <w:pPr>
        <w:pStyle w:val="Prrafodelista"/>
        <w:numPr>
          <w:ilvl w:val="1"/>
          <w:numId w:val="6"/>
        </w:numPr>
        <w:shd w:val="clear" w:color="auto" w:fill="FFFFFF"/>
        <w:spacing w:after="0" w:line="276" w:lineRule="auto"/>
        <w:jc w:val="both"/>
        <w:rPr>
          <w:rFonts w:ascii="Arial" w:eastAsia="Times New Roman" w:hAnsi="Arial" w:cs="Arial"/>
          <w:sz w:val="24"/>
          <w:szCs w:val="24"/>
          <w:lang w:eastAsia="es-CO"/>
        </w:rPr>
      </w:pPr>
      <w:r w:rsidRPr="0071159C">
        <w:rPr>
          <w:rFonts w:ascii="Arial" w:eastAsia="Times New Roman" w:hAnsi="Arial" w:cs="Arial"/>
          <w:sz w:val="24"/>
          <w:szCs w:val="24"/>
          <w:lang w:eastAsia="es-CO"/>
        </w:rPr>
        <w:t>En suma, el análisis probatorio</w:t>
      </w:r>
      <w:r w:rsidR="001643F7">
        <w:rPr>
          <w:rFonts w:ascii="Arial" w:eastAsia="Times New Roman" w:hAnsi="Arial" w:cs="Arial"/>
          <w:sz w:val="24"/>
          <w:szCs w:val="24"/>
          <w:lang w:eastAsia="es-CO"/>
        </w:rPr>
        <w:t xml:space="preserve"> que hace la señora </w:t>
      </w:r>
      <w:r w:rsidR="00FD1038">
        <w:rPr>
          <w:rFonts w:ascii="Arial" w:eastAsia="Times New Roman" w:hAnsi="Arial" w:cs="Arial"/>
          <w:sz w:val="24"/>
          <w:szCs w:val="24"/>
          <w:lang w:eastAsia="es-CO"/>
        </w:rPr>
        <w:t>juez</w:t>
      </w:r>
      <w:r w:rsidR="001643F7">
        <w:rPr>
          <w:rFonts w:ascii="Arial" w:eastAsia="Times New Roman" w:hAnsi="Arial" w:cs="Arial"/>
          <w:sz w:val="24"/>
          <w:szCs w:val="24"/>
          <w:lang w:eastAsia="es-CO"/>
        </w:rPr>
        <w:t xml:space="preserve">, limitado a las versiones de las partes, </w:t>
      </w:r>
      <w:r w:rsidR="00043293" w:rsidRPr="0071159C">
        <w:rPr>
          <w:rFonts w:ascii="Arial" w:eastAsia="Times New Roman" w:hAnsi="Arial" w:cs="Arial"/>
          <w:sz w:val="24"/>
          <w:szCs w:val="24"/>
          <w:lang w:eastAsia="es-CO"/>
        </w:rPr>
        <w:t>dejó de lado  el enfoque diferencial que el caso requería</w:t>
      </w:r>
      <w:r w:rsidR="00A22158" w:rsidRPr="0071159C">
        <w:rPr>
          <w:rFonts w:ascii="Arial" w:eastAsia="Times New Roman" w:hAnsi="Arial" w:cs="Arial"/>
          <w:sz w:val="24"/>
          <w:szCs w:val="24"/>
          <w:lang w:eastAsia="es-CO"/>
        </w:rPr>
        <w:t>, porque</w:t>
      </w:r>
      <w:r w:rsidR="00F42345" w:rsidRPr="0071159C">
        <w:rPr>
          <w:rFonts w:ascii="Arial" w:eastAsia="Times New Roman" w:hAnsi="Arial" w:cs="Arial"/>
          <w:sz w:val="24"/>
          <w:szCs w:val="24"/>
          <w:lang w:eastAsia="es-CO"/>
        </w:rPr>
        <w:t xml:space="preserve"> es</w:t>
      </w:r>
      <w:r w:rsidR="00A22158" w:rsidRPr="0071159C">
        <w:rPr>
          <w:rFonts w:ascii="Arial" w:eastAsia="Times New Roman" w:hAnsi="Arial" w:cs="Arial"/>
          <w:sz w:val="24"/>
          <w:szCs w:val="24"/>
          <w:lang w:eastAsia="es-CO"/>
        </w:rPr>
        <w:t xml:space="preserve"> altamente probable que</w:t>
      </w:r>
      <w:r w:rsidRPr="0071159C">
        <w:rPr>
          <w:rFonts w:ascii="Arial" w:eastAsia="Times New Roman" w:hAnsi="Arial" w:cs="Arial"/>
          <w:sz w:val="24"/>
          <w:szCs w:val="24"/>
          <w:lang w:eastAsia="es-CO"/>
        </w:rPr>
        <w:t xml:space="preserve"> el juzgador en el momento de la crítica de la prueba y cotejada con las circunstancias denunciadas, hubiese </w:t>
      </w:r>
      <w:r w:rsidR="00F42345" w:rsidRPr="0071159C">
        <w:rPr>
          <w:rFonts w:ascii="Arial" w:eastAsia="Times New Roman" w:hAnsi="Arial" w:cs="Arial"/>
          <w:sz w:val="24"/>
          <w:szCs w:val="24"/>
          <w:lang w:eastAsia="es-CO"/>
        </w:rPr>
        <w:t>arribado a una conclusión distinta</w:t>
      </w:r>
      <w:r w:rsidR="00043293" w:rsidRPr="0071159C">
        <w:rPr>
          <w:rFonts w:ascii="Arial" w:eastAsia="Times New Roman" w:hAnsi="Arial" w:cs="Arial"/>
          <w:sz w:val="24"/>
          <w:szCs w:val="24"/>
          <w:lang w:eastAsia="es-CO"/>
        </w:rPr>
        <w:t>.</w:t>
      </w:r>
    </w:p>
    <w:p w:rsidR="00507A59" w:rsidRPr="0071159C" w:rsidRDefault="00507A59" w:rsidP="0071159C">
      <w:pPr>
        <w:pStyle w:val="Prrafodelista"/>
        <w:spacing w:line="276" w:lineRule="auto"/>
        <w:rPr>
          <w:rFonts w:ascii="Arial" w:eastAsia="Times New Roman" w:hAnsi="Arial" w:cs="Arial"/>
          <w:sz w:val="24"/>
          <w:szCs w:val="24"/>
          <w:lang w:eastAsia="es-CO"/>
        </w:rPr>
      </w:pPr>
    </w:p>
    <w:p w:rsidR="00507A59" w:rsidRPr="0071159C" w:rsidRDefault="00A17327" w:rsidP="0071159C">
      <w:pPr>
        <w:pStyle w:val="Prrafodelista"/>
        <w:numPr>
          <w:ilvl w:val="1"/>
          <w:numId w:val="6"/>
        </w:numPr>
        <w:shd w:val="clear" w:color="auto" w:fill="FFFFFF"/>
        <w:spacing w:after="0" w:line="276" w:lineRule="auto"/>
        <w:jc w:val="both"/>
        <w:textAlignment w:val="baseline"/>
        <w:rPr>
          <w:rFonts w:ascii="Arial" w:eastAsia="Times New Roman" w:hAnsi="Arial" w:cs="Arial"/>
          <w:i/>
          <w:sz w:val="24"/>
          <w:szCs w:val="24"/>
          <w:lang w:eastAsia="es-CO"/>
        </w:rPr>
      </w:pPr>
      <w:r w:rsidRPr="0071159C">
        <w:rPr>
          <w:rFonts w:ascii="Arial" w:eastAsia="Times New Roman" w:hAnsi="Arial" w:cs="Arial"/>
          <w:sz w:val="24"/>
          <w:szCs w:val="24"/>
          <w:lang w:eastAsia="es-CO"/>
        </w:rPr>
        <w:t>Se ha fijado un celo extremo para juzgar por vía de tutela las propias decisiones de los jueces, y por ello la misma jurisprudencia</w:t>
      </w:r>
      <w:r w:rsidR="00D36A24" w:rsidRPr="0071159C">
        <w:rPr>
          <w:rFonts w:ascii="Arial" w:eastAsia="Times New Roman" w:hAnsi="Arial" w:cs="Arial"/>
          <w:sz w:val="24"/>
          <w:szCs w:val="24"/>
          <w:lang w:eastAsia="es-CO"/>
        </w:rPr>
        <w:t xml:space="preserve"> (C-590/05)</w:t>
      </w:r>
      <w:r w:rsidRPr="0071159C">
        <w:rPr>
          <w:rFonts w:ascii="Arial" w:eastAsia="Times New Roman" w:hAnsi="Arial" w:cs="Arial"/>
          <w:sz w:val="24"/>
          <w:szCs w:val="24"/>
          <w:lang w:eastAsia="es-CO"/>
        </w:rPr>
        <w:t xml:space="preserve"> ha fijado los requisitos que la hacen viable, y los ha clasificado como requisitos generales de procedencia que deben darse en conjunto </w:t>
      </w:r>
      <w:r w:rsidR="00D36A24" w:rsidRPr="0071159C">
        <w:rPr>
          <w:rFonts w:ascii="Arial" w:eastAsia="Times New Roman" w:hAnsi="Arial" w:cs="Arial"/>
          <w:sz w:val="24"/>
          <w:szCs w:val="24"/>
          <w:lang w:eastAsia="es-CO"/>
        </w:rPr>
        <w:t>y como requisitos especiales de procedibilidad, de los que basta con que uno de ellos se configure para la prosperidad de la solicitud de amparo.</w:t>
      </w:r>
    </w:p>
    <w:p w:rsidR="00507A59" w:rsidRPr="0071159C" w:rsidRDefault="00507A59" w:rsidP="0071159C">
      <w:pPr>
        <w:pStyle w:val="Prrafodelista"/>
        <w:spacing w:line="276" w:lineRule="auto"/>
        <w:rPr>
          <w:rFonts w:ascii="Arial" w:eastAsia="Times New Roman" w:hAnsi="Arial" w:cs="Arial"/>
          <w:sz w:val="24"/>
          <w:szCs w:val="24"/>
          <w:lang w:eastAsia="es-CO"/>
        </w:rPr>
      </w:pPr>
    </w:p>
    <w:p w:rsidR="00507A59" w:rsidRPr="00FD1038" w:rsidRDefault="00D36A24" w:rsidP="0071159C">
      <w:pPr>
        <w:pStyle w:val="Prrafodelista"/>
        <w:numPr>
          <w:ilvl w:val="1"/>
          <w:numId w:val="6"/>
        </w:numPr>
        <w:shd w:val="clear" w:color="auto" w:fill="FFFFFF"/>
        <w:spacing w:after="0" w:line="276" w:lineRule="auto"/>
        <w:jc w:val="both"/>
        <w:textAlignment w:val="baseline"/>
        <w:rPr>
          <w:rFonts w:ascii="Arial" w:hAnsi="Arial" w:cs="Arial"/>
          <w:sz w:val="24"/>
          <w:szCs w:val="24"/>
        </w:rPr>
      </w:pPr>
      <w:r w:rsidRPr="0071159C">
        <w:rPr>
          <w:rFonts w:ascii="Arial" w:eastAsia="Times New Roman" w:hAnsi="Arial" w:cs="Arial"/>
          <w:sz w:val="24"/>
          <w:szCs w:val="24"/>
          <w:lang w:eastAsia="es-CO"/>
        </w:rPr>
        <w:t>En este caso en particular, hechas las observaciones precedentes, se conc</w:t>
      </w:r>
      <w:r w:rsidR="00F42345" w:rsidRPr="0071159C">
        <w:rPr>
          <w:rFonts w:ascii="Arial" w:eastAsia="Times New Roman" w:hAnsi="Arial" w:cs="Arial"/>
          <w:sz w:val="24"/>
          <w:szCs w:val="24"/>
          <w:lang w:eastAsia="es-CO"/>
        </w:rPr>
        <w:t>luye que se dan en conjunto la</w:t>
      </w:r>
      <w:r w:rsidR="001E3E5D" w:rsidRPr="0071159C">
        <w:rPr>
          <w:rFonts w:ascii="Arial" w:eastAsia="Times New Roman" w:hAnsi="Arial" w:cs="Arial"/>
          <w:sz w:val="24"/>
          <w:szCs w:val="24"/>
          <w:lang w:eastAsia="es-CO"/>
        </w:rPr>
        <w:t xml:space="preserve">s </w:t>
      </w:r>
      <w:r w:rsidRPr="0071159C">
        <w:rPr>
          <w:rFonts w:ascii="Arial" w:eastAsia="Times New Roman" w:hAnsi="Arial" w:cs="Arial"/>
          <w:sz w:val="24"/>
          <w:szCs w:val="24"/>
          <w:lang w:eastAsia="es-CO"/>
        </w:rPr>
        <w:t>exigencia</w:t>
      </w:r>
      <w:r w:rsidR="00F42345" w:rsidRPr="0071159C">
        <w:rPr>
          <w:rFonts w:ascii="Arial" w:eastAsia="Times New Roman" w:hAnsi="Arial" w:cs="Arial"/>
          <w:sz w:val="24"/>
          <w:szCs w:val="24"/>
          <w:lang w:eastAsia="es-CO"/>
        </w:rPr>
        <w:t>s</w:t>
      </w:r>
      <w:r w:rsidRPr="0071159C">
        <w:rPr>
          <w:rFonts w:ascii="Arial" w:eastAsia="Times New Roman" w:hAnsi="Arial" w:cs="Arial"/>
          <w:sz w:val="24"/>
          <w:szCs w:val="24"/>
          <w:lang w:eastAsia="es-CO"/>
        </w:rPr>
        <w:t xml:space="preserve"> de procedencia, y la </w:t>
      </w:r>
      <w:r w:rsidRPr="0071159C">
        <w:rPr>
          <w:rFonts w:ascii="Arial" w:eastAsia="Times New Roman" w:hAnsi="Arial" w:cs="Arial"/>
          <w:sz w:val="24"/>
          <w:szCs w:val="24"/>
          <w:lang w:eastAsia="es-CO"/>
        </w:rPr>
        <w:lastRenderedPageBreak/>
        <w:t xml:space="preserve">trascendencia constitucional será la conclusión del juez constitucional. Las relativas a las de procedibilidad, una vez hecho el cotejo con el caso materia de análisis, </w:t>
      </w:r>
      <w:r w:rsidR="009D3114" w:rsidRPr="0071159C">
        <w:rPr>
          <w:rFonts w:ascii="Arial" w:eastAsia="Times New Roman" w:hAnsi="Arial" w:cs="Arial"/>
          <w:sz w:val="24"/>
          <w:szCs w:val="24"/>
          <w:lang w:eastAsia="es-CO"/>
        </w:rPr>
        <w:t>se subsume dentro de la tipi</w:t>
      </w:r>
      <w:r w:rsidRPr="0071159C">
        <w:rPr>
          <w:rFonts w:ascii="Arial" w:eastAsia="Times New Roman" w:hAnsi="Arial" w:cs="Arial"/>
          <w:sz w:val="24"/>
          <w:szCs w:val="24"/>
          <w:lang w:eastAsia="es-CO"/>
        </w:rPr>
        <w:t xml:space="preserve">ficada en la sentencia C-590 de 2005 como   </w:t>
      </w:r>
      <w:r w:rsidRPr="0071159C">
        <w:rPr>
          <w:rFonts w:ascii="Arial" w:eastAsia="Times New Roman" w:hAnsi="Arial" w:cs="Arial"/>
          <w:i/>
          <w:sz w:val="24"/>
          <w:szCs w:val="24"/>
          <w:bdr w:val="none" w:sz="0" w:space="0" w:color="auto" w:frame="1"/>
          <w:lang w:eastAsia="es-CO"/>
        </w:rPr>
        <w:t>“</w:t>
      </w:r>
      <w:r w:rsidR="00FD1038">
        <w:rPr>
          <w:rFonts w:ascii="Arial" w:eastAsia="Times New Roman" w:hAnsi="Arial" w:cs="Arial"/>
          <w:i/>
          <w:sz w:val="24"/>
          <w:szCs w:val="24"/>
          <w:bdr w:val="none" w:sz="0" w:space="0" w:color="auto" w:frame="1"/>
          <w:lang w:eastAsia="es-CO"/>
        </w:rPr>
        <w:t>h</w:t>
      </w:r>
      <w:r w:rsidRPr="0071159C">
        <w:rPr>
          <w:rFonts w:ascii="Arial" w:eastAsia="Times New Roman" w:hAnsi="Arial" w:cs="Arial"/>
          <w:i/>
          <w:sz w:val="24"/>
          <w:szCs w:val="24"/>
          <w:bdr w:val="none" w:sz="0" w:space="0" w:color="auto" w:frame="1"/>
          <w:lang w:eastAsia="es-CO"/>
        </w:rPr>
        <w:t xml:space="preserve">.  Desconocimiento del precedente, hipótesis que se presenta, por ejemplo, cuando la Corte Constitucional establece el alcance de un derecho fundamental y el juez ordinario aplica una ley limitando sustancialmente dicho alcance. En estos casos la tutela procede como mecanismo para garantizar la eficacia jurídica del contenido constitucionalmente vinculante del derecho fundamental vulnerado.” </w:t>
      </w:r>
    </w:p>
    <w:p w:rsidR="00FD1038" w:rsidRPr="00FD1038" w:rsidRDefault="00FD1038" w:rsidP="00FD1038">
      <w:pPr>
        <w:pStyle w:val="Prrafodelista"/>
        <w:rPr>
          <w:rFonts w:ascii="Arial" w:hAnsi="Arial" w:cs="Arial"/>
          <w:sz w:val="24"/>
          <w:szCs w:val="24"/>
        </w:rPr>
      </w:pPr>
    </w:p>
    <w:p w:rsidR="00FD1038" w:rsidRPr="00FD1038" w:rsidRDefault="00FD1038" w:rsidP="00955BA0">
      <w:pPr>
        <w:pStyle w:val="Prrafodelista"/>
        <w:numPr>
          <w:ilvl w:val="1"/>
          <w:numId w:val="6"/>
        </w:numPr>
        <w:shd w:val="clear" w:color="auto" w:fill="FFFFFF"/>
        <w:spacing w:after="0" w:line="240" w:lineRule="auto"/>
        <w:jc w:val="both"/>
        <w:textAlignment w:val="baseline"/>
        <w:rPr>
          <w:rFonts w:ascii="Times New Roman" w:eastAsia="Times New Roman" w:hAnsi="Times New Roman" w:cs="Times New Roman"/>
          <w:sz w:val="24"/>
          <w:szCs w:val="24"/>
          <w:lang w:eastAsia="es-CO"/>
        </w:rPr>
      </w:pPr>
      <w:r w:rsidRPr="00FD1038">
        <w:rPr>
          <w:rFonts w:ascii="Arial" w:hAnsi="Arial" w:cs="Arial"/>
          <w:sz w:val="24"/>
          <w:szCs w:val="24"/>
        </w:rPr>
        <w:t xml:space="preserve">Asimismo, se está ante el hecho del desconocimiento para sustentar la decisión, de los elementos probatorios incorporados al proceso, y la omisión en un adecuado análisis probatorio de las versiones de las partes, por lo que se configura como defecto fáctico, previsto así en la sentencia reseñada: </w:t>
      </w:r>
      <w:r>
        <w:rPr>
          <w:rFonts w:ascii="Arial" w:hAnsi="Arial" w:cs="Arial"/>
          <w:sz w:val="24"/>
          <w:szCs w:val="24"/>
        </w:rPr>
        <w:t>“</w:t>
      </w:r>
      <w:r w:rsidRPr="00FD1038">
        <w:rPr>
          <w:rFonts w:ascii="Arial" w:eastAsia="Times New Roman" w:hAnsi="Arial" w:cs="Arial"/>
          <w:i/>
          <w:sz w:val="24"/>
          <w:szCs w:val="24"/>
          <w:bdr w:val="none" w:sz="0" w:space="0" w:color="auto" w:frame="1"/>
          <w:lang w:eastAsia="es-CO"/>
        </w:rPr>
        <w:t>c.  Defecto fáctico, que surge cuando el juez carece del apoyo probatorio que permita la aplicación del supuesto legal en el que se sustenta la decisión.</w:t>
      </w:r>
      <w:r>
        <w:rPr>
          <w:rFonts w:ascii="Arial" w:eastAsia="Times New Roman" w:hAnsi="Arial" w:cs="Arial"/>
          <w:i/>
          <w:sz w:val="24"/>
          <w:szCs w:val="24"/>
          <w:bdr w:val="none" w:sz="0" w:space="0" w:color="auto" w:frame="1"/>
          <w:lang w:eastAsia="es-CO"/>
        </w:rPr>
        <w:t>”</w:t>
      </w:r>
    </w:p>
    <w:p w:rsidR="00FD1038" w:rsidRPr="00FD1038" w:rsidRDefault="00FD1038" w:rsidP="00FD1038">
      <w:pPr>
        <w:shd w:val="clear" w:color="auto" w:fill="FFFFFF"/>
        <w:spacing w:after="0" w:line="240" w:lineRule="auto"/>
        <w:jc w:val="both"/>
        <w:textAlignment w:val="baseline"/>
        <w:rPr>
          <w:rFonts w:ascii="Times New Roman" w:eastAsia="Times New Roman" w:hAnsi="Times New Roman" w:cs="Times New Roman"/>
          <w:sz w:val="24"/>
          <w:szCs w:val="24"/>
          <w:lang w:eastAsia="es-CO"/>
        </w:rPr>
      </w:pPr>
      <w:r w:rsidRPr="00FD1038">
        <w:rPr>
          <w:rFonts w:ascii="Times New Roman" w:eastAsia="Times New Roman" w:hAnsi="Times New Roman" w:cs="Times New Roman"/>
          <w:sz w:val="28"/>
          <w:szCs w:val="28"/>
          <w:bdr w:val="none" w:sz="0" w:space="0" w:color="auto" w:frame="1"/>
          <w:lang w:eastAsia="es-CO"/>
        </w:rPr>
        <w:t> </w:t>
      </w:r>
    </w:p>
    <w:p w:rsidR="00546046" w:rsidRPr="0071159C" w:rsidRDefault="00D36A24" w:rsidP="0071159C">
      <w:pPr>
        <w:pStyle w:val="Prrafodelista"/>
        <w:numPr>
          <w:ilvl w:val="1"/>
          <w:numId w:val="6"/>
        </w:numPr>
        <w:shd w:val="clear" w:color="auto" w:fill="FFFFFF"/>
        <w:spacing w:after="0" w:line="276" w:lineRule="auto"/>
        <w:jc w:val="both"/>
        <w:textAlignment w:val="baseline"/>
        <w:rPr>
          <w:rFonts w:ascii="Arial" w:hAnsi="Arial" w:cs="Arial"/>
          <w:sz w:val="24"/>
          <w:szCs w:val="24"/>
        </w:rPr>
      </w:pPr>
      <w:r w:rsidRPr="0071159C">
        <w:rPr>
          <w:rFonts w:ascii="Arial" w:hAnsi="Arial" w:cs="Arial"/>
          <w:sz w:val="24"/>
          <w:szCs w:val="24"/>
        </w:rPr>
        <w:t xml:space="preserve">El precedente lo constituye el señalado por la Corte Constitucional en sentencia T-012 de 2016, que fijó los parámetros a los que deben ceñirse los juzgadores en circunstancias como la de violencia intrafamiliar en la que sea víctima un sujeto especial de protección constitucional, en este caso una mujer. No se tuvo en cuenta al momento de la decisión </w:t>
      </w:r>
      <w:r w:rsidR="00D85D25" w:rsidRPr="0071159C">
        <w:rPr>
          <w:rFonts w:ascii="Arial" w:hAnsi="Arial" w:cs="Arial"/>
          <w:sz w:val="24"/>
          <w:szCs w:val="24"/>
        </w:rPr>
        <w:t xml:space="preserve">por </w:t>
      </w:r>
      <w:r w:rsidR="00FD1038">
        <w:rPr>
          <w:rFonts w:ascii="Arial" w:hAnsi="Arial" w:cs="Arial"/>
          <w:sz w:val="24"/>
          <w:szCs w:val="24"/>
        </w:rPr>
        <w:t>la Juez de</w:t>
      </w:r>
      <w:r w:rsidRPr="0071159C">
        <w:rPr>
          <w:rFonts w:ascii="Arial" w:hAnsi="Arial" w:cs="Arial"/>
          <w:sz w:val="24"/>
          <w:szCs w:val="24"/>
        </w:rPr>
        <w:t xml:space="preserve"> Familia </w:t>
      </w:r>
      <w:r w:rsidR="00D85D25" w:rsidRPr="0071159C">
        <w:rPr>
          <w:rFonts w:ascii="Arial" w:hAnsi="Arial" w:cs="Arial"/>
          <w:sz w:val="24"/>
          <w:szCs w:val="24"/>
        </w:rPr>
        <w:t>que ese complejo índice de elementos atrás relacionados, configuran las herramientas a las que debe recurrir para cumplir con los postulados de igualdad material que deben gobernar las providenc</w:t>
      </w:r>
      <w:r w:rsidR="00F42345" w:rsidRPr="0071159C">
        <w:rPr>
          <w:rFonts w:ascii="Arial" w:hAnsi="Arial" w:cs="Arial"/>
          <w:sz w:val="24"/>
          <w:szCs w:val="24"/>
        </w:rPr>
        <w:t>ias judiciales, tales como los t</w:t>
      </w:r>
      <w:r w:rsidR="00D85D25" w:rsidRPr="0071159C">
        <w:rPr>
          <w:rFonts w:ascii="Arial" w:hAnsi="Arial" w:cs="Arial"/>
          <w:sz w:val="24"/>
          <w:szCs w:val="24"/>
        </w:rPr>
        <w:t xml:space="preserve">ratados mencionados, la normativa que regula todo el proceso y los criterios orientadores que guían la actividad del juzgador, porque es más que un simple operador de la ley. </w:t>
      </w:r>
    </w:p>
    <w:p w:rsidR="00507A59" w:rsidRPr="0071159C" w:rsidRDefault="00507A59" w:rsidP="0071159C">
      <w:pPr>
        <w:pStyle w:val="Prrafodelista"/>
        <w:spacing w:line="276" w:lineRule="auto"/>
        <w:rPr>
          <w:rFonts w:ascii="Arial" w:hAnsi="Arial" w:cs="Arial"/>
          <w:sz w:val="24"/>
          <w:szCs w:val="24"/>
        </w:rPr>
      </w:pPr>
    </w:p>
    <w:p w:rsidR="00507A59" w:rsidRPr="0071159C" w:rsidRDefault="00507A59" w:rsidP="0071159C">
      <w:pPr>
        <w:pStyle w:val="Prrafodelista"/>
        <w:numPr>
          <w:ilvl w:val="1"/>
          <w:numId w:val="6"/>
        </w:numPr>
        <w:shd w:val="clear" w:color="auto" w:fill="FFFFFF"/>
        <w:spacing w:after="0" w:line="276" w:lineRule="auto"/>
        <w:jc w:val="both"/>
        <w:textAlignment w:val="baseline"/>
        <w:rPr>
          <w:rFonts w:ascii="Arial" w:hAnsi="Arial" w:cs="Arial"/>
          <w:sz w:val="24"/>
          <w:szCs w:val="24"/>
        </w:rPr>
      </w:pPr>
      <w:r w:rsidRPr="0071159C">
        <w:rPr>
          <w:rFonts w:ascii="Arial" w:hAnsi="Arial" w:cs="Arial"/>
          <w:sz w:val="24"/>
          <w:szCs w:val="24"/>
        </w:rPr>
        <w:t>De igual manera, se puede inferir, inclusive después de una desprevenida lectura de las piezas procesales, que se incurrió en defecto fáctico, al omitir el análisis de las pruebas y al dar fuerza o valor inapropiado a la versión del agresor, con lo cual se altera el principio de igualdad y, repito, se desconocen las reglas y subreglas para el juzgamiento de casos de violencia contra la mujer.</w:t>
      </w:r>
    </w:p>
    <w:p w:rsidR="00D36A24" w:rsidRPr="0071159C" w:rsidRDefault="00D36A24" w:rsidP="0071159C">
      <w:pPr>
        <w:spacing w:after="0" w:line="276" w:lineRule="auto"/>
        <w:jc w:val="both"/>
        <w:rPr>
          <w:rFonts w:ascii="Arial" w:hAnsi="Arial" w:cs="Arial"/>
          <w:sz w:val="24"/>
          <w:szCs w:val="24"/>
        </w:rPr>
      </w:pPr>
    </w:p>
    <w:p w:rsidR="00507A59" w:rsidRPr="0071159C" w:rsidRDefault="00D85D25" w:rsidP="0071159C">
      <w:pPr>
        <w:pStyle w:val="Prrafodelista"/>
        <w:numPr>
          <w:ilvl w:val="0"/>
          <w:numId w:val="6"/>
        </w:numPr>
        <w:spacing w:after="0" w:line="276" w:lineRule="auto"/>
        <w:jc w:val="both"/>
        <w:rPr>
          <w:rFonts w:ascii="Arial" w:hAnsi="Arial" w:cs="Arial"/>
          <w:b/>
          <w:sz w:val="24"/>
          <w:szCs w:val="24"/>
        </w:rPr>
      </w:pPr>
      <w:r w:rsidRPr="0071159C">
        <w:rPr>
          <w:rFonts w:ascii="Arial" w:hAnsi="Arial" w:cs="Arial"/>
          <w:b/>
          <w:sz w:val="24"/>
          <w:szCs w:val="24"/>
        </w:rPr>
        <w:t>Conclusión</w:t>
      </w:r>
    </w:p>
    <w:p w:rsidR="00507A59" w:rsidRPr="0071159C" w:rsidRDefault="00507A59" w:rsidP="0071159C">
      <w:pPr>
        <w:spacing w:after="0" w:line="276" w:lineRule="auto"/>
        <w:jc w:val="both"/>
        <w:rPr>
          <w:rFonts w:ascii="Arial" w:hAnsi="Arial" w:cs="Arial"/>
          <w:sz w:val="24"/>
          <w:szCs w:val="24"/>
        </w:rPr>
      </w:pPr>
    </w:p>
    <w:p w:rsidR="0071159C" w:rsidRPr="0071159C" w:rsidRDefault="0071159C" w:rsidP="0071159C">
      <w:pPr>
        <w:pStyle w:val="Sinespaciado"/>
        <w:numPr>
          <w:ilvl w:val="1"/>
          <w:numId w:val="6"/>
        </w:numPr>
        <w:spacing w:line="276" w:lineRule="auto"/>
        <w:jc w:val="both"/>
        <w:rPr>
          <w:rFonts w:ascii="Arial" w:hAnsi="Arial" w:cs="Arial"/>
          <w:iCs/>
          <w:sz w:val="24"/>
          <w:szCs w:val="24"/>
          <w:bdr w:val="none" w:sz="0" w:space="0" w:color="auto" w:frame="1"/>
          <w:shd w:val="clear" w:color="auto" w:fill="FFFFFF"/>
        </w:rPr>
      </w:pPr>
      <w:r w:rsidRPr="0071159C">
        <w:rPr>
          <w:rFonts w:ascii="Arial" w:hAnsi="Arial" w:cs="Arial"/>
          <w:iCs/>
          <w:sz w:val="24"/>
          <w:szCs w:val="24"/>
          <w:bdr w:val="none" w:sz="0" w:space="0" w:color="auto" w:frame="1"/>
          <w:shd w:val="clear" w:color="auto" w:fill="FFFFFF"/>
        </w:rPr>
        <w:t xml:space="preserve">Dentro de tales escenarios, se identifica la vulneración de los derechos humanos en el marco de la violencia intrafamiliar, que proscrita </w:t>
      </w:r>
      <w:r w:rsidRPr="0071159C">
        <w:rPr>
          <w:rFonts w:ascii="Arial" w:hAnsi="Arial" w:cs="Arial"/>
          <w:iCs/>
          <w:sz w:val="24"/>
          <w:szCs w:val="24"/>
          <w:bdr w:val="none" w:sz="0" w:space="0" w:color="auto" w:frame="1"/>
          <w:shd w:val="clear" w:color="auto" w:fill="FFFFFF"/>
        </w:rPr>
        <w:lastRenderedPageBreak/>
        <w:t>constitucional y legalmente en la legislación interna, está regulada por una normativa trasnacional, de donde deviene la formulación del cuestionamiento que motiva la presente investigación, a fin de determinar si las víctimas de este fenómeno ameritan una protección especial, que pueda tener una regulación consolidada en una proposición jurídica completa, sistemática, conformada por aquellas que  sin estar en el texto constitucional lo integren, esto es, que conformen lo que ha dado en llamarse el bloque de constitucionalidad.</w:t>
      </w:r>
    </w:p>
    <w:p w:rsidR="0071159C" w:rsidRPr="0071159C" w:rsidRDefault="0071159C" w:rsidP="0071159C">
      <w:pPr>
        <w:pStyle w:val="Sinespaciado"/>
        <w:spacing w:line="276" w:lineRule="auto"/>
        <w:jc w:val="both"/>
        <w:rPr>
          <w:rFonts w:ascii="Arial" w:hAnsi="Arial" w:cs="Arial"/>
          <w:iCs/>
          <w:sz w:val="24"/>
          <w:szCs w:val="24"/>
          <w:bdr w:val="none" w:sz="0" w:space="0" w:color="auto" w:frame="1"/>
          <w:shd w:val="clear" w:color="auto" w:fill="FFFFFF"/>
        </w:rPr>
      </w:pPr>
    </w:p>
    <w:p w:rsidR="0071159C" w:rsidRPr="0071159C" w:rsidRDefault="0071159C" w:rsidP="0071159C">
      <w:pPr>
        <w:pStyle w:val="Sinespaciado"/>
        <w:numPr>
          <w:ilvl w:val="1"/>
          <w:numId w:val="6"/>
        </w:numPr>
        <w:spacing w:line="276" w:lineRule="auto"/>
        <w:jc w:val="both"/>
        <w:rPr>
          <w:rFonts w:ascii="Arial" w:hAnsi="Arial" w:cs="Arial"/>
          <w:iCs/>
          <w:sz w:val="24"/>
          <w:szCs w:val="24"/>
          <w:bdr w:val="none" w:sz="0" w:space="0" w:color="auto" w:frame="1"/>
          <w:shd w:val="clear" w:color="auto" w:fill="FFFFFF"/>
        </w:rPr>
      </w:pPr>
      <w:r w:rsidRPr="0071159C">
        <w:rPr>
          <w:rFonts w:ascii="Arial" w:hAnsi="Arial" w:cs="Arial"/>
          <w:iCs/>
          <w:sz w:val="24"/>
          <w:szCs w:val="24"/>
          <w:bdr w:val="none" w:sz="0" w:space="0" w:color="auto" w:frame="1"/>
          <w:shd w:val="clear" w:color="auto" w:fill="FFFFFF"/>
        </w:rPr>
        <w:t>La trascendencia social y jurídica de la problemática formulada, plantea una relevancia superlativa, primero, por tratarse de violación de derechos humanos, y de otro lado, por  su efecto en la familia y en la sociedad, máxime cuando son tan notorios sus efectos.</w:t>
      </w:r>
    </w:p>
    <w:p w:rsidR="0071159C" w:rsidRPr="0071159C" w:rsidRDefault="0071159C" w:rsidP="0071159C">
      <w:pPr>
        <w:spacing w:after="0" w:line="276" w:lineRule="auto"/>
        <w:jc w:val="both"/>
        <w:rPr>
          <w:rFonts w:ascii="Arial" w:hAnsi="Arial" w:cs="Arial"/>
          <w:b/>
          <w:sz w:val="24"/>
          <w:szCs w:val="24"/>
        </w:rPr>
      </w:pPr>
    </w:p>
    <w:p w:rsidR="00EC1179" w:rsidRPr="0071159C" w:rsidRDefault="00EC1179" w:rsidP="0071159C">
      <w:pPr>
        <w:pStyle w:val="Prrafodelista"/>
        <w:numPr>
          <w:ilvl w:val="1"/>
          <w:numId w:val="6"/>
        </w:numPr>
        <w:spacing w:after="0" w:line="276" w:lineRule="auto"/>
        <w:jc w:val="both"/>
        <w:rPr>
          <w:rFonts w:ascii="Arial" w:hAnsi="Arial" w:cs="Arial"/>
          <w:b/>
          <w:sz w:val="24"/>
          <w:szCs w:val="24"/>
        </w:rPr>
      </w:pPr>
      <w:r w:rsidRPr="0071159C">
        <w:rPr>
          <w:rFonts w:ascii="Arial" w:hAnsi="Arial" w:cs="Arial"/>
          <w:sz w:val="24"/>
          <w:szCs w:val="24"/>
        </w:rPr>
        <w:t xml:space="preserve">Pero todo </w:t>
      </w:r>
      <w:r w:rsidR="0071159C" w:rsidRPr="0071159C">
        <w:rPr>
          <w:rFonts w:ascii="Arial" w:hAnsi="Arial" w:cs="Arial"/>
          <w:sz w:val="24"/>
          <w:szCs w:val="24"/>
        </w:rPr>
        <w:t>el</w:t>
      </w:r>
      <w:r w:rsidRPr="0071159C">
        <w:rPr>
          <w:rFonts w:ascii="Arial" w:hAnsi="Arial" w:cs="Arial"/>
          <w:sz w:val="24"/>
          <w:szCs w:val="24"/>
        </w:rPr>
        <w:t xml:space="preserve"> arsenal punitivo y protector no ha sido suficiente para cumplir el mandato constitucional de prevenir, erradicar y sancionar la violencia intrafamiliar (art. 42) y  la Ley 1542 de 2012, lo que sin duda motiva para que en el ámbito interno deba fortalecido para lograr mayores efectos, pues se ha detectado que las barreras están incubadas, no solamente en la cultura y la idiosincrasia de la ciudadanía, sino, lo más grave, arraigadas en la conciencia de los operadores judiciales encargados de su juzgamiento. Es por ello que se identifica a la violencia intrafamiliar como generador de violación de derechos humanos, especialmente de la mujer, que goza del derecho a una vida libre de violencias, y es por ello que los tratados internacionales ratificados por Colombia, que se ocupan de su protección, vienen a integrar nuestra legislación interna para el fortalecimiento, tanto jurídico como institucional, lo que se ha logrado a través de su incorporación al bloque de constitucionalidad</w:t>
      </w:r>
    </w:p>
    <w:p w:rsidR="00EC1179" w:rsidRPr="0071159C" w:rsidRDefault="00EC1179" w:rsidP="0071159C">
      <w:pPr>
        <w:pStyle w:val="Sinespaciado"/>
        <w:spacing w:line="276" w:lineRule="auto"/>
        <w:jc w:val="both"/>
        <w:rPr>
          <w:rFonts w:ascii="Arial" w:hAnsi="Arial" w:cs="Arial"/>
          <w:sz w:val="24"/>
          <w:szCs w:val="24"/>
        </w:rPr>
      </w:pPr>
    </w:p>
    <w:p w:rsidR="00EC1179" w:rsidRPr="0071159C" w:rsidRDefault="00EC1179" w:rsidP="0071159C">
      <w:pPr>
        <w:pStyle w:val="Sinespaciado"/>
        <w:numPr>
          <w:ilvl w:val="1"/>
          <w:numId w:val="6"/>
        </w:numPr>
        <w:spacing w:line="276" w:lineRule="auto"/>
        <w:jc w:val="both"/>
        <w:rPr>
          <w:rFonts w:ascii="Arial" w:hAnsi="Arial" w:cs="Arial"/>
          <w:sz w:val="24"/>
          <w:szCs w:val="24"/>
        </w:rPr>
      </w:pPr>
      <w:r w:rsidRPr="0071159C">
        <w:rPr>
          <w:rFonts w:ascii="Arial" w:hAnsi="Arial" w:cs="Arial"/>
          <w:sz w:val="24"/>
          <w:szCs w:val="24"/>
        </w:rPr>
        <w:t>¿Es trascendente que las mujeres víctimas de la violencia intrafamiliar merezcan el reconocimiento en el entorno judicial colombiano una protección reforzada por los instrumentos internacionales?</w:t>
      </w:r>
      <w:r w:rsidR="0071159C" w:rsidRPr="0071159C">
        <w:rPr>
          <w:rFonts w:ascii="Arial" w:hAnsi="Arial" w:cs="Arial"/>
          <w:sz w:val="24"/>
          <w:szCs w:val="24"/>
        </w:rPr>
        <w:t xml:space="preserve"> La respuesta no puede ser otra. Es necesario, imperativo que los juzgadores asuman una conducta procesal y sustancial acordes a la realidad social que viven las personas sujetos de especial protección constitucional, en este caso las mujeres, niñas, niños y adolescentes.</w:t>
      </w:r>
    </w:p>
    <w:p w:rsidR="00EC1179" w:rsidRPr="0071159C" w:rsidRDefault="00EC1179" w:rsidP="0071159C">
      <w:pPr>
        <w:spacing w:after="0" w:line="276" w:lineRule="auto"/>
        <w:jc w:val="both"/>
        <w:rPr>
          <w:rFonts w:ascii="Arial" w:hAnsi="Arial" w:cs="Arial"/>
          <w:sz w:val="24"/>
          <w:szCs w:val="24"/>
        </w:rPr>
      </w:pPr>
    </w:p>
    <w:p w:rsidR="0071159C" w:rsidRPr="0071159C" w:rsidRDefault="009134A1" w:rsidP="0071159C">
      <w:pPr>
        <w:pStyle w:val="Prrafodelista"/>
        <w:numPr>
          <w:ilvl w:val="1"/>
          <w:numId w:val="6"/>
        </w:numPr>
        <w:spacing w:after="0" w:line="276" w:lineRule="auto"/>
        <w:jc w:val="both"/>
        <w:rPr>
          <w:rFonts w:ascii="Arial" w:hAnsi="Arial" w:cs="Arial"/>
          <w:sz w:val="24"/>
          <w:szCs w:val="24"/>
          <w:shd w:val="clear" w:color="auto" w:fill="FFFFFF"/>
        </w:rPr>
      </w:pPr>
      <w:r w:rsidRPr="0071159C">
        <w:rPr>
          <w:rFonts w:ascii="Arial" w:hAnsi="Arial" w:cs="Arial"/>
          <w:sz w:val="24"/>
          <w:szCs w:val="24"/>
        </w:rPr>
        <w:t xml:space="preserve">En un análisis objetivo de la jurisprudencia, a manera de cierre, puede afirmarse que desde sus orígenes, la jurisprudencia que establece que el bloque de constitucionalidad configurado en torno a la protección de la mujer frente a la violencia de la que es víctima en el espacio familiar, </w:t>
      </w:r>
      <w:r w:rsidRPr="0071159C">
        <w:rPr>
          <w:rFonts w:ascii="Arial" w:hAnsi="Arial" w:cs="Arial"/>
          <w:sz w:val="24"/>
          <w:szCs w:val="24"/>
        </w:rPr>
        <w:lastRenderedPageBreak/>
        <w:t>más que una  herramienta, es un compromiso del Estado colombiano; que constituye un medio idóneo para fortalecer el cumplimiento de los cometidos constitucionales consagrados en el Preámbulo y los artículos 13, 29, 42, 43 y 93.</w:t>
      </w:r>
    </w:p>
    <w:p w:rsidR="0071159C" w:rsidRPr="0071159C" w:rsidRDefault="0071159C" w:rsidP="0071159C">
      <w:pPr>
        <w:pStyle w:val="Prrafodelista"/>
        <w:spacing w:line="276" w:lineRule="auto"/>
        <w:rPr>
          <w:rFonts w:ascii="Arial" w:hAnsi="Arial" w:cs="Arial"/>
          <w:sz w:val="24"/>
          <w:szCs w:val="24"/>
        </w:rPr>
      </w:pPr>
    </w:p>
    <w:p w:rsidR="0071159C" w:rsidRPr="0071159C" w:rsidRDefault="009134A1" w:rsidP="0071159C">
      <w:pPr>
        <w:pStyle w:val="Prrafodelista"/>
        <w:numPr>
          <w:ilvl w:val="1"/>
          <w:numId w:val="6"/>
        </w:numPr>
        <w:spacing w:after="0" w:line="276" w:lineRule="auto"/>
        <w:jc w:val="both"/>
        <w:rPr>
          <w:rFonts w:ascii="Arial" w:hAnsi="Arial" w:cs="Arial"/>
          <w:sz w:val="24"/>
          <w:szCs w:val="24"/>
          <w:shd w:val="clear" w:color="auto" w:fill="FFFFFF"/>
        </w:rPr>
      </w:pPr>
      <w:r w:rsidRPr="0071159C">
        <w:rPr>
          <w:rFonts w:ascii="Arial" w:hAnsi="Arial" w:cs="Arial"/>
          <w:sz w:val="24"/>
          <w:szCs w:val="24"/>
        </w:rPr>
        <w:t xml:space="preserve">La </w:t>
      </w:r>
      <w:r w:rsidRPr="0071159C">
        <w:rPr>
          <w:rFonts w:ascii="Arial" w:hAnsi="Arial" w:cs="Arial"/>
          <w:bCs/>
          <w:sz w:val="24"/>
          <w:szCs w:val="24"/>
        </w:rPr>
        <w:t>Convención sobre la Eliminación de Todas las Formas de Discriminación contra la Mujer</w:t>
      </w:r>
      <w:r w:rsidRPr="0071159C">
        <w:rPr>
          <w:rFonts w:ascii="Arial" w:hAnsi="Arial" w:cs="Arial"/>
          <w:sz w:val="24"/>
          <w:szCs w:val="24"/>
        </w:rPr>
        <w:t xml:space="preserve">  CEDAW y la</w:t>
      </w:r>
      <w:r w:rsidRPr="0071159C">
        <w:rPr>
          <w:rFonts w:ascii="Arial" w:hAnsi="Arial" w:cs="Arial"/>
          <w:sz w:val="24"/>
          <w:szCs w:val="24"/>
          <w:shd w:val="clear" w:color="auto" w:fill="FFFFFF"/>
        </w:rPr>
        <w:t xml:space="preserve"> Convención Interamericana para Prevenir, Sancionar y Erradicar la Violencia contra la Mujer o Convención de Belem do Pará, son, de momento, los únicos instrumentos que integran el bloque de constitucionalidad, mediante posición firme, consolidada y reiterada, a pesar de los pocos los pronunciamientos que así la erigen; están concebidos para constituirse en faros, especialmente en materia de administración de justicia, y convertirse en un verdadero garante de derechos de las mujeres víctimas de las violencias y evitar así las responsabilidades que puedan derivarse, desde el control de convencionalidad, exigibles ante posibles actos de negligencia y de denegación de justicia por el Estado colombiano a través de sus autoridades.</w:t>
      </w:r>
      <w:r w:rsidR="0071159C" w:rsidRPr="0071159C">
        <w:rPr>
          <w:rFonts w:ascii="Arial" w:hAnsi="Arial" w:cs="Arial"/>
          <w:sz w:val="24"/>
          <w:szCs w:val="24"/>
          <w:shd w:val="clear" w:color="auto" w:fill="FFFFFF"/>
        </w:rPr>
        <w:t xml:space="preserve"> </w:t>
      </w:r>
    </w:p>
    <w:p w:rsidR="0071159C" w:rsidRPr="0071159C" w:rsidRDefault="0071159C" w:rsidP="0071159C">
      <w:pPr>
        <w:pStyle w:val="Prrafodelista"/>
        <w:spacing w:line="276" w:lineRule="auto"/>
        <w:rPr>
          <w:rFonts w:ascii="Arial" w:hAnsi="Arial" w:cs="Arial"/>
          <w:sz w:val="24"/>
          <w:szCs w:val="24"/>
          <w:shd w:val="clear" w:color="auto" w:fill="FFFFFF"/>
        </w:rPr>
      </w:pPr>
    </w:p>
    <w:p w:rsidR="0071159C" w:rsidRPr="0071159C" w:rsidRDefault="009134A1" w:rsidP="0071159C">
      <w:pPr>
        <w:pStyle w:val="Prrafodelista"/>
        <w:numPr>
          <w:ilvl w:val="1"/>
          <w:numId w:val="6"/>
        </w:numPr>
        <w:spacing w:after="0" w:line="276" w:lineRule="auto"/>
        <w:jc w:val="both"/>
        <w:rPr>
          <w:rFonts w:ascii="Arial" w:hAnsi="Arial" w:cs="Arial"/>
          <w:sz w:val="24"/>
          <w:szCs w:val="24"/>
        </w:rPr>
      </w:pPr>
      <w:r w:rsidRPr="0071159C">
        <w:rPr>
          <w:rFonts w:ascii="Arial" w:hAnsi="Arial" w:cs="Arial"/>
          <w:sz w:val="24"/>
          <w:szCs w:val="24"/>
          <w:shd w:val="clear" w:color="auto" w:fill="FFFFFF"/>
        </w:rPr>
        <w:t>Es severa la jurisprudencia en exigir a tales autoridades, por ende al propio Estado, que debe cumplir con los estatutos con los que se ha comprometido y debe honrar</w:t>
      </w:r>
      <w:r w:rsidR="00411AF5" w:rsidRPr="0071159C">
        <w:rPr>
          <w:rFonts w:ascii="Arial" w:hAnsi="Arial" w:cs="Arial"/>
          <w:sz w:val="24"/>
          <w:szCs w:val="24"/>
          <w:shd w:val="clear" w:color="auto" w:fill="FFFFFF"/>
        </w:rPr>
        <w:t>los</w:t>
      </w:r>
      <w:r w:rsidRPr="0071159C">
        <w:rPr>
          <w:rFonts w:ascii="Arial" w:hAnsi="Arial" w:cs="Arial"/>
          <w:sz w:val="24"/>
          <w:szCs w:val="24"/>
          <w:shd w:val="clear" w:color="auto" w:fill="FFFFFF"/>
        </w:rPr>
        <w:t>, y que sólo se llega a una sociedad igualitaria cuando hombres y mujeres se encuentren en un plano de igualdad material, sin visos de discriminación ni de violencias de las que éstas puedan ser víctimas.</w:t>
      </w:r>
      <w:r w:rsidR="0071159C" w:rsidRPr="0071159C">
        <w:rPr>
          <w:rFonts w:ascii="Arial" w:hAnsi="Arial" w:cs="Arial"/>
          <w:sz w:val="24"/>
          <w:szCs w:val="24"/>
          <w:shd w:val="clear" w:color="auto" w:fill="FFFFFF"/>
        </w:rPr>
        <w:t xml:space="preserve"> </w:t>
      </w:r>
    </w:p>
    <w:p w:rsidR="0071159C" w:rsidRPr="0071159C" w:rsidRDefault="0071159C" w:rsidP="0071159C">
      <w:pPr>
        <w:pStyle w:val="Prrafodelista"/>
        <w:spacing w:line="276" w:lineRule="auto"/>
        <w:rPr>
          <w:rFonts w:ascii="Arial" w:hAnsi="Arial" w:cs="Arial"/>
          <w:sz w:val="24"/>
          <w:szCs w:val="24"/>
        </w:rPr>
      </w:pPr>
    </w:p>
    <w:p w:rsidR="0071159C" w:rsidRPr="0071159C" w:rsidRDefault="009134A1" w:rsidP="0071159C">
      <w:pPr>
        <w:pStyle w:val="Prrafodelista"/>
        <w:numPr>
          <w:ilvl w:val="1"/>
          <w:numId w:val="6"/>
        </w:numPr>
        <w:spacing w:after="0" w:line="276" w:lineRule="auto"/>
        <w:jc w:val="both"/>
        <w:rPr>
          <w:rFonts w:ascii="Arial" w:hAnsi="Arial" w:cs="Arial"/>
          <w:sz w:val="24"/>
          <w:szCs w:val="24"/>
        </w:rPr>
      </w:pPr>
      <w:r w:rsidRPr="0071159C">
        <w:rPr>
          <w:rFonts w:ascii="Arial" w:hAnsi="Arial" w:cs="Arial"/>
          <w:sz w:val="24"/>
          <w:szCs w:val="24"/>
        </w:rPr>
        <w:t>Respecto al estado actual de la interpretación judicial, el bloque de constitucionalidad viene a reforzar la normativa interna para dar valor al deber de protección a las mujeres en el cambio de la violencia y especialmente en el contexto de la violencia intrafamiliar, por ello exige a las autoridades que investidas de la potestad judicial para su juzgamiento un compromiso mayor y una mejor disposición, mediada por las perspectivas de género y de derechos, como enfoques de comprensión de la problemática. Se llega a esa interpretación por la necesidad de enfrentar un flagelo cada día más creciente, el que no se limita a los casos mediáticos que remueven la conciencia social, sino al sinnúmero causas que se adelantan en comisarías de familia y en los juzgados competentes.</w:t>
      </w:r>
      <w:r w:rsidR="0071159C" w:rsidRPr="0071159C">
        <w:rPr>
          <w:rFonts w:ascii="Arial" w:hAnsi="Arial" w:cs="Arial"/>
          <w:sz w:val="24"/>
          <w:szCs w:val="24"/>
        </w:rPr>
        <w:t xml:space="preserve"> </w:t>
      </w:r>
    </w:p>
    <w:p w:rsidR="0071159C" w:rsidRPr="0071159C" w:rsidRDefault="0071159C" w:rsidP="0071159C">
      <w:pPr>
        <w:pStyle w:val="Prrafodelista"/>
        <w:spacing w:line="276" w:lineRule="auto"/>
        <w:rPr>
          <w:rFonts w:ascii="Arial" w:hAnsi="Arial" w:cs="Arial"/>
          <w:sz w:val="24"/>
          <w:szCs w:val="24"/>
        </w:rPr>
      </w:pPr>
    </w:p>
    <w:p w:rsidR="009134A1" w:rsidRDefault="009134A1" w:rsidP="0071159C">
      <w:pPr>
        <w:pStyle w:val="Prrafodelista"/>
        <w:numPr>
          <w:ilvl w:val="1"/>
          <w:numId w:val="6"/>
        </w:numPr>
        <w:spacing w:after="0" w:line="276" w:lineRule="auto"/>
        <w:jc w:val="both"/>
        <w:rPr>
          <w:rFonts w:ascii="Arial" w:hAnsi="Arial" w:cs="Arial"/>
          <w:sz w:val="24"/>
          <w:szCs w:val="24"/>
        </w:rPr>
      </w:pPr>
      <w:r w:rsidRPr="0071159C">
        <w:rPr>
          <w:rFonts w:ascii="Arial" w:hAnsi="Arial" w:cs="Arial"/>
          <w:sz w:val="24"/>
          <w:szCs w:val="24"/>
        </w:rPr>
        <w:t xml:space="preserve">Un factor de solución es el fortalecimiento del funcionariado que atiende a las víctimas, del que se espera no solo la formación jurídica sino la sensibilidad para entender los principios incorporados en la legislación </w:t>
      </w:r>
      <w:r w:rsidRPr="0071159C">
        <w:rPr>
          <w:rFonts w:ascii="Arial" w:hAnsi="Arial" w:cs="Arial"/>
          <w:sz w:val="24"/>
          <w:szCs w:val="24"/>
        </w:rPr>
        <w:lastRenderedPageBreak/>
        <w:t>integrada en torno al bloque de constitucionalidad , y en ese sentido se orienta la jurisprudencia dominante.</w:t>
      </w:r>
    </w:p>
    <w:p w:rsidR="0071159C" w:rsidRPr="0071159C" w:rsidRDefault="0071159C" w:rsidP="0071159C">
      <w:pPr>
        <w:pStyle w:val="Prrafodelista"/>
        <w:rPr>
          <w:rFonts w:ascii="Arial" w:hAnsi="Arial" w:cs="Arial"/>
          <w:sz w:val="24"/>
          <w:szCs w:val="24"/>
        </w:rPr>
      </w:pPr>
    </w:p>
    <w:p w:rsidR="0071159C" w:rsidRDefault="0071159C" w:rsidP="0071159C">
      <w:pPr>
        <w:pStyle w:val="Prrafodelista"/>
        <w:numPr>
          <w:ilvl w:val="1"/>
          <w:numId w:val="6"/>
        </w:numPr>
        <w:spacing w:after="0" w:line="276" w:lineRule="auto"/>
        <w:jc w:val="both"/>
        <w:rPr>
          <w:rFonts w:ascii="Arial" w:hAnsi="Arial" w:cs="Arial"/>
          <w:sz w:val="24"/>
          <w:szCs w:val="24"/>
        </w:rPr>
      </w:pPr>
      <w:r w:rsidRPr="0071159C">
        <w:rPr>
          <w:rFonts w:ascii="Arial" w:hAnsi="Arial" w:cs="Arial"/>
          <w:sz w:val="24"/>
          <w:szCs w:val="24"/>
        </w:rPr>
        <w:t xml:space="preserve">Bien, ahora, la tutela contra providencias judiciales debe sujetarse a un patrón estricto, el fijado por la Corte Constitucional como organismo de cierre de esa jurisdicción, y la intentada por la señora MÓNICA MARÍA MORALES ACEVEDO cumple con las pautas determinadas en ese patrón con base en lo expuesto, es decir, que la decisión del Juez 1 de Familia de Zipaquirá, atacada por esa vía, si hubiera tomado los parámetros fijados por el precedente jurisprudencial en cuanto a la forma de analizar e intervenir el proceso, muy probablemente su decisión hubiera sido otra, por ello dicho juzgador debería tener la oportunidad de revisar su propia sentencia y con base en los lineamientos previstos para ese juzgamiento, adoptar la que a ellos se ajuste. </w:t>
      </w:r>
    </w:p>
    <w:p w:rsidR="0071159C" w:rsidRPr="0071159C" w:rsidRDefault="0071159C" w:rsidP="0071159C">
      <w:pPr>
        <w:pStyle w:val="Prrafodelista"/>
        <w:rPr>
          <w:rFonts w:ascii="Arial" w:hAnsi="Arial" w:cs="Arial"/>
          <w:sz w:val="24"/>
          <w:szCs w:val="24"/>
        </w:rPr>
      </w:pPr>
    </w:p>
    <w:p w:rsidR="0071159C" w:rsidRDefault="0071159C" w:rsidP="0071159C">
      <w:pPr>
        <w:pStyle w:val="Prrafodelista"/>
        <w:numPr>
          <w:ilvl w:val="1"/>
          <w:numId w:val="6"/>
        </w:numPr>
        <w:spacing w:after="0" w:line="276" w:lineRule="auto"/>
        <w:jc w:val="both"/>
        <w:rPr>
          <w:rFonts w:ascii="Arial" w:hAnsi="Arial" w:cs="Arial"/>
          <w:sz w:val="24"/>
          <w:szCs w:val="24"/>
        </w:rPr>
      </w:pPr>
      <w:r>
        <w:rPr>
          <w:rFonts w:ascii="Arial" w:hAnsi="Arial" w:cs="Arial"/>
          <w:sz w:val="24"/>
          <w:szCs w:val="24"/>
        </w:rPr>
        <w:t xml:space="preserve">Sean suficientes </w:t>
      </w:r>
      <w:r w:rsidR="001643F7">
        <w:rPr>
          <w:rFonts w:ascii="Arial" w:hAnsi="Arial" w:cs="Arial"/>
          <w:sz w:val="24"/>
          <w:szCs w:val="24"/>
        </w:rPr>
        <w:t>las consideraciones recogida</w:t>
      </w:r>
      <w:r w:rsidR="00877245">
        <w:rPr>
          <w:rFonts w:ascii="Arial" w:hAnsi="Arial" w:cs="Arial"/>
          <w:sz w:val="24"/>
          <w:szCs w:val="24"/>
        </w:rPr>
        <w:t>s en este escrito,</w:t>
      </w:r>
      <w:r w:rsidR="001643F7">
        <w:rPr>
          <w:rFonts w:ascii="Arial" w:hAnsi="Arial" w:cs="Arial"/>
          <w:sz w:val="24"/>
          <w:szCs w:val="24"/>
        </w:rPr>
        <w:t xml:space="preserve"> </w:t>
      </w:r>
      <w:r w:rsidR="00877245">
        <w:rPr>
          <w:rFonts w:ascii="Arial" w:hAnsi="Arial" w:cs="Arial"/>
          <w:sz w:val="24"/>
          <w:szCs w:val="24"/>
        </w:rPr>
        <w:t>para solicitar el amparo pretendido por la</w:t>
      </w:r>
      <w:r w:rsidR="001643F7">
        <w:rPr>
          <w:rFonts w:ascii="Arial" w:hAnsi="Arial" w:cs="Arial"/>
          <w:sz w:val="24"/>
          <w:szCs w:val="24"/>
        </w:rPr>
        <w:t xml:space="preserve"> libelis</w:t>
      </w:r>
      <w:r w:rsidR="00877245">
        <w:rPr>
          <w:rFonts w:ascii="Arial" w:hAnsi="Arial" w:cs="Arial"/>
          <w:sz w:val="24"/>
          <w:szCs w:val="24"/>
        </w:rPr>
        <w:t>ta</w:t>
      </w:r>
      <w:r w:rsidR="006A2785">
        <w:rPr>
          <w:rFonts w:ascii="Arial" w:hAnsi="Arial" w:cs="Arial"/>
          <w:sz w:val="24"/>
          <w:szCs w:val="24"/>
        </w:rPr>
        <w:t>, por lo que además de la sentencia de tutela que se impone, esto es, dejando sin valor ni efecto la decisión del Juzgado Primero de Familia de Zipaquirá, deberá hacerse un fuerte llamado a la señora juez, para que atienda las reglas y subreglas fijadas por la jurisprudencia, para intervenir los casos de violencia  intrafamiliar y en especial de violencia contra la mujer cometidos a su conocimiento, con criterio diferenciador, y un enfoque de género y de derechos, pues no es esta la primera vez que se sometida a la revisión por esta vía, de sus sentencias.</w:t>
      </w:r>
    </w:p>
    <w:p w:rsidR="006A2785" w:rsidRPr="006A2785" w:rsidRDefault="006A2785" w:rsidP="006A2785">
      <w:pPr>
        <w:pStyle w:val="Prrafodelista"/>
        <w:rPr>
          <w:rFonts w:ascii="Arial" w:hAnsi="Arial" w:cs="Arial"/>
          <w:sz w:val="24"/>
          <w:szCs w:val="24"/>
        </w:rPr>
      </w:pPr>
    </w:p>
    <w:p w:rsidR="006A2785" w:rsidRDefault="006A2785" w:rsidP="006A2785">
      <w:pPr>
        <w:spacing w:after="0" w:line="276" w:lineRule="auto"/>
        <w:jc w:val="both"/>
        <w:rPr>
          <w:rFonts w:ascii="Arial" w:hAnsi="Arial" w:cs="Arial"/>
          <w:sz w:val="24"/>
          <w:szCs w:val="24"/>
        </w:rPr>
      </w:pPr>
      <w:r>
        <w:rPr>
          <w:rFonts w:ascii="Arial" w:hAnsi="Arial" w:cs="Arial"/>
          <w:sz w:val="24"/>
          <w:szCs w:val="24"/>
        </w:rPr>
        <w:t>Atentamente,</w:t>
      </w:r>
    </w:p>
    <w:p w:rsidR="006A2785" w:rsidRDefault="006A2785" w:rsidP="006A2785">
      <w:pPr>
        <w:spacing w:after="0" w:line="276" w:lineRule="auto"/>
        <w:jc w:val="both"/>
        <w:rPr>
          <w:rFonts w:ascii="Arial" w:hAnsi="Arial" w:cs="Arial"/>
          <w:sz w:val="24"/>
          <w:szCs w:val="24"/>
        </w:rPr>
      </w:pPr>
    </w:p>
    <w:p w:rsidR="006A2785" w:rsidRDefault="006A2785" w:rsidP="006A2785">
      <w:pPr>
        <w:spacing w:after="0" w:line="276" w:lineRule="auto"/>
        <w:jc w:val="both"/>
        <w:rPr>
          <w:rFonts w:ascii="Arial" w:hAnsi="Arial" w:cs="Arial"/>
          <w:sz w:val="24"/>
          <w:szCs w:val="24"/>
        </w:rPr>
      </w:pPr>
    </w:p>
    <w:p w:rsidR="006A2785" w:rsidRDefault="006A2785" w:rsidP="006A2785">
      <w:pPr>
        <w:spacing w:after="0" w:line="276" w:lineRule="auto"/>
        <w:jc w:val="both"/>
        <w:rPr>
          <w:rFonts w:ascii="Arial" w:hAnsi="Arial" w:cs="Arial"/>
          <w:sz w:val="24"/>
          <w:szCs w:val="24"/>
        </w:rPr>
      </w:pPr>
    </w:p>
    <w:p w:rsidR="006A2785" w:rsidRDefault="006A2785" w:rsidP="006A2785">
      <w:pPr>
        <w:spacing w:after="0" w:line="276" w:lineRule="auto"/>
        <w:jc w:val="both"/>
        <w:rPr>
          <w:rFonts w:ascii="Arial" w:hAnsi="Arial" w:cs="Arial"/>
          <w:sz w:val="24"/>
          <w:szCs w:val="24"/>
        </w:rPr>
      </w:pPr>
    </w:p>
    <w:p w:rsidR="006A2785" w:rsidRPr="006A2785" w:rsidRDefault="006A2785" w:rsidP="006A2785">
      <w:pPr>
        <w:spacing w:after="0" w:line="276" w:lineRule="auto"/>
        <w:jc w:val="center"/>
        <w:rPr>
          <w:rFonts w:ascii="Arial" w:hAnsi="Arial" w:cs="Arial"/>
          <w:b/>
          <w:i/>
          <w:sz w:val="24"/>
          <w:szCs w:val="24"/>
        </w:rPr>
      </w:pPr>
      <w:r w:rsidRPr="006A2785">
        <w:rPr>
          <w:rFonts w:ascii="Arial" w:hAnsi="Arial" w:cs="Arial"/>
          <w:b/>
          <w:i/>
          <w:sz w:val="24"/>
          <w:szCs w:val="24"/>
        </w:rPr>
        <w:t>HENRY ZÁRATE CORTÉS</w:t>
      </w:r>
    </w:p>
    <w:p w:rsidR="006A2785" w:rsidRPr="006A2785" w:rsidRDefault="006A2785" w:rsidP="006A2785">
      <w:pPr>
        <w:spacing w:after="0" w:line="276" w:lineRule="auto"/>
        <w:jc w:val="center"/>
        <w:rPr>
          <w:rFonts w:ascii="Arial" w:hAnsi="Arial" w:cs="Arial"/>
          <w:b/>
          <w:i/>
          <w:sz w:val="24"/>
          <w:szCs w:val="24"/>
        </w:rPr>
      </w:pPr>
      <w:r w:rsidRPr="006A2785">
        <w:rPr>
          <w:rFonts w:ascii="Arial" w:hAnsi="Arial" w:cs="Arial"/>
          <w:b/>
          <w:i/>
          <w:sz w:val="24"/>
          <w:szCs w:val="24"/>
        </w:rPr>
        <w:t>Procurador 61 Judicial II de Familia</w:t>
      </w:r>
    </w:p>
    <w:p w:rsidR="009134A1" w:rsidRPr="0071159C" w:rsidRDefault="009134A1" w:rsidP="0071159C">
      <w:pPr>
        <w:spacing w:after="0" w:line="276" w:lineRule="auto"/>
        <w:jc w:val="center"/>
        <w:rPr>
          <w:rFonts w:ascii="Arial" w:hAnsi="Arial" w:cs="Arial"/>
          <w:sz w:val="24"/>
          <w:szCs w:val="24"/>
        </w:rPr>
      </w:pPr>
    </w:p>
    <w:p w:rsidR="0071159C" w:rsidRPr="0071159C" w:rsidRDefault="0071159C">
      <w:pPr>
        <w:spacing w:after="0" w:line="276" w:lineRule="auto"/>
        <w:jc w:val="center"/>
        <w:rPr>
          <w:rFonts w:ascii="Arial" w:hAnsi="Arial" w:cs="Arial"/>
          <w:sz w:val="24"/>
          <w:szCs w:val="24"/>
        </w:rPr>
      </w:pPr>
    </w:p>
    <w:sectPr w:rsidR="0071159C" w:rsidRPr="0071159C" w:rsidSect="00960880">
      <w:headerReference w:type="default" r:id="rId8"/>
      <w:pgSz w:w="12242" w:h="18722" w:code="14"/>
      <w:pgMar w:top="2835" w:right="1701" w:bottom="1985"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DAF" w:rsidRDefault="00FB2DAF" w:rsidP="00960880">
      <w:pPr>
        <w:spacing w:after="0" w:line="240" w:lineRule="auto"/>
      </w:pPr>
      <w:r>
        <w:separator/>
      </w:r>
    </w:p>
  </w:endnote>
  <w:endnote w:type="continuationSeparator" w:id="0">
    <w:p w:rsidR="00FB2DAF" w:rsidRDefault="00FB2DAF" w:rsidP="00960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DAF" w:rsidRDefault="00FB2DAF" w:rsidP="00960880">
      <w:pPr>
        <w:spacing w:after="0" w:line="240" w:lineRule="auto"/>
      </w:pPr>
      <w:r>
        <w:separator/>
      </w:r>
    </w:p>
  </w:footnote>
  <w:footnote w:type="continuationSeparator" w:id="0">
    <w:p w:rsidR="00FB2DAF" w:rsidRDefault="00FB2DAF" w:rsidP="00960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EA4" w:rsidRDefault="00115EA4" w:rsidP="00115EA4">
    <w:pPr>
      <w:pStyle w:val="Encabezado"/>
      <w:jc w:val="center"/>
    </w:pPr>
    <w:r w:rsidRPr="00960880">
      <w:rPr>
        <w:rFonts w:ascii="Arial" w:hAnsi="Arial" w:cs="Arial"/>
        <w:b/>
        <w:noProof/>
        <w:sz w:val="24"/>
        <w:szCs w:val="24"/>
        <w:lang w:eastAsia="es-CO"/>
      </w:rPr>
      <w:drawing>
        <wp:inline distT="0" distB="0" distL="0" distR="0" wp14:anchorId="76D06DA0" wp14:editId="350A94C0">
          <wp:extent cx="894080" cy="960120"/>
          <wp:effectExtent l="0" t="0" r="1270" b="0"/>
          <wp:docPr id="1" name="Imagen 1" descr="logo_procuradu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ocuradu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410" cy="959401"/>
                  </a:xfrm>
                  <a:prstGeom prst="rect">
                    <a:avLst/>
                  </a:prstGeom>
                  <a:noFill/>
                  <a:ln>
                    <a:noFill/>
                  </a:ln>
                </pic:spPr>
              </pic:pic>
            </a:graphicData>
          </a:graphic>
        </wp:inline>
      </w:drawing>
    </w:r>
  </w:p>
  <w:p w:rsidR="00115EA4" w:rsidRPr="00115EA4" w:rsidRDefault="00115EA4" w:rsidP="00115EA4">
    <w:pPr>
      <w:spacing w:after="0" w:line="240" w:lineRule="auto"/>
      <w:jc w:val="center"/>
      <w:rPr>
        <w:b/>
        <w:i/>
      </w:rPr>
    </w:pPr>
    <w:r w:rsidRPr="00115EA4">
      <w:rPr>
        <w:b/>
        <w:i/>
      </w:rPr>
      <w:t>Procuraduría 61 Judicial II de Familia</w:t>
    </w:r>
  </w:p>
  <w:p w:rsidR="00115EA4" w:rsidRPr="00115EA4" w:rsidRDefault="00115EA4" w:rsidP="00115EA4">
    <w:pPr>
      <w:spacing w:after="0" w:line="240" w:lineRule="auto"/>
      <w:jc w:val="center"/>
      <w:rPr>
        <w:b/>
        <w:i/>
      </w:rPr>
    </w:pPr>
    <w:r w:rsidRPr="00115EA4">
      <w:rPr>
        <w:b/>
        <w:i/>
      </w:rPr>
      <w:t>Calle 16 No. 4-75 Oficina 201 Bogotá D.C.,</w:t>
    </w:r>
  </w:p>
  <w:p w:rsidR="00115EA4" w:rsidRDefault="00115E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6379"/>
    <w:multiLevelType w:val="multilevel"/>
    <w:tmpl w:val="B75AA166"/>
    <w:lvl w:ilvl="0">
      <w:start w:val="2"/>
      <w:numFmt w:val="decimal"/>
      <w:lvlText w:val="%1."/>
      <w:lvlJc w:val="left"/>
      <w:pPr>
        <w:ind w:left="400" w:hanging="400"/>
      </w:pPr>
      <w:rPr>
        <w:rFonts w:hint="default"/>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 w15:restartNumberingAfterBreak="0">
    <w:nsid w:val="25CC38E2"/>
    <w:multiLevelType w:val="multilevel"/>
    <w:tmpl w:val="8FFAD13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3E1798"/>
    <w:multiLevelType w:val="multilevel"/>
    <w:tmpl w:val="6B7843DE"/>
    <w:lvl w:ilvl="0">
      <w:start w:val="1"/>
      <w:numFmt w:val="decimal"/>
      <w:lvlText w:val="%1."/>
      <w:lvlJc w:val="left"/>
      <w:pPr>
        <w:ind w:left="720" w:hanging="360"/>
      </w:pPr>
      <w:rPr>
        <w:rFonts w:hint="default"/>
        <w:b/>
        <w:i/>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73B655DC"/>
    <w:multiLevelType w:val="multilevel"/>
    <w:tmpl w:val="65D870D2"/>
    <w:lvl w:ilvl="0">
      <w:start w:val="1"/>
      <w:numFmt w:val="decimal"/>
      <w:lvlText w:val="%1."/>
      <w:lvlJc w:val="left"/>
      <w:pPr>
        <w:ind w:left="465" w:hanging="465"/>
      </w:pPr>
      <w:rPr>
        <w:rFonts w:eastAsiaTheme="minorHAnsi" w:hint="default"/>
        <w:color w:val="auto"/>
      </w:rPr>
    </w:lvl>
    <w:lvl w:ilvl="1">
      <w:start w:val="1"/>
      <w:numFmt w:val="decimal"/>
      <w:lvlText w:val="%1.%2."/>
      <w:lvlJc w:val="left"/>
      <w:pPr>
        <w:ind w:left="720" w:hanging="720"/>
      </w:pPr>
      <w:rPr>
        <w:rFonts w:eastAsiaTheme="minorHAnsi" w:hint="default"/>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1080" w:hanging="108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440" w:hanging="144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800" w:hanging="1800"/>
      </w:pPr>
      <w:rPr>
        <w:rFonts w:eastAsiaTheme="minorHAnsi" w:hint="default"/>
        <w:color w:val="auto"/>
      </w:rPr>
    </w:lvl>
    <w:lvl w:ilvl="8">
      <w:start w:val="1"/>
      <w:numFmt w:val="decimal"/>
      <w:lvlText w:val="%1.%2.%3.%4.%5.%6.%7.%8.%9."/>
      <w:lvlJc w:val="left"/>
      <w:pPr>
        <w:ind w:left="2160" w:hanging="2160"/>
      </w:pPr>
      <w:rPr>
        <w:rFonts w:eastAsiaTheme="minorHAnsi" w:hint="default"/>
        <w:color w:val="auto"/>
      </w:rPr>
    </w:lvl>
  </w:abstractNum>
  <w:abstractNum w:abstractNumId="4" w15:restartNumberingAfterBreak="0">
    <w:nsid w:val="7B967F1B"/>
    <w:multiLevelType w:val="hybridMultilevel"/>
    <w:tmpl w:val="07C0B50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7E3B6F81"/>
    <w:multiLevelType w:val="hybridMultilevel"/>
    <w:tmpl w:val="0D246E5C"/>
    <w:lvl w:ilvl="0" w:tplc="50E24546">
      <w:start w:val="1"/>
      <w:numFmt w:val="decimal"/>
      <w:lvlText w:val="%1."/>
      <w:lvlJc w:val="left"/>
      <w:pPr>
        <w:tabs>
          <w:tab w:val="num" w:pos="780"/>
        </w:tabs>
        <w:ind w:left="780" w:hanging="420"/>
      </w:pPr>
      <w:rPr>
        <w:rFonts w:hint="default"/>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880"/>
    <w:rsid w:val="00024DF1"/>
    <w:rsid w:val="00043293"/>
    <w:rsid w:val="000F779C"/>
    <w:rsid w:val="00115EA4"/>
    <w:rsid w:val="0016035D"/>
    <w:rsid w:val="001643F7"/>
    <w:rsid w:val="001C07CA"/>
    <w:rsid w:val="001E3E5D"/>
    <w:rsid w:val="00262868"/>
    <w:rsid w:val="0026501C"/>
    <w:rsid w:val="00311E4F"/>
    <w:rsid w:val="003869D8"/>
    <w:rsid w:val="00397524"/>
    <w:rsid w:val="003C4AFC"/>
    <w:rsid w:val="003D1021"/>
    <w:rsid w:val="00411AF5"/>
    <w:rsid w:val="00424E8B"/>
    <w:rsid w:val="004268F5"/>
    <w:rsid w:val="00480D19"/>
    <w:rsid w:val="00507A59"/>
    <w:rsid w:val="00546046"/>
    <w:rsid w:val="005464A4"/>
    <w:rsid w:val="0056163B"/>
    <w:rsid w:val="005B151D"/>
    <w:rsid w:val="005E50E1"/>
    <w:rsid w:val="006A2785"/>
    <w:rsid w:val="006D1382"/>
    <w:rsid w:val="006D3EE5"/>
    <w:rsid w:val="006F03A2"/>
    <w:rsid w:val="006F33F6"/>
    <w:rsid w:val="0071159C"/>
    <w:rsid w:val="0074698D"/>
    <w:rsid w:val="007556AE"/>
    <w:rsid w:val="007564B8"/>
    <w:rsid w:val="007A4373"/>
    <w:rsid w:val="007C0415"/>
    <w:rsid w:val="00824F12"/>
    <w:rsid w:val="00846FD7"/>
    <w:rsid w:val="00877245"/>
    <w:rsid w:val="008D3400"/>
    <w:rsid w:val="009134A1"/>
    <w:rsid w:val="00960880"/>
    <w:rsid w:val="00986ECE"/>
    <w:rsid w:val="00987D7F"/>
    <w:rsid w:val="009A34ED"/>
    <w:rsid w:val="009D3114"/>
    <w:rsid w:val="009F3AA9"/>
    <w:rsid w:val="00A17327"/>
    <w:rsid w:val="00A22158"/>
    <w:rsid w:val="00AF3184"/>
    <w:rsid w:val="00B91128"/>
    <w:rsid w:val="00BD18C1"/>
    <w:rsid w:val="00BE2D52"/>
    <w:rsid w:val="00BF3FC8"/>
    <w:rsid w:val="00C26E0F"/>
    <w:rsid w:val="00CA13F4"/>
    <w:rsid w:val="00CB2C11"/>
    <w:rsid w:val="00CC5578"/>
    <w:rsid w:val="00CE2A3E"/>
    <w:rsid w:val="00CE6034"/>
    <w:rsid w:val="00D06FCE"/>
    <w:rsid w:val="00D36A24"/>
    <w:rsid w:val="00D85D25"/>
    <w:rsid w:val="00DC40CB"/>
    <w:rsid w:val="00DD2C12"/>
    <w:rsid w:val="00E53263"/>
    <w:rsid w:val="00E5541A"/>
    <w:rsid w:val="00EC1179"/>
    <w:rsid w:val="00EC159A"/>
    <w:rsid w:val="00F37C48"/>
    <w:rsid w:val="00F42345"/>
    <w:rsid w:val="00F71C48"/>
    <w:rsid w:val="00FB2DAF"/>
    <w:rsid w:val="00FD1038"/>
    <w:rsid w:val="00FE73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1298D6-39A9-4A47-89EA-F2F6EA56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08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0880"/>
  </w:style>
  <w:style w:type="paragraph" w:styleId="Piedepgina">
    <w:name w:val="footer"/>
    <w:basedOn w:val="Normal"/>
    <w:link w:val="PiedepginaCar"/>
    <w:unhideWhenUsed/>
    <w:rsid w:val="009608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0880"/>
  </w:style>
  <w:style w:type="paragraph" w:styleId="NormalWeb">
    <w:name w:val="Normal (Web)"/>
    <w:basedOn w:val="Normal"/>
    <w:unhideWhenUsed/>
    <w:rsid w:val="0096088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608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0880"/>
    <w:rPr>
      <w:rFonts w:ascii="Segoe UI" w:hAnsi="Segoe UI" w:cs="Segoe UI"/>
      <w:sz w:val="18"/>
      <w:szCs w:val="18"/>
    </w:rPr>
  </w:style>
  <w:style w:type="paragraph" w:styleId="Prrafodelista">
    <w:name w:val="List Paragraph"/>
    <w:basedOn w:val="Normal"/>
    <w:uiPriority w:val="34"/>
    <w:qFormat/>
    <w:rsid w:val="00480D19"/>
    <w:pPr>
      <w:ind w:left="720"/>
      <w:contextualSpacing/>
    </w:pPr>
  </w:style>
  <w:style w:type="paragraph" w:styleId="Sinespaciado">
    <w:name w:val="No Spacing"/>
    <w:uiPriority w:val="1"/>
    <w:qFormat/>
    <w:rsid w:val="009134A1"/>
    <w:pPr>
      <w:spacing w:after="0" w:line="240" w:lineRule="auto"/>
    </w:pPr>
  </w:style>
  <w:style w:type="character" w:styleId="Refdenotaalpie">
    <w:name w:val="footnote reference"/>
    <w:basedOn w:val="Fuentedeprrafopredeter"/>
    <w:uiPriority w:val="99"/>
    <w:semiHidden/>
    <w:unhideWhenUsed/>
    <w:rsid w:val="00FD1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34607">
      <w:bodyDiv w:val="1"/>
      <w:marLeft w:val="0"/>
      <w:marRight w:val="0"/>
      <w:marTop w:val="0"/>
      <w:marBottom w:val="0"/>
      <w:divBdr>
        <w:top w:val="none" w:sz="0" w:space="0" w:color="auto"/>
        <w:left w:val="none" w:sz="0" w:space="0" w:color="auto"/>
        <w:bottom w:val="none" w:sz="0" w:space="0" w:color="auto"/>
        <w:right w:val="none" w:sz="0" w:space="0" w:color="auto"/>
      </w:divBdr>
    </w:div>
    <w:div w:id="1128426613">
      <w:bodyDiv w:val="1"/>
      <w:marLeft w:val="0"/>
      <w:marRight w:val="0"/>
      <w:marTop w:val="0"/>
      <w:marBottom w:val="0"/>
      <w:divBdr>
        <w:top w:val="none" w:sz="0" w:space="0" w:color="auto"/>
        <w:left w:val="none" w:sz="0" w:space="0" w:color="auto"/>
        <w:bottom w:val="none" w:sz="0" w:space="0" w:color="auto"/>
        <w:right w:val="none" w:sz="0" w:space="0" w:color="auto"/>
      </w:divBdr>
    </w:div>
    <w:div w:id="1744183438">
      <w:bodyDiv w:val="1"/>
      <w:marLeft w:val="0"/>
      <w:marRight w:val="0"/>
      <w:marTop w:val="0"/>
      <w:marBottom w:val="0"/>
      <w:divBdr>
        <w:top w:val="none" w:sz="0" w:space="0" w:color="auto"/>
        <w:left w:val="none" w:sz="0" w:space="0" w:color="auto"/>
        <w:bottom w:val="none" w:sz="0" w:space="0" w:color="auto"/>
        <w:right w:val="none" w:sz="0" w:space="0" w:color="auto"/>
      </w:divBdr>
    </w:div>
    <w:div w:id="202593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B4FA8-D71F-4D58-995F-8E59C41B0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11</Pages>
  <Words>3851</Words>
  <Characters>21184</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Felipe Fernandez Rocha</dc:creator>
  <cp:lastModifiedBy>HENRY</cp:lastModifiedBy>
  <cp:revision>5</cp:revision>
  <cp:lastPrinted>2017-12-18T03:44:00Z</cp:lastPrinted>
  <dcterms:created xsi:type="dcterms:W3CDTF">2018-09-04T01:30:00Z</dcterms:created>
  <dcterms:modified xsi:type="dcterms:W3CDTF">2018-09-04T02:56:00Z</dcterms:modified>
</cp:coreProperties>
</file>