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E1F79" w:rsidRPr="004E1F79" w:rsidRDefault="004E1F79" w:rsidP="000F5D8D">
      <w:pPr>
        <w:spacing w:after="0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651"/>
        <w:gridCol w:w="6537"/>
      </w:tblGrid>
      <w:tr w:rsidR="000F5D8D" w:rsidRPr="004E1F79" w14:paraId="55FFDE13" w14:textId="77777777" w:rsidTr="6FDBE3F2">
        <w:trPr>
          <w:trHeight w:val="298"/>
        </w:trPr>
        <w:tc>
          <w:tcPr>
            <w:tcW w:w="5000" w:type="pct"/>
            <w:gridSpan w:val="2"/>
            <w:shd w:val="clear" w:color="auto" w:fill="960000"/>
            <w:vAlign w:val="center"/>
          </w:tcPr>
          <w:p w14:paraId="0484FF25" w14:textId="77777777" w:rsidR="000F5D8D" w:rsidRPr="000F5D8D" w:rsidRDefault="000F5D8D" w:rsidP="000F5D8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IDENTIFICACIÓN</w:t>
            </w:r>
          </w:p>
        </w:tc>
      </w:tr>
      <w:tr w:rsidR="004E1F79" w:rsidRPr="004E1F79" w14:paraId="23F5449E" w14:textId="77777777" w:rsidTr="6FDBE3F2">
        <w:trPr>
          <w:trHeight w:val="417"/>
        </w:trPr>
        <w:tc>
          <w:tcPr>
            <w:tcW w:w="1792" w:type="pct"/>
            <w:shd w:val="clear" w:color="auto" w:fill="960000"/>
            <w:vAlign w:val="center"/>
          </w:tcPr>
          <w:p w14:paraId="444C22CA" w14:textId="77777777" w:rsidR="004E1F79" w:rsidRPr="004E1F79" w:rsidRDefault="004E1F79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>Procuraduría Delegada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 xml:space="preserve"> Preventiva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1EDCF0AB" w14:textId="77777777" w:rsidR="004E1F79" w:rsidRPr="00C75B92" w:rsidRDefault="00C75B92" w:rsidP="000F5D8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Procuraduría Delegada para Asuntos Ambientales</w:t>
            </w:r>
          </w:p>
        </w:tc>
      </w:tr>
      <w:tr w:rsidR="004E1F79" w:rsidRPr="004E1F79" w14:paraId="35553D91" w14:textId="77777777" w:rsidTr="6FDBE3F2">
        <w:trPr>
          <w:trHeight w:val="422"/>
        </w:trPr>
        <w:tc>
          <w:tcPr>
            <w:tcW w:w="1792" w:type="pct"/>
            <w:shd w:val="clear" w:color="auto" w:fill="960000"/>
            <w:vAlign w:val="center"/>
          </w:tcPr>
          <w:p w14:paraId="69B08543" w14:textId="77777777" w:rsidR="004E1F79" w:rsidRPr="004E1F79" w:rsidRDefault="000B57FC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Caso Exitoso para Guía Preventiva</w:t>
            </w:r>
            <w:r w:rsidR="004E1F79"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02CCF30D" w14:textId="77777777" w:rsidR="004E1F79" w:rsidRPr="004E1F79" w:rsidRDefault="00C75B92" w:rsidP="000F5D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Incidencia y litigio estratégico para la suscripción del Acuerdo Regional de Escazú.</w:t>
            </w:r>
          </w:p>
        </w:tc>
      </w:tr>
      <w:tr w:rsidR="004E1F79" w:rsidRPr="004E1F79" w14:paraId="7CCA4B2C" w14:textId="77777777" w:rsidTr="6FDBE3F2">
        <w:trPr>
          <w:trHeight w:val="400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14:paraId="1962D229" w14:textId="77777777" w:rsidR="004E1F79" w:rsidRPr="004E1F79" w:rsidRDefault="004E1F79" w:rsidP="000F5D8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Fecha de 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>cierre del caso exitoso</w:t>
            </w:r>
            <w:r w:rsidR="000F5D8D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F5D8D" w:rsidRPr="00DA0C43">
              <w:rPr>
                <w:rFonts w:ascii="Arial" w:hAnsi="Arial" w:cs="Arial"/>
                <w:b/>
                <w:color w:val="FFFFFF" w:themeColor="background1"/>
                <w:sz w:val="20"/>
              </w:rPr>
              <w:t>(dd/mm/aa)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C37DB" w14:textId="77777777" w:rsidR="004E1F79" w:rsidRPr="004E1F79" w:rsidRDefault="00C75B92" w:rsidP="000F5D8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9/12/2019</w:t>
            </w:r>
          </w:p>
        </w:tc>
      </w:tr>
      <w:tr w:rsidR="00DA0C43" w:rsidRPr="004E1F79" w14:paraId="75697EEC" w14:textId="77777777" w:rsidTr="6FDBE3F2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9B8484" w14:textId="77777777" w:rsidR="00DA0C43" w:rsidRPr="00DA0C43" w:rsidRDefault="00C75B92" w:rsidP="000F5D8D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7</w:t>
            </w:r>
          </w:p>
        </w:tc>
      </w:tr>
      <w:tr w:rsidR="000F5D8D" w:rsidRPr="004E1F79" w14:paraId="29DF5856" w14:textId="77777777" w:rsidTr="6FDBE3F2">
        <w:tblPrEx>
          <w:jc w:val="center"/>
        </w:tblPrEx>
        <w:trPr>
          <w:trHeight w:val="3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14:paraId="11475507" w14:textId="77777777" w:rsidR="000F5D8D" w:rsidRPr="004E1F79" w:rsidRDefault="000F5D8D" w:rsidP="00241B78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ALCANCE DE LA ACTUACIÓN PREVENTIVA</w:t>
            </w:r>
            <w:r w:rsidR="000B57F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ADELANTADA</w:t>
            </w:r>
          </w:p>
        </w:tc>
      </w:tr>
      <w:tr w:rsidR="000F5D8D" w:rsidRPr="004E1F79" w14:paraId="5987D680" w14:textId="77777777" w:rsidTr="6FDBE3F2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14:paraId="521CDEF7" w14:textId="77777777" w:rsidR="000F5D8D" w:rsidRPr="004E1F79" w:rsidRDefault="000F5D8D" w:rsidP="00241B7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Población Beneficiada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14:paraId="52FF5F0C" w14:textId="77777777" w:rsidR="000F5D8D" w:rsidRPr="004E1F79" w:rsidRDefault="00C75B92" w:rsidP="00241B78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Defensores ambientales, población usuaria de información ambiental</w:t>
            </w:r>
          </w:p>
        </w:tc>
      </w:tr>
      <w:tr w:rsidR="000F5D8D" w:rsidRPr="004E1F79" w14:paraId="6E4F26B1" w14:textId="77777777" w:rsidTr="6FDBE3F2">
        <w:tblPrEx>
          <w:jc w:val="center"/>
        </w:tblPrEx>
        <w:trPr>
          <w:trHeight w:val="553"/>
          <w:jc w:val="center"/>
        </w:trPr>
        <w:tc>
          <w:tcPr>
            <w:tcW w:w="1792" w:type="pct"/>
            <w:shd w:val="clear" w:color="auto" w:fill="960000"/>
            <w:vAlign w:val="center"/>
          </w:tcPr>
          <w:p w14:paraId="776CE31C" w14:textId="77777777" w:rsidR="000F5D8D" w:rsidRPr="004E1F79" w:rsidRDefault="000F5D8D" w:rsidP="00241B78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Derecho Asociado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14:paraId="32BBF2C0" w14:textId="77777777" w:rsidR="0076634C" w:rsidRPr="0076634C" w:rsidRDefault="0020339D" w:rsidP="007663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Vida, </w:t>
            </w:r>
            <w:r w:rsidRPr="0076634C">
              <w:rPr>
                <w:rFonts w:ascii="Arial" w:hAnsi="Arial" w:cs="Arial"/>
              </w:rPr>
              <w:t>Ambiente Sano</w:t>
            </w:r>
            <w:r w:rsidR="0076634C" w:rsidRPr="0076634C">
              <w:rPr>
                <w:rFonts w:ascii="Arial" w:hAnsi="Arial" w:cs="Arial"/>
              </w:rPr>
              <w:t>, Acceso a la Información, la Participación Pública y Acceso a la Justicia en Asuntos Ambientales</w:t>
            </w:r>
          </w:p>
          <w:p w14:paraId="0A37501D" w14:textId="77777777" w:rsidR="000F5D8D" w:rsidRPr="004E1F79" w:rsidRDefault="000F5D8D" w:rsidP="00241B7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F5D8D" w:rsidRPr="004E1F79" w14:paraId="22437F75" w14:textId="77777777" w:rsidTr="6FDBE3F2">
        <w:tblPrEx>
          <w:jc w:val="center"/>
        </w:tblPrEx>
        <w:trPr>
          <w:trHeight w:val="533"/>
          <w:jc w:val="center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14:paraId="1865A353" w14:textId="77777777" w:rsidR="000F5D8D" w:rsidRPr="000F5D8D" w:rsidRDefault="000F5D8D" w:rsidP="00241B7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Monto en riesgo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F5D8D">
              <w:rPr>
                <w:rFonts w:ascii="Arial" w:hAnsi="Arial" w:cs="Arial"/>
                <w:b/>
                <w:color w:val="FFFFFF" w:themeColor="background1"/>
              </w:rPr>
              <w:t>proteg</w:t>
            </w:r>
            <w:r w:rsidR="000B57FC">
              <w:rPr>
                <w:rFonts w:ascii="Arial" w:hAnsi="Arial" w:cs="Arial"/>
                <w:b/>
                <w:color w:val="FFFFFF" w:themeColor="background1"/>
              </w:rPr>
              <w:t>ido</w:t>
            </w:r>
            <w:r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vAlign w:val="center"/>
          </w:tcPr>
          <w:p w14:paraId="33B95BAA" w14:textId="77777777" w:rsidR="000F5D8D" w:rsidRPr="004E1F79" w:rsidRDefault="0020339D" w:rsidP="000F5D8D">
            <w:pPr>
              <w:tabs>
                <w:tab w:val="left" w:pos="5685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  <w:tr w:rsidR="00DA0C43" w:rsidRPr="00DA0C43" w14:paraId="5DAB6C7B" w14:textId="77777777" w:rsidTr="6FDBE3F2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EB378F" w14:textId="77777777" w:rsidR="00DA0C43" w:rsidRPr="00DA0C43" w:rsidRDefault="00DA0C43" w:rsidP="00241B78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0B57FC" w:rsidRPr="004E1F79" w14:paraId="609847C0" w14:textId="77777777" w:rsidTr="6FDBE3F2">
        <w:tblPrEx>
          <w:jc w:val="center"/>
        </w:tblPrEx>
        <w:trPr>
          <w:trHeight w:val="4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14:paraId="3940C807" w14:textId="77777777" w:rsidR="000B57FC" w:rsidRPr="004E1F79" w:rsidRDefault="000B57FC" w:rsidP="00A70D75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DE</w:t>
            </w:r>
            <w:bookmarkStart w:id="0" w:name="_GoBack"/>
            <w:bookmarkEnd w:id="0"/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SCRIPCIÓN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DEL CASO EXITOSO</w:t>
            </w:r>
          </w:p>
        </w:tc>
      </w:tr>
      <w:tr w:rsidR="000B57FC" w:rsidRPr="004E1F79" w14:paraId="6564B744" w14:textId="77777777" w:rsidTr="6FDBE3F2">
        <w:tblPrEx>
          <w:jc w:val="center"/>
        </w:tblPrEx>
        <w:trPr>
          <w:trHeight w:val="43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090334A6" w14:textId="77777777" w:rsidR="000B57FC" w:rsidRDefault="0020339D" w:rsidP="00A70D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Cuando se propuso por parte de esta Delegada concentrar esfuerzos en buscar que Colombia, a través del Ejecutivo acogiera, firmara y ratificara el Acuerdo de Escazú, siempre se tuvo en mente varios objetivos: 1. la necesidad de alinear los esfuerzos en sede preventiva con resultados concretos en garantía de derechos colectivos</w:t>
            </w:r>
            <w:r w:rsidR="009410D6">
              <w:rPr>
                <w:rFonts w:ascii="Arial" w:hAnsi="Arial" w:cs="Arial"/>
              </w:rPr>
              <w:t xml:space="preserve"> y personas concretas</w:t>
            </w:r>
            <w:r>
              <w:rPr>
                <w:rFonts w:ascii="Arial" w:hAnsi="Arial" w:cs="Arial"/>
              </w:rPr>
              <w:t xml:space="preserve"> 2.</w:t>
            </w:r>
            <w:r w:rsidR="009410D6">
              <w:rPr>
                <w:rFonts w:ascii="Arial" w:hAnsi="Arial" w:cs="Arial"/>
              </w:rPr>
              <w:t xml:space="preserve"> </w:t>
            </w:r>
            <w:r w:rsidR="0003604F">
              <w:rPr>
                <w:rFonts w:ascii="Arial" w:hAnsi="Arial" w:cs="Arial"/>
              </w:rPr>
              <w:t>Recoger</w:t>
            </w:r>
            <w:r w:rsidR="009410D6">
              <w:rPr>
                <w:rFonts w:ascii="Arial" w:hAnsi="Arial" w:cs="Arial"/>
              </w:rPr>
              <w:t xml:space="preserve"> las demandas concretas de poblaciones que reclamaban un derecho reforzado de acceso a la información ambiental como pública, 3. Coadyuvar lo adelantado por la Procuraduría como garante  del acceso</w:t>
            </w:r>
            <w:r>
              <w:rPr>
                <w:rFonts w:ascii="Arial" w:hAnsi="Arial" w:cs="Arial"/>
              </w:rPr>
              <w:t xml:space="preserve"> </w:t>
            </w:r>
            <w:r w:rsidR="009410D6">
              <w:rPr>
                <w:rFonts w:ascii="Arial" w:hAnsi="Arial" w:cs="Arial"/>
              </w:rPr>
              <w:t xml:space="preserve">a la información pública, reforzado en la Ley 1712 de 2014, y 4. Construir postura y </w:t>
            </w:r>
            <w:r w:rsidR="0003604F">
              <w:rPr>
                <w:rFonts w:ascii="Arial" w:hAnsi="Arial" w:cs="Arial"/>
              </w:rPr>
              <w:t>agendar</w:t>
            </w:r>
            <w:r w:rsidR="009410D6">
              <w:rPr>
                <w:rFonts w:ascii="Arial" w:hAnsi="Arial" w:cs="Arial"/>
              </w:rPr>
              <w:t xml:space="preserve"> públicamente la situación de riesgo de los defensores del ambiente en contexto post acuerdo de paz, siendo Colombia el segundo país con </w:t>
            </w:r>
            <w:r w:rsidR="0003604F">
              <w:rPr>
                <w:rFonts w:ascii="Arial" w:hAnsi="Arial" w:cs="Arial"/>
              </w:rPr>
              <w:t>más</w:t>
            </w:r>
            <w:r w:rsidR="009410D6">
              <w:rPr>
                <w:rFonts w:ascii="Arial" w:hAnsi="Arial" w:cs="Arial"/>
              </w:rPr>
              <w:t xml:space="preserve"> defensores amenazados de acuerdo con cifras independientes. (Global Witness)</w:t>
            </w:r>
          </w:p>
          <w:p w14:paraId="28A2D688" w14:textId="77777777" w:rsidR="00DE2386" w:rsidRPr="00DE2386" w:rsidRDefault="00DE2386" w:rsidP="00DE238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instrumentos que se ha buscado promover internamente es el primer </w:t>
            </w:r>
            <w:r w:rsidRPr="00DE2386">
              <w:rPr>
                <w:rFonts w:ascii="Arial" w:hAnsi="Arial" w:cs="Arial"/>
              </w:rPr>
              <w:t xml:space="preserve">acuerdo </w:t>
            </w:r>
            <w:r>
              <w:rPr>
                <w:rFonts w:ascii="Arial" w:hAnsi="Arial" w:cs="Arial"/>
              </w:rPr>
              <w:t>obligatorio  surgido de l</w:t>
            </w:r>
            <w:r w:rsidRPr="00DE2386">
              <w:rPr>
                <w:rFonts w:ascii="Arial" w:hAnsi="Arial" w:cs="Arial"/>
              </w:rPr>
              <w:t xml:space="preserve">a Conferencia de las Naciones Unidas sobre Desarrollo Sostenible (Río+20), y el primero en el mundo en </w:t>
            </w:r>
            <w:r>
              <w:rPr>
                <w:rFonts w:ascii="Arial" w:hAnsi="Arial" w:cs="Arial"/>
              </w:rPr>
              <w:t xml:space="preserve">disponer obligatoriamente la responsabilidad del Estado de Garantizar el acceso a la información ambiental, permitir la participación directa </w:t>
            </w:r>
            <w:r w:rsidR="00B7075C">
              <w:rPr>
                <w:rFonts w:ascii="Arial" w:hAnsi="Arial" w:cs="Arial"/>
              </w:rPr>
              <w:t xml:space="preserve">en decisiones ambientales por  parte de la sociedad y dar instrucciones específicas </w:t>
            </w:r>
            <w:r w:rsidRPr="00DE2386">
              <w:rPr>
                <w:rFonts w:ascii="Arial" w:hAnsi="Arial" w:cs="Arial"/>
              </w:rPr>
              <w:t>sobre defensores de derechos humanos en asuntos ambientales</w:t>
            </w:r>
          </w:p>
          <w:p w14:paraId="6A05A809" w14:textId="77777777" w:rsidR="00DE2386" w:rsidRPr="000F5D8D" w:rsidRDefault="00DE2386" w:rsidP="00B7075C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0B57FC" w:rsidRPr="004E1F79" w14:paraId="4B59D5D6" w14:textId="77777777" w:rsidTr="6FDBE3F2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14:paraId="66AD1F21" w14:textId="77777777" w:rsidR="000B57FC" w:rsidRPr="004E1F79" w:rsidRDefault="000B57FC" w:rsidP="00A70D75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Principales Resultados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54405748" w14:textId="77777777" w:rsidR="000B57FC" w:rsidRDefault="009410D6" w:rsidP="00A70D7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Conceptualización y diagnóstico de estado de protección de </w:t>
            </w:r>
            <w:r w:rsidR="0003604F">
              <w:rPr>
                <w:rFonts w:ascii="Arial" w:hAnsi="Arial" w:cs="Arial"/>
              </w:rPr>
              <w:t>líderes</w:t>
            </w:r>
            <w:r>
              <w:rPr>
                <w:rFonts w:ascii="Arial" w:hAnsi="Arial" w:cs="Arial"/>
              </w:rPr>
              <w:t xml:space="preserve"> ambientales en Colombia.</w:t>
            </w:r>
            <w:r w:rsidR="00BE6A99">
              <w:rPr>
                <w:rFonts w:ascii="Arial" w:hAnsi="Arial" w:cs="Arial"/>
              </w:rPr>
              <w:t xml:space="preserve"> </w:t>
            </w:r>
          </w:p>
          <w:p w14:paraId="7FCC03B3" w14:textId="77777777" w:rsidR="009410D6" w:rsidRDefault="009410D6" w:rsidP="00A70D7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herramientas</w:t>
            </w:r>
            <w:r w:rsidR="00BE6A99">
              <w:rPr>
                <w:rFonts w:ascii="Arial" w:hAnsi="Arial" w:cs="Arial"/>
              </w:rPr>
              <w:t xml:space="preserve"> jurídicas y convencionales que operando en el derecho interno estarían protegiendo los derechos que garantiza el Acuerdo de Escazú. </w:t>
            </w:r>
          </w:p>
          <w:p w14:paraId="79A8711F" w14:textId="77777777" w:rsidR="00BE6A99" w:rsidRDefault="00BE6A99" w:rsidP="00BE6A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Acción de incidencia directa con recomendaciones y alerta ante el Presidente de la República, Ministerio de Relaciones Exteriores y Ministerio de Ambiente para acoger el con urgencia el Acuerdo de Escazú a nivel nacional. (Agosto de 2019)</w:t>
            </w:r>
          </w:p>
          <w:p w14:paraId="7202A3CE" w14:textId="6731839C" w:rsidR="00BE6A99" w:rsidRDefault="6FDBE3F2" w:rsidP="6FDBE3F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6FDBE3F2">
              <w:rPr>
                <w:rFonts w:ascii="Arial" w:hAnsi="Arial" w:cs="Arial"/>
              </w:rPr>
              <w:t xml:space="preserve">Acogida de demandas de los líderes de la mesa ambiental elevadas ante la Presidencia a raíz del Paro Nacional de 21 </w:t>
            </w:r>
            <w:r w:rsidRPr="6FDBE3F2">
              <w:rPr>
                <w:rFonts w:ascii="Arial" w:hAnsi="Arial" w:cs="Arial"/>
              </w:rPr>
              <w:lastRenderedPageBreak/>
              <w:t>de noviembre y evaluación conjunta de prioridades ambientales, incluida la suscripción del Acuerdo. (26 de noviembre de 2019).</w:t>
            </w:r>
          </w:p>
          <w:p w14:paraId="59FAB1BE" w14:textId="77777777" w:rsidR="00BE6A99" w:rsidRDefault="00BE6A99" w:rsidP="00BE6A9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Procurador Delegado y el Procurador General de la Nación</w:t>
            </w:r>
            <w:r w:rsidR="0076634C">
              <w:rPr>
                <w:rFonts w:ascii="Arial" w:hAnsi="Arial" w:cs="Arial"/>
              </w:rPr>
              <w:t xml:space="preserve"> han acompañado públicamente la necesidad de que se suscriba por parte de Colombia el </w:t>
            </w:r>
            <w:r w:rsidR="0003604F">
              <w:rPr>
                <w:rFonts w:ascii="Arial" w:hAnsi="Arial" w:cs="Arial"/>
              </w:rPr>
              <w:t>Acuerdo</w:t>
            </w:r>
            <w:r w:rsidR="0076634C">
              <w:rPr>
                <w:rFonts w:ascii="Arial" w:hAnsi="Arial" w:cs="Arial"/>
              </w:rPr>
              <w:t xml:space="preserve"> Regional de Escazú, como forma de cumplir los ODS.</w:t>
            </w:r>
          </w:p>
          <w:p w14:paraId="096441E1" w14:textId="77777777" w:rsidR="0076634C" w:rsidRPr="0076634C" w:rsidRDefault="0076634C" w:rsidP="0076634C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Presidente de la República </w:t>
            </w:r>
            <w:r w:rsidR="0003604F">
              <w:rPr>
                <w:rFonts w:ascii="Arial" w:hAnsi="Arial" w:cs="Arial"/>
              </w:rPr>
              <w:t>anunció</w:t>
            </w:r>
            <w:r>
              <w:rPr>
                <w:rFonts w:ascii="Arial" w:hAnsi="Arial" w:cs="Arial"/>
              </w:rPr>
              <w:t xml:space="preserve"> públicamente el 9 de diciembre la firma del Convenio de Escazú. Sin duda acogiendo las demandas presentadas por la sociedad, los </w:t>
            </w:r>
            <w:r w:rsidR="0003604F">
              <w:rPr>
                <w:rFonts w:ascii="Arial" w:hAnsi="Arial" w:cs="Arial"/>
              </w:rPr>
              <w:t>líderes</w:t>
            </w:r>
            <w:r>
              <w:rPr>
                <w:rFonts w:ascii="Arial" w:hAnsi="Arial" w:cs="Arial"/>
              </w:rPr>
              <w:t xml:space="preserve"> del Paro y el Procurador General.</w:t>
            </w:r>
          </w:p>
        </w:tc>
      </w:tr>
      <w:tr w:rsidR="000B57FC" w:rsidRPr="004E1F79" w14:paraId="0000FE33" w14:textId="77777777" w:rsidTr="6FDBE3F2">
        <w:tblPrEx>
          <w:jc w:val="center"/>
        </w:tblPrEx>
        <w:trPr>
          <w:trHeight w:val="745"/>
          <w:jc w:val="center"/>
        </w:trPr>
        <w:tc>
          <w:tcPr>
            <w:tcW w:w="1792" w:type="pct"/>
            <w:shd w:val="clear" w:color="auto" w:fill="960000"/>
            <w:vAlign w:val="center"/>
          </w:tcPr>
          <w:p w14:paraId="6F015F26" w14:textId="77777777" w:rsidR="000B57FC" w:rsidRPr="000F5D8D" w:rsidRDefault="000B57FC" w:rsidP="00A70D75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>Evidencias (documentos, link en página web, etc.):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6CA559D" w14:textId="69791E36" w:rsidR="000B57FC" w:rsidRDefault="6FDBE3F2" w:rsidP="6FDBE3F2">
            <w:pPr>
              <w:pStyle w:val="Prrafodelista"/>
              <w:numPr>
                <w:ilvl w:val="0"/>
                <w:numId w:val="3"/>
              </w:numPr>
              <w:tabs>
                <w:tab w:val="left" w:pos="5685"/>
              </w:tabs>
              <w:jc w:val="both"/>
              <w:rPr>
                <w:rFonts w:ascii="Arial" w:hAnsi="Arial" w:cs="Arial"/>
              </w:rPr>
            </w:pPr>
            <w:r w:rsidRPr="6FDBE3F2">
              <w:rPr>
                <w:rFonts w:ascii="Arial" w:hAnsi="Arial" w:cs="Arial"/>
              </w:rPr>
              <w:t xml:space="preserve">BOLETIN DE PRENSA INTERNO: </w:t>
            </w:r>
            <w:hyperlink r:id="rId7">
              <w:r w:rsidRPr="6FDBE3F2">
                <w:rPr>
                  <w:rStyle w:val="Hipervnculo"/>
                  <w:rFonts w:ascii="Arial" w:hAnsi="Arial" w:cs="Arial"/>
                </w:rPr>
                <w:t>https://www.procuraduria.gov.co/portal/-Procurador-pidio-al-presidente-Ivan-Duque-adherirse-al-Acuerdo-de-Escazu-por-un-entorno-seguro-para-los-defensores-de-derechos-ambientales.news</w:t>
              </w:r>
            </w:hyperlink>
          </w:p>
          <w:p w14:paraId="17CDB903" w14:textId="3B5F4DD7" w:rsidR="0076634C" w:rsidRDefault="6FDBE3F2" w:rsidP="6FDBE3F2">
            <w:pPr>
              <w:pStyle w:val="Prrafodelista"/>
              <w:numPr>
                <w:ilvl w:val="0"/>
                <w:numId w:val="3"/>
              </w:numPr>
              <w:tabs>
                <w:tab w:val="left" w:pos="5685"/>
              </w:tabs>
              <w:jc w:val="both"/>
              <w:rPr>
                <w:rFonts w:ascii="Arial" w:hAnsi="Arial" w:cs="Arial"/>
              </w:rPr>
            </w:pPr>
            <w:r w:rsidRPr="6FDBE3F2">
              <w:rPr>
                <w:rFonts w:ascii="Arial" w:hAnsi="Arial" w:cs="Arial"/>
              </w:rPr>
              <w:t xml:space="preserve">BOLETIN DE PRENSA MEDIOS: </w:t>
            </w:r>
            <w:hyperlink r:id="rId8">
              <w:r w:rsidRPr="6FDBE3F2">
                <w:rPr>
                  <w:rStyle w:val="Hipervnculo"/>
                  <w:rFonts w:ascii="Arial" w:hAnsi="Arial" w:cs="Arial"/>
                </w:rPr>
                <w:t>https://sostenibilidad.semana.com/medio-ambiente/articulo/que-es-el-acuerdo-de-escazu-y-por-que-colombia-debe-firmalo/45437</w:t>
              </w:r>
            </w:hyperlink>
            <w:r w:rsidRPr="6FDBE3F2">
              <w:rPr>
                <w:rFonts w:ascii="Arial" w:hAnsi="Arial" w:cs="Arial"/>
              </w:rPr>
              <w:t xml:space="preserve"> </w:t>
            </w:r>
          </w:p>
          <w:p w14:paraId="5A39BBE3" w14:textId="77777777" w:rsidR="0076634C" w:rsidRPr="000F5D8D" w:rsidRDefault="0076634C" w:rsidP="0076634C">
            <w:pPr>
              <w:pStyle w:val="Prrafodelista"/>
              <w:tabs>
                <w:tab w:val="left" w:pos="5685"/>
              </w:tabs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14:paraId="41C8F396" w14:textId="77777777" w:rsidR="000F5D8D" w:rsidRPr="004E1F79" w:rsidRDefault="000F5D8D" w:rsidP="000F5D8D">
      <w:pPr>
        <w:spacing w:after="0"/>
        <w:rPr>
          <w:rFonts w:ascii="Arial" w:hAnsi="Arial" w:cs="Arial"/>
          <w:b/>
        </w:rPr>
      </w:pPr>
    </w:p>
    <w:sectPr w:rsidR="000F5D8D" w:rsidRPr="004E1F79" w:rsidSect="00DA0C43">
      <w:headerReference w:type="default" r:id="rId9"/>
      <w:footerReference w:type="default" r:id="rId10"/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3D3EC" w14:textId="77777777" w:rsidR="00F61BEC" w:rsidRDefault="00F61BEC" w:rsidP="004E1F79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F61BEC" w:rsidRDefault="00F61BEC" w:rsidP="004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961571"/>
      <w:docPartObj>
        <w:docPartGallery w:val="Page Numbers (Bottom of Page)"/>
        <w:docPartUnique/>
      </w:docPartObj>
    </w:sdtPr>
    <w:sdtEndPr/>
    <w:sdtContent>
      <w:p w14:paraId="4B29297B" w14:textId="77777777" w:rsidR="00DA0C43" w:rsidRDefault="00DA0C43">
        <w:pPr>
          <w:pStyle w:val="Piedepgina"/>
        </w:pPr>
        <w:r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A65E477" wp14:editId="0777777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3951200" w14:textId="77777777" w:rsidR="00DA0C43" w:rsidRDefault="00DA0C4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03604F" w:rsidRPr="0003604F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p14="http://schemas.microsoft.com/office/word/2010/wordml" xmlns:a14="http://schemas.microsoft.com/office/drawing/2010/main" xmlns:a="http://schemas.openxmlformats.org/drawingml/2006/main">
              <w:pict w14:anchorId="1D592EEB">
                <v:group id="Grupo 8" style="position:absolute;margin-left:0;margin-top:0;width:34.4pt;height:56.45pt;z-index:251659264;mso-position-horizontal:center;mso-position-horizontal-relative:margin;mso-position-vertical:bottom;mso-position-vertical-relative:page" coordsize="688,1129" coordorigin="1743,1469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+9R3MZgMA&#10;AB4JAAAOAAAAAAAAAAAAAAAAAC4CAABkcnMvZTJvRG9jLnhtbFBLAQItABQABgAIAAAAIQDSl2sH&#10;2wAAAAQBAAAPAAAAAAAAAAAAAAAAAMAFAABkcnMvZG93bnJldi54bWxQSwUGAAAAAAQABADzAAAA&#10;yAYAAAAA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7" strokecolor="#7f7f7f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vC8IAAADaAAAADwAAAGRycy9kb3ducmV2LnhtbESPT4vCMBTE7wt+h/AEb2vqwvqnGkUW&#10;FnoR0arnR/Nsq81LaWLt7qc3guBxmJnfMItVZyrRUuNKywpGwwgEcWZ1ybmCQ/r7OQXhPLLGyjIp&#10;+CMHq2XvY4GxtnfeUbv3uQgQdjEqKLyvYyldVpBBN7Q1cfDOtjHog2xyqRu8B7ip5FcUjaXBksNC&#10;gTX9FJRd9zej4DuZmItL0t2/l+nm1Fbb+naUSg363XoOwlPn3+FXO9EKZv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vC8IAAADaAAAADwAAAAAAAAAAAAAA&#10;AAChAgAAZHJzL2Rvd25yZXYueG1sUEsFBgAAAAAEAAQA+QAAAJADAAAAAA==&#10;"/>
                  <v:rect id="Rectangle 78" style="position:absolute;left:1743;top:14699;width:688;height:688;visibility:visible;mso-wrap-style:square;v-text-anchor:middle" o:spid="_x0000_s1028" filled="f" strokecolor="#7f7f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qwcUA&#10;AADbAAAADwAAAGRycy9kb3ducmV2LnhtbESPQU/DMAyF70j8h8iTuLF0HBCUZRMqICFxGdu0sZvV&#10;eE1p41RNaLt/jw9I3Gy95/c+L9eTb9VAfawDG1jMM1DEZbA1Vwb2u7fbB1AxIVtsA5OBC0VYr66v&#10;lpjbMPInDdtUKQnhmKMBl1KXax1LRx7jPHTEop1D7zHJ2lfa9jhKuG/1XZbda481S4PDjgpHZbP9&#10;8QYa9/L9+tFcii8+DMVxk8bH03FjzM1sen4ClWhK/+a/63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SrBxQAAANsAAAAPAAAAAAAAAAAAAAAAAJgCAABkcnMv&#10;ZG93bnJldi54bWxQSwUGAAAAAAQABAD1AAAAigMAAAAA&#10;">
                    <v:textbox>
                      <w:txbxContent>
                        <w:p w:rsidR="00DA0C43" w:rsidRDefault="00DA0C43" w14:paraId="53137D29" wp14:textId="7777777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3604F" w:rsidR="0003604F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7B00A" w14:textId="77777777" w:rsidR="00F61BEC" w:rsidRDefault="00F61BEC" w:rsidP="004E1F79">
      <w:pPr>
        <w:spacing w:after="0" w:line="240" w:lineRule="auto"/>
      </w:pPr>
      <w:r>
        <w:separator/>
      </w:r>
    </w:p>
  </w:footnote>
  <w:footnote w:type="continuationSeparator" w:id="0">
    <w:p w14:paraId="60061E4C" w14:textId="77777777" w:rsidR="00F61BEC" w:rsidRDefault="00F61BEC" w:rsidP="004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horzAnchor="page" w:tblpXSpec="center" w:tblpY="-1035"/>
      <w:tblW w:w="5000" w:type="pct"/>
      <w:jc w:val="center"/>
      <w:tblLook w:val="04A0" w:firstRow="1" w:lastRow="0" w:firstColumn="1" w:lastColumn="0" w:noHBand="0" w:noVBand="1"/>
    </w:tblPr>
    <w:tblGrid>
      <w:gridCol w:w="1383"/>
      <w:gridCol w:w="7515"/>
      <w:gridCol w:w="1290"/>
    </w:tblGrid>
    <w:tr w:rsidR="004E1F79" w:rsidRPr="004E1F79" w14:paraId="23620C44" w14:textId="77777777" w:rsidTr="000B57FC">
      <w:trPr>
        <w:trHeight w:val="562"/>
        <w:jc w:val="center"/>
      </w:trPr>
      <w:tc>
        <w:tcPr>
          <w:tcW w:w="679" w:type="pct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EAFD9C" w14:textId="77777777"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eastAsia="Times New Roman" w:hAnsi="Arial" w:cs="Arial"/>
              <w:noProof/>
              <w:lang w:eastAsia="es-CO"/>
            </w:rPr>
            <w:drawing>
              <wp:inline distT="0" distB="0" distL="0" distR="0" wp14:anchorId="22B05DF6" wp14:editId="631161C9">
                <wp:extent cx="492899" cy="685800"/>
                <wp:effectExtent l="0" t="0" r="2540" b="0"/>
                <wp:docPr id="7" name="Imagen 7" descr="Logo Procuraduria General de la N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uraduria General de la N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070" cy="69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9D17800" w14:textId="77777777" w:rsidR="004E1F79" w:rsidRPr="004E1F79" w:rsidRDefault="004E1F79" w:rsidP="000F5D8D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hAnsi="Arial" w:cs="Arial"/>
              <w:b/>
              <w:bCs/>
              <w:sz w:val="24"/>
            </w:rPr>
            <w:t>PROCURADURÍAS DELEGADAS PREVENTIVAS</w:t>
          </w:r>
        </w:p>
      </w:tc>
      <w:tc>
        <w:tcPr>
          <w:tcW w:w="633" w:type="pct"/>
          <w:vMerge w:val="restart"/>
          <w:tcBorders>
            <w:bottom w:val="single" w:sz="4" w:space="0" w:color="auto"/>
          </w:tcBorders>
          <w:vAlign w:val="center"/>
        </w:tcPr>
        <w:p w14:paraId="4B94D5A5" w14:textId="77777777"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4E1F79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CE1376F" wp14:editId="571867E0">
                <wp:extent cx="576492" cy="6286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6" t="19480" r="17421" b="23327"/>
                        <a:stretch/>
                      </pic:blipFill>
                      <pic:spPr bwMode="auto">
                        <a:xfrm>
                          <a:off x="0" y="0"/>
                          <a:ext cx="600583" cy="65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B57FC" w:rsidRPr="004E1F79" w14:paraId="34A94DDF" w14:textId="77777777" w:rsidTr="000B57FC">
      <w:trPr>
        <w:trHeight w:val="427"/>
        <w:jc w:val="center"/>
      </w:trPr>
      <w:tc>
        <w:tcPr>
          <w:tcW w:w="679" w:type="pct"/>
          <w:vMerge/>
          <w:tcBorders>
            <w:left w:val="single" w:sz="4" w:space="0" w:color="auto"/>
            <w:right w:val="single" w:sz="4" w:space="0" w:color="auto"/>
          </w:tcBorders>
        </w:tcPr>
        <w:p w14:paraId="3DEEC669" w14:textId="77777777" w:rsidR="000B57FC" w:rsidRPr="004E1F79" w:rsidRDefault="000B57FC" w:rsidP="004E1F79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3688" w:type="pct"/>
          <w:tcBorders>
            <w:left w:val="single" w:sz="4" w:space="0" w:color="auto"/>
          </w:tcBorders>
          <w:vAlign w:val="center"/>
        </w:tcPr>
        <w:p w14:paraId="6B5EBC86" w14:textId="2EAF5551" w:rsidR="000B57FC" w:rsidRPr="004E1F79" w:rsidRDefault="000B57FC" w:rsidP="000F5D8D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</w:rPr>
            <w:t>CASOS EXITOS</w:t>
          </w:r>
          <w:r w:rsidR="00463565">
            <w:rPr>
              <w:rFonts w:ascii="Arial" w:hAnsi="Arial" w:cs="Arial"/>
              <w:b/>
              <w:bCs/>
              <w:sz w:val="20"/>
            </w:rPr>
            <w:t>OS</w:t>
          </w:r>
        </w:p>
      </w:tc>
      <w:tc>
        <w:tcPr>
          <w:tcW w:w="633" w:type="pct"/>
          <w:vMerge/>
        </w:tcPr>
        <w:p w14:paraId="3656B9AB" w14:textId="77777777" w:rsidR="000B57FC" w:rsidRPr="004E1F79" w:rsidRDefault="000B57FC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</w:tc>
    </w:tr>
  </w:tbl>
  <w:p w14:paraId="45FB0818" w14:textId="77777777" w:rsidR="004E1F79" w:rsidRDefault="004E1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7D2"/>
    <w:multiLevelType w:val="hybridMultilevel"/>
    <w:tmpl w:val="44AA7C9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D6F49"/>
    <w:multiLevelType w:val="hybridMultilevel"/>
    <w:tmpl w:val="1204A46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E25B4E"/>
    <w:multiLevelType w:val="hybridMultilevel"/>
    <w:tmpl w:val="EFD08BA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E1"/>
    <w:rsid w:val="0003604F"/>
    <w:rsid w:val="000B57FC"/>
    <w:rsid w:val="000F5D8D"/>
    <w:rsid w:val="00101751"/>
    <w:rsid w:val="00170591"/>
    <w:rsid w:val="001F57CB"/>
    <w:rsid w:val="0020339D"/>
    <w:rsid w:val="002D2AF3"/>
    <w:rsid w:val="002D67E4"/>
    <w:rsid w:val="00462FD0"/>
    <w:rsid w:val="00463565"/>
    <w:rsid w:val="004E1F79"/>
    <w:rsid w:val="004F7992"/>
    <w:rsid w:val="0055781F"/>
    <w:rsid w:val="00623AE1"/>
    <w:rsid w:val="0076634C"/>
    <w:rsid w:val="009410D6"/>
    <w:rsid w:val="0096143D"/>
    <w:rsid w:val="009B7DC9"/>
    <w:rsid w:val="00A841C9"/>
    <w:rsid w:val="00B7075C"/>
    <w:rsid w:val="00BA135A"/>
    <w:rsid w:val="00BE3F32"/>
    <w:rsid w:val="00BE6A99"/>
    <w:rsid w:val="00C201D7"/>
    <w:rsid w:val="00C27B32"/>
    <w:rsid w:val="00C60BD3"/>
    <w:rsid w:val="00C75B92"/>
    <w:rsid w:val="00DA0C43"/>
    <w:rsid w:val="00DB2527"/>
    <w:rsid w:val="00DE2386"/>
    <w:rsid w:val="00E16AB5"/>
    <w:rsid w:val="00F61BEC"/>
    <w:rsid w:val="00FA4124"/>
    <w:rsid w:val="6FDBE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361B4BD"/>
  <w15:docId w15:val="{6FA37D39-70E5-4275-A230-503703B7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79"/>
  </w:style>
  <w:style w:type="paragraph" w:styleId="Piedepgina">
    <w:name w:val="footer"/>
    <w:basedOn w:val="Normal"/>
    <w:link w:val="Piedepgina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79"/>
  </w:style>
  <w:style w:type="paragraph" w:styleId="Prrafodelista">
    <w:name w:val="List Paragraph"/>
    <w:basedOn w:val="Normal"/>
    <w:uiPriority w:val="34"/>
    <w:qFormat/>
    <w:rsid w:val="000F5D8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34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66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enibilidad.semana.com/medio-ambiente/articulo/que-es-el-acuerdo-de-escazu-y-por-que-colombia-debe-firmalo/4543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curaduria.gov.co/portal/-Procurador-pidio-al-presidente-Ivan-Duque-adherirse-al-Acuerdo-de-Escazu-por-un-entorno-seguro-para-los-defensores-de-derechos-ambientales.new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Melissa Guerrero Gaviria</dc:creator>
  <cp:lastModifiedBy>OIS</cp:lastModifiedBy>
  <cp:revision>4</cp:revision>
  <cp:lastPrinted>2019-12-10T20:03:00Z</cp:lastPrinted>
  <dcterms:created xsi:type="dcterms:W3CDTF">2019-12-12T18:58:00Z</dcterms:created>
  <dcterms:modified xsi:type="dcterms:W3CDTF">2019-12-17T20:34:00Z</dcterms:modified>
</cp:coreProperties>
</file>