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5A198" w14:textId="77777777" w:rsidR="00BD7B29" w:rsidRPr="000B352A" w:rsidRDefault="00BD7B29" w:rsidP="000B352A">
      <w:pPr>
        <w:ind w:right="49"/>
        <w:rPr>
          <w:rFonts w:cs="Times New Roman"/>
          <w:b/>
          <w:bCs/>
          <w:color w:val="000000"/>
          <w:szCs w:val="28"/>
          <w:lang w:val="pt-BR"/>
        </w:rPr>
      </w:pPr>
      <w:bookmarkStart w:id="0" w:name="_GoBack"/>
      <w:bookmarkEnd w:id="0"/>
      <w:r w:rsidRPr="000B352A">
        <w:rPr>
          <w:rFonts w:cs="Times New Roman"/>
          <w:b/>
          <w:bCs/>
          <w:color w:val="000000"/>
          <w:szCs w:val="28"/>
          <w:lang w:val="pt-BR"/>
        </w:rPr>
        <w:t>S</w:t>
      </w:r>
      <w:r w:rsidR="000B352A" w:rsidRPr="000B352A">
        <w:rPr>
          <w:rFonts w:cs="Times New Roman"/>
          <w:b/>
          <w:bCs/>
          <w:color w:val="000000"/>
          <w:szCs w:val="28"/>
          <w:lang w:val="pt-BR"/>
        </w:rPr>
        <w:t>entencia</w:t>
      </w:r>
      <w:r w:rsidRPr="000B352A">
        <w:rPr>
          <w:rFonts w:cs="Times New Roman"/>
          <w:b/>
          <w:bCs/>
          <w:color w:val="000000"/>
          <w:szCs w:val="28"/>
          <w:lang w:val="pt-BR"/>
        </w:rPr>
        <w:t xml:space="preserve"> C-</w:t>
      </w:r>
      <w:r w:rsidR="003E5CEC" w:rsidRPr="000B352A">
        <w:rPr>
          <w:rFonts w:cs="Times New Roman"/>
          <w:b/>
          <w:bCs/>
          <w:color w:val="000000"/>
          <w:szCs w:val="28"/>
          <w:lang w:val="pt-BR"/>
        </w:rPr>
        <w:t>328</w:t>
      </w:r>
      <w:r w:rsidR="000B352A">
        <w:rPr>
          <w:rFonts w:cs="Times New Roman"/>
          <w:b/>
          <w:bCs/>
          <w:color w:val="000000"/>
          <w:szCs w:val="28"/>
          <w:lang w:val="pt-BR"/>
        </w:rPr>
        <w:t>/</w:t>
      </w:r>
      <w:r w:rsidRPr="000B352A">
        <w:rPr>
          <w:rFonts w:cs="Times New Roman"/>
          <w:b/>
          <w:bCs/>
          <w:color w:val="000000"/>
          <w:szCs w:val="28"/>
          <w:lang w:val="pt-BR"/>
        </w:rPr>
        <w:t>19</w:t>
      </w:r>
    </w:p>
    <w:p w14:paraId="64E5A199" w14:textId="77777777" w:rsidR="00BD7B29" w:rsidRDefault="00BD7B29" w:rsidP="000B352A">
      <w:pPr>
        <w:ind w:left="3686" w:right="49"/>
        <w:jc w:val="center"/>
        <w:rPr>
          <w:rFonts w:cs="Times New Roman"/>
          <w:b/>
          <w:szCs w:val="28"/>
          <w:lang w:val="pt-BR"/>
        </w:rPr>
      </w:pPr>
    </w:p>
    <w:p w14:paraId="64E5A19A" w14:textId="77777777" w:rsidR="000B352A" w:rsidRPr="000B352A" w:rsidRDefault="000B352A" w:rsidP="000B352A">
      <w:pPr>
        <w:ind w:left="3686" w:right="49"/>
        <w:jc w:val="center"/>
        <w:rPr>
          <w:rFonts w:cs="Times New Roman"/>
          <w:b/>
          <w:szCs w:val="28"/>
          <w:lang w:val="pt-BR"/>
        </w:rPr>
      </w:pPr>
    </w:p>
    <w:p w14:paraId="64E5A19B" w14:textId="77777777" w:rsidR="00BD7B29" w:rsidRPr="000B352A" w:rsidRDefault="00BD7B29" w:rsidP="000B352A">
      <w:pPr>
        <w:ind w:left="3969" w:right="49"/>
        <w:rPr>
          <w:rFonts w:cs="Times New Roman"/>
          <w:szCs w:val="28"/>
        </w:rPr>
      </w:pPr>
      <w:r w:rsidRPr="000B352A">
        <w:rPr>
          <w:rFonts w:cs="Times New Roman"/>
          <w:szCs w:val="28"/>
        </w:rPr>
        <w:t>Referencia: Expediente D-12928</w:t>
      </w:r>
    </w:p>
    <w:p w14:paraId="64E5A19C" w14:textId="77777777" w:rsidR="00BD7B29" w:rsidRPr="000B352A" w:rsidRDefault="00BD7B29" w:rsidP="000B352A">
      <w:pPr>
        <w:ind w:left="3969" w:right="49"/>
        <w:rPr>
          <w:rFonts w:cs="Times New Roman"/>
          <w:szCs w:val="28"/>
        </w:rPr>
      </w:pPr>
    </w:p>
    <w:p w14:paraId="64E5A19D" w14:textId="77777777" w:rsidR="00BD7B29" w:rsidRPr="000B352A" w:rsidRDefault="00BD7B29" w:rsidP="000B352A">
      <w:pPr>
        <w:ind w:left="3969" w:right="49"/>
        <w:rPr>
          <w:rFonts w:cs="Times New Roman"/>
          <w:szCs w:val="28"/>
        </w:rPr>
      </w:pPr>
      <w:r w:rsidRPr="000B352A">
        <w:rPr>
          <w:rFonts w:cs="Times New Roman"/>
          <w:szCs w:val="28"/>
        </w:rPr>
        <w:t>Demanda de inconstitucionalidad contra el inciso 2º del artículo 30 y el numeral 1º del artículo 59 de la Ley 675 de 2001 “Por medio de la cual se expide el régimen de propiedad horizontal”.</w:t>
      </w:r>
    </w:p>
    <w:p w14:paraId="64E5A19E" w14:textId="77777777" w:rsidR="00BD7B29" w:rsidRPr="000B352A" w:rsidRDefault="00BD7B29" w:rsidP="000B352A">
      <w:pPr>
        <w:ind w:left="3969" w:right="49"/>
        <w:rPr>
          <w:rFonts w:cs="Times New Roman"/>
          <w:szCs w:val="28"/>
        </w:rPr>
      </w:pPr>
      <w:r w:rsidRPr="000B352A">
        <w:rPr>
          <w:rFonts w:cs="Times New Roman"/>
          <w:szCs w:val="28"/>
        </w:rPr>
        <w:t xml:space="preserve"> </w:t>
      </w:r>
    </w:p>
    <w:p w14:paraId="64E5A19F" w14:textId="77777777" w:rsidR="00BD7B29" w:rsidRPr="000B352A" w:rsidRDefault="00BD7B29" w:rsidP="000B352A">
      <w:pPr>
        <w:ind w:left="3969" w:right="49"/>
        <w:rPr>
          <w:rFonts w:cs="Times New Roman"/>
          <w:szCs w:val="28"/>
        </w:rPr>
      </w:pPr>
      <w:r w:rsidRPr="000B352A">
        <w:rPr>
          <w:rFonts w:cs="Times New Roman"/>
          <w:szCs w:val="28"/>
        </w:rPr>
        <w:t>Demandantes: Ana María Sánchez Quintero, Ana Lucía Rodríguez Mora, Angie Daniela Yepes García y Natalia Rodríguez Álvarez.</w:t>
      </w:r>
    </w:p>
    <w:p w14:paraId="64E5A1A0" w14:textId="77777777" w:rsidR="00BD7B29" w:rsidRPr="000B352A" w:rsidRDefault="00BD7B29" w:rsidP="000B352A">
      <w:pPr>
        <w:ind w:left="3969" w:right="49"/>
        <w:rPr>
          <w:rFonts w:cs="Times New Roman"/>
          <w:szCs w:val="28"/>
        </w:rPr>
      </w:pPr>
    </w:p>
    <w:p w14:paraId="64E5A1A1" w14:textId="77777777" w:rsidR="00BD7B29" w:rsidRPr="000B352A" w:rsidRDefault="00BD7B29" w:rsidP="000B352A">
      <w:pPr>
        <w:ind w:left="3969" w:right="49"/>
        <w:rPr>
          <w:rFonts w:cs="Times New Roman"/>
          <w:szCs w:val="28"/>
          <w:lang w:val="pt-BR"/>
        </w:rPr>
      </w:pPr>
      <w:r w:rsidRPr="000B352A">
        <w:rPr>
          <w:rFonts w:cs="Times New Roman"/>
          <w:szCs w:val="28"/>
          <w:lang w:val="pt-BR"/>
        </w:rPr>
        <w:t>Magistrada ponente:</w:t>
      </w:r>
    </w:p>
    <w:p w14:paraId="64E5A1A2" w14:textId="77777777" w:rsidR="00BD7B29" w:rsidRPr="000B352A" w:rsidRDefault="00BD7B29" w:rsidP="000B352A">
      <w:pPr>
        <w:ind w:left="3969" w:right="49"/>
        <w:rPr>
          <w:rFonts w:cs="Times New Roman"/>
          <w:szCs w:val="28"/>
          <w:lang w:val="pt-BR"/>
        </w:rPr>
      </w:pPr>
      <w:r w:rsidRPr="000B352A">
        <w:rPr>
          <w:rFonts w:cs="Times New Roman"/>
          <w:szCs w:val="28"/>
          <w:lang w:val="pt-BR"/>
        </w:rPr>
        <w:t>CRISTINA PARDO SCHLESINGER</w:t>
      </w:r>
    </w:p>
    <w:p w14:paraId="64E5A1A3" w14:textId="77777777" w:rsidR="00BD7B29" w:rsidRDefault="00BD7B29" w:rsidP="000B352A">
      <w:pPr>
        <w:tabs>
          <w:tab w:val="left" w:pos="720"/>
        </w:tabs>
        <w:ind w:left="720" w:right="49" w:hanging="720"/>
        <w:rPr>
          <w:rFonts w:cs="Times New Roman"/>
          <w:b/>
          <w:bCs/>
          <w:color w:val="000000"/>
          <w:szCs w:val="28"/>
        </w:rPr>
      </w:pPr>
    </w:p>
    <w:p w14:paraId="64E5A1A4" w14:textId="77777777" w:rsidR="000B352A" w:rsidRPr="000B352A" w:rsidRDefault="000B352A" w:rsidP="000B352A">
      <w:pPr>
        <w:tabs>
          <w:tab w:val="left" w:pos="720"/>
        </w:tabs>
        <w:ind w:left="720" w:right="49" w:hanging="720"/>
        <w:rPr>
          <w:rFonts w:cs="Times New Roman"/>
          <w:b/>
          <w:bCs/>
          <w:color w:val="000000"/>
          <w:szCs w:val="28"/>
        </w:rPr>
      </w:pPr>
    </w:p>
    <w:p w14:paraId="64E5A1A5" w14:textId="77777777" w:rsidR="00BD7B29" w:rsidRPr="000B352A" w:rsidRDefault="00BD7B29" w:rsidP="000B352A">
      <w:pPr>
        <w:ind w:right="49"/>
        <w:rPr>
          <w:rFonts w:cs="Times New Roman"/>
          <w:szCs w:val="28"/>
        </w:rPr>
      </w:pPr>
      <w:r w:rsidRPr="000B352A">
        <w:rPr>
          <w:rFonts w:cs="Times New Roman"/>
          <w:szCs w:val="28"/>
        </w:rPr>
        <w:t xml:space="preserve">Bogotá D. C., </w:t>
      </w:r>
      <w:r w:rsidR="00D51851" w:rsidRPr="000B352A">
        <w:rPr>
          <w:rFonts w:cs="Times New Roman"/>
          <w:szCs w:val="28"/>
        </w:rPr>
        <w:t>veinticuatro</w:t>
      </w:r>
      <w:r w:rsidRPr="000B352A">
        <w:rPr>
          <w:rFonts w:cs="Times New Roman"/>
          <w:szCs w:val="28"/>
        </w:rPr>
        <w:t xml:space="preserve"> </w:t>
      </w:r>
      <w:r w:rsidR="003E5CEC" w:rsidRPr="000B352A">
        <w:rPr>
          <w:rFonts w:cs="Times New Roman"/>
          <w:szCs w:val="28"/>
        </w:rPr>
        <w:t>(</w:t>
      </w:r>
      <w:r w:rsidR="00D51851" w:rsidRPr="000B352A">
        <w:rPr>
          <w:rFonts w:cs="Times New Roman"/>
          <w:szCs w:val="28"/>
        </w:rPr>
        <w:t>24</w:t>
      </w:r>
      <w:r w:rsidRPr="000B352A">
        <w:rPr>
          <w:rFonts w:cs="Times New Roman"/>
          <w:szCs w:val="28"/>
        </w:rPr>
        <w:t xml:space="preserve">) de </w:t>
      </w:r>
      <w:r w:rsidR="003E5CEC" w:rsidRPr="000B352A">
        <w:rPr>
          <w:rFonts w:cs="Times New Roman"/>
          <w:szCs w:val="28"/>
        </w:rPr>
        <w:t>julio</w:t>
      </w:r>
      <w:r w:rsidRPr="000B352A">
        <w:rPr>
          <w:rFonts w:cs="Times New Roman"/>
          <w:szCs w:val="28"/>
        </w:rPr>
        <w:t xml:space="preserve"> de dos mil diecinueve (2019). </w:t>
      </w:r>
    </w:p>
    <w:p w14:paraId="64E5A1A6" w14:textId="77777777" w:rsidR="00BD7B29" w:rsidRDefault="00BD7B29" w:rsidP="000B352A">
      <w:pPr>
        <w:ind w:right="49"/>
        <w:rPr>
          <w:rFonts w:cs="Times New Roman"/>
          <w:szCs w:val="28"/>
        </w:rPr>
      </w:pPr>
    </w:p>
    <w:p w14:paraId="64E5A1A7" w14:textId="77777777" w:rsidR="000B352A" w:rsidRPr="000B352A" w:rsidRDefault="000B352A" w:rsidP="000B352A">
      <w:pPr>
        <w:ind w:right="49"/>
        <w:rPr>
          <w:rFonts w:cs="Times New Roman"/>
          <w:szCs w:val="28"/>
        </w:rPr>
      </w:pPr>
    </w:p>
    <w:p w14:paraId="64E5A1A8" w14:textId="77777777" w:rsidR="00BD7B29" w:rsidRPr="000B352A" w:rsidRDefault="00BD7B29" w:rsidP="000B352A">
      <w:pPr>
        <w:ind w:right="49"/>
        <w:rPr>
          <w:rFonts w:cs="Times New Roman"/>
          <w:color w:val="000000"/>
          <w:szCs w:val="28"/>
        </w:rPr>
      </w:pPr>
      <w:r w:rsidRPr="000B352A">
        <w:rPr>
          <w:rFonts w:cs="Times New Roman"/>
          <w:bCs/>
          <w:color w:val="000000"/>
          <w:szCs w:val="28"/>
        </w:rPr>
        <w:t>La Sala Plena de la Corte Constitucional</w:t>
      </w:r>
      <w:r w:rsidRPr="000B352A">
        <w:rPr>
          <w:rFonts w:cs="Times New Roman"/>
          <w:color w:val="000000"/>
          <w:szCs w:val="28"/>
        </w:rPr>
        <w:t xml:space="preserve">, en ejercicio de sus atribuciones constitucionales y en cumplimiento de los requisitos y trámites establecidos en el Decreto 2067 de 1991, profiere la presente </w:t>
      </w:r>
    </w:p>
    <w:p w14:paraId="64E5A1A9" w14:textId="77777777" w:rsidR="00BD7B29" w:rsidRPr="000B352A" w:rsidRDefault="00BD7B29" w:rsidP="000B352A">
      <w:pPr>
        <w:ind w:right="49"/>
        <w:jc w:val="center"/>
        <w:rPr>
          <w:rFonts w:cs="Times New Roman"/>
          <w:b/>
          <w:color w:val="000000"/>
          <w:szCs w:val="28"/>
        </w:rPr>
      </w:pPr>
    </w:p>
    <w:p w14:paraId="64E5A1AA" w14:textId="77777777" w:rsidR="00BD7B29" w:rsidRPr="000B352A" w:rsidRDefault="00BD7B29" w:rsidP="000B352A">
      <w:pPr>
        <w:ind w:right="49"/>
        <w:jc w:val="center"/>
        <w:rPr>
          <w:rFonts w:cs="Times New Roman"/>
          <w:b/>
          <w:color w:val="000000"/>
          <w:szCs w:val="28"/>
        </w:rPr>
      </w:pPr>
      <w:r w:rsidRPr="000B352A">
        <w:rPr>
          <w:rFonts w:cs="Times New Roman"/>
          <w:b/>
          <w:color w:val="000000"/>
          <w:szCs w:val="28"/>
        </w:rPr>
        <w:t>SENTENCIA</w:t>
      </w:r>
    </w:p>
    <w:p w14:paraId="64E5A1AB" w14:textId="77777777" w:rsidR="00BD7B29" w:rsidRPr="000B352A" w:rsidRDefault="00BD7B29" w:rsidP="000B352A">
      <w:pPr>
        <w:ind w:right="49"/>
        <w:rPr>
          <w:rFonts w:cs="Times New Roman"/>
          <w:color w:val="000000"/>
          <w:szCs w:val="28"/>
        </w:rPr>
      </w:pPr>
    </w:p>
    <w:p w14:paraId="64E5A1AC" w14:textId="77777777" w:rsidR="00BD7B29" w:rsidRPr="000B352A" w:rsidRDefault="00BD7B29" w:rsidP="000B352A">
      <w:pPr>
        <w:tabs>
          <w:tab w:val="left" w:pos="709"/>
        </w:tabs>
        <w:ind w:right="49"/>
        <w:rPr>
          <w:rFonts w:cs="Times New Roman"/>
          <w:szCs w:val="28"/>
        </w:rPr>
      </w:pPr>
      <w:r w:rsidRPr="000B352A">
        <w:rPr>
          <w:rFonts w:cs="Times New Roman"/>
          <w:b/>
          <w:bCs/>
          <w:szCs w:val="28"/>
        </w:rPr>
        <w:t>I. ANTECEDENTES</w:t>
      </w:r>
    </w:p>
    <w:p w14:paraId="64E5A1AD" w14:textId="77777777" w:rsidR="00BD7B29" w:rsidRPr="000B352A" w:rsidRDefault="00BD7B29" w:rsidP="000B352A">
      <w:pPr>
        <w:ind w:right="49"/>
        <w:rPr>
          <w:rFonts w:cs="Times New Roman"/>
          <w:szCs w:val="28"/>
          <w:lang w:val="es-ES_tradnl"/>
        </w:rPr>
      </w:pPr>
    </w:p>
    <w:p w14:paraId="64E5A1AE" w14:textId="77777777" w:rsidR="00BD7B29" w:rsidRPr="000B352A" w:rsidRDefault="00BD7B29" w:rsidP="000B352A">
      <w:pPr>
        <w:ind w:right="49"/>
        <w:rPr>
          <w:rFonts w:cs="Times New Roman"/>
          <w:iCs/>
          <w:szCs w:val="28"/>
          <w:lang w:val="es-ES_tradnl" w:eastAsia="es-ES_tradnl"/>
        </w:rPr>
      </w:pPr>
      <w:r w:rsidRPr="000B352A">
        <w:rPr>
          <w:rFonts w:cs="Times New Roman"/>
          <w:szCs w:val="28"/>
          <w:lang w:val="es-ES_tradnl"/>
        </w:rPr>
        <w:t xml:space="preserve">Las ciudadanas </w:t>
      </w:r>
      <w:r w:rsidRPr="000B352A">
        <w:rPr>
          <w:rFonts w:cs="Times New Roman"/>
          <w:szCs w:val="28"/>
        </w:rPr>
        <w:t xml:space="preserve">Ana María Sánchez Quintero, Ana Lucía Rodríguez Mora, Angie Daniela Yepes García y Natalia Rodríguez Álvarez, en ejercicio de la acción pública de inconstitucionalidad, demandaron el inciso 2º del artículo 30 y el numeral 1º del artículo 59 de la Ley 675 de 2001, </w:t>
      </w:r>
      <w:r w:rsidRPr="000B352A">
        <w:rPr>
          <w:rFonts w:cs="Times New Roman"/>
          <w:i/>
          <w:szCs w:val="28"/>
        </w:rPr>
        <w:t>“Por medio de la cual se expide el régimen de propiedad horizontal”</w:t>
      </w:r>
      <w:r w:rsidRPr="000B352A">
        <w:rPr>
          <w:rFonts w:cs="Times New Roman"/>
          <w:szCs w:val="28"/>
        </w:rPr>
        <w:t>, por considerar que dichas normas son contrarias al artículo 15 de la Constitución Política en sus dimensiones del derecho a la intimidad y del derecho al habeas data, así como al principio de proporcionalidad. Luego de los trámites de rigor, la demanda fue fijada en la Secretaría General de la Corte para permitir la participación ciudadana. Posteriormente, el señor Procurador General de la Nación emitió el concepto de su competencia.</w:t>
      </w:r>
    </w:p>
    <w:p w14:paraId="64E5A1AF" w14:textId="77777777" w:rsidR="00BD7B29" w:rsidRPr="000B352A" w:rsidRDefault="00BD7B29" w:rsidP="000B352A">
      <w:pPr>
        <w:rPr>
          <w:rFonts w:cs="Times New Roman"/>
          <w:b/>
          <w:szCs w:val="28"/>
        </w:rPr>
      </w:pPr>
    </w:p>
    <w:p w14:paraId="64E5A1B0" w14:textId="77777777" w:rsidR="00BD7B29" w:rsidRPr="000B352A" w:rsidRDefault="00BD7B29" w:rsidP="000B352A">
      <w:pPr>
        <w:pStyle w:val="bodytext23"/>
        <w:tabs>
          <w:tab w:val="left" w:pos="709"/>
        </w:tabs>
        <w:spacing w:before="0" w:beforeAutospacing="0" w:after="0" w:afterAutospacing="0"/>
        <w:ind w:right="49"/>
        <w:rPr>
          <w:b/>
          <w:szCs w:val="28"/>
          <w:lang w:val="es-CO"/>
        </w:rPr>
      </w:pPr>
      <w:r w:rsidRPr="000B352A">
        <w:rPr>
          <w:b/>
          <w:szCs w:val="28"/>
          <w:lang w:val="es-CO"/>
        </w:rPr>
        <w:t>II. NORMAS DEMANDADAS</w:t>
      </w:r>
    </w:p>
    <w:p w14:paraId="64E5A1B1" w14:textId="77777777" w:rsidR="00BD7B29" w:rsidRPr="000B352A" w:rsidRDefault="00BD7B29" w:rsidP="000B352A">
      <w:pPr>
        <w:ind w:right="20"/>
        <w:rPr>
          <w:rFonts w:cs="Times New Roman"/>
          <w:szCs w:val="28"/>
        </w:rPr>
      </w:pPr>
    </w:p>
    <w:p w14:paraId="64E5A1B2" w14:textId="77777777" w:rsidR="00BD7B29" w:rsidRPr="000B352A" w:rsidRDefault="00BD7B29" w:rsidP="000B352A">
      <w:pPr>
        <w:ind w:right="49"/>
        <w:rPr>
          <w:rFonts w:cs="Times New Roman"/>
          <w:szCs w:val="28"/>
        </w:rPr>
      </w:pPr>
      <w:r w:rsidRPr="000B352A">
        <w:rPr>
          <w:rFonts w:cs="Times New Roman"/>
          <w:szCs w:val="28"/>
        </w:rPr>
        <w:t xml:space="preserve">A continuación, se transcribe el texto de las normas que contienen los apartes legales demandados, resaltando en negrilla y subraya lo concretamente </w:t>
      </w:r>
      <w:r w:rsidRPr="000B352A">
        <w:rPr>
          <w:rFonts w:cs="Times New Roman"/>
          <w:szCs w:val="28"/>
        </w:rPr>
        <w:lastRenderedPageBreak/>
        <w:t>impugnado:</w:t>
      </w:r>
    </w:p>
    <w:p w14:paraId="64E5A1B3" w14:textId="77777777" w:rsidR="00BD7B29" w:rsidRPr="000B352A" w:rsidRDefault="00BD7B29" w:rsidP="000B352A">
      <w:pPr>
        <w:ind w:right="20"/>
        <w:rPr>
          <w:rFonts w:cs="Times New Roman"/>
          <w:szCs w:val="28"/>
        </w:rPr>
      </w:pPr>
    </w:p>
    <w:p w14:paraId="64E5A1B4" w14:textId="77777777" w:rsidR="00BD7B29" w:rsidRPr="000B352A" w:rsidRDefault="00BD7B29" w:rsidP="000B352A">
      <w:pPr>
        <w:pStyle w:val="Sinespaciado"/>
        <w:ind w:left="567" w:right="616"/>
        <w:jc w:val="center"/>
        <w:rPr>
          <w:sz w:val="28"/>
          <w:szCs w:val="28"/>
        </w:rPr>
      </w:pPr>
      <w:bookmarkStart w:id="1" w:name="_Hlk15023481"/>
      <w:r w:rsidRPr="000B352A">
        <w:rPr>
          <w:sz w:val="28"/>
          <w:szCs w:val="28"/>
        </w:rPr>
        <w:t>“LEY 675 de 2001</w:t>
      </w:r>
    </w:p>
    <w:p w14:paraId="64E5A1B5" w14:textId="77777777" w:rsidR="00BD7B29" w:rsidRPr="000B352A" w:rsidRDefault="00BD7B29" w:rsidP="000B352A">
      <w:pPr>
        <w:pStyle w:val="Sinespaciado"/>
        <w:ind w:left="567" w:right="616"/>
        <w:jc w:val="center"/>
        <w:rPr>
          <w:sz w:val="28"/>
          <w:szCs w:val="28"/>
        </w:rPr>
      </w:pPr>
      <w:r w:rsidRPr="000B352A">
        <w:rPr>
          <w:sz w:val="28"/>
          <w:szCs w:val="28"/>
        </w:rPr>
        <w:t>(agosto 3)</w:t>
      </w:r>
    </w:p>
    <w:p w14:paraId="64E5A1B6" w14:textId="77777777" w:rsidR="00BD7B29" w:rsidRPr="000B352A" w:rsidRDefault="00BD7B29" w:rsidP="000B352A">
      <w:pPr>
        <w:pStyle w:val="Sinespaciado"/>
        <w:ind w:left="567" w:right="616"/>
        <w:jc w:val="center"/>
        <w:rPr>
          <w:sz w:val="28"/>
          <w:szCs w:val="28"/>
        </w:rPr>
      </w:pPr>
      <w:r w:rsidRPr="000B352A">
        <w:rPr>
          <w:sz w:val="28"/>
          <w:szCs w:val="28"/>
        </w:rPr>
        <w:t>Por medio de la cual se expide el régimen de propiedad horizontal.</w:t>
      </w:r>
    </w:p>
    <w:p w14:paraId="64E5A1B7" w14:textId="77777777" w:rsidR="00BD7B29" w:rsidRPr="000B352A" w:rsidRDefault="00BD7B29" w:rsidP="000B352A">
      <w:pPr>
        <w:pStyle w:val="Sinespaciado"/>
        <w:ind w:left="567" w:right="616"/>
        <w:rPr>
          <w:sz w:val="28"/>
          <w:szCs w:val="28"/>
        </w:rPr>
      </w:pPr>
    </w:p>
    <w:p w14:paraId="64E5A1B8" w14:textId="77777777" w:rsidR="00BD7B29" w:rsidRPr="000B352A" w:rsidRDefault="00BD7B29" w:rsidP="000B352A">
      <w:pPr>
        <w:pStyle w:val="Sinespaciado"/>
        <w:ind w:left="567" w:right="616"/>
        <w:rPr>
          <w:sz w:val="28"/>
          <w:szCs w:val="28"/>
        </w:rPr>
      </w:pPr>
      <w:r w:rsidRPr="000B352A">
        <w:rPr>
          <w:sz w:val="28"/>
          <w:szCs w:val="28"/>
        </w:rPr>
        <w:t xml:space="preserve">(…) </w:t>
      </w:r>
    </w:p>
    <w:p w14:paraId="64E5A1B9" w14:textId="77777777" w:rsidR="00BD7B29" w:rsidRPr="000B352A" w:rsidRDefault="00BD7B29" w:rsidP="000B352A">
      <w:pPr>
        <w:pStyle w:val="Sinespaciado"/>
        <w:ind w:left="567" w:right="616"/>
        <w:rPr>
          <w:sz w:val="28"/>
          <w:szCs w:val="28"/>
        </w:rPr>
      </w:pPr>
      <w:r w:rsidRPr="000B352A">
        <w:rPr>
          <w:sz w:val="28"/>
          <w:szCs w:val="28"/>
        </w:rPr>
        <w:t>ARTÍCULO 30. INCUMPLIMIENTO EN EL PAGO DE EXPENSAS. El retardo en el cumplimiento del pago de expensas causará intereses de mora, equivalentes a una y media veces el interés bancario corriente, certificado por la Superintendencia Bancaria, sin perjuicio de que la asamblea general, con quórum que señale el reglamento de propiedad horizontal, establezca un interés inferior.</w:t>
      </w:r>
    </w:p>
    <w:p w14:paraId="64E5A1BA" w14:textId="77777777" w:rsidR="00BD7B29" w:rsidRPr="000B352A" w:rsidRDefault="00BD7B29" w:rsidP="000B352A">
      <w:pPr>
        <w:pStyle w:val="Sinespaciado"/>
        <w:ind w:left="567" w:right="616"/>
        <w:rPr>
          <w:sz w:val="28"/>
          <w:szCs w:val="28"/>
        </w:rPr>
      </w:pPr>
    </w:p>
    <w:p w14:paraId="64E5A1BB" w14:textId="77777777" w:rsidR="00BD7B29" w:rsidRPr="000B352A" w:rsidRDefault="00BD7B29" w:rsidP="000B352A">
      <w:pPr>
        <w:pStyle w:val="Sinespaciado"/>
        <w:ind w:left="567" w:right="616"/>
        <w:rPr>
          <w:sz w:val="28"/>
          <w:szCs w:val="28"/>
        </w:rPr>
      </w:pPr>
      <w:r w:rsidRPr="000B352A">
        <w:rPr>
          <w:b/>
          <w:sz w:val="28"/>
          <w:szCs w:val="28"/>
          <w:u w:val="single"/>
        </w:rPr>
        <w:t>Mientras subsista este incumplimiento, tal situación podrá publicarse en el edificio o conjunto</w:t>
      </w:r>
      <w:r w:rsidRPr="000B352A">
        <w:rPr>
          <w:sz w:val="28"/>
          <w:szCs w:val="28"/>
          <w:u w:val="single"/>
        </w:rPr>
        <w:t>.</w:t>
      </w:r>
      <w:r w:rsidRPr="000B352A">
        <w:rPr>
          <w:sz w:val="28"/>
          <w:szCs w:val="28"/>
        </w:rPr>
        <w:t xml:space="preserve"> El acta de la asamblea incluirá los propietarios que se encuentren en mora.</w:t>
      </w:r>
    </w:p>
    <w:p w14:paraId="64E5A1BC" w14:textId="77777777" w:rsidR="00BD7B29" w:rsidRPr="000B352A" w:rsidRDefault="00BD7B29" w:rsidP="000B352A">
      <w:pPr>
        <w:pStyle w:val="Sinespaciado"/>
        <w:ind w:left="567" w:right="616"/>
        <w:rPr>
          <w:sz w:val="28"/>
          <w:szCs w:val="28"/>
        </w:rPr>
      </w:pPr>
    </w:p>
    <w:p w14:paraId="64E5A1BD" w14:textId="77777777" w:rsidR="00BD7B29" w:rsidRPr="000B352A" w:rsidRDefault="00BD7B29" w:rsidP="000B352A">
      <w:pPr>
        <w:pStyle w:val="Sinespaciado"/>
        <w:ind w:left="567" w:right="616"/>
        <w:rPr>
          <w:sz w:val="28"/>
          <w:szCs w:val="28"/>
        </w:rPr>
      </w:pPr>
      <w:r w:rsidRPr="000B352A">
        <w:rPr>
          <w:sz w:val="28"/>
          <w:szCs w:val="28"/>
        </w:rPr>
        <w:t>PARÁGRAFO. La publicación referida en el presente artículo solo podrá hacerse en lugares donde no exista tránsito constante de visitantes, garantizando su debido conocimiento por parte de los copropietarios.</w:t>
      </w:r>
    </w:p>
    <w:p w14:paraId="64E5A1BE" w14:textId="77777777" w:rsidR="00BD7B29" w:rsidRPr="000B352A" w:rsidRDefault="00BD7B29" w:rsidP="000B352A">
      <w:pPr>
        <w:pStyle w:val="Sinespaciado"/>
        <w:ind w:left="567" w:right="616"/>
        <w:rPr>
          <w:sz w:val="28"/>
          <w:szCs w:val="28"/>
        </w:rPr>
      </w:pPr>
    </w:p>
    <w:p w14:paraId="64E5A1BF" w14:textId="77777777" w:rsidR="00BD7B29" w:rsidRPr="000B352A" w:rsidRDefault="00BD7B29" w:rsidP="000B352A">
      <w:pPr>
        <w:pStyle w:val="Sinespaciado"/>
        <w:ind w:left="567" w:right="616"/>
        <w:rPr>
          <w:sz w:val="28"/>
          <w:szCs w:val="28"/>
        </w:rPr>
      </w:pPr>
      <w:r w:rsidRPr="000B352A">
        <w:rPr>
          <w:sz w:val="28"/>
          <w:szCs w:val="28"/>
        </w:rPr>
        <w:t xml:space="preserve">(…) </w:t>
      </w:r>
    </w:p>
    <w:p w14:paraId="64E5A1C0" w14:textId="77777777" w:rsidR="00BD7B29" w:rsidRPr="000B352A" w:rsidRDefault="00BD7B29" w:rsidP="000B352A">
      <w:pPr>
        <w:pStyle w:val="Sinespaciado"/>
        <w:ind w:left="567" w:right="616"/>
        <w:rPr>
          <w:sz w:val="28"/>
          <w:szCs w:val="28"/>
        </w:rPr>
      </w:pPr>
    </w:p>
    <w:p w14:paraId="64E5A1C1" w14:textId="77777777" w:rsidR="00BD7B29" w:rsidRPr="000B352A" w:rsidRDefault="00BD7B29" w:rsidP="000B352A">
      <w:pPr>
        <w:pStyle w:val="Sinespaciado"/>
        <w:ind w:left="567" w:right="616"/>
        <w:rPr>
          <w:sz w:val="28"/>
          <w:szCs w:val="28"/>
        </w:rPr>
      </w:pPr>
      <w:r w:rsidRPr="000B352A">
        <w:rPr>
          <w:sz w:val="28"/>
          <w:szCs w:val="28"/>
        </w:rPr>
        <w:t>ARTÍCULO 59. CLASES DE SANCIONES POR INCUMPLIMIENTO DE OBLIGACIONES NO PECUNIARIAS. El incumplimiento de las obligaciones no pecuniarias que tengan su consagración en la ley o en el reglamento de propiedad horizontal, por parte de los propietarios, tenedores o terceros por los que estos deban responder en los términos de la ley, dará lugar, previo requerimiento escrito, con indicación del plazo para que se ajuste a las normas que rigen la propiedad horizontal, si a ello hubiere lugar, a la imposición de las siguientes sanciones:</w:t>
      </w:r>
    </w:p>
    <w:p w14:paraId="64E5A1C2" w14:textId="77777777" w:rsidR="00BD7B29" w:rsidRPr="000B352A" w:rsidRDefault="00BD7B29" w:rsidP="000B352A">
      <w:pPr>
        <w:pStyle w:val="Sinespaciado"/>
        <w:ind w:left="567" w:right="616"/>
        <w:rPr>
          <w:sz w:val="28"/>
          <w:szCs w:val="28"/>
        </w:rPr>
      </w:pPr>
    </w:p>
    <w:p w14:paraId="64E5A1C3" w14:textId="77777777" w:rsidR="00BD7B29" w:rsidRPr="000B352A" w:rsidRDefault="00BD7B29" w:rsidP="000B352A">
      <w:pPr>
        <w:pStyle w:val="Sinespaciado"/>
        <w:ind w:left="567" w:right="616"/>
        <w:rPr>
          <w:b/>
          <w:sz w:val="28"/>
          <w:szCs w:val="28"/>
          <w:u w:val="single"/>
        </w:rPr>
      </w:pPr>
      <w:r w:rsidRPr="000B352A">
        <w:rPr>
          <w:b/>
          <w:sz w:val="28"/>
          <w:szCs w:val="28"/>
          <w:u w:val="single"/>
        </w:rPr>
        <w:t>1. Publicación en lugares de amplia circulación de la edificación o conjunto de la lista de los infractores con indicación expresa del hecho o acto que origina la sanción.</w:t>
      </w:r>
    </w:p>
    <w:p w14:paraId="64E5A1C4" w14:textId="77777777" w:rsidR="00BD7B29" w:rsidRPr="000B352A" w:rsidRDefault="00BD7B29" w:rsidP="000B352A">
      <w:pPr>
        <w:pStyle w:val="Sinespaciado"/>
        <w:ind w:left="567" w:right="616"/>
        <w:rPr>
          <w:sz w:val="28"/>
          <w:szCs w:val="28"/>
        </w:rPr>
      </w:pPr>
    </w:p>
    <w:p w14:paraId="64E5A1C5" w14:textId="77777777" w:rsidR="00BD7B29" w:rsidRPr="000B352A" w:rsidRDefault="00BD7B29" w:rsidP="000B352A">
      <w:pPr>
        <w:pStyle w:val="Sinespaciado"/>
        <w:ind w:left="567" w:right="616"/>
        <w:rPr>
          <w:sz w:val="28"/>
          <w:szCs w:val="28"/>
        </w:rPr>
      </w:pPr>
      <w:r w:rsidRPr="000B352A">
        <w:rPr>
          <w:sz w:val="28"/>
          <w:szCs w:val="28"/>
        </w:rPr>
        <w:t>2. Imposición de multas sucesivas, mientras persista el incumplimiento, que no podrán ser superiores, cada una, a dos (2) veces el valor de las expensas necesarias mensuales, a cargo del infractor, a la fecha de su imposición que, en todo caso, sumadas no podrán exceder de diez (10) veces las expensas necesarias mensuales a cargo del infractor.</w:t>
      </w:r>
    </w:p>
    <w:p w14:paraId="64E5A1C6" w14:textId="77777777" w:rsidR="00BD7B29" w:rsidRPr="000B352A" w:rsidRDefault="00BD7B29" w:rsidP="000B352A">
      <w:pPr>
        <w:pStyle w:val="Sinespaciado"/>
        <w:ind w:left="567" w:right="616"/>
        <w:rPr>
          <w:sz w:val="28"/>
          <w:szCs w:val="28"/>
        </w:rPr>
      </w:pPr>
    </w:p>
    <w:p w14:paraId="64E5A1C7" w14:textId="77777777" w:rsidR="00BD7B29" w:rsidRPr="000B352A" w:rsidRDefault="00BD7B29" w:rsidP="000B352A">
      <w:pPr>
        <w:pStyle w:val="Sinespaciado"/>
        <w:ind w:left="567" w:right="616"/>
        <w:rPr>
          <w:sz w:val="28"/>
          <w:szCs w:val="28"/>
        </w:rPr>
      </w:pPr>
      <w:r w:rsidRPr="000B352A">
        <w:rPr>
          <w:sz w:val="28"/>
          <w:szCs w:val="28"/>
        </w:rPr>
        <w:lastRenderedPageBreak/>
        <w:t>3. Restricción al uso y goce de bienes de uso común no esenciales, como salones comunales y zonas de recreación y deporte.</w:t>
      </w:r>
    </w:p>
    <w:p w14:paraId="64E5A1C8" w14:textId="77777777" w:rsidR="00BD7B29" w:rsidRPr="000B352A" w:rsidRDefault="00BD7B29" w:rsidP="000B352A">
      <w:pPr>
        <w:pStyle w:val="Sinespaciado"/>
        <w:ind w:left="567" w:right="616"/>
        <w:rPr>
          <w:sz w:val="28"/>
          <w:szCs w:val="28"/>
        </w:rPr>
      </w:pPr>
    </w:p>
    <w:p w14:paraId="64E5A1C9" w14:textId="77777777" w:rsidR="00BD7B29" w:rsidRPr="000B352A" w:rsidRDefault="00BD7B29" w:rsidP="000B352A">
      <w:pPr>
        <w:pStyle w:val="Sinespaciado"/>
        <w:ind w:left="567" w:right="616"/>
        <w:rPr>
          <w:sz w:val="28"/>
          <w:szCs w:val="28"/>
        </w:rPr>
      </w:pPr>
      <w:r w:rsidRPr="000B352A">
        <w:rPr>
          <w:sz w:val="28"/>
          <w:szCs w:val="28"/>
        </w:rPr>
        <w:t>PARÁGRAFO. En ningún caso se podrá restringir el uso de bienes comunes esenciales o de aquellos destinados a su uso exclusivo.”</w:t>
      </w:r>
    </w:p>
    <w:bookmarkEnd w:id="1"/>
    <w:p w14:paraId="64E5A1CA" w14:textId="77777777" w:rsidR="00BD7B29" w:rsidRPr="000B352A" w:rsidRDefault="00BD7B29" w:rsidP="000B352A">
      <w:pPr>
        <w:pStyle w:val="Sinespaciado"/>
        <w:ind w:left="567" w:right="616"/>
        <w:rPr>
          <w:sz w:val="28"/>
          <w:szCs w:val="28"/>
        </w:rPr>
      </w:pPr>
    </w:p>
    <w:p w14:paraId="64E5A1CB" w14:textId="77777777" w:rsidR="00BD7B29" w:rsidRPr="000B352A" w:rsidRDefault="00BD7B29" w:rsidP="000B352A">
      <w:pPr>
        <w:rPr>
          <w:rFonts w:cs="Times New Roman"/>
          <w:b/>
          <w:szCs w:val="28"/>
        </w:rPr>
      </w:pPr>
      <w:r w:rsidRPr="000B352A">
        <w:rPr>
          <w:rFonts w:cs="Times New Roman"/>
          <w:b/>
          <w:szCs w:val="28"/>
        </w:rPr>
        <w:t>III. LA DEMANDA</w:t>
      </w:r>
    </w:p>
    <w:p w14:paraId="64E5A1CC"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CD"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Las demandantes consideran que las disposiciones demandadas deben declararse inexequibles por contrariar el artículo 15 de la Constitución Política, así como por la vulneración al principio de proporcionalidad. A continuación se presentan los argumentos expuestos por las accionantes:</w:t>
      </w:r>
    </w:p>
    <w:p w14:paraId="64E5A1CE"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CF" w14:textId="77777777" w:rsidR="00BD7B29" w:rsidRPr="000B352A" w:rsidRDefault="00BD7B29" w:rsidP="000B352A">
      <w:pPr>
        <w:pStyle w:val="Prrafodelista"/>
        <w:numPr>
          <w:ilvl w:val="0"/>
          <w:numId w:val="2"/>
        </w:numPr>
        <w:ind w:left="426" w:hanging="426"/>
        <w:rPr>
          <w:rStyle w:val="FontStyle305"/>
          <w:rFonts w:ascii="Times New Roman" w:hAnsi="Times New Roman" w:cs="Times New Roman"/>
          <w:b/>
          <w:i w:val="0"/>
          <w:sz w:val="28"/>
          <w:szCs w:val="28"/>
          <w:lang w:val="es-ES_tradnl" w:eastAsia="es-ES_tradnl"/>
        </w:rPr>
      </w:pPr>
      <w:r w:rsidRPr="000B352A">
        <w:rPr>
          <w:rStyle w:val="FontStyle305"/>
          <w:rFonts w:ascii="Times New Roman" w:hAnsi="Times New Roman" w:cs="Times New Roman"/>
          <w:b/>
          <w:i w:val="0"/>
          <w:sz w:val="28"/>
          <w:szCs w:val="28"/>
          <w:lang w:val="es-ES_tradnl" w:eastAsia="es-ES_tradnl"/>
        </w:rPr>
        <w:t>El cargo por violación al derecho a la intimidad</w:t>
      </w:r>
    </w:p>
    <w:p w14:paraId="64E5A1D0"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D1"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1.1. Las accionantes estiman que la información a la que se refiere el </w:t>
      </w:r>
      <w:r w:rsidRPr="000B352A">
        <w:rPr>
          <w:rStyle w:val="FontStyle305"/>
          <w:rFonts w:ascii="Times New Roman" w:hAnsi="Times New Roman" w:cs="Times New Roman"/>
          <w:b/>
          <w:i w:val="0"/>
          <w:sz w:val="28"/>
          <w:szCs w:val="28"/>
          <w:lang w:val="es-ES_tradnl" w:eastAsia="es-ES_tradnl"/>
        </w:rPr>
        <w:t>artículo 30</w:t>
      </w:r>
      <w:r w:rsidRPr="000B352A">
        <w:rPr>
          <w:rStyle w:val="FontStyle305"/>
          <w:rFonts w:ascii="Times New Roman" w:hAnsi="Times New Roman" w:cs="Times New Roman"/>
          <w:i w:val="0"/>
          <w:sz w:val="28"/>
          <w:szCs w:val="28"/>
          <w:lang w:val="es-ES_tradnl" w:eastAsia="es-ES_tradnl"/>
        </w:rPr>
        <w:t xml:space="preserve"> de la Ley 675 de 2001 es de tipo semiprivado, de propiedad del deudor moroso “y que requiere para su acceso de un grado mínimo de limitación”. Aducen entonces que mediante Sentencia C-1011 de 2008, la Corte estableció que </w:t>
      </w:r>
      <w:r w:rsidRPr="000B352A">
        <w:rPr>
          <w:rStyle w:val="FontStyle305"/>
          <w:rFonts w:ascii="Times New Roman" w:hAnsi="Times New Roman" w:cs="Times New Roman"/>
          <w:sz w:val="28"/>
          <w:szCs w:val="28"/>
          <w:lang w:val="es-ES_tradnl" w:eastAsia="es-ES_tradnl"/>
        </w:rPr>
        <w:t>“en la tipología de información semiprivada se incluyen con frecuencia datos relativos al comportamiento financiero de las personas, en los que siempre debe intervenir una autoridad, de manera que se pueda divulgar, y siempre que sea para los fines propios de sus funciones”.</w:t>
      </w:r>
      <w:r w:rsidRPr="000B352A">
        <w:rPr>
          <w:rStyle w:val="FontStyle305"/>
          <w:rFonts w:ascii="Times New Roman" w:hAnsi="Times New Roman" w:cs="Times New Roman"/>
          <w:i w:val="0"/>
          <w:sz w:val="28"/>
          <w:szCs w:val="28"/>
          <w:lang w:val="es-ES_tradnl" w:eastAsia="es-ES_tradnl"/>
        </w:rPr>
        <w:t xml:space="preserve"> Añaden que la información semiprivada es aquella que no es completamente pública cuyo conocimiento no está totalmente restringido a terceros pero que, sin embargo, </w:t>
      </w:r>
      <w:r w:rsidRPr="000B352A">
        <w:rPr>
          <w:rStyle w:val="FontStyle305"/>
          <w:rFonts w:ascii="Times New Roman" w:hAnsi="Times New Roman" w:cs="Times New Roman"/>
          <w:sz w:val="28"/>
          <w:szCs w:val="28"/>
          <w:lang w:val="es-ES_tradnl" w:eastAsia="es-ES_tradnl"/>
        </w:rPr>
        <w:t>“para ser obtenida requiere de una orden de autoridad competente que requiera su divulgación para fines legítimamente justificados”.</w:t>
      </w:r>
    </w:p>
    <w:p w14:paraId="64E5A1D2"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D3"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La demanda prosigue indicando que la publicación de la información a que</w:t>
      </w:r>
      <w:r w:rsidR="00A61B63" w:rsidRPr="000B352A">
        <w:rPr>
          <w:rStyle w:val="FontStyle305"/>
          <w:rFonts w:ascii="Times New Roman" w:hAnsi="Times New Roman" w:cs="Times New Roman"/>
          <w:i w:val="0"/>
          <w:sz w:val="28"/>
          <w:szCs w:val="28"/>
          <w:lang w:val="es-ES_tradnl" w:eastAsia="es-ES_tradnl"/>
        </w:rPr>
        <w:t xml:space="preserve"> se </w:t>
      </w:r>
      <w:r w:rsidRPr="000B352A">
        <w:rPr>
          <w:rStyle w:val="FontStyle305"/>
          <w:rFonts w:ascii="Times New Roman" w:hAnsi="Times New Roman" w:cs="Times New Roman"/>
          <w:i w:val="0"/>
          <w:sz w:val="28"/>
          <w:szCs w:val="28"/>
          <w:lang w:val="es-ES_tradnl" w:eastAsia="es-ES_tradnl"/>
        </w:rPr>
        <w:t xml:space="preserve">refiere el </w:t>
      </w:r>
      <w:r w:rsidRPr="000B352A">
        <w:rPr>
          <w:rStyle w:val="FontStyle305"/>
          <w:rFonts w:ascii="Times New Roman" w:hAnsi="Times New Roman" w:cs="Times New Roman"/>
          <w:b/>
          <w:i w:val="0"/>
          <w:sz w:val="28"/>
          <w:szCs w:val="28"/>
          <w:lang w:val="es-ES_tradnl" w:eastAsia="es-ES_tradnl"/>
        </w:rPr>
        <w:t>inciso 2º del artículo 30 de la Ley 675 de 2001</w:t>
      </w:r>
      <w:r w:rsidRPr="000B352A">
        <w:rPr>
          <w:rStyle w:val="FontStyle305"/>
          <w:rFonts w:ascii="Times New Roman" w:hAnsi="Times New Roman" w:cs="Times New Roman"/>
          <w:i w:val="0"/>
          <w:sz w:val="28"/>
          <w:szCs w:val="28"/>
          <w:lang w:val="es-ES_tradnl" w:eastAsia="es-ES_tradnl"/>
        </w:rPr>
        <w:t xml:space="preserve"> se erige </w:t>
      </w:r>
      <w:r w:rsidRPr="000B352A">
        <w:rPr>
          <w:rStyle w:val="FontStyle305"/>
          <w:rFonts w:ascii="Times New Roman" w:hAnsi="Times New Roman" w:cs="Times New Roman"/>
          <w:sz w:val="28"/>
          <w:szCs w:val="28"/>
          <w:lang w:val="es-ES_tradnl" w:eastAsia="es-ES_tradnl"/>
        </w:rPr>
        <w:t>“como una sanción al incumplimiento de las obligaciones pecuniarias, sin la mediación de una autoridad judicial o administrativa ni el cumplimiento de los principios de las limitaciones al derecho a la intimidad”</w:t>
      </w:r>
      <w:r w:rsidRPr="000B352A">
        <w:rPr>
          <w:rStyle w:val="FontStyle305"/>
          <w:rFonts w:ascii="Times New Roman" w:hAnsi="Times New Roman" w:cs="Times New Roman"/>
          <w:i w:val="0"/>
          <w:sz w:val="28"/>
          <w:szCs w:val="28"/>
          <w:lang w:val="es-ES_tradnl" w:eastAsia="es-ES_tradnl"/>
        </w:rPr>
        <w:t>, impidiendo que la persona “contenga en su esfera privada su situación financiera”.</w:t>
      </w:r>
    </w:p>
    <w:p w14:paraId="64E5A1D4"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D5"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Las demandantes además afirman que, aunque la disposición impugnada cumple con los principios de finalidad, veracidad e integralidad, no se puede decir lo mismo respecto de los de libertad y necesidad. Indican que no se cumple el principio de libertad</w:t>
      </w:r>
      <w:r w:rsidR="000F2BDF" w:rsidRPr="000B352A">
        <w:rPr>
          <w:rStyle w:val="FontStyle305"/>
          <w:rFonts w:ascii="Times New Roman" w:hAnsi="Times New Roman" w:cs="Times New Roman"/>
          <w:i w:val="0"/>
          <w:sz w:val="28"/>
          <w:szCs w:val="28"/>
          <w:lang w:val="es-ES_tradnl" w:eastAsia="es-ES_tradnl"/>
        </w:rPr>
        <w:t xml:space="preserve"> que preside el ejercicio del derecho de habeas data</w:t>
      </w:r>
      <w:r w:rsidRPr="000B352A">
        <w:rPr>
          <w:rStyle w:val="FontStyle305"/>
          <w:rFonts w:ascii="Times New Roman" w:hAnsi="Times New Roman" w:cs="Times New Roman"/>
          <w:i w:val="0"/>
          <w:sz w:val="28"/>
          <w:szCs w:val="28"/>
          <w:lang w:val="es-ES_tradnl" w:eastAsia="es-ES_tradnl"/>
        </w:rPr>
        <w:t xml:space="preserve"> pues </w:t>
      </w:r>
      <w:r w:rsidR="00A61B63" w:rsidRPr="000B352A">
        <w:rPr>
          <w:rStyle w:val="FontStyle305"/>
          <w:rFonts w:ascii="Times New Roman" w:hAnsi="Times New Roman" w:cs="Times New Roman"/>
          <w:i w:val="0"/>
          <w:sz w:val="28"/>
          <w:szCs w:val="28"/>
          <w:lang w:val="es-ES_tradnl" w:eastAsia="es-ES_tradnl"/>
        </w:rPr>
        <w:t>e</w:t>
      </w:r>
      <w:r w:rsidRPr="000B352A">
        <w:rPr>
          <w:rStyle w:val="FontStyle305"/>
          <w:rFonts w:ascii="Times New Roman" w:hAnsi="Times New Roman" w:cs="Times New Roman"/>
          <w:i w:val="0"/>
          <w:sz w:val="28"/>
          <w:szCs w:val="28"/>
          <w:lang w:val="es-ES_tradnl" w:eastAsia="es-ES_tradnl"/>
        </w:rPr>
        <w:t xml:space="preserve">ste </w:t>
      </w:r>
      <w:r w:rsidRPr="000B352A">
        <w:rPr>
          <w:rStyle w:val="FontStyle305"/>
          <w:rFonts w:ascii="Times New Roman" w:hAnsi="Times New Roman" w:cs="Times New Roman"/>
          <w:sz w:val="28"/>
          <w:szCs w:val="28"/>
          <w:lang w:val="es-ES_tradnl" w:eastAsia="es-ES_tradnl"/>
        </w:rPr>
        <w:t>“se puede poner en duda al no haber certeza de que en la eventual sanción que imponga una administración de propiedad horizontal, la divulgación de la información haya sido consentida previa y libremente por el infractor”</w:t>
      </w:r>
      <w:r w:rsidRPr="000B352A">
        <w:rPr>
          <w:rStyle w:val="FontStyle305"/>
          <w:rFonts w:ascii="Times New Roman" w:hAnsi="Times New Roman" w:cs="Times New Roman"/>
          <w:i w:val="0"/>
          <w:sz w:val="28"/>
          <w:szCs w:val="28"/>
          <w:lang w:val="es-ES_tradnl" w:eastAsia="es-ES_tradnl"/>
        </w:rPr>
        <w:t>. Frente del principio de necesidad señalan que “si bien el pretender el pago de obligaciones dinerarias de un copropietario es constitucional para recuperar el pago de obligaciones dinerarias”, la medida adoptada no es necesaria pues la simple publicación de los deudores no lleva a alcanzar dicho fin.</w:t>
      </w:r>
    </w:p>
    <w:p w14:paraId="64E5A1D6"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D7" w14:textId="77777777" w:rsidR="00BD7B29" w:rsidRPr="000B352A" w:rsidRDefault="00BD7B29" w:rsidP="000B352A">
      <w:pPr>
        <w:rPr>
          <w:rStyle w:val="FontStyle305"/>
          <w:rFonts w:ascii="Times New Roman" w:hAnsi="Times New Roman" w:cs="Times New Roman"/>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lastRenderedPageBreak/>
        <w:t xml:space="preserve">Como conclusión al primer cargo respecto del inciso 2º del artículo 30, las accionantes señalan que </w:t>
      </w:r>
      <w:r w:rsidRPr="000B352A">
        <w:rPr>
          <w:rStyle w:val="FontStyle305"/>
          <w:rFonts w:ascii="Times New Roman" w:hAnsi="Times New Roman" w:cs="Times New Roman"/>
          <w:sz w:val="28"/>
          <w:szCs w:val="28"/>
          <w:lang w:val="es-ES_tradnl" w:eastAsia="es-ES_tradnl"/>
        </w:rPr>
        <w:t>“si bien el aparte demandado tiene como objetivo desincentivar la cultura del no pago en las obligaciones comunales, poniendo como castigo que la mora del copropietario será publicada en sitios estratégicos, la medida choca con el respeto a la intimidad del infractor porque incumple con los principios de libertad y necesidad que hacen parte de dicho derecho”.</w:t>
      </w:r>
    </w:p>
    <w:p w14:paraId="64E5A1D8"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D9" w14:textId="77777777" w:rsidR="00BD7B29" w:rsidRPr="000B352A" w:rsidRDefault="00BD7B29" w:rsidP="000B352A">
      <w:pPr>
        <w:pStyle w:val="Prrafodelista"/>
        <w:numPr>
          <w:ilvl w:val="1"/>
          <w:numId w:val="2"/>
        </w:numPr>
        <w:ind w:left="0" w:firstLine="0"/>
        <w:rPr>
          <w:rStyle w:val="FontStyle305"/>
          <w:rFonts w:ascii="Times New Roman" w:hAnsi="Times New Roman" w:cs="Times New Roman"/>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Respecto del </w:t>
      </w:r>
      <w:r w:rsidRPr="000B352A">
        <w:rPr>
          <w:rStyle w:val="FontStyle305"/>
          <w:rFonts w:ascii="Times New Roman" w:hAnsi="Times New Roman" w:cs="Times New Roman"/>
          <w:b/>
          <w:i w:val="0"/>
          <w:sz w:val="28"/>
          <w:szCs w:val="28"/>
          <w:lang w:val="es-ES_tradnl" w:eastAsia="es-ES_tradnl"/>
        </w:rPr>
        <w:t>numeral 1º del</w:t>
      </w:r>
      <w:r w:rsidRPr="000B352A">
        <w:rPr>
          <w:rStyle w:val="FontStyle305"/>
          <w:rFonts w:ascii="Times New Roman" w:hAnsi="Times New Roman" w:cs="Times New Roman"/>
          <w:i w:val="0"/>
          <w:sz w:val="28"/>
          <w:szCs w:val="28"/>
          <w:lang w:val="es-ES_tradnl" w:eastAsia="es-ES_tradnl"/>
        </w:rPr>
        <w:t xml:space="preserve"> </w:t>
      </w:r>
      <w:r w:rsidRPr="000B352A">
        <w:rPr>
          <w:rStyle w:val="FontStyle305"/>
          <w:rFonts w:ascii="Times New Roman" w:hAnsi="Times New Roman" w:cs="Times New Roman"/>
          <w:b/>
          <w:i w:val="0"/>
          <w:sz w:val="28"/>
          <w:szCs w:val="28"/>
          <w:lang w:val="es-ES_tradnl" w:eastAsia="es-ES_tradnl"/>
        </w:rPr>
        <w:t>artículo 59</w:t>
      </w:r>
      <w:r w:rsidRPr="000B352A">
        <w:rPr>
          <w:rStyle w:val="FontStyle305"/>
          <w:rFonts w:ascii="Times New Roman" w:hAnsi="Times New Roman" w:cs="Times New Roman"/>
          <w:i w:val="0"/>
          <w:sz w:val="28"/>
          <w:szCs w:val="28"/>
          <w:lang w:val="es-ES_tradnl" w:eastAsia="es-ES_tradnl"/>
        </w:rPr>
        <w:t xml:space="preserve"> de la Ley 675 de 2001, para las accionantes </w:t>
      </w:r>
      <w:r w:rsidR="00A61B63" w:rsidRPr="000B352A">
        <w:rPr>
          <w:rStyle w:val="FontStyle305"/>
          <w:rFonts w:ascii="Times New Roman" w:hAnsi="Times New Roman" w:cs="Times New Roman"/>
          <w:i w:val="0"/>
          <w:sz w:val="28"/>
          <w:szCs w:val="28"/>
          <w:lang w:val="es-ES_tradnl" w:eastAsia="es-ES_tradnl"/>
        </w:rPr>
        <w:t>e</w:t>
      </w:r>
      <w:r w:rsidRPr="000B352A">
        <w:rPr>
          <w:rStyle w:val="FontStyle305"/>
          <w:rFonts w:ascii="Times New Roman" w:hAnsi="Times New Roman" w:cs="Times New Roman"/>
          <w:i w:val="0"/>
          <w:sz w:val="28"/>
          <w:szCs w:val="28"/>
          <w:lang w:val="es-ES_tradnl" w:eastAsia="es-ES_tradnl"/>
        </w:rPr>
        <w:t xml:space="preserve">ste contraría el derecho fundamental a la intimidad por </w:t>
      </w:r>
      <w:r w:rsidRPr="000B352A">
        <w:rPr>
          <w:rStyle w:val="FontStyle305"/>
          <w:rFonts w:ascii="Times New Roman" w:hAnsi="Times New Roman" w:cs="Times New Roman"/>
          <w:sz w:val="28"/>
          <w:szCs w:val="28"/>
          <w:lang w:val="es-ES_tradnl" w:eastAsia="es-ES_tradnl"/>
        </w:rPr>
        <w:t>“el hecho de publicar el motivo que originó la sanción”</w:t>
      </w:r>
      <w:r w:rsidRPr="000B352A">
        <w:rPr>
          <w:rStyle w:val="FontStyle305"/>
          <w:rFonts w:ascii="Times New Roman" w:hAnsi="Times New Roman" w:cs="Times New Roman"/>
          <w:i w:val="0"/>
          <w:sz w:val="28"/>
          <w:szCs w:val="28"/>
          <w:lang w:val="es-ES_tradnl" w:eastAsia="es-ES_tradnl"/>
        </w:rPr>
        <w:t xml:space="preserve"> pues las causas de una falta a la ley o al reglamento de la propiedad horizontal pueden ser diversas, pudiendo ir desde la violación de normas relativas remodelaciones hasta información privada como lo sería el ruido excesivo por una discusión familiar o situaciones en las que, por ejemplo, se pueda revelar </w:t>
      </w:r>
      <w:r w:rsidRPr="000B352A">
        <w:rPr>
          <w:rStyle w:val="FontStyle305"/>
          <w:rFonts w:ascii="Times New Roman" w:hAnsi="Times New Roman" w:cs="Times New Roman"/>
          <w:sz w:val="28"/>
          <w:szCs w:val="28"/>
          <w:lang w:val="es-ES_tradnl" w:eastAsia="es-ES_tradnl"/>
        </w:rPr>
        <w:t>“la orientación sexual del infractor, sin su consentimiento”</w:t>
      </w:r>
      <w:r w:rsidR="00895A5E" w:rsidRPr="000B352A">
        <w:rPr>
          <w:rStyle w:val="FontStyle305"/>
          <w:rFonts w:ascii="Times New Roman" w:hAnsi="Times New Roman" w:cs="Times New Roman"/>
          <w:sz w:val="28"/>
          <w:szCs w:val="28"/>
          <w:lang w:val="es-ES_tradnl" w:eastAsia="es-ES_tradnl"/>
        </w:rPr>
        <w:t>.</w:t>
      </w:r>
    </w:p>
    <w:p w14:paraId="64E5A1DA" w14:textId="77777777" w:rsidR="00BD7B29" w:rsidRPr="000B352A" w:rsidRDefault="00BD7B29" w:rsidP="000B352A">
      <w:pPr>
        <w:pStyle w:val="Prrafodelista"/>
        <w:ind w:left="1080"/>
        <w:rPr>
          <w:rStyle w:val="FontStyle305"/>
          <w:rFonts w:ascii="Times New Roman" w:hAnsi="Times New Roman" w:cs="Times New Roman"/>
          <w:i w:val="0"/>
          <w:sz w:val="28"/>
          <w:szCs w:val="28"/>
          <w:lang w:val="es-ES_tradnl" w:eastAsia="es-ES_tradnl"/>
        </w:rPr>
      </w:pPr>
    </w:p>
    <w:p w14:paraId="64E5A1DB" w14:textId="77777777" w:rsidR="00BD7B29" w:rsidRPr="000B352A" w:rsidRDefault="00BD7B29" w:rsidP="000B352A">
      <w:pPr>
        <w:rPr>
          <w:rStyle w:val="FontStyle305"/>
          <w:rFonts w:ascii="Times New Roman" w:hAnsi="Times New Roman" w:cs="Times New Roman"/>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Resaltan las accionantes que si bien la sanción que prevé el numeral 1º del artículo 59 de la Ley 675 de 2001 tiene una finalidad constitucional y cumple con los principios de integralidad y veracidad, no cumple con el principio de libertad dado </w:t>
      </w:r>
      <w:r w:rsidRPr="000B352A">
        <w:rPr>
          <w:rStyle w:val="FontStyle305"/>
          <w:rFonts w:ascii="Times New Roman" w:hAnsi="Times New Roman" w:cs="Times New Roman"/>
          <w:sz w:val="28"/>
          <w:szCs w:val="28"/>
          <w:lang w:val="es-ES_tradnl" w:eastAsia="es-ES_tradnl"/>
        </w:rPr>
        <w:t>“los datos que divulga pueden no ser de naturaleza pública y su titular puede no haber autorizado libremente”</w:t>
      </w:r>
      <w:r w:rsidRPr="000B352A">
        <w:rPr>
          <w:rStyle w:val="FontStyle305"/>
          <w:rFonts w:ascii="Times New Roman" w:hAnsi="Times New Roman" w:cs="Times New Roman"/>
          <w:i w:val="0"/>
          <w:sz w:val="28"/>
          <w:szCs w:val="28"/>
          <w:lang w:val="es-ES_tradnl" w:eastAsia="es-ES_tradnl"/>
        </w:rPr>
        <w:t xml:space="preserve"> su difusión. Además, se señala en la demanda que el inciso 1º del artículo 59 de la ley ibidem conllevaría </w:t>
      </w:r>
      <w:r w:rsidR="00A61B63" w:rsidRPr="000B352A">
        <w:rPr>
          <w:rStyle w:val="FontStyle305"/>
          <w:rFonts w:ascii="Times New Roman" w:hAnsi="Times New Roman" w:cs="Times New Roman"/>
          <w:i w:val="0"/>
          <w:sz w:val="28"/>
          <w:szCs w:val="28"/>
          <w:lang w:val="es-ES_tradnl" w:eastAsia="es-ES_tradnl"/>
        </w:rPr>
        <w:t>e</w:t>
      </w:r>
      <w:r w:rsidRPr="000B352A">
        <w:rPr>
          <w:rStyle w:val="FontStyle305"/>
          <w:rFonts w:ascii="Times New Roman" w:hAnsi="Times New Roman" w:cs="Times New Roman"/>
          <w:i w:val="0"/>
          <w:sz w:val="28"/>
          <w:szCs w:val="28"/>
          <w:lang w:val="es-ES_tradnl" w:eastAsia="es-ES_tradnl"/>
        </w:rPr>
        <w:t xml:space="preserve">l incumplimiento del requisito de necesidad en tanto no hay una </w:t>
      </w:r>
      <w:r w:rsidRPr="000B352A">
        <w:rPr>
          <w:rStyle w:val="FontStyle305"/>
          <w:rFonts w:ascii="Times New Roman" w:hAnsi="Times New Roman" w:cs="Times New Roman"/>
          <w:sz w:val="28"/>
          <w:szCs w:val="28"/>
          <w:lang w:val="es-ES_tradnl" w:eastAsia="es-ES_tradnl"/>
        </w:rPr>
        <w:t xml:space="preserve">“relación de conexidad con el fin legítimo, pues no resulta claro cómo </w:t>
      </w:r>
      <w:r w:rsidR="00895A5E" w:rsidRPr="000B352A">
        <w:rPr>
          <w:rStyle w:val="FontStyle305"/>
          <w:rFonts w:ascii="Times New Roman" w:hAnsi="Times New Roman" w:cs="Times New Roman"/>
          <w:sz w:val="28"/>
          <w:szCs w:val="28"/>
          <w:lang w:val="es-ES_tradnl" w:eastAsia="es-ES_tradnl"/>
        </w:rPr>
        <w:t>la publicación de las razones de este incumplimiento garantizan</w:t>
      </w:r>
      <w:r w:rsidRPr="000B352A">
        <w:rPr>
          <w:rStyle w:val="FontStyle305"/>
          <w:rFonts w:ascii="Times New Roman" w:hAnsi="Times New Roman" w:cs="Times New Roman"/>
          <w:sz w:val="28"/>
          <w:szCs w:val="28"/>
          <w:lang w:val="es-ES_tradnl" w:eastAsia="es-ES_tradnl"/>
        </w:rPr>
        <w:t xml:space="preserve"> (sic) la realización de las obligaciones no pecuniarias”.</w:t>
      </w:r>
    </w:p>
    <w:p w14:paraId="64E5A1DC"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DD" w14:textId="77777777" w:rsidR="00BD7B29" w:rsidRPr="000B352A" w:rsidRDefault="00BD7B29" w:rsidP="000B352A">
      <w:pPr>
        <w:pStyle w:val="Prrafodelista"/>
        <w:numPr>
          <w:ilvl w:val="0"/>
          <w:numId w:val="2"/>
        </w:numPr>
        <w:ind w:left="426" w:hanging="426"/>
        <w:rPr>
          <w:rStyle w:val="FontStyle305"/>
          <w:rFonts w:ascii="Times New Roman" w:hAnsi="Times New Roman" w:cs="Times New Roman"/>
          <w:b/>
          <w:i w:val="0"/>
          <w:sz w:val="28"/>
          <w:szCs w:val="28"/>
          <w:lang w:val="es-ES_tradnl" w:eastAsia="es-ES_tradnl"/>
        </w:rPr>
      </w:pPr>
      <w:r w:rsidRPr="000B352A">
        <w:rPr>
          <w:rStyle w:val="FontStyle305"/>
          <w:rFonts w:ascii="Times New Roman" w:hAnsi="Times New Roman" w:cs="Times New Roman"/>
          <w:b/>
          <w:i w:val="0"/>
          <w:sz w:val="28"/>
          <w:szCs w:val="28"/>
          <w:lang w:val="es-ES_tradnl" w:eastAsia="es-ES_tradnl"/>
        </w:rPr>
        <w:t>El cargo por violación al derecho al habeas data</w:t>
      </w:r>
    </w:p>
    <w:p w14:paraId="64E5A1DE" w14:textId="77777777" w:rsidR="00BD7B29" w:rsidRPr="000B352A" w:rsidRDefault="00BD7B29" w:rsidP="000B352A">
      <w:pPr>
        <w:ind w:left="360"/>
        <w:rPr>
          <w:rStyle w:val="FontStyle305"/>
          <w:rFonts w:ascii="Times New Roman" w:hAnsi="Times New Roman" w:cs="Times New Roman"/>
          <w:i w:val="0"/>
          <w:sz w:val="28"/>
          <w:szCs w:val="28"/>
          <w:lang w:val="es-ES_tradnl" w:eastAsia="es-ES_tradnl"/>
        </w:rPr>
      </w:pPr>
    </w:p>
    <w:p w14:paraId="64E5A1DF"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El segundo cargo está encaminado a demostrar que los artículos demandados violan el </w:t>
      </w:r>
      <w:r w:rsidRPr="000B352A">
        <w:rPr>
          <w:rStyle w:val="FontStyle305"/>
          <w:rFonts w:ascii="Times New Roman" w:hAnsi="Times New Roman" w:cs="Times New Roman"/>
          <w:sz w:val="28"/>
          <w:szCs w:val="28"/>
          <w:lang w:val="es-ES_tradnl" w:eastAsia="es-ES_tradnl"/>
        </w:rPr>
        <w:t>derecho “fundamental y autónomo al habeas data porque la publicación del incumplimiento de obligaciones pecuniarias y no pecuniarias en lugares tanto de amplia como de poca circulación en la propiedad horizontal, es hecha sin el previo consentimiento del titular de dichos datos</w:t>
      </w:r>
      <w:r w:rsidRPr="000B352A">
        <w:rPr>
          <w:rStyle w:val="FontStyle305"/>
          <w:rFonts w:ascii="Times New Roman" w:hAnsi="Times New Roman" w:cs="Times New Roman"/>
          <w:i w:val="0"/>
          <w:sz w:val="28"/>
          <w:szCs w:val="28"/>
          <w:lang w:val="es-ES_tradnl" w:eastAsia="es-ES_tradnl"/>
        </w:rPr>
        <w:t>”.</w:t>
      </w:r>
    </w:p>
    <w:p w14:paraId="64E5A1E0"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E1"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2.1. En lo que toca con el </w:t>
      </w:r>
      <w:r w:rsidRPr="000B352A">
        <w:rPr>
          <w:rStyle w:val="FontStyle305"/>
          <w:rFonts w:ascii="Times New Roman" w:hAnsi="Times New Roman" w:cs="Times New Roman"/>
          <w:b/>
          <w:i w:val="0"/>
          <w:sz w:val="28"/>
          <w:szCs w:val="28"/>
          <w:lang w:val="es-ES_tradnl" w:eastAsia="es-ES_tradnl"/>
        </w:rPr>
        <w:t>inciso 2º del</w:t>
      </w:r>
      <w:r w:rsidRPr="000B352A">
        <w:rPr>
          <w:rStyle w:val="FontStyle305"/>
          <w:rFonts w:ascii="Times New Roman" w:hAnsi="Times New Roman" w:cs="Times New Roman"/>
          <w:i w:val="0"/>
          <w:sz w:val="28"/>
          <w:szCs w:val="28"/>
          <w:lang w:val="es-ES_tradnl" w:eastAsia="es-ES_tradnl"/>
        </w:rPr>
        <w:t xml:space="preserve"> </w:t>
      </w:r>
      <w:r w:rsidRPr="000B352A">
        <w:rPr>
          <w:rStyle w:val="FontStyle305"/>
          <w:rFonts w:ascii="Times New Roman" w:hAnsi="Times New Roman" w:cs="Times New Roman"/>
          <w:b/>
          <w:i w:val="0"/>
          <w:sz w:val="28"/>
          <w:szCs w:val="28"/>
          <w:lang w:val="es-ES_tradnl" w:eastAsia="es-ES_tradnl"/>
        </w:rPr>
        <w:t>artículo 30</w:t>
      </w:r>
      <w:r w:rsidRPr="000B352A">
        <w:rPr>
          <w:rStyle w:val="FontStyle305"/>
          <w:rFonts w:ascii="Times New Roman" w:hAnsi="Times New Roman" w:cs="Times New Roman"/>
          <w:i w:val="0"/>
          <w:sz w:val="28"/>
          <w:szCs w:val="28"/>
          <w:lang w:val="es-ES_tradnl" w:eastAsia="es-ES_tradnl"/>
        </w:rPr>
        <w:t xml:space="preserve"> de la Ley 675 de 2001, la demanda reitera que la información a que éste remite es de tipo semiprivado </w:t>
      </w:r>
      <w:r w:rsidRPr="000B352A">
        <w:rPr>
          <w:rStyle w:val="FontStyle305"/>
          <w:rFonts w:ascii="Times New Roman" w:hAnsi="Times New Roman" w:cs="Times New Roman"/>
          <w:sz w:val="28"/>
          <w:szCs w:val="28"/>
          <w:lang w:val="es-ES_tradnl" w:eastAsia="es-ES_tradnl"/>
        </w:rPr>
        <w:t>“pues se trata de información financiera y no encaja en ninguna de las excepciones a la autorización previa del artículo 10”</w:t>
      </w:r>
      <w:r w:rsidRPr="000B352A">
        <w:rPr>
          <w:rStyle w:val="FontStyle305"/>
          <w:rFonts w:ascii="Times New Roman" w:hAnsi="Times New Roman" w:cs="Times New Roman"/>
          <w:i w:val="0"/>
          <w:sz w:val="28"/>
          <w:szCs w:val="28"/>
          <w:lang w:val="es-ES_tradnl" w:eastAsia="es-ES_tradnl"/>
        </w:rPr>
        <w:t xml:space="preserve"> de la Ley Estatutaria 1581 de 2012. Por tanto, las accionantes consideran que mientras que la mora en que se incurra en el pago de obligaciones pecuniarias relacionadas con la propiedad horizontal no es una información pública de libre divulgación, la norma demandada prevé su publicación en lugares de poco tránsito de visitantes sin perjuicio de que se asegure que los copropietarios se enteren de la situación.</w:t>
      </w:r>
    </w:p>
    <w:p w14:paraId="64E5A1E2"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E3"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Recuerdan finalmente que desde la Sentencia SU-082 de 1995 la Corte </w:t>
      </w:r>
      <w:r w:rsidRPr="000B352A">
        <w:rPr>
          <w:rStyle w:val="FontStyle305"/>
          <w:rFonts w:ascii="Times New Roman" w:hAnsi="Times New Roman" w:cs="Times New Roman"/>
          <w:i w:val="0"/>
          <w:sz w:val="28"/>
          <w:szCs w:val="28"/>
          <w:lang w:val="es-ES_tradnl" w:eastAsia="es-ES_tradnl"/>
        </w:rPr>
        <w:lastRenderedPageBreak/>
        <w:t xml:space="preserve">Constitucional </w:t>
      </w:r>
      <w:r w:rsidRPr="000B352A">
        <w:rPr>
          <w:rStyle w:val="FontStyle305"/>
          <w:rFonts w:ascii="Times New Roman" w:hAnsi="Times New Roman" w:cs="Times New Roman"/>
          <w:sz w:val="28"/>
          <w:szCs w:val="28"/>
          <w:lang w:val="es-ES_tradnl" w:eastAsia="es-ES_tradnl"/>
        </w:rPr>
        <w:t>“estableció la necesidad de una autorización previa para la publicación de este tipo de información”.</w:t>
      </w:r>
      <w:r w:rsidRPr="000B352A">
        <w:rPr>
          <w:rStyle w:val="FontStyle305"/>
          <w:rFonts w:ascii="Times New Roman" w:hAnsi="Times New Roman" w:cs="Times New Roman"/>
          <w:i w:val="0"/>
          <w:sz w:val="28"/>
          <w:szCs w:val="28"/>
          <w:lang w:val="es-ES_tradnl" w:eastAsia="es-ES_tradnl"/>
        </w:rPr>
        <w:t xml:space="preserve"> </w:t>
      </w:r>
    </w:p>
    <w:p w14:paraId="64E5A1E4"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E5" w14:textId="77777777" w:rsidR="00BD7B29" w:rsidRPr="000B352A" w:rsidRDefault="00BD7B29" w:rsidP="000B352A">
      <w:pPr>
        <w:pStyle w:val="Prrafodelista"/>
        <w:numPr>
          <w:ilvl w:val="1"/>
          <w:numId w:val="2"/>
        </w:numPr>
        <w:ind w:left="0" w:firstLine="0"/>
        <w:rPr>
          <w:rStyle w:val="FontStyle305"/>
          <w:rFonts w:ascii="Times New Roman" w:hAnsi="Times New Roman" w:cs="Times New Roman"/>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Respecto del </w:t>
      </w:r>
      <w:r w:rsidRPr="000B352A">
        <w:rPr>
          <w:rStyle w:val="FontStyle305"/>
          <w:rFonts w:ascii="Times New Roman" w:hAnsi="Times New Roman" w:cs="Times New Roman"/>
          <w:b/>
          <w:i w:val="0"/>
          <w:sz w:val="28"/>
          <w:szCs w:val="28"/>
          <w:lang w:val="es-ES_tradnl" w:eastAsia="es-ES_tradnl"/>
        </w:rPr>
        <w:t>numeral 1º del</w:t>
      </w:r>
      <w:r w:rsidRPr="000B352A">
        <w:rPr>
          <w:rStyle w:val="FontStyle305"/>
          <w:rFonts w:ascii="Times New Roman" w:hAnsi="Times New Roman" w:cs="Times New Roman"/>
          <w:i w:val="0"/>
          <w:sz w:val="28"/>
          <w:szCs w:val="28"/>
          <w:lang w:val="es-ES_tradnl" w:eastAsia="es-ES_tradnl"/>
        </w:rPr>
        <w:t xml:space="preserve"> </w:t>
      </w:r>
      <w:r w:rsidRPr="000B352A">
        <w:rPr>
          <w:rStyle w:val="FontStyle305"/>
          <w:rFonts w:ascii="Times New Roman" w:hAnsi="Times New Roman" w:cs="Times New Roman"/>
          <w:b/>
          <w:i w:val="0"/>
          <w:sz w:val="28"/>
          <w:szCs w:val="28"/>
          <w:lang w:val="es-ES_tradnl" w:eastAsia="es-ES_tradnl"/>
        </w:rPr>
        <w:t>artículo 59</w:t>
      </w:r>
      <w:r w:rsidRPr="000B352A">
        <w:rPr>
          <w:rStyle w:val="FontStyle305"/>
          <w:rFonts w:ascii="Times New Roman" w:hAnsi="Times New Roman" w:cs="Times New Roman"/>
          <w:i w:val="0"/>
          <w:sz w:val="28"/>
          <w:szCs w:val="28"/>
          <w:lang w:val="es-ES_tradnl" w:eastAsia="es-ES_tradnl"/>
        </w:rPr>
        <w:t xml:space="preserve"> de la mencionada ley, las demandantes afirman que </w:t>
      </w:r>
      <w:r w:rsidR="00A61B63" w:rsidRPr="000B352A">
        <w:rPr>
          <w:rStyle w:val="FontStyle305"/>
          <w:rFonts w:ascii="Times New Roman" w:hAnsi="Times New Roman" w:cs="Times New Roman"/>
          <w:i w:val="0"/>
          <w:sz w:val="28"/>
          <w:szCs w:val="28"/>
          <w:lang w:val="es-ES_tradnl" w:eastAsia="es-ES_tradnl"/>
        </w:rPr>
        <w:t>e</w:t>
      </w:r>
      <w:r w:rsidRPr="000B352A">
        <w:rPr>
          <w:rStyle w:val="FontStyle305"/>
          <w:rFonts w:ascii="Times New Roman" w:hAnsi="Times New Roman" w:cs="Times New Roman"/>
          <w:i w:val="0"/>
          <w:sz w:val="28"/>
          <w:szCs w:val="28"/>
          <w:lang w:val="es-ES_tradnl" w:eastAsia="es-ES_tradnl"/>
        </w:rPr>
        <w:t xml:space="preserve">ste vulnera el derecho al habeas data ya que autoriza a que se publique el hecho puntual y expreso que originó el incumplimiento de la obligación no pecuniaria, </w:t>
      </w:r>
      <w:r w:rsidRPr="000B352A">
        <w:rPr>
          <w:rStyle w:val="FontStyle305"/>
          <w:rFonts w:ascii="Times New Roman" w:hAnsi="Times New Roman" w:cs="Times New Roman"/>
          <w:sz w:val="28"/>
          <w:szCs w:val="28"/>
          <w:lang w:val="es-ES_tradnl" w:eastAsia="es-ES_tradnl"/>
        </w:rPr>
        <w:t>“sin consideración alguna de qué tipo de datos se reflejan allí, en lugares de alta circulación”</w:t>
      </w:r>
      <w:r w:rsidRPr="000B352A">
        <w:rPr>
          <w:rStyle w:val="FontStyle305"/>
          <w:rFonts w:ascii="Times New Roman" w:hAnsi="Times New Roman" w:cs="Times New Roman"/>
          <w:i w:val="0"/>
          <w:sz w:val="28"/>
          <w:szCs w:val="28"/>
          <w:lang w:val="es-ES_tradnl" w:eastAsia="es-ES_tradnl"/>
        </w:rPr>
        <w:t xml:space="preserve"> y sin contar con la autorización de su titular para que sea publicada. En suma, según la demanda, lo que viola el derecho al habeas data es que por ley se permita publicar datos semiprivados, privados y sensibles sin la previa autorización de su titular, con el agravante consistente en que la norma prevé que la publicación debe hacerse en lugares de amplia circulación. Sobre este último particular las demandantes indican que </w:t>
      </w:r>
      <w:r w:rsidRPr="000B352A">
        <w:rPr>
          <w:rStyle w:val="FontStyle305"/>
          <w:rFonts w:ascii="Times New Roman" w:hAnsi="Times New Roman" w:cs="Times New Roman"/>
          <w:sz w:val="28"/>
          <w:szCs w:val="28"/>
          <w:lang w:val="es-ES_tradnl" w:eastAsia="es-ES_tradnl"/>
        </w:rPr>
        <w:t>“personas que ni siquiera hacen parte del conjunto o edificio también [conozcan la información prevista por el numeral 1º del artículo 59 de la Ley 675 de 2001]”.</w:t>
      </w:r>
    </w:p>
    <w:p w14:paraId="64E5A1E6"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E7" w14:textId="77777777" w:rsidR="00BD7B29" w:rsidRPr="000B352A" w:rsidRDefault="00BD7B29" w:rsidP="000B352A">
      <w:pPr>
        <w:pStyle w:val="Prrafodelista"/>
        <w:numPr>
          <w:ilvl w:val="0"/>
          <w:numId w:val="2"/>
        </w:numPr>
        <w:ind w:left="426" w:hanging="426"/>
        <w:rPr>
          <w:rStyle w:val="FontStyle305"/>
          <w:rFonts w:ascii="Times New Roman" w:hAnsi="Times New Roman" w:cs="Times New Roman"/>
          <w:b/>
          <w:i w:val="0"/>
          <w:sz w:val="28"/>
          <w:szCs w:val="28"/>
          <w:lang w:val="es-ES_tradnl" w:eastAsia="es-ES_tradnl"/>
        </w:rPr>
      </w:pPr>
      <w:r w:rsidRPr="000B352A">
        <w:rPr>
          <w:rStyle w:val="FontStyle305"/>
          <w:rFonts w:ascii="Times New Roman" w:hAnsi="Times New Roman" w:cs="Times New Roman"/>
          <w:b/>
          <w:i w:val="0"/>
          <w:sz w:val="28"/>
          <w:szCs w:val="28"/>
          <w:lang w:val="es-ES_tradnl" w:eastAsia="es-ES_tradnl"/>
        </w:rPr>
        <w:t>En cuanto a cargo por violación al principio de proporcionalidad</w:t>
      </w:r>
    </w:p>
    <w:p w14:paraId="64E5A1E8"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E9" w14:textId="77777777" w:rsidR="00BD7B29" w:rsidRPr="000B352A" w:rsidRDefault="00BD7B29" w:rsidP="000B352A">
      <w:pPr>
        <w:rPr>
          <w:rStyle w:val="FontStyle305"/>
          <w:rFonts w:ascii="Times New Roman" w:hAnsi="Times New Roman" w:cs="Times New Roman"/>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Como tercer cargo, la demanda alega la desproporcionalidad los </w:t>
      </w:r>
      <w:r w:rsidR="00A61B63" w:rsidRPr="000B352A">
        <w:rPr>
          <w:rStyle w:val="FontStyle305"/>
          <w:rFonts w:ascii="Times New Roman" w:hAnsi="Times New Roman" w:cs="Times New Roman"/>
          <w:i w:val="0"/>
          <w:sz w:val="28"/>
          <w:szCs w:val="28"/>
          <w:lang w:val="es-ES_tradnl" w:eastAsia="es-ES_tradnl"/>
        </w:rPr>
        <w:t>apartes</w:t>
      </w:r>
      <w:r w:rsidRPr="000B352A">
        <w:rPr>
          <w:rStyle w:val="FontStyle305"/>
          <w:rFonts w:ascii="Times New Roman" w:hAnsi="Times New Roman" w:cs="Times New Roman"/>
          <w:i w:val="0"/>
          <w:sz w:val="28"/>
          <w:szCs w:val="28"/>
          <w:lang w:val="es-ES_tradnl" w:eastAsia="es-ES_tradnl"/>
        </w:rPr>
        <w:t xml:space="preserve"> demandados de los artículos 30 y 59 de la Ley 675 de 2001 dado que </w:t>
      </w:r>
      <w:r w:rsidRPr="000B352A">
        <w:rPr>
          <w:rStyle w:val="FontStyle305"/>
          <w:rFonts w:ascii="Times New Roman" w:hAnsi="Times New Roman" w:cs="Times New Roman"/>
          <w:sz w:val="28"/>
          <w:szCs w:val="28"/>
          <w:lang w:val="es-ES_tradnl" w:eastAsia="es-ES_tradnl"/>
        </w:rPr>
        <w:t xml:space="preserve">“la administración puede recurrir a otras medidas en ambos supuestos, que no resulten en una violación a los derechos de intimidad y habeas data como derechos independientes” </w:t>
      </w:r>
    </w:p>
    <w:p w14:paraId="64E5A1EA"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EB"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3.1. Las demandantes realizan un estudio del test de proporcionalidad </w:t>
      </w:r>
      <w:r w:rsidRPr="000B352A">
        <w:rPr>
          <w:rStyle w:val="FontStyle305"/>
          <w:rFonts w:ascii="Times New Roman" w:hAnsi="Times New Roman" w:cs="Times New Roman"/>
          <w:sz w:val="28"/>
          <w:szCs w:val="28"/>
          <w:lang w:val="es-ES_tradnl" w:eastAsia="es-ES_tradnl"/>
        </w:rPr>
        <w:t>“en su versión estricta para comprobar la desproporcionalidad de cada medida demandada”</w:t>
      </w:r>
      <w:r w:rsidRPr="000B352A">
        <w:rPr>
          <w:rStyle w:val="FontStyle305"/>
          <w:rFonts w:ascii="Times New Roman" w:hAnsi="Times New Roman" w:cs="Times New Roman"/>
          <w:i w:val="0"/>
          <w:sz w:val="28"/>
          <w:szCs w:val="28"/>
          <w:lang w:val="es-ES_tradnl" w:eastAsia="es-ES_tradnl"/>
        </w:rPr>
        <w:t>:</w:t>
      </w:r>
    </w:p>
    <w:p w14:paraId="64E5A1EC"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ED"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3.1.1. El incumplimiento de obligaciones pecuniarias. Artículo 30 de la Ley 675 de 2001</w:t>
      </w:r>
    </w:p>
    <w:p w14:paraId="64E5A1EE"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EF"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Para las demandantes el </w:t>
      </w:r>
      <w:r w:rsidR="00A61B63" w:rsidRPr="000B352A">
        <w:rPr>
          <w:rStyle w:val="FontStyle305"/>
          <w:rFonts w:ascii="Times New Roman" w:hAnsi="Times New Roman" w:cs="Times New Roman"/>
          <w:i w:val="0"/>
          <w:sz w:val="28"/>
          <w:szCs w:val="28"/>
          <w:lang w:val="es-ES_tradnl" w:eastAsia="es-ES_tradnl"/>
        </w:rPr>
        <w:t>aparte</w:t>
      </w:r>
      <w:r w:rsidRPr="000B352A">
        <w:rPr>
          <w:rStyle w:val="FontStyle305"/>
          <w:rFonts w:ascii="Times New Roman" w:hAnsi="Times New Roman" w:cs="Times New Roman"/>
          <w:i w:val="0"/>
          <w:sz w:val="28"/>
          <w:szCs w:val="28"/>
          <w:lang w:val="es-ES_tradnl" w:eastAsia="es-ES_tradnl"/>
        </w:rPr>
        <w:t xml:space="preserve"> demandado del artículo 30 ibidem es una medida legítima pues su fin es constitucionalmente válido </w:t>
      </w:r>
      <w:r w:rsidRPr="000B352A">
        <w:rPr>
          <w:rStyle w:val="FontStyle305"/>
          <w:rFonts w:ascii="Times New Roman" w:hAnsi="Times New Roman" w:cs="Times New Roman"/>
          <w:sz w:val="28"/>
          <w:szCs w:val="28"/>
          <w:lang w:val="es-ES_tradnl" w:eastAsia="es-ES_tradnl"/>
        </w:rPr>
        <w:t>“en el sentido en que la publicación de los deudores busca constreñir el pago de la deuda con la administración por la cual está en lista</w:t>
      </w:r>
      <w:r w:rsidRPr="000B352A">
        <w:rPr>
          <w:rStyle w:val="FontStyle305"/>
          <w:rFonts w:ascii="Times New Roman" w:hAnsi="Times New Roman" w:cs="Times New Roman"/>
          <w:i w:val="0"/>
          <w:sz w:val="28"/>
          <w:szCs w:val="28"/>
          <w:lang w:val="es-ES_tradnl" w:eastAsia="es-ES_tradnl"/>
        </w:rPr>
        <w:t xml:space="preserve">”; importante, por cuanto el pago de las obligaciones pecuniarias correspondientes </w:t>
      </w:r>
      <w:r w:rsidRPr="000B352A">
        <w:rPr>
          <w:rStyle w:val="FontStyle305"/>
          <w:rFonts w:ascii="Times New Roman" w:hAnsi="Times New Roman" w:cs="Times New Roman"/>
          <w:sz w:val="28"/>
          <w:szCs w:val="28"/>
          <w:lang w:val="es-ES_tradnl" w:eastAsia="es-ES_tradnl"/>
        </w:rPr>
        <w:t>“es crucial para el óptimo disfrute de la copropiedad y los bienes comunes”</w:t>
      </w:r>
      <w:r w:rsidRPr="000B352A">
        <w:rPr>
          <w:rStyle w:val="FontStyle305"/>
          <w:rFonts w:ascii="Times New Roman" w:hAnsi="Times New Roman" w:cs="Times New Roman"/>
          <w:i w:val="0"/>
          <w:sz w:val="28"/>
          <w:szCs w:val="28"/>
          <w:lang w:val="es-ES_tradnl" w:eastAsia="es-ES_tradnl"/>
        </w:rPr>
        <w:t xml:space="preserve">; imperiosa, ya que la debida administración de las expensas en la propiedad horizontal </w:t>
      </w:r>
      <w:r w:rsidRPr="000B352A">
        <w:rPr>
          <w:rStyle w:val="FontStyle305"/>
          <w:rFonts w:ascii="Times New Roman" w:hAnsi="Times New Roman" w:cs="Times New Roman"/>
          <w:sz w:val="28"/>
          <w:szCs w:val="28"/>
          <w:lang w:val="es-ES_tradnl" w:eastAsia="es-ES_tradnl"/>
        </w:rPr>
        <w:t>“es lo que permite que esta satisfaga el interés público imperativo de la copropiedad de acuerdo a su función social, la cual conlleva obligaciones a cargo del copropietario”</w:t>
      </w:r>
      <w:r w:rsidRPr="000B352A">
        <w:rPr>
          <w:rStyle w:val="FontStyle305"/>
          <w:rFonts w:ascii="Times New Roman" w:hAnsi="Times New Roman" w:cs="Times New Roman"/>
          <w:i w:val="0"/>
          <w:sz w:val="28"/>
          <w:szCs w:val="28"/>
          <w:lang w:val="es-ES_tradnl" w:eastAsia="es-ES_tradnl"/>
        </w:rPr>
        <w:t>; y adecuada, en cuanto a que su implementación podría lograr que el deudor pague su deuda con la copropiedad.</w:t>
      </w:r>
    </w:p>
    <w:p w14:paraId="64E5A1F0" w14:textId="77777777" w:rsidR="00BD7B29" w:rsidRPr="000B352A" w:rsidRDefault="00BD7B29" w:rsidP="000B352A">
      <w:pPr>
        <w:pStyle w:val="Prrafodelista"/>
        <w:rPr>
          <w:rStyle w:val="FontStyle305"/>
          <w:rFonts w:ascii="Times New Roman" w:hAnsi="Times New Roman" w:cs="Times New Roman"/>
          <w:i w:val="0"/>
          <w:sz w:val="28"/>
          <w:szCs w:val="28"/>
          <w:lang w:val="es-ES_tradnl" w:eastAsia="es-ES_tradnl"/>
        </w:rPr>
      </w:pPr>
    </w:p>
    <w:p w14:paraId="64E5A1F1"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Sin embargo, para las demandantes la referida norma no es conducentemente efectiva pues no se puede concluir que por el simple hecho de publicar el listado el deudor va a pagar las obligaciones a su cargo. Incluso, afirman, si el deudor moroso paga lo que debe, la publicación </w:t>
      </w:r>
      <w:r w:rsidRPr="000B352A">
        <w:rPr>
          <w:rStyle w:val="FontStyle305"/>
          <w:rFonts w:ascii="Times New Roman" w:hAnsi="Times New Roman" w:cs="Times New Roman"/>
          <w:sz w:val="28"/>
          <w:szCs w:val="28"/>
          <w:lang w:val="es-ES_tradnl" w:eastAsia="es-ES_tradnl"/>
        </w:rPr>
        <w:t>“no repara las afectaciones patrimoniales que la deuda causa a la copropiedad”.</w:t>
      </w:r>
      <w:r w:rsidRPr="000B352A">
        <w:rPr>
          <w:rStyle w:val="FontStyle305"/>
          <w:rFonts w:ascii="Times New Roman" w:hAnsi="Times New Roman" w:cs="Times New Roman"/>
          <w:i w:val="0"/>
          <w:sz w:val="28"/>
          <w:szCs w:val="28"/>
          <w:lang w:val="es-ES_tradnl" w:eastAsia="es-ES_tradnl"/>
        </w:rPr>
        <w:t xml:space="preserve"> De esta manera, se concluye que</w:t>
      </w:r>
      <w:r w:rsidR="00A61B63" w:rsidRPr="000B352A">
        <w:rPr>
          <w:rStyle w:val="FontStyle305"/>
          <w:rFonts w:ascii="Times New Roman" w:hAnsi="Times New Roman" w:cs="Times New Roman"/>
          <w:i w:val="0"/>
          <w:sz w:val="28"/>
          <w:szCs w:val="28"/>
          <w:lang w:val="es-ES_tradnl" w:eastAsia="es-ES_tradnl"/>
        </w:rPr>
        <w:t xml:space="preserve"> con</w:t>
      </w:r>
      <w:r w:rsidRPr="000B352A">
        <w:rPr>
          <w:rStyle w:val="FontStyle305"/>
          <w:rFonts w:ascii="Times New Roman" w:hAnsi="Times New Roman" w:cs="Times New Roman"/>
          <w:i w:val="0"/>
          <w:sz w:val="28"/>
          <w:szCs w:val="28"/>
          <w:lang w:val="es-ES_tradnl" w:eastAsia="es-ES_tradnl"/>
        </w:rPr>
        <w:t xml:space="preserve"> </w:t>
      </w:r>
      <w:r w:rsidRPr="000B352A">
        <w:rPr>
          <w:rStyle w:val="FontStyle305"/>
          <w:rFonts w:ascii="Times New Roman" w:hAnsi="Times New Roman" w:cs="Times New Roman"/>
          <w:sz w:val="28"/>
          <w:szCs w:val="28"/>
          <w:lang w:val="es-ES_tradnl" w:eastAsia="es-ES_tradnl"/>
        </w:rPr>
        <w:t>“la medida per se no garantiza entonces el cumplimiento del copropietario y por ende no conduce a su objetivo, el cual es constreñir el pago de la deuda”.</w:t>
      </w:r>
      <w:r w:rsidRPr="000B352A">
        <w:rPr>
          <w:rStyle w:val="FontStyle305"/>
          <w:rFonts w:ascii="Times New Roman" w:hAnsi="Times New Roman" w:cs="Times New Roman"/>
          <w:i w:val="0"/>
          <w:sz w:val="28"/>
          <w:szCs w:val="28"/>
          <w:lang w:val="es-ES_tradnl" w:eastAsia="es-ES_tradnl"/>
        </w:rPr>
        <w:t xml:space="preserve"> Más aún, las demandantes señalan que la norma tampoco sería necesaria pues existirían medios alternativos que no lesionarían derechos fundamentales.</w:t>
      </w:r>
    </w:p>
    <w:p w14:paraId="64E5A1F2"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F3"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Finalmente, la demanda sostiene que la medida que contempla el inciso 2º del artículo 30 de la Ley 675 de 2001 afecta derechos como la privacidad y el habeas data pues, como ya se vio, expone al público información financiera del deudor. Se aduce así que las restricciones a los derechos que implica la aplicación de la norma llevan a meros beneficios eventuales y que salvaguardan el interés de la comunidad en tanto pretenden proteger la propiedad, pero olvidando que los derechos afectados son de carácter personalísimo y pertenecientes al ámbito más intrínseco del ser humano. Así las cosas, la demanda sostiene que los beneficios eventuales de la medida pesarían menos que los derechos que afecta negativamente. </w:t>
      </w:r>
    </w:p>
    <w:p w14:paraId="64E5A1F4"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F5"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3.1.2. El incumplimiento de obligaciones no pecuniarias. Numeral 1º del artículo 59 de la Ley 675 de 2001</w:t>
      </w:r>
    </w:p>
    <w:p w14:paraId="64E5A1F6"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F7" w14:textId="77777777" w:rsidR="00BD7B29" w:rsidRPr="000B352A" w:rsidRDefault="00BD7B29" w:rsidP="000B352A">
      <w:pPr>
        <w:rPr>
          <w:rStyle w:val="FontStyle305"/>
          <w:rFonts w:ascii="Times New Roman" w:hAnsi="Times New Roman" w:cs="Times New Roman"/>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Para las accionantes el numeral 1º del artículo 59 de la Ley 675 de 2001 tiene una finalidad legítima, en tanto con este se busca sancionar a quien viola el reglamento de la copropiedad o la ley. Así mismo, en la demanda se sostiene que las sanciones consagradas en la norma acusada, </w:t>
      </w:r>
      <w:r w:rsidRPr="000B352A">
        <w:rPr>
          <w:rStyle w:val="FontStyle305"/>
          <w:rFonts w:ascii="Times New Roman" w:hAnsi="Times New Roman" w:cs="Times New Roman"/>
          <w:sz w:val="28"/>
          <w:szCs w:val="28"/>
          <w:lang w:val="es-ES_tradnl" w:eastAsia="es-ES_tradnl"/>
        </w:rPr>
        <w:t>“responden a la necesidad de castigar a quienes no actúen de conformidad con los reglamentos, asegurando una convivencia pacífica entre los vecinos o miembros de la copropiedad y la satisfacción del principio de legalidad”</w:t>
      </w:r>
      <w:r w:rsidRPr="000B352A">
        <w:rPr>
          <w:rStyle w:val="FontStyle305"/>
          <w:rFonts w:ascii="Times New Roman" w:hAnsi="Times New Roman" w:cs="Times New Roman"/>
          <w:i w:val="0"/>
          <w:sz w:val="28"/>
          <w:szCs w:val="28"/>
          <w:lang w:val="es-ES_tradnl" w:eastAsia="es-ES_tradnl"/>
        </w:rPr>
        <w:t xml:space="preserve">. También señalan que su finalidad es importante pues promueve intereses públicos como la </w:t>
      </w:r>
      <w:r w:rsidRPr="000B352A">
        <w:rPr>
          <w:rStyle w:val="FontStyle305"/>
          <w:rFonts w:ascii="Times New Roman" w:hAnsi="Times New Roman" w:cs="Times New Roman"/>
          <w:sz w:val="28"/>
          <w:szCs w:val="28"/>
          <w:lang w:val="es-ES_tradnl" w:eastAsia="es-ES_tradnl"/>
        </w:rPr>
        <w:t>“existencia de una justicia retributiva para buscar sanciones frente a una conducta prohibida”</w:t>
      </w:r>
      <w:r w:rsidRPr="000B352A">
        <w:rPr>
          <w:rStyle w:val="FontStyle305"/>
          <w:rFonts w:ascii="Times New Roman" w:hAnsi="Times New Roman" w:cs="Times New Roman"/>
          <w:i w:val="0"/>
          <w:sz w:val="28"/>
          <w:szCs w:val="28"/>
          <w:lang w:val="es-ES_tradnl" w:eastAsia="es-ES_tradnl"/>
        </w:rPr>
        <w:t xml:space="preserve"> o la </w:t>
      </w:r>
      <w:r w:rsidRPr="000B352A">
        <w:rPr>
          <w:rStyle w:val="FontStyle305"/>
          <w:rFonts w:ascii="Times New Roman" w:hAnsi="Times New Roman" w:cs="Times New Roman"/>
          <w:sz w:val="28"/>
          <w:szCs w:val="28"/>
          <w:lang w:val="es-ES_tradnl" w:eastAsia="es-ES_tradnl"/>
        </w:rPr>
        <w:t>“necesidad de establecer una responsabilidad que tenga en cuenta el dolo y la causalidad”.</w:t>
      </w:r>
      <w:r w:rsidRPr="000B352A">
        <w:rPr>
          <w:rStyle w:val="FontStyle305"/>
          <w:rFonts w:ascii="Times New Roman" w:hAnsi="Times New Roman" w:cs="Times New Roman"/>
          <w:i w:val="0"/>
          <w:sz w:val="28"/>
          <w:szCs w:val="28"/>
          <w:lang w:val="es-ES_tradnl" w:eastAsia="es-ES_tradnl"/>
        </w:rPr>
        <w:t xml:space="preserve"> Señalan también que la finalidad de la norma es igualmente imperiosa pues sanciona el incumplimiento de obligaciones y busca proteger intereses públicos protegidos constitucionalmente como la justicia, la solidaridad, el orden público y la sana convivencia; y también adecuada y efectivamente conducente pues, por una parte, es un medio adecuado </w:t>
      </w:r>
      <w:r w:rsidRPr="000B352A">
        <w:rPr>
          <w:rStyle w:val="FontStyle305"/>
          <w:rFonts w:ascii="Times New Roman" w:hAnsi="Times New Roman" w:cs="Times New Roman"/>
          <w:sz w:val="28"/>
          <w:szCs w:val="28"/>
          <w:lang w:val="es-ES_tradnl" w:eastAsia="es-ES_tradnl"/>
        </w:rPr>
        <w:t>“para el fin que busca, el cual es castigar a quien cometió la infracción”</w:t>
      </w:r>
      <w:r w:rsidRPr="000B352A">
        <w:rPr>
          <w:rStyle w:val="FontStyle305"/>
          <w:rFonts w:ascii="Times New Roman" w:hAnsi="Times New Roman" w:cs="Times New Roman"/>
          <w:i w:val="0"/>
          <w:sz w:val="28"/>
          <w:szCs w:val="28"/>
          <w:lang w:val="es-ES_tradnl" w:eastAsia="es-ES_tradnl"/>
        </w:rPr>
        <w:t xml:space="preserve"> y, por otra parte, </w:t>
      </w:r>
      <w:r w:rsidRPr="000B352A">
        <w:rPr>
          <w:rStyle w:val="FontStyle305"/>
          <w:rFonts w:ascii="Times New Roman" w:hAnsi="Times New Roman" w:cs="Times New Roman"/>
          <w:sz w:val="28"/>
          <w:szCs w:val="28"/>
          <w:lang w:val="es-ES_tradnl" w:eastAsia="es-ES_tradnl"/>
        </w:rPr>
        <w:t>“[constituye] una sanción por medio de la publicación de los infractores y las faltas cometidas”.</w:t>
      </w:r>
    </w:p>
    <w:p w14:paraId="64E5A1F8"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F9" w14:textId="77777777" w:rsidR="00BD7B29" w:rsidRPr="000B352A" w:rsidRDefault="00BD7B29" w:rsidP="000B352A">
      <w:pPr>
        <w:rPr>
          <w:rStyle w:val="FontStyle305"/>
          <w:rFonts w:ascii="Times New Roman" w:hAnsi="Times New Roman" w:cs="Times New Roman"/>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No obstante, en la demanda se indica que la misma norma consagra otros </w:t>
      </w:r>
      <w:r w:rsidR="00A61B63" w:rsidRPr="000B352A">
        <w:rPr>
          <w:rStyle w:val="FontStyle305"/>
          <w:rFonts w:ascii="Times New Roman" w:hAnsi="Times New Roman" w:cs="Times New Roman"/>
          <w:i w:val="0"/>
          <w:sz w:val="28"/>
          <w:szCs w:val="28"/>
          <w:lang w:val="es-ES_tradnl" w:eastAsia="es-ES_tradnl"/>
        </w:rPr>
        <w:t xml:space="preserve">medios </w:t>
      </w:r>
      <w:r w:rsidRPr="000B352A">
        <w:rPr>
          <w:rStyle w:val="FontStyle305"/>
          <w:rFonts w:ascii="Times New Roman" w:hAnsi="Times New Roman" w:cs="Times New Roman"/>
          <w:i w:val="0"/>
          <w:sz w:val="28"/>
          <w:szCs w:val="28"/>
          <w:lang w:val="es-ES_tradnl" w:eastAsia="es-ES_tradnl"/>
        </w:rPr>
        <w:t xml:space="preserve">menos </w:t>
      </w:r>
      <w:r w:rsidRPr="000B352A">
        <w:rPr>
          <w:rStyle w:val="FontStyle305"/>
          <w:rFonts w:ascii="Times New Roman" w:hAnsi="Times New Roman" w:cs="Times New Roman"/>
          <w:sz w:val="28"/>
          <w:szCs w:val="28"/>
          <w:lang w:val="es-ES_tradnl" w:eastAsia="es-ES_tradnl"/>
        </w:rPr>
        <w:t>“onerosos”</w:t>
      </w:r>
      <w:r w:rsidRPr="000B352A">
        <w:rPr>
          <w:rStyle w:val="FontStyle305"/>
          <w:rFonts w:ascii="Times New Roman" w:hAnsi="Times New Roman" w:cs="Times New Roman"/>
          <w:i w:val="0"/>
          <w:sz w:val="28"/>
          <w:szCs w:val="28"/>
          <w:lang w:val="es-ES_tradnl" w:eastAsia="es-ES_tradnl"/>
        </w:rPr>
        <w:t xml:space="preserve"> para con los derechos a la intimidad y el habeas data, como lo son la imposición de multas y la restricción de uso y goce de bienes comunes no esenciales. Las demandantes consideran innecesario </w:t>
      </w:r>
      <w:r w:rsidRPr="000B352A">
        <w:rPr>
          <w:rStyle w:val="FontStyle305"/>
          <w:rFonts w:ascii="Times New Roman" w:hAnsi="Times New Roman" w:cs="Times New Roman"/>
          <w:sz w:val="28"/>
          <w:szCs w:val="28"/>
          <w:lang w:val="es-ES_tradnl" w:eastAsia="es-ES_tradnl"/>
        </w:rPr>
        <w:t>“poner al escarnio público una lista con el nombre de los infractores”</w:t>
      </w:r>
      <w:r w:rsidRPr="000B352A">
        <w:rPr>
          <w:rStyle w:val="FontStyle305"/>
          <w:rFonts w:ascii="Times New Roman" w:hAnsi="Times New Roman" w:cs="Times New Roman"/>
          <w:i w:val="0"/>
          <w:sz w:val="28"/>
          <w:szCs w:val="28"/>
          <w:lang w:val="es-ES_tradnl" w:eastAsia="es-ES_tradnl"/>
        </w:rPr>
        <w:t xml:space="preserve"> y el hecho por el cual se sanciona, </w:t>
      </w:r>
      <w:r w:rsidRPr="000B352A">
        <w:rPr>
          <w:rStyle w:val="FontStyle305"/>
          <w:rFonts w:ascii="Times New Roman" w:hAnsi="Times New Roman" w:cs="Times New Roman"/>
          <w:sz w:val="28"/>
          <w:szCs w:val="28"/>
          <w:lang w:val="es-ES_tradnl" w:eastAsia="es-ES_tradnl"/>
        </w:rPr>
        <w:t xml:space="preserve">“pues toca con aspectos íntimos de quienes incurrieron en una prohibición”. </w:t>
      </w:r>
    </w:p>
    <w:p w14:paraId="64E5A1FA"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FB"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Finalmente, las accionantes indican que los beneficios obtenidos con lo dispuesto en la norma señalada </w:t>
      </w:r>
      <w:r w:rsidRPr="000B352A">
        <w:rPr>
          <w:rStyle w:val="FontStyle305"/>
          <w:rFonts w:ascii="Times New Roman" w:hAnsi="Times New Roman" w:cs="Times New Roman"/>
          <w:sz w:val="28"/>
          <w:szCs w:val="28"/>
          <w:lang w:val="es-ES_tradnl" w:eastAsia="es-ES_tradnl"/>
        </w:rPr>
        <w:t>“no representan en realidad un favor o utilidad para la administración ni para la copropiedad que justifique el detrimento de los derechos a la intimidad y al hábeas data de los trasgresores”</w:t>
      </w:r>
      <w:r w:rsidRPr="000B352A">
        <w:rPr>
          <w:rStyle w:val="FontStyle305"/>
          <w:rFonts w:ascii="Times New Roman" w:hAnsi="Times New Roman" w:cs="Times New Roman"/>
          <w:i w:val="0"/>
          <w:sz w:val="28"/>
          <w:szCs w:val="28"/>
          <w:lang w:val="es-ES_tradnl" w:eastAsia="es-ES_tradnl"/>
        </w:rPr>
        <w:t>; todo ello, además de que, al afectar la relación de infractor con los otros copropietarios, la norma tendría consecuencias menores favorables y mayores desfavorables a los que pretende.</w:t>
      </w:r>
    </w:p>
    <w:p w14:paraId="64E5A1FC" w14:textId="77777777" w:rsidR="00BD7B29" w:rsidRPr="000B352A" w:rsidRDefault="00BD7B29" w:rsidP="000B352A">
      <w:pPr>
        <w:rPr>
          <w:rStyle w:val="FontStyle305"/>
          <w:rFonts w:ascii="Times New Roman" w:hAnsi="Times New Roman" w:cs="Times New Roman"/>
          <w:i w:val="0"/>
          <w:sz w:val="28"/>
          <w:szCs w:val="28"/>
          <w:lang w:val="es-ES_tradnl" w:eastAsia="es-ES_tradnl"/>
        </w:rPr>
      </w:pPr>
    </w:p>
    <w:p w14:paraId="64E5A1FD" w14:textId="77777777" w:rsidR="00BD7B29" w:rsidRPr="000B352A" w:rsidRDefault="00BD7B29" w:rsidP="000B352A">
      <w:pPr>
        <w:pStyle w:val="Textoindependiente"/>
        <w:tabs>
          <w:tab w:val="left" w:pos="709"/>
        </w:tabs>
        <w:spacing w:after="0"/>
        <w:ind w:right="49"/>
        <w:rPr>
          <w:rFonts w:cs="Times New Roman"/>
          <w:b/>
          <w:szCs w:val="28"/>
          <w:lang w:val="es-ES"/>
        </w:rPr>
      </w:pPr>
      <w:r w:rsidRPr="000B352A">
        <w:rPr>
          <w:rFonts w:cs="Times New Roman"/>
          <w:b/>
          <w:szCs w:val="28"/>
          <w:lang w:val="es-ES"/>
        </w:rPr>
        <w:t xml:space="preserve">IV. INTERVENCIONES </w:t>
      </w:r>
    </w:p>
    <w:p w14:paraId="64E5A1FE" w14:textId="77777777" w:rsidR="00BD7B29" w:rsidRPr="000B352A" w:rsidRDefault="00BD7B29" w:rsidP="000B352A">
      <w:pPr>
        <w:pStyle w:val="Textoindependiente"/>
        <w:tabs>
          <w:tab w:val="left" w:pos="709"/>
        </w:tabs>
        <w:spacing w:after="0"/>
        <w:ind w:right="49"/>
        <w:rPr>
          <w:rFonts w:cs="Times New Roman"/>
          <w:b/>
          <w:szCs w:val="28"/>
          <w:lang w:val="es-ES"/>
        </w:rPr>
      </w:pPr>
    </w:p>
    <w:p w14:paraId="64E5A1FF" w14:textId="77777777" w:rsidR="00BD7B29" w:rsidRPr="000B352A" w:rsidRDefault="00BD7B29" w:rsidP="000B352A">
      <w:pPr>
        <w:pStyle w:val="Textoindependiente"/>
        <w:tabs>
          <w:tab w:val="left" w:pos="360"/>
        </w:tabs>
        <w:spacing w:after="0"/>
        <w:ind w:right="49"/>
        <w:rPr>
          <w:rFonts w:cs="Times New Roman"/>
          <w:szCs w:val="28"/>
          <w:lang w:val="es-ES"/>
        </w:rPr>
      </w:pPr>
      <w:r w:rsidRPr="000B352A">
        <w:rPr>
          <w:rFonts w:cs="Times New Roman"/>
          <w:b/>
          <w:szCs w:val="28"/>
          <w:lang w:val="es-ES"/>
        </w:rPr>
        <w:t>1. Ministerio de Vivienda, Ciudad y Territorio</w:t>
      </w:r>
    </w:p>
    <w:p w14:paraId="64E5A200" w14:textId="77777777" w:rsidR="00BD7B29" w:rsidRPr="000B352A" w:rsidRDefault="00BD7B29" w:rsidP="000B352A">
      <w:pPr>
        <w:pStyle w:val="Textoindependiente"/>
        <w:tabs>
          <w:tab w:val="left" w:pos="709"/>
        </w:tabs>
        <w:spacing w:after="0"/>
        <w:ind w:right="49"/>
        <w:rPr>
          <w:rFonts w:cs="Times New Roman"/>
          <w:szCs w:val="28"/>
          <w:lang w:val="es-ES"/>
        </w:rPr>
      </w:pPr>
    </w:p>
    <w:p w14:paraId="64E5A201" w14:textId="77777777" w:rsidR="00BD7B29" w:rsidRPr="000B352A" w:rsidRDefault="00BD7B29" w:rsidP="000B352A">
      <w:pPr>
        <w:rPr>
          <w:rFonts w:cs="Times New Roman"/>
          <w:szCs w:val="28"/>
        </w:rPr>
      </w:pPr>
      <w:r w:rsidRPr="000B352A">
        <w:rPr>
          <w:rFonts w:cs="Times New Roman"/>
          <w:szCs w:val="28"/>
        </w:rPr>
        <w:t>En su condición de apoderado del Ministerio de Vivienda, Ciudad y Territorio, el ciudadano Andrés Fabián Fuentes Torres, intervino para solicitar la constitucionalidad de las normas acusadas. Fundamentó su solicitud en los siguientes términos:</w:t>
      </w:r>
    </w:p>
    <w:p w14:paraId="64E5A202" w14:textId="77777777" w:rsidR="00BD7B29" w:rsidRPr="000B352A" w:rsidRDefault="00BD7B29" w:rsidP="000B352A">
      <w:pPr>
        <w:rPr>
          <w:rFonts w:cs="Times New Roman"/>
          <w:szCs w:val="28"/>
        </w:rPr>
      </w:pPr>
    </w:p>
    <w:p w14:paraId="64E5A203" w14:textId="77777777" w:rsidR="00BD7B29" w:rsidRPr="000B352A" w:rsidRDefault="00BD7B29" w:rsidP="000B352A">
      <w:pPr>
        <w:rPr>
          <w:rFonts w:cs="Times New Roman"/>
          <w:i/>
          <w:szCs w:val="28"/>
        </w:rPr>
      </w:pPr>
      <w:r w:rsidRPr="000B352A">
        <w:rPr>
          <w:rFonts w:cs="Times New Roman"/>
          <w:szCs w:val="28"/>
        </w:rPr>
        <w:t xml:space="preserve">1.1. Lo señalado por las accionantes </w:t>
      </w:r>
      <w:r w:rsidRPr="000B352A">
        <w:rPr>
          <w:rFonts w:cs="Times New Roman"/>
          <w:i/>
          <w:szCs w:val="28"/>
        </w:rPr>
        <w:t xml:space="preserve">“no deja de ser más que una apreciación subjetiva, en la medida en que las mencionadas normas, no presentan vicios de forma ni de fondo en su formación, puesto que no se evidencian irregularidades durante el trámite o proceso de formación y menos la trasgresión a requisitos previamente establecidos, que afecten de alguna manera la eficacia y validez del mismo, el cual es propio del trámite legislativo”. </w:t>
      </w:r>
    </w:p>
    <w:p w14:paraId="64E5A204" w14:textId="77777777" w:rsidR="00BD7B29" w:rsidRPr="000B352A" w:rsidRDefault="00BD7B29" w:rsidP="000B352A">
      <w:pPr>
        <w:rPr>
          <w:rFonts w:cs="Times New Roman"/>
          <w:i/>
          <w:szCs w:val="28"/>
        </w:rPr>
      </w:pPr>
    </w:p>
    <w:p w14:paraId="64E5A205" w14:textId="77777777" w:rsidR="00BD7B29" w:rsidRPr="000B352A" w:rsidRDefault="00BD7B29" w:rsidP="000B352A">
      <w:pPr>
        <w:rPr>
          <w:rFonts w:cs="Times New Roman"/>
          <w:i/>
          <w:szCs w:val="28"/>
        </w:rPr>
      </w:pPr>
      <w:r w:rsidRPr="000B352A">
        <w:rPr>
          <w:rFonts w:cs="Times New Roman"/>
          <w:szCs w:val="28"/>
        </w:rPr>
        <w:t xml:space="preserve">1.2. Los hechos en que se fundan las actoras para demandar la inconstitucionalidad </w:t>
      </w:r>
      <w:r w:rsidRPr="000B352A">
        <w:rPr>
          <w:rFonts w:cs="Times New Roman"/>
          <w:i/>
          <w:szCs w:val="28"/>
        </w:rPr>
        <w:t>“no obedecen al principio de razonabilidad, o lógica de lo razonable”</w:t>
      </w:r>
      <w:r w:rsidRPr="000B352A">
        <w:rPr>
          <w:rFonts w:cs="Times New Roman"/>
          <w:szCs w:val="28"/>
        </w:rPr>
        <w:t xml:space="preserve">. El interviniente indicó que de acuerdo con la Corte Constitucional, la razonabilidad hace relación a que un juicio está conforme la prudencia, la justicia y la equidad que implica coherencia externa con los hechos, así cuando dos hipótesis jurídicas son racionales hay que acudir a lo razonable para ponderar una de ellas. Por tanto, </w:t>
      </w:r>
      <w:r w:rsidRPr="000B352A">
        <w:rPr>
          <w:rFonts w:cs="Times New Roman"/>
          <w:i/>
          <w:szCs w:val="28"/>
        </w:rPr>
        <w:t>“dentro de un contexto procesal, las normas demandadas, bajo ninguna circunstancia de orden fáctico y legal se contraponen a las normas constitucionales invocadas por la actora (sic)”.</w:t>
      </w:r>
    </w:p>
    <w:p w14:paraId="64E5A206" w14:textId="77777777" w:rsidR="00BD7B29" w:rsidRPr="000B352A" w:rsidRDefault="00BD7B29" w:rsidP="000B352A">
      <w:pPr>
        <w:rPr>
          <w:rFonts w:cs="Times New Roman"/>
          <w:i/>
          <w:szCs w:val="28"/>
        </w:rPr>
      </w:pPr>
    </w:p>
    <w:p w14:paraId="64E5A207" w14:textId="77777777" w:rsidR="00BD7B29" w:rsidRPr="000B352A" w:rsidRDefault="00BD7B29" w:rsidP="000B352A">
      <w:pPr>
        <w:rPr>
          <w:rFonts w:cs="Times New Roman"/>
          <w:i/>
          <w:szCs w:val="28"/>
        </w:rPr>
      </w:pPr>
      <w:r w:rsidRPr="000B352A">
        <w:rPr>
          <w:rFonts w:cs="Times New Roman"/>
          <w:szCs w:val="28"/>
        </w:rPr>
        <w:t xml:space="preserve">1.3. Manifestó el Ministerio que </w:t>
      </w:r>
      <w:r w:rsidRPr="000B352A">
        <w:rPr>
          <w:rFonts w:cs="Times New Roman"/>
          <w:i/>
          <w:szCs w:val="28"/>
        </w:rPr>
        <w:t>“no existe ningún argumento que demuestre la inconstitucionalidad de las normas por su oposición a la Carta Fundamental”</w:t>
      </w:r>
      <w:r w:rsidRPr="000B352A">
        <w:rPr>
          <w:rFonts w:cs="Times New Roman"/>
          <w:szCs w:val="28"/>
        </w:rPr>
        <w:t>, sino que lo presentado son argumentaciones subjetivas impertinentes pues aunque la acción de inconstitucionalidad la puede interponer cualquier ciudadano con la finalidad de proteger la Constitución, “</w:t>
      </w:r>
      <w:r w:rsidRPr="000B352A">
        <w:rPr>
          <w:rFonts w:cs="Times New Roman"/>
          <w:i/>
          <w:szCs w:val="28"/>
        </w:rPr>
        <w:t>la simple denuncia de una contradicción sin argumentos objetivos y verificables o como resultado de interpretaciones confusas del ordenamiento jurídico vigente sin relevancia constitucional, (…) no constituye una formulación concreta del concepto de la violación constitucional de lo cual se deriva una ineptitud sustantiva en la demanda”.</w:t>
      </w:r>
    </w:p>
    <w:p w14:paraId="64E5A208" w14:textId="77777777" w:rsidR="00BD7B29" w:rsidRPr="000B352A" w:rsidRDefault="00BD7B29" w:rsidP="000B352A">
      <w:pPr>
        <w:rPr>
          <w:rFonts w:cs="Times New Roman"/>
          <w:szCs w:val="28"/>
        </w:rPr>
      </w:pPr>
    </w:p>
    <w:p w14:paraId="64E5A209" w14:textId="77777777" w:rsidR="00BD7B29" w:rsidRPr="000B352A" w:rsidRDefault="00BD7B29" w:rsidP="000B352A">
      <w:pPr>
        <w:rPr>
          <w:rFonts w:cs="Times New Roman"/>
          <w:szCs w:val="28"/>
        </w:rPr>
      </w:pPr>
      <w:r w:rsidRPr="000B352A">
        <w:rPr>
          <w:rFonts w:cs="Times New Roman"/>
          <w:szCs w:val="28"/>
        </w:rPr>
        <w:t xml:space="preserve">1.4. Concluyó que no se cumplen </w:t>
      </w:r>
      <w:r w:rsidRPr="000B352A">
        <w:rPr>
          <w:rFonts w:cs="Times New Roman"/>
          <w:i/>
          <w:szCs w:val="28"/>
        </w:rPr>
        <w:t>“los requisitos de claridad, certeza, especificidad, pertinencia y suficiencia exigidos por la jurisprudencia de la Corte Constitucional, pues si bien hay un despliegue de la demanda, en ella no se expresan las razones por las cuales considera que las disposiciones acusadas son contrarias a la Carta Política”;</w:t>
      </w:r>
      <w:r w:rsidRPr="000B352A">
        <w:rPr>
          <w:rFonts w:cs="Times New Roman"/>
          <w:szCs w:val="28"/>
        </w:rPr>
        <w:t xml:space="preserve"> es decir, aunque se desarrolla un enunciado normativo, no se concretan los cargos.</w:t>
      </w:r>
    </w:p>
    <w:p w14:paraId="64E5A20A" w14:textId="77777777" w:rsidR="00BD7B29" w:rsidRPr="000B352A" w:rsidRDefault="00BD7B29" w:rsidP="000B352A">
      <w:pPr>
        <w:rPr>
          <w:rFonts w:cs="Times New Roman"/>
          <w:szCs w:val="28"/>
        </w:rPr>
      </w:pPr>
    </w:p>
    <w:p w14:paraId="64E5A20B" w14:textId="77777777" w:rsidR="00BD7B29" w:rsidRPr="000B352A" w:rsidRDefault="00BD7B29" w:rsidP="000B352A">
      <w:pPr>
        <w:rPr>
          <w:rFonts w:cs="Times New Roman"/>
          <w:szCs w:val="28"/>
        </w:rPr>
      </w:pPr>
      <w:r w:rsidRPr="000B352A">
        <w:rPr>
          <w:rFonts w:cs="Times New Roman"/>
          <w:szCs w:val="28"/>
        </w:rPr>
        <w:t xml:space="preserve">1.5. Finalmente, trajo a colación la </w:t>
      </w:r>
      <w:r w:rsidR="00A61B63" w:rsidRPr="000B352A">
        <w:rPr>
          <w:rFonts w:cs="Times New Roman"/>
          <w:szCs w:val="28"/>
        </w:rPr>
        <w:t>S</w:t>
      </w:r>
      <w:r w:rsidRPr="000B352A">
        <w:rPr>
          <w:rFonts w:cs="Times New Roman"/>
          <w:szCs w:val="28"/>
        </w:rPr>
        <w:t xml:space="preserve">entencia C-738 de 2002 en </w:t>
      </w:r>
      <w:r w:rsidR="00A61B63" w:rsidRPr="000B352A">
        <w:rPr>
          <w:rFonts w:cs="Times New Roman"/>
          <w:szCs w:val="28"/>
        </w:rPr>
        <w:t>la</w:t>
      </w:r>
      <w:r w:rsidRPr="000B352A">
        <w:rPr>
          <w:rFonts w:cs="Times New Roman"/>
          <w:szCs w:val="28"/>
        </w:rPr>
        <w:t xml:space="preserve"> que se analizó el tema de la publicación de listas de copropietarios incumplidos concluyéndose que no violan el derecho al buen nombre y a la intimidad.</w:t>
      </w:r>
    </w:p>
    <w:p w14:paraId="64E5A20C" w14:textId="77777777" w:rsidR="00BD7B29" w:rsidRPr="000B352A" w:rsidRDefault="00BD7B29" w:rsidP="000B352A">
      <w:pPr>
        <w:rPr>
          <w:rFonts w:cs="Times New Roman"/>
          <w:szCs w:val="28"/>
        </w:rPr>
      </w:pPr>
    </w:p>
    <w:p w14:paraId="64E5A20D" w14:textId="77777777" w:rsidR="00BD7B29" w:rsidRPr="000B352A" w:rsidRDefault="00BD7B29" w:rsidP="000B352A">
      <w:pPr>
        <w:rPr>
          <w:rFonts w:cs="Times New Roman"/>
          <w:b/>
          <w:szCs w:val="28"/>
        </w:rPr>
      </w:pPr>
      <w:r w:rsidRPr="000B352A">
        <w:rPr>
          <w:rFonts w:cs="Times New Roman"/>
          <w:b/>
          <w:szCs w:val="28"/>
        </w:rPr>
        <w:t>2. Universidad Libre, Seccional Pereira</w:t>
      </w:r>
    </w:p>
    <w:p w14:paraId="64E5A20E" w14:textId="77777777" w:rsidR="00BD7B29" w:rsidRPr="000B352A" w:rsidRDefault="00BD7B29" w:rsidP="000B352A">
      <w:pPr>
        <w:rPr>
          <w:rFonts w:cs="Times New Roman"/>
          <w:szCs w:val="28"/>
        </w:rPr>
      </w:pPr>
    </w:p>
    <w:p w14:paraId="64E5A20F" w14:textId="77777777" w:rsidR="00BD7B29" w:rsidRPr="000B352A" w:rsidRDefault="00BD7B29" w:rsidP="000B352A">
      <w:pPr>
        <w:rPr>
          <w:rFonts w:cs="Times New Roman"/>
          <w:szCs w:val="28"/>
        </w:rPr>
      </w:pPr>
      <w:r w:rsidRPr="000B352A">
        <w:rPr>
          <w:rFonts w:cs="Times New Roman"/>
          <w:szCs w:val="28"/>
        </w:rPr>
        <w:t xml:space="preserve">Luisa Fernanda Hurtado Castrillón allegó a la Corte Constitucional </w:t>
      </w:r>
      <w:r w:rsidR="00A61B63" w:rsidRPr="000B352A">
        <w:rPr>
          <w:rFonts w:cs="Times New Roman"/>
          <w:szCs w:val="28"/>
        </w:rPr>
        <w:t>escrito</w:t>
      </w:r>
      <w:r w:rsidRPr="000B352A">
        <w:rPr>
          <w:rFonts w:cs="Times New Roman"/>
          <w:szCs w:val="28"/>
        </w:rPr>
        <w:t xml:space="preserve"> </w:t>
      </w:r>
      <w:r w:rsidR="00A61B63" w:rsidRPr="000B352A">
        <w:rPr>
          <w:rFonts w:cs="Times New Roman"/>
          <w:szCs w:val="28"/>
        </w:rPr>
        <w:t>elaborado por</w:t>
      </w:r>
      <w:r w:rsidRPr="000B352A">
        <w:rPr>
          <w:rFonts w:cs="Times New Roman"/>
          <w:szCs w:val="28"/>
        </w:rPr>
        <w:t xml:space="preserve"> profesores de la Universidad Libre de Pereira en el que manifiestan estar de acuerdo con los cargos presentados en la demanda. Al respecto manifiestan lo siguiente:</w:t>
      </w:r>
    </w:p>
    <w:p w14:paraId="64E5A210" w14:textId="77777777" w:rsidR="00BD7B29" w:rsidRPr="000B352A" w:rsidRDefault="00BD7B29" w:rsidP="000B352A">
      <w:pPr>
        <w:rPr>
          <w:rFonts w:cs="Times New Roman"/>
          <w:szCs w:val="28"/>
        </w:rPr>
      </w:pPr>
    </w:p>
    <w:p w14:paraId="64E5A211" w14:textId="77777777" w:rsidR="00BD7B29" w:rsidRPr="000B352A" w:rsidRDefault="00BD7B29" w:rsidP="000B352A">
      <w:pPr>
        <w:rPr>
          <w:rFonts w:cs="Times New Roman"/>
          <w:szCs w:val="28"/>
        </w:rPr>
      </w:pPr>
      <w:r w:rsidRPr="000B352A">
        <w:rPr>
          <w:rFonts w:cs="Times New Roman"/>
          <w:szCs w:val="28"/>
        </w:rPr>
        <w:t xml:space="preserve">2.1. La Corte Constitucional puede </w:t>
      </w:r>
      <w:r w:rsidR="00A61B63" w:rsidRPr="000B352A">
        <w:rPr>
          <w:rFonts w:cs="Times New Roman"/>
          <w:szCs w:val="28"/>
        </w:rPr>
        <w:t>hacer</w:t>
      </w:r>
      <w:r w:rsidRPr="000B352A">
        <w:rPr>
          <w:rFonts w:cs="Times New Roman"/>
          <w:szCs w:val="28"/>
        </w:rPr>
        <w:t xml:space="preserve"> un cotejo normativo entre los derechos al buen nombre, a la intimidad y a la protección de los datos frente al derecho que tienen las personas a que se les pague de forma oportuna.</w:t>
      </w:r>
    </w:p>
    <w:p w14:paraId="64E5A212" w14:textId="77777777" w:rsidR="00BD7B29" w:rsidRPr="000B352A" w:rsidRDefault="00BD7B29" w:rsidP="000B352A">
      <w:pPr>
        <w:rPr>
          <w:rFonts w:cs="Times New Roman"/>
          <w:szCs w:val="28"/>
        </w:rPr>
      </w:pPr>
    </w:p>
    <w:p w14:paraId="64E5A213" w14:textId="77777777" w:rsidR="00BD7B29" w:rsidRPr="000B352A" w:rsidRDefault="00BD7B29" w:rsidP="000B352A">
      <w:pPr>
        <w:rPr>
          <w:rFonts w:cs="Times New Roman"/>
          <w:szCs w:val="28"/>
        </w:rPr>
      </w:pPr>
      <w:r w:rsidRPr="000B352A">
        <w:rPr>
          <w:rFonts w:cs="Times New Roman"/>
          <w:szCs w:val="28"/>
        </w:rPr>
        <w:t>2.2. Consideran que las normas demandadas deben analizarse conjuntamente con los artículos 12, 13 y 15 de la Constitución Política.</w:t>
      </w:r>
    </w:p>
    <w:p w14:paraId="64E5A214" w14:textId="77777777" w:rsidR="00BD7B29" w:rsidRPr="000B352A" w:rsidRDefault="00BD7B29" w:rsidP="000B352A">
      <w:pPr>
        <w:rPr>
          <w:rFonts w:cs="Times New Roman"/>
          <w:szCs w:val="28"/>
        </w:rPr>
      </w:pPr>
    </w:p>
    <w:p w14:paraId="64E5A215" w14:textId="77777777" w:rsidR="00BD7B29" w:rsidRPr="000B352A" w:rsidRDefault="00BD7B29" w:rsidP="000B352A">
      <w:pPr>
        <w:rPr>
          <w:rFonts w:cs="Times New Roman"/>
          <w:szCs w:val="28"/>
        </w:rPr>
      </w:pPr>
      <w:r w:rsidRPr="000B352A">
        <w:rPr>
          <w:rFonts w:cs="Times New Roman"/>
          <w:szCs w:val="28"/>
        </w:rPr>
        <w:t xml:space="preserve">Indican que en el artículo 15 superior es claro y directo el pronunciamiento en cuanto a la protección de los derechos al buen nombre y la intimidad, pero frente al cobro de las obligaciones no es tan directo y se podría entender que es el </w:t>
      </w:r>
      <w:r w:rsidR="00A61B63" w:rsidRPr="000B352A">
        <w:rPr>
          <w:rFonts w:cs="Times New Roman"/>
          <w:szCs w:val="28"/>
        </w:rPr>
        <w:t>D</w:t>
      </w:r>
      <w:r w:rsidRPr="000B352A">
        <w:rPr>
          <w:rFonts w:cs="Times New Roman"/>
          <w:szCs w:val="28"/>
        </w:rPr>
        <w:t xml:space="preserve">erecho </w:t>
      </w:r>
      <w:r w:rsidR="00A61B63" w:rsidRPr="000B352A">
        <w:rPr>
          <w:rFonts w:cs="Times New Roman"/>
          <w:szCs w:val="28"/>
        </w:rPr>
        <w:t>C</w:t>
      </w:r>
      <w:r w:rsidRPr="000B352A">
        <w:rPr>
          <w:rFonts w:cs="Times New Roman"/>
          <w:szCs w:val="28"/>
        </w:rPr>
        <w:t>ivil el que regula las relaciones comerciales y privadas, pero en el marco constitucional del artículo 29 sobre el debido proceso.</w:t>
      </w:r>
    </w:p>
    <w:p w14:paraId="64E5A216" w14:textId="77777777" w:rsidR="00BD7B29" w:rsidRPr="000B352A" w:rsidRDefault="00BD7B29" w:rsidP="000B352A">
      <w:pPr>
        <w:rPr>
          <w:rFonts w:cs="Times New Roman"/>
          <w:szCs w:val="28"/>
        </w:rPr>
      </w:pPr>
    </w:p>
    <w:p w14:paraId="64E5A217" w14:textId="77777777" w:rsidR="00BD7B29" w:rsidRPr="000B352A" w:rsidRDefault="00BD7B29" w:rsidP="000B352A">
      <w:pPr>
        <w:rPr>
          <w:rFonts w:cs="Times New Roman"/>
          <w:i/>
          <w:szCs w:val="28"/>
        </w:rPr>
      </w:pPr>
      <w:r w:rsidRPr="000B352A">
        <w:rPr>
          <w:rFonts w:cs="Times New Roman"/>
          <w:szCs w:val="28"/>
        </w:rPr>
        <w:t xml:space="preserve">Señalan que esta confrontación aún no ha sido objeto de debate constitucional púes </w:t>
      </w:r>
      <w:r w:rsidRPr="000B352A">
        <w:rPr>
          <w:rFonts w:cs="Times New Roman"/>
          <w:i/>
          <w:szCs w:val="28"/>
        </w:rPr>
        <w:t>“por ningún lado encontramos un análisis de confrontación constitución (sic) y el cuerpo normativo que regula el Habeas Data como la propiedad horizontal en Colombia y que es claro, puesto que las normas que se advierten infringidas son de rango constitucional y los derechos patrimoniales son de rango legal y bien es sabido que en estos casos debe aplicarse por antonomasia el artículo 4º de la Constitución Política”.</w:t>
      </w:r>
    </w:p>
    <w:p w14:paraId="64E5A218" w14:textId="77777777" w:rsidR="00BD7B29" w:rsidRPr="000B352A" w:rsidRDefault="00BD7B29" w:rsidP="000B352A">
      <w:pPr>
        <w:rPr>
          <w:rFonts w:cs="Times New Roman"/>
          <w:szCs w:val="28"/>
        </w:rPr>
      </w:pPr>
    </w:p>
    <w:p w14:paraId="64E5A219" w14:textId="77777777" w:rsidR="00BD7B29" w:rsidRPr="000B352A" w:rsidRDefault="00BD7B29" w:rsidP="000B352A">
      <w:pPr>
        <w:rPr>
          <w:rFonts w:cs="Times New Roman"/>
          <w:szCs w:val="28"/>
        </w:rPr>
      </w:pPr>
      <w:r w:rsidRPr="000B352A">
        <w:rPr>
          <w:rFonts w:cs="Times New Roman"/>
          <w:szCs w:val="28"/>
        </w:rPr>
        <w:t>2.3. Para los intervinientes es claro que “</w:t>
      </w:r>
      <w:r w:rsidRPr="000B352A">
        <w:rPr>
          <w:rFonts w:cs="Times New Roman"/>
          <w:i/>
          <w:szCs w:val="28"/>
        </w:rPr>
        <w:t>los derechos patrimoniales no pueden desbordar la órbita de los derechos fundamentales”.</w:t>
      </w:r>
      <w:r w:rsidRPr="000B352A">
        <w:rPr>
          <w:rFonts w:cs="Times New Roman"/>
          <w:szCs w:val="28"/>
        </w:rPr>
        <w:t xml:space="preserve"> Por tanto, no se pueden imponer cargas exorbitantes a los obligados pues </w:t>
      </w:r>
      <w:r w:rsidRPr="000B352A">
        <w:rPr>
          <w:rFonts w:cs="Times New Roman"/>
          <w:i/>
          <w:szCs w:val="28"/>
        </w:rPr>
        <w:t>“la propiedad privada y la libre empresa están supeditadas a una función social que implica obligaciones”</w:t>
      </w:r>
      <w:r w:rsidRPr="000B352A">
        <w:rPr>
          <w:rFonts w:cs="Times New Roman"/>
          <w:szCs w:val="28"/>
        </w:rPr>
        <w:t xml:space="preserve"> constitucionales que pueden relacionarse con la sociedad y la convivencia social.</w:t>
      </w:r>
    </w:p>
    <w:p w14:paraId="64E5A21A" w14:textId="77777777" w:rsidR="00BD7B29" w:rsidRPr="000B352A" w:rsidRDefault="00BD7B29" w:rsidP="000B352A">
      <w:pPr>
        <w:rPr>
          <w:rFonts w:cs="Times New Roman"/>
          <w:szCs w:val="28"/>
        </w:rPr>
      </w:pPr>
    </w:p>
    <w:p w14:paraId="64E5A21B" w14:textId="77777777" w:rsidR="00BD7B29" w:rsidRPr="000B352A" w:rsidRDefault="00BD7B29" w:rsidP="000B352A">
      <w:pPr>
        <w:rPr>
          <w:rFonts w:cs="Times New Roman"/>
          <w:i/>
          <w:szCs w:val="28"/>
        </w:rPr>
      </w:pPr>
      <w:r w:rsidRPr="000B352A">
        <w:rPr>
          <w:rFonts w:cs="Times New Roman"/>
          <w:szCs w:val="28"/>
        </w:rPr>
        <w:t>2.4. Sostienen que la tesis de que no se vulnera</w:t>
      </w:r>
      <w:r w:rsidR="00A61B63" w:rsidRPr="000B352A">
        <w:rPr>
          <w:rFonts w:cs="Times New Roman"/>
          <w:szCs w:val="28"/>
        </w:rPr>
        <w:t>n</w:t>
      </w:r>
      <w:r w:rsidRPr="000B352A">
        <w:rPr>
          <w:rFonts w:cs="Times New Roman"/>
          <w:szCs w:val="28"/>
        </w:rPr>
        <w:t xml:space="preserve"> </w:t>
      </w:r>
      <w:r w:rsidR="00A61B63" w:rsidRPr="000B352A">
        <w:rPr>
          <w:rFonts w:cs="Times New Roman"/>
          <w:szCs w:val="28"/>
        </w:rPr>
        <w:t>los</w:t>
      </w:r>
      <w:r w:rsidRPr="000B352A">
        <w:rPr>
          <w:rFonts w:cs="Times New Roman"/>
          <w:szCs w:val="28"/>
        </w:rPr>
        <w:t xml:space="preserve"> derecho</w:t>
      </w:r>
      <w:r w:rsidR="00A61B63" w:rsidRPr="000B352A">
        <w:rPr>
          <w:rFonts w:cs="Times New Roman"/>
          <w:szCs w:val="28"/>
        </w:rPr>
        <w:t>s</w:t>
      </w:r>
      <w:r w:rsidRPr="000B352A">
        <w:rPr>
          <w:rFonts w:cs="Times New Roman"/>
          <w:szCs w:val="28"/>
        </w:rPr>
        <w:t xml:space="preserve"> a la intimidad ni</w:t>
      </w:r>
      <w:r w:rsidR="00A61B63" w:rsidRPr="000B352A">
        <w:rPr>
          <w:rFonts w:cs="Times New Roman"/>
          <w:szCs w:val="28"/>
        </w:rPr>
        <w:t xml:space="preserve"> al</w:t>
      </w:r>
      <w:r w:rsidRPr="000B352A">
        <w:rPr>
          <w:rFonts w:cs="Times New Roman"/>
          <w:szCs w:val="28"/>
        </w:rPr>
        <w:t xml:space="preserve"> buen nombre porque se trata de un deudor moroso </w:t>
      </w:r>
      <w:r w:rsidRPr="000B352A">
        <w:rPr>
          <w:rFonts w:cs="Times New Roman"/>
          <w:i/>
          <w:szCs w:val="28"/>
        </w:rPr>
        <w:t>“quien además ha dado su consentimiento para que lo reporten y lo publiciten como tal”,</w:t>
      </w:r>
      <w:r w:rsidRPr="000B352A">
        <w:rPr>
          <w:rFonts w:cs="Times New Roman"/>
          <w:szCs w:val="28"/>
        </w:rPr>
        <w:t xml:space="preserve"> no puede prosperar </w:t>
      </w:r>
      <w:r w:rsidRPr="000B352A">
        <w:rPr>
          <w:rFonts w:cs="Times New Roman"/>
          <w:i/>
          <w:szCs w:val="28"/>
        </w:rPr>
        <w:t xml:space="preserve">“frente al cargo de la desproporcionalidad de la medida” </w:t>
      </w:r>
      <w:r w:rsidRPr="000B352A">
        <w:rPr>
          <w:rFonts w:cs="Times New Roman"/>
          <w:szCs w:val="28"/>
        </w:rPr>
        <w:t xml:space="preserve">respaldada por la jurisprudencia constitucional que ha indicado que una medida adecuada </w:t>
      </w:r>
      <w:r w:rsidRPr="000B352A">
        <w:rPr>
          <w:rFonts w:cs="Times New Roman"/>
          <w:i/>
          <w:szCs w:val="28"/>
        </w:rPr>
        <w:t xml:space="preserve">“resulta idónea (…) para contribuir a la consecución de la finalidad que con ella se persigue” </w:t>
      </w:r>
      <w:r w:rsidRPr="000B352A">
        <w:rPr>
          <w:rFonts w:cs="Times New Roman"/>
          <w:szCs w:val="28"/>
        </w:rPr>
        <w:t xml:space="preserve">cuando </w:t>
      </w:r>
      <w:r w:rsidRPr="000B352A">
        <w:rPr>
          <w:rFonts w:cs="Times New Roman"/>
          <w:i/>
          <w:szCs w:val="28"/>
        </w:rPr>
        <w:t>“su interpretación presta una contribución positiva en orden a alcanzar el fin propuesto, es decir, la protección de los derechos fundamentales”</w:t>
      </w:r>
      <w:r w:rsidRPr="000B352A">
        <w:rPr>
          <w:rFonts w:cs="Times New Roman"/>
          <w:szCs w:val="28"/>
        </w:rPr>
        <w:t xml:space="preserve">, y no será idónea </w:t>
      </w:r>
      <w:r w:rsidRPr="000B352A">
        <w:rPr>
          <w:rFonts w:cs="Times New Roman"/>
          <w:i/>
          <w:szCs w:val="28"/>
        </w:rPr>
        <w:t>“si no reporta ningún beneficio a la consecución del propósito o cuando, incluso, resulta contraproducente de cara al mismo. (Sentencia C-720 de2 007)”.</w:t>
      </w:r>
    </w:p>
    <w:p w14:paraId="64E5A21C" w14:textId="77777777" w:rsidR="00BD7B29" w:rsidRPr="000B352A" w:rsidRDefault="00BD7B29" w:rsidP="000B352A">
      <w:pPr>
        <w:rPr>
          <w:rFonts w:cs="Times New Roman"/>
          <w:szCs w:val="28"/>
        </w:rPr>
      </w:pPr>
    </w:p>
    <w:p w14:paraId="64E5A21D" w14:textId="77777777" w:rsidR="00BD7B29" w:rsidRPr="000B352A" w:rsidRDefault="00BD7B29" w:rsidP="000B352A">
      <w:pPr>
        <w:rPr>
          <w:rFonts w:cs="Times New Roman"/>
          <w:i/>
          <w:szCs w:val="28"/>
        </w:rPr>
      </w:pPr>
      <w:r w:rsidRPr="000B352A">
        <w:rPr>
          <w:rFonts w:cs="Times New Roman"/>
          <w:szCs w:val="28"/>
        </w:rPr>
        <w:t xml:space="preserve">También consideran que el medio no puede ser remplazado por otro alternativo o menos lesivo. Del caso en estudio es </w:t>
      </w:r>
      <w:r w:rsidRPr="000B352A">
        <w:rPr>
          <w:rFonts w:cs="Times New Roman"/>
          <w:i/>
          <w:szCs w:val="28"/>
        </w:rPr>
        <w:t>“fácil comprender que el cobro de una obligación debe ajustarse a un proceso legalmente definido y que un listado o reporte de deudores, ni es eficaz para la protección de un derecho fundamental, ni va a lograr desplazar la labor de un juez civil, pues aquí los fines punitivos de la norma no resultan idóneos”.</w:t>
      </w:r>
    </w:p>
    <w:p w14:paraId="64E5A21E" w14:textId="77777777" w:rsidR="00BD7B29" w:rsidRPr="000B352A" w:rsidRDefault="00BD7B29" w:rsidP="000B352A">
      <w:pPr>
        <w:rPr>
          <w:rFonts w:cs="Times New Roman"/>
          <w:szCs w:val="28"/>
        </w:rPr>
      </w:pPr>
    </w:p>
    <w:p w14:paraId="64E5A21F" w14:textId="77777777" w:rsidR="00BD7B29" w:rsidRPr="000B352A" w:rsidRDefault="00BD7B29" w:rsidP="000B352A">
      <w:pPr>
        <w:rPr>
          <w:rFonts w:cs="Times New Roman"/>
          <w:szCs w:val="28"/>
        </w:rPr>
      </w:pPr>
      <w:r w:rsidRPr="000B352A">
        <w:rPr>
          <w:rFonts w:cs="Times New Roman"/>
          <w:szCs w:val="28"/>
        </w:rPr>
        <w:t xml:space="preserve">Sostienen que el listado de morosos </w:t>
      </w:r>
      <w:r w:rsidRPr="000B352A">
        <w:rPr>
          <w:rFonts w:cs="Times New Roman"/>
          <w:i/>
          <w:szCs w:val="28"/>
        </w:rPr>
        <w:t>“es una afrenta que raya con una pena cruel, inhumana y degradante convirtiendo la medida en una doble sanción”</w:t>
      </w:r>
      <w:r w:rsidRPr="000B352A">
        <w:rPr>
          <w:rFonts w:cs="Times New Roman"/>
          <w:szCs w:val="28"/>
        </w:rPr>
        <w:t xml:space="preserve"> impidiendo que aquellos que pueden estar inmersos en una quiebra transitoria no puedan resurgir por la sanción moral que se les impuso.</w:t>
      </w:r>
    </w:p>
    <w:p w14:paraId="64E5A220" w14:textId="77777777" w:rsidR="00BD7B29" w:rsidRPr="000B352A" w:rsidRDefault="00BD7B29" w:rsidP="000B352A">
      <w:pPr>
        <w:rPr>
          <w:rFonts w:cs="Times New Roman"/>
          <w:szCs w:val="28"/>
        </w:rPr>
      </w:pPr>
    </w:p>
    <w:p w14:paraId="64E5A221" w14:textId="77777777" w:rsidR="00BD7B29" w:rsidRPr="000B352A" w:rsidRDefault="00BD7B29" w:rsidP="000B352A">
      <w:pPr>
        <w:rPr>
          <w:rFonts w:cs="Times New Roman"/>
          <w:i/>
          <w:szCs w:val="28"/>
        </w:rPr>
      </w:pPr>
      <w:r w:rsidRPr="000B352A">
        <w:rPr>
          <w:rFonts w:cs="Times New Roman"/>
          <w:szCs w:val="28"/>
        </w:rPr>
        <w:t xml:space="preserve">2.5. En relación con la igualdad, indican que debe tenerse en cuenta que el moroso no es un delincuente pues la mora no deriva de un delito sino de un contrato. Si </w:t>
      </w:r>
      <w:r w:rsidRPr="000B352A">
        <w:rPr>
          <w:rFonts w:cs="Times New Roman"/>
          <w:i/>
          <w:szCs w:val="28"/>
        </w:rPr>
        <w:t>“la Corte Constitucional ha impedido los listados de abusadores de menores y de ciertos tipos de delincuentes en variada jurisprudencia, menos puede permitir que se enlisten morosos en una propiedad horizontal o en una copropiedad, porque sería igualarlos a delincuentes de la más baja calaña social”.</w:t>
      </w:r>
    </w:p>
    <w:p w14:paraId="64E5A222" w14:textId="77777777" w:rsidR="00BD7B29" w:rsidRPr="000B352A" w:rsidRDefault="00BD7B29" w:rsidP="000B352A">
      <w:pPr>
        <w:rPr>
          <w:rFonts w:cs="Times New Roman"/>
          <w:szCs w:val="28"/>
        </w:rPr>
      </w:pPr>
    </w:p>
    <w:p w14:paraId="64E5A223" w14:textId="77777777" w:rsidR="00BD7B29" w:rsidRPr="000B352A" w:rsidRDefault="00BD7B29" w:rsidP="000B352A">
      <w:pPr>
        <w:rPr>
          <w:rFonts w:cs="Times New Roman"/>
          <w:i/>
          <w:szCs w:val="28"/>
        </w:rPr>
      </w:pPr>
      <w:r w:rsidRPr="000B352A">
        <w:rPr>
          <w:rFonts w:cs="Times New Roman"/>
          <w:szCs w:val="28"/>
        </w:rPr>
        <w:t xml:space="preserve">Consideran que si el Estado tiene herramientas suficientes que garanticen que el acreedor pague al deudor con sus bienes como prenda general es </w:t>
      </w:r>
      <w:r w:rsidRPr="000B352A">
        <w:rPr>
          <w:rFonts w:cs="Times New Roman"/>
          <w:i/>
          <w:szCs w:val="28"/>
        </w:rPr>
        <w:t>“excesiva y desproporcionada la norma que permite la publicación en el edificio o conjunto el acta de los propietarios que encuentran en mora o han incumplido con obligaciones no pecuniarias, si observa la gama de sanciones que trae la normativa colombiana”.</w:t>
      </w:r>
    </w:p>
    <w:p w14:paraId="64E5A224" w14:textId="77777777" w:rsidR="00BD7B29" w:rsidRPr="000B352A" w:rsidRDefault="00BD7B29" w:rsidP="000B352A">
      <w:pPr>
        <w:rPr>
          <w:rFonts w:cs="Times New Roman"/>
          <w:szCs w:val="28"/>
        </w:rPr>
      </w:pPr>
    </w:p>
    <w:p w14:paraId="64E5A225" w14:textId="77777777" w:rsidR="00BD7B29" w:rsidRPr="000B352A" w:rsidRDefault="00BD7B29" w:rsidP="000B352A">
      <w:pPr>
        <w:rPr>
          <w:rFonts w:cs="Times New Roman"/>
          <w:i/>
          <w:szCs w:val="28"/>
        </w:rPr>
      </w:pPr>
      <w:r w:rsidRPr="000B352A">
        <w:rPr>
          <w:rFonts w:cs="Times New Roman"/>
          <w:szCs w:val="28"/>
        </w:rPr>
        <w:t xml:space="preserve">2.6. Finalizan sugiriendo que al tener la demanda una suficiente carga argumentativa </w:t>
      </w:r>
      <w:r w:rsidRPr="000B352A">
        <w:rPr>
          <w:rFonts w:cs="Times New Roman"/>
          <w:i/>
          <w:szCs w:val="28"/>
        </w:rPr>
        <w:t>“la consecuencia de ello es que el pronunciamiento de la Corte Constitucional debe acercarse a la rotunda negativa de la utilización de la publicación de los listados de deudores morosos”.</w:t>
      </w:r>
    </w:p>
    <w:p w14:paraId="64E5A226" w14:textId="77777777" w:rsidR="00BD7B29" w:rsidRPr="000B352A" w:rsidRDefault="00BD7B29" w:rsidP="000B352A">
      <w:pPr>
        <w:rPr>
          <w:rFonts w:cs="Times New Roman"/>
          <w:szCs w:val="28"/>
        </w:rPr>
      </w:pPr>
    </w:p>
    <w:p w14:paraId="64E5A227" w14:textId="77777777" w:rsidR="00BD7B29" w:rsidRPr="000B352A" w:rsidRDefault="00BD7B29" w:rsidP="000B352A">
      <w:pPr>
        <w:rPr>
          <w:rFonts w:cs="Times New Roman"/>
          <w:b/>
          <w:szCs w:val="28"/>
        </w:rPr>
      </w:pPr>
      <w:r w:rsidRPr="000B352A">
        <w:rPr>
          <w:rFonts w:cs="Times New Roman"/>
          <w:b/>
          <w:szCs w:val="28"/>
        </w:rPr>
        <w:t>3. Universidad del Rosario</w:t>
      </w:r>
    </w:p>
    <w:p w14:paraId="64E5A228" w14:textId="77777777" w:rsidR="00BD7B29" w:rsidRPr="000B352A" w:rsidRDefault="00BD7B29" w:rsidP="000B352A">
      <w:pPr>
        <w:rPr>
          <w:rFonts w:cs="Times New Roman"/>
          <w:szCs w:val="28"/>
        </w:rPr>
      </w:pPr>
    </w:p>
    <w:p w14:paraId="64E5A229" w14:textId="77777777" w:rsidR="00BD7B29" w:rsidRPr="000B352A" w:rsidRDefault="00BD7B29" w:rsidP="000B352A">
      <w:pPr>
        <w:rPr>
          <w:rFonts w:cs="Times New Roman"/>
          <w:szCs w:val="28"/>
        </w:rPr>
      </w:pPr>
      <w:r w:rsidRPr="000B352A">
        <w:rPr>
          <w:rFonts w:cs="Times New Roman"/>
          <w:szCs w:val="28"/>
        </w:rPr>
        <w:t>Francisco José Tern</w:t>
      </w:r>
      <w:r w:rsidR="009240E9" w:rsidRPr="000B352A">
        <w:rPr>
          <w:rFonts w:cs="Times New Roman"/>
          <w:szCs w:val="28"/>
        </w:rPr>
        <w:t>e</w:t>
      </w:r>
      <w:r w:rsidRPr="000B352A">
        <w:rPr>
          <w:rFonts w:cs="Times New Roman"/>
          <w:szCs w:val="28"/>
        </w:rPr>
        <w:t>ra Barrios, profesor de la Facultad de Jurisprudencia de la Universidad del Rosario, emite concepto sobre la demanda en cuestión y solicit</w:t>
      </w:r>
      <w:r w:rsidR="00A01334" w:rsidRPr="000B352A">
        <w:rPr>
          <w:rFonts w:cs="Times New Roman"/>
          <w:szCs w:val="28"/>
        </w:rPr>
        <w:t>ó</w:t>
      </w:r>
      <w:r w:rsidRPr="000B352A">
        <w:rPr>
          <w:rFonts w:cs="Times New Roman"/>
          <w:szCs w:val="28"/>
        </w:rPr>
        <w:t xml:space="preserve"> la declaratoria de INEXEQUIBILIDAD de las normas demandadas.</w:t>
      </w:r>
    </w:p>
    <w:p w14:paraId="64E5A22A" w14:textId="77777777" w:rsidR="00BD7B29" w:rsidRPr="000B352A" w:rsidRDefault="00BD7B29" w:rsidP="000B352A">
      <w:pPr>
        <w:rPr>
          <w:rFonts w:cs="Times New Roman"/>
          <w:szCs w:val="28"/>
        </w:rPr>
      </w:pPr>
    </w:p>
    <w:p w14:paraId="64E5A22B" w14:textId="77777777" w:rsidR="00BD7B29" w:rsidRPr="000B352A" w:rsidRDefault="00BD7B29" w:rsidP="000B352A">
      <w:pPr>
        <w:rPr>
          <w:rFonts w:cs="Times New Roman"/>
          <w:szCs w:val="28"/>
        </w:rPr>
      </w:pPr>
      <w:r w:rsidRPr="000B352A">
        <w:rPr>
          <w:rFonts w:cs="Times New Roman"/>
          <w:szCs w:val="28"/>
        </w:rPr>
        <w:t xml:space="preserve">Manifestó el interviniente que </w:t>
      </w:r>
      <w:r w:rsidRPr="000B352A">
        <w:rPr>
          <w:rFonts w:cs="Times New Roman"/>
          <w:i/>
          <w:szCs w:val="28"/>
        </w:rPr>
        <w:t>“se ha estimado que el ejercicio de publicitación de la situación de mora del obligado, no constituye por sí misma una información de alcance ni personal, ni familiar. Se trata puramente de un insumo financiero que está directamente conectado con la salud presupuestal del todo sometido a propiedad horizontal”</w:t>
      </w:r>
      <w:r w:rsidR="00434E93" w:rsidRPr="000B352A">
        <w:rPr>
          <w:rFonts w:cs="Times New Roman"/>
          <w:i/>
          <w:szCs w:val="28"/>
        </w:rPr>
        <w:t>;</w:t>
      </w:r>
      <w:r w:rsidR="00434E93" w:rsidRPr="000B352A">
        <w:rPr>
          <w:rFonts w:cs="Times New Roman"/>
          <w:szCs w:val="28"/>
        </w:rPr>
        <w:t xml:space="preserve"> manifestación tras la cual paradójicamente manifiesta que las normas demandadas parcialmente deben ser declaradas EXEQUIBLES.</w:t>
      </w:r>
    </w:p>
    <w:p w14:paraId="64E5A22C" w14:textId="77777777" w:rsidR="00BD7B29" w:rsidRPr="000B352A" w:rsidRDefault="00BD7B29" w:rsidP="000B352A">
      <w:pPr>
        <w:rPr>
          <w:rFonts w:cs="Times New Roman"/>
          <w:szCs w:val="28"/>
        </w:rPr>
      </w:pPr>
    </w:p>
    <w:p w14:paraId="64E5A22D" w14:textId="77777777" w:rsidR="00BD7B29" w:rsidRPr="000B352A" w:rsidRDefault="00BD7B29" w:rsidP="000B352A">
      <w:pPr>
        <w:rPr>
          <w:rFonts w:cs="Times New Roman"/>
          <w:b/>
          <w:szCs w:val="28"/>
        </w:rPr>
      </w:pPr>
      <w:r w:rsidRPr="000B352A">
        <w:rPr>
          <w:rFonts w:cs="Times New Roman"/>
          <w:b/>
          <w:szCs w:val="28"/>
        </w:rPr>
        <w:t>4. Fundación Pr</w:t>
      </w:r>
      <w:r w:rsidR="009240E9" w:rsidRPr="000B352A">
        <w:rPr>
          <w:rFonts w:cs="Times New Roman"/>
          <w:b/>
          <w:szCs w:val="28"/>
        </w:rPr>
        <w:t>o</w:t>
      </w:r>
      <w:r w:rsidRPr="000B352A">
        <w:rPr>
          <w:rFonts w:cs="Times New Roman"/>
          <w:b/>
          <w:szCs w:val="28"/>
        </w:rPr>
        <w:t>Bono</w:t>
      </w:r>
    </w:p>
    <w:p w14:paraId="64E5A22E" w14:textId="77777777" w:rsidR="00BD7B29" w:rsidRPr="000B352A" w:rsidRDefault="00BD7B29" w:rsidP="000B352A">
      <w:pPr>
        <w:rPr>
          <w:rFonts w:cs="Times New Roman"/>
          <w:szCs w:val="28"/>
        </w:rPr>
      </w:pPr>
    </w:p>
    <w:p w14:paraId="64E5A22F" w14:textId="77777777" w:rsidR="00BD7B29" w:rsidRPr="000B352A" w:rsidRDefault="00BD7B29" w:rsidP="000B352A">
      <w:pPr>
        <w:rPr>
          <w:rFonts w:cs="Times New Roman"/>
          <w:szCs w:val="28"/>
        </w:rPr>
      </w:pPr>
      <w:r w:rsidRPr="000B352A">
        <w:rPr>
          <w:rFonts w:cs="Times New Roman"/>
          <w:szCs w:val="28"/>
        </w:rPr>
        <w:t>David Cujar Bermúdez, abogado de Pro Bono, intervino en el asunto para apoyar las pretensiones de la demanda. Expuso los siguientes argumentos:</w:t>
      </w:r>
    </w:p>
    <w:p w14:paraId="64E5A230" w14:textId="77777777" w:rsidR="00BD7B29" w:rsidRPr="000B352A" w:rsidRDefault="00BD7B29" w:rsidP="000B352A">
      <w:pPr>
        <w:rPr>
          <w:rFonts w:cs="Times New Roman"/>
          <w:szCs w:val="28"/>
        </w:rPr>
      </w:pPr>
    </w:p>
    <w:p w14:paraId="64E5A231" w14:textId="77777777" w:rsidR="00BD7B29" w:rsidRPr="000B352A" w:rsidRDefault="00BD7B29" w:rsidP="000B352A">
      <w:pPr>
        <w:rPr>
          <w:rFonts w:cs="Times New Roman"/>
          <w:i/>
          <w:szCs w:val="28"/>
        </w:rPr>
      </w:pPr>
      <w:r w:rsidRPr="000B352A">
        <w:rPr>
          <w:rFonts w:cs="Times New Roman"/>
          <w:szCs w:val="28"/>
        </w:rPr>
        <w:t xml:space="preserve">4.1. Respecto de la publicación de las listas considera que no solo afecta a la persona que aparece en ellas </w:t>
      </w:r>
      <w:r w:rsidRPr="000B352A">
        <w:rPr>
          <w:rFonts w:cs="Times New Roman"/>
          <w:i/>
          <w:szCs w:val="28"/>
        </w:rPr>
        <w:t>“sino también a sus familias, entendiendo que en una propiedad horizontal no conviven únicamente personas individuales sino que habitan en un conjunto de personas que no tienen por qué verse expuestas a estas situaciones, ya que se exaltan obligaciones que ni siquiera se encuentran en su cabeza”</w:t>
      </w:r>
      <w:r w:rsidRPr="000B352A">
        <w:rPr>
          <w:rFonts w:cs="Times New Roman"/>
          <w:szCs w:val="28"/>
        </w:rPr>
        <w:t xml:space="preserve">. En ese sentido, señala que la publicación que menciona una sola persona del núcleo familiar, afecta de manera indirecta los derechos de las </w:t>
      </w:r>
      <w:r w:rsidRPr="000B352A">
        <w:rPr>
          <w:rFonts w:cs="Times New Roman"/>
          <w:i/>
          <w:szCs w:val="28"/>
        </w:rPr>
        <w:t>otras “si no se tienen alternativas para su efectiva protección, además de intervenir en su proyecto de vida al informar cualquier tipo de noticia en su contra”.</w:t>
      </w:r>
    </w:p>
    <w:p w14:paraId="64E5A232" w14:textId="77777777" w:rsidR="00BD7B29" w:rsidRPr="000B352A" w:rsidRDefault="00BD7B29" w:rsidP="000B352A">
      <w:pPr>
        <w:rPr>
          <w:rFonts w:cs="Times New Roman"/>
          <w:szCs w:val="28"/>
        </w:rPr>
      </w:pPr>
    </w:p>
    <w:p w14:paraId="64E5A233" w14:textId="77777777" w:rsidR="00BD7B29" w:rsidRPr="000B352A" w:rsidRDefault="00BD7B29" w:rsidP="000B352A">
      <w:pPr>
        <w:rPr>
          <w:rFonts w:cs="Times New Roman"/>
          <w:szCs w:val="28"/>
        </w:rPr>
      </w:pPr>
      <w:r w:rsidRPr="000B352A">
        <w:rPr>
          <w:rFonts w:cs="Times New Roman"/>
          <w:szCs w:val="28"/>
        </w:rPr>
        <w:t>Señala que incluso instrumentos internacionales protegen el derecho a la vida privada indicando que el Estado puede restringir dicha garantía siempre que las injerencias no sean abusivas o arbitrarias. Estas, por lo tanto, deben estar previstas en la ley, perseguir un fin legítimo, y cumplir con los requisitos de idoneidad, necesidad y proporcionalidad</w:t>
      </w:r>
      <w:r w:rsidRPr="000B352A">
        <w:rPr>
          <w:rStyle w:val="Refdenotaalpie"/>
          <w:szCs w:val="28"/>
        </w:rPr>
        <w:footnoteReference w:id="1"/>
      </w:r>
      <w:r w:rsidRPr="000B352A">
        <w:rPr>
          <w:rFonts w:cs="Times New Roman"/>
          <w:szCs w:val="28"/>
        </w:rPr>
        <w:t>.</w:t>
      </w:r>
    </w:p>
    <w:p w14:paraId="64E5A234" w14:textId="77777777" w:rsidR="00BD7B29" w:rsidRPr="000B352A" w:rsidRDefault="00BD7B29" w:rsidP="000B352A">
      <w:pPr>
        <w:rPr>
          <w:rFonts w:cs="Times New Roman"/>
          <w:szCs w:val="28"/>
        </w:rPr>
      </w:pPr>
    </w:p>
    <w:p w14:paraId="64E5A235" w14:textId="77777777" w:rsidR="00BD7B29" w:rsidRPr="000B352A" w:rsidRDefault="00BD7B29" w:rsidP="000B352A">
      <w:pPr>
        <w:rPr>
          <w:rFonts w:cs="Times New Roman"/>
          <w:i/>
          <w:szCs w:val="28"/>
        </w:rPr>
      </w:pPr>
      <w:r w:rsidRPr="000B352A">
        <w:rPr>
          <w:rFonts w:cs="Times New Roman"/>
          <w:szCs w:val="28"/>
        </w:rPr>
        <w:t xml:space="preserve">4.2. Recuerda que tanto las entidades encargadas de publicar datos financieros, como la propia Corte Constitucional, han aclarado que con las publicaciones se debe respetar el derecho a la intimidad atendiendo criterios de dignidad humana y debido proceso, por eso debe ser información clara, con un procedimiento expreso que </w:t>
      </w:r>
      <w:r w:rsidRPr="000B352A">
        <w:rPr>
          <w:rFonts w:cs="Times New Roman"/>
          <w:i/>
          <w:szCs w:val="28"/>
        </w:rPr>
        <w:t>“evite precisamente cualquier tipo de información alejada de la realidad y la falta de control por la administración y demás órganos que conforman el conjunto residencial”.</w:t>
      </w:r>
    </w:p>
    <w:p w14:paraId="64E5A236" w14:textId="77777777" w:rsidR="00BD7B29" w:rsidRPr="000B352A" w:rsidRDefault="00BD7B29" w:rsidP="000B352A">
      <w:pPr>
        <w:rPr>
          <w:rFonts w:cs="Times New Roman"/>
          <w:szCs w:val="28"/>
        </w:rPr>
      </w:pPr>
    </w:p>
    <w:p w14:paraId="64E5A237" w14:textId="77777777" w:rsidR="00BD7B29" w:rsidRPr="000B352A" w:rsidRDefault="00BD7B29" w:rsidP="000B352A">
      <w:pPr>
        <w:rPr>
          <w:rFonts w:cs="Times New Roman"/>
          <w:szCs w:val="28"/>
        </w:rPr>
      </w:pPr>
      <w:r w:rsidRPr="000B352A">
        <w:rPr>
          <w:rFonts w:cs="Times New Roman"/>
          <w:szCs w:val="28"/>
        </w:rPr>
        <w:t>Manifiesta que frente de la dignidad humana las juntas administradoras no pueden contrariar este derecho “</w:t>
      </w:r>
      <w:r w:rsidRPr="000B352A">
        <w:rPr>
          <w:rFonts w:cs="Times New Roman"/>
          <w:i/>
          <w:szCs w:val="28"/>
        </w:rPr>
        <w:t>el cual es una condición para el ejercicio de la libertad y la seguridad, no están facultadas para impedir la satisfacción mínima de las condiciones de existencia vital para los habitantes</w:t>
      </w:r>
      <w:r w:rsidRPr="000B352A">
        <w:rPr>
          <w:rFonts w:cs="Times New Roman"/>
          <w:szCs w:val="28"/>
        </w:rPr>
        <w:t xml:space="preserve">”. </w:t>
      </w:r>
    </w:p>
    <w:p w14:paraId="64E5A238" w14:textId="77777777" w:rsidR="00BD7B29" w:rsidRPr="000B352A" w:rsidRDefault="00BD7B29" w:rsidP="000B352A">
      <w:pPr>
        <w:rPr>
          <w:rFonts w:cs="Times New Roman"/>
          <w:szCs w:val="28"/>
        </w:rPr>
      </w:pPr>
    </w:p>
    <w:p w14:paraId="64E5A239" w14:textId="77777777" w:rsidR="00BD7B29" w:rsidRPr="000B352A" w:rsidRDefault="00BD7B29" w:rsidP="000B352A">
      <w:pPr>
        <w:rPr>
          <w:rFonts w:cs="Times New Roman"/>
          <w:szCs w:val="28"/>
        </w:rPr>
      </w:pPr>
      <w:r w:rsidRPr="000B352A">
        <w:rPr>
          <w:rFonts w:cs="Times New Roman"/>
          <w:szCs w:val="28"/>
        </w:rPr>
        <w:t>Indica que la dignidad humana está vinculada al derecho a la intimidad cuando se mezclan valores personales como individuales, situación que debe estar sujeta a la protección constitucional pues cualquier intromisión arbitraria estaría afectando el derecho a la dignidad humana integralmente.</w:t>
      </w:r>
    </w:p>
    <w:p w14:paraId="64E5A23A" w14:textId="77777777" w:rsidR="00BD7B29" w:rsidRPr="000B352A" w:rsidRDefault="00BD7B29" w:rsidP="000B352A">
      <w:pPr>
        <w:rPr>
          <w:rFonts w:cs="Times New Roman"/>
          <w:szCs w:val="28"/>
        </w:rPr>
      </w:pPr>
    </w:p>
    <w:p w14:paraId="64E5A23B" w14:textId="77777777" w:rsidR="00BD7B29" w:rsidRPr="000B352A" w:rsidRDefault="00BD7B29" w:rsidP="000B352A">
      <w:pPr>
        <w:rPr>
          <w:rFonts w:cs="Times New Roman"/>
          <w:i/>
          <w:szCs w:val="28"/>
        </w:rPr>
      </w:pPr>
      <w:r w:rsidRPr="000B352A">
        <w:rPr>
          <w:rFonts w:cs="Times New Roman"/>
          <w:szCs w:val="28"/>
        </w:rPr>
        <w:t xml:space="preserve">4.3. En lo que tiene que ver con el debido proceso, señala que este se hace exigible para las entidades estatales y particulares </w:t>
      </w:r>
      <w:r w:rsidRPr="000B352A">
        <w:rPr>
          <w:rFonts w:cs="Times New Roman"/>
          <w:i/>
          <w:szCs w:val="28"/>
        </w:rPr>
        <w:t>para “garantizar que toda relación jurídica cumpla a cabalidad con un procedimiento estandarizado que proteja a las personas de actos arbitrarios e injustificados que atenten contra otros derechos fundamentales”.</w:t>
      </w:r>
    </w:p>
    <w:p w14:paraId="64E5A23C" w14:textId="77777777" w:rsidR="00BD7B29" w:rsidRPr="000B352A" w:rsidRDefault="00BD7B29" w:rsidP="000B352A">
      <w:pPr>
        <w:rPr>
          <w:rFonts w:cs="Times New Roman"/>
          <w:szCs w:val="28"/>
        </w:rPr>
      </w:pPr>
    </w:p>
    <w:p w14:paraId="64E5A23D" w14:textId="77777777" w:rsidR="00BD7B29" w:rsidRPr="000B352A" w:rsidRDefault="00BD7B29" w:rsidP="000B352A">
      <w:pPr>
        <w:rPr>
          <w:rFonts w:cs="Times New Roman"/>
          <w:i/>
          <w:szCs w:val="28"/>
        </w:rPr>
      </w:pPr>
      <w:r w:rsidRPr="000B352A">
        <w:rPr>
          <w:rFonts w:cs="Times New Roman"/>
          <w:szCs w:val="28"/>
        </w:rPr>
        <w:t xml:space="preserve">Teniendo en cuenta lo anterior, y que las administradoras de las propiedades horizontales deben respetar la intimidad, el debido proceso y la dignidad humana, proponen a la Corte Constitucional que considere cuáles son los estándares a cumplir por las administradoras cuando apliquen la sanción de la norma demandada. Propone el interviniente declarar la constitucionalidad condicionada del artículo 30 </w:t>
      </w:r>
      <w:r w:rsidRPr="000B352A">
        <w:rPr>
          <w:rFonts w:cs="Times New Roman"/>
          <w:i/>
          <w:szCs w:val="28"/>
        </w:rPr>
        <w:t>“en el entendido que la publicación de las listas frente a los deudores morosos cumpla con las siguientes reglas constitucionales:</w:t>
      </w:r>
    </w:p>
    <w:p w14:paraId="64E5A23E" w14:textId="77777777" w:rsidR="00BD7B29" w:rsidRPr="000B352A" w:rsidRDefault="00BD7B29" w:rsidP="000B352A">
      <w:pPr>
        <w:rPr>
          <w:rFonts w:cs="Times New Roman"/>
          <w:i/>
          <w:szCs w:val="28"/>
        </w:rPr>
      </w:pPr>
    </w:p>
    <w:p w14:paraId="64E5A23F" w14:textId="77777777" w:rsidR="00BD7B29" w:rsidRPr="000B352A" w:rsidRDefault="00BD7B29" w:rsidP="000B352A">
      <w:pPr>
        <w:rPr>
          <w:rFonts w:cs="Times New Roman"/>
          <w:i/>
          <w:szCs w:val="28"/>
        </w:rPr>
      </w:pPr>
      <w:r w:rsidRPr="000B352A">
        <w:rPr>
          <w:rFonts w:cs="Times New Roman"/>
          <w:i/>
          <w:szCs w:val="28"/>
        </w:rPr>
        <w:t>a) Determinar s</w:t>
      </w:r>
      <w:r w:rsidR="00F5145B" w:rsidRPr="000B352A">
        <w:rPr>
          <w:rFonts w:cs="Times New Roman"/>
          <w:i/>
          <w:szCs w:val="28"/>
        </w:rPr>
        <w:t>i</w:t>
      </w:r>
      <w:r w:rsidRPr="000B352A">
        <w:rPr>
          <w:rFonts w:cs="Times New Roman"/>
          <w:i/>
          <w:szCs w:val="28"/>
        </w:rPr>
        <w:t xml:space="preserve"> la información contenida en las listas involucran aspectos que comprometen a todos los residentes de la unidad residencial; </w:t>
      </w:r>
    </w:p>
    <w:p w14:paraId="64E5A240" w14:textId="77777777" w:rsidR="00BD7B29" w:rsidRPr="000B352A" w:rsidRDefault="00BD7B29" w:rsidP="000B352A">
      <w:pPr>
        <w:rPr>
          <w:rFonts w:cs="Times New Roman"/>
          <w:i/>
          <w:szCs w:val="28"/>
        </w:rPr>
      </w:pPr>
      <w:r w:rsidRPr="000B352A">
        <w:rPr>
          <w:rFonts w:cs="Times New Roman"/>
          <w:i/>
          <w:szCs w:val="28"/>
        </w:rPr>
        <w:t>b) Que no se describan aspectos estrictamente personales o familiares;</w:t>
      </w:r>
    </w:p>
    <w:p w14:paraId="64E5A241" w14:textId="77777777" w:rsidR="00BD7B29" w:rsidRPr="000B352A" w:rsidRDefault="00BD7B29" w:rsidP="000B352A">
      <w:pPr>
        <w:rPr>
          <w:rFonts w:cs="Times New Roman"/>
          <w:i/>
          <w:szCs w:val="28"/>
        </w:rPr>
      </w:pPr>
      <w:r w:rsidRPr="000B352A">
        <w:rPr>
          <w:rFonts w:cs="Times New Roman"/>
          <w:i/>
          <w:szCs w:val="28"/>
        </w:rPr>
        <w:t xml:space="preserve">c) si la información tiene </w:t>
      </w:r>
      <w:r w:rsidRPr="000B352A">
        <w:rPr>
          <w:rFonts w:cs="Times New Roman"/>
          <w:i/>
          <w:szCs w:val="28"/>
          <w:u w:val="single"/>
        </w:rPr>
        <w:t>relevancia económica</w:t>
      </w:r>
      <w:r w:rsidRPr="000B352A">
        <w:rPr>
          <w:rFonts w:cs="Times New Roman"/>
          <w:i/>
          <w:szCs w:val="28"/>
        </w:rPr>
        <w:t xml:space="preserve"> para todos los miembros del conjunto;</w:t>
      </w:r>
    </w:p>
    <w:p w14:paraId="64E5A242" w14:textId="77777777" w:rsidR="00BD7B29" w:rsidRPr="000B352A" w:rsidRDefault="00BD7B29" w:rsidP="000B352A">
      <w:pPr>
        <w:rPr>
          <w:rFonts w:cs="Times New Roman"/>
          <w:i/>
          <w:szCs w:val="28"/>
        </w:rPr>
      </w:pPr>
      <w:r w:rsidRPr="000B352A">
        <w:rPr>
          <w:rFonts w:cs="Times New Roman"/>
          <w:i/>
          <w:szCs w:val="28"/>
        </w:rPr>
        <w:t>d) si la publicación se circunscribe a todos los habitantes del edificio y no a todo el público en general”</w:t>
      </w:r>
      <w:r w:rsidRPr="000B352A">
        <w:rPr>
          <w:rStyle w:val="Refdenotaalpie"/>
          <w:i/>
          <w:szCs w:val="28"/>
        </w:rPr>
        <w:footnoteReference w:id="2"/>
      </w:r>
      <w:r w:rsidRPr="000B352A">
        <w:rPr>
          <w:rFonts w:cs="Times New Roman"/>
          <w:i/>
          <w:szCs w:val="28"/>
        </w:rPr>
        <w:t>.</w:t>
      </w:r>
    </w:p>
    <w:p w14:paraId="64E5A243" w14:textId="77777777" w:rsidR="00BD7B29" w:rsidRPr="000B352A" w:rsidRDefault="00BD7B29" w:rsidP="000B352A">
      <w:pPr>
        <w:rPr>
          <w:rFonts w:cs="Times New Roman"/>
          <w:i/>
          <w:szCs w:val="28"/>
        </w:rPr>
      </w:pPr>
    </w:p>
    <w:p w14:paraId="64E5A244" w14:textId="77777777" w:rsidR="00BD7B29" w:rsidRPr="000B352A" w:rsidRDefault="00BD7B29" w:rsidP="000B352A">
      <w:pPr>
        <w:rPr>
          <w:rFonts w:cs="Times New Roman"/>
          <w:szCs w:val="28"/>
        </w:rPr>
      </w:pPr>
      <w:r w:rsidRPr="000B352A">
        <w:rPr>
          <w:rFonts w:cs="Times New Roman"/>
          <w:szCs w:val="28"/>
        </w:rPr>
        <w:t xml:space="preserve">Se manifiesta que dichas características deben ser analizadas y reconocidas por una autoridad distinta de la administración ya que pueden estar inmersos diversos intereses de carácter subjetivo. </w:t>
      </w:r>
    </w:p>
    <w:p w14:paraId="64E5A245" w14:textId="77777777" w:rsidR="00BD7B29" w:rsidRPr="000B352A" w:rsidRDefault="00BD7B29" w:rsidP="000B352A">
      <w:pPr>
        <w:rPr>
          <w:rFonts w:cs="Times New Roman"/>
          <w:szCs w:val="28"/>
        </w:rPr>
      </w:pPr>
    </w:p>
    <w:p w14:paraId="64E5A246" w14:textId="77777777" w:rsidR="00BD7B29" w:rsidRPr="000B352A" w:rsidRDefault="00BD7B29" w:rsidP="000B352A">
      <w:pPr>
        <w:rPr>
          <w:rFonts w:cs="Times New Roman"/>
          <w:i/>
          <w:szCs w:val="28"/>
        </w:rPr>
      </w:pPr>
      <w:r w:rsidRPr="000B352A">
        <w:rPr>
          <w:rFonts w:cs="Times New Roman"/>
          <w:szCs w:val="28"/>
        </w:rPr>
        <w:t>En este aspecto, concluye que es legítimo que los copropietarios tengan la facultad de adelantar mecanismos que propendan por el pago de las cuotas de administración en mora</w:t>
      </w:r>
      <w:r w:rsidRPr="000B352A">
        <w:rPr>
          <w:rFonts w:cs="Times New Roman"/>
          <w:i/>
          <w:szCs w:val="28"/>
        </w:rPr>
        <w:t>, “pero debe haber una serie de límites siempre y cuando no se trasgredan derechos fundamentales”</w:t>
      </w:r>
      <w:r w:rsidRPr="000B352A">
        <w:rPr>
          <w:rFonts w:cs="Times New Roman"/>
          <w:szCs w:val="28"/>
        </w:rPr>
        <w:t xml:space="preserve">. Así, la publicación automática de listas de deudores </w:t>
      </w:r>
      <w:r w:rsidRPr="000B352A">
        <w:rPr>
          <w:rFonts w:cs="Times New Roman"/>
          <w:i/>
          <w:szCs w:val="28"/>
        </w:rPr>
        <w:t>“resulta violatoria del derecho a la intimidad, en el sentido que se exponen datos semiprivados sin que exista un respeto al debido proceso que permita al deudor verificar que no se publicarán aspectos de su vida privada y familiar”.</w:t>
      </w:r>
    </w:p>
    <w:p w14:paraId="64E5A247" w14:textId="77777777" w:rsidR="00BD7B29" w:rsidRPr="000B352A" w:rsidRDefault="00BD7B29" w:rsidP="000B352A">
      <w:pPr>
        <w:rPr>
          <w:rFonts w:cs="Times New Roman"/>
          <w:szCs w:val="28"/>
        </w:rPr>
      </w:pPr>
    </w:p>
    <w:p w14:paraId="64E5A248" w14:textId="77777777" w:rsidR="00BD7B29" w:rsidRPr="000B352A" w:rsidRDefault="00BD7B29" w:rsidP="000B352A">
      <w:pPr>
        <w:rPr>
          <w:rFonts w:cs="Times New Roman"/>
          <w:i/>
          <w:szCs w:val="28"/>
        </w:rPr>
      </w:pPr>
      <w:r w:rsidRPr="000B352A">
        <w:rPr>
          <w:rFonts w:cs="Times New Roman"/>
          <w:szCs w:val="28"/>
        </w:rPr>
        <w:t xml:space="preserve">4.4. Sobre el incumplimiento de obligaciones pecuniarias de que trata el artículo 59 de la Ley 675 de 2001, recalcan que la protección del derecho a la intimidad no se ciñe únicamente a la esfera individual sino también a la familiar, por tanto, la publicación del nombre de una persona y la causa del incumplimiento </w:t>
      </w:r>
      <w:r w:rsidRPr="000B352A">
        <w:rPr>
          <w:rFonts w:cs="Times New Roman"/>
          <w:i/>
          <w:szCs w:val="28"/>
        </w:rPr>
        <w:t>“afectan no solo a esa persona, sino que se amplía al grupo familiar”,</w:t>
      </w:r>
      <w:r w:rsidRPr="000B352A">
        <w:rPr>
          <w:rFonts w:cs="Times New Roman"/>
          <w:szCs w:val="28"/>
        </w:rPr>
        <w:t xml:space="preserve"> terceros que no deben asumir cargas frente a la comunidad. De tal manera, indica que la sanción impuesta sería desproporcionada e indebida “</w:t>
      </w:r>
      <w:r w:rsidRPr="000B352A">
        <w:rPr>
          <w:rFonts w:cs="Times New Roman"/>
          <w:i/>
          <w:szCs w:val="28"/>
        </w:rPr>
        <w:t>cuando es abierta a mencionar una familia, número de apartamento o a uno de sus representantes que habita dentro de la propiedad”.</w:t>
      </w:r>
    </w:p>
    <w:p w14:paraId="64E5A249" w14:textId="77777777" w:rsidR="00BD7B29" w:rsidRPr="000B352A" w:rsidRDefault="00BD7B29" w:rsidP="000B352A">
      <w:pPr>
        <w:rPr>
          <w:rFonts w:cs="Times New Roman"/>
          <w:szCs w:val="28"/>
        </w:rPr>
      </w:pPr>
    </w:p>
    <w:p w14:paraId="64E5A24A" w14:textId="77777777" w:rsidR="00BD7B29" w:rsidRPr="000B352A" w:rsidRDefault="00BD7B29" w:rsidP="000B352A">
      <w:pPr>
        <w:rPr>
          <w:rFonts w:cs="Times New Roman"/>
          <w:szCs w:val="28"/>
        </w:rPr>
      </w:pPr>
      <w:r w:rsidRPr="000B352A">
        <w:rPr>
          <w:rFonts w:cs="Times New Roman"/>
          <w:szCs w:val="28"/>
        </w:rPr>
        <w:t>Continúa indicando que teniendo en cuenta cómo la Corte ha entendido el derecho a la intimidad, el cual incluye el ámbito individual y familiar, la sanción estipulada en el artículo señalado</w:t>
      </w:r>
      <w:r w:rsidRPr="000B352A">
        <w:rPr>
          <w:rFonts w:cs="Times New Roman"/>
          <w:i/>
          <w:szCs w:val="28"/>
        </w:rPr>
        <w:t xml:space="preserve"> “puede ser aplicada por el incumplimiento de obligaciones que estén estrechamente relacionadas con la esfera privada de la vida familiar, por lo que dicha situación quedaría expuesta al público violando así el derecho fundamental a la intimidad”.</w:t>
      </w:r>
      <w:r w:rsidRPr="000B352A">
        <w:rPr>
          <w:rFonts w:cs="Times New Roman"/>
          <w:szCs w:val="28"/>
        </w:rPr>
        <w:t xml:space="preserve"> Esto, sin dejar de lado que la información publicitada puede ser falsa o inexacta lo cual, además, atentaría contra el patrimonio moral del individuo.</w:t>
      </w:r>
    </w:p>
    <w:p w14:paraId="64E5A24B" w14:textId="77777777" w:rsidR="00BD7B29" w:rsidRPr="000B352A" w:rsidRDefault="00BD7B29" w:rsidP="000B352A">
      <w:pPr>
        <w:rPr>
          <w:rFonts w:cs="Times New Roman"/>
          <w:szCs w:val="28"/>
        </w:rPr>
      </w:pPr>
    </w:p>
    <w:p w14:paraId="64E5A24C" w14:textId="77777777" w:rsidR="00BD7B29" w:rsidRPr="000B352A" w:rsidRDefault="00BD7B29" w:rsidP="000B352A">
      <w:pPr>
        <w:rPr>
          <w:rFonts w:cs="Times New Roman"/>
          <w:szCs w:val="28"/>
        </w:rPr>
      </w:pPr>
      <w:r w:rsidRPr="000B352A">
        <w:rPr>
          <w:rFonts w:cs="Times New Roman"/>
          <w:szCs w:val="28"/>
        </w:rPr>
        <w:t>4.5. Aduce que el derecho a la intimidad tiene diferentes grados</w:t>
      </w:r>
      <w:r w:rsidR="00F5145B" w:rsidRPr="000B352A">
        <w:rPr>
          <w:rFonts w:cs="Times New Roman"/>
          <w:szCs w:val="28"/>
        </w:rPr>
        <w:t>:</w:t>
      </w:r>
      <w:r w:rsidRPr="000B352A">
        <w:rPr>
          <w:rFonts w:cs="Times New Roman"/>
          <w:szCs w:val="28"/>
        </w:rPr>
        <w:t xml:space="preserve"> el personal, familiar, social y gremial. Los tres primeros indican que cualquier intervención a esa órbita, afecta directamente el derecho en mención. Tras la publicación de las listas, las personas se ven expuestas a </w:t>
      </w:r>
      <w:r w:rsidRPr="000B352A">
        <w:rPr>
          <w:rFonts w:cs="Times New Roman"/>
          <w:i/>
          <w:szCs w:val="28"/>
        </w:rPr>
        <w:t>“falsedades, inexactitudes, incoherencias, inconsistencias, entre otras situaciones adversas”.</w:t>
      </w:r>
      <w:r w:rsidRPr="000B352A">
        <w:rPr>
          <w:rFonts w:cs="Times New Roman"/>
          <w:szCs w:val="28"/>
        </w:rPr>
        <w:t xml:space="preserve"> Señala que con ello se afecta el secreto de la vida privada como derecho fundamental. </w:t>
      </w:r>
    </w:p>
    <w:p w14:paraId="64E5A24D" w14:textId="77777777" w:rsidR="00BD7B29" w:rsidRPr="000B352A" w:rsidRDefault="00BD7B29" w:rsidP="000B352A">
      <w:pPr>
        <w:rPr>
          <w:rFonts w:cs="Times New Roman"/>
          <w:szCs w:val="28"/>
        </w:rPr>
      </w:pPr>
    </w:p>
    <w:p w14:paraId="64E5A24E" w14:textId="77777777" w:rsidR="00BD7B29" w:rsidRPr="000B352A" w:rsidRDefault="00BD7B29" w:rsidP="000B352A">
      <w:pPr>
        <w:rPr>
          <w:rFonts w:cs="Times New Roman"/>
          <w:i/>
          <w:szCs w:val="28"/>
        </w:rPr>
      </w:pPr>
      <w:r w:rsidRPr="000B352A">
        <w:rPr>
          <w:rFonts w:cs="Times New Roman"/>
          <w:szCs w:val="28"/>
        </w:rPr>
        <w:t xml:space="preserve">4.6. Así las cosas, indica que </w:t>
      </w:r>
      <w:r w:rsidRPr="000B352A">
        <w:rPr>
          <w:rFonts w:cs="Times New Roman"/>
          <w:i/>
          <w:szCs w:val="28"/>
        </w:rPr>
        <w:t>“el papel del ]E]stado es fundamental para impedir cualquier injerencia arbitraria y la divulgación de información sin la debida autorización por su titular. Su protección deberá incluir el uso de sus datos, su imagen, su nombre, los acontecimientos personales, sus secretos profesionales, de correspondencia, de acceso a sus documentos, entre otros”.</w:t>
      </w:r>
    </w:p>
    <w:p w14:paraId="64E5A24F" w14:textId="77777777" w:rsidR="00BD7B29" w:rsidRPr="000B352A" w:rsidRDefault="00BD7B29" w:rsidP="000B352A">
      <w:pPr>
        <w:rPr>
          <w:rFonts w:cs="Times New Roman"/>
          <w:szCs w:val="28"/>
        </w:rPr>
      </w:pPr>
    </w:p>
    <w:p w14:paraId="64E5A250" w14:textId="77777777" w:rsidR="00BD7B29" w:rsidRPr="000B352A" w:rsidRDefault="00BD7B29" w:rsidP="000B352A">
      <w:pPr>
        <w:rPr>
          <w:rFonts w:cs="Times New Roman"/>
          <w:szCs w:val="28"/>
        </w:rPr>
      </w:pPr>
      <w:r w:rsidRPr="000B352A">
        <w:rPr>
          <w:rFonts w:cs="Times New Roman"/>
          <w:szCs w:val="28"/>
        </w:rPr>
        <w:t>Con base en lo anterior, solicita la declaratoria de INEXEQUIBILIDAD del artículo 59 de la Ley 675 de 2001.</w:t>
      </w:r>
    </w:p>
    <w:p w14:paraId="64E5A251" w14:textId="77777777" w:rsidR="00BD7B29" w:rsidRPr="000B352A" w:rsidRDefault="00BD7B29" w:rsidP="000B352A">
      <w:pPr>
        <w:rPr>
          <w:rFonts w:cs="Times New Roman"/>
          <w:szCs w:val="28"/>
        </w:rPr>
      </w:pPr>
    </w:p>
    <w:p w14:paraId="64E5A252" w14:textId="77777777" w:rsidR="00BD7B29" w:rsidRPr="000B352A" w:rsidRDefault="00BD7B29" w:rsidP="000B352A">
      <w:pPr>
        <w:rPr>
          <w:rFonts w:cs="Times New Roman"/>
          <w:szCs w:val="28"/>
        </w:rPr>
      </w:pPr>
      <w:r w:rsidRPr="000B352A">
        <w:rPr>
          <w:rFonts w:cs="Times New Roman"/>
          <w:szCs w:val="28"/>
        </w:rPr>
        <w:t>4.7. En cuanto al derecho al habeas data, la jurisprudencia constitucional ha indicado que para que exista una vulneración de esta garantía, la información en el archivo debe “haber sido recogida de manera ilegal, sin el consentimiento del titular del dato (i), ser errónea (ii) o recaer sobre aspectos íntimos de la vida de su titular no susceptibles de ser conocidos públicamente (iii)”.</w:t>
      </w:r>
    </w:p>
    <w:p w14:paraId="64E5A253" w14:textId="77777777" w:rsidR="00BD7B29" w:rsidRPr="000B352A" w:rsidRDefault="00BD7B29" w:rsidP="000B352A">
      <w:pPr>
        <w:rPr>
          <w:rFonts w:cs="Times New Roman"/>
          <w:szCs w:val="28"/>
        </w:rPr>
      </w:pPr>
    </w:p>
    <w:p w14:paraId="64E5A254" w14:textId="77777777" w:rsidR="00BD7B29" w:rsidRPr="000B352A" w:rsidRDefault="00BD7B29" w:rsidP="000B352A">
      <w:pPr>
        <w:rPr>
          <w:rFonts w:cs="Times New Roman"/>
          <w:szCs w:val="28"/>
        </w:rPr>
      </w:pPr>
      <w:r w:rsidRPr="000B352A">
        <w:rPr>
          <w:rFonts w:cs="Times New Roman"/>
          <w:szCs w:val="28"/>
        </w:rPr>
        <w:t xml:space="preserve">El interviniente arguye que como se trata de datos personales, el órgano que imponga sanciones </w:t>
      </w:r>
      <w:r w:rsidR="00F5145B" w:rsidRPr="000B352A">
        <w:rPr>
          <w:rFonts w:cs="Times New Roman"/>
          <w:szCs w:val="28"/>
        </w:rPr>
        <w:t>debe sujetarse</w:t>
      </w:r>
      <w:r w:rsidRPr="000B352A">
        <w:rPr>
          <w:rFonts w:cs="Times New Roman"/>
          <w:szCs w:val="28"/>
        </w:rPr>
        <w:t xml:space="preserve"> a las reglas jurisprudenciales que indican que se realizó un esfuerzo por contrastar fuentes, se actuó sin ánimo expreso de presentar como ciertos hechos falsos, y que se obró sin intención maliciosa de perjudicar el derecho de honor, intimidad y buen nombre de otros. Además, deberá verificar que el contenido de la información sea veraz, proporcional y razonable garantizando cargas mínimas para verificar la existencia de un procedimiento adecuado y suficiente que evita la vulneración de derechos fundamentales.</w:t>
      </w:r>
    </w:p>
    <w:p w14:paraId="64E5A255" w14:textId="77777777" w:rsidR="00BD7B29" w:rsidRPr="000B352A" w:rsidRDefault="00BD7B29" w:rsidP="000B352A">
      <w:pPr>
        <w:rPr>
          <w:rFonts w:cs="Times New Roman"/>
          <w:szCs w:val="28"/>
        </w:rPr>
      </w:pPr>
    </w:p>
    <w:p w14:paraId="64E5A256" w14:textId="77777777" w:rsidR="00BD7B29" w:rsidRPr="000B352A" w:rsidRDefault="00BD7B29" w:rsidP="000B352A">
      <w:pPr>
        <w:rPr>
          <w:rFonts w:cs="Times New Roman"/>
          <w:szCs w:val="28"/>
        </w:rPr>
      </w:pPr>
      <w:r w:rsidRPr="000B352A">
        <w:rPr>
          <w:rFonts w:cs="Times New Roman"/>
          <w:szCs w:val="28"/>
        </w:rPr>
        <w:t xml:space="preserve">Advierte a la Corte que la norma demandada no contiene </w:t>
      </w:r>
      <w:r w:rsidR="00F5145B" w:rsidRPr="000B352A">
        <w:rPr>
          <w:rFonts w:cs="Times New Roman"/>
          <w:szCs w:val="28"/>
        </w:rPr>
        <w:t>un derecho</w:t>
      </w:r>
      <w:r w:rsidRPr="000B352A">
        <w:rPr>
          <w:rFonts w:cs="Times New Roman"/>
          <w:szCs w:val="28"/>
        </w:rPr>
        <w:t xml:space="preserve"> de rectificación, lo que </w:t>
      </w:r>
      <w:r w:rsidR="00F5145B" w:rsidRPr="000B352A">
        <w:rPr>
          <w:rFonts w:cs="Times New Roman"/>
          <w:szCs w:val="28"/>
        </w:rPr>
        <w:t>hace que sea necesario</w:t>
      </w:r>
      <w:r w:rsidRPr="000B352A">
        <w:rPr>
          <w:rFonts w:cs="Times New Roman"/>
          <w:szCs w:val="28"/>
        </w:rPr>
        <w:t xml:space="preserve"> el uso de la acción de tutela para proteger derechos. La verificación es totalmente aplicable al caso “debido a que existen unas listas que divulgan información, las cuales son publicadas por un conjunto residencial para mostrarle a los residentes que cierta persona es un deudor”. Con base en lo anterior, el interviniente sugiere unas reglas que permiten que la publicación no sea arbitraria:</w:t>
      </w:r>
    </w:p>
    <w:p w14:paraId="64E5A257" w14:textId="77777777" w:rsidR="00BD7B29" w:rsidRPr="000B352A" w:rsidRDefault="00BD7B29" w:rsidP="000B352A">
      <w:pPr>
        <w:rPr>
          <w:rFonts w:cs="Times New Roman"/>
          <w:szCs w:val="28"/>
        </w:rPr>
      </w:pPr>
    </w:p>
    <w:p w14:paraId="64E5A258" w14:textId="77777777" w:rsidR="00BD7B29" w:rsidRPr="000B352A" w:rsidRDefault="00BD7B29" w:rsidP="000B352A">
      <w:pPr>
        <w:rPr>
          <w:rFonts w:cs="Times New Roman"/>
          <w:szCs w:val="28"/>
        </w:rPr>
      </w:pPr>
      <w:r w:rsidRPr="000B352A">
        <w:rPr>
          <w:rFonts w:cs="Times New Roman"/>
          <w:szCs w:val="28"/>
        </w:rPr>
        <w:t>“(i) Que la información contenida sea suministrada sea cierta y sustentada en la realidad;</w:t>
      </w:r>
    </w:p>
    <w:p w14:paraId="64E5A259" w14:textId="77777777" w:rsidR="00BD7B29" w:rsidRPr="000B352A" w:rsidRDefault="00BD7B29" w:rsidP="000B352A">
      <w:pPr>
        <w:rPr>
          <w:rFonts w:cs="Times New Roman"/>
          <w:szCs w:val="28"/>
        </w:rPr>
      </w:pPr>
      <w:r w:rsidRPr="000B352A">
        <w:rPr>
          <w:rFonts w:cs="Times New Roman"/>
          <w:szCs w:val="28"/>
        </w:rPr>
        <w:t>(ii) Que sea objetiva y pertinente, es decir que sea correlativa a la sanción por el incumplimiento de una obligación de dinero.</w:t>
      </w:r>
    </w:p>
    <w:p w14:paraId="64E5A25A" w14:textId="77777777" w:rsidR="00BD7B29" w:rsidRPr="000B352A" w:rsidRDefault="00BD7B29" w:rsidP="000B352A">
      <w:pPr>
        <w:rPr>
          <w:rFonts w:cs="Times New Roman"/>
          <w:szCs w:val="28"/>
        </w:rPr>
      </w:pPr>
      <w:r w:rsidRPr="000B352A">
        <w:rPr>
          <w:rFonts w:cs="Times New Roman"/>
          <w:szCs w:val="28"/>
        </w:rPr>
        <w:t xml:space="preserve">(iii) Que sea oportuna, </w:t>
      </w:r>
      <w:r w:rsidR="00CC09A9" w:rsidRPr="000B352A">
        <w:rPr>
          <w:rFonts w:cs="Times New Roman"/>
          <w:szCs w:val="28"/>
        </w:rPr>
        <w:t>en</w:t>
      </w:r>
      <w:r w:rsidRPr="000B352A">
        <w:rPr>
          <w:rFonts w:cs="Times New Roman"/>
          <w:szCs w:val="28"/>
        </w:rPr>
        <w:t xml:space="preserve"> el entendido en que se publiquen los hechos recientes y no hechos que han ocurrido tiempo atrás cuando la obligación ya ha dejado de existir.</w:t>
      </w:r>
    </w:p>
    <w:p w14:paraId="64E5A25B" w14:textId="77777777" w:rsidR="00BD7B29" w:rsidRPr="000B352A" w:rsidRDefault="00BD7B29" w:rsidP="000B352A">
      <w:pPr>
        <w:rPr>
          <w:rFonts w:cs="Times New Roman"/>
          <w:szCs w:val="28"/>
        </w:rPr>
      </w:pPr>
      <w:r w:rsidRPr="000B352A">
        <w:rPr>
          <w:rFonts w:cs="Times New Roman"/>
          <w:szCs w:val="28"/>
        </w:rPr>
        <w:t>(iv) Que la persona tenga la oportunidad para solicitar la aclaración, la modificación o corrección de uno de esos datos ante el órgano competente del conjunto residencial.</w:t>
      </w:r>
    </w:p>
    <w:p w14:paraId="64E5A25C" w14:textId="77777777" w:rsidR="00BD7B29" w:rsidRPr="000B352A" w:rsidRDefault="00BD7B29" w:rsidP="000B352A">
      <w:pPr>
        <w:rPr>
          <w:rFonts w:cs="Times New Roman"/>
          <w:szCs w:val="28"/>
        </w:rPr>
      </w:pPr>
      <w:r w:rsidRPr="000B352A">
        <w:rPr>
          <w:rFonts w:cs="Times New Roman"/>
          <w:szCs w:val="28"/>
        </w:rPr>
        <w:t>(v) En caso de que el conjunto a través de sus representantes no respete el derecho al habeas data, el derecho a la intimidad u otro derecho relacionado, la persona pueda acudir e interponer una queja ante la autoridad administrativa competente (Alcaldía local o distrital).</w:t>
      </w:r>
    </w:p>
    <w:p w14:paraId="64E5A25D" w14:textId="77777777" w:rsidR="00BD7B29" w:rsidRPr="000B352A" w:rsidRDefault="00BD7B29" w:rsidP="000B352A">
      <w:pPr>
        <w:rPr>
          <w:rFonts w:cs="Times New Roman"/>
          <w:szCs w:val="28"/>
        </w:rPr>
      </w:pPr>
      <w:r w:rsidRPr="000B352A">
        <w:rPr>
          <w:rFonts w:cs="Times New Roman"/>
          <w:szCs w:val="28"/>
        </w:rPr>
        <w:t>(vi) Que el afectado pueda ejercer la acción de tutela para invocar la protección de sus derechos fundamentales</w:t>
      </w:r>
      <w:r w:rsidRPr="000B352A">
        <w:rPr>
          <w:rStyle w:val="Refdenotaalpie"/>
          <w:szCs w:val="28"/>
        </w:rPr>
        <w:footnoteReference w:id="3"/>
      </w:r>
      <w:r w:rsidRPr="000B352A">
        <w:rPr>
          <w:rFonts w:cs="Times New Roman"/>
          <w:szCs w:val="28"/>
        </w:rPr>
        <w:t>”.</w:t>
      </w:r>
    </w:p>
    <w:p w14:paraId="64E5A25E" w14:textId="77777777" w:rsidR="00BD7B29" w:rsidRPr="000B352A" w:rsidRDefault="00BD7B29" w:rsidP="000B352A">
      <w:pPr>
        <w:rPr>
          <w:rFonts w:cs="Times New Roman"/>
          <w:szCs w:val="28"/>
        </w:rPr>
      </w:pPr>
    </w:p>
    <w:p w14:paraId="64E5A25F" w14:textId="77777777" w:rsidR="00BD7B29" w:rsidRPr="000B352A" w:rsidRDefault="00BD7B29" w:rsidP="000B352A">
      <w:pPr>
        <w:rPr>
          <w:rFonts w:cs="Times New Roman"/>
          <w:szCs w:val="28"/>
        </w:rPr>
      </w:pPr>
      <w:r w:rsidRPr="000B352A">
        <w:rPr>
          <w:rFonts w:cs="Times New Roman"/>
          <w:szCs w:val="28"/>
        </w:rPr>
        <w:t>Teniendo en cuenta lo anteriormente descrito, solicita se declare la EXEQUIBILIDAD CONDICIONADA del artículo 30 acusado.</w:t>
      </w:r>
    </w:p>
    <w:p w14:paraId="64E5A260" w14:textId="77777777" w:rsidR="00BD7B29" w:rsidRPr="000B352A" w:rsidRDefault="00BD7B29" w:rsidP="000B352A">
      <w:pPr>
        <w:rPr>
          <w:rFonts w:cs="Times New Roman"/>
          <w:szCs w:val="28"/>
        </w:rPr>
      </w:pPr>
    </w:p>
    <w:p w14:paraId="64E5A261" w14:textId="77777777" w:rsidR="00BD7B29" w:rsidRPr="000B352A" w:rsidRDefault="00BD7B29" w:rsidP="000B352A">
      <w:pPr>
        <w:rPr>
          <w:rFonts w:cs="Times New Roman"/>
          <w:i/>
          <w:szCs w:val="28"/>
        </w:rPr>
      </w:pPr>
      <w:r w:rsidRPr="000B352A">
        <w:rPr>
          <w:rFonts w:cs="Times New Roman"/>
          <w:szCs w:val="28"/>
        </w:rPr>
        <w:t xml:space="preserve">4.8. Respecto del incumplimiento de obligaciones no pecuniarias previsto en el artículo 59 de la Ley 675 de 2001 precisó el interviniente que </w:t>
      </w:r>
      <w:r w:rsidRPr="000B352A">
        <w:rPr>
          <w:rFonts w:cs="Times New Roman"/>
          <w:i/>
          <w:szCs w:val="28"/>
        </w:rPr>
        <w:t>“este tipo de sanción colisiona con el derecho al habeas data debido a que si no se respeta el derecho a ser consultado frente a la publicación de sus propios datos personales, se empiezan a derivar arbitrariedades infundadas por parte del conjunto residencial”.</w:t>
      </w:r>
    </w:p>
    <w:p w14:paraId="64E5A262" w14:textId="77777777" w:rsidR="00BD7B29" w:rsidRPr="000B352A" w:rsidRDefault="00BD7B29" w:rsidP="000B352A">
      <w:pPr>
        <w:rPr>
          <w:rFonts w:cs="Times New Roman"/>
          <w:szCs w:val="28"/>
        </w:rPr>
      </w:pPr>
    </w:p>
    <w:p w14:paraId="64E5A263" w14:textId="77777777" w:rsidR="00BD7B29" w:rsidRPr="000B352A" w:rsidRDefault="00BD7B29" w:rsidP="000B352A">
      <w:pPr>
        <w:rPr>
          <w:rFonts w:cs="Times New Roman"/>
          <w:szCs w:val="28"/>
        </w:rPr>
      </w:pPr>
      <w:r w:rsidRPr="000B352A">
        <w:rPr>
          <w:rFonts w:cs="Times New Roman"/>
          <w:szCs w:val="28"/>
        </w:rPr>
        <w:t xml:space="preserve">Indica que se está ante una violación de este derecho cuando no hay un consentimiento para usar los datos personales. Por tanto, la publicación de las listas no es una garantía de la imagen de la persona. También que se viola el derecho cuando el nombre e identidad de una persona </w:t>
      </w:r>
      <w:r w:rsidRPr="000B352A">
        <w:rPr>
          <w:rFonts w:cs="Times New Roman"/>
          <w:i/>
          <w:szCs w:val="28"/>
        </w:rPr>
        <w:t>“es objeto de libre e injustificada disposición y manipulación de terceros”</w:t>
      </w:r>
      <w:r w:rsidRPr="000B352A">
        <w:rPr>
          <w:rFonts w:cs="Times New Roman"/>
          <w:szCs w:val="28"/>
        </w:rPr>
        <w:t>. Y que hay un deber constitucional que implica garantizar el manejo adecuado de la propia imagen sin someterla a valoraciones que afecten derechos fundamentales.</w:t>
      </w:r>
    </w:p>
    <w:p w14:paraId="64E5A264" w14:textId="77777777" w:rsidR="00BD7B29" w:rsidRPr="000B352A" w:rsidRDefault="00BD7B29" w:rsidP="000B352A">
      <w:pPr>
        <w:rPr>
          <w:rFonts w:cs="Times New Roman"/>
          <w:szCs w:val="28"/>
        </w:rPr>
      </w:pPr>
    </w:p>
    <w:p w14:paraId="64E5A265" w14:textId="77777777" w:rsidR="00BD7B29" w:rsidRPr="000B352A" w:rsidRDefault="00BD7B29" w:rsidP="000B352A">
      <w:pPr>
        <w:rPr>
          <w:rFonts w:cs="Times New Roman"/>
          <w:i/>
          <w:szCs w:val="28"/>
        </w:rPr>
      </w:pPr>
      <w:r w:rsidRPr="000B352A">
        <w:rPr>
          <w:rFonts w:cs="Times New Roman"/>
          <w:szCs w:val="28"/>
        </w:rPr>
        <w:t xml:space="preserve">Continúa señalando que a pesar de que los organismos de administración pueden decidir cuáles medidas adoptarán para garantizar la seguridad, existencia y conservación de las zonas comunes, </w:t>
      </w:r>
      <w:r w:rsidRPr="000B352A">
        <w:rPr>
          <w:rFonts w:cs="Times New Roman"/>
          <w:i/>
          <w:szCs w:val="28"/>
        </w:rPr>
        <w:t>“no faculta al conjunto residencial para que se ejercite de forma contraria a su finalidad o sin un propósito legítimo que lo autorice”.</w:t>
      </w:r>
    </w:p>
    <w:p w14:paraId="64E5A266" w14:textId="77777777" w:rsidR="00BD7B29" w:rsidRPr="000B352A" w:rsidRDefault="00BD7B29" w:rsidP="000B352A">
      <w:pPr>
        <w:rPr>
          <w:rFonts w:cs="Times New Roman"/>
          <w:szCs w:val="28"/>
        </w:rPr>
      </w:pPr>
    </w:p>
    <w:p w14:paraId="64E5A267" w14:textId="77777777" w:rsidR="00BD7B29" w:rsidRPr="000B352A" w:rsidRDefault="00BD7B29" w:rsidP="000B352A">
      <w:pPr>
        <w:rPr>
          <w:rFonts w:cs="Times New Roman"/>
          <w:szCs w:val="28"/>
        </w:rPr>
      </w:pPr>
      <w:r w:rsidRPr="000B352A">
        <w:rPr>
          <w:rFonts w:cs="Times New Roman"/>
          <w:szCs w:val="28"/>
        </w:rPr>
        <w:t xml:space="preserve">Frente al derecho al habeas data, se señala que es necesario indefectiblemente, que la voluntad de aceptación de la persona del uso de sus datos personales </w:t>
      </w:r>
      <w:r w:rsidRPr="000B352A">
        <w:rPr>
          <w:rFonts w:cs="Times New Roman"/>
          <w:i/>
          <w:szCs w:val="28"/>
        </w:rPr>
        <w:t>“prime por encima de una sanción”, pues el uso de esos datos implica “cargas proporcionales a las entidades (sean públicas o privadas) de protección de los datos que se suministren”</w:t>
      </w:r>
      <w:r w:rsidRPr="000B352A">
        <w:rPr>
          <w:rFonts w:cs="Times New Roman"/>
          <w:szCs w:val="28"/>
        </w:rPr>
        <w:t xml:space="preserve"> con el fin de que sean administradas debidamente sin afectar garantías fundamentales. De tal manera, solicitó que se declare la INEXEQUIBILIDAD del artículo 59 de la Ley 675 de 2001.</w:t>
      </w:r>
    </w:p>
    <w:p w14:paraId="64E5A268" w14:textId="77777777" w:rsidR="00BD7B29" w:rsidRPr="000B352A" w:rsidRDefault="00BD7B29" w:rsidP="000B352A">
      <w:pPr>
        <w:rPr>
          <w:rFonts w:cs="Times New Roman"/>
          <w:szCs w:val="28"/>
        </w:rPr>
      </w:pPr>
    </w:p>
    <w:p w14:paraId="64E5A269" w14:textId="77777777" w:rsidR="00BD7B29" w:rsidRPr="000B352A" w:rsidRDefault="00BD7B29" w:rsidP="000B352A">
      <w:pPr>
        <w:rPr>
          <w:rFonts w:cs="Times New Roman"/>
          <w:b/>
          <w:szCs w:val="28"/>
        </w:rPr>
      </w:pPr>
      <w:r w:rsidRPr="000B352A">
        <w:rPr>
          <w:rFonts w:cs="Times New Roman"/>
          <w:b/>
          <w:szCs w:val="28"/>
        </w:rPr>
        <w:t>5. Iván Rodrigo Sánchez Pineda y Paola Katherine Tatiana Garzón Montes</w:t>
      </w:r>
    </w:p>
    <w:p w14:paraId="64E5A26A" w14:textId="77777777" w:rsidR="00BD7B29" w:rsidRPr="000B352A" w:rsidRDefault="00BD7B29" w:rsidP="000B352A">
      <w:pPr>
        <w:rPr>
          <w:rFonts w:cs="Times New Roman"/>
          <w:szCs w:val="28"/>
        </w:rPr>
      </w:pPr>
    </w:p>
    <w:p w14:paraId="64E5A26B" w14:textId="77777777" w:rsidR="00BD7B29" w:rsidRPr="000B352A" w:rsidRDefault="00BD7B29" w:rsidP="000B352A">
      <w:pPr>
        <w:rPr>
          <w:rFonts w:cs="Times New Roman"/>
          <w:szCs w:val="28"/>
        </w:rPr>
      </w:pPr>
      <w:r w:rsidRPr="000B352A">
        <w:rPr>
          <w:rFonts w:cs="Times New Roman"/>
          <w:szCs w:val="28"/>
        </w:rPr>
        <w:t>Como ciudadanos en ejercicio, Iván Rodrigo Sánchez Pineda y Paola Katherine Tatiana Garzón Montes intervinieron en el proceso para solicitar a la Corte la declaratoria de INEXEQUIBILIDAD de las normas demandadas. Basan su escrito en lo siguiente:</w:t>
      </w:r>
    </w:p>
    <w:p w14:paraId="64E5A26C" w14:textId="77777777" w:rsidR="00BD7B29" w:rsidRPr="000B352A" w:rsidRDefault="00BD7B29" w:rsidP="000B352A">
      <w:pPr>
        <w:rPr>
          <w:rFonts w:cs="Times New Roman"/>
          <w:szCs w:val="28"/>
        </w:rPr>
      </w:pPr>
    </w:p>
    <w:p w14:paraId="64E5A26D" w14:textId="77777777" w:rsidR="00BD7B29" w:rsidRPr="000B352A" w:rsidRDefault="00BD7B29" w:rsidP="000B352A">
      <w:pPr>
        <w:rPr>
          <w:rFonts w:cs="Times New Roman"/>
          <w:szCs w:val="28"/>
        </w:rPr>
      </w:pPr>
      <w:r w:rsidRPr="000B352A">
        <w:rPr>
          <w:rFonts w:cs="Times New Roman"/>
          <w:szCs w:val="28"/>
        </w:rPr>
        <w:t xml:space="preserve">5.1. Frente al derecho a la intimidad consagrado en el artículo 15 de la Constitución Política señalaron que </w:t>
      </w:r>
      <w:r w:rsidR="00F5145B" w:rsidRPr="000B352A">
        <w:rPr>
          <w:rFonts w:cs="Times New Roman"/>
          <w:szCs w:val="28"/>
        </w:rPr>
        <w:t xml:space="preserve">las normas demandadas, </w:t>
      </w:r>
      <w:r w:rsidRPr="000B352A">
        <w:rPr>
          <w:rFonts w:cs="Times New Roman"/>
          <w:szCs w:val="28"/>
        </w:rPr>
        <w:t>al establecer la posibilidad de publicar listas de incumplidos en pago de expensas y los motivos de sanciones no pecuniarias, son normas que vulneran dicha garantía.</w:t>
      </w:r>
    </w:p>
    <w:p w14:paraId="64E5A26E" w14:textId="77777777" w:rsidR="00BD7B29" w:rsidRPr="000B352A" w:rsidRDefault="00BD7B29" w:rsidP="000B352A">
      <w:pPr>
        <w:rPr>
          <w:rFonts w:cs="Times New Roman"/>
          <w:szCs w:val="28"/>
        </w:rPr>
      </w:pPr>
    </w:p>
    <w:p w14:paraId="64E5A26F" w14:textId="77777777" w:rsidR="00BD7B29" w:rsidRPr="000B352A" w:rsidRDefault="00BD7B29" w:rsidP="000B352A">
      <w:pPr>
        <w:rPr>
          <w:rFonts w:cs="Times New Roman"/>
          <w:i/>
          <w:szCs w:val="28"/>
        </w:rPr>
      </w:pPr>
      <w:r w:rsidRPr="000B352A">
        <w:rPr>
          <w:rFonts w:cs="Times New Roman"/>
          <w:szCs w:val="28"/>
        </w:rPr>
        <w:t xml:space="preserve">Los preceptos demandados </w:t>
      </w:r>
      <w:r w:rsidRPr="000B352A">
        <w:rPr>
          <w:rFonts w:cs="Times New Roman"/>
          <w:i/>
          <w:szCs w:val="28"/>
        </w:rPr>
        <w:t xml:space="preserve">“no solo tienen la potencialidad de exponer al escarnio público la situación económica de los residentes o copropietarios de una edificación, sino que además pueden generar con mayor grado de acierto una invasión en la órbita en la vida privada de los mismos”. </w:t>
      </w:r>
    </w:p>
    <w:p w14:paraId="64E5A270" w14:textId="77777777" w:rsidR="00BD7B29" w:rsidRPr="000B352A" w:rsidRDefault="00BD7B29" w:rsidP="000B352A">
      <w:pPr>
        <w:rPr>
          <w:rFonts w:cs="Times New Roman"/>
          <w:szCs w:val="28"/>
        </w:rPr>
      </w:pPr>
    </w:p>
    <w:p w14:paraId="64E5A271" w14:textId="77777777" w:rsidR="00BD7B29" w:rsidRPr="000B352A" w:rsidRDefault="00BD7B29" w:rsidP="000B352A">
      <w:pPr>
        <w:rPr>
          <w:rFonts w:cs="Times New Roman"/>
          <w:i/>
          <w:szCs w:val="28"/>
        </w:rPr>
      </w:pPr>
      <w:r w:rsidRPr="000B352A">
        <w:rPr>
          <w:rFonts w:cs="Times New Roman"/>
          <w:szCs w:val="28"/>
        </w:rPr>
        <w:t xml:space="preserve">Trajeron a colación el artículo 3º de la Ley 675 de 2001 respecto de reglamento de propiedad, el cual puede entenderse como un </w:t>
      </w:r>
      <w:r w:rsidRPr="000B352A">
        <w:rPr>
          <w:rFonts w:cs="Times New Roman"/>
          <w:i/>
          <w:szCs w:val="28"/>
        </w:rPr>
        <w:t xml:space="preserve">“contrato colectivo o de adhesión”. </w:t>
      </w:r>
      <w:r w:rsidRPr="000B352A">
        <w:rPr>
          <w:rFonts w:cs="Times New Roman"/>
          <w:szCs w:val="28"/>
        </w:rPr>
        <w:t xml:space="preserve">El artículo 60 menciona el procedimiento y la autoridad interina competente para sancionar, el cual es la asamblea general o el consejo de administración de estar así estipulado. De lo anterior concluyen que el sancionado tiene todo el derecho de conocer la información que será publicada </w:t>
      </w:r>
      <w:r w:rsidRPr="000B352A">
        <w:rPr>
          <w:rFonts w:cs="Times New Roman"/>
          <w:i/>
          <w:szCs w:val="28"/>
        </w:rPr>
        <w:t>“bajo el agotamiento del respectivo procedimiento administrativo que culmine en la sanción correspondiente”.</w:t>
      </w:r>
    </w:p>
    <w:p w14:paraId="64E5A272" w14:textId="77777777" w:rsidR="00BD7B29" w:rsidRPr="000B352A" w:rsidRDefault="00BD7B29" w:rsidP="000B352A">
      <w:pPr>
        <w:rPr>
          <w:rFonts w:cs="Times New Roman"/>
          <w:szCs w:val="28"/>
        </w:rPr>
      </w:pPr>
    </w:p>
    <w:p w14:paraId="64E5A273" w14:textId="77777777" w:rsidR="00BD7B29" w:rsidRPr="000B352A" w:rsidRDefault="00BD7B29" w:rsidP="000B352A">
      <w:pPr>
        <w:rPr>
          <w:rFonts w:cs="Times New Roman"/>
          <w:i/>
          <w:szCs w:val="28"/>
        </w:rPr>
      </w:pPr>
      <w:r w:rsidRPr="000B352A">
        <w:rPr>
          <w:rFonts w:cs="Times New Roman"/>
          <w:szCs w:val="28"/>
        </w:rPr>
        <w:t>Específicamente, frente al artículo 30 acusado consideran que, de acuerdo con lo señalado por la jurisprudencia constitucional, la información relacionada con la situación financiera debe ser considerada como semiprivada, por lo tanto, para efectos de su divulgación</w:t>
      </w:r>
      <w:r w:rsidRPr="000B352A">
        <w:rPr>
          <w:rFonts w:cs="Times New Roman"/>
          <w:i/>
          <w:szCs w:val="28"/>
        </w:rPr>
        <w:t xml:space="preserve"> </w:t>
      </w:r>
      <w:r w:rsidR="00F5145B" w:rsidRPr="000B352A">
        <w:rPr>
          <w:rFonts w:cs="Times New Roman"/>
          <w:szCs w:val="28"/>
        </w:rPr>
        <w:t>es necesario que</w:t>
      </w:r>
      <w:r w:rsidR="00524D15" w:rsidRPr="000B352A">
        <w:rPr>
          <w:rFonts w:cs="Times New Roman"/>
          <w:szCs w:val="28"/>
        </w:rPr>
        <w:t xml:space="preserve"> </w:t>
      </w:r>
      <w:r w:rsidRPr="000B352A">
        <w:rPr>
          <w:rFonts w:cs="Times New Roman"/>
          <w:i/>
          <w:szCs w:val="28"/>
        </w:rPr>
        <w:t>“se adelante el debido proceso, el cual debe estar íntegramente determinado en el reglamento de propiedad horizontal y dentro del cual deben ser tenidas en consideración las normas en materia de Habeas Data y de intimidad vigentes”.</w:t>
      </w:r>
    </w:p>
    <w:p w14:paraId="64E5A274" w14:textId="77777777" w:rsidR="00BD7B29" w:rsidRPr="000B352A" w:rsidRDefault="00BD7B29" w:rsidP="000B352A">
      <w:pPr>
        <w:rPr>
          <w:rFonts w:cs="Times New Roman"/>
          <w:szCs w:val="28"/>
        </w:rPr>
      </w:pPr>
    </w:p>
    <w:p w14:paraId="64E5A275" w14:textId="77777777" w:rsidR="00BD7B29" w:rsidRPr="000B352A" w:rsidRDefault="00BD7B29" w:rsidP="000B352A">
      <w:pPr>
        <w:rPr>
          <w:rFonts w:cs="Times New Roman"/>
          <w:i/>
          <w:szCs w:val="28"/>
        </w:rPr>
      </w:pPr>
      <w:r w:rsidRPr="000B352A">
        <w:rPr>
          <w:rFonts w:cs="Times New Roman"/>
          <w:szCs w:val="28"/>
        </w:rPr>
        <w:t>No obstante, señalan que el referido aparte legal puede resultar violatorio del derecho a la intimidad ya que</w:t>
      </w:r>
      <w:r w:rsidR="00EB5D74" w:rsidRPr="000B352A">
        <w:rPr>
          <w:rFonts w:cs="Times New Roman"/>
          <w:szCs w:val="28"/>
        </w:rPr>
        <w:t>,</w:t>
      </w:r>
      <w:r w:rsidRPr="000B352A">
        <w:rPr>
          <w:rFonts w:cs="Times New Roman"/>
          <w:szCs w:val="28"/>
        </w:rPr>
        <w:t xml:space="preserve"> aunque la ley y el contrato colectivo prevea la sanción, esta invade la órbita personal, familiar e interpersonal de los copropietarios </w:t>
      </w:r>
      <w:r w:rsidRPr="000B352A">
        <w:rPr>
          <w:rFonts w:cs="Times New Roman"/>
          <w:i/>
          <w:szCs w:val="28"/>
        </w:rPr>
        <w:t>“máxime cuando la exposición de tal información está protegida por el derecho de habeas data”.</w:t>
      </w:r>
    </w:p>
    <w:p w14:paraId="64E5A276" w14:textId="77777777" w:rsidR="00BD7B29" w:rsidRPr="000B352A" w:rsidRDefault="00BD7B29" w:rsidP="000B352A">
      <w:pPr>
        <w:rPr>
          <w:rFonts w:cs="Times New Roman"/>
          <w:szCs w:val="28"/>
        </w:rPr>
      </w:pPr>
    </w:p>
    <w:p w14:paraId="64E5A277" w14:textId="77777777" w:rsidR="00BD7B29" w:rsidRPr="000B352A" w:rsidRDefault="00BD7B29" w:rsidP="000B352A">
      <w:pPr>
        <w:rPr>
          <w:rFonts w:cs="Times New Roman"/>
          <w:szCs w:val="28"/>
        </w:rPr>
      </w:pPr>
      <w:r w:rsidRPr="000B352A">
        <w:rPr>
          <w:rFonts w:cs="Times New Roman"/>
          <w:szCs w:val="28"/>
        </w:rPr>
        <w:t xml:space="preserve">Ahora, frente del artículo 59 de la Ley 675 de 2001 que prevé la sanción no pecuniaria, indican que este es </w:t>
      </w:r>
      <w:r w:rsidRPr="000B352A">
        <w:rPr>
          <w:rFonts w:cs="Times New Roman"/>
          <w:b/>
          <w:szCs w:val="28"/>
        </w:rPr>
        <w:t>“</w:t>
      </w:r>
      <w:r w:rsidRPr="000B352A">
        <w:rPr>
          <w:rFonts w:cs="Times New Roman"/>
          <w:szCs w:val="28"/>
        </w:rPr>
        <w:t>una clara violación al derecho a la intimidad respecto al hecho de publicar el fundamento que dio origen a la sanción impuesta” pues debe entenderse que la propiedad privada supone el ejercicio de la vida íntima de las personas sin la exposición de conductas al interior de esta a la comunidad.</w:t>
      </w:r>
    </w:p>
    <w:p w14:paraId="64E5A278" w14:textId="77777777" w:rsidR="00BD7B29" w:rsidRPr="000B352A" w:rsidRDefault="00BD7B29" w:rsidP="000B352A">
      <w:pPr>
        <w:rPr>
          <w:rFonts w:cs="Times New Roman"/>
          <w:szCs w:val="28"/>
        </w:rPr>
      </w:pPr>
    </w:p>
    <w:p w14:paraId="64E5A279" w14:textId="77777777" w:rsidR="00BD7B29" w:rsidRPr="000B352A" w:rsidRDefault="00BD7B29" w:rsidP="000B352A">
      <w:pPr>
        <w:rPr>
          <w:rFonts w:cs="Times New Roman"/>
          <w:szCs w:val="28"/>
        </w:rPr>
      </w:pPr>
      <w:r w:rsidRPr="000B352A">
        <w:rPr>
          <w:rFonts w:cs="Times New Roman"/>
          <w:szCs w:val="28"/>
        </w:rPr>
        <w:t xml:space="preserve">Indican que esta sanción </w:t>
      </w:r>
      <w:r w:rsidRPr="000B352A">
        <w:rPr>
          <w:rFonts w:cs="Times New Roman"/>
          <w:i/>
          <w:szCs w:val="28"/>
        </w:rPr>
        <w:t xml:space="preserve">“resulta totalmente violatoria al derecho a la intimidad” </w:t>
      </w:r>
      <w:r w:rsidRPr="000B352A">
        <w:rPr>
          <w:rFonts w:cs="Times New Roman"/>
          <w:szCs w:val="28"/>
        </w:rPr>
        <w:t>pues no indica las conductas que pueden ser publicadas, es decir, los reglamentos o manuales de convivencia pueden incluir cualquier clase de conducta, incluso las que se refieran a la vida íntima de las personas sin los límites que suponen normas de rango superior. Señalan que el apartado demandado es excesivo frente a la finalidad que busca pues la misma ley contiene otra clase de sanciones que no suponen el escarnio público.</w:t>
      </w:r>
    </w:p>
    <w:p w14:paraId="64E5A27A" w14:textId="77777777" w:rsidR="00BD7B29" w:rsidRPr="000B352A" w:rsidRDefault="00BD7B29" w:rsidP="000B352A">
      <w:pPr>
        <w:rPr>
          <w:rFonts w:cs="Times New Roman"/>
          <w:szCs w:val="28"/>
        </w:rPr>
      </w:pPr>
    </w:p>
    <w:p w14:paraId="64E5A27B" w14:textId="77777777" w:rsidR="00BD7B29" w:rsidRPr="000B352A" w:rsidRDefault="00BD7B29" w:rsidP="000B352A">
      <w:pPr>
        <w:rPr>
          <w:rFonts w:cs="Times New Roman"/>
          <w:i/>
          <w:szCs w:val="28"/>
        </w:rPr>
      </w:pPr>
      <w:r w:rsidRPr="000B352A">
        <w:rPr>
          <w:rFonts w:cs="Times New Roman"/>
          <w:szCs w:val="28"/>
        </w:rPr>
        <w:t>Sostienen que la norma permite interponer una sanción “</w:t>
      </w:r>
      <w:r w:rsidRPr="000B352A">
        <w:rPr>
          <w:rFonts w:cs="Times New Roman"/>
          <w:i/>
          <w:szCs w:val="28"/>
        </w:rPr>
        <w:t>partiendo de la veracidad de una conducta, lo cual genera una afectación al buen nombre de copropietario sancionado (sic), sin lugar a la respectiva contradicción”.</w:t>
      </w:r>
    </w:p>
    <w:p w14:paraId="64E5A27C" w14:textId="77777777" w:rsidR="00BD7B29" w:rsidRPr="000B352A" w:rsidRDefault="00BD7B29" w:rsidP="000B352A">
      <w:pPr>
        <w:rPr>
          <w:rFonts w:cs="Times New Roman"/>
          <w:szCs w:val="28"/>
        </w:rPr>
      </w:pPr>
    </w:p>
    <w:p w14:paraId="64E5A27D" w14:textId="77777777" w:rsidR="00BD7B29" w:rsidRPr="000B352A" w:rsidRDefault="00BD7B29" w:rsidP="000B352A">
      <w:pPr>
        <w:rPr>
          <w:rFonts w:cs="Times New Roman"/>
          <w:i/>
          <w:szCs w:val="28"/>
        </w:rPr>
      </w:pPr>
      <w:r w:rsidRPr="000B352A">
        <w:rPr>
          <w:rFonts w:cs="Times New Roman"/>
          <w:szCs w:val="28"/>
        </w:rPr>
        <w:t xml:space="preserve">Concluyen esta primera exposición señalando que la normativa aunque pretende sancionar conductas que violan el reglamento de propiedad horizontal, </w:t>
      </w:r>
      <w:r w:rsidRPr="000B352A">
        <w:rPr>
          <w:rFonts w:cs="Times New Roman"/>
          <w:i/>
          <w:szCs w:val="28"/>
        </w:rPr>
        <w:t>“esta debe encuadrarse dentro de los límites del derecho a la intimidad, por lo que su imposición, presupone el agotamiento de un procedimiento y solo en caso de que el copropietario no subsane su incumplimiento o incurra reiterativamente en dicha conducta, habrá lugar a la publicación de la sanción”</w:t>
      </w:r>
      <w:r w:rsidRPr="000B352A">
        <w:rPr>
          <w:rFonts w:cs="Times New Roman"/>
          <w:szCs w:val="28"/>
        </w:rPr>
        <w:t xml:space="preserve"> siempre y cuando se cuente con su consentimiento previo de divulgación de su información, “</w:t>
      </w:r>
      <w:r w:rsidRPr="000B352A">
        <w:rPr>
          <w:rFonts w:cs="Times New Roman"/>
          <w:i/>
          <w:szCs w:val="28"/>
        </w:rPr>
        <w:t>tal y como lo dispone el derecho al hábeas data”.</w:t>
      </w:r>
    </w:p>
    <w:p w14:paraId="64E5A27E" w14:textId="77777777" w:rsidR="00BD7B29" w:rsidRPr="000B352A" w:rsidRDefault="00BD7B29" w:rsidP="000B352A">
      <w:pPr>
        <w:rPr>
          <w:rFonts w:cs="Times New Roman"/>
          <w:szCs w:val="28"/>
        </w:rPr>
      </w:pPr>
    </w:p>
    <w:p w14:paraId="64E5A27F" w14:textId="77777777" w:rsidR="00BD7B29" w:rsidRPr="000B352A" w:rsidRDefault="00BD7B29" w:rsidP="000B352A">
      <w:pPr>
        <w:rPr>
          <w:rFonts w:cs="Times New Roman"/>
          <w:szCs w:val="28"/>
        </w:rPr>
      </w:pPr>
      <w:r w:rsidRPr="000B352A">
        <w:rPr>
          <w:rFonts w:cs="Times New Roman"/>
          <w:szCs w:val="28"/>
        </w:rPr>
        <w:t xml:space="preserve">Adicionalmente, consideraron que es posible declarar la exequibilidad condicionada </w:t>
      </w:r>
      <w:r w:rsidRPr="000B352A">
        <w:rPr>
          <w:rFonts w:cs="Times New Roman"/>
          <w:i/>
          <w:szCs w:val="28"/>
        </w:rPr>
        <w:t>“bajo el supuesto de que en el proceso sancionatorio que se inicie contra un propietario, se especifiquen las conductas objeto de publicación en lo que corresponde al artículo 59, y por su parte, garantice que al momento de imponer la correspondiente sanción pecuniaria y no pecuniaria, se cumpla el debido proceso”</w:t>
      </w:r>
      <w:r w:rsidRPr="000B352A">
        <w:rPr>
          <w:rFonts w:cs="Times New Roman"/>
          <w:szCs w:val="28"/>
        </w:rPr>
        <w:t xml:space="preserve"> y solo si no se subsana el incumplimiento o hay reiteración de la conducta habrá lugar a la publicación de la sanción.</w:t>
      </w:r>
    </w:p>
    <w:p w14:paraId="64E5A280" w14:textId="77777777" w:rsidR="00BD7B29" w:rsidRPr="000B352A" w:rsidRDefault="00BD7B29" w:rsidP="000B352A">
      <w:pPr>
        <w:rPr>
          <w:rFonts w:cs="Times New Roman"/>
          <w:szCs w:val="28"/>
        </w:rPr>
      </w:pPr>
    </w:p>
    <w:p w14:paraId="64E5A281" w14:textId="77777777" w:rsidR="00BD7B29" w:rsidRPr="000B352A" w:rsidRDefault="00BD7B29" w:rsidP="000B352A">
      <w:pPr>
        <w:rPr>
          <w:rFonts w:cs="Times New Roman"/>
          <w:szCs w:val="28"/>
        </w:rPr>
      </w:pPr>
      <w:r w:rsidRPr="000B352A">
        <w:rPr>
          <w:rFonts w:cs="Times New Roman"/>
          <w:szCs w:val="28"/>
        </w:rPr>
        <w:t xml:space="preserve">5.2. Señalaron que la aplicación de las sanciones pecuniarias y no pecuniarias previstas en la Ley 675 de 2001 </w:t>
      </w:r>
      <w:r w:rsidRPr="000B352A">
        <w:rPr>
          <w:rFonts w:cs="Times New Roman"/>
          <w:i/>
          <w:szCs w:val="28"/>
        </w:rPr>
        <w:t>“implica la revelación de datos e información que a la postre no se ha obtenido la autorización por parte de su titular y que, por contera, puede implicar una violación a dicho derecho”.</w:t>
      </w:r>
    </w:p>
    <w:p w14:paraId="64E5A282" w14:textId="77777777" w:rsidR="00BD7B29" w:rsidRPr="000B352A" w:rsidRDefault="00BD7B29" w:rsidP="000B352A">
      <w:pPr>
        <w:rPr>
          <w:rFonts w:cs="Times New Roman"/>
          <w:szCs w:val="28"/>
        </w:rPr>
      </w:pPr>
    </w:p>
    <w:p w14:paraId="64E5A283" w14:textId="77777777" w:rsidR="00BD7B29" w:rsidRPr="000B352A" w:rsidRDefault="00BD7B29" w:rsidP="000B352A">
      <w:pPr>
        <w:rPr>
          <w:rFonts w:cs="Times New Roman"/>
          <w:szCs w:val="28"/>
        </w:rPr>
      </w:pPr>
      <w:r w:rsidRPr="000B352A">
        <w:rPr>
          <w:rFonts w:cs="Times New Roman"/>
          <w:szCs w:val="28"/>
        </w:rPr>
        <w:t>Manifestaron que el artículo 30 demandado</w:t>
      </w:r>
      <w:r w:rsidR="00F5145B" w:rsidRPr="000B352A">
        <w:rPr>
          <w:rFonts w:cs="Times New Roman"/>
          <w:szCs w:val="28"/>
        </w:rPr>
        <w:t>,</w:t>
      </w:r>
      <w:r w:rsidRPr="000B352A">
        <w:rPr>
          <w:rFonts w:cs="Times New Roman"/>
          <w:szCs w:val="28"/>
        </w:rPr>
        <w:t xml:space="preserve"> que consagra sanciones pecuniarias debido a</w:t>
      </w:r>
      <w:r w:rsidR="00F5145B" w:rsidRPr="000B352A">
        <w:rPr>
          <w:rFonts w:cs="Times New Roman"/>
          <w:szCs w:val="28"/>
        </w:rPr>
        <w:t>l incumplimiento de</w:t>
      </w:r>
      <w:r w:rsidRPr="000B352A">
        <w:rPr>
          <w:rFonts w:cs="Times New Roman"/>
          <w:szCs w:val="28"/>
        </w:rPr>
        <w:t xml:space="preserve"> la obligación de responder por compromisos con la copropiedad y que </w:t>
      </w:r>
      <w:r w:rsidR="0091136B" w:rsidRPr="000B352A">
        <w:rPr>
          <w:rFonts w:cs="Times New Roman"/>
          <w:szCs w:val="28"/>
        </w:rPr>
        <w:t>autoriza a</w:t>
      </w:r>
      <w:r w:rsidRPr="000B352A">
        <w:rPr>
          <w:rFonts w:cs="Times New Roman"/>
          <w:szCs w:val="28"/>
        </w:rPr>
        <w:t xml:space="preserve"> publicar </w:t>
      </w:r>
      <w:r w:rsidR="0091136B" w:rsidRPr="000B352A">
        <w:rPr>
          <w:rFonts w:cs="Times New Roman"/>
          <w:szCs w:val="28"/>
        </w:rPr>
        <w:t>estos</w:t>
      </w:r>
      <w:r w:rsidRPr="000B352A">
        <w:rPr>
          <w:rFonts w:cs="Times New Roman"/>
          <w:szCs w:val="28"/>
        </w:rPr>
        <w:t xml:space="preserve"> datos, </w:t>
      </w:r>
      <w:r w:rsidRPr="000B352A">
        <w:rPr>
          <w:rFonts w:cs="Times New Roman"/>
          <w:i/>
          <w:szCs w:val="28"/>
        </w:rPr>
        <w:t>“obvia señalar que la autorización que se requiere es calificada y especial en tanto el titular de la información (copropietario) debe consentir de manera previa, expreso (sic) e informada, sobre la publicación de sus datos en la copropiedad sobre la mora en el cumplimiento de sus obligaciones”</w:t>
      </w:r>
      <w:r w:rsidRPr="000B352A">
        <w:rPr>
          <w:rFonts w:cs="Times New Roman"/>
          <w:szCs w:val="28"/>
        </w:rPr>
        <w:t>. Por lo tanto, señalaron que el mismo resulta inconstitucional al omitir el derecho del titular de otorgar consentimiento sobre la información recogida en bases de datos de la copropiedad y que será divulgada. La autorización de divulgación debe ser previa, expresa e informada.</w:t>
      </w:r>
    </w:p>
    <w:p w14:paraId="64E5A284" w14:textId="77777777" w:rsidR="00BD7B29" w:rsidRPr="000B352A" w:rsidRDefault="00BD7B29" w:rsidP="000B352A">
      <w:pPr>
        <w:rPr>
          <w:rFonts w:cs="Times New Roman"/>
          <w:szCs w:val="28"/>
        </w:rPr>
      </w:pPr>
    </w:p>
    <w:p w14:paraId="64E5A285" w14:textId="77777777" w:rsidR="00BD7B29" w:rsidRPr="000B352A" w:rsidRDefault="00BD7B29" w:rsidP="000B352A">
      <w:pPr>
        <w:rPr>
          <w:rFonts w:cs="Times New Roman"/>
          <w:i/>
          <w:szCs w:val="28"/>
        </w:rPr>
      </w:pPr>
      <w:r w:rsidRPr="000B352A">
        <w:rPr>
          <w:rFonts w:cs="Times New Roman"/>
          <w:szCs w:val="28"/>
        </w:rPr>
        <w:t>Comentaron que “</w:t>
      </w:r>
      <w:r w:rsidRPr="000B352A">
        <w:rPr>
          <w:rFonts w:cs="Times New Roman"/>
          <w:i/>
          <w:szCs w:val="28"/>
        </w:rPr>
        <w:t>la norma demandada por ser anterior al régimen de protección de datos vigente está en claro desapego a lo señalado y contenido en la ley 1581 de 2012 y en evidente violación a los principios de libertad, trasparencia, acceso y circulación restringida, seguridad y confidencialidad previstos en la mentada ley de datos”.</w:t>
      </w:r>
    </w:p>
    <w:p w14:paraId="64E5A286" w14:textId="77777777" w:rsidR="00BD7B29" w:rsidRPr="000B352A" w:rsidRDefault="00BD7B29" w:rsidP="000B352A">
      <w:pPr>
        <w:rPr>
          <w:rFonts w:cs="Times New Roman"/>
          <w:szCs w:val="28"/>
        </w:rPr>
      </w:pPr>
    </w:p>
    <w:p w14:paraId="64E5A287" w14:textId="77777777" w:rsidR="00BD7B29" w:rsidRPr="000B352A" w:rsidRDefault="00BD7B29" w:rsidP="000B352A">
      <w:pPr>
        <w:rPr>
          <w:rFonts w:cs="Times New Roman"/>
          <w:i/>
          <w:szCs w:val="28"/>
        </w:rPr>
      </w:pPr>
      <w:r w:rsidRPr="000B352A">
        <w:rPr>
          <w:rFonts w:cs="Times New Roman"/>
          <w:szCs w:val="28"/>
        </w:rPr>
        <w:t xml:space="preserve">En el caso del artículo 59 de la Ley 675 de 2001 sostuvieron que tal </w:t>
      </w:r>
      <w:r w:rsidRPr="000B352A">
        <w:rPr>
          <w:rFonts w:cs="Times New Roman"/>
          <w:i/>
          <w:szCs w:val="28"/>
        </w:rPr>
        <w:t xml:space="preserve">norma “está condenada a padecer el mismo camino que el referido artículo 30” </w:t>
      </w:r>
      <w:r w:rsidRPr="000B352A">
        <w:rPr>
          <w:rFonts w:cs="Times New Roman"/>
          <w:szCs w:val="28"/>
        </w:rPr>
        <w:t xml:space="preserve">dado que </w:t>
      </w:r>
      <w:r w:rsidRPr="000B352A">
        <w:rPr>
          <w:rFonts w:cs="Times New Roman"/>
          <w:i/>
          <w:szCs w:val="28"/>
        </w:rPr>
        <w:t xml:space="preserve">“obvia el derecho del titular de la información de conocer y otorgar de manera previa su consentimiento sobre la información que se recoge en bases de datos de la copropiedad y que será objeto de divulgación”. </w:t>
      </w:r>
    </w:p>
    <w:p w14:paraId="64E5A288" w14:textId="77777777" w:rsidR="00BD7B29" w:rsidRPr="000B352A" w:rsidRDefault="00BD7B29" w:rsidP="000B352A">
      <w:pPr>
        <w:rPr>
          <w:rFonts w:cs="Times New Roman"/>
          <w:szCs w:val="28"/>
        </w:rPr>
      </w:pPr>
    </w:p>
    <w:p w14:paraId="64E5A289" w14:textId="77777777" w:rsidR="00BD7B29" w:rsidRPr="000B352A" w:rsidRDefault="00BD7B29" w:rsidP="000B352A">
      <w:pPr>
        <w:rPr>
          <w:rFonts w:cs="Times New Roman"/>
          <w:i/>
          <w:szCs w:val="28"/>
        </w:rPr>
      </w:pPr>
      <w:r w:rsidRPr="000B352A">
        <w:rPr>
          <w:rFonts w:cs="Times New Roman"/>
          <w:szCs w:val="28"/>
        </w:rPr>
        <w:t>De igual manera indicaron que aquella norma “</w:t>
      </w:r>
      <w:r w:rsidRPr="000B352A">
        <w:rPr>
          <w:rFonts w:cs="Times New Roman"/>
          <w:i/>
          <w:szCs w:val="28"/>
        </w:rPr>
        <w:t>por ser anterior al régimen de protección de datos vigente está en claro desapego a lo señalado y contenido en la ley 1581 de 2012, y en evidente violación a los principios de libertad, trasparencia, acceso y circulación restringida, seguridad y confidencialidad previstos en la mentada ley de datos”.</w:t>
      </w:r>
    </w:p>
    <w:p w14:paraId="64E5A28A" w14:textId="77777777" w:rsidR="00BD7B29" w:rsidRPr="000B352A" w:rsidRDefault="00BD7B29" w:rsidP="000B352A">
      <w:pPr>
        <w:rPr>
          <w:rFonts w:cs="Times New Roman"/>
          <w:szCs w:val="28"/>
        </w:rPr>
      </w:pPr>
    </w:p>
    <w:p w14:paraId="64E5A28B" w14:textId="77777777" w:rsidR="00BD7B29" w:rsidRPr="000B352A" w:rsidRDefault="00BD7B29" w:rsidP="000B352A">
      <w:pPr>
        <w:rPr>
          <w:rFonts w:cs="Times New Roman"/>
          <w:i/>
          <w:szCs w:val="28"/>
        </w:rPr>
      </w:pPr>
      <w:r w:rsidRPr="000B352A">
        <w:rPr>
          <w:rFonts w:cs="Times New Roman"/>
          <w:szCs w:val="28"/>
        </w:rPr>
        <w:t xml:space="preserve">Se anotó finalmente que puede declararse la exequibilidad condicionada de las normas en comento </w:t>
      </w:r>
      <w:r w:rsidRPr="000B352A">
        <w:rPr>
          <w:rFonts w:cs="Times New Roman"/>
          <w:i/>
          <w:szCs w:val="28"/>
        </w:rPr>
        <w:t>“bajo el supuesto de que en el proceso sancionatorio que se inicie contra un propietario, se garantice que al momento de imponer la correspondiente sanción se cumpla con la garantía fundamental del Habeas Data y otorgue su consentimiento sobre las sanciones que serán impuestas; o incluso se tenga por otorgado el consentimiento en aquellos procesos sancionatorios dado su consentimiento de pertenecer a la copropiedad”.</w:t>
      </w:r>
    </w:p>
    <w:p w14:paraId="64E5A28C" w14:textId="77777777" w:rsidR="00BD7B29" w:rsidRPr="000B352A" w:rsidRDefault="00BD7B29" w:rsidP="000B352A">
      <w:pPr>
        <w:rPr>
          <w:rFonts w:cs="Times New Roman"/>
          <w:b/>
          <w:szCs w:val="28"/>
        </w:rPr>
      </w:pPr>
    </w:p>
    <w:p w14:paraId="64E5A28D" w14:textId="77777777" w:rsidR="00BD7B29" w:rsidRPr="000B352A" w:rsidRDefault="00BD7B29" w:rsidP="000B352A">
      <w:pPr>
        <w:rPr>
          <w:rFonts w:cs="Times New Roman"/>
          <w:b/>
          <w:szCs w:val="28"/>
          <w:lang w:val="es-ES"/>
        </w:rPr>
      </w:pPr>
      <w:r w:rsidRPr="000B352A">
        <w:rPr>
          <w:rFonts w:cs="Times New Roman"/>
          <w:b/>
          <w:szCs w:val="28"/>
          <w:lang w:val="es-ES"/>
        </w:rPr>
        <w:t>V. CONCEPTO DEL MINISTERIO PÚBLICO</w:t>
      </w:r>
    </w:p>
    <w:p w14:paraId="64E5A28E" w14:textId="77777777" w:rsidR="00BD7B29" w:rsidRPr="000B352A" w:rsidRDefault="00BD7B29" w:rsidP="000B352A">
      <w:pPr>
        <w:rPr>
          <w:rFonts w:cs="Times New Roman"/>
          <w:b/>
          <w:szCs w:val="28"/>
          <w:lang w:val="es-ES"/>
        </w:rPr>
      </w:pPr>
    </w:p>
    <w:p w14:paraId="64E5A28F" w14:textId="77777777" w:rsidR="00BD7B29" w:rsidRPr="000B352A" w:rsidRDefault="00BD7B29" w:rsidP="000B352A">
      <w:pPr>
        <w:pStyle w:val="Textoindependiente"/>
        <w:tabs>
          <w:tab w:val="left" w:pos="709"/>
        </w:tabs>
        <w:spacing w:after="0"/>
        <w:ind w:right="49"/>
        <w:rPr>
          <w:rFonts w:cs="Times New Roman"/>
          <w:szCs w:val="28"/>
        </w:rPr>
      </w:pPr>
      <w:r w:rsidRPr="000B352A">
        <w:rPr>
          <w:rFonts w:cs="Times New Roman"/>
          <w:szCs w:val="28"/>
        </w:rPr>
        <w:t>El Procurador General de la Nación, Fernando Carrillo Flórez, solicitó a la Corte declarar la exequibilidad de los apartes legales demandados.</w:t>
      </w:r>
    </w:p>
    <w:p w14:paraId="64E5A290" w14:textId="77777777" w:rsidR="00BD7B29" w:rsidRPr="000B352A" w:rsidRDefault="00BD7B29" w:rsidP="000B352A">
      <w:pPr>
        <w:rPr>
          <w:rFonts w:cs="Times New Roman"/>
          <w:szCs w:val="28"/>
        </w:rPr>
      </w:pPr>
    </w:p>
    <w:p w14:paraId="64E5A291" w14:textId="77777777" w:rsidR="00BD7B29" w:rsidRPr="000B352A" w:rsidRDefault="00BD7B29" w:rsidP="000B352A">
      <w:pPr>
        <w:rPr>
          <w:rFonts w:cs="Times New Roman"/>
          <w:i/>
          <w:szCs w:val="28"/>
        </w:rPr>
      </w:pPr>
      <w:r w:rsidRPr="000B352A">
        <w:rPr>
          <w:rFonts w:cs="Times New Roman"/>
          <w:szCs w:val="28"/>
        </w:rPr>
        <w:t xml:space="preserve">En apoyo de su solicitud el Ministerio Público resalta la relevancia que para la solución del problema tiene la Sentencia C-738 de 2002; providencia esta que declaró la exequibilidad de la sanción de que trata el numeral 1º del artículo 59 de la Ley 675 de 2001 en cuanto negó que </w:t>
      </w:r>
      <w:r w:rsidR="00BE2ABC" w:rsidRPr="000B352A">
        <w:rPr>
          <w:rFonts w:cs="Times New Roman"/>
          <w:szCs w:val="28"/>
        </w:rPr>
        <w:t>con esta se</w:t>
      </w:r>
      <w:r w:rsidRPr="000B352A">
        <w:rPr>
          <w:rFonts w:cs="Times New Roman"/>
          <w:szCs w:val="28"/>
        </w:rPr>
        <w:t xml:space="preserve"> violara el derecho a la intimidad. En tal sentido, el Procurador sostiene que </w:t>
      </w:r>
      <w:r w:rsidRPr="000B352A">
        <w:rPr>
          <w:rFonts w:cs="Times New Roman"/>
          <w:i/>
          <w:szCs w:val="28"/>
        </w:rPr>
        <w:t>“la sanci</w:t>
      </w:r>
      <w:r w:rsidR="00D51DA6" w:rsidRPr="000B352A">
        <w:rPr>
          <w:rFonts w:cs="Times New Roman"/>
          <w:i/>
          <w:szCs w:val="28"/>
        </w:rPr>
        <w:t xml:space="preserve">ón prevista en las normas censuradas, por incumplimiento de las obligaciones pecuniarias y no pecuniarias, recae sobre actos de los residentes que a pesar de contener información privada se exterioriza públicamente por su impacto </w:t>
      </w:r>
      <w:r w:rsidR="004F1C27" w:rsidRPr="000B352A">
        <w:rPr>
          <w:rFonts w:cs="Times New Roman"/>
          <w:i/>
          <w:szCs w:val="28"/>
        </w:rPr>
        <w:t>en la comunidad, y por tratarse de una regulación especial (…) tiene como finalidad constitucional la e garantizar la seguridad y convivencia pacífica en los inmuebles sometidos a ella, así como materializar la función social de la propiedad”</w:t>
      </w:r>
    </w:p>
    <w:p w14:paraId="64E5A292" w14:textId="77777777" w:rsidR="00BD7B29" w:rsidRPr="000B352A" w:rsidRDefault="00BD7B29" w:rsidP="000B352A">
      <w:pPr>
        <w:rPr>
          <w:rFonts w:cs="Times New Roman"/>
          <w:szCs w:val="28"/>
        </w:rPr>
      </w:pPr>
    </w:p>
    <w:p w14:paraId="64E5A293" w14:textId="77777777" w:rsidR="00BD7B29" w:rsidRPr="000B352A" w:rsidRDefault="00BD7B29" w:rsidP="000B352A">
      <w:pPr>
        <w:rPr>
          <w:rFonts w:cs="Times New Roman"/>
          <w:szCs w:val="28"/>
        </w:rPr>
      </w:pPr>
      <w:r w:rsidRPr="000B352A">
        <w:rPr>
          <w:rFonts w:cs="Times New Roman"/>
          <w:szCs w:val="28"/>
        </w:rPr>
        <w:t xml:space="preserve">Prosigue la vista fiscal sosteniendo que el derecho al habeas data no se ve violentado toda vez que, como el </w:t>
      </w:r>
      <w:r w:rsidRPr="000B352A">
        <w:rPr>
          <w:rFonts w:cs="Times New Roman"/>
          <w:i/>
          <w:szCs w:val="28"/>
        </w:rPr>
        <w:t>“propietario acepta que la copropiedad administre algunos datos de carácter personal, con el propósito de preservar la seguridad, la convivencia y el correcto uso de los bienes comunes</w:t>
      </w:r>
      <w:r w:rsidR="004F1C27" w:rsidRPr="000B352A">
        <w:rPr>
          <w:rFonts w:cs="Times New Roman"/>
          <w:i/>
          <w:szCs w:val="28"/>
        </w:rPr>
        <w:t xml:space="preserve">; razón por la cual </w:t>
      </w:r>
      <w:r w:rsidRPr="000B352A">
        <w:rPr>
          <w:rFonts w:cs="Times New Roman"/>
          <w:i/>
          <w:szCs w:val="28"/>
        </w:rPr>
        <w:t>no se requiere una autorización posterior del titular para efectos de publicar sus datos en caso de incumplimiento de obligaciones pecuniarias o no pecuniarias</w:t>
      </w:r>
      <w:r w:rsidRPr="000B352A">
        <w:rPr>
          <w:rFonts w:cs="Times New Roman"/>
          <w:szCs w:val="28"/>
        </w:rPr>
        <w:t>”; situación que considera como compatible con los principios de finalidad y libertad que orientan la administración de datos personales. Además, manifiesta que la publicación de las sanciones en lugares donde no exista tránsito constante de visitantes es razonable en tanto las dificultades que el incumplimiento de obligaciones genere a la propiedad horizontal es materia de incumbencia para los residentes y el infractor.</w:t>
      </w:r>
    </w:p>
    <w:p w14:paraId="64E5A294" w14:textId="77777777" w:rsidR="00BD7B29" w:rsidRPr="000B352A" w:rsidRDefault="00BD7B29" w:rsidP="000B352A">
      <w:pPr>
        <w:rPr>
          <w:rFonts w:cs="Times New Roman"/>
          <w:szCs w:val="28"/>
        </w:rPr>
      </w:pPr>
    </w:p>
    <w:p w14:paraId="64E5A295" w14:textId="77777777" w:rsidR="002C10AB" w:rsidRPr="000B352A" w:rsidRDefault="00BD7B29" w:rsidP="000B352A">
      <w:pPr>
        <w:rPr>
          <w:rFonts w:cs="Times New Roman"/>
          <w:szCs w:val="28"/>
        </w:rPr>
      </w:pPr>
      <w:r w:rsidRPr="000B352A">
        <w:rPr>
          <w:rFonts w:cs="Times New Roman"/>
          <w:szCs w:val="28"/>
        </w:rPr>
        <w:t>El Ministerio Público finaliza su intervención indicando que las normas demandadas</w:t>
      </w:r>
      <w:r w:rsidR="004F1C27" w:rsidRPr="000B352A">
        <w:rPr>
          <w:rFonts w:cs="Times New Roman"/>
          <w:szCs w:val="28"/>
        </w:rPr>
        <w:t xml:space="preserve"> no</w:t>
      </w:r>
      <w:r w:rsidRPr="000B352A">
        <w:rPr>
          <w:rFonts w:cs="Times New Roman"/>
          <w:szCs w:val="28"/>
        </w:rPr>
        <w:t xml:space="preserve"> deben ser objeto de un test estricto de proporcionalidad </w:t>
      </w:r>
      <w:r w:rsidR="004F1C27" w:rsidRPr="000B352A">
        <w:rPr>
          <w:rFonts w:cs="Times New Roman"/>
          <w:i/>
          <w:szCs w:val="28"/>
        </w:rPr>
        <w:t>“pues (…) se trata de medidas que buscan el cumplimiento de normas</w:t>
      </w:r>
      <w:r w:rsidR="002C10AB" w:rsidRPr="000B352A">
        <w:rPr>
          <w:rFonts w:cs="Times New Roman"/>
          <w:i/>
          <w:szCs w:val="28"/>
        </w:rPr>
        <w:t xml:space="preserve"> de convivencia que tienen relación con el interés común, motivo por el cual no se analiza una medida que contenga una afectación grave a un derecho fundamental, ni de un privilegio (…) fundado en una de las categorías prohibidas por la Constitución”</w:t>
      </w:r>
      <w:r w:rsidRPr="000B352A">
        <w:rPr>
          <w:rFonts w:cs="Times New Roman"/>
          <w:szCs w:val="28"/>
        </w:rPr>
        <w:t>.</w:t>
      </w:r>
    </w:p>
    <w:p w14:paraId="64E5A296" w14:textId="77777777" w:rsidR="002C10AB" w:rsidRPr="000B352A" w:rsidRDefault="002C10AB" w:rsidP="000B352A">
      <w:pPr>
        <w:rPr>
          <w:rFonts w:cs="Times New Roman"/>
          <w:szCs w:val="28"/>
        </w:rPr>
      </w:pPr>
    </w:p>
    <w:p w14:paraId="64E5A297" w14:textId="77777777" w:rsidR="00BD7B29" w:rsidRPr="000B352A" w:rsidRDefault="00BD7B29" w:rsidP="000B352A">
      <w:pPr>
        <w:rPr>
          <w:rFonts w:cs="Times New Roman"/>
          <w:i/>
          <w:szCs w:val="28"/>
        </w:rPr>
      </w:pPr>
      <w:r w:rsidRPr="000B352A">
        <w:rPr>
          <w:rFonts w:cs="Times New Roman"/>
          <w:szCs w:val="28"/>
        </w:rPr>
        <w:t>Indica</w:t>
      </w:r>
      <w:r w:rsidR="00524D15" w:rsidRPr="000B352A">
        <w:rPr>
          <w:rFonts w:cs="Times New Roman"/>
          <w:szCs w:val="28"/>
        </w:rPr>
        <w:t>,</w:t>
      </w:r>
      <w:r w:rsidR="002C10AB" w:rsidRPr="000B352A">
        <w:rPr>
          <w:rFonts w:cs="Times New Roman"/>
          <w:szCs w:val="28"/>
        </w:rPr>
        <w:t xml:space="preserve"> finalmente</w:t>
      </w:r>
      <w:r w:rsidR="00524D15" w:rsidRPr="000B352A">
        <w:rPr>
          <w:rFonts w:cs="Times New Roman"/>
          <w:szCs w:val="28"/>
        </w:rPr>
        <w:t>,</w:t>
      </w:r>
      <w:r w:rsidRPr="000B352A">
        <w:rPr>
          <w:rFonts w:cs="Times New Roman"/>
          <w:szCs w:val="28"/>
        </w:rPr>
        <w:t xml:space="preserve"> que la publicación de la información relativa al incumplimiento de</w:t>
      </w:r>
      <w:r w:rsidR="002C10AB" w:rsidRPr="000B352A">
        <w:rPr>
          <w:rFonts w:cs="Times New Roman"/>
          <w:szCs w:val="28"/>
        </w:rPr>
        <w:t xml:space="preserve"> las</w:t>
      </w:r>
      <w:r w:rsidRPr="000B352A">
        <w:rPr>
          <w:rFonts w:cs="Times New Roman"/>
          <w:szCs w:val="28"/>
        </w:rPr>
        <w:t xml:space="preserve"> obligaciones</w:t>
      </w:r>
      <w:r w:rsidR="002C10AB" w:rsidRPr="000B352A">
        <w:rPr>
          <w:rFonts w:cs="Times New Roman"/>
          <w:szCs w:val="28"/>
        </w:rPr>
        <w:t xml:space="preserve"> pecuniarias y no pecuniarias</w:t>
      </w:r>
      <w:r w:rsidRPr="000B352A">
        <w:rPr>
          <w:rFonts w:cs="Times New Roman"/>
          <w:szCs w:val="28"/>
        </w:rPr>
        <w:t xml:space="preserve"> </w:t>
      </w:r>
      <w:r w:rsidR="002C10AB" w:rsidRPr="000B352A">
        <w:rPr>
          <w:rFonts w:cs="Times New Roman"/>
          <w:szCs w:val="28"/>
        </w:rPr>
        <w:t xml:space="preserve">de que tratan las normas </w:t>
      </w:r>
      <w:r w:rsidR="00524D15" w:rsidRPr="000B352A">
        <w:rPr>
          <w:rFonts w:cs="Times New Roman"/>
          <w:szCs w:val="28"/>
        </w:rPr>
        <w:t>acusadas</w:t>
      </w:r>
      <w:r w:rsidR="002C10AB" w:rsidRPr="000B352A">
        <w:rPr>
          <w:rFonts w:cs="Times New Roman"/>
          <w:szCs w:val="28"/>
        </w:rPr>
        <w:t xml:space="preserve"> es un medio idóneo que</w:t>
      </w:r>
      <w:r w:rsidR="00E9091E" w:rsidRPr="000B352A">
        <w:rPr>
          <w:rFonts w:cs="Times New Roman"/>
          <w:szCs w:val="28"/>
        </w:rPr>
        <w:t xml:space="preserve"> </w:t>
      </w:r>
      <w:r w:rsidRPr="000B352A">
        <w:rPr>
          <w:rFonts w:cs="Times New Roman"/>
          <w:i/>
          <w:szCs w:val="28"/>
        </w:rPr>
        <w:t>“acude a la persuasión como un medio menos gravoso para el cobro de la obligación vencida”</w:t>
      </w:r>
      <w:r w:rsidRPr="000B352A">
        <w:rPr>
          <w:rFonts w:cs="Times New Roman"/>
          <w:szCs w:val="28"/>
        </w:rPr>
        <w:t xml:space="preserve"> pues el adelantamiento de un proceso judicial en contra del deudor sería mayormente gravoso tanto para este, como para la copropiedad.</w:t>
      </w:r>
    </w:p>
    <w:p w14:paraId="64E5A298" w14:textId="77777777" w:rsidR="00DD6692" w:rsidRPr="000B352A" w:rsidRDefault="00DD6692" w:rsidP="000B352A">
      <w:pPr>
        <w:pStyle w:val="Textoindependiente"/>
        <w:tabs>
          <w:tab w:val="left" w:pos="709"/>
        </w:tabs>
        <w:spacing w:after="0"/>
        <w:ind w:right="49"/>
        <w:rPr>
          <w:rStyle w:val="FontStyle327"/>
          <w:rFonts w:eastAsiaTheme="minorEastAsia"/>
          <w:kern w:val="0"/>
          <w:sz w:val="28"/>
          <w:szCs w:val="28"/>
          <w:lang w:eastAsia="es-ES_tradnl" w:bidi="ar-SA"/>
        </w:rPr>
      </w:pPr>
    </w:p>
    <w:p w14:paraId="64E5A299" w14:textId="77777777" w:rsidR="00DD6692" w:rsidRPr="000B352A" w:rsidRDefault="00DD6692" w:rsidP="000B352A">
      <w:pPr>
        <w:rPr>
          <w:rFonts w:cs="Times New Roman"/>
          <w:b/>
          <w:szCs w:val="28"/>
        </w:rPr>
      </w:pPr>
      <w:r w:rsidRPr="000B352A">
        <w:rPr>
          <w:rFonts w:cs="Times New Roman"/>
          <w:b/>
          <w:szCs w:val="28"/>
        </w:rPr>
        <w:t>VI. CONSIDERACIONES Y FUNDAMENTOS</w:t>
      </w:r>
    </w:p>
    <w:p w14:paraId="64E5A29A" w14:textId="77777777" w:rsidR="00DD6692" w:rsidRPr="000B352A" w:rsidRDefault="00DD6692" w:rsidP="000B352A">
      <w:pPr>
        <w:rPr>
          <w:rFonts w:cs="Times New Roman"/>
          <w:b/>
          <w:szCs w:val="28"/>
        </w:rPr>
      </w:pPr>
    </w:p>
    <w:p w14:paraId="64E5A29B" w14:textId="77777777" w:rsidR="00DD6692" w:rsidRPr="000B352A" w:rsidRDefault="00DD6692" w:rsidP="000B352A">
      <w:pPr>
        <w:rPr>
          <w:rFonts w:cs="Times New Roman"/>
          <w:b/>
          <w:szCs w:val="28"/>
        </w:rPr>
      </w:pPr>
      <w:r w:rsidRPr="000B352A">
        <w:rPr>
          <w:rFonts w:cs="Times New Roman"/>
          <w:b/>
          <w:szCs w:val="28"/>
        </w:rPr>
        <w:t>1. Competencia</w:t>
      </w:r>
    </w:p>
    <w:p w14:paraId="64E5A29C" w14:textId="77777777" w:rsidR="00DD6692" w:rsidRPr="000B352A" w:rsidRDefault="00DD6692" w:rsidP="000B352A">
      <w:pPr>
        <w:rPr>
          <w:rFonts w:cs="Times New Roman"/>
          <w:szCs w:val="28"/>
        </w:rPr>
      </w:pPr>
    </w:p>
    <w:p w14:paraId="64E5A29D" w14:textId="77777777" w:rsidR="00DD6692" w:rsidRPr="000B352A" w:rsidRDefault="00DD6692" w:rsidP="000B352A">
      <w:pPr>
        <w:rPr>
          <w:rFonts w:cs="Times New Roman"/>
          <w:szCs w:val="28"/>
        </w:rPr>
      </w:pPr>
      <w:r w:rsidRPr="000B352A">
        <w:rPr>
          <w:rFonts w:cs="Times New Roman"/>
          <w:szCs w:val="28"/>
        </w:rPr>
        <w:t>La Corte Constitucional es competente, de conformidad con lo dispuesto en el numeral 5º del artículo 241 de la Constitución, para pronunciarse sobre la demanda de inconstitucionalidad presentada.</w:t>
      </w:r>
    </w:p>
    <w:p w14:paraId="64E5A29E" w14:textId="77777777" w:rsidR="00DD6692" w:rsidRPr="000B352A" w:rsidRDefault="00DD6692" w:rsidP="000B352A">
      <w:pPr>
        <w:rPr>
          <w:rFonts w:cs="Times New Roman"/>
          <w:b/>
          <w:szCs w:val="28"/>
        </w:rPr>
      </w:pPr>
    </w:p>
    <w:p w14:paraId="64E5A29F" w14:textId="77777777" w:rsidR="00DD6692" w:rsidRPr="000B352A" w:rsidRDefault="00DD6692" w:rsidP="000B352A">
      <w:pPr>
        <w:ind w:right="49"/>
        <w:rPr>
          <w:rFonts w:cs="Times New Roman"/>
          <w:b/>
          <w:szCs w:val="28"/>
        </w:rPr>
      </w:pPr>
      <w:r w:rsidRPr="000B352A">
        <w:rPr>
          <w:rFonts w:cs="Times New Roman"/>
          <w:b/>
          <w:szCs w:val="28"/>
        </w:rPr>
        <w:t>2. Problema</w:t>
      </w:r>
      <w:r w:rsidR="00F536AA" w:rsidRPr="000B352A">
        <w:rPr>
          <w:rFonts w:cs="Times New Roman"/>
          <w:b/>
          <w:szCs w:val="28"/>
        </w:rPr>
        <w:t>s</w:t>
      </w:r>
      <w:r w:rsidRPr="000B352A">
        <w:rPr>
          <w:rFonts w:cs="Times New Roman"/>
          <w:b/>
          <w:szCs w:val="28"/>
        </w:rPr>
        <w:t xml:space="preserve"> jurídico</w:t>
      </w:r>
      <w:r w:rsidR="00F536AA" w:rsidRPr="000B352A">
        <w:rPr>
          <w:rFonts w:cs="Times New Roman"/>
          <w:b/>
          <w:szCs w:val="28"/>
        </w:rPr>
        <w:t>s</w:t>
      </w:r>
    </w:p>
    <w:p w14:paraId="64E5A2A0" w14:textId="77777777" w:rsidR="00DD6692" w:rsidRPr="000B352A" w:rsidRDefault="00DD6692" w:rsidP="000B352A">
      <w:pPr>
        <w:ind w:right="49"/>
        <w:rPr>
          <w:rFonts w:cs="Times New Roman"/>
          <w:szCs w:val="28"/>
        </w:rPr>
      </w:pPr>
    </w:p>
    <w:p w14:paraId="64E5A2A1" w14:textId="77777777" w:rsidR="008E3C5E" w:rsidRPr="000B352A" w:rsidRDefault="00867CE1" w:rsidP="000B352A">
      <w:pPr>
        <w:ind w:right="49"/>
        <w:rPr>
          <w:rFonts w:cs="Times New Roman"/>
          <w:szCs w:val="28"/>
        </w:rPr>
      </w:pPr>
      <w:r w:rsidRPr="000B352A">
        <w:rPr>
          <w:rFonts w:cs="Times New Roman"/>
          <w:szCs w:val="28"/>
        </w:rPr>
        <w:t>M</w:t>
      </w:r>
      <w:r w:rsidR="008E3C5E" w:rsidRPr="000B352A">
        <w:rPr>
          <w:rFonts w:cs="Times New Roman"/>
          <w:szCs w:val="28"/>
        </w:rPr>
        <w:t xml:space="preserve">ediante Auto del 07 de noviembre de 2018 la magistrada </w:t>
      </w:r>
      <w:r w:rsidR="0043046A" w:rsidRPr="000B352A">
        <w:rPr>
          <w:rFonts w:cs="Times New Roman"/>
          <w:szCs w:val="28"/>
        </w:rPr>
        <w:t>ponente</w:t>
      </w:r>
      <w:r w:rsidR="008E3C5E" w:rsidRPr="000B352A">
        <w:rPr>
          <w:rFonts w:cs="Times New Roman"/>
          <w:szCs w:val="28"/>
        </w:rPr>
        <w:t xml:space="preserve"> admitió los tres cargos presentados contra el </w:t>
      </w:r>
      <w:r w:rsidRPr="000B352A">
        <w:rPr>
          <w:rFonts w:cs="Times New Roman"/>
          <w:szCs w:val="28"/>
        </w:rPr>
        <w:t>inciso</w:t>
      </w:r>
      <w:r w:rsidR="008E3C5E" w:rsidRPr="000B352A">
        <w:rPr>
          <w:rFonts w:cs="Times New Roman"/>
          <w:szCs w:val="28"/>
        </w:rPr>
        <w:t xml:space="preserve"> 2º del artículo 30 de la Ley 675 de 2001</w:t>
      </w:r>
      <w:r w:rsidRPr="000B352A">
        <w:rPr>
          <w:rFonts w:cs="Times New Roman"/>
          <w:szCs w:val="28"/>
        </w:rPr>
        <w:t xml:space="preserve">. Posteriormente, </w:t>
      </w:r>
      <w:r w:rsidR="008E3C5E" w:rsidRPr="000B352A">
        <w:rPr>
          <w:rFonts w:cs="Times New Roman"/>
          <w:szCs w:val="28"/>
        </w:rPr>
        <w:t>mediante Auto del 21 de enero de 2019</w:t>
      </w:r>
      <w:r w:rsidRPr="000B352A">
        <w:rPr>
          <w:rFonts w:cs="Times New Roman"/>
          <w:szCs w:val="28"/>
        </w:rPr>
        <w:t xml:space="preserve"> y</w:t>
      </w:r>
      <w:r w:rsidR="008E3C5E" w:rsidRPr="000B352A">
        <w:rPr>
          <w:rFonts w:cs="Times New Roman"/>
          <w:szCs w:val="28"/>
        </w:rPr>
        <w:t xml:space="preserve"> sin perjuicio de la admisión atrás referida, dicha magistrada admitió los cargos presentados contra el numeral 1º del artículo 59 de la ley en cita</w:t>
      </w:r>
      <w:r w:rsidRPr="000B352A">
        <w:rPr>
          <w:rFonts w:cs="Times New Roman"/>
          <w:szCs w:val="28"/>
        </w:rPr>
        <w:t>,</w:t>
      </w:r>
      <w:r w:rsidR="008E3C5E" w:rsidRPr="000B352A">
        <w:rPr>
          <w:rFonts w:cs="Times New Roman"/>
          <w:szCs w:val="28"/>
        </w:rPr>
        <w:t xml:space="preserve"> pero únicamente respecto de aquellos en que se denunció la violación de los derechos al habeas data y al principio de proporcionalidad</w:t>
      </w:r>
      <w:r w:rsidRPr="000B352A">
        <w:rPr>
          <w:rFonts w:cs="Times New Roman"/>
          <w:szCs w:val="28"/>
        </w:rPr>
        <w:t>. Así las cosas,</w:t>
      </w:r>
      <w:r w:rsidR="008E3C5E" w:rsidRPr="000B352A">
        <w:rPr>
          <w:rFonts w:cs="Times New Roman"/>
          <w:szCs w:val="28"/>
        </w:rPr>
        <w:t xml:space="preserve"> la Corte considera que debe dar respuesta a</w:t>
      </w:r>
      <w:r w:rsidR="00D14E9B" w:rsidRPr="000B352A">
        <w:rPr>
          <w:rFonts w:cs="Times New Roman"/>
          <w:szCs w:val="28"/>
        </w:rPr>
        <w:t xml:space="preserve"> </w:t>
      </w:r>
      <w:r w:rsidR="00304DF6" w:rsidRPr="000B352A">
        <w:rPr>
          <w:rFonts w:cs="Times New Roman"/>
          <w:szCs w:val="28"/>
        </w:rPr>
        <w:t>l</w:t>
      </w:r>
      <w:r w:rsidR="00D14E9B" w:rsidRPr="000B352A">
        <w:rPr>
          <w:rFonts w:cs="Times New Roman"/>
          <w:szCs w:val="28"/>
        </w:rPr>
        <w:t>os</w:t>
      </w:r>
      <w:r w:rsidR="008E3C5E" w:rsidRPr="000B352A">
        <w:rPr>
          <w:rFonts w:cs="Times New Roman"/>
          <w:szCs w:val="28"/>
        </w:rPr>
        <w:t xml:space="preserve"> siguiente</w:t>
      </w:r>
      <w:r w:rsidR="00D14E9B" w:rsidRPr="000B352A">
        <w:rPr>
          <w:rFonts w:cs="Times New Roman"/>
          <w:szCs w:val="28"/>
        </w:rPr>
        <w:t>s</w:t>
      </w:r>
      <w:r w:rsidR="008E3C5E" w:rsidRPr="000B352A">
        <w:rPr>
          <w:rFonts w:cs="Times New Roman"/>
          <w:szCs w:val="28"/>
        </w:rPr>
        <w:t xml:space="preserve"> problema</w:t>
      </w:r>
      <w:r w:rsidR="00D14E9B" w:rsidRPr="000B352A">
        <w:rPr>
          <w:rFonts w:cs="Times New Roman"/>
          <w:szCs w:val="28"/>
        </w:rPr>
        <w:t>s</w:t>
      </w:r>
      <w:r w:rsidR="008E3C5E" w:rsidRPr="000B352A">
        <w:rPr>
          <w:rFonts w:cs="Times New Roman"/>
          <w:szCs w:val="28"/>
        </w:rPr>
        <w:t xml:space="preserve"> jurídico</w:t>
      </w:r>
      <w:r w:rsidR="00D14E9B" w:rsidRPr="000B352A">
        <w:rPr>
          <w:rFonts w:cs="Times New Roman"/>
          <w:szCs w:val="28"/>
        </w:rPr>
        <w:t>s</w:t>
      </w:r>
      <w:r w:rsidR="008E3C5E" w:rsidRPr="000B352A">
        <w:rPr>
          <w:rFonts w:cs="Times New Roman"/>
          <w:szCs w:val="28"/>
        </w:rPr>
        <w:t>:</w:t>
      </w:r>
    </w:p>
    <w:p w14:paraId="64E5A2A2" w14:textId="77777777" w:rsidR="00D14E9B" w:rsidRPr="000B352A" w:rsidRDefault="00D14E9B" w:rsidP="000B352A">
      <w:pPr>
        <w:ind w:right="618"/>
        <w:rPr>
          <w:rFonts w:cs="Times New Roman"/>
          <w:szCs w:val="28"/>
        </w:rPr>
      </w:pPr>
    </w:p>
    <w:p w14:paraId="64E5A2A3" w14:textId="77777777" w:rsidR="00DD6692" w:rsidRPr="000B352A" w:rsidRDefault="00D14E9B" w:rsidP="000B352A">
      <w:pPr>
        <w:ind w:right="49"/>
        <w:rPr>
          <w:rFonts w:cs="Times New Roman"/>
          <w:szCs w:val="28"/>
        </w:rPr>
      </w:pPr>
      <w:r w:rsidRPr="000B352A">
        <w:rPr>
          <w:rFonts w:cs="Times New Roman"/>
          <w:szCs w:val="28"/>
        </w:rPr>
        <w:t xml:space="preserve">2.1. </w:t>
      </w:r>
      <w:r w:rsidR="00DD6692" w:rsidRPr="000B352A">
        <w:rPr>
          <w:rFonts w:cs="Times New Roman"/>
          <w:szCs w:val="28"/>
        </w:rPr>
        <w:t>¿</w:t>
      </w:r>
      <w:r w:rsidR="00304DF6" w:rsidRPr="000B352A">
        <w:rPr>
          <w:rFonts w:cs="Times New Roman"/>
          <w:szCs w:val="28"/>
        </w:rPr>
        <w:t xml:space="preserve">Puede el Legislador facultar a las propiedades horizontales para publicar la infracción por incumplimiento de las obligaciones pecuniarias inherentes al pago de expensas comunes </w:t>
      </w:r>
      <w:r w:rsidR="00867CE1" w:rsidRPr="000B352A">
        <w:rPr>
          <w:rFonts w:cs="Times New Roman"/>
          <w:szCs w:val="28"/>
        </w:rPr>
        <w:t xml:space="preserve">(Ley 675 de 2001, artículo 30, inciso 2º) </w:t>
      </w:r>
      <w:r w:rsidR="00304DF6" w:rsidRPr="000B352A">
        <w:rPr>
          <w:rFonts w:cs="Times New Roman"/>
          <w:szCs w:val="28"/>
        </w:rPr>
        <w:t xml:space="preserve">sin infringir </w:t>
      </w:r>
      <w:r w:rsidR="00764070" w:rsidRPr="000B352A">
        <w:rPr>
          <w:rFonts w:cs="Times New Roman"/>
          <w:szCs w:val="28"/>
        </w:rPr>
        <w:t>los</w:t>
      </w:r>
      <w:r w:rsidR="00304DF6" w:rsidRPr="000B352A">
        <w:rPr>
          <w:rFonts w:cs="Times New Roman"/>
          <w:szCs w:val="28"/>
        </w:rPr>
        <w:t xml:space="preserve"> derecho</w:t>
      </w:r>
      <w:r w:rsidR="00764070" w:rsidRPr="000B352A">
        <w:rPr>
          <w:rFonts w:cs="Times New Roman"/>
          <w:szCs w:val="28"/>
        </w:rPr>
        <w:t>s</w:t>
      </w:r>
      <w:r w:rsidR="00304DF6" w:rsidRPr="000B352A">
        <w:rPr>
          <w:rFonts w:cs="Times New Roman"/>
          <w:szCs w:val="28"/>
        </w:rPr>
        <w:t xml:space="preserve"> a la intimidad, al habeas data y al principio de proporcionalidad?</w:t>
      </w:r>
    </w:p>
    <w:p w14:paraId="64E5A2A4" w14:textId="77777777" w:rsidR="00764070" w:rsidRPr="000B352A" w:rsidRDefault="00764070" w:rsidP="000B352A">
      <w:pPr>
        <w:ind w:right="618"/>
        <w:rPr>
          <w:rFonts w:cs="Times New Roman"/>
          <w:szCs w:val="28"/>
        </w:rPr>
      </w:pPr>
    </w:p>
    <w:p w14:paraId="64E5A2A5" w14:textId="77777777" w:rsidR="00764070" w:rsidRPr="000B352A" w:rsidRDefault="00764070" w:rsidP="000B352A">
      <w:pPr>
        <w:ind w:right="49"/>
        <w:rPr>
          <w:rFonts w:cs="Times New Roman"/>
          <w:szCs w:val="28"/>
        </w:rPr>
      </w:pPr>
      <w:r w:rsidRPr="000B352A">
        <w:rPr>
          <w:rFonts w:cs="Times New Roman"/>
          <w:szCs w:val="28"/>
        </w:rPr>
        <w:t xml:space="preserve">2.2. ¿Puede el Legislador facultar a las propiedades horizontales para publicar la infracción por incumplimiento de las obligaciones no pecuniarias </w:t>
      </w:r>
      <w:r w:rsidR="00867CE1" w:rsidRPr="000B352A">
        <w:rPr>
          <w:rFonts w:cs="Times New Roman"/>
          <w:szCs w:val="28"/>
        </w:rPr>
        <w:t xml:space="preserve">(Ley 675 de 2001, artículo 59, numeral 1º) </w:t>
      </w:r>
      <w:r w:rsidRPr="000B352A">
        <w:rPr>
          <w:rFonts w:cs="Times New Roman"/>
          <w:szCs w:val="28"/>
        </w:rPr>
        <w:t>sin infringir el derecho al habeas data y al principio de proporcionalidad?</w:t>
      </w:r>
    </w:p>
    <w:p w14:paraId="64E5A2A6" w14:textId="77777777" w:rsidR="00F536AA" w:rsidRPr="000B352A" w:rsidRDefault="00F536AA" w:rsidP="000B352A">
      <w:pPr>
        <w:overflowPunct w:val="0"/>
        <w:autoSpaceDE w:val="0"/>
        <w:autoSpaceDN w:val="0"/>
        <w:adjustRightInd w:val="0"/>
        <w:ind w:right="49"/>
        <w:rPr>
          <w:rFonts w:cs="Times New Roman"/>
          <w:szCs w:val="28"/>
        </w:rPr>
      </w:pPr>
    </w:p>
    <w:p w14:paraId="64E5A2A7" w14:textId="77777777" w:rsidR="00F536AA" w:rsidRPr="000B352A" w:rsidRDefault="00F536AA" w:rsidP="000B352A">
      <w:pPr>
        <w:pStyle w:val="Prrafodelista"/>
        <w:numPr>
          <w:ilvl w:val="0"/>
          <w:numId w:val="9"/>
        </w:numPr>
        <w:overflowPunct w:val="0"/>
        <w:autoSpaceDE w:val="0"/>
        <w:autoSpaceDN w:val="0"/>
        <w:adjustRightInd w:val="0"/>
        <w:ind w:left="426" w:right="49" w:hanging="426"/>
        <w:rPr>
          <w:rFonts w:cs="Times New Roman"/>
          <w:b/>
          <w:szCs w:val="28"/>
        </w:rPr>
      </w:pPr>
      <w:r w:rsidRPr="000B352A">
        <w:rPr>
          <w:rFonts w:cs="Times New Roman"/>
          <w:b/>
          <w:szCs w:val="28"/>
        </w:rPr>
        <w:t>Plan del caso</w:t>
      </w:r>
    </w:p>
    <w:p w14:paraId="64E5A2A8" w14:textId="77777777" w:rsidR="00F536AA" w:rsidRPr="000B352A" w:rsidRDefault="00F536AA" w:rsidP="000B352A">
      <w:pPr>
        <w:pStyle w:val="Prrafodelista"/>
        <w:overflowPunct w:val="0"/>
        <w:autoSpaceDE w:val="0"/>
        <w:autoSpaceDN w:val="0"/>
        <w:adjustRightInd w:val="0"/>
        <w:ind w:left="0" w:right="49"/>
        <w:rPr>
          <w:rFonts w:cs="Times New Roman"/>
          <w:b/>
          <w:szCs w:val="28"/>
        </w:rPr>
      </w:pPr>
    </w:p>
    <w:p w14:paraId="64E5A2A9" w14:textId="77777777" w:rsidR="00F536AA" w:rsidRPr="000B352A" w:rsidRDefault="00F536AA" w:rsidP="000B352A">
      <w:pPr>
        <w:pStyle w:val="Prrafodelista"/>
        <w:overflowPunct w:val="0"/>
        <w:autoSpaceDE w:val="0"/>
        <w:autoSpaceDN w:val="0"/>
        <w:adjustRightInd w:val="0"/>
        <w:ind w:left="0" w:right="49"/>
        <w:rPr>
          <w:rFonts w:cs="Times New Roman"/>
          <w:szCs w:val="28"/>
        </w:rPr>
      </w:pPr>
      <w:r w:rsidRPr="000B352A">
        <w:rPr>
          <w:rFonts w:cs="Times New Roman"/>
          <w:szCs w:val="28"/>
        </w:rPr>
        <w:t xml:space="preserve">Para resolver la </w:t>
      </w:r>
      <w:r w:rsidR="00D5649C" w:rsidRPr="000B352A">
        <w:rPr>
          <w:rFonts w:cs="Times New Roman"/>
          <w:szCs w:val="28"/>
        </w:rPr>
        <w:t>acción pública</w:t>
      </w:r>
      <w:r w:rsidRPr="000B352A">
        <w:rPr>
          <w:rFonts w:cs="Times New Roman"/>
          <w:szCs w:val="28"/>
        </w:rPr>
        <w:t xml:space="preserve"> de la referencia, la Corte </w:t>
      </w:r>
      <w:r w:rsidR="0091136B" w:rsidRPr="000B352A">
        <w:rPr>
          <w:rFonts w:cs="Times New Roman"/>
          <w:szCs w:val="28"/>
        </w:rPr>
        <w:t xml:space="preserve">(i) </w:t>
      </w:r>
      <w:r w:rsidRPr="000B352A">
        <w:rPr>
          <w:rFonts w:cs="Times New Roman"/>
          <w:szCs w:val="28"/>
        </w:rPr>
        <w:t xml:space="preserve">comenzará por </w:t>
      </w:r>
      <w:r w:rsidR="00594F1D" w:rsidRPr="000B352A">
        <w:rPr>
          <w:rFonts w:cs="Times New Roman"/>
          <w:szCs w:val="28"/>
        </w:rPr>
        <w:t xml:space="preserve">referirse a </w:t>
      </w:r>
      <w:r w:rsidR="00D5649C" w:rsidRPr="000B352A">
        <w:rPr>
          <w:rFonts w:cs="Times New Roman"/>
          <w:szCs w:val="28"/>
        </w:rPr>
        <w:t>los antecedentes y al propósito de la Ley 675 de 2001</w:t>
      </w:r>
      <w:r w:rsidR="00DC0CF8" w:rsidRPr="000B352A">
        <w:rPr>
          <w:rFonts w:cs="Times New Roman"/>
          <w:szCs w:val="28"/>
        </w:rPr>
        <w:t>, por la cual se expidió el régimen de propiedad horizontal</w:t>
      </w:r>
      <w:r w:rsidR="004F7AC4" w:rsidRPr="000B352A">
        <w:rPr>
          <w:rFonts w:cs="Times New Roman"/>
          <w:szCs w:val="28"/>
        </w:rPr>
        <w:t xml:space="preserve">. </w:t>
      </w:r>
      <w:r w:rsidR="00D5649C" w:rsidRPr="000B352A">
        <w:rPr>
          <w:rFonts w:cs="Times New Roman"/>
          <w:szCs w:val="28"/>
        </w:rPr>
        <w:t>Posteriormente</w:t>
      </w:r>
      <w:r w:rsidR="002C10AB" w:rsidRPr="000B352A">
        <w:rPr>
          <w:rFonts w:cs="Times New Roman"/>
          <w:szCs w:val="28"/>
        </w:rPr>
        <w:t>, (ii)</w:t>
      </w:r>
      <w:r w:rsidR="0091136B" w:rsidRPr="000B352A">
        <w:rPr>
          <w:rFonts w:cs="Times New Roman"/>
          <w:szCs w:val="28"/>
        </w:rPr>
        <w:t xml:space="preserve"> </w:t>
      </w:r>
      <w:r w:rsidR="00D5649C" w:rsidRPr="000B352A">
        <w:rPr>
          <w:rFonts w:cs="Times New Roman"/>
          <w:szCs w:val="28"/>
        </w:rPr>
        <w:t xml:space="preserve">se pasará </w:t>
      </w:r>
      <w:r w:rsidR="0091136B" w:rsidRPr="000B352A">
        <w:rPr>
          <w:rFonts w:cs="Times New Roman"/>
          <w:szCs w:val="28"/>
        </w:rPr>
        <w:t xml:space="preserve">a estudiar </w:t>
      </w:r>
      <w:r w:rsidR="00D5649C" w:rsidRPr="000B352A">
        <w:rPr>
          <w:rFonts w:cs="Times New Roman"/>
          <w:szCs w:val="28"/>
        </w:rPr>
        <w:t xml:space="preserve">los tres cargos presentados </w:t>
      </w:r>
      <w:r w:rsidR="0091136B" w:rsidRPr="000B352A">
        <w:rPr>
          <w:rFonts w:cs="Times New Roman"/>
          <w:szCs w:val="28"/>
        </w:rPr>
        <w:t>contra los</w:t>
      </w:r>
      <w:r w:rsidR="00D5649C" w:rsidRPr="000B352A">
        <w:rPr>
          <w:rFonts w:cs="Times New Roman"/>
          <w:szCs w:val="28"/>
        </w:rPr>
        <w:t xml:space="preserve"> dos apartes legales impugnados</w:t>
      </w:r>
      <w:r w:rsidR="0091136B" w:rsidRPr="000B352A">
        <w:rPr>
          <w:rFonts w:cs="Times New Roman"/>
          <w:szCs w:val="28"/>
        </w:rPr>
        <w:t xml:space="preserve">. En desarrollo de </w:t>
      </w:r>
      <w:r w:rsidR="002C10AB" w:rsidRPr="000B352A">
        <w:rPr>
          <w:rFonts w:cs="Times New Roman"/>
          <w:szCs w:val="28"/>
        </w:rPr>
        <w:t>este punto</w:t>
      </w:r>
      <w:r w:rsidR="0091136B" w:rsidRPr="000B352A">
        <w:rPr>
          <w:rFonts w:cs="Times New Roman"/>
          <w:szCs w:val="28"/>
        </w:rPr>
        <w:t>, la Corte comenzará por analizar el cargo por violación al derecho a la intimidad</w:t>
      </w:r>
      <w:r w:rsidR="00E2603A" w:rsidRPr="000B352A">
        <w:rPr>
          <w:rFonts w:cs="Times New Roman"/>
          <w:szCs w:val="28"/>
        </w:rPr>
        <w:t>,</w:t>
      </w:r>
      <w:r w:rsidR="0091136B" w:rsidRPr="000B352A">
        <w:rPr>
          <w:rFonts w:cs="Times New Roman"/>
          <w:szCs w:val="28"/>
        </w:rPr>
        <w:t xml:space="preserve"> seguirá con la acusación por violación al habeas data y terminará con el cargo fundado en la violación al principio de proporcionalidad</w:t>
      </w:r>
      <w:r w:rsidR="00F06158" w:rsidRPr="000B352A">
        <w:rPr>
          <w:rFonts w:cs="Times New Roman"/>
          <w:szCs w:val="28"/>
        </w:rPr>
        <w:t xml:space="preserve">. </w:t>
      </w:r>
      <w:r w:rsidR="0091136B" w:rsidRPr="000B352A">
        <w:rPr>
          <w:rFonts w:cs="Times New Roman"/>
          <w:szCs w:val="28"/>
        </w:rPr>
        <w:t xml:space="preserve"> (iii) </w:t>
      </w:r>
      <w:r w:rsidR="00F136F3" w:rsidRPr="000B352A">
        <w:rPr>
          <w:rFonts w:cs="Times New Roman"/>
          <w:szCs w:val="28"/>
        </w:rPr>
        <w:t xml:space="preserve">Finalmente se sintetizará la respuesta de la Corte </w:t>
      </w:r>
      <w:r w:rsidR="00D5649C" w:rsidRPr="000B352A">
        <w:rPr>
          <w:rFonts w:cs="Times New Roman"/>
          <w:szCs w:val="28"/>
        </w:rPr>
        <w:t xml:space="preserve">frente de </w:t>
      </w:r>
      <w:r w:rsidR="00DC0CF8" w:rsidRPr="000B352A">
        <w:rPr>
          <w:rFonts w:cs="Times New Roman"/>
          <w:szCs w:val="28"/>
        </w:rPr>
        <w:t>cada uno de los problemas jurídicos atrás mencionados</w:t>
      </w:r>
      <w:r w:rsidR="00F136F3" w:rsidRPr="000B352A">
        <w:rPr>
          <w:rFonts w:cs="Times New Roman"/>
          <w:szCs w:val="28"/>
        </w:rPr>
        <w:t>.</w:t>
      </w:r>
    </w:p>
    <w:p w14:paraId="64E5A2AA" w14:textId="77777777" w:rsidR="00F06158" w:rsidRPr="000B352A" w:rsidRDefault="00F06158" w:rsidP="000B352A">
      <w:pPr>
        <w:overflowPunct w:val="0"/>
        <w:autoSpaceDE w:val="0"/>
        <w:autoSpaceDN w:val="0"/>
        <w:adjustRightInd w:val="0"/>
        <w:ind w:right="49"/>
        <w:rPr>
          <w:rFonts w:cs="Times New Roman"/>
          <w:b/>
          <w:szCs w:val="28"/>
          <w:highlight w:val="yellow"/>
        </w:rPr>
      </w:pPr>
    </w:p>
    <w:p w14:paraId="64E5A2AB" w14:textId="77777777" w:rsidR="00F06158" w:rsidRPr="000B352A" w:rsidRDefault="00F06158" w:rsidP="000B352A">
      <w:pPr>
        <w:overflowPunct w:val="0"/>
        <w:autoSpaceDE w:val="0"/>
        <w:autoSpaceDN w:val="0"/>
        <w:adjustRightInd w:val="0"/>
        <w:ind w:right="49"/>
        <w:rPr>
          <w:rFonts w:cs="Times New Roman"/>
          <w:b/>
          <w:kern w:val="2"/>
          <w:szCs w:val="28"/>
        </w:rPr>
      </w:pPr>
      <w:r w:rsidRPr="000B352A">
        <w:rPr>
          <w:rFonts w:cs="Times New Roman"/>
          <w:b/>
          <w:szCs w:val="28"/>
        </w:rPr>
        <w:t xml:space="preserve">VII. </w:t>
      </w:r>
      <w:r w:rsidRPr="000B352A">
        <w:rPr>
          <w:rFonts w:cs="Times New Roman"/>
          <w:b/>
          <w:kern w:val="2"/>
          <w:szCs w:val="28"/>
        </w:rPr>
        <w:t>FUNDAMENTOS DE LA DECISIÓN</w:t>
      </w:r>
    </w:p>
    <w:p w14:paraId="64E5A2AC" w14:textId="77777777" w:rsidR="00F06158" w:rsidRPr="000B352A" w:rsidRDefault="00F06158" w:rsidP="000B352A">
      <w:pPr>
        <w:overflowPunct w:val="0"/>
        <w:autoSpaceDE w:val="0"/>
        <w:autoSpaceDN w:val="0"/>
        <w:adjustRightInd w:val="0"/>
        <w:ind w:right="49"/>
        <w:rPr>
          <w:rFonts w:cs="Times New Roman"/>
          <w:b/>
          <w:szCs w:val="28"/>
          <w:highlight w:val="yellow"/>
        </w:rPr>
      </w:pPr>
    </w:p>
    <w:p w14:paraId="64E5A2AD" w14:textId="77777777" w:rsidR="00F06158" w:rsidRPr="000B352A" w:rsidRDefault="004F7D62" w:rsidP="000B352A">
      <w:pPr>
        <w:pStyle w:val="Prrafodelista"/>
        <w:numPr>
          <w:ilvl w:val="0"/>
          <w:numId w:val="3"/>
        </w:numPr>
        <w:overflowPunct w:val="0"/>
        <w:autoSpaceDE w:val="0"/>
        <w:autoSpaceDN w:val="0"/>
        <w:adjustRightInd w:val="0"/>
        <w:ind w:left="426" w:right="49" w:hanging="426"/>
        <w:rPr>
          <w:rFonts w:cs="Times New Roman"/>
          <w:b/>
          <w:smallCaps/>
          <w:kern w:val="28"/>
          <w:szCs w:val="28"/>
        </w:rPr>
      </w:pPr>
      <w:r w:rsidRPr="000B352A">
        <w:rPr>
          <w:rFonts w:cs="Times New Roman"/>
          <w:b/>
          <w:smallCaps/>
          <w:kern w:val="28"/>
          <w:szCs w:val="28"/>
        </w:rPr>
        <w:t xml:space="preserve">Antecedentes y </w:t>
      </w:r>
      <w:r w:rsidR="00493960" w:rsidRPr="000B352A">
        <w:rPr>
          <w:rFonts w:cs="Times New Roman"/>
          <w:b/>
          <w:smallCaps/>
          <w:kern w:val="28"/>
          <w:szCs w:val="28"/>
        </w:rPr>
        <w:t>propósito de la Ley 675 de 2001</w:t>
      </w:r>
    </w:p>
    <w:p w14:paraId="64E5A2AE" w14:textId="77777777" w:rsidR="004F7D62" w:rsidRPr="000B352A" w:rsidRDefault="004F7D62" w:rsidP="000B352A">
      <w:pPr>
        <w:pStyle w:val="Prrafodelista"/>
        <w:overflowPunct w:val="0"/>
        <w:autoSpaceDE w:val="0"/>
        <w:autoSpaceDN w:val="0"/>
        <w:adjustRightInd w:val="0"/>
        <w:ind w:left="426" w:right="49"/>
        <w:rPr>
          <w:rFonts w:cs="Times New Roman"/>
          <w:b/>
          <w:szCs w:val="28"/>
          <w:highlight w:val="yellow"/>
        </w:rPr>
      </w:pPr>
    </w:p>
    <w:p w14:paraId="64E5A2AF" w14:textId="77777777" w:rsidR="00161518" w:rsidRPr="000B352A" w:rsidRDefault="008C139F" w:rsidP="000B352A">
      <w:pPr>
        <w:pStyle w:val="Prrafodelista"/>
        <w:numPr>
          <w:ilvl w:val="1"/>
          <w:numId w:val="3"/>
        </w:numPr>
        <w:autoSpaceDE w:val="0"/>
        <w:autoSpaceDN w:val="0"/>
        <w:adjustRightInd w:val="0"/>
        <w:ind w:left="0" w:right="15" w:firstLine="0"/>
        <w:rPr>
          <w:rFonts w:cs="Times New Roman"/>
          <w:b/>
          <w:szCs w:val="28"/>
        </w:rPr>
      </w:pPr>
      <w:r w:rsidRPr="000B352A">
        <w:rPr>
          <w:rFonts w:cs="Times New Roman"/>
          <w:szCs w:val="28"/>
        </w:rPr>
        <w:t>L</w:t>
      </w:r>
      <w:r w:rsidR="00BF4BBF" w:rsidRPr="000B352A">
        <w:rPr>
          <w:rFonts w:cs="Times New Roman"/>
          <w:szCs w:val="28"/>
        </w:rPr>
        <w:t>a destrucción inmobiliaria que genera</w:t>
      </w:r>
      <w:r w:rsidR="00662DFC" w:rsidRPr="000B352A">
        <w:rPr>
          <w:rFonts w:cs="Times New Roman"/>
          <w:szCs w:val="28"/>
        </w:rPr>
        <w:t xml:space="preserve">ron los hechos acaecidos el </w:t>
      </w:r>
      <w:r w:rsidR="00524D15" w:rsidRPr="000B352A">
        <w:rPr>
          <w:rFonts w:cs="Times New Roman"/>
          <w:szCs w:val="28"/>
        </w:rPr>
        <w:t xml:space="preserve">nueve </w:t>
      </w:r>
      <w:r w:rsidR="00662DFC" w:rsidRPr="000B352A">
        <w:rPr>
          <w:rFonts w:cs="Times New Roman"/>
          <w:szCs w:val="28"/>
        </w:rPr>
        <w:t>de abril de 1948</w:t>
      </w:r>
      <w:r w:rsidR="00CB3118" w:rsidRPr="000B352A">
        <w:rPr>
          <w:rFonts w:cs="Times New Roman"/>
          <w:szCs w:val="28"/>
        </w:rPr>
        <w:t xml:space="preserve">, la violencia partidista de </w:t>
      </w:r>
      <w:r w:rsidR="002C10AB" w:rsidRPr="000B352A">
        <w:rPr>
          <w:rFonts w:cs="Times New Roman"/>
          <w:szCs w:val="28"/>
        </w:rPr>
        <w:t>esa</w:t>
      </w:r>
      <w:r w:rsidR="00CB3118" w:rsidRPr="000B352A">
        <w:rPr>
          <w:rFonts w:cs="Times New Roman"/>
          <w:szCs w:val="28"/>
        </w:rPr>
        <w:t xml:space="preserve"> época</w:t>
      </w:r>
      <w:r w:rsidR="00662DFC" w:rsidRPr="000B352A">
        <w:rPr>
          <w:rFonts w:cs="Times New Roman"/>
          <w:szCs w:val="28"/>
        </w:rPr>
        <w:t xml:space="preserve"> y la</w:t>
      </w:r>
      <w:r w:rsidR="009606B7" w:rsidRPr="000B352A">
        <w:rPr>
          <w:rFonts w:cs="Times New Roman"/>
          <w:szCs w:val="28"/>
        </w:rPr>
        <w:t xml:space="preserve"> </w:t>
      </w:r>
      <w:r w:rsidRPr="000B352A">
        <w:rPr>
          <w:rFonts w:cs="Times New Roman"/>
          <w:szCs w:val="28"/>
        </w:rPr>
        <w:t xml:space="preserve">consecuente y </w:t>
      </w:r>
      <w:r w:rsidR="009606B7" w:rsidRPr="000B352A">
        <w:rPr>
          <w:rFonts w:cs="Times New Roman"/>
          <w:szCs w:val="28"/>
        </w:rPr>
        <w:t>coetánea</w:t>
      </w:r>
      <w:r w:rsidR="00662DFC" w:rsidRPr="000B352A">
        <w:rPr>
          <w:rFonts w:cs="Times New Roman"/>
          <w:szCs w:val="28"/>
        </w:rPr>
        <w:t xml:space="preserve"> migración</w:t>
      </w:r>
      <w:r w:rsidRPr="000B352A">
        <w:rPr>
          <w:rFonts w:cs="Times New Roman"/>
          <w:szCs w:val="28"/>
        </w:rPr>
        <w:t xml:space="preserve"> masiva</w:t>
      </w:r>
      <w:r w:rsidR="00662DFC" w:rsidRPr="000B352A">
        <w:rPr>
          <w:rFonts w:cs="Times New Roman"/>
          <w:szCs w:val="28"/>
        </w:rPr>
        <w:t xml:space="preserve"> del campo a las ciudades </w:t>
      </w:r>
      <w:r w:rsidR="00662DFC" w:rsidRPr="000B352A">
        <w:rPr>
          <w:rFonts w:cs="Times New Roman"/>
          <w:i/>
          <w:szCs w:val="28"/>
        </w:rPr>
        <w:t>“contribuyeron a generar una gran presión por la tierra urbana, y buscar la manera de que con la menor utilización de la misma, se beneficiara el mayor número de personas”</w:t>
      </w:r>
      <w:r w:rsidRPr="000B352A">
        <w:rPr>
          <w:rStyle w:val="Refdenotaalpie"/>
          <w:szCs w:val="28"/>
        </w:rPr>
        <w:footnoteReference w:id="4"/>
      </w:r>
      <w:r w:rsidR="00A77DBD" w:rsidRPr="000B352A">
        <w:rPr>
          <w:rFonts w:cs="Times New Roman"/>
          <w:szCs w:val="28"/>
        </w:rPr>
        <w:t xml:space="preserve">. </w:t>
      </w:r>
      <w:r w:rsidR="00764070" w:rsidRPr="000B352A">
        <w:rPr>
          <w:rFonts w:cs="Times New Roman"/>
          <w:szCs w:val="28"/>
        </w:rPr>
        <w:t>T</w:t>
      </w:r>
      <w:r w:rsidR="00A77DBD" w:rsidRPr="000B352A">
        <w:rPr>
          <w:rFonts w:cs="Times New Roman"/>
          <w:szCs w:val="28"/>
        </w:rPr>
        <w:t xml:space="preserve">al </w:t>
      </w:r>
      <w:r w:rsidR="00662DFC" w:rsidRPr="000B352A">
        <w:rPr>
          <w:rFonts w:cs="Times New Roman"/>
          <w:szCs w:val="28"/>
        </w:rPr>
        <w:t xml:space="preserve">situación fomentó la construcción de </w:t>
      </w:r>
      <w:r w:rsidR="009606B7" w:rsidRPr="000B352A">
        <w:rPr>
          <w:rFonts w:cs="Times New Roman"/>
          <w:szCs w:val="28"/>
        </w:rPr>
        <w:t xml:space="preserve">unidades </w:t>
      </w:r>
      <w:r w:rsidR="006B6130" w:rsidRPr="000B352A">
        <w:rPr>
          <w:rFonts w:cs="Times New Roman"/>
          <w:szCs w:val="28"/>
        </w:rPr>
        <w:t>privadas</w:t>
      </w:r>
      <w:r w:rsidR="009606B7" w:rsidRPr="000B352A">
        <w:rPr>
          <w:rFonts w:cs="Times New Roman"/>
          <w:szCs w:val="28"/>
        </w:rPr>
        <w:t xml:space="preserve"> por pisos y departamentos de una misma edificación</w:t>
      </w:r>
      <w:r w:rsidR="00BF170D" w:rsidRPr="000B352A">
        <w:rPr>
          <w:rFonts w:cs="Times New Roman"/>
          <w:szCs w:val="28"/>
        </w:rPr>
        <w:t>, “</w:t>
      </w:r>
      <w:r w:rsidR="00BF170D" w:rsidRPr="000B352A">
        <w:rPr>
          <w:rFonts w:cs="Times New Roman"/>
          <w:i/>
          <w:szCs w:val="28"/>
        </w:rPr>
        <w:t xml:space="preserve">aprovechando </w:t>
      </w:r>
      <w:r w:rsidR="00662DFC" w:rsidRPr="000B352A">
        <w:rPr>
          <w:rFonts w:cs="Times New Roman"/>
          <w:i/>
          <w:szCs w:val="28"/>
        </w:rPr>
        <w:t>la reducción de costos de construcción que se deriva de esta clase de soluciones de vivienda, en comparación con las individuales y aisladas</w:t>
      </w:r>
      <w:r w:rsidR="00764070" w:rsidRPr="000B352A">
        <w:rPr>
          <w:rFonts w:cs="Times New Roman"/>
          <w:i/>
          <w:szCs w:val="28"/>
        </w:rPr>
        <w:t>”</w:t>
      </w:r>
      <w:r w:rsidRPr="000B352A">
        <w:rPr>
          <w:rStyle w:val="Refdenotaalpie"/>
          <w:szCs w:val="28"/>
        </w:rPr>
        <w:footnoteReference w:id="5"/>
      </w:r>
      <w:r w:rsidR="00662DFC" w:rsidRPr="000B352A">
        <w:rPr>
          <w:rFonts w:cs="Times New Roman"/>
          <w:i/>
          <w:szCs w:val="28"/>
        </w:rPr>
        <w:t>.</w:t>
      </w:r>
      <w:r w:rsidR="00CF13E4" w:rsidRPr="000B352A">
        <w:rPr>
          <w:rFonts w:cs="Times New Roman"/>
          <w:i/>
          <w:szCs w:val="28"/>
        </w:rPr>
        <w:t xml:space="preserve"> </w:t>
      </w:r>
      <w:r w:rsidR="00764070" w:rsidRPr="000B352A">
        <w:rPr>
          <w:rFonts w:cs="Times New Roman"/>
          <w:szCs w:val="28"/>
        </w:rPr>
        <w:t>Este</w:t>
      </w:r>
      <w:r w:rsidR="00CF13E4" w:rsidRPr="000B352A">
        <w:rPr>
          <w:rFonts w:cs="Times New Roman"/>
          <w:szCs w:val="28"/>
        </w:rPr>
        <w:t xml:space="preserve"> </w:t>
      </w:r>
      <w:r w:rsidR="00764070" w:rsidRPr="000B352A">
        <w:rPr>
          <w:rFonts w:cs="Times New Roman"/>
          <w:szCs w:val="28"/>
        </w:rPr>
        <w:t>contexto</w:t>
      </w:r>
      <w:r w:rsidR="00CF13E4" w:rsidRPr="000B352A">
        <w:rPr>
          <w:rFonts w:cs="Times New Roman"/>
          <w:szCs w:val="28"/>
        </w:rPr>
        <w:t xml:space="preserve"> dio lugar a que dentro </w:t>
      </w:r>
      <w:r w:rsidRPr="000B352A">
        <w:rPr>
          <w:rFonts w:cs="Times New Roman"/>
          <w:szCs w:val="28"/>
        </w:rPr>
        <w:t xml:space="preserve">del </w:t>
      </w:r>
      <w:r w:rsidR="00CF13E4" w:rsidRPr="000B352A">
        <w:rPr>
          <w:rFonts w:cs="Times New Roman"/>
          <w:szCs w:val="28"/>
        </w:rPr>
        <w:t>Estado de Siti</w:t>
      </w:r>
      <w:r w:rsidR="00A77DBD" w:rsidRPr="000B352A">
        <w:rPr>
          <w:rFonts w:cs="Times New Roman"/>
          <w:szCs w:val="28"/>
        </w:rPr>
        <w:t xml:space="preserve">o </w:t>
      </w:r>
      <w:r w:rsidR="00CB3118" w:rsidRPr="000B352A">
        <w:rPr>
          <w:rFonts w:cs="Times New Roman"/>
          <w:szCs w:val="28"/>
        </w:rPr>
        <w:t>entonces</w:t>
      </w:r>
      <w:r w:rsidRPr="000B352A">
        <w:rPr>
          <w:rFonts w:cs="Times New Roman"/>
          <w:szCs w:val="28"/>
        </w:rPr>
        <w:t xml:space="preserve"> decretado</w:t>
      </w:r>
      <w:r w:rsidR="001144BF" w:rsidRPr="000B352A">
        <w:rPr>
          <w:rStyle w:val="Refdenotaalpie"/>
          <w:szCs w:val="28"/>
        </w:rPr>
        <w:footnoteReference w:id="6"/>
      </w:r>
      <w:r w:rsidR="00CF13E4" w:rsidRPr="000B352A">
        <w:rPr>
          <w:rFonts w:cs="Times New Roman"/>
          <w:szCs w:val="28"/>
        </w:rPr>
        <w:t xml:space="preserve"> se expidiera el Decreto 1286 de 1948 </w:t>
      </w:r>
      <w:r w:rsidR="00CB3118" w:rsidRPr="000B352A">
        <w:rPr>
          <w:rFonts w:cs="Times New Roman"/>
          <w:i/>
          <w:szCs w:val="28"/>
        </w:rPr>
        <w:t>“</w:t>
      </w:r>
      <w:r w:rsidR="00CF13E4" w:rsidRPr="000B352A">
        <w:rPr>
          <w:rFonts w:cs="Times New Roman"/>
          <w:i/>
          <w:szCs w:val="28"/>
        </w:rPr>
        <w:t xml:space="preserve">sobre el régimen de la propiedad de pisos y departamentos de un mismo edificio”, </w:t>
      </w:r>
      <w:r w:rsidR="00CF13E4" w:rsidRPr="000B352A">
        <w:rPr>
          <w:rFonts w:cs="Times New Roman"/>
          <w:szCs w:val="28"/>
        </w:rPr>
        <w:t>poco después convertido en la Ley 1</w:t>
      </w:r>
      <w:r w:rsidR="00A77DBD" w:rsidRPr="000B352A">
        <w:rPr>
          <w:rFonts w:cs="Times New Roman"/>
          <w:szCs w:val="28"/>
        </w:rPr>
        <w:t>8</w:t>
      </w:r>
      <w:r w:rsidR="00CF13E4" w:rsidRPr="000B352A">
        <w:rPr>
          <w:rFonts w:cs="Times New Roman"/>
          <w:szCs w:val="28"/>
        </w:rPr>
        <w:t>2 de 1948</w:t>
      </w:r>
      <w:r w:rsidR="009F5136" w:rsidRPr="000B352A">
        <w:rPr>
          <w:rFonts w:cs="Times New Roman"/>
          <w:szCs w:val="28"/>
        </w:rPr>
        <w:t xml:space="preserve"> que </w:t>
      </w:r>
      <w:r w:rsidR="00A77DBD" w:rsidRPr="000B352A">
        <w:rPr>
          <w:rFonts w:cs="Times New Roman"/>
          <w:szCs w:val="28"/>
        </w:rPr>
        <w:t>varios años después</w:t>
      </w:r>
      <w:r w:rsidR="009F5136" w:rsidRPr="000B352A">
        <w:rPr>
          <w:rFonts w:cs="Times New Roman"/>
          <w:szCs w:val="28"/>
        </w:rPr>
        <w:t xml:space="preserve"> fue</w:t>
      </w:r>
      <w:r w:rsidR="00A77DBD" w:rsidRPr="000B352A">
        <w:rPr>
          <w:rFonts w:cs="Times New Roman"/>
          <w:szCs w:val="28"/>
        </w:rPr>
        <w:t xml:space="preserve"> complementada por la</w:t>
      </w:r>
      <w:r w:rsidR="007526FC" w:rsidRPr="000B352A">
        <w:rPr>
          <w:rFonts w:cs="Times New Roman"/>
          <w:szCs w:val="28"/>
        </w:rPr>
        <w:t>s leyes 16 de 1985</w:t>
      </w:r>
      <w:r w:rsidR="00525F58" w:rsidRPr="000B352A">
        <w:rPr>
          <w:rStyle w:val="Refdenotaalpie"/>
          <w:szCs w:val="28"/>
        </w:rPr>
        <w:footnoteReference w:id="7"/>
      </w:r>
      <w:r w:rsidR="00A77DBD" w:rsidRPr="000B352A">
        <w:rPr>
          <w:rFonts w:cs="Times New Roman"/>
          <w:szCs w:val="28"/>
        </w:rPr>
        <w:t xml:space="preserve"> </w:t>
      </w:r>
      <w:r w:rsidR="007526FC" w:rsidRPr="000B352A">
        <w:rPr>
          <w:rFonts w:cs="Times New Roman"/>
          <w:szCs w:val="28"/>
        </w:rPr>
        <w:t>y</w:t>
      </w:r>
      <w:r w:rsidR="00A77DBD" w:rsidRPr="000B352A">
        <w:rPr>
          <w:rFonts w:cs="Times New Roman"/>
          <w:szCs w:val="28"/>
        </w:rPr>
        <w:t xml:space="preserve"> 428 de 1998</w:t>
      </w:r>
      <w:r w:rsidR="001144BF" w:rsidRPr="000B352A">
        <w:rPr>
          <w:rFonts w:cs="Times New Roman"/>
          <w:szCs w:val="28"/>
        </w:rPr>
        <w:t>.</w:t>
      </w:r>
      <w:r w:rsidR="009F5136" w:rsidRPr="000B352A">
        <w:rPr>
          <w:rFonts w:cs="Times New Roman"/>
          <w:szCs w:val="28"/>
        </w:rPr>
        <w:t xml:space="preserve"> </w:t>
      </w:r>
      <w:r w:rsidR="001144BF" w:rsidRPr="000B352A">
        <w:rPr>
          <w:rFonts w:eastAsia="Times New Roman" w:cs="Times New Roman"/>
          <w:iCs/>
          <w:color w:val="000000"/>
          <w:szCs w:val="28"/>
          <w:bdr w:val="none" w:sz="0" w:space="0" w:color="auto" w:frame="1"/>
          <w:lang w:eastAsia="es-CO"/>
        </w:rPr>
        <w:t>En ejercicio de la amplia libertad con que el Legislador cuenta para regular la propiedad horizontal</w:t>
      </w:r>
      <w:r w:rsidR="001144BF" w:rsidRPr="000B352A">
        <w:rPr>
          <w:rStyle w:val="Refdenotaalpie"/>
          <w:rFonts w:eastAsia="Times New Roman"/>
          <w:iCs/>
          <w:color w:val="000000"/>
          <w:szCs w:val="28"/>
          <w:bdr w:val="none" w:sz="0" w:space="0" w:color="auto" w:frame="1"/>
          <w:lang w:eastAsia="es-CO"/>
        </w:rPr>
        <w:footnoteReference w:id="8"/>
      </w:r>
      <w:r w:rsidR="001144BF" w:rsidRPr="000B352A">
        <w:rPr>
          <w:rFonts w:eastAsia="Times New Roman" w:cs="Times New Roman"/>
          <w:iCs/>
          <w:color w:val="000000"/>
          <w:szCs w:val="28"/>
          <w:bdr w:val="none" w:sz="0" w:space="0" w:color="auto" w:frame="1"/>
          <w:lang w:eastAsia="es-CO"/>
        </w:rPr>
        <w:t xml:space="preserve">, </w:t>
      </w:r>
      <w:r w:rsidR="001144BF" w:rsidRPr="000B352A">
        <w:rPr>
          <w:rFonts w:cs="Times New Roman"/>
          <w:szCs w:val="28"/>
        </w:rPr>
        <w:t>e</w:t>
      </w:r>
      <w:r w:rsidR="00764070" w:rsidRPr="000B352A">
        <w:rPr>
          <w:rFonts w:cs="Times New Roman"/>
          <w:szCs w:val="28"/>
        </w:rPr>
        <w:t xml:space="preserve">sta </w:t>
      </w:r>
      <w:r w:rsidR="001144BF" w:rsidRPr="000B352A">
        <w:rPr>
          <w:rFonts w:cs="Times New Roman"/>
          <w:szCs w:val="28"/>
        </w:rPr>
        <w:t>última legislación</w:t>
      </w:r>
      <w:r w:rsidR="009F5136" w:rsidRPr="000B352A">
        <w:rPr>
          <w:rFonts w:cs="Times New Roman"/>
          <w:szCs w:val="28"/>
        </w:rPr>
        <w:t xml:space="preserve"> fue</w:t>
      </w:r>
      <w:r w:rsidR="00A77DBD" w:rsidRPr="000B352A">
        <w:rPr>
          <w:rFonts w:cs="Times New Roman"/>
          <w:szCs w:val="28"/>
        </w:rPr>
        <w:t xml:space="preserve"> posteriormente derogada por la actualmente vigente Ley 675 de 2001,</w:t>
      </w:r>
      <w:r w:rsidR="00DC5771" w:rsidRPr="000B352A">
        <w:rPr>
          <w:rFonts w:cs="Times New Roman"/>
          <w:szCs w:val="28"/>
          <w:lang w:val="es-ES"/>
        </w:rPr>
        <w:t xml:space="preserve"> </w:t>
      </w:r>
      <w:r w:rsidR="00DC5771" w:rsidRPr="000B352A">
        <w:rPr>
          <w:rFonts w:cs="Times New Roman"/>
          <w:i/>
          <w:szCs w:val="28"/>
          <w:lang w:val="es-ES"/>
        </w:rPr>
        <w:t>“(p)or medio de la cual se expide el régimen de propiedad horizontal”</w:t>
      </w:r>
      <w:r w:rsidR="00DC5771" w:rsidRPr="000B352A">
        <w:rPr>
          <w:rFonts w:cs="Times New Roman"/>
          <w:szCs w:val="28"/>
          <w:lang w:val="es-ES"/>
        </w:rPr>
        <w:t>,</w:t>
      </w:r>
      <w:r w:rsidR="00A77DBD" w:rsidRPr="000B352A">
        <w:rPr>
          <w:rFonts w:cs="Times New Roman"/>
          <w:szCs w:val="28"/>
        </w:rPr>
        <w:t xml:space="preserve"> cuyos artículos 30 y 59 ocupan ahora a la Corte.</w:t>
      </w:r>
    </w:p>
    <w:p w14:paraId="64E5A2B0" w14:textId="77777777" w:rsidR="00161518" w:rsidRPr="000B352A" w:rsidRDefault="00161518" w:rsidP="000B352A">
      <w:pPr>
        <w:pStyle w:val="Prrafodelista"/>
        <w:autoSpaceDE w:val="0"/>
        <w:autoSpaceDN w:val="0"/>
        <w:adjustRightInd w:val="0"/>
        <w:ind w:left="0" w:right="15"/>
        <w:rPr>
          <w:rFonts w:cs="Times New Roman"/>
          <w:szCs w:val="28"/>
        </w:rPr>
      </w:pPr>
    </w:p>
    <w:p w14:paraId="64E5A2B1" w14:textId="77777777" w:rsidR="00720BDB" w:rsidRPr="000B352A" w:rsidRDefault="00161518" w:rsidP="000B352A">
      <w:pPr>
        <w:pStyle w:val="Prrafodelista"/>
        <w:numPr>
          <w:ilvl w:val="1"/>
          <w:numId w:val="3"/>
        </w:numPr>
        <w:autoSpaceDE w:val="0"/>
        <w:autoSpaceDN w:val="0"/>
        <w:adjustRightInd w:val="0"/>
        <w:ind w:left="0" w:right="15" w:firstLine="0"/>
        <w:rPr>
          <w:rFonts w:cs="Times New Roman"/>
          <w:b/>
          <w:szCs w:val="28"/>
        </w:rPr>
      </w:pPr>
      <w:r w:rsidRPr="000B352A">
        <w:rPr>
          <w:rFonts w:cs="Times New Roman"/>
          <w:szCs w:val="28"/>
        </w:rPr>
        <w:t>E</w:t>
      </w:r>
      <w:r w:rsidR="00DC5771" w:rsidRPr="000B352A">
        <w:rPr>
          <w:rFonts w:cs="Times New Roman"/>
          <w:szCs w:val="28"/>
        </w:rPr>
        <w:t xml:space="preserve">l </w:t>
      </w:r>
      <w:r w:rsidR="001144BF" w:rsidRPr="000B352A">
        <w:rPr>
          <w:rFonts w:cs="Times New Roman"/>
          <w:szCs w:val="28"/>
        </w:rPr>
        <w:t xml:space="preserve">actual </w:t>
      </w:r>
      <w:r w:rsidR="00DC5771" w:rsidRPr="000B352A">
        <w:rPr>
          <w:rFonts w:cs="Times New Roman"/>
          <w:szCs w:val="28"/>
        </w:rPr>
        <w:t>régimen de propiedad horizontal regula la clase de propiedad</w:t>
      </w:r>
      <w:r w:rsidR="001144BF" w:rsidRPr="000B352A">
        <w:rPr>
          <w:rFonts w:cs="Times New Roman"/>
          <w:szCs w:val="28"/>
        </w:rPr>
        <w:t xml:space="preserve"> que</w:t>
      </w:r>
      <w:r w:rsidR="00DC5771" w:rsidRPr="000B352A">
        <w:rPr>
          <w:rFonts w:cs="Times New Roman"/>
          <w:szCs w:val="28"/>
        </w:rPr>
        <w:t xml:space="preserve"> se impone en el mundo moderno</w:t>
      </w:r>
      <w:r w:rsidR="00720BDB" w:rsidRPr="000B352A">
        <w:rPr>
          <w:rFonts w:cs="Times New Roman"/>
          <w:szCs w:val="28"/>
        </w:rPr>
        <w:t>. A</w:t>
      </w:r>
      <w:r w:rsidR="00AA777C" w:rsidRPr="000B352A">
        <w:rPr>
          <w:rFonts w:cs="Times New Roman"/>
          <w:szCs w:val="28"/>
        </w:rPr>
        <w:t>l hacerlo,</w:t>
      </w:r>
      <w:r w:rsidR="00720BDB" w:rsidRPr="000B352A">
        <w:rPr>
          <w:rFonts w:cs="Times New Roman"/>
          <w:szCs w:val="28"/>
        </w:rPr>
        <w:t xml:space="preserve"> dicho régimen busca la realización de un fin constitucional legítimo a través de la regulación de las distintas </w:t>
      </w:r>
      <w:r w:rsidR="001144BF" w:rsidRPr="000B352A">
        <w:rPr>
          <w:rFonts w:cs="Times New Roman"/>
          <w:szCs w:val="28"/>
        </w:rPr>
        <w:t>relaciones</w:t>
      </w:r>
      <w:r w:rsidR="00720BDB" w:rsidRPr="000B352A">
        <w:rPr>
          <w:rFonts w:cs="Times New Roman"/>
          <w:szCs w:val="28"/>
        </w:rPr>
        <w:t xml:space="preserve"> soci</w:t>
      </w:r>
      <w:r w:rsidR="001144BF" w:rsidRPr="000B352A">
        <w:rPr>
          <w:rFonts w:cs="Times New Roman"/>
          <w:szCs w:val="28"/>
        </w:rPr>
        <w:t xml:space="preserve">ales y </w:t>
      </w:r>
      <w:r w:rsidR="00720BDB" w:rsidRPr="000B352A">
        <w:rPr>
          <w:rFonts w:cs="Times New Roman"/>
          <w:szCs w:val="28"/>
        </w:rPr>
        <w:t>económicas</w:t>
      </w:r>
      <w:r w:rsidR="00AA777C" w:rsidRPr="000B352A">
        <w:rPr>
          <w:rFonts w:cs="Times New Roman"/>
          <w:szCs w:val="28"/>
        </w:rPr>
        <w:t xml:space="preserve"> </w:t>
      </w:r>
      <w:r w:rsidR="00720BDB" w:rsidRPr="000B352A">
        <w:rPr>
          <w:rFonts w:cs="Times New Roman"/>
          <w:szCs w:val="28"/>
        </w:rPr>
        <w:t xml:space="preserve">que </w:t>
      </w:r>
      <w:r w:rsidR="001144BF" w:rsidRPr="000B352A">
        <w:rPr>
          <w:rFonts w:cs="Times New Roman"/>
          <w:szCs w:val="28"/>
        </w:rPr>
        <w:t>exige</w:t>
      </w:r>
      <w:r w:rsidR="00720BDB" w:rsidRPr="000B352A">
        <w:rPr>
          <w:rFonts w:cs="Times New Roman"/>
          <w:szCs w:val="28"/>
        </w:rPr>
        <w:t xml:space="preserve"> </w:t>
      </w:r>
      <w:r w:rsidR="001144BF" w:rsidRPr="000B352A">
        <w:rPr>
          <w:rFonts w:cs="Times New Roman"/>
          <w:szCs w:val="28"/>
        </w:rPr>
        <w:t>la cohabitación</w:t>
      </w:r>
      <w:r w:rsidR="00DC5771" w:rsidRPr="000B352A">
        <w:rPr>
          <w:rFonts w:cs="Times New Roman"/>
          <w:szCs w:val="28"/>
        </w:rPr>
        <w:t xml:space="preserve"> </w:t>
      </w:r>
      <w:r w:rsidR="001144BF" w:rsidRPr="000B352A">
        <w:rPr>
          <w:rFonts w:cs="Times New Roman"/>
          <w:szCs w:val="28"/>
        </w:rPr>
        <w:t>de</w:t>
      </w:r>
      <w:r w:rsidR="00DC5771" w:rsidRPr="000B352A">
        <w:rPr>
          <w:rFonts w:cs="Times New Roman"/>
          <w:szCs w:val="28"/>
        </w:rPr>
        <w:t xml:space="preserve"> </w:t>
      </w:r>
      <w:r w:rsidR="001144BF" w:rsidRPr="000B352A">
        <w:rPr>
          <w:rFonts w:cs="Times New Roman"/>
          <w:szCs w:val="28"/>
        </w:rPr>
        <w:t xml:space="preserve">las </w:t>
      </w:r>
      <w:r w:rsidR="00DC5771" w:rsidRPr="000B352A">
        <w:rPr>
          <w:rFonts w:cs="Times New Roman"/>
          <w:szCs w:val="28"/>
        </w:rPr>
        <w:t xml:space="preserve">áreas privadas </w:t>
      </w:r>
      <w:r w:rsidR="001144BF" w:rsidRPr="000B352A">
        <w:rPr>
          <w:rFonts w:cs="Times New Roman"/>
          <w:szCs w:val="28"/>
        </w:rPr>
        <w:t>y</w:t>
      </w:r>
      <w:r w:rsidR="00DC5771" w:rsidRPr="000B352A">
        <w:rPr>
          <w:rFonts w:cs="Times New Roman"/>
          <w:szCs w:val="28"/>
        </w:rPr>
        <w:t xml:space="preserve"> las áreas comunes </w:t>
      </w:r>
      <w:r w:rsidR="00C95AEC" w:rsidRPr="000B352A">
        <w:rPr>
          <w:rFonts w:cs="Times New Roman"/>
          <w:szCs w:val="28"/>
        </w:rPr>
        <w:t>en</w:t>
      </w:r>
      <w:r w:rsidR="00DC5771" w:rsidRPr="000B352A">
        <w:rPr>
          <w:rFonts w:cs="Times New Roman"/>
          <w:szCs w:val="28"/>
        </w:rPr>
        <w:t xml:space="preserve"> una misma propiedad horizontal</w:t>
      </w:r>
      <w:r w:rsidR="00720BDB" w:rsidRPr="000B352A">
        <w:rPr>
          <w:rStyle w:val="Refdenotaalpie"/>
          <w:szCs w:val="28"/>
        </w:rPr>
        <w:footnoteReference w:id="9"/>
      </w:r>
      <w:r w:rsidR="00DC5771" w:rsidRPr="000B352A">
        <w:rPr>
          <w:rFonts w:cs="Times New Roman"/>
          <w:szCs w:val="28"/>
        </w:rPr>
        <w:t xml:space="preserve">. </w:t>
      </w:r>
      <w:r w:rsidR="00AA777C" w:rsidRPr="000B352A">
        <w:rPr>
          <w:rFonts w:cs="Times New Roman"/>
          <w:szCs w:val="28"/>
        </w:rPr>
        <w:t>Como dijera la Corte ya en vigencia de la Ley 675 de 2001, s</w:t>
      </w:r>
      <w:r w:rsidR="00635E62" w:rsidRPr="000B352A">
        <w:rPr>
          <w:rFonts w:cs="Times New Roman"/>
          <w:szCs w:val="28"/>
        </w:rPr>
        <w:t>e está</w:t>
      </w:r>
      <w:r w:rsidR="00720BDB" w:rsidRPr="000B352A">
        <w:rPr>
          <w:rFonts w:cs="Times New Roman"/>
          <w:szCs w:val="28"/>
        </w:rPr>
        <w:t xml:space="preserve"> </w:t>
      </w:r>
      <w:r w:rsidR="00635E62" w:rsidRPr="000B352A">
        <w:rPr>
          <w:rFonts w:cs="Times New Roman"/>
          <w:i/>
          <w:szCs w:val="28"/>
        </w:rPr>
        <w:t>“</w:t>
      </w:r>
      <w:r w:rsidR="00635E62" w:rsidRPr="000B352A">
        <w:rPr>
          <w:rFonts w:eastAsia="Times New Roman" w:cs="Times New Roman"/>
          <w:i/>
          <w:iCs/>
          <w:color w:val="000000"/>
          <w:szCs w:val="28"/>
          <w:bdr w:val="none" w:sz="0" w:space="0" w:color="auto" w:frame="1"/>
          <w:lang w:eastAsia="es-CO"/>
        </w:rPr>
        <w:t xml:space="preserve">en presencia de un </w:t>
      </w:r>
      <w:r w:rsidR="00635E62" w:rsidRPr="000B352A">
        <w:rPr>
          <w:rFonts w:eastAsia="Times New Roman" w:cs="Times New Roman"/>
          <w:b/>
          <w:i/>
          <w:iCs/>
          <w:color w:val="000000"/>
          <w:szCs w:val="28"/>
          <w:bdr w:val="none" w:sz="0" w:space="0" w:color="auto" w:frame="1"/>
          <w:lang w:eastAsia="es-CO"/>
        </w:rPr>
        <w:t>régimen normativo especial</w:t>
      </w:r>
      <w:r w:rsidR="00635E62" w:rsidRPr="000B352A">
        <w:rPr>
          <w:rFonts w:eastAsia="Times New Roman" w:cs="Times New Roman"/>
          <w:i/>
          <w:iCs/>
          <w:color w:val="000000"/>
          <w:szCs w:val="28"/>
          <w:bdr w:val="none" w:sz="0" w:space="0" w:color="auto" w:frame="1"/>
          <w:lang w:eastAsia="es-CO"/>
        </w:rPr>
        <w:t xml:space="preserve"> cuyo objeto es regular una forma de dominio en la que concurren derechos de propiedad exclusiva sobre bienes privados y derechos de copropiedad sobre el terreno y los demás bienes comunes, con miras a la </w:t>
      </w:r>
      <w:r w:rsidR="00635E62" w:rsidRPr="000B352A">
        <w:rPr>
          <w:rFonts w:eastAsia="Times New Roman" w:cs="Times New Roman"/>
          <w:b/>
          <w:i/>
          <w:iCs/>
          <w:color w:val="000000"/>
          <w:szCs w:val="28"/>
          <w:bdr w:val="none" w:sz="0" w:space="0" w:color="auto" w:frame="1"/>
          <w:lang w:eastAsia="es-CO"/>
        </w:rPr>
        <w:t>obtención de un fin constitucional, a saber, “garantizar la seguridad y la convivencia pacífica en los inmuebles sometidos a ella, así como la función social de la propiedad</w:t>
      </w:r>
      <w:r w:rsidR="00635E62" w:rsidRPr="000B352A">
        <w:rPr>
          <w:rFonts w:eastAsia="Times New Roman" w:cs="Times New Roman"/>
          <w:i/>
          <w:iCs/>
          <w:color w:val="000000"/>
          <w:szCs w:val="28"/>
          <w:bdr w:val="none" w:sz="0" w:space="0" w:color="auto" w:frame="1"/>
          <w:lang w:eastAsia="es-CO"/>
        </w:rPr>
        <w:t>”</w:t>
      </w:r>
      <w:r w:rsidR="001D57B7" w:rsidRPr="000B352A">
        <w:rPr>
          <w:rFonts w:eastAsia="Times New Roman" w:cs="Times New Roman"/>
          <w:i/>
          <w:iCs/>
          <w:color w:val="000000"/>
          <w:szCs w:val="28"/>
          <w:bdr w:val="none" w:sz="0" w:space="0" w:color="auto" w:frame="1"/>
          <w:lang w:eastAsia="es-CO"/>
        </w:rPr>
        <w:t xml:space="preserve"> </w:t>
      </w:r>
      <w:r w:rsidR="001D57B7" w:rsidRPr="000B352A">
        <w:rPr>
          <w:rFonts w:eastAsia="Times New Roman" w:cs="Times New Roman"/>
          <w:iCs/>
          <w:color w:val="000000"/>
          <w:szCs w:val="28"/>
          <w:bdr w:val="none" w:sz="0" w:space="0" w:color="auto" w:frame="1"/>
          <w:lang w:eastAsia="es-CO"/>
        </w:rPr>
        <w:t>(Énfasis fuera de texto)</w:t>
      </w:r>
      <w:r w:rsidR="001D57B7" w:rsidRPr="000B352A">
        <w:rPr>
          <w:rStyle w:val="Refdenotaalpie"/>
          <w:rFonts w:eastAsia="Times New Roman"/>
          <w:i/>
          <w:iCs/>
          <w:color w:val="000000"/>
          <w:szCs w:val="28"/>
          <w:bdr w:val="none" w:sz="0" w:space="0" w:color="auto" w:frame="1"/>
          <w:lang w:eastAsia="es-CO"/>
        </w:rPr>
        <w:t xml:space="preserve"> </w:t>
      </w:r>
      <w:r w:rsidR="001D57B7" w:rsidRPr="000B352A">
        <w:rPr>
          <w:rStyle w:val="Refdenotaalpie"/>
          <w:rFonts w:eastAsia="Times New Roman"/>
          <w:iCs/>
          <w:color w:val="000000"/>
          <w:szCs w:val="28"/>
          <w:bdr w:val="none" w:sz="0" w:space="0" w:color="auto" w:frame="1"/>
          <w:lang w:eastAsia="es-CO"/>
        </w:rPr>
        <w:footnoteReference w:id="10"/>
      </w:r>
      <w:r w:rsidR="00635E62" w:rsidRPr="000B352A">
        <w:rPr>
          <w:rFonts w:eastAsia="Times New Roman" w:cs="Times New Roman"/>
          <w:iCs/>
          <w:color w:val="000000"/>
          <w:szCs w:val="28"/>
          <w:bdr w:val="none" w:sz="0" w:space="0" w:color="auto" w:frame="1"/>
          <w:lang w:eastAsia="es-CO"/>
        </w:rPr>
        <w:t>.</w:t>
      </w:r>
      <w:r w:rsidR="00525F58" w:rsidRPr="000B352A">
        <w:rPr>
          <w:rStyle w:val="Refdenotaalpie"/>
          <w:rFonts w:eastAsia="Times New Roman"/>
          <w:iCs/>
          <w:color w:val="000000"/>
          <w:szCs w:val="28"/>
          <w:bdr w:val="none" w:sz="0" w:space="0" w:color="auto" w:frame="1"/>
          <w:lang w:eastAsia="es-CO"/>
        </w:rPr>
        <w:footnoteReference w:id="11"/>
      </w:r>
      <w:r w:rsidR="00E30ADA" w:rsidRPr="000B352A">
        <w:rPr>
          <w:rFonts w:eastAsia="Times New Roman" w:cs="Times New Roman"/>
          <w:iCs/>
          <w:color w:val="000000"/>
          <w:szCs w:val="28"/>
          <w:bdr w:val="none" w:sz="0" w:space="0" w:color="auto" w:frame="1"/>
          <w:lang w:eastAsia="es-CO"/>
        </w:rPr>
        <w:t xml:space="preserve"> </w:t>
      </w:r>
    </w:p>
    <w:p w14:paraId="64E5A2B2" w14:textId="77777777" w:rsidR="001144BF" w:rsidRPr="000B352A" w:rsidRDefault="001144BF" w:rsidP="000B352A">
      <w:pPr>
        <w:pStyle w:val="Prrafodelista"/>
        <w:autoSpaceDE w:val="0"/>
        <w:autoSpaceDN w:val="0"/>
        <w:adjustRightInd w:val="0"/>
        <w:ind w:left="0" w:right="15"/>
        <w:rPr>
          <w:rFonts w:cs="Times New Roman"/>
          <w:b/>
          <w:szCs w:val="28"/>
        </w:rPr>
      </w:pPr>
    </w:p>
    <w:p w14:paraId="64E5A2B3" w14:textId="77777777" w:rsidR="00635E62" w:rsidRPr="000B352A" w:rsidRDefault="004F7D62" w:rsidP="000B352A">
      <w:pPr>
        <w:pStyle w:val="Prrafodelista"/>
        <w:numPr>
          <w:ilvl w:val="1"/>
          <w:numId w:val="3"/>
        </w:numPr>
        <w:autoSpaceDE w:val="0"/>
        <w:autoSpaceDN w:val="0"/>
        <w:adjustRightInd w:val="0"/>
        <w:ind w:left="0" w:right="15" w:firstLine="0"/>
        <w:rPr>
          <w:rFonts w:cs="Times New Roman"/>
          <w:szCs w:val="28"/>
        </w:rPr>
      </w:pPr>
      <w:r w:rsidRPr="000B352A">
        <w:rPr>
          <w:rFonts w:cs="Times New Roman"/>
          <w:szCs w:val="28"/>
        </w:rPr>
        <w:t xml:space="preserve">En lo que interesa a esta </w:t>
      </w:r>
      <w:r w:rsidR="00764070" w:rsidRPr="000B352A">
        <w:rPr>
          <w:rFonts w:cs="Times New Roman"/>
          <w:szCs w:val="28"/>
        </w:rPr>
        <w:t>sentencia</w:t>
      </w:r>
      <w:r w:rsidRPr="000B352A">
        <w:rPr>
          <w:rFonts w:cs="Times New Roman"/>
          <w:szCs w:val="28"/>
        </w:rPr>
        <w:t>, en aras de lograr el antedicho fin constitucional, el actual régimen de propiedad horizontal prevé</w:t>
      </w:r>
      <w:r w:rsidR="0065041F" w:rsidRPr="000B352A">
        <w:rPr>
          <w:rFonts w:cs="Times New Roman"/>
          <w:szCs w:val="28"/>
        </w:rPr>
        <w:t xml:space="preserve"> varios </w:t>
      </w:r>
      <w:r w:rsidR="001B4DF8" w:rsidRPr="000B352A">
        <w:rPr>
          <w:rFonts w:cs="Times New Roman"/>
          <w:szCs w:val="28"/>
        </w:rPr>
        <w:t>tipos de obligaciones</w:t>
      </w:r>
      <w:r w:rsidR="0065041F" w:rsidRPr="000B352A">
        <w:rPr>
          <w:rFonts w:cs="Times New Roman"/>
          <w:szCs w:val="28"/>
        </w:rPr>
        <w:t>; entre ellas</w:t>
      </w:r>
      <w:r w:rsidR="001B4DF8" w:rsidRPr="000B352A">
        <w:rPr>
          <w:rFonts w:cs="Times New Roman"/>
          <w:szCs w:val="28"/>
        </w:rPr>
        <w:t>:</w:t>
      </w:r>
      <w:r w:rsidR="00CB6A2B" w:rsidRPr="000B352A">
        <w:rPr>
          <w:rFonts w:cs="Times New Roman"/>
          <w:szCs w:val="28"/>
        </w:rPr>
        <w:t xml:space="preserve"> (i) la </w:t>
      </w:r>
      <w:r w:rsidR="00190300" w:rsidRPr="000B352A">
        <w:rPr>
          <w:rFonts w:cs="Times New Roman"/>
          <w:b/>
          <w:szCs w:val="28"/>
        </w:rPr>
        <w:t xml:space="preserve">particular </w:t>
      </w:r>
      <w:r w:rsidR="00CB6A2B" w:rsidRPr="000B352A">
        <w:rPr>
          <w:rFonts w:cs="Times New Roman"/>
          <w:b/>
          <w:szCs w:val="28"/>
        </w:rPr>
        <w:t>obligación</w:t>
      </w:r>
      <w:r w:rsidR="00190300" w:rsidRPr="000B352A">
        <w:rPr>
          <w:rFonts w:cs="Times New Roman"/>
          <w:b/>
          <w:szCs w:val="28"/>
        </w:rPr>
        <w:t xml:space="preserve"> pecuniaria</w:t>
      </w:r>
      <w:r w:rsidR="00CB6A2B" w:rsidRPr="000B352A">
        <w:rPr>
          <w:rFonts w:cs="Times New Roman"/>
          <w:szCs w:val="28"/>
        </w:rPr>
        <w:t xml:space="preserve"> </w:t>
      </w:r>
      <w:r w:rsidR="00CB6A2B" w:rsidRPr="000B352A">
        <w:rPr>
          <w:rFonts w:cs="Times New Roman"/>
          <w:b/>
          <w:szCs w:val="28"/>
        </w:rPr>
        <w:t>de contribuir al cubrimiento de las expensas comunes</w:t>
      </w:r>
      <w:r w:rsidR="0065041F" w:rsidRPr="000B352A">
        <w:rPr>
          <w:rStyle w:val="Refdenotaalpie"/>
          <w:szCs w:val="28"/>
        </w:rPr>
        <w:footnoteReference w:id="12"/>
      </w:r>
      <w:r w:rsidR="00CB6A2B" w:rsidRPr="000B352A">
        <w:rPr>
          <w:rFonts w:cs="Times New Roman"/>
          <w:szCs w:val="28"/>
        </w:rPr>
        <w:t xml:space="preserve"> necesarias o, inclusive</w:t>
      </w:r>
      <w:r w:rsidR="001B4DF8" w:rsidRPr="000B352A">
        <w:rPr>
          <w:rFonts w:cs="Times New Roman"/>
          <w:szCs w:val="28"/>
        </w:rPr>
        <w:t xml:space="preserve">, diferentes de las necesarias </w:t>
      </w:r>
      <w:r w:rsidR="0036486E" w:rsidRPr="000B352A">
        <w:rPr>
          <w:rFonts w:cs="Times New Roman"/>
          <w:szCs w:val="28"/>
        </w:rPr>
        <w:t>cuando sea el caso</w:t>
      </w:r>
      <w:r w:rsidR="001B4DF8" w:rsidRPr="000B352A">
        <w:rPr>
          <w:rStyle w:val="Refdenotaalpie"/>
          <w:szCs w:val="28"/>
        </w:rPr>
        <w:footnoteReference w:id="13"/>
      </w:r>
      <w:r w:rsidR="0036486E" w:rsidRPr="000B352A">
        <w:rPr>
          <w:rFonts w:cs="Times New Roman"/>
          <w:szCs w:val="28"/>
        </w:rPr>
        <w:t xml:space="preserve">; y (ii) </w:t>
      </w:r>
      <w:r w:rsidR="001B4DF8" w:rsidRPr="000B352A">
        <w:rPr>
          <w:rFonts w:cs="Times New Roman"/>
          <w:szCs w:val="28"/>
        </w:rPr>
        <w:t xml:space="preserve">las </w:t>
      </w:r>
      <w:r w:rsidR="001B4DF8" w:rsidRPr="000B352A">
        <w:rPr>
          <w:rFonts w:cs="Times New Roman"/>
          <w:b/>
          <w:szCs w:val="28"/>
        </w:rPr>
        <w:t>obligaciones no pecuniarias</w:t>
      </w:r>
      <w:r w:rsidR="001B4DF8" w:rsidRPr="000B352A">
        <w:rPr>
          <w:rFonts w:cs="Times New Roman"/>
          <w:szCs w:val="28"/>
        </w:rPr>
        <w:t xml:space="preserve"> </w:t>
      </w:r>
      <w:r w:rsidR="001B4DF8" w:rsidRPr="000B352A">
        <w:rPr>
          <w:rFonts w:cs="Times New Roman"/>
          <w:b/>
          <w:szCs w:val="28"/>
        </w:rPr>
        <w:t>(de hacer o de no hacer)</w:t>
      </w:r>
      <w:r w:rsidR="001B4DF8" w:rsidRPr="000B352A">
        <w:rPr>
          <w:rFonts w:cs="Times New Roman"/>
          <w:szCs w:val="28"/>
        </w:rPr>
        <w:t xml:space="preserve"> que tengan su consagración en la ley o en el respe</w:t>
      </w:r>
      <w:r w:rsidR="00190300" w:rsidRPr="000B352A">
        <w:rPr>
          <w:rFonts w:cs="Times New Roman"/>
          <w:szCs w:val="28"/>
        </w:rPr>
        <w:t>c</w:t>
      </w:r>
      <w:r w:rsidR="001B4DF8" w:rsidRPr="000B352A">
        <w:rPr>
          <w:rFonts w:cs="Times New Roman"/>
          <w:szCs w:val="28"/>
        </w:rPr>
        <w:t xml:space="preserve">tivo reglamento de propiedad horizontal. </w:t>
      </w:r>
    </w:p>
    <w:p w14:paraId="64E5A2B4" w14:textId="77777777" w:rsidR="007B4722" w:rsidRPr="000B352A" w:rsidRDefault="007B4722" w:rsidP="000B352A">
      <w:pPr>
        <w:pStyle w:val="Prrafodelista"/>
        <w:rPr>
          <w:rFonts w:cs="Times New Roman"/>
          <w:szCs w:val="28"/>
        </w:rPr>
      </w:pPr>
    </w:p>
    <w:p w14:paraId="64E5A2B5" w14:textId="77777777" w:rsidR="007B4722" w:rsidRPr="000B352A" w:rsidRDefault="009F13CC" w:rsidP="000B352A">
      <w:pPr>
        <w:pStyle w:val="Prrafodelista"/>
        <w:numPr>
          <w:ilvl w:val="1"/>
          <w:numId w:val="3"/>
        </w:numPr>
        <w:autoSpaceDE w:val="0"/>
        <w:autoSpaceDN w:val="0"/>
        <w:adjustRightInd w:val="0"/>
        <w:ind w:left="0" w:right="15" w:firstLine="0"/>
        <w:rPr>
          <w:rFonts w:cs="Times New Roman"/>
          <w:szCs w:val="28"/>
        </w:rPr>
      </w:pPr>
      <w:r w:rsidRPr="000B352A">
        <w:rPr>
          <w:rFonts w:cs="Times New Roman"/>
          <w:szCs w:val="28"/>
        </w:rPr>
        <w:t>En efecto,</w:t>
      </w:r>
      <w:r w:rsidR="007B4722" w:rsidRPr="000B352A">
        <w:rPr>
          <w:rFonts w:cs="Times New Roman"/>
          <w:szCs w:val="28"/>
        </w:rPr>
        <w:t xml:space="preserve"> si bien la Ley 675 de 2001 establece el marco general de la propiedad horizontal </w:t>
      </w:r>
      <w:r w:rsidR="00A13D2B" w:rsidRPr="000B352A">
        <w:rPr>
          <w:rFonts w:cs="Times New Roman"/>
          <w:szCs w:val="28"/>
        </w:rPr>
        <w:t>en Colombia</w:t>
      </w:r>
      <w:r w:rsidR="007B4722" w:rsidRPr="000B352A">
        <w:rPr>
          <w:rFonts w:cs="Times New Roman"/>
          <w:szCs w:val="28"/>
        </w:rPr>
        <w:t>, cada una de dichas propiedades debe expedir su propio reglamento</w:t>
      </w:r>
      <w:r w:rsidR="0094251F" w:rsidRPr="000B352A">
        <w:rPr>
          <w:rFonts w:cs="Times New Roman"/>
          <w:szCs w:val="28"/>
        </w:rPr>
        <w:t xml:space="preserve"> particular</w:t>
      </w:r>
      <w:r w:rsidR="0039313E" w:rsidRPr="000B352A">
        <w:rPr>
          <w:rFonts w:cs="Times New Roman"/>
          <w:szCs w:val="28"/>
        </w:rPr>
        <w:t xml:space="preserve">. Sobre </w:t>
      </w:r>
      <w:r w:rsidRPr="000B352A">
        <w:rPr>
          <w:rFonts w:cs="Times New Roman"/>
          <w:szCs w:val="28"/>
        </w:rPr>
        <w:t>este punto</w:t>
      </w:r>
      <w:r w:rsidR="0039313E" w:rsidRPr="000B352A">
        <w:rPr>
          <w:rFonts w:cs="Times New Roman"/>
          <w:szCs w:val="28"/>
        </w:rPr>
        <w:t xml:space="preserve">, al momento de analizar la constitucionalidad </w:t>
      </w:r>
      <w:r w:rsidRPr="000B352A">
        <w:rPr>
          <w:rFonts w:cs="Times New Roman"/>
          <w:szCs w:val="28"/>
        </w:rPr>
        <w:t>d</w:t>
      </w:r>
      <w:r w:rsidR="0039313E" w:rsidRPr="000B352A">
        <w:rPr>
          <w:rFonts w:cs="Times New Roman"/>
          <w:szCs w:val="28"/>
        </w:rPr>
        <w:t xml:space="preserve">el inciso 4º del artículo 29 de la Ley 675 de 2001, la Corte explicó que </w:t>
      </w:r>
      <w:r w:rsidR="0039313E" w:rsidRPr="000B352A">
        <w:rPr>
          <w:rFonts w:cs="Times New Roman"/>
          <w:i/>
          <w:szCs w:val="28"/>
        </w:rPr>
        <w:t>“(l)</w:t>
      </w:r>
      <w:r w:rsidR="0039313E" w:rsidRPr="000B352A">
        <w:rPr>
          <w:rFonts w:cs="Times New Roman"/>
          <w:i/>
          <w:szCs w:val="28"/>
          <w:shd w:val="clear" w:color="auto" w:fill="FFFFFF"/>
        </w:rPr>
        <w:t>a escritura pública de constitución de la propiedad horizontal debe contener el Reglamento de Propiedad Horizontal, en el cual se consignan las disposiciones sobre su organización y funcionamiento, cuyo contenido mínimo contempla el Art. 5º de la ley, y que señalan los derechos y obligaciones de los propietarios y moradores del edificio o conjunto, no sólo de los iniciales sino también de los sucesivos en virtud de enajenaciones del dominio sobre las unidades privadas o de nuevos contratos de tenencia.”</w:t>
      </w:r>
      <w:r w:rsidR="00E26B63" w:rsidRPr="000B352A">
        <w:rPr>
          <w:rStyle w:val="Refdenotaalpie"/>
          <w:szCs w:val="28"/>
          <w:shd w:val="clear" w:color="auto" w:fill="FFFFFF"/>
        </w:rPr>
        <w:footnoteReference w:id="14"/>
      </w:r>
      <w:r w:rsidR="00E26B63" w:rsidRPr="000B352A">
        <w:rPr>
          <w:rFonts w:cs="Times New Roman"/>
          <w:i/>
          <w:szCs w:val="28"/>
          <w:shd w:val="clear" w:color="auto" w:fill="FFFFFF"/>
        </w:rPr>
        <w:t xml:space="preserve"> </w:t>
      </w:r>
      <w:r w:rsidR="002D1522" w:rsidRPr="000B352A">
        <w:rPr>
          <w:rFonts w:cs="Times New Roman"/>
          <w:color w:val="2D2D2D"/>
          <w:szCs w:val="28"/>
          <w:shd w:val="clear" w:color="auto" w:fill="FFFFFF"/>
        </w:rPr>
        <w:t>D</w:t>
      </w:r>
      <w:r w:rsidR="00E26B63" w:rsidRPr="000B352A">
        <w:rPr>
          <w:rFonts w:cs="Times New Roman"/>
          <w:color w:val="2D2D2D"/>
          <w:szCs w:val="28"/>
          <w:shd w:val="clear" w:color="auto" w:fill="FFFFFF"/>
        </w:rPr>
        <w:t>icho reglamento</w:t>
      </w:r>
      <w:r w:rsidR="00D14897" w:rsidRPr="000B352A">
        <w:rPr>
          <w:rFonts w:cs="Times New Roman"/>
          <w:color w:val="2D2D2D"/>
          <w:szCs w:val="28"/>
          <w:shd w:val="clear" w:color="auto" w:fill="FFFFFF"/>
        </w:rPr>
        <w:t xml:space="preserve">, como estatuto privado con la facultad de autorizar, entre otras, las publicaciones de información a que aluden las normas </w:t>
      </w:r>
      <w:r w:rsidRPr="000B352A">
        <w:rPr>
          <w:rFonts w:cs="Times New Roman"/>
          <w:color w:val="2D2D2D"/>
          <w:szCs w:val="28"/>
          <w:shd w:val="clear" w:color="auto" w:fill="FFFFFF"/>
        </w:rPr>
        <w:t xml:space="preserve">que ahora </w:t>
      </w:r>
      <w:r w:rsidR="0065041F" w:rsidRPr="000B352A">
        <w:rPr>
          <w:rFonts w:cs="Times New Roman"/>
          <w:color w:val="2D2D2D"/>
          <w:szCs w:val="28"/>
          <w:shd w:val="clear" w:color="auto" w:fill="FFFFFF"/>
        </w:rPr>
        <w:t>estudia</w:t>
      </w:r>
      <w:r w:rsidRPr="000B352A">
        <w:rPr>
          <w:rFonts w:cs="Times New Roman"/>
          <w:color w:val="2D2D2D"/>
          <w:szCs w:val="28"/>
          <w:shd w:val="clear" w:color="auto" w:fill="FFFFFF"/>
        </w:rPr>
        <w:t xml:space="preserve"> la Corte</w:t>
      </w:r>
      <w:r w:rsidR="00D14897" w:rsidRPr="000B352A">
        <w:rPr>
          <w:rFonts w:cs="Times New Roman"/>
          <w:color w:val="2D2D2D"/>
          <w:szCs w:val="28"/>
          <w:shd w:val="clear" w:color="auto" w:fill="FFFFFF"/>
        </w:rPr>
        <w:t>,</w:t>
      </w:r>
      <w:r w:rsidR="00E26B63" w:rsidRPr="000B352A">
        <w:rPr>
          <w:rFonts w:cs="Times New Roman"/>
          <w:color w:val="2D2D2D"/>
          <w:szCs w:val="28"/>
          <w:shd w:val="clear" w:color="auto" w:fill="FFFFFF"/>
        </w:rPr>
        <w:t xml:space="preserve"> </w:t>
      </w:r>
      <w:r w:rsidR="00003B79" w:rsidRPr="000B352A">
        <w:rPr>
          <w:rFonts w:cs="Times New Roman"/>
          <w:color w:val="2D2D2D"/>
          <w:szCs w:val="28"/>
          <w:shd w:val="clear" w:color="auto" w:fill="FFFFFF"/>
        </w:rPr>
        <w:t>debe adecuarse al régimen de propiedad horizontal contenido en la Ley 675 de 2001 o al que, salvo decisión contraria de su asamblea, haya estado vigente al momento de la constitución de la respectiva propiedad horizontal</w:t>
      </w:r>
      <w:r w:rsidR="00003B79" w:rsidRPr="000B352A">
        <w:rPr>
          <w:rStyle w:val="Refdenotaalpie"/>
          <w:color w:val="2D2D2D"/>
          <w:szCs w:val="28"/>
          <w:shd w:val="clear" w:color="auto" w:fill="FFFFFF"/>
        </w:rPr>
        <w:footnoteReference w:id="15"/>
      </w:r>
      <w:r w:rsidR="0065041F" w:rsidRPr="000B352A">
        <w:rPr>
          <w:rFonts w:cs="Times New Roman"/>
          <w:color w:val="2D2D2D"/>
          <w:szCs w:val="28"/>
          <w:shd w:val="clear" w:color="auto" w:fill="FFFFFF"/>
        </w:rPr>
        <w:t>; todo ello</w:t>
      </w:r>
      <w:r w:rsidRPr="000B352A">
        <w:rPr>
          <w:rFonts w:cs="Times New Roman"/>
          <w:color w:val="2D2D2D"/>
          <w:szCs w:val="28"/>
          <w:shd w:val="clear" w:color="auto" w:fill="FFFFFF"/>
        </w:rPr>
        <w:t xml:space="preserve"> </w:t>
      </w:r>
      <w:r w:rsidR="0065041F" w:rsidRPr="000B352A">
        <w:rPr>
          <w:rFonts w:cs="Times New Roman"/>
          <w:color w:val="2D2D2D"/>
          <w:szCs w:val="28"/>
          <w:shd w:val="clear" w:color="auto" w:fill="FFFFFF"/>
        </w:rPr>
        <w:t>dentro de los</w:t>
      </w:r>
      <w:r w:rsidR="00003B79" w:rsidRPr="000B352A">
        <w:rPr>
          <w:rFonts w:cs="Times New Roman"/>
          <w:color w:val="2D2D2D"/>
          <w:szCs w:val="28"/>
          <w:shd w:val="clear" w:color="auto" w:fill="FFFFFF"/>
        </w:rPr>
        <w:t xml:space="preserve"> límite</w:t>
      </w:r>
      <w:r w:rsidR="0065041F" w:rsidRPr="000B352A">
        <w:rPr>
          <w:rFonts w:cs="Times New Roman"/>
          <w:color w:val="2D2D2D"/>
          <w:szCs w:val="28"/>
          <w:shd w:val="clear" w:color="auto" w:fill="FFFFFF"/>
        </w:rPr>
        <w:t>s</w:t>
      </w:r>
      <w:r w:rsidR="00003B79" w:rsidRPr="000B352A">
        <w:rPr>
          <w:rFonts w:cs="Times New Roman"/>
          <w:color w:val="2D2D2D"/>
          <w:szCs w:val="28"/>
          <w:shd w:val="clear" w:color="auto" w:fill="FFFFFF"/>
        </w:rPr>
        <w:t xml:space="preserve"> </w:t>
      </w:r>
      <w:r w:rsidR="0065041F" w:rsidRPr="000B352A">
        <w:rPr>
          <w:rFonts w:cs="Times New Roman"/>
          <w:color w:val="2D2D2D"/>
          <w:szCs w:val="28"/>
          <w:shd w:val="clear" w:color="auto" w:fill="FFFFFF"/>
        </w:rPr>
        <w:t>que contempla</w:t>
      </w:r>
      <w:r w:rsidR="002D1522" w:rsidRPr="000B352A">
        <w:rPr>
          <w:rFonts w:cs="Times New Roman"/>
          <w:color w:val="2D2D2D"/>
          <w:szCs w:val="28"/>
          <w:shd w:val="clear" w:color="auto" w:fill="FFFFFF"/>
        </w:rPr>
        <w:t xml:space="preserve"> la</w:t>
      </w:r>
      <w:r w:rsidR="0094251F" w:rsidRPr="000B352A">
        <w:rPr>
          <w:rFonts w:cs="Times New Roman"/>
          <w:szCs w:val="28"/>
        </w:rPr>
        <w:t xml:space="preserve"> Constitución Política</w:t>
      </w:r>
      <w:r w:rsidR="00E26B63" w:rsidRPr="000B352A">
        <w:rPr>
          <w:rStyle w:val="Refdenotaalpie"/>
          <w:szCs w:val="28"/>
        </w:rPr>
        <w:footnoteReference w:id="16"/>
      </w:r>
      <w:r w:rsidR="0094251F" w:rsidRPr="000B352A">
        <w:rPr>
          <w:rFonts w:cs="Times New Roman"/>
          <w:szCs w:val="28"/>
        </w:rPr>
        <w:t>.</w:t>
      </w:r>
    </w:p>
    <w:p w14:paraId="64E5A2B6" w14:textId="77777777" w:rsidR="000672AA" w:rsidRPr="000B352A" w:rsidRDefault="000672AA" w:rsidP="000B352A">
      <w:pPr>
        <w:pStyle w:val="Prrafodelista"/>
        <w:autoSpaceDE w:val="0"/>
        <w:autoSpaceDN w:val="0"/>
        <w:adjustRightInd w:val="0"/>
        <w:ind w:left="0" w:right="15"/>
        <w:rPr>
          <w:rFonts w:cs="Times New Roman"/>
          <w:szCs w:val="28"/>
        </w:rPr>
      </w:pPr>
    </w:p>
    <w:p w14:paraId="64E5A2B7" w14:textId="77777777" w:rsidR="000672AA" w:rsidRPr="000B352A" w:rsidRDefault="00792D1A" w:rsidP="000B352A">
      <w:pPr>
        <w:pStyle w:val="Prrafodelista"/>
        <w:numPr>
          <w:ilvl w:val="0"/>
          <w:numId w:val="3"/>
        </w:numPr>
        <w:overflowPunct w:val="0"/>
        <w:autoSpaceDE w:val="0"/>
        <w:autoSpaceDN w:val="0"/>
        <w:adjustRightInd w:val="0"/>
        <w:ind w:left="0" w:right="49" w:firstLine="0"/>
        <w:rPr>
          <w:rFonts w:cs="Times New Roman"/>
          <w:b/>
          <w:smallCaps/>
          <w:kern w:val="28"/>
          <w:szCs w:val="28"/>
        </w:rPr>
      </w:pPr>
      <w:r w:rsidRPr="000B352A">
        <w:rPr>
          <w:rFonts w:cs="Times New Roman"/>
          <w:b/>
          <w:smallCaps/>
          <w:kern w:val="28"/>
          <w:szCs w:val="28"/>
        </w:rPr>
        <w:t>Análisis de los cargos</w:t>
      </w:r>
    </w:p>
    <w:p w14:paraId="64E5A2B8" w14:textId="77777777" w:rsidR="000672AA" w:rsidRPr="000B352A" w:rsidRDefault="000672AA" w:rsidP="000B352A">
      <w:pPr>
        <w:pStyle w:val="Prrafodelista"/>
        <w:overflowPunct w:val="0"/>
        <w:autoSpaceDE w:val="0"/>
        <w:autoSpaceDN w:val="0"/>
        <w:adjustRightInd w:val="0"/>
        <w:ind w:left="0" w:right="49"/>
        <w:rPr>
          <w:rFonts w:cs="Times New Roman"/>
          <w:b/>
          <w:szCs w:val="28"/>
        </w:rPr>
      </w:pPr>
    </w:p>
    <w:p w14:paraId="64E5A2B9" w14:textId="77777777" w:rsidR="00A16728" w:rsidRPr="000B352A" w:rsidRDefault="00065B33" w:rsidP="000B352A">
      <w:pPr>
        <w:pStyle w:val="Prrafodelista"/>
        <w:numPr>
          <w:ilvl w:val="1"/>
          <w:numId w:val="3"/>
        </w:numPr>
        <w:ind w:left="567" w:hanging="567"/>
        <w:rPr>
          <w:rFonts w:cs="Times New Roman"/>
          <w:szCs w:val="28"/>
          <w:lang w:val="es-ES_tradnl"/>
        </w:rPr>
      </w:pPr>
      <w:r w:rsidRPr="000B352A">
        <w:rPr>
          <w:rFonts w:cs="Times New Roman"/>
          <w:b/>
          <w:iCs/>
          <w:szCs w:val="28"/>
          <w:lang w:val="es-ES_tradnl" w:eastAsia="es-ES_tradnl"/>
        </w:rPr>
        <w:t>Cargo por violación al derecho a la intimidad</w:t>
      </w:r>
      <w:r w:rsidR="00A16728" w:rsidRPr="000B352A">
        <w:rPr>
          <w:rFonts w:cs="Times New Roman"/>
          <w:b/>
          <w:iCs/>
          <w:szCs w:val="28"/>
          <w:lang w:val="es-ES_tradnl" w:eastAsia="es-ES_tradnl"/>
        </w:rPr>
        <w:t xml:space="preserve"> por parte del artículo 30</w:t>
      </w:r>
      <w:r w:rsidR="005E19F0" w:rsidRPr="000B352A">
        <w:rPr>
          <w:rFonts w:cs="Times New Roman"/>
          <w:b/>
          <w:iCs/>
          <w:szCs w:val="28"/>
          <w:lang w:val="es-ES_tradnl" w:eastAsia="es-ES_tradnl"/>
        </w:rPr>
        <w:t xml:space="preserve"> (inc. 2º) de la Ley 675 de 2001</w:t>
      </w:r>
    </w:p>
    <w:p w14:paraId="64E5A2BA" w14:textId="77777777" w:rsidR="00A16728" w:rsidRPr="000B352A" w:rsidRDefault="00A16728" w:rsidP="000B352A">
      <w:pPr>
        <w:pStyle w:val="Prrafodelista"/>
        <w:ind w:left="0"/>
        <w:rPr>
          <w:rFonts w:cs="Times New Roman"/>
          <w:szCs w:val="28"/>
          <w:lang w:val="es-ES_tradnl"/>
        </w:rPr>
      </w:pPr>
    </w:p>
    <w:p w14:paraId="64E5A2BB" w14:textId="77777777" w:rsidR="00D5649C" w:rsidRPr="000B352A" w:rsidRDefault="00BC47AE" w:rsidP="000B352A">
      <w:pPr>
        <w:pStyle w:val="Prrafodelista"/>
        <w:numPr>
          <w:ilvl w:val="2"/>
          <w:numId w:val="10"/>
        </w:numPr>
        <w:ind w:left="0" w:hanging="11"/>
        <w:rPr>
          <w:rStyle w:val="FontStyle305"/>
          <w:rFonts w:ascii="Times New Roman" w:hAnsi="Times New Roman" w:cs="Times New Roman"/>
          <w:sz w:val="28"/>
          <w:szCs w:val="28"/>
          <w:lang w:val="es-ES_tradnl" w:eastAsia="es-ES_tradnl"/>
        </w:rPr>
      </w:pPr>
      <w:r w:rsidRPr="000B352A">
        <w:rPr>
          <w:rFonts w:cs="Times New Roman"/>
          <w:szCs w:val="28"/>
        </w:rPr>
        <w:t>E</w:t>
      </w:r>
      <w:r w:rsidR="000672AA" w:rsidRPr="000B352A">
        <w:rPr>
          <w:rFonts w:cs="Times New Roman"/>
          <w:szCs w:val="28"/>
        </w:rPr>
        <w:t>n la demanda se denunci</w:t>
      </w:r>
      <w:r w:rsidR="0065041F" w:rsidRPr="000B352A">
        <w:rPr>
          <w:rFonts w:cs="Times New Roman"/>
          <w:szCs w:val="28"/>
        </w:rPr>
        <w:t>a</w:t>
      </w:r>
      <w:r w:rsidR="000672AA" w:rsidRPr="000B352A">
        <w:rPr>
          <w:rFonts w:cs="Times New Roman"/>
          <w:szCs w:val="28"/>
        </w:rPr>
        <w:t xml:space="preserve"> que tanto el inciso 2º del artículo 30 de la Ley 675 de 2001 como </w:t>
      </w:r>
      <w:r w:rsidR="0065041F" w:rsidRPr="000B352A">
        <w:rPr>
          <w:rFonts w:cs="Times New Roman"/>
          <w:szCs w:val="28"/>
        </w:rPr>
        <w:t xml:space="preserve">el subsiguiente </w:t>
      </w:r>
      <w:r w:rsidR="000672AA" w:rsidRPr="000B352A">
        <w:rPr>
          <w:rFonts w:cs="Times New Roman"/>
          <w:szCs w:val="28"/>
        </w:rPr>
        <w:t xml:space="preserve">numeral 1º del artículo 59 </w:t>
      </w:r>
      <w:r w:rsidR="00B61810" w:rsidRPr="000B352A">
        <w:rPr>
          <w:rFonts w:cs="Times New Roman"/>
          <w:i/>
          <w:szCs w:val="28"/>
        </w:rPr>
        <w:t>ibid.</w:t>
      </w:r>
      <w:r w:rsidR="000672AA" w:rsidRPr="000B352A">
        <w:rPr>
          <w:rFonts w:cs="Times New Roman"/>
          <w:szCs w:val="28"/>
        </w:rPr>
        <w:t xml:space="preserve"> resulta</w:t>
      </w:r>
      <w:r w:rsidR="00214F4F" w:rsidRPr="000B352A">
        <w:rPr>
          <w:rFonts w:cs="Times New Roman"/>
          <w:szCs w:val="28"/>
        </w:rPr>
        <w:t>n</w:t>
      </w:r>
      <w:r w:rsidR="000672AA" w:rsidRPr="000B352A">
        <w:rPr>
          <w:rFonts w:cs="Times New Roman"/>
          <w:szCs w:val="28"/>
        </w:rPr>
        <w:t xml:space="preserve"> violatorios del derecho a la intimidad. </w:t>
      </w:r>
      <w:r w:rsidR="0065041F" w:rsidRPr="000B352A">
        <w:rPr>
          <w:rFonts w:cs="Times New Roman"/>
          <w:szCs w:val="28"/>
        </w:rPr>
        <w:t>En tal sentido</w:t>
      </w:r>
      <w:r w:rsidR="00991E93" w:rsidRPr="000B352A">
        <w:rPr>
          <w:rFonts w:cs="Times New Roman"/>
          <w:szCs w:val="28"/>
        </w:rPr>
        <w:t>,</w:t>
      </w:r>
      <w:r w:rsidRPr="000B352A">
        <w:rPr>
          <w:rFonts w:cs="Times New Roman"/>
          <w:szCs w:val="28"/>
        </w:rPr>
        <w:t xml:space="preserve"> las actoras adujeron que</w:t>
      </w:r>
      <w:r w:rsidR="0065041F" w:rsidRPr="000B352A">
        <w:rPr>
          <w:rFonts w:cs="Times New Roman"/>
          <w:szCs w:val="28"/>
        </w:rPr>
        <w:t>: (i)</w:t>
      </w:r>
      <w:r w:rsidR="000672AA" w:rsidRPr="000B352A">
        <w:rPr>
          <w:rFonts w:cs="Times New Roman"/>
          <w:szCs w:val="28"/>
        </w:rPr>
        <w:t xml:space="preserve"> </w:t>
      </w:r>
      <w:r w:rsidR="006570AF" w:rsidRPr="000B352A">
        <w:rPr>
          <w:rFonts w:cs="Times New Roman"/>
          <w:szCs w:val="28"/>
        </w:rPr>
        <w:t xml:space="preserve">la publicación a que hace referencia el inciso 2º del artículo 30 de la ley en mención impide que las personas </w:t>
      </w:r>
      <w:r w:rsidR="006570AF" w:rsidRPr="000B352A">
        <w:rPr>
          <w:rStyle w:val="FontStyle305"/>
          <w:rFonts w:ascii="Times New Roman" w:hAnsi="Times New Roman" w:cs="Times New Roman"/>
          <w:i w:val="0"/>
          <w:sz w:val="28"/>
          <w:szCs w:val="28"/>
          <w:lang w:val="es-ES_tradnl" w:eastAsia="es-ES_tradnl"/>
        </w:rPr>
        <w:t>“</w:t>
      </w:r>
      <w:r w:rsidR="006570AF" w:rsidRPr="000B352A">
        <w:rPr>
          <w:rStyle w:val="FontStyle305"/>
          <w:rFonts w:ascii="Times New Roman" w:hAnsi="Times New Roman" w:cs="Times New Roman"/>
          <w:sz w:val="28"/>
          <w:szCs w:val="28"/>
          <w:lang w:val="es-ES_tradnl" w:eastAsia="es-ES_tradnl"/>
        </w:rPr>
        <w:t>contenga(n) en su esfera privada su situación financiera</w:t>
      </w:r>
      <w:r w:rsidR="006570AF" w:rsidRPr="000B352A">
        <w:rPr>
          <w:rStyle w:val="FontStyle305"/>
          <w:rFonts w:ascii="Times New Roman" w:hAnsi="Times New Roman" w:cs="Times New Roman"/>
          <w:i w:val="0"/>
          <w:sz w:val="28"/>
          <w:szCs w:val="28"/>
          <w:lang w:val="es-ES_tradnl" w:eastAsia="es-ES_tradnl"/>
        </w:rPr>
        <w:t>”</w:t>
      </w:r>
      <w:r w:rsidR="0065041F" w:rsidRPr="000B352A">
        <w:rPr>
          <w:rStyle w:val="FontStyle305"/>
          <w:rFonts w:ascii="Times New Roman" w:hAnsi="Times New Roman" w:cs="Times New Roman"/>
          <w:i w:val="0"/>
          <w:sz w:val="28"/>
          <w:szCs w:val="28"/>
          <w:lang w:val="es-ES_tradnl" w:eastAsia="es-ES_tradnl"/>
        </w:rPr>
        <w:t>; y (ii)</w:t>
      </w:r>
      <w:r w:rsidRPr="000B352A">
        <w:rPr>
          <w:rStyle w:val="FontStyle305"/>
          <w:rFonts w:ascii="Times New Roman" w:hAnsi="Times New Roman" w:cs="Times New Roman"/>
          <w:i w:val="0"/>
          <w:sz w:val="28"/>
          <w:szCs w:val="28"/>
          <w:lang w:val="es-ES_tradnl" w:eastAsia="es-ES_tradnl"/>
        </w:rPr>
        <w:t xml:space="preserve"> </w:t>
      </w:r>
      <w:r w:rsidR="006570AF" w:rsidRPr="000B352A">
        <w:rPr>
          <w:rStyle w:val="FontStyle305"/>
          <w:rFonts w:ascii="Times New Roman" w:hAnsi="Times New Roman" w:cs="Times New Roman"/>
          <w:i w:val="0"/>
          <w:sz w:val="28"/>
          <w:szCs w:val="28"/>
          <w:lang w:val="es-ES_tradnl" w:eastAsia="es-ES_tradnl"/>
        </w:rPr>
        <w:t xml:space="preserve">la divulgación que estipula el numeral 1º del artículo 59 de ese mismo estatuto </w:t>
      </w:r>
      <w:r w:rsidR="00E90633" w:rsidRPr="000B352A">
        <w:rPr>
          <w:rStyle w:val="FontStyle305"/>
          <w:rFonts w:ascii="Times New Roman" w:hAnsi="Times New Roman" w:cs="Times New Roman"/>
          <w:i w:val="0"/>
          <w:sz w:val="28"/>
          <w:szCs w:val="28"/>
          <w:lang w:val="es-ES_tradnl" w:eastAsia="es-ES_tradnl"/>
        </w:rPr>
        <w:t>po</w:t>
      </w:r>
      <w:r w:rsidR="00BB2B91" w:rsidRPr="000B352A">
        <w:rPr>
          <w:rStyle w:val="FontStyle305"/>
          <w:rFonts w:ascii="Times New Roman" w:hAnsi="Times New Roman" w:cs="Times New Roman"/>
          <w:i w:val="0"/>
          <w:sz w:val="28"/>
          <w:szCs w:val="28"/>
          <w:lang w:val="es-ES_tradnl" w:eastAsia="es-ES_tradnl"/>
        </w:rPr>
        <w:t xml:space="preserve">ne en peligro </w:t>
      </w:r>
      <w:r w:rsidR="00E90633" w:rsidRPr="000B352A">
        <w:rPr>
          <w:rStyle w:val="FontStyle305"/>
          <w:rFonts w:ascii="Times New Roman" w:hAnsi="Times New Roman" w:cs="Times New Roman"/>
          <w:i w:val="0"/>
          <w:sz w:val="28"/>
          <w:szCs w:val="28"/>
          <w:lang w:val="es-ES_tradnl" w:eastAsia="es-ES_tradnl"/>
        </w:rPr>
        <w:t>información privada</w:t>
      </w:r>
      <w:r w:rsidR="00BB2B91" w:rsidRPr="000B352A">
        <w:rPr>
          <w:rStyle w:val="FontStyle305"/>
          <w:rFonts w:ascii="Times New Roman" w:hAnsi="Times New Roman" w:cs="Times New Roman"/>
          <w:i w:val="0"/>
          <w:sz w:val="28"/>
          <w:szCs w:val="28"/>
          <w:lang w:val="es-ES_tradnl" w:eastAsia="es-ES_tradnl"/>
        </w:rPr>
        <w:t xml:space="preserve"> de las personas pues la infracción de obligaciones no pecuniarias podría </w:t>
      </w:r>
      <w:r w:rsidR="00991E93" w:rsidRPr="000B352A">
        <w:rPr>
          <w:rStyle w:val="FontStyle305"/>
          <w:rFonts w:ascii="Times New Roman" w:hAnsi="Times New Roman" w:cs="Times New Roman"/>
          <w:i w:val="0"/>
          <w:sz w:val="28"/>
          <w:szCs w:val="28"/>
          <w:lang w:val="es-ES_tradnl" w:eastAsia="es-ES_tradnl"/>
        </w:rPr>
        <w:t xml:space="preserve">abarcar desde la violación de normas relativas </w:t>
      </w:r>
      <w:r w:rsidR="00B61810" w:rsidRPr="000B352A">
        <w:rPr>
          <w:rStyle w:val="FontStyle305"/>
          <w:rFonts w:ascii="Times New Roman" w:hAnsi="Times New Roman" w:cs="Times New Roman"/>
          <w:i w:val="0"/>
          <w:sz w:val="28"/>
          <w:szCs w:val="28"/>
          <w:lang w:val="es-ES_tradnl" w:eastAsia="es-ES_tradnl"/>
        </w:rPr>
        <w:t xml:space="preserve">a </w:t>
      </w:r>
      <w:r w:rsidR="00991E93" w:rsidRPr="000B352A">
        <w:rPr>
          <w:rStyle w:val="FontStyle305"/>
          <w:rFonts w:ascii="Times New Roman" w:hAnsi="Times New Roman" w:cs="Times New Roman"/>
          <w:i w:val="0"/>
          <w:sz w:val="28"/>
          <w:szCs w:val="28"/>
          <w:lang w:val="es-ES_tradnl" w:eastAsia="es-ES_tradnl"/>
        </w:rPr>
        <w:t>remodelaciones</w:t>
      </w:r>
      <w:r w:rsidR="00214F4F" w:rsidRPr="000B352A">
        <w:rPr>
          <w:rStyle w:val="FontStyle305"/>
          <w:rFonts w:ascii="Times New Roman" w:hAnsi="Times New Roman" w:cs="Times New Roman"/>
          <w:i w:val="0"/>
          <w:sz w:val="28"/>
          <w:szCs w:val="28"/>
          <w:lang w:val="es-ES_tradnl" w:eastAsia="es-ES_tradnl"/>
        </w:rPr>
        <w:t>, la</w:t>
      </w:r>
      <w:r w:rsidR="00991E93" w:rsidRPr="000B352A">
        <w:rPr>
          <w:rStyle w:val="FontStyle305"/>
          <w:rFonts w:ascii="Times New Roman" w:hAnsi="Times New Roman" w:cs="Times New Roman"/>
          <w:i w:val="0"/>
          <w:sz w:val="28"/>
          <w:szCs w:val="28"/>
          <w:lang w:val="es-ES_tradnl" w:eastAsia="es-ES_tradnl"/>
        </w:rPr>
        <w:t xml:space="preserve"> información privada como lo sería el ruido excesivo por una discusión familiar</w:t>
      </w:r>
      <w:r w:rsidR="00214F4F" w:rsidRPr="000B352A">
        <w:rPr>
          <w:rStyle w:val="FontStyle305"/>
          <w:rFonts w:ascii="Times New Roman" w:hAnsi="Times New Roman" w:cs="Times New Roman"/>
          <w:i w:val="0"/>
          <w:sz w:val="28"/>
          <w:szCs w:val="28"/>
          <w:lang w:val="es-ES_tradnl" w:eastAsia="es-ES_tradnl"/>
        </w:rPr>
        <w:t xml:space="preserve">, hasta </w:t>
      </w:r>
      <w:r w:rsidR="00991E93" w:rsidRPr="000B352A">
        <w:rPr>
          <w:rStyle w:val="FontStyle305"/>
          <w:rFonts w:ascii="Times New Roman" w:hAnsi="Times New Roman" w:cs="Times New Roman"/>
          <w:i w:val="0"/>
          <w:sz w:val="28"/>
          <w:szCs w:val="28"/>
          <w:lang w:val="es-ES_tradnl" w:eastAsia="es-ES_tradnl"/>
        </w:rPr>
        <w:t>situaciones en las que</w:t>
      </w:r>
      <w:r w:rsidR="00090FD8" w:rsidRPr="000B352A">
        <w:rPr>
          <w:rStyle w:val="FontStyle305"/>
          <w:rFonts w:ascii="Times New Roman" w:hAnsi="Times New Roman" w:cs="Times New Roman"/>
          <w:i w:val="0"/>
          <w:sz w:val="28"/>
          <w:szCs w:val="28"/>
          <w:lang w:val="es-ES_tradnl" w:eastAsia="es-ES_tradnl"/>
        </w:rPr>
        <w:t xml:space="preserve"> </w:t>
      </w:r>
      <w:r w:rsidR="00991E93" w:rsidRPr="000B352A">
        <w:rPr>
          <w:rStyle w:val="FontStyle305"/>
          <w:rFonts w:ascii="Times New Roman" w:hAnsi="Times New Roman" w:cs="Times New Roman"/>
          <w:i w:val="0"/>
          <w:sz w:val="28"/>
          <w:szCs w:val="28"/>
          <w:lang w:val="es-ES_tradnl" w:eastAsia="es-ES_tradnl"/>
        </w:rPr>
        <w:t>se pu</w:t>
      </w:r>
      <w:r w:rsidR="00214F4F" w:rsidRPr="000B352A">
        <w:rPr>
          <w:rStyle w:val="FontStyle305"/>
          <w:rFonts w:ascii="Times New Roman" w:hAnsi="Times New Roman" w:cs="Times New Roman"/>
          <w:i w:val="0"/>
          <w:sz w:val="28"/>
          <w:szCs w:val="28"/>
          <w:lang w:val="es-ES_tradnl" w:eastAsia="es-ES_tradnl"/>
        </w:rPr>
        <w:t>diera</w:t>
      </w:r>
      <w:r w:rsidR="00991E93" w:rsidRPr="000B352A">
        <w:rPr>
          <w:rStyle w:val="FontStyle305"/>
          <w:rFonts w:ascii="Times New Roman" w:hAnsi="Times New Roman" w:cs="Times New Roman"/>
          <w:i w:val="0"/>
          <w:sz w:val="28"/>
          <w:szCs w:val="28"/>
          <w:lang w:val="es-ES_tradnl" w:eastAsia="es-ES_tradnl"/>
        </w:rPr>
        <w:t xml:space="preserve"> revelar</w:t>
      </w:r>
      <w:r w:rsidR="00991E93" w:rsidRPr="000B352A">
        <w:rPr>
          <w:rStyle w:val="FontStyle305"/>
          <w:rFonts w:ascii="Times New Roman" w:hAnsi="Times New Roman" w:cs="Times New Roman"/>
          <w:sz w:val="28"/>
          <w:szCs w:val="28"/>
          <w:lang w:val="es-ES_tradnl" w:eastAsia="es-ES_tradnl"/>
        </w:rPr>
        <w:t xml:space="preserve"> “la orientación sexual del infractor, sin su consentimiento”</w:t>
      </w:r>
      <w:r w:rsidR="00CB3118" w:rsidRPr="000B352A">
        <w:rPr>
          <w:rStyle w:val="FontStyle305"/>
          <w:rFonts w:ascii="Times New Roman" w:hAnsi="Times New Roman" w:cs="Times New Roman"/>
          <w:sz w:val="28"/>
          <w:szCs w:val="28"/>
          <w:lang w:val="es-ES_tradnl" w:eastAsia="es-ES_tradnl"/>
        </w:rPr>
        <w:t>.</w:t>
      </w:r>
    </w:p>
    <w:p w14:paraId="64E5A2BC" w14:textId="77777777" w:rsidR="00D5649C" w:rsidRPr="000B352A" w:rsidRDefault="00D5649C" w:rsidP="000B352A">
      <w:pPr>
        <w:pStyle w:val="Prrafodelista"/>
        <w:ind w:left="0"/>
        <w:rPr>
          <w:rStyle w:val="FontStyle305"/>
          <w:rFonts w:ascii="Times New Roman" w:hAnsi="Times New Roman" w:cs="Times New Roman"/>
          <w:sz w:val="28"/>
          <w:szCs w:val="28"/>
          <w:lang w:val="es-ES_tradnl" w:eastAsia="es-ES_tradnl"/>
        </w:rPr>
      </w:pPr>
    </w:p>
    <w:p w14:paraId="64E5A2BD" w14:textId="77777777" w:rsidR="00D5649C" w:rsidRPr="000B352A" w:rsidRDefault="00BB2B91" w:rsidP="000B352A">
      <w:pPr>
        <w:pStyle w:val="Prrafodelista"/>
        <w:numPr>
          <w:ilvl w:val="2"/>
          <w:numId w:val="10"/>
        </w:numPr>
        <w:ind w:left="0" w:firstLine="0"/>
        <w:rPr>
          <w:rFonts w:cs="Times New Roman"/>
          <w:i/>
          <w:iCs/>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Como se estableció desde la fase preliminar del presente proceso, la Corte rechazó el cargo elevado por la violación </w:t>
      </w:r>
      <w:r w:rsidR="00090FD8" w:rsidRPr="000B352A">
        <w:rPr>
          <w:rStyle w:val="FontStyle305"/>
          <w:rFonts w:ascii="Times New Roman" w:hAnsi="Times New Roman" w:cs="Times New Roman"/>
          <w:i w:val="0"/>
          <w:sz w:val="28"/>
          <w:szCs w:val="28"/>
          <w:lang w:val="es-ES_tradnl" w:eastAsia="es-ES_tradnl"/>
        </w:rPr>
        <w:t>al</w:t>
      </w:r>
      <w:r w:rsidRPr="000B352A">
        <w:rPr>
          <w:rStyle w:val="FontStyle305"/>
          <w:rFonts w:ascii="Times New Roman" w:hAnsi="Times New Roman" w:cs="Times New Roman"/>
          <w:i w:val="0"/>
          <w:sz w:val="28"/>
          <w:szCs w:val="28"/>
          <w:lang w:val="es-ES_tradnl" w:eastAsia="es-ES_tradnl"/>
        </w:rPr>
        <w:t xml:space="preserve"> derecho a la intimidad </w:t>
      </w:r>
      <w:r w:rsidR="00493960" w:rsidRPr="000B352A">
        <w:rPr>
          <w:rStyle w:val="FontStyle305"/>
          <w:rFonts w:ascii="Times New Roman" w:hAnsi="Times New Roman" w:cs="Times New Roman"/>
          <w:i w:val="0"/>
          <w:sz w:val="28"/>
          <w:szCs w:val="28"/>
          <w:lang w:val="es-ES_tradnl" w:eastAsia="es-ES_tradnl"/>
        </w:rPr>
        <w:t>respecto</w:t>
      </w:r>
      <w:r w:rsidRPr="000B352A">
        <w:rPr>
          <w:rStyle w:val="FontStyle305"/>
          <w:rFonts w:ascii="Times New Roman" w:hAnsi="Times New Roman" w:cs="Times New Roman"/>
          <w:i w:val="0"/>
          <w:sz w:val="28"/>
          <w:szCs w:val="28"/>
          <w:lang w:val="es-ES_tradnl" w:eastAsia="es-ES_tradnl"/>
        </w:rPr>
        <w:t xml:space="preserve"> el numeral 1º del artículo 59 de</w:t>
      </w:r>
      <w:r w:rsidR="00090FD8" w:rsidRPr="000B352A">
        <w:rPr>
          <w:rStyle w:val="FontStyle305"/>
          <w:rFonts w:ascii="Times New Roman" w:hAnsi="Times New Roman" w:cs="Times New Roman"/>
          <w:i w:val="0"/>
          <w:sz w:val="28"/>
          <w:szCs w:val="28"/>
          <w:lang w:val="es-ES_tradnl" w:eastAsia="es-ES_tradnl"/>
        </w:rPr>
        <w:t xml:space="preserve"> la Ley 675 de 2001. </w:t>
      </w:r>
      <w:r w:rsidR="00493960" w:rsidRPr="000B352A">
        <w:rPr>
          <w:rStyle w:val="FontStyle305"/>
          <w:rFonts w:ascii="Times New Roman" w:hAnsi="Times New Roman" w:cs="Times New Roman"/>
          <w:i w:val="0"/>
          <w:sz w:val="28"/>
          <w:szCs w:val="28"/>
          <w:lang w:val="es-ES_tradnl" w:eastAsia="es-ES_tradnl"/>
        </w:rPr>
        <w:t xml:space="preserve">Tal rechazó fue fundado en la existencia de la cosa juzgada constitucional formal que incorporó la </w:t>
      </w:r>
      <w:r w:rsidR="00493960" w:rsidRPr="000B352A">
        <w:rPr>
          <w:rStyle w:val="FontStyle305"/>
          <w:rFonts w:ascii="Times New Roman" w:hAnsi="Times New Roman" w:cs="Times New Roman"/>
          <w:b/>
          <w:i w:val="0"/>
          <w:sz w:val="28"/>
          <w:szCs w:val="28"/>
          <w:lang w:val="es-ES_tradnl" w:eastAsia="es-ES_tradnl"/>
        </w:rPr>
        <w:t>Sentencia C-738 de 2002</w:t>
      </w:r>
      <w:r w:rsidR="00493960" w:rsidRPr="000B352A">
        <w:rPr>
          <w:rStyle w:val="Refdenotaalpie"/>
          <w:iCs/>
          <w:szCs w:val="28"/>
          <w:lang w:val="es-ES_tradnl" w:eastAsia="es-ES_tradnl"/>
        </w:rPr>
        <w:footnoteReference w:id="17"/>
      </w:r>
      <w:r w:rsidR="00493960" w:rsidRPr="000B352A">
        <w:rPr>
          <w:rStyle w:val="FontStyle305"/>
          <w:rFonts w:ascii="Times New Roman" w:hAnsi="Times New Roman" w:cs="Times New Roman"/>
          <w:i w:val="0"/>
          <w:sz w:val="28"/>
          <w:szCs w:val="28"/>
          <w:lang w:val="es-ES_tradnl" w:eastAsia="es-ES_tradnl"/>
        </w:rPr>
        <w:t xml:space="preserve"> cuando, entre otros, </w:t>
      </w:r>
      <w:r w:rsidR="00090FD8" w:rsidRPr="000B352A">
        <w:rPr>
          <w:rStyle w:val="FontStyle305"/>
          <w:rFonts w:ascii="Times New Roman" w:hAnsi="Times New Roman" w:cs="Times New Roman"/>
          <w:i w:val="0"/>
          <w:sz w:val="28"/>
          <w:szCs w:val="28"/>
          <w:lang w:val="es-ES_tradnl" w:eastAsia="es-ES_tradnl"/>
        </w:rPr>
        <w:t>esta Corporación</w:t>
      </w:r>
      <w:r w:rsidR="00493960" w:rsidRPr="000B352A">
        <w:rPr>
          <w:rStyle w:val="FontStyle305"/>
          <w:rFonts w:ascii="Times New Roman" w:hAnsi="Times New Roman" w:cs="Times New Roman"/>
          <w:i w:val="0"/>
          <w:sz w:val="28"/>
          <w:szCs w:val="28"/>
          <w:lang w:val="es-ES_tradnl" w:eastAsia="es-ES_tradnl"/>
        </w:rPr>
        <w:t xml:space="preserve"> resolvió declarar la exequibilidad del acápite legal atrás referido por la violación del derecho fundamental a la intimidad. En tal oportunidad la Corte indicó que </w:t>
      </w:r>
      <w:r w:rsidR="00493960" w:rsidRPr="000B352A">
        <w:rPr>
          <w:rFonts w:cs="Times New Roman"/>
          <w:i/>
          <w:szCs w:val="28"/>
        </w:rPr>
        <w:t xml:space="preserve">“(e)n la presente oportunidad la norma que se acusa de ser inconstitucional prescribe la publicación (…) de las sanciones por el incumplimiento de obligaciones no pecuniarias que provengan de la ley o del reglamento de copropiedad. Sobre la base de que para la imposición de sanciones debe siempre observarse el debido proceso interno, y concederse a los infractores el derecho a ser oídos sin consideración a su condición de propietarios, tenedores, arrendatarios o poseedores, como fuera precisado por esta Corporación mediante sentencia C-318 de 2002, </w:t>
      </w:r>
      <w:r w:rsidR="00493960" w:rsidRPr="000B352A">
        <w:rPr>
          <w:rFonts w:cs="Times New Roman"/>
          <w:b/>
          <w:i/>
          <w:szCs w:val="28"/>
        </w:rPr>
        <w:t>la disposición acusada no desconoce el derecho a la intimidad ni al buen nombre,</w:t>
      </w:r>
      <w:r w:rsidR="00493960" w:rsidRPr="000B352A">
        <w:rPr>
          <w:rFonts w:cs="Times New Roman"/>
          <w:i/>
          <w:szCs w:val="28"/>
        </w:rPr>
        <w:t xml:space="preserve"> </w:t>
      </w:r>
      <w:r w:rsidR="00493960" w:rsidRPr="000B352A">
        <w:rPr>
          <w:rFonts w:cs="Times New Roman"/>
          <w:b/>
          <w:i/>
          <w:szCs w:val="28"/>
          <w:u w:val="single"/>
        </w:rPr>
        <w:t>por las mismas razones por las que la publicación de listas de deudores morosos de obligaciones pecuniarias en las copropiedades tampoco tienen ese alcance</w:t>
      </w:r>
      <w:r w:rsidR="00493960" w:rsidRPr="000B352A">
        <w:rPr>
          <w:rFonts w:cs="Times New Roman"/>
          <w:i/>
          <w:szCs w:val="28"/>
        </w:rPr>
        <w:t xml:space="preserve">. </w:t>
      </w:r>
      <w:r w:rsidR="00493960" w:rsidRPr="000B352A">
        <w:rPr>
          <w:rFonts w:cs="Times New Roman"/>
          <w:b/>
          <w:i/>
          <w:szCs w:val="28"/>
        </w:rPr>
        <w:t>En efecto,</w:t>
      </w:r>
      <w:r w:rsidR="00493960" w:rsidRPr="000B352A">
        <w:rPr>
          <w:rFonts w:cs="Times New Roman"/>
          <w:i/>
          <w:szCs w:val="28"/>
        </w:rPr>
        <w:t xml:space="preserve"> </w:t>
      </w:r>
      <w:r w:rsidR="00493960" w:rsidRPr="000B352A">
        <w:rPr>
          <w:rFonts w:cs="Times New Roman"/>
          <w:b/>
          <w:i/>
          <w:szCs w:val="28"/>
        </w:rPr>
        <w:t>el incumplimiento de las normas de convivencia prescritas por la ley o el reglamento no es asunto que permanezca en el fuero interno o en el ámbito familiar de quien así procede, sino que interesa a toda la comunidad afectada por él</w:t>
      </w:r>
      <w:r w:rsidR="00493960" w:rsidRPr="000B352A">
        <w:rPr>
          <w:rFonts w:cs="Times New Roman"/>
          <w:i/>
          <w:szCs w:val="28"/>
        </w:rPr>
        <w:t>. Es decir, de suyo tiene un alcance de afectación del interés común; por ello, la publicación de la sanción subsiguiente a la falta no vulnera la intimidad del sancionado, puesto que la falta misma no es un comportamiento íntimo que deba ser protegido de la divulgación a terceros</w:t>
      </w:r>
      <w:r w:rsidR="00C67A73" w:rsidRPr="000B352A">
        <w:rPr>
          <w:rFonts w:cs="Times New Roman"/>
          <w:i/>
          <w:szCs w:val="28"/>
        </w:rPr>
        <w:t>”</w:t>
      </w:r>
      <w:r w:rsidR="00B61810" w:rsidRPr="000B352A">
        <w:rPr>
          <w:rFonts w:cs="Times New Roman"/>
          <w:i/>
          <w:szCs w:val="28"/>
        </w:rPr>
        <w:t>.</w:t>
      </w:r>
      <w:r w:rsidR="00C67A73" w:rsidRPr="000B352A">
        <w:rPr>
          <w:rFonts w:cs="Times New Roman"/>
          <w:i/>
          <w:szCs w:val="28"/>
        </w:rPr>
        <w:t xml:space="preserve"> </w:t>
      </w:r>
      <w:r w:rsidR="00C67A73" w:rsidRPr="000B352A">
        <w:rPr>
          <w:rFonts w:cs="Times New Roman"/>
          <w:szCs w:val="28"/>
        </w:rPr>
        <w:t>En otras palabras, el cargo por violación del derecho a la intimidad que se presentó contra el numeral 1º del artículo 59 de la Ley 675 de 2001 fue rechazado con fundamento en que dicho derecho, al igual a como sucede frente de “</w:t>
      </w:r>
      <w:r w:rsidR="00C67A73" w:rsidRPr="000B352A">
        <w:rPr>
          <w:rFonts w:cs="Times New Roman"/>
          <w:i/>
          <w:szCs w:val="28"/>
        </w:rPr>
        <w:t>la publicación de listas de deudores morosos de obligaciones pecuniarias en las copropiedades</w:t>
      </w:r>
      <w:r w:rsidR="00C67A73" w:rsidRPr="000B352A">
        <w:rPr>
          <w:rFonts w:cs="Times New Roman"/>
          <w:szCs w:val="28"/>
        </w:rPr>
        <w:t>”, no se ve vulnerado toda vez que la violación de las normas de convivencia de una propiedad horizontal</w:t>
      </w:r>
      <w:r w:rsidR="00AB3789" w:rsidRPr="000B352A">
        <w:rPr>
          <w:rFonts w:cs="Times New Roman"/>
          <w:szCs w:val="28"/>
        </w:rPr>
        <w:t xml:space="preserve"> es un asunto que le interesa a la comunidad respectivamente afectada y, por ende,</w:t>
      </w:r>
      <w:r w:rsidR="00C67A73" w:rsidRPr="000B352A">
        <w:rPr>
          <w:rFonts w:cs="Times New Roman"/>
          <w:szCs w:val="28"/>
        </w:rPr>
        <w:t xml:space="preserve"> escapa al fuero interno del infractor y de su grupo familiar</w:t>
      </w:r>
      <w:r w:rsidR="00AB3789" w:rsidRPr="000B352A">
        <w:rPr>
          <w:rFonts w:cs="Times New Roman"/>
          <w:szCs w:val="28"/>
        </w:rPr>
        <w:t>.</w:t>
      </w:r>
    </w:p>
    <w:p w14:paraId="64E5A2BE" w14:textId="77777777" w:rsidR="00D5649C" w:rsidRPr="000B352A" w:rsidRDefault="00D5649C" w:rsidP="000B352A">
      <w:pPr>
        <w:pStyle w:val="Prrafodelista"/>
        <w:ind w:left="0"/>
        <w:rPr>
          <w:rFonts w:cs="Times New Roman"/>
          <w:i/>
          <w:iCs/>
          <w:szCs w:val="28"/>
          <w:lang w:val="es-ES_tradnl" w:eastAsia="es-ES_tradnl"/>
        </w:rPr>
      </w:pPr>
    </w:p>
    <w:p w14:paraId="64E5A2BF" w14:textId="77777777" w:rsidR="0072521C" w:rsidRPr="000B352A" w:rsidRDefault="00E029D5" w:rsidP="000B352A">
      <w:pPr>
        <w:pStyle w:val="Prrafodelista"/>
        <w:numPr>
          <w:ilvl w:val="2"/>
          <w:numId w:val="10"/>
        </w:numPr>
        <w:ind w:left="0" w:firstLine="0"/>
        <w:rPr>
          <w:rFonts w:cs="Times New Roman"/>
          <w:i/>
          <w:iCs/>
          <w:szCs w:val="28"/>
          <w:lang w:val="es-ES_tradnl" w:eastAsia="es-ES_tradnl"/>
        </w:rPr>
      </w:pPr>
      <w:r w:rsidRPr="000B352A">
        <w:rPr>
          <w:rFonts w:cs="Times New Roman"/>
          <w:szCs w:val="28"/>
        </w:rPr>
        <w:t xml:space="preserve">Con lo anterior en </w:t>
      </w:r>
      <w:r w:rsidR="00090FD8" w:rsidRPr="000B352A">
        <w:rPr>
          <w:rFonts w:cs="Times New Roman"/>
          <w:szCs w:val="28"/>
        </w:rPr>
        <w:t>mente,</w:t>
      </w:r>
      <w:r w:rsidRPr="000B352A">
        <w:rPr>
          <w:rFonts w:cs="Times New Roman"/>
          <w:szCs w:val="28"/>
        </w:rPr>
        <w:t xml:space="preserve"> en lo que</w:t>
      </w:r>
      <w:r w:rsidR="00AB3789" w:rsidRPr="000B352A">
        <w:rPr>
          <w:rFonts w:cs="Times New Roman"/>
          <w:szCs w:val="28"/>
        </w:rPr>
        <w:t xml:space="preserve"> toca con el cargo que se presentó contra el inciso 2º del artículo 30 de la Ley 675 de 2001 por violación al derecho de la intimidad, aun cuando no existe sentencia de constitucionalidad que pueda surtir efectos de cosa juzgada </w:t>
      </w:r>
      <w:r w:rsidR="00F162F6" w:rsidRPr="000B352A">
        <w:rPr>
          <w:rFonts w:cs="Times New Roman"/>
          <w:szCs w:val="28"/>
        </w:rPr>
        <w:t xml:space="preserve">constitucional sobre el referido aparte legal, de la misma Sentencia C-738 de 2002 se desprende el precedente que la Corte debe seguir para resolver </w:t>
      </w:r>
      <w:r w:rsidR="00090FD8" w:rsidRPr="000B352A">
        <w:rPr>
          <w:rFonts w:cs="Times New Roman"/>
          <w:szCs w:val="28"/>
        </w:rPr>
        <w:t>tal</w:t>
      </w:r>
      <w:r w:rsidR="00F162F6" w:rsidRPr="000B352A">
        <w:rPr>
          <w:rFonts w:cs="Times New Roman"/>
          <w:szCs w:val="28"/>
        </w:rPr>
        <w:t xml:space="preserve"> cargo. </w:t>
      </w:r>
      <w:r w:rsidR="0072521C" w:rsidRPr="000B352A">
        <w:rPr>
          <w:rFonts w:cs="Times New Roman"/>
          <w:szCs w:val="28"/>
        </w:rPr>
        <w:t>Ciertamente,</w:t>
      </w:r>
      <w:r w:rsidR="003E00B0" w:rsidRPr="000B352A">
        <w:rPr>
          <w:rFonts w:cs="Times New Roman"/>
          <w:szCs w:val="28"/>
        </w:rPr>
        <w:t xml:space="preserve"> por una parte,</w:t>
      </w:r>
      <w:r w:rsidR="0072521C" w:rsidRPr="000B352A">
        <w:rPr>
          <w:rFonts w:cs="Times New Roman"/>
          <w:szCs w:val="28"/>
        </w:rPr>
        <w:t xml:space="preserve"> </w:t>
      </w:r>
      <w:r w:rsidR="007B76B1" w:rsidRPr="000B352A">
        <w:rPr>
          <w:rFonts w:cs="Times New Roman"/>
          <w:szCs w:val="28"/>
        </w:rPr>
        <w:t xml:space="preserve">al igual a </w:t>
      </w:r>
      <w:r w:rsidR="00E55FBA" w:rsidRPr="000B352A">
        <w:rPr>
          <w:rFonts w:cs="Times New Roman"/>
          <w:szCs w:val="28"/>
        </w:rPr>
        <w:t xml:space="preserve">la controversia que desató la Sentencia C-738 de 2002 respecto del </w:t>
      </w:r>
      <w:r w:rsidR="007B76B1" w:rsidRPr="000B352A">
        <w:rPr>
          <w:rFonts w:cs="Times New Roman"/>
          <w:szCs w:val="28"/>
        </w:rPr>
        <w:t xml:space="preserve">numeral 1º del artículo 59 del actual régimen de propiedad horizontal, </w:t>
      </w:r>
      <w:r w:rsidR="0072521C" w:rsidRPr="000B352A">
        <w:rPr>
          <w:rFonts w:cs="Times New Roman"/>
          <w:szCs w:val="28"/>
        </w:rPr>
        <w:t xml:space="preserve">lo que se censura del inciso 2º del artículo 30 </w:t>
      </w:r>
      <w:r w:rsidR="00B61810" w:rsidRPr="000B352A">
        <w:rPr>
          <w:rFonts w:cs="Times New Roman"/>
          <w:i/>
          <w:szCs w:val="28"/>
        </w:rPr>
        <w:t>ibid.</w:t>
      </w:r>
      <w:r w:rsidR="00E55FBA" w:rsidRPr="000B352A">
        <w:rPr>
          <w:rFonts w:cs="Times New Roman"/>
          <w:szCs w:val="28"/>
        </w:rPr>
        <w:t xml:space="preserve"> </w:t>
      </w:r>
      <w:r w:rsidR="007B76B1" w:rsidRPr="000B352A">
        <w:rPr>
          <w:rFonts w:cs="Times New Roman"/>
          <w:szCs w:val="28"/>
        </w:rPr>
        <w:t xml:space="preserve">es </w:t>
      </w:r>
      <w:r w:rsidR="00E55FBA" w:rsidRPr="000B352A">
        <w:rPr>
          <w:rFonts w:cs="Times New Roman"/>
          <w:szCs w:val="28"/>
        </w:rPr>
        <w:t>la</w:t>
      </w:r>
      <w:r w:rsidR="007B76B1" w:rsidRPr="000B352A">
        <w:rPr>
          <w:rFonts w:cs="Times New Roman"/>
          <w:szCs w:val="28"/>
        </w:rPr>
        <w:t xml:space="preserve"> publicación de </w:t>
      </w:r>
      <w:r w:rsidR="00E55FBA" w:rsidRPr="000B352A">
        <w:rPr>
          <w:rFonts w:cs="Times New Roman"/>
          <w:szCs w:val="28"/>
        </w:rPr>
        <w:t xml:space="preserve">una </w:t>
      </w:r>
      <w:r w:rsidR="007B76B1" w:rsidRPr="000B352A">
        <w:rPr>
          <w:rFonts w:cs="Times New Roman"/>
          <w:szCs w:val="28"/>
        </w:rPr>
        <w:t xml:space="preserve">información relativa al incumplimiento de obligaciones </w:t>
      </w:r>
      <w:r w:rsidR="00E55FBA" w:rsidRPr="000B352A">
        <w:rPr>
          <w:rFonts w:cs="Times New Roman"/>
          <w:szCs w:val="28"/>
        </w:rPr>
        <w:t>que surgen del tipo de propiedad que regula la Ley 675 de 2001</w:t>
      </w:r>
      <w:r w:rsidR="00C83364" w:rsidRPr="000B352A">
        <w:rPr>
          <w:rFonts w:cs="Times New Roman"/>
          <w:szCs w:val="28"/>
        </w:rPr>
        <w:t>:</w:t>
      </w:r>
      <w:r w:rsidR="00E55FBA" w:rsidRPr="000B352A">
        <w:rPr>
          <w:rFonts w:cs="Times New Roman"/>
          <w:szCs w:val="28"/>
        </w:rPr>
        <w:t xml:space="preserve"> en el artículo 59</w:t>
      </w:r>
      <w:r w:rsidR="00C83364" w:rsidRPr="000B352A">
        <w:rPr>
          <w:rFonts w:cs="Times New Roman"/>
          <w:szCs w:val="28"/>
        </w:rPr>
        <w:t>,</w:t>
      </w:r>
      <w:r w:rsidR="00E55FBA" w:rsidRPr="000B352A">
        <w:rPr>
          <w:rFonts w:cs="Times New Roman"/>
          <w:szCs w:val="28"/>
        </w:rPr>
        <w:t xml:space="preserve"> por el incumplimiento de las obligaciones no pecuniarias legal o consensualmente establecidas en el reglamento de propiedad horizontal</w:t>
      </w:r>
      <w:r w:rsidR="00B61810" w:rsidRPr="000B352A">
        <w:rPr>
          <w:rFonts w:cs="Times New Roman"/>
          <w:szCs w:val="28"/>
        </w:rPr>
        <w:t>;</w:t>
      </w:r>
      <w:r w:rsidR="00E55FBA" w:rsidRPr="000B352A">
        <w:rPr>
          <w:rFonts w:cs="Times New Roman"/>
          <w:szCs w:val="28"/>
        </w:rPr>
        <w:t xml:space="preserve"> y en el artículo 30, por el incumplimiento de las obligaciones pecuniarias dirigidas al pago de las expensas que requiere la propiedad horizontal. </w:t>
      </w:r>
      <w:r w:rsidR="00C83364" w:rsidRPr="000B352A">
        <w:rPr>
          <w:rFonts w:cs="Times New Roman"/>
          <w:szCs w:val="28"/>
        </w:rPr>
        <w:t>P</w:t>
      </w:r>
      <w:r w:rsidR="003E00B0" w:rsidRPr="000B352A">
        <w:rPr>
          <w:rFonts w:cs="Times New Roman"/>
          <w:szCs w:val="28"/>
        </w:rPr>
        <w:t xml:space="preserve">or otra parte, la </w:t>
      </w:r>
      <w:r w:rsidR="003E00B0" w:rsidRPr="000B352A">
        <w:rPr>
          <w:rFonts w:cs="Times New Roman"/>
          <w:i/>
          <w:szCs w:val="28"/>
        </w:rPr>
        <w:t>ratio decidendi</w:t>
      </w:r>
      <w:r w:rsidR="003E00B0" w:rsidRPr="000B352A">
        <w:rPr>
          <w:rFonts w:cs="Times New Roman"/>
          <w:szCs w:val="28"/>
        </w:rPr>
        <w:t xml:space="preserve"> utilizada para declarar la exequibilidad de la publicación de que trata el numeral 1º del artículo 59</w:t>
      </w:r>
      <w:r w:rsidR="00C83364" w:rsidRPr="000B352A">
        <w:rPr>
          <w:rFonts w:cs="Times New Roman"/>
          <w:szCs w:val="28"/>
        </w:rPr>
        <w:t xml:space="preserve"> de la Ley 675 de 2001</w:t>
      </w:r>
      <w:r w:rsidR="003E00B0" w:rsidRPr="000B352A">
        <w:rPr>
          <w:rFonts w:cs="Times New Roman"/>
          <w:szCs w:val="28"/>
        </w:rPr>
        <w:t xml:space="preserve"> expresamente </w:t>
      </w:r>
      <w:r w:rsidR="00C83364" w:rsidRPr="000B352A">
        <w:rPr>
          <w:rFonts w:cs="Times New Roman"/>
          <w:szCs w:val="28"/>
        </w:rPr>
        <w:t>señaló</w:t>
      </w:r>
      <w:r w:rsidR="003E00B0" w:rsidRPr="000B352A">
        <w:rPr>
          <w:rFonts w:cs="Times New Roman"/>
          <w:szCs w:val="28"/>
        </w:rPr>
        <w:t xml:space="preserve"> que aquella podía también predicarse respecto de la publicación que prevé el inciso 2º del artículo 30 de ese </w:t>
      </w:r>
      <w:r w:rsidR="00C83364" w:rsidRPr="000B352A">
        <w:rPr>
          <w:rFonts w:cs="Times New Roman"/>
          <w:szCs w:val="28"/>
        </w:rPr>
        <w:t xml:space="preserve">mismo </w:t>
      </w:r>
      <w:r w:rsidR="003E00B0" w:rsidRPr="000B352A">
        <w:rPr>
          <w:rFonts w:cs="Times New Roman"/>
          <w:szCs w:val="28"/>
        </w:rPr>
        <w:t xml:space="preserve">estatuto. Eso es lo que </w:t>
      </w:r>
      <w:r w:rsidR="00C83364" w:rsidRPr="000B352A">
        <w:rPr>
          <w:rFonts w:cs="Times New Roman"/>
          <w:szCs w:val="28"/>
        </w:rPr>
        <w:t>se manifestó en el</w:t>
      </w:r>
      <w:r w:rsidR="003E00B0" w:rsidRPr="000B352A">
        <w:rPr>
          <w:rFonts w:cs="Times New Roman"/>
          <w:szCs w:val="28"/>
        </w:rPr>
        <w:t xml:space="preserve"> aparte jurisprudencial que se enfatiz</w:t>
      </w:r>
      <w:r w:rsidR="00C83364" w:rsidRPr="000B352A">
        <w:rPr>
          <w:rFonts w:cs="Times New Roman"/>
          <w:szCs w:val="28"/>
        </w:rPr>
        <w:t>ó</w:t>
      </w:r>
      <w:r w:rsidR="003E00B0" w:rsidRPr="000B352A">
        <w:rPr>
          <w:rFonts w:cs="Times New Roman"/>
          <w:szCs w:val="28"/>
        </w:rPr>
        <w:t xml:space="preserve"> en negrilla</w:t>
      </w:r>
      <w:r w:rsidR="00C83364" w:rsidRPr="000B352A">
        <w:rPr>
          <w:rFonts w:cs="Times New Roman"/>
          <w:szCs w:val="28"/>
        </w:rPr>
        <w:t xml:space="preserve"> y subraya</w:t>
      </w:r>
      <w:r w:rsidR="003E00B0" w:rsidRPr="000B352A">
        <w:rPr>
          <w:rFonts w:cs="Times New Roman"/>
          <w:szCs w:val="28"/>
        </w:rPr>
        <w:t xml:space="preserve"> en el numeral 2.2. </w:t>
      </w:r>
      <w:r w:rsidR="003E00B0" w:rsidRPr="000B352A">
        <w:rPr>
          <w:rFonts w:cs="Times New Roman"/>
          <w:i/>
          <w:szCs w:val="28"/>
        </w:rPr>
        <w:t>supra</w:t>
      </w:r>
      <w:r w:rsidR="003E00B0" w:rsidRPr="000B352A">
        <w:rPr>
          <w:rFonts w:cs="Times New Roman"/>
          <w:szCs w:val="28"/>
        </w:rPr>
        <w:t xml:space="preserve">, así como </w:t>
      </w:r>
      <w:r w:rsidR="00C83364" w:rsidRPr="000B352A">
        <w:rPr>
          <w:rFonts w:cs="Times New Roman"/>
          <w:szCs w:val="28"/>
        </w:rPr>
        <w:t>en</w:t>
      </w:r>
      <w:r w:rsidR="003E00B0" w:rsidRPr="000B352A">
        <w:rPr>
          <w:rFonts w:cs="Times New Roman"/>
          <w:szCs w:val="28"/>
        </w:rPr>
        <w:t xml:space="preserve"> </w:t>
      </w:r>
      <w:r w:rsidR="00C83364" w:rsidRPr="000B352A">
        <w:rPr>
          <w:rFonts w:cs="Times New Roman"/>
          <w:szCs w:val="28"/>
        </w:rPr>
        <w:t>otros</w:t>
      </w:r>
      <w:r w:rsidR="003E00B0" w:rsidRPr="000B352A">
        <w:rPr>
          <w:rFonts w:cs="Times New Roman"/>
          <w:szCs w:val="28"/>
        </w:rPr>
        <w:t xml:space="preserve"> apartes jurisprudenciales </w:t>
      </w:r>
      <w:r w:rsidR="00C83364" w:rsidRPr="000B352A">
        <w:rPr>
          <w:rFonts w:cs="Times New Roman"/>
          <w:szCs w:val="28"/>
        </w:rPr>
        <w:t>según los cuales</w:t>
      </w:r>
      <w:r w:rsidR="003E00B0" w:rsidRPr="000B352A">
        <w:rPr>
          <w:rFonts w:cs="Times New Roman"/>
          <w:szCs w:val="28"/>
        </w:rPr>
        <w:t xml:space="preserve">: </w:t>
      </w:r>
      <w:r w:rsidR="00C83D61" w:rsidRPr="000B352A">
        <w:rPr>
          <w:rFonts w:cs="Times New Roman"/>
          <w:szCs w:val="28"/>
        </w:rPr>
        <w:t xml:space="preserve">(i) </w:t>
      </w:r>
      <w:r w:rsidR="003E00B0" w:rsidRPr="000B352A">
        <w:rPr>
          <w:rFonts w:cs="Times New Roman"/>
          <w:i/>
          <w:szCs w:val="28"/>
        </w:rPr>
        <w:t>“la publicación de la lista de deudores morosos en las carteleras del conjunto residencial en obedecimiento de directrices trazadas por la asamblea de copropietarios, no constituye por sí misma, vulneración del derecho constitucional fundamental a la intimidad ni al buen nombre</w:t>
      </w:r>
      <w:r w:rsidR="003E00B0" w:rsidRPr="000B352A">
        <w:rPr>
          <w:rFonts w:cs="Times New Roman"/>
          <w:i/>
          <w:szCs w:val="28"/>
          <w:u w:val="single"/>
        </w:rPr>
        <w:t>.</w:t>
      </w:r>
      <w:r w:rsidR="003E00B0" w:rsidRPr="000B352A">
        <w:rPr>
          <w:rFonts w:cs="Times New Roman"/>
          <w:i/>
          <w:szCs w:val="28"/>
        </w:rPr>
        <w:t xml:space="preserve"> (...) Las circunstancias descritas en este caso no comportan una situación que pueda interesar tan solo al propietario, sino que involucran aspectos que comprometen a los demás miembros del conjunto residencial, y que, de algún modo, se relacionan con las previsiones del reglamento de la copropiedad. No se trata de informaciones estrictamente personales, familiares no destinadas al conocimiento público”[36</w:t>
      </w:r>
      <w:r w:rsidR="003E00B0" w:rsidRPr="000B352A">
        <w:rPr>
          <w:rStyle w:val="Refdenotaalpie"/>
          <w:szCs w:val="28"/>
        </w:rPr>
        <w:footnoteReference w:id="18"/>
      </w:r>
      <w:r w:rsidR="003E00B0" w:rsidRPr="000B352A">
        <w:rPr>
          <w:rFonts w:cs="Times New Roman"/>
          <w:i/>
          <w:szCs w:val="28"/>
        </w:rPr>
        <w:t>]</w:t>
      </w:r>
      <w:r w:rsidR="00C83364" w:rsidRPr="000B352A">
        <w:rPr>
          <w:rStyle w:val="Refdenotaalpie"/>
          <w:i/>
          <w:szCs w:val="28"/>
        </w:rPr>
        <w:footnoteReference w:id="19"/>
      </w:r>
      <w:r w:rsidR="00C83D61" w:rsidRPr="000B352A">
        <w:rPr>
          <w:rFonts w:cs="Times New Roman"/>
          <w:i/>
          <w:szCs w:val="28"/>
        </w:rPr>
        <w:t>;</w:t>
      </w:r>
      <w:r w:rsidR="00C83D61" w:rsidRPr="000B352A">
        <w:rPr>
          <w:rFonts w:cs="Times New Roman"/>
          <w:szCs w:val="28"/>
        </w:rPr>
        <w:t xml:space="preserve"> y (ii) </w:t>
      </w:r>
      <w:r w:rsidR="00C83D61" w:rsidRPr="000B352A">
        <w:rPr>
          <w:rFonts w:cs="Times New Roman"/>
          <w:i/>
          <w:szCs w:val="28"/>
        </w:rPr>
        <w:t xml:space="preserve">“(e)n relación con </w:t>
      </w:r>
      <w:r w:rsidR="00C83D61" w:rsidRPr="000B352A">
        <w:rPr>
          <w:rFonts w:cs="Times New Roman"/>
          <w:i/>
          <w:szCs w:val="28"/>
          <w:u w:val="single"/>
        </w:rPr>
        <w:t>l</w:t>
      </w:r>
      <w:r w:rsidR="00C83D61" w:rsidRPr="000B352A">
        <w:rPr>
          <w:rFonts w:cs="Times New Roman"/>
          <w:i/>
          <w:szCs w:val="28"/>
        </w:rPr>
        <w:t>a publicación de lista de morosos, en las zonas comunes de la copropiedad, (…) tal publicación no constituye, por sí misma, violación a los derechos al buen nombre y a la intimidad, por cuanto lo único que se da a conocer es un hecho cierto, la mora en el pago de cuotas de administración y este es un asunto que interesa a los demás habitantes de la copropiedad.”</w:t>
      </w:r>
      <w:r w:rsidR="00D755B7" w:rsidRPr="000B352A">
        <w:rPr>
          <w:rStyle w:val="Refdenotaalpie"/>
          <w:szCs w:val="28"/>
        </w:rPr>
        <w:footnoteReference w:id="20"/>
      </w:r>
    </w:p>
    <w:p w14:paraId="64E5A2C0" w14:textId="77777777" w:rsidR="007B76B1" w:rsidRPr="000B352A" w:rsidRDefault="007B76B1" w:rsidP="000B352A">
      <w:pPr>
        <w:rPr>
          <w:rFonts w:eastAsia="Times New Roman" w:cs="Times New Roman"/>
          <w:b/>
          <w:szCs w:val="28"/>
          <w:lang w:eastAsia="es-CO"/>
        </w:rPr>
      </w:pPr>
    </w:p>
    <w:p w14:paraId="64E5A2C1" w14:textId="77777777" w:rsidR="00C83D61" w:rsidRPr="000B352A" w:rsidRDefault="00C83D61" w:rsidP="000B352A">
      <w:pPr>
        <w:rPr>
          <w:rFonts w:eastAsia="Times New Roman" w:cs="Times New Roman"/>
          <w:szCs w:val="28"/>
          <w:lang w:eastAsia="es-CO"/>
        </w:rPr>
      </w:pPr>
      <w:r w:rsidRPr="000B352A">
        <w:rPr>
          <w:rFonts w:eastAsia="Times New Roman" w:cs="Times New Roman"/>
          <w:szCs w:val="28"/>
          <w:lang w:eastAsia="es-CO"/>
        </w:rPr>
        <w:t>Lo anterior debe bastar para no acceder al cargo por violación al derecho de la intimidad respecto del inciso 2º del artículo 30 de la Ley 675 de 2001.</w:t>
      </w:r>
    </w:p>
    <w:p w14:paraId="64E5A2C2" w14:textId="77777777" w:rsidR="007B76B1" w:rsidRPr="000B352A" w:rsidRDefault="007B76B1" w:rsidP="000B352A">
      <w:pPr>
        <w:pStyle w:val="Prrafodelista"/>
        <w:ind w:left="0" w:right="20"/>
        <w:rPr>
          <w:rFonts w:eastAsia="Times New Roman" w:cs="Times New Roman"/>
          <w:b/>
          <w:szCs w:val="28"/>
          <w:lang w:eastAsia="es-CO"/>
        </w:rPr>
      </w:pPr>
    </w:p>
    <w:p w14:paraId="64E5A2C3" w14:textId="77777777" w:rsidR="009E5647" w:rsidRPr="000B352A" w:rsidRDefault="00065B33" w:rsidP="000B352A">
      <w:pPr>
        <w:pStyle w:val="Prrafodelista"/>
        <w:numPr>
          <w:ilvl w:val="1"/>
          <w:numId w:val="10"/>
        </w:numPr>
        <w:ind w:left="567" w:hanging="567"/>
        <w:rPr>
          <w:rStyle w:val="FontStyle305"/>
          <w:rFonts w:ascii="Times New Roman" w:hAnsi="Times New Roman" w:cs="Times New Roman"/>
          <w:b/>
          <w:i w:val="0"/>
          <w:sz w:val="28"/>
          <w:szCs w:val="28"/>
          <w:u w:val="single"/>
          <w:lang w:val="es-ES_tradnl" w:eastAsia="es-ES_tradnl"/>
        </w:rPr>
      </w:pPr>
      <w:r w:rsidRPr="000B352A">
        <w:rPr>
          <w:rStyle w:val="FontStyle305"/>
          <w:rFonts w:ascii="Times New Roman" w:hAnsi="Times New Roman" w:cs="Times New Roman"/>
          <w:b/>
          <w:i w:val="0"/>
          <w:sz w:val="28"/>
          <w:szCs w:val="28"/>
          <w:lang w:val="es-ES_tradnl" w:eastAsia="es-ES_tradnl"/>
        </w:rPr>
        <w:t>Cargos por violación al derecho al habeas data</w:t>
      </w:r>
      <w:r w:rsidR="00A16728" w:rsidRPr="000B352A">
        <w:rPr>
          <w:rStyle w:val="FontStyle305"/>
          <w:rFonts w:ascii="Times New Roman" w:hAnsi="Times New Roman" w:cs="Times New Roman"/>
          <w:b/>
          <w:i w:val="0"/>
          <w:sz w:val="28"/>
          <w:szCs w:val="28"/>
          <w:lang w:val="es-ES_tradnl" w:eastAsia="es-ES_tradnl"/>
        </w:rPr>
        <w:t xml:space="preserve"> por parte de los artículos 30</w:t>
      </w:r>
      <w:r w:rsidR="005E19F0" w:rsidRPr="000B352A">
        <w:rPr>
          <w:rStyle w:val="FontStyle305"/>
          <w:rFonts w:ascii="Times New Roman" w:hAnsi="Times New Roman" w:cs="Times New Roman"/>
          <w:b/>
          <w:i w:val="0"/>
          <w:sz w:val="28"/>
          <w:szCs w:val="28"/>
          <w:lang w:val="es-ES_tradnl" w:eastAsia="es-ES_tradnl"/>
        </w:rPr>
        <w:t xml:space="preserve"> (inc. 2º)</w:t>
      </w:r>
      <w:r w:rsidR="00A16728" w:rsidRPr="000B352A">
        <w:rPr>
          <w:rStyle w:val="FontStyle305"/>
          <w:rFonts w:ascii="Times New Roman" w:hAnsi="Times New Roman" w:cs="Times New Roman"/>
          <w:b/>
          <w:i w:val="0"/>
          <w:sz w:val="28"/>
          <w:szCs w:val="28"/>
          <w:lang w:val="es-ES_tradnl" w:eastAsia="es-ES_tradnl"/>
        </w:rPr>
        <w:t xml:space="preserve"> y 59</w:t>
      </w:r>
      <w:r w:rsidR="005E19F0" w:rsidRPr="000B352A">
        <w:rPr>
          <w:rStyle w:val="FontStyle305"/>
          <w:rFonts w:ascii="Times New Roman" w:hAnsi="Times New Roman" w:cs="Times New Roman"/>
          <w:b/>
          <w:i w:val="0"/>
          <w:sz w:val="28"/>
          <w:szCs w:val="28"/>
          <w:lang w:val="es-ES_tradnl" w:eastAsia="es-ES_tradnl"/>
        </w:rPr>
        <w:t xml:space="preserve"> (num. 1º) de la Ley 675 de 2001</w:t>
      </w:r>
      <w:r w:rsidR="00CB3118" w:rsidRPr="000B352A">
        <w:rPr>
          <w:rStyle w:val="FontStyle305"/>
          <w:rFonts w:ascii="Times New Roman" w:hAnsi="Times New Roman" w:cs="Times New Roman"/>
          <w:b/>
          <w:i w:val="0"/>
          <w:sz w:val="28"/>
          <w:szCs w:val="28"/>
          <w:lang w:val="es-ES_tradnl" w:eastAsia="es-ES_tradnl"/>
        </w:rPr>
        <w:t xml:space="preserve"> </w:t>
      </w:r>
    </w:p>
    <w:p w14:paraId="64E5A2C4" w14:textId="77777777" w:rsidR="00F54331" w:rsidRPr="000B352A" w:rsidRDefault="00F54331" w:rsidP="000B352A">
      <w:pPr>
        <w:rPr>
          <w:rStyle w:val="FontStyle305"/>
          <w:rFonts w:ascii="Times New Roman" w:hAnsi="Times New Roman" w:cs="Times New Roman"/>
          <w:b/>
          <w:i w:val="0"/>
          <w:sz w:val="28"/>
          <w:szCs w:val="28"/>
          <w:u w:val="single"/>
          <w:lang w:val="es-ES_tradnl" w:eastAsia="es-ES_tradnl"/>
        </w:rPr>
      </w:pPr>
    </w:p>
    <w:p w14:paraId="64E5A2C5" w14:textId="77777777" w:rsidR="00EC11D9" w:rsidRPr="000B352A" w:rsidRDefault="00EB5D74" w:rsidP="000B352A">
      <w:pPr>
        <w:pStyle w:val="Prrafodelista"/>
        <w:ind w:left="0"/>
        <w:rPr>
          <w:rFonts w:cs="Times New Roman"/>
          <w:szCs w:val="28"/>
        </w:rPr>
      </w:pPr>
      <w:r w:rsidRPr="000B352A">
        <w:rPr>
          <w:rStyle w:val="FontStyle305"/>
          <w:rFonts w:ascii="Times New Roman" w:hAnsi="Times New Roman" w:cs="Times New Roman"/>
          <w:i w:val="0"/>
          <w:sz w:val="28"/>
          <w:szCs w:val="28"/>
          <w:lang w:eastAsia="es-ES_tradnl"/>
        </w:rPr>
        <w:t>A pesar de que</w:t>
      </w:r>
      <w:r w:rsidR="003E2926" w:rsidRPr="000B352A">
        <w:rPr>
          <w:rStyle w:val="FontStyle305"/>
          <w:rFonts w:ascii="Times New Roman" w:hAnsi="Times New Roman" w:cs="Times New Roman"/>
          <w:i w:val="0"/>
          <w:sz w:val="28"/>
          <w:szCs w:val="28"/>
          <w:lang w:val="es-ES_tradnl" w:eastAsia="es-ES_tradnl"/>
        </w:rPr>
        <w:t xml:space="preserve"> tanto el derecho a la intimidad </w:t>
      </w:r>
      <w:r w:rsidR="00367CD6" w:rsidRPr="000B352A">
        <w:rPr>
          <w:rStyle w:val="FontStyle305"/>
          <w:rFonts w:ascii="Times New Roman" w:hAnsi="Times New Roman" w:cs="Times New Roman"/>
          <w:i w:val="0"/>
          <w:sz w:val="28"/>
          <w:szCs w:val="28"/>
          <w:lang w:val="es-ES_tradnl" w:eastAsia="es-ES_tradnl"/>
        </w:rPr>
        <w:t>como</w:t>
      </w:r>
      <w:r w:rsidR="003E2926" w:rsidRPr="000B352A">
        <w:rPr>
          <w:rStyle w:val="FontStyle305"/>
          <w:rFonts w:ascii="Times New Roman" w:hAnsi="Times New Roman" w:cs="Times New Roman"/>
          <w:i w:val="0"/>
          <w:sz w:val="28"/>
          <w:szCs w:val="28"/>
          <w:lang w:val="es-ES_tradnl" w:eastAsia="es-ES_tradnl"/>
        </w:rPr>
        <w:t xml:space="preserve"> el derecho al habeas data surgen</w:t>
      </w:r>
      <w:r w:rsidR="00367CD6" w:rsidRPr="000B352A">
        <w:rPr>
          <w:rStyle w:val="FontStyle305"/>
          <w:rFonts w:ascii="Times New Roman" w:hAnsi="Times New Roman" w:cs="Times New Roman"/>
          <w:i w:val="0"/>
          <w:sz w:val="28"/>
          <w:szCs w:val="28"/>
          <w:lang w:val="es-ES_tradnl" w:eastAsia="es-ES_tradnl"/>
        </w:rPr>
        <w:t xml:space="preserve"> </w:t>
      </w:r>
      <w:r w:rsidR="003E2926" w:rsidRPr="000B352A">
        <w:rPr>
          <w:rStyle w:val="FontStyle305"/>
          <w:rFonts w:ascii="Times New Roman" w:hAnsi="Times New Roman" w:cs="Times New Roman"/>
          <w:i w:val="0"/>
          <w:sz w:val="28"/>
          <w:szCs w:val="28"/>
          <w:lang w:val="es-ES_tradnl" w:eastAsia="es-ES_tradnl"/>
        </w:rPr>
        <w:t xml:space="preserve">del texto del artículo 15 superior, el estado </w:t>
      </w:r>
      <w:r w:rsidR="00367CD6" w:rsidRPr="000B352A">
        <w:rPr>
          <w:rStyle w:val="FontStyle305"/>
          <w:rFonts w:ascii="Times New Roman" w:hAnsi="Times New Roman" w:cs="Times New Roman"/>
          <w:i w:val="0"/>
          <w:sz w:val="28"/>
          <w:szCs w:val="28"/>
          <w:lang w:val="es-ES_tradnl" w:eastAsia="es-ES_tradnl"/>
        </w:rPr>
        <w:t xml:space="preserve">actual </w:t>
      </w:r>
      <w:r w:rsidR="003E2926" w:rsidRPr="000B352A">
        <w:rPr>
          <w:rStyle w:val="FontStyle305"/>
          <w:rFonts w:ascii="Times New Roman" w:hAnsi="Times New Roman" w:cs="Times New Roman"/>
          <w:i w:val="0"/>
          <w:sz w:val="28"/>
          <w:szCs w:val="28"/>
          <w:lang w:val="es-ES_tradnl" w:eastAsia="es-ES_tradnl"/>
        </w:rPr>
        <w:t xml:space="preserve">de la jurisprudencia </w:t>
      </w:r>
      <w:r w:rsidR="00367CD6" w:rsidRPr="000B352A">
        <w:rPr>
          <w:rStyle w:val="FontStyle305"/>
          <w:rFonts w:ascii="Times New Roman" w:hAnsi="Times New Roman" w:cs="Times New Roman"/>
          <w:i w:val="0"/>
          <w:sz w:val="28"/>
          <w:szCs w:val="28"/>
          <w:lang w:val="es-ES_tradnl" w:eastAsia="es-ES_tradnl"/>
        </w:rPr>
        <w:t>ha convenido en</w:t>
      </w:r>
      <w:r w:rsidR="003E2926" w:rsidRPr="000B352A">
        <w:rPr>
          <w:rStyle w:val="FontStyle305"/>
          <w:rFonts w:ascii="Times New Roman" w:hAnsi="Times New Roman" w:cs="Times New Roman"/>
          <w:i w:val="0"/>
          <w:sz w:val="28"/>
          <w:szCs w:val="28"/>
          <w:lang w:val="es-ES_tradnl" w:eastAsia="es-ES_tradnl"/>
        </w:rPr>
        <w:t xml:space="preserve"> que se trata de dos derechos</w:t>
      </w:r>
      <w:r w:rsidR="00992E1D" w:rsidRPr="000B352A">
        <w:rPr>
          <w:rStyle w:val="FontStyle305"/>
          <w:rFonts w:ascii="Times New Roman" w:hAnsi="Times New Roman" w:cs="Times New Roman"/>
          <w:i w:val="0"/>
          <w:sz w:val="28"/>
          <w:szCs w:val="28"/>
          <w:lang w:val="es-ES_tradnl" w:eastAsia="es-ES_tradnl"/>
        </w:rPr>
        <w:t xml:space="preserve"> autónomos, </w:t>
      </w:r>
      <w:r w:rsidR="003E2926" w:rsidRPr="000B352A">
        <w:rPr>
          <w:rStyle w:val="FontStyle305"/>
          <w:rFonts w:ascii="Times New Roman" w:hAnsi="Times New Roman" w:cs="Times New Roman"/>
          <w:i w:val="0"/>
          <w:sz w:val="28"/>
          <w:szCs w:val="28"/>
          <w:lang w:val="es-ES_tradnl" w:eastAsia="es-ES_tradnl"/>
        </w:rPr>
        <w:t>en alguna medida relacionados</w:t>
      </w:r>
      <w:r w:rsidR="00E029D5" w:rsidRPr="000B352A">
        <w:rPr>
          <w:rStyle w:val="Refdenotaalpie"/>
          <w:iCs/>
          <w:szCs w:val="28"/>
          <w:lang w:val="es-ES_tradnl" w:eastAsia="es-ES_tradnl"/>
        </w:rPr>
        <w:footnoteReference w:id="21"/>
      </w:r>
      <w:r w:rsidR="003E2926" w:rsidRPr="000B352A">
        <w:rPr>
          <w:rStyle w:val="FontStyle305"/>
          <w:rFonts w:ascii="Times New Roman" w:hAnsi="Times New Roman" w:cs="Times New Roman"/>
          <w:i w:val="0"/>
          <w:sz w:val="28"/>
          <w:szCs w:val="28"/>
          <w:lang w:val="es-ES_tradnl" w:eastAsia="es-ES_tradnl"/>
        </w:rPr>
        <w:t>.</w:t>
      </w:r>
      <w:r w:rsidR="000E635C" w:rsidRPr="000B352A">
        <w:rPr>
          <w:rStyle w:val="FontStyle305"/>
          <w:rFonts w:ascii="Times New Roman" w:hAnsi="Times New Roman" w:cs="Times New Roman"/>
          <w:i w:val="0"/>
          <w:sz w:val="28"/>
          <w:szCs w:val="28"/>
          <w:lang w:val="es-ES_tradnl" w:eastAsia="es-ES_tradnl"/>
        </w:rPr>
        <w:t xml:space="preserve"> </w:t>
      </w:r>
      <w:r w:rsidR="00D50A6C" w:rsidRPr="000B352A">
        <w:rPr>
          <w:rStyle w:val="FontStyle305"/>
          <w:rFonts w:ascii="Times New Roman" w:hAnsi="Times New Roman" w:cs="Times New Roman"/>
          <w:i w:val="0"/>
          <w:sz w:val="28"/>
          <w:szCs w:val="28"/>
          <w:lang w:val="es-ES_tradnl" w:eastAsia="es-ES_tradnl"/>
        </w:rPr>
        <w:t>Mientras que el derecho a la intimidad se ha entendido como “</w:t>
      </w:r>
      <w:r w:rsidR="00D50A6C" w:rsidRPr="000B352A">
        <w:rPr>
          <w:rFonts w:cs="Times New Roman"/>
          <w:i/>
          <w:szCs w:val="28"/>
          <w:bdr w:val="none" w:sz="0" w:space="0" w:color="auto" w:frame="1"/>
          <w:shd w:val="clear" w:color="auto" w:fill="FFFFFF"/>
          <w:lang w:val="es-ES_tradnl"/>
        </w:rPr>
        <w:t>la facultad de exigirle a los demás el respeto pleno por un ámbito exclusivo que incumbe solamente al individuo, que es resguardo de sus posesiones privadas, de sus propios gustos y de aquellas conductas o actitudes personalísimas que no está dispuesto a exhibir, y en el que no caben legítimamente las intromisiones”</w:t>
      </w:r>
      <w:r w:rsidR="00D50A6C" w:rsidRPr="000B352A">
        <w:rPr>
          <w:rStyle w:val="Refdenotaalpie"/>
          <w:szCs w:val="28"/>
          <w:bdr w:val="none" w:sz="0" w:space="0" w:color="auto" w:frame="1"/>
          <w:shd w:val="clear" w:color="auto" w:fill="FFFFFF"/>
          <w:lang w:val="es-ES_tradnl"/>
        </w:rPr>
        <w:footnoteReference w:id="22"/>
      </w:r>
      <w:r w:rsidR="00D50A6C" w:rsidRPr="000B352A">
        <w:rPr>
          <w:rFonts w:cs="Times New Roman"/>
          <w:i/>
          <w:szCs w:val="28"/>
          <w:bdr w:val="none" w:sz="0" w:space="0" w:color="auto" w:frame="1"/>
          <w:shd w:val="clear" w:color="auto" w:fill="FFFFFF"/>
          <w:lang w:val="es-ES_tradnl"/>
        </w:rPr>
        <w:t xml:space="preserve">, </w:t>
      </w:r>
      <w:r w:rsidR="00D50A6C" w:rsidRPr="000B352A">
        <w:rPr>
          <w:rFonts w:cs="Times New Roman"/>
          <w:szCs w:val="28"/>
          <w:bdr w:val="none" w:sz="0" w:space="0" w:color="auto" w:frame="1"/>
          <w:shd w:val="clear" w:color="auto" w:fill="FFFFFF"/>
          <w:lang w:val="es-ES_tradnl"/>
        </w:rPr>
        <w:t xml:space="preserve">el </w:t>
      </w:r>
      <w:r w:rsidR="003B5A9C" w:rsidRPr="000B352A">
        <w:rPr>
          <w:rStyle w:val="FontStyle305"/>
          <w:rFonts w:ascii="Times New Roman" w:hAnsi="Times New Roman" w:cs="Times New Roman"/>
          <w:i w:val="0"/>
          <w:sz w:val="28"/>
          <w:szCs w:val="28"/>
          <w:lang w:val="es-ES_tradnl" w:eastAsia="es-ES_tradnl"/>
        </w:rPr>
        <w:t>derecho al habeas data remite a lo que</w:t>
      </w:r>
      <w:r w:rsidR="00B83221" w:rsidRPr="000B352A">
        <w:rPr>
          <w:rStyle w:val="FontStyle305"/>
          <w:rFonts w:ascii="Times New Roman" w:hAnsi="Times New Roman" w:cs="Times New Roman"/>
          <w:i w:val="0"/>
          <w:sz w:val="28"/>
          <w:szCs w:val="28"/>
          <w:lang w:val="es-ES_tradnl" w:eastAsia="es-ES_tradnl"/>
        </w:rPr>
        <w:t xml:space="preserve">, en algunas oportunidades, </w:t>
      </w:r>
      <w:r w:rsidR="003B5A9C" w:rsidRPr="000B352A">
        <w:rPr>
          <w:rStyle w:val="FontStyle305"/>
          <w:rFonts w:ascii="Times New Roman" w:hAnsi="Times New Roman" w:cs="Times New Roman"/>
          <w:i w:val="0"/>
          <w:sz w:val="28"/>
          <w:szCs w:val="28"/>
          <w:lang w:val="es-ES_tradnl" w:eastAsia="es-ES_tradnl"/>
        </w:rPr>
        <w:t>la jurisprudencia ha de</w:t>
      </w:r>
      <w:r w:rsidR="00B83221" w:rsidRPr="000B352A">
        <w:rPr>
          <w:rStyle w:val="FontStyle305"/>
          <w:rFonts w:ascii="Times New Roman" w:hAnsi="Times New Roman" w:cs="Times New Roman"/>
          <w:i w:val="0"/>
          <w:sz w:val="28"/>
          <w:szCs w:val="28"/>
          <w:lang w:val="es-ES_tradnl" w:eastAsia="es-ES_tradnl"/>
        </w:rPr>
        <w:t>n</w:t>
      </w:r>
      <w:r w:rsidR="003B5A9C" w:rsidRPr="000B352A">
        <w:rPr>
          <w:rStyle w:val="FontStyle305"/>
          <w:rFonts w:ascii="Times New Roman" w:hAnsi="Times New Roman" w:cs="Times New Roman"/>
          <w:i w:val="0"/>
          <w:sz w:val="28"/>
          <w:szCs w:val="28"/>
          <w:lang w:val="es-ES_tradnl" w:eastAsia="es-ES_tradnl"/>
        </w:rPr>
        <w:t>o</w:t>
      </w:r>
      <w:r w:rsidR="00B83221" w:rsidRPr="000B352A">
        <w:rPr>
          <w:rStyle w:val="FontStyle305"/>
          <w:rFonts w:ascii="Times New Roman" w:hAnsi="Times New Roman" w:cs="Times New Roman"/>
          <w:i w:val="0"/>
          <w:sz w:val="28"/>
          <w:szCs w:val="28"/>
          <w:lang w:val="es-ES_tradnl" w:eastAsia="es-ES_tradnl"/>
        </w:rPr>
        <w:t>m</w:t>
      </w:r>
      <w:r w:rsidR="003B5A9C" w:rsidRPr="000B352A">
        <w:rPr>
          <w:rStyle w:val="FontStyle305"/>
          <w:rFonts w:ascii="Times New Roman" w:hAnsi="Times New Roman" w:cs="Times New Roman"/>
          <w:i w:val="0"/>
          <w:sz w:val="28"/>
          <w:szCs w:val="28"/>
          <w:lang w:val="es-ES_tradnl" w:eastAsia="es-ES_tradnl"/>
        </w:rPr>
        <w:t xml:space="preserve">inado como el derecho a la autodeterminación </w:t>
      </w:r>
      <w:r w:rsidR="00B83221" w:rsidRPr="000B352A">
        <w:rPr>
          <w:rStyle w:val="FontStyle305"/>
          <w:rFonts w:ascii="Times New Roman" w:hAnsi="Times New Roman" w:cs="Times New Roman"/>
          <w:i w:val="0"/>
          <w:sz w:val="28"/>
          <w:szCs w:val="28"/>
          <w:lang w:val="es-ES_tradnl" w:eastAsia="es-ES_tradnl"/>
        </w:rPr>
        <w:t xml:space="preserve">informativa o </w:t>
      </w:r>
      <w:r w:rsidR="003B5A9C" w:rsidRPr="000B352A">
        <w:rPr>
          <w:rStyle w:val="FontStyle305"/>
          <w:rFonts w:ascii="Times New Roman" w:hAnsi="Times New Roman" w:cs="Times New Roman"/>
          <w:i w:val="0"/>
          <w:sz w:val="28"/>
          <w:szCs w:val="28"/>
          <w:lang w:val="es-ES_tradnl" w:eastAsia="es-ES_tradnl"/>
        </w:rPr>
        <w:t>informática</w:t>
      </w:r>
      <w:r w:rsidR="00133C4B" w:rsidRPr="000B352A">
        <w:rPr>
          <w:rStyle w:val="FontStyle305"/>
          <w:rFonts w:ascii="Times New Roman" w:hAnsi="Times New Roman" w:cs="Times New Roman"/>
          <w:i w:val="0"/>
          <w:sz w:val="28"/>
          <w:szCs w:val="28"/>
          <w:lang w:val="es-ES_tradnl" w:eastAsia="es-ES_tradnl"/>
        </w:rPr>
        <w:t>; esto es, el “</w:t>
      </w:r>
      <w:r w:rsidR="00133C4B" w:rsidRPr="000B352A">
        <w:rPr>
          <w:rFonts w:cs="Times New Roman"/>
          <w:i/>
          <w:iCs/>
          <w:szCs w:val="28"/>
          <w:bdr w:val="none" w:sz="0" w:space="0" w:color="auto" w:frame="1"/>
          <w:shd w:val="clear" w:color="auto" w:fill="FFFFFF"/>
        </w:rPr>
        <w:t>derecho fundamental autónomo que tiene la función primordial de equilibrar el poder entre el sujeto concernido por el dato y aquél que tiene la capacidad de recolectarlo, almacenarlo, usarlo y transmitirlo”</w:t>
      </w:r>
      <w:r w:rsidR="00133C4B" w:rsidRPr="000B352A">
        <w:rPr>
          <w:rFonts w:cs="Times New Roman"/>
          <w:szCs w:val="28"/>
          <w:shd w:val="clear" w:color="auto" w:fill="FFFFFF"/>
        </w:rPr>
        <w:t>.</w:t>
      </w:r>
      <w:bookmarkStart w:id="2" w:name="_ftnref23"/>
      <w:r w:rsidR="00133C4B" w:rsidRPr="000B352A">
        <w:rPr>
          <w:rFonts w:cs="Times New Roman"/>
          <w:szCs w:val="28"/>
        </w:rPr>
        <w:fldChar w:fldCharType="begin"/>
      </w:r>
      <w:r w:rsidR="00133C4B" w:rsidRPr="000B352A">
        <w:rPr>
          <w:rFonts w:cs="Times New Roman"/>
          <w:szCs w:val="28"/>
        </w:rPr>
        <w:instrText xml:space="preserve"> HYPERLINK "http://www.corteconstitucional.gov.co/relatoria/2015/T-058-15.htm" \l "_ftn23" \o "" </w:instrText>
      </w:r>
      <w:r w:rsidR="00133C4B" w:rsidRPr="000B352A">
        <w:rPr>
          <w:rFonts w:cs="Times New Roman"/>
          <w:szCs w:val="28"/>
        </w:rPr>
        <w:fldChar w:fldCharType="separate"/>
      </w:r>
      <w:r w:rsidR="00133C4B" w:rsidRPr="000B352A">
        <w:rPr>
          <w:rStyle w:val="Hipervnculo"/>
          <w:rFonts w:cs="Times New Roman"/>
          <w:color w:val="auto"/>
          <w:szCs w:val="28"/>
          <w:bdr w:val="none" w:sz="0" w:space="0" w:color="auto" w:frame="1"/>
        </w:rPr>
        <w:t>[23</w:t>
      </w:r>
      <w:r w:rsidR="00133C4B" w:rsidRPr="000B352A">
        <w:rPr>
          <w:rStyle w:val="Refdenotaalpie"/>
          <w:szCs w:val="28"/>
          <w:u w:val="single"/>
          <w:bdr w:val="none" w:sz="0" w:space="0" w:color="auto" w:frame="1"/>
        </w:rPr>
        <w:footnoteReference w:id="23"/>
      </w:r>
      <w:r w:rsidR="00133C4B" w:rsidRPr="000B352A">
        <w:rPr>
          <w:rStyle w:val="Hipervnculo"/>
          <w:rFonts w:cs="Times New Roman"/>
          <w:color w:val="auto"/>
          <w:szCs w:val="28"/>
          <w:bdr w:val="none" w:sz="0" w:space="0" w:color="auto" w:frame="1"/>
        </w:rPr>
        <w:t>]</w:t>
      </w:r>
      <w:r w:rsidR="00133C4B" w:rsidRPr="000B352A">
        <w:rPr>
          <w:rFonts w:cs="Times New Roman"/>
          <w:szCs w:val="28"/>
        </w:rPr>
        <w:fldChar w:fldCharType="end"/>
      </w:r>
      <w:bookmarkEnd w:id="2"/>
      <w:r w:rsidR="00133C4B" w:rsidRPr="000B352A">
        <w:rPr>
          <w:rStyle w:val="Refdenotaalpie"/>
          <w:szCs w:val="28"/>
        </w:rPr>
        <w:footnoteReference w:id="24"/>
      </w:r>
    </w:p>
    <w:p w14:paraId="64E5A2C6" w14:textId="77777777" w:rsidR="00F54331" w:rsidRPr="000B352A" w:rsidRDefault="00F54331" w:rsidP="000B352A">
      <w:pPr>
        <w:pStyle w:val="Prrafodelista"/>
        <w:ind w:left="0"/>
        <w:rPr>
          <w:rFonts w:cs="Times New Roman"/>
          <w:iCs/>
          <w:szCs w:val="28"/>
          <w:lang w:val="es-ES_tradnl" w:eastAsia="es-ES_tradnl"/>
        </w:rPr>
      </w:pPr>
    </w:p>
    <w:p w14:paraId="64E5A2C7" w14:textId="77777777" w:rsidR="00F54331" w:rsidRPr="000B352A" w:rsidRDefault="00F54331" w:rsidP="000B352A">
      <w:pPr>
        <w:pStyle w:val="Prrafodelista"/>
        <w:ind w:left="0"/>
        <w:rPr>
          <w:rFonts w:cs="Times New Roman"/>
          <w:iCs/>
          <w:szCs w:val="28"/>
          <w:lang w:val="es-ES_tradnl" w:eastAsia="es-ES_tradnl"/>
        </w:rPr>
      </w:pPr>
      <w:r w:rsidRPr="000B352A">
        <w:rPr>
          <w:rFonts w:cs="Times New Roman"/>
          <w:iCs/>
          <w:szCs w:val="28"/>
          <w:lang w:val="es-ES_tradnl" w:eastAsia="es-ES_tradnl"/>
        </w:rPr>
        <w:t xml:space="preserve">En la demanda se </w:t>
      </w:r>
      <w:r w:rsidR="005A7D13" w:rsidRPr="000B352A">
        <w:rPr>
          <w:rFonts w:cs="Times New Roman"/>
          <w:iCs/>
          <w:szCs w:val="28"/>
          <w:lang w:val="es-ES_tradnl" w:eastAsia="es-ES_tradnl"/>
        </w:rPr>
        <w:t>impugnan</w:t>
      </w:r>
      <w:r w:rsidRPr="000B352A">
        <w:rPr>
          <w:rFonts w:cs="Times New Roman"/>
          <w:iCs/>
          <w:szCs w:val="28"/>
          <w:lang w:val="es-ES_tradnl" w:eastAsia="es-ES_tradnl"/>
        </w:rPr>
        <w:t xml:space="preserve"> dos apartes legales que remiten a la publicación de </w:t>
      </w:r>
      <w:r w:rsidR="00117FDD" w:rsidRPr="000B352A">
        <w:rPr>
          <w:rFonts w:cs="Times New Roman"/>
          <w:iCs/>
          <w:szCs w:val="28"/>
          <w:lang w:val="es-ES_tradnl" w:eastAsia="es-ES_tradnl"/>
        </w:rPr>
        <w:t xml:space="preserve">sendas </w:t>
      </w:r>
      <w:r w:rsidRPr="000B352A">
        <w:rPr>
          <w:rFonts w:cs="Times New Roman"/>
          <w:iCs/>
          <w:szCs w:val="28"/>
          <w:lang w:val="es-ES_tradnl" w:eastAsia="es-ES_tradnl"/>
        </w:rPr>
        <w:t>listas en las cuales se relacion</w:t>
      </w:r>
      <w:r w:rsidR="00117FDD" w:rsidRPr="000B352A">
        <w:rPr>
          <w:rFonts w:cs="Times New Roman"/>
          <w:iCs/>
          <w:szCs w:val="28"/>
          <w:lang w:val="es-ES_tradnl" w:eastAsia="es-ES_tradnl"/>
        </w:rPr>
        <w:t>a</w:t>
      </w:r>
      <w:r w:rsidRPr="000B352A">
        <w:rPr>
          <w:rFonts w:cs="Times New Roman"/>
          <w:iCs/>
          <w:szCs w:val="28"/>
          <w:lang w:val="es-ES_tradnl" w:eastAsia="es-ES_tradnl"/>
        </w:rPr>
        <w:t xml:space="preserve"> a </w:t>
      </w:r>
      <w:r w:rsidR="00117FDD" w:rsidRPr="000B352A">
        <w:rPr>
          <w:rFonts w:cs="Times New Roman"/>
          <w:iCs/>
          <w:szCs w:val="28"/>
          <w:lang w:val="es-ES_tradnl" w:eastAsia="es-ES_tradnl"/>
        </w:rPr>
        <w:t>los infractores de</w:t>
      </w:r>
      <w:r w:rsidRPr="000B352A">
        <w:rPr>
          <w:rFonts w:cs="Times New Roman"/>
          <w:iCs/>
          <w:szCs w:val="28"/>
          <w:lang w:val="es-ES_tradnl" w:eastAsia="es-ES_tradnl"/>
        </w:rPr>
        <w:t xml:space="preserve"> obligaciones encaminadas a asegurar los propósitos de convivencia de la propiedad horizontal. No obstante, por considerar que las </w:t>
      </w:r>
      <w:r w:rsidR="00117FDD" w:rsidRPr="000B352A">
        <w:rPr>
          <w:rFonts w:cs="Times New Roman"/>
          <w:iCs/>
          <w:szCs w:val="28"/>
          <w:lang w:val="es-ES_tradnl" w:eastAsia="es-ES_tradnl"/>
        </w:rPr>
        <w:t>distintas</w:t>
      </w:r>
      <w:r w:rsidRPr="000B352A">
        <w:rPr>
          <w:rFonts w:cs="Times New Roman"/>
          <w:iCs/>
          <w:szCs w:val="28"/>
          <w:lang w:val="es-ES_tradnl" w:eastAsia="es-ES_tradnl"/>
        </w:rPr>
        <w:t xml:space="preserve"> características de tales obligaciones pueden llevar a un análisis de constitucionalidad difere</w:t>
      </w:r>
      <w:r w:rsidR="00117FDD" w:rsidRPr="000B352A">
        <w:rPr>
          <w:rFonts w:cs="Times New Roman"/>
          <w:iCs/>
          <w:szCs w:val="28"/>
          <w:lang w:val="es-ES_tradnl" w:eastAsia="es-ES_tradnl"/>
        </w:rPr>
        <w:t>nciado</w:t>
      </w:r>
      <w:r w:rsidRPr="000B352A">
        <w:rPr>
          <w:rFonts w:cs="Times New Roman"/>
          <w:iCs/>
          <w:szCs w:val="28"/>
          <w:lang w:val="es-ES_tradnl" w:eastAsia="es-ES_tradnl"/>
        </w:rPr>
        <w:t xml:space="preserve">, el cargo por violación al habeas data </w:t>
      </w:r>
      <w:r w:rsidR="00212CAD" w:rsidRPr="000B352A">
        <w:rPr>
          <w:rFonts w:cs="Times New Roman"/>
          <w:iCs/>
          <w:szCs w:val="28"/>
          <w:lang w:val="es-ES_tradnl" w:eastAsia="es-ES_tradnl"/>
        </w:rPr>
        <w:t>por parte de cada uno de dichos apar</w:t>
      </w:r>
      <w:r w:rsidR="00E2603A" w:rsidRPr="000B352A">
        <w:rPr>
          <w:rFonts w:cs="Times New Roman"/>
          <w:iCs/>
          <w:szCs w:val="28"/>
          <w:lang w:val="es-ES_tradnl" w:eastAsia="es-ES_tradnl"/>
        </w:rPr>
        <w:t>t</w:t>
      </w:r>
      <w:r w:rsidR="00212CAD" w:rsidRPr="000B352A">
        <w:rPr>
          <w:rFonts w:cs="Times New Roman"/>
          <w:iCs/>
          <w:szCs w:val="28"/>
          <w:lang w:val="es-ES_tradnl" w:eastAsia="es-ES_tradnl"/>
        </w:rPr>
        <w:t>es legales se realizará por separado.</w:t>
      </w:r>
    </w:p>
    <w:p w14:paraId="64E5A2C8" w14:textId="77777777" w:rsidR="00EC11D9" w:rsidRPr="000B352A" w:rsidRDefault="00EC11D9" w:rsidP="000B352A">
      <w:pPr>
        <w:pStyle w:val="Prrafodelista"/>
        <w:ind w:left="0"/>
        <w:rPr>
          <w:rFonts w:cs="Times New Roman"/>
          <w:iCs/>
          <w:szCs w:val="28"/>
          <w:lang w:val="es-ES_tradnl" w:eastAsia="es-ES_tradnl"/>
        </w:rPr>
      </w:pPr>
    </w:p>
    <w:p w14:paraId="64E5A2C9" w14:textId="77777777" w:rsidR="00F54331" w:rsidRPr="000B352A" w:rsidRDefault="00212CAD" w:rsidP="000B352A">
      <w:pPr>
        <w:pStyle w:val="Prrafodelista"/>
        <w:numPr>
          <w:ilvl w:val="2"/>
          <w:numId w:val="10"/>
        </w:numPr>
        <w:ind w:left="0" w:firstLine="0"/>
        <w:rPr>
          <w:rFonts w:cs="Times New Roman"/>
          <w:iCs/>
          <w:szCs w:val="28"/>
          <w:u w:val="single"/>
          <w:lang w:val="es-ES_tradnl" w:eastAsia="es-ES_tradnl"/>
        </w:rPr>
      </w:pPr>
      <w:r w:rsidRPr="000B352A">
        <w:rPr>
          <w:rFonts w:cs="Times New Roman"/>
          <w:iCs/>
          <w:szCs w:val="28"/>
          <w:u w:val="single"/>
          <w:lang w:val="es-ES_tradnl" w:eastAsia="es-ES_tradnl"/>
        </w:rPr>
        <w:t xml:space="preserve">El cargo contra el </w:t>
      </w:r>
      <w:r w:rsidR="00991FDE" w:rsidRPr="000B352A">
        <w:rPr>
          <w:rFonts w:cs="Times New Roman"/>
          <w:iCs/>
          <w:szCs w:val="28"/>
          <w:u w:val="single"/>
          <w:lang w:val="es-ES_tradnl" w:eastAsia="es-ES_tradnl"/>
        </w:rPr>
        <w:t xml:space="preserve">aparte demandado del </w:t>
      </w:r>
      <w:r w:rsidRPr="000B352A">
        <w:rPr>
          <w:rFonts w:cs="Times New Roman"/>
          <w:iCs/>
          <w:szCs w:val="28"/>
          <w:u w:val="single"/>
          <w:lang w:val="es-ES_tradnl" w:eastAsia="es-ES_tradnl"/>
        </w:rPr>
        <w:t>inciso 2º del artículo 30 de la Ley 675 de 2001</w:t>
      </w:r>
    </w:p>
    <w:p w14:paraId="64E5A2CA" w14:textId="77777777" w:rsidR="00F54331" w:rsidRPr="000B352A" w:rsidRDefault="00F54331" w:rsidP="000B352A">
      <w:pPr>
        <w:pStyle w:val="Prrafodelista"/>
        <w:ind w:left="0"/>
        <w:rPr>
          <w:rFonts w:cs="Times New Roman"/>
          <w:iCs/>
          <w:szCs w:val="28"/>
          <w:lang w:val="es-ES_tradnl" w:eastAsia="es-ES_tradnl"/>
        </w:rPr>
      </w:pPr>
    </w:p>
    <w:p w14:paraId="64E5A2CB" w14:textId="77777777" w:rsidR="00E2603A" w:rsidRPr="000B352A" w:rsidRDefault="00E2603A" w:rsidP="000B352A">
      <w:pPr>
        <w:pStyle w:val="Prrafodelista"/>
        <w:numPr>
          <w:ilvl w:val="3"/>
          <w:numId w:val="3"/>
        </w:numPr>
        <w:ind w:left="0" w:hanging="22"/>
        <w:rPr>
          <w:rFonts w:cs="Times New Roman"/>
          <w:iCs/>
          <w:szCs w:val="28"/>
          <w:lang w:val="es-ES_tradnl" w:eastAsia="es-ES_tradnl"/>
        </w:rPr>
      </w:pPr>
      <w:r w:rsidRPr="000B352A">
        <w:rPr>
          <w:rStyle w:val="FontStyle305"/>
          <w:rFonts w:ascii="Times New Roman" w:hAnsi="Times New Roman" w:cs="Times New Roman"/>
          <w:i w:val="0"/>
          <w:sz w:val="28"/>
          <w:szCs w:val="28"/>
          <w:lang w:val="es-ES_tradnl" w:eastAsia="es-ES_tradnl"/>
        </w:rPr>
        <w:t>Tras indicar que la información relativa a la mora en el pago de las expensas que requiere la propiedad horizontal</w:t>
      </w:r>
      <w:r w:rsidR="005F71F5" w:rsidRPr="000B352A">
        <w:rPr>
          <w:rStyle w:val="FontStyle305"/>
          <w:rFonts w:ascii="Times New Roman" w:hAnsi="Times New Roman" w:cs="Times New Roman"/>
          <w:i w:val="0"/>
          <w:sz w:val="28"/>
          <w:szCs w:val="28"/>
          <w:lang w:val="es-ES_tradnl" w:eastAsia="es-ES_tradnl"/>
        </w:rPr>
        <w:t xml:space="preserve"> </w:t>
      </w:r>
      <w:r w:rsidRPr="000B352A">
        <w:rPr>
          <w:rStyle w:val="FontStyle305"/>
          <w:rFonts w:ascii="Times New Roman" w:hAnsi="Times New Roman" w:cs="Times New Roman"/>
          <w:i w:val="0"/>
          <w:sz w:val="28"/>
          <w:szCs w:val="28"/>
          <w:lang w:val="es-ES_tradnl" w:eastAsia="es-ES_tradnl"/>
        </w:rPr>
        <w:t>es una información financiera y semiprivada que “</w:t>
      </w:r>
      <w:r w:rsidRPr="000B352A">
        <w:rPr>
          <w:rStyle w:val="FontStyle305"/>
          <w:rFonts w:ascii="Times New Roman" w:hAnsi="Times New Roman" w:cs="Times New Roman"/>
          <w:sz w:val="28"/>
          <w:szCs w:val="28"/>
          <w:lang w:val="es-ES_tradnl" w:eastAsia="es-ES_tradnl"/>
        </w:rPr>
        <w:t>no encaja en ninguna de las excepciones a la autorización previa del artículo 10”</w:t>
      </w:r>
      <w:r w:rsidRPr="000B352A">
        <w:rPr>
          <w:rStyle w:val="FontStyle305"/>
          <w:rFonts w:ascii="Times New Roman" w:hAnsi="Times New Roman" w:cs="Times New Roman"/>
          <w:i w:val="0"/>
          <w:sz w:val="28"/>
          <w:szCs w:val="28"/>
          <w:lang w:val="es-ES_tradnl" w:eastAsia="es-ES_tradnl"/>
        </w:rPr>
        <w:t xml:space="preserve"> de la Ley Estatutaria 1581 de 2012, las demandantes </w:t>
      </w:r>
      <w:r w:rsidR="005F71F5" w:rsidRPr="000B352A">
        <w:rPr>
          <w:rStyle w:val="FontStyle305"/>
          <w:rFonts w:ascii="Times New Roman" w:hAnsi="Times New Roman" w:cs="Times New Roman"/>
          <w:i w:val="0"/>
          <w:sz w:val="28"/>
          <w:szCs w:val="28"/>
          <w:lang w:val="es-ES_tradnl" w:eastAsia="es-ES_tradnl"/>
        </w:rPr>
        <w:t>denuncian</w:t>
      </w:r>
      <w:r w:rsidRPr="000B352A">
        <w:rPr>
          <w:rStyle w:val="FontStyle305"/>
          <w:rFonts w:ascii="Times New Roman" w:hAnsi="Times New Roman" w:cs="Times New Roman"/>
          <w:i w:val="0"/>
          <w:sz w:val="28"/>
          <w:szCs w:val="28"/>
          <w:lang w:val="es-ES_tradnl" w:eastAsia="es-ES_tradnl"/>
        </w:rPr>
        <w:t xml:space="preserve"> que dicha información no es </w:t>
      </w:r>
      <w:r w:rsidR="00E62771" w:rsidRPr="000B352A">
        <w:rPr>
          <w:rStyle w:val="FontStyle305"/>
          <w:rFonts w:ascii="Times New Roman" w:hAnsi="Times New Roman" w:cs="Times New Roman"/>
          <w:i w:val="0"/>
          <w:sz w:val="28"/>
          <w:szCs w:val="28"/>
          <w:lang w:val="es-ES_tradnl" w:eastAsia="es-ES_tradnl"/>
        </w:rPr>
        <w:t xml:space="preserve">de carácter público </w:t>
      </w:r>
      <w:r w:rsidR="002202D0" w:rsidRPr="000B352A">
        <w:rPr>
          <w:rStyle w:val="FontStyle305"/>
          <w:rFonts w:ascii="Times New Roman" w:hAnsi="Times New Roman" w:cs="Times New Roman"/>
          <w:i w:val="0"/>
          <w:sz w:val="28"/>
          <w:szCs w:val="28"/>
          <w:lang w:val="es-ES_tradnl" w:eastAsia="es-ES_tradnl"/>
        </w:rPr>
        <w:t>ni</w:t>
      </w:r>
      <w:r w:rsidRPr="000B352A">
        <w:rPr>
          <w:rStyle w:val="FontStyle305"/>
          <w:rFonts w:ascii="Times New Roman" w:hAnsi="Times New Roman" w:cs="Times New Roman"/>
          <w:i w:val="0"/>
          <w:sz w:val="28"/>
          <w:szCs w:val="28"/>
          <w:lang w:val="es-ES_tradnl" w:eastAsia="es-ES_tradnl"/>
        </w:rPr>
        <w:t xml:space="preserve"> de libre divulgación. Las demandantes sostienen </w:t>
      </w:r>
      <w:r w:rsidR="006B3FC5" w:rsidRPr="000B352A">
        <w:rPr>
          <w:rStyle w:val="FontStyle305"/>
          <w:rFonts w:ascii="Times New Roman" w:hAnsi="Times New Roman" w:cs="Times New Roman"/>
          <w:i w:val="0"/>
          <w:sz w:val="28"/>
          <w:szCs w:val="28"/>
          <w:lang w:val="es-ES_tradnl" w:eastAsia="es-ES_tradnl"/>
        </w:rPr>
        <w:t>que,</w:t>
      </w:r>
      <w:r w:rsidRPr="000B352A">
        <w:rPr>
          <w:rStyle w:val="FontStyle305"/>
          <w:rFonts w:ascii="Times New Roman" w:hAnsi="Times New Roman" w:cs="Times New Roman"/>
          <w:i w:val="0"/>
          <w:sz w:val="28"/>
          <w:szCs w:val="28"/>
          <w:lang w:val="es-ES_tradnl" w:eastAsia="es-ES_tradnl"/>
        </w:rPr>
        <w:t xml:space="preserve"> si bien dicha información contiene </w:t>
      </w:r>
      <w:r w:rsidRPr="000B352A">
        <w:rPr>
          <w:rStyle w:val="FontStyle305"/>
          <w:rFonts w:ascii="Times New Roman" w:hAnsi="Times New Roman" w:cs="Times New Roman"/>
          <w:sz w:val="28"/>
          <w:szCs w:val="28"/>
          <w:lang w:val="es-ES_tradnl" w:eastAsia="es-ES_tradnl"/>
        </w:rPr>
        <w:t>“datos que no son de naturaleza íntima, que pueden interesar no solo a su ti</w:t>
      </w:r>
      <w:r w:rsidR="00F85A34" w:rsidRPr="000B352A">
        <w:rPr>
          <w:rStyle w:val="FontStyle305"/>
          <w:rFonts w:ascii="Times New Roman" w:hAnsi="Times New Roman" w:cs="Times New Roman"/>
          <w:sz w:val="28"/>
          <w:szCs w:val="28"/>
          <w:lang w:val="es-ES_tradnl" w:eastAsia="es-ES_tradnl"/>
        </w:rPr>
        <w:t>tular sino a otras personas, en este caso, a los copropietarios, es información cuyo tratamiento y publicación, necesita autorización previa de su titular</w:t>
      </w:r>
      <w:r w:rsidR="005F71F5" w:rsidRPr="000B352A">
        <w:rPr>
          <w:rStyle w:val="FontStyle305"/>
          <w:rFonts w:ascii="Times New Roman" w:hAnsi="Times New Roman" w:cs="Times New Roman"/>
          <w:sz w:val="28"/>
          <w:szCs w:val="28"/>
          <w:lang w:val="es-ES_tradnl" w:eastAsia="es-ES_tradnl"/>
        </w:rPr>
        <w:t>”</w:t>
      </w:r>
      <w:r w:rsidR="00F85A34" w:rsidRPr="000B352A">
        <w:rPr>
          <w:rStyle w:val="FontStyle305"/>
          <w:rFonts w:ascii="Times New Roman" w:hAnsi="Times New Roman" w:cs="Times New Roman"/>
          <w:i w:val="0"/>
          <w:sz w:val="28"/>
          <w:szCs w:val="28"/>
          <w:lang w:val="es-ES_tradnl" w:eastAsia="es-ES_tradnl"/>
        </w:rPr>
        <w:t>. Finalmente</w:t>
      </w:r>
      <w:r w:rsidR="005F71F5" w:rsidRPr="000B352A">
        <w:rPr>
          <w:rStyle w:val="FontStyle305"/>
          <w:rFonts w:ascii="Times New Roman" w:hAnsi="Times New Roman" w:cs="Times New Roman"/>
          <w:i w:val="0"/>
          <w:sz w:val="28"/>
          <w:szCs w:val="28"/>
          <w:lang w:val="es-ES_tradnl" w:eastAsia="es-ES_tradnl"/>
        </w:rPr>
        <w:t>, las accionantes</w:t>
      </w:r>
      <w:r w:rsidR="00F85A34" w:rsidRPr="000B352A">
        <w:rPr>
          <w:rStyle w:val="FontStyle305"/>
          <w:rFonts w:ascii="Times New Roman" w:hAnsi="Times New Roman" w:cs="Times New Roman"/>
          <w:i w:val="0"/>
          <w:sz w:val="28"/>
          <w:szCs w:val="28"/>
          <w:lang w:val="es-ES_tradnl" w:eastAsia="es-ES_tradnl"/>
        </w:rPr>
        <w:t xml:space="preserve"> reclama</w:t>
      </w:r>
      <w:r w:rsidR="005F71F5" w:rsidRPr="000B352A">
        <w:rPr>
          <w:rStyle w:val="FontStyle305"/>
          <w:rFonts w:ascii="Times New Roman" w:hAnsi="Times New Roman" w:cs="Times New Roman"/>
          <w:i w:val="0"/>
          <w:sz w:val="28"/>
          <w:szCs w:val="28"/>
          <w:lang w:val="es-ES_tradnl" w:eastAsia="es-ES_tradnl"/>
        </w:rPr>
        <w:t>n</w:t>
      </w:r>
      <w:r w:rsidR="00F85A34" w:rsidRPr="000B352A">
        <w:rPr>
          <w:rStyle w:val="FontStyle305"/>
          <w:rFonts w:ascii="Times New Roman" w:hAnsi="Times New Roman" w:cs="Times New Roman"/>
          <w:i w:val="0"/>
          <w:sz w:val="28"/>
          <w:szCs w:val="28"/>
          <w:lang w:val="es-ES_tradnl" w:eastAsia="es-ES_tradnl"/>
        </w:rPr>
        <w:t xml:space="preserve"> que </w:t>
      </w:r>
      <w:r w:rsidR="005F71F5" w:rsidRPr="000B352A">
        <w:rPr>
          <w:rStyle w:val="FontStyle305"/>
          <w:rFonts w:ascii="Times New Roman" w:hAnsi="Times New Roman" w:cs="Times New Roman"/>
          <w:i w:val="0"/>
          <w:sz w:val="28"/>
          <w:szCs w:val="28"/>
          <w:lang w:val="es-ES_tradnl" w:eastAsia="es-ES_tradnl"/>
        </w:rPr>
        <w:t xml:space="preserve">el inciso 2º del </w:t>
      </w:r>
      <w:r w:rsidR="006B3FC5" w:rsidRPr="000B352A">
        <w:rPr>
          <w:rStyle w:val="FontStyle305"/>
          <w:rFonts w:ascii="Times New Roman" w:hAnsi="Times New Roman" w:cs="Times New Roman"/>
          <w:i w:val="0"/>
          <w:sz w:val="28"/>
          <w:szCs w:val="28"/>
          <w:lang w:val="es-ES_tradnl" w:eastAsia="es-ES_tradnl"/>
        </w:rPr>
        <w:t>artículo</w:t>
      </w:r>
      <w:r w:rsidR="005F71F5" w:rsidRPr="000B352A">
        <w:rPr>
          <w:rStyle w:val="FontStyle305"/>
          <w:rFonts w:ascii="Times New Roman" w:hAnsi="Times New Roman" w:cs="Times New Roman"/>
          <w:i w:val="0"/>
          <w:sz w:val="28"/>
          <w:szCs w:val="28"/>
          <w:lang w:val="es-ES_tradnl" w:eastAsia="es-ES_tradnl"/>
        </w:rPr>
        <w:t xml:space="preserve"> 30 de la </w:t>
      </w:r>
      <w:r w:rsidR="006B3FC5" w:rsidRPr="000B352A">
        <w:rPr>
          <w:rStyle w:val="FontStyle305"/>
          <w:rFonts w:ascii="Times New Roman" w:hAnsi="Times New Roman" w:cs="Times New Roman"/>
          <w:i w:val="0"/>
          <w:sz w:val="28"/>
          <w:szCs w:val="28"/>
          <w:lang w:val="es-ES_tradnl" w:eastAsia="es-ES_tradnl"/>
        </w:rPr>
        <w:t>L</w:t>
      </w:r>
      <w:r w:rsidR="005F71F5" w:rsidRPr="000B352A">
        <w:rPr>
          <w:rStyle w:val="FontStyle305"/>
          <w:rFonts w:ascii="Times New Roman" w:hAnsi="Times New Roman" w:cs="Times New Roman"/>
          <w:i w:val="0"/>
          <w:sz w:val="28"/>
          <w:szCs w:val="28"/>
          <w:lang w:val="es-ES_tradnl" w:eastAsia="es-ES_tradnl"/>
        </w:rPr>
        <w:t>ey 675 de 2001</w:t>
      </w:r>
      <w:r w:rsidR="00F85A34" w:rsidRPr="000B352A">
        <w:rPr>
          <w:rStyle w:val="FontStyle305"/>
          <w:rFonts w:ascii="Times New Roman" w:hAnsi="Times New Roman" w:cs="Times New Roman"/>
          <w:i w:val="0"/>
          <w:sz w:val="28"/>
          <w:szCs w:val="28"/>
          <w:lang w:val="es-ES_tradnl" w:eastAsia="es-ES_tradnl"/>
        </w:rPr>
        <w:t xml:space="preserve"> no asegura </w:t>
      </w:r>
      <w:r w:rsidR="00F85A34" w:rsidRPr="000B352A">
        <w:rPr>
          <w:rStyle w:val="FontStyle305"/>
          <w:rFonts w:ascii="Times New Roman" w:hAnsi="Times New Roman" w:cs="Times New Roman"/>
          <w:sz w:val="28"/>
          <w:szCs w:val="28"/>
          <w:lang w:val="es-ES_tradnl" w:eastAsia="es-ES_tradnl"/>
        </w:rPr>
        <w:t>“que los visitantes -totalmente externos de la copropiedad-nunca lleguen a tener acceso a la información (…) dando cabida a que personas no autorizadas por el titular conozcan información que si bien no es privada ni sensible, no ha contado con autorización previa para su publicación”</w:t>
      </w:r>
      <w:r w:rsidR="00F85A34" w:rsidRPr="000B352A">
        <w:rPr>
          <w:rFonts w:cs="Times New Roman"/>
          <w:szCs w:val="28"/>
        </w:rPr>
        <w:t xml:space="preserve"> </w:t>
      </w:r>
    </w:p>
    <w:p w14:paraId="64E5A2CC" w14:textId="77777777" w:rsidR="00E2603A" w:rsidRPr="000B352A" w:rsidRDefault="00E2603A" w:rsidP="000B352A">
      <w:pPr>
        <w:pStyle w:val="Prrafodelista"/>
        <w:ind w:left="0"/>
        <w:rPr>
          <w:rFonts w:cs="Times New Roman"/>
          <w:iCs/>
          <w:szCs w:val="28"/>
          <w:lang w:val="es-ES_tradnl" w:eastAsia="es-ES_tradnl"/>
        </w:rPr>
      </w:pPr>
    </w:p>
    <w:p w14:paraId="64E5A2CD" w14:textId="77777777" w:rsidR="008D370E" w:rsidRPr="000B352A" w:rsidRDefault="008D370E" w:rsidP="000B352A">
      <w:pPr>
        <w:pStyle w:val="Prrafodelista"/>
        <w:numPr>
          <w:ilvl w:val="3"/>
          <w:numId w:val="3"/>
        </w:numPr>
        <w:ind w:left="0" w:firstLine="0"/>
        <w:rPr>
          <w:rFonts w:cs="Times New Roman"/>
          <w:iCs/>
          <w:szCs w:val="28"/>
          <w:lang w:val="es-ES_tradnl" w:eastAsia="es-ES_tradnl"/>
        </w:rPr>
      </w:pPr>
      <w:r w:rsidRPr="000B352A">
        <w:rPr>
          <w:rFonts w:cs="Times New Roman"/>
          <w:iCs/>
          <w:szCs w:val="28"/>
          <w:lang w:val="es-ES_tradnl" w:eastAsia="es-ES_tradnl"/>
        </w:rPr>
        <w:t xml:space="preserve">Visto lo anterior, la Corte comienza por </w:t>
      </w:r>
      <w:r w:rsidR="00D77CE2" w:rsidRPr="000B352A">
        <w:rPr>
          <w:rFonts w:cs="Times New Roman"/>
          <w:iCs/>
          <w:szCs w:val="28"/>
          <w:lang w:val="es-ES_tradnl" w:eastAsia="es-ES_tradnl"/>
        </w:rPr>
        <w:t>recordar</w:t>
      </w:r>
      <w:r w:rsidRPr="000B352A">
        <w:rPr>
          <w:rFonts w:cs="Times New Roman"/>
          <w:iCs/>
          <w:szCs w:val="28"/>
          <w:lang w:val="es-ES_tradnl" w:eastAsia="es-ES_tradnl"/>
        </w:rPr>
        <w:t xml:space="preserve"> que </w:t>
      </w:r>
      <w:r w:rsidR="00D77CE2" w:rsidRPr="000B352A">
        <w:rPr>
          <w:rFonts w:cs="Times New Roman"/>
          <w:iCs/>
          <w:szCs w:val="28"/>
          <w:lang w:val="es-ES_tradnl" w:eastAsia="es-ES_tradnl"/>
        </w:rPr>
        <w:t>“</w:t>
      </w:r>
      <w:r w:rsidR="007531F7" w:rsidRPr="000B352A">
        <w:rPr>
          <w:rFonts w:cs="Times New Roman"/>
          <w:i/>
          <w:iCs/>
          <w:szCs w:val="28"/>
          <w:bdr w:val="none" w:sz="0" w:space="0" w:color="auto" w:frame="1"/>
        </w:rPr>
        <w:t>el dato económico, comercial o financiero, en cuanto verdaderamente aluda a materias de esa naturaleza, no hace parte del derecho a la intimidad, siendo evidente que tal derecho se quebranta cuando, so pretexto de recolectar o difundir datos económicos o financieros, en realidad se recogen o transmiten informaciones sobre la vida privada del individuo o su familia</w:t>
      </w:r>
      <w:r w:rsidR="00D77CE2" w:rsidRPr="000B352A">
        <w:rPr>
          <w:rFonts w:cs="Times New Roman"/>
          <w:i/>
          <w:iCs/>
          <w:szCs w:val="28"/>
          <w:bdr w:val="none" w:sz="0" w:space="0" w:color="auto" w:frame="1"/>
        </w:rPr>
        <w:t>”</w:t>
      </w:r>
      <w:r w:rsidR="00D77CE2" w:rsidRPr="000B352A">
        <w:rPr>
          <w:rStyle w:val="Refdenotaalpie"/>
          <w:i/>
          <w:iCs/>
          <w:szCs w:val="28"/>
          <w:bdr w:val="none" w:sz="0" w:space="0" w:color="auto" w:frame="1"/>
        </w:rPr>
        <w:footnoteReference w:id="25"/>
      </w:r>
      <w:r w:rsidR="00D77CE2" w:rsidRPr="000B352A">
        <w:rPr>
          <w:rFonts w:cs="Times New Roman"/>
          <w:i/>
          <w:iCs/>
          <w:szCs w:val="28"/>
          <w:bdr w:val="none" w:sz="0" w:space="0" w:color="auto" w:frame="1"/>
        </w:rPr>
        <w:t xml:space="preserve">; </w:t>
      </w:r>
      <w:r w:rsidR="00D77CE2" w:rsidRPr="000B352A">
        <w:rPr>
          <w:rFonts w:cs="Times New Roman"/>
          <w:iCs/>
          <w:szCs w:val="28"/>
          <w:bdr w:val="none" w:sz="0" w:space="0" w:color="auto" w:frame="1"/>
        </w:rPr>
        <w:t>así como que</w:t>
      </w:r>
      <w:r w:rsidR="00D77CE2" w:rsidRPr="000B352A">
        <w:rPr>
          <w:rFonts w:cs="Times New Roman"/>
          <w:i/>
          <w:iCs/>
          <w:szCs w:val="28"/>
          <w:bdr w:val="none" w:sz="0" w:space="0" w:color="auto" w:frame="1"/>
        </w:rPr>
        <w:t xml:space="preserve"> “(l)</w:t>
      </w:r>
      <w:r w:rsidR="00D77CE2" w:rsidRPr="000B352A">
        <w:rPr>
          <w:rFonts w:cs="Times New Roman"/>
          <w:i/>
          <w:iCs/>
          <w:szCs w:val="28"/>
          <w:bdr w:val="none" w:sz="0" w:space="0" w:color="auto" w:frame="1"/>
          <w:shd w:val="clear" w:color="auto" w:fill="FFFFFF"/>
        </w:rPr>
        <w:t>a finalidad legítima del procesamiento de los datos personales de contenido comercial y crediticio está concentrada en el cálculo adecuado del riesgo financiero atribuible al sujeto concernido, esto con el fin de suministrar información a los agentes económicos para la toma de decisiones relativas a la celebración de contratos comerciales y de crédito con clientes potenciales.”</w:t>
      </w:r>
      <w:r w:rsidR="00D77CE2" w:rsidRPr="000B352A">
        <w:rPr>
          <w:rStyle w:val="Refdenotaalpie"/>
          <w:iCs/>
          <w:szCs w:val="28"/>
          <w:bdr w:val="none" w:sz="0" w:space="0" w:color="auto" w:frame="1"/>
          <w:shd w:val="clear" w:color="auto" w:fill="FFFFFF"/>
        </w:rPr>
        <w:footnoteReference w:id="26"/>
      </w:r>
    </w:p>
    <w:p w14:paraId="64E5A2CE" w14:textId="77777777" w:rsidR="008D370E" w:rsidRPr="000B352A" w:rsidRDefault="008D370E" w:rsidP="000B352A">
      <w:pPr>
        <w:pStyle w:val="Prrafodelista"/>
        <w:rPr>
          <w:rFonts w:cs="Times New Roman"/>
          <w:iCs/>
          <w:szCs w:val="28"/>
          <w:lang w:val="es-ES_tradnl" w:eastAsia="es-ES_tradnl"/>
        </w:rPr>
      </w:pPr>
    </w:p>
    <w:p w14:paraId="64E5A2CF" w14:textId="77777777" w:rsidR="006245DD" w:rsidRPr="000B352A" w:rsidRDefault="008D370E" w:rsidP="000B352A">
      <w:pPr>
        <w:pStyle w:val="Prrafodelista"/>
        <w:numPr>
          <w:ilvl w:val="3"/>
          <w:numId w:val="3"/>
        </w:numPr>
        <w:ind w:left="0" w:firstLine="0"/>
        <w:rPr>
          <w:rFonts w:cs="Times New Roman"/>
          <w:iCs/>
          <w:szCs w:val="28"/>
          <w:lang w:val="es-ES_tradnl" w:eastAsia="es-ES_tradnl"/>
        </w:rPr>
      </w:pPr>
      <w:r w:rsidRPr="000B352A">
        <w:rPr>
          <w:rFonts w:cs="Times New Roman"/>
          <w:iCs/>
          <w:szCs w:val="28"/>
          <w:lang w:val="es-ES_tradnl" w:eastAsia="es-ES_tradnl"/>
        </w:rPr>
        <w:t>La Corte también considera relevante recordar que, c</w:t>
      </w:r>
      <w:r w:rsidR="008E2545" w:rsidRPr="000B352A">
        <w:rPr>
          <w:rFonts w:cs="Times New Roman"/>
          <w:iCs/>
          <w:szCs w:val="28"/>
          <w:lang w:val="es-ES_tradnl" w:eastAsia="es-ES_tradnl"/>
        </w:rPr>
        <w:t>on el propósito de delimitar el alcance de las garantías del derecho fundamental al habeas data y darle solución a la tensión que existe entre este y el derecho fundamental a la información (</w:t>
      </w:r>
      <w:r w:rsidR="004951C9" w:rsidRPr="000B352A">
        <w:rPr>
          <w:rFonts w:cs="Times New Roman"/>
          <w:iCs/>
          <w:szCs w:val="28"/>
          <w:lang w:val="es-ES_tradnl" w:eastAsia="es-ES_tradnl"/>
        </w:rPr>
        <w:t>C.P.</w:t>
      </w:r>
      <w:r w:rsidR="008E2545" w:rsidRPr="000B352A">
        <w:rPr>
          <w:rFonts w:cs="Times New Roman"/>
          <w:iCs/>
          <w:szCs w:val="28"/>
          <w:lang w:val="es-ES_tradnl" w:eastAsia="es-ES_tradnl"/>
        </w:rPr>
        <w:t>, art</w:t>
      </w:r>
      <w:r w:rsidR="004951C9" w:rsidRPr="000B352A">
        <w:rPr>
          <w:rFonts w:cs="Times New Roman"/>
          <w:iCs/>
          <w:szCs w:val="28"/>
          <w:lang w:val="es-ES_tradnl" w:eastAsia="es-ES_tradnl"/>
        </w:rPr>
        <w:t>.</w:t>
      </w:r>
      <w:r w:rsidR="008E2545" w:rsidRPr="000B352A">
        <w:rPr>
          <w:rFonts w:cs="Times New Roman"/>
          <w:iCs/>
          <w:szCs w:val="28"/>
          <w:lang w:val="es-ES_tradnl" w:eastAsia="es-ES_tradnl"/>
        </w:rPr>
        <w:t xml:space="preserve"> 20), el ordenamiento jurídico ha clasificado los datos personales en cuatro categorías</w:t>
      </w:r>
      <w:r w:rsidR="006B3FC5" w:rsidRPr="000B352A">
        <w:rPr>
          <w:rFonts w:cs="Times New Roman"/>
          <w:iCs/>
          <w:szCs w:val="28"/>
          <w:lang w:val="es-ES_tradnl" w:eastAsia="es-ES_tradnl"/>
        </w:rPr>
        <w:t>, a saber</w:t>
      </w:r>
      <w:r w:rsidR="00C651C7" w:rsidRPr="000B352A">
        <w:rPr>
          <w:rFonts w:cs="Times New Roman"/>
          <w:iCs/>
          <w:szCs w:val="28"/>
          <w:lang w:val="es-ES_tradnl" w:eastAsia="es-ES_tradnl"/>
        </w:rPr>
        <w:t>: privada, reservada, semiprivada y pública. En Sentencia T-238 de 2018</w:t>
      </w:r>
      <w:r w:rsidR="00C651C7" w:rsidRPr="000B352A">
        <w:rPr>
          <w:rStyle w:val="Refdenotaalpie"/>
          <w:iCs/>
          <w:szCs w:val="28"/>
          <w:lang w:val="es-ES_tradnl" w:eastAsia="es-ES_tradnl"/>
        </w:rPr>
        <w:footnoteReference w:id="27"/>
      </w:r>
      <w:r w:rsidR="00C651C7" w:rsidRPr="000B352A">
        <w:rPr>
          <w:rFonts w:cs="Times New Roman"/>
          <w:iCs/>
          <w:szCs w:val="28"/>
          <w:lang w:val="es-ES_tradnl" w:eastAsia="es-ES_tradnl"/>
        </w:rPr>
        <w:t>, la Corte describió cada una de estas</w:t>
      </w:r>
      <w:r w:rsidR="00212CAD" w:rsidRPr="000B352A">
        <w:rPr>
          <w:rFonts w:cs="Times New Roman"/>
          <w:iCs/>
          <w:szCs w:val="28"/>
          <w:lang w:val="es-ES_tradnl" w:eastAsia="es-ES_tradnl"/>
        </w:rPr>
        <w:t xml:space="preserve"> categorías</w:t>
      </w:r>
      <w:r w:rsidR="00C651C7" w:rsidRPr="000B352A">
        <w:rPr>
          <w:rFonts w:cs="Times New Roman"/>
          <w:iCs/>
          <w:szCs w:val="28"/>
          <w:lang w:val="es-ES_tradnl" w:eastAsia="es-ES_tradnl"/>
        </w:rPr>
        <w:t xml:space="preserve"> de la siguiente manera:</w:t>
      </w:r>
    </w:p>
    <w:p w14:paraId="64E5A2D0" w14:textId="77777777" w:rsidR="00C651C7" w:rsidRPr="000B352A" w:rsidRDefault="00C651C7" w:rsidP="000B352A">
      <w:pPr>
        <w:pStyle w:val="Prrafodelista"/>
        <w:rPr>
          <w:rFonts w:cs="Times New Roman"/>
          <w:iCs/>
          <w:szCs w:val="28"/>
          <w:lang w:val="es-ES_tradnl" w:eastAsia="es-ES_tradnl"/>
        </w:rPr>
      </w:pPr>
    </w:p>
    <w:p w14:paraId="64E5A2D1" w14:textId="77777777" w:rsidR="00C651C7" w:rsidRPr="000B352A" w:rsidRDefault="00C651C7" w:rsidP="000B352A">
      <w:pPr>
        <w:widowControl/>
        <w:shd w:val="clear" w:color="auto" w:fill="FFFFFF"/>
        <w:suppressAutoHyphens w:val="0"/>
        <w:ind w:left="567" w:right="616"/>
        <w:textAlignment w:val="baseline"/>
        <w:rPr>
          <w:rFonts w:eastAsia="Times New Roman" w:cs="Times New Roman"/>
          <w:kern w:val="0"/>
          <w:szCs w:val="28"/>
          <w:lang w:eastAsia="es-CO" w:bidi="ar-SA"/>
        </w:rPr>
      </w:pPr>
      <w:r w:rsidRPr="000B352A">
        <w:rPr>
          <w:rFonts w:eastAsia="Times New Roman" w:cs="Times New Roman"/>
          <w:b/>
          <w:i/>
          <w:kern w:val="0"/>
          <w:szCs w:val="28"/>
          <w:bdr w:val="none" w:sz="0" w:space="0" w:color="auto" w:frame="1"/>
          <w:lang w:val="es-ES_tradnl" w:eastAsia="es-CO" w:bidi="ar-SA"/>
        </w:rPr>
        <w:t>“32.2.</w:t>
      </w:r>
      <w:r w:rsidRPr="000B352A">
        <w:rPr>
          <w:rFonts w:eastAsia="Times New Roman" w:cs="Times New Roman"/>
          <w:kern w:val="0"/>
          <w:szCs w:val="28"/>
          <w:bdr w:val="none" w:sz="0" w:space="0" w:color="auto" w:frame="1"/>
          <w:lang w:val="es-ES_tradnl" w:eastAsia="es-CO" w:bidi="ar-SA"/>
        </w:rPr>
        <w:t xml:space="preserve"> La </w:t>
      </w:r>
      <w:r w:rsidRPr="000B352A">
        <w:rPr>
          <w:rFonts w:eastAsia="Times New Roman" w:cs="Times New Roman"/>
          <w:b/>
          <w:bCs/>
          <w:i/>
          <w:iCs/>
          <w:kern w:val="0"/>
          <w:szCs w:val="28"/>
          <w:bdr w:val="none" w:sz="0" w:space="0" w:color="auto" w:frame="1"/>
          <w:lang w:val="es-ES_tradnl" w:eastAsia="es-CO" w:bidi="ar-SA"/>
        </w:rPr>
        <w:t>información privada</w:t>
      </w:r>
      <w:r w:rsidRPr="000B352A">
        <w:rPr>
          <w:rFonts w:eastAsia="Times New Roman" w:cs="Times New Roman"/>
          <w:kern w:val="0"/>
          <w:szCs w:val="28"/>
          <w:bdr w:val="none" w:sz="0" w:space="0" w:color="auto" w:frame="1"/>
          <w:lang w:val="es-ES_tradnl" w:eastAsia="es-CO" w:bidi="ar-SA"/>
        </w:rPr>
        <w:t> es aquella que por versar sobre información personal y por encontrarse en un ámbito privado, sólo puede ser obtenida y ofrecida por orden de autoridad judicial en el cumplimiento de sus funciones. Es el caso de los libros de los comerciantes, los documentos privados, las historias clínicas y la información extraída a partir de la inspección del domicilio.</w:t>
      </w:r>
    </w:p>
    <w:p w14:paraId="64E5A2D2" w14:textId="77777777" w:rsidR="00C651C7" w:rsidRPr="000B352A" w:rsidRDefault="00C651C7" w:rsidP="000B352A">
      <w:pPr>
        <w:widowControl/>
        <w:shd w:val="clear" w:color="auto" w:fill="FFFFFF"/>
        <w:suppressAutoHyphens w:val="0"/>
        <w:ind w:left="567" w:right="616"/>
        <w:textAlignment w:val="baseline"/>
        <w:rPr>
          <w:rFonts w:eastAsia="Times New Roman" w:cs="Times New Roman"/>
          <w:kern w:val="0"/>
          <w:szCs w:val="28"/>
          <w:lang w:eastAsia="es-CO" w:bidi="ar-SA"/>
        </w:rPr>
      </w:pPr>
      <w:r w:rsidRPr="000B352A">
        <w:rPr>
          <w:rFonts w:eastAsia="Times New Roman" w:cs="Times New Roman"/>
          <w:kern w:val="0"/>
          <w:szCs w:val="28"/>
          <w:bdr w:val="none" w:sz="0" w:space="0" w:color="auto" w:frame="1"/>
          <w:lang w:val="es-ES_tradnl" w:eastAsia="es-CO" w:bidi="ar-SA"/>
        </w:rPr>
        <w:t> </w:t>
      </w:r>
    </w:p>
    <w:p w14:paraId="64E5A2D3" w14:textId="77777777" w:rsidR="00C651C7" w:rsidRPr="000B352A" w:rsidRDefault="00C651C7" w:rsidP="000B352A">
      <w:pPr>
        <w:widowControl/>
        <w:shd w:val="clear" w:color="auto" w:fill="FFFFFF"/>
        <w:suppressAutoHyphens w:val="0"/>
        <w:ind w:left="567" w:right="616"/>
        <w:textAlignment w:val="baseline"/>
        <w:rPr>
          <w:rFonts w:eastAsia="Times New Roman" w:cs="Times New Roman"/>
          <w:kern w:val="0"/>
          <w:szCs w:val="28"/>
          <w:lang w:eastAsia="es-CO" w:bidi="ar-SA"/>
        </w:rPr>
      </w:pPr>
      <w:r w:rsidRPr="000B352A">
        <w:rPr>
          <w:rFonts w:eastAsia="Times New Roman" w:cs="Times New Roman"/>
          <w:b/>
          <w:bCs/>
          <w:i/>
          <w:iCs/>
          <w:kern w:val="0"/>
          <w:szCs w:val="28"/>
          <w:bdr w:val="none" w:sz="0" w:space="0" w:color="auto" w:frame="1"/>
          <w:lang w:val="es-ES_tradnl" w:eastAsia="es-CO" w:bidi="ar-SA"/>
        </w:rPr>
        <w:t>32.3.    </w:t>
      </w:r>
      <w:r w:rsidRPr="000B352A">
        <w:rPr>
          <w:rFonts w:eastAsia="Times New Roman" w:cs="Times New Roman"/>
          <w:kern w:val="0"/>
          <w:szCs w:val="28"/>
          <w:bdr w:val="none" w:sz="0" w:space="0" w:color="auto" w:frame="1"/>
          <w:lang w:val="es-ES_tradnl" w:eastAsia="es-CO" w:bidi="ar-SA"/>
        </w:rPr>
        <w:t>La </w:t>
      </w:r>
      <w:r w:rsidRPr="000B352A">
        <w:rPr>
          <w:rFonts w:eastAsia="Times New Roman" w:cs="Times New Roman"/>
          <w:b/>
          <w:bCs/>
          <w:i/>
          <w:iCs/>
          <w:kern w:val="0"/>
          <w:szCs w:val="28"/>
          <w:bdr w:val="none" w:sz="0" w:space="0" w:color="auto" w:frame="1"/>
          <w:lang w:val="es-ES_tradnl" w:eastAsia="es-CO" w:bidi="ar-SA"/>
        </w:rPr>
        <w:t>información reservada</w:t>
      </w:r>
      <w:r w:rsidRPr="000B352A">
        <w:rPr>
          <w:rFonts w:eastAsia="Times New Roman" w:cs="Times New Roman"/>
          <w:kern w:val="0"/>
          <w:szCs w:val="28"/>
          <w:bdr w:val="none" w:sz="0" w:space="0" w:color="auto" w:frame="1"/>
          <w:lang w:val="es-ES_tradnl" w:eastAsia="es-CO" w:bidi="ar-SA"/>
        </w:rPr>
        <w:t> versa sobre información personal y guarda estrecha relación con los derechos fundamentales del titular a la dignidad, a la intimidad y a la libertad, motivo por el cual se encuentra reservada a su órbita exclusiva y </w:t>
      </w:r>
      <w:r w:rsidRPr="000B352A">
        <w:rPr>
          <w:rFonts w:eastAsia="Times New Roman" w:cs="Times New Roman"/>
          <w:i/>
          <w:iCs/>
          <w:kern w:val="0"/>
          <w:szCs w:val="28"/>
          <w:bdr w:val="none" w:sz="0" w:space="0" w:color="auto" w:frame="1"/>
          <w:lang w:val="es-ES_tradnl" w:eastAsia="es-CO" w:bidi="ar-SA"/>
        </w:rPr>
        <w:t>“(…) no puede siquiera ser obtenida ni ofrecida por autoridad judicial en el cumplimiento de sus funciones. Cabría mencionar aquí la información genética, y los llamados "datos sensibles"  o relacionados con la ideología, la inclinación sexual, los hábitos  de la persona, etc.”</w:t>
      </w:r>
      <w:bookmarkStart w:id="4" w:name="_ftnref80"/>
      <w:r w:rsidRPr="000B352A">
        <w:rPr>
          <w:rFonts w:eastAsia="Times New Roman" w:cs="Times New Roman"/>
          <w:kern w:val="0"/>
          <w:szCs w:val="28"/>
          <w:bdr w:val="none" w:sz="0" w:space="0" w:color="auto" w:frame="1"/>
          <w:lang w:val="es-ES_tradnl" w:eastAsia="es-CO" w:bidi="ar-SA"/>
        </w:rPr>
        <w:fldChar w:fldCharType="begin"/>
      </w:r>
      <w:r w:rsidRPr="000B352A">
        <w:rPr>
          <w:rFonts w:eastAsia="Times New Roman" w:cs="Times New Roman"/>
          <w:kern w:val="0"/>
          <w:szCs w:val="28"/>
          <w:bdr w:val="none" w:sz="0" w:space="0" w:color="auto" w:frame="1"/>
          <w:lang w:val="es-ES_tradnl" w:eastAsia="es-CO" w:bidi="ar-SA"/>
        </w:rPr>
        <w:instrText xml:space="preserve"> HYPERLINK "http://www.corteconstitucional.gov.co/relatoria/2018/T-238-18.htm" \l "_ftn80" \o "" </w:instrText>
      </w:r>
      <w:r w:rsidRPr="000B352A">
        <w:rPr>
          <w:rFonts w:eastAsia="Times New Roman" w:cs="Times New Roman"/>
          <w:kern w:val="0"/>
          <w:szCs w:val="28"/>
          <w:bdr w:val="none" w:sz="0" w:space="0" w:color="auto" w:frame="1"/>
          <w:lang w:val="es-ES_tradnl" w:eastAsia="es-CO" w:bidi="ar-SA"/>
        </w:rPr>
        <w:fldChar w:fldCharType="separate"/>
      </w:r>
      <w:r w:rsidRPr="000B352A">
        <w:rPr>
          <w:rFonts w:eastAsia="Times New Roman" w:cs="Times New Roman"/>
          <w:kern w:val="0"/>
          <w:szCs w:val="28"/>
          <w:u w:val="single"/>
          <w:bdr w:val="none" w:sz="0" w:space="0" w:color="auto" w:frame="1"/>
          <w:lang w:val="es-ES_tradnl" w:eastAsia="es-CO" w:bidi="ar-SA"/>
        </w:rPr>
        <w:t>[80</w:t>
      </w:r>
      <w:r w:rsidRPr="000B352A">
        <w:rPr>
          <w:rStyle w:val="Refdenotaalpie"/>
          <w:rFonts w:eastAsia="Times New Roman"/>
          <w:kern w:val="0"/>
          <w:szCs w:val="28"/>
          <w:u w:val="single"/>
          <w:bdr w:val="none" w:sz="0" w:space="0" w:color="auto" w:frame="1"/>
          <w:lang w:val="es-ES_tradnl" w:eastAsia="es-CO" w:bidi="ar-SA"/>
        </w:rPr>
        <w:footnoteReference w:id="28"/>
      </w:r>
      <w:r w:rsidRPr="000B352A">
        <w:rPr>
          <w:rFonts w:eastAsia="Times New Roman" w:cs="Times New Roman"/>
          <w:kern w:val="0"/>
          <w:szCs w:val="28"/>
          <w:u w:val="single"/>
          <w:bdr w:val="none" w:sz="0" w:space="0" w:color="auto" w:frame="1"/>
          <w:lang w:val="es-ES_tradnl" w:eastAsia="es-CO" w:bidi="ar-SA"/>
        </w:rPr>
        <w:t>]</w:t>
      </w:r>
      <w:r w:rsidRPr="000B352A">
        <w:rPr>
          <w:rFonts w:eastAsia="Times New Roman" w:cs="Times New Roman"/>
          <w:kern w:val="0"/>
          <w:szCs w:val="28"/>
          <w:bdr w:val="none" w:sz="0" w:space="0" w:color="auto" w:frame="1"/>
          <w:lang w:val="es-ES_tradnl" w:eastAsia="es-CO" w:bidi="ar-SA"/>
        </w:rPr>
        <w:fldChar w:fldCharType="end"/>
      </w:r>
      <w:bookmarkEnd w:id="4"/>
    </w:p>
    <w:p w14:paraId="64E5A2D4" w14:textId="77777777" w:rsidR="00C651C7" w:rsidRPr="000B352A" w:rsidRDefault="00C651C7" w:rsidP="000B352A">
      <w:pPr>
        <w:widowControl/>
        <w:shd w:val="clear" w:color="auto" w:fill="FFFFFF"/>
        <w:suppressAutoHyphens w:val="0"/>
        <w:ind w:left="567" w:right="616"/>
        <w:textAlignment w:val="baseline"/>
        <w:rPr>
          <w:rFonts w:eastAsia="Times New Roman" w:cs="Times New Roman"/>
          <w:kern w:val="0"/>
          <w:szCs w:val="28"/>
          <w:lang w:eastAsia="es-CO" w:bidi="ar-SA"/>
        </w:rPr>
      </w:pPr>
      <w:r w:rsidRPr="000B352A">
        <w:rPr>
          <w:rFonts w:eastAsia="Times New Roman" w:cs="Times New Roman"/>
          <w:kern w:val="0"/>
          <w:szCs w:val="28"/>
          <w:bdr w:val="none" w:sz="0" w:space="0" w:color="auto" w:frame="1"/>
          <w:lang w:val="es-ES_tradnl" w:eastAsia="es-CO" w:bidi="ar-SA"/>
        </w:rPr>
        <w:t> </w:t>
      </w:r>
    </w:p>
    <w:p w14:paraId="64E5A2D5" w14:textId="77777777" w:rsidR="00C651C7" w:rsidRPr="000B352A" w:rsidRDefault="00C651C7" w:rsidP="000B352A">
      <w:pPr>
        <w:widowControl/>
        <w:shd w:val="clear" w:color="auto" w:fill="FFFFFF"/>
        <w:suppressAutoHyphens w:val="0"/>
        <w:ind w:left="567" w:right="616"/>
        <w:textAlignment w:val="baseline"/>
        <w:rPr>
          <w:rFonts w:eastAsia="Times New Roman" w:cs="Times New Roman"/>
          <w:kern w:val="0"/>
          <w:szCs w:val="28"/>
          <w:lang w:eastAsia="es-CO" w:bidi="ar-SA"/>
        </w:rPr>
      </w:pPr>
      <w:r w:rsidRPr="000B352A">
        <w:rPr>
          <w:rFonts w:eastAsia="Times New Roman" w:cs="Times New Roman"/>
          <w:b/>
          <w:bCs/>
          <w:i/>
          <w:iCs/>
          <w:kern w:val="0"/>
          <w:szCs w:val="28"/>
          <w:bdr w:val="none" w:sz="0" w:space="0" w:color="auto" w:frame="1"/>
          <w:lang w:val="es-ES_tradnl" w:eastAsia="es-CO" w:bidi="ar-SA"/>
        </w:rPr>
        <w:t>32.4.    </w:t>
      </w:r>
      <w:r w:rsidRPr="000B352A">
        <w:rPr>
          <w:rFonts w:eastAsia="Times New Roman" w:cs="Times New Roman"/>
          <w:kern w:val="0"/>
          <w:szCs w:val="28"/>
          <w:bdr w:val="none" w:sz="0" w:space="0" w:color="auto" w:frame="1"/>
          <w:lang w:val="es-ES_tradnl" w:eastAsia="es-CO" w:bidi="ar-SA"/>
        </w:rPr>
        <w:t>La </w:t>
      </w:r>
      <w:r w:rsidRPr="000B352A">
        <w:rPr>
          <w:rFonts w:eastAsia="Times New Roman" w:cs="Times New Roman"/>
          <w:b/>
          <w:bCs/>
          <w:i/>
          <w:iCs/>
          <w:kern w:val="0"/>
          <w:szCs w:val="28"/>
          <w:bdr w:val="none" w:sz="0" w:space="0" w:color="auto" w:frame="1"/>
          <w:lang w:val="es-ES_tradnl" w:eastAsia="es-CO" w:bidi="ar-SA"/>
        </w:rPr>
        <w:t>información pública</w:t>
      </w:r>
      <w:r w:rsidRPr="000B352A">
        <w:rPr>
          <w:rFonts w:eastAsia="Times New Roman" w:cs="Times New Roman"/>
          <w:kern w:val="0"/>
          <w:szCs w:val="28"/>
          <w:bdr w:val="none" w:sz="0" w:space="0" w:color="auto" w:frame="1"/>
          <w:lang w:val="es-ES_tradnl" w:eastAsia="es-CO" w:bidi="ar-SA"/>
        </w:rPr>
        <w:t> es aquella que, según los mandatos de la ley o de la Constitución, puede ser obtenida y ofrecida sin reserva alguna y sin importar si se trata de información general, privada o personal. Se trata por ejemplo de los documentos públicos, las providencias judiciales debidamente ejecutoriadas, los datos sobre el estado civil de las personas o sobre la conformación de la familia. Este tipo de información se puede solicitar por cualquier persona de manera directa y no existe el deber de satisfacer algún requisito para obtenerla.</w:t>
      </w:r>
    </w:p>
    <w:p w14:paraId="64E5A2D6" w14:textId="77777777" w:rsidR="00C651C7" w:rsidRPr="000B352A" w:rsidRDefault="00C651C7" w:rsidP="000B352A">
      <w:pPr>
        <w:widowControl/>
        <w:shd w:val="clear" w:color="auto" w:fill="FFFFFF"/>
        <w:suppressAutoHyphens w:val="0"/>
        <w:ind w:left="567" w:right="616"/>
        <w:textAlignment w:val="baseline"/>
        <w:rPr>
          <w:rFonts w:eastAsia="Times New Roman" w:cs="Times New Roman"/>
          <w:kern w:val="0"/>
          <w:szCs w:val="28"/>
          <w:lang w:eastAsia="es-CO" w:bidi="ar-SA"/>
        </w:rPr>
      </w:pPr>
    </w:p>
    <w:p w14:paraId="64E5A2D7" w14:textId="77777777" w:rsidR="00C651C7" w:rsidRPr="000B352A" w:rsidRDefault="00C651C7" w:rsidP="000B352A">
      <w:pPr>
        <w:widowControl/>
        <w:shd w:val="clear" w:color="auto" w:fill="FFFFFF"/>
        <w:suppressAutoHyphens w:val="0"/>
        <w:ind w:left="567" w:right="618"/>
        <w:textAlignment w:val="baseline"/>
        <w:rPr>
          <w:rFonts w:eastAsia="Times New Roman" w:cs="Times New Roman"/>
          <w:kern w:val="0"/>
          <w:szCs w:val="28"/>
          <w:bdr w:val="none" w:sz="0" w:space="0" w:color="auto" w:frame="1"/>
          <w:lang w:val="es-ES_tradnl" w:eastAsia="es-CO" w:bidi="ar-SA"/>
        </w:rPr>
      </w:pPr>
      <w:r w:rsidRPr="000B352A">
        <w:rPr>
          <w:rFonts w:eastAsia="Times New Roman" w:cs="Times New Roman"/>
          <w:b/>
          <w:bCs/>
          <w:i/>
          <w:iCs/>
          <w:kern w:val="0"/>
          <w:szCs w:val="28"/>
          <w:bdr w:val="none" w:sz="0" w:space="0" w:color="auto" w:frame="1"/>
          <w:lang w:val="es-ES_tradnl" w:eastAsia="es-CO" w:bidi="ar-SA"/>
        </w:rPr>
        <w:t>32.5.    La información semiprivada. </w:t>
      </w:r>
      <w:r w:rsidRPr="000B352A">
        <w:rPr>
          <w:rFonts w:eastAsia="Times New Roman" w:cs="Times New Roman"/>
          <w:kern w:val="0"/>
          <w:szCs w:val="28"/>
          <w:bdr w:val="none" w:sz="0" w:space="0" w:color="auto" w:frame="1"/>
          <w:lang w:val="es-ES_tradnl" w:eastAsia="es-CO" w:bidi="ar-SA"/>
        </w:rPr>
        <w:t>Esta Corporación se ha pronunciado sobre los datos que pueden constituir información semiprivada. En efecto, desde la </w:t>
      </w:r>
      <w:r w:rsidRPr="000B352A">
        <w:rPr>
          <w:rFonts w:eastAsia="Times New Roman" w:cs="Times New Roman"/>
          <w:b/>
          <w:bCs/>
          <w:kern w:val="0"/>
          <w:szCs w:val="28"/>
          <w:bdr w:val="none" w:sz="0" w:space="0" w:color="auto" w:frame="1"/>
          <w:lang w:val="es-ES_tradnl" w:eastAsia="es-CO" w:bidi="ar-SA"/>
        </w:rPr>
        <w:t>sentencia T-729 de 2002</w:t>
      </w:r>
      <w:bookmarkStart w:id="6" w:name="_ftnref81"/>
      <w:r w:rsidRPr="000B352A">
        <w:rPr>
          <w:rFonts w:eastAsia="Times New Roman" w:cs="Times New Roman"/>
          <w:kern w:val="0"/>
          <w:szCs w:val="28"/>
          <w:bdr w:val="none" w:sz="0" w:space="0" w:color="auto" w:frame="1"/>
          <w:lang w:val="es-ES_tradnl" w:eastAsia="es-CO" w:bidi="ar-SA"/>
        </w:rPr>
        <w:fldChar w:fldCharType="begin"/>
      </w:r>
      <w:r w:rsidRPr="000B352A">
        <w:rPr>
          <w:rFonts w:eastAsia="Times New Roman" w:cs="Times New Roman"/>
          <w:kern w:val="0"/>
          <w:szCs w:val="28"/>
          <w:bdr w:val="none" w:sz="0" w:space="0" w:color="auto" w:frame="1"/>
          <w:lang w:val="es-ES_tradnl" w:eastAsia="es-CO" w:bidi="ar-SA"/>
        </w:rPr>
        <w:instrText xml:space="preserve"> HYPERLINK "http://www.corteconstitucional.gov.co/relatoria/2018/T-238-18.htm" \l "_ftn81" \o "" </w:instrText>
      </w:r>
      <w:r w:rsidRPr="000B352A">
        <w:rPr>
          <w:rFonts w:eastAsia="Times New Roman" w:cs="Times New Roman"/>
          <w:kern w:val="0"/>
          <w:szCs w:val="28"/>
          <w:bdr w:val="none" w:sz="0" w:space="0" w:color="auto" w:frame="1"/>
          <w:lang w:val="es-ES_tradnl" w:eastAsia="es-CO" w:bidi="ar-SA"/>
        </w:rPr>
        <w:fldChar w:fldCharType="separate"/>
      </w:r>
      <w:r w:rsidRPr="000B352A">
        <w:rPr>
          <w:rFonts w:eastAsia="Times New Roman" w:cs="Times New Roman"/>
          <w:kern w:val="0"/>
          <w:szCs w:val="28"/>
          <w:u w:val="single"/>
          <w:bdr w:val="none" w:sz="0" w:space="0" w:color="auto" w:frame="1"/>
          <w:lang w:val="es-ES_tradnl" w:eastAsia="es-CO" w:bidi="ar-SA"/>
        </w:rPr>
        <w:t>[81</w:t>
      </w:r>
      <w:r w:rsidRPr="000B352A">
        <w:rPr>
          <w:rStyle w:val="Refdenotaalpie"/>
          <w:rFonts w:eastAsia="Times New Roman"/>
          <w:kern w:val="0"/>
          <w:szCs w:val="28"/>
          <w:u w:val="single"/>
          <w:bdr w:val="none" w:sz="0" w:space="0" w:color="auto" w:frame="1"/>
          <w:lang w:val="es-ES_tradnl" w:eastAsia="es-CO" w:bidi="ar-SA"/>
        </w:rPr>
        <w:footnoteReference w:id="29"/>
      </w:r>
      <w:r w:rsidRPr="000B352A">
        <w:rPr>
          <w:rFonts w:eastAsia="Times New Roman" w:cs="Times New Roman"/>
          <w:kern w:val="0"/>
          <w:szCs w:val="28"/>
          <w:u w:val="single"/>
          <w:bdr w:val="none" w:sz="0" w:space="0" w:color="auto" w:frame="1"/>
          <w:lang w:val="es-ES_tradnl" w:eastAsia="es-CO" w:bidi="ar-SA"/>
        </w:rPr>
        <w:t>]</w:t>
      </w:r>
      <w:r w:rsidRPr="000B352A">
        <w:rPr>
          <w:rFonts w:eastAsia="Times New Roman" w:cs="Times New Roman"/>
          <w:kern w:val="0"/>
          <w:szCs w:val="28"/>
          <w:bdr w:val="none" w:sz="0" w:space="0" w:color="auto" w:frame="1"/>
          <w:lang w:val="es-ES_tradnl" w:eastAsia="es-CO" w:bidi="ar-SA"/>
        </w:rPr>
        <w:fldChar w:fldCharType="end"/>
      </w:r>
      <w:bookmarkEnd w:id="6"/>
      <w:r w:rsidRPr="000B352A">
        <w:rPr>
          <w:rFonts w:eastAsia="Times New Roman" w:cs="Times New Roman"/>
          <w:b/>
          <w:bCs/>
          <w:kern w:val="0"/>
          <w:szCs w:val="28"/>
          <w:bdr w:val="none" w:sz="0" w:space="0" w:color="auto" w:frame="1"/>
          <w:lang w:val="es-ES_tradnl" w:eastAsia="es-CO" w:bidi="ar-SA"/>
        </w:rPr>
        <w:t> </w:t>
      </w:r>
      <w:r w:rsidRPr="000B352A">
        <w:rPr>
          <w:rFonts w:eastAsia="Times New Roman" w:cs="Times New Roman"/>
          <w:kern w:val="0"/>
          <w:szCs w:val="28"/>
          <w:bdr w:val="none" w:sz="0" w:space="0" w:color="auto" w:frame="1"/>
          <w:lang w:val="es-ES_tradnl" w:eastAsia="es-CO" w:bidi="ar-SA"/>
        </w:rPr>
        <w:t>reiterada por la </w:t>
      </w:r>
      <w:r w:rsidRPr="000B352A">
        <w:rPr>
          <w:rFonts w:eastAsia="Times New Roman" w:cs="Times New Roman"/>
          <w:b/>
          <w:bCs/>
          <w:kern w:val="0"/>
          <w:szCs w:val="28"/>
          <w:bdr w:val="none" w:sz="0" w:space="0" w:color="auto" w:frame="1"/>
          <w:lang w:val="es-ES_tradnl" w:eastAsia="es-CO" w:bidi="ar-SA"/>
        </w:rPr>
        <w:t>sentencia</w:t>
      </w:r>
      <w:r w:rsidRPr="000B352A">
        <w:rPr>
          <w:rFonts w:eastAsia="Times New Roman" w:cs="Times New Roman"/>
          <w:kern w:val="0"/>
          <w:szCs w:val="28"/>
          <w:bdr w:val="none" w:sz="0" w:space="0" w:color="auto" w:frame="1"/>
          <w:lang w:val="es-ES_tradnl" w:eastAsia="es-CO" w:bidi="ar-SA"/>
        </w:rPr>
        <w:t> </w:t>
      </w:r>
      <w:r w:rsidRPr="000B352A">
        <w:rPr>
          <w:rFonts w:eastAsia="Times New Roman" w:cs="Times New Roman"/>
          <w:b/>
          <w:bCs/>
          <w:kern w:val="0"/>
          <w:szCs w:val="28"/>
          <w:bdr w:val="none" w:sz="0" w:space="0" w:color="auto" w:frame="1"/>
          <w:lang w:val="es-ES_tradnl" w:eastAsia="es-CO" w:bidi="ar-SA"/>
        </w:rPr>
        <w:t>C-337 de 2007</w:t>
      </w:r>
      <w:bookmarkStart w:id="8" w:name="_ftnref82"/>
      <w:r w:rsidRPr="000B352A">
        <w:rPr>
          <w:rFonts w:eastAsia="Times New Roman" w:cs="Times New Roman"/>
          <w:kern w:val="0"/>
          <w:szCs w:val="28"/>
          <w:bdr w:val="none" w:sz="0" w:space="0" w:color="auto" w:frame="1"/>
          <w:lang w:val="es-ES_tradnl" w:eastAsia="es-CO" w:bidi="ar-SA"/>
        </w:rPr>
        <w:fldChar w:fldCharType="begin"/>
      </w:r>
      <w:r w:rsidRPr="000B352A">
        <w:rPr>
          <w:rFonts w:eastAsia="Times New Roman" w:cs="Times New Roman"/>
          <w:kern w:val="0"/>
          <w:szCs w:val="28"/>
          <w:bdr w:val="none" w:sz="0" w:space="0" w:color="auto" w:frame="1"/>
          <w:lang w:val="es-ES_tradnl" w:eastAsia="es-CO" w:bidi="ar-SA"/>
        </w:rPr>
        <w:instrText xml:space="preserve"> HYPERLINK "http://www.corteconstitucional.gov.co/relatoria/2018/T-238-18.htm" \l "_ftn82" \o "" </w:instrText>
      </w:r>
      <w:r w:rsidRPr="000B352A">
        <w:rPr>
          <w:rFonts w:eastAsia="Times New Roman" w:cs="Times New Roman"/>
          <w:kern w:val="0"/>
          <w:szCs w:val="28"/>
          <w:bdr w:val="none" w:sz="0" w:space="0" w:color="auto" w:frame="1"/>
          <w:lang w:val="es-ES_tradnl" w:eastAsia="es-CO" w:bidi="ar-SA"/>
        </w:rPr>
        <w:fldChar w:fldCharType="separate"/>
      </w:r>
      <w:r w:rsidRPr="000B352A">
        <w:rPr>
          <w:rFonts w:eastAsia="Times New Roman" w:cs="Times New Roman"/>
          <w:kern w:val="0"/>
          <w:szCs w:val="28"/>
          <w:u w:val="single"/>
          <w:bdr w:val="none" w:sz="0" w:space="0" w:color="auto" w:frame="1"/>
          <w:lang w:val="es-ES_tradnl" w:eastAsia="es-CO" w:bidi="ar-SA"/>
        </w:rPr>
        <w:t>[82</w:t>
      </w:r>
      <w:r w:rsidRPr="000B352A">
        <w:rPr>
          <w:rStyle w:val="Refdenotaalpie"/>
          <w:rFonts w:eastAsia="Times New Roman"/>
          <w:kern w:val="0"/>
          <w:szCs w:val="28"/>
          <w:u w:val="single"/>
          <w:bdr w:val="none" w:sz="0" w:space="0" w:color="auto" w:frame="1"/>
          <w:lang w:val="es-ES_tradnl" w:eastAsia="es-CO" w:bidi="ar-SA"/>
        </w:rPr>
        <w:footnoteReference w:id="30"/>
      </w:r>
      <w:r w:rsidRPr="000B352A">
        <w:rPr>
          <w:rFonts w:eastAsia="Times New Roman" w:cs="Times New Roman"/>
          <w:kern w:val="0"/>
          <w:szCs w:val="28"/>
          <w:u w:val="single"/>
          <w:bdr w:val="none" w:sz="0" w:space="0" w:color="auto" w:frame="1"/>
          <w:lang w:val="es-ES_tradnl" w:eastAsia="es-CO" w:bidi="ar-SA"/>
        </w:rPr>
        <w:t>]</w:t>
      </w:r>
      <w:r w:rsidRPr="000B352A">
        <w:rPr>
          <w:rFonts w:eastAsia="Times New Roman" w:cs="Times New Roman"/>
          <w:kern w:val="0"/>
          <w:szCs w:val="28"/>
          <w:bdr w:val="none" w:sz="0" w:space="0" w:color="auto" w:frame="1"/>
          <w:lang w:val="es-ES_tradnl" w:eastAsia="es-CO" w:bidi="ar-SA"/>
        </w:rPr>
        <w:fldChar w:fldCharType="end"/>
      </w:r>
      <w:bookmarkEnd w:id="8"/>
      <w:r w:rsidRPr="000B352A">
        <w:rPr>
          <w:rFonts w:eastAsia="Times New Roman" w:cs="Times New Roman"/>
          <w:kern w:val="0"/>
          <w:szCs w:val="28"/>
          <w:bdr w:val="none" w:sz="0" w:space="0" w:color="auto" w:frame="1"/>
          <w:lang w:val="es-ES_tradnl" w:eastAsia="es-CO" w:bidi="ar-SA"/>
        </w:rPr>
        <w:t>, la Corte señaló que ésta se refiere “</w:t>
      </w:r>
      <w:r w:rsidRPr="000B352A">
        <w:rPr>
          <w:rFonts w:eastAsia="Times New Roman" w:cs="Times New Roman"/>
          <w:i/>
          <w:iCs/>
          <w:kern w:val="0"/>
          <w:szCs w:val="28"/>
          <w:bdr w:val="none" w:sz="0" w:space="0" w:color="auto" w:frame="1"/>
          <w:lang w:val="es-ES_tradnl" w:eastAsia="es-CO" w:bidi="ar-SA"/>
        </w:rPr>
        <w:t>a los datos que versan sobre información personal o impersonal que no está comprendida en la regla general anterior, porque </w:t>
      </w:r>
      <w:r w:rsidRPr="000B352A">
        <w:rPr>
          <w:rFonts w:eastAsia="Times New Roman" w:cs="Times New Roman"/>
          <w:b/>
          <w:bCs/>
          <w:i/>
          <w:iCs/>
          <w:kern w:val="0"/>
          <w:szCs w:val="28"/>
          <w:bdr w:val="none" w:sz="0" w:space="0" w:color="auto" w:frame="1"/>
          <w:lang w:val="es-ES_tradnl" w:eastAsia="es-CO" w:bidi="ar-SA"/>
        </w:rPr>
        <w:t>para su acceso y conocimiento presenta un grado mínimo de limitación</w:t>
      </w:r>
      <w:r w:rsidRPr="000B352A">
        <w:rPr>
          <w:rFonts w:eastAsia="Times New Roman" w:cs="Times New Roman"/>
          <w:i/>
          <w:iCs/>
          <w:kern w:val="0"/>
          <w:szCs w:val="28"/>
          <w:bdr w:val="none" w:sz="0" w:space="0" w:color="auto" w:frame="1"/>
          <w:lang w:val="es-ES_tradnl" w:eastAsia="es-CO" w:bidi="ar-SA"/>
        </w:rPr>
        <w:t xml:space="preserve">, de tal forma que sólo puede ser obtenida y ofrecida por orden de autoridad administrativa o judicial en el cumplimiento de sus funciones </w:t>
      </w:r>
      <w:r w:rsidRPr="000B352A">
        <w:rPr>
          <w:rFonts w:eastAsia="Times New Roman" w:cs="Times New Roman"/>
          <w:b/>
          <w:i/>
          <w:iCs/>
          <w:kern w:val="0"/>
          <w:szCs w:val="28"/>
          <w:bdr w:val="none" w:sz="0" w:space="0" w:color="auto" w:frame="1"/>
          <w:lang w:val="es-ES_tradnl" w:eastAsia="es-CO" w:bidi="ar-SA"/>
        </w:rPr>
        <w:t>o en el marco de los principios de la administración de datos personales”</w:t>
      </w:r>
      <w:r w:rsidRPr="000B352A">
        <w:rPr>
          <w:rFonts w:eastAsia="Times New Roman" w:cs="Times New Roman"/>
          <w:i/>
          <w:iCs/>
          <w:kern w:val="0"/>
          <w:szCs w:val="28"/>
          <w:bdr w:val="none" w:sz="0" w:space="0" w:color="auto" w:frame="1"/>
          <w:lang w:val="es-ES_tradnl" w:eastAsia="es-CO" w:bidi="ar-SA"/>
        </w:rPr>
        <w:t> </w:t>
      </w:r>
      <w:r w:rsidRPr="000B352A">
        <w:rPr>
          <w:rFonts w:eastAsia="Times New Roman" w:cs="Times New Roman"/>
          <w:kern w:val="0"/>
          <w:szCs w:val="28"/>
          <w:bdr w:val="none" w:sz="0" w:space="0" w:color="auto" w:frame="1"/>
          <w:lang w:val="es-ES_tradnl" w:eastAsia="es-CO" w:bidi="ar-SA"/>
        </w:rPr>
        <w:t>(negrilla fuera del texto original).”</w:t>
      </w:r>
    </w:p>
    <w:p w14:paraId="64E5A2D8" w14:textId="77777777" w:rsidR="0051083D" w:rsidRPr="000B352A" w:rsidRDefault="0051083D" w:rsidP="000B352A">
      <w:pPr>
        <w:widowControl/>
        <w:shd w:val="clear" w:color="auto" w:fill="FFFFFF"/>
        <w:suppressAutoHyphens w:val="0"/>
        <w:ind w:left="1418" w:right="618"/>
        <w:textAlignment w:val="baseline"/>
        <w:rPr>
          <w:rFonts w:eastAsia="Times New Roman" w:cs="Times New Roman"/>
          <w:kern w:val="0"/>
          <w:szCs w:val="28"/>
          <w:lang w:eastAsia="es-CO" w:bidi="ar-SA"/>
        </w:rPr>
      </w:pPr>
    </w:p>
    <w:p w14:paraId="64E5A2D9" w14:textId="77777777" w:rsidR="006245DD" w:rsidRPr="000B352A" w:rsidRDefault="008E2545" w:rsidP="000B352A">
      <w:pPr>
        <w:pStyle w:val="Prrafodelista"/>
        <w:numPr>
          <w:ilvl w:val="3"/>
          <w:numId w:val="3"/>
        </w:numPr>
        <w:shd w:val="clear" w:color="auto" w:fill="FFFFFF"/>
        <w:ind w:left="0" w:firstLine="0"/>
        <w:textAlignment w:val="center"/>
        <w:rPr>
          <w:rStyle w:val="FontStyle305"/>
          <w:rFonts w:ascii="Times New Roman" w:hAnsi="Times New Roman" w:cs="Times New Roman"/>
          <w:i w:val="0"/>
          <w:iCs w:val="0"/>
          <w:color w:val="2D2D2D"/>
          <w:sz w:val="28"/>
          <w:szCs w:val="28"/>
        </w:rPr>
      </w:pPr>
      <w:r w:rsidRPr="000B352A">
        <w:rPr>
          <w:rStyle w:val="FontStyle305"/>
          <w:rFonts w:ascii="Times New Roman" w:hAnsi="Times New Roman" w:cs="Times New Roman"/>
          <w:i w:val="0"/>
          <w:sz w:val="28"/>
          <w:szCs w:val="28"/>
          <w:lang w:val="es-ES_tradnl" w:eastAsia="es-ES_tradnl"/>
        </w:rPr>
        <w:t>Por otra parte,</w:t>
      </w:r>
      <w:r w:rsidR="00C76BF6" w:rsidRPr="000B352A">
        <w:rPr>
          <w:rStyle w:val="FontStyle305"/>
          <w:rFonts w:ascii="Times New Roman" w:hAnsi="Times New Roman" w:cs="Times New Roman"/>
          <w:i w:val="0"/>
          <w:sz w:val="28"/>
          <w:szCs w:val="28"/>
          <w:lang w:val="es-ES_tradnl" w:eastAsia="es-ES_tradnl"/>
        </w:rPr>
        <w:t xml:space="preserve"> </w:t>
      </w:r>
      <w:r w:rsidR="0051083D" w:rsidRPr="000B352A">
        <w:rPr>
          <w:rStyle w:val="FontStyle305"/>
          <w:rFonts w:ascii="Times New Roman" w:hAnsi="Times New Roman" w:cs="Times New Roman"/>
          <w:i w:val="0"/>
          <w:sz w:val="28"/>
          <w:szCs w:val="28"/>
          <w:lang w:val="es-ES_tradnl" w:eastAsia="es-ES_tradnl"/>
        </w:rPr>
        <w:t>entre</w:t>
      </w:r>
      <w:r w:rsidR="00C76BF6" w:rsidRPr="000B352A">
        <w:rPr>
          <w:rStyle w:val="FontStyle305"/>
          <w:rFonts w:ascii="Times New Roman" w:hAnsi="Times New Roman" w:cs="Times New Roman"/>
          <w:i w:val="0"/>
          <w:sz w:val="28"/>
          <w:szCs w:val="28"/>
          <w:lang w:val="es-ES_tradnl" w:eastAsia="es-ES_tradnl"/>
        </w:rPr>
        <w:t xml:space="preserve"> los principios</w:t>
      </w:r>
      <w:r w:rsidR="00E71DC0" w:rsidRPr="000B352A">
        <w:rPr>
          <w:rStyle w:val="FontStyle305"/>
          <w:rFonts w:ascii="Times New Roman" w:hAnsi="Times New Roman" w:cs="Times New Roman"/>
          <w:i w:val="0"/>
          <w:sz w:val="28"/>
          <w:szCs w:val="28"/>
          <w:lang w:val="es-ES_tradnl" w:eastAsia="es-ES_tradnl"/>
        </w:rPr>
        <w:t xml:space="preserve"> de raigambre constitucional</w:t>
      </w:r>
      <w:r w:rsidR="00C76BF6" w:rsidRPr="000B352A">
        <w:rPr>
          <w:rStyle w:val="FontStyle305"/>
          <w:rFonts w:ascii="Times New Roman" w:hAnsi="Times New Roman" w:cs="Times New Roman"/>
          <w:i w:val="0"/>
          <w:sz w:val="28"/>
          <w:szCs w:val="28"/>
          <w:lang w:val="es-ES_tradnl" w:eastAsia="es-ES_tradnl"/>
        </w:rPr>
        <w:t xml:space="preserve"> que rigen la administración de datos personales</w:t>
      </w:r>
      <w:r w:rsidR="004951C9" w:rsidRPr="000B352A">
        <w:rPr>
          <w:rStyle w:val="FontStyle305"/>
          <w:rFonts w:ascii="Times New Roman" w:hAnsi="Times New Roman" w:cs="Times New Roman"/>
          <w:i w:val="0"/>
          <w:sz w:val="28"/>
          <w:szCs w:val="28"/>
          <w:lang w:val="es-ES_tradnl" w:eastAsia="es-ES_tradnl"/>
        </w:rPr>
        <w:t xml:space="preserve"> (C.P., art. 15)</w:t>
      </w:r>
      <w:r w:rsidR="00C76BF6" w:rsidRPr="000B352A">
        <w:rPr>
          <w:rStyle w:val="Refdenotaalpie"/>
          <w:iCs/>
          <w:szCs w:val="28"/>
          <w:lang w:val="es-ES_tradnl" w:eastAsia="es-ES_tradnl"/>
        </w:rPr>
        <w:footnoteReference w:id="31"/>
      </w:r>
      <w:r w:rsidR="00C76BF6" w:rsidRPr="000B352A">
        <w:rPr>
          <w:rStyle w:val="FontStyle305"/>
          <w:rFonts w:ascii="Times New Roman" w:hAnsi="Times New Roman" w:cs="Times New Roman"/>
          <w:i w:val="0"/>
          <w:sz w:val="28"/>
          <w:szCs w:val="28"/>
          <w:lang w:val="es-ES_tradnl" w:eastAsia="es-ES_tradnl"/>
        </w:rPr>
        <w:t xml:space="preserve"> se encuentra</w:t>
      </w:r>
      <w:r w:rsidR="00992E1D" w:rsidRPr="000B352A">
        <w:rPr>
          <w:rStyle w:val="FontStyle305"/>
          <w:rFonts w:ascii="Times New Roman" w:hAnsi="Times New Roman" w:cs="Times New Roman"/>
          <w:i w:val="0"/>
          <w:sz w:val="28"/>
          <w:szCs w:val="28"/>
          <w:lang w:val="es-ES_tradnl" w:eastAsia="es-ES_tradnl"/>
        </w:rPr>
        <w:t>n</w:t>
      </w:r>
      <w:r w:rsidR="00C76BF6" w:rsidRPr="000B352A">
        <w:rPr>
          <w:rStyle w:val="FontStyle305"/>
          <w:rFonts w:ascii="Times New Roman" w:hAnsi="Times New Roman" w:cs="Times New Roman"/>
          <w:i w:val="0"/>
          <w:sz w:val="28"/>
          <w:szCs w:val="28"/>
          <w:lang w:val="es-ES_tradnl" w:eastAsia="es-ES_tradnl"/>
        </w:rPr>
        <w:t xml:space="preserve"> </w:t>
      </w:r>
      <w:r w:rsidR="00992E1D" w:rsidRPr="000B352A">
        <w:rPr>
          <w:rStyle w:val="FontStyle305"/>
          <w:rFonts w:ascii="Times New Roman" w:hAnsi="Times New Roman" w:cs="Times New Roman"/>
          <w:i w:val="0"/>
          <w:sz w:val="28"/>
          <w:szCs w:val="28"/>
          <w:lang w:val="es-ES_tradnl" w:eastAsia="es-ES_tradnl"/>
        </w:rPr>
        <w:t>los</w:t>
      </w:r>
      <w:r w:rsidR="00C76BF6" w:rsidRPr="000B352A">
        <w:rPr>
          <w:rStyle w:val="FontStyle305"/>
          <w:rFonts w:ascii="Times New Roman" w:hAnsi="Times New Roman" w:cs="Times New Roman"/>
          <w:i w:val="0"/>
          <w:sz w:val="28"/>
          <w:szCs w:val="28"/>
          <w:lang w:val="es-ES_tradnl" w:eastAsia="es-ES_tradnl"/>
        </w:rPr>
        <w:t xml:space="preserve"> principio</w:t>
      </w:r>
      <w:r w:rsidR="00992E1D" w:rsidRPr="000B352A">
        <w:rPr>
          <w:rStyle w:val="FontStyle305"/>
          <w:rFonts w:ascii="Times New Roman" w:hAnsi="Times New Roman" w:cs="Times New Roman"/>
          <w:i w:val="0"/>
          <w:sz w:val="28"/>
          <w:szCs w:val="28"/>
          <w:lang w:val="es-ES_tradnl" w:eastAsia="es-ES_tradnl"/>
        </w:rPr>
        <w:t>s</w:t>
      </w:r>
      <w:r w:rsidR="00C76BF6" w:rsidRPr="000B352A">
        <w:rPr>
          <w:rStyle w:val="FontStyle305"/>
          <w:rFonts w:ascii="Times New Roman" w:hAnsi="Times New Roman" w:cs="Times New Roman"/>
          <w:i w:val="0"/>
          <w:sz w:val="28"/>
          <w:szCs w:val="28"/>
          <w:lang w:val="es-ES_tradnl" w:eastAsia="es-ES_tradnl"/>
        </w:rPr>
        <w:t xml:space="preserve"> de</w:t>
      </w:r>
      <w:r w:rsidR="00C76BF6" w:rsidRPr="000B352A">
        <w:rPr>
          <w:rStyle w:val="FontStyle305"/>
          <w:rFonts w:ascii="Times New Roman" w:hAnsi="Times New Roman" w:cs="Times New Roman"/>
          <w:b/>
          <w:i w:val="0"/>
          <w:sz w:val="28"/>
          <w:szCs w:val="28"/>
          <w:lang w:val="es-ES_tradnl" w:eastAsia="es-ES_tradnl"/>
        </w:rPr>
        <w:t xml:space="preserve"> libertad</w:t>
      </w:r>
      <w:r w:rsidR="00992E1D" w:rsidRPr="000B352A">
        <w:rPr>
          <w:rStyle w:val="FontStyle305"/>
          <w:rFonts w:ascii="Times New Roman" w:hAnsi="Times New Roman" w:cs="Times New Roman"/>
          <w:b/>
          <w:i w:val="0"/>
          <w:sz w:val="28"/>
          <w:szCs w:val="28"/>
          <w:lang w:val="es-ES_tradnl" w:eastAsia="es-ES_tradnl"/>
        </w:rPr>
        <w:t xml:space="preserve"> </w:t>
      </w:r>
      <w:r w:rsidR="00992E1D" w:rsidRPr="000B352A">
        <w:rPr>
          <w:rStyle w:val="FontStyle305"/>
          <w:rFonts w:ascii="Times New Roman" w:hAnsi="Times New Roman" w:cs="Times New Roman"/>
          <w:i w:val="0"/>
          <w:sz w:val="28"/>
          <w:szCs w:val="28"/>
          <w:lang w:val="es-ES_tradnl" w:eastAsia="es-ES_tradnl"/>
        </w:rPr>
        <w:t>y de</w:t>
      </w:r>
      <w:r w:rsidR="00992E1D" w:rsidRPr="000B352A">
        <w:rPr>
          <w:rStyle w:val="FontStyle305"/>
          <w:rFonts w:ascii="Times New Roman" w:hAnsi="Times New Roman" w:cs="Times New Roman"/>
          <w:b/>
          <w:i w:val="0"/>
          <w:sz w:val="28"/>
          <w:szCs w:val="28"/>
          <w:lang w:val="es-ES_tradnl" w:eastAsia="es-ES_tradnl"/>
        </w:rPr>
        <w:t xml:space="preserve"> finalidad</w:t>
      </w:r>
      <w:r w:rsidR="0060047A" w:rsidRPr="000B352A">
        <w:rPr>
          <w:rStyle w:val="Refdenotaalpie"/>
          <w:iCs/>
          <w:szCs w:val="28"/>
          <w:lang w:val="es-ES_tradnl" w:eastAsia="es-ES_tradnl"/>
        </w:rPr>
        <w:footnoteReference w:id="32"/>
      </w:r>
      <w:r w:rsidR="00C76BF6" w:rsidRPr="000B352A">
        <w:rPr>
          <w:rStyle w:val="FontStyle305"/>
          <w:rFonts w:ascii="Times New Roman" w:hAnsi="Times New Roman" w:cs="Times New Roman"/>
          <w:i w:val="0"/>
          <w:sz w:val="28"/>
          <w:szCs w:val="28"/>
          <w:lang w:val="es-ES_tradnl" w:eastAsia="es-ES_tradnl"/>
        </w:rPr>
        <w:t xml:space="preserve">. </w:t>
      </w:r>
      <w:r w:rsidR="006245DD" w:rsidRPr="000B352A">
        <w:rPr>
          <w:rStyle w:val="FontStyle305"/>
          <w:rFonts w:ascii="Times New Roman" w:hAnsi="Times New Roman" w:cs="Times New Roman"/>
          <w:i w:val="0"/>
          <w:sz w:val="28"/>
          <w:szCs w:val="28"/>
          <w:lang w:val="es-ES_tradnl" w:eastAsia="es-ES_tradnl"/>
        </w:rPr>
        <w:t xml:space="preserve">Sobre </w:t>
      </w:r>
      <w:r w:rsidR="00992E1D" w:rsidRPr="000B352A">
        <w:rPr>
          <w:rStyle w:val="FontStyle305"/>
          <w:rFonts w:ascii="Times New Roman" w:hAnsi="Times New Roman" w:cs="Times New Roman"/>
          <w:i w:val="0"/>
          <w:sz w:val="28"/>
          <w:szCs w:val="28"/>
          <w:lang w:val="es-ES_tradnl" w:eastAsia="es-ES_tradnl"/>
        </w:rPr>
        <w:t xml:space="preserve">el </w:t>
      </w:r>
      <w:r w:rsidR="006B3FC5" w:rsidRPr="000B352A">
        <w:rPr>
          <w:rStyle w:val="FontStyle305"/>
          <w:rFonts w:ascii="Times New Roman" w:hAnsi="Times New Roman" w:cs="Times New Roman"/>
          <w:i w:val="0"/>
          <w:sz w:val="28"/>
          <w:szCs w:val="28"/>
          <w:lang w:val="es-ES_tradnl" w:eastAsia="es-ES_tradnl"/>
        </w:rPr>
        <w:t>principio de libertad</w:t>
      </w:r>
      <w:r w:rsidR="006245DD" w:rsidRPr="000B352A">
        <w:rPr>
          <w:rStyle w:val="FontStyle305"/>
          <w:rFonts w:ascii="Times New Roman" w:hAnsi="Times New Roman" w:cs="Times New Roman"/>
          <w:i w:val="0"/>
          <w:sz w:val="28"/>
          <w:szCs w:val="28"/>
          <w:lang w:val="es-ES_tradnl" w:eastAsia="es-ES_tradnl"/>
        </w:rPr>
        <w:t xml:space="preserve">, la Corte </w:t>
      </w:r>
      <w:r w:rsidR="00992E1D" w:rsidRPr="000B352A">
        <w:rPr>
          <w:rStyle w:val="FontStyle305"/>
          <w:rFonts w:ascii="Times New Roman" w:hAnsi="Times New Roman" w:cs="Times New Roman"/>
          <w:i w:val="0"/>
          <w:sz w:val="28"/>
          <w:szCs w:val="28"/>
          <w:lang w:val="es-ES_tradnl" w:eastAsia="es-ES_tradnl"/>
        </w:rPr>
        <w:t>ha explicado</w:t>
      </w:r>
      <w:r w:rsidR="006245DD" w:rsidRPr="000B352A">
        <w:rPr>
          <w:rStyle w:val="FontStyle305"/>
          <w:rFonts w:ascii="Times New Roman" w:hAnsi="Times New Roman" w:cs="Times New Roman"/>
          <w:i w:val="0"/>
          <w:sz w:val="28"/>
          <w:szCs w:val="28"/>
          <w:lang w:val="es-ES_tradnl" w:eastAsia="es-ES_tradnl"/>
        </w:rPr>
        <w:t xml:space="preserve"> que</w:t>
      </w:r>
      <w:r w:rsidR="00992E1D" w:rsidRPr="000B352A">
        <w:rPr>
          <w:rStyle w:val="FontStyle305"/>
          <w:rFonts w:ascii="Times New Roman" w:hAnsi="Times New Roman" w:cs="Times New Roman"/>
          <w:i w:val="0"/>
          <w:sz w:val="28"/>
          <w:szCs w:val="28"/>
          <w:lang w:val="es-ES_tradnl" w:eastAsia="es-ES_tradnl"/>
        </w:rPr>
        <w:t>:</w:t>
      </w:r>
    </w:p>
    <w:p w14:paraId="64E5A2DA" w14:textId="77777777" w:rsidR="006245DD" w:rsidRPr="000B352A" w:rsidRDefault="006245DD" w:rsidP="000B352A">
      <w:pPr>
        <w:pStyle w:val="Prrafodelista"/>
        <w:rPr>
          <w:rStyle w:val="FontStyle305"/>
          <w:rFonts w:ascii="Times New Roman" w:hAnsi="Times New Roman" w:cs="Times New Roman"/>
          <w:i w:val="0"/>
          <w:sz w:val="28"/>
          <w:szCs w:val="28"/>
          <w:lang w:val="es-ES_tradnl" w:eastAsia="es-ES_tradnl"/>
        </w:rPr>
      </w:pPr>
    </w:p>
    <w:p w14:paraId="64E5A2DB" w14:textId="77777777" w:rsidR="009E7B0F" w:rsidRPr="000B352A" w:rsidRDefault="006245DD" w:rsidP="000B352A">
      <w:pPr>
        <w:pStyle w:val="Prrafodelista"/>
        <w:shd w:val="clear" w:color="auto" w:fill="FFFFFF"/>
        <w:ind w:left="567" w:right="618"/>
        <w:textAlignment w:val="center"/>
        <w:rPr>
          <w:rFonts w:cs="Times New Roman"/>
          <w:color w:val="000000"/>
          <w:szCs w:val="28"/>
          <w:bdr w:val="none" w:sz="0" w:space="0" w:color="auto" w:frame="1"/>
        </w:rPr>
      </w:pPr>
      <w:r w:rsidRPr="000B352A">
        <w:rPr>
          <w:rStyle w:val="FontStyle305"/>
          <w:rFonts w:ascii="Times New Roman" w:hAnsi="Times New Roman" w:cs="Times New Roman"/>
          <w:i w:val="0"/>
          <w:sz w:val="28"/>
          <w:szCs w:val="28"/>
          <w:lang w:val="es-ES_tradnl" w:eastAsia="es-ES_tradnl"/>
        </w:rPr>
        <w:t xml:space="preserve">“(…) </w:t>
      </w:r>
      <w:r w:rsidRPr="000B352A">
        <w:rPr>
          <w:rFonts w:cs="Times New Roman"/>
          <w:color w:val="2D2D2D"/>
          <w:szCs w:val="28"/>
          <w:bdr w:val="none" w:sz="0" w:space="0" w:color="auto" w:frame="1"/>
        </w:rPr>
        <w:t xml:space="preserve">tanto para la autodeterminación de la información, como para el principio de libertad, </w:t>
      </w:r>
      <w:r w:rsidRPr="000B352A">
        <w:rPr>
          <w:rFonts w:cs="Times New Roman"/>
          <w:b/>
          <w:color w:val="2D2D2D"/>
          <w:szCs w:val="28"/>
          <w:bdr w:val="none" w:sz="0" w:space="0" w:color="auto" w:frame="1"/>
        </w:rPr>
        <w:t>el consentimiento es el punto de identidad y relevancia que determinará la vulneración o no del derecho fundamental al habeas data</w:t>
      </w:r>
      <w:r w:rsidRPr="000B352A">
        <w:rPr>
          <w:rFonts w:cs="Times New Roman"/>
          <w:color w:val="2D2D2D"/>
          <w:szCs w:val="28"/>
          <w:bdr w:val="none" w:sz="0" w:space="0" w:color="auto" w:frame="1"/>
        </w:rPr>
        <w:t>. (…) en materia de autorización, el consentimiento otorgado al </w:t>
      </w:r>
      <w:r w:rsidRPr="000B352A">
        <w:rPr>
          <w:rFonts w:cs="Times New Roman"/>
          <w:bCs/>
          <w:color w:val="000000"/>
          <w:szCs w:val="28"/>
          <w:bdr w:val="none" w:sz="0" w:space="0" w:color="auto" w:frame="1"/>
          <w:shd w:val="clear" w:color="auto" w:fill="FFFFFF"/>
        </w:rPr>
        <w:t>encargado del tratamiento</w:t>
      </w:r>
      <w:bookmarkStart w:id="10" w:name="_ftnref21"/>
      <w:r w:rsidRPr="000B352A">
        <w:rPr>
          <w:rFonts w:cs="Times New Roman"/>
          <w:bCs/>
          <w:color w:val="000000"/>
          <w:szCs w:val="28"/>
          <w:bdr w:val="none" w:sz="0" w:space="0" w:color="auto" w:frame="1"/>
          <w:shd w:val="clear" w:color="auto" w:fill="FFFFFF"/>
        </w:rPr>
        <w:fldChar w:fldCharType="begin"/>
      </w:r>
      <w:r w:rsidRPr="000B352A">
        <w:rPr>
          <w:rFonts w:cs="Times New Roman"/>
          <w:bCs/>
          <w:color w:val="000000"/>
          <w:szCs w:val="28"/>
          <w:bdr w:val="none" w:sz="0" w:space="0" w:color="auto" w:frame="1"/>
          <w:shd w:val="clear" w:color="auto" w:fill="FFFFFF"/>
        </w:rPr>
        <w:instrText xml:space="preserve"> HYPERLINK "http://www.corteconstitucional.gov.co/relatoria/2013/T-058-13.htm" \l "_ftn21" \o "" </w:instrText>
      </w:r>
      <w:r w:rsidRPr="000B352A">
        <w:rPr>
          <w:rFonts w:cs="Times New Roman"/>
          <w:bCs/>
          <w:color w:val="000000"/>
          <w:szCs w:val="28"/>
          <w:bdr w:val="none" w:sz="0" w:space="0" w:color="auto" w:frame="1"/>
          <w:shd w:val="clear" w:color="auto" w:fill="FFFFFF"/>
        </w:rPr>
        <w:fldChar w:fldCharType="separate"/>
      </w:r>
      <w:r w:rsidRPr="000B352A">
        <w:rPr>
          <w:rStyle w:val="Hipervnculo"/>
          <w:rFonts w:cs="Times New Roman"/>
          <w:bCs/>
          <w:color w:val="000000"/>
          <w:szCs w:val="28"/>
          <w:bdr w:val="none" w:sz="0" w:space="0" w:color="auto" w:frame="1"/>
          <w:shd w:val="clear" w:color="auto" w:fill="FFFFFF"/>
        </w:rPr>
        <w:t>[21</w:t>
      </w:r>
      <w:r w:rsidRPr="000B352A">
        <w:rPr>
          <w:rStyle w:val="Refdenotaalpie"/>
          <w:bCs/>
          <w:color w:val="000000"/>
          <w:szCs w:val="28"/>
          <w:u w:val="single"/>
          <w:bdr w:val="none" w:sz="0" w:space="0" w:color="auto" w:frame="1"/>
          <w:shd w:val="clear" w:color="auto" w:fill="FFFFFF"/>
        </w:rPr>
        <w:footnoteReference w:id="33"/>
      </w:r>
      <w:r w:rsidRPr="000B352A">
        <w:rPr>
          <w:rStyle w:val="Hipervnculo"/>
          <w:rFonts w:cs="Times New Roman"/>
          <w:bCs/>
          <w:color w:val="000000"/>
          <w:szCs w:val="28"/>
          <w:bdr w:val="none" w:sz="0" w:space="0" w:color="auto" w:frame="1"/>
          <w:shd w:val="clear" w:color="auto" w:fill="FFFFFF"/>
        </w:rPr>
        <w:t>]</w:t>
      </w:r>
      <w:r w:rsidRPr="000B352A">
        <w:rPr>
          <w:rFonts w:cs="Times New Roman"/>
          <w:bCs/>
          <w:color w:val="000000"/>
          <w:szCs w:val="28"/>
          <w:bdr w:val="none" w:sz="0" w:space="0" w:color="auto" w:frame="1"/>
          <w:shd w:val="clear" w:color="auto" w:fill="FFFFFF"/>
        </w:rPr>
        <w:fldChar w:fldCharType="end"/>
      </w:r>
      <w:bookmarkEnd w:id="10"/>
      <w:r w:rsidRPr="000B352A">
        <w:rPr>
          <w:rFonts w:cs="Times New Roman"/>
          <w:bCs/>
          <w:color w:val="000000"/>
          <w:szCs w:val="28"/>
          <w:bdr w:val="none" w:sz="0" w:space="0" w:color="auto" w:frame="1"/>
          <w:shd w:val="clear" w:color="auto" w:fill="FFFFFF"/>
        </w:rPr>
        <w:t> o responsable</w:t>
      </w:r>
      <w:r w:rsidR="00F56097" w:rsidRPr="000B352A">
        <w:rPr>
          <w:rFonts w:cs="Times New Roman"/>
          <w:bCs/>
          <w:color w:val="000000"/>
          <w:szCs w:val="28"/>
          <w:bdr w:val="none" w:sz="0" w:space="0" w:color="auto" w:frame="1"/>
          <w:shd w:val="clear" w:color="auto" w:fill="FFFFFF"/>
        </w:rPr>
        <w:t xml:space="preserve"> </w:t>
      </w:r>
      <w:r w:rsidRPr="000B352A">
        <w:rPr>
          <w:rFonts w:cs="Times New Roman"/>
          <w:bCs/>
          <w:color w:val="000000"/>
          <w:szCs w:val="28"/>
          <w:bdr w:val="none" w:sz="0" w:space="0" w:color="auto" w:frame="1"/>
          <w:shd w:val="clear" w:color="auto" w:fill="FFFFFF"/>
        </w:rPr>
        <w:t>del tratamiento</w:t>
      </w:r>
      <w:bookmarkStart w:id="12" w:name="_ftnref22"/>
      <w:r w:rsidRPr="000B352A">
        <w:rPr>
          <w:rFonts w:cs="Times New Roman"/>
          <w:bCs/>
          <w:color w:val="000000"/>
          <w:szCs w:val="28"/>
          <w:bdr w:val="none" w:sz="0" w:space="0" w:color="auto" w:frame="1"/>
          <w:shd w:val="clear" w:color="auto" w:fill="FFFFFF"/>
        </w:rPr>
        <w:fldChar w:fldCharType="begin"/>
      </w:r>
      <w:r w:rsidRPr="000B352A">
        <w:rPr>
          <w:rFonts w:cs="Times New Roman"/>
          <w:bCs/>
          <w:color w:val="000000"/>
          <w:szCs w:val="28"/>
          <w:bdr w:val="none" w:sz="0" w:space="0" w:color="auto" w:frame="1"/>
          <w:shd w:val="clear" w:color="auto" w:fill="FFFFFF"/>
        </w:rPr>
        <w:instrText xml:space="preserve"> HYPERLINK "http://www.corteconstitucional.gov.co/relatoria/2013/T-058-13.htm" \l "_ftn22" \o "" </w:instrText>
      </w:r>
      <w:r w:rsidRPr="000B352A">
        <w:rPr>
          <w:rFonts w:cs="Times New Roman"/>
          <w:bCs/>
          <w:color w:val="000000"/>
          <w:szCs w:val="28"/>
          <w:bdr w:val="none" w:sz="0" w:space="0" w:color="auto" w:frame="1"/>
          <w:shd w:val="clear" w:color="auto" w:fill="FFFFFF"/>
        </w:rPr>
        <w:fldChar w:fldCharType="separate"/>
      </w:r>
      <w:r w:rsidRPr="000B352A">
        <w:rPr>
          <w:rStyle w:val="Hipervnculo"/>
          <w:rFonts w:cs="Times New Roman"/>
          <w:bCs/>
          <w:color w:val="000000"/>
          <w:szCs w:val="28"/>
          <w:bdr w:val="none" w:sz="0" w:space="0" w:color="auto" w:frame="1"/>
          <w:shd w:val="clear" w:color="auto" w:fill="FFFFFF"/>
        </w:rPr>
        <w:t>[22</w:t>
      </w:r>
      <w:r w:rsidRPr="000B352A">
        <w:rPr>
          <w:rStyle w:val="Refdenotaalpie"/>
          <w:bCs/>
          <w:color w:val="000000"/>
          <w:szCs w:val="28"/>
          <w:u w:val="single"/>
          <w:bdr w:val="none" w:sz="0" w:space="0" w:color="auto" w:frame="1"/>
          <w:shd w:val="clear" w:color="auto" w:fill="FFFFFF"/>
        </w:rPr>
        <w:footnoteReference w:id="34"/>
      </w:r>
      <w:r w:rsidRPr="000B352A">
        <w:rPr>
          <w:rStyle w:val="Hipervnculo"/>
          <w:rFonts w:cs="Times New Roman"/>
          <w:bCs/>
          <w:color w:val="000000"/>
          <w:szCs w:val="28"/>
          <w:bdr w:val="none" w:sz="0" w:space="0" w:color="auto" w:frame="1"/>
          <w:shd w:val="clear" w:color="auto" w:fill="FFFFFF"/>
        </w:rPr>
        <w:t>]</w:t>
      </w:r>
      <w:r w:rsidRPr="000B352A">
        <w:rPr>
          <w:rFonts w:cs="Times New Roman"/>
          <w:bCs/>
          <w:color w:val="000000"/>
          <w:szCs w:val="28"/>
          <w:bdr w:val="none" w:sz="0" w:space="0" w:color="auto" w:frame="1"/>
          <w:shd w:val="clear" w:color="auto" w:fill="FFFFFF"/>
        </w:rPr>
        <w:fldChar w:fldCharType="end"/>
      </w:r>
      <w:bookmarkEnd w:id="12"/>
      <w:r w:rsidRPr="000B352A">
        <w:rPr>
          <w:rFonts w:cs="Times New Roman"/>
          <w:bCs/>
          <w:color w:val="000000"/>
          <w:szCs w:val="28"/>
          <w:bdr w:val="none" w:sz="0" w:space="0" w:color="auto" w:frame="1"/>
          <w:shd w:val="clear" w:color="auto" w:fill="FFFFFF"/>
        </w:rPr>
        <w:t> </w:t>
      </w:r>
      <w:r w:rsidRPr="000B352A">
        <w:rPr>
          <w:rFonts w:cs="Times New Roman"/>
          <w:color w:val="000000"/>
          <w:szCs w:val="28"/>
          <w:bdr w:val="none" w:sz="0" w:space="0" w:color="auto" w:frame="1"/>
          <w:shd w:val="clear" w:color="auto" w:fill="FFFFFF"/>
        </w:rPr>
        <w:t>debe</w:t>
      </w:r>
      <w:r w:rsidR="009E7B0F" w:rsidRPr="000B352A">
        <w:rPr>
          <w:rFonts w:cs="Times New Roman"/>
          <w:color w:val="000000"/>
          <w:szCs w:val="28"/>
          <w:bdr w:val="none" w:sz="0" w:space="0" w:color="auto" w:frame="1"/>
          <w:shd w:val="clear" w:color="auto" w:fill="FFFFFF"/>
        </w:rPr>
        <w:t xml:space="preserve"> s</w:t>
      </w:r>
      <w:r w:rsidRPr="000B352A">
        <w:rPr>
          <w:rFonts w:cs="Times New Roman"/>
          <w:color w:val="000000"/>
          <w:szCs w:val="28"/>
          <w:bdr w:val="none" w:sz="0" w:space="0" w:color="auto" w:frame="1"/>
          <w:shd w:val="clear" w:color="auto" w:fill="FFFFFF"/>
        </w:rPr>
        <w:t>er </w:t>
      </w:r>
      <w:r w:rsidRPr="000B352A">
        <w:rPr>
          <w:rFonts w:cs="Times New Roman"/>
          <w:i/>
          <w:iCs/>
          <w:color w:val="000000"/>
          <w:szCs w:val="28"/>
          <w:bdr w:val="none" w:sz="0" w:space="0" w:color="auto" w:frame="1"/>
        </w:rPr>
        <w:t>previo</w:t>
      </w:r>
      <w:hyperlink r:id="rId8" w:anchor="_ftn23" w:history="1">
        <w:r w:rsidRPr="000B352A">
          <w:rPr>
            <w:rStyle w:val="Hipervnculo"/>
            <w:rFonts w:cs="Times New Roman"/>
            <w:bCs/>
            <w:i/>
            <w:iCs/>
            <w:color w:val="000000"/>
            <w:szCs w:val="28"/>
            <w:bdr w:val="none" w:sz="0" w:space="0" w:color="auto" w:frame="1"/>
            <w:shd w:val="clear" w:color="auto" w:fill="FFFFFF"/>
          </w:rPr>
          <w:t>[23</w:t>
        </w:r>
        <w:r w:rsidRPr="000B352A">
          <w:rPr>
            <w:rStyle w:val="Refdenotaalpie"/>
            <w:bCs/>
            <w:iCs/>
            <w:color w:val="000000"/>
            <w:szCs w:val="28"/>
            <w:u w:val="single"/>
            <w:bdr w:val="none" w:sz="0" w:space="0" w:color="auto" w:frame="1"/>
            <w:shd w:val="clear" w:color="auto" w:fill="FFFFFF"/>
          </w:rPr>
          <w:footnoteReference w:id="35"/>
        </w:r>
        <w:r w:rsidRPr="000B352A">
          <w:rPr>
            <w:rStyle w:val="Hipervnculo"/>
            <w:rFonts w:cs="Times New Roman"/>
            <w:bCs/>
            <w:i/>
            <w:iCs/>
            <w:color w:val="000000"/>
            <w:szCs w:val="28"/>
            <w:bdr w:val="none" w:sz="0" w:space="0" w:color="auto" w:frame="1"/>
            <w:shd w:val="clear" w:color="auto" w:fill="FFFFFF"/>
          </w:rPr>
          <w:t>]</w:t>
        </w:r>
      </w:hyperlink>
      <w:r w:rsidRPr="000B352A">
        <w:rPr>
          <w:rFonts w:cs="Times New Roman"/>
          <w:color w:val="000000"/>
          <w:szCs w:val="28"/>
          <w:bdr w:val="none" w:sz="0" w:space="0" w:color="auto" w:frame="1"/>
          <w:shd w:val="clear" w:color="auto" w:fill="FFFFFF"/>
        </w:rPr>
        <w:t>, </w:t>
      </w:r>
      <w:r w:rsidRPr="000B352A">
        <w:rPr>
          <w:rFonts w:cs="Times New Roman"/>
          <w:i/>
          <w:iCs/>
          <w:color w:val="000000"/>
          <w:szCs w:val="28"/>
          <w:bdr w:val="none" w:sz="0" w:space="0" w:color="auto" w:frame="1"/>
        </w:rPr>
        <w:t>expreso</w:t>
      </w:r>
      <w:bookmarkStart w:id="13" w:name="_ftnref24"/>
      <w:r w:rsidRPr="000B352A">
        <w:rPr>
          <w:rFonts w:cs="Times New Roman"/>
          <w:i/>
          <w:iCs/>
          <w:color w:val="000000"/>
          <w:szCs w:val="28"/>
          <w:bdr w:val="none" w:sz="0" w:space="0" w:color="auto" w:frame="1"/>
        </w:rPr>
        <w:fldChar w:fldCharType="begin"/>
      </w:r>
      <w:r w:rsidRPr="000B352A">
        <w:rPr>
          <w:rFonts w:cs="Times New Roman"/>
          <w:i/>
          <w:iCs/>
          <w:color w:val="000000"/>
          <w:szCs w:val="28"/>
          <w:bdr w:val="none" w:sz="0" w:space="0" w:color="auto" w:frame="1"/>
        </w:rPr>
        <w:instrText xml:space="preserve"> HYPERLINK "http://www.corteconstitucional.gov.co/relatoria/2013/T-058-13.htm" \l "_ftn24" \o "" </w:instrText>
      </w:r>
      <w:r w:rsidRPr="000B352A">
        <w:rPr>
          <w:rFonts w:cs="Times New Roman"/>
          <w:i/>
          <w:iCs/>
          <w:color w:val="000000"/>
          <w:szCs w:val="28"/>
          <w:bdr w:val="none" w:sz="0" w:space="0" w:color="auto" w:frame="1"/>
        </w:rPr>
        <w:fldChar w:fldCharType="separate"/>
      </w:r>
      <w:r w:rsidRPr="000B352A">
        <w:rPr>
          <w:rStyle w:val="Hipervnculo"/>
          <w:rFonts w:cs="Times New Roman"/>
          <w:bCs/>
          <w:i/>
          <w:iCs/>
          <w:color w:val="000000"/>
          <w:szCs w:val="28"/>
          <w:bdr w:val="none" w:sz="0" w:space="0" w:color="auto" w:frame="1"/>
          <w:shd w:val="clear" w:color="auto" w:fill="FFFFFF"/>
        </w:rPr>
        <w:t>[24</w:t>
      </w:r>
      <w:r w:rsidRPr="000B352A">
        <w:rPr>
          <w:rStyle w:val="Refdenotaalpie"/>
          <w:bCs/>
          <w:iCs/>
          <w:color w:val="000000"/>
          <w:szCs w:val="28"/>
          <w:u w:val="single"/>
          <w:bdr w:val="none" w:sz="0" w:space="0" w:color="auto" w:frame="1"/>
          <w:shd w:val="clear" w:color="auto" w:fill="FFFFFF"/>
        </w:rPr>
        <w:footnoteReference w:id="36"/>
      </w:r>
      <w:r w:rsidRPr="000B352A">
        <w:rPr>
          <w:rStyle w:val="Hipervnculo"/>
          <w:rFonts w:cs="Times New Roman"/>
          <w:bCs/>
          <w:i/>
          <w:iCs/>
          <w:color w:val="000000"/>
          <w:szCs w:val="28"/>
          <w:bdr w:val="none" w:sz="0" w:space="0" w:color="auto" w:frame="1"/>
          <w:shd w:val="clear" w:color="auto" w:fill="FFFFFF"/>
        </w:rPr>
        <w:t>]</w:t>
      </w:r>
      <w:r w:rsidRPr="000B352A">
        <w:rPr>
          <w:rFonts w:cs="Times New Roman"/>
          <w:i/>
          <w:iCs/>
          <w:color w:val="000000"/>
          <w:szCs w:val="28"/>
          <w:bdr w:val="none" w:sz="0" w:space="0" w:color="auto" w:frame="1"/>
        </w:rPr>
        <w:fldChar w:fldCharType="end"/>
      </w:r>
      <w:bookmarkEnd w:id="13"/>
      <w:r w:rsidRPr="000B352A">
        <w:rPr>
          <w:rFonts w:cs="Times New Roman"/>
          <w:color w:val="000000"/>
          <w:szCs w:val="28"/>
          <w:bdr w:val="none" w:sz="0" w:space="0" w:color="auto" w:frame="1"/>
          <w:shd w:val="clear" w:color="auto" w:fill="FFFFFF"/>
        </w:rPr>
        <w:t> e </w:t>
      </w:r>
      <w:r w:rsidRPr="000B352A">
        <w:rPr>
          <w:rFonts w:cs="Times New Roman"/>
          <w:i/>
          <w:iCs/>
          <w:color w:val="000000"/>
          <w:szCs w:val="28"/>
          <w:bdr w:val="none" w:sz="0" w:space="0" w:color="auto" w:frame="1"/>
        </w:rPr>
        <w:t>informado</w:t>
      </w:r>
      <w:bookmarkStart w:id="15" w:name="_ftnref25"/>
      <w:r w:rsidRPr="000B352A">
        <w:rPr>
          <w:rFonts w:cs="Times New Roman"/>
          <w:i/>
          <w:iCs/>
          <w:color w:val="000000"/>
          <w:szCs w:val="28"/>
          <w:bdr w:val="none" w:sz="0" w:space="0" w:color="auto" w:frame="1"/>
        </w:rPr>
        <w:fldChar w:fldCharType="begin"/>
      </w:r>
      <w:r w:rsidRPr="000B352A">
        <w:rPr>
          <w:rFonts w:cs="Times New Roman"/>
          <w:i/>
          <w:iCs/>
          <w:color w:val="000000"/>
          <w:szCs w:val="28"/>
          <w:bdr w:val="none" w:sz="0" w:space="0" w:color="auto" w:frame="1"/>
        </w:rPr>
        <w:instrText xml:space="preserve"> HYPERLINK "http://www.corteconstitucional.gov.co/relatoria/2013/T-058-13.htm" \l "_ftn25" \o "" </w:instrText>
      </w:r>
      <w:r w:rsidRPr="000B352A">
        <w:rPr>
          <w:rFonts w:cs="Times New Roman"/>
          <w:i/>
          <w:iCs/>
          <w:color w:val="000000"/>
          <w:szCs w:val="28"/>
          <w:bdr w:val="none" w:sz="0" w:space="0" w:color="auto" w:frame="1"/>
        </w:rPr>
        <w:fldChar w:fldCharType="separate"/>
      </w:r>
      <w:r w:rsidRPr="000B352A">
        <w:rPr>
          <w:rStyle w:val="Hipervnculo"/>
          <w:rFonts w:cs="Times New Roman"/>
          <w:bCs/>
          <w:i/>
          <w:iCs/>
          <w:color w:val="000000"/>
          <w:szCs w:val="28"/>
          <w:bdr w:val="none" w:sz="0" w:space="0" w:color="auto" w:frame="1"/>
          <w:shd w:val="clear" w:color="auto" w:fill="FFFFFF"/>
        </w:rPr>
        <w:t>[25</w:t>
      </w:r>
      <w:r w:rsidR="009E7B0F" w:rsidRPr="000B352A">
        <w:rPr>
          <w:rStyle w:val="Refdenotaalpie"/>
          <w:bCs/>
          <w:i/>
          <w:iCs/>
          <w:color w:val="000000"/>
          <w:szCs w:val="28"/>
          <w:u w:val="single"/>
          <w:bdr w:val="none" w:sz="0" w:space="0" w:color="auto" w:frame="1"/>
          <w:shd w:val="clear" w:color="auto" w:fill="FFFFFF"/>
        </w:rPr>
        <w:footnoteReference w:id="37"/>
      </w:r>
      <w:r w:rsidRPr="000B352A">
        <w:rPr>
          <w:rStyle w:val="Hipervnculo"/>
          <w:rFonts w:cs="Times New Roman"/>
          <w:bCs/>
          <w:i/>
          <w:iCs/>
          <w:color w:val="000000"/>
          <w:szCs w:val="28"/>
          <w:bdr w:val="none" w:sz="0" w:space="0" w:color="auto" w:frame="1"/>
          <w:shd w:val="clear" w:color="auto" w:fill="FFFFFF"/>
        </w:rPr>
        <w:t>]</w:t>
      </w:r>
      <w:r w:rsidRPr="000B352A">
        <w:rPr>
          <w:rFonts w:cs="Times New Roman"/>
          <w:i/>
          <w:iCs/>
          <w:color w:val="000000"/>
          <w:szCs w:val="28"/>
          <w:bdr w:val="none" w:sz="0" w:space="0" w:color="auto" w:frame="1"/>
        </w:rPr>
        <w:fldChar w:fldCharType="end"/>
      </w:r>
      <w:bookmarkEnd w:id="15"/>
      <w:r w:rsidRPr="000B352A">
        <w:rPr>
          <w:rFonts w:cs="Times New Roman"/>
          <w:color w:val="000000"/>
          <w:szCs w:val="28"/>
          <w:bdr w:val="none" w:sz="0" w:space="0" w:color="auto" w:frame="1"/>
          <w:shd w:val="clear" w:color="auto" w:fill="FFFFFF"/>
        </w:rPr>
        <w:t xml:space="preserve"> y, por el contrario, la publicidad indiscriminada de la información sobre datos personales sin el cumplimiento de los requisitos antes descritos configura una finalidad ilegal y/o inconstitucional que facilita la vulneración de derechos fundamentales. </w:t>
      </w:r>
      <w:r w:rsidRPr="000B352A">
        <w:rPr>
          <w:rFonts w:cs="Times New Roman"/>
          <w:color w:val="000000"/>
          <w:szCs w:val="28"/>
          <w:bdr w:val="none" w:sz="0" w:space="0" w:color="auto" w:frame="1"/>
        </w:rPr>
        <w:t>En este orden de ideas, cabe destacar que el consentimiento del titular de la información sobre el registro de sus datos se encuentra ligado a la necesidad de que aquel cuente con oportunidades reales para ejercer sus facultades de rectificación y actualización durante las diversas etapas de dicho proceso, que resultan vitales para salvaguardar los derechos a la intimidad y al buen nombre. En conclusión, compete a los jueces, en cada caso, analizar el contenido de la autodeterminación y el principio de libertad así como el cumplimiento de los requisitos dispuestos en la ley y la jurisprudencia, a fin de no incurrir en alguna violación de derechos fundamentales. Dichos requisitos se pueden sintetizar en: </w:t>
      </w:r>
      <w:r w:rsidRPr="000B352A">
        <w:rPr>
          <w:rFonts w:cs="Times New Roman"/>
          <w:i/>
          <w:iCs/>
          <w:color w:val="000000"/>
          <w:szCs w:val="28"/>
          <w:bdr w:val="none" w:sz="0" w:space="0" w:color="auto" w:frame="1"/>
        </w:rPr>
        <w:t>(i)</w:t>
      </w:r>
      <w:r w:rsidRPr="000B352A">
        <w:rPr>
          <w:rFonts w:cs="Times New Roman"/>
          <w:color w:val="000000"/>
          <w:szCs w:val="28"/>
          <w:bdr w:val="none" w:sz="0" w:space="0" w:color="auto" w:frame="1"/>
        </w:rPr>
        <w:t> obtener el consentimiento del titular de la información, </w:t>
      </w:r>
      <w:r w:rsidRPr="000B352A">
        <w:rPr>
          <w:rFonts w:cs="Times New Roman"/>
          <w:i/>
          <w:iCs/>
          <w:color w:val="000000"/>
          <w:szCs w:val="28"/>
          <w:bdr w:val="none" w:sz="0" w:space="0" w:color="auto" w:frame="1"/>
        </w:rPr>
        <w:t>(ii)</w:t>
      </w:r>
      <w:r w:rsidRPr="000B352A">
        <w:rPr>
          <w:rFonts w:cs="Times New Roman"/>
          <w:color w:val="000000"/>
          <w:szCs w:val="28"/>
          <w:bdr w:val="none" w:sz="0" w:space="0" w:color="auto" w:frame="1"/>
        </w:rPr>
        <w:t> tal consentimiento deber ser calificado, es decir, expreso, informado y previo, </w:t>
      </w:r>
      <w:r w:rsidRPr="000B352A">
        <w:rPr>
          <w:rFonts w:cs="Times New Roman"/>
          <w:i/>
          <w:iCs/>
          <w:color w:val="000000"/>
          <w:szCs w:val="28"/>
          <w:bdr w:val="none" w:sz="0" w:space="0" w:color="auto" w:frame="1"/>
        </w:rPr>
        <w:t>(iii)</w:t>
      </w:r>
      <w:r w:rsidRPr="000B352A">
        <w:rPr>
          <w:rFonts w:cs="Times New Roman"/>
          <w:color w:val="000000"/>
          <w:szCs w:val="28"/>
          <w:bdr w:val="none" w:sz="0" w:space="0" w:color="auto" w:frame="1"/>
        </w:rPr>
        <w:t> el tratamiento de la información se debe realizar para las finalidades informadas y aceptadas por el titular del dato, </w:t>
      </w:r>
      <w:r w:rsidRPr="000B352A">
        <w:rPr>
          <w:rFonts w:cs="Times New Roman"/>
          <w:i/>
          <w:iCs/>
          <w:color w:val="000000"/>
          <w:szCs w:val="28"/>
          <w:bdr w:val="none" w:sz="0" w:space="0" w:color="auto" w:frame="1"/>
        </w:rPr>
        <w:t>(iv)</w:t>
      </w:r>
      <w:r w:rsidRPr="000B352A">
        <w:rPr>
          <w:rFonts w:cs="Times New Roman"/>
          <w:color w:val="000000"/>
          <w:szCs w:val="28"/>
          <w:bdr w:val="none" w:sz="0" w:space="0" w:color="auto" w:frame="1"/>
        </w:rPr>
        <w:t> el responsable del tratamiento le corresponde obtener y conservar la autorización del titular.”</w:t>
      </w:r>
      <w:r w:rsidR="00817407" w:rsidRPr="000B352A">
        <w:rPr>
          <w:rFonts w:cs="Times New Roman"/>
          <w:color w:val="000000"/>
          <w:szCs w:val="28"/>
          <w:bdr w:val="none" w:sz="0" w:space="0" w:color="auto" w:frame="1"/>
        </w:rPr>
        <w:t xml:space="preserve"> (Énfasis fuera de texto).</w:t>
      </w:r>
      <w:r w:rsidR="00992E1D" w:rsidRPr="000B352A">
        <w:rPr>
          <w:rStyle w:val="Refdenotaalpie"/>
          <w:color w:val="000000"/>
          <w:szCs w:val="28"/>
          <w:bdr w:val="none" w:sz="0" w:space="0" w:color="auto" w:frame="1"/>
        </w:rPr>
        <w:footnoteReference w:id="38"/>
      </w:r>
    </w:p>
    <w:p w14:paraId="64E5A2DC" w14:textId="77777777" w:rsidR="009E7B0F" w:rsidRPr="000B352A" w:rsidRDefault="009E7B0F" w:rsidP="000B352A">
      <w:pPr>
        <w:shd w:val="clear" w:color="auto" w:fill="FFFFFF"/>
        <w:ind w:right="616"/>
        <w:textAlignment w:val="center"/>
        <w:rPr>
          <w:rFonts w:cs="Times New Roman"/>
          <w:color w:val="000000"/>
          <w:szCs w:val="28"/>
          <w:bdr w:val="none" w:sz="0" w:space="0" w:color="auto" w:frame="1"/>
        </w:rPr>
      </w:pPr>
    </w:p>
    <w:p w14:paraId="64E5A2DD" w14:textId="77777777" w:rsidR="00992E1D" w:rsidRPr="000B352A" w:rsidRDefault="00992E1D" w:rsidP="000B352A">
      <w:pPr>
        <w:shd w:val="clear" w:color="auto" w:fill="FFFFFF"/>
        <w:ind w:right="49"/>
        <w:textAlignment w:val="center"/>
        <w:rPr>
          <w:rFonts w:cs="Times New Roman"/>
          <w:color w:val="000000"/>
          <w:szCs w:val="28"/>
          <w:bdr w:val="none" w:sz="0" w:space="0" w:color="auto" w:frame="1"/>
        </w:rPr>
      </w:pPr>
      <w:r w:rsidRPr="000B352A">
        <w:rPr>
          <w:rFonts w:cs="Times New Roman"/>
          <w:color w:val="000000"/>
          <w:szCs w:val="28"/>
          <w:bdr w:val="none" w:sz="0" w:space="0" w:color="auto" w:frame="1"/>
        </w:rPr>
        <w:t xml:space="preserve">Y </w:t>
      </w:r>
      <w:r w:rsidR="006B3FC5" w:rsidRPr="000B352A">
        <w:rPr>
          <w:rFonts w:cs="Times New Roman"/>
          <w:color w:val="000000"/>
          <w:szCs w:val="28"/>
          <w:bdr w:val="none" w:sz="0" w:space="0" w:color="auto" w:frame="1"/>
        </w:rPr>
        <w:t>sobre</w:t>
      </w:r>
      <w:r w:rsidRPr="000B352A">
        <w:rPr>
          <w:rFonts w:cs="Times New Roman"/>
          <w:color w:val="000000"/>
          <w:szCs w:val="28"/>
          <w:bdr w:val="none" w:sz="0" w:space="0" w:color="auto" w:frame="1"/>
        </w:rPr>
        <w:t xml:space="preserve"> del </w:t>
      </w:r>
      <w:r w:rsidR="006B3FC5" w:rsidRPr="000B352A">
        <w:rPr>
          <w:rFonts w:cs="Times New Roman"/>
          <w:color w:val="000000"/>
          <w:szCs w:val="28"/>
          <w:bdr w:val="none" w:sz="0" w:space="0" w:color="auto" w:frame="1"/>
        </w:rPr>
        <w:t>principio de finalidad</w:t>
      </w:r>
      <w:r w:rsidRPr="000B352A">
        <w:rPr>
          <w:rFonts w:cs="Times New Roman"/>
          <w:color w:val="000000"/>
          <w:szCs w:val="28"/>
          <w:bdr w:val="none" w:sz="0" w:space="0" w:color="auto" w:frame="1"/>
        </w:rPr>
        <w:t>, la jurisprudencia ha explicado que</w:t>
      </w:r>
      <w:r w:rsidR="00754AB4" w:rsidRPr="000B352A">
        <w:rPr>
          <w:rFonts w:cs="Times New Roman"/>
          <w:color w:val="000000"/>
          <w:szCs w:val="28"/>
          <w:bdr w:val="none" w:sz="0" w:space="0" w:color="auto" w:frame="1"/>
        </w:rPr>
        <w:t xml:space="preserve"> este </w:t>
      </w:r>
      <w:r w:rsidR="004E139E" w:rsidRPr="000B352A">
        <w:rPr>
          <w:rFonts w:cs="Times New Roman"/>
          <w:color w:val="000000"/>
          <w:szCs w:val="28"/>
          <w:bdr w:val="none" w:sz="0" w:space="0" w:color="auto" w:frame="1"/>
        </w:rPr>
        <w:t>vela porque “</w:t>
      </w:r>
      <w:r w:rsidR="00754AB4" w:rsidRPr="000B352A">
        <w:rPr>
          <w:rFonts w:cs="Times New Roman"/>
          <w:i/>
          <w:iCs/>
          <w:color w:val="000000"/>
          <w:szCs w:val="28"/>
          <w:bdr w:val="none" w:sz="0" w:space="0" w:color="auto" w:frame="1"/>
          <w:shd w:val="clear" w:color="auto" w:fill="FFFFFF"/>
        </w:rPr>
        <w:t xml:space="preserve">el acopio, procesamiento y divulgación de datos personales </w:t>
      </w:r>
      <w:r w:rsidR="004E139E" w:rsidRPr="000B352A">
        <w:rPr>
          <w:rFonts w:cs="Times New Roman"/>
          <w:i/>
          <w:iCs/>
          <w:color w:val="000000"/>
          <w:szCs w:val="28"/>
          <w:bdr w:val="none" w:sz="0" w:space="0" w:color="auto" w:frame="1"/>
          <w:shd w:val="clear" w:color="auto" w:fill="FFFFFF"/>
        </w:rPr>
        <w:t>[obedezcan]</w:t>
      </w:r>
      <w:r w:rsidR="00754AB4" w:rsidRPr="000B352A">
        <w:rPr>
          <w:rFonts w:cs="Times New Roman"/>
          <w:i/>
          <w:iCs/>
          <w:color w:val="000000"/>
          <w:szCs w:val="28"/>
          <w:bdr w:val="none" w:sz="0" w:space="0" w:color="auto" w:frame="1"/>
          <w:shd w:val="clear" w:color="auto" w:fill="FFFFFF"/>
        </w:rPr>
        <w:t xml:space="preserve"> a una finalidad constitucionalmente legítima definida de manera clara y previa</w:t>
      </w:r>
      <w:r w:rsidR="004E139E" w:rsidRPr="000B352A">
        <w:rPr>
          <w:rFonts w:cs="Times New Roman"/>
          <w:i/>
          <w:iCs/>
          <w:color w:val="000000"/>
          <w:szCs w:val="28"/>
          <w:bdr w:val="none" w:sz="0" w:space="0" w:color="auto" w:frame="1"/>
          <w:shd w:val="clear" w:color="auto" w:fill="FFFFFF"/>
        </w:rPr>
        <w:t xml:space="preserve"> (…) [41</w:t>
      </w:r>
      <w:r w:rsidR="004E139E" w:rsidRPr="000B352A">
        <w:rPr>
          <w:rStyle w:val="Refdenotaalpie"/>
          <w:i/>
          <w:iCs/>
          <w:color w:val="000000"/>
          <w:szCs w:val="28"/>
          <w:bdr w:val="none" w:sz="0" w:space="0" w:color="auto" w:frame="1"/>
          <w:shd w:val="clear" w:color="auto" w:fill="FFFFFF"/>
        </w:rPr>
        <w:footnoteReference w:id="39"/>
      </w:r>
      <w:r w:rsidR="004E139E" w:rsidRPr="000B352A">
        <w:rPr>
          <w:rFonts w:cs="Times New Roman"/>
          <w:i/>
          <w:iCs/>
          <w:color w:val="000000"/>
          <w:szCs w:val="28"/>
          <w:bdr w:val="none" w:sz="0" w:space="0" w:color="auto" w:frame="1"/>
          <w:shd w:val="clear" w:color="auto" w:fill="FFFFFF"/>
        </w:rPr>
        <w:t>]”</w:t>
      </w:r>
      <w:r w:rsidR="004E139E" w:rsidRPr="000B352A">
        <w:rPr>
          <w:rStyle w:val="Refdenotaalpie"/>
          <w:i/>
          <w:iCs/>
          <w:color w:val="000000"/>
          <w:szCs w:val="28"/>
          <w:bdr w:val="none" w:sz="0" w:space="0" w:color="auto" w:frame="1"/>
          <w:shd w:val="clear" w:color="auto" w:fill="FFFFFF"/>
        </w:rPr>
        <w:footnoteReference w:id="40"/>
      </w:r>
    </w:p>
    <w:p w14:paraId="64E5A2DE" w14:textId="77777777" w:rsidR="00992E1D" w:rsidRPr="000B352A" w:rsidRDefault="00992E1D" w:rsidP="000B352A">
      <w:pPr>
        <w:shd w:val="clear" w:color="auto" w:fill="FFFFFF"/>
        <w:ind w:right="616"/>
        <w:textAlignment w:val="center"/>
        <w:rPr>
          <w:rFonts w:cs="Times New Roman"/>
          <w:color w:val="000000"/>
          <w:szCs w:val="28"/>
          <w:bdr w:val="none" w:sz="0" w:space="0" w:color="auto" w:frame="1"/>
        </w:rPr>
      </w:pPr>
    </w:p>
    <w:p w14:paraId="64E5A2DF" w14:textId="77777777" w:rsidR="00992E1D" w:rsidRPr="000B352A" w:rsidRDefault="004E139E" w:rsidP="000B352A">
      <w:pPr>
        <w:shd w:val="clear" w:color="auto" w:fill="FFFFFF"/>
        <w:ind w:right="49" w:firstLine="1"/>
        <w:textAlignment w:val="center"/>
        <w:rPr>
          <w:rFonts w:cs="Times New Roman"/>
          <w:color w:val="000000"/>
          <w:szCs w:val="28"/>
          <w:bdr w:val="none" w:sz="0" w:space="0" w:color="auto" w:frame="1"/>
        </w:rPr>
      </w:pPr>
      <w:r w:rsidRPr="000B352A">
        <w:rPr>
          <w:rFonts w:cs="Times New Roman"/>
          <w:color w:val="000000"/>
          <w:szCs w:val="28"/>
          <w:bdr w:val="none" w:sz="0" w:space="0" w:color="auto" w:frame="1"/>
        </w:rPr>
        <w:t xml:space="preserve">En suma, se trata de dos principios en natural tensión constitucional en tanto uno defiende </w:t>
      </w:r>
      <w:r w:rsidR="00970132" w:rsidRPr="000B352A">
        <w:rPr>
          <w:rFonts w:cs="Times New Roman"/>
          <w:color w:val="000000"/>
          <w:szCs w:val="28"/>
          <w:bdr w:val="none" w:sz="0" w:space="0" w:color="auto" w:frame="1"/>
        </w:rPr>
        <w:t xml:space="preserve">los postulados del artículo </w:t>
      </w:r>
      <w:r w:rsidRPr="000B352A">
        <w:rPr>
          <w:rFonts w:cs="Times New Roman"/>
          <w:color w:val="000000"/>
          <w:szCs w:val="28"/>
          <w:bdr w:val="none" w:sz="0" w:space="0" w:color="auto" w:frame="1"/>
        </w:rPr>
        <w:t>15</w:t>
      </w:r>
      <w:r w:rsidR="00970132" w:rsidRPr="000B352A">
        <w:rPr>
          <w:rFonts w:cs="Times New Roman"/>
          <w:color w:val="000000"/>
          <w:szCs w:val="28"/>
          <w:bdr w:val="none" w:sz="0" w:space="0" w:color="auto" w:frame="1"/>
        </w:rPr>
        <w:t xml:space="preserve"> superior </w:t>
      </w:r>
      <w:r w:rsidRPr="000B352A">
        <w:rPr>
          <w:rFonts w:cs="Times New Roman"/>
          <w:color w:val="000000"/>
          <w:szCs w:val="28"/>
          <w:bdr w:val="none" w:sz="0" w:space="0" w:color="auto" w:frame="1"/>
        </w:rPr>
        <w:t xml:space="preserve">y el otro </w:t>
      </w:r>
      <w:r w:rsidR="00187D95" w:rsidRPr="000B352A">
        <w:rPr>
          <w:rFonts w:cs="Times New Roman"/>
          <w:color w:val="000000"/>
          <w:szCs w:val="28"/>
          <w:bdr w:val="none" w:sz="0" w:space="0" w:color="auto" w:frame="1"/>
        </w:rPr>
        <w:t xml:space="preserve">los del </w:t>
      </w:r>
      <w:r w:rsidRPr="000B352A">
        <w:rPr>
          <w:rFonts w:cs="Times New Roman"/>
          <w:color w:val="000000"/>
          <w:szCs w:val="28"/>
          <w:bdr w:val="none" w:sz="0" w:space="0" w:color="auto" w:frame="1"/>
        </w:rPr>
        <w:t>art</w:t>
      </w:r>
      <w:r w:rsidR="00187D95" w:rsidRPr="000B352A">
        <w:rPr>
          <w:rFonts w:cs="Times New Roman"/>
          <w:color w:val="000000"/>
          <w:szCs w:val="28"/>
          <w:bdr w:val="none" w:sz="0" w:space="0" w:color="auto" w:frame="1"/>
        </w:rPr>
        <w:t>ículo 20 de la Constitución</w:t>
      </w:r>
      <w:r w:rsidR="00B7573E" w:rsidRPr="000B352A">
        <w:rPr>
          <w:rStyle w:val="Refdenotaalpie"/>
          <w:color w:val="000000"/>
          <w:szCs w:val="28"/>
          <w:bdr w:val="none" w:sz="0" w:space="0" w:color="auto" w:frame="1"/>
        </w:rPr>
        <w:footnoteReference w:id="41"/>
      </w:r>
      <w:r w:rsidR="00187D95" w:rsidRPr="000B352A">
        <w:rPr>
          <w:rFonts w:cs="Times New Roman"/>
          <w:color w:val="000000"/>
          <w:szCs w:val="28"/>
          <w:bdr w:val="none" w:sz="0" w:space="0" w:color="auto" w:frame="1"/>
        </w:rPr>
        <w:t>.</w:t>
      </w:r>
      <w:r w:rsidR="00B7573E" w:rsidRPr="000B352A">
        <w:rPr>
          <w:rStyle w:val="Refdenotaalpie"/>
          <w:color w:val="000000"/>
          <w:szCs w:val="28"/>
          <w:bdr w:val="none" w:sz="0" w:space="0" w:color="auto" w:frame="1"/>
        </w:rPr>
        <w:t xml:space="preserve"> </w:t>
      </w:r>
      <w:r w:rsidR="00B7573E" w:rsidRPr="000B352A">
        <w:rPr>
          <w:rStyle w:val="Refdenotaalpie"/>
          <w:color w:val="000000"/>
          <w:szCs w:val="28"/>
          <w:bdr w:val="none" w:sz="0" w:space="0" w:color="auto" w:frame="1"/>
        </w:rPr>
        <w:footnoteReference w:id="42"/>
      </w:r>
    </w:p>
    <w:p w14:paraId="64E5A2E0" w14:textId="77777777" w:rsidR="00992E1D" w:rsidRPr="000B352A" w:rsidRDefault="00992E1D" w:rsidP="000B352A">
      <w:pPr>
        <w:shd w:val="clear" w:color="auto" w:fill="FFFFFF"/>
        <w:ind w:right="616"/>
        <w:textAlignment w:val="center"/>
        <w:rPr>
          <w:rFonts w:cs="Times New Roman"/>
          <w:color w:val="000000"/>
          <w:szCs w:val="28"/>
          <w:bdr w:val="none" w:sz="0" w:space="0" w:color="auto" w:frame="1"/>
        </w:rPr>
      </w:pPr>
    </w:p>
    <w:p w14:paraId="64E5A2E1" w14:textId="77777777" w:rsidR="00991FDE" w:rsidRPr="000B352A" w:rsidRDefault="004951C9" w:rsidP="000B352A">
      <w:pPr>
        <w:pStyle w:val="Prrafodelista"/>
        <w:numPr>
          <w:ilvl w:val="3"/>
          <w:numId w:val="3"/>
        </w:numPr>
        <w:ind w:left="0" w:firstLine="0"/>
        <w:rPr>
          <w:rFonts w:cs="Times New Roman"/>
          <w:color w:val="000000"/>
          <w:szCs w:val="28"/>
          <w:bdr w:val="none" w:sz="0" w:space="0" w:color="auto" w:frame="1"/>
        </w:rPr>
      </w:pPr>
      <w:r w:rsidRPr="000B352A">
        <w:rPr>
          <w:rFonts w:cs="Times New Roman"/>
          <w:color w:val="000000"/>
          <w:szCs w:val="28"/>
          <w:bdr w:val="none" w:sz="0" w:space="0" w:color="auto" w:frame="1"/>
        </w:rPr>
        <w:t xml:space="preserve">Aunque el principio de libertad </w:t>
      </w:r>
      <w:r w:rsidR="00E31C21" w:rsidRPr="000B352A">
        <w:rPr>
          <w:rFonts w:cs="Times New Roman"/>
          <w:color w:val="000000"/>
          <w:szCs w:val="28"/>
          <w:bdr w:val="none" w:sz="0" w:space="0" w:color="auto" w:frame="1"/>
        </w:rPr>
        <w:t>se predica del tratamiento de</w:t>
      </w:r>
      <w:r w:rsidRPr="000B352A">
        <w:rPr>
          <w:rFonts w:cs="Times New Roman"/>
          <w:color w:val="000000"/>
          <w:szCs w:val="28"/>
          <w:bdr w:val="none" w:sz="0" w:space="0" w:color="auto" w:frame="1"/>
        </w:rPr>
        <w:t xml:space="preserve"> todos los datos </w:t>
      </w:r>
      <w:r w:rsidR="00E31C21" w:rsidRPr="000B352A">
        <w:rPr>
          <w:rFonts w:cs="Times New Roman"/>
          <w:color w:val="000000"/>
          <w:szCs w:val="28"/>
          <w:bdr w:val="none" w:sz="0" w:space="0" w:color="auto" w:frame="1"/>
        </w:rPr>
        <w:t xml:space="preserve">personales (incluso de aquellos  públicos, pues </w:t>
      </w:r>
      <w:r w:rsidR="00E31C21" w:rsidRPr="000B352A">
        <w:rPr>
          <w:rFonts w:cs="Times New Roman"/>
          <w:i/>
          <w:iCs/>
          <w:color w:val="000000"/>
          <w:szCs w:val="28"/>
          <w:bdr w:val="none" w:sz="0" w:space="0" w:color="auto" w:frame="1"/>
        </w:rPr>
        <w:t xml:space="preserve">“el consentimiento del titular de la información sobre el registro de sus datos </w:t>
      </w:r>
      <w:hyperlink r:id="rId9" w:anchor="_ftnref24" w:history="1">
        <w:r w:rsidR="00E31C21" w:rsidRPr="000B352A">
          <w:rPr>
            <w:rStyle w:val="Hipervnculo"/>
            <w:rFonts w:cs="Times New Roman"/>
            <w:i/>
            <w:color w:val="auto"/>
            <w:szCs w:val="28"/>
            <w:u w:val="none"/>
            <w:bdr w:val="none" w:sz="0" w:space="0" w:color="auto" w:frame="1"/>
          </w:rPr>
          <w:t>[también]</w:t>
        </w:r>
      </w:hyperlink>
      <w:r w:rsidR="00E31C21" w:rsidRPr="000B352A">
        <w:rPr>
          <w:rFonts w:cs="Times New Roman"/>
          <w:i/>
          <w:iCs/>
          <w:color w:val="000000"/>
          <w:szCs w:val="28"/>
          <w:bdr w:val="none" w:sz="0" w:space="0" w:color="auto" w:frame="1"/>
        </w:rPr>
        <w:t xml:space="preserve"> se encuentra ligado a la necesidad de que aquel cuente con oportunidades reales para ejercer sus facultades de rectificación y actualización durante las diversas etapas de dicho proceso, que resultan vitales para salvaguardar los derechos a la intimidad y al buen nombre”</w:t>
      </w:r>
      <w:r w:rsidR="00E31C21" w:rsidRPr="000B352A">
        <w:rPr>
          <w:rStyle w:val="Refdenotaalpie"/>
          <w:i/>
          <w:iCs/>
          <w:color w:val="000000"/>
          <w:szCs w:val="28"/>
          <w:bdr w:val="none" w:sz="0" w:space="0" w:color="auto" w:frame="1"/>
        </w:rPr>
        <w:footnoteReference w:id="43"/>
      </w:r>
      <w:r w:rsidR="00E31C21" w:rsidRPr="000B352A">
        <w:rPr>
          <w:rFonts w:cs="Times New Roman"/>
          <w:iCs/>
          <w:color w:val="000000"/>
          <w:szCs w:val="28"/>
          <w:bdr w:val="none" w:sz="0" w:space="0" w:color="auto" w:frame="1"/>
        </w:rPr>
        <w:t>)</w:t>
      </w:r>
      <w:r w:rsidRPr="000B352A">
        <w:rPr>
          <w:rFonts w:cs="Times New Roman"/>
          <w:color w:val="000000"/>
          <w:szCs w:val="28"/>
          <w:bdr w:val="none" w:sz="0" w:space="0" w:color="auto" w:frame="1"/>
        </w:rPr>
        <w:t xml:space="preserve"> éste resulta particularmente relevante en aquellos ámbitos en donde </w:t>
      </w:r>
      <w:r w:rsidR="007D4C03" w:rsidRPr="000B352A">
        <w:rPr>
          <w:rFonts w:cs="Times New Roman"/>
          <w:color w:val="000000"/>
          <w:szCs w:val="28"/>
          <w:bdr w:val="none" w:sz="0" w:space="0" w:color="auto" w:frame="1"/>
        </w:rPr>
        <w:t xml:space="preserve">para su tratamiento </w:t>
      </w:r>
      <w:r w:rsidR="0060047A" w:rsidRPr="000B352A">
        <w:rPr>
          <w:rFonts w:cs="Times New Roman"/>
          <w:color w:val="000000"/>
          <w:szCs w:val="28"/>
          <w:bdr w:val="none" w:sz="0" w:space="0" w:color="auto" w:frame="1"/>
        </w:rPr>
        <w:t>es indispensable contar con el consentimiento de su titular.</w:t>
      </w:r>
      <w:r w:rsidR="007D4C03" w:rsidRPr="000B352A">
        <w:rPr>
          <w:rFonts w:cs="Times New Roman"/>
          <w:color w:val="000000"/>
          <w:szCs w:val="28"/>
          <w:bdr w:val="none" w:sz="0" w:space="0" w:color="auto" w:frame="1"/>
        </w:rPr>
        <w:t xml:space="preserve"> Tales </w:t>
      </w:r>
      <w:r w:rsidR="006B3FC5" w:rsidRPr="000B352A">
        <w:rPr>
          <w:rFonts w:cs="Times New Roman"/>
          <w:color w:val="000000"/>
          <w:szCs w:val="28"/>
          <w:bdr w:val="none" w:sz="0" w:space="0" w:color="auto" w:frame="1"/>
        </w:rPr>
        <w:t>eventos</w:t>
      </w:r>
      <w:r w:rsidR="007D4C03" w:rsidRPr="000B352A">
        <w:rPr>
          <w:rFonts w:cs="Times New Roman"/>
          <w:color w:val="000000"/>
          <w:szCs w:val="28"/>
          <w:bdr w:val="none" w:sz="0" w:space="0" w:color="auto" w:frame="1"/>
        </w:rPr>
        <w:t xml:space="preserve"> son la regla general. </w:t>
      </w:r>
      <w:r w:rsidR="001A58AC" w:rsidRPr="000B352A">
        <w:rPr>
          <w:rFonts w:cs="Times New Roman"/>
          <w:color w:val="000000"/>
          <w:szCs w:val="28"/>
          <w:bdr w:val="none" w:sz="0" w:space="0" w:color="auto" w:frame="1"/>
        </w:rPr>
        <w:t>Ciertamente</w:t>
      </w:r>
      <w:r w:rsidR="007D4C03" w:rsidRPr="000B352A">
        <w:rPr>
          <w:rFonts w:cs="Times New Roman"/>
          <w:color w:val="000000"/>
          <w:szCs w:val="28"/>
          <w:bdr w:val="none" w:sz="0" w:space="0" w:color="auto" w:frame="1"/>
        </w:rPr>
        <w:t xml:space="preserve">, </w:t>
      </w:r>
      <w:r w:rsidR="00A47069" w:rsidRPr="000B352A">
        <w:rPr>
          <w:rFonts w:cs="Times New Roman"/>
          <w:color w:val="000000"/>
          <w:szCs w:val="28"/>
          <w:bdr w:val="none" w:sz="0" w:space="0" w:color="auto" w:frame="1"/>
        </w:rPr>
        <w:t xml:space="preserve">mientras que el artículo 9º de la Ley 1581 de 2012 (ley estatutaria del habeas data) prevé </w:t>
      </w:r>
      <w:r w:rsidR="007D4C03" w:rsidRPr="000B352A">
        <w:rPr>
          <w:rFonts w:cs="Times New Roman"/>
          <w:color w:val="000000"/>
          <w:szCs w:val="28"/>
          <w:bdr w:val="none" w:sz="0" w:space="0" w:color="auto" w:frame="1"/>
        </w:rPr>
        <w:t>que,</w:t>
      </w:r>
      <w:r w:rsidR="00A47069" w:rsidRPr="000B352A">
        <w:rPr>
          <w:rFonts w:cs="Times New Roman"/>
          <w:color w:val="000000"/>
          <w:szCs w:val="28"/>
          <w:bdr w:val="none" w:sz="0" w:space="0" w:color="auto" w:frame="1"/>
        </w:rPr>
        <w:t xml:space="preserve"> salvo las excepciones legalmente previstas, el tratamiento de datos requiere de </w:t>
      </w:r>
      <w:r w:rsidR="00A47069" w:rsidRPr="000B352A">
        <w:rPr>
          <w:rFonts w:cs="Times New Roman"/>
          <w:i/>
          <w:color w:val="000000"/>
          <w:szCs w:val="28"/>
          <w:bdr w:val="none" w:sz="0" w:space="0" w:color="auto" w:frame="1"/>
        </w:rPr>
        <w:t>“</w:t>
      </w:r>
      <w:r w:rsidR="00A47069" w:rsidRPr="000B352A">
        <w:rPr>
          <w:rFonts w:cs="Times New Roman"/>
          <w:i/>
          <w:szCs w:val="28"/>
        </w:rPr>
        <w:t xml:space="preserve">la </w:t>
      </w:r>
      <w:r w:rsidR="00A47069" w:rsidRPr="000B352A">
        <w:rPr>
          <w:rFonts w:cs="Times New Roman"/>
          <w:b/>
          <w:i/>
          <w:szCs w:val="28"/>
        </w:rPr>
        <w:t>autorización previa e informada del titular</w:t>
      </w:r>
      <w:r w:rsidR="00A47069" w:rsidRPr="000B352A">
        <w:rPr>
          <w:rFonts w:cs="Times New Roman"/>
          <w:i/>
          <w:szCs w:val="28"/>
        </w:rPr>
        <w:t xml:space="preserve">, la cual deberá ser obtenida por cualquier medio que pueda ser objeto de consulta posterior”, </w:t>
      </w:r>
      <w:r w:rsidR="00A47069" w:rsidRPr="000B352A">
        <w:rPr>
          <w:rFonts w:cs="Times New Roman"/>
          <w:szCs w:val="28"/>
        </w:rPr>
        <w:t xml:space="preserve">el subsiguiente artículo 10 </w:t>
      </w:r>
      <w:r w:rsidR="00A47069" w:rsidRPr="000B352A">
        <w:rPr>
          <w:rFonts w:cs="Times New Roman"/>
          <w:i/>
          <w:szCs w:val="28"/>
        </w:rPr>
        <w:t>ibid</w:t>
      </w:r>
      <w:r w:rsidR="00530AA5" w:rsidRPr="000B352A">
        <w:rPr>
          <w:rFonts w:cs="Times New Roman"/>
          <w:szCs w:val="28"/>
        </w:rPr>
        <w:t>.</w:t>
      </w:r>
      <w:r w:rsidR="00A47069" w:rsidRPr="000B352A">
        <w:rPr>
          <w:rFonts w:cs="Times New Roman"/>
          <w:szCs w:val="28"/>
        </w:rPr>
        <w:t xml:space="preserve"> </w:t>
      </w:r>
      <w:r w:rsidR="007D4C03" w:rsidRPr="000B352A">
        <w:rPr>
          <w:rFonts w:cs="Times New Roman"/>
          <w:szCs w:val="28"/>
        </w:rPr>
        <w:t xml:space="preserve">establece cinco particulares casos en donde la autorización de su titular </w:t>
      </w:r>
      <w:r w:rsidR="007D4C03" w:rsidRPr="000B352A">
        <w:rPr>
          <w:rFonts w:cs="Times New Roman"/>
          <w:b/>
          <w:szCs w:val="28"/>
        </w:rPr>
        <w:t>no</w:t>
      </w:r>
      <w:r w:rsidR="007D4C03" w:rsidRPr="000B352A">
        <w:rPr>
          <w:rFonts w:cs="Times New Roman"/>
          <w:szCs w:val="28"/>
        </w:rPr>
        <w:t xml:space="preserve"> es necesaria</w:t>
      </w:r>
      <w:r w:rsidR="007D4C03" w:rsidRPr="000B352A">
        <w:rPr>
          <w:rStyle w:val="Refdenotaalpie"/>
          <w:szCs w:val="28"/>
        </w:rPr>
        <w:footnoteReference w:id="44"/>
      </w:r>
      <w:r w:rsidR="007D4C03" w:rsidRPr="000B352A">
        <w:rPr>
          <w:rFonts w:cs="Times New Roman"/>
          <w:szCs w:val="28"/>
        </w:rPr>
        <w:t>.</w:t>
      </w:r>
    </w:p>
    <w:p w14:paraId="64E5A2E2" w14:textId="77777777" w:rsidR="00991FDE" w:rsidRPr="000B352A" w:rsidRDefault="00991FDE" w:rsidP="000B352A">
      <w:pPr>
        <w:pStyle w:val="Prrafodelista"/>
        <w:ind w:left="0"/>
        <w:rPr>
          <w:rFonts w:cs="Times New Roman"/>
          <w:color w:val="000000"/>
          <w:szCs w:val="28"/>
          <w:bdr w:val="none" w:sz="0" w:space="0" w:color="auto" w:frame="1"/>
        </w:rPr>
      </w:pPr>
    </w:p>
    <w:p w14:paraId="64E5A2E3" w14:textId="77777777" w:rsidR="00991FDE" w:rsidRPr="000B352A" w:rsidRDefault="00530AA5" w:rsidP="000B352A">
      <w:pPr>
        <w:pStyle w:val="Prrafodelista"/>
        <w:numPr>
          <w:ilvl w:val="3"/>
          <w:numId w:val="3"/>
        </w:numPr>
        <w:ind w:left="0" w:firstLine="0"/>
        <w:rPr>
          <w:rStyle w:val="CarCar13"/>
          <w:rFonts w:ascii="Times New Roman" w:hAnsi="Times New Roman" w:cs="Times New Roman"/>
          <w:b w:val="0"/>
          <w:color w:val="000000"/>
          <w:kern w:val="1"/>
          <w:sz w:val="28"/>
          <w:szCs w:val="28"/>
          <w:bdr w:val="none" w:sz="0" w:space="0" w:color="auto" w:frame="1"/>
          <w:lang w:val="es-CO" w:eastAsia="hi-IN"/>
        </w:rPr>
      </w:pPr>
      <w:r w:rsidRPr="000B352A">
        <w:rPr>
          <w:rFonts w:cs="Times New Roman"/>
          <w:color w:val="000000"/>
          <w:szCs w:val="28"/>
          <w:bdr w:val="none" w:sz="0" w:space="0" w:color="auto" w:frame="1"/>
        </w:rPr>
        <w:t>El requisito de</w:t>
      </w:r>
      <w:r w:rsidR="003E6701" w:rsidRPr="000B352A">
        <w:rPr>
          <w:rFonts w:cs="Times New Roman"/>
          <w:color w:val="000000"/>
          <w:szCs w:val="28"/>
          <w:bdr w:val="none" w:sz="0" w:space="0" w:color="auto" w:frame="1"/>
        </w:rPr>
        <w:t xml:space="preserve"> autorización necesaria para el tratamiento de datos que defiende el principio de libertad es suficientemente rígid</w:t>
      </w:r>
      <w:r w:rsidRPr="000B352A">
        <w:rPr>
          <w:rFonts w:cs="Times New Roman"/>
          <w:color w:val="000000"/>
          <w:szCs w:val="28"/>
          <w:bdr w:val="none" w:sz="0" w:space="0" w:color="auto" w:frame="1"/>
        </w:rPr>
        <w:t>o</w:t>
      </w:r>
      <w:r w:rsidR="003E6701" w:rsidRPr="000B352A">
        <w:rPr>
          <w:rFonts w:cs="Times New Roman"/>
          <w:color w:val="000000"/>
          <w:szCs w:val="28"/>
          <w:bdr w:val="none" w:sz="0" w:space="0" w:color="auto" w:frame="1"/>
        </w:rPr>
        <w:t xml:space="preserve"> como para despejar cualquier </w:t>
      </w:r>
      <w:r w:rsidR="00F03ED6" w:rsidRPr="000B352A">
        <w:rPr>
          <w:rFonts w:cs="Times New Roman"/>
          <w:color w:val="000000"/>
          <w:szCs w:val="28"/>
          <w:bdr w:val="none" w:sz="0" w:space="0" w:color="auto" w:frame="1"/>
        </w:rPr>
        <w:t xml:space="preserve">duda sobre su </w:t>
      </w:r>
      <w:r w:rsidR="00EB2E08" w:rsidRPr="000B352A">
        <w:rPr>
          <w:rFonts w:cs="Times New Roman"/>
          <w:color w:val="000000"/>
          <w:szCs w:val="28"/>
          <w:bdr w:val="none" w:sz="0" w:space="0" w:color="auto" w:frame="1"/>
        </w:rPr>
        <w:t>rigor</w:t>
      </w:r>
      <w:r w:rsidR="003E6701" w:rsidRPr="000B352A">
        <w:rPr>
          <w:rFonts w:cs="Times New Roman"/>
          <w:color w:val="000000"/>
          <w:szCs w:val="28"/>
          <w:bdr w:val="none" w:sz="0" w:space="0" w:color="auto" w:frame="1"/>
        </w:rPr>
        <w:t xml:space="preserve">. </w:t>
      </w:r>
      <w:r w:rsidRPr="000B352A">
        <w:rPr>
          <w:rFonts w:cs="Times New Roman"/>
          <w:color w:val="000000"/>
          <w:szCs w:val="28"/>
          <w:bdr w:val="none" w:sz="0" w:space="0" w:color="auto" w:frame="1"/>
        </w:rPr>
        <w:t xml:space="preserve">Según </w:t>
      </w:r>
      <w:r w:rsidR="00DF0D3C" w:rsidRPr="000B352A">
        <w:rPr>
          <w:rFonts w:cs="Times New Roman"/>
          <w:color w:val="000000"/>
          <w:szCs w:val="28"/>
          <w:bdr w:val="none" w:sz="0" w:space="0" w:color="auto" w:frame="1"/>
        </w:rPr>
        <w:t>jurisprudencia</w:t>
      </w:r>
      <w:r w:rsidR="00E30013" w:rsidRPr="000B352A">
        <w:rPr>
          <w:rFonts w:cs="Times New Roman"/>
          <w:color w:val="000000"/>
          <w:szCs w:val="28"/>
          <w:bdr w:val="none" w:sz="0" w:space="0" w:color="auto" w:frame="1"/>
        </w:rPr>
        <w:t xml:space="preserve"> de</w:t>
      </w:r>
      <w:r w:rsidRPr="000B352A">
        <w:rPr>
          <w:rFonts w:cs="Times New Roman"/>
          <w:color w:val="000000"/>
          <w:szCs w:val="28"/>
          <w:bdr w:val="none" w:sz="0" w:space="0" w:color="auto" w:frame="1"/>
        </w:rPr>
        <w:t xml:space="preserve"> la</w:t>
      </w:r>
      <w:r w:rsidR="00E30013" w:rsidRPr="000B352A">
        <w:rPr>
          <w:rFonts w:cs="Times New Roman"/>
          <w:color w:val="000000"/>
          <w:szCs w:val="28"/>
          <w:bdr w:val="none" w:sz="0" w:space="0" w:color="auto" w:frame="1"/>
        </w:rPr>
        <w:t xml:space="preserve"> Sala Plena</w:t>
      </w:r>
      <w:r w:rsidRPr="000B352A">
        <w:rPr>
          <w:rFonts w:cs="Times New Roman"/>
          <w:color w:val="000000"/>
          <w:szCs w:val="28"/>
          <w:bdr w:val="none" w:sz="0" w:space="0" w:color="auto" w:frame="1"/>
        </w:rPr>
        <w:t xml:space="preserve"> de esta Corporación</w:t>
      </w:r>
      <w:r w:rsidR="00E30013" w:rsidRPr="000B352A">
        <w:rPr>
          <w:rFonts w:cs="Times New Roman"/>
          <w:color w:val="000000"/>
          <w:szCs w:val="28"/>
          <w:bdr w:val="none" w:sz="0" w:space="0" w:color="auto" w:frame="1"/>
        </w:rPr>
        <w:t xml:space="preserve"> que recoge varios pronunciamientos de </w:t>
      </w:r>
      <w:r w:rsidRPr="000B352A">
        <w:rPr>
          <w:rFonts w:cs="Times New Roman"/>
          <w:color w:val="000000"/>
          <w:szCs w:val="28"/>
          <w:bdr w:val="none" w:sz="0" w:space="0" w:color="auto" w:frame="1"/>
        </w:rPr>
        <w:t>varias de sus</w:t>
      </w:r>
      <w:r w:rsidR="00E30013" w:rsidRPr="000B352A">
        <w:rPr>
          <w:rFonts w:cs="Times New Roman"/>
          <w:color w:val="000000"/>
          <w:szCs w:val="28"/>
          <w:bdr w:val="none" w:sz="0" w:space="0" w:color="auto" w:frame="1"/>
        </w:rPr>
        <w:t xml:space="preserve"> salas de revisión</w:t>
      </w:r>
      <w:r w:rsidR="00DF0D3C" w:rsidRPr="000B352A">
        <w:rPr>
          <w:rFonts w:cs="Times New Roman"/>
          <w:color w:val="000000"/>
          <w:szCs w:val="28"/>
          <w:bdr w:val="none" w:sz="0" w:space="0" w:color="auto" w:frame="1"/>
        </w:rPr>
        <w:t xml:space="preserve">, salvo que medie mandato legal o judicial que releve la necesidad de obtener el consentimiento por parte de su titular, la autorización necesaria para que datos personales sean susceptibles de tratamiento debe ser </w:t>
      </w:r>
      <w:r w:rsidR="00DF0D3C" w:rsidRPr="000B352A">
        <w:rPr>
          <w:rFonts w:cs="Times New Roman"/>
          <w:b/>
          <w:color w:val="000000"/>
          <w:szCs w:val="28"/>
          <w:bdr w:val="none" w:sz="0" w:space="0" w:color="auto" w:frame="1"/>
        </w:rPr>
        <w:t>previa</w:t>
      </w:r>
      <w:r w:rsidR="00DF0D3C" w:rsidRPr="000B352A">
        <w:rPr>
          <w:rFonts w:cs="Times New Roman"/>
          <w:color w:val="000000"/>
          <w:szCs w:val="28"/>
          <w:bdr w:val="none" w:sz="0" w:space="0" w:color="auto" w:frame="1"/>
        </w:rPr>
        <w:t xml:space="preserve">, </w:t>
      </w:r>
      <w:r w:rsidR="00DF0D3C" w:rsidRPr="000B352A">
        <w:rPr>
          <w:rFonts w:cs="Times New Roman"/>
          <w:b/>
          <w:color w:val="000000"/>
          <w:szCs w:val="28"/>
          <w:bdr w:val="none" w:sz="0" w:space="0" w:color="auto" w:frame="1"/>
        </w:rPr>
        <w:t>expresa</w:t>
      </w:r>
      <w:r w:rsidR="00DF0D3C" w:rsidRPr="000B352A">
        <w:rPr>
          <w:rFonts w:cs="Times New Roman"/>
          <w:color w:val="000000"/>
          <w:szCs w:val="28"/>
          <w:bdr w:val="none" w:sz="0" w:space="0" w:color="auto" w:frame="1"/>
        </w:rPr>
        <w:t xml:space="preserve"> y </w:t>
      </w:r>
      <w:r w:rsidR="00DF0D3C" w:rsidRPr="000B352A">
        <w:rPr>
          <w:rFonts w:cs="Times New Roman"/>
          <w:b/>
          <w:color w:val="000000"/>
          <w:szCs w:val="28"/>
          <w:bdr w:val="none" w:sz="0" w:space="0" w:color="auto" w:frame="1"/>
        </w:rPr>
        <w:t>suficiente</w:t>
      </w:r>
      <w:r w:rsidR="00DF0D3C" w:rsidRPr="000B352A">
        <w:rPr>
          <w:rFonts w:cs="Times New Roman"/>
          <w:color w:val="000000"/>
          <w:szCs w:val="28"/>
          <w:bdr w:val="none" w:sz="0" w:space="0" w:color="auto" w:frame="1"/>
        </w:rPr>
        <w:t>; de manera tal que</w:t>
      </w:r>
      <w:r w:rsidR="00E30013" w:rsidRPr="000B352A">
        <w:rPr>
          <w:rFonts w:cs="Times New Roman"/>
          <w:color w:val="000000"/>
          <w:szCs w:val="28"/>
          <w:bdr w:val="none" w:sz="0" w:space="0" w:color="auto" w:frame="1"/>
        </w:rPr>
        <w:t xml:space="preserve"> la autorización</w:t>
      </w:r>
      <w:r w:rsidR="00DF0D3C" w:rsidRPr="000B352A">
        <w:rPr>
          <w:rFonts w:cs="Times New Roman"/>
          <w:color w:val="000000"/>
          <w:szCs w:val="28"/>
          <w:bdr w:val="none" w:sz="0" w:space="0" w:color="auto" w:frame="1"/>
        </w:rPr>
        <w:t xml:space="preserve">: (i) </w:t>
      </w:r>
      <w:r w:rsidR="00DF0D3C" w:rsidRPr="000B352A">
        <w:rPr>
          <w:rFonts w:cs="Times New Roman"/>
          <w:i/>
          <w:color w:val="000000"/>
          <w:szCs w:val="28"/>
          <w:bdr w:val="none" w:sz="0" w:space="0" w:color="auto" w:frame="1"/>
        </w:rPr>
        <w:t>“</w:t>
      </w:r>
      <w:r w:rsidR="00DF0D3C" w:rsidRPr="000B352A">
        <w:rPr>
          <w:rFonts w:cs="Times New Roman"/>
          <w:i/>
          <w:szCs w:val="28"/>
          <w:lang w:eastAsia="es-ES"/>
        </w:rPr>
        <w:t xml:space="preserve">debe ser suministrada, en una </w:t>
      </w:r>
      <w:r w:rsidR="00DF0D3C" w:rsidRPr="000B352A">
        <w:rPr>
          <w:rFonts w:cs="Times New Roman"/>
          <w:i/>
          <w:szCs w:val="28"/>
          <w:u w:val="single"/>
          <w:lang w:eastAsia="es-ES"/>
        </w:rPr>
        <w:t>etapa anterior</w:t>
      </w:r>
      <w:r w:rsidR="00DF0D3C" w:rsidRPr="000B352A">
        <w:rPr>
          <w:rFonts w:cs="Times New Roman"/>
          <w:i/>
          <w:szCs w:val="28"/>
          <w:lang w:eastAsia="es-ES"/>
        </w:rPr>
        <w:t xml:space="preserve"> a la incorporación del dato”</w:t>
      </w:r>
      <w:r w:rsidR="00FD65A9" w:rsidRPr="000B352A">
        <w:rPr>
          <w:rFonts w:cs="Times New Roman"/>
          <w:i/>
          <w:szCs w:val="28"/>
          <w:lang w:eastAsia="es-ES"/>
        </w:rPr>
        <w:t xml:space="preserve">; </w:t>
      </w:r>
      <w:r w:rsidR="00FD65A9" w:rsidRPr="000B352A">
        <w:rPr>
          <w:rFonts w:cs="Times New Roman"/>
          <w:szCs w:val="28"/>
          <w:lang w:eastAsia="es-ES"/>
        </w:rPr>
        <w:t>(ii)</w:t>
      </w:r>
      <w:r w:rsidR="00FD65A9" w:rsidRPr="000B352A">
        <w:rPr>
          <w:rFonts w:cs="Times New Roman"/>
          <w:i/>
          <w:szCs w:val="28"/>
          <w:lang w:eastAsia="es-ES"/>
        </w:rPr>
        <w:t xml:space="preserve"> “debe ser </w:t>
      </w:r>
      <w:r w:rsidR="00FD65A9" w:rsidRPr="000B352A">
        <w:rPr>
          <w:rFonts w:cs="Times New Roman"/>
          <w:i/>
          <w:szCs w:val="28"/>
          <w:u w:val="single"/>
          <w:lang w:eastAsia="es-ES"/>
        </w:rPr>
        <w:t>inequívoca</w:t>
      </w:r>
      <w:r w:rsidR="00FD65A9" w:rsidRPr="000B352A">
        <w:rPr>
          <w:rFonts w:cs="Times New Roman"/>
          <w:i/>
          <w:szCs w:val="28"/>
          <w:lang w:eastAsia="es-ES"/>
        </w:rPr>
        <w:t xml:space="preserve">”, </w:t>
      </w:r>
      <w:r w:rsidR="00FD65A9" w:rsidRPr="000B352A">
        <w:rPr>
          <w:rFonts w:cs="Times New Roman"/>
          <w:szCs w:val="28"/>
          <w:lang w:eastAsia="es-ES"/>
        </w:rPr>
        <w:t xml:space="preserve">de carácter </w:t>
      </w:r>
      <w:r w:rsidR="00FD65A9" w:rsidRPr="000B352A">
        <w:rPr>
          <w:rFonts w:cs="Times New Roman"/>
          <w:i/>
          <w:szCs w:val="28"/>
          <w:lang w:eastAsia="es-ES"/>
        </w:rPr>
        <w:t>“explícito</w:t>
      </w:r>
      <w:r w:rsidR="00FD65A9" w:rsidRPr="000B352A">
        <w:rPr>
          <w:rFonts w:cs="Times New Roman"/>
          <w:b/>
          <w:szCs w:val="28"/>
          <w:lang w:eastAsia="es-ES"/>
        </w:rPr>
        <w:t xml:space="preserve"> </w:t>
      </w:r>
      <w:r w:rsidR="00FD65A9" w:rsidRPr="000B352A">
        <w:rPr>
          <w:rFonts w:cs="Times New Roman"/>
          <w:i/>
          <w:szCs w:val="28"/>
          <w:lang w:eastAsia="es-ES"/>
        </w:rPr>
        <w:t>y concreto a la finalidad específica de la base de datos</w:t>
      </w:r>
      <w:r w:rsidR="00E30013" w:rsidRPr="000B352A">
        <w:rPr>
          <w:rFonts w:cs="Times New Roman"/>
          <w:i/>
          <w:szCs w:val="28"/>
          <w:lang w:eastAsia="es-ES"/>
        </w:rPr>
        <w:t xml:space="preserve">”; y </w:t>
      </w:r>
      <w:r w:rsidR="00E30013" w:rsidRPr="000B352A">
        <w:rPr>
          <w:rFonts w:cs="Times New Roman"/>
          <w:szCs w:val="28"/>
          <w:lang w:eastAsia="es-ES"/>
        </w:rPr>
        <w:t>(iii)</w:t>
      </w:r>
      <w:r w:rsidR="00E30013" w:rsidRPr="000B352A">
        <w:rPr>
          <w:rFonts w:cs="Times New Roman"/>
          <w:i/>
          <w:szCs w:val="28"/>
          <w:lang w:eastAsia="es-ES"/>
        </w:rPr>
        <w:t xml:space="preserve"> </w:t>
      </w:r>
      <w:r w:rsidR="00E30013" w:rsidRPr="000B352A">
        <w:rPr>
          <w:rFonts w:cs="Times New Roman"/>
          <w:szCs w:val="28"/>
          <w:lang w:eastAsia="es-ES"/>
        </w:rPr>
        <w:t>debe provenir</w:t>
      </w:r>
      <w:r w:rsidR="00E30013" w:rsidRPr="000B352A">
        <w:rPr>
          <w:rFonts w:cs="Times New Roman"/>
          <w:i/>
          <w:szCs w:val="28"/>
          <w:lang w:eastAsia="es-ES"/>
        </w:rPr>
        <w:t xml:space="preserve"> </w:t>
      </w:r>
      <w:r w:rsidR="00E30013" w:rsidRPr="000B352A">
        <w:rPr>
          <w:rFonts w:cs="Times New Roman"/>
          <w:bCs/>
          <w:szCs w:val="28"/>
        </w:rPr>
        <w:t xml:space="preserve">de quien esté </w:t>
      </w:r>
      <w:r w:rsidR="00E30013" w:rsidRPr="000B352A">
        <w:rPr>
          <w:rFonts w:cs="Times New Roman"/>
          <w:bCs/>
          <w:i/>
          <w:szCs w:val="28"/>
        </w:rPr>
        <w:t xml:space="preserve">“plenamente </w:t>
      </w:r>
      <w:r w:rsidR="00E30013" w:rsidRPr="000B352A">
        <w:rPr>
          <w:rFonts w:cs="Times New Roman"/>
          <w:bCs/>
          <w:i/>
          <w:szCs w:val="28"/>
          <w:u w:val="single"/>
        </w:rPr>
        <w:t>consciente</w:t>
      </w:r>
      <w:r w:rsidR="00E30013" w:rsidRPr="000B352A">
        <w:rPr>
          <w:rFonts w:cs="Times New Roman"/>
          <w:bCs/>
          <w:i/>
          <w:szCs w:val="28"/>
        </w:rPr>
        <w:t xml:space="preserve"> de los efectos”</w:t>
      </w:r>
      <w:r w:rsidR="00E30013" w:rsidRPr="000B352A">
        <w:rPr>
          <w:rFonts w:cs="Times New Roman"/>
          <w:bCs/>
          <w:szCs w:val="28"/>
        </w:rPr>
        <w:t xml:space="preserve"> de aquella.</w:t>
      </w:r>
      <w:r w:rsidR="00E30013" w:rsidRPr="000B352A">
        <w:rPr>
          <w:rStyle w:val="Refdenotaalpie"/>
          <w:color w:val="000000"/>
          <w:szCs w:val="28"/>
          <w:bdr w:val="none" w:sz="0" w:space="0" w:color="auto" w:frame="1"/>
        </w:rPr>
        <w:t xml:space="preserve"> </w:t>
      </w:r>
      <w:r w:rsidR="00E30013" w:rsidRPr="000B352A">
        <w:rPr>
          <w:rFonts w:cs="Times New Roman"/>
          <w:color w:val="000000"/>
          <w:szCs w:val="28"/>
          <w:bdr w:val="none" w:sz="0" w:space="0" w:color="auto" w:frame="1"/>
        </w:rPr>
        <w:t>(Subraya fuera de texto)</w:t>
      </w:r>
      <w:r w:rsidR="00E30013" w:rsidRPr="000B352A">
        <w:rPr>
          <w:rStyle w:val="Refdenotaalpie"/>
          <w:color w:val="000000"/>
          <w:szCs w:val="28"/>
          <w:bdr w:val="none" w:sz="0" w:space="0" w:color="auto" w:frame="1"/>
        </w:rPr>
        <w:footnoteReference w:id="45"/>
      </w:r>
      <w:r w:rsidR="00E30013" w:rsidRPr="000B352A">
        <w:rPr>
          <w:rFonts w:cs="Times New Roman"/>
          <w:color w:val="000000"/>
          <w:szCs w:val="28"/>
          <w:bdr w:val="none" w:sz="0" w:space="0" w:color="auto" w:frame="1"/>
        </w:rPr>
        <w:t xml:space="preserve">. En suma </w:t>
      </w:r>
      <w:r w:rsidR="00E30013" w:rsidRPr="000B352A">
        <w:rPr>
          <w:rStyle w:val="CarCar13"/>
          <w:rFonts w:ascii="Times New Roman" w:hAnsi="Times New Roman" w:cs="Times New Roman"/>
          <w:b w:val="0"/>
          <w:i/>
          <w:kern w:val="0"/>
          <w:sz w:val="28"/>
          <w:szCs w:val="28"/>
          <w:lang w:val="es-CO" w:eastAsia="en-US"/>
        </w:rPr>
        <w:t>“</w:t>
      </w:r>
      <w:r w:rsidR="00E30013" w:rsidRPr="000B352A">
        <w:rPr>
          <w:rStyle w:val="CarCar13"/>
          <w:rFonts w:ascii="Times New Roman" w:hAnsi="Times New Roman" w:cs="Times New Roman"/>
          <w:bCs/>
          <w:i/>
          <w:kern w:val="0"/>
          <w:sz w:val="28"/>
          <w:szCs w:val="28"/>
          <w:lang w:val="es-CO" w:eastAsia="en-US"/>
        </w:rPr>
        <w:t>(i)</w:t>
      </w:r>
      <w:r w:rsidR="00E30013" w:rsidRPr="000B352A">
        <w:rPr>
          <w:rStyle w:val="CarCar13"/>
          <w:rFonts w:ascii="Times New Roman" w:hAnsi="Times New Roman" w:cs="Times New Roman"/>
          <w:b w:val="0"/>
          <w:i/>
          <w:kern w:val="0"/>
          <w:sz w:val="28"/>
          <w:szCs w:val="28"/>
          <w:lang w:val="es-CO" w:eastAsia="en-US"/>
        </w:rPr>
        <w:t xml:space="preserve"> los datos personales sólo pueden ser registrados y divulgados con el consentimiento libre, previo, expreso e informado del titular. Es decir, </w:t>
      </w:r>
      <w:r w:rsidR="00E30013" w:rsidRPr="000B352A">
        <w:rPr>
          <w:rStyle w:val="CarCar13"/>
          <w:rFonts w:ascii="Times New Roman" w:hAnsi="Times New Roman" w:cs="Times New Roman"/>
          <w:i/>
          <w:kern w:val="0"/>
          <w:sz w:val="28"/>
          <w:szCs w:val="28"/>
          <w:lang w:val="es-CO" w:eastAsia="en-US"/>
        </w:rPr>
        <w:t>no está permitido el consentimiento tácito del Titular del dato</w:t>
      </w:r>
      <w:r w:rsidR="00E30013" w:rsidRPr="000B352A">
        <w:rPr>
          <w:rStyle w:val="CarCar13"/>
          <w:rFonts w:ascii="Times New Roman" w:hAnsi="Times New Roman" w:cs="Times New Roman"/>
          <w:b w:val="0"/>
          <w:i/>
          <w:kern w:val="0"/>
          <w:sz w:val="28"/>
          <w:szCs w:val="28"/>
          <w:lang w:val="es-CO" w:eastAsia="en-US"/>
        </w:rPr>
        <w:t xml:space="preserve"> y sólo podrá prescindirse de él por expreso mandato legal o por orden de autoridad judicial, </w:t>
      </w:r>
      <w:r w:rsidR="00E30013" w:rsidRPr="000B352A">
        <w:rPr>
          <w:rStyle w:val="CarCar13"/>
          <w:rFonts w:ascii="Times New Roman" w:hAnsi="Times New Roman" w:cs="Times New Roman"/>
          <w:bCs/>
          <w:i/>
          <w:kern w:val="0"/>
          <w:sz w:val="28"/>
          <w:szCs w:val="28"/>
          <w:lang w:val="es-CO" w:eastAsia="en-US"/>
        </w:rPr>
        <w:t>(ii)</w:t>
      </w:r>
      <w:r w:rsidR="00E30013" w:rsidRPr="000B352A">
        <w:rPr>
          <w:rStyle w:val="CarCar13"/>
          <w:rFonts w:ascii="Times New Roman" w:hAnsi="Times New Roman" w:cs="Times New Roman"/>
          <w:b w:val="0"/>
          <w:i/>
          <w:kern w:val="0"/>
          <w:sz w:val="28"/>
          <w:szCs w:val="28"/>
          <w:lang w:val="es-CO" w:eastAsia="en-US"/>
        </w:rPr>
        <w:t xml:space="preserve"> el consentimiento que brinde la persona debe ser definido como una indicación específica e informada, libremente emitida, de su acuerdo con el procesamiento de sus datos personales. Por ello, el silencio del Titular </w:t>
      </w:r>
      <w:r w:rsidR="00E30013" w:rsidRPr="000B352A">
        <w:rPr>
          <w:rStyle w:val="CarCar13"/>
          <w:rFonts w:ascii="Times New Roman" w:hAnsi="Times New Roman" w:cs="Times New Roman"/>
          <w:i/>
          <w:kern w:val="0"/>
          <w:sz w:val="28"/>
          <w:szCs w:val="28"/>
          <w:lang w:val="es-CO" w:eastAsia="en-US"/>
        </w:rPr>
        <w:t>nunca</w:t>
      </w:r>
      <w:r w:rsidR="00E30013" w:rsidRPr="000B352A">
        <w:rPr>
          <w:rStyle w:val="CarCar13"/>
          <w:rFonts w:ascii="Times New Roman" w:hAnsi="Times New Roman" w:cs="Times New Roman"/>
          <w:b w:val="0"/>
          <w:i/>
          <w:kern w:val="0"/>
          <w:sz w:val="28"/>
          <w:szCs w:val="28"/>
          <w:lang w:val="es-CO" w:eastAsia="en-US"/>
        </w:rPr>
        <w:t xml:space="preserve"> podría inferirse como autorización del uso de su información y </w:t>
      </w:r>
      <w:r w:rsidR="00E30013" w:rsidRPr="000B352A">
        <w:rPr>
          <w:rStyle w:val="CarCar13"/>
          <w:rFonts w:ascii="Times New Roman" w:hAnsi="Times New Roman" w:cs="Times New Roman"/>
          <w:bCs/>
          <w:i/>
          <w:kern w:val="0"/>
          <w:sz w:val="28"/>
          <w:szCs w:val="28"/>
          <w:lang w:val="es-CO" w:eastAsia="en-US"/>
        </w:rPr>
        <w:t>(iii)</w:t>
      </w:r>
      <w:r w:rsidR="00E30013" w:rsidRPr="000B352A">
        <w:rPr>
          <w:rStyle w:val="CarCar13"/>
          <w:rFonts w:ascii="Times New Roman" w:hAnsi="Times New Roman" w:cs="Times New Roman"/>
          <w:b w:val="0"/>
          <w:i/>
          <w:kern w:val="0"/>
          <w:sz w:val="28"/>
          <w:szCs w:val="28"/>
          <w:lang w:val="es-CO" w:eastAsia="en-US"/>
        </w:rPr>
        <w:t xml:space="preserve"> el principio de libertad no sólo implica el consentimiento previo a la recolección del dato, </w:t>
      </w:r>
      <w:r w:rsidR="00E30013" w:rsidRPr="000B352A">
        <w:rPr>
          <w:rStyle w:val="CarCar13"/>
          <w:rFonts w:ascii="Times New Roman" w:hAnsi="Times New Roman" w:cs="Times New Roman"/>
          <w:i/>
          <w:kern w:val="0"/>
          <w:sz w:val="28"/>
          <w:szCs w:val="28"/>
          <w:lang w:val="es-CO" w:eastAsia="en-US"/>
        </w:rPr>
        <w:t>sino que dentro de éste se entiende incluida la posibilidad de retirar el consentimiento y de limitar el plazo de su validez.</w:t>
      </w:r>
      <w:r w:rsidR="00E30013" w:rsidRPr="000B352A">
        <w:rPr>
          <w:rStyle w:val="CarCar13"/>
          <w:rFonts w:ascii="Times New Roman" w:hAnsi="Times New Roman" w:cs="Times New Roman"/>
          <w:b w:val="0"/>
          <w:kern w:val="0"/>
          <w:sz w:val="28"/>
          <w:szCs w:val="28"/>
          <w:lang w:val="es-CO" w:eastAsia="en-US"/>
        </w:rPr>
        <w:t>” (El énfasis en negrilla es del texto origi</w:t>
      </w:r>
      <w:r w:rsidR="00510747" w:rsidRPr="000B352A">
        <w:rPr>
          <w:rStyle w:val="CarCar13"/>
          <w:rFonts w:ascii="Times New Roman" w:hAnsi="Times New Roman" w:cs="Times New Roman"/>
          <w:b w:val="0"/>
          <w:kern w:val="0"/>
          <w:sz w:val="28"/>
          <w:szCs w:val="28"/>
          <w:lang w:val="es-CO" w:eastAsia="en-US"/>
        </w:rPr>
        <w:t>n</w:t>
      </w:r>
      <w:r w:rsidR="00E30013" w:rsidRPr="000B352A">
        <w:rPr>
          <w:rStyle w:val="CarCar13"/>
          <w:rFonts w:ascii="Times New Roman" w:hAnsi="Times New Roman" w:cs="Times New Roman"/>
          <w:b w:val="0"/>
          <w:kern w:val="0"/>
          <w:sz w:val="28"/>
          <w:szCs w:val="28"/>
          <w:lang w:val="es-CO" w:eastAsia="en-US"/>
        </w:rPr>
        <w:t>al)</w:t>
      </w:r>
      <w:r w:rsidR="00510747" w:rsidRPr="000B352A">
        <w:rPr>
          <w:rStyle w:val="Refdenotaalpie"/>
          <w:kern w:val="0"/>
          <w:szCs w:val="28"/>
          <w:lang w:eastAsia="en-US"/>
        </w:rPr>
        <w:footnoteReference w:id="46"/>
      </w:r>
      <w:r w:rsidR="00510747" w:rsidRPr="000B352A">
        <w:rPr>
          <w:rStyle w:val="CarCar13"/>
          <w:rFonts w:ascii="Times New Roman" w:hAnsi="Times New Roman" w:cs="Times New Roman"/>
          <w:b w:val="0"/>
          <w:kern w:val="0"/>
          <w:sz w:val="28"/>
          <w:szCs w:val="28"/>
          <w:lang w:val="es-CO" w:eastAsia="en-US"/>
        </w:rPr>
        <w:t>.</w:t>
      </w:r>
    </w:p>
    <w:p w14:paraId="64E5A2E4" w14:textId="77777777" w:rsidR="00991FDE" w:rsidRPr="000B352A" w:rsidRDefault="00991FDE" w:rsidP="000B352A">
      <w:pPr>
        <w:pStyle w:val="Prrafodelista"/>
        <w:ind w:left="0"/>
        <w:rPr>
          <w:rStyle w:val="CarCar13"/>
          <w:rFonts w:ascii="Times New Roman" w:hAnsi="Times New Roman" w:cs="Times New Roman"/>
          <w:b w:val="0"/>
          <w:color w:val="000000"/>
          <w:kern w:val="1"/>
          <w:sz w:val="28"/>
          <w:szCs w:val="28"/>
          <w:bdr w:val="none" w:sz="0" w:space="0" w:color="auto" w:frame="1"/>
          <w:lang w:val="es-CO" w:eastAsia="hi-IN"/>
        </w:rPr>
      </w:pPr>
    </w:p>
    <w:p w14:paraId="64E5A2E5" w14:textId="77777777" w:rsidR="00991FDE" w:rsidRPr="000B352A" w:rsidRDefault="00191EE5" w:rsidP="000B352A">
      <w:pPr>
        <w:pStyle w:val="Prrafodelista"/>
        <w:numPr>
          <w:ilvl w:val="3"/>
          <w:numId w:val="3"/>
        </w:numPr>
        <w:ind w:left="0" w:firstLine="0"/>
        <w:rPr>
          <w:rFonts w:cs="Times New Roman"/>
          <w:color w:val="000000"/>
          <w:szCs w:val="28"/>
          <w:bdr w:val="none" w:sz="0" w:space="0" w:color="auto" w:frame="1"/>
        </w:rPr>
      </w:pPr>
      <w:r w:rsidRPr="000B352A">
        <w:rPr>
          <w:rStyle w:val="CarCar13"/>
          <w:rFonts w:ascii="Times New Roman" w:hAnsi="Times New Roman" w:cs="Times New Roman"/>
          <w:b w:val="0"/>
          <w:color w:val="000000"/>
          <w:kern w:val="1"/>
          <w:sz w:val="28"/>
          <w:szCs w:val="28"/>
          <w:bdr w:val="none" w:sz="0" w:space="0" w:color="auto" w:frame="1"/>
          <w:lang w:val="es-CO" w:eastAsia="hi-IN"/>
        </w:rPr>
        <w:t>Corolario</w:t>
      </w:r>
      <w:r w:rsidR="000C64DE" w:rsidRPr="000B352A">
        <w:rPr>
          <w:rStyle w:val="CarCar13"/>
          <w:rFonts w:ascii="Times New Roman" w:hAnsi="Times New Roman" w:cs="Times New Roman"/>
          <w:b w:val="0"/>
          <w:color w:val="000000"/>
          <w:kern w:val="1"/>
          <w:sz w:val="28"/>
          <w:szCs w:val="28"/>
          <w:bdr w:val="none" w:sz="0" w:space="0" w:color="auto" w:frame="1"/>
          <w:lang w:val="es-CO" w:eastAsia="hi-IN"/>
        </w:rPr>
        <w:t xml:space="preserve"> de lo </w:t>
      </w:r>
      <w:r w:rsidR="00EB2E08" w:rsidRPr="000B352A">
        <w:rPr>
          <w:rStyle w:val="CarCar13"/>
          <w:rFonts w:ascii="Times New Roman" w:hAnsi="Times New Roman" w:cs="Times New Roman"/>
          <w:b w:val="0"/>
          <w:color w:val="000000"/>
          <w:kern w:val="1"/>
          <w:sz w:val="28"/>
          <w:szCs w:val="28"/>
          <w:bdr w:val="none" w:sz="0" w:space="0" w:color="auto" w:frame="1"/>
          <w:lang w:val="es-CO" w:eastAsia="hi-IN"/>
        </w:rPr>
        <w:t>anterior es</w:t>
      </w:r>
      <w:r w:rsidR="000C64DE" w:rsidRPr="000B352A">
        <w:rPr>
          <w:rStyle w:val="CarCar13"/>
          <w:rFonts w:ascii="Times New Roman" w:hAnsi="Times New Roman" w:cs="Times New Roman"/>
          <w:b w:val="0"/>
          <w:color w:val="000000"/>
          <w:kern w:val="1"/>
          <w:sz w:val="28"/>
          <w:szCs w:val="28"/>
          <w:bdr w:val="none" w:sz="0" w:space="0" w:color="auto" w:frame="1"/>
          <w:lang w:val="es-CO" w:eastAsia="hi-IN"/>
        </w:rPr>
        <w:t xml:space="preserve"> que “</w:t>
      </w:r>
      <w:r w:rsidR="001A58AC" w:rsidRPr="000B352A">
        <w:rPr>
          <w:rFonts w:cs="Times New Roman"/>
          <w:b/>
          <w:i/>
          <w:iCs/>
          <w:color w:val="000000"/>
          <w:szCs w:val="28"/>
          <w:bdr w:val="none" w:sz="0" w:space="0" w:color="auto" w:frame="1"/>
        </w:rPr>
        <w:t>la obtención y divulgación de datos personales, sin la previa autorización del titular o en ausencia de un claro y preciso mandato legal, se consideran ilícitas</w:t>
      </w:r>
      <w:r w:rsidR="000C64DE" w:rsidRPr="000B352A">
        <w:rPr>
          <w:rFonts w:cs="Times New Roman"/>
          <w:b/>
          <w:i/>
          <w:iCs/>
          <w:color w:val="000000"/>
          <w:szCs w:val="28"/>
          <w:bdr w:val="none" w:sz="0" w:space="0" w:color="auto" w:frame="1"/>
        </w:rPr>
        <w:t>”</w:t>
      </w:r>
      <w:r w:rsidR="001A58AC" w:rsidRPr="000B352A">
        <w:rPr>
          <w:rStyle w:val="Refdenotaalpie"/>
          <w:iCs/>
          <w:color w:val="000000"/>
          <w:szCs w:val="28"/>
          <w:bdr w:val="none" w:sz="0" w:space="0" w:color="auto" w:frame="1"/>
        </w:rPr>
        <w:footnoteReference w:id="47"/>
      </w:r>
      <w:r w:rsidRPr="000B352A">
        <w:rPr>
          <w:rFonts w:cs="Times New Roman"/>
          <w:b/>
          <w:i/>
          <w:iCs/>
          <w:color w:val="000000"/>
          <w:szCs w:val="28"/>
          <w:bdr w:val="none" w:sz="0" w:space="0" w:color="auto" w:frame="1"/>
        </w:rPr>
        <w:t>.</w:t>
      </w:r>
    </w:p>
    <w:p w14:paraId="64E5A2E6" w14:textId="77777777" w:rsidR="00991FDE" w:rsidRPr="000B352A" w:rsidRDefault="00991FDE" w:rsidP="000B352A">
      <w:pPr>
        <w:pStyle w:val="Prrafodelista"/>
        <w:rPr>
          <w:rFonts w:cs="Times New Roman"/>
          <w:szCs w:val="28"/>
        </w:rPr>
      </w:pPr>
    </w:p>
    <w:p w14:paraId="64E5A2E7" w14:textId="77777777" w:rsidR="00991FDE" w:rsidRPr="000B352A" w:rsidRDefault="00D5649C" w:rsidP="000B352A">
      <w:pPr>
        <w:pStyle w:val="Prrafodelista"/>
        <w:numPr>
          <w:ilvl w:val="3"/>
          <w:numId w:val="3"/>
        </w:numPr>
        <w:ind w:left="0" w:firstLine="0"/>
        <w:rPr>
          <w:rFonts w:cs="Times New Roman"/>
          <w:color w:val="000000"/>
          <w:szCs w:val="28"/>
          <w:bdr w:val="none" w:sz="0" w:space="0" w:color="auto" w:frame="1"/>
        </w:rPr>
      </w:pPr>
      <w:r w:rsidRPr="000B352A">
        <w:rPr>
          <w:rFonts w:cs="Times New Roman"/>
          <w:szCs w:val="28"/>
        </w:rPr>
        <w:t>A</w:t>
      </w:r>
      <w:r w:rsidR="00191EE5" w:rsidRPr="000B352A">
        <w:rPr>
          <w:rFonts w:cs="Times New Roman"/>
          <w:szCs w:val="28"/>
        </w:rPr>
        <w:t xml:space="preserve"> pesar de la claridad de lo</w:t>
      </w:r>
      <w:r w:rsidR="00530AA5" w:rsidRPr="000B352A">
        <w:rPr>
          <w:rFonts w:cs="Times New Roman"/>
          <w:szCs w:val="28"/>
        </w:rPr>
        <w:t xml:space="preserve"> atrás</w:t>
      </w:r>
      <w:r w:rsidR="00191EE5" w:rsidRPr="000B352A">
        <w:rPr>
          <w:rFonts w:cs="Times New Roman"/>
          <w:szCs w:val="28"/>
        </w:rPr>
        <w:t xml:space="preserve"> </w:t>
      </w:r>
      <w:r w:rsidR="00EB2E08" w:rsidRPr="000B352A">
        <w:rPr>
          <w:rFonts w:cs="Times New Roman"/>
          <w:szCs w:val="28"/>
        </w:rPr>
        <w:t>señalado</w:t>
      </w:r>
      <w:r w:rsidR="00191EE5" w:rsidRPr="000B352A">
        <w:rPr>
          <w:rFonts w:cs="Times New Roman"/>
          <w:szCs w:val="28"/>
        </w:rPr>
        <w:t xml:space="preserve">, la jurisprudencia ha admitido que, </w:t>
      </w:r>
      <w:r w:rsidR="00346AAA" w:rsidRPr="000B352A">
        <w:rPr>
          <w:rFonts w:cs="Times New Roman"/>
          <w:szCs w:val="28"/>
        </w:rPr>
        <w:t xml:space="preserve">en tratándose de información </w:t>
      </w:r>
      <w:r w:rsidR="00346AAA" w:rsidRPr="000B352A">
        <w:rPr>
          <w:rFonts w:cs="Times New Roman"/>
          <w:b/>
          <w:i/>
          <w:szCs w:val="28"/>
        </w:rPr>
        <w:t>semiprivada</w:t>
      </w:r>
      <w:r w:rsidR="00191EE5" w:rsidRPr="000B352A">
        <w:rPr>
          <w:rFonts w:cs="Times New Roman"/>
          <w:szCs w:val="28"/>
        </w:rPr>
        <w:t xml:space="preserve">, la rigidez del principio de </w:t>
      </w:r>
      <w:r w:rsidR="00733619" w:rsidRPr="000B352A">
        <w:rPr>
          <w:rFonts w:cs="Times New Roman"/>
          <w:szCs w:val="28"/>
        </w:rPr>
        <w:t>libertad</w:t>
      </w:r>
      <w:r w:rsidR="00191EE5" w:rsidRPr="000B352A">
        <w:rPr>
          <w:rFonts w:cs="Times New Roman"/>
          <w:szCs w:val="28"/>
        </w:rPr>
        <w:t xml:space="preserve"> </w:t>
      </w:r>
      <w:r w:rsidR="00EB2E08" w:rsidRPr="000B352A">
        <w:rPr>
          <w:rFonts w:cs="Times New Roman"/>
          <w:szCs w:val="28"/>
        </w:rPr>
        <w:t>puede</w:t>
      </w:r>
      <w:r w:rsidR="00346AAA" w:rsidRPr="000B352A">
        <w:rPr>
          <w:rFonts w:cs="Times New Roman"/>
          <w:szCs w:val="28"/>
        </w:rPr>
        <w:t xml:space="preserve"> ceder</w:t>
      </w:r>
      <w:r w:rsidR="00191EE5" w:rsidRPr="000B352A">
        <w:rPr>
          <w:rFonts w:cs="Times New Roman"/>
          <w:szCs w:val="28"/>
        </w:rPr>
        <w:t xml:space="preserve"> ante </w:t>
      </w:r>
      <w:r w:rsidR="00152E2A" w:rsidRPr="000B352A">
        <w:rPr>
          <w:rFonts w:cs="Times New Roman"/>
          <w:szCs w:val="28"/>
        </w:rPr>
        <w:t xml:space="preserve">la necesidad de cumplir con un fin </w:t>
      </w:r>
      <w:r w:rsidR="00E86DF3" w:rsidRPr="000B352A">
        <w:rPr>
          <w:rFonts w:cs="Times New Roman"/>
          <w:szCs w:val="28"/>
        </w:rPr>
        <w:t xml:space="preserve">constitucional </w:t>
      </w:r>
      <w:r w:rsidR="006B3FC5" w:rsidRPr="000B352A">
        <w:rPr>
          <w:rFonts w:cs="Times New Roman"/>
          <w:szCs w:val="28"/>
        </w:rPr>
        <w:t>superior</w:t>
      </w:r>
      <w:r w:rsidR="00152E2A" w:rsidRPr="000B352A">
        <w:rPr>
          <w:rFonts w:cs="Times New Roman"/>
          <w:szCs w:val="28"/>
        </w:rPr>
        <w:t xml:space="preserve">. </w:t>
      </w:r>
      <w:r w:rsidR="00D17809" w:rsidRPr="000B352A">
        <w:rPr>
          <w:rFonts w:cs="Times New Roman"/>
          <w:szCs w:val="28"/>
        </w:rPr>
        <w:t xml:space="preserve">Es decir, </w:t>
      </w:r>
      <w:r w:rsidR="00E86DF3" w:rsidRPr="000B352A">
        <w:rPr>
          <w:rFonts w:cs="Times New Roman"/>
          <w:szCs w:val="28"/>
        </w:rPr>
        <w:t xml:space="preserve">dadas ciertas circunstancias, </w:t>
      </w:r>
      <w:r w:rsidR="00D17809" w:rsidRPr="000B352A">
        <w:rPr>
          <w:rFonts w:cs="Times New Roman"/>
          <w:szCs w:val="28"/>
        </w:rPr>
        <w:t xml:space="preserve">la </w:t>
      </w:r>
      <w:r w:rsidR="00EB2E08" w:rsidRPr="000B352A">
        <w:rPr>
          <w:rFonts w:cs="Times New Roman"/>
          <w:szCs w:val="28"/>
        </w:rPr>
        <w:t>dureza</w:t>
      </w:r>
      <w:r w:rsidR="00D17809" w:rsidRPr="000B352A">
        <w:rPr>
          <w:rFonts w:cs="Times New Roman"/>
          <w:szCs w:val="28"/>
        </w:rPr>
        <w:t xml:space="preserve"> del principio de libertad que debe orientar el tratamiento de datos personales </w:t>
      </w:r>
      <w:r w:rsidR="00E86DF3" w:rsidRPr="000B352A">
        <w:rPr>
          <w:rFonts w:cs="Times New Roman"/>
          <w:szCs w:val="28"/>
        </w:rPr>
        <w:t>se flexibiliza</w:t>
      </w:r>
      <w:r w:rsidR="00D17809" w:rsidRPr="000B352A">
        <w:rPr>
          <w:rFonts w:cs="Times New Roman"/>
          <w:szCs w:val="28"/>
        </w:rPr>
        <w:t xml:space="preserve"> </w:t>
      </w:r>
      <w:r w:rsidR="00E86DF3" w:rsidRPr="000B352A">
        <w:rPr>
          <w:rFonts w:cs="Times New Roman"/>
          <w:szCs w:val="28"/>
        </w:rPr>
        <w:t>al</w:t>
      </w:r>
      <w:r w:rsidR="00D17809" w:rsidRPr="000B352A">
        <w:rPr>
          <w:rFonts w:cs="Times New Roman"/>
          <w:szCs w:val="28"/>
        </w:rPr>
        <w:t xml:space="preserve"> compagina</w:t>
      </w:r>
      <w:r w:rsidR="00E86DF3" w:rsidRPr="000B352A">
        <w:rPr>
          <w:rFonts w:cs="Times New Roman"/>
          <w:szCs w:val="28"/>
        </w:rPr>
        <w:t>rse</w:t>
      </w:r>
      <w:r w:rsidR="00D17809" w:rsidRPr="000B352A">
        <w:rPr>
          <w:rFonts w:cs="Times New Roman"/>
          <w:szCs w:val="28"/>
        </w:rPr>
        <w:t xml:space="preserve"> con el </w:t>
      </w:r>
      <w:r w:rsidR="00D17809" w:rsidRPr="000B352A">
        <w:rPr>
          <w:rFonts w:cs="Times New Roman"/>
          <w:b/>
          <w:szCs w:val="28"/>
        </w:rPr>
        <w:t>principio de finalidad</w:t>
      </w:r>
      <w:r w:rsidR="00EB2E08" w:rsidRPr="000B352A">
        <w:rPr>
          <w:rFonts w:cs="Times New Roman"/>
          <w:szCs w:val="28"/>
        </w:rPr>
        <w:t xml:space="preserve"> que, como se vio, precisa que </w:t>
      </w:r>
      <w:r w:rsidR="00346AAA" w:rsidRPr="000B352A">
        <w:rPr>
          <w:rFonts w:cs="Times New Roman"/>
          <w:szCs w:val="28"/>
        </w:rPr>
        <w:t>“</w:t>
      </w:r>
      <w:r w:rsidR="00346AAA" w:rsidRPr="000B352A">
        <w:rPr>
          <w:rFonts w:cs="Times New Roman"/>
          <w:i/>
          <w:iCs/>
          <w:szCs w:val="28"/>
          <w:bdr w:val="none" w:sz="0" w:space="0" w:color="auto" w:frame="1"/>
        </w:rPr>
        <w:t>el acopio, procesamiento y divulgación de datos personales debe obedecer a una finalidad constitucionalmente legítima definida de manera clara y previa”</w:t>
      </w:r>
      <w:r w:rsidR="00733619" w:rsidRPr="000B352A">
        <w:rPr>
          <w:rFonts w:cs="Times New Roman"/>
          <w:i/>
          <w:iCs/>
          <w:szCs w:val="28"/>
          <w:bdr w:val="none" w:sz="0" w:space="0" w:color="auto" w:frame="1"/>
        </w:rPr>
        <w:t xml:space="preserve"> </w:t>
      </w:r>
      <w:r w:rsidR="00733619" w:rsidRPr="000B352A">
        <w:rPr>
          <w:rFonts w:cs="Times New Roman"/>
          <w:iCs/>
          <w:szCs w:val="28"/>
          <w:bdr w:val="none" w:sz="0" w:space="0" w:color="auto" w:frame="1"/>
        </w:rPr>
        <w:t xml:space="preserve">y siempre cuidando </w:t>
      </w:r>
      <w:r w:rsidR="006C3845" w:rsidRPr="000B352A">
        <w:rPr>
          <w:rFonts w:cs="Times New Roman"/>
          <w:iCs/>
          <w:szCs w:val="28"/>
          <w:bdr w:val="none" w:sz="0" w:space="0" w:color="auto" w:frame="1"/>
        </w:rPr>
        <w:t>que</w:t>
      </w:r>
      <w:r w:rsidR="00EB2E08" w:rsidRPr="000B352A">
        <w:rPr>
          <w:rFonts w:cs="Times New Roman"/>
          <w:iCs/>
          <w:szCs w:val="28"/>
          <w:bdr w:val="none" w:sz="0" w:space="0" w:color="auto" w:frame="1"/>
        </w:rPr>
        <w:t>, con arreglo al principio de necesidad</w:t>
      </w:r>
      <w:r w:rsidR="00EB2E08" w:rsidRPr="000B352A">
        <w:rPr>
          <w:rStyle w:val="Refdenotaalpie"/>
          <w:iCs/>
          <w:szCs w:val="28"/>
          <w:bdr w:val="none" w:sz="0" w:space="0" w:color="auto" w:frame="1"/>
        </w:rPr>
        <w:footnoteReference w:id="48"/>
      </w:r>
      <w:r w:rsidR="00EB2E08" w:rsidRPr="000B352A">
        <w:rPr>
          <w:rFonts w:cs="Times New Roman"/>
          <w:iCs/>
          <w:szCs w:val="28"/>
          <w:bdr w:val="none" w:sz="0" w:space="0" w:color="auto" w:frame="1"/>
        </w:rPr>
        <w:t xml:space="preserve">, </w:t>
      </w:r>
      <w:r w:rsidR="006C3845" w:rsidRPr="000B352A">
        <w:rPr>
          <w:rFonts w:cs="Times New Roman"/>
          <w:iCs/>
          <w:szCs w:val="28"/>
          <w:bdr w:val="none" w:sz="0" w:space="0" w:color="auto" w:frame="1"/>
        </w:rPr>
        <w:t xml:space="preserve">la </w:t>
      </w:r>
      <w:r w:rsidR="000F710F" w:rsidRPr="000B352A">
        <w:rPr>
          <w:rFonts w:cs="Times New Roman"/>
          <w:iCs/>
          <w:szCs w:val="28"/>
          <w:bdr w:val="none" w:sz="0" w:space="0" w:color="auto" w:frame="1"/>
        </w:rPr>
        <w:t>circulación</w:t>
      </w:r>
      <w:r w:rsidR="00A449F9" w:rsidRPr="000B352A">
        <w:rPr>
          <w:rFonts w:cs="Times New Roman"/>
          <w:iCs/>
          <w:szCs w:val="28"/>
          <w:bdr w:val="none" w:sz="0" w:space="0" w:color="auto" w:frame="1"/>
        </w:rPr>
        <w:t xml:space="preserve"> del dato esté </w:t>
      </w:r>
      <w:r w:rsidR="000F710F" w:rsidRPr="000B352A">
        <w:rPr>
          <w:rFonts w:cs="Times New Roman"/>
          <w:iCs/>
          <w:szCs w:val="28"/>
          <w:bdr w:val="none" w:sz="0" w:space="0" w:color="auto" w:frame="1"/>
        </w:rPr>
        <w:t xml:space="preserve">estrictamente </w:t>
      </w:r>
      <w:r w:rsidR="00530AA5" w:rsidRPr="000B352A">
        <w:rPr>
          <w:rFonts w:cs="Times New Roman"/>
          <w:iCs/>
          <w:szCs w:val="28"/>
          <w:bdr w:val="none" w:sz="0" w:space="0" w:color="auto" w:frame="1"/>
        </w:rPr>
        <w:t>dirigida y restringida</w:t>
      </w:r>
      <w:r w:rsidR="00A449F9" w:rsidRPr="000B352A">
        <w:rPr>
          <w:rFonts w:cs="Times New Roman"/>
          <w:iCs/>
          <w:szCs w:val="28"/>
          <w:bdr w:val="none" w:sz="0" w:space="0" w:color="auto" w:frame="1"/>
        </w:rPr>
        <w:t xml:space="preserve"> a</w:t>
      </w:r>
      <w:r w:rsidR="000F710F" w:rsidRPr="000B352A">
        <w:rPr>
          <w:rFonts w:cs="Times New Roman"/>
          <w:iCs/>
          <w:szCs w:val="28"/>
          <w:bdr w:val="none" w:sz="0" w:space="0" w:color="auto" w:frame="1"/>
        </w:rPr>
        <w:t>l cumplimiento del fin constitucional superior</w:t>
      </w:r>
      <w:r w:rsidR="000F710F" w:rsidRPr="000B352A">
        <w:rPr>
          <w:rStyle w:val="Refdenotaalpie"/>
          <w:iCs/>
          <w:szCs w:val="28"/>
          <w:bdr w:val="none" w:sz="0" w:space="0" w:color="auto" w:frame="1"/>
        </w:rPr>
        <w:footnoteReference w:id="49"/>
      </w:r>
      <w:r w:rsidR="00EE2A50" w:rsidRPr="000B352A">
        <w:rPr>
          <w:rFonts w:cs="Times New Roman"/>
          <w:iCs/>
          <w:szCs w:val="28"/>
          <w:bdr w:val="none" w:sz="0" w:space="0" w:color="auto" w:frame="1"/>
        </w:rPr>
        <w:t xml:space="preserve"> con arreglo al principio de necesidad</w:t>
      </w:r>
      <w:r w:rsidR="00EE2A50" w:rsidRPr="000B352A">
        <w:rPr>
          <w:rStyle w:val="Refdenotaalpie"/>
          <w:iCs/>
          <w:szCs w:val="28"/>
          <w:bdr w:val="none" w:sz="0" w:space="0" w:color="auto" w:frame="1"/>
        </w:rPr>
        <w:footnoteReference w:id="50"/>
      </w:r>
      <w:r w:rsidR="00EE2A50" w:rsidRPr="000B352A">
        <w:rPr>
          <w:rFonts w:cs="Times New Roman"/>
          <w:iCs/>
          <w:szCs w:val="28"/>
          <w:bdr w:val="none" w:sz="0" w:space="0" w:color="auto" w:frame="1"/>
        </w:rPr>
        <w:t>.</w:t>
      </w:r>
    </w:p>
    <w:p w14:paraId="64E5A2E8" w14:textId="77777777" w:rsidR="00991FDE" w:rsidRPr="000B352A" w:rsidRDefault="00991FDE" w:rsidP="000B352A">
      <w:pPr>
        <w:pStyle w:val="Prrafodelista"/>
        <w:rPr>
          <w:rFonts w:cs="Times New Roman"/>
          <w:szCs w:val="28"/>
        </w:rPr>
      </w:pPr>
    </w:p>
    <w:p w14:paraId="64E5A2E9" w14:textId="77777777" w:rsidR="00991FDE" w:rsidRPr="000B352A" w:rsidRDefault="006C3845" w:rsidP="000B352A">
      <w:pPr>
        <w:pStyle w:val="Prrafodelista"/>
        <w:numPr>
          <w:ilvl w:val="3"/>
          <w:numId w:val="3"/>
        </w:numPr>
        <w:ind w:left="0" w:firstLine="0"/>
        <w:rPr>
          <w:rFonts w:cs="Times New Roman"/>
          <w:color w:val="000000"/>
          <w:szCs w:val="28"/>
          <w:bdr w:val="none" w:sz="0" w:space="0" w:color="auto" w:frame="1"/>
        </w:rPr>
      </w:pPr>
      <w:r w:rsidRPr="000B352A">
        <w:rPr>
          <w:rFonts w:cs="Times New Roman"/>
          <w:szCs w:val="28"/>
        </w:rPr>
        <w:t xml:space="preserve">En efecto, según la jurisprudencia, </w:t>
      </w:r>
      <w:r w:rsidRPr="000B352A">
        <w:rPr>
          <w:rFonts w:cs="Times New Roman"/>
          <w:i/>
          <w:szCs w:val="28"/>
        </w:rPr>
        <w:t>“(l)a</w:t>
      </w:r>
      <w:r w:rsidRPr="000B352A">
        <w:rPr>
          <w:rFonts w:cs="Times New Roman"/>
          <w:i/>
          <w:iCs/>
          <w:color w:val="000000"/>
          <w:szCs w:val="28"/>
          <w:bdr w:val="none" w:sz="0" w:space="0" w:color="auto" w:frame="1"/>
        </w:rPr>
        <w:t xml:space="preserve"> información semi-privada, será aquella que por versar sobre información personal o impersonal y no estar comprendida por la regla general anterior</w:t>
      </w:r>
      <w:r w:rsidRPr="000B352A">
        <w:rPr>
          <w:rFonts w:cs="Times New Roman"/>
          <w:b/>
          <w:i/>
          <w:iCs/>
          <w:color w:val="000000"/>
          <w:szCs w:val="28"/>
          <w:bdr w:val="none" w:sz="0" w:space="0" w:color="auto" w:frame="1"/>
        </w:rPr>
        <w:t xml:space="preserve">, presenta para su acceso y conocimiento </w:t>
      </w:r>
      <w:r w:rsidRPr="000B352A">
        <w:rPr>
          <w:rFonts w:cs="Times New Roman"/>
          <w:b/>
          <w:i/>
          <w:iCs/>
          <w:color w:val="000000"/>
          <w:szCs w:val="28"/>
          <w:u w:val="single"/>
          <w:bdr w:val="none" w:sz="0" w:space="0" w:color="auto" w:frame="1"/>
        </w:rPr>
        <w:t>un grado mínimo de limitación</w:t>
      </w:r>
      <w:r w:rsidRPr="000B352A">
        <w:rPr>
          <w:rFonts w:cs="Times New Roman"/>
          <w:b/>
          <w:i/>
          <w:iCs/>
          <w:color w:val="000000"/>
          <w:szCs w:val="28"/>
          <w:bdr w:val="none" w:sz="0" w:space="0" w:color="auto" w:frame="1"/>
        </w:rPr>
        <w:t xml:space="preserve">, de tal forma que la misma sólo puede ser obtenida y ofrecida por orden de autoridad administrativa en el cumplimiento de sus funciones </w:t>
      </w:r>
      <w:r w:rsidRPr="000B352A">
        <w:rPr>
          <w:rFonts w:cs="Times New Roman"/>
          <w:b/>
          <w:i/>
          <w:iCs/>
          <w:color w:val="000000"/>
          <w:szCs w:val="28"/>
          <w:u w:val="single"/>
          <w:bdr w:val="none" w:sz="0" w:space="0" w:color="auto" w:frame="1"/>
        </w:rPr>
        <w:t>o en el marco de los principios de la administración de datos personales</w:t>
      </w:r>
      <w:r w:rsidRPr="000B352A">
        <w:rPr>
          <w:rFonts w:cs="Times New Roman"/>
          <w:iCs/>
          <w:color w:val="000000"/>
          <w:szCs w:val="28"/>
          <w:bdr w:val="none" w:sz="0" w:space="0" w:color="auto" w:frame="1"/>
        </w:rPr>
        <w:t>”</w:t>
      </w:r>
      <w:r w:rsidRPr="000B352A">
        <w:rPr>
          <w:rStyle w:val="Refdenotaalpie"/>
          <w:iCs/>
          <w:color w:val="000000"/>
          <w:szCs w:val="28"/>
          <w:bdr w:val="none" w:sz="0" w:space="0" w:color="auto" w:frame="1"/>
        </w:rPr>
        <w:footnoteReference w:id="51"/>
      </w:r>
      <w:r w:rsidR="006B3FC5" w:rsidRPr="000B352A">
        <w:rPr>
          <w:rFonts w:cs="Times New Roman"/>
          <w:iCs/>
          <w:color w:val="000000"/>
          <w:szCs w:val="28"/>
          <w:bdr w:val="none" w:sz="0" w:space="0" w:color="auto" w:frame="1"/>
        </w:rPr>
        <w:t>;</w:t>
      </w:r>
      <w:r w:rsidRPr="000B352A">
        <w:rPr>
          <w:rFonts w:cs="Times New Roman"/>
          <w:iCs/>
          <w:color w:val="000000"/>
          <w:szCs w:val="28"/>
          <w:bdr w:val="none" w:sz="0" w:space="0" w:color="auto" w:frame="1"/>
        </w:rPr>
        <w:t xml:space="preserve"> como</w:t>
      </w:r>
      <w:r w:rsidR="001C0CEC" w:rsidRPr="000B352A">
        <w:rPr>
          <w:rFonts w:cs="Times New Roman"/>
          <w:iCs/>
          <w:color w:val="000000"/>
          <w:szCs w:val="28"/>
          <w:bdr w:val="none" w:sz="0" w:space="0" w:color="auto" w:frame="1"/>
        </w:rPr>
        <w:t>, para éste último caso,</w:t>
      </w:r>
      <w:r w:rsidRPr="000B352A">
        <w:rPr>
          <w:rFonts w:cs="Times New Roman"/>
          <w:iCs/>
          <w:color w:val="000000"/>
          <w:szCs w:val="28"/>
          <w:bdr w:val="none" w:sz="0" w:space="0" w:color="auto" w:frame="1"/>
        </w:rPr>
        <w:t xml:space="preserve"> sin lugar a dudas es el principio de finalidad.</w:t>
      </w:r>
    </w:p>
    <w:p w14:paraId="64E5A2EA" w14:textId="77777777" w:rsidR="00991FDE" w:rsidRPr="000B352A" w:rsidRDefault="00991FDE" w:rsidP="000B352A">
      <w:pPr>
        <w:pStyle w:val="Prrafodelista"/>
        <w:rPr>
          <w:rFonts w:cs="Times New Roman"/>
          <w:szCs w:val="28"/>
        </w:rPr>
      </w:pPr>
    </w:p>
    <w:p w14:paraId="64E5A2EB" w14:textId="77777777" w:rsidR="00B857FA" w:rsidRPr="000B352A" w:rsidRDefault="006C3845" w:rsidP="000B352A">
      <w:pPr>
        <w:pStyle w:val="Prrafodelista"/>
        <w:numPr>
          <w:ilvl w:val="3"/>
          <w:numId w:val="3"/>
        </w:numPr>
        <w:ind w:left="0" w:firstLine="0"/>
        <w:rPr>
          <w:rFonts w:cs="Times New Roman"/>
          <w:color w:val="000000"/>
          <w:szCs w:val="28"/>
          <w:bdr w:val="none" w:sz="0" w:space="0" w:color="auto" w:frame="1"/>
        </w:rPr>
      </w:pPr>
      <w:r w:rsidRPr="000B352A">
        <w:rPr>
          <w:rFonts w:cs="Times New Roman"/>
          <w:szCs w:val="28"/>
        </w:rPr>
        <w:t>La atrás mencionada</w:t>
      </w:r>
      <w:r w:rsidR="00346AAA" w:rsidRPr="000B352A">
        <w:rPr>
          <w:rFonts w:cs="Times New Roman"/>
          <w:szCs w:val="28"/>
        </w:rPr>
        <w:t xml:space="preserve"> regla </w:t>
      </w:r>
      <w:r w:rsidR="00981BBA" w:rsidRPr="000B352A">
        <w:rPr>
          <w:rFonts w:cs="Times New Roman"/>
          <w:szCs w:val="28"/>
        </w:rPr>
        <w:t>jurisprudencial</w:t>
      </w:r>
      <w:r w:rsidR="00346AAA" w:rsidRPr="000B352A">
        <w:rPr>
          <w:rFonts w:cs="Times New Roman"/>
          <w:szCs w:val="28"/>
        </w:rPr>
        <w:t xml:space="preserve"> fue</w:t>
      </w:r>
      <w:r w:rsidR="00733619" w:rsidRPr="000B352A">
        <w:rPr>
          <w:rFonts w:cs="Times New Roman"/>
          <w:szCs w:val="28"/>
        </w:rPr>
        <w:t>,</w:t>
      </w:r>
      <w:r w:rsidR="00346AAA" w:rsidRPr="000B352A">
        <w:rPr>
          <w:rFonts w:cs="Times New Roman"/>
          <w:szCs w:val="28"/>
        </w:rPr>
        <w:t xml:space="preserve"> </w:t>
      </w:r>
      <w:r w:rsidR="00CD5E9D" w:rsidRPr="000B352A">
        <w:rPr>
          <w:rFonts w:cs="Times New Roman"/>
          <w:szCs w:val="28"/>
        </w:rPr>
        <w:t>p</w:t>
      </w:r>
      <w:r w:rsidR="00F56097" w:rsidRPr="000B352A">
        <w:rPr>
          <w:rFonts w:cs="Times New Roman"/>
          <w:szCs w:val="28"/>
        </w:rPr>
        <w:t>or ejemplo</w:t>
      </w:r>
      <w:r w:rsidR="00733619" w:rsidRPr="000B352A">
        <w:rPr>
          <w:rFonts w:cs="Times New Roman"/>
          <w:szCs w:val="28"/>
        </w:rPr>
        <w:t>,</w:t>
      </w:r>
      <w:r w:rsidR="00CD5E9D" w:rsidRPr="000B352A">
        <w:rPr>
          <w:rFonts w:cs="Times New Roman"/>
          <w:szCs w:val="28"/>
        </w:rPr>
        <w:t xml:space="preserve"> utilizada</w:t>
      </w:r>
      <w:r w:rsidR="00F56097" w:rsidRPr="000B352A">
        <w:rPr>
          <w:rFonts w:cs="Times New Roman"/>
          <w:szCs w:val="28"/>
        </w:rPr>
        <w:t xml:space="preserve"> e</w:t>
      </w:r>
      <w:r w:rsidR="00981BBA" w:rsidRPr="000B352A">
        <w:rPr>
          <w:rFonts w:cs="Times New Roman"/>
          <w:szCs w:val="28"/>
        </w:rPr>
        <w:t xml:space="preserve">n Sentencia </w:t>
      </w:r>
      <w:r w:rsidR="00972F9D" w:rsidRPr="000B352A">
        <w:rPr>
          <w:rFonts w:cs="Times New Roman"/>
          <w:szCs w:val="28"/>
        </w:rPr>
        <w:t>C-692 de 2003</w:t>
      </w:r>
      <w:r w:rsidR="00981BBA" w:rsidRPr="000B352A">
        <w:rPr>
          <w:rStyle w:val="Refdenotaalpie"/>
          <w:szCs w:val="28"/>
        </w:rPr>
        <w:footnoteReference w:id="52"/>
      </w:r>
      <w:r w:rsidR="00CD5E9D" w:rsidRPr="000B352A">
        <w:rPr>
          <w:rFonts w:cs="Times New Roman"/>
          <w:szCs w:val="28"/>
        </w:rPr>
        <w:t xml:space="preserve">. En </w:t>
      </w:r>
      <w:r w:rsidR="001C0CEC" w:rsidRPr="000B352A">
        <w:rPr>
          <w:rFonts w:cs="Times New Roman"/>
          <w:szCs w:val="28"/>
        </w:rPr>
        <w:t>dicho</w:t>
      </w:r>
      <w:r w:rsidR="00CD5E9D" w:rsidRPr="000B352A">
        <w:rPr>
          <w:rFonts w:cs="Times New Roman"/>
          <w:szCs w:val="28"/>
        </w:rPr>
        <w:t xml:space="preserve"> caso</w:t>
      </w:r>
      <w:r w:rsidR="00981BBA" w:rsidRPr="000B352A">
        <w:rPr>
          <w:rFonts w:cs="Times New Roman"/>
          <w:szCs w:val="28"/>
        </w:rPr>
        <w:t xml:space="preserve"> la Corte estudió la exequibilidad de una norma que obligaba a registrar ante las alcaldías la posesión de perros de razas potencialmente peligrosas. Para resolver </w:t>
      </w:r>
      <w:r w:rsidR="001C0CEC" w:rsidRPr="000B352A">
        <w:rPr>
          <w:rFonts w:cs="Times New Roman"/>
          <w:szCs w:val="28"/>
        </w:rPr>
        <w:t>la controversia</w:t>
      </w:r>
      <w:r w:rsidR="00981BBA" w:rsidRPr="000B352A">
        <w:rPr>
          <w:rFonts w:cs="Times New Roman"/>
          <w:szCs w:val="28"/>
        </w:rPr>
        <w:t xml:space="preserve">, tras considerar que la información sujeta a registro era de carácter semiprivado, la Corte declaró su exequibilidad </w:t>
      </w:r>
      <w:r w:rsidR="00CC7BD7" w:rsidRPr="000B352A">
        <w:rPr>
          <w:rFonts w:cs="Times New Roman"/>
          <w:szCs w:val="28"/>
        </w:rPr>
        <w:t xml:space="preserve">tras considerar que la misma era necesaria para garantizar </w:t>
      </w:r>
      <w:r w:rsidR="00530AA5" w:rsidRPr="000B352A">
        <w:rPr>
          <w:rFonts w:cs="Times New Roman"/>
          <w:szCs w:val="28"/>
        </w:rPr>
        <w:t>l</w:t>
      </w:r>
      <w:r w:rsidR="00CC7BD7" w:rsidRPr="000B352A">
        <w:rPr>
          <w:rFonts w:cs="Times New Roman"/>
          <w:szCs w:val="28"/>
        </w:rPr>
        <w:t>a seguridad pública. En tal sentido la Corte sostuvo que “</w:t>
      </w:r>
      <w:r w:rsidR="00CC7BD7" w:rsidRPr="000B352A">
        <w:rPr>
          <w:rFonts w:cs="Times New Roman"/>
          <w:i/>
          <w:iCs/>
          <w:color w:val="000000"/>
          <w:szCs w:val="28"/>
          <w:bdr w:val="none" w:sz="0" w:space="0" w:color="auto" w:frame="1"/>
          <w:lang w:val="es-ES_tradnl"/>
        </w:rPr>
        <w:t>(l)a tenencia de perros peligrosos deriva en riesgo social </w:t>
      </w:r>
      <w:r w:rsidR="00CC7BD7" w:rsidRPr="000B352A">
        <w:rPr>
          <w:rFonts w:cs="Times New Roman"/>
          <w:bCs/>
          <w:i/>
          <w:iCs/>
          <w:color w:val="000000"/>
          <w:szCs w:val="28"/>
          <w:bdr w:val="none" w:sz="0" w:space="0" w:color="auto" w:frame="1"/>
          <w:lang w:val="es-ES_tradnl"/>
        </w:rPr>
        <w:t>y</w:t>
      </w:r>
      <w:r w:rsidR="00CC7BD7" w:rsidRPr="000B352A">
        <w:rPr>
          <w:rFonts w:cs="Times New Roman"/>
          <w:bCs/>
          <w:iCs/>
          <w:color w:val="000000"/>
          <w:szCs w:val="28"/>
          <w:bdr w:val="none" w:sz="0" w:space="0" w:color="auto" w:frame="1"/>
          <w:lang w:val="es-ES_tradnl"/>
        </w:rPr>
        <w:t xml:space="preserve"> </w:t>
      </w:r>
      <w:r w:rsidR="00CC7BD7" w:rsidRPr="000B352A">
        <w:rPr>
          <w:rFonts w:cs="Times New Roman"/>
          <w:b/>
          <w:bCs/>
          <w:i/>
          <w:iCs/>
          <w:color w:val="000000"/>
          <w:szCs w:val="28"/>
          <w:u w:val="single"/>
          <w:bdr w:val="none" w:sz="0" w:space="0" w:color="auto" w:frame="1"/>
          <w:lang w:val="es-ES_tradnl"/>
        </w:rPr>
        <w:t>el legislador está autorizado para obligar al particular a ceder dicha información en beneficio de la seguridad pública, sin que por ese hecho se deduzca una intromisión ilegítima en su círculo íntimo</w:t>
      </w:r>
      <w:r w:rsidR="00CC7BD7" w:rsidRPr="000B352A">
        <w:rPr>
          <w:rFonts w:cs="Times New Roman"/>
          <w:i/>
          <w:iCs/>
          <w:color w:val="000000"/>
          <w:szCs w:val="28"/>
          <w:bdr w:val="none" w:sz="0" w:space="0" w:color="auto" w:frame="1"/>
          <w:lang w:val="es-ES_tradnl"/>
        </w:rPr>
        <w:t xml:space="preserve">. (…) En los términos de la tipología adoptada por la Corte, la ley no le exige al dueño del perro divulgar información privada o reservada. </w:t>
      </w:r>
      <w:r w:rsidR="00CC7BD7" w:rsidRPr="000B352A">
        <w:rPr>
          <w:rFonts w:cs="Times New Roman"/>
          <w:b/>
          <w:i/>
          <w:iCs/>
          <w:color w:val="000000"/>
          <w:szCs w:val="28"/>
          <w:u w:val="single"/>
          <w:bdr w:val="none" w:sz="0" w:space="0" w:color="auto" w:frame="1"/>
          <w:lang w:val="es-ES_tradnl"/>
        </w:rPr>
        <w:t>El sacrificio del derecho a la intimidad se ve justificado, en este caso, por la necesidad de satisfacer un interés de orden superior</w:t>
      </w:r>
      <w:r w:rsidR="00CC7BD7" w:rsidRPr="000B352A">
        <w:rPr>
          <w:rFonts w:cs="Times New Roman"/>
          <w:i/>
          <w:iCs/>
          <w:color w:val="000000"/>
          <w:szCs w:val="28"/>
          <w:bdr w:val="none" w:sz="0" w:space="0" w:color="auto" w:frame="1"/>
          <w:lang w:val="es-ES_tradnl"/>
        </w:rPr>
        <w:t>”.</w:t>
      </w:r>
    </w:p>
    <w:p w14:paraId="64E5A2EC" w14:textId="77777777" w:rsidR="009A414A" w:rsidRPr="000B352A" w:rsidRDefault="009A414A" w:rsidP="000B352A">
      <w:pPr>
        <w:pStyle w:val="Prrafodelista"/>
        <w:overflowPunct w:val="0"/>
        <w:autoSpaceDE w:val="0"/>
        <w:autoSpaceDN w:val="0"/>
        <w:adjustRightInd w:val="0"/>
        <w:ind w:left="1434" w:right="51"/>
        <w:textAlignment w:val="center"/>
        <w:rPr>
          <w:rFonts w:cs="Times New Roman"/>
          <w:szCs w:val="28"/>
        </w:rPr>
      </w:pPr>
    </w:p>
    <w:p w14:paraId="64E5A2ED" w14:textId="77777777" w:rsidR="009A414A" w:rsidRPr="000B352A" w:rsidRDefault="009A414A" w:rsidP="000B352A">
      <w:pPr>
        <w:overflowPunct w:val="0"/>
        <w:autoSpaceDE w:val="0"/>
        <w:autoSpaceDN w:val="0"/>
        <w:adjustRightInd w:val="0"/>
        <w:ind w:right="51"/>
        <w:textAlignment w:val="center"/>
        <w:rPr>
          <w:rFonts w:cs="Times New Roman"/>
          <w:szCs w:val="28"/>
        </w:rPr>
      </w:pPr>
      <w:r w:rsidRPr="000B352A">
        <w:rPr>
          <w:rFonts w:cs="Times New Roman"/>
          <w:szCs w:val="28"/>
        </w:rPr>
        <w:t>En otras palabras, en este caso el principio de libertad cedió al principio de finalidad toda vez que la norma respectivamente impugnada estaba dirigid</w:t>
      </w:r>
      <w:r w:rsidR="00CD5E9D" w:rsidRPr="000B352A">
        <w:rPr>
          <w:rFonts w:cs="Times New Roman"/>
          <w:szCs w:val="28"/>
        </w:rPr>
        <w:t>a</w:t>
      </w:r>
      <w:r w:rsidRPr="000B352A">
        <w:rPr>
          <w:rFonts w:cs="Times New Roman"/>
          <w:szCs w:val="28"/>
        </w:rPr>
        <w:t xml:space="preserve"> a la protección de la seguridad pública</w:t>
      </w:r>
      <w:r w:rsidR="00530AA5" w:rsidRPr="000B352A">
        <w:rPr>
          <w:rFonts w:cs="Times New Roman"/>
          <w:szCs w:val="28"/>
        </w:rPr>
        <w:t xml:space="preserve"> como fin constitucional de mayor envergadura</w:t>
      </w:r>
      <w:r w:rsidR="001C0CEC" w:rsidRPr="000B352A">
        <w:rPr>
          <w:rFonts w:cs="Times New Roman"/>
          <w:szCs w:val="28"/>
        </w:rPr>
        <w:t xml:space="preserve"> y de interés general</w:t>
      </w:r>
      <w:r w:rsidR="001C0CEC" w:rsidRPr="000B352A">
        <w:rPr>
          <w:rStyle w:val="Refdenotaalpie"/>
          <w:szCs w:val="28"/>
        </w:rPr>
        <w:footnoteReference w:id="53"/>
      </w:r>
      <w:r w:rsidR="001C0CEC" w:rsidRPr="000B352A">
        <w:rPr>
          <w:rFonts w:cs="Times New Roman"/>
          <w:szCs w:val="28"/>
        </w:rPr>
        <w:t>.</w:t>
      </w:r>
      <w:r w:rsidR="001C0CEC" w:rsidRPr="000B352A">
        <w:rPr>
          <w:rFonts w:cs="Times New Roman"/>
          <w:color w:val="2D2D2D"/>
          <w:szCs w:val="28"/>
          <w:shd w:val="clear" w:color="auto" w:fill="FFFFFF"/>
        </w:rPr>
        <w:t xml:space="preserve">  </w:t>
      </w:r>
    </w:p>
    <w:p w14:paraId="64E5A2EE" w14:textId="77777777" w:rsidR="00916952" w:rsidRPr="000B352A" w:rsidRDefault="00916952" w:rsidP="000B352A">
      <w:pPr>
        <w:overflowPunct w:val="0"/>
        <w:autoSpaceDE w:val="0"/>
        <w:autoSpaceDN w:val="0"/>
        <w:adjustRightInd w:val="0"/>
        <w:ind w:right="49"/>
        <w:textAlignment w:val="center"/>
        <w:rPr>
          <w:rFonts w:cs="Times New Roman"/>
          <w:szCs w:val="28"/>
        </w:rPr>
      </w:pPr>
    </w:p>
    <w:p w14:paraId="64E5A2EF" w14:textId="77777777" w:rsidR="00991FDE" w:rsidRPr="000B352A" w:rsidRDefault="00916952" w:rsidP="000B352A">
      <w:pPr>
        <w:pStyle w:val="Prrafodelista"/>
        <w:numPr>
          <w:ilvl w:val="3"/>
          <w:numId w:val="3"/>
        </w:numPr>
        <w:overflowPunct w:val="0"/>
        <w:autoSpaceDE w:val="0"/>
        <w:autoSpaceDN w:val="0"/>
        <w:adjustRightInd w:val="0"/>
        <w:ind w:left="0" w:right="49" w:firstLine="0"/>
        <w:textAlignment w:val="center"/>
        <w:rPr>
          <w:rFonts w:cs="Times New Roman"/>
          <w:szCs w:val="28"/>
        </w:rPr>
      </w:pPr>
      <w:r w:rsidRPr="000B352A">
        <w:rPr>
          <w:rFonts w:cs="Times New Roman"/>
          <w:color w:val="000000"/>
          <w:szCs w:val="28"/>
          <w:bdr w:val="none" w:sz="0" w:space="0" w:color="auto" w:frame="1"/>
        </w:rPr>
        <w:t xml:space="preserve">Aunque el presente caso se enmarca en la Ley 1581 de 2012 pues la Ley 1266 de 2008 refiere al habeas data en tratándose </w:t>
      </w:r>
      <w:r w:rsidR="002D4BB0" w:rsidRPr="000B352A">
        <w:rPr>
          <w:rFonts w:cs="Times New Roman"/>
          <w:color w:val="000000"/>
          <w:szCs w:val="28"/>
          <w:bdr w:val="none" w:sz="0" w:space="0" w:color="auto" w:frame="1"/>
        </w:rPr>
        <w:t xml:space="preserve">especialmente </w:t>
      </w:r>
      <w:r w:rsidRPr="000B352A">
        <w:rPr>
          <w:rFonts w:cs="Times New Roman"/>
          <w:color w:val="000000"/>
          <w:szCs w:val="28"/>
          <w:bdr w:val="none" w:sz="0" w:space="0" w:color="auto" w:frame="1"/>
        </w:rPr>
        <w:t>del acceso al dato bancario</w:t>
      </w:r>
      <w:r w:rsidRPr="000B352A">
        <w:rPr>
          <w:rStyle w:val="Refdenotaalpie"/>
          <w:color w:val="000000"/>
          <w:szCs w:val="28"/>
          <w:bdr w:val="none" w:sz="0" w:space="0" w:color="auto" w:frame="1"/>
        </w:rPr>
        <w:footnoteReference w:id="54"/>
      </w:r>
      <w:r w:rsidRPr="000B352A">
        <w:rPr>
          <w:rFonts w:cs="Times New Roman"/>
          <w:color w:val="000000"/>
          <w:szCs w:val="28"/>
          <w:bdr w:val="none" w:sz="0" w:space="0" w:color="auto" w:frame="1"/>
        </w:rPr>
        <w:t xml:space="preserve">, lo expuesto resulta consistente con la definición que de dato semiprivado hace el artículo 3, literal g) de esta última ley, según la cual </w:t>
      </w:r>
      <w:r w:rsidRPr="000B352A">
        <w:rPr>
          <w:rFonts w:eastAsia="Times New Roman" w:cs="Times New Roman"/>
          <w:kern w:val="0"/>
          <w:szCs w:val="28"/>
          <w:bdr w:val="none" w:sz="0" w:space="0" w:color="auto" w:frame="1"/>
          <w:shd w:val="clear" w:color="auto" w:fill="FFFFFF"/>
          <w:lang w:eastAsia="es-CO" w:bidi="ar-SA"/>
        </w:rPr>
        <w:t>“</w:t>
      </w:r>
      <w:r w:rsidRPr="000B352A">
        <w:rPr>
          <w:rFonts w:eastAsia="Times New Roman" w:cs="Times New Roman"/>
          <w:i/>
          <w:iCs/>
          <w:kern w:val="0"/>
          <w:szCs w:val="28"/>
          <w:bdr w:val="none" w:sz="0" w:space="0" w:color="auto" w:frame="1"/>
          <w:shd w:val="clear" w:color="auto" w:fill="FFFFFF"/>
          <w:lang w:eastAsia="es-CO" w:bidi="ar-SA"/>
        </w:rPr>
        <w:t>(e)s semiprivado el dato que no tiene naturaleza íntima, reservada, ni pública y </w:t>
      </w:r>
      <w:r w:rsidRPr="000B352A">
        <w:rPr>
          <w:rFonts w:eastAsia="Times New Roman" w:cs="Times New Roman"/>
          <w:b/>
          <w:bCs/>
          <w:i/>
          <w:iCs/>
          <w:kern w:val="0"/>
          <w:szCs w:val="28"/>
          <w:bdr w:val="none" w:sz="0" w:space="0" w:color="auto" w:frame="1"/>
          <w:lang w:eastAsia="es-CO" w:bidi="ar-SA"/>
        </w:rPr>
        <w:t>cuyo conocimiento o divulgación puede interesar no sólo a su titular sino a cierto sector o grupo de personas o a la sociedad en general</w:t>
      </w:r>
      <w:r w:rsidRPr="000B352A">
        <w:rPr>
          <w:rFonts w:eastAsia="Times New Roman" w:cs="Times New Roman"/>
          <w:i/>
          <w:iCs/>
          <w:kern w:val="0"/>
          <w:szCs w:val="28"/>
          <w:bdr w:val="none" w:sz="0" w:space="0" w:color="auto" w:frame="1"/>
          <w:shd w:val="clear" w:color="auto" w:fill="FFFFFF"/>
          <w:lang w:eastAsia="es-CO" w:bidi="ar-SA"/>
        </w:rPr>
        <w:t>, como el dato financiero y crediticio de actividad comercial o de servicios a que se refiere el Título IV de la presente ley”.</w:t>
      </w:r>
    </w:p>
    <w:p w14:paraId="64E5A2F0" w14:textId="77777777" w:rsidR="00991FDE" w:rsidRPr="000B352A" w:rsidRDefault="00991FDE" w:rsidP="000B352A">
      <w:pPr>
        <w:pStyle w:val="Prrafodelista"/>
        <w:overflowPunct w:val="0"/>
        <w:autoSpaceDE w:val="0"/>
        <w:autoSpaceDN w:val="0"/>
        <w:adjustRightInd w:val="0"/>
        <w:ind w:left="0" w:right="49"/>
        <w:textAlignment w:val="center"/>
        <w:rPr>
          <w:rFonts w:cs="Times New Roman"/>
          <w:szCs w:val="28"/>
        </w:rPr>
      </w:pPr>
    </w:p>
    <w:p w14:paraId="64E5A2F1" w14:textId="77777777" w:rsidR="00991FDE" w:rsidRPr="000B352A" w:rsidRDefault="00CF0F8A" w:rsidP="000B352A">
      <w:pPr>
        <w:pStyle w:val="Prrafodelista"/>
        <w:numPr>
          <w:ilvl w:val="3"/>
          <w:numId w:val="3"/>
        </w:numPr>
        <w:overflowPunct w:val="0"/>
        <w:autoSpaceDE w:val="0"/>
        <w:autoSpaceDN w:val="0"/>
        <w:adjustRightInd w:val="0"/>
        <w:ind w:left="0" w:right="49" w:firstLine="0"/>
        <w:textAlignment w:val="center"/>
        <w:rPr>
          <w:rFonts w:cs="Times New Roman"/>
          <w:szCs w:val="28"/>
        </w:rPr>
      </w:pPr>
      <w:r w:rsidRPr="000B352A">
        <w:rPr>
          <w:rFonts w:cs="Times New Roman"/>
          <w:szCs w:val="28"/>
        </w:rPr>
        <w:t xml:space="preserve">Aterrizando lo </w:t>
      </w:r>
      <w:r w:rsidR="004734F4" w:rsidRPr="000B352A">
        <w:rPr>
          <w:rFonts w:cs="Times New Roman"/>
          <w:szCs w:val="28"/>
        </w:rPr>
        <w:t>atrás dicho</w:t>
      </w:r>
      <w:r w:rsidRPr="000B352A">
        <w:rPr>
          <w:rFonts w:cs="Times New Roman"/>
          <w:szCs w:val="28"/>
        </w:rPr>
        <w:t xml:space="preserve"> </w:t>
      </w:r>
      <w:r w:rsidR="004734F4" w:rsidRPr="000B352A">
        <w:rPr>
          <w:rFonts w:cs="Times New Roman"/>
          <w:szCs w:val="28"/>
        </w:rPr>
        <w:t>al</w:t>
      </w:r>
      <w:r w:rsidR="00CA5C86" w:rsidRPr="000B352A">
        <w:rPr>
          <w:rFonts w:cs="Times New Roman"/>
          <w:szCs w:val="28"/>
        </w:rPr>
        <w:t xml:space="preserve"> aparte demandado del</w:t>
      </w:r>
      <w:r w:rsidR="004734F4" w:rsidRPr="000B352A">
        <w:rPr>
          <w:rFonts w:cs="Times New Roman"/>
          <w:szCs w:val="28"/>
        </w:rPr>
        <w:t xml:space="preserve"> inciso 2º de</w:t>
      </w:r>
      <w:r w:rsidR="00530AA5" w:rsidRPr="000B352A">
        <w:rPr>
          <w:rFonts w:cs="Times New Roman"/>
          <w:szCs w:val="28"/>
        </w:rPr>
        <w:t>l artículo 30 de</w:t>
      </w:r>
      <w:r w:rsidR="004734F4" w:rsidRPr="000B352A">
        <w:rPr>
          <w:rFonts w:cs="Times New Roman"/>
          <w:szCs w:val="28"/>
        </w:rPr>
        <w:t xml:space="preserve"> la Ley 675 de 2001, </w:t>
      </w:r>
      <w:r w:rsidRPr="000B352A">
        <w:rPr>
          <w:rFonts w:cs="Times New Roman"/>
          <w:szCs w:val="28"/>
        </w:rPr>
        <w:t xml:space="preserve">la Corte </w:t>
      </w:r>
      <w:r w:rsidR="004734F4" w:rsidRPr="000B352A">
        <w:rPr>
          <w:rFonts w:cs="Times New Roman"/>
          <w:szCs w:val="28"/>
        </w:rPr>
        <w:t xml:space="preserve">coincide con las demandantes en que </w:t>
      </w:r>
      <w:r w:rsidR="00F17BEE" w:rsidRPr="000B352A">
        <w:rPr>
          <w:rFonts w:cs="Times New Roman"/>
          <w:szCs w:val="28"/>
        </w:rPr>
        <w:t xml:space="preserve">la información </w:t>
      </w:r>
      <w:r w:rsidR="004734F4" w:rsidRPr="000B352A">
        <w:rPr>
          <w:rFonts w:cs="Times New Roman"/>
          <w:szCs w:val="28"/>
        </w:rPr>
        <w:t>relativa al</w:t>
      </w:r>
      <w:r w:rsidRPr="000B352A">
        <w:rPr>
          <w:rFonts w:cs="Times New Roman"/>
          <w:szCs w:val="28"/>
        </w:rPr>
        <w:t xml:space="preserve"> incumplimiento </w:t>
      </w:r>
      <w:r w:rsidR="005136E8" w:rsidRPr="000B352A">
        <w:rPr>
          <w:rFonts w:cs="Times New Roman"/>
          <w:szCs w:val="28"/>
        </w:rPr>
        <w:t xml:space="preserve">en el pago </w:t>
      </w:r>
      <w:r w:rsidRPr="000B352A">
        <w:rPr>
          <w:rFonts w:cs="Times New Roman"/>
          <w:szCs w:val="28"/>
        </w:rPr>
        <w:t xml:space="preserve">de las expensas comunes de que trata el Capítulo VII del Título I de la Ley 675 de 2001, </w:t>
      </w:r>
      <w:r w:rsidR="002D4BB0" w:rsidRPr="000B352A">
        <w:rPr>
          <w:rFonts w:cs="Times New Roman"/>
          <w:szCs w:val="28"/>
        </w:rPr>
        <w:t>es</w:t>
      </w:r>
      <w:r w:rsidR="00F17BEE" w:rsidRPr="000B352A">
        <w:rPr>
          <w:rFonts w:cs="Times New Roman"/>
          <w:szCs w:val="28"/>
        </w:rPr>
        <w:t xml:space="preserve"> una información semiprivada. </w:t>
      </w:r>
      <w:r w:rsidR="005136E8" w:rsidRPr="000B352A">
        <w:rPr>
          <w:rFonts w:cs="Times New Roman"/>
          <w:szCs w:val="28"/>
        </w:rPr>
        <w:t xml:space="preserve">Justamente, </w:t>
      </w:r>
      <w:r w:rsidR="002D4BB0" w:rsidRPr="000B352A">
        <w:rPr>
          <w:rFonts w:cs="Times New Roman"/>
          <w:szCs w:val="28"/>
        </w:rPr>
        <w:t>cor</w:t>
      </w:r>
      <w:r w:rsidR="005136E8" w:rsidRPr="000B352A">
        <w:rPr>
          <w:rFonts w:cs="Times New Roman"/>
          <w:szCs w:val="28"/>
        </w:rPr>
        <w:t>respondiendo el pago de las expensas</w:t>
      </w:r>
      <w:r w:rsidR="002D4BB0" w:rsidRPr="000B352A">
        <w:rPr>
          <w:rFonts w:cs="Times New Roman"/>
          <w:szCs w:val="28"/>
        </w:rPr>
        <w:t xml:space="preserve"> comunes</w:t>
      </w:r>
      <w:r w:rsidR="005136E8" w:rsidRPr="000B352A">
        <w:rPr>
          <w:rFonts w:cs="Times New Roman"/>
          <w:szCs w:val="28"/>
        </w:rPr>
        <w:t xml:space="preserve"> a una obligación económica, resulta aplicable la jurisprudencia según la cual </w:t>
      </w:r>
      <w:r w:rsidR="005136E8" w:rsidRPr="000B352A">
        <w:rPr>
          <w:rFonts w:cs="Times New Roman"/>
          <w:i/>
          <w:szCs w:val="28"/>
        </w:rPr>
        <w:t>“</w:t>
      </w:r>
      <w:r w:rsidR="005136E8" w:rsidRPr="000B352A">
        <w:rPr>
          <w:rFonts w:cs="Times New Roman"/>
          <w:i/>
          <w:color w:val="2D2D2D"/>
          <w:szCs w:val="28"/>
          <w:bdr w:val="none" w:sz="0" w:space="0" w:color="auto" w:frame="1"/>
          <w:lang w:val="es-ES"/>
        </w:rPr>
        <w:t>la </w:t>
      </w:r>
      <w:r w:rsidR="005136E8" w:rsidRPr="000B352A">
        <w:rPr>
          <w:rFonts w:cs="Times New Roman"/>
          <w:i/>
          <w:iCs/>
          <w:color w:val="2D2D2D"/>
          <w:szCs w:val="28"/>
          <w:bdr w:val="none" w:sz="0" w:space="0" w:color="auto" w:frame="1"/>
          <w:lang w:val="es-ES"/>
        </w:rPr>
        <w:t>información semi-privada</w:t>
      </w:r>
      <w:r w:rsidR="005136E8" w:rsidRPr="000B352A">
        <w:rPr>
          <w:rFonts w:cs="Times New Roman"/>
          <w:i/>
          <w:color w:val="2D2D2D"/>
          <w:szCs w:val="28"/>
          <w:bdr w:val="none" w:sz="0" w:space="0" w:color="auto" w:frame="1"/>
          <w:lang w:val="es-ES"/>
        </w:rPr>
        <w:t xml:space="preserve">, [es] aquella que por versar sobre información personal o impersonal y no estar comprendida por la regla general [de la información pública], presenta para su acceso y conocimiento un grado mínimo de limitación, (…). Es el caso de los datos relativos a las relaciones con las entidades de la seguridad social o de los </w:t>
      </w:r>
      <w:r w:rsidR="005136E8" w:rsidRPr="000B352A">
        <w:rPr>
          <w:rFonts w:cs="Times New Roman"/>
          <w:b/>
          <w:i/>
          <w:color w:val="2D2D2D"/>
          <w:szCs w:val="28"/>
          <w:bdr w:val="none" w:sz="0" w:space="0" w:color="auto" w:frame="1"/>
          <w:lang w:val="es-ES"/>
        </w:rPr>
        <w:t>datos relativos al comportamiento financiero de las personas</w:t>
      </w:r>
      <w:r w:rsidR="005136E8" w:rsidRPr="000B352A">
        <w:rPr>
          <w:rFonts w:cs="Times New Roman"/>
          <w:i/>
          <w:color w:val="2D2D2D"/>
          <w:szCs w:val="28"/>
          <w:bdr w:val="none" w:sz="0" w:space="0" w:color="auto" w:frame="1"/>
          <w:lang w:val="es-ES"/>
        </w:rPr>
        <w:t>.</w:t>
      </w:r>
      <w:r w:rsidR="005136E8" w:rsidRPr="000B352A">
        <w:rPr>
          <w:rFonts w:cs="Times New Roman"/>
          <w:color w:val="2D2D2D"/>
          <w:szCs w:val="28"/>
          <w:bdr w:val="none" w:sz="0" w:space="0" w:color="auto" w:frame="1"/>
          <w:lang w:val="es-ES"/>
        </w:rPr>
        <w:t xml:space="preserve">” </w:t>
      </w:r>
      <w:r w:rsidR="00F82772" w:rsidRPr="000B352A">
        <w:rPr>
          <w:rFonts w:cs="Times New Roman"/>
          <w:color w:val="2D2D2D"/>
          <w:szCs w:val="28"/>
          <w:bdr w:val="none" w:sz="0" w:space="0" w:color="auto" w:frame="1"/>
          <w:lang w:val="es-ES"/>
        </w:rPr>
        <w:t>(Énfasis fuera de texto)</w:t>
      </w:r>
      <w:r w:rsidR="00F82772" w:rsidRPr="000B352A">
        <w:rPr>
          <w:rStyle w:val="Refdenotaalpie"/>
          <w:color w:val="2D2D2D"/>
          <w:szCs w:val="28"/>
          <w:bdr w:val="none" w:sz="0" w:space="0" w:color="auto" w:frame="1"/>
          <w:lang w:val="es-ES"/>
        </w:rPr>
        <w:footnoteReference w:id="55"/>
      </w:r>
      <w:r w:rsidR="00853A2E" w:rsidRPr="000B352A">
        <w:rPr>
          <w:rFonts w:cs="Times New Roman"/>
          <w:color w:val="2D2D2D"/>
          <w:szCs w:val="28"/>
          <w:bdr w:val="none" w:sz="0" w:space="0" w:color="auto" w:frame="1"/>
          <w:lang w:val="es-ES"/>
        </w:rPr>
        <w:t>.</w:t>
      </w:r>
      <w:r w:rsidR="00B6738A" w:rsidRPr="000B352A">
        <w:rPr>
          <w:rFonts w:cs="Times New Roman"/>
          <w:color w:val="2D2D2D"/>
          <w:szCs w:val="28"/>
          <w:bdr w:val="none" w:sz="0" w:space="0" w:color="auto" w:frame="1"/>
          <w:lang w:val="es-ES"/>
        </w:rPr>
        <w:t xml:space="preserve"> Tal clasificación, además de</w:t>
      </w:r>
      <w:r w:rsidR="002D4BB0" w:rsidRPr="000B352A">
        <w:rPr>
          <w:rFonts w:cs="Times New Roman"/>
          <w:color w:val="2D2D2D"/>
          <w:szCs w:val="28"/>
          <w:bdr w:val="none" w:sz="0" w:space="0" w:color="auto" w:frame="1"/>
          <w:lang w:val="es-ES"/>
        </w:rPr>
        <w:t xml:space="preserve"> ser</w:t>
      </w:r>
      <w:r w:rsidR="00B6738A" w:rsidRPr="000B352A">
        <w:rPr>
          <w:rFonts w:cs="Times New Roman"/>
          <w:color w:val="2D2D2D"/>
          <w:szCs w:val="28"/>
          <w:bdr w:val="none" w:sz="0" w:space="0" w:color="auto" w:frame="1"/>
          <w:lang w:val="es-ES"/>
        </w:rPr>
        <w:t xml:space="preserve"> consecuente con lo que se prevé respecto de las obligaciones crediticias, comerciales y financieras que regula la Ley 1266 de 2008</w:t>
      </w:r>
      <w:r w:rsidR="00B6738A" w:rsidRPr="000B352A">
        <w:rPr>
          <w:rStyle w:val="Refdenotaalpie"/>
          <w:color w:val="2D2D2D"/>
          <w:szCs w:val="28"/>
          <w:bdr w:val="none" w:sz="0" w:space="0" w:color="auto" w:frame="1"/>
          <w:lang w:val="es-ES"/>
        </w:rPr>
        <w:footnoteReference w:id="56"/>
      </w:r>
      <w:r w:rsidR="00B6738A" w:rsidRPr="000B352A">
        <w:rPr>
          <w:rFonts w:cs="Times New Roman"/>
          <w:color w:val="2D2D2D"/>
          <w:szCs w:val="28"/>
          <w:bdr w:val="none" w:sz="0" w:space="0" w:color="auto" w:frame="1"/>
          <w:lang w:val="es-ES"/>
        </w:rPr>
        <w:t>, resulta coherente con lo que previó la Corte en Sentencia C-738 de 2002</w:t>
      </w:r>
      <w:r w:rsidR="00CD7C06" w:rsidRPr="000B352A">
        <w:rPr>
          <w:rFonts w:cs="Times New Roman"/>
          <w:color w:val="2D2D2D"/>
          <w:szCs w:val="28"/>
          <w:bdr w:val="none" w:sz="0" w:space="0" w:color="auto" w:frame="1"/>
          <w:lang w:val="es-ES"/>
        </w:rPr>
        <w:t xml:space="preserve"> (ver 2.1.2. -2.1.3. </w:t>
      </w:r>
      <w:r w:rsidR="00CD7C06" w:rsidRPr="000B352A">
        <w:rPr>
          <w:rFonts w:cs="Times New Roman"/>
          <w:i/>
          <w:color w:val="2D2D2D"/>
          <w:szCs w:val="28"/>
          <w:bdr w:val="none" w:sz="0" w:space="0" w:color="auto" w:frame="1"/>
          <w:lang w:val="es-ES"/>
        </w:rPr>
        <w:t>supra</w:t>
      </w:r>
      <w:r w:rsidR="00CD7C06" w:rsidRPr="000B352A">
        <w:rPr>
          <w:rFonts w:cs="Times New Roman"/>
          <w:color w:val="2D2D2D"/>
          <w:szCs w:val="28"/>
          <w:bdr w:val="none" w:sz="0" w:space="0" w:color="auto" w:frame="1"/>
          <w:lang w:val="es-ES"/>
        </w:rPr>
        <w:t>)</w:t>
      </w:r>
      <w:r w:rsidR="00B6738A" w:rsidRPr="000B352A">
        <w:rPr>
          <w:rFonts w:cs="Times New Roman"/>
          <w:color w:val="2D2D2D"/>
          <w:szCs w:val="28"/>
          <w:bdr w:val="none" w:sz="0" w:space="0" w:color="auto" w:frame="1"/>
          <w:lang w:val="es-ES"/>
        </w:rPr>
        <w:t xml:space="preserve"> pues</w:t>
      </w:r>
      <w:r w:rsidR="002538CB" w:rsidRPr="000B352A">
        <w:rPr>
          <w:rFonts w:cs="Times New Roman"/>
          <w:color w:val="2D2D2D"/>
          <w:szCs w:val="28"/>
          <w:bdr w:val="none" w:sz="0" w:space="0" w:color="auto" w:frame="1"/>
          <w:lang w:val="es-ES"/>
        </w:rPr>
        <w:t xml:space="preserve"> mal podría clasificarse como información reservada </w:t>
      </w:r>
      <w:r w:rsidR="006933D6" w:rsidRPr="000B352A">
        <w:rPr>
          <w:rFonts w:cs="Times New Roman"/>
          <w:color w:val="2D2D2D"/>
          <w:szCs w:val="28"/>
          <w:bdr w:val="none" w:sz="0" w:space="0" w:color="auto" w:frame="1"/>
          <w:lang w:val="es-ES"/>
        </w:rPr>
        <w:t xml:space="preserve">o privada una información cuya divulgación no vulnera </w:t>
      </w:r>
      <w:r w:rsidR="006933D6" w:rsidRPr="000B352A">
        <w:rPr>
          <w:rFonts w:cs="Times New Roman"/>
          <w:i/>
          <w:color w:val="2D2D2D"/>
          <w:szCs w:val="28"/>
          <w:bdr w:val="none" w:sz="0" w:space="0" w:color="auto" w:frame="1"/>
          <w:lang w:val="es-ES"/>
        </w:rPr>
        <w:t>per se</w:t>
      </w:r>
      <w:r w:rsidR="006933D6" w:rsidRPr="000B352A">
        <w:rPr>
          <w:rFonts w:cs="Times New Roman"/>
          <w:color w:val="2D2D2D"/>
          <w:szCs w:val="28"/>
          <w:bdr w:val="none" w:sz="0" w:space="0" w:color="auto" w:frame="1"/>
          <w:lang w:val="es-ES"/>
        </w:rPr>
        <w:t xml:space="preserve"> el derecho a la intimidad</w:t>
      </w:r>
      <w:r w:rsidR="001F5321" w:rsidRPr="000B352A">
        <w:rPr>
          <w:rStyle w:val="Refdenotaalpie"/>
          <w:color w:val="2D2D2D"/>
          <w:szCs w:val="28"/>
          <w:bdr w:val="none" w:sz="0" w:space="0" w:color="auto" w:frame="1"/>
          <w:lang w:val="es-ES"/>
        </w:rPr>
        <w:footnoteReference w:id="57"/>
      </w:r>
      <w:r w:rsidR="006933D6" w:rsidRPr="000B352A">
        <w:rPr>
          <w:rFonts w:cs="Times New Roman"/>
          <w:color w:val="2D2D2D"/>
          <w:szCs w:val="28"/>
          <w:bdr w:val="none" w:sz="0" w:space="0" w:color="auto" w:frame="1"/>
          <w:lang w:val="es-ES"/>
        </w:rPr>
        <w:t>.</w:t>
      </w:r>
    </w:p>
    <w:p w14:paraId="64E5A2F2" w14:textId="77777777" w:rsidR="00991FDE" w:rsidRPr="000B352A" w:rsidRDefault="00991FDE" w:rsidP="000B352A">
      <w:pPr>
        <w:pStyle w:val="Prrafodelista"/>
        <w:overflowPunct w:val="0"/>
        <w:autoSpaceDE w:val="0"/>
        <w:autoSpaceDN w:val="0"/>
        <w:adjustRightInd w:val="0"/>
        <w:ind w:left="0" w:right="49"/>
        <w:textAlignment w:val="center"/>
        <w:rPr>
          <w:rFonts w:cs="Times New Roman"/>
          <w:szCs w:val="28"/>
        </w:rPr>
      </w:pPr>
    </w:p>
    <w:p w14:paraId="64E5A2F3" w14:textId="77777777" w:rsidR="00991FDE" w:rsidRPr="000B352A" w:rsidRDefault="00A35980" w:rsidP="000B352A">
      <w:pPr>
        <w:pStyle w:val="Prrafodelista"/>
        <w:numPr>
          <w:ilvl w:val="3"/>
          <w:numId w:val="3"/>
        </w:numPr>
        <w:overflowPunct w:val="0"/>
        <w:autoSpaceDE w:val="0"/>
        <w:autoSpaceDN w:val="0"/>
        <w:adjustRightInd w:val="0"/>
        <w:ind w:left="0" w:right="49" w:firstLine="0"/>
        <w:textAlignment w:val="center"/>
        <w:rPr>
          <w:rFonts w:cs="Times New Roman"/>
          <w:szCs w:val="28"/>
        </w:rPr>
      </w:pPr>
      <w:r w:rsidRPr="000B352A">
        <w:rPr>
          <w:rFonts w:eastAsia="Times New Roman" w:cs="Times New Roman"/>
          <w:color w:val="2D2D2D"/>
          <w:kern w:val="0"/>
          <w:szCs w:val="28"/>
          <w:lang w:eastAsia="es-CO" w:bidi="ar-SA"/>
        </w:rPr>
        <w:t xml:space="preserve">Así las cosas, </w:t>
      </w:r>
      <w:r w:rsidR="00717966" w:rsidRPr="000B352A">
        <w:rPr>
          <w:rFonts w:eastAsia="Times New Roman" w:cs="Times New Roman"/>
          <w:color w:val="2D2D2D"/>
          <w:kern w:val="0"/>
          <w:szCs w:val="28"/>
          <w:lang w:eastAsia="es-CO" w:bidi="ar-SA"/>
        </w:rPr>
        <w:t>si por una parte</w:t>
      </w:r>
      <w:r w:rsidRPr="000B352A">
        <w:rPr>
          <w:rFonts w:eastAsia="Times New Roman" w:cs="Times New Roman"/>
          <w:color w:val="2D2D2D"/>
          <w:kern w:val="0"/>
          <w:szCs w:val="28"/>
          <w:lang w:eastAsia="es-CO" w:bidi="ar-SA"/>
        </w:rPr>
        <w:t xml:space="preserve"> </w:t>
      </w:r>
      <w:r w:rsidR="00174C1A" w:rsidRPr="000B352A">
        <w:rPr>
          <w:rFonts w:eastAsia="Times New Roman" w:cs="Times New Roman"/>
          <w:color w:val="2D2D2D"/>
          <w:kern w:val="0"/>
          <w:szCs w:val="28"/>
          <w:lang w:eastAsia="es-CO" w:bidi="ar-SA"/>
        </w:rPr>
        <w:t>mediante la Ley 675 de 2001 el Legislador busca la “</w:t>
      </w:r>
      <w:r w:rsidR="00174C1A" w:rsidRPr="000B352A">
        <w:rPr>
          <w:rFonts w:eastAsia="Times New Roman" w:cs="Times New Roman"/>
          <w:i/>
          <w:iCs/>
          <w:color w:val="000000"/>
          <w:szCs w:val="28"/>
          <w:bdr w:val="none" w:sz="0" w:space="0" w:color="auto" w:frame="1"/>
          <w:lang w:eastAsia="es-CO"/>
        </w:rPr>
        <w:t>obtención de un fin constitucional, a saber, “garantizar la seguridad y la convivencia pacífica en los inmuebles sometidos a ella, así como la función social de la propiedad”</w:t>
      </w:r>
      <w:r w:rsidR="00174C1A" w:rsidRPr="000B352A">
        <w:rPr>
          <w:rFonts w:eastAsia="Times New Roman" w:cs="Times New Roman"/>
          <w:b/>
          <w:i/>
          <w:iCs/>
          <w:color w:val="000000"/>
          <w:szCs w:val="28"/>
          <w:bdr w:val="none" w:sz="0" w:space="0" w:color="auto" w:frame="1"/>
          <w:lang w:eastAsia="es-CO"/>
        </w:rPr>
        <w:t xml:space="preserve"> </w:t>
      </w:r>
      <w:r w:rsidR="00174C1A" w:rsidRPr="000B352A">
        <w:rPr>
          <w:rFonts w:eastAsia="Times New Roman" w:cs="Times New Roman"/>
          <w:iCs/>
          <w:color w:val="000000"/>
          <w:szCs w:val="28"/>
          <w:bdr w:val="none" w:sz="0" w:space="0" w:color="auto" w:frame="1"/>
          <w:lang w:eastAsia="es-CO"/>
        </w:rPr>
        <w:t>(</w:t>
      </w:r>
      <w:r w:rsidR="002D4BB0" w:rsidRPr="000B352A">
        <w:rPr>
          <w:rFonts w:eastAsia="Times New Roman" w:cs="Times New Roman"/>
          <w:iCs/>
          <w:color w:val="000000"/>
          <w:szCs w:val="28"/>
          <w:bdr w:val="none" w:sz="0" w:space="0" w:color="auto" w:frame="1"/>
          <w:lang w:eastAsia="es-CO"/>
        </w:rPr>
        <w:t xml:space="preserve">ver </w:t>
      </w:r>
      <w:r w:rsidR="00174C1A" w:rsidRPr="000B352A">
        <w:rPr>
          <w:rFonts w:eastAsia="Times New Roman" w:cs="Times New Roman"/>
          <w:i/>
          <w:iCs/>
          <w:color w:val="000000"/>
          <w:szCs w:val="28"/>
          <w:bdr w:val="none" w:sz="0" w:space="0" w:color="auto" w:frame="1"/>
          <w:lang w:eastAsia="es-CO"/>
        </w:rPr>
        <w:t>supra</w:t>
      </w:r>
      <w:r w:rsidR="00174C1A" w:rsidRPr="000B352A">
        <w:rPr>
          <w:rFonts w:eastAsia="Times New Roman" w:cs="Times New Roman"/>
          <w:iCs/>
          <w:color w:val="000000"/>
          <w:szCs w:val="28"/>
          <w:bdr w:val="none" w:sz="0" w:space="0" w:color="auto" w:frame="1"/>
          <w:lang w:eastAsia="es-CO"/>
        </w:rPr>
        <w:t xml:space="preserve"> 1.2)</w:t>
      </w:r>
      <w:r w:rsidR="00717966" w:rsidRPr="000B352A">
        <w:rPr>
          <w:rFonts w:eastAsia="Times New Roman" w:cs="Times New Roman"/>
          <w:iCs/>
          <w:color w:val="000000"/>
          <w:szCs w:val="28"/>
          <w:bdr w:val="none" w:sz="0" w:space="0" w:color="auto" w:frame="1"/>
          <w:lang w:eastAsia="es-CO"/>
        </w:rPr>
        <w:t>; y por otra parte,</w:t>
      </w:r>
      <w:r w:rsidR="00882578" w:rsidRPr="000B352A">
        <w:rPr>
          <w:rFonts w:eastAsia="Times New Roman" w:cs="Times New Roman"/>
          <w:iCs/>
          <w:color w:val="000000"/>
          <w:szCs w:val="28"/>
          <w:bdr w:val="none" w:sz="0" w:space="0" w:color="auto" w:frame="1"/>
          <w:lang w:eastAsia="es-CO"/>
        </w:rPr>
        <w:t xml:space="preserve"> </w:t>
      </w:r>
      <w:r w:rsidR="00717966" w:rsidRPr="000B352A">
        <w:rPr>
          <w:rFonts w:eastAsia="Times New Roman" w:cs="Times New Roman"/>
          <w:iCs/>
          <w:color w:val="000000"/>
          <w:szCs w:val="28"/>
          <w:bdr w:val="none" w:sz="0" w:space="0" w:color="auto" w:frame="1"/>
          <w:lang w:eastAsia="es-CO"/>
        </w:rPr>
        <w:t xml:space="preserve">la información relativa al incumplimiento de las obligaciones pecuniarias </w:t>
      </w:r>
      <w:r w:rsidR="00530AA5" w:rsidRPr="000B352A">
        <w:rPr>
          <w:rFonts w:eastAsia="Times New Roman" w:cs="Times New Roman"/>
          <w:iCs/>
          <w:color w:val="000000"/>
          <w:szCs w:val="28"/>
          <w:bdr w:val="none" w:sz="0" w:space="0" w:color="auto" w:frame="1"/>
          <w:lang w:eastAsia="es-CO"/>
        </w:rPr>
        <w:t xml:space="preserve">a </w:t>
      </w:r>
      <w:r w:rsidR="00717966" w:rsidRPr="000B352A">
        <w:rPr>
          <w:rFonts w:eastAsia="Times New Roman" w:cs="Times New Roman"/>
          <w:iCs/>
          <w:color w:val="000000"/>
          <w:szCs w:val="28"/>
          <w:bdr w:val="none" w:sz="0" w:space="0" w:color="auto" w:frame="1"/>
          <w:lang w:eastAsia="es-CO"/>
        </w:rPr>
        <w:t xml:space="preserve">que alude </w:t>
      </w:r>
      <w:r w:rsidR="00530AA5" w:rsidRPr="000B352A">
        <w:rPr>
          <w:rFonts w:eastAsia="Times New Roman" w:cs="Times New Roman"/>
          <w:iCs/>
          <w:color w:val="000000"/>
          <w:szCs w:val="28"/>
          <w:bdr w:val="none" w:sz="0" w:space="0" w:color="auto" w:frame="1"/>
          <w:lang w:eastAsia="es-CO"/>
        </w:rPr>
        <w:t xml:space="preserve">el inciso </w:t>
      </w:r>
      <w:r w:rsidR="00874992" w:rsidRPr="000B352A">
        <w:rPr>
          <w:rFonts w:eastAsia="Times New Roman" w:cs="Times New Roman"/>
          <w:iCs/>
          <w:color w:val="000000"/>
          <w:szCs w:val="28"/>
          <w:bdr w:val="none" w:sz="0" w:space="0" w:color="auto" w:frame="1"/>
          <w:lang w:eastAsia="es-CO"/>
        </w:rPr>
        <w:t xml:space="preserve">2º del artículo 30 de la Ley 675 </w:t>
      </w:r>
      <w:r w:rsidR="00717966" w:rsidRPr="000B352A">
        <w:rPr>
          <w:rFonts w:eastAsia="Times New Roman" w:cs="Times New Roman"/>
          <w:iCs/>
          <w:color w:val="000000"/>
          <w:szCs w:val="28"/>
          <w:bdr w:val="none" w:sz="0" w:space="0" w:color="auto" w:frame="1"/>
          <w:lang w:eastAsia="es-CO"/>
        </w:rPr>
        <w:t xml:space="preserve">tiene el carácter de semiprivada, la divulgación de esta información no </w:t>
      </w:r>
      <w:r w:rsidR="00874992" w:rsidRPr="000B352A">
        <w:rPr>
          <w:rFonts w:eastAsia="Times New Roman" w:cs="Times New Roman"/>
          <w:iCs/>
          <w:color w:val="000000"/>
          <w:szCs w:val="28"/>
          <w:bdr w:val="none" w:sz="0" w:space="0" w:color="auto" w:frame="1"/>
          <w:lang w:eastAsia="es-CO"/>
        </w:rPr>
        <w:t xml:space="preserve">solo </w:t>
      </w:r>
      <w:r w:rsidR="00874992" w:rsidRPr="000B352A">
        <w:rPr>
          <w:rFonts w:eastAsia="Times New Roman" w:cs="Times New Roman"/>
          <w:iCs/>
          <w:color w:val="000000"/>
          <w:szCs w:val="28"/>
          <w:u w:val="single"/>
          <w:bdr w:val="none" w:sz="0" w:space="0" w:color="auto" w:frame="1"/>
          <w:lang w:eastAsia="es-CO"/>
        </w:rPr>
        <w:t>no</w:t>
      </w:r>
      <w:r w:rsidR="00874992" w:rsidRPr="000B352A">
        <w:rPr>
          <w:rFonts w:eastAsia="Times New Roman" w:cs="Times New Roman"/>
          <w:iCs/>
          <w:color w:val="000000"/>
          <w:szCs w:val="28"/>
          <w:bdr w:val="none" w:sz="0" w:space="0" w:color="auto" w:frame="1"/>
          <w:lang w:eastAsia="es-CO"/>
        </w:rPr>
        <w:t xml:space="preserve"> </w:t>
      </w:r>
      <w:r w:rsidR="00717966" w:rsidRPr="000B352A">
        <w:rPr>
          <w:rFonts w:eastAsia="Times New Roman" w:cs="Times New Roman"/>
          <w:iCs/>
          <w:color w:val="000000"/>
          <w:szCs w:val="28"/>
          <w:bdr w:val="none" w:sz="0" w:space="0" w:color="auto" w:frame="1"/>
          <w:lang w:eastAsia="es-CO"/>
        </w:rPr>
        <w:t>resulta violatoria del derecho fundamental al habeas data</w:t>
      </w:r>
      <w:r w:rsidR="00BF682C" w:rsidRPr="000B352A">
        <w:rPr>
          <w:rFonts w:eastAsia="Times New Roman" w:cs="Times New Roman"/>
          <w:iCs/>
          <w:color w:val="000000"/>
          <w:szCs w:val="28"/>
          <w:bdr w:val="none" w:sz="0" w:space="0" w:color="auto" w:frame="1"/>
          <w:lang w:eastAsia="es-CO"/>
        </w:rPr>
        <w:t xml:space="preserve">, </w:t>
      </w:r>
      <w:r w:rsidR="00874992" w:rsidRPr="000B352A">
        <w:rPr>
          <w:rFonts w:eastAsia="Times New Roman" w:cs="Times New Roman"/>
          <w:iCs/>
          <w:color w:val="000000"/>
          <w:szCs w:val="28"/>
          <w:bdr w:val="none" w:sz="0" w:space="0" w:color="auto" w:frame="1"/>
          <w:lang w:eastAsia="es-CO"/>
        </w:rPr>
        <w:t xml:space="preserve">sino que, por el contrario, se erige como el típico caso en que el derecho al habeas data financiero del deudor debe ceder ante la necesidad de defender el interés de los demás habitantes de la propiedad horizontal; todo ello con arreglo a lo que el </w:t>
      </w:r>
      <w:r w:rsidR="002D4BB0" w:rsidRPr="000B352A">
        <w:rPr>
          <w:rFonts w:eastAsia="Times New Roman" w:cs="Times New Roman"/>
          <w:iCs/>
          <w:color w:val="000000"/>
          <w:szCs w:val="28"/>
          <w:bdr w:val="none" w:sz="0" w:space="0" w:color="auto" w:frame="1"/>
          <w:lang w:eastAsia="es-CO"/>
        </w:rPr>
        <w:t>respectivo</w:t>
      </w:r>
      <w:r w:rsidR="00874992" w:rsidRPr="000B352A">
        <w:rPr>
          <w:rFonts w:eastAsia="Times New Roman" w:cs="Times New Roman"/>
          <w:iCs/>
          <w:color w:val="000000"/>
          <w:szCs w:val="28"/>
          <w:bdr w:val="none" w:sz="0" w:space="0" w:color="auto" w:frame="1"/>
          <w:lang w:eastAsia="es-CO"/>
        </w:rPr>
        <w:t xml:space="preserve"> inciso </w:t>
      </w:r>
      <w:r w:rsidR="002D4BB0" w:rsidRPr="000B352A">
        <w:rPr>
          <w:rFonts w:eastAsia="Times New Roman" w:cs="Times New Roman"/>
          <w:iCs/>
          <w:color w:val="000000"/>
          <w:szCs w:val="28"/>
          <w:bdr w:val="none" w:sz="0" w:space="0" w:color="auto" w:frame="1"/>
          <w:lang w:eastAsia="es-CO"/>
        </w:rPr>
        <w:t xml:space="preserve">legal </w:t>
      </w:r>
      <w:r w:rsidR="00874992" w:rsidRPr="000B352A">
        <w:rPr>
          <w:rFonts w:eastAsia="Times New Roman" w:cs="Times New Roman"/>
          <w:iCs/>
          <w:color w:val="000000"/>
          <w:szCs w:val="28"/>
          <w:bdr w:val="none" w:sz="0" w:space="0" w:color="auto" w:frame="1"/>
          <w:lang w:eastAsia="es-CO"/>
        </w:rPr>
        <w:t xml:space="preserve">demandado prevé en aparte que no fue </w:t>
      </w:r>
      <w:r w:rsidR="002D4BB0" w:rsidRPr="000B352A">
        <w:rPr>
          <w:rFonts w:eastAsia="Times New Roman" w:cs="Times New Roman"/>
          <w:iCs/>
          <w:color w:val="000000"/>
          <w:szCs w:val="28"/>
          <w:bdr w:val="none" w:sz="0" w:space="0" w:color="auto" w:frame="1"/>
          <w:lang w:eastAsia="es-CO"/>
        </w:rPr>
        <w:t>impugnado</w:t>
      </w:r>
      <w:r w:rsidR="00874992" w:rsidRPr="000B352A">
        <w:rPr>
          <w:rFonts w:eastAsia="Times New Roman" w:cs="Times New Roman"/>
          <w:iCs/>
          <w:color w:val="000000"/>
          <w:szCs w:val="28"/>
          <w:bdr w:val="none" w:sz="0" w:space="0" w:color="auto" w:frame="1"/>
          <w:lang w:eastAsia="es-CO"/>
        </w:rPr>
        <w:t xml:space="preserve">, </w:t>
      </w:r>
      <w:r w:rsidR="002D4BB0" w:rsidRPr="000B352A">
        <w:rPr>
          <w:rFonts w:eastAsia="Times New Roman" w:cs="Times New Roman"/>
          <w:iCs/>
          <w:color w:val="000000"/>
          <w:szCs w:val="28"/>
          <w:bdr w:val="none" w:sz="0" w:space="0" w:color="auto" w:frame="1"/>
          <w:lang w:eastAsia="es-CO"/>
        </w:rPr>
        <w:t>en donde se lee que, de todos modos,</w:t>
      </w:r>
      <w:r w:rsidR="00874992" w:rsidRPr="000B352A">
        <w:rPr>
          <w:rFonts w:eastAsia="Times New Roman" w:cs="Times New Roman"/>
          <w:i/>
          <w:iCs/>
          <w:color w:val="000000"/>
          <w:szCs w:val="28"/>
          <w:bdr w:val="none" w:sz="0" w:space="0" w:color="auto" w:frame="1"/>
          <w:lang w:eastAsia="es-CO"/>
        </w:rPr>
        <w:t>“(e)l acta de la asamblea incluirá los propietarios que se encuentren en mora”.</w:t>
      </w:r>
    </w:p>
    <w:p w14:paraId="64E5A2F4" w14:textId="77777777" w:rsidR="00CA5C86" w:rsidRPr="000B352A" w:rsidRDefault="00CA5C86" w:rsidP="000B352A">
      <w:pPr>
        <w:pStyle w:val="Prrafodelista"/>
        <w:rPr>
          <w:rFonts w:cs="Times New Roman"/>
          <w:szCs w:val="28"/>
        </w:rPr>
      </w:pPr>
    </w:p>
    <w:p w14:paraId="64E5A2F5" w14:textId="77777777" w:rsidR="00991FDE" w:rsidRPr="000B352A" w:rsidRDefault="00CA5C86" w:rsidP="000B352A">
      <w:pPr>
        <w:pStyle w:val="Prrafodelista"/>
        <w:numPr>
          <w:ilvl w:val="3"/>
          <w:numId w:val="3"/>
        </w:numPr>
        <w:overflowPunct w:val="0"/>
        <w:autoSpaceDE w:val="0"/>
        <w:autoSpaceDN w:val="0"/>
        <w:adjustRightInd w:val="0"/>
        <w:ind w:left="0" w:right="51" w:firstLine="0"/>
        <w:textAlignment w:val="center"/>
        <w:rPr>
          <w:rFonts w:cs="Times New Roman"/>
          <w:szCs w:val="28"/>
        </w:rPr>
      </w:pPr>
      <w:r w:rsidRPr="000B352A">
        <w:rPr>
          <w:rFonts w:cs="Times New Roman"/>
          <w:szCs w:val="28"/>
        </w:rPr>
        <w:t xml:space="preserve">Resulta </w:t>
      </w:r>
      <w:r w:rsidR="002D4BB0" w:rsidRPr="000B352A">
        <w:rPr>
          <w:rFonts w:cs="Times New Roman"/>
          <w:szCs w:val="28"/>
        </w:rPr>
        <w:t xml:space="preserve">además </w:t>
      </w:r>
      <w:r w:rsidRPr="000B352A">
        <w:rPr>
          <w:rFonts w:cs="Times New Roman"/>
          <w:szCs w:val="28"/>
        </w:rPr>
        <w:t xml:space="preserve">fundamental indicar que, si como se recordó en el numeral 2.1.1.2. </w:t>
      </w:r>
      <w:r w:rsidRPr="000B352A">
        <w:rPr>
          <w:rFonts w:cs="Times New Roman"/>
          <w:i/>
          <w:szCs w:val="28"/>
        </w:rPr>
        <w:t>supra</w:t>
      </w:r>
      <w:r w:rsidRPr="000B352A">
        <w:rPr>
          <w:rFonts w:cs="Times New Roman"/>
          <w:szCs w:val="28"/>
        </w:rPr>
        <w:t>, la finalidad legítima del tratamiento de los da</w:t>
      </w:r>
      <w:r w:rsidR="002D4BB0" w:rsidRPr="000B352A">
        <w:rPr>
          <w:rFonts w:cs="Times New Roman"/>
          <w:szCs w:val="28"/>
        </w:rPr>
        <w:t>t</w:t>
      </w:r>
      <w:r w:rsidRPr="000B352A">
        <w:rPr>
          <w:rFonts w:cs="Times New Roman"/>
          <w:szCs w:val="28"/>
        </w:rPr>
        <w:t xml:space="preserve">os financieros </w:t>
      </w:r>
      <w:r w:rsidRPr="000B352A">
        <w:rPr>
          <w:rFonts w:cs="Times New Roman"/>
          <w:iCs/>
          <w:color w:val="2D2D2D"/>
          <w:szCs w:val="28"/>
          <w:bdr w:val="none" w:sz="0" w:space="0" w:color="auto" w:frame="1"/>
        </w:rPr>
        <w:t>remite al</w:t>
      </w:r>
      <w:r w:rsidRPr="000B352A">
        <w:rPr>
          <w:rFonts w:cs="Times New Roman"/>
          <w:i/>
          <w:iCs/>
          <w:color w:val="2D2D2D"/>
          <w:szCs w:val="28"/>
          <w:bdr w:val="none" w:sz="0" w:space="0" w:color="auto" w:frame="1"/>
        </w:rPr>
        <w:t xml:space="preserve"> “</w:t>
      </w:r>
      <w:r w:rsidRPr="000B352A">
        <w:rPr>
          <w:rFonts w:cs="Times New Roman"/>
          <w:i/>
          <w:iCs/>
          <w:color w:val="2D2D2D"/>
          <w:szCs w:val="28"/>
          <w:bdr w:val="none" w:sz="0" w:space="0" w:color="auto" w:frame="1"/>
          <w:shd w:val="clear" w:color="auto" w:fill="FFFFFF"/>
        </w:rPr>
        <w:t>cálculo adecuado del riesgo financiero atribuible al sujeto concernido, esto con el fin de suministrar información a los agentes económicos para la toma de decisiones relativas a la celebración de contratos comerciales y de crédito con clientes potenciales.”</w:t>
      </w:r>
      <w:r w:rsidRPr="000B352A">
        <w:rPr>
          <w:rStyle w:val="Refdenotaalpie"/>
          <w:i/>
          <w:iCs/>
          <w:color w:val="2D2D2D"/>
          <w:szCs w:val="28"/>
          <w:bdr w:val="none" w:sz="0" w:space="0" w:color="auto" w:frame="1"/>
          <w:shd w:val="clear" w:color="auto" w:fill="FFFFFF"/>
        </w:rPr>
        <w:footnoteReference w:id="58"/>
      </w:r>
      <w:r w:rsidRPr="000B352A">
        <w:rPr>
          <w:rFonts w:cs="Times New Roman"/>
          <w:i/>
          <w:iCs/>
          <w:color w:val="2D2D2D"/>
          <w:szCs w:val="28"/>
          <w:bdr w:val="none" w:sz="0" w:space="0" w:color="auto" w:frame="1"/>
          <w:shd w:val="clear" w:color="auto" w:fill="FFFFFF"/>
        </w:rPr>
        <w:t xml:space="preserve">, </w:t>
      </w:r>
      <w:r w:rsidRPr="000B352A">
        <w:rPr>
          <w:rFonts w:cs="Times New Roman"/>
          <w:iCs/>
          <w:color w:val="2D2D2D"/>
          <w:szCs w:val="28"/>
          <w:bdr w:val="none" w:sz="0" w:space="0" w:color="auto" w:frame="1"/>
          <w:shd w:val="clear" w:color="auto" w:fill="FFFFFF"/>
        </w:rPr>
        <w:t>el dato semiprivado a que alude el</w:t>
      </w:r>
      <w:r w:rsidR="002D4BB0" w:rsidRPr="000B352A">
        <w:rPr>
          <w:rFonts w:cs="Times New Roman"/>
          <w:iCs/>
          <w:color w:val="2D2D2D"/>
          <w:szCs w:val="28"/>
          <w:bdr w:val="none" w:sz="0" w:space="0" w:color="auto" w:frame="1"/>
          <w:shd w:val="clear" w:color="auto" w:fill="FFFFFF"/>
        </w:rPr>
        <w:t xml:space="preserve"> inciso 2º del</w:t>
      </w:r>
      <w:r w:rsidRPr="000B352A">
        <w:rPr>
          <w:rFonts w:cs="Times New Roman"/>
          <w:iCs/>
          <w:color w:val="2D2D2D"/>
          <w:szCs w:val="28"/>
          <w:bdr w:val="none" w:sz="0" w:space="0" w:color="auto" w:frame="1"/>
          <w:shd w:val="clear" w:color="auto" w:fill="FFFFFF"/>
        </w:rPr>
        <w:t xml:space="preserve"> artículo 30 de la Ley 675 de 2001 no requiere de la autorización que de ordinario se </w:t>
      </w:r>
      <w:r w:rsidR="002D4BB0" w:rsidRPr="000B352A">
        <w:rPr>
          <w:rFonts w:cs="Times New Roman"/>
          <w:iCs/>
          <w:color w:val="2D2D2D"/>
          <w:szCs w:val="28"/>
          <w:bdr w:val="none" w:sz="0" w:space="0" w:color="auto" w:frame="1"/>
          <w:shd w:val="clear" w:color="auto" w:fill="FFFFFF"/>
        </w:rPr>
        <w:t>requeriría</w:t>
      </w:r>
      <w:r w:rsidRPr="000B352A">
        <w:rPr>
          <w:rFonts w:cs="Times New Roman"/>
          <w:iCs/>
          <w:color w:val="2D2D2D"/>
          <w:szCs w:val="28"/>
          <w:bdr w:val="none" w:sz="0" w:space="0" w:color="auto" w:frame="1"/>
          <w:shd w:val="clear" w:color="auto" w:fill="FFFFFF"/>
        </w:rPr>
        <w:t xml:space="preserve"> para la inclusión de dichos datos en bases de riesgo financiero. Esto, habida cuenta de que la publicación de los datos del caso al seno de una propiedad horizontal no tiene como propósito </w:t>
      </w:r>
      <w:r w:rsidR="002D4BB0" w:rsidRPr="000B352A">
        <w:rPr>
          <w:rFonts w:cs="Times New Roman"/>
          <w:iCs/>
          <w:color w:val="2D2D2D"/>
          <w:szCs w:val="28"/>
          <w:bdr w:val="none" w:sz="0" w:space="0" w:color="auto" w:frame="1"/>
          <w:shd w:val="clear" w:color="auto" w:fill="FFFFFF"/>
        </w:rPr>
        <w:t>ningún</w:t>
      </w:r>
      <w:r w:rsidRPr="000B352A">
        <w:rPr>
          <w:rFonts w:cs="Times New Roman"/>
          <w:iCs/>
          <w:color w:val="2D2D2D"/>
          <w:szCs w:val="28"/>
          <w:bdr w:val="none" w:sz="0" w:space="0" w:color="auto" w:frame="1"/>
          <w:shd w:val="clear" w:color="auto" w:fill="FFFFFF"/>
        </w:rPr>
        <w:t xml:space="preserve"> cálculo de riesgo financiero sino, por el contrario</w:t>
      </w:r>
      <w:r w:rsidR="00EB1A6E" w:rsidRPr="000B352A">
        <w:rPr>
          <w:rFonts w:cs="Times New Roman"/>
          <w:iCs/>
          <w:color w:val="2D2D2D"/>
          <w:szCs w:val="28"/>
          <w:bdr w:val="none" w:sz="0" w:space="0" w:color="auto" w:frame="1"/>
          <w:shd w:val="clear" w:color="auto" w:fill="FFFFFF"/>
        </w:rPr>
        <w:t>,</w:t>
      </w:r>
      <w:r w:rsidR="002D4BB0" w:rsidRPr="000B352A">
        <w:rPr>
          <w:rFonts w:cs="Times New Roman"/>
          <w:iCs/>
          <w:color w:val="2D2D2D"/>
          <w:szCs w:val="28"/>
          <w:bdr w:val="none" w:sz="0" w:space="0" w:color="auto" w:frame="1"/>
          <w:shd w:val="clear" w:color="auto" w:fill="FFFFFF"/>
        </w:rPr>
        <w:t xml:space="preserve"> busca</w:t>
      </w:r>
      <w:r w:rsidR="00EB1A6E" w:rsidRPr="000B352A">
        <w:rPr>
          <w:rFonts w:cs="Times New Roman"/>
          <w:iCs/>
          <w:color w:val="2D2D2D"/>
          <w:szCs w:val="28"/>
          <w:bdr w:val="none" w:sz="0" w:space="0" w:color="auto" w:frame="1"/>
          <w:shd w:val="clear" w:color="auto" w:fill="FFFFFF"/>
        </w:rPr>
        <w:t xml:space="preserve"> </w:t>
      </w:r>
      <w:r w:rsidR="003F1D17" w:rsidRPr="000B352A">
        <w:rPr>
          <w:rFonts w:cs="Times New Roman"/>
          <w:iCs/>
          <w:color w:val="2D2D2D"/>
          <w:szCs w:val="28"/>
          <w:bdr w:val="none" w:sz="0" w:space="0" w:color="auto" w:frame="1"/>
          <w:shd w:val="clear" w:color="auto" w:fill="FFFFFF"/>
        </w:rPr>
        <w:t>disuadir el incumplimiento de las obligaciones pecuniarias a través de la imposición de una sanción</w:t>
      </w:r>
      <w:r w:rsidR="003C12ED" w:rsidRPr="000B352A">
        <w:rPr>
          <w:rFonts w:cs="Times New Roman"/>
          <w:iCs/>
          <w:color w:val="2D2D2D"/>
          <w:szCs w:val="28"/>
          <w:bdr w:val="none" w:sz="0" w:space="0" w:color="auto" w:frame="1"/>
          <w:shd w:val="clear" w:color="auto" w:fill="FFFFFF"/>
        </w:rPr>
        <w:t xml:space="preserve"> y asegurar el cumplimiento de una obligación necesaria para</w:t>
      </w:r>
      <w:r w:rsidR="002D4BB0" w:rsidRPr="000B352A">
        <w:rPr>
          <w:rFonts w:cs="Times New Roman"/>
          <w:iCs/>
          <w:color w:val="2D2D2D"/>
          <w:szCs w:val="28"/>
          <w:bdr w:val="none" w:sz="0" w:space="0" w:color="auto" w:frame="1"/>
          <w:shd w:val="clear" w:color="auto" w:fill="FFFFFF"/>
        </w:rPr>
        <w:t xml:space="preserve"> alcanzar</w:t>
      </w:r>
      <w:r w:rsidR="003C12ED" w:rsidRPr="000B352A">
        <w:rPr>
          <w:rFonts w:cs="Times New Roman"/>
          <w:iCs/>
          <w:color w:val="2D2D2D"/>
          <w:szCs w:val="28"/>
          <w:bdr w:val="none" w:sz="0" w:space="0" w:color="auto" w:frame="1"/>
          <w:shd w:val="clear" w:color="auto" w:fill="FFFFFF"/>
        </w:rPr>
        <w:t xml:space="preserve"> los fines</w:t>
      </w:r>
      <w:r w:rsidR="002D4BB0" w:rsidRPr="000B352A">
        <w:rPr>
          <w:rFonts w:cs="Times New Roman"/>
          <w:iCs/>
          <w:color w:val="2D2D2D"/>
          <w:szCs w:val="28"/>
          <w:bdr w:val="none" w:sz="0" w:space="0" w:color="auto" w:frame="1"/>
          <w:shd w:val="clear" w:color="auto" w:fill="FFFFFF"/>
        </w:rPr>
        <w:t xml:space="preserve"> constitucionales</w:t>
      </w:r>
      <w:r w:rsidR="003C12ED" w:rsidRPr="000B352A">
        <w:rPr>
          <w:rFonts w:cs="Times New Roman"/>
          <w:iCs/>
          <w:color w:val="2D2D2D"/>
          <w:szCs w:val="28"/>
          <w:bdr w:val="none" w:sz="0" w:space="0" w:color="auto" w:frame="1"/>
          <w:shd w:val="clear" w:color="auto" w:fill="FFFFFF"/>
        </w:rPr>
        <w:t xml:space="preserve"> de la propiedad horizontal.</w:t>
      </w:r>
    </w:p>
    <w:p w14:paraId="64E5A2F6" w14:textId="77777777" w:rsidR="00CA5C86" w:rsidRPr="000B352A" w:rsidRDefault="00CA5C86" w:rsidP="000B352A">
      <w:pPr>
        <w:pStyle w:val="Prrafodelista"/>
        <w:overflowPunct w:val="0"/>
        <w:autoSpaceDE w:val="0"/>
        <w:autoSpaceDN w:val="0"/>
        <w:adjustRightInd w:val="0"/>
        <w:ind w:left="0" w:right="51"/>
        <w:textAlignment w:val="center"/>
        <w:rPr>
          <w:rFonts w:cs="Times New Roman"/>
          <w:szCs w:val="28"/>
        </w:rPr>
      </w:pPr>
    </w:p>
    <w:p w14:paraId="64E5A2F7" w14:textId="77777777" w:rsidR="00991FDE" w:rsidRPr="000B352A" w:rsidRDefault="00874992" w:rsidP="000B352A">
      <w:pPr>
        <w:pStyle w:val="Prrafodelista"/>
        <w:numPr>
          <w:ilvl w:val="3"/>
          <w:numId w:val="3"/>
        </w:numPr>
        <w:overflowPunct w:val="0"/>
        <w:autoSpaceDE w:val="0"/>
        <w:autoSpaceDN w:val="0"/>
        <w:adjustRightInd w:val="0"/>
        <w:ind w:left="0" w:right="51" w:firstLine="0"/>
        <w:textAlignment w:val="center"/>
        <w:rPr>
          <w:rFonts w:cs="Times New Roman"/>
          <w:b/>
          <w:szCs w:val="28"/>
        </w:rPr>
      </w:pPr>
      <w:r w:rsidRPr="000B352A">
        <w:rPr>
          <w:rFonts w:cs="Times New Roman"/>
          <w:szCs w:val="28"/>
        </w:rPr>
        <w:t xml:space="preserve">No sobra precisar, por supuesto, que la prevalencia de los principios de finalidad y necesidad sobre el principio de libertad en el caso concreto, no se opone en modo alguno a que el deudor de las obligaciones pecuniarias a que hace referencia el artículo 30 de la Ley 675 ejerza sus derechos </w:t>
      </w:r>
      <w:r w:rsidR="00991FDE" w:rsidRPr="000B352A">
        <w:rPr>
          <w:rFonts w:cs="Times New Roman"/>
          <w:szCs w:val="28"/>
        </w:rPr>
        <w:t xml:space="preserve">de contradicción, </w:t>
      </w:r>
      <w:r w:rsidRPr="000B352A">
        <w:rPr>
          <w:rFonts w:cs="Times New Roman"/>
          <w:color w:val="000000"/>
          <w:szCs w:val="28"/>
          <w:bdr w:val="none" w:sz="0" w:space="0" w:color="auto" w:frame="1"/>
        </w:rPr>
        <w:t>rectificación y</w:t>
      </w:r>
      <w:r w:rsidR="00991FDE" w:rsidRPr="000B352A">
        <w:rPr>
          <w:rFonts w:cs="Times New Roman"/>
          <w:color w:val="000000"/>
          <w:szCs w:val="28"/>
          <w:bdr w:val="none" w:sz="0" w:space="0" w:color="auto" w:frame="1"/>
        </w:rPr>
        <w:t>/o</w:t>
      </w:r>
      <w:r w:rsidRPr="000B352A">
        <w:rPr>
          <w:rFonts w:cs="Times New Roman"/>
          <w:color w:val="000000"/>
          <w:szCs w:val="28"/>
          <w:bdr w:val="none" w:sz="0" w:space="0" w:color="auto" w:frame="1"/>
        </w:rPr>
        <w:t xml:space="preserve"> actualización durante las diversas etapas de</w:t>
      </w:r>
      <w:r w:rsidR="00991FDE" w:rsidRPr="000B352A">
        <w:rPr>
          <w:rFonts w:cs="Times New Roman"/>
          <w:color w:val="000000"/>
          <w:szCs w:val="28"/>
          <w:bdr w:val="none" w:sz="0" w:space="0" w:color="auto" w:frame="1"/>
        </w:rPr>
        <w:t>l proceso que debe necesariamente agotarse con anterioridad a la imposición de cualquier sanción y que resultan esenciales</w:t>
      </w:r>
      <w:r w:rsidRPr="000B352A">
        <w:rPr>
          <w:rFonts w:cs="Times New Roman"/>
          <w:color w:val="000000"/>
          <w:szCs w:val="28"/>
          <w:bdr w:val="none" w:sz="0" w:space="0" w:color="auto" w:frame="1"/>
        </w:rPr>
        <w:t xml:space="preserve"> para salvaguardar </w:t>
      </w:r>
      <w:r w:rsidR="00991FDE" w:rsidRPr="000B352A">
        <w:rPr>
          <w:rFonts w:cs="Times New Roman"/>
          <w:color w:val="000000"/>
          <w:szCs w:val="28"/>
          <w:bdr w:val="none" w:sz="0" w:space="0" w:color="auto" w:frame="1"/>
        </w:rPr>
        <w:t>sus</w:t>
      </w:r>
      <w:r w:rsidRPr="000B352A">
        <w:rPr>
          <w:rFonts w:cs="Times New Roman"/>
          <w:color w:val="000000"/>
          <w:szCs w:val="28"/>
          <w:bdr w:val="none" w:sz="0" w:space="0" w:color="auto" w:frame="1"/>
        </w:rPr>
        <w:t xml:space="preserve"> derechos a la intimidad y al buen nombre.</w:t>
      </w:r>
      <w:r w:rsidR="003F1D17" w:rsidRPr="000B352A">
        <w:rPr>
          <w:rFonts w:cs="Times New Roman"/>
          <w:color w:val="000000"/>
          <w:szCs w:val="28"/>
          <w:bdr w:val="none" w:sz="0" w:space="0" w:color="auto" w:frame="1"/>
        </w:rPr>
        <w:t xml:space="preserve"> </w:t>
      </w:r>
    </w:p>
    <w:p w14:paraId="64E5A2F8" w14:textId="77777777" w:rsidR="00DF1700" w:rsidRPr="000B352A" w:rsidRDefault="00DF1700" w:rsidP="000B352A">
      <w:pPr>
        <w:pStyle w:val="Prrafodelista"/>
        <w:overflowPunct w:val="0"/>
        <w:autoSpaceDE w:val="0"/>
        <w:autoSpaceDN w:val="0"/>
        <w:adjustRightInd w:val="0"/>
        <w:ind w:left="0" w:right="51"/>
        <w:textAlignment w:val="center"/>
        <w:rPr>
          <w:rFonts w:cs="Times New Roman"/>
          <w:b/>
          <w:szCs w:val="28"/>
        </w:rPr>
      </w:pPr>
    </w:p>
    <w:p w14:paraId="64E5A2F9" w14:textId="77777777" w:rsidR="00991FDE" w:rsidRPr="000B352A" w:rsidRDefault="00991FDE" w:rsidP="000B352A">
      <w:pPr>
        <w:pStyle w:val="Prrafodelista"/>
        <w:shd w:val="clear" w:color="auto" w:fill="FFFFFF"/>
        <w:overflowPunct w:val="0"/>
        <w:autoSpaceDE w:val="0"/>
        <w:autoSpaceDN w:val="0"/>
        <w:adjustRightInd w:val="0"/>
        <w:ind w:left="0" w:right="49"/>
        <w:textAlignment w:val="baseline"/>
        <w:rPr>
          <w:rFonts w:cs="Times New Roman"/>
          <w:szCs w:val="28"/>
        </w:rPr>
      </w:pPr>
      <w:r w:rsidRPr="000B352A">
        <w:rPr>
          <w:rFonts w:cs="Times New Roman"/>
          <w:szCs w:val="28"/>
        </w:rPr>
        <w:t xml:space="preserve">La Corte considera que lo anteriormente expuesto es suficiente para que se declare la exequibilidad del aparte legal demandado del inciso 2º del artículo 30 de la Ley 675 de 2001.  </w:t>
      </w:r>
    </w:p>
    <w:p w14:paraId="64E5A2FA" w14:textId="77777777" w:rsidR="00991FDE" w:rsidRPr="000B352A" w:rsidRDefault="00991FDE" w:rsidP="000B352A">
      <w:pPr>
        <w:pStyle w:val="Prrafodelista"/>
        <w:shd w:val="clear" w:color="auto" w:fill="FFFFFF"/>
        <w:overflowPunct w:val="0"/>
        <w:autoSpaceDE w:val="0"/>
        <w:autoSpaceDN w:val="0"/>
        <w:adjustRightInd w:val="0"/>
        <w:ind w:left="0" w:right="49"/>
        <w:textAlignment w:val="baseline"/>
        <w:rPr>
          <w:rFonts w:cs="Times New Roman"/>
          <w:b/>
          <w:szCs w:val="28"/>
        </w:rPr>
      </w:pPr>
    </w:p>
    <w:p w14:paraId="64E5A2FB" w14:textId="77777777" w:rsidR="00991FDE" w:rsidRPr="000B352A" w:rsidRDefault="00991FDE" w:rsidP="000B352A">
      <w:pPr>
        <w:pStyle w:val="Prrafodelista"/>
        <w:numPr>
          <w:ilvl w:val="2"/>
          <w:numId w:val="3"/>
        </w:numPr>
        <w:ind w:left="0" w:firstLine="0"/>
        <w:rPr>
          <w:rFonts w:cs="Times New Roman"/>
          <w:iCs/>
          <w:szCs w:val="28"/>
          <w:u w:val="single"/>
          <w:lang w:val="es-ES_tradnl" w:eastAsia="es-ES_tradnl"/>
        </w:rPr>
      </w:pPr>
      <w:r w:rsidRPr="000B352A">
        <w:rPr>
          <w:rFonts w:cs="Times New Roman"/>
          <w:iCs/>
          <w:szCs w:val="28"/>
          <w:u w:val="single"/>
          <w:lang w:val="es-ES_tradnl" w:eastAsia="es-ES_tradnl"/>
        </w:rPr>
        <w:t xml:space="preserve">El cargo contra el numeral 1º del artículo </w:t>
      </w:r>
      <w:r w:rsidR="00450CCD" w:rsidRPr="000B352A">
        <w:rPr>
          <w:rFonts w:cs="Times New Roman"/>
          <w:iCs/>
          <w:szCs w:val="28"/>
          <w:u w:val="single"/>
          <w:lang w:val="es-ES_tradnl" w:eastAsia="es-ES_tradnl"/>
        </w:rPr>
        <w:t>59</w:t>
      </w:r>
      <w:r w:rsidRPr="000B352A">
        <w:rPr>
          <w:rFonts w:cs="Times New Roman"/>
          <w:iCs/>
          <w:szCs w:val="28"/>
          <w:u w:val="single"/>
          <w:lang w:val="es-ES_tradnl" w:eastAsia="es-ES_tradnl"/>
        </w:rPr>
        <w:t xml:space="preserve"> de la Ley 675 de 2001</w:t>
      </w:r>
    </w:p>
    <w:p w14:paraId="64E5A2FC" w14:textId="77777777" w:rsidR="001A0127" w:rsidRPr="000B352A" w:rsidRDefault="001A0127" w:rsidP="000B352A">
      <w:pPr>
        <w:pStyle w:val="Prrafodelista"/>
        <w:ind w:left="0"/>
        <w:rPr>
          <w:rFonts w:cs="Times New Roman"/>
          <w:szCs w:val="28"/>
        </w:rPr>
      </w:pPr>
    </w:p>
    <w:p w14:paraId="64E5A2FD" w14:textId="77777777" w:rsidR="00991FDE" w:rsidRPr="000B352A" w:rsidRDefault="00190630" w:rsidP="000B352A">
      <w:pPr>
        <w:pStyle w:val="Prrafodelista"/>
        <w:numPr>
          <w:ilvl w:val="3"/>
          <w:numId w:val="3"/>
        </w:numPr>
        <w:ind w:left="0" w:hanging="22"/>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Frente</w:t>
      </w:r>
      <w:r w:rsidR="00092074" w:rsidRPr="000B352A">
        <w:rPr>
          <w:rStyle w:val="FontStyle305"/>
          <w:rFonts w:ascii="Times New Roman" w:hAnsi="Times New Roman" w:cs="Times New Roman"/>
          <w:i w:val="0"/>
          <w:sz w:val="28"/>
          <w:szCs w:val="28"/>
          <w:lang w:val="es-ES_tradnl" w:eastAsia="es-ES_tradnl"/>
        </w:rPr>
        <w:t xml:space="preserve"> del numeral 1º del artículo 59 de la </w:t>
      </w:r>
      <w:r w:rsidR="001A0127" w:rsidRPr="000B352A">
        <w:rPr>
          <w:rStyle w:val="FontStyle305"/>
          <w:rFonts w:ascii="Times New Roman" w:hAnsi="Times New Roman" w:cs="Times New Roman"/>
          <w:i w:val="0"/>
          <w:sz w:val="28"/>
          <w:szCs w:val="28"/>
          <w:lang w:val="es-ES_tradnl" w:eastAsia="es-ES_tradnl"/>
        </w:rPr>
        <w:t>Ley 675 de 2001</w:t>
      </w:r>
      <w:r w:rsidR="00092074" w:rsidRPr="000B352A">
        <w:rPr>
          <w:rStyle w:val="FontStyle305"/>
          <w:rFonts w:ascii="Times New Roman" w:hAnsi="Times New Roman" w:cs="Times New Roman"/>
          <w:i w:val="0"/>
          <w:sz w:val="28"/>
          <w:szCs w:val="28"/>
          <w:lang w:val="es-ES_tradnl" w:eastAsia="es-ES_tradnl"/>
        </w:rPr>
        <w:t xml:space="preserve"> las demandantes afirman </w:t>
      </w:r>
      <w:r w:rsidRPr="000B352A">
        <w:rPr>
          <w:rStyle w:val="FontStyle305"/>
          <w:rFonts w:ascii="Times New Roman" w:hAnsi="Times New Roman" w:cs="Times New Roman"/>
          <w:i w:val="0"/>
          <w:sz w:val="28"/>
          <w:szCs w:val="28"/>
          <w:lang w:val="es-ES_tradnl" w:eastAsia="es-ES_tradnl"/>
        </w:rPr>
        <w:t xml:space="preserve">que </w:t>
      </w:r>
      <w:r w:rsidR="00092074" w:rsidRPr="000B352A">
        <w:rPr>
          <w:rStyle w:val="FontStyle305"/>
          <w:rFonts w:ascii="Times New Roman" w:hAnsi="Times New Roman" w:cs="Times New Roman"/>
          <w:i w:val="0"/>
          <w:sz w:val="28"/>
          <w:szCs w:val="28"/>
          <w:lang w:val="es-ES_tradnl" w:eastAsia="es-ES_tradnl"/>
        </w:rPr>
        <w:t>el derecho al habeas data</w:t>
      </w:r>
      <w:r w:rsidR="00511198" w:rsidRPr="000B352A">
        <w:rPr>
          <w:rStyle w:val="FontStyle305"/>
          <w:rFonts w:ascii="Times New Roman" w:hAnsi="Times New Roman" w:cs="Times New Roman"/>
          <w:i w:val="0"/>
          <w:sz w:val="28"/>
          <w:szCs w:val="28"/>
          <w:lang w:val="es-ES_tradnl" w:eastAsia="es-ES_tradnl"/>
        </w:rPr>
        <w:t xml:space="preserve"> se ve vulnerado</w:t>
      </w:r>
      <w:r w:rsidR="00092074" w:rsidRPr="000B352A">
        <w:rPr>
          <w:rStyle w:val="FontStyle305"/>
          <w:rFonts w:ascii="Times New Roman" w:hAnsi="Times New Roman" w:cs="Times New Roman"/>
          <w:i w:val="0"/>
          <w:sz w:val="28"/>
          <w:szCs w:val="28"/>
          <w:lang w:val="es-ES_tradnl" w:eastAsia="es-ES_tradnl"/>
        </w:rPr>
        <w:t xml:space="preserve"> </w:t>
      </w:r>
      <w:r w:rsidR="00511198" w:rsidRPr="000B352A">
        <w:rPr>
          <w:rStyle w:val="FontStyle305"/>
          <w:rFonts w:ascii="Times New Roman" w:hAnsi="Times New Roman" w:cs="Times New Roman"/>
          <w:i w:val="0"/>
          <w:sz w:val="28"/>
          <w:szCs w:val="28"/>
          <w:lang w:val="es-ES_tradnl" w:eastAsia="es-ES_tradnl"/>
        </w:rPr>
        <w:t xml:space="preserve">pues, tras considerar que </w:t>
      </w:r>
      <w:r w:rsidR="00511198" w:rsidRPr="000B352A">
        <w:rPr>
          <w:rStyle w:val="FontStyle305"/>
          <w:rFonts w:ascii="Times New Roman" w:hAnsi="Times New Roman" w:cs="Times New Roman"/>
          <w:sz w:val="28"/>
          <w:szCs w:val="28"/>
          <w:lang w:val="es-ES_tradnl" w:eastAsia="es-ES_tradnl"/>
        </w:rPr>
        <w:t>“existe un abanico casi infinito de posibilidades por las cuale</w:t>
      </w:r>
      <w:r w:rsidR="00F044C3" w:rsidRPr="000B352A">
        <w:rPr>
          <w:rStyle w:val="FontStyle305"/>
          <w:rFonts w:ascii="Times New Roman" w:hAnsi="Times New Roman" w:cs="Times New Roman"/>
          <w:sz w:val="28"/>
          <w:szCs w:val="28"/>
          <w:lang w:val="es-ES_tradnl" w:eastAsia="es-ES_tradnl"/>
        </w:rPr>
        <w:t>s</w:t>
      </w:r>
      <w:r w:rsidR="00511198" w:rsidRPr="000B352A">
        <w:rPr>
          <w:rStyle w:val="FontStyle305"/>
          <w:rFonts w:ascii="Times New Roman" w:hAnsi="Times New Roman" w:cs="Times New Roman"/>
          <w:sz w:val="28"/>
          <w:szCs w:val="28"/>
          <w:lang w:val="es-ES_tradnl" w:eastAsia="es-ES_tradnl"/>
        </w:rPr>
        <w:t xml:space="preserve"> se pueda</w:t>
      </w:r>
      <w:r w:rsidR="00F044C3" w:rsidRPr="000B352A">
        <w:rPr>
          <w:rStyle w:val="FontStyle305"/>
          <w:rFonts w:ascii="Times New Roman" w:hAnsi="Times New Roman" w:cs="Times New Roman"/>
          <w:sz w:val="28"/>
          <w:szCs w:val="28"/>
          <w:lang w:val="es-ES_tradnl" w:eastAsia="es-ES_tradnl"/>
        </w:rPr>
        <w:t>n</w:t>
      </w:r>
      <w:r w:rsidR="00511198" w:rsidRPr="000B352A">
        <w:rPr>
          <w:rStyle w:val="FontStyle305"/>
          <w:rFonts w:ascii="Times New Roman" w:hAnsi="Times New Roman" w:cs="Times New Roman"/>
          <w:sz w:val="28"/>
          <w:szCs w:val="28"/>
          <w:lang w:val="es-ES_tradnl" w:eastAsia="es-ES_tradnl"/>
        </w:rPr>
        <w:t xml:space="preserve"> incumplir las normas que regulan la p</w:t>
      </w:r>
      <w:r w:rsidR="00F044C3" w:rsidRPr="000B352A">
        <w:rPr>
          <w:rStyle w:val="FontStyle305"/>
          <w:rFonts w:ascii="Times New Roman" w:hAnsi="Times New Roman" w:cs="Times New Roman"/>
          <w:sz w:val="28"/>
          <w:szCs w:val="28"/>
          <w:lang w:val="es-ES_tradnl" w:eastAsia="es-ES_tradnl"/>
        </w:rPr>
        <w:t>ropiedad horizontal”</w:t>
      </w:r>
      <w:r w:rsidR="00F044C3" w:rsidRPr="000B352A">
        <w:rPr>
          <w:rStyle w:val="FontStyle305"/>
          <w:rFonts w:ascii="Times New Roman" w:hAnsi="Times New Roman" w:cs="Times New Roman"/>
          <w:i w:val="0"/>
          <w:sz w:val="28"/>
          <w:szCs w:val="28"/>
          <w:lang w:val="es-ES_tradnl" w:eastAsia="es-ES_tradnl"/>
        </w:rPr>
        <w:t xml:space="preserve">, </w:t>
      </w:r>
      <w:r w:rsidRPr="000B352A">
        <w:rPr>
          <w:rStyle w:val="FontStyle305"/>
          <w:rFonts w:ascii="Times New Roman" w:hAnsi="Times New Roman" w:cs="Times New Roman"/>
          <w:i w:val="0"/>
          <w:sz w:val="28"/>
          <w:szCs w:val="28"/>
          <w:lang w:val="es-ES_tradnl" w:eastAsia="es-ES_tradnl"/>
        </w:rPr>
        <w:t>l</w:t>
      </w:r>
      <w:r w:rsidR="00F044C3" w:rsidRPr="000B352A">
        <w:rPr>
          <w:rStyle w:val="FontStyle305"/>
          <w:rFonts w:ascii="Times New Roman" w:hAnsi="Times New Roman" w:cs="Times New Roman"/>
          <w:i w:val="0"/>
          <w:sz w:val="28"/>
          <w:szCs w:val="28"/>
          <w:lang w:val="es-ES_tradnl" w:eastAsia="es-ES_tradnl"/>
        </w:rPr>
        <w:t>a norma</w:t>
      </w:r>
      <w:r w:rsidR="00092074" w:rsidRPr="000B352A">
        <w:rPr>
          <w:rStyle w:val="FontStyle305"/>
          <w:rFonts w:ascii="Times New Roman" w:hAnsi="Times New Roman" w:cs="Times New Roman"/>
          <w:i w:val="0"/>
          <w:sz w:val="28"/>
          <w:szCs w:val="28"/>
          <w:lang w:val="es-ES_tradnl" w:eastAsia="es-ES_tradnl"/>
        </w:rPr>
        <w:t xml:space="preserve"> autoriza</w:t>
      </w:r>
      <w:r w:rsidRPr="000B352A">
        <w:rPr>
          <w:rStyle w:val="FontStyle305"/>
          <w:rFonts w:ascii="Times New Roman" w:hAnsi="Times New Roman" w:cs="Times New Roman"/>
          <w:i w:val="0"/>
          <w:sz w:val="28"/>
          <w:szCs w:val="28"/>
          <w:lang w:val="es-ES_tradnl" w:eastAsia="es-ES_tradnl"/>
        </w:rPr>
        <w:t xml:space="preserve"> la publicación del</w:t>
      </w:r>
      <w:r w:rsidR="00092074" w:rsidRPr="000B352A">
        <w:rPr>
          <w:rStyle w:val="FontStyle305"/>
          <w:rFonts w:ascii="Times New Roman" w:hAnsi="Times New Roman" w:cs="Times New Roman"/>
          <w:i w:val="0"/>
          <w:sz w:val="28"/>
          <w:szCs w:val="28"/>
          <w:lang w:val="es-ES_tradnl" w:eastAsia="es-ES_tradnl"/>
        </w:rPr>
        <w:t xml:space="preserve"> hecho puntual y expreso que originó el incumplimiento de la obligación no pecuniaria, </w:t>
      </w:r>
      <w:r w:rsidR="00092074" w:rsidRPr="000B352A">
        <w:rPr>
          <w:rStyle w:val="FontStyle305"/>
          <w:rFonts w:ascii="Times New Roman" w:hAnsi="Times New Roman" w:cs="Times New Roman"/>
          <w:sz w:val="28"/>
          <w:szCs w:val="28"/>
          <w:lang w:val="es-ES_tradnl" w:eastAsia="es-ES_tradnl"/>
        </w:rPr>
        <w:t>“sin consideración alguna de qué tipo de datos se reflejan allí”</w:t>
      </w:r>
      <w:r w:rsidR="00092074" w:rsidRPr="000B352A">
        <w:rPr>
          <w:rStyle w:val="FontStyle305"/>
          <w:rFonts w:ascii="Times New Roman" w:hAnsi="Times New Roman" w:cs="Times New Roman"/>
          <w:i w:val="0"/>
          <w:sz w:val="28"/>
          <w:szCs w:val="28"/>
          <w:lang w:val="es-ES_tradnl" w:eastAsia="es-ES_tradnl"/>
        </w:rPr>
        <w:t xml:space="preserve"> y sin contar</w:t>
      </w:r>
      <w:r w:rsidRPr="000B352A">
        <w:rPr>
          <w:rStyle w:val="FontStyle305"/>
          <w:rFonts w:ascii="Times New Roman" w:hAnsi="Times New Roman" w:cs="Times New Roman"/>
          <w:i w:val="0"/>
          <w:sz w:val="28"/>
          <w:szCs w:val="28"/>
          <w:lang w:val="es-ES_tradnl" w:eastAsia="es-ES_tradnl"/>
        </w:rPr>
        <w:t xml:space="preserve"> para ello</w:t>
      </w:r>
      <w:r w:rsidR="00092074" w:rsidRPr="000B352A">
        <w:rPr>
          <w:rStyle w:val="FontStyle305"/>
          <w:rFonts w:ascii="Times New Roman" w:hAnsi="Times New Roman" w:cs="Times New Roman"/>
          <w:i w:val="0"/>
          <w:sz w:val="28"/>
          <w:szCs w:val="28"/>
          <w:lang w:val="es-ES_tradnl" w:eastAsia="es-ES_tradnl"/>
        </w:rPr>
        <w:t xml:space="preserve"> con la autorización de su titular. </w:t>
      </w:r>
      <w:r w:rsidR="00F044C3" w:rsidRPr="000B352A">
        <w:rPr>
          <w:rStyle w:val="FontStyle305"/>
          <w:rFonts w:ascii="Times New Roman" w:hAnsi="Times New Roman" w:cs="Times New Roman"/>
          <w:i w:val="0"/>
          <w:sz w:val="28"/>
          <w:szCs w:val="28"/>
          <w:lang w:val="es-ES_tradnl" w:eastAsia="es-ES_tradnl"/>
        </w:rPr>
        <w:t>Señalan</w:t>
      </w:r>
      <w:r w:rsidRPr="000B352A">
        <w:rPr>
          <w:rStyle w:val="FontStyle305"/>
          <w:rFonts w:ascii="Times New Roman" w:hAnsi="Times New Roman" w:cs="Times New Roman"/>
          <w:i w:val="0"/>
          <w:sz w:val="28"/>
          <w:szCs w:val="28"/>
          <w:lang w:val="es-ES_tradnl" w:eastAsia="es-ES_tradnl"/>
        </w:rPr>
        <w:t>, además,</w:t>
      </w:r>
      <w:r w:rsidR="00F044C3" w:rsidRPr="000B352A">
        <w:rPr>
          <w:rStyle w:val="FontStyle305"/>
          <w:rFonts w:ascii="Times New Roman" w:hAnsi="Times New Roman" w:cs="Times New Roman"/>
          <w:i w:val="0"/>
          <w:sz w:val="28"/>
          <w:szCs w:val="28"/>
          <w:lang w:val="es-ES_tradnl" w:eastAsia="es-ES_tradnl"/>
        </w:rPr>
        <w:t xml:space="preserve"> que </w:t>
      </w:r>
      <w:r w:rsidR="00F044C3" w:rsidRPr="000B352A">
        <w:rPr>
          <w:rStyle w:val="FontStyle305"/>
          <w:rFonts w:ascii="Times New Roman" w:hAnsi="Times New Roman" w:cs="Times New Roman"/>
          <w:sz w:val="28"/>
          <w:szCs w:val="28"/>
          <w:lang w:val="es-ES_tradnl" w:eastAsia="es-ES_tradnl"/>
        </w:rPr>
        <w:t xml:space="preserve">“los hechos o comportamientos que causan el incumplimiento de las obligaciones no pecuniarias [no pertenecen] a uno de los cinco casos del artículo 10 de la Ley 1581 que excepcionan la necesidad de una autorización previa”. </w:t>
      </w:r>
      <w:r w:rsidRPr="000B352A">
        <w:rPr>
          <w:rStyle w:val="FontStyle305"/>
          <w:rFonts w:ascii="Times New Roman" w:hAnsi="Times New Roman" w:cs="Times New Roman"/>
          <w:i w:val="0"/>
          <w:sz w:val="28"/>
          <w:szCs w:val="28"/>
          <w:lang w:val="es-ES_tradnl" w:eastAsia="es-ES_tradnl"/>
        </w:rPr>
        <w:t>F</w:t>
      </w:r>
      <w:r w:rsidR="00F044C3" w:rsidRPr="000B352A">
        <w:rPr>
          <w:rStyle w:val="FontStyle305"/>
          <w:rFonts w:ascii="Times New Roman" w:hAnsi="Times New Roman" w:cs="Times New Roman"/>
          <w:i w:val="0"/>
          <w:sz w:val="28"/>
          <w:szCs w:val="28"/>
          <w:lang w:val="es-ES_tradnl" w:eastAsia="es-ES_tradnl"/>
        </w:rPr>
        <w:t>inalizan indicando que el que la publicación del caso se haga en lugares de amplia circulación permite que esta sea conocida por personas ajenas a la propiedad horizontal.</w:t>
      </w:r>
    </w:p>
    <w:p w14:paraId="64E5A2FE" w14:textId="77777777" w:rsidR="00896937" w:rsidRPr="000B352A" w:rsidRDefault="00896937" w:rsidP="000B352A">
      <w:pPr>
        <w:pStyle w:val="Prrafodelista"/>
        <w:ind w:left="0"/>
        <w:rPr>
          <w:rStyle w:val="FontStyle305"/>
          <w:rFonts w:ascii="Times New Roman" w:hAnsi="Times New Roman" w:cs="Times New Roman"/>
          <w:i w:val="0"/>
          <w:sz w:val="28"/>
          <w:szCs w:val="28"/>
          <w:lang w:val="es-ES_tradnl" w:eastAsia="es-ES_tradnl"/>
        </w:rPr>
      </w:pPr>
    </w:p>
    <w:p w14:paraId="64E5A2FF" w14:textId="77777777" w:rsidR="002E433E" w:rsidRPr="000B352A" w:rsidRDefault="00896937" w:rsidP="000B352A">
      <w:pPr>
        <w:pStyle w:val="Prrafodelista"/>
        <w:numPr>
          <w:ilvl w:val="3"/>
          <w:numId w:val="3"/>
        </w:numPr>
        <w:ind w:left="0" w:hanging="22"/>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Sobre el anterior cargo la Corte </w:t>
      </w:r>
      <w:r w:rsidR="00B21052" w:rsidRPr="000B352A">
        <w:rPr>
          <w:rStyle w:val="FontStyle305"/>
          <w:rFonts w:ascii="Times New Roman" w:hAnsi="Times New Roman" w:cs="Times New Roman"/>
          <w:i w:val="0"/>
          <w:sz w:val="28"/>
          <w:szCs w:val="28"/>
          <w:lang w:val="es-ES_tradnl" w:eastAsia="es-ES_tradnl"/>
        </w:rPr>
        <w:t xml:space="preserve">de entrada advierte que, a diferencia de los datos relacionados con el incumplimiento de la obligación pecuniaria </w:t>
      </w:r>
      <w:r w:rsidR="00190630" w:rsidRPr="000B352A">
        <w:rPr>
          <w:rStyle w:val="FontStyle305"/>
          <w:rFonts w:ascii="Times New Roman" w:hAnsi="Times New Roman" w:cs="Times New Roman"/>
          <w:i w:val="0"/>
          <w:sz w:val="28"/>
          <w:szCs w:val="28"/>
          <w:lang w:val="es-ES_tradnl" w:eastAsia="es-ES_tradnl"/>
        </w:rPr>
        <w:t>atinente</w:t>
      </w:r>
      <w:r w:rsidR="00B21052" w:rsidRPr="000B352A">
        <w:rPr>
          <w:rStyle w:val="FontStyle305"/>
          <w:rFonts w:ascii="Times New Roman" w:hAnsi="Times New Roman" w:cs="Times New Roman"/>
          <w:i w:val="0"/>
          <w:sz w:val="28"/>
          <w:szCs w:val="28"/>
          <w:lang w:val="es-ES_tradnl" w:eastAsia="es-ES_tradnl"/>
        </w:rPr>
        <w:t xml:space="preserve"> </w:t>
      </w:r>
      <w:r w:rsidR="00190630" w:rsidRPr="000B352A">
        <w:rPr>
          <w:rStyle w:val="FontStyle305"/>
          <w:rFonts w:ascii="Times New Roman" w:hAnsi="Times New Roman" w:cs="Times New Roman"/>
          <w:i w:val="0"/>
          <w:sz w:val="28"/>
          <w:szCs w:val="28"/>
          <w:lang w:val="es-ES_tradnl" w:eastAsia="es-ES_tradnl"/>
        </w:rPr>
        <w:t>a</w:t>
      </w:r>
      <w:r w:rsidR="00B21052" w:rsidRPr="000B352A">
        <w:rPr>
          <w:rStyle w:val="FontStyle305"/>
          <w:rFonts w:ascii="Times New Roman" w:hAnsi="Times New Roman" w:cs="Times New Roman"/>
          <w:i w:val="0"/>
          <w:sz w:val="28"/>
          <w:szCs w:val="28"/>
          <w:lang w:val="es-ES_tradnl" w:eastAsia="es-ES_tradnl"/>
        </w:rPr>
        <w:t xml:space="preserve"> las expensas que requiere la propiedad horizontal, la información </w:t>
      </w:r>
      <w:r w:rsidR="0049655A" w:rsidRPr="000B352A">
        <w:rPr>
          <w:rStyle w:val="FontStyle305"/>
          <w:rFonts w:ascii="Times New Roman" w:hAnsi="Times New Roman" w:cs="Times New Roman"/>
          <w:i w:val="0"/>
          <w:sz w:val="28"/>
          <w:szCs w:val="28"/>
          <w:lang w:val="es-ES_tradnl" w:eastAsia="es-ES_tradnl"/>
        </w:rPr>
        <w:t>que toca</w:t>
      </w:r>
      <w:r w:rsidR="00B21052" w:rsidRPr="000B352A">
        <w:rPr>
          <w:rStyle w:val="FontStyle305"/>
          <w:rFonts w:ascii="Times New Roman" w:hAnsi="Times New Roman" w:cs="Times New Roman"/>
          <w:i w:val="0"/>
          <w:sz w:val="28"/>
          <w:szCs w:val="28"/>
          <w:lang w:val="es-ES_tradnl" w:eastAsia="es-ES_tradnl"/>
        </w:rPr>
        <w:t xml:space="preserve"> con el incumplimiento de las obligaciones no pecuniarias no es de aquellas de que pueda predicarse el derecho al habeas data. </w:t>
      </w:r>
    </w:p>
    <w:p w14:paraId="64E5A300" w14:textId="77777777" w:rsidR="002E433E" w:rsidRPr="000B352A" w:rsidRDefault="002E433E" w:rsidP="000B352A">
      <w:pPr>
        <w:pStyle w:val="Prrafodelista"/>
        <w:rPr>
          <w:rStyle w:val="FontStyle305"/>
          <w:rFonts w:ascii="Times New Roman" w:hAnsi="Times New Roman" w:cs="Times New Roman"/>
          <w:i w:val="0"/>
          <w:sz w:val="28"/>
          <w:szCs w:val="28"/>
          <w:lang w:val="es-ES_tradnl" w:eastAsia="es-ES_tradnl"/>
        </w:rPr>
      </w:pPr>
    </w:p>
    <w:p w14:paraId="64E5A301" w14:textId="77777777" w:rsidR="00C71161" w:rsidRPr="000B352A" w:rsidRDefault="00C71161" w:rsidP="000B352A">
      <w:pPr>
        <w:pStyle w:val="Prrafodelista"/>
        <w:numPr>
          <w:ilvl w:val="3"/>
          <w:numId w:val="3"/>
        </w:numPr>
        <w:ind w:left="0" w:hanging="22"/>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En lo fundamental, la Corte </w:t>
      </w:r>
      <w:r w:rsidR="00B9518B" w:rsidRPr="000B352A">
        <w:rPr>
          <w:rStyle w:val="FontStyle305"/>
          <w:rFonts w:ascii="Times New Roman" w:hAnsi="Times New Roman" w:cs="Times New Roman"/>
          <w:i w:val="0"/>
          <w:sz w:val="28"/>
          <w:szCs w:val="28"/>
          <w:lang w:val="es-ES_tradnl" w:eastAsia="es-ES_tradnl"/>
        </w:rPr>
        <w:t>no ve cómo</w:t>
      </w:r>
      <w:r w:rsidRPr="000B352A">
        <w:rPr>
          <w:rStyle w:val="FontStyle305"/>
          <w:rFonts w:ascii="Times New Roman" w:hAnsi="Times New Roman" w:cs="Times New Roman"/>
          <w:i w:val="0"/>
          <w:sz w:val="28"/>
          <w:szCs w:val="28"/>
          <w:lang w:val="es-ES_tradnl" w:eastAsia="es-ES_tradnl"/>
        </w:rPr>
        <w:t xml:space="preserve"> la información relativa al incumplimiento de las obligaciones no pecuniarias dirigidas a la consecución del fin constitucional de armónica convivencia en la propiedad horizontal</w:t>
      </w:r>
      <w:r w:rsidR="00B9518B" w:rsidRPr="000B352A">
        <w:rPr>
          <w:rStyle w:val="FontStyle305"/>
          <w:rFonts w:ascii="Times New Roman" w:hAnsi="Times New Roman" w:cs="Times New Roman"/>
          <w:i w:val="0"/>
          <w:sz w:val="28"/>
          <w:szCs w:val="28"/>
          <w:lang w:val="es-ES_tradnl" w:eastAsia="es-ES_tradnl"/>
        </w:rPr>
        <w:t>,</w:t>
      </w:r>
      <w:r w:rsidRPr="000B352A">
        <w:rPr>
          <w:rStyle w:val="FontStyle305"/>
          <w:rFonts w:ascii="Times New Roman" w:hAnsi="Times New Roman" w:cs="Times New Roman"/>
          <w:i w:val="0"/>
          <w:sz w:val="28"/>
          <w:szCs w:val="28"/>
          <w:lang w:val="es-ES_tradnl" w:eastAsia="es-ES_tradnl"/>
        </w:rPr>
        <w:t xml:space="preserve"> </w:t>
      </w:r>
      <w:r w:rsidR="00B9518B" w:rsidRPr="000B352A">
        <w:rPr>
          <w:rStyle w:val="FontStyle305"/>
          <w:rFonts w:ascii="Times New Roman" w:hAnsi="Times New Roman" w:cs="Times New Roman"/>
          <w:i w:val="0"/>
          <w:sz w:val="28"/>
          <w:szCs w:val="28"/>
          <w:lang w:val="es-ES_tradnl" w:eastAsia="es-ES_tradnl"/>
        </w:rPr>
        <w:t>pueda ser</w:t>
      </w:r>
      <w:r w:rsidRPr="000B352A">
        <w:rPr>
          <w:rStyle w:val="FontStyle305"/>
          <w:rFonts w:ascii="Times New Roman" w:hAnsi="Times New Roman" w:cs="Times New Roman"/>
          <w:i w:val="0"/>
          <w:sz w:val="28"/>
          <w:szCs w:val="28"/>
          <w:lang w:val="es-ES_tradnl" w:eastAsia="es-ES_tradnl"/>
        </w:rPr>
        <w:t xml:space="preserve"> objeto de </w:t>
      </w:r>
      <w:r w:rsidRPr="000B352A">
        <w:rPr>
          <w:rStyle w:val="FontStyle305"/>
          <w:rFonts w:ascii="Times New Roman" w:hAnsi="Times New Roman" w:cs="Times New Roman"/>
          <w:sz w:val="28"/>
          <w:szCs w:val="28"/>
          <w:lang w:val="es-ES_tradnl" w:eastAsia="es-ES_tradnl"/>
        </w:rPr>
        <w:t>recolección</w:t>
      </w:r>
      <w:r w:rsidRPr="000B352A">
        <w:rPr>
          <w:rStyle w:val="FontStyle305"/>
          <w:rFonts w:ascii="Times New Roman" w:hAnsi="Times New Roman" w:cs="Times New Roman"/>
          <w:i w:val="0"/>
          <w:sz w:val="28"/>
          <w:szCs w:val="28"/>
          <w:lang w:val="es-ES_tradnl" w:eastAsia="es-ES_tradnl"/>
        </w:rPr>
        <w:t xml:space="preserve"> por parte de cualquier </w:t>
      </w:r>
      <w:r w:rsidR="00B9518B" w:rsidRPr="000B352A">
        <w:rPr>
          <w:rStyle w:val="FontStyle305"/>
          <w:rFonts w:ascii="Times New Roman" w:hAnsi="Times New Roman" w:cs="Times New Roman"/>
          <w:i w:val="0"/>
          <w:sz w:val="28"/>
          <w:szCs w:val="28"/>
          <w:lang w:val="es-ES_tradnl" w:eastAsia="es-ES_tradnl"/>
        </w:rPr>
        <w:t>banco</w:t>
      </w:r>
      <w:r w:rsidR="002E433E" w:rsidRPr="000B352A">
        <w:rPr>
          <w:rStyle w:val="FontStyle305"/>
          <w:rFonts w:ascii="Times New Roman" w:hAnsi="Times New Roman" w:cs="Times New Roman"/>
          <w:i w:val="0"/>
          <w:sz w:val="28"/>
          <w:szCs w:val="28"/>
          <w:lang w:val="es-ES_tradnl" w:eastAsia="es-ES_tradnl"/>
        </w:rPr>
        <w:t xml:space="preserve">, </w:t>
      </w:r>
      <w:r w:rsidR="00B9518B" w:rsidRPr="000B352A">
        <w:rPr>
          <w:rStyle w:val="FontStyle305"/>
          <w:rFonts w:ascii="Times New Roman" w:hAnsi="Times New Roman" w:cs="Times New Roman"/>
          <w:i w:val="0"/>
          <w:sz w:val="28"/>
          <w:szCs w:val="28"/>
          <w:lang w:val="es-ES_tradnl" w:eastAsia="es-ES_tradnl"/>
        </w:rPr>
        <w:t xml:space="preserve">base de datos o archivo de la </w:t>
      </w:r>
      <w:r w:rsidR="00900203" w:rsidRPr="000B352A">
        <w:rPr>
          <w:rStyle w:val="FontStyle305"/>
          <w:rFonts w:ascii="Times New Roman" w:hAnsi="Times New Roman" w:cs="Times New Roman"/>
          <w:i w:val="0"/>
          <w:sz w:val="28"/>
          <w:szCs w:val="28"/>
          <w:lang w:val="es-ES_tradnl" w:eastAsia="es-ES_tradnl"/>
        </w:rPr>
        <w:t>generalidad de las</w:t>
      </w:r>
      <w:r w:rsidR="00B9518B" w:rsidRPr="000B352A">
        <w:rPr>
          <w:rStyle w:val="FontStyle305"/>
          <w:rFonts w:ascii="Times New Roman" w:hAnsi="Times New Roman" w:cs="Times New Roman"/>
          <w:i w:val="0"/>
          <w:sz w:val="28"/>
          <w:szCs w:val="28"/>
          <w:lang w:val="es-ES_tradnl" w:eastAsia="es-ES_tradnl"/>
        </w:rPr>
        <w:t xml:space="preserve"> propiedad</w:t>
      </w:r>
      <w:r w:rsidR="00900203" w:rsidRPr="000B352A">
        <w:rPr>
          <w:rStyle w:val="FontStyle305"/>
          <w:rFonts w:ascii="Times New Roman" w:hAnsi="Times New Roman" w:cs="Times New Roman"/>
          <w:i w:val="0"/>
          <w:sz w:val="28"/>
          <w:szCs w:val="28"/>
          <w:lang w:val="es-ES_tradnl" w:eastAsia="es-ES_tradnl"/>
        </w:rPr>
        <w:t>es</w:t>
      </w:r>
      <w:r w:rsidR="00B9518B" w:rsidRPr="000B352A">
        <w:rPr>
          <w:rStyle w:val="FontStyle305"/>
          <w:rFonts w:ascii="Times New Roman" w:hAnsi="Times New Roman" w:cs="Times New Roman"/>
          <w:i w:val="0"/>
          <w:sz w:val="28"/>
          <w:szCs w:val="28"/>
          <w:lang w:val="es-ES_tradnl" w:eastAsia="es-ES_tradnl"/>
        </w:rPr>
        <w:t xml:space="preserve"> horizontal</w:t>
      </w:r>
      <w:r w:rsidR="00900203" w:rsidRPr="000B352A">
        <w:rPr>
          <w:rStyle w:val="FontStyle305"/>
          <w:rFonts w:ascii="Times New Roman" w:hAnsi="Times New Roman" w:cs="Times New Roman"/>
          <w:i w:val="0"/>
          <w:sz w:val="28"/>
          <w:szCs w:val="28"/>
          <w:lang w:val="es-ES_tradnl" w:eastAsia="es-ES_tradnl"/>
        </w:rPr>
        <w:t>es</w:t>
      </w:r>
      <w:r w:rsidR="00B9518B" w:rsidRPr="000B352A">
        <w:rPr>
          <w:rStyle w:val="FontStyle305"/>
          <w:rFonts w:ascii="Times New Roman" w:hAnsi="Times New Roman" w:cs="Times New Roman"/>
          <w:i w:val="0"/>
          <w:sz w:val="28"/>
          <w:szCs w:val="28"/>
          <w:lang w:val="es-ES_tradnl" w:eastAsia="es-ES_tradnl"/>
        </w:rPr>
        <w:t xml:space="preserve">. En efecto, </w:t>
      </w:r>
      <w:r w:rsidR="00B50D4F" w:rsidRPr="000B352A">
        <w:rPr>
          <w:rStyle w:val="FontStyle305"/>
          <w:rFonts w:ascii="Times New Roman" w:hAnsi="Times New Roman" w:cs="Times New Roman"/>
          <w:i w:val="0"/>
          <w:sz w:val="28"/>
          <w:szCs w:val="28"/>
          <w:lang w:val="es-ES_tradnl" w:eastAsia="es-ES_tradnl"/>
        </w:rPr>
        <w:t xml:space="preserve">si </w:t>
      </w:r>
      <w:r w:rsidR="0049655A" w:rsidRPr="000B352A">
        <w:rPr>
          <w:rStyle w:val="FontStyle305"/>
          <w:rFonts w:ascii="Times New Roman" w:hAnsi="Times New Roman" w:cs="Times New Roman"/>
          <w:i w:val="0"/>
          <w:sz w:val="28"/>
          <w:szCs w:val="28"/>
          <w:lang w:val="es-ES_tradnl" w:eastAsia="es-ES_tradnl"/>
        </w:rPr>
        <w:t xml:space="preserve">por un lado </w:t>
      </w:r>
      <w:r w:rsidR="00B50D4F" w:rsidRPr="000B352A">
        <w:rPr>
          <w:rStyle w:val="FontStyle305"/>
          <w:rFonts w:ascii="Times New Roman" w:hAnsi="Times New Roman" w:cs="Times New Roman"/>
          <w:i w:val="0"/>
          <w:sz w:val="28"/>
          <w:szCs w:val="28"/>
          <w:lang w:val="es-ES_tradnl" w:eastAsia="es-ES_tradnl"/>
        </w:rPr>
        <w:t xml:space="preserve">se considera que por lo menos algunas, sino la mayoría, de las obligaciones no pecuniarias </w:t>
      </w:r>
      <w:r w:rsidR="002E433E" w:rsidRPr="000B352A">
        <w:rPr>
          <w:rStyle w:val="FontStyle305"/>
          <w:rFonts w:ascii="Times New Roman" w:hAnsi="Times New Roman" w:cs="Times New Roman"/>
          <w:i w:val="0"/>
          <w:sz w:val="28"/>
          <w:szCs w:val="28"/>
          <w:lang w:val="es-ES_tradnl" w:eastAsia="es-ES_tradnl"/>
        </w:rPr>
        <w:t>cuyo incumplimiento sanciona</w:t>
      </w:r>
      <w:r w:rsidR="00B50D4F" w:rsidRPr="000B352A">
        <w:rPr>
          <w:rStyle w:val="FontStyle305"/>
          <w:rFonts w:ascii="Times New Roman" w:hAnsi="Times New Roman" w:cs="Times New Roman"/>
          <w:i w:val="0"/>
          <w:sz w:val="28"/>
          <w:szCs w:val="28"/>
          <w:lang w:val="es-ES_tradnl" w:eastAsia="es-ES_tradnl"/>
        </w:rPr>
        <w:t xml:space="preserve"> la norma impugnada</w:t>
      </w:r>
      <w:r w:rsidR="002E433E" w:rsidRPr="000B352A">
        <w:rPr>
          <w:rStyle w:val="FontStyle305"/>
          <w:rFonts w:ascii="Times New Roman" w:hAnsi="Times New Roman" w:cs="Times New Roman"/>
          <w:i w:val="0"/>
          <w:sz w:val="28"/>
          <w:szCs w:val="28"/>
          <w:lang w:val="es-ES_tradnl" w:eastAsia="es-ES_tradnl"/>
        </w:rPr>
        <w:t>,</w:t>
      </w:r>
      <w:r w:rsidR="00B50D4F" w:rsidRPr="000B352A">
        <w:rPr>
          <w:rStyle w:val="FontStyle305"/>
          <w:rFonts w:ascii="Times New Roman" w:hAnsi="Times New Roman" w:cs="Times New Roman"/>
          <w:i w:val="0"/>
          <w:sz w:val="28"/>
          <w:szCs w:val="28"/>
          <w:lang w:val="es-ES_tradnl" w:eastAsia="es-ES_tradnl"/>
        </w:rPr>
        <w:t xml:space="preserve"> se materializan en obligaciones de </w:t>
      </w:r>
      <w:r w:rsidR="00B50D4F" w:rsidRPr="000B352A">
        <w:rPr>
          <w:rStyle w:val="FontStyle305"/>
          <w:rFonts w:ascii="Times New Roman" w:hAnsi="Times New Roman" w:cs="Times New Roman"/>
          <w:sz w:val="28"/>
          <w:szCs w:val="28"/>
          <w:lang w:val="es-ES_tradnl" w:eastAsia="es-ES_tradnl"/>
        </w:rPr>
        <w:t>“no hacer”</w:t>
      </w:r>
      <w:r w:rsidR="00B50D4F" w:rsidRPr="000B352A">
        <w:rPr>
          <w:rStyle w:val="FontStyle305"/>
          <w:rFonts w:ascii="Times New Roman" w:hAnsi="Times New Roman" w:cs="Times New Roman"/>
          <w:i w:val="0"/>
          <w:sz w:val="28"/>
          <w:szCs w:val="28"/>
          <w:lang w:val="es-ES_tradnl" w:eastAsia="es-ES_tradnl"/>
        </w:rPr>
        <w:t xml:space="preserve"> (</w:t>
      </w:r>
      <w:r w:rsidR="002E433E" w:rsidRPr="000B352A">
        <w:rPr>
          <w:rStyle w:val="FontStyle305"/>
          <w:rFonts w:ascii="Times New Roman" w:hAnsi="Times New Roman" w:cs="Times New Roman"/>
          <w:i w:val="0"/>
          <w:sz w:val="28"/>
          <w:szCs w:val="28"/>
          <w:lang w:val="es-ES_tradnl" w:eastAsia="es-ES_tradnl"/>
        </w:rPr>
        <w:t xml:space="preserve">en general, </w:t>
      </w:r>
      <w:r w:rsidR="00B50D4F" w:rsidRPr="000B352A">
        <w:rPr>
          <w:rStyle w:val="FontStyle305"/>
          <w:rFonts w:ascii="Times New Roman" w:hAnsi="Times New Roman" w:cs="Times New Roman"/>
          <w:i w:val="0"/>
          <w:sz w:val="28"/>
          <w:szCs w:val="28"/>
          <w:lang w:val="es-ES_tradnl" w:eastAsia="es-ES_tradnl"/>
        </w:rPr>
        <w:t xml:space="preserve">no afectar la tranquilidad, </w:t>
      </w:r>
      <w:r w:rsidR="002E433E" w:rsidRPr="000B352A">
        <w:rPr>
          <w:rStyle w:val="FontStyle305"/>
          <w:rFonts w:ascii="Times New Roman" w:hAnsi="Times New Roman" w:cs="Times New Roman"/>
          <w:i w:val="0"/>
          <w:sz w:val="28"/>
          <w:szCs w:val="28"/>
          <w:lang w:val="es-ES_tradnl" w:eastAsia="es-ES_tradnl"/>
        </w:rPr>
        <w:t xml:space="preserve">la seguridad, </w:t>
      </w:r>
      <w:r w:rsidR="00B50D4F" w:rsidRPr="000B352A">
        <w:rPr>
          <w:rStyle w:val="FontStyle305"/>
          <w:rFonts w:ascii="Times New Roman" w:hAnsi="Times New Roman" w:cs="Times New Roman"/>
          <w:i w:val="0"/>
          <w:sz w:val="28"/>
          <w:szCs w:val="28"/>
          <w:lang w:val="es-ES_tradnl" w:eastAsia="es-ES_tradnl"/>
        </w:rPr>
        <w:t>el buen nombre</w:t>
      </w:r>
      <w:r w:rsidR="004849BC" w:rsidRPr="000B352A">
        <w:rPr>
          <w:rStyle w:val="FontStyle305"/>
          <w:rFonts w:ascii="Times New Roman" w:hAnsi="Times New Roman" w:cs="Times New Roman"/>
          <w:i w:val="0"/>
          <w:sz w:val="28"/>
          <w:szCs w:val="28"/>
          <w:lang w:val="es-ES_tradnl" w:eastAsia="es-ES_tradnl"/>
        </w:rPr>
        <w:t xml:space="preserve">, </w:t>
      </w:r>
      <w:r w:rsidR="00B50D4F" w:rsidRPr="000B352A">
        <w:rPr>
          <w:rStyle w:val="FontStyle305"/>
          <w:rFonts w:ascii="Times New Roman" w:hAnsi="Times New Roman" w:cs="Times New Roman"/>
          <w:i w:val="0"/>
          <w:sz w:val="28"/>
          <w:szCs w:val="28"/>
          <w:lang w:val="es-ES_tradnl" w:eastAsia="es-ES_tradnl"/>
        </w:rPr>
        <w:t xml:space="preserve">la reputación </w:t>
      </w:r>
      <w:r w:rsidR="0001730D" w:rsidRPr="000B352A">
        <w:rPr>
          <w:rStyle w:val="FontStyle305"/>
          <w:rFonts w:ascii="Times New Roman" w:hAnsi="Times New Roman" w:cs="Times New Roman"/>
          <w:i w:val="0"/>
          <w:sz w:val="28"/>
          <w:szCs w:val="28"/>
          <w:lang w:val="es-ES_tradnl" w:eastAsia="es-ES_tradnl"/>
        </w:rPr>
        <w:t>y/</w:t>
      </w:r>
      <w:r w:rsidR="004849BC" w:rsidRPr="000B352A">
        <w:rPr>
          <w:rStyle w:val="FontStyle305"/>
          <w:rFonts w:ascii="Times New Roman" w:hAnsi="Times New Roman" w:cs="Times New Roman"/>
          <w:i w:val="0"/>
          <w:sz w:val="28"/>
          <w:szCs w:val="28"/>
          <w:lang w:val="es-ES_tradnl" w:eastAsia="es-ES_tradnl"/>
        </w:rPr>
        <w:t>o</w:t>
      </w:r>
      <w:r w:rsidR="0001730D" w:rsidRPr="000B352A">
        <w:rPr>
          <w:rStyle w:val="FontStyle305"/>
          <w:rFonts w:ascii="Times New Roman" w:hAnsi="Times New Roman" w:cs="Times New Roman"/>
          <w:i w:val="0"/>
          <w:sz w:val="28"/>
          <w:szCs w:val="28"/>
          <w:lang w:val="es-ES_tradnl" w:eastAsia="es-ES_tradnl"/>
        </w:rPr>
        <w:t xml:space="preserve"> la</w:t>
      </w:r>
      <w:r w:rsidR="004849BC" w:rsidRPr="000B352A">
        <w:rPr>
          <w:rStyle w:val="FontStyle305"/>
          <w:rFonts w:ascii="Times New Roman" w:hAnsi="Times New Roman" w:cs="Times New Roman"/>
          <w:i w:val="0"/>
          <w:sz w:val="28"/>
          <w:szCs w:val="28"/>
          <w:lang w:val="es-ES_tradnl" w:eastAsia="es-ES_tradnl"/>
        </w:rPr>
        <w:t xml:space="preserve"> higiene </w:t>
      </w:r>
      <w:r w:rsidR="00B50D4F" w:rsidRPr="000B352A">
        <w:rPr>
          <w:rStyle w:val="FontStyle305"/>
          <w:rFonts w:ascii="Times New Roman" w:hAnsi="Times New Roman" w:cs="Times New Roman"/>
          <w:i w:val="0"/>
          <w:sz w:val="28"/>
          <w:szCs w:val="28"/>
          <w:lang w:val="es-ES_tradnl" w:eastAsia="es-ES_tradnl"/>
        </w:rPr>
        <w:t xml:space="preserve">de la propiedad horizontal); y </w:t>
      </w:r>
      <w:r w:rsidR="0049655A" w:rsidRPr="000B352A">
        <w:rPr>
          <w:rStyle w:val="FontStyle305"/>
          <w:rFonts w:ascii="Times New Roman" w:hAnsi="Times New Roman" w:cs="Times New Roman"/>
          <w:i w:val="0"/>
          <w:sz w:val="28"/>
          <w:szCs w:val="28"/>
          <w:lang w:val="es-ES_tradnl" w:eastAsia="es-ES_tradnl"/>
        </w:rPr>
        <w:t>por otro lado se observa</w:t>
      </w:r>
      <w:r w:rsidR="00B50D4F" w:rsidRPr="000B352A">
        <w:rPr>
          <w:rStyle w:val="FontStyle305"/>
          <w:rFonts w:ascii="Times New Roman" w:hAnsi="Times New Roman" w:cs="Times New Roman"/>
          <w:i w:val="0"/>
          <w:sz w:val="28"/>
          <w:szCs w:val="28"/>
          <w:lang w:val="es-ES_tradnl" w:eastAsia="es-ES_tradnl"/>
        </w:rPr>
        <w:t xml:space="preserve"> que </w:t>
      </w:r>
      <w:r w:rsidR="002E433E" w:rsidRPr="000B352A">
        <w:rPr>
          <w:rStyle w:val="FontStyle305"/>
          <w:rFonts w:ascii="Times New Roman" w:hAnsi="Times New Roman" w:cs="Times New Roman"/>
          <w:i w:val="0"/>
          <w:sz w:val="28"/>
          <w:szCs w:val="28"/>
          <w:lang w:val="es-ES_tradnl" w:eastAsia="es-ES_tradnl"/>
        </w:rPr>
        <w:t>el</w:t>
      </w:r>
      <w:r w:rsidR="00B50D4F" w:rsidRPr="000B352A">
        <w:rPr>
          <w:rStyle w:val="FontStyle305"/>
          <w:rFonts w:ascii="Times New Roman" w:hAnsi="Times New Roman" w:cs="Times New Roman"/>
          <w:i w:val="0"/>
          <w:sz w:val="28"/>
          <w:szCs w:val="28"/>
          <w:lang w:val="es-ES_tradnl" w:eastAsia="es-ES_tradnl"/>
        </w:rPr>
        <w:t xml:space="preserve"> incumplimiento de dichas obligaciones no estaría necesariamente circunscrito a un</w:t>
      </w:r>
      <w:r w:rsidR="0049655A" w:rsidRPr="000B352A">
        <w:rPr>
          <w:rStyle w:val="FontStyle305"/>
          <w:rFonts w:ascii="Times New Roman" w:hAnsi="Times New Roman" w:cs="Times New Roman"/>
          <w:i w:val="0"/>
          <w:sz w:val="28"/>
          <w:szCs w:val="28"/>
          <w:lang w:val="es-ES_tradnl" w:eastAsia="es-ES_tradnl"/>
        </w:rPr>
        <w:t>os</w:t>
      </w:r>
      <w:r w:rsidR="00B50D4F" w:rsidRPr="000B352A">
        <w:rPr>
          <w:rStyle w:val="FontStyle305"/>
          <w:rFonts w:ascii="Times New Roman" w:hAnsi="Times New Roman" w:cs="Times New Roman"/>
          <w:i w:val="0"/>
          <w:sz w:val="28"/>
          <w:szCs w:val="28"/>
          <w:lang w:val="es-ES_tradnl" w:eastAsia="es-ES_tradnl"/>
        </w:rPr>
        <w:t xml:space="preserve"> determinado</w:t>
      </w:r>
      <w:r w:rsidR="0049655A" w:rsidRPr="000B352A">
        <w:rPr>
          <w:rStyle w:val="FontStyle305"/>
          <w:rFonts w:ascii="Times New Roman" w:hAnsi="Times New Roman" w:cs="Times New Roman"/>
          <w:i w:val="0"/>
          <w:sz w:val="28"/>
          <w:szCs w:val="28"/>
          <w:lang w:val="es-ES_tradnl" w:eastAsia="es-ES_tradnl"/>
        </w:rPr>
        <w:t>s</w:t>
      </w:r>
      <w:r w:rsidR="002E433E" w:rsidRPr="000B352A">
        <w:rPr>
          <w:rStyle w:val="FontStyle305"/>
          <w:rFonts w:ascii="Times New Roman" w:hAnsi="Times New Roman" w:cs="Times New Roman"/>
          <w:i w:val="0"/>
          <w:sz w:val="28"/>
          <w:szCs w:val="28"/>
          <w:lang w:val="es-ES_tradnl" w:eastAsia="es-ES_tradnl"/>
        </w:rPr>
        <w:t xml:space="preserve"> tiempo</w:t>
      </w:r>
      <w:r w:rsidR="0049655A" w:rsidRPr="000B352A">
        <w:rPr>
          <w:rStyle w:val="FontStyle305"/>
          <w:rFonts w:ascii="Times New Roman" w:hAnsi="Times New Roman" w:cs="Times New Roman"/>
          <w:i w:val="0"/>
          <w:sz w:val="28"/>
          <w:szCs w:val="28"/>
          <w:lang w:val="es-ES_tradnl" w:eastAsia="es-ES_tradnl"/>
        </w:rPr>
        <w:t>s</w:t>
      </w:r>
      <w:r w:rsidR="00B50D4F" w:rsidRPr="000B352A">
        <w:rPr>
          <w:rStyle w:val="FontStyle305"/>
          <w:rFonts w:ascii="Times New Roman" w:hAnsi="Times New Roman" w:cs="Times New Roman"/>
          <w:i w:val="0"/>
          <w:sz w:val="28"/>
          <w:szCs w:val="28"/>
          <w:lang w:val="es-ES_tradnl" w:eastAsia="es-ES_tradnl"/>
        </w:rPr>
        <w:t>,</w:t>
      </w:r>
      <w:r w:rsidR="0049655A" w:rsidRPr="000B352A">
        <w:rPr>
          <w:rStyle w:val="FontStyle305"/>
          <w:rFonts w:ascii="Times New Roman" w:hAnsi="Times New Roman" w:cs="Times New Roman"/>
          <w:i w:val="0"/>
          <w:sz w:val="28"/>
          <w:szCs w:val="28"/>
          <w:lang w:val="es-ES_tradnl" w:eastAsia="es-ES_tradnl"/>
        </w:rPr>
        <w:t xml:space="preserve"> modos y/o lugares, </w:t>
      </w:r>
      <w:r w:rsidR="00B50D4F" w:rsidRPr="000B352A">
        <w:rPr>
          <w:rStyle w:val="FontStyle305"/>
          <w:rFonts w:ascii="Times New Roman" w:hAnsi="Times New Roman" w:cs="Times New Roman"/>
          <w:i w:val="0"/>
          <w:sz w:val="28"/>
          <w:szCs w:val="28"/>
          <w:lang w:val="es-ES_tradnl" w:eastAsia="es-ES_tradnl"/>
        </w:rPr>
        <w:t xml:space="preserve">la información sobre </w:t>
      </w:r>
      <w:r w:rsidR="002E433E" w:rsidRPr="000B352A">
        <w:rPr>
          <w:rStyle w:val="FontStyle305"/>
          <w:rFonts w:ascii="Times New Roman" w:hAnsi="Times New Roman" w:cs="Times New Roman"/>
          <w:i w:val="0"/>
          <w:sz w:val="28"/>
          <w:szCs w:val="28"/>
          <w:lang w:val="es-ES_tradnl" w:eastAsia="es-ES_tradnl"/>
        </w:rPr>
        <w:t>el</w:t>
      </w:r>
      <w:r w:rsidR="00B50D4F" w:rsidRPr="000B352A">
        <w:rPr>
          <w:rStyle w:val="FontStyle305"/>
          <w:rFonts w:ascii="Times New Roman" w:hAnsi="Times New Roman" w:cs="Times New Roman"/>
          <w:i w:val="0"/>
          <w:sz w:val="28"/>
          <w:szCs w:val="28"/>
          <w:lang w:val="es-ES_tradnl" w:eastAsia="es-ES_tradnl"/>
        </w:rPr>
        <w:t xml:space="preserve"> incumplimiento</w:t>
      </w:r>
      <w:r w:rsidR="002E433E" w:rsidRPr="000B352A">
        <w:rPr>
          <w:rStyle w:val="FontStyle305"/>
          <w:rFonts w:ascii="Times New Roman" w:hAnsi="Times New Roman" w:cs="Times New Roman"/>
          <w:i w:val="0"/>
          <w:sz w:val="28"/>
          <w:szCs w:val="28"/>
          <w:lang w:val="es-ES_tradnl" w:eastAsia="es-ES_tradnl"/>
        </w:rPr>
        <w:t xml:space="preserve"> obligacional del caso</w:t>
      </w:r>
      <w:r w:rsidR="00B50D4F" w:rsidRPr="000B352A">
        <w:rPr>
          <w:rStyle w:val="FontStyle305"/>
          <w:rFonts w:ascii="Times New Roman" w:hAnsi="Times New Roman" w:cs="Times New Roman"/>
          <w:i w:val="0"/>
          <w:sz w:val="28"/>
          <w:szCs w:val="28"/>
          <w:lang w:val="es-ES_tradnl" w:eastAsia="es-ES_tradnl"/>
        </w:rPr>
        <w:t xml:space="preserve"> -antes que ser materia de recolección alguna</w:t>
      </w:r>
      <w:r w:rsidR="0049655A" w:rsidRPr="000B352A">
        <w:rPr>
          <w:rStyle w:val="FontStyle305"/>
          <w:rFonts w:ascii="Times New Roman" w:hAnsi="Times New Roman" w:cs="Times New Roman"/>
          <w:i w:val="0"/>
          <w:sz w:val="28"/>
          <w:szCs w:val="28"/>
          <w:lang w:val="es-ES_tradnl" w:eastAsia="es-ES_tradnl"/>
        </w:rPr>
        <w:t xml:space="preserve"> (para lo cual se requeriría de</w:t>
      </w:r>
      <w:r w:rsidR="0013721E" w:rsidRPr="000B352A">
        <w:rPr>
          <w:rStyle w:val="FontStyle305"/>
          <w:rFonts w:ascii="Times New Roman" w:hAnsi="Times New Roman" w:cs="Times New Roman"/>
          <w:i w:val="0"/>
          <w:sz w:val="28"/>
          <w:szCs w:val="28"/>
          <w:lang w:val="es-ES_tradnl" w:eastAsia="es-ES_tradnl"/>
        </w:rPr>
        <w:t>l</w:t>
      </w:r>
      <w:r w:rsidR="0049655A" w:rsidRPr="000B352A">
        <w:rPr>
          <w:rStyle w:val="FontStyle305"/>
          <w:rFonts w:ascii="Times New Roman" w:hAnsi="Times New Roman" w:cs="Times New Roman"/>
          <w:i w:val="0"/>
          <w:sz w:val="28"/>
          <w:szCs w:val="28"/>
          <w:lang w:val="es-ES_tradnl" w:eastAsia="es-ES_tradnl"/>
        </w:rPr>
        <w:t xml:space="preserve"> monitoreo propio de un régimen </w:t>
      </w:r>
      <w:r w:rsidR="00924692" w:rsidRPr="000B352A">
        <w:rPr>
          <w:rStyle w:val="FontStyle305"/>
          <w:rFonts w:ascii="Times New Roman" w:hAnsi="Times New Roman" w:cs="Times New Roman"/>
          <w:i w:val="0"/>
          <w:sz w:val="28"/>
          <w:szCs w:val="28"/>
          <w:lang w:val="es-ES_tradnl" w:eastAsia="es-ES_tradnl"/>
        </w:rPr>
        <w:t xml:space="preserve">policial) </w:t>
      </w:r>
      <w:r w:rsidR="00B50D4F" w:rsidRPr="000B352A">
        <w:rPr>
          <w:rStyle w:val="FontStyle305"/>
          <w:rFonts w:ascii="Times New Roman" w:hAnsi="Times New Roman" w:cs="Times New Roman"/>
          <w:i w:val="0"/>
          <w:sz w:val="28"/>
          <w:szCs w:val="28"/>
          <w:lang w:val="es-ES_tradnl" w:eastAsia="es-ES_tradnl"/>
        </w:rPr>
        <w:t>-sería objeto de difusión</w:t>
      </w:r>
      <w:r w:rsidR="0049655A" w:rsidRPr="000B352A">
        <w:rPr>
          <w:rStyle w:val="FontStyle305"/>
          <w:rFonts w:ascii="Times New Roman" w:hAnsi="Times New Roman" w:cs="Times New Roman"/>
          <w:i w:val="0"/>
          <w:sz w:val="28"/>
          <w:szCs w:val="28"/>
          <w:lang w:val="es-ES_tradnl" w:eastAsia="es-ES_tradnl"/>
        </w:rPr>
        <w:t xml:space="preserve"> unilateral</w:t>
      </w:r>
      <w:r w:rsidR="00B50D4F" w:rsidRPr="000B352A">
        <w:rPr>
          <w:rStyle w:val="FontStyle305"/>
          <w:rFonts w:ascii="Times New Roman" w:hAnsi="Times New Roman" w:cs="Times New Roman"/>
          <w:i w:val="0"/>
          <w:sz w:val="28"/>
          <w:szCs w:val="28"/>
          <w:lang w:val="es-ES_tradnl" w:eastAsia="es-ES_tradnl"/>
        </w:rPr>
        <w:t xml:space="preserve"> por parte de</w:t>
      </w:r>
      <w:r w:rsidR="002E433E" w:rsidRPr="000B352A">
        <w:rPr>
          <w:rStyle w:val="FontStyle305"/>
          <w:rFonts w:ascii="Times New Roman" w:hAnsi="Times New Roman" w:cs="Times New Roman"/>
          <w:i w:val="0"/>
          <w:sz w:val="28"/>
          <w:szCs w:val="28"/>
          <w:lang w:val="es-ES_tradnl" w:eastAsia="es-ES_tradnl"/>
        </w:rPr>
        <w:t xml:space="preserve">l respectivo infractor; cuestión que riñe con </w:t>
      </w:r>
      <w:r w:rsidR="0013721E" w:rsidRPr="000B352A">
        <w:rPr>
          <w:rStyle w:val="FontStyle305"/>
          <w:rFonts w:ascii="Times New Roman" w:hAnsi="Times New Roman" w:cs="Times New Roman"/>
          <w:i w:val="0"/>
          <w:sz w:val="28"/>
          <w:szCs w:val="28"/>
          <w:lang w:val="es-ES_tradnl" w:eastAsia="es-ES_tradnl"/>
        </w:rPr>
        <w:t>el</w:t>
      </w:r>
      <w:r w:rsidR="002E433E" w:rsidRPr="000B352A">
        <w:rPr>
          <w:rStyle w:val="FontStyle305"/>
          <w:rFonts w:ascii="Times New Roman" w:hAnsi="Times New Roman" w:cs="Times New Roman"/>
          <w:i w:val="0"/>
          <w:sz w:val="28"/>
          <w:szCs w:val="28"/>
          <w:lang w:val="es-ES_tradnl" w:eastAsia="es-ES_tradnl"/>
        </w:rPr>
        <w:t xml:space="preserve"> </w:t>
      </w:r>
      <w:r w:rsidR="0013721E" w:rsidRPr="000B352A">
        <w:rPr>
          <w:rStyle w:val="FontStyle305"/>
          <w:rFonts w:ascii="Times New Roman" w:hAnsi="Times New Roman" w:cs="Times New Roman"/>
          <w:i w:val="0"/>
          <w:sz w:val="28"/>
          <w:szCs w:val="28"/>
          <w:lang w:val="es-ES_tradnl" w:eastAsia="es-ES_tradnl"/>
        </w:rPr>
        <w:t>quehacer</w:t>
      </w:r>
      <w:r w:rsidR="002E433E" w:rsidRPr="000B352A">
        <w:rPr>
          <w:rStyle w:val="FontStyle305"/>
          <w:rFonts w:ascii="Times New Roman" w:hAnsi="Times New Roman" w:cs="Times New Roman"/>
          <w:i w:val="0"/>
          <w:sz w:val="28"/>
          <w:szCs w:val="28"/>
          <w:lang w:val="es-ES_tradnl" w:eastAsia="es-ES_tradnl"/>
        </w:rPr>
        <w:t xml:space="preserve"> de los</w:t>
      </w:r>
      <w:r w:rsidR="00DE099C" w:rsidRPr="000B352A">
        <w:rPr>
          <w:rStyle w:val="FontStyle305"/>
          <w:rFonts w:ascii="Times New Roman" w:hAnsi="Times New Roman" w:cs="Times New Roman"/>
          <w:i w:val="0"/>
          <w:sz w:val="28"/>
          <w:szCs w:val="28"/>
          <w:lang w:val="es-ES_tradnl" w:eastAsia="es-ES_tradnl"/>
        </w:rPr>
        <w:t xml:space="preserve"> </w:t>
      </w:r>
      <w:r w:rsidR="002E433E" w:rsidRPr="000B352A">
        <w:rPr>
          <w:rStyle w:val="FontStyle305"/>
          <w:rFonts w:ascii="Times New Roman" w:hAnsi="Times New Roman" w:cs="Times New Roman"/>
          <w:i w:val="0"/>
          <w:sz w:val="28"/>
          <w:szCs w:val="28"/>
          <w:lang w:val="es-ES_tradnl" w:eastAsia="es-ES_tradnl"/>
        </w:rPr>
        <w:t xml:space="preserve">andamiajes u organizaciones cuyo objeto </w:t>
      </w:r>
      <w:r w:rsidR="0013721E" w:rsidRPr="000B352A">
        <w:rPr>
          <w:rStyle w:val="FontStyle305"/>
          <w:rFonts w:ascii="Times New Roman" w:hAnsi="Times New Roman" w:cs="Times New Roman"/>
          <w:i w:val="0"/>
          <w:sz w:val="28"/>
          <w:szCs w:val="28"/>
          <w:lang w:val="es-ES_tradnl" w:eastAsia="es-ES_tradnl"/>
        </w:rPr>
        <w:t xml:space="preserve">sí </w:t>
      </w:r>
      <w:r w:rsidR="002E433E" w:rsidRPr="000B352A">
        <w:rPr>
          <w:rStyle w:val="FontStyle305"/>
          <w:rFonts w:ascii="Times New Roman" w:hAnsi="Times New Roman" w:cs="Times New Roman"/>
          <w:i w:val="0"/>
          <w:sz w:val="28"/>
          <w:szCs w:val="28"/>
          <w:lang w:val="es-ES_tradnl" w:eastAsia="es-ES_tradnl"/>
        </w:rPr>
        <w:t>es la recolección, almacenamiento, clasificación, distribución</w:t>
      </w:r>
      <w:r w:rsidR="004849BC" w:rsidRPr="000B352A">
        <w:rPr>
          <w:rStyle w:val="FontStyle305"/>
          <w:rFonts w:ascii="Times New Roman" w:hAnsi="Times New Roman" w:cs="Times New Roman"/>
          <w:i w:val="0"/>
          <w:sz w:val="28"/>
          <w:szCs w:val="28"/>
          <w:lang w:val="es-ES_tradnl" w:eastAsia="es-ES_tradnl"/>
        </w:rPr>
        <w:t>, uso, circulación, supresión y, en general, tratamiento</w:t>
      </w:r>
      <w:r w:rsidR="002E433E" w:rsidRPr="000B352A">
        <w:rPr>
          <w:rStyle w:val="FontStyle305"/>
          <w:rFonts w:ascii="Times New Roman" w:hAnsi="Times New Roman" w:cs="Times New Roman"/>
          <w:i w:val="0"/>
          <w:sz w:val="28"/>
          <w:szCs w:val="28"/>
          <w:lang w:val="es-ES_tradnl" w:eastAsia="es-ES_tradnl"/>
        </w:rPr>
        <w:t xml:space="preserve"> de datos dirigidos a un fin específico y que, sin lugar a dudas, sí son susceptibles de tocar con el derecho al habeas data.</w:t>
      </w:r>
    </w:p>
    <w:p w14:paraId="64E5A302" w14:textId="77777777" w:rsidR="008F4C8F" w:rsidRPr="000B352A" w:rsidRDefault="008F4C8F" w:rsidP="000B352A">
      <w:pPr>
        <w:rPr>
          <w:rStyle w:val="FontStyle305"/>
          <w:rFonts w:ascii="Times New Roman" w:hAnsi="Times New Roman" w:cs="Times New Roman"/>
          <w:i w:val="0"/>
          <w:sz w:val="28"/>
          <w:szCs w:val="28"/>
          <w:lang w:val="es-ES_tradnl" w:eastAsia="es-ES_tradnl"/>
        </w:rPr>
      </w:pPr>
    </w:p>
    <w:p w14:paraId="64E5A303" w14:textId="77777777" w:rsidR="008F4C8F" w:rsidRPr="000B352A" w:rsidRDefault="008F4C8F" w:rsidP="000B352A">
      <w:pPr>
        <w:rPr>
          <w:rStyle w:val="FontStyle305"/>
          <w:rFonts w:ascii="Times New Roman" w:hAnsi="Times New Roman" w:cs="Times New Roman"/>
          <w:i w:val="0"/>
          <w:sz w:val="28"/>
          <w:szCs w:val="28"/>
          <w:lang w:val="es-ES_tradnl" w:eastAsia="es-ES_tradnl"/>
        </w:rPr>
      </w:pPr>
      <w:r w:rsidRPr="000B352A">
        <w:rPr>
          <w:rStyle w:val="FontStyle305"/>
          <w:rFonts w:ascii="Times New Roman" w:hAnsi="Times New Roman" w:cs="Times New Roman"/>
          <w:i w:val="0"/>
          <w:sz w:val="28"/>
          <w:szCs w:val="28"/>
          <w:lang w:val="es-ES_tradnl" w:eastAsia="es-ES_tradnl"/>
        </w:rPr>
        <w:t>No obstante, si fuera el caso de que algunas particulares propiedades horizontales efectivamente posean medios de recolección de datos atinentes a quienes las habitan, laboran o visitan, la divulgación de las infracciones a las obligaciones no pecuniarias en tales propiedades no reñiría con derecho fundamental alguno salvo que se trate de información sensible y/o personalísima de tales sujetos que toque con su dignidad y derecho a la intimidad; caso este último en donde cabría el remedio del control concreto de constitucionalidad</w:t>
      </w:r>
      <w:r w:rsidR="00984462" w:rsidRPr="000B352A">
        <w:rPr>
          <w:rStyle w:val="FontStyle305"/>
          <w:rFonts w:ascii="Times New Roman" w:hAnsi="Times New Roman" w:cs="Times New Roman"/>
          <w:i w:val="0"/>
          <w:sz w:val="28"/>
          <w:szCs w:val="28"/>
          <w:lang w:val="es-ES_tradnl" w:eastAsia="es-ES_tradnl"/>
        </w:rPr>
        <w:t>.</w:t>
      </w:r>
      <w:r w:rsidRPr="000B352A">
        <w:rPr>
          <w:rStyle w:val="FontStyle305"/>
          <w:rFonts w:ascii="Times New Roman" w:hAnsi="Times New Roman" w:cs="Times New Roman"/>
          <w:i w:val="0"/>
          <w:sz w:val="28"/>
          <w:szCs w:val="28"/>
          <w:lang w:val="es-ES_tradnl" w:eastAsia="es-ES_tradnl"/>
        </w:rPr>
        <w:t xml:space="preserve"> </w:t>
      </w:r>
    </w:p>
    <w:p w14:paraId="64E5A304" w14:textId="77777777" w:rsidR="00AD7DA8" w:rsidRPr="000B352A" w:rsidRDefault="00AD7DA8" w:rsidP="000B352A">
      <w:pPr>
        <w:pStyle w:val="Prrafodelista"/>
        <w:rPr>
          <w:rStyle w:val="FontStyle305"/>
          <w:rFonts w:ascii="Times New Roman" w:hAnsi="Times New Roman" w:cs="Times New Roman"/>
          <w:i w:val="0"/>
          <w:sz w:val="28"/>
          <w:szCs w:val="28"/>
          <w:lang w:val="es-ES_tradnl" w:eastAsia="es-ES_tradnl"/>
        </w:rPr>
      </w:pPr>
    </w:p>
    <w:p w14:paraId="64E5A305" w14:textId="77777777" w:rsidR="00AD7DA8" w:rsidRPr="000B352A" w:rsidRDefault="00B21052" w:rsidP="000B352A">
      <w:pPr>
        <w:pStyle w:val="Prrafodelista"/>
        <w:numPr>
          <w:ilvl w:val="3"/>
          <w:numId w:val="3"/>
        </w:numPr>
        <w:ind w:left="0" w:hanging="22"/>
        <w:rPr>
          <w:rFonts w:cs="Times New Roman"/>
          <w:iCs/>
          <w:szCs w:val="28"/>
          <w:lang w:val="es-ES_tradnl" w:eastAsia="es-ES_tradnl"/>
        </w:rPr>
      </w:pPr>
      <w:r w:rsidRPr="000B352A">
        <w:rPr>
          <w:rStyle w:val="FontStyle305"/>
          <w:rFonts w:ascii="Times New Roman" w:hAnsi="Times New Roman" w:cs="Times New Roman"/>
          <w:i w:val="0"/>
          <w:sz w:val="28"/>
          <w:szCs w:val="28"/>
          <w:lang w:val="es-ES_tradnl" w:eastAsia="es-ES_tradnl"/>
        </w:rPr>
        <w:t xml:space="preserve">Por </w:t>
      </w:r>
      <w:r w:rsidR="00C71161" w:rsidRPr="000B352A">
        <w:rPr>
          <w:rStyle w:val="FontStyle305"/>
          <w:rFonts w:ascii="Times New Roman" w:hAnsi="Times New Roman" w:cs="Times New Roman"/>
          <w:i w:val="0"/>
          <w:sz w:val="28"/>
          <w:szCs w:val="28"/>
          <w:lang w:val="es-ES_tradnl" w:eastAsia="es-ES_tradnl"/>
        </w:rPr>
        <w:t>otra</w:t>
      </w:r>
      <w:r w:rsidRPr="000B352A">
        <w:rPr>
          <w:rStyle w:val="FontStyle305"/>
          <w:rFonts w:ascii="Times New Roman" w:hAnsi="Times New Roman" w:cs="Times New Roman"/>
          <w:i w:val="0"/>
          <w:sz w:val="28"/>
          <w:szCs w:val="28"/>
          <w:lang w:val="es-ES_tradnl" w:eastAsia="es-ES_tradnl"/>
        </w:rPr>
        <w:t xml:space="preserve"> parte, contrario a lo que sugieren las demandantes, no puede afirmarse que exista un número casi infinito de posibilidades por las cuales se pueda incumplir con el reglamento de propiedad horizontal. </w:t>
      </w:r>
      <w:r w:rsidR="00AD7DA8" w:rsidRPr="000B352A">
        <w:rPr>
          <w:rStyle w:val="FontStyle305"/>
          <w:rFonts w:ascii="Times New Roman" w:hAnsi="Times New Roman" w:cs="Times New Roman"/>
          <w:i w:val="0"/>
          <w:sz w:val="28"/>
          <w:szCs w:val="28"/>
          <w:lang w:val="es-ES_tradnl" w:eastAsia="es-ES_tradnl"/>
        </w:rPr>
        <w:t xml:space="preserve">Ciertamente, además de que el parágrafo del artículo 60 de la Ley 675 prevé que </w:t>
      </w:r>
      <w:r w:rsidR="00AD7DA8" w:rsidRPr="000B352A">
        <w:rPr>
          <w:rStyle w:val="FontStyle305"/>
          <w:rFonts w:ascii="Times New Roman" w:hAnsi="Times New Roman" w:cs="Times New Roman"/>
          <w:sz w:val="28"/>
          <w:szCs w:val="28"/>
          <w:lang w:val="es-ES_tradnl" w:eastAsia="es-ES_tradnl"/>
        </w:rPr>
        <w:t>“(e)</w:t>
      </w:r>
      <w:r w:rsidR="00AD7DA8" w:rsidRPr="000B352A">
        <w:rPr>
          <w:rFonts w:cs="Times New Roman"/>
          <w:i/>
          <w:szCs w:val="28"/>
        </w:rPr>
        <w:t xml:space="preserve">n el reglamento de propiedad horizontal se indicarán las conductas objeto de la aplicación de sanciones, con especificación de las que procedan para cada evento (…)”, </w:t>
      </w:r>
      <w:r w:rsidR="00AD7DA8" w:rsidRPr="000B352A">
        <w:rPr>
          <w:rFonts w:cs="Times New Roman"/>
          <w:szCs w:val="28"/>
        </w:rPr>
        <w:t xml:space="preserve">las obligaciones no pecuniarias a cumplir tendrían necesariamente que estar asociadas a la consecución del fin constitucionalmente legítimo de </w:t>
      </w:r>
      <w:r w:rsidR="00AD7DA8" w:rsidRPr="000B352A">
        <w:rPr>
          <w:rFonts w:cs="Times New Roman"/>
          <w:i/>
          <w:color w:val="000000"/>
          <w:szCs w:val="28"/>
          <w:bdr w:val="none" w:sz="0" w:space="0" w:color="auto" w:frame="1"/>
          <w:lang w:val="es-ES"/>
        </w:rPr>
        <w:t>“</w:t>
      </w:r>
      <w:r w:rsidR="00AD7DA8" w:rsidRPr="000B352A">
        <w:rPr>
          <w:rFonts w:eastAsia="Times New Roman" w:cs="Times New Roman"/>
          <w:i/>
          <w:iCs/>
          <w:color w:val="000000"/>
          <w:szCs w:val="28"/>
          <w:bdr w:val="none" w:sz="0" w:space="0" w:color="auto" w:frame="1"/>
          <w:lang w:eastAsia="es-CO"/>
        </w:rPr>
        <w:t>garantizar la seguridad y la convivencia pacífica en los inmuebles sometidos a ella”</w:t>
      </w:r>
      <w:r w:rsidR="00AD7DA8" w:rsidRPr="000B352A">
        <w:rPr>
          <w:rStyle w:val="Refdenotaalpie"/>
          <w:rFonts w:eastAsia="Times New Roman"/>
          <w:i/>
          <w:iCs/>
          <w:color w:val="000000"/>
          <w:szCs w:val="28"/>
          <w:bdr w:val="none" w:sz="0" w:space="0" w:color="auto" w:frame="1"/>
          <w:lang w:eastAsia="es-CO"/>
        </w:rPr>
        <w:footnoteReference w:id="59"/>
      </w:r>
      <w:r w:rsidR="00AD7DA8" w:rsidRPr="000B352A">
        <w:rPr>
          <w:rFonts w:eastAsia="Times New Roman" w:cs="Times New Roman"/>
          <w:i/>
          <w:iCs/>
          <w:color w:val="000000"/>
          <w:szCs w:val="28"/>
          <w:bdr w:val="none" w:sz="0" w:space="0" w:color="auto" w:frame="1"/>
          <w:lang w:eastAsia="es-CO"/>
        </w:rPr>
        <w:t xml:space="preserve">; </w:t>
      </w:r>
      <w:r w:rsidR="00AD7DA8" w:rsidRPr="000B352A">
        <w:rPr>
          <w:rFonts w:eastAsia="Times New Roman" w:cs="Times New Roman"/>
          <w:iCs/>
          <w:color w:val="000000"/>
          <w:szCs w:val="28"/>
          <w:bdr w:val="none" w:sz="0" w:space="0" w:color="auto" w:frame="1"/>
          <w:lang w:eastAsia="es-CO"/>
        </w:rPr>
        <w:t xml:space="preserve">esto es, en palabras de la Corte al analizar el alcance del referido artículo 59, de impedir </w:t>
      </w:r>
      <w:r w:rsidR="00AD7DA8" w:rsidRPr="000B352A">
        <w:rPr>
          <w:rFonts w:cs="Times New Roman"/>
          <w:color w:val="2D2D2D"/>
          <w:szCs w:val="28"/>
          <w:shd w:val="clear" w:color="auto" w:fill="FFFFFF"/>
        </w:rPr>
        <w:t xml:space="preserve">que, mediante comportamientos censurables, se obstruya la consecución de </w:t>
      </w:r>
      <w:r w:rsidR="00AD7DA8" w:rsidRPr="000B352A">
        <w:rPr>
          <w:rFonts w:cs="Times New Roman"/>
          <w:i/>
          <w:color w:val="2D2D2D"/>
          <w:szCs w:val="28"/>
          <w:shd w:val="clear" w:color="auto" w:fill="FFFFFF"/>
        </w:rPr>
        <w:t>“los objetivos del régimen de propiedad horizontal (seguridad y armónica convivencia)”</w:t>
      </w:r>
      <w:r w:rsidR="00AD7DA8" w:rsidRPr="000B352A">
        <w:rPr>
          <w:rStyle w:val="Refdenotaalpie"/>
          <w:color w:val="2D2D2D"/>
          <w:szCs w:val="28"/>
          <w:shd w:val="clear" w:color="auto" w:fill="FFFFFF"/>
        </w:rPr>
        <w:footnoteReference w:id="60"/>
      </w:r>
      <w:r w:rsidR="00AD7DA8" w:rsidRPr="000B352A">
        <w:rPr>
          <w:rFonts w:cs="Times New Roman"/>
          <w:i/>
          <w:color w:val="2D2D2D"/>
          <w:szCs w:val="28"/>
          <w:shd w:val="clear" w:color="auto" w:fill="FFFFFF"/>
        </w:rPr>
        <w:t>.</w:t>
      </w:r>
      <w:r w:rsidR="00AD7DA8" w:rsidRPr="000B352A">
        <w:rPr>
          <w:rFonts w:cs="Times New Roman"/>
          <w:color w:val="2D2D2D"/>
          <w:szCs w:val="28"/>
          <w:shd w:val="clear" w:color="auto" w:fill="FFFFFF"/>
        </w:rPr>
        <w:t xml:space="preserve"> Sobre </w:t>
      </w:r>
      <w:r w:rsidR="00E16006" w:rsidRPr="000B352A">
        <w:rPr>
          <w:rFonts w:cs="Times New Roman"/>
          <w:color w:val="2D2D2D"/>
          <w:szCs w:val="28"/>
          <w:shd w:val="clear" w:color="auto" w:fill="FFFFFF"/>
        </w:rPr>
        <w:t>este último asunto</w:t>
      </w:r>
      <w:r w:rsidR="00AD7DA8" w:rsidRPr="000B352A">
        <w:rPr>
          <w:rFonts w:cs="Times New Roman"/>
          <w:color w:val="2D2D2D"/>
          <w:szCs w:val="28"/>
          <w:shd w:val="clear" w:color="auto" w:fill="FFFFFF"/>
        </w:rPr>
        <w:t>, mediante Sentencia T-035 de 1997</w:t>
      </w:r>
      <w:r w:rsidR="00AD7DA8" w:rsidRPr="000B352A">
        <w:rPr>
          <w:rStyle w:val="Refdenotaalpie"/>
          <w:color w:val="2D2D2D"/>
          <w:szCs w:val="28"/>
          <w:shd w:val="clear" w:color="auto" w:fill="FFFFFF"/>
        </w:rPr>
        <w:footnoteReference w:id="61"/>
      </w:r>
      <w:r w:rsidR="00AD7DA8" w:rsidRPr="000B352A">
        <w:rPr>
          <w:rFonts w:cs="Times New Roman"/>
          <w:color w:val="2D2D2D"/>
          <w:szCs w:val="28"/>
          <w:shd w:val="clear" w:color="auto" w:fill="FFFFFF"/>
        </w:rPr>
        <w:t xml:space="preserve"> la Corte expresó que </w:t>
      </w:r>
      <w:r w:rsidR="00E16006" w:rsidRPr="000B352A">
        <w:rPr>
          <w:rFonts w:cs="Times New Roman"/>
          <w:i/>
          <w:color w:val="2D2D2D"/>
          <w:szCs w:val="28"/>
          <w:shd w:val="clear" w:color="auto" w:fill="FFFFFF"/>
        </w:rPr>
        <w:t>“</w:t>
      </w:r>
      <w:r w:rsidR="00AD7DA8" w:rsidRPr="000B352A">
        <w:rPr>
          <w:rFonts w:cs="Times New Roman"/>
          <w:i/>
          <w:szCs w:val="28"/>
        </w:rPr>
        <w:t>el contenido del reglamento de copropiedad no podrá ir más allá de la regulación de los derechos que exige el mantenimiento de la comunidad, de aquello que resulte necesario para su existencia, seguridad y conservación, y con las limitaciones mencionadas; así las cosas, no podrán ser oponibles, por virtud del mismo, cláusulas relativas a derechos que no trascienden el ámbito de lo privado y que por tanto forman parte del núcleo esencial de derechos como la intimidad o la autonomía privada, sobre los cuales se admiten excepciones cuando entran en conflicto con los derechos de los demás o el orden jurídico. A contrario sensu, los derechos que trascienden ese espacio íntimo pueden ser objeto de regulación más amplia, siempre bajo los parámetros que imponen los principios y valores del ordenamiento constitucional.”</w:t>
      </w:r>
    </w:p>
    <w:p w14:paraId="64E5A306" w14:textId="77777777" w:rsidR="00E16006" w:rsidRPr="000B352A" w:rsidRDefault="00E16006" w:rsidP="000B352A">
      <w:pPr>
        <w:pStyle w:val="Prrafodelista"/>
        <w:ind w:left="0"/>
        <w:rPr>
          <w:rStyle w:val="FontStyle305"/>
          <w:rFonts w:ascii="Times New Roman" w:hAnsi="Times New Roman" w:cs="Times New Roman"/>
          <w:i w:val="0"/>
          <w:sz w:val="28"/>
          <w:szCs w:val="28"/>
          <w:lang w:val="es-ES_tradnl" w:eastAsia="es-ES_tradnl"/>
        </w:rPr>
      </w:pPr>
    </w:p>
    <w:p w14:paraId="64E5A307" w14:textId="77777777" w:rsidR="00C71161" w:rsidRPr="000B352A" w:rsidRDefault="00C71161" w:rsidP="000B352A">
      <w:pPr>
        <w:pStyle w:val="Prrafodelista"/>
        <w:numPr>
          <w:ilvl w:val="3"/>
          <w:numId w:val="3"/>
        </w:numPr>
        <w:ind w:left="0" w:hanging="22"/>
        <w:rPr>
          <w:rFonts w:cs="Times New Roman"/>
          <w:iCs/>
          <w:szCs w:val="28"/>
          <w:u w:val="single"/>
          <w:lang w:val="es-ES_tradnl" w:eastAsia="es-ES_tradnl"/>
        </w:rPr>
      </w:pPr>
      <w:r w:rsidRPr="000B352A">
        <w:rPr>
          <w:rFonts w:cs="Times New Roman"/>
          <w:iCs/>
          <w:szCs w:val="28"/>
          <w:lang w:val="es-ES_tradnl" w:eastAsia="es-ES_tradnl"/>
        </w:rPr>
        <w:t>Debe decirse</w:t>
      </w:r>
      <w:r w:rsidR="00E16006" w:rsidRPr="000B352A">
        <w:rPr>
          <w:rFonts w:cs="Times New Roman"/>
          <w:iCs/>
          <w:szCs w:val="28"/>
          <w:lang w:val="es-ES_tradnl" w:eastAsia="es-ES_tradnl"/>
        </w:rPr>
        <w:t>,</w:t>
      </w:r>
      <w:r w:rsidRPr="000B352A">
        <w:rPr>
          <w:rFonts w:cs="Times New Roman"/>
          <w:iCs/>
          <w:szCs w:val="28"/>
          <w:lang w:val="es-ES_tradnl" w:eastAsia="es-ES_tradnl"/>
        </w:rPr>
        <w:t xml:space="preserve"> </w:t>
      </w:r>
      <w:r w:rsidR="00383E1B" w:rsidRPr="000B352A">
        <w:rPr>
          <w:rFonts w:cs="Times New Roman"/>
          <w:iCs/>
          <w:szCs w:val="28"/>
          <w:lang w:val="es-ES_tradnl" w:eastAsia="es-ES_tradnl"/>
        </w:rPr>
        <w:t>finalmente</w:t>
      </w:r>
      <w:r w:rsidRPr="000B352A">
        <w:rPr>
          <w:rFonts w:cs="Times New Roman"/>
          <w:iCs/>
          <w:szCs w:val="28"/>
          <w:lang w:val="es-ES_tradnl" w:eastAsia="es-ES_tradnl"/>
        </w:rPr>
        <w:t>, que</w:t>
      </w:r>
      <w:r w:rsidR="00E16006" w:rsidRPr="000B352A">
        <w:rPr>
          <w:rFonts w:cs="Times New Roman"/>
          <w:iCs/>
          <w:szCs w:val="28"/>
          <w:lang w:val="es-ES_tradnl" w:eastAsia="es-ES_tradnl"/>
        </w:rPr>
        <w:t xml:space="preserve"> la argumentación de las demandantes en torno al contenido de la información que el numeral 1º del artículo 59 de la Ley 675 permite publicar </w:t>
      </w:r>
      <w:r w:rsidR="0013721E" w:rsidRPr="000B352A">
        <w:rPr>
          <w:rFonts w:cs="Times New Roman"/>
          <w:iCs/>
          <w:szCs w:val="28"/>
          <w:lang w:val="es-ES_tradnl" w:eastAsia="es-ES_tradnl"/>
        </w:rPr>
        <w:t>(</w:t>
      </w:r>
      <w:r w:rsidR="00E16006" w:rsidRPr="000B352A">
        <w:rPr>
          <w:rFonts w:cs="Times New Roman"/>
          <w:iCs/>
          <w:szCs w:val="28"/>
          <w:lang w:val="es-ES_tradnl" w:eastAsia="es-ES_tradnl"/>
        </w:rPr>
        <w:t xml:space="preserve">la </w:t>
      </w:r>
      <w:r w:rsidR="00E16006" w:rsidRPr="000B352A">
        <w:rPr>
          <w:rFonts w:cs="Times New Roman"/>
          <w:i/>
          <w:iCs/>
          <w:szCs w:val="28"/>
          <w:lang w:val="es-ES_tradnl" w:eastAsia="es-ES_tradnl"/>
        </w:rPr>
        <w:t>“indicación expresa del hecho o acto que origina la sanción”</w:t>
      </w:r>
      <w:r w:rsidR="0013721E" w:rsidRPr="000B352A">
        <w:rPr>
          <w:rFonts w:cs="Times New Roman"/>
          <w:iCs/>
          <w:szCs w:val="28"/>
          <w:lang w:val="es-ES_tradnl" w:eastAsia="es-ES_tradnl"/>
        </w:rPr>
        <w:t>)</w:t>
      </w:r>
      <w:r w:rsidR="00E16006" w:rsidRPr="000B352A">
        <w:rPr>
          <w:rFonts w:cs="Times New Roman"/>
          <w:iCs/>
          <w:szCs w:val="28"/>
          <w:lang w:val="es-ES_tradnl" w:eastAsia="es-ES_tradnl"/>
        </w:rPr>
        <w:t xml:space="preserve"> no está llamada a prosperar</w:t>
      </w:r>
      <w:r w:rsidR="0013721E" w:rsidRPr="000B352A">
        <w:rPr>
          <w:rFonts w:cs="Times New Roman"/>
          <w:iCs/>
          <w:szCs w:val="28"/>
          <w:lang w:val="es-ES_tradnl" w:eastAsia="es-ES_tradnl"/>
        </w:rPr>
        <w:t xml:space="preserve">. De hecho, </w:t>
      </w:r>
      <w:r w:rsidR="00E16006" w:rsidRPr="000B352A">
        <w:rPr>
          <w:rFonts w:cs="Times New Roman"/>
          <w:iCs/>
          <w:szCs w:val="28"/>
          <w:u w:val="single"/>
          <w:lang w:val="es-ES_tradnl" w:eastAsia="es-ES_tradnl"/>
        </w:rPr>
        <w:t>la información de que trata la norma</w:t>
      </w:r>
      <w:r w:rsidR="0013721E" w:rsidRPr="000B352A">
        <w:rPr>
          <w:rFonts w:cs="Times New Roman"/>
          <w:iCs/>
          <w:szCs w:val="28"/>
          <w:u w:val="single"/>
          <w:lang w:val="es-ES_tradnl" w:eastAsia="es-ES_tradnl"/>
        </w:rPr>
        <w:t xml:space="preserve"> impugnada</w:t>
      </w:r>
      <w:r w:rsidR="00E16006" w:rsidRPr="000B352A">
        <w:rPr>
          <w:rFonts w:cs="Times New Roman"/>
          <w:iCs/>
          <w:szCs w:val="28"/>
          <w:u w:val="single"/>
          <w:lang w:val="es-ES_tradnl" w:eastAsia="es-ES_tradnl"/>
        </w:rPr>
        <w:t xml:space="preserve"> en ningún momento exige o sugiere que se divulguen situaciones que pertenezcan al fuero íntimo o exclusivamente privado de cualquier persona, ajenas al interés legitimo de terceras personas, inclusive de aquellas con derechos que emanen de su relación con la propiedad horizontal del caso.</w:t>
      </w:r>
      <w:r w:rsidR="00E16006" w:rsidRPr="000B352A">
        <w:rPr>
          <w:rFonts w:cs="Times New Roman"/>
          <w:iCs/>
          <w:szCs w:val="28"/>
          <w:lang w:val="es-ES_tradnl" w:eastAsia="es-ES_tradnl"/>
        </w:rPr>
        <w:t xml:space="preserve"> </w:t>
      </w:r>
      <w:r w:rsidR="00046AE9" w:rsidRPr="000B352A">
        <w:rPr>
          <w:rFonts w:cs="Times New Roman"/>
          <w:iCs/>
          <w:szCs w:val="28"/>
          <w:lang w:val="es-ES_tradnl" w:eastAsia="es-ES_tradnl"/>
        </w:rPr>
        <w:t xml:space="preserve">No sin razón la jurisprudencia ha explicado que </w:t>
      </w:r>
      <w:r w:rsidR="00046AE9" w:rsidRPr="000B352A">
        <w:rPr>
          <w:rFonts w:cs="Times New Roman"/>
          <w:i/>
          <w:iCs/>
          <w:szCs w:val="28"/>
          <w:lang w:val="es-ES_tradnl" w:eastAsia="es-ES_tradnl"/>
        </w:rPr>
        <w:t>“</w:t>
      </w:r>
      <w:r w:rsidR="00046AE9" w:rsidRPr="000B352A">
        <w:rPr>
          <w:rFonts w:cs="Times New Roman"/>
          <w:i/>
          <w:color w:val="2D2D2D"/>
          <w:szCs w:val="28"/>
          <w:shd w:val="clear" w:color="auto" w:fill="FFFFFF"/>
        </w:rPr>
        <w:t xml:space="preserve">a pesar del amplio margen de apreciación que tiene la Asamblea General de copropietarios, al momento de aprobar los reglamentos internos de la unidad residencial para la adopción de faltas y sanciones; (…), </w:t>
      </w:r>
      <w:r w:rsidR="00046AE9" w:rsidRPr="000B352A">
        <w:rPr>
          <w:rFonts w:cs="Times New Roman"/>
          <w:b/>
          <w:i/>
          <w:color w:val="2D2D2D"/>
          <w:szCs w:val="28"/>
          <w:shd w:val="clear" w:color="auto" w:fill="FFFFFF"/>
        </w:rPr>
        <w:t>esta función debe guardar relación directa con los objetivos del régimen de propiedad horizontal (seguridad y armónica convivencia) </w:t>
      </w:r>
      <w:r w:rsidR="00046AE9" w:rsidRPr="000B352A">
        <w:rPr>
          <w:rFonts w:cs="Times New Roman"/>
          <w:i/>
          <w:color w:val="2D2D2D"/>
          <w:szCs w:val="28"/>
          <w:shd w:val="clear" w:color="auto" w:fill="FFFFFF"/>
        </w:rPr>
        <w:t xml:space="preserve">(…)”; </w:t>
      </w:r>
      <w:r w:rsidR="00046AE9" w:rsidRPr="000B352A">
        <w:rPr>
          <w:rFonts w:cs="Times New Roman"/>
          <w:color w:val="2D2D2D"/>
          <w:szCs w:val="28"/>
          <w:shd w:val="clear" w:color="auto" w:fill="FFFFFF"/>
        </w:rPr>
        <w:t>razón esta por la cual</w:t>
      </w:r>
      <w:r w:rsidR="00046AE9" w:rsidRPr="000B352A">
        <w:rPr>
          <w:rFonts w:cs="Times New Roman"/>
          <w:i/>
          <w:color w:val="2D2D2D"/>
          <w:szCs w:val="28"/>
          <w:shd w:val="clear" w:color="auto" w:fill="FFFFFF"/>
        </w:rPr>
        <w:t xml:space="preserve"> </w:t>
      </w:r>
      <w:r w:rsidR="00046AE9" w:rsidRPr="000B352A">
        <w:rPr>
          <w:rFonts w:cs="Times New Roman"/>
          <w:color w:val="2D2D2D"/>
          <w:szCs w:val="28"/>
          <w:shd w:val="clear" w:color="auto" w:fill="FFFFFF"/>
        </w:rPr>
        <w:t xml:space="preserve">la </w:t>
      </w:r>
      <w:r w:rsidR="00046AE9" w:rsidRPr="000B352A">
        <w:rPr>
          <w:rFonts w:cs="Times New Roman"/>
          <w:i/>
          <w:iCs/>
          <w:szCs w:val="28"/>
          <w:lang w:val="es-ES_tradnl" w:eastAsia="es-ES_tradnl"/>
        </w:rPr>
        <w:t xml:space="preserve">“indicación expresa del hecho o acto que origina la sanción” </w:t>
      </w:r>
      <w:r w:rsidR="00046AE9" w:rsidRPr="000B352A">
        <w:rPr>
          <w:rFonts w:cs="Times New Roman"/>
          <w:iCs/>
          <w:szCs w:val="28"/>
          <w:lang w:val="es-ES_tradnl" w:eastAsia="es-ES_tradnl"/>
        </w:rPr>
        <w:t>que prevé la norma ahora analizada se limita a la descripción general de los hechos o actos mediante los cuales se habría afectado la seguridad y/o armónica convivencia de la propiedad horizontal, excluyendo cualquier manifestación relacionada con asuntos o controversias que únicamente incumban a los titulares de la información respectiva.</w:t>
      </w:r>
      <w:r w:rsidR="00AE386B" w:rsidRPr="000B352A">
        <w:rPr>
          <w:rFonts w:cs="Times New Roman"/>
          <w:iCs/>
          <w:szCs w:val="28"/>
          <w:lang w:val="es-ES_tradnl" w:eastAsia="es-ES_tradnl"/>
        </w:rPr>
        <w:t xml:space="preserve"> </w:t>
      </w:r>
      <w:r w:rsidR="00AE386B" w:rsidRPr="000B352A">
        <w:rPr>
          <w:rFonts w:cs="Times New Roman"/>
          <w:iCs/>
          <w:szCs w:val="28"/>
          <w:u w:val="single"/>
          <w:lang w:val="es-ES_tradnl" w:eastAsia="es-ES_tradnl"/>
        </w:rPr>
        <w:t xml:space="preserve">Se reitera, entonces, que cualquier información sensible y/o personalísima de las personas que se llegue a obtener </w:t>
      </w:r>
      <w:r w:rsidR="00AE386B" w:rsidRPr="000B352A">
        <w:rPr>
          <w:rFonts w:cs="Times New Roman"/>
          <w:b/>
          <w:iCs/>
          <w:szCs w:val="28"/>
          <w:u w:val="single"/>
          <w:lang w:val="es-ES_tradnl" w:eastAsia="es-ES_tradnl"/>
        </w:rPr>
        <w:t>no</w:t>
      </w:r>
      <w:r w:rsidR="00AE386B" w:rsidRPr="000B352A">
        <w:rPr>
          <w:rFonts w:cs="Times New Roman"/>
          <w:iCs/>
          <w:szCs w:val="28"/>
          <w:u w:val="single"/>
          <w:lang w:val="es-ES_tradnl" w:eastAsia="es-ES_tradnl"/>
        </w:rPr>
        <w:t xml:space="preserve"> </w:t>
      </w:r>
      <w:r w:rsidR="00AE386B" w:rsidRPr="000B352A">
        <w:rPr>
          <w:rFonts w:cs="Times New Roman"/>
          <w:b/>
          <w:iCs/>
          <w:szCs w:val="28"/>
          <w:u w:val="single"/>
          <w:lang w:val="es-ES_tradnl" w:eastAsia="es-ES_tradnl"/>
        </w:rPr>
        <w:t>puede, en ningún caso</w:t>
      </w:r>
      <w:r w:rsidR="00AE386B" w:rsidRPr="000B352A">
        <w:rPr>
          <w:rFonts w:cs="Times New Roman"/>
          <w:iCs/>
          <w:szCs w:val="28"/>
          <w:u w:val="single"/>
          <w:lang w:val="es-ES_tradnl" w:eastAsia="es-ES_tradnl"/>
        </w:rPr>
        <w:t>, ser objeto de publicación o difusión, so pena de que contra tal conducta sea censurada a través del control concreto de constitucionalidad (acción de tutela).</w:t>
      </w:r>
    </w:p>
    <w:p w14:paraId="64E5A308" w14:textId="77777777" w:rsidR="00717966" w:rsidRPr="000B352A" w:rsidRDefault="00717966" w:rsidP="000B352A">
      <w:pPr>
        <w:pStyle w:val="Prrafodelista"/>
        <w:shd w:val="clear" w:color="auto" w:fill="FFFFFF"/>
        <w:overflowPunct w:val="0"/>
        <w:autoSpaceDE w:val="0"/>
        <w:autoSpaceDN w:val="0"/>
        <w:adjustRightInd w:val="0"/>
        <w:ind w:left="0" w:right="49"/>
        <w:textAlignment w:val="baseline"/>
        <w:rPr>
          <w:rFonts w:cs="Times New Roman"/>
          <w:b/>
          <w:szCs w:val="28"/>
          <w:lang w:val="es-ES_tradnl"/>
        </w:rPr>
      </w:pPr>
    </w:p>
    <w:p w14:paraId="64E5A309" w14:textId="77777777" w:rsidR="004734F4" w:rsidRPr="000B352A" w:rsidRDefault="00383E1B" w:rsidP="000B352A">
      <w:pPr>
        <w:pStyle w:val="Prrafodelista"/>
        <w:ind w:left="0"/>
        <w:rPr>
          <w:rFonts w:cs="Times New Roman"/>
          <w:i/>
          <w:color w:val="000000"/>
          <w:szCs w:val="28"/>
          <w:bdr w:val="none" w:sz="0" w:space="0" w:color="auto" w:frame="1"/>
        </w:rPr>
      </w:pPr>
      <w:r w:rsidRPr="000B352A">
        <w:rPr>
          <w:rFonts w:cs="Times New Roman"/>
          <w:color w:val="000000"/>
          <w:szCs w:val="28"/>
          <w:bdr w:val="none" w:sz="0" w:space="0" w:color="auto" w:frame="1"/>
        </w:rPr>
        <w:t>L</w:t>
      </w:r>
      <w:r w:rsidR="004734F4" w:rsidRPr="000B352A">
        <w:rPr>
          <w:rFonts w:cs="Times New Roman"/>
          <w:color w:val="000000"/>
          <w:szCs w:val="28"/>
          <w:bdr w:val="none" w:sz="0" w:space="0" w:color="auto" w:frame="1"/>
        </w:rPr>
        <w:t xml:space="preserve">o </w:t>
      </w:r>
      <w:r w:rsidR="00446907" w:rsidRPr="000B352A">
        <w:rPr>
          <w:rFonts w:cs="Times New Roman"/>
          <w:color w:val="000000"/>
          <w:szCs w:val="28"/>
          <w:bdr w:val="none" w:sz="0" w:space="0" w:color="auto" w:frame="1"/>
        </w:rPr>
        <w:t>atrás</w:t>
      </w:r>
      <w:r w:rsidR="004734F4" w:rsidRPr="000B352A">
        <w:rPr>
          <w:rFonts w:cs="Times New Roman"/>
          <w:color w:val="000000"/>
          <w:szCs w:val="28"/>
          <w:bdr w:val="none" w:sz="0" w:space="0" w:color="auto" w:frame="1"/>
        </w:rPr>
        <w:t xml:space="preserve"> expuesto permite descartar que la publicación de que trata el numeral 1º del artículo 59 de la Ley 675 de 2001 tenga la capacidad de vulnerar el derecho al habeas data. </w:t>
      </w:r>
    </w:p>
    <w:p w14:paraId="64E5A30A" w14:textId="77777777" w:rsidR="004734F4" w:rsidRPr="000B352A" w:rsidRDefault="004734F4" w:rsidP="000B352A">
      <w:pPr>
        <w:pStyle w:val="Prrafodelista"/>
        <w:rPr>
          <w:rFonts w:cs="Times New Roman"/>
          <w:color w:val="000000"/>
          <w:szCs w:val="28"/>
          <w:highlight w:val="yellow"/>
          <w:bdr w:val="none" w:sz="0" w:space="0" w:color="auto" w:frame="1"/>
        </w:rPr>
      </w:pPr>
    </w:p>
    <w:p w14:paraId="64E5A30B" w14:textId="77777777" w:rsidR="00F66E95" w:rsidRPr="000B352A" w:rsidRDefault="00F66E95" w:rsidP="000B352A">
      <w:pPr>
        <w:pStyle w:val="Prrafodelista"/>
        <w:numPr>
          <w:ilvl w:val="1"/>
          <w:numId w:val="10"/>
        </w:numPr>
        <w:rPr>
          <w:rStyle w:val="FontStyle305"/>
          <w:rFonts w:ascii="Times New Roman" w:hAnsi="Times New Roman" w:cs="Times New Roman"/>
          <w:b/>
          <w:i w:val="0"/>
          <w:sz w:val="28"/>
          <w:szCs w:val="28"/>
          <w:lang w:val="es-ES_tradnl" w:eastAsia="es-ES_tradnl"/>
        </w:rPr>
      </w:pPr>
      <w:r w:rsidRPr="000B352A">
        <w:rPr>
          <w:rStyle w:val="FontStyle305"/>
          <w:rFonts w:ascii="Times New Roman" w:hAnsi="Times New Roman" w:cs="Times New Roman"/>
          <w:b/>
          <w:i w:val="0"/>
          <w:sz w:val="28"/>
          <w:szCs w:val="28"/>
          <w:lang w:val="es-ES_tradnl" w:eastAsia="es-ES_tradnl"/>
        </w:rPr>
        <w:t>Cargos por violación al principio de proporcionalidad</w:t>
      </w:r>
      <w:r w:rsidR="00D876C5" w:rsidRPr="000B352A">
        <w:rPr>
          <w:rStyle w:val="FontStyle305"/>
          <w:rFonts w:ascii="Times New Roman" w:hAnsi="Times New Roman" w:cs="Times New Roman"/>
          <w:b/>
          <w:i w:val="0"/>
          <w:sz w:val="28"/>
          <w:szCs w:val="28"/>
          <w:lang w:val="es-ES_tradnl" w:eastAsia="es-ES_tradnl"/>
        </w:rPr>
        <w:t xml:space="preserve"> por parte de los artículos 30 (inc. 2º) y 59 (num. 1º) de la Ley 675 de 2001</w:t>
      </w:r>
    </w:p>
    <w:p w14:paraId="64E5A30C" w14:textId="77777777" w:rsidR="000A0647" w:rsidRPr="000B352A" w:rsidRDefault="000A0647" w:rsidP="000B352A">
      <w:pPr>
        <w:rPr>
          <w:rFonts w:cs="Times New Roman"/>
          <w:b/>
          <w:szCs w:val="28"/>
          <w:lang w:val="es-ES_tradnl"/>
        </w:rPr>
      </w:pPr>
    </w:p>
    <w:p w14:paraId="64E5A30D" w14:textId="77777777" w:rsidR="00787A55" w:rsidRPr="000B352A" w:rsidRDefault="00013F55" w:rsidP="000B352A">
      <w:pPr>
        <w:pStyle w:val="Prrafodelista"/>
        <w:numPr>
          <w:ilvl w:val="2"/>
          <w:numId w:val="10"/>
        </w:numPr>
        <w:ind w:left="0" w:hanging="11"/>
        <w:rPr>
          <w:rFonts w:cs="Times New Roman"/>
          <w:b/>
          <w:i/>
          <w:szCs w:val="28"/>
          <w:lang w:val="es-ES_tradnl"/>
        </w:rPr>
      </w:pPr>
      <w:r w:rsidRPr="000B352A">
        <w:rPr>
          <w:rFonts w:cs="Times New Roman"/>
          <w:szCs w:val="28"/>
          <w:lang w:val="es-ES_tradnl"/>
        </w:rPr>
        <w:t>De lo expuesto a lo largo de esta providencia</w:t>
      </w:r>
      <w:r w:rsidRPr="000B352A">
        <w:rPr>
          <w:rFonts w:cs="Times New Roman"/>
          <w:i/>
          <w:szCs w:val="28"/>
          <w:lang w:val="es-ES_tradnl"/>
        </w:rPr>
        <w:t xml:space="preserve">, </w:t>
      </w:r>
      <w:r w:rsidRPr="000B352A">
        <w:rPr>
          <w:rFonts w:cs="Times New Roman"/>
          <w:szCs w:val="28"/>
          <w:lang w:val="es-ES_tradnl"/>
        </w:rPr>
        <w:t xml:space="preserve">para la Corte es claro que ninguno de los apartes legales demandados comporta la afectación de un derecho fundamental. </w:t>
      </w:r>
      <w:r w:rsidR="00A60E59" w:rsidRPr="000B352A">
        <w:rPr>
          <w:rFonts w:cs="Times New Roman"/>
          <w:szCs w:val="28"/>
          <w:lang w:val="es-ES_tradnl"/>
        </w:rPr>
        <w:t>Y</w:t>
      </w:r>
      <w:r w:rsidRPr="000B352A">
        <w:rPr>
          <w:rFonts w:cs="Times New Roman"/>
          <w:szCs w:val="28"/>
          <w:lang w:val="es-ES_tradnl"/>
        </w:rPr>
        <w:t>a la Corte ha explicado que</w:t>
      </w:r>
      <w:r w:rsidR="00A60E59" w:rsidRPr="000B352A">
        <w:rPr>
          <w:rFonts w:cs="Times New Roman"/>
          <w:szCs w:val="28"/>
          <w:lang w:val="es-ES_tradnl"/>
        </w:rPr>
        <w:t xml:space="preserve"> los derechos a la intimidad y al habeas data </w:t>
      </w:r>
      <w:r w:rsidRPr="000B352A">
        <w:rPr>
          <w:rFonts w:cs="Times New Roman"/>
          <w:szCs w:val="28"/>
          <w:lang w:val="es-ES_tradnl"/>
        </w:rPr>
        <w:t>sólo</w:t>
      </w:r>
      <w:r w:rsidR="00A60E59" w:rsidRPr="000B352A">
        <w:rPr>
          <w:rFonts w:cs="Times New Roman"/>
          <w:szCs w:val="28"/>
          <w:lang w:val="es-ES_tradnl"/>
        </w:rPr>
        <w:t xml:space="preserve"> se afectarían por</w:t>
      </w:r>
      <w:r w:rsidRPr="000B352A">
        <w:rPr>
          <w:rFonts w:cs="Times New Roman"/>
          <w:szCs w:val="28"/>
          <w:lang w:val="es-ES_tradnl"/>
        </w:rPr>
        <w:t xml:space="preserve"> el ejercicio abusivo de </w:t>
      </w:r>
      <w:r w:rsidR="00A60E59" w:rsidRPr="000B352A">
        <w:rPr>
          <w:rFonts w:cs="Times New Roman"/>
          <w:szCs w:val="28"/>
          <w:lang w:val="es-ES_tradnl"/>
        </w:rPr>
        <w:t>las facultades de publicación que otorgan las normas acusadas</w:t>
      </w:r>
      <w:r w:rsidR="00C44FE5" w:rsidRPr="000B352A">
        <w:rPr>
          <w:rFonts w:cs="Times New Roman"/>
          <w:szCs w:val="28"/>
          <w:lang w:val="es-ES_tradnl"/>
        </w:rPr>
        <w:t xml:space="preserve">; abuso que, valga señalar, se erige como una </w:t>
      </w:r>
      <w:r w:rsidRPr="000B352A">
        <w:rPr>
          <w:rFonts w:cs="Times New Roman"/>
          <w:szCs w:val="28"/>
          <w:lang w:val="es-ES_tradnl"/>
        </w:rPr>
        <w:t>franca violación al postulado que contempla el</w:t>
      </w:r>
      <w:r w:rsidR="00A60E59" w:rsidRPr="000B352A">
        <w:rPr>
          <w:rFonts w:cs="Times New Roman"/>
          <w:szCs w:val="28"/>
          <w:lang w:val="es-ES_tradnl"/>
        </w:rPr>
        <w:t xml:space="preserve"> numeral 1º del</w:t>
      </w:r>
      <w:r w:rsidRPr="000B352A">
        <w:rPr>
          <w:rFonts w:cs="Times New Roman"/>
          <w:szCs w:val="28"/>
          <w:lang w:val="es-ES_tradnl"/>
        </w:rPr>
        <w:t xml:space="preserve"> artículo 95 superior</w:t>
      </w:r>
      <w:r w:rsidR="00A60E59" w:rsidRPr="000B352A">
        <w:rPr>
          <w:rFonts w:cs="Times New Roman"/>
          <w:szCs w:val="28"/>
          <w:lang w:val="es-ES_tradnl"/>
        </w:rPr>
        <w:t xml:space="preserve"> que exige el respeto de los derechos ajenos y reclama que no se abuse de los propios. </w:t>
      </w:r>
      <w:r w:rsidRPr="000B352A">
        <w:rPr>
          <w:rFonts w:cs="Times New Roman"/>
          <w:szCs w:val="28"/>
          <w:lang w:val="es-ES_tradnl"/>
        </w:rPr>
        <w:t xml:space="preserve"> </w:t>
      </w:r>
      <w:r w:rsidR="00C44FE5" w:rsidRPr="000B352A">
        <w:rPr>
          <w:rFonts w:cs="Times New Roman"/>
          <w:szCs w:val="28"/>
          <w:lang w:val="es-ES_tradnl"/>
        </w:rPr>
        <w:t>Así</w:t>
      </w:r>
      <w:r w:rsidRPr="000B352A">
        <w:rPr>
          <w:rFonts w:cs="Times New Roman"/>
          <w:szCs w:val="28"/>
          <w:lang w:val="es-ES_tradnl"/>
        </w:rPr>
        <w:t xml:space="preserve">, si bien </w:t>
      </w:r>
      <w:r w:rsidRPr="000B352A">
        <w:rPr>
          <w:rFonts w:cs="Times New Roman"/>
          <w:i/>
          <w:szCs w:val="28"/>
          <w:lang w:val="es-ES_tradnl"/>
        </w:rPr>
        <w:t>prima facie</w:t>
      </w:r>
      <w:r w:rsidRPr="000B352A">
        <w:rPr>
          <w:rFonts w:cs="Times New Roman"/>
          <w:szCs w:val="28"/>
          <w:lang w:val="es-ES_tradnl"/>
        </w:rPr>
        <w:t xml:space="preserve"> pudiera </w:t>
      </w:r>
      <w:r w:rsidR="00BC63F2" w:rsidRPr="000B352A">
        <w:rPr>
          <w:rFonts w:cs="Times New Roman"/>
          <w:szCs w:val="28"/>
          <w:lang w:val="es-ES_tradnl"/>
        </w:rPr>
        <w:t>pensarse</w:t>
      </w:r>
      <w:r w:rsidRPr="000B352A">
        <w:rPr>
          <w:rFonts w:cs="Times New Roman"/>
          <w:szCs w:val="28"/>
          <w:lang w:val="es-ES_tradnl"/>
        </w:rPr>
        <w:t xml:space="preserve"> que dichas publicaciones afectarían el derecho a la intimidad, lo manifestado en el </w:t>
      </w:r>
      <w:r w:rsidR="00BC63F2" w:rsidRPr="000B352A">
        <w:rPr>
          <w:rFonts w:cs="Times New Roman"/>
          <w:szCs w:val="28"/>
          <w:lang w:val="es-ES_tradnl"/>
        </w:rPr>
        <w:t xml:space="preserve">numeral 2.1. </w:t>
      </w:r>
      <w:r w:rsidR="00BC63F2" w:rsidRPr="000B352A">
        <w:rPr>
          <w:rFonts w:cs="Times New Roman"/>
          <w:i/>
          <w:szCs w:val="28"/>
          <w:lang w:val="es-ES_tradnl"/>
        </w:rPr>
        <w:t xml:space="preserve">supra </w:t>
      </w:r>
      <w:r w:rsidR="00BC63F2" w:rsidRPr="000B352A">
        <w:rPr>
          <w:rFonts w:cs="Times New Roman"/>
          <w:szCs w:val="28"/>
          <w:lang w:val="es-ES_tradnl"/>
        </w:rPr>
        <w:t>explica</w:t>
      </w:r>
      <w:r w:rsidR="00BC63F2" w:rsidRPr="000B352A">
        <w:rPr>
          <w:rFonts w:cs="Times New Roman"/>
          <w:i/>
          <w:szCs w:val="28"/>
          <w:lang w:val="es-ES_tradnl"/>
        </w:rPr>
        <w:t xml:space="preserve"> </w:t>
      </w:r>
      <w:r w:rsidR="00BC63F2" w:rsidRPr="000B352A">
        <w:rPr>
          <w:rFonts w:cs="Times New Roman"/>
          <w:szCs w:val="28"/>
          <w:lang w:val="es-ES_tradnl"/>
        </w:rPr>
        <w:t xml:space="preserve">que los incumplimientos de las obligaciones que surgen del reglamento de propiedad horizontal </w:t>
      </w:r>
      <w:r w:rsidR="00BC63F2" w:rsidRPr="000B352A">
        <w:rPr>
          <w:rFonts w:cs="Times New Roman"/>
          <w:i/>
          <w:szCs w:val="28"/>
        </w:rPr>
        <w:t>“tiene(n) un alcance de afectación del interés común; por ello, la publicación de la sanción subsiguiente a la falta no vulnera la intimidad del sancionado, puesto que la falta misma no es un comportamiento íntimo que deba ser protegido de la divulgación a terceros.”</w:t>
      </w:r>
      <w:r w:rsidR="00BC63F2" w:rsidRPr="000B352A">
        <w:rPr>
          <w:rFonts w:cs="Times New Roman"/>
          <w:szCs w:val="28"/>
        </w:rPr>
        <w:t xml:space="preserve"> Y si bien en principio se podría considerar que tales publicaciones vulnerarían el derecho al habeas data de sus sujetos pasivos, la Corte también explicó en el numeral 2.2. </w:t>
      </w:r>
      <w:r w:rsidR="00BC63F2" w:rsidRPr="000B352A">
        <w:rPr>
          <w:rFonts w:cs="Times New Roman"/>
          <w:i/>
          <w:szCs w:val="28"/>
        </w:rPr>
        <w:t>supra</w:t>
      </w:r>
      <w:r w:rsidR="00BC63F2" w:rsidRPr="000B352A">
        <w:rPr>
          <w:rFonts w:cs="Times New Roman"/>
          <w:szCs w:val="28"/>
        </w:rPr>
        <w:t xml:space="preserve"> que la conjugación armoniosa de los principios de libertad y de finalidad que rigen el tratamiento de datos permite que las respectivas informaciones semiprivadas sean circuladas en un ámbito restringido a efectos de garantizar un fin constitucionalmente legítimo y superior.</w:t>
      </w:r>
    </w:p>
    <w:p w14:paraId="64E5A30E" w14:textId="77777777" w:rsidR="00787A55" w:rsidRPr="000B352A" w:rsidRDefault="00787A55" w:rsidP="000B352A">
      <w:pPr>
        <w:pStyle w:val="Prrafodelista"/>
        <w:ind w:left="0"/>
        <w:rPr>
          <w:rFonts w:cs="Times New Roman"/>
          <w:b/>
          <w:i/>
          <w:szCs w:val="28"/>
          <w:lang w:val="es-ES_tradnl"/>
        </w:rPr>
      </w:pPr>
    </w:p>
    <w:p w14:paraId="64E5A30F" w14:textId="77777777" w:rsidR="00787A55" w:rsidRPr="000B352A" w:rsidRDefault="00BC63F2" w:rsidP="000B352A">
      <w:pPr>
        <w:pStyle w:val="Prrafodelista"/>
        <w:numPr>
          <w:ilvl w:val="2"/>
          <w:numId w:val="10"/>
        </w:numPr>
        <w:ind w:left="0" w:hanging="11"/>
        <w:rPr>
          <w:rFonts w:cs="Times New Roman"/>
          <w:b/>
          <w:szCs w:val="28"/>
          <w:lang w:val="es-ES_tradnl"/>
        </w:rPr>
      </w:pPr>
      <w:r w:rsidRPr="000B352A">
        <w:rPr>
          <w:rFonts w:cs="Times New Roman"/>
          <w:szCs w:val="28"/>
          <w:lang w:val="es-ES_tradnl"/>
        </w:rPr>
        <w:t xml:space="preserve">En el anterior orden, contrario a lo que manifiestan las accionantes, </w:t>
      </w:r>
      <w:r w:rsidR="008A0F50" w:rsidRPr="000B352A">
        <w:rPr>
          <w:rFonts w:cs="Times New Roman"/>
          <w:szCs w:val="28"/>
          <w:lang w:val="es-ES_tradnl"/>
        </w:rPr>
        <w:t xml:space="preserve">sobre las normas demandadas no procede </w:t>
      </w:r>
      <w:r w:rsidR="002D77EA" w:rsidRPr="000B352A">
        <w:rPr>
          <w:rFonts w:cs="Times New Roman"/>
          <w:szCs w:val="28"/>
          <w:lang w:val="es-ES_tradnl"/>
        </w:rPr>
        <w:t>juicio de proporcionalidad alguno.</w:t>
      </w:r>
      <w:r w:rsidR="008239E4" w:rsidRPr="000B352A">
        <w:rPr>
          <w:rFonts w:cs="Times New Roman"/>
          <w:szCs w:val="28"/>
          <w:lang w:val="es-ES_tradnl"/>
        </w:rPr>
        <w:t xml:space="preserve"> Ciertamente, al margen de que el efecto de las publicaciones de que tratan el inciso 2º del artículo 30 y el numeral 1 del artículo 59 de la Ley 675 de 2001 t</w:t>
      </w:r>
      <w:r w:rsidR="00C44FE5" w:rsidRPr="000B352A">
        <w:rPr>
          <w:rFonts w:cs="Times New Roman"/>
          <w:szCs w:val="28"/>
          <w:lang w:val="es-ES_tradnl"/>
        </w:rPr>
        <w:t>engan</w:t>
      </w:r>
      <w:r w:rsidR="008239E4" w:rsidRPr="000B352A">
        <w:rPr>
          <w:rFonts w:cs="Times New Roman"/>
          <w:szCs w:val="28"/>
          <w:lang w:val="es-ES_tradnl"/>
        </w:rPr>
        <w:t xml:space="preserve"> un loable efecto disuasivo </w:t>
      </w:r>
      <w:r w:rsidR="00514316" w:rsidRPr="000B352A">
        <w:rPr>
          <w:rFonts w:cs="Times New Roman"/>
          <w:szCs w:val="28"/>
          <w:lang w:val="es-ES_tradnl"/>
        </w:rPr>
        <w:t>frente de la realización de</w:t>
      </w:r>
      <w:r w:rsidR="008239E4" w:rsidRPr="000B352A">
        <w:rPr>
          <w:rFonts w:cs="Times New Roman"/>
          <w:szCs w:val="28"/>
          <w:lang w:val="es-ES_tradnl"/>
        </w:rPr>
        <w:t xml:space="preserve"> conductas que atentan contra el fin constitucional legítimo e imperioso de </w:t>
      </w:r>
      <w:r w:rsidR="008239E4" w:rsidRPr="000B352A">
        <w:rPr>
          <w:rFonts w:eastAsia="Times New Roman" w:cs="Times New Roman"/>
          <w:i/>
          <w:iCs/>
          <w:color w:val="000000"/>
          <w:szCs w:val="28"/>
          <w:bdr w:val="none" w:sz="0" w:space="0" w:color="auto" w:frame="1"/>
          <w:lang w:eastAsia="es-CO"/>
        </w:rPr>
        <w:t xml:space="preserve">“garantizar la seguridad y la convivencia pacífica en los inmuebles sometidos a ella, así como la función social de la propiedad” </w:t>
      </w:r>
      <w:r w:rsidR="008239E4" w:rsidRPr="000B352A">
        <w:rPr>
          <w:rFonts w:eastAsia="Times New Roman" w:cs="Times New Roman"/>
          <w:iCs/>
          <w:color w:val="000000"/>
          <w:szCs w:val="28"/>
          <w:bdr w:val="none" w:sz="0" w:space="0" w:color="auto" w:frame="1"/>
          <w:lang w:eastAsia="es-CO"/>
        </w:rPr>
        <w:t>-disuasión esta por la cual también propenden la</w:t>
      </w:r>
      <w:r w:rsidR="00365BF9" w:rsidRPr="000B352A">
        <w:rPr>
          <w:rFonts w:eastAsia="Times New Roman" w:cs="Times New Roman"/>
          <w:iCs/>
          <w:color w:val="000000"/>
          <w:szCs w:val="28"/>
          <w:bdr w:val="none" w:sz="0" w:space="0" w:color="auto" w:frame="1"/>
          <w:lang w:eastAsia="es-CO"/>
        </w:rPr>
        <w:t>s</w:t>
      </w:r>
      <w:r w:rsidR="008239E4" w:rsidRPr="000B352A">
        <w:rPr>
          <w:rFonts w:eastAsia="Times New Roman" w:cs="Times New Roman"/>
          <w:iCs/>
          <w:color w:val="000000"/>
          <w:szCs w:val="28"/>
          <w:bdr w:val="none" w:sz="0" w:space="0" w:color="auto" w:frame="1"/>
          <w:lang w:eastAsia="es-CO"/>
        </w:rPr>
        <w:t xml:space="preserve"> sanciones de privación de la libertad</w:t>
      </w:r>
      <w:r w:rsidR="00365BF9" w:rsidRPr="000B352A">
        <w:rPr>
          <w:rStyle w:val="Refdenotaalpie"/>
          <w:rFonts w:eastAsia="Times New Roman"/>
          <w:iCs/>
          <w:color w:val="000000"/>
          <w:szCs w:val="28"/>
          <w:bdr w:val="none" w:sz="0" w:space="0" w:color="auto" w:frame="1"/>
          <w:lang w:eastAsia="es-CO"/>
        </w:rPr>
        <w:footnoteReference w:id="62"/>
      </w:r>
      <w:r w:rsidR="008239E4" w:rsidRPr="000B352A">
        <w:rPr>
          <w:rFonts w:eastAsia="Times New Roman" w:cs="Times New Roman"/>
          <w:iCs/>
          <w:color w:val="000000"/>
          <w:szCs w:val="28"/>
          <w:bdr w:val="none" w:sz="0" w:space="0" w:color="auto" w:frame="1"/>
          <w:lang w:eastAsia="es-CO"/>
        </w:rPr>
        <w:t>-</w:t>
      </w:r>
      <w:r w:rsidR="00514316" w:rsidRPr="000B352A">
        <w:rPr>
          <w:rFonts w:eastAsia="Times New Roman" w:cs="Times New Roman"/>
          <w:i/>
          <w:iCs/>
          <w:color w:val="000000"/>
          <w:szCs w:val="28"/>
          <w:bdr w:val="none" w:sz="0" w:space="0" w:color="auto" w:frame="1"/>
          <w:lang w:eastAsia="es-CO"/>
        </w:rPr>
        <w:t xml:space="preserve">, </w:t>
      </w:r>
      <w:r w:rsidR="00514316" w:rsidRPr="000B352A">
        <w:rPr>
          <w:rFonts w:eastAsia="Times New Roman" w:cs="Times New Roman"/>
          <w:iCs/>
          <w:color w:val="000000"/>
          <w:szCs w:val="28"/>
          <w:bdr w:val="none" w:sz="0" w:space="0" w:color="auto" w:frame="1"/>
          <w:lang w:eastAsia="es-CO"/>
        </w:rPr>
        <w:t xml:space="preserve">lo cierto es que, según se explicó </w:t>
      </w:r>
      <w:r w:rsidR="00CC09A9" w:rsidRPr="000B352A">
        <w:rPr>
          <w:rFonts w:eastAsia="Times New Roman" w:cs="Times New Roman"/>
          <w:iCs/>
          <w:color w:val="000000"/>
          <w:szCs w:val="28"/>
          <w:bdr w:val="none" w:sz="0" w:space="0" w:color="auto" w:frame="1"/>
          <w:lang w:eastAsia="es-CO"/>
        </w:rPr>
        <w:t>en</w:t>
      </w:r>
      <w:r w:rsidR="00514316" w:rsidRPr="000B352A">
        <w:rPr>
          <w:rFonts w:eastAsia="Times New Roman" w:cs="Times New Roman"/>
          <w:iCs/>
          <w:color w:val="000000"/>
          <w:szCs w:val="28"/>
          <w:bdr w:val="none" w:sz="0" w:space="0" w:color="auto" w:frame="1"/>
          <w:lang w:eastAsia="es-CO"/>
        </w:rPr>
        <w:t xml:space="preserve"> el numeral inmediatamente anterior, las referidas publicaciones no atentan contra derecho fundamental alguno. Y ello debe bastar para negar la aplicación del juicio de proporcionalidad suplicado por las accionante pues, como ha explicado esta Corte, </w:t>
      </w:r>
      <w:r w:rsidR="00590986" w:rsidRPr="000B352A">
        <w:rPr>
          <w:rFonts w:eastAsia="Times New Roman" w:cs="Times New Roman"/>
          <w:iCs/>
          <w:szCs w:val="28"/>
          <w:bdr w:val="none" w:sz="0" w:space="0" w:color="auto" w:frame="1"/>
          <w:lang w:eastAsia="es-CO"/>
        </w:rPr>
        <w:t>“</w:t>
      </w:r>
      <w:r w:rsidR="00590986" w:rsidRPr="000B352A">
        <w:rPr>
          <w:rFonts w:cs="Times New Roman"/>
          <w:i/>
          <w:iCs/>
          <w:szCs w:val="28"/>
          <w:bdr w:val="none" w:sz="0" w:space="0" w:color="auto" w:frame="1"/>
        </w:rPr>
        <w:t>(e)</w:t>
      </w:r>
      <w:r w:rsidR="00B40986" w:rsidRPr="000B352A">
        <w:rPr>
          <w:rFonts w:cs="Times New Roman"/>
          <w:i/>
          <w:iCs/>
          <w:szCs w:val="28"/>
          <w:bdr w:val="none" w:sz="0" w:space="0" w:color="auto" w:frame="1"/>
        </w:rPr>
        <w:t xml:space="preserve">l juicio de proporcionalidad al que se refiere el actor, </w:t>
      </w:r>
      <w:r w:rsidR="00B40986" w:rsidRPr="000B352A">
        <w:rPr>
          <w:rFonts w:cs="Times New Roman"/>
          <w:b/>
          <w:i/>
          <w:iCs/>
          <w:szCs w:val="28"/>
          <w:bdr w:val="none" w:sz="0" w:space="0" w:color="auto" w:frame="1"/>
        </w:rPr>
        <w:t>es pertinente efectuarlo cuando la norma acusada en efecto restringe derechos o principios fundamentales</w:t>
      </w:r>
      <w:r w:rsidR="00B40986" w:rsidRPr="000B352A">
        <w:rPr>
          <w:rFonts w:cs="Times New Roman"/>
          <w:i/>
          <w:iCs/>
          <w:szCs w:val="28"/>
          <w:bdr w:val="none" w:sz="0" w:space="0" w:color="auto" w:frame="1"/>
        </w:rPr>
        <w:t>, pues su objetivo es establecer si la finalidad perseguida con la respectiva norma justifica tal restricción, y si su contenido, en cuanto limita el ejercicio de aquellos, es proporcional a la restricción impuesta."</w:t>
      </w:r>
      <w:bookmarkStart w:id="19" w:name="_ftnref18"/>
      <w:r w:rsidR="00590986" w:rsidRPr="000B352A">
        <w:rPr>
          <w:rStyle w:val="Refdenotaalpie"/>
          <w:i/>
          <w:iCs/>
          <w:color w:val="2D2D2D"/>
          <w:szCs w:val="28"/>
          <w:bdr w:val="none" w:sz="0" w:space="0" w:color="auto" w:frame="1"/>
        </w:rPr>
        <w:footnoteReference w:id="63"/>
      </w:r>
      <w:bookmarkEnd w:id="19"/>
      <w:r w:rsidR="00787A55" w:rsidRPr="000B352A">
        <w:rPr>
          <w:rFonts w:cs="Times New Roman"/>
          <w:i/>
          <w:iCs/>
          <w:color w:val="2D2D2D"/>
          <w:szCs w:val="28"/>
          <w:bdr w:val="none" w:sz="0" w:space="0" w:color="auto" w:frame="1"/>
        </w:rPr>
        <w:t xml:space="preserve">; </w:t>
      </w:r>
      <w:r w:rsidR="00787A55" w:rsidRPr="000B352A">
        <w:rPr>
          <w:rFonts w:cs="Times New Roman"/>
          <w:iCs/>
          <w:color w:val="2D2D2D"/>
          <w:szCs w:val="28"/>
          <w:bdr w:val="none" w:sz="0" w:space="0" w:color="auto" w:frame="1"/>
        </w:rPr>
        <w:t>o cuando en otra oportunidad explicó que</w:t>
      </w:r>
      <w:r w:rsidR="00787A55" w:rsidRPr="000B352A">
        <w:rPr>
          <w:rFonts w:cs="Times New Roman"/>
          <w:i/>
          <w:iCs/>
          <w:color w:val="2D2D2D"/>
          <w:szCs w:val="28"/>
          <w:bdr w:val="none" w:sz="0" w:space="0" w:color="auto" w:frame="1"/>
        </w:rPr>
        <w:t xml:space="preserve"> </w:t>
      </w:r>
      <w:r w:rsidR="003D3703" w:rsidRPr="000B352A">
        <w:rPr>
          <w:rFonts w:cs="Times New Roman"/>
          <w:color w:val="2D2D2D"/>
          <w:szCs w:val="28"/>
          <w:shd w:val="clear" w:color="auto" w:fill="FFFFFF"/>
        </w:rPr>
        <w:t xml:space="preserve">la Corte debe recurrir al juicio de proporcionalidad cuando se trata de </w:t>
      </w:r>
      <w:r w:rsidR="003D3703" w:rsidRPr="000B352A">
        <w:rPr>
          <w:rFonts w:cs="Times New Roman"/>
          <w:i/>
          <w:color w:val="2D2D2D"/>
          <w:szCs w:val="28"/>
          <w:shd w:val="clear" w:color="auto" w:fill="FFFFFF"/>
        </w:rPr>
        <w:t>“</w:t>
      </w:r>
      <w:r w:rsidR="003D3703" w:rsidRPr="000B352A">
        <w:rPr>
          <w:rFonts w:cs="Times New Roman"/>
          <w:b/>
          <w:i/>
          <w:color w:val="2D2D2D"/>
          <w:szCs w:val="28"/>
          <w:shd w:val="clear" w:color="auto" w:fill="FFFFFF"/>
        </w:rPr>
        <w:t>determinar si un trato diferente o una restricción de un derecho se ajustan a la Carta</w:t>
      </w:r>
      <w:bookmarkStart w:id="20" w:name="_ftnref8"/>
      <w:r w:rsidR="003D3703" w:rsidRPr="000B352A">
        <w:rPr>
          <w:rFonts w:cs="Times New Roman"/>
          <w:i/>
          <w:color w:val="2D2D2D"/>
          <w:szCs w:val="28"/>
          <w:shd w:val="clear" w:color="auto" w:fill="FFFFFF"/>
        </w:rPr>
        <w:t>”</w:t>
      </w:r>
      <w:bookmarkEnd w:id="20"/>
      <w:r w:rsidR="00787A55" w:rsidRPr="000B352A">
        <w:rPr>
          <w:rStyle w:val="Refdenotaalpie"/>
          <w:szCs w:val="28"/>
        </w:rPr>
        <w:footnoteReference w:id="64"/>
      </w:r>
      <w:r w:rsidR="000B01F8" w:rsidRPr="000B352A">
        <w:rPr>
          <w:rFonts w:cs="Times New Roman"/>
          <w:i/>
          <w:color w:val="2D2D2D"/>
          <w:szCs w:val="28"/>
          <w:shd w:val="clear" w:color="auto" w:fill="FFFFFF"/>
        </w:rPr>
        <w:t xml:space="preserve">; </w:t>
      </w:r>
      <w:r w:rsidR="000B01F8" w:rsidRPr="000B352A">
        <w:rPr>
          <w:rFonts w:cs="Times New Roman"/>
          <w:color w:val="2D2D2D"/>
          <w:szCs w:val="28"/>
          <w:shd w:val="clear" w:color="auto" w:fill="FFFFFF"/>
        </w:rPr>
        <w:t>situación que, como se ha explicado, no ocurre en el presente asunto.</w:t>
      </w:r>
    </w:p>
    <w:p w14:paraId="64E5A310" w14:textId="77777777" w:rsidR="008239E4" w:rsidRPr="000B352A" w:rsidRDefault="00787A55" w:rsidP="000B352A">
      <w:pPr>
        <w:shd w:val="clear" w:color="auto" w:fill="FFFFFF"/>
        <w:overflowPunct w:val="0"/>
        <w:autoSpaceDE w:val="0"/>
        <w:autoSpaceDN w:val="0"/>
        <w:adjustRightInd w:val="0"/>
        <w:ind w:right="49"/>
        <w:textAlignment w:val="baseline"/>
        <w:rPr>
          <w:rFonts w:cs="Times New Roman"/>
          <w:b/>
          <w:szCs w:val="28"/>
          <w:lang w:val="es-ES_tradnl"/>
        </w:rPr>
      </w:pPr>
      <w:r w:rsidRPr="000B352A">
        <w:rPr>
          <w:rFonts w:cs="Times New Roman"/>
          <w:b/>
          <w:szCs w:val="28"/>
          <w:lang w:val="es-ES_tradnl"/>
        </w:rPr>
        <w:t xml:space="preserve"> </w:t>
      </w:r>
    </w:p>
    <w:p w14:paraId="64E5A311" w14:textId="77777777" w:rsidR="008239E4" w:rsidRPr="000B352A" w:rsidRDefault="000B01F8" w:rsidP="000B352A">
      <w:pPr>
        <w:shd w:val="clear" w:color="auto" w:fill="FFFFFF"/>
        <w:overflowPunct w:val="0"/>
        <w:autoSpaceDE w:val="0"/>
        <w:autoSpaceDN w:val="0"/>
        <w:adjustRightInd w:val="0"/>
        <w:ind w:right="49"/>
        <w:textAlignment w:val="baseline"/>
        <w:rPr>
          <w:rFonts w:cs="Times New Roman"/>
          <w:szCs w:val="28"/>
          <w:lang w:val="es-ES_tradnl"/>
        </w:rPr>
      </w:pPr>
      <w:r w:rsidRPr="000B352A">
        <w:rPr>
          <w:rFonts w:cs="Times New Roman"/>
          <w:szCs w:val="28"/>
          <w:lang w:val="es-ES_tradnl"/>
        </w:rPr>
        <w:t>Por las anteriores razones</w:t>
      </w:r>
      <w:r w:rsidR="007E0A63" w:rsidRPr="000B352A">
        <w:rPr>
          <w:rFonts w:cs="Times New Roman"/>
          <w:szCs w:val="28"/>
          <w:lang w:val="es-ES_tradnl"/>
        </w:rPr>
        <w:t>,</w:t>
      </w:r>
      <w:r w:rsidRPr="000B352A">
        <w:rPr>
          <w:rFonts w:cs="Times New Roman"/>
          <w:szCs w:val="28"/>
          <w:lang w:val="es-ES_tradnl"/>
        </w:rPr>
        <w:t xml:space="preserve"> la Corte </w:t>
      </w:r>
      <w:r w:rsidR="007E0A63" w:rsidRPr="000B352A">
        <w:rPr>
          <w:rFonts w:cs="Times New Roman"/>
          <w:szCs w:val="28"/>
          <w:lang w:val="es-ES_tradnl"/>
        </w:rPr>
        <w:t>negará las pretensiones de inexequibilidad fundadas en la violación del principio de proporcionalidad.</w:t>
      </w:r>
    </w:p>
    <w:p w14:paraId="64E5A312" w14:textId="77777777" w:rsidR="008239E4" w:rsidRPr="000B352A" w:rsidRDefault="008239E4" w:rsidP="000B352A">
      <w:pPr>
        <w:pStyle w:val="Prrafodelista"/>
        <w:shd w:val="clear" w:color="auto" w:fill="FFFFFF"/>
        <w:overflowPunct w:val="0"/>
        <w:autoSpaceDE w:val="0"/>
        <w:autoSpaceDN w:val="0"/>
        <w:adjustRightInd w:val="0"/>
        <w:ind w:left="1080" w:right="49"/>
        <w:textAlignment w:val="baseline"/>
        <w:rPr>
          <w:rFonts w:cs="Times New Roman"/>
          <w:b/>
          <w:szCs w:val="28"/>
          <w:lang w:val="es-ES_tradnl"/>
        </w:rPr>
      </w:pPr>
    </w:p>
    <w:p w14:paraId="64E5A313" w14:textId="77777777" w:rsidR="00F66E95" w:rsidRPr="000B352A" w:rsidRDefault="000B01F8" w:rsidP="000B352A">
      <w:pPr>
        <w:pStyle w:val="Prrafodelista"/>
        <w:numPr>
          <w:ilvl w:val="0"/>
          <w:numId w:val="10"/>
        </w:numPr>
        <w:shd w:val="clear" w:color="auto" w:fill="FFFFFF"/>
        <w:overflowPunct w:val="0"/>
        <w:autoSpaceDE w:val="0"/>
        <w:autoSpaceDN w:val="0"/>
        <w:adjustRightInd w:val="0"/>
        <w:ind w:right="49"/>
        <w:textAlignment w:val="baseline"/>
        <w:rPr>
          <w:rFonts w:cs="Times New Roman"/>
          <w:b/>
          <w:smallCaps/>
          <w:kern w:val="28"/>
          <w:szCs w:val="28"/>
        </w:rPr>
      </w:pPr>
      <w:r w:rsidRPr="000B352A">
        <w:rPr>
          <w:rFonts w:cs="Times New Roman"/>
          <w:b/>
          <w:smallCaps/>
          <w:kern w:val="28"/>
          <w:szCs w:val="28"/>
        </w:rPr>
        <w:t>Síntesis de la decisión</w:t>
      </w:r>
    </w:p>
    <w:p w14:paraId="64E5A314" w14:textId="77777777" w:rsidR="00F66E95" w:rsidRPr="000B352A" w:rsidRDefault="00F66E95" w:rsidP="000B352A">
      <w:pPr>
        <w:shd w:val="clear" w:color="auto" w:fill="FFFFFF"/>
        <w:overflowPunct w:val="0"/>
        <w:autoSpaceDE w:val="0"/>
        <w:autoSpaceDN w:val="0"/>
        <w:adjustRightInd w:val="0"/>
        <w:ind w:right="49"/>
        <w:textAlignment w:val="baseline"/>
        <w:rPr>
          <w:rFonts w:cs="Times New Roman"/>
          <w:b/>
          <w:szCs w:val="28"/>
        </w:rPr>
      </w:pPr>
    </w:p>
    <w:p w14:paraId="64E5A315" w14:textId="77777777" w:rsidR="00C33A24" w:rsidRPr="000B352A" w:rsidRDefault="0013721E" w:rsidP="000B352A">
      <w:pPr>
        <w:shd w:val="clear" w:color="auto" w:fill="FFFFFF"/>
        <w:overflowPunct w:val="0"/>
        <w:autoSpaceDE w:val="0"/>
        <w:autoSpaceDN w:val="0"/>
        <w:adjustRightInd w:val="0"/>
        <w:ind w:right="49"/>
        <w:textAlignment w:val="baseline"/>
        <w:rPr>
          <w:rFonts w:cs="Times New Roman"/>
          <w:szCs w:val="28"/>
        </w:rPr>
      </w:pPr>
      <w:r w:rsidRPr="000B352A">
        <w:rPr>
          <w:rFonts w:cs="Times New Roman"/>
          <w:szCs w:val="28"/>
        </w:rPr>
        <w:t xml:space="preserve">Por las razones explicadas a lo largo de </w:t>
      </w:r>
      <w:r w:rsidR="00B95197" w:rsidRPr="000B352A">
        <w:rPr>
          <w:rFonts w:cs="Times New Roman"/>
          <w:szCs w:val="28"/>
        </w:rPr>
        <w:t>esta providencia la Corte concluye que</w:t>
      </w:r>
      <w:r w:rsidR="00257D71" w:rsidRPr="000B352A">
        <w:rPr>
          <w:rFonts w:cs="Times New Roman"/>
          <w:szCs w:val="28"/>
        </w:rPr>
        <w:t xml:space="preserve"> la respuesta a los dos problemas jurídicos planteados </w:t>
      </w:r>
      <w:r w:rsidRPr="000B352A">
        <w:rPr>
          <w:rFonts w:cs="Times New Roman"/>
          <w:szCs w:val="28"/>
        </w:rPr>
        <w:t xml:space="preserve">al inicio de </w:t>
      </w:r>
      <w:r w:rsidR="00C44FE5" w:rsidRPr="000B352A">
        <w:rPr>
          <w:rFonts w:cs="Times New Roman"/>
          <w:szCs w:val="28"/>
        </w:rPr>
        <w:t>esta</w:t>
      </w:r>
      <w:r w:rsidR="00A60E59" w:rsidRPr="000B352A">
        <w:rPr>
          <w:rStyle w:val="Refdenotaalpie"/>
          <w:szCs w:val="28"/>
        </w:rPr>
        <w:footnoteReference w:id="65"/>
      </w:r>
      <w:r w:rsidR="00257D71" w:rsidRPr="000B352A">
        <w:rPr>
          <w:rFonts w:cs="Times New Roman"/>
          <w:szCs w:val="28"/>
        </w:rPr>
        <w:t xml:space="preserve"> es</w:t>
      </w:r>
      <w:r w:rsidR="00697DE5" w:rsidRPr="000B352A">
        <w:rPr>
          <w:rFonts w:cs="Times New Roman"/>
          <w:szCs w:val="28"/>
        </w:rPr>
        <w:t>, en ambos casos,</w:t>
      </w:r>
      <w:r w:rsidR="00257D71" w:rsidRPr="000B352A">
        <w:rPr>
          <w:rFonts w:cs="Times New Roman"/>
          <w:szCs w:val="28"/>
        </w:rPr>
        <w:t xml:space="preserve"> positiva</w:t>
      </w:r>
      <w:r w:rsidR="00C33A24" w:rsidRPr="000B352A">
        <w:rPr>
          <w:rFonts w:cs="Times New Roman"/>
          <w:szCs w:val="28"/>
        </w:rPr>
        <w:t>. Es decir, la Corte considera que el Legislador sí puede facultar a las propiedades horizontales para publicar tanto la infracción por incumplimiento de las obligaciones pecuniarias inherentes al pago de las expensas comunes, como las infracciones por incumplimiento de las obligaciones no pecuniarias (Ley 675 de 2001, inciso 2º del artículo 30 y numeral 1º del artículo 59, respectivamente), sin que por ello se infrinjan los derechos a la intimidad, el habeas data y el principio de proporcionalidad.</w:t>
      </w:r>
    </w:p>
    <w:p w14:paraId="64E5A316" w14:textId="77777777" w:rsidR="00C33A24" w:rsidRPr="000B352A" w:rsidRDefault="00C33A24" w:rsidP="000B352A">
      <w:pPr>
        <w:shd w:val="clear" w:color="auto" w:fill="FFFFFF"/>
        <w:overflowPunct w:val="0"/>
        <w:autoSpaceDE w:val="0"/>
        <w:autoSpaceDN w:val="0"/>
        <w:adjustRightInd w:val="0"/>
        <w:ind w:right="49"/>
        <w:textAlignment w:val="baseline"/>
        <w:rPr>
          <w:rFonts w:cs="Times New Roman"/>
          <w:szCs w:val="28"/>
        </w:rPr>
      </w:pPr>
    </w:p>
    <w:p w14:paraId="64E5A317" w14:textId="77777777" w:rsidR="0062148E" w:rsidRPr="000B352A" w:rsidRDefault="00C33A24" w:rsidP="000B352A">
      <w:pPr>
        <w:shd w:val="clear" w:color="auto" w:fill="FFFFFF"/>
        <w:overflowPunct w:val="0"/>
        <w:autoSpaceDE w:val="0"/>
        <w:autoSpaceDN w:val="0"/>
        <w:adjustRightInd w:val="0"/>
        <w:ind w:right="49"/>
        <w:textAlignment w:val="baseline"/>
        <w:rPr>
          <w:rFonts w:cs="Times New Roman"/>
          <w:szCs w:val="28"/>
        </w:rPr>
      </w:pPr>
      <w:r w:rsidRPr="000B352A">
        <w:rPr>
          <w:rFonts w:cs="Times New Roman"/>
          <w:szCs w:val="28"/>
        </w:rPr>
        <w:t xml:space="preserve">La anterior </w:t>
      </w:r>
      <w:r w:rsidR="00257D71" w:rsidRPr="000B352A">
        <w:rPr>
          <w:rFonts w:cs="Times New Roman"/>
          <w:szCs w:val="28"/>
        </w:rPr>
        <w:t>conclusión que se apoya en las siguientes razones:</w:t>
      </w:r>
    </w:p>
    <w:p w14:paraId="64E5A318" w14:textId="77777777" w:rsidR="00B95197" w:rsidRPr="000B352A" w:rsidRDefault="00B95197" w:rsidP="000B352A">
      <w:pPr>
        <w:shd w:val="clear" w:color="auto" w:fill="FFFFFF"/>
        <w:overflowPunct w:val="0"/>
        <w:autoSpaceDE w:val="0"/>
        <w:autoSpaceDN w:val="0"/>
        <w:adjustRightInd w:val="0"/>
        <w:ind w:right="49"/>
        <w:textAlignment w:val="baseline"/>
        <w:rPr>
          <w:rFonts w:cs="Times New Roman"/>
          <w:szCs w:val="28"/>
        </w:rPr>
      </w:pPr>
    </w:p>
    <w:p w14:paraId="64E5A319" w14:textId="77777777" w:rsidR="00B95197" w:rsidRPr="000B352A" w:rsidRDefault="00A1383E" w:rsidP="000B352A">
      <w:pPr>
        <w:pStyle w:val="Prrafodelista"/>
        <w:numPr>
          <w:ilvl w:val="1"/>
          <w:numId w:val="10"/>
        </w:numPr>
        <w:shd w:val="clear" w:color="auto" w:fill="FFFFFF"/>
        <w:overflowPunct w:val="0"/>
        <w:autoSpaceDE w:val="0"/>
        <w:autoSpaceDN w:val="0"/>
        <w:adjustRightInd w:val="0"/>
        <w:ind w:left="0" w:right="49" w:firstLine="1"/>
        <w:textAlignment w:val="baseline"/>
        <w:rPr>
          <w:rFonts w:cs="Times New Roman"/>
          <w:i/>
          <w:szCs w:val="28"/>
        </w:rPr>
      </w:pPr>
      <w:r w:rsidRPr="000B352A">
        <w:rPr>
          <w:rFonts w:cs="Times New Roman"/>
          <w:szCs w:val="28"/>
        </w:rPr>
        <w:t>El</w:t>
      </w:r>
      <w:r w:rsidR="00B95197" w:rsidRPr="000B352A">
        <w:rPr>
          <w:rFonts w:cs="Times New Roman"/>
          <w:szCs w:val="28"/>
        </w:rPr>
        <w:t xml:space="preserve"> cargo elevado contra el inciso 2º del artículo 30 de la Ley 675 de 2001 por la supuesta violación del derecho a la intimidad</w:t>
      </w:r>
      <w:r w:rsidRPr="000B352A">
        <w:rPr>
          <w:rFonts w:cs="Times New Roman"/>
          <w:szCs w:val="28"/>
        </w:rPr>
        <w:t xml:space="preserve"> </w:t>
      </w:r>
      <w:r w:rsidR="00B95197" w:rsidRPr="000B352A">
        <w:rPr>
          <w:rFonts w:cs="Times New Roman"/>
          <w:szCs w:val="28"/>
        </w:rPr>
        <w:t xml:space="preserve">no está llamado a prosperar. </w:t>
      </w:r>
      <w:r w:rsidRPr="000B352A">
        <w:rPr>
          <w:rFonts w:cs="Times New Roman"/>
          <w:szCs w:val="28"/>
        </w:rPr>
        <w:t>C</w:t>
      </w:r>
      <w:r w:rsidR="00B95197" w:rsidRPr="000B352A">
        <w:rPr>
          <w:rFonts w:cs="Times New Roman"/>
          <w:szCs w:val="28"/>
        </w:rPr>
        <w:t xml:space="preserve">omo se desprende de la </w:t>
      </w:r>
      <w:r w:rsidR="00B95197" w:rsidRPr="000B352A">
        <w:rPr>
          <w:rFonts w:cs="Times New Roman"/>
          <w:i/>
          <w:szCs w:val="28"/>
        </w:rPr>
        <w:t xml:space="preserve">ratio decidendi </w:t>
      </w:r>
      <w:r w:rsidR="00B95197" w:rsidRPr="000B352A">
        <w:rPr>
          <w:rFonts w:cs="Times New Roman"/>
          <w:szCs w:val="28"/>
        </w:rPr>
        <w:t>de la Sentencia C-738 de 2002 que declaró la exequibilidad del numeral 1º del artículo 59 de la misma ley dentro de una acción de inconstitucionalidad que lo acusaba por violación a ese mismo derecho</w:t>
      </w:r>
      <w:r w:rsidR="006C5165" w:rsidRPr="000B352A">
        <w:rPr>
          <w:rFonts w:cs="Times New Roman"/>
          <w:szCs w:val="28"/>
        </w:rPr>
        <w:t xml:space="preserve">,  </w:t>
      </w:r>
      <w:r w:rsidR="00B95197" w:rsidRPr="000B352A">
        <w:rPr>
          <w:rFonts w:cs="Times New Roman"/>
          <w:szCs w:val="28"/>
        </w:rPr>
        <w:t xml:space="preserve">el incumplimiento en el pago de las expensas comunes necesarias para el sostenimiento de la propiedad horizontal </w:t>
      </w:r>
      <w:r w:rsidR="006C5165" w:rsidRPr="000B352A">
        <w:rPr>
          <w:rFonts w:cs="Times New Roman"/>
          <w:szCs w:val="28"/>
        </w:rPr>
        <w:t xml:space="preserve">es un asunto que trasciende el derecho a la intimidad de los infractores </w:t>
      </w:r>
      <w:r w:rsidR="00257D71" w:rsidRPr="000B352A">
        <w:rPr>
          <w:rFonts w:cs="Times New Roman"/>
          <w:szCs w:val="28"/>
        </w:rPr>
        <w:t>pues se ubica</w:t>
      </w:r>
      <w:r w:rsidR="006C5165" w:rsidRPr="000B352A">
        <w:rPr>
          <w:rFonts w:cs="Times New Roman"/>
          <w:szCs w:val="28"/>
        </w:rPr>
        <w:t xml:space="preserve"> en un lugar que </w:t>
      </w:r>
      <w:r w:rsidR="00257D71" w:rsidRPr="000B352A">
        <w:rPr>
          <w:rFonts w:cs="Times New Roman"/>
          <w:szCs w:val="28"/>
        </w:rPr>
        <w:t xml:space="preserve">también </w:t>
      </w:r>
      <w:r w:rsidR="006C5165" w:rsidRPr="000B352A">
        <w:rPr>
          <w:rFonts w:cs="Times New Roman"/>
          <w:szCs w:val="28"/>
        </w:rPr>
        <w:t>interesa a quienes habitan en dicha propiedad</w:t>
      </w:r>
      <w:r w:rsidRPr="000B352A">
        <w:rPr>
          <w:rFonts w:cs="Times New Roman"/>
          <w:szCs w:val="28"/>
        </w:rPr>
        <w:t>.</w:t>
      </w:r>
    </w:p>
    <w:p w14:paraId="64E5A31A" w14:textId="77777777" w:rsidR="006C5165" w:rsidRPr="000B352A" w:rsidRDefault="006C5165" w:rsidP="000B352A">
      <w:pPr>
        <w:pStyle w:val="Prrafodelista"/>
        <w:shd w:val="clear" w:color="auto" w:fill="FFFFFF"/>
        <w:overflowPunct w:val="0"/>
        <w:autoSpaceDE w:val="0"/>
        <w:autoSpaceDN w:val="0"/>
        <w:adjustRightInd w:val="0"/>
        <w:ind w:left="1" w:right="49"/>
        <w:textAlignment w:val="baseline"/>
        <w:rPr>
          <w:rFonts w:cs="Times New Roman"/>
          <w:i/>
          <w:szCs w:val="28"/>
        </w:rPr>
      </w:pPr>
    </w:p>
    <w:p w14:paraId="64E5A31B" w14:textId="77777777" w:rsidR="0013721E" w:rsidRPr="000B352A" w:rsidRDefault="00257D71" w:rsidP="000B352A">
      <w:pPr>
        <w:pStyle w:val="Prrafodelista"/>
        <w:numPr>
          <w:ilvl w:val="1"/>
          <w:numId w:val="10"/>
        </w:numPr>
        <w:shd w:val="clear" w:color="auto" w:fill="FFFFFF"/>
        <w:overflowPunct w:val="0"/>
        <w:autoSpaceDE w:val="0"/>
        <w:autoSpaceDN w:val="0"/>
        <w:adjustRightInd w:val="0"/>
        <w:ind w:left="0" w:right="49" w:firstLine="1"/>
        <w:textAlignment w:val="baseline"/>
        <w:rPr>
          <w:rFonts w:cs="Times New Roman"/>
          <w:i/>
          <w:szCs w:val="28"/>
        </w:rPr>
      </w:pPr>
      <w:r w:rsidRPr="000B352A">
        <w:rPr>
          <w:rFonts w:cs="Times New Roman"/>
          <w:szCs w:val="28"/>
        </w:rPr>
        <w:t>L</w:t>
      </w:r>
      <w:r w:rsidR="00A1383E" w:rsidRPr="000B352A">
        <w:rPr>
          <w:rFonts w:cs="Times New Roman"/>
          <w:szCs w:val="28"/>
        </w:rPr>
        <w:t>a obtención del fin constitucionalmente legítimo consistente en “</w:t>
      </w:r>
      <w:r w:rsidR="00A1383E" w:rsidRPr="000B352A">
        <w:rPr>
          <w:rFonts w:eastAsia="Times New Roman" w:cs="Times New Roman"/>
          <w:i/>
          <w:iCs/>
          <w:color w:val="000000"/>
          <w:szCs w:val="28"/>
          <w:bdr w:val="none" w:sz="0" w:space="0" w:color="auto" w:frame="1"/>
          <w:lang w:eastAsia="es-CO"/>
        </w:rPr>
        <w:t xml:space="preserve">garantizar la seguridad y la convivencia pacífica en los inmuebles sometidos a ella, así como la función social de la propiedad” </w:t>
      </w:r>
      <w:r w:rsidR="00A1383E" w:rsidRPr="000B352A">
        <w:rPr>
          <w:rFonts w:eastAsia="Times New Roman" w:cs="Times New Roman"/>
          <w:iCs/>
          <w:color w:val="000000"/>
          <w:szCs w:val="28"/>
          <w:bdr w:val="none" w:sz="0" w:space="0" w:color="auto" w:frame="1"/>
          <w:lang w:eastAsia="es-CO"/>
        </w:rPr>
        <w:t>es</w:t>
      </w:r>
      <w:r w:rsidR="00A1383E" w:rsidRPr="000B352A">
        <w:rPr>
          <w:rFonts w:eastAsia="Times New Roman" w:cs="Times New Roman"/>
          <w:i/>
          <w:iCs/>
          <w:color w:val="000000"/>
          <w:szCs w:val="28"/>
          <w:bdr w:val="none" w:sz="0" w:space="0" w:color="auto" w:frame="1"/>
          <w:lang w:eastAsia="es-CO"/>
        </w:rPr>
        <w:t xml:space="preserve"> </w:t>
      </w:r>
      <w:r w:rsidR="00A1383E" w:rsidRPr="000B352A">
        <w:rPr>
          <w:rFonts w:eastAsia="Times New Roman" w:cs="Times New Roman"/>
          <w:iCs/>
          <w:color w:val="000000"/>
          <w:szCs w:val="28"/>
          <w:bdr w:val="none" w:sz="0" w:space="0" w:color="auto" w:frame="1"/>
          <w:lang w:eastAsia="es-CO"/>
        </w:rPr>
        <w:t>suficiente para que, con ocasión de la compaginación de los principios de libertad y de finalidad, se permita una circulación restringida de los datos personales semiprivados de quienes incumplan</w:t>
      </w:r>
      <w:r w:rsidRPr="000B352A">
        <w:rPr>
          <w:rFonts w:eastAsia="Times New Roman" w:cs="Times New Roman"/>
          <w:iCs/>
          <w:color w:val="000000"/>
          <w:szCs w:val="28"/>
          <w:bdr w:val="none" w:sz="0" w:space="0" w:color="auto" w:frame="1"/>
          <w:lang w:eastAsia="es-CO"/>
        </w:rPr>
        <w:t xml:space="preserve"> con</w:t>
      </w:r>
      <w:r w:rsidR="00A1383E" w:rsidRPr="000B352A">
        <w:rPr>
          <w:rFonts w:eastAsia="Times New Roman" w:cs="Times New Roman"/>
          <w:iCs/>
          <w:color w:val="000000"/>
          <w:szCs w:val="28"/>
          <w:bdr w:val="none" w:sz="0" w:space="0" w:color="auto" w:frame="1"/>
          <w:lang w:eastAsia="es-CO"/>
        </w:rPr>
        <w:t xml:space="preserve"> las obligaciones pecuniarias </w:t>
      </w:r>
      <w:r w:rsidR="00320B54" w:rsidRPr="000B352A">
        <w:rPr>
          <w:rFonts w:eastAsia="Times New Roman" w:cs="Times New Roman"/>
          <w:iCs/>
          <w:color w:val="000000"/>
          <w:szCs w:val="28"/>
          <w:bdr w:val="none" w:sz="0" w:space="0" w:color="auto" w:frame="1"/>
          <w:lang w:eastAsia="es-CO"/>
        </w:rPr>
        <w:t>a que refiere el artículo 30 de la Ley 675 de 2001</w:t>
      </w:r>
      <w:r w:rsidR="0013721E" w:rsidRPr="000B352A">
        <w:rPr>
          <w:rFonts w:eastAsia="Times New Roman" w:cs="Times New Roman"/>
          <w:iCs/>
          <w:color w:val="000000"/>
          <w:szCs w:val="28"/>
          <w:bdr w:val="none" w:sz="0" w:space="0" w:color="auto" w:frame="1"/>
          <w:lang w:eastAsia="es-CO"/>
        </w:rPr>
        <w:t>.</w:t>
      </w:r>
    </w:p>
    <w:p w14:paraId="64E5A31C" w14:textId="77777777" w:rsidR="0013721E" w:rsidRPr="000B352A" w:rsidRDefault="0013721E" w:rsidP="000B352A">
      <w:pPr>
        <w:pStyle w:val="Prrafodelista"/>
        <w:rPr>
          <w:rFonts w:eastAsia="Times New Roman" w:cs="Times New Roman"/>
          <w:iCs/>
          <w:color w:val="000000"/>
          <w:szCs w:val="28"/>
          <w:highlight w:val="yellow"/>
          <w:bdr w:val="none" w:sz="0" w:space="0" w:color="auto" w:frame="1"/>
          <w:lang w:eastAsia="es-CO"/>
        </w:rPr>
      </w:pPr>
    </w:p>
    <w:p w14:paraId="64E5A31D" w14:textId="77777777" w:rsidR="0013721E" w:rsidRPr="000B352A" w:rsidRDefault="0013721E" w:rsidP="000B352A">
      <w:pPr>
        <w:pStyle w:val="Prrafodelista"/>
        <w:numPr>
          <w:ilvl w:val="1"/>
          <w:numId w:val="10"/>
        </w:numPr>
        <w:shd w:val="clear" w:color="auto" w:fill="FFFFFF"/>
        <w:overflowPunct w:val="0"/>
        <w:autoSpaceDE w:val="0"/>
        <w:autoSpaceDN w:val="0"/>
        <w:adjustRightInd w:val="0"/>
        <w:ind w:left="0" w:right="49" w:firstLine="1"/>
        <w:textAlignment w:val="baseline"/>
        <w:rPr>
          <w:rFonts w:cs="Times New Roman"/>
          <w:i/>
          <w:szCs w:val="28"/>
        </w:rPr>
      </w:pPr>
      <w:r w:rsidRPr="000B352A">
        <w:rPr>
          <w:rFonts w:eastAsia="Times New Roman" w:cs="Times New Roman"/>
          <w:iCs/>
          <w:color w:val="000000"/>
          <w:szCs w:val="28"/>
          <w:bdr w:val="none" w:sz="0" w:space="0" w:color="auto" w:frame="1"/>
          <w:lang w:eastAsia="es-CO"/>
        </w:rPr>
        <w:t>En relación</w:t>
      </w:r>
      <w:r w:rsidR="00257D71" w:rsidRPr="000B352A">
        <w:rPr>
          <w:rFonts w:eastAsia="Times New Roman" w:cs="Times New Roman"/>
          <w:iCs/>
          <w:color w:val="000000"/>
          <w:szCs w:val="28"/>
          <w:bdr w:val="none" w:sz="0" w:space="0" w:color="auto" w:frame="1"/>
          <w:lang w:eastAsia="es-CO"/>
        </w:rPr>
        <w:t xml:space="preserve"> con</w:t>
      </w:r>
      <w:r w:rsidR="00320B54" w:rsidRPr="000B352A">
        <w:rPr>
          <w:rFonts w:eastAsia="Times New Roman" w:cs="Times New Roman"/>
          <w:iCs/>
          <w:color w:val="000000"/>
          <w:szCs w:val="28"/>
          <w:bdr w:val="none" w:sz="0" w:space="0" w:color="auto" w:frame="1"/>
          <w:lang w:eastAsia="es-CO"/>
        </w:rPr>
        <w:t xml:space="preserve"> </w:t>
      </w:r>
      <w:r w:rsidRPr="000B352A">
        <w:rPr>
          <w:rFonts w:eastAsia="Times New Roman" w:cs="Times New Roman"/>
          <w:iCs/>
          <w:color w:val="000000"/>
          <w:szCs w:val="28"/>
          <w:bdr w:val="none" w:sz="0" w:space="0" w:color="auto" w:frame="1"/>
          <w:lang w:eastAsia="es-CO"/>
        </w:rPr>
        <w:t xml:space="preserve">el incumplimiento </w:t>
      </w:r>
      <w:r w:rsidR="00320B54" w:rsidRPr="000B352A">
        <w:rPr>
          <w:rFonts w:eastAsia="Times New Roman" w:cs="Times New Roman"/>
          <w:iCs/>
          <w:color w:val="000000"/>
          <w:szCs w:val="28"/>
          <w:bdr w:val="none" w:sz="0" w:space="0" w:color="auto" w:frame="1"/>
          <w:lang w:eastAsia="es-CO"/>
        </w:rPr>
        <w:t xml:space="preserve">las obligaciones no pecuniarias de que trata el artículo 59 </w:t>
      </w:r>
      <w:r w:rsidR="00320B54" w:rsidRPr="000B352A">
        <w:rPr>
          <w:rFonts w:eastAsia="Times New Roman" w:cs="Times New Roman"/>
          <w:i/>
          <w:iCs/>
          <w:color w:val="000000"/>
          <w:szCs w:val="28"/>
          <w:bdr w:val="none" w:sz="0" w:space="0" w:color="auto" w:frame="1"/>
          <w:lang w:eastAsia="es-CO"/>
        </w:rPr>
        <w:t>ibid</w:t>
      </w:r>
      <w:r w:rsidR="00320B54" w:rsidRPr="000B352A">
        <w:rPr>
          <w:rFonts w:eastAsia="Times New Roman" w:cs="Times New Roman"/>
          <w:iCs/>
          <w:color w:val="000000"/>
          <w:szCs w:val="28"/>
          <w:bdr w:val="none" w:sz="0" w:space="0" w:color="auto" w:frame="1"/>
          <w:lang w:eastAsia="es-CO"/>
        </w:rPr>
        <w:t>.</w:t>
      </w:r>
      <w:r w:rsidRPr="000B352A">
        <w:rPr>
          <w:rFonts w:eastAsia="Times New Roman" w:cs="Times New Roman"/>
          <w:iCs/>
          <w:color w:val="000000"/>
          <w:szCs w:val="28"/>
          <w:bdr w:val="none" w:sz="0" w:space="0" w:color="auto" w:frame="1"/>
          <w:lang w:eastAsia="es-CO"/>
        </w:rPr>
        <w:t xml:space="preserve"> la Corte no encontró que su publicación pueda tocar con el derecho al habeas data. </w:t>
      </w:r>
      <w:r w:rsidR="004B450C" w:rsidRPr="000B352A">
        <w:rPr>
          <w:rFonts w:eastAsia="Times New Roman" w:cs="Times New Roman"/>
          <w:iCs/>
          <w:color w:val="000000"/>
          <w:szCs w:val="28"/>
          <w:bdr w:val="none" w:sz="0" w:space="0" w:color="auto" w:frame="1"/>
          <w:lang w:eastAsia="es-CO"/>
        </w:rPr>
        <w:t>Tal conclusión en lo fundamental se explica por cuanto la información relativa a tal incumplimiento, más que ser objeto de recolección por una organización dedicada al tratamiento de datos, sería unilateralmente difundida por el infractor del caso</w:t>
      </w:r>
      <w:r w:rsidR="00C44FE5" w:rsidRPr="000B352A">
        <w:rPr>
          <w:rFonts w:eastAsia="Times New Roman" w:cs="Times New Roman"/>
          <w:iCs/>
          <w:color w:val="000000"/>
          <w:szCs w:val="28"/>
          <w:bdr w:val="none" w:sz="0" w:space="0" w:color="auto" w:frame="1"/>
          <w:lang w:eastAsia="es-CO"/>
        </w:rPr>
        <w:t>; todo esto sin perjuicio de que, como se explicó, en ningún caso cabe la difusión o publicación de información sensible o personalísima, caso en el cual procede el control concreto de constitucionalidad (acción de tutela).</w:t>
      </w:r>
    </w:p>
    <w:p w14:paraId="64E5A31E" w14:textId="77777777" w:rsidR="00A1383E" w:rsidRPr="000B352A" w:rsidRDefault="00A1383E" w:rsidP="000B352A">
      <w:pPr>
        <w:shd w:val="clear" w:color="auto" w:fill="FFFFFF"/>
        <w:overflowPunct w:val="0"/>
        <w:autoSpaceDE w:val="0"/>
        <w:autoSpaceDN w:val="0"/>
        <w:adjustRightInd w:val="0"/>
        <w:ind w:right="49"/>
        <w:textAlignment w:val="baseline"/>
        <w:rPr>
          <w:rFonts w:cs="Times New Roman"/>
          <w:szCs w:val="28"/>
        </w:rPr>
      </w:pPr>
    </w:p>
    <w:p w14:paraId="64E5A31F" w14:textId="77777777" w:rsidR="006C5165" w:rsidRPr="000B352A" w:rsidRDefault="00320B54" w:rsidP="000B352A">
      <w:pPr>
        <w:pStyle w:val="Prrafodelista"/>
        <w:numPr>
          <w:ilvl w:val="1"/>
          <w:numId w:val="10"/>
        </w:numPr>
        <w:shd w:val="clear" w:color="auto" w:fill="FFFFFF"/>
        <w:overflowPunct w:val="0"/>
        <w:autoSpaceDE w:val="0"/>
        <w:autoSpaceDN w:val="0"/>
        <w:adjustRightInd w:val="0"/>
        <w:ind w:left="0" w:right="49" w:firstLine="1"/>
        <w:textAlignment w:val="baseline"/>
        <w:rPr>
          <w:rFonts w:cs="Times New Roman"/>
          <w:i/>
          <w:szCs w:val="28"/>
        </w:rPr>
      </w:pPr>
      <w:r w:rsidRPr="000B352A">
        <w:rPr>
          <w:rFonts w:cs="Times New Roman"/>
          <w:szCs w:val="28"/>
        </w:rPr>
        <w:t xml:space="preserve">Finalmente, por considerar que de lo resumido </w:t>
      </w:r>
      <w:r w:rsidR="00CC09A9" w:rsidRPr="000B352A">
        <w:rPr>
          <w:rFonts w:cs="Times New Roman"/>
          <w:szCs w:val="28"/>
        </w:rPr>
        <w:t>en</w:t>
      </w:r>
      <w:r w:rsidRPr="000B352A">
        <w:rPr>
          <w:rFonts w:cs="Times New Roman"/>
          <w:szCs w:val="28"/>
        </w:rPr>
        <w:t xml:space="preserve"> los numerales 3.1. y 3.2. </w:t>
      </w:r>
      <w:r w:rsidRPr="000B352A">
        <w:rPr>
          <w:rFonts w:cs="Times New Roman"/>
          <w:i/>
          <w:szCs w:val="28"/>
        </w:rPr>
        <w:t>supra</w:t>
      </w:r>
      <w:r w:rsidRPr="000B352A">
        <w:rPr>
          <w:rFonts w:cs="Times New Roman"/>
          <w:szCs w:val="28"/>
        </w:rPr>
        <w:t xml:space="preserve"> se desprende que las normas demandadas no alcanzan a afectar los derechos constitucionales a la intimidad y/o al habeas data, la Corte </w:t>
      </w:r>
      <w:r w:rsidR="002D5CF3" w:rsidRPr="000B352A">
        <w:rPr>
          <w:rFonts w:cs="Times New Roman"/>
          <w:szCs w:val="28"/>
        </w:rPr>
        <w:t>negará</w:t>
      </w:r>
      <w:r w:rsidRPr="000B352A">
        <w:rPr>
          <w:rFonts w:cs="Times New Roman"/>
          <w:szCs w:val="28"/>
        </w:rPr>
        <w:t xml:space="preserve"> los cargos presentados por una presunta violación al principio de proporcionalidad</w:t>
      </w:r>
      <w:r w:rsidR="007E0A63" w:rsidRPr="000B352A">
        <w:rPr>
          <w:rFonts w:cs="Times New Roman"/>
          <w:szCs w:val="28"/>
        </w:rPr>
        <w:t xml:space="preserve"> debido a que, por lo recién expuesto, no procede aplicar juicio de proporcionalidad alguno sobre tales normas.</w:t>
      </w:r>
    </w:p>
    <w:p w14:paraId="64E5A320" w14:textId="77777777" w:rsidR="00F66E95" w:rsidRPr="000B352A" w:rsidRDefault="00F66E95" w:rsidP="000B352A">
      <w:pPr>
        <w:shd w:val="clear" w:color="auto" w:fill="FFFFFF"/>
        <w:overflowPunct w:val="0"/>
        <w:autoSpaceDE w:val="0"/>
        <w:autoSpaceDN w:val="0"/>
        <w:adjustRightInd w:val="0"/>
        <w:ind w:right="49"/>
        <w:textAlignment w:val="baseline"/>
        <w:rPr>
          <w:rFonts w:cs="Times New Roman"/>
          <w:szCs w:val="28"/>
        </w:rPr>
      </w:pPr>
    </w:p>
    <w:p w14:paraId="64E5A321" w14:textId="77777777" w:rsidR="00DD6692" w:rsidRPr="000B352A" w:rsidRDefault="00DD6692" w:rsidP="000B352A">
      <w:pPr>
        <w:tabs>
          <w:tab w:val="left" w:pos="851"/>
        </w:tabs>
        <w:ind w:right="49"/>
        <w:rPr>
          <w:rFonts w:cs="Times New Roman"/>
          <w:szCs w:val="28"/>
        </w:rPr>
      </w:pPr>
      <w:r w:rsidRPr="000B352A">
        <w:rPr>
          <w:rFonts w:cs="Times New Roman"/>
          <w:szCs w:val="28"/>
        </w:rPr>
        <w:t xml:space="preserve">En mérito de lo expuesto, la Corte Constitucional, administrando justicia en nombre del pueblo y por mandato de la Constitución, </w:t>
      </w:r>
    </w:p>
    <w:p w14:paraId="64E5A322" w14:textId="77777777" w:rsidR="00DD6692" w:rsidRPr="000B352A" w:rsidRDefault="00DD6692" w:rsidP="000B352A">
      <w:pPr>
        <w:tabs>
          <w:tab w:val="left" w:pos="851"/>
        </w:tabs>
        <w:ind w:right="49"/>
        <w:rPr>
          <w:rFonts w:cs="Times New Roman"/>
          <w:szCs w:val="28"/>
        </w:rPr>
      </w:pPr>
    </w:p>
    <w:p w14:paraId="64E5A323" w14:textId="77777777" w:rsidR="00DD6692" w:rsidRPr="000B352A" w:rsidRDefault="00DD6692" w:rsidP="000B352A">
      <w:pPr>
        <w:tabs>
          <w:tab w:val="left" w:pos="851"/>
        </w:tabs>
        <w:ind w:right="49"/>
        <w:jc w:val="center"/>
        <w:rPr>
          <w:rFonts w:cs="Times New Roman"/>
          <w:b/>
          <w:szCs w:val="28"/>
        </w:rPr>
      </w:pPr>
      <w:r w:rsidRPr="000B352A">
        <w:rPr>
          <w:rFonts w:cs="Times New Roman"/>
          <w:b/>
          <w:szCs w:val="28"/>
        </w:rPr>
        <w:t>RESUELVE</w:t>
      </w:r>
    </w:p>
    <w:p w14:paraId="64E5A324" w14:textId="77777777" w:rsidR="00DD6692" w:rsidRDefault="00DD6692" w:rsidP="000B352A">
      <w:pPr>
        <w:tabs>
          <w:tab w:val="left" w:pos="851"/>
        </w:tabs>
        <w:ind w:right="49"/>
        <w:rPr>
          <w:rFonts w:cs="Times New Roman"/>
          <w:szCs w:val="28"/>
        </w:rPr>
      </w:pPr>
    </w:p>
    <w:p w14:paraId="64E5A325" w14:textId="77777777" w:rsidR="000B352A" w:rsidRPr="000B352A" w:rsidRDefault="000B352A" w:rsidP="000B352A">
      <w:pPr>
        <w:tabs>
          <w:tab w:val="left" w:pos="851"/>
        </w:tabs>
        <w:ind w:right="49"/>
        <w:rPr>
          <w:rFonts w:cs="Times New Roman"/>
          <w:szCs w:val="28"/>
        </w:rPr>
      </w:pPr>
    </w:p>
    <w:p w14:paraId="64E5A326" w14:textId="77777777" w:rsidR="00DD6692" w:rsidRPr="000B352A" w:rsidRDefault="007E0A63" w:rsidP="000B352A">
      <w:pPr>
        <w:overflowPunct w:val="0"/>
        <w:autoSpaceDE w:val="0"/>
        <w:autoSpaceDN w:val="0"/>
        <w:adjustRightInd w:val="0"/>
        <w:ind w:right="49"/>
        <w:rPr>
          <w:rFonts w:cs="Times New Roman"/>
          <w:szCs w:val="28"/>
        </w:rPr>
      </w:pPr>
      <w:r w:rsidRPr="000B352A">
        <w:rPr>
          <w:rFonts w:cs="Times New Roman"/>
          <w:b/>
          <w:szCs w:val="28"/>
        </w:rPr>
        <w:t>PRIMERO</w:t>
      </w:r>
      <w:r w:rsidR="00DD6692" w:rsidRPr="000B352A">
        <w:rPr>
          <w:rFonts w:cs="Times New Roman"/>
          <w:szCs w:val="28"/>
        </w:rPr>
        <w:t xml:space="preserve">: Declarar </w:t>
      </w:r>
      <w:r w:rsidR="00AD6A1E" w:rsidRPr="000B352A">
        <w:rPr>
          <w:rFonts w:cs="Times New Roman"/>
          <w:szCs w:val="28"/>
        </w:rPr>
        <w:t>EXEQUIBLE</w:t>
      </w:r>
      <w:r w:rsidR="007F58B1" w:rsidRPr="000B352A">
        <w:rPr>
          <w:rFonts w:cs="Times New Roman"/>
          <w:szCs w:val="28"/>
        </w:rPr>
        <w:t xml:space="preserve"> </w:t>
      </w:r>
      <w:r w:rsidR="00AD6A1E" w:rsidRPr="000B352A">
        <w:rPr>
          <w:rFonts w:cs="Times New Roman"/>
          <w:szCs w:val="28"/>
        </w:rPr>
        <w:t xml:space="preserve">la expresión </w:t>
      </w:r>
      <w:r w:rsidR="00AD6A1E" w:rsidRPr="000B352A">
        <w:rPr>
          <w:rFonts w:cs="Times New Roman"/>
          <w:i/>
          <w:szCs w:val="28"/>
        </w:rPr>
        <w:t>“Mientras subsista este incumplimiento, tal situación podrá publicarse en el edificio o conjunto”</w:t>
      </w:r>
      <w:r w:rsidR="00AD6A1E" w:rsidRPr="000B352A">
        <w:rPr>
          <w:rFonts w:cs="Times New Roman"/>
          <w:szCs w:val="28"/>
        </w:rPr>
        <w:t xml:space="preserve"> que prevé el </w:t>
      </w:r>
      <w:r w:rsidR="007F58B1" w:rsidRPr="000B352A">
        <w:rPr>
          <w:rFonts w:cs="Times New Roman"/>
          <w:szCs w:val="28"/>
        </w:rPr>
        <w:t xml:space="preserve">inciso 2º del artículo 30 de la Ley 675 de 2001, </w:t>
      </w:r>
      <w:r w:rsidRPr="000B352A">
        <w:rPr>
          <w:rFonts w:cs="Times New Roman"/>
          <w:i/>
          <w:szCs w:val="28"/>
        </w:rPr>
        <w:t>“Por medio de la cual se expide el régimen de propiedad horizontal”</w:t>
      </w:r>
      <w:r w:rsidRPr="000B352A">
        <w:rPr>
          <w:rFonts w:cs="Times New Roman"/>
          <w:szCs w:val="28"/>
        </w:rPr>
        <w:t xml:space="preserve">, </w:t>
      </w:r>
      <w:r w:rsidR="007F58B1" w:rsidRPr="000B352A">
        <w:rPr>
          <w:rFonts w:cs="Times New Roman"/>
          <w:szCs w:val="28"/>
        </w:rPr>
        <w:t xml:space="preserve">por los cargos </w:t>
      </w:r>
      <w:r w:rsidR="003C6CE7" w:rsidRPr="000B352A">
        <w:rPr>
          <w:rFonts w:cs="Times New Roman"/>
          <w:szCs w:val="28"/>
        </w:rPr>
        <w:t>analizados en la presente sentencia.</w:t>
      </w:r>
    </w:p>
    <w:p w14:paraId="64E5A327" w14:textId="77777777" w:rsidR="007E0A63" w:rsidRPr="000B352A" w:rsidRDefault="007E0A63" w:rsidP="000B352A">
      <w:pPr>
        <w:overflowPunct w:val="0"/>
        <w:autoSpaceDE w:val="0"/>
        <w:autoSpaceDN w:val="0"/>
        <w:adjustRightInd w:val="0"/>
        <w:ind w:right="49"/>
        <w:rPr>
          <w:rFonts w:cs="Times New Roman"/>
          <w:szCs w:val="28"/>
        </w:rPr>
      </w:pPr>
    </w:p>
    <w:p w14:paraId="64E5A328" w14:textId="77777777" w:rsidR="00DD6692" w:rsidRPr="000B352A" w:rsidRDefault="007E0A63" w:rsidP="000B352A">
      <w:pPr>
        <w:overflowPunct w:val="0"/>
        <w:autoSpaceDE w:val="0"/>
        <w:autoSpaceDN w:val="0"/>
        <w:adjustRightInd w:val="0"/>
        <w:ind w:right="49"/>
        <w:rPr>
          <w:rFonts w:cs="Times New Roman"/>
          <w:szCs w:val="28"/>
        </w:rPr>
      </w:pPr>
      <w:r w:rsidRPr="000B352A">
        <w:rPr>
          <w:rFonts w:cs="Times New Roman"/>
          <w:b/>
          <w:szCs w:val="28"/>
        </w:rPr>
        <w:t>SEGUNDO</w:t>
      </w:r>
      <w:r w:rsidRPr="000B352A">
        <w:rPr>
          <w:rFonts w:cs="Times New Roman"/>
          <w:szCs w:val="28"/>
        </w:rPr>
        <w:t xml:space="preserve">: Declarar </w:t>
      </w:r>
      <w:r w:rsidR="00AD6A1E" w:rsidRPr="000B352A">
        <w:rPr>
          <w:rFonts w:cs="Times New Roman"/>
          <w:szCs w:val="28"/>
        </w:rPr>
        <w:t>EXEQUIBLE</w:t>
      </w:r>
      <w:r w:rsidRPr="000B352A">
        <w:rPr>
          <w:rFonts w:cs="Times New Roman"/>
          <w:szCs w:val="28"/>
        </w:rPr>
        <w:t xml:space="preserve"> el numeral 1º del artículo 59 de la Ley 675 de 2001, </w:t>
      </w:r>
      <w:r w:rsidRPr="000B352A">
        <w:rPr>
          <w:rFonts w:cs="Times New Roman"/>
          <w:i/>
          <w:szCs w:val="28"/>
        </w:rPr>
        <w:t>“Por medio de la cual se expide el régimen de propiedad horizontal”</w:t>
      </w:r>
      <w:r w:rsidRPr="000B352A">
        <w:rPr>
          <w:rFonts w:cs="Times New Roman"/>
          <w:szCs w:val="28"/>
        </w:rPr>
        <w:t xml:space="preserve">, por </w:t>
      </w:r>
      <w:r w:rsidR="00B25DE7" w:rsidRPr="000B352A">
        <w:rPr>
          <w:rFonts w:cs="Times New Roman"/>
          <w:szCs w:val="28"/>
        </w:rPr>
        <w:t xml:space="preserve">los </w:t>
      </w:r>
      <w:r w:rsidRPr="000B352A">
        <w:rPr>
          <w:rFonts w:cs="Times New Roman"/>
          <w:szCs w:val="28"/>
        </w:rPr>
        <w:t>cargo</w:t>
      </w:r>
      <w:r w:rsidR="00B25DE7" w:rsidRPr="000B352A">
        <w:rPr>
          <w:rFonts w:cs="Times New Roman"/>
          <w:szCs w:val="28"/>
        </w:rPr>
        <w:t>s</w:t>
      </w:r>
      <w:r w:rsidRPr="000B352A">
        <w:rPr>
          <w:rFonts w:cs="Times New Roman"/>
          <w:szCs w:val="28"/>
        </w:rPr>
        <w:t xml:space="preserve"> </w:t>
      </w:r>
      <w:r w:rsidR="00B25DE7" w:rsidRPr="000B352A">
        <w:rPr>
          <w:rFonts w:cs="Times New Roman"/>
          <w:szCs w:val="28"/>
        </w:rPr>
        <w:t>analizados en la presente sentencia</w:t>
      </w:r>
      <w:r w:rsidR="00AD6A1E" w:rsidRPr="000B352A">
        <w:rPr>
          <w:rFonts w:cs="Times New Roman"/>
          <w:szCs w:val="28"/>
        </w:rPr>
        <w:t>.</w:t>
      </w:r>
    </w:p>
    <w:p w14:paraId="64E5A329" w14:textId="77777777" w:rsidR="00AD6A1E" w:rsidRPr="000B352A" w:rsidRDefault="00AD6A1E" w:rsidP="000B352A">
      <w:pPr>
        <w:overflowPunct w:val="0"/>
        <w:autoSpaceDE w:val="0"/>
        <w:autoSpaceDN w:val="0"/>
        <w:adjustRightInd w:val="0"/>
        <w:ind w:right="49"/>
        <w:rPr>
          <w:rFonts w:cs="Times New Roman"/>
          <w:szCs w:val="28"/>
        </w:rPr>
      </w:pPr>
    </w:p>
    <w:p w14:paraId="64E5A32A" w14:textId="77777777" w:rsidR="00AD6A1E" w:rsidRPr="000B352A" w:rsidRDefault="00AD6A1E" w:rsidP="000B352A">
      <w:pPr>
        <w:pStyle w:val="Textoindependiente"/>
        <w:shd w:val="clear" w:color="auto" w:fill="FFFFFF"/>
        <w:spacing w:after="0"/>
        <w:ind w:right="-91"/>
        <w:textAlignment w:val="baseline"/>
        <w:rPr>
          <w:rFonts w:cs="Times New Roman"/>
          <w:szCs w:val="28"/>
        </w:rPr>
      </w:pPr>
      <w:r w:rsidRPr="000B352A">
        <w:rPr>
          <w:rFonts w:cs="Times New Roman"/>
          <w:szCs w:val="28"/>
          <w:bdr w:val="none" w:sz="0" w:space="0" w:color="auto" w:frame="1"/>
        </w:rPr>
        <w:t>Cópiese, notifíquese, comuníquese, insértese en la Gaceta de la Corte Constitucional, cúmplase y archívese el expediente.</w:t>
      </w:r>
    </w:p>
    <w:p w14:paraId="64E5A32B" w14:textId="77777777" w:rsidR="00DD6692" w:rsidRPr="000B352A" w:rsidRDefault="00DD6692" w:rsidP="000B352A">
      <w:pPr>
        <w:overflowPunct w:val="0"/>
        <w:autoSpaceDE w:val="0"/>
        <w:autoSpaceDN w:val="0"/>
        <w:adjustRightInd w:val="0"/>
        <w:ind w:right="49"/>
        <w:jc w:val="center"/>
        <w:rPr>
          <w:rFonts w:cs="Times New Roman"/>
          <w:szCs w:val="28"/>
        </w:rPr>
      </w:pPr>
    </w:p>
    <w:p w14:paraId="64E5A32C" w14:textId="77777777" w:rsidR="00AD6A1E" w:rsidRPr="000B352A" w:rsidRDefault="00AD6A1E" w:rsidP="000B352A">
      <w:pPr>
        <w:overflowPunct w:val="0"/>
        <w:autoSpaceDE w:val="0"/>
        <w:autoSpaceDN w:val="0"/>
        <w:adjustRightInd w:val="0"/>
        <w:ind w:right="49"/>
        <w:jc w:val="center"/>
        <w:rPr>
          <w:rFonts w:cs="Times New Roman"/>
          <w:szCs w:val="28"/>
        </w:rPr>
      </w:pPr>
    </w:p>
    <w:p w14:paraId="64E5A32D" w14:textId="77777777" w:rsidR="00AD6A1E" w:rsidRPr="000B352A" w:rsidRDefault="00AD6A1E" w:rsidP="000B352A">
      <w:pPr>
        <w:overflowPunct w:val="0"/>
        <w:autoSpaceDE w:val="0"/>
        <w:autoSpaceDN w:val="0"/>
        <w:adjustRightInd w:val="0"/>
        <w:ind w:right="49"/>
        <w:jc w:val="center"/>
        <w:rPr>
          <w:rFonts w:cs="Times New Roman"/>
          <w:szCs w:val="28"/>
        </w:rPr>
      </w:pPr>
    </w:p>
    <w:p w14:paraId="64E5A32E" w14:textId="77777777" w:rsidR="00AD6A1E" w:rsidRPr="000B352A" w:rsidRDefault="00AD6A1E" w:rsidP="000B352A">
      <w:pPr>
        <w:ind w:right="51"/>
        <w:jc w:val="center"/>
        <w:rPr>
          <w:rFonts w:cs="Times New Roman"/>
          <w:szCs w:val="28"/>
        </w:rPr>
      </w:pPr>
      <w:r w:rsidRPr="000B352A">
        <w:rPr>
          <w:rFonts w:cs="Times New Roman"/>
          <w:szCs w:val="28"/>
        </w:rPr>
        <w:t>GLORIA STELLA ORTIZ DELGADO</w:t>
      </w:r>
    </w:p>
    <w:p w14:paraId="64E5A32F" w14:textId="77777777" w:rsidR="00AD6A1E" w:rsidRPr="000B352A" w:rsidRDefault="00AD6A1E" w:rsidP="000B352A">
      <w:pPr>
        <w:ind w:right="51"/>
        <w:jc w:val="center"/>
        <w:rPr>
          <w:rFonts w:cs="Times New Roman"/>
          <w:szCs w:val="28"/>
        </w:rPr>
      </w:pPr>
      <w:r w:rsidRPr="000B352A">
        <w:rPr>
          <w:rFonts w:cs="Times New Roman"/>
          <w:szCs w:val="28"/>
        </w:rPr>
        <w:t>Presidenta</w:t>
      </w:r>
    </w:p>
    <w:p w14:paraId="64E5A330" w14:textId="77777777" w:rsidR="00AD6A1E" w:rsidRPr="000B352A" w:rsidRDefault="00AD6A1E" w:rsidP="000B352A">
      <w:pPr>
        <w:ind w:right="51"/>
        <w:jc w:val="center"/>
        <w:rPr>
          <w:rFonts w:cs="Times New Roman"/>
          <w:szCs w:val="28"/>
        </w:rPr>
      </w:pPr>
    </w:p>
    <w:p w14:paraId="64E5A331" w14:textId="77777777" w:rsidR="00AD6A1E" w:rsidRPr="000B352A" w:rsidRDefault="00AD6A1E" w:rsidP="000B352A">
      <w:pPr>
        <w:jc w:val="center"/>
        <w:rPr>
          <w:rFonts w:cs="Times New Roman"/>
          <w:szCs w:val="28"/>
        </w:rPr>
      </w:pPr>
    </w:p>
    <w:p w14:paraId="64E5A332" w14:textId="77777777" w:rsidR="00AD6A1E" w:rsidRPr="000B352A" w:rsidRDefault="00AD6A1E" w:rsidP="000B352A">
      <w:pPr>
        <w:jc w:val="center"/>
        <w:rPr>
          <w:rFonts w:cs="Times New Roman"/>
          <w:szCs w:val="28"/>
        </w:rPr>
      </w:pPr>
    </w:p>
    <w:p w14:paraId="64E5A333" w14:textId="77777777" w:rsidR="00AD6A1E" w:rsidRPr="000B352A" w:rsidRDefault="00AD6A1E" w:rsidP="000B352A">
      <w:pPr>
        <w:ind w:right="51"/>
        <w:jc w:val="center"/>
        <w:rPr>
          <w:rFonts w:cs="Times New Roman"/>
          <w:szCs w:val="28"/>
        </w:rPr>
      </w:pPr>
      <w:r w:rsidRPr="000B352A">
        <w:rPr>
          <w:rFonts w:cs="Times New Roman"/>
          <w:szCs w:val="28"/>
        </w:rPr>
        <w:t>CARLOS BERNAL PULIDO</w:t>
      </w:r>
    </w:p>
    <w:p w14:paraId="64E5A334" w14:textId="77777777" w:rsidR="00AD6A1E" w:rsidRPr="000B352A" w:rsidRDefault="00AD6A1E" w:rsidP="000B352A">
      <w:pPr>
        <w:ind w:right="51"/>
        <w:jc w:val="center"/>
        <w:rPr>
          <w:rFonts w:cs="Times New Roman"/>
          <w:szCs w:val="28"/>
        </w:rPr>
      </w:pPr>
      <w:r w:rsidRPr="000B352A">
        <w:rPr>
          <w:rFonts w:cs="Times New Roman"/>
          <w:szCs w:val="28"/>
        </w:rPr>
        <w:t>Magistrado</w:t>
      </w:r>
    </w:p>
    <w:p w14:paraId="64E5A335" w14:textId="77777777" w:rsidR="00AD6A1E" w:rsidRPr="000B352A" w:rsidRDefault="00AD6A1E" w:rsidP="000B352A">
      <w:pPr>
        <w:jc w:val="center"/>
        <w:rPr>
          <w:rFonts w:cs="Times New Roman"/>
          <w:szCs w:val="28"/>
        </w:rPr>
      </w:pPr>
    </w:p>
    <w:p w14:paraId="64E5A336" w14:textId="77777777" w:rsidR="00AD6A1E" w:rsidRPr="000B352A" w:rsidRDefault="00AD6A1E" w:rsidP="000B352A">
      <w:pPr>
        <w:jc w:val="center"/>
        <w:rPr>
          <w:rFonts w:cs="Times New Roman"/>
          <w:szCs w:val="28"/>
        </w:rPr>
      </w:pPr>
    </w:p>
    <w:p w14:paraId="64E5A337" w14:textId="77777777" w:rsidR="00AD6A1E" w:rsidRPr="000B352A" w:rsidRDefault="00AD6A1E" w:rsidP="000B352A">
      <w:pPr>
        <w:jc w:val="center"/>
        <w:rPr>
          <w:rFonts w:cs="Times New Roman"/>
          <w:szCs w:val="28"/>
        </w:rPr>
      </w:pPr>
    </w:p>
    <w:p w14:paraId="64E5A338" w14:textId="77777777" w:rsidR="00AD6A1E" w:rsidRPr="000B352A" w:rsidRDefault="00AD6A1E" w:rsidP="000B352A">
      <w:pPr>
        <w:ind w:right="51"/>
        <w:jc w:val="center"/>
        <w:rPr>
          <w:rFonts w:cs="Times New Roman"/>
          <w:szCs w:val="28"/>
        </w:rPr>
      </w:pPr>
      <w:r w:rsidRPr="000B352A">
        <w:rPr>
          <w:rFonts w:cs="Times New Roman"/>
          <w:szCs w:val="28"/>
        </w:rPr>
        <w:t>DIANA FAJARDO RIVERA</w:t>
      </w:r>
    </w:p>
    <w:p w14:paraId="64E5A339" w14:textId="77777777" w:rsidR="00AD6A1E" w:rsidRPr="000B352A" w:rsidRDefault="00AD6A1E" w:rsidP="000B352A">
      <w:pPr>
        <w:ind w:right="51"/>
        <w:jc w:val="center"/>
        <w:rPr>
          <w:rFonts w:cs="Times New Roman"/>
          <w:szCs w:val="28"/>
        </w:rPr>
      </w:pPr>
      <w:r w:rsidRPr="000B352A">
        <w:rPr>
          <w:rFonts w:cs="Times New Roman"/>
          <w:szCs w:val="28"/>
        </w:rPr>
        <w:t>Magistrada</w:t>
      </w:r>
    </w:p>
    <w:p w14:paraId="64E5A33A" w14:textId="77777777" w:rsidR="00AD6A1E" w:rsidRPr="000B352A" w:rsidRDefault="00AD6A1E" w:rsidP="000B352A">
      <w:pPr>
        <w:jc w:val="center"/>
        <w:rPr>
          <w:rFonts w:cs="Times New Roman"/>
          <w:szCs w:val="28"/>
        </w:rPr>
      </w:pPr>
    </w:p>
    <w:p w14:paraId="64E5A33B" w14:textId="77777777" w:rsidR="00AD6A1E" w:rsidRPr="000B352A" w:rsidRDefault="00AD6A1E" w:rsidP="000B352A">
      <w:pPr>
        <w:ind w:right="51"/>
        <w:jc w:val="center"/>
        <w:rPr>
          <w:rFonts w:cs="Times New Roman"/>
          <w:szCs w:val="28"/>
        </w:rPr>
      </w:pPr>
    </w:p>
    <w:p w14:paraId="64E5A33C" w14:textId="77777777" w:rsidR="00AD6A1E" w:rsidRPr="000B352A" w:rsidRDefault="00AD6A1E" w:rsidP="000B352A">
      <w:pPr>
        <w:ind w:right="51"/>
        <w:jc w:val="center"/>
        <w:rPr>
          <w:rFonts w:cs="Times New Roman"/>
          <w:szCs w:val="28"/>
        </w:rPr>
      </w:pPr>
    </w:p>
    <w:p w14:paraId="64E5A33D" w14:textId="77777777" w:rsidR="00AD6A1E" w:rsidRPr="000B352A" w:rsidRDefault="00AD6A1E" w:rsidP="000B352A">
      <w:pPr>
        <w:ind w:right="51"/>
        <w:jc w:val="center"/>
        <w:rPr>
          <w:rFonts w:cs="Times New Roman"/>
          <w:szCs w:val="28"/>
        </w:rPr>
      </w:pPr>
      <w:r w:rsidRPr="000B352A">
        <w:rPr>
          <w:rFonts w:cs="Times New Roman"/>
          <w:szCs w:val="28"/>
        </w:rPr>
        <w:t>LUIS GUILLERMO GUERRERO PÉREZ</w:t>
      </w:r>
    </w:p>
    <w:p w14:paraId="64E5A33E" w14:textId="77777777" w:rsidR="00AD6A1E" w:rsidRPr="000B352A" w:rsidRDefault="00AD6A1E" w:rsidP="000B352A">
      <w:pPr>
        <w:ind w:right="51"/>
        <w:jc w:val="center"/>
        <w:rPr>
          <w:rFonts w:cs="Times New Roman"/>
          <w:szCs w:val="28"/>
        </w:rPr>
      </w:pPr>
      <w:r w:rsidRPr="000B352A">
        <w:rPr>
          <w:rFonts w:cs="Times New Roman"/>
          <w:szCs w:val="28"/>
        </w:rPr>
        <w:t>Magistrado</w:t>
      </w:r>
    </w:p>
    <w:p w14:paraId="64E5A33F" w14:textId="77777777" w:rsidR="00AD6A1E" w:rsidRPr="000B352A" w:rsidRDefault="00AD6A1E" w:rsidP="000B352A">
      <w:pPr>
        <w:jc w:val="center"/>
        <w:rPr>
          <w:rFonts w:cs="Times New Roman"/>
          <w:szCs w:val="28"/>
        </w:rPr>
      </w:pPr>
    </w:p>
    <w:p w14:paraId="64E5A340" w14:textId="77777777" w:rsidR="00562143" w:rsidRPr="000B352A" w:rsidRDefault="00562143" w:rsidP="000B352A">
      <w:pPr>
        <w:jc w:val="center"/>
        <w:rPr>
          <w:rFonts w:cs="Times New Roman"/>
          <w:szCs w:val="28"/>
        </w:rPr>
      </w:pPr>
    </w:p>
    <w:p w14:paraId="64E5A341" w14:textId="77777777" w:rsidR="00AD6A1E" w:rsidRPr="000B352A" w:rsidRDefault="00AD6A1E" w:rsidP="000B352A">
      <w:pPr>
        <w:jc w:val="center"/>
        <w:rPr>
          <w:rFonts w:cs="Times New Roman"/>
          <w:szCs w:val="28"/>
        </w:rPr>
      </w:pPr>
    </w:p>
    <w:p w14:paraId="64E5A342" w14:textId="77777777" w:rsidR="00AD6A1E" w:rsidRPr="000B352A" w:rsidRDefault="00AD6A1E" w:rsidP="000B352A">
      <w:pPr>
        <w:ind w:right="51"/>
        <w:jc w:val="center"/>
        <w:rPr>
          <w:rFonts w:cs="Times New Roman"/>
          <w:szCs w:val="28"/>
        </w:rPr>
      </w:pPr>
      <w:r w:rsidRPr="000B352A">
        <w:rPr>
          <w:rFonts w:cs="Times New Roman"/>
          <w:szCs w:val="28"/>
        </w:rPr>
        <w:t>ALEJANDRO LINARES CANTILLO</w:t>
      </w:r>
    </w:p>
    <w:p w14:paraId="64E5A343" w14:textId="77777777" w:rsidR="00AD6A1E" w:rsidRPr="000B352A" w:rsidRDefault="00AD6A1E" w:rsidP="000B352A">
      <w:pPr>
        <w:ind w:right="51"/>
        <w:jc w:val="center"/>
        <w:rPr>
          <w:rFonts w:cs="Times New Roman"/>
          <w:szCs w:val="28"/>
        </w:rPr>
      </w:pPr>
      <w:r w:rsidRPr="000B352A">
        <w:rPr>
          <w:rFonts w:cs="Times New Roman"/>
          <w:szCs w:val="28"/>
        </w:rPr>
        <w:t>Magistrado</w:t>
      </w:r>
    </w:p>
    <w:p w14:paraId="64E5A344" w14:textId="77777777" w:rsidR="00AD6A1E" w:rsidRPr="000B352A" w:rsidRDefault="00AD6A1E" w:rsidP="000B352A">
      <w:pPr>
        <w:ind w:right="51"/>
        <w:jc w:val="center"/>
        <w:rPr>
          <w:rFonts w:cs="Times New Roman"/>
          <w:szCs w:val="28"/>
        </w:rPr>
      </w:pPr>
    </w:p>
    <w:p w14:paraId="64E5A345" w14:textId="77777777" w:rsidR="00AD6A1E" w:rsidRPr="000B352A" w:rsidRDefault="00AD6A1E" w:rsidP="000B352A">
      <w:pPr>
        <w:ind w:right="51"/>
        <w:jc w:val="center"/>
        <w:rPr>
          <w:rFonts w:cs="Times New Roman"/>
          <w:szCs w:val="28"/>
        </w:rPr>
      </w:pPr>
    </w:p>
    <w:p w14:paraId="64E5A346" w14:textId="77777777" w:rsidR="00AD6A1E" w:rsidRPr="000B352A" w:rsidRDefault="00AD6A1E" w:rsidP="000B352A">
      <w:pPr>
        <w:ind w:right="51"/>
        <w:jc w:val="center"/>
        <w:rPr>
          <w:rFonts w:cs="Times New Roman"/>
          <w:szCs w:val="28"/>
        </w:rPr>
      </w:pPr>
    </w:p>
    <w:p w14:paraId="64E5A347" w14:textId="77777777" w:rsidR="00AD6A1E" w:rsidRPr="000B352A" w:rsidRDefault="00AD6A1E" w:rsidP="000B352A">
      <w:pPr>
        <w:ind w:right="51"/>
        <w:jc w:val="center"/>
        <w:rPr>
          <w:rFonts w:cs="Times New Roman"/>
          <w:szCs w:val="28"/>
        </w:rPr>
      </w:pPr>
      <w:r w:rsidRPr="000B352A">
        <w:rPr>
          <w:rFonts w:cs="Times New Roman"/>
          <w:szCs w:val="28"/>
        </w:rPr>
        <w:t>ANTONIO JOSÉ LIZARAZO OCAMPO</w:t>
      </w:r>
    </w:p>
    <w:p w14:paraId="64E5A348" w14:textId="77777777" w:rsidR="00AD6A1E" w:rsidRPr="000B352A" w:rsidRDefault="00AD6A1E" w:rsidP="000B352A">
      <w:pPr>
        <w:ind w:right="51"/>
        <w:jc w:val="center"/>
        <w:rPr>
          <w:rFonts w:cs="Times New Roman"/>
          <w:szCs w:val="28"/>
        </w:rPr>
      </w:pPr>
      <w:r w:rsidRPr="000B352A">
        <w:rPr>
          <w:rFonts w:cs="Times New Roman"/>
          <w:szCs w:val="28"/>
        </w:rPr>
        <w:t>Magistrado</w:t>
      </w:r>
    </w:p>
    <w:p w14:paraId="64E5A349" w14:textId="77777777" w:rsidR="00AD6A1E" w:rsidRPr="000B352A" w:rsidRDefault="00AD6A1E" w:rsidP="000B352A">
      <w:pPr>
        <w:jc w:val="center"/>
        <w:rPr>
          <w:rFonts w:cs="Times New Roman"/>
          <w:szCs w:val="28"/>
        </w:rPr>
      </w:pPr>
    </w:p>
    <w:p w14:paraId="64E5A34A" w14:textId="77777777" w:rsidR="00AD6A1E" w:rsidRPr="000B352A" w:rsidRDefault="00AD6A1E" w:rsidP="000B352A">
      <w:pPr>
        <w:ind w:right="51"/>
        <w:jc w:val="center"/>
        <w:rPr>
          <w:rFonts w:cs="Times New Roman"/>
          <w:szCs w:val="28"/>
        </w:rPr>
      </w:pPr>
    </w:p>
    <w:p w14:paraId="64E5A34B" w14:textId="77777777" w:rsidR="00AD6A1E" w:rsidRPr="000B352A" w:rsidRDefault="00AD6A1E" w:rsidP="000B352A">
      <w:pPr>
        <w:ind w:right="51"/>
        <w:jc w:val="center"/>
        <w:rPr>
          <w:rFonts w:cs="Times New Roman"/>
          <w:szCs w:val="28"/>
        </w:rPr>
      </w:pPr>
    </w:p>
    <w:p w14:paraId="64E5A34C" w14:textId="77777777" w:rsidR="00AD6A1E" w:rsidRPr="000B352A" w:rsidRDefault="00AD6A1E" w:rsidP="000B352A">
      <w:pPr>
        <w:ind w:right="51"/>
        <w:jc w:val="center"/>
        <w:rPr>
          <w:rFonts w:cs="Times New Roman"/>
          <w:szCs w:val="28"/>
        </w:rPr>
      </w:pPr>
      <w:r w:rsidRPr="000B352A">
        <w:rPr>
          <w:rFonts w:cs="Times New Roman"/>
          <w:szCs w:val="28"/>
        </w:rPr>
        <w:t>CRISTINA PARDO SCHLESINGER</w:t>
      </w:r>
    </w:p>
    <w:p w14:paraId="64E5A34D" w14:textId="77777777" w:rsidR="00AD6A1E" w:rsidRPr="000B352A" w:rsidRDefault="00AD6A1E" w:rsidP="000B352A">
      <w:pPr>
        <w:ind w:right="51"/>
        <w:jc w:val="center"/>
        <w:rPr>
          <w:rFonts w:cs="Times New Roman"/>
          <w:szCs w:val="28"/>
        </w:rPr>
      </w:pPr>
      <w:r w:rsidRPr="000B352A">
        <w:rPr>
          <w:rFonts w:cs="Times New Roman"/>
          <w:szCs w:val="28"/>
        </w:rPr>
        <w:t>Magistrada</w:t>
      </w:r>
    </w:p>
    <w:p w14:paraId="64E5A34E" w14:textId="77777777" w:rsidR="00AD6A1E" w:rsidRPr="000B352A" w:rsidRDefault="00AD6A1E" w:rsidP="000B352A">
      <w:pPr>
        <w:jc w:val="center"/>
        <w:rPr>
          <w:rFonts w:cs="Times New Roman"/>
          <w:szCs w:val="28"/>
        </w:rPr>
      </w:pPr>
      <w:r w:rsidRPr="000B352A">
        <w:rPr>
          <w:rFonts w:cs="Times New Roman"/>
          <w:szCs w:val="28"/>
        </w:rPr>
        <w:br/>
      </w:r>
    </w:p>
    <w:p w14:paraId="64E5A34F" w14:textId="77777777" w:rsidR="00AD6A1E" w:rsidRPr="000B352A" w:rsidRDefault="00AD6A1E" w:rsidP="000B352A">
      <w:pPr>
        <w:jc w:val="center"/>
        <w:rPr>
          <w:rFonts w:cs="Times New Roman"/>
          <w:szCs w:val="28"/>
        </w:rPr>
      </w:pPr>
    </w:p>
    <w:p w14:paraId="64E5A350" w14:textId="77777777" w:rsidR="00AD6A1E" w:rsidRPr="000B352A" w:rsidRDefault="00AD6A1E" w:rsidP="000B352A">
      <w:pPr>
        <w:ind w:right="51"/>
        <w:jc w:val="center"/>
        <w:rPr>
          <w:rFonts w:cs="Times New Roman"/>
          <w:szCs w:val="28"/>
        </w:rPr>
      </w:pPr>
      <w:r w:rsidRPr="000B352A">
        <w:rPr>
          <w:rFonts w:cs="Times New Roman"/>
          <w:szCs w:val="28"/>
        </w:rPr>
        <w:t>JOSÉ FERNANDO REYES CUARTAS</w:t>
      </w:r>
    </w:p>
    <w:p w14:paraId="64E5A351" w14:textId="77777777" w:rsidR="00AD6A1E" w:rsidRPr="000B352A" w:rsidRDefault="00AD6A1E" w:rsidP="000B352A">
      <w:pPr>
        <w:ind w:right="51"/>
        <w:jc w:val="center"/>
        <w:rPr>
          <w:rFonts w:cs="Times New Roman"/>
          <w:szCs w:val="28"/>
        </w:rPr>
      </w:pPr>
      <w:r w:rsidRPr="000B352A">
        <w:rPr>
          <w:rFonts w:cs="Times New Roman"/>
          <w:szCs w:val="28"/>
        </w:rPr>
        <w:t>Magistrado</w:t>
      </w:r>
    </w:p>
    <w:p w14:paraId="64E5A352" w14:textId="77777777" w:rsidR="000B352A" w:rsidRPr="000B352A" w:rsidRDefault="000B352A" w:rsidP="000B352A">
      <w:pPr>
        <w:jc w:val="center"/>
        <w:rPr>
          <w:rFonts w:cs="Times New Roman"/>
          <w:szCs w:val="28"/>
        </w:rPr>
      </w:pPr>
      <w:r>
        <w:rPr>
          <w:rFonts w:cs="Times New Roman"/>
          <w:i/>
          <w:szCs w:val="28"/>
        </w:rPr>
        <w:t>Con salvamento de voto</w:t>
      </w:r>
    </w:p>
    <w:p w14:paraId="64E5A353" w14:textId="77777777" w:rsidR="000B352A" w:rsidRPr="000B352A" w:rsidRDefault="000B352A" w:rsidP="000B352A">
      <w:pPr>
        <w:jc w:val="center"/>
        <w:rPr>
          <w:rFonts w:cs="Times New Roman"/>
          <w:szCs w:val="28"/>
        </w:rPr>
      </w:pPr>
    </w:p>
    <w:p w14:paraId="64E5A354" w14:textId="77777777" w:rsidR="00AD6A1E" w:rsidRPr="000B352A" w:rsidRDefault="00AD6A1E" w:rsidP="000B352A">
      <w:pPr>
        <w:jc w:val="center"/>
        <w:rPr>
          <w:rFonts w:cs="Times New Roman"/>
          <w:szCs w:val="28"/>
        </w:rPr>
      </w:pPr>
    </w:p>
    <w:p w14:paraId="64E5A355" w14:textId="77777777" w:rsidR="00AD6A1E" w:rsidRPr="000B352A" w:rsidRDefault="00AD6A1E" w:rsidP="000B352A">
      <w:pPr>
        <w:jc w:val="center"/>
        <w:rPr>
          <w:rFonts w:cs="Times New Roman"/>
          <w:szCs w:val="28"/>
        </w:rPr>
      </w:pPr>
    </w:p>
    <w:p w14:paraId="64E5A356" w14:textId="77777777" w:rsidR="00AD6A1E" w:rsidRPr="000B352A" w:rsidRDefault="00AD6A1E" w:rsidP="000B352A">
      <w:pPr>
        <w:ind w:right="51"/>
        <w:jc w:val="center"/>
        <w:rPr>
          <w:rFonts w:cs="Times New Roman"/>
          <w:szCs w:val="28"/>
        </w:rPr>
      </w:pPr>
      <w:r w:rsidRPr="000B352A">
        <w:rPr>
          <w:rFonts w:cs="Times New Roman"/>
          <w:szCs w:val="28"/>
        </w:rPr>
        <w:t>ALBERTO ROJAS RÍOS</w:t>
      </w:r>
    </w:p>
    <w:p w14:paraId="64E5A357" w14:textId="77777777" w:rsidR="00AD6A1E" w:rsidRPr="000B352A" w:rsidRDefault="00AD6A1E" w:rsidP="000B352A">
      <w:pPr>
        <w:ind w:right="51"/>
        <w:jc w:val="center"/>
        <w:rPr>
          <w:rFonts w:cs="Times New Roman"/>
          <w:szCs w:val="28"/>
        </w:rPr>
      </w:pPr>
      <w:r w:rsidRPr="000B352A">
        <w:rPr>
          <w:rFonts w:cs="Times New Roman"/>
          <w:szCs w:val="28"/>
        </w:rPr>
        <w:t>Magistrado</w:t>
      </w:r>
    </w:p>
    <w:p w14:paraId="64E5A358" w14:textId="77777777" w:rsidR="00AD6A1E" w:rsidRPr="000B352A" w:rsidRDefault="000B352A" w:rsidP="000B352A">
      <w:pPr>
        <w:jc w:val="center"/>
        <w:rPr>
          <w:rFonts w:cs="Times New Roman"/>
          <w:szCs w:val="28"/>
        </w:rPr>
      </w:pPr>
      <w:r>
        <w:rPr>
          <w:rFonts w:cs="Times New Roman"/>
          <w:i/>
          <w:szCs w:val="28"/>
        </w:rPr>
        <w:t>Con salvamento de voto</w:t>
      </w:r>
    </w:p>
    <w:p w14:paraId="64E5A359" w14:textId="77777777" w:rsidR="00AD6A1E" w:rsidRPr="000B352A" w:rsidRDefault="00AD6A1E" w:rsidP="000B352A">
      <w:pPr>
        <w:jc w:val="center"/>
        <w:rPr>
          <w:rFonts w:cs="Times New Roman"/>
          <w:szCs w:val="28"/>
        </w:rPr>
      </w:pPr>
    </w:p>
    <w:p w14:paraId="64E5A35A" w14:textId="77777777" w:rsidR="00AD6A1E" w:rsidRPr="000B352A" w:rsidRDefault="00AD6A1E" w:rsidP="000B352A">
      <w:pPr>
        <w:jc w:val="center"/>
        <w:rPr>
          <w:rFonts w:cs="Times New Roman"/>
          <w:szCs w:val="28"/>
        </w:rPr>
      </w:pPr>
    </w:p>
    <w:p w14:paraId="64E5A35B" w14:textId="77777777" w:rsidR="00AD6A1E" w:rsidRPr="000B352A" w:rsidRDefault="00AD6A1E" w:rsidP="000B352A">
      <w:pPr>
        <w:jc w:val="center"/>
        <w:rPr>
          <w:rFonts w:cs="Times New Roman"/>
          <w:szCs w:val="28"/>
        </w:rPr>
      </w:pPr>
    </w:p>
    <w:p w14:paraId="64E5A35C" w14:textId="77777777" w:rsidR="00AD6A1E" w:rsidRPr="000B352A" w:rsidRDefault="00AD6A1E" w:rsidP="000B352A">
      <w:pPr>
        <w:ind w:right="51"/>
        <w:jc w:val="center"/>
        <w:rPr>
          <w:rFonts w:cs="Times New Roman"/>
          <w:szCs w:val="28"/>
        </w:rPr>
      </w:pPr>
      <w:r w:rsidRPr="000B352A">
        <w:rPr>
          <w:rFonts w:cs="Times New Roman"/>
          <w:szCs w:val="28"/>
        </w:rPr>
        <w:t>MARTHA VICTORIA SÁCHICA MÉNDEZ</w:t>
      </w:r>
    </w:p>
    <w:p w14:paraId="64E5A35D" w14:textId="77777777" w:rsidR="00DD6692" w:rsidRPr="000B352A" w:rsidRDefault="00AD6A1E" w:rsidP="000B352A">
      <w:pPr>
        <w:ind w:right="51"/>
        <w:jc w:val="center"/>
        <w:rPr>
          <w:rFonts w:cs="Times New Roman"/>
          <w:szCs w:val="28"/>
        </w:rPr>
      </w:pPr>
      <w:r w:rsidRPr="000B352A">
        <w:rPr>
          <w:rFonts w:cs="Times New Roman"/>
          <w:szCs w:val="28"/>
        </w:rPr>
        <w:t>Secretaria General</w:t>
      </w:r>
    </w:p>
    <w:p w14:paraId="64E5A35E" w14:textId="77777777" w:rsidR="00963FE1" w:rsidRDefault="00963FE1" w:rsidP="000B352A">
      <w:pPr>
        <w:jc w:val="center"/>
        <w:rPr>
          <w:rFonts w:cs="Times New Roman"/>
          <w:szCs w:val="28"/>
        </w:rPr>
      </w:pPr>
    </w:p>
    <w:p w14:paraId="64E5A35F" w14:textId="77777777" w:rsidR="00686316" w:rsidRDefault="00686316" w:rsidP="000B352A">
      <w:pPr>
        <w:jc w:val="center"/>
        <w:rPr>
          <w:rFonts w:cs="Times New Roman"/>
          <w:szCs w:val="28"/>
        </w:rPr>
      </w:pPr>
    </w:p>
    <w:p w14:paraId="64E5A360" w14:textId="77777777" w:rsidR="00686316" w:rsidRDefault="00686316" w:rsidP="000B352A">
      <w:pPr>
        <w:jc w:val="center"/>
        <w:rPr>
          <w:rFonts w:cs="Times New Roman"/>
          <w:szCs w:val="28"/>
        </w:rPr>
      </w:pPr>
    </w:p>
    <w:p w14:paraId="64E5A361" w14:textId="77777777" w:rsidR="007A7FC1" w:rsidRDefault="007A7FC1" w:rsidP="000B352A">
      <w:pPr>
        <w:jc w:val="center"/>
        <w:rPr>
          <w:rFonts w:cs="Times New Roman"/>
          <w:szCs w:val="28"/>
        </w:rPr>
      </w:pPr>
    </w:p>
    <w:p w14:paraId="64E5A362" w14:textId="77777777" w:rsidR="007A7FC1" w:rsidRDefault="007A7FC1" w:rsidP="000B352A">
      <w:pPr>
        <w:jc w:val="center"/>
        <w:rPr>
          <w:rFonts w:cs="Times New Roman"/>
          <w:szCs w:val="28"/>
        </w:rPr>
      </w:pPr>
    </w:p>
    <w:p w14:paraId="64E5A363" w14:textId="77777777" w:rsidR="00497F77" w:rsidRDefault="00497F77" w:rsidP="000B352A">
      <w:pPr>
        <w:jc w:val="center"/>
        <w:rPr>
          <w:rFonts w:cs="Times New Roman"/>
          <w:szCs w:val="28"/>
        </w:rPr>
      </w:pPr>
    </w:p>
    <w:p w14:paraId="64E5A364" w14:textId="77777777" w:rsidR="00497F77" w:rsidRDefault="00497F77" w:rsidP="000B352A">
      <w:pPr>
        <w:jc w:val="center"/>
        <w:rPr>
          <w:rFonts w:cs="Times New Roman"/>
          <w:szCs w:val="28"/>
        </w:rPr>
      </w:pPr>
    </w:p>
    <w:p w14:paraId="64E5A365" w14:textId="77777777" w:rsidR="0076773B" w:rsidRDefault="0076773B" w:rsidP="000B352A">
      <w:pPr>
        <w:jc w:val="center"/>
        <w:rPr>
          <w:rFonts w:cs="Times New Roman"/>
          <w:szCs w:val="28"/>
        </w:rPr>
      </w:pPr>
    </w:p>
    <w:p w14:paraId="64E5A366" w14:textId="77777777" w:rsidR="0076773B" w:rsidRDefault="0076773B" w:rsidP="000B352A">
      <w:pPr>
        <w:jc w:val="center"/>
        <w:rPr>
          <w:rFonts w:cs="Times New Roman"/>
          <w:szCs w:val="28"/>
        </w:rPr>
      </w:pPr>
    </w:p>
    <w:p w14:paraId="64E5A367" w14:textId="77777777" w:rsidR="008426D1" w:rsidRDefault="008426D1" w:rsidP="000B352A">
      <w:pPr>
        <w:jc w:val="center"/>
        <w:rPr>
          <w:rFonts w:cs="Times New Roman"/>
          <w:szCs w:val="28"/>
        </w:rPr>
      </w:pPr>
    </w:p>
    <w:p w14:paraId="64E5A368" w14:textId="77777777" w:rsidR="008426D1" w:rsidRDefault="008426D1" w:rsidP="000B352A">
      <w:pPr>
        <w:jc w:val="center"/>
        <w:rPr>
          <w:rFonts w:cs="Times New Roman"/>
          <w:szCs w:val="28"/>
        </w:rPr>
      </w:pPr>
    </w:p>
    <w:p w14:paraId="64E5A369" w14:textId="77777777" w:rsidR="00E24867" w:rsidRDefault="00E24867" w:rsidP="000B352A">
      <w:pPr>
        <w:jc w:val="center"/>
        <w:rPr>
          <w:rFonts w:cs="Times New Roman"/>
          <w:szCs w:val="28"/>
        </w:rPr>
      </w:pPr>
    </w:p>
    <w:p w14:paraId="64E5A36A" w14:textId="77777777" w:rsidR="00E24867" w:rsidRPr="000B352A" w:rsidRDefault="00E24867" w:rsidP="000B352A">
      <w:pPr>
        <w:jc w:val="center"/>
        <w:rPr>
          <w:rFonts w:cs="Times New Roman"/>
          <w:szCs w:val="28"/>
        </w:rPr>
      </w:pPr>
    </w:p>
    <w:sectPr w:rsidR="00E24867" w:rsidRPr="000B352A" w:rsidSect="00F430F2">
      <w:headerReference w:type="default" r:id="rId10"/>
      <w:pgSz w:w="12240" w:h="18720" w:code="14"/>
      <w:pgMar w:top="1701" w:right="1701" w:bottom="170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E5A36D" w14:textId="77777777" w:rsidR="00D50973" w:rsidRDefault="00D50973" w:rsidP="00DD6692">
      <w:r>
        <w:separator/>
      </w:r>
    </w:p>
  </w:endnote>
  <w:endnote w:type="continuationSeparator" w:id="0">
    <w:p w14:paraId="64E5A36E" w14:textId="77777777" w:rsidR="00D50973" w:rsidRDefault="00D50973" w:rsidP="00DD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5A36B" w14:textId="77777777" w:rsidR="00D50973" w:rsidRDefault="00D50973" w:rsidP="00DD6692">
      <w:r>
        <w:separator/>
      </w:r>
    </w:p>
  </w:footnote>
  <w:footnote w:type="continuationSeparator" w:id="0">
    <w:p w14:paraId="64E5A36C" w14:textId="77777777" w:rsidR="00D50973" w:rsidRDefault="00D50973" w:rsidP="00DD6692">
      <w:r>
        <w:continuationSeparator/>
      </w:r>
    </w:p>
  </w:footnote>
  <w:footnote w:id="1">
    <w:p w14:paraId="64E5A370" w14:textId="77777777" w:rsidR="002202D0" w:rsidRPr="00D74F87" w:rsidRDefault="002202D0" w:rsidP="002202D0">
      <w:pPr>
        <w:pStyle w:val="Textonotapie"/>
        <w:rPr>
          <w:lang w:val="es-ES"/>
        </w:rPr>
      </w:pPr>
      <w:r w:rsidRPr="00D74F87">
        <w:rPr>
          <w:rStyle w:val="Refdenotaalpie"/>
          <w:sz w:val="20"/>
        </w:rPr>
        <w:footnoteRef/>
      </w:r>
      <w:r w:rsidRPr="00D74F87">
        <w:t xml:space="preserve"> </w:t>
      </w:r>
      <w:r w:rsidRPr="00D74F87">
        <w:rPr>
          <w:lang w:val="es-ES"/>
        </w:rPr>
        <w:t>Corte Interamericana de Derechos Humanos, caso Atala Riffo y niñas vs. Chile. Sentencia de 24 de febrero de 2012.</w:t>
      </w:r>
    </w:p>
  </w:footnote>
  <w:footnote w:id="2">
    <w:p w14:paraId="64E5A371" w14:textId="77777777" w:rsidR="002202D0" w:rsidRPr="00D74F87" w:rsidRDefault="002202D0" w:rsidP="002202D0">
      <w:pPr>
        <w:pStyle w:val="Textonotapie"/>
        <w:rPr>
          <w:lang w:val="es-ES"/>
        </w:rPr>
      </w:pPr>
      <w:r w:rsidRPr="00D74F87">
        <w:rPr>
          <w:rStyle w:val="Refdenotaalpie"/>
          <w:sz w:val="20"/>
        </w:rPr>
        <w:footnoteRef/>
      </w:r>
      <w:r w:rsidRPr="00D74F87">
        <w:t xml:space="preserve"> “</w:t>
      </w:r>
      <w:r w:rsidRPr="00D74F87">
        <w:rPr>
          <w:lang w:val="es-ES"/>
        </w:rPr>
        <w:t>Sentencia T-630 del 28 de noviembre de mil novecientos noventa y siete (1997), M.P. Alejandro Martínez Caballero”.</w:t>
      </w:r>
    </w:p>
  </w:footnote>
  <w:footnote w:id="3">
    <w:p w14:paraId="64E5A372" w14:textId="77777777" w:rsidR="002202D0" w:rsidRPr="00D74F87" w:rsidRDefault="002202D0" w:rsidP="002202D0">
      <w:pPr>
        <w:pStyle w:val="Textonotapie"/>
        <w:rPr>
          <w:lang w:val="es-ES"/>
        </w:rPr>
      </w:pPr>
      <w:r w:rsidRPr="00D74F87">
        <w:rPr>
          <w:rStyle w:val="Refdenotaalpie"/>
          <w:sz w:val="20"/>
        </w:rPr>
        <w:footnoteRef/>
      </w:r>
      <w:r w:rsidRPr="00D74F87">
        <w:t xml:space="preserve"> </w:t>
      </w:r>
      <w:r w:rsidRPr="00D74F87">
        <w:rPr>
          <w:lang w:val="es-ES"/>
        </w:rPr>
        <w:t>“Sentencia T-030 de 2013, M.P. Jorge Ignacio Pretelt Chaljub”.</w:t>
      </w:r>
    </w:p>
  </w:footnote>
  <w:footnote w:id="4">
    <w:p w14:paraId="64E5A373" w14:textId="77777777" w:rsidR="002202D0" w:rsidRPr="008C139F" w:rsidRDefault="002202D0" w:rsidP="002202D0">
      <w:pPr>
        <w:pStyle w:val="Textonotapie"/>
      </w:pPr>
      <w:r w:rsidRPr="008C139F">
        <w:rPr>
          <w:rStyle w:val="Refdenotaalpie"/>
          <w:sz w:val="20"/>
        </w:rPr>
        <w:footnoteRef/>
      </w:r>
      <w:r w:rsidRPr="008C139F">
        <w:t xml:space="preserve"> Ver, entre otras, la Sentencia C-318 de 2002, MP Alfredo Beltrán Sierra.</w:t>
      </w:r>
    </w:p>
  </w:footnote>
  <w:footnote w:id="5">
    <w:p w14:paraId="64E5A374" w14:textId="77777777" w:rsidR="002202D0" w:rsidRDefault="002202D0" w:rsidP="002202D0">
      <w:pPr>
        <w:pStyle w:val="Textonotapie"/>
      </w:pPr>
      <w:r w:rsidRPr="008C139F">
        <w:rPr>
          <w:rStyle w:val="Refdenotaalpie"/>
          <w:sz w:val="20"/>
        </w:rPr>
        <w:footnoteRef/>
      </w:r>
      <w:r w:rsidRPr="008C139F">
        <w:t xml:space="preserve"> Ibid.</w:t>
      </w:r>
      <w:r>
        <w:t xml:space="preserve"> </w:t>
      </w:r>
    </w:p>
  </w:footnote>
  <w:footnote w:id="6">
    <w:p w14:paraId="64E5A375" w14:textId="77777777" w:rsidR="002202D0" w:rsidRDefault="002202D0" w:rsidP="002202D0">
      <w:pPr>
        <w:pStyle w:val="Textonotapie"/>
      </w:pPr>
      <w:r w:rsidRPr="001144BF">
        <w:rPr>
          <w:rStyle w:val="Refdenotaalpie"/>
          <w:sz w:val="20"/>
        </w:rPr>
        <w:footnoteRef/>
      </w:r>
      <w:r w:rsidRPr="001144BF">
        <w:t xml:space="preserve"> D</w:t>
      </w:r>
      <w:r w:rsidRPr="00F56097">
        <w:t>ecreto 1239 de 10 de abril de 1948</w:t>
      </w:r>
    </w:p>
  </w:footnote>
  <w:footnote w:id="7">
    <w:p w14:paraId="64E5A376" w14:textId="77777777" w:rsidR="002202D0" w:rsidRPr="00525F58" w:rsidRDefault="002202D0" w:rsidP="002202D0">
      <w:pPr>
        <w:pStyle w:val="Textonotapie"/>
        <w:rPr>
          <w:lang w:val="es-ES"/>
        </w:rPr>
      </w:pPr>
      <w:r w:rsidRPr="00525F58">
        <w:rPr>
          <w:rStyle w:val="Refdenotaalpie"/>
          <w:sz w:val="20"/>
        </w:rPr>
        <w:footnoteRef/>
      </w:r>
      <w:r w:rsidRPr="00525F58">
        <w:t xml:space="preserve"> Para un análisis de las diferencias entre la Ley 182 de 1948 y la Ley 16 de 1985 puede consultarse la nota al pie 4 de la Sentencia C-376 de 2004, MP Álvaro Tafur Galvis.</w:t>
      </w:r>
    </w:p>
  </w:footnote>
  <w:footnote w:id="8">
    <w:p w14:paraId="64E5A377" w14:textId="77777777" w:rsidR="002202D0" w:rsidRPr="00E30ADA" w:rsidRDefault="002202D0" w:rsidP="002202D0">
      <w:pPr>
        <w:pStyle w:val="Textonotapie"/>
      </w:pPr>
      <w:r w:rsidRPr="00E30ADA">
        <w:rPr>
          <w:rStyle w:val="Refdenotaalpie"/>
          <w:sz w:val="20"/>
        </w:rPr>
        <w:footnoteRef/>
      </w:r>
      <w:r w:rsidRPr="00E30ADA">
        <w:t xml:space="preserve"> Ver: Sentencia C-782 de 2004, MP Rodrigo Uprimny Yepes.</w:t>
      </w:r>
    </w:p>
  </w:footnote>
  <w:footnote w:id="9">
    <w:p w14:paraId="64E5A378" w14:textId="77777777" w:rsidR="002202D0" w:rsidRPr="00D74F87" w:rsidRDefault="002202D0" w:rsidP="002202D0">
      <w:pPr>
        <w:pStyle w:val="Textonotapie"/>
      </w:pPr>
      <w:r w:rsidRPr="00D74F87">
        <w:rPr>
          <w:rStyle w:val="Refdenotaalpie"/>
          <w:sz w:val="20"/>
        </w:rPr>
        <w:footnoteRef/>
      </w:r>
      <w:r w:rsidRPr="00D74F87">
        <w:t xml:space="preserve"> Al estudiar la referida Ley 428 de 1998, la Corte señaló que de su análisis “queda claro que coexisten dos derechos, a saber:  el primero, que radica en la propiedad o dominio que se tiene sobre un área privada determinada; y, el segundo, una propiedad en común sobre las áreas comunes, de la cual son cotitulares quienes a su turno lo sean de áreas privadas”</w:t>
      </w:r>
      <w:r w:rsidRPr="00D74F87">
        <w:rPr>
          <w:rStyle w:val="Refdenotaalpie"/>
          <w:iCs/>
          <w:sz w:val="20"/>
        </w:rPr>
        <w:t xml:space="preserve"> </w:t>
      </w:r>
      <w:r w:rsidRPr="00D74F87">
        <w:t>(Sentencia C-726 de 2000, MP Alfredo Beltrán Sierra)</w:t>
      </w:r>
    </w:p>
  </w:footnote>
  <w:footnote w:id="10">
    <w:p w14:paraId="64E5A379" w14:textId="77777777" w:rsidR="002202D0" w:rsidRPr="003660F2" w:rsidRDefault="002202D0" w:rsidP="002202D0">
      <w:pPr>
        <w:pStyle w:val="Textonotapie"/>
      </w:pPr>
      <w:r w:rsidRPr="003660F2">
        <w:rPr>
          <w:rStyle w:val="Refdenotaalpie"/>
          <w:sz w:val="20"/>
        </w:rPr>
        <w:footnoteRef/>
      </w:r>
      <w:r w:rsidRPr="003660F2">
        <w:t xml:space="preserve"> Sentencia C-153 de 2004, MP Álvaro Tafur Galvis. En el mismo también puede consultarse</w:t>
      </w:r>
      <w:r w:rsidRPr="003660F2">
        <w:rPr>
          <w:shd w:val="clear" w:color="auto" w:fill="FFFFFF"/>
        </w:rPr>
        <w:t xml:space="preserve"> las sentencias C-318/02, MP Alfredo Beltrán Sierra; C-408/03, MP Jaime Araujo Rentería; C-488/02 y C-376 de 2004, MP Álvaro Tafur Galvis. </w:t>
      </w:r>
    </w:p>
  </w:footnote>
  <w:footnote w:id="11">
    <w:p w14:paraId="64E5A37A" w14:textId="77777777" w:rsidR="002202D0" w:rsidRPr="00525F58" w:rsidRDefault="002202D0" w:rsidP="00525F58">
      <w:pPr>
        <w:shd w:val="clear" w:color="auto" w:fill="FFFFFF"/>
        <w:textAlignment w:val="baseline"/>
        <w:rPr>
          <w:rFonts w:eastAsia="Times New Roman" w:cs="Times New Roman"/>
          <w:color w:val="2D2D2D"/>
          <w:kern w:val="0"/>
          <w:sz w:val="20"/>
          <w:szCs w:val="20"/>
          <w:lang w:eastAsia="es-CO" w:bidi="ar-SA"/>
        </w:rPr>
      </w:pPr>
      <w:r w:rsidRPr="00525F58">
        <w:rPr>
          <w:rStyle w:val="Refdenotaalpie"/>
          <w:sz w:val="20"/>
          <w:szCs w:val="20"/>
        </w:rPr>
        <w:footnoteRef/>
      </w:r>
      <w:r w:rsidRPr="00525F58">
        <w:rPr>
          <w:sz w:val="20"/>
          <w:szCs w:val="20"/>
        </w:rPr>
        <w:t xml:space="preserve"> </w:t>
      </w:r>
      <w:r w:rsidRPr="00525F58">
        <w:rPr>
          <w:rFonts w:eastAsia="Times New Roman" w:cs="Times New Roman"/>
          <w:color w:val="2D2D2D"/>
          <w:kern w:val="0"/>
          <w:sz w:val="20"/>
          <w:szCs w:val="20"/>
          <w:bdr w:val="none" w:sz="0" w:space="0" w:color="auto" w:frame="1"/>
          <w:lang w:val="es-MX" w:eastAsia="es-CO" w:bidi="ar-SA"/>
        </w:rPr>
        <w:t>La Ley 675 de 2001 que establece actualmente el régimen de la propiedad horizontal define en su artículo 1º el objeto de la norma así:</w:t>
      </w:r>
    </w:p>
    <w:p w14:paraId="64E5A37B" w14:textId="77777777" w:rsidR="002202D0" w:rsidRPr="00525F58" w:rsidRDefault="002202D0" w:rsidP="00525F58">
      <w:pPr>
        <w:widowControl/>
        <w:shd w:val="clear" w:color="auto" w:fill="FFFFFF"/>
        <w:suppressAutoHyphens w:val="0"/>
        <w:textAlignment w:val="baseline"/>
        <w:rPr>
          <w:rFonts w:eastAsia="Times New Roman" w:cs="Times New Roman"/>
          <w:color w:val="2D2D2D"/>
          <w:kern w:val="0"/>
          <w:sz w:val="20"/>
          <w:szCs w:val="20"/>
          <w:lang w:eastAsia="es-CO" w:bidi="ar-SA"/>
        </w:rPr>
      </w:pPr>
      <w:r w:rsidRPr="00525F58">
        <w:rPr>
          <w:rFonts w:eastAsia="Times New Roman" w:cs="Times New Roman"/>
          <w:i/>
          <w:iCs/>
          <w:color w:val="2D2D2D"/>
          <w:kern w:val="0"/>
          <w:sz w:val="20"/>
          <w:szCs w:val="20"/>
          <w:bdr w:val="none" w:sz="0" w:space="0" w:color="auto" w:frame="1"/>
          <w:lang w:val="es-MX" w:eastAsia="es-CO" w:bidi="ar-SA"/>
        </w:rPr>
        <w:t>“La presente Ley regula la forma especial de dominio, denominada, propiedad horizontal, en la que concurren derechos de propiedad exclusiva sobre bienes privados y derechos de copropiedad sobre el terreno y los demás bienes comunes, con el fin de garantizar la seguridad y la convivencia pacífica en los inmuebles sometidos a ella, así como la función social de la propiedad”.</w:t>
      </w:r>
    </w:p>
  </w:footnote>
  <w:footnote w:id="12">
    <w:p w14:paraId="64E5A37C" w14:textId="77777777" w:rsidR="002202D0" w:rsidRPr="00D74F87" w:rsidRDefault="002202D0" w:rsidP="002202D0">
      <w:pPr>
        <w:pStyle w:val="Textonotapie"/>
      </w:pPr>
      <w:r w:rsidRPr="00D74F87">
        <w:rPr>
          <w:rStyle w:val="Refdenotaalpie"/>
          <w:sz w:val="20"/>
        </w:rPr>
        <w:footnoteRef/>
      </w:r>
      <w:r w:rsidRPr="00D74F87">
        <w:t xml:space="preserve"> Además de las obligaciones pecuniarias relativas al pago de las expensas comunes, la Ley 675 de 2001 prevé las obligaciones pecuniarias que surgen de las multas (ver artículo 59, num. 2).</w:t>
      </w:r>
    </w:p>
  </w:footnote>
  <w:footnote w:id="13">
    <w:p w14:paraId="64E5A37D" w14:textId="77777777" w:rsidR="002202D0" w:rsidRPr="00D74F87" w:rsidRDefault="002202D0" w:rsidP="001B4DF8">
      <w:pPr>
        <w:pStyle w:val="Ttulo2"/>
        <w:ind w:left="15" w:right="15"/>
        <w:jc w:val="both"/>
        <w:rPr>
          <w:sz w:val="20"/>
          <w:szCs w:val="20"/>
        </w:rPr>
      </w:pPr>
      <w:r w:rsidRPr="00D74F87">
        <w:rPr>
          <w:rStyle w:val="Refdenotaalpie"/>
          <w:sz w:val="20"/>
          <w:szCs w:val="20"/>
        </w:rPr>
        <w:footnoteRef/>
      </w:r>
      <w:r w:rsidRPr="00D74F87">
        <w:rPr>
          <w:sz w:val="20"/>
          <w:szCs w:val="20"/>
        </w:rPr>
        <w:t xml:space="preserve"> Ley 675 de 2001, Art. 3.—</w:t>
      </w:r>
      <w:r w:rsidRPr="00D74F87">
        <w:rPr>
          <w:b/>
          <w:bCs/>
          <w:sz w:val="20"/>
          <w:szCs w:val="20"/>
        </w:rPr>
        <w:t>Definiciones.</w:t>
      </w:r>
      <w:r w:rsidRPr="00D74F87">
        <w:rPr>
          <w:sz w:val="20"/>
          <w:szCs w:val="20"/>
        </w:rPr>
        <w:t xml:space="preserve"> Para los efectos de la presente ley se establecen las siguientes definiciones:</w:t>
      </w:r>
    </w:p>
    <w:p w14:paraId="64E5A37E" w14:textId="77777777" w:rsidR="002202D0" w:rsidRPr="00D74F87" w:rsidRDefault="002202D0" w:rsidP="001B4DF8">
      <w:pPr>
        <w:rPr>
          <w:rFonts w:cs="Times New Roman"/>
          <w:sz w:val="20"/>
          <w:szCs w:val="20"/>
          <w:lang w:val="es-ES" w:eastAsia="es-CO" w:bidi="ar-SA"/>
        </w:rPr>
      </w:pPr>
      <w:r w:rsidRPr="00D74F87">
        <w:rPr>
          <w:rFonts w:cs="Times New Roman"/>
          <w:sz w:val="20"/>
          <w:szCs w:val="20"/>
          <w:lang w:val="es-ES" w:eastAsia="es-CO" w:bidi="ar-SA"/>
        </w:rPr>
        <w:t xml:space="preserve">(…) </w:t>
      </w:r>
    </w:p>
    <w:p w14:paraId="64E5A37F" w14:textId="77777777" w:rsidR="002202D0" w:rsidRPr="00D74F87" w:rsidRDefault="002202D0" w:rsidP="001B4DF8">
      <w:pPr>
        <w:pStyle w:val="Ttulo2"/>
        <w:ind w:left="15" w:right="15"/>
        <w:jc w:val="both"/>
        <w:rPr>
          <w:sz w:val="20"/>
          <w:szCs w:val="20"/>
        </w:rPr>
      </w:pPr>
      <w:r w:rsidRPr="00D74F87">
        <w:rPr>
          <w:b/>
          <w:sz w:val="20"/>
          <w:szCs w:val="20"/>
        </w:rPr>
        <w:t>Expensas comunes necesarias</w:t>
      </w:r>
      <w:r w:rsidRPr="00D74F87">
        <w:rPr>
          <w:sz w:val="20"/>
          <w:szCs w:val="20"/>
        </w:rPr>
        <w:t>. Erogaciones necesarias causadas por la administración y la prestación de los servicios comunes esenciales requeridos para la existencia, seguridad y conservación de los bienes comunes del edificio o conjunto. Para estos efectos se entenderán esenciales los servicios necesarios, por el mantenimiento, reparación, reposición, reconstrucción y vigilancia de los bienes comunes, así como los servicios públicos esenciales relacionados con éstos.</w:t>
      </w:r>
    </w:p>
    <w:p w14:paraId="64E5A380" w14:textId="77777777" w:rsidR="002202D0" w:rsidRPr="00D74F87" w:rsidRDefault="002202D0" w:rsidP="001B4DF8">
      <w:pPr>
        <w:pStyle w:val="Ttulo2"/>
        <w:ind w:left="15" w:right="15"/>
        <w:jc w:val="both"/>
        <w:rPr>
          <w:sz w:val="20"/>
          <w:szCs w:val="20"/>
        </w:rPr>
      </w:pPr>
      <w:r w:rsidRPr="00D74F87">
        <w:rPr>
          <w:sz w:val="20"/>
          <w:szCs w:val="20"/>
        </w:rPr>
        <w:t>En los edificios o conjuntos de uso comercial, los costos de mercadeo tendrán el carácter de expensa común necesaria, sin perjuicio de las excepciones y restricciones que el reglamento de propiedad horizontal respectivo establezca.</w:t>
      </w:r>
    </w:p>
    <w:p w14:paraId="64E5A381" w14:textId="77777777" w:rsidR="002202D0" w:rsidRPr="00D74F87" w:rsidRDefault="002202D0" w:rsidP="001B4DF8">
      <w:pPr>
        <w:pStyle w:val="Ttulo2"/>
        <w:ind w:left="15" w:right="15"/>
        <w:jc w:val="both"/>
        <w:rPr>
          <w:sz w:val="20"/>
          <w:szCs w:val="20"/>
        </w:rPr>
      </w:pPr>
      <w:r w:rsidRPr="00D74F87">
        <w:rPr>
          <w:b/>
          <w:sz w:val="20"/>
          <w:szCs w:val="20"/>
        </w:rPr>
        <w:t>Las expensas comunes diferentes de las necesarias</w:t>
      </w:r>
      <w:r w:rsidRPr="00D74F87">
        <w:rPr>
          <w:sz w:val="20"/>
          <w:szCs w:val="20"/>
        </w:rPr>
        <w:t>, tendrán carácter obligatorio cuando sean aprobadas por la mayoría calificada exigida para el efecto en la presente ley.</w:t>
      </w:r>
    </w:p>
    <w:p w14:paraId="64E5A382" w14:textId="77777777" w:rsidR="002202D0" w:rsidRPr="00D74F87" w:rsidRDefault="002202D0" w:rsidP="005B3310">
      <w:pPr>
        <w:rPr>
          <w:rFonts w:cs="Times New Roman"/>
          <w:sz w:val="20"/>
          <w:szCs w:val="20"/>
          <w:lang w:val="es-ES" w:eastAsia="es-CO" w:bidi="ar-SA"/>
        </w:rPr>
      </w:pPr>
      <w:r w:rsidRPr="00D74F87">
        <w:rPr>
          <w:rFonts w:cs="Times New Roman"/>
          <w:sz w:val="20"/>
          <w:szCs w:val="20"/>
          <w:lang w:val="es-ES" w:eastAsia="es-CO" w:bidi="ar-SA"/>
        </w:rPr>
        <w:t>(…)”</w:t>
      </w:r>
    </w:p>
  </w:footnote>
  <w:footnote w:id="14">
    <w:p w14:paraId="64E5A383" w14:textId="77777777" w:rsidR="002202D0" w:rsidRPr="00E26B63" w:rsidRDefault="002202D0" w:rsidP="002202D0">
      <w:pPr>
        <w:pStyle w:val="Textonotapie"/>
      </w:pPr>
      <w:r w:rsidRPr="00E26B63">
        <w:rPr>
          <w:rStyle w:val="Refdenotaalpie"/>
          <w:sz w:val="20"/>
        </w:rPr>
        <w:footnoteRef/>
      </w:r>
      <w:r w:rsidRPr="00E26B63">
        <w:t xml:space="preserve"> Sentencia C-408 de 2003, MP Jaime Araújo Rentería.</w:t>
      </w:r>
    </w:p>
  </w:footnote>
  <w:footnote w:id="15">
    <w:p w14:paraId="64E5A384" w14:textId="77777777" w:rsidR="002202D0" w:rsidRPr="006B3B96" w:rsidRDefault="002202D0" w:rsidP="002202D0">
      <w:pPr>
        <w:pStyle w:val="Textonotapie"/>
      </w:pPr>
      <w:r w:rsidRPr="006B3B96">
        <w:rPr>
          <w:rStyle w:val="Refdenotaalpie"/>
          <w:sz w:val="20"/>
        </w:rPr>
        <w:footnoteRef/>
      </w:r>
      <w:r w:rsidRPr="006B3B96">
        <w:t xml:space="preserve"> Mediante Sentencia C-488 de 2002 (MP </w:t>
      </w:r>
      <w:r>
        <w:t>Álvaro Tafur Galvis</w:t>
      </w:r>
      <w:r w:rsidRPr="006B3B96">
        <w:t>), tras sostener que “(</w:t>
      </w:r>
      <w:r w:rsidRPr="006B3B96">
        <w:rPr>
          <w:bdr w:val="none" w:sz="0" w:space="0" w:color="auto" w:frame="1"/>
        </w:rPr>
        <w:t>l)os edificios y conjuntos que el 4° de agosto de 2001 habían sido constituidos como propiedad horizontal mediante el registro de la escritura pública, contentiva del reglamento de copropiedad y de los documentos a que hacen referencia los artículos 4° y 6° del Decreto 1365 de 1986, seguirán rigiéndose por la misma normatividad, salvo que sus copropietarios, en sujeción a sus reglamentos de copropiedad, convengan en regirse por las disposiciones de la Ley 675 de 2001 y, para el efecto, haciendo uso de su poder de determinación modifiquen sus estatutos. Y respecto de las previsiones de la ley de orden público, que con prescindencia de la voluntad de los copropietarios y de los consorcios rigen como lo dispone la ley. Porque el Estado no puede prescindir de la justicia interna y propia con que cuentan los propietarios y las asambleas de los edificios o conjuntos, como depositarias de la voluntad común, para valorar la conveniencia o inconveniencia de alterar las condiciones jurídico patrimoniales existentes, de frente a las situaciones económicas y sociales que efectivamente comparten. Salvo en defensa de intereses de orden público social y económico, de mayor jerarquía constitucional que la estabilidad que demandan las situaciones jurídicas patrimoniales, que deberán valorarse y ponderarse, previa confrontación de las diferentes disposiciones de la Ley, asunto que no le correspondía a esta Corporación abordar</w:t>
      </w:r>
      <w:r w:rsidRPr="006B3B96">
        <w:t>”, la Corte resolvió declarar la exequibilidad condicionada del artículo 86  de la Ley 675 de 2001  (Régimen de transición)</w:t>
      </w:r>
      <w:r>
        <w:t>,</w:t>
      </w:r>
      <w:r w:rsidRPr="006B3B96">
        <w:t xml:space="preserve"> “[declarando]</w:t>
      </w:r>
      <w:r w:rsidRPr="006B3B96">
        <w:rPr>
          <w:shd w:val="clear" w:color="auto" w:fill="FFFFFF"/>
        </w:rPr>
        <w:t>  </w:t>
      </w:r>
      <w:r w:rsidRPr="006B3B96">
        <w:rPr>
          <w:b/>
          <w:bCs/>
          <w:bdr w:val="none" w:sz="0" w:space="0" w:color="auto" w:frame="1"/>
          <w:shd w:val="clear" w:color="auto" w:fill="FFFFFF"/>
        </w:rPr>
        <w:t>EXEQUIBLE</w:t>
      </w:r>
      <w:r w:rsidRPr="006B3B96">
        <w:rPr>
          <w:shd w:val="clear" w:color="auto" w:fill="FFFFFF"/>
        </w:rPr>
        <w:t> la expresión </w:t>
      </w:r>
      <w:r w:rsidRPr="006B3B96">
        <w:rPr>
          <w:bdr w:val="none" w:sz="0" w:space="0" w:color="auto" w:frame="1"/>
          <w:shd w:val="clear" w:color="auto" w:fill="FFFFFF"/>
        </w:rPr>
        <w:t>“y tendrán un término de un (1) año para modificar, en lo pertinente, sus reglamentos internos, prorrogables por seis (6) meses más, según lo determine el Gobierno Nacional”</w:t>
      </w:r>
      <w:r w:rsidRPr="006B3B96">
        <w:rPr>
          <w:shd w:val="clear" w:color="auto" w:fill="FFFFFF"/>
        </w:rPr>
        <w:t> contenida en el inciso primero del artículo 86 de la Ley 675 de 2001, </w:t>
      </w:r>
      <w:r w:rsidRPr="006B3B96">
        <w:rPr>
          <w:b/>
          <w:bCs/>
          <w:bdr w:val="none" w:sz="0" w:space="0" w:color="auto" w:frame="1"/>
          <w:shd w:val="clear" w:color="auto" w:fill="FFFFFF"/>
        </w:rPr>
        <w:t>en el entendido</w:t>
      </w:r>
      <w:r w:rsidRPr="006B3B96">
        <w:rPr>
          <w:shd w:val="clear" w:color="auto" w:fill="FFFFFF"/>
        </w:rPr>
        <w:t> que estas modificaciones deben hacerse conforme a las disposiciones de los reglamentos de propiedad horizontal existentes en el momento de la vigencia de esta ley.</w:t>
      </w:r>
      <w:r>
        <w:rPr>
          <w:shd w:val="clear" w:color="auto" w:fill="FFFFFF"/>
        </w:rPr>
        <w:t>”</w:t>
      </w:r>
    </w:p>
  </w:footnote>
  <w:footnote w:id="16">
    <w:p w14:paraId="64E5A385" w14:textId="77777777" w:rsidR="002202D0" w:rsidRPr="00003B79" w:rsidRDefault="002202D0" w:rsidP="002202D0">
      <w:pPr>
        <w:pStyle w:val="Textonotapie"/>
      </w:pPr>
      <w:r w:rsidRPr="00003B79">
        <w:rPr>
          <w:rStyle w:val="Refdenotaalpie"/>
          <w:sz w:val="20"/>
        </w:rPr>
        <w:footnoteRef/>
      </w:r>
      <w:r w:rsidRPr="00003B79">
        <w:t xml:space="preserve"> </w:t>
      </w:r>
      <w:r>
        <w:t>Sobre este particular se pueden consultar</w:t>
      </w:r>
      <w:r w:rsidRPr="00003B79">
        <w:t xml:space="preserve"> las sentencias T-470 de 1999, MP José Gregorio Hernández Galindo; y T-034 de 2013, MP Luis Guillermo Guerrero Pérez.</w:t>
      </w:r>
    </w:p>
  </w:footnote>
  <w:footnote w:id="17">
    <w:p w14:paraId="64E5A386" w14:textId="77777777" w:rsidR="002202D0" w:rsidRPr="00493960" w:rsidRDefault="002202D0" w:rsidP="002202D0">
      <w:pPr>
        <w:pStyle w:val="Textonotapie"/>
      </w:pPr>
      <w:r w:rsidRPr="00493960">
        <w:rPr>
          <w:rStyle w:val="Refdenotaalpie"/>
          <w:sz w:val="20"/>
        </w:rPr>
        <w:footnoteRef/>
      </w:r>
      <w:r w:rsidRPr="00493960">
        <w:t xml:space="preserve"> MP Marco Gerardo Monroy Cabra.</w:t>
      </w:r>
    </w:p>
  </w:footnote>
  <w:footnote w:id="18">
    <w:p w14:paraId="64E5A387" w14:textId="77777777" w:rsidR="002202D0" w:rsidRPr="00C83D61" w:rsidRDefault="002202D0" w:rsidP="002202D0">
      <w:pPr>
        <w:pStyle w:val="Textonotapie"/>
      </w:pPr>
      <w:r w:rsidRPr="00C83D61">
        <w:rPr>
          <w:rStyle w:val="Refdenotaalpie"/>
          <w:sz w:val="20"/>
        </w:rPr>
        <w:footnoteRef/>
      </w:r>
      <w:r w:rsidRPr="00C83D61">
        <w:t xml:space="preserve"> [36] Senten</w:t>
      </w:r>
      <w:r>
        <w:t>c</w:t>
      </w:r>
      <w:r w:rsidRPr="00C83D61">
        <w:t>ia T-360 de 1998.</w:t>
      </w:r>
    </w:p>
  </w:footnote>
  <w:footnote w:id="19">
    <w:p w14:paraId="64E5A388" w14:textId="77777777" w:rsidR="002202D0" w:rsidRDefault="002202D0" w:rsidP="002202D0">
      <w:pPr>
        <w:pStyle w:val="Textonotapie"/>
      </w:pPr>
      <w:r w:rsidRPr="00D755B7">
        <w:rPr>
          <w:rStyle w:val="Refdenotaalpie"/>
          <w:sz w:val="20"/>
        </w:rPr>
        <w:footnoteRef/>
      </w:r>
      <w:r w:rsidRPr="00D755B7">
        <w:t xml:space="preserve"> </w:t>
      </w:r>
      <w:r>
        <w:t>Sentencia C-738 de 2002, MP Marco Gerardo Monroy Cabra.</w:t>
      </w:r>
    </w:p>
  </w:footnote>
  <w:footnote w:id="20">
    <w:p w14:paraId="64E5A389" w14:textId="77777777" w:rsidR="002202D0" w:rsidRDefault="002202D0" w:rsidP="002202D0">
      <w:pPr>
        <w:pStyle w:val="Textonotapie"/>
      </w:pPr>
      <w:r w:rsidRPr="00D755B7">
        <w:rPr>
          <w:rStyle w:val="Refdenotaalpie"/>
          <w:sz w:val="20"/>
        </w:rPr>
        <w:footnoteRef/>
      </w:r>
      <w:r w:rsidRPr="00D755B7">
        <w:t xml:space="preserve"> </w:t>
      </w:r>
      <w:r w:rsidRPr="00D5649C">
        <w:t>Sentencia SU-509 de 2001</w:t>
      </w:r>
      <w:r>
        <w:t>, MP Marco Gerardo Monroy Cabra.</w:t>
      </w:r>
    </w:p>
  </w:footnote>
  <w:footnote w:id="21">
    <w:p w14:paraId="64E5A38A" w14:textId="77777777" w:rsidR="002202D0" w:rsidRPr="002202D0" w:rsidRDefault="002202D0" w:rsidP="002202D0">
      <w:pPr>
        <w:pStyle w:val="Textonotapie"/>
      </w:pPr>
      <w:r w:rsidRPr="002202D0">
        <w:rPr>
          <w:rStyle w:val="Refdenotaalpie"/>
          <w:sz w:val="20"/>
        </w:rPr>
        <w:footnoteRef/>
      </w:r>
      <w:r w:rsidRPr="002202D0">
        <w:t xml:space="preserve"> Inicialmente ver las sentencias T-094, T-097 y T-119 de 1995 (MP José Gregorio Hernández Galindo), en donde la Corte, </w:t>
      </w:r>
      <w:r w:rsidRPr="002202D0">
        <w:rPr>
          <w:shd w:val="clear" w:color="auto" w:fill="FFFFFF"/>
        </w:rPr>
        <w:t>a pesar de reconocer al </w:t>
      </w:r>
      <w:r w:rsidRPr="002202D0">
        <w:rPr>
          <w:iCs/>
          <w:bdr w:val="none" w:sz="0" w:space="0" w:color="auto" w:frame="1"/>
          <w:shd w:val="clear" w:color="auto" w:fill="FFFFFF"/>
        </w:rPr>
        <w:t>habeas data</w:t>
      </w:r>
      <w:r w:rsidRPr="002202D0">
        <w:rPr>
          <w:shd w:val="clear" w:color="auto" w:fill="FFFFFF"/>
        </w:rPr>
        <w:t xml:space="preserve"> como "derecho autónomo", sigue tratándolo como garantía, en la medida en que lo considera un instrumento para la protección de otros derechos como la intimidad, la honra y el buen nombre.”. Posteriormente, en Sentencia T-307 de 1999 (MP Eduardo Cifuentes Muñoz), la Corte indicó que el habeas data es </w:t>
      </w:r>
      <w:r w:rsidRPr="002202D0">
        <w:rPr>
          <w:i/>
          <w:iCs/>
          <w:bdr w:val="none" w:sz="0" w:space="0" w:color="auto" w:frame="1"/>
          <w:shd w:val="clear" w:color="auto" w:fill="FFFFFF"/>
        </w:rPr>
        <w:t>“[u]n derecho fundamental autónomo que tiene la función primordial de equilibrar el poder entre el sujeto concernido por el dato y aquél que tiene la capacidad de recolectarlo, almacenarlo, usarlo y transmitirlo”</w:t>
      </w:r>
      <w:r w:rsidRPr="002202D0">
        <w:rPr>
          <w:shd w:val="clear" w:color="auto" w:fill="FFFFFF"/>
        </w:rPr>
        <w:t xml:space="preserve"> (Ver numerales 3.2. y 3.2.1., junto con sus notas al pie, de la Sentencia C-058 de 2015, MP Luis Guillermo Guerrero Pérez).</w:t>
      </w:r>
    </w:p>
  </w:footnote>
  <w:footnote w:id="22">
    <w:p w14:paraId="64E5A38B" w14:textId="77777777" w:rsidR="002202D0" w:rsidRPr="00D77CE2" w:rsidRDefault="002202D0" w:rsidP="002202D0">
      <w:pPr>
        <w:pStyle w:val="Textonotapie"/>
      </w:pPr>
      <w:r w:rsidRPr="00D77CE2">
        <w:rPr>
          <w:rStyle w:val="Refdenotaalpie"/>
          <w:sz w:val="20"/>
        </w:rPr>
        <w:footnoteRef/>
      </w:r>
      <w:r w:rsidRPr="00D77CE2">
        <w:t xml:space="preserve"> Sentencia T-628 de 2017, MP Gloria Stella Ortiz Delgado.</w:t>
      </w:r>
    </w:p>
  </w:footnote>
  <w:footnote w:id="23">
    <w:p w14:paraId="64E5A38C" w14:textId="77777777" w:rsidR="002202D0" w:rsidRPr="00D77CE2" w:rsidRDefault="002202D0" w:rsidP="002202D0">
      <w:pPr>
        <w:pStyle w:val="Textonotapie"/>
      </w:pPr>
      <w:r w:rsidRPr="00D77CE2">
        <w:rPr>
          <w:rStyle w:val="Refdenotaalpie"/>
          <w:sz w:val="20"/>
        </w:rPr>
        <w:footnoteRef/>
      </w:r>
      <w:r w:rsidRPr="00D77CE2">
        <w:t xml:space="preserve"> </w:t>
      </w:r>
      <w:bookmarkStart w:id="3" w:name="_ftn23"/>
      <w:r w:rsidRPr="00D77CE2">
        <w:fldChar w:fldCharType="begin"/>
      </w:r>
      <w:r w:rsidRPr="00D77CE2">
        <w:instrText xml:space="preserve"> HYPERLINK "http://www.corteconstitucional.gov.co/relatoria/2015/T-058-15.htm" \l "_ftnref23" \o "" </w:instrText>
      </w:r>
      <w:r w:rsidRPr="00D77CE2">
        <w:fldChar w:fldCharType="separate"/>
      </w:r>
      <w:r w:rsidRPr="00D77CE2">
        <w:rPr>
          <w:rStyle w:val="Hipervnculo"/>
          <w:color w:val="000000"/>
          <w:bdr w:val="none" w:sz="0" w:space="0" w:color="auto" w:frame="1"/>
        </w:rPr>
        <w:t>[23]</w:t>
      </w:r>
      <w:r w:rsidRPr="00D77CE2">
        <w:fldChar w:fldCharType="end"/>
      </w:r>
      <w:bookmarkEnd w:id="3"/>
      <w:r w:rsidRPr="00D77CE2">
        <w:rPr>
          <w:color w:val="000000"/>
          <w:shd w:val="clear" w:color="auto" w:fill="FFFFFF"/>
        </w:rPr>
        <w:t> </w:t>
      </w:r>
      <w:r w:rsidRPr="00D77CE2">
        <w:rPr>
          <w:i/>
          <w:iCs/>
          <w:color w:val="000000"/>
          <w:bdr w:val="none" w:sz="0" w:space="0" w:color="auto" w:frame="1"/>
          <w:shd w:val="clear" w:color="auto" w:fill="FFFFFF"/>
        </w:rPr>
        <w:t>Cfr.</w:t>
      </w:r>
      <w:r w:rsidRPr="00D77CE2">
        <w:rPr>
          <w:color w:val="000000"/>
          <w:shd w:val="clear" w:color="auto" w:fill="FFFFFF"/>
        </w:rPr>
        <w:t> Sentencia T- 307 de 1999</w:t>
      </w:r>
      <w:r w:rsidRPr="00D77CE2">
        <w:rPr>
          <w:color w:val="000000"/>
          <w:bdr w:val="none" w:sz="0" w:space="0" w:color="auto" w:frame="1"/>
          <w:shd w:val="clear" w:color="auto" w:fill="FFFFFF"/>
        </w:rPr>
        <w:t> (M.P. Eduardo Cifuentes Muñoz).</w:t>
      </w:r>
    </w:p>
  </w:footnote>
  <w:footnote w:id="24">
    <w:p w14:paraId="64E5A38D" w14:textId="77777777" w:rsidR="002202D0" w:rsidRPr="00D77CE2" w:rsidRDefault="002202D0" w:rsidP="002202D0">
      <w:pPr>
        <w:pStyle w:val="Textonotapie"/>
      </w:pPr>
      <w:r w:rsidRPr="00D77CE2">
        <w:rPr>
          <w:rStyle w:val="Refdenotaalpie"/>
          <w:sz w:val="20"/>
        </w:rPr>
        <w:footnoteRef/>
      </w:r>
      <w:r w:rsidRPr="00D77CE2">
        <w:t xml:space="preserve"> Sentencia T-508 de 2015, MP Luis Guillermo Guerrero Pérez.</w:t>
      </w:r>
    </w:p>
  </w:footnote>
  <w:footnote w:id="25">
    <w:p w14:paraId="64E5A38E" w14:textId="77777777" w:rsidR="002202D0" w:rsidRPr="00D77CE2" w:rsidRDefault="002202D0" w:rsidP="002202D0">
      <w:pPr>
        <w:pStyle w:val="Textonotapie"/>
      </w:pPr>
      <w:r w:rsidRPr="00D77CE2">
        <w:rPr>
          <w:rStyle w:val="Refdenotaalpie"/>
          <w:sz w:val="20"/>
        </w:rPr>
        <w:footnoteRef/>
      </w:r>
      <w:r w:rsidRPr="00D77CE2">
        <w:t xml:space="preserve"> Sentencia T-094 de 1995, MP José Gregorio Hernández Galindo.</w:t>
      </w:r>
    </w:p>
  </w:footnote>
  <w:footnote w:id="26">
    <w:p w14:paraId="64E5A38F" w14:textId="77777777" w:rsidR="002202D0" w:rsidRPr="00D77CE2" w:rsidRDefault="002202D0" w:rsidP="002202D0">
      <w:pPr>
        <w:pStyle w:val="Textonotapie"/>
      </w:pPr>
      <w:r w:rsidRPr="00D77CE2">
        <w:rPr>
          <w:rStyle w:val="Refdenotaalpie"/>
          <w:sz w:val="20"/>
        </w:rPr>
        <w:footnoteRef/>
      </w:r>
      <w:r w:rsidRPr="00D77CE2">
        <w:t xml:space="preserve"> Sentencia C-1011 de 2008, MP Jaime Córdoba Triviño.</w:t>
      </w:r>
    </w:p>
  </w:footnote>
  <w:footnote w:id="27">
    <w:p w14:paraId="64E5A390" w14:textId="77777777" w:rsidR="002202D0" w:rsidRPr="00C651C7" w:rsidRDefault="002202D0" w:rsidP="002202D0">
      <w:pPr>
        <w:pStyle w:val="Textonotapie"/>
      </w:pPr>
      <w:r w:rsidRPr="00C651C7">
        <w:rPr>
          <w:rStyle w:val="Refdenotaalpie"/>
          <w:sz w:val="20"/>
        </w:rPr>
        <w:footnoteRef/>
      </w:r>
      <w:r w:rsidRPr="00C651C7">
        <w:t xml:space="preserve"> MP Gloria Stella Ortiz Delgado.</w:t>
      </w:r>
    </w:p>
  </w:footnote>
  <w:footnote w:id="28">
    <w:p w14:paraId="64E5A391" w14:textId="77777777" w:rsidR="002202D0" w:rsidRPr="00C651C7" w:rsidRDefault="002202D0" w:rsidP="002202D0">
      <w:pPr>
        <w:pStyle w:val="Textonotapie"/>
      </w:pPr>
      <w:r w:rsidRPr="00C651C7">
        <w:rPr>
          <w:rStyle w:val="Refdenotaalpie"/>
          <w:sz w:val="20"/>
        </w:rPr>
        <w:footnoteRef/>
      </w:r>
      <w:r w:rsidRPr="00C651C7">
        <w:t xml:space="preserve"> </w:t>
      </w:r>
      <w:bookmarkStart w:id="5" w:name="_ftn80"/>
      <w:r w:rsidRPr="00C651C7">
        <w:rPr>
          <w:rFonts w:eastAsia="SimSun"/>
        </w:rPr>
        <w:fldChar w:fldCharType="begin"/>
      </w:r>
      <w:r w:rsidRPr="00C651C7">
        <w:rPr>
          <w:rFonts w:eastAsia="SimSun"/>
        </w:rPr>
        <w:instrText xml:space="preserve"> HYPERLINK "http://www.corteconstitucional.gov.co/relatoria/2018/T-238-18.htm" \l "_ftnref80" \o "" </w:instrText>
      </w:r>
      <w:r w:rsidRPr="00C651C7">
        <w:rPr>
          <w:rFonts w:eastAsia="SimSun"/>
        </w:rPr>
        <w:fldChar w:fldCharType="separate"/>
      </w:r>
      <w:r w:rsidRPr="00C651C7">
        <w:rPr>
          <w:rFonts w:eastAsia="SimSun"/>
          <w:u w:val="single"/>
          <w:bdr w:val="none" w:sz="0" w:space="0" w:color="auto" w:frame="1"/>
        </w:rPr>
        <w:t>[80]</w:t>
      </w:r>
      <w:r w:rsidRPr="00C651C7">
        <w:rPr>
          <w:rFonts w:eastAsia="SimSun"/>
        </w:rPr>
        <w:fldChar w:fldCharType="end"/>
      </w:r>
      <w:bookmarkEnd w:id="5"/>
      <w:r w:rsidRPr="00C651C7">
        <w:rPr>
          <w:rFonts w:eastAsia="SimSun"/>
          <w:shd w:val="clear" w:color="auto" w:fill="FFFFFF"/>
        </w:rPr>
        <w:t> </w:t>
      </w:r>
      <w:r w:rsidRPr="00C651C7">
        <w:rPr>
          <w:rFonts w:eastAsia="SimSun"/>
          <w:bdr w:val="none" w:sz="0" w:space="0" w:color="auto" w:frame="1"/>
          <w:shd w:val="clear" w:color="auto" w:fill="FFFFFF"/>
          <w:lang w:val="es-ES_tradnl"/>
        </w:rPr>
        <w:t>Sentencia T-729 de 2002, M.P. Eduardo Montealegre Lynett</w:t>
      </w:r>
      <w:r>
        <w:rPr>
          <w:rFonts w:eastAsia="SimSun"/>
          <w:bdr w:val="none" w:sz="0" w:space="0" w:color="auto" w:frame="1"/>
          <w:shd w:val="clear" w:color="auto" w:fill="FFFFFF"/>
          <w:lang w:val="es-ES_tradnl"/>
        </w:rPr>
        <w:t>.</w:t>
      </w:r>
    </w:p>
  </w:footnote>
  <w:footnote w:id="29">
    <w:p w14:paraId="64E5A392" w14:textId="77777777" w:rsidR="002202D0" w:rsidRPr="00C651C7" w:rsidRDefault="002202D0" w:rsidP="002202D0">
      <w:pPr>
        <w:pStyle w:val="Textonotapie"/>
      </w:pPr>
      <w:r w:rsidRPr="00C651C7">
        <w:rPr>
          <w:rStyle w:val="Refdenotaalpie"/>
          <w:sz w:val="20"/>
        </w:rPr>
        <w:footnoteRef/>
      </w:r>
      <w:r w:rsidRPr="00C651C7">
        <w:t xml:space="preserve"> </w:t>
      </w:r>
      <w:bookmarkStart w:id="7" w:name="_ftn81"/>
      <w:r w:rsidRPr="00C651C7">
        <w:rPr>
          <w:rFonts w:eastAsia="SimSun"/>
        </w:rPr>
        <w:fldChar w:fldCharType="begin"/>
      </w:r>
      <w:r w:rsidRPr="00C651C7">
        <w:rPr>
          <w:rFonts w:eastAsia="SimSun"/>
        </w:rPr>
        <w:instrText xml:space="preserve"> HYPERLINK "http://www.corteconstitucional.gov.co/relatoria/2018/T-238-18.htm" \l "_ftnref81" \o "" </w:instrText>
      </w:r>
      <w:r w:rsidRPr="00C651C7">
        <w:rPr>
          <w:rFonts w:eastAsia="SimSun"/>
        </w:rPr>
        <w:fldChar w:fldCharType="separate"/>
      </w:r>
      <w:r w:rsidRPr="00C651C7">
        <w:rPr>
          <w:rFonts w:eastAsia="SimSun"/>
          <w:u w:val="single"/>
          <w:bdr w:val="none" w:sz="0" w:space="0" w:color="auto" w:frame="1"/>
        </w:rPr>
        <w:t>[81]</w:t>
      </w:r>
      <w:r w:rsidRPr="00C651C7">
        <w:rPr>
          <w:rFonts w:eastAsia="SimSun"/>
        </w:rPr>
        <w:fldChar w:fldCharType="end"/>
      </w:r>
      <w:bookmarkEnd w:id="7"/>
      <w:r w:rsidRPr="00C651C7">
        <w:rPr>
          <w:rFonts w:eastAsia="SimSun"/>
          <w:bdr w:val="none" w:sz="0" w:space="0" w:color="auto" w:frame="1"/>
          <w:shd w:val="clear" w:color="auto" w:fill="FFFFFF"/>
          <w:lang w:val="es-ES_tradnl"/>
        </w:rPr>
        <w:t> M.P. Eduardo Montealegre Lynet</w:t>
      </w:r>
      <w:r>
        <w:rPr>
          <w:rFonts w:eastAsia="SimSun"/>
          <w:bdr w:val="none" w:sz="0" w:space="0" w:color="auto" w:frame="1"/>
          <w:shd w:val="clear" w:color="auto" w:fill="FFFFFF"/>
          <w:lang w:val="es-ES_tradnl"/>
        </w:rPr>
        <w:t>t.</w:t>
      </w:r>
    </w:p>
  </w:footnote>
  <w:footnote w:id="30">
    <w:p w14:paraId="64E5A393" w14:textId="77777777" w:rsidR="002202D0" w:rsidRPr="00C651C7" w:rsidRDefault="002202D0" w:rsidP="002202D0">
      <w:pPr>
        <w:pStyle w:val="Textonotapie"/>
      </w:pPr>
      <w:r w:rsidRPr="00C651C7">
        <w:rPr>
          <w:rStyle w:val="Refdenotaalpie"/>
          <w:sz w:val="20"/>
        </w:rPr>
        <w:footnoteRef/>
      </w:r>
      <w:r w:rsidRPr="00C651C7">
        <w:t xml:space="preserve"> </w:t>
      </w:r>
      <w:bookmarkStart w:id="9" w:name="_ftn82"/>
      <w:r w:rsidRPr="00C651C7">
        <w:rPr>
          <w:rFonts w:eastAsia="SimSun"/>
        </w:rPr>
        <w:fldChar w:fldCharType="begin"/>
      </w:r>
      <w:r w:rsidRPr="00C651C7">
        <w:rPr>
          <w:rFonts w:eastAsia="SimSun"/>
        </w:rPr>
        <w:instrText xml:space="preserve"> HYPERLINK "http://www.corteconstitucional.gov.co/relatoria/2018/T-238-18.htm" \l "_ftnref82" \o "" </w:instrText>
      </w:r>
      <w:r w:rsidRPr="00C651C7">
        <w:rPr>
          <w:rFonts w:eastAsia="SimSun"/>
        </w:rPr>
        <w:fldChar w:fldCharType="separate"/>
      </w:r>
      <w:r w:rsidRPr="00C651C7">
        <w:rPr>
          <w:rFonts w:eastAsia="SimSun"/>
          <w:u w:val="single"/>
          <w:bdr w:val="none" w:sz="0" w:space="0" w:color="auto" w:frame="1"/>
        </w:rPr>
        <w:t>[82]</w:t>
      </w:r>
      <w:r w:rsidRPr="00C651C7">
        <w:rPr>
          <w:rFonts w:eastAsia="SimSun"/>
        </w:rPr>
        <w:fldChar w:fldCharType="end"/>
      </w:r>
      <w:bookmarkEnd w:id="9"/>
      <w:r w:rsidRPr="00C651C7">
        <w:rPr>
          <w:rFonts w:eastAsia="SimSun"/>
          <w:bdr w:val="none" w:sz="0" w:space="0" w:color="auto" w:frame="1"/>
          <w:shd w:val="clear" w:color="auto" w:fill="FFFFFF"/>
          <w:lang w:val="es-ES_tradnl"/>
        </w:rPr>
        <w:t> M.P. Jaime Córdoba Triviño</w:t>
      </w:r>
      <w:r>
        <w:rPr>
          <w:rFonts w:eastAsia="SimSun"/>
          <w:bdr w:val="none" w:sz="0" w:space="0" w:color="auto" w:frame="1"/>
          <w:shd w:val="clear" w:color="auto" w:fill="FFFFFF"/>
          <w:lang w:val="es-ES_tradnl"/>
        </w:rPr>
        <w:t>.</w:t>
      </w:r>
    </w:p>
  </w:footnote>
  <w:footnote w:id="31">
    <w:p w14:paraId="64E5A394" w14:textId="77777777" w:rsidR="002202D0" w:rsidRPr="006245DD" w:rsidRDefault="002202D0" w:rsidP="006245DD">
      <w:pPr>
        <w:shd w:val="clear" w:color="auto" w:fill="FFFFFF"/>
        <w:textAlignment w:val="baseline"/>
        <w:rPr>
          <w:rFonts w:eastAsia="Times New Roman" w:cs="Times New Roman"/>
          <w:color w:val="000000"/>
          <w:kern w:val="0"/>
          <w:sz w:val="20"/>
          <w:szCs w:val="20"/>
          <w:lang w:eastAsia="es-CO" w:bidi="ar-SA"/>
        </w:rPr>
      </w:pPr>
      <w:r w:rsidRPr="00CC7BD7">
        <w:rPr>
          <w:rStyle w:val="Refdenotaalpie"/>
          <w:sz w:val="20"/>
          <w:szCs w:val="20"/>
        </w:rPr>
        <w:footnoteRef/>
      </w:r>
      <w:r w:rsidRPr="00CC7BD7">
        <w:rPr>
          <w:sz w:val="20"/>
          <w:szCs w:val="20"/>
        </w:rPr>
        <w:t xml:space="preserve"> </w:t>
      </w:r>
      <w:r w:rsidRPr="00CC7BD7">
        <w:rPr>
          <w:sz w:val="20"/>
          <w:szCs w:val="20"/>
          <w:bdr w:val="none" w:sz="0" w:space="0" w:color="auto" w:frame="1"/>
        </w:rPr>
        <w:t>“</w:t>
      </w:r>
      <w:r w:rsidRPr="00CC7BD7">
        <w:rPr>
          <w:i/>
          <w:iCs/>
          <w:sz w:val="20"/>
          <w:szCs w:val="20"/>
          <w:bdr w:val="none" w:sz="0" w:space="0" w:color="auto" w:frame="1"/>
        </w:rPr>
        <w:t>(i)  principio de libertad, de acuerdo con el cual los datos personales sólo pueden ser registrados y divulgados con el consentimiento libre, previo y expreso del titular; (ii) principio de necesidad por el cual los datos personales que se registran deben ser los estrictamente necesarios para el cumplimiento de las finalidades que ostente la base de datos respectiva; (iii) principio de veracidad, que indica que los datos personales deben a obedecer a circunstancias reales, no habiendo lugar a la administración de datos falsos o erróneos; (iv) principio de integridad que prohíbe que la divulgación o registro de la información, a partir del suministro de datos personales, sea incompleta, parcial o fraccionada; (v) principio de finalidad, por el que el acopio, procesamiento y divulgación de datos personales debe obedecer a una finalidad constitucionalmente legítima definida de manera clara y previa; (vi) principio de utilidad, que prescribe la necesidad de que el acopio, procesamiento y divulgación de datos cumpla una función determinada, como expresión del ejercicio legítimo del derecho a la administración de los mismos; (vii) principio de incorporación, por el cual deben incluirse los datos de los que deriven condiciones ventajosas para el titular cuando éste reúne los requisitos jurídicos para el efecto, y (viii) principio de caducidad que prohíbe la conservación indefinida de datos después de que han desaparecido las causas que justificaban su administración.</w:t>
      </w:r>
      <w:r w:rsidRPr="00CC7BD7">
        <w:rPr>
          <w:sz w:val="20"/>
          <w:szCs w:val="20"/>
          <w:bdr w:val="none" w:sz="0" w:space="0" w:color="auto" w:frame="1"/>
        </w:rPr>
        <w:t>”</w:t>
      </w:r>
      <w:r w:rsidRPr="00CC7BD7">
        <w:rPr>
          <w:rFonts w:eastAsia="Times New Roman" w:cs="Times New Roman"/>
          <w:color w:val="000000"/>
          <w:kern w:val="0"/>
          <w:sz w:val="20"/>
          <w:szCs w:val="20"/>
          <w:lang w:eastAsia="es-CO" w:bidi="ar-SA"/>
        </w:rPr>
        <w:t xml:space="preserve"> S</w:t>
      </w:r>
      <w:r w:rsidRPr="00CC7BD7">
        <w:rPr>
          <w:color w:val="000000"/>
          <w:sz w:val="20"/>
          <w:szCs w:val="20"/>
          <w:shd w:val="clear" w:color="auto" w:fill="FFFFFF"/>
        </w:rPr>
        <w:t>entencia T-160 de 2005. También pueden consultarse, entre otras las sentencias T-718 de 2005, T-1067 de 2007, T-144 de 2013 y C-1011 de 2008. (Tomado de la Sentencia T-207A de 2018, MP Antonio José Lizarazo Ocampo).</w:t>
      </w:r>
    </w:p>
  </w:footnote>
  <w:footnote w:id="32">
    <w:p w14:paraId="64E5A395" w14:textId="77777777" w:rsidR="002202D0" w:rsidRPr="0060047A" w:rsidRDefault="002202D0" w:rsidP="0060047A">
      <w:pPr>
        <w:pStyle w:val="Ttulo2"/>
        <w:ind w:left="15" w:right="15"/>
        <w:jc w:val="both"/>
        <w:rPr>
          <w:sz w:val="20"/>
          <w:szCs w:val="20"/>
        </w:rPr>
      </w:pPr>
      <w:r w:rsidRPr="0060047A">
        <w:rPr>
          <w:rStyle w:val="Refdenotaalpie"/>
          <w:sz w:val="20"/>
          <w:szCs w:val="20"/>
        </w:rPr>
        <w:footnoteRef/>
      </w:r>
      <w:r w:rsidRPr="0060047A">
        <w:rPr>
          <w:sz w:val="20"/>
          <w:szCs w:val="20"/>
        </w:rPr>
        <w:t xml:space="preserve"> Ley 1581 de 2012 (ley estatutaria de habeas data), ART. 4º—</w:t>
      </w:r>
      <w:r w:rsidRPr="0060047A">
        <w:rPr>
          <w:bCs/>
          <w:sz w:val="20"/>
          <w:szCs w:val="20"/>
        </w:rPr>
        <w:t>Principios para el tratamiento de datos personales.</w:t>
      </w:r>
      <w:r w:rsidRPr="0060047A">
        <w:rPr>
          <w:sz w:val="20"/>
          <w:szCs w:val="20"/>
        </w:rPr>
        <w:t xml:space="preserve"> En el desarrollo, interpretación y aplicación de la presente ley, se aplicarán, de manera armónica e integral, los siguientes principios:</w:t>
      </w:r>
    </w:p>
    <w:p w14:paraId="64E5A396" w14:textId="77777777" w:rsidR="002202D0" w:rsidRPr="0060047A" w:rsidRDefault="002202D0" w:rsidP="0060047A">
      <w:pPr>
        <w:rPr>
          <w:sz w:val="20"/>
          <w:szCs w:val="20"/>
          <w:lang w:val="es-ES" w:eastAsia="es-CO" w:bidi="ar-SA"/>
        </w:rPr>
      </w:pPr>
      <w:r w:rsidRPr="0060047A">
        <w:rPr>
          <w:sz w:val="20"/>
          <w:szCs w:val="20"/>
          <w:lang w:val="es-ES" w:eastAsia="es-CO" w:bidi="ar-SA"/>
        </w:rPr>
        <w:t>(…)</w:t>
      </w:r>
    </w:p>
    <w:p w14:paraId="64E5A397" w14:textId="77777777" w:rsidR="002202D0" w:rsidRPr="0060047A" w:rsidRDefault="002202D0" w:rsidP="0060047A">
      <w:pPr>
        <w:pStyle w:val="Ttulo2"/>
        <w:ind w:left="15" w:right="15"/>
        <w:jc w:val="both"/>
        <w:rPr>
          <w:bCs/>
          <w:sz w:val="20"/>
          <w:szCs w:val="20"/>
        </w:rPr>
      </w:pPr>
      <w:r w:rsidRPr="0060047A">
        <w:rPr>
          <w:bCs/>
          <w:sz w:val="20"/>
          <w:szCs w:val="20"/>
        </w:rPr>
        <w:t xml:space="preserve">c) </w:t>
      </w:r>
      <w:r w:rsidRPr="0060047A">
        <w:rPr>
          <w:b/>
          <w:bCs/>
          <w:sz w:val="20"/>
          <w:szCs w:val="20"/>
        </w:rPr>
        <w:t>Principio de libertad: El tratamiento solo puede ejercerse con el consentimiento, previo, expreso e informado del titular. Los datos personales no podrán ser obtenidos o divulgados sin previa autorización, o en ausencia de mandato legal o judicial que releve el consentimiento</w:t>
      </w:r>
      <w:r w:rsidRPr="0060047A">
        <w:rPr>
          <w:bCs/>
          <w:sz w:val="20"/>
          <w:szCs w:val="20"/>
        </w:rPr>
        <w:t>;</w:t>
      </w:r>
    </w:p>
    <w:p w14:paraId="64E5A398" w14:textId="77777777" w:rsidR="002202D0" w:rsidRPr="0060047A" w:rsidRDefault="002202D0" w:rsidP="0060047A">
      <w:pPr>
        <w:rPr>
          <w:sz w:val="20"/>
          <w:szCs w:val="20"/>
          <w:lang w:val="es-ES" w:eastAsia="es-CO" w:bidi="ar-SA"/>
        </w:rPr>
      </w:pPr>
      <w:r w:rsidRPr="0060047A">
        <w:rPr>
          <w:sz w:val="20"/>
          <w:szCs w:val="20"/>
          <w:lang w:val="es-ES" w:eastAsia="es-CO" w:bidi="ar-SA"/>
        </w:rPr>
        <w:t>(…)”</w:t>
      </w:r>
    </w:p>
  </w:footnote>
  <w:footnote w:id="33">
    <w:p w14:paraId="64E5A399" w14:textId="77777777" w:rsidR="002202D0" w:rsidRPr="006245DD" w:rsidRDefault="002202D0" w:rsidP="002202D0">
      <w:pPr>
        <w:pStyle w:val="Textonotapie"/>
      </w:pPr>
      <w:r w:rsidRPr="006245DD">
        <w:rPr>
          <w:rStyle w:val="Refdenotaalpie"/>
          <w:sz w:val="20"/>
        </w:rPr>
        <w:footnoteRef/>
      </w:r>
      <w:r w:rsidRPr="006245DD">
        <w:t xml:space="preserve"> </w:t>
      </w:r>
      <w:bookmarkStart w:id="11" w:name="_ftn21"/>
      <w:r w:rsidRPr="006245DD">
        <w:fldChar w:fldCharType="begin"/>
      </w:r>
      <w:r w:rsidRPr="006245DD">
        <w:instrText xml:space="preserve"> HYPERLINK "http://www.corteconstitucional.gov.co/relatoria/2013/T-058-13.htm" \l "_ftnref21" \o "" </w:instrText>
      </w:r>
      <w:r w:rsidRPr="006245DD">
        <w:fldChar w:fldCharType="separate"/>
      </w:r>
      <w:r w:rsidRPr="006245DD">
        <w:rPr>
          <w:rStyle w:val="Hipervnculo"/>
          <w:color w:val="auto"/>
          <w:bdr w:val="none" w:sz="0" w:space="0" w:color="auto" w:frame="1"/>
        </w:rPr>
        <w:t>[21]</w:t>
      </w:r>
      <w:r w:rsidRPr="006245DD">
        <w:fldChar w:fldCharType="end"/>
      </w:r>
      <w:bookmarkEnd w:id="11"/>
      <w:r w:rsidRPr="006245DD">
        <w:rPr>
          <w:bdr w:val="none" w:sz="0" w:space="0" w:color="auto" w:frame="1"/>
          <w:shd w:val="clear" w:color="auto" w:fill="FFFFFF"/>
        </w:rPr>
        <w:t> Artículo 3°.</w:t>
      </w:r>
      <w:r w:rsidRPr="006245DD">
        <w:rPr>
          <w:rStyle w:val="apple-converted-space"/>
          <w:bdr w:val="none" w:sz="0" w:space="0" w:color="auto" w:frame="1"/>
        </w:rPr>
        <w:t> </w:t>
      </w:r>
      <w:r w:rsidRPr="006245DD">
        <w:rPr>
          <w:bdr w:val="none" w:sz="0" w:space="0" w:color="auto" w:frame="1"/>
          <w:shd w:val="clear" w:color="auto" w:fill="FFFFFF"/>
        </w:rPr>
        <w:t>definiciones literal d) ley 1581 de 2012: “Encargado del Tratamiento:</w:t>
      </w:r>
      <w:r w:rsidRPr="006245DD">
        <w:rPr>
          <w:rStyle w:val="apple-converted-space"/>
          <w:i/>
          <w:iCs/>
          <w:bdr w:val="none" w:sz="0" w:space="0" w:color="auto" w:frame="1"/>
        </w:rPr>
        <w:t> </w:t>
      </w:r>
      <w:r w:rsidRPr="006245DD">
        <w:rPr>
          <w:bdr w:val="none" w:sz="0" w:space="0" w:color="auto" w:frame="1"/>
          <w:shd w:val="clear" w:color="auto" w:fill="FFFFFF"/>
        </w:rPr>
        <w:t>Persona natural o jurídica, pública o privada, que por sí</w:t>
      </w:r>
      <w:r w:rsidRPr="006245DD">
        <w:rPr>
          <w:rFonts w:ascii="Arial" w:hAnsi="Arial" w:cs="Arial"/>
          <w:bdr w:val="none" w:sz="0" w:space="0" w:color="auto" w:frame="1"/>
          <w:shd w:val="clear" w:color="auto" w:fill="FFFFFF"/>
        </w:rPr>
        <w:t> </w:t>
      </w:r>
      <w:r w:rsidRPr="006245DD">
        <w:rPr>
          <w:bdr w:val="none" w:sz="0" w:space="0" w:color="auto" w:frame="1"/>
          <w:shd w:val="clear" w:color="auto" w:fill="FFFFFF"/>
        </w:rPr>
        <w:t>misma o en asocio con otros, realice el</w:t>
      </w:r>
      <w:r w:rsidRPr="006245DD">
        <w:rPr>
          <w:rFonts w:ascii="Arial" w:hAnsi="Arial" w:cs="Arial"/>
          <w:bdr w:val="none" w:sz="0" w:space="0" w:color="auto" w:frame="1"/>
          <w:shd w:val="clear" w:color="auto" w:fill="FFFFFF"/>
        </w:rPr>
        <w:t> </w:t>
      </w:r>
      <w:r w:rsidRPr="006245DD">
        <w:rPr>
          <w:bdr w:val="none" w:sz="0" w:space="0" w:color="auto" w:frame="1"/>
          <w:shd w:val="clear" w:color="auto" w:fill="FFFFFF"/>
        </w:rPr>
        <w:t>Tratamiento de datos personales por cuenta del Responsable del Tratamiento.</w:t>
      </w:r>
    </w:p>
  </w:footnote>
  <w:footnote w:id="34">
    <w:p w14:paraId="64E5A39A" w14:textId="77777777" w:rsidR="002202D0" w:rsidRPr="006245DD" w:rsidRDefault="002202D0" w:rsidP="002202D0">
      <w:pPr>
        <w:pStyle w:val="Textonotapie"/>
      </w:pPr>
      <w:r w:rsidRPr="006245DD">
        <w:rPr>
          <w:rStyle w:val="Refdenotaalpie"/>
          <w:sz w:val="20"/>
        </w:rPr>
        <w:footnoteRef/>
      </w:r>
      <w:r w:rsidRPr="006245DD">
        <w:t xml:space="preserve"> [22] </w:t>
      </w:r>
      <w:r w:rsidRPr="006245DD">
        <w:rPr>
          <w:bdr w:val="none" w:sz="0" w:space="0" w:color="auto" w:frame="1"/>
          <w:shd w:val="clear" w:color="auto" w:fill="FFFFFF"/>
        </w:rPr>
        <w:t>Artículo 3°.</w:t>
      </w:r>
      <w:r w:rsidRPr="006245DD">
        <w:rPr>
          <w:rStyle w:val="apple-converted-space"/>
          <w:color w:val="000000"/>
          <w:bdr w:val="none" w:sz="0" w:space="0" w:color="auto" w:frame="1"/>
        </w:rPr>
        <w:t> </w:t>
      </w:r>
      <w:r w:rsidRPr="006245DD">
        <w:rPr>
          <w:bdr w:val="none" w:sz="0" w:space="0" w:color="auto" w:frame="1"/>
          <w:shd w:val="clear" w:color="auto" w:fill="FFFFFF"/>
        </w:rPr>
        <w:t>definiciones literal e) ley 1581 de 2012: “Responsable del Tratamiento:</w:t>
      </w:r>
      <w:r w:rsidRPr="006245DD">
        <w:rPr>
          <w:rStyle w:val="apple-converted-space"/>
          <w:i/>
          <w:iCs/>
          <w:color w:val="000000"/>
          <w:bdr w:val="none" w:sz="0" w:space="0" w:color="auto" w:frame="1"/>
        </w:rPr>
        <w:t> </w:t>
      </w:r>
      <w:r w:rsidRPr="006245DD">
        <w:rPr>
          <w:bdr w:val="none" w:sz="0" w:space="0" w:color="auto" w:frame="1"/>
          <w:shd w:val="clear" w:color="auto" w:fill="FFFFFF"/>
        </w:rPr>
        <w:t>Persona natural o jurídica, pública o privada, que por sí misma o en asocio con otros, decida sobre la base de datos y/o el Tratamiento de los datos.”</w:t>
      </w:r>
    </w:p>
  </w:footnote>
  <w:footnote w:id="35">
    <w:p w14:paraId="64E5A39B" w14:textId="77777777" w:rsidR="002202D0" w:rsidRPr="006245DD" w:rsidRDefault="002202D0" w:rsidP="002202D0">
      <w:pPr>
        <w:pStyle w:val="Textonotapie"/>
      </w:pPr>
      <w:r w:rsidRPr="006245DD">
        <w:rPr>
          <w:rStyle w:val="Refdenotaalpie"/>
          <w:sz w:val="20"/>
        </w:rPr>
        <w:footnoteRef/>
      </w:r>
      <w:r w:rsidRPr="006245DD">
        <w:t xml:space="preserve"> </w:t>
      </w:r>
      <w:hyperlink r:id="rId1" w:anchor="_ftnref23" w:history="1">
        <w:r w:rsidRPr="006245DD">
          <w:rPr>
            <w:rStyle w:val="Hipervnculo"/>
            <w:color w:val="auto"/>
            <w:bdr w:val="none" w:sz="0" w:space="0" w:color="auto" w:frame="1"/>
          </w:rPr>
          <w:t>[23]</w:t>
        </w:r>
      </w:hyperlink>
      <w:r w:rsidRPr="006245DD">
        <w:rPr>
          <w:shd w:val="clear" w:color="auto" w:fill="FFFFFF"/>
        </w:rPr>
        <w:t>C-748 de 2011. Al respecto, determinó que </w:t>
      </w:r>
      <w:r w:rsidRPr="006245DD">
        <w:rPr>
          <w:bdr w:val="none" w:sz="0" w:space="0" w:color="auto" w:frame="1"/>
          <w:shd w:val="clear" w:color="auto" w:fill="FFFFFF"/>
        </w:rPr>
        <w:t>la autorización debe ser suministrada, en una etapa anterior a la incorporación del dato</w:t>
      </w:r>
      <w:r>
        <w:rPr>
          <w:bdr w:val="none" w:sz="0" w:space="0" w:color="auto" w:frame="1"/>
          <w:shd w:val="clear" w:color="auto" w:fill="FFFFFF"/>
        </w:rPr>
        <w:t>.</w:t>
      </w:r>
    </w:p>
  </w:footnote>
  <w:footnote w:id="36">
    <w:p w14:paraId="64E5A39C" w14:textId="77777777" w:rsidR="002202D0" w:rsidRPr="006245DD" w:rsidRDefault="002202D0" w:rsidP="002202D0">
      <w:pPr>
        <w:pStyle w:val="Textonotapie"/>
      </w:pPr>
      <w:r w:rsidRPr="006245DD">
        <w:rPr>
          <w:rStyle w:val="Refdenotaalpie"/>
          <w:sz w:val="20"/>
        </w:rPr>
        <w:footnoteRef/>
      </w:r>
      <w:r w:rsidRPr="006245DD">
        <w:t xml:space="preserve"> </w:t>
      </w:r>
      <w:bookmarkStart w:id="14" w:name="_ftn24"/>
      <w:r w:rsidRPr="006245DD">
        <w:fldChar w:fldCharType="begin"/>
      </w:r>
      <w:r w:rsidRPr="006245DD">
        <w:instrText xml:space="preserve"> HYPERLINK "http://www.corteconstitucional.gov.co/relatoria/2013/T-058-13.htm" \l "_ftnref24" \o "" </w:instrText>
      </w:r>
      <w:r w:rsidRPr="006245DD">
        <w:fldChar w:fldCharType="separate"/>
      </w:r>
      <w:r w:rsidRPr="006245DD">
        <w:rPr>
          <w:rStyle w:val="Hipervnculo"/>
          <w:color w:val="auto"/>
          <w:bdr w:val="none" w:sz="0" w:space="0" w:color="auto" w:frame="1"/>
        </w:rPr>
        <w:t>[24]</w:t>
      </w:r>
      <w:r w:rsidRPr="006245DD">
        <w:fldChar w:fldCharType="end"/>
      </w:r>
      <w:bookmarkEnd w:id="14"/>
      <w:r w:rsidRPr="006245DD">
        <w:rPr>
          <w:shd w:val="clear" w:color="auto" w:fill="FFFFFF"/>
        </w:rPr>
        <w:t> </w:t>
      </w:r>
      <w:r w:rsidRPr="006245DD">
        <w:rPr>
          <w:bdr w:val="none" w:sz="0" w:space="0" w:color="auto" w:frame="1"/>
          <w:shd w:val="clear" w:color="auto" w:fill="FFFFFF"/>
        </w:rPr>
        <w:t>En la misma sentencia, se concluyó que la autorización debe ser inequívoca, razón por la cual, al contrario de lo sostenido por algunos intervinientes, no es posible aceptarse la existencia, dentro del ordenamiento jurídico colombiano, de un consentimiento tácito</w:t>
      </w:r>
      <w:r>
        <w:rPr>
          <w:bdr w:val="none" w:sz="0" w:space="0" w:color="auto" w:frame="1"/>
          <w:shd w:val="clear" w:color="auto" w:fill="FFFFFF"/>
        </w:rPr>
        <w:t>.</w:t>
      </w:r>
    </w:p>
  </w:footnote>
  <w:footnote w:id="37">
    <w:p w14:paraId="64E5A39D" w14:textId="77777777" w:rsidR="002202D0" w:rsidRPr="009E7B0F" w:rsidRDefault="002202D0" w:rsidP="002202D0">
      <w:pPr>
        <w:pStyle w:val="Textonotapie"/>
      </w:pPr>
      <w:r w:rsidRPr="009E7B0F">
        <w:rPr>
          <w:rStyle w:val="Refdenotaalpie"/>
          <w:sz w:val="20"/>
        </w:rPr>
        <w:footnoteRef/>
      </w:r>
      <w:r w:rsidRPr="009E7B0F">
        <w:t xml:space="preserve"> </w:t>
      </w:r>
      <w:bookmarkStart w:id="16" w:name="_ftn25"/>
      <w:r w:rsidRPr="009E7B0F">
        <w:fldChar w:fldCharType="begin"/>
      </w:r>
      <w:r w:rsidRPr="009E7B0F">
        <w:instrText xml:space="preserve"> HYPERLINK "http://www.corteconstitucional.gov.co/relatoria/2013/T-058-13.htm" \l "_ftnref25" \o "" </w:instrText>
      </w:r>
      <w:r w:rsidRPr="009E7B0F">
        <w:fldChar w:fldCharType="separate"/>
      </w:r>
      <w:r w:rsidRPr="009E7B0F">
        <w:rPr>
          <w:rStyle w:val="Hipervnculo"/>
          <w:color w:val="auto"/>
          <w:bdr w:val="none" w:sz="0" w:space="0" w:color="auto" w:frame="1"/>
        </w:rPr>
        <w:t>[25]</w:t>
      </w:r>
      <w:r w:rsidRPr="009E7B0F">
        <w:fldChar w:fldCharType="end"/>
      </w:r>
      <w:bookmarkEnd w:id="16"/>
      <w:r w:rsidRPr="009E7B0F">
        <w:rPr>
          <w:shd w:val="clear" w:color="auto" w:fill="FFFFFF"/>
        </w:rPr>
        <w:t> En relación con el carácter informado, la sentencia C-748 de 201, la Corte estableció que el titular no sólo debe aceptar el Tratamiento del dato, sino también tiene que estar plenamente consciente de los efectos de su autorización</w:t>
      </w:r>
      <w:r>
        <w:rPr>
          <w:shd w:val="clear" w:color="auto" w:fill="FFFFFF"/>
        </w:rPr>
        <w:t>.</w:t>
      </w:r>
    </w:p>
  </w:footnote>
  <w:footnote w:id="38">
    <w:p w14:paraId="64E5A39E" w14:textId="77777777" w:rsidR="002202D0" w:rsidRPr="00992E1D" w:rsidRDefault="002202D0" w:rsidP="002202D0">
      <w:pPr>
        <w:pStyle w:val="Textonotapie"/>
      </w:pPr>
      <w:r w:rsidRPr="00992E1D">
        <w:rPr>
          <w:rStyle w:val="Refdenotaalpie"/>
          <w:sz w:val="20"/>
        </w:rPr>
        <w:footnoteRef/>
      </w:r>
      <w:r w:rsidRPr="00992E1D">
        <w:t xml:space="preserve"> </w:t>
      </w:r>
      <w:r w:rsidRPr="00992E1D">
        <w:rPr>
          <w:rStyle w:val="FontStyle305"/>
          <w:rFonts w:ascii="Times New Roman" w:hAnsi="Times New Roman" w:cs="Times New Roman"/>
          <w:i w:val="0"/>
          <w:sz w:val="20"/>
          <w:szCs w:val="20"/>
          <w:lang w:val="es-ES_tradnl" w:eastAsia="es-ES_tradnl"/>
        </w:rPr>
        <w:t>Sentencia T-058 de 2013, MP Alexei Julio Estrada.</w:t>
      </w:r>
    </w:p>
  </w:footnote>
  <w:footnote w:id="39">
    <w:p w14:paraId="64E5A39F" w14:textId="77777777" w:rsidR="002202D0" w:rsidRPr="004E139E" w:rsidRDefault="002202D0" w:rsidP="002202D0">
      <w:pPr>
        <w:pStyle w:val="Textonotapie"/>
      </w:pPr>
      <w:r w:rsidRPr="004E139E">
        <w:rPr>
          <w:rStyle w:val="Refdenotaalpie"/>
          <w:sz w:val="20"/>
        </w:rPr>
        <w:footnoteRef/>
      </w:r>
      <w:r w:rsidRPr="004E139E">
        <w:t xml:space="preserve"> </w:t>
      </w:r>
      <w:bookmarkStart w:id="17" w:name="_ftn41"/>
      <w:r w:rsidRPr="004E139E">
        <w:fldChar w:fldCharType="begin"/>
      </w:r>
      <w:r w:rsidRPr="004E139E">
        <w:instrText xml:space="preserve"> HYPERLINK "http://www.corteconstitucional.gov.co/relatoria/2018/t-207a-18.htm" \l "_ftnref41" \o "" </w:instrText>
      </w:r>
      <w:r w:rsidRPr="004E139E">
        <w:fldChar w:fldCharType="separate"/>
      </w:r>
      <w:r w:rsidRPr="004E139E">
        <w:rPr>
          <w:rStyle w:val="Hipervnculo"/>
          <w:color w:val="000000"/>
          <w:bdr w:val="none" w:sz="0" w:space="0" w:color="auto" w:frame="1"/>
        </w:rPr>
        <w:t>[41]</w:t>
      </w:r>
      <w:r w:rsidRPr="004E139E">
        <w:fldChar w:fldCharType="end"/>
      </w:r>
      <w:bookmarkEnd w:id="17"/>
      <w:r w:rsidRPr="004E139E">
        <w:rPr>
          <w:bdr w:val="none" w:sz="0" w:space="0" w:color="auto" w:frame="1"/>
          <w:shd w:val="clear" w:color="auto" w:fill="FFFFFF"/>
        </w:rPr>
        <w:t> Sentencia T-160 de 2005. También pueden consultarse, entre otras las sentencias T-718 de 2005, T-1067 de 2007, T-144 de 2013 y C-1011 de 2008.</w:t>
      </w:r>
    </w:p>
  </w:footnote>
  <w:footnote w:id="40">
    <w:p w14:paraId="64E5A3A0" w14:textId="77777777" w:rsidR="002202D0" w:rsidRPr="004E139E" w:rsidRDefault="002202D0" w:rsidP="002202D0">
      <w:pPr>
        <w:pStyle w:val="Textonotapie"/>
      </w:pPr>
      <w:r w:rsidRPr="004E139E">
        <w:rPr>
          <w:rStyle w:val="Refdenotaalpie"/>
          <w:sz w:val="20"/>
        </w:rPr>
        <w:footnoteRef/>
      </w:r>
      <w:r w:rsidRPr="004E139E">
        <w:t xml:space="preserve"> Sentencia T-207</w:t>
      </w:r>
      <w:r>
        <w:t>A</w:t>
      </w:r>
      <w:r w:rsidRPr="004E139E">
        <w:t xml:space="preserve"> de 2018, MP Antonio José Lizarazo Ocampo.</w:t>
      </w:r>
    </w:p>
  </w:footnote>
  <w:footnote w:id="41">
    <w:p w14:paraId="64E5A3A1" w14:textId="77777777" w:rsidR="002202D0" w:rsidRPr="00B7573E" w:rsidRDefault="002202D0" w:rsidP="00B7573E">
      <w:pPr>
        <w:pStyle w:val="NormalWeb"/>
        <w:spacing w:before="0" w:beforeAutospacing="0" w:after="0" w:afterAutospacing="0"/>
        <w:jc w:val="both"/>
        <w:rPr>
          <w:sz w:val="20"/>
          <w:szCs w:val="20"/>
        </w:rPr>
      </w:pPr>
      <w:r w:rsidRPr="00B7573E">
        <w:rPr>
          <w:rStyle w:val="Refdenotaalpie"/>
          <w:sz w:val="20"/>
          <w:szCs w:val="20"/>
        </w:rPr>
        <w:footnoteRef/>
      </w:r>
      <w:r w:rsidRPr="00B7573E">
        <w:rPr>
          <w:sz w:val="20"/>
          <w:szCs w:val="20"/>
        </w:rPr>
        <w:t xml:space="preserve"> Const. Pol. ART. 20</w:t>
      </w:r>
      <w:bookmarkStart w:id="18" w:name="20"/>
      <w:r w:rsidRPr="00B7573E">
        <w:rPr>
          <w:sz w:val="20"/>
          <w:szCs w:val="20"/>
        </w:rPr>
        <w:t>.-</w:t>
      </w:r>
      <w:r w:rsidRPr="00B7573E">
        <w:rPr>
          <w:b/>
          <w:bCs/>
          <w:sz w:val="20"/>
          <w:szCs w:val="20"/>
        </w:rPr>
        <w:t> </w:t>
      </w:r>
      <w:bookmarkEnd w:id="18"/>
      <w:r w:rsidRPr="00B7573E">
        <w:rPr>
          <w:b/>
          <w:bCs/>
          <w:sz w:val="20"/>
          <w:szCs w:val="20"/>
        </w:rPr>
        <w:t>“</w:t>
      </w:r>
      <w:r w:rsidRPr="00B7573E">
        <w:rPr>
          <w:sz w:val="20"/>
          <w:szCs w:val="20"/>
        </w:rPr>
        <w:t>Se garantiza a toda persona la libertad de expresar y difundir su pensamiento y opiniones, la de informar y recibir información veraz e imparcial, y la de fundar medios masivos de comunicación.</w:t>
      </w:r>
    </w:p>
    <w:p w14:paraId="64E5A3A2" w14:textId="77777777" w:rsidR="002202D0" w:rsidRPr="00B7573E" w:rsidRDefault="002202D0" w:rsidP="00B7573E">
      <w:pPr>
        <w:pStyle w:val="NormalWeb"/>
        <w:spacing w:before="0" w:beforeAutospacing="0" w:after="0" w:afterAutospacing="0"/>
        <w:jc w:val="both"/>
        <w:rPr>
          <w:sz w:val="20"/>
          <w:szCs w:val="20"/>
        </w:rPr>
      </w:pPr>
      <w:r w:rsidRPr="00B7573E">
        <w:rPr>
          <w:sz w:val="20"/>
          <w:szCs w:val="20"/>
        </w:rPr>
        <w:t>Estos son libres y tienen responsabilidad social. Se garantiza el derecho a la rectificación en condiciones de equidad. No habrá censura.”</w:t>
      </w:r>
    </w:p>
  </w:footnote>
  <w:footnote w:id="42">
    <w:p w14:paraId="64E5A3A3" w14:textId="77777777" w:rsidR="002202D0" w:rsidRPr="00F22151" w:rsidRDefault="002202D0" w:rsidP="002202D0">
      <w:pPr>
        <w:pStyle w:val="Textonotapie"/>
      </w:pPr>
      <w:r w:rsidRPr="00F22151">
        <w:rPr>
          <w:rStyle w:val="Refdenotaalpie"/>
          <w:sz w:val="20"/>
        </w:rPr>
        <w:footnoteRef/>
      </w:r>
      <w:r w:rsidRPr="00F22151">
        <w:t xml:space="preserve"> Para una relación de casos en donde se verifica la referida tensión constitucional puede consultarse</w:t>
      </w:r>
      <w:r>
        <w:t xml:space="preserve"> el numeral 8 de</w:t>
      </w:r>
      <w:r w:rsidRPr="00F22151">
        <w:t xml:space="preserve"> la Sentencia T-277 de 2015, M</w:t>
      </w:r>
      <w:r>
        <w:t>P</w:t>
      </w:r>
      <w:r w:rsidRPr="00F22151">
        <w:t xml:space="preserve"> María Victoria Calle Correa.</w:t>
      </w:r>
    </w:p>
  </w:footnote>
  <w:footnote w:id="43">
    <w:p w14:paraId="64E5A3A4" w14:textId="77777777" w:rsidR="002202D0" w:rsidRPr="00E31C21" w:rsidRDefault="002202D0" w:rsidP="002202D0">
      <w:pPr>
        <w:pStyle w:val="Textonotapie"/>
      </w:pPr>
      <w:r w:rsidRPr="00E31C21">
        <w:rPr>
          <w:rStyle w:val="Refdenotaalpie"/>
          <w:sz w:val="20"/>
        </w:rPr>
        <w:footnoteRef/>
      </w:r>
      <w:r w:rsidRPr="00E31C21">
        <w:t xml:space="preserve"> Sentencia T-058 de 2013, MP Alexei Julio Estrada.</w:t>
      </w:r>
    </w:p>
  </w:footnote>
  <w:footnote w:id="44">
    <w:p w14:paraId="64E5A3A5" w14:textId="77777777" w:rsidR="002202D0" w:rsidRPr="007D4C03" w:rsidRDefault="002202D0" w:rsidP="007D4C03">
      <w:pPr>
        <w:pStyle w:val="Ttulo2"/>
        <w:ind w:left="17" w:right="17"/>
        <w:jc w:val="both"/>
        <w:rPr>
          <w:sz w:val="20"/>
          <w:szCs w:val="20"/>
        </w:rPr>
      </w:pPr>
      <w:r w:rsidRPr="007D4C03">
        <w:rPr>
          <w:rStyle w:val="Refdenotaalpie"/>
          <w:sz w:val="20"/>
          <w:szCs w:val="20"/>
        </w:rPr>
        <w:footnoteRef/>
      </w:r>
      <w:r w:rsidRPr="007D4C03">
        <w:rPr>
          <w:sz w:val="20"/>
          <w:szCs w:val="20"/>
        </w:rPr>
        <w:t xml:space="preserve"> Ley 1581 de 2012, ART. 10.—</w:t>
      </w:r>
      <w:r w:rsidRPr="007D4C03">
        <w:rPr>
          <w:b/>
          <w:bCs/>
          <w:sz w:val="20"/>
          <w:szCs w:val="20"/>
        </w:rPr>
        <w:t>Casos en que no es necesaria la autorización.</w:t>
      </w:r>
      <w:r w:rsidRPr="007D4C03">
        <w:rPr>
          <w:sz w:val="20"/>
          <w:szCs w:val="20"/>
        </w:rPr>
        <w:t xml:space="preserve"> “La autorización del titular no será necesaria cuando se trate de:</w:t>
      </w:r>
    </w:p>
    <w:p w14:paraId="64E5A3A6" w14:textId="77777777" w:rsidR="002202D0" w:rsidRPr="007D4C03" w:rsidRDefault="002202D0" w:rsidP="007D4C03">
      <w:pPr>
        <w:pStyle w:val="Ttulo2"/>
        <w:ind w:left="17" w:right="17"/>
        <w:jc w:val="both"/>
        <w:rPr>
          <w:sz w:val="20"/>
          <w:szCs w:val="20"/>
        </w:rPr>
      </w:pPr>
      <w:r w:rsidRPr="007D4C03">
        <w:rPr>
          <w:sz w:val="20"/>
          <w:szCs w:val="20"/>
        </w:rPr>
        <w:t>a) Información requerida por una entidad pública o administrativa en ejercicio de sus funciones legales o por orden judicial;</w:t>
      </w:r>
    </w:p>
    <w:p w14:paraId="64E5A3A7" w14:textId="77777777" w:rsidR="002202D0" w:rsidRPr="007D4C03" w:rsidRDefault="002202D0" w:rsidP="007D4C03">
      <w:pPr>
        <w:pStyle w:val="Ttulo2"/>
        <w:ind w:left="17" w:right="17"/>
        <w:jc w:val="both"/>
        <w:rPr>
          <w:sz w:val="20"/>
          <w:szCs w:val="20"/>
        </w:rPr>
      </w:pPr>
      <w:r w:rsidRPr="007D4C03">
        <w:rPr>
          <w:sz w:val="20"/>
          <w:szCs w:val="20"/>
        </w:rPr>
        <w:t>b) Datos de naturaleza pública;</w:t>
      </w:r>
    </w:p>
    <w:p w14:paraId="64E5A3A8" w14:textId="77777777" w:rsidR="002202D0" w:rsidRPr="007D4C03" w:rsidRDefault="002202D0" w:rsidP="007D4C03">
      <w:pPr>
        <w:pStyle w:val="Ttulo2"/>
        <w:ind w:left="17" w:right="17"/>
        <w:jc w:val="both"/>
        <w:rPr>
          <w:sz w:val="20"/>
          <w:szCs w:val="20"/>
        </w:rPr>
      </w:pPr>
      <w:r w:rsidRPr="007D4C03">
        <w:rPr>
          <w:sz w:val="20"/>
          <w:szCs w:val="20"/>
        </w:rPr>
        <w:t>c) Casos de urgencia médica o sanitaria;</w:t>
      </w:r>
    </w:p>
    <w:p w14:paraId="64E5A3A9" w14:textId="77777777" w:rsidR="002202D0" w:rsidRPr="007D4C03" w:rsidRDefault="002202D0" w:rsidP="007D4C03">
      <w:pPr>
        <w:pStyle w:val="Ttulo2"/>
        <w:ind w:left="17" w:right="17"/>
        <w:jc w:val="both"/>
        <w:rPr>
          <w:sz w:val="20"/>
          <w:szCs w:val="20"/>
        </w:rPr>
      </w:pPr>
      <w:r w:rsidRPr="007D4C03">
        <w:rPr>
          <w:sz w:val="20"/>
          <w:szCs w:val="20"/>
        </w:rPr>
        <w:t>d) Tratamiento de información autorizado por la ley para fines históricos, estadísticos o científicos;</w:t>
      </w:r>
    </w:p>
    <w:p w14:paraId="64E5A3AA" w14:textId="77777777" w:rsidR="002202D0" w:rsidRPr="007D4C03" w:rsidRDefault="002202D0" w:rsidP="007D4C03">
      <w:pPr>
        <w:pStyle w:val="Ttulo2"/>
        <w:ind w:left="17" w:right="17"/>
        <w:jc w:val="both"/>
        <w:rPr>
          <w:sz w:val="20"/>
          <w:szCs w:val="20"/>
        </w:rPr>
      </w:pPr>
      <w:r w:rsidRPr="007D4C03">
        <w:rPr>
          <w:sz w:val="20"/>
          <w:szCs w:val="20"/>
        </w:rPr>
        <w:t>e) Datos relacionados con el registro civil de las personas.</w:t>
      </w:r>
    </w:p>
    <w:p w14:paraId="64E5A3AB" w14:textId="77777777" w:rsidR="002202D0" w:rsidRPr="00F03ED6" w:rsidRDefault="002202D0" w:rsidP="00F03ED6">
      <w:pPr>
        <w:pStyle w:val="Ttulo2"/>
        <w:ind w:left="17" w:right="17"/>
        <w:jc w:val="both"/>
        <w:rPr>
          <w:sz w:val="20"/>
          <w:szCs w:val="20"/>
        </w:rPr>
      </w:pPr>
      <w:r w:rsidRPr="007D4C03">
        <w:rPr>
          <w:sz w:val="20"/>
          <w:szCs w:val="20"/>
        </w:rPr>
        <w:t>Quien acceda a los datos personales sin que medie autorización previa deberá en todo caso cumplir con las disposiciones contenidas en la presente ley.”</w:t>
      </w:r>
    </w:p>
  </w:footnote>
  <w:footnote w:id="45">
    <w:p w14:paraId="64E5A3AC" w14:textId="77777777" w:rsidR="002202D0" w:rsidRPr="00510747" w:rsidRDefault="002202D0" w:rsidP="002202D0">
      <w:pPr>
        <w:pStyle w:val="Textonotapie"/>
      </w:pPr>
      <w:r w:rsidRPr="00510747">
        <w:rPr>
          <w:rStyle w:val="Refdenotaalpie"/>
          <w:sz w:val="20"/>
        </w:rPr>
        <w:footnoteRef/>
      </w:r>
      <w:r w:rsidRPr="00510747">
        <w:t xml:space="preserve"> Cf</w:t>
      </w:r>
      <w:r>
        <w:t>r</w:t>
      </w:r>
      <w:r w:rsidRPr="00510747">
        <w:t>. Sentencia C-748 de 2011, MP Jorge Ignacio Pretelt Chaljub.</w:t>
      </w:r>
    </w:p>
  </w:footnote>
  <w:footnote w:id="46">
    <w:p w14:paraId="64E5A3AD" w14:textId="77777777" w:rsidR="002202D0" w:rsidRPr="00510747" w:rsidRDefault="002202D0" w:rsidP="002202D0">
      <w:pPr>
        <w:pStyle w:val="Textonotapie"/>
        <w:rPr>
          <w:lang w:val="es-ES"/>
        </w:rPr>
      </w:pPr>
      <w:r w:rsidRPr="00510747">
        <w:rPr>
          <w:rStyle w:val="Refdenotaalpie"/>
          <w:sz w:val="20"/>
        </w:rPr>
        <w:footnoteRef/>
      </w:r>
      <w:r w:rsidRPr="00510747">
        <w:t xml:space="preserve"> </w:t>
      </w:r>
      <w:r w:rsidRPr="00510747">
        <w:rPr>
          <w:lang w:val="es-ES"/>
        </w:rPr>
        <w:t xml:space="preserve">Ibid. </w:t>
      </w:r>
    </w:p>
  </w:footnote>
  <w:footnote w:id="47">
    <w:p w14:paraId="64E5A3AE" w14:textId="77777777" w:rsidR="002202D0" w:rsidRPr="000C64DE" w:rsidRDefault="002202D0" w:rsidP="002202D0">
      <w:pPr>
        <w:pStyle w:val="Textonotapie"/>
      </w:pPr>
      <w:r w:rsidRPr="00510747">
        <w:rPr>
          <w:rStyle w:val="Refdenotaalpie"/>
          <w:sz w:val="20"/>
        </w:rPr>
        <w:footnoteRef/>
      </w:r>
      <w:r w:rsidRPr="000C64DE">
        <w:t xml:space="preserve"> Sentencia C-640 de 2010, MP</w:t>
      </w:r>
      <w:r>
        <w:t xml:space="preserve"> Mauricio González Cuervo. Ver también las sentencias T-787 de 2004, MP Rodrigo Escobar Gil; y T-050 de 2016, MP Gabriel Eduardo Mendoza Martelo.</w:t>
      </w:r>
    </w:p>
  </w:footnote>
  <w:footnote w:id="48">
    <w:p w14:paraId="64E5A3AF" w14:textId="77777777" w:rsidR="002202D0" w:rsidRPr="00CD7C06" w:rsidRDefault="002202D0" w:rsidP="00EB2E08">
      <w:pPr>
        <w:widowControl/>
        <w:shd w:val="clear" w:color="auto" w:fill="FFFFFF"/>
        <w:suppressAutoHyphens w:val="0"/>
        <w:textAlignment w:val="baseline"/>
        <w:rPr>
          <w:rFonts w:eastAsia="Times New Roman" w:cs="Times New Roman"/>
          <w:kern w:val="0"/>
          <w:sz w:val="20"/>
          <w:szCs w:val="20"/>
          <w:lang w:eastAsia="es-CO" w:bidi="ar-SA"/>
        </w:rPr>
      </w:pPr>
      <w:r w:rsidRPr="00CD7C06">
        <w:rPr>
          <w:rStyle w:val="Refdenotaalpie"/>
          <w:i/>
          <w:sz w:val="20"/>
          <w:szCs w:val="20"/>
        </w:rPr>
        <w:footnoteRef/>
      </w:r>
      <w:r w:rsidRPr="00CD7C06">
        <w:rPr>
          <w:i/>
          <w:sz w:val="20"/>
          <w:szCs w:val="20"/>
        </w:rPr>
        <w:t xml:space="preserve"> “(…) </w:t>
      </w:r>
      <w:r w:rsidRPr="00CD7C06">
        <w:rPr>
          <w:rFonts w:eastAsia="Times New Roman" w:cs="Times New Roman"/>
          <w:i/>
          <w:kern w:val="0"/>
          <w:sz w:val="20"/>
          <w:szCs w:val="20"/>
          <w:bdr w:val="none" w:sz="0" w:space="0" w:color="auto" w:frame="1"/>
          <w:lang w:eastAsia="es-CO" w:bidi="ar-SA"/>
        </w:rPr>
        <w:t>el </w:t>
      </w:r>
      <w:r w:rsidRPr="00CD7C06">
        <w:rPr>
          <w:rFonts w:eastAsia="Times New Roman" w:cs="Times New Roman"/>
          <w:i/>
          <w:iCs/>
          <w:kern w:val="0"/>
          <w:sz w:val="20"/>
          <w:szCs w:val="20"/>
          <w:bdr w:val="none" w:sz="0" w:space="0" w:color="auto" w:frame="1"/>
          <w:lang w:eastAsia="es-CO" w:bidi="ar-SA"/>
        </w:rPr>
        <w:t>principio de necesidad</w:t>
      </w:r>
      <w:r w:rsidRPr="00CD7C06">
        <w:rPr>
          <w:rFonts w:eastAsia="Times New Roman" w:cs="Times New Roman"/>
          <w:i/>
          <w:kern w:val="0"/>
          <w:sz w:val="20"/>
          <w:szCs w:val="20"/>
          <w:bdr w:val="none" w:sz="0" w:space="0" w:color="auto" w:frame="1"/>
          <w:lang w:eastAsia="es-CO" w:bidi="ar-SA"/>
        </w:rPr>
        <w:t xml:space="preserve">, establece que los datos personales registrados deben ser los estrictamente necesarios para el cumplimiento de las finalidades perseguidas con la base de datos. En ese sentido, se encuentra prohibido el registro y divulgación de datos que no guarden estrecha relación con el objetivo de la base de datos a la que pertenecen o pretenden hacerlo.” </w:t>
      </w:r>
      <w:r w:rsidRPr="00CD7C06">
        <w:rPr>
          <w:rFonts w:eastAsia="Times New Roman" w:cs="Times New Roman"/>
          <w:kern w:val="0"/>
          <w:sz w:val="20"/>
          <w:szCs w:val="20"/>
          <w:bdr w:val="none" w:sz="0" w:space="0" w:color="auto" w:frame="1"/>
          <w:lang w:eastAsia="es-CO" w:bidi="ar-SA"/>
        </w:rPr>
        <w:t xml:space="preserve">(Sentencia </w:t>
      </w:r>
      <w:r w:rsidRPr="00CD7C06">
        <w:rPr>
          <w:sz w:val="20"/>
          <w:szCs w:val="20"/>
        </w:rPr>
        <w:t>T-058 de 2015, MP Luis Guillermo Guerrero Pérez)</w:t>
      </w:r>
    </w:p>
  </w:footnote>
  <w:footnote w:id="49">
    <w:p w14:paraId="64E5A3B0" w14:textId="77777777" w:rsidR="002202D0" w:rsidRPr="00CD7C06" w:rsidRDefault="002202D0" w:rsidP="002202D0">
      <w:pPr>
        <w:pStyle w:val="Textonotapie"/>
      </w:pPr>
      <w:r w:rsidRPr="00CD7C06">
        <w:rPr>
          <w:rStyle w:val="Refdenotaalpie"/>
          <w:sz w:val="20"/>
        </w:rPr>
        <w:footnoteRef/>
      </w:r>
      <w:r w:rsidRPr="00CD7C06">
        <w:t xml:space="preserve"> De acuerdo con Sentencia T-020 de 2014 (MP Luis Guillermo Guerrero Pérez) “</w:t>
      </w:r>
      <w:r w:rsidRPr="00CD7C06">
        <w:rPr>
          <w:shd w:val="clear" w:color="auto" w:fill="FFFFFF"/>
        </w:rPr>
        <w:t>es claro que el </w:t>
      </w:r>
      <w:r w:rsidRPr="00CD7C06">
        <w:rPr>
          <w:iCs/>
          <w:bdr w:val="none" w:sz="0" w:space="0" w:color="auto" w:frame="1"/>
          <w:shd w:val="clear" w:color="auto" w:fill="FFFFFF"/>
        </w:rPr>
        <w:t>principio de finalidad</w:t>
      </w:r>
      <w:r w:rsidRPr="00CD7C06">
        <w:rPr>
          <w:shd w:val="clear" w:color="auto" w:fill="FFFFFF"/>
        </w:rPr>
        <w:t> supone la existencia de un objetivo constitucional legítimo que, a su vez, delimita qué puede hacerse con el dato. Por su parte, el </w:t>
      </w:r>
      <w:r w:rsidRPr="00CD7C06">
        <w:rPr>
          <w:iCs/>
          <w:bdr w:val="none" w:sz="0" w:space="0" w:color="auto" w:frame="1"/>
          <w:shd w:val="clear" w:color="auto" w:fill="FFFFFF"/>
        </w:rPr>
        <w:t>principio de necesidad</w:t>
      </w:r>
      <w:r w:rsidRPr="00CD7C06">
        <w:rPr>
          <w:shd w:val="clear" w:color="auto" w:fill="FFFFFF"/>
        </w:rPr>
        <w:t> se refiere a que el tratamiento de dicho dato cumpla con el fin que abarca su manejo. Por último, el </w:t>
      </w:r>
      <w:r w:rsidRPr="00CD7C06">
        <w:rPr>
          <w:iCs/>
          <w:bdr w:val="none" w:sz="0" w:space="0" w:color="auto" w:frame="1"/>
          <w:shd w:val="clear" w:color="auto" w:fill="FFFFFF"/>
        </w:rPr>
        <w:t>principio de circulación restringida</w:t>
      </w:r>
      <w:r w:rsidRPr="00CD7C06">
        <w:rPr>
          <w:shd w:val="clear" w:color="auto" w:fill="FFFFFF"/>
        </w:rPr>
        <w:t>, conduce a que el flujo </w:t>
      </w:r>
      <w:r w:rsidRPr="00CD7C06">
        <w:rPr>
          <w:bdr w:val="none" w:sz="0" w:space="0" w:color="auto" w:frame="1"/>
          <w:shd w:val="clear" w:color="auto" w:fill="FFFFFF"/>
        </w:rPr>
        <w:t>de la información deba tener relación directa con la finalidad, al tiempo que restringe el acceso masivo a la información, con excepción de los datos de naturaleza pública.”</w:t>
      </w:r>
    </w:p>
  </w:footnote>
  <w:footnote w:id="50">
    <w:p w14:paraId="64E5A3B1" w14:textId="77777777" w:rsidR="002202D0" w:rsidRPr="00CD7C06" w:rsidRDefault="002202D0" w:rsidP="00EE2A50">
      <w:pPr>
        <w:widowControl/>
        <w:shd w:val="clear" w:color="auto" w:fill="FFFFFF"/>
        <w:suppressAutoHyphens w:val="0"/>
        <w:textAlignment w:val="baseline"/>
        <w:rPr>
          <w:rFonts w:eastAsia="Times New Roman" w:cs="Times New Roman"/>
          <w:kern w:val="0"/>
          <w:sz w:val="20"/>
          <w:szCs w:val="20"/>
          <w:lang w:eastAsia="es-CO" w:bidi="ar-SA"/>
        </w:rPr>
      </w:pPr>
      <w:r w:rsidRPr="00CD7C06">
        <w:rPr>
          <w:rStyle w:val="Refdenotaalpie"/>
          <w:i/>
          <w:sz w:val="20"/>
          <w:szCs w:val="20"/>
        </w:rPr>
        <w:footnoteRef/>
      </w:r>
      <w:r w:rsidRPr="00CD7C06">
        <w:rPr>
          <w:i/>
          <w:sz w:val="20"/>
          <w:szCs w:val="20"/>
        </w:rPr>
        <w:t xml:space="preserve"> “(…) </w:t>
      </w:r>
      <w:r w:rsidRPr="00CD7C06">
        <w:rPr>
          <w:rFonts w:eastAsia="Times New Roman" w:cs="Times New Roman"/>
          <w:i/>
          <w:kern w:val="0"/>
          <w:sz w:val="20"/>
          <w:szCs w:val="20"/>
          <w:bdr w:val="none" w:sz="0" w:space="0" w:color="auto" w:frame="1"/>
          <w:lang w:eastAsia="es-CO" w:bidi="ar-SA"/>
        </w:rPr>
        <w:t>el </w:t>
      </w:r>
      <w:r w:rsidRPr="00CD7C06">
        <w:rPr>
          <w:rFonts w:eastAsia="Times New Roman" w:cs="Times New Roman"/>
          <w:i/>
          <w:iCs/>
          <w:kern w:val="0"/>
          <w:sz w:val="20"/>
          <w:szCs w:val="20"/>
          <w:bdr w:val="none" w:sz="0" w:space="0" w:color="auto" w:frame="1"/>
          <w:lang w:eastAsia="es-CO" w:bidi="ar-SA"/>
        </w:rPr>
        <w:t>principio de necesidad</w:t>
      </w:r>
      <w:r w:rsidRPr="00CD7C06">
        <w:rPr>
          <w:rFonts w:eastAsia="Times New Roman" w:cs="Times New Roman"/>
          <w:i/>
          <w:kern w:val="0"/>
          <w:sz w:val="20"/>
          <w:szCs w:val="20"/>
          <w:bdr w:val="none" w:sz="0" w:space="0" w:color="auto" w:frame="1"/>
          <w:lang w:eastAsia="es-CO" w:bidi="ar-SA"/>
        </w:rPr>
        <w:t xml:space="preserve">, establece que los datos personales registrados deben ser los estrictamente necesarios para el cumplimiento de las finalidades perseguidas con la base de datos. En ese sentido, se encuentra prohibido el registro y divulgación de datos que no guarden estrecha relación con el objetivo de la base de datos a la que pertenecen o pretenden hacerlo.” </w:t>
      </w:r>
      <w:r w:rsidRPr="00CD7C06">
        <w:rPr>
          <w:rFonts w:eastAsia="Times New Roman" w:cs="Times New Roman"/>
          <w:kern w:val="0"/>
          <w:sz w:val="20"/>
          <w:szCs w:val="20"/>
          <w:bdr w:val="none" w:sz="0" w:space="0" w:color="auto" w:frame="1"/>
          <w:lang w:eastAsia="es-CO" w:bidi="ar-SA"/>
        </w:rPr>
        <w:t xml:space="preserve">(Sentencia </w:t>
      </w:r>
      <w:r w:rsidRPr="00CD7C06">
        <w:rPr>
          <w:sz w:val="20"/>
          <w:szCs w:val="20"/>
        </w:rPr>
        <w:t>T-058 de 2015, MP Luis Guillermo Guerrero Pérez)</w:t>
      </w:r>
    </w:p>
  </w:footnote>
  <w:footnote w:id="51">
    <w:p w14:paraId="64E5A3B2" w14:textId="77777777" w:rsidR="002202D0" w:rsidRPr="00CD7C06" w:rsidRDefault="002202D0" w:rsidP="002202D0">
      <w:pPr>
        <w:pStyle w:val="Textonotapie"/>
      </w:pPr>
      <w:r w:rsidRPr="00CD7C06">
        <w:rPr>
          <w:rStyle w:val="Refdenotaalpie"/>
          <w:sz w:val="20"/>
        </w:rPr>
        <w:footnoteRef/>
      </w:r>
      <w:r w:rsidRPr="00CD7C06">
        <w:t xml:space="preserve"> Ver sentencias T-729 de 2002, MP Eduardo Montealegre Lynett; C-692 de 2003, MP Marco Gerardo Monroy Cabra; C-336 de 2007, MP Jaime Córdoba Triviño; C-640 de 2010, MP Mauricio González Cuervo; T-058 de 2015, MP Luis Guillermo Guerrero Pérez; y T-487 de 2017, MP Alberto Rojas Ríos; </w:t>
      </w:r>
    </w:p>
  </w:footnote>
  <w:footnote w:id="52">
    <w:p w14:paraId="64E5A3B3" w14:textId="77777777" w:rsidR="002202D0" w:rsidRPr="00CD7C06" w:rsidRDefault="002202D0" w:rsidP="002202D0">
      <w:pPr>
        <w:pStyle w:val="Textonotapie"/>
      </w:pPr>
      <w:r w:rsidRPr="00CD7C06">
        <w:rPr>
          <w:rStyle w:val="Refdenotaalpie"/>
          <w:sz w:val="20"/>
        </w:rPr>
        <w:footnoteRef/>
      </w:r>
      <w:r w:rsidRPr="00CD7C06">
        <w:t xml:space="preserve"> MP Marco Gerardo Monroy Cabra.</w:t>
      </w:r>
    </w:p>
  </w:footnote>
  <w:footnote w:id="53">
    <w:p w14:paraId="64E5A3B4" w14:textId="77777777" w:rsidR="002202D0" w:rsidRPr="001C0CEC" w:rsidRDefault="002202D0" w:rsidP="002202D0">
      <w:pPr>
        <w:pStyle w:val="Textonotapie"/>
      </w:pPr>
      <w:r w:rsidRPr="001C0CEC">
        <w:rPr>
          <w:rStyle w:val="Refdenotaalpie"/>
          <w:sz w:val="20"/>
        </w:rPr>
        <w:footnoteRef/>
      </w:r>
      <w:r w:rsidRPr="001C0CEC">
        <w:t xml:space="preserve"> Mediante Sentencia T-022 de 1993 (MP Ciro Angarita Barón), la Corte comentó que “</w:t>
      </w:r>
      <w:r w:rsidRPr="001C0CEC">
        <w:rPr>
          <w:shd w:val="clear" w:color="auto" w:fill="FFFFFF"/>
        </w:rPr>
        <w:t>la prevalencia de un verdadero interés general construido con todos los elementos que ofrece la Constitución de  1991 a través de sus valores, principios y normas, permite afirmar a esta Corte que tampoco es arbitraria o abusiva la circulación del dato personal económico cuando ella satisfaga una exigencia de dicho interés.” </w:t>
      </w:r>
    </w:p>
  </w:footnote>
  <w:footnote w:id="54">
    <w:p w14:paraId="64E5A3B5" w14:textId="77777777" w:rsidR="002202D0" w:rsidRPr="005136E8" w:rsidRDefault="002202D0" w:rsidP="00A60E59">
      <w:pPr>
        <w:pStyle w:val="Prrafodelista"/>
        <w:widowControl/>
        <w:suppressAutoHyphens w:val="0"/>
        <w:ind w:left="0" w:right="49"/>
        <w:rPr>
          <w:sz w:val="20"/>
          <w:szCs w:val="20"/>
          <w:lang w:val="es-ES_tradnl"/>
        </w:rPr>
      </w:pPr>
      <w:r w:rsidRPr="00835864">
        <w:rPr>
          <w:rStyle w:val="Refdenotaalpie"/>
          <w:sz w:val="20"/>
          <w:szCs w:val="20"/>
        </w:rPr>
        <w:footnoteRef/>
      </w:r>
      <w:r w:rsidRPr="00835864">
        <w:rPr>
          <w:sz w:val="20"/>
          <w:szCs w:val="20"/>
        </w:rPr>
        <w:t xml:space="preserve"> En Sentencia </w:t>
      </w:r>
      <w:r>
        <w:rPr>
          <w:sz w:val="20"/>
          <w:szCs w:val="20"/>
        </w:rPr>
        <w:t>T-238</w:t>
      </w:r>
      <w:r w:rsidRPr="00835864">
        <w:rPr>
          <w:sz w:val="20"/>
          <w:szCs w:val="20"/>
        </w:rPr>
        <w:t xml:space="preserve"> de 2018</w:t>
      </w:r>
      <w:r w:rsidRPr="00835864">
        <w:rPr>
          <w:sz w:val="20"/>
          <w:szCs w:val="20"/>
          <w:lang w:val="es-ES_tradnl"/>
        </w:rPr>
        <w:t xml:space="preserve"> se reiteró que </w:t>
      </w:r>
      <w:r w:rsidRPr="00835864">
        <w:rPr>
          <w:i/>
          <w:sz w:val="20"/>
          <w:szCs w:val="20"/>
          <w:lang w:val="es-ES_tradnl"/>
        </w:rPr>
        <w:t xml:space="preserve">“(e)n cumplimiento del deber de regular el derecho fundamental al hábeas data a cargo del Congreso, se expidió la </w:t>
      </w:r>
      <w:r w:rsidRPr="00835864">
        <w:rPr>
          <w:b/>
          <w:i/>
          <w:sz w:val="20"/>
          <w:szCs w:val="20"/>
          <w:lang w:val="es-ES_tradnl"/>
        </w:rPr>
        <w:t>Ley Estatu</w:t>
      </w:r>
      <w:r>
        <w:rPr>
          <w:b/>
          <w:i/>
          <w:sz w:val="20"/>
          <w:szCs w:val="20"/>
          <w:lang w:val="es-ES_tradnl"/>
        </w:rPr>
        <w:t>t</w:t>
      </w:r>
      <w:r w:rsidRPr="00835864">
        <w:rPr>
          <w:b/>
          <w:i/>
          <w:sz w:val="20"/>
          <w:szCs w:val="20"/>
          <w:lang w:val="es-ES_tradnl"/>
        </w:rPr>
        <w:t>aria 1266 de 2008</w:t>
      </w:r>
      <w:r w:rsidRPr="00835864">
        <w:rPr>
          <w:i/>
          <w:sz w:val="20"/>
          <w:szCs w:val="20"/>
          <w:lang w:val="es-ES_tradnl"/>
        </w:rPr>
        <w:t xml:space="preserve"> “[p]or la cual se dictan las disposiciones generales del hábeas data y se regula el manejo de la información contenida en bases de datos personales, en especial la financiera, crediticia, comercial, de servicios y la proveniente de terceros países y se dictan otras disposiciones.”. Esta normativa constituye una regulación parcial del derecho al hábeas data porque se circunscribe al dato financiero. </w:t>
      </w:r>
      <w:r w:rsidRPr="00835864">
        <w:rPr>
          <w:i/>
          <w:sz w:val="20"/>
          <w:szCs w:val="20"/>
          <w:u w:val="single"/>
          <w:lang w:val="es-ES_tradnl"/>
        </w:rPr>
        <w:t xml:space="preserve">En la </w:t>
      </w:r>
      <w:r w:rsidRPr="00835864">
        <w:rPr>
          <w:b/>
          <w:i/>
          <w:sz w:val="20"/>
          <w:szCs w:val="20"/>
          <w:u w:val="single"/>
          <w:lang w:val="es-ES_tradnl"/>
        </w:rPr>
        <w:t>sentencia C-1011 de 2008</w:t>
      </w:r>
      <w:r w:rsidRPr="00835864">
        <w:rPr>
          <w:bCs/>
          <w:i/>
          <w:color w:val="000000"/>
          <w:sz w:val="20"/>
          <w:szCs w:val="20"/>
          <w:u w:val="single"/>
          <w:vertAlign w:val="superscript"/>
          <w:lang w:val="es-ES_tradnl"/>
        </w:rPr>
        <w:footnoteRef/>
      </w:r>
      <w:r w:rsidRPr="00835864">
        <w:rPr>
          <w:i/>
          <w:sz w:val="20"/>
          <w:szCs w:val="20"/>
          <w:u w:val="single"/>
          <w:lang w:val="es-ES_tradnl"/>
        </w:rPr>
        <w:t xml:space="preserve"> la Corte efectuó el análisis de constitucionalidad previo del proyecto de ley y determinó que esta norma tiene carácter sectorial, pues solo está dirigido a la regulación de la administración de datos personales de contenido comercial, financiero y crediticio.” </w:t>
      </w:r>
      <w:r w:rsidRPr="00835864">
        <w:rPr>
          <w:sz w:val="20"/>
          <w:szCs w:val="20"/>
          <w:lang w:val="es-ES_tradnl"/>
        </w:rPr>
        <w:t>(Solo la subraya fuera de texto)</w:t>
      </w:r>
    </w:p>
  </w:footnote>
  <w:footnote w:id="55">
    <w:p w14:paraId="64E5A3B6" w14:textId="77777777" w:rsidR="002202D0" w:rsidRPr="00B6738A" w:rsidRDefault="002202D0" w:rsidP="002202D0">
      <w:pPr>
        <w:pStyle w:val="Textonotapie"/>
      </w:pPr>
      <w:r w:rsidRPr="00B6738A">
        <w:rPr>
          <w:rStyle w:val="Refdenotaalpie"/>
          <w:i/>
          <w:sz w:val="20"/>
        </w:rPr>
        <w:footnoteRef/>
      </w:r>
      <w:r w:rsidRPr="00B6738A">
        <w:t xml:space="preserve"> Sentencia T-487 de 2017, MP Alberto Rojas Ríos. En el mismo sentido se pueden consultar las sentencias T-729 de 2002, MP Eduardo Montealegre Lynett; y C-640 de 2010, MP Mauricio González Cuervo.</w:t>
      </w:r>
    </w:p>
  </w:footnote>
  <w:footnote w:id="56">
    <w:p w14:paraId="64E5A3B7" w14:textId="77777777" w:rsidR="002202D0" w:rsidRPr="00B6738A" w:rsidRDefault="002202D0" w:rsidP="002202D0">
      <w:pPr>
        <w:pStyle w:val="Textonotapie"/>
      </w:pPr>
      <w:r w:rsidRPr="00B6738A">
        <w:rPr>
          <w:rStyle w:val="Refdenotaalpie"/>
          <w:i/>
          <w:sz w:val="20"/>
        </w:rPr>
        <w:footnoteRef/>
      </w:r>
      <w:r w:rsidRPr="00B6738A">
        <w:t xml:space="preserve"> </w:t>
      </w:r>
      <w:r w:rsidRPr="00B6738A">
        <w:rPr>
          <w:shd w:val="clear" w:color="auto" w:fill="FFFFFF"/>
        </w:rPr>
        <w:t xml:space="preserve"> “</w:t>
      </w:r>
      <w:r w:rsidRPr="00B6738A">
        <w:rPr>
          <w:bdr w:val="none" w:sz="0" w:space="0" w:color="auto" w:frame="1"/>
          <w:shd w:val="clear" w:color="auto" w:fill="FFFFFF"/>
        </w:rPr>
        <w:t>En lo que respecta a los datos de contenido crediticio, comercial y financiero (…) su carácter de información semiprivada justifica su circulación y entrega a terceros, a condición que se permita al titular del dato personal el ejercicio de las facultades de conocimiento, actualización y rectificación del mismo y, de manera más general, se cumplan con los principios de administración de datos personales.</w:t>
      </w:r>
      <w:r w:rsidRPr="00B6738A">
        <w:rPr>
          <w:shd w:val="clear" w:color="auto" w:fill="FFFFFF"/>
        </w:rPr>
        <w:t>”</w:t>
      </w:r>
      <w:r>
        <w:rPr>
          <w:shd w:val="clear" w:color="auto" w:fill="FFFFFF"/>
        </w:rPr>
        <w:t xml:space="preserve"> </w:t>
      </w:r>
      <w:r w:rsidRPr="00B6738A">
        <w:rPr>
          <w:shd w:val="clear" w:color="auto" w:fill="FFFFFF"/>
        </w:rPr>
        <w:t>(Sentencia C-1011 de 2008, MP Jaime Córdoba Triviño)</w:t>
      </w:r>
    </w:p>
  </w:footnote>
  <w:footnote w:id="57">
    <w:p w14:paraId="64E5A3B8" w14:textId="77777777" w:rsidR="002202D0" w:rsidRPr="000066D5" w:rsidRDefault="002202D0" w:rsidP="008D0CC4">
      <w:pPr>
        <w:pStyle w:val="Prrafodelista"/>
        <w:ind w:left="0" w:right="49"/>
        <w:rPr>
          <w:rFonts w:cs="Times New Roman"/>
          <w:sz w:val="20"/>
          <w:szCs w:val="20"/>
        </w:rPr>
      </w:pPr>
      <w:r w:rsidRPr="001F5321">
        <w:rPr>
          <w:rStyle w:val="Refdenotaalpie"/>
          <w:sz w:val="20"/>
          <w:szCs w:val="20"/>
        </w:rPr>
        <w:footnoteRef/>
      </w:r>
      <w:r w:rsidRPr="001F5321">
        <w:rPr>
          <w:sz w:val="20"/>
          <w:szCs w:val="20"/>
        </w:rPr>
        <w:t xml:space="preserve"> </w:t>
      </w:r>
      <w:r w:rsidRPr="001F5321">
        <w:rPr>
          <w:rFonts w:cs="Times New Roman"/>
          <w:sz w:val="20"/>
          <w:szCs w:val="20"/>
        </w:rPr>
        <w:t xml:space="preserve">En Sentencia T-360 de 1995 (MP Hernando Herrera Vergara) la Corte estudió el caso de un sujeto que, por su atraso en el pago de algunas cuotas de administración, vio su nombre publicado en una cartelera de deudores morosos de la copropiedad a la cual pertenecía. En su defensa, el referido actor adujo que su incumplimiento derivaba de la difícil situación económica por la cual pasaba y que la publicación de su nombre daba lugar a que la gente pusiera en duda su honradez y honestidad, lo que conllevaba la vulneración de sus derechos al buen nombre e intimidad. Al resolver el caso, tras señalar que </w:t>
      </w:r>
      <w:r w:rsidRPr="001F5321">
        <w:rPr>
          <w:rFonts w:cs="Times New Roman"/>
          <w:i/>
          <w:sz w:val="20"/>
          <w:szCs w:val="20"/>
        </w:rPr>
        <w:t xml:space="preserve">"la publicación de la lista de deudores morosos en las carteleras del conjunto residencial en obedecimiento de directrices trazadas por la asamblea de copropietarios, no constituye por sí misma, vulneración del derecho constitucional fundamental a la intimidad ni al buen nombre [pues] lo único que se da a conocer [en dicha publicación] es un </w:t>
      </w:r>
      <w:r w:rsidRPr="001F5321">
        <w:rPr>
          <w:rFonts w:cs="Times New Roman"/>
          <w:i/>
          <w:sz w:val="20"/>
          <w:szCs w:val="20"/>
          <w:u w:val="single"/>
        </w:rPr>
        <w:t>hecho cierto</w:t>
      </w:r>
      <w:r w:rsidRPr="001F5321">
        <w:rPr>
          <w:rFonts w:cs="Times New Roman"/>
          <w:i/>
          <w:sz w:val="20"/>
          <w:szCs w:val="20"/>
        </w:rPr>
        <w:t>, cual es la mora en el pago de las cuotas de administración”</w:t>
      </w:r>
      <w:r w:rsidRPr="001F5321">
        <w:rPr>
          <w:rFonts w:cs="Times New Roman"/>
          <w:sz w:val="20"/>
          <w:szCs w:val="20"/>
        </w:rPr>
        <w:t>, la Corte resolvió confirmar la sentencia del juez constitucional de conocimiento, en la cual se negó el amparo de tutela deprecado.</w:t>
      </w:r>
    </w:p>
  </w:footnote>
  <w:footnote w:id="58">
    <w:p w14:paraId="64E5A3B9" w14:textId="77777777" w:rsidR="002202D0" w:rsidRPr="00D77CE2" w:rsidRDefault="002202D0" w:rsidP="002202D0">
      <w:pPr>
        <w:pStyle w:val="Textonotapie"/>
      </w:pPr>
      <w:r w:rsidRPr="00D77CE2">
        <w:rPr>
          <w:rStyle w:val="Refdenotaalpie"/>
          <w:sz w:val="20"/>
        </w:rPr>
        <w:footnoteRef/>
      </w:r>
      <w:r w:rsidRPr="00D77CE2">
        <w:t xml:space="preserve"> Sentencia C-1011 de 2008, MP Jaime Córdoba Triviño.</w:t>
      </w:r>
    </w:p>
  </w:footnote>
  <w:footnote w:id="59">
    <w:p w14:paraId="64E5A3BA" w14:textId="77777777" w:rsidR="002202D0" w:rsidRPr="009502FC" w:rsidRDefault="002202D0" w:rsidP="002202D0">
      <w:pPr>
        <w:pStyle w:val="Textonotapie"/>
      </w:pPr>
      <w:r w:rsidRPr="009502FC">
        <w:rPr>
          <w:rStyle w:val="Refdenotaalpie"/>
          <w:sz w:val="20"/>
        </w:rPr>
        <w:footnoteRef/>
      </w:r>
      <w:r w:rsidRPr="009502FC">
        <w:t xml:space="preserve"> Ver Ley 675 de 2001, artículo 1º. </w:t>
      </w:r>
    </w:p>
  </w:footnote>
  <w:footnote w:id="60">
    <w:p w14:paraId="64E5A3BB" w14:textId="77777777" w:rsidR="002202D0" w:rsidRPr="009502FC" w:rsidRDefault="002202D0" w:rsidP="002202D0">
      <w:pPr>
        <w:pStyle w:val="Textonotapie"/>
      </w:pPr>
      <w:r w:rsidRPr="009502FC">
        <w:rPr>
          <w:rStyle w:val="Refdenotaalpie"/>
          <w:sz w:val="20"/>
        </w:rPr>
        <w:footnoteRef/>
      </w:r>
      <w:r w:rsidRPr="009502FC">
        <w:t xml:space="preserve"> Sentencia T-062 de 2018, MP Luis Guillermo Guerrero Pérez.</w:t>
      </w:r>
    </w:p>
  </w:footnote>
  <w:footnote w:id="61">
    <w:p w14:paraId="64E5A3BC" w14:textId="77777777" w:rsidR="002202D0" w:rsidRPr="00AD7DA8" w:rsidRDefault="002202D0" w:rsidP="002202D0">
      <w:pPr>
        <w:pStyle w:val="Textonotapie"/>
      </w:pPr>
      <w:r w:rsidRPr="00AD7DA8">
        <w:rPr>
          <w:rStyle w:val="Refdenotaalpie"/>
          <w:sz w:val="20"/>
        </w:rPr>
        <w:footnoteRef/>
      </w:r>
      <w:r w:rsidRPr="00AD7DA8">
        <w:t xml:space="preserve"> MP Hernando Herrera Vergara.</w:t>
      </w:r>
    </w:p>
  </w:footnote>
  <w:footnote w:id="62">
    <w:p w14:paraId="64E5A3BD" w14:textId="77777777" w:rsidR="002202D0" w:rsidRPr="00787A55" w:rsidRDefault="002202D0" w:rsidP="00787A55">
      <w:pPr>
        <w:pStyle w:val="Textoindependienteprimerasangra2"/>
        <w:shd w:val="clear" w:color="auto" w:fill="FFFFFF"/>
        <w:ind w:left="0" w:firstLine="11"/>
        <w:textAlignment w:val="baseline"/>
        <w:rPr>
          <w:rFonts w:eastAsia="Times New Roman" w:cs="Times New Roman"/>
          <w:kern w:val="0"/>
          <w:sz w:val="20"/>
          <w:szCs w:val="20"/>
          <w:lang w:eastAsia="es-CO" w:bidi="ar-SA"/>
        </w:rPr>
      </w:pPr>
      <w:r w:rsidRPr="00787A55">
        <w:rPr>
          <w:rStyle w:val="Refdenotaalpie"/>
          <w:sz w:val="20"/>
          <w:szCs w:val="20"/>
        </w:rPr>
        <w:footnoteRef/>
      </w:r>
      <w:r w:rsidRPr="00787A55">
        <w:rPr>
          <w:rFonts w:cs="Times New Roman"/>
          <w:sz w:val="20"/>
          <w:szCs w:val="20"/>
        </w:rPr>
        <w:t xml:space="preserve"> “</w:t>
      </w:r>
      <w:r w:rsidRPr="00787A55">
        <w:rPr>
          <w:rFonts w:cs="Times New Roman"/>
          <w:i/>
          <w:iCs/>
          <w:sz w:val="20"/>
          <w:szCs w:val="20"/>
          <w:shd w:val="clear" w:color="auto" w:fill="FFFFFF"/>
        </w:rPr>
        <w:t>(L)a definición legislativa de las penas en un Estado de derecho no está orientada por fines retributivos rígidos sino por objetivos de prevención general, esto es, debe tener efectos disuasivos, ya que la ley penal pretende "que los asociados se abstengan de realizar el comportamiento delictivo so pena de incurrir en la imposición de sanciones". </w:t>
      </w:r>
      <w:r w:rsidRPr="00787A55">
        <w:rPr>
          <w:rFonts w:cs="Times New Roman"/>
          <w:sz w:val="20"/>
          <w:szCs w:val="20"/>
          <w:bdr w:val="none" w:sz="0" w:space="0" w:color="auto" w:frame="1"/>
          <w:shd w:val="clear" w:color="auto" w:fill="FFFFFF"/>
        </w:rPr>
        <w:t>(Sentencia C-144 de 1997, MP Alejandro Martínez Caballer. En este sentido también se pueden consultar las sentencias T-267 de 2015, MP Jorge Ignacio Pretelt Chaljub; y C-647 de 2001, MP Alfredo Beltrán Sierra)</w:t>
      </w:r>
    </w:p>
  </w:footnote>
  <w:footnote w:id="63">
    <w:p w14:paraId="64E5A3BE" w14:textId="77777777" w:rsidR="002202D0" w:rsidRPr="00787A55" w:rsidRDefault="002202D0" w:rsidP="002202D0">
      <w:pPr>
        <w:pStyle w:val="Textonotapie"/>
        <w:rPr>
          <w:lang w:val="es-ES"/>
        </w:rPr>
      </w:pPr>
      <w:r w:rsidRPr="00787A55">
        <w:rPr>
          <w:rStyle w:val="Refdenotaalpie"/>
          <w:sz w:val="20"/>
        </w:rPr>
        <w:footnoteRef/>
      </w:r>
      <w:r w:rsidRPr="00787A55">
        <w:t xml:space="preserve"> </w:t>
      </w:r>
      <w:r w:rsidRPr="00787A55">
        <w:rPr>
          <w:lang w:val="es-ES"/>
        </w:rPr>
        <w:t xml:space="preserve">Sentencia C-741 de 1999, MP Fabio Morón Díaz. Esta sentencia fue reiterada en Sentencia C-142 de 2001, MP Eduardo Montealegre Lynett. </w:t>
      </w:r>
    </w:p>
  </w:footnote>
  <w:footnote w:id="64">
    <w:p w14:paraId="64E5A3BF" w14:textId="77777777" w:rsidR="002202D0" w:rsidRPr="00787A55" w:rsidRDefault="002202D0" w:rsidP="002202D0">
      <w:pPr>
        <w:pStyle w:val="Textonotapie"/>
      </w:pPr>
      <w:r w:rsidRPr="00787A55">
        <w:rPr>
          <w:rStyle w:val="Refdenotaalpie"/>
          <w:sz w:val="20"/>
        </w:rPr>
        <w:footnoteRef/>
      </w:r>
      <w:r w:rsidRPr="00787A55">
        <w:t xml:space="preserve"> C-309 de 1997, MP Alejandro Martínez Caballero.</w:t>
      </w:r>
    </w:p>
  </w:footnote>
  <w:footnote w:id="65">
    <w:p w14:paraId="64E5A3C0" w14:textId="77777777" w:rsidR="002202D0" w:rsidRPr="00C33A24" w:rsidRDefault="002202D0" w:rsidP="00C33A24">
      <w:pPr>
        <w:ind w:right="49"/>
        <w:rPr>
          <w:rFonts w:cs="Times New Roman"/>
          <w:sz w:val="20"/>
          <w:szCs w:val="20"/>
        </w:rPr>
      </w:pPr>
      <w:r w:rsidRPr="00C33A24">
        <w:rPr>
          <w:rStyle w:val="Refdenotaalpie"/>
          <w:sz w:val="20"/>
          <w:szCs w:val="20"/>
        </w:rPr>
        <w:footnoteRef/>
      </w:r>
      <w:r w:rsidRPr="00C33A24">
        <w:rPr>
          <w:sz w:val="20"/>
          <w:szCs w:val="20"/>
        </w:rPr>
        <w:t xml:space="preserve"> En el numeral 2 de la Sección VI de esta providencia, se enunciaron los siguientes problemas jurídicos:  </w:t>
      </w:r>
      <w:r w:rsidRPr="00C33A24">
        <w:rPr>
          <w:i/>
          <w:sz w:val="20"/>
          <w:szCs w:val="20"/>
        </w:rPr>
        <w:t xml:space="preserve">“2.1. </w:t>
      </w:r>
      <w:r w:rsidRPr="00C33A24">
        <w:rPr>
          <w:rFonts w:cs="Times New Roman"/>
          <w:i/>
          <w:sz w:val="20"/>
          <w:szCs w:val="20"/>
        </w:rPr>
        <w:t>¿Puede el Legislador facultar a las propiedades horizontales para publicar la infracción por incumplimiento de las obligaciones pecuniarias inherentes al pago de expensas comunes (Ley 675 de 2001, artículo 30, inciso 2º) sin infringir los derechos a la intimidad, al habeas data y al principio de proporcionalidad?”</w:t>
      </w:r>
      <w:r w:rsidRPr="00C33A24">
        <w:rPr>
          <w:rFonts w:cs="Times New Roman"/>
          <w:sz w:val="20"/>
          <w:szCs w:val="20"/>
        </w:rPr>
        <w:t xml:space="preserve">; y 2.2. </w:t>
      </w:r>
      <w:r w:rsidRPr="00C33A24">
        <w:rPr>
          <w:rFonts w:cs="Times New Roman"/>
          <w:i/>
          <w:sz w:val="20"/>
          <w:szCs w:val="20"/>
        </w:rPr>
        <w:t>“¿Puede el Legislador facultar a las propiedades horizontales para publicar la infracción por incumplimiento de las obligaciones no pecuniarias (Ley 675 de 2001, artículo 59, numeral 1º) sin infringir el derecho al habeas data y al principio de proporcionalidad?”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5A36F" w14:textId="77777777" w:rsidR="002202D0" w:rsidRPr="004D6945" w:rsidRDefault="002202D0" w:rsidP="00F430F2">
    <w:pPr>
      <w:pStyle w:val="Style9"/>
      <w:widowControl/>
      <w:spacing w:line="226" w:lineRule="exact"/>
      <w:ind w:right="49"/>
      <w:jc w:val="left"/>
      <w:rPr>
        <w:b/>
        <w:sz w:val="20"/>
        <w:szCs w:val="20"/>
      </w:rPr>
    </w:pPr>
    <w:r w:rsidRPr="004D6945">
      <w:rPr>
        <w:rStyle w:val="FontStyle26"/>
        <w:rFonts w:eastAsia="SimSun"/>
        <w:b w:val="0"/>
        <w:sz w:val="20"/>
        <w:szCs w:val="20"/>
        <w:lang w:val="es-ES_tradnl" w:eastAsia="es-ES_tradnl"/>
      </w:rPr>
      <w:fldChar w:fldCharType="begin"/>
    </w:r>
    <w:r w:rsidRPr="004D6945">
      <w:rPr>
        <w:rStyle w:val="FontStyle26"/>
        <w:rFonts w:eastAsia="SimSun"/>
        <w:b w:val="0"/>
        <w:sz w:val="20"/>
        <w:szCs w:val="20"/>
        <w:lang w:val="es-ES_tradnl" w:eastAsia="es-ES_tradnl"/>
      </w:rPr>
      <w:instrText>PAGE   \* MERGEFORMAT</w:instrText>
    </w:r>
    <w:r w:rsidRPr="004D6945">
      <w:rPr>
        <w:rStyle w:val="FontStyle26"/>
        <w:rFonts w:eastAsia="SimSun"/>
        <w:b w:val="0"/>
        <w:sz w:val="20"/>
        <w:szCs w:val="20"/>
        <w:lang w:val="es-ES_tradnl" w:eastAsia="es-ES_tradnl"/>
      </w:rPr>
      <w:fldChar w:fldCharType="separate"/>
    </w:r>
    <w:r w:rsidR="00034B82">
      <w:rPr>
        <w:rStyle w:val="FontStyle26"/>
        <w:rFonts w:eastAsia="SimSun"/>
        <w:b w:val="0"/>
        <w:noProof/>
        <w:sz w:val="20"/>
        <w:szCs w:val="20"/>
        <w:lang w:val="es-ES_tradnl" w:eastAsia="es-ES_tradnl"/>
      </w:rPr>
      <w:t>4</w:t>
    </w:r>
    <w:r w:rsidRPr="004D6945">
      <w:rPr>
        <w:rStyle w:val="FontStyle26"/>
        <w:rFonts w:eastAsia="SimSun"/>
        <w:b w:val="0"/>
        <w:sz w:val="20"/>
        <w:szCs w:val="20"/>
        <w:lang w:val="es-ES_tradnl" w:eastAsia="es-ES_tradnl"/>
      </w:rPr>
      <w:fldChar w:fldCharType="end"/>
    </w:r>
    <w:r w:rsidRPr="004D6945">
      <w:rPr>
        <w:rFonts w:eastAsia="Arial Unicode MS" w:cs="Arial Unicode MS"/>
        <w:b/>
        <w:color w:val="000000"/>
        <w:kern w:val="0"/>
        <w:sz w:val="20"/>
        <w:szCs w:val="20"/>
        <w:u w:color="000000"/>
        <w:bdr w:val="nil"/>
        <w:lang w:val="es-ES_tradnl"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4C7"/>
    <w:multiLevelType w:val="hybridMultilevel"/>
    <w:tmpl w:val="E884A89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3D26EA"/>
    <w:multiLevelType w:val="hybridMultilevel"/>
    <w:tmpl w:val="8E329D52"/>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nsid w:val="16876FDD"/>
    <w:multiLevelType w:val="multilevel"/>
    <w:tmpl w:val="0FE057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sz w:val="28"/>
        <w:szCs w:val="28"/>
        <w:lang w:val="es-ES_tradnl"/>
      </w:rPr>
    </w:lvl>
    <w:lvl w:ilvl="2">
      <w:start w:val="1"/>
      <w:numFmt w:val="decimal"/>
      <w:isLgl/>
      <w:lvlText w:val="%1.%2.%3."/>
      <w:lvlJc w:val="left"/>
      <w:pPr>
        <w:ind w:left="720" w:hanging="720"/>
      </w:pPr>
      <w:rPr>
        <w:rFonts w:hint="default"/>
        <w:b w:val="0"/>
        <w:i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17A61D4"/>
    <w:multiLevelType w:val="hybridMultilevel"/>
    <w:tmpl w:val="84760742"/>
    <w:lvl w:ilvl="0" w:tplc="13E80D82">
      <w:start w:val="3"/>
      <w:numFmt w:val="bullet"/>
      <w:lvlText w:val="-"/>
      <w:lvlJc w:val="left"/>
      <w:pPr>
        <w:ind w:left="720" w:hanging="360"/>
      </w:pPr>
      <w:rPr>
        <w:rFonts w:ascii="Times New Roman" w:eastAsia="SimSu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6372CC8"/>
    <w:multiLevelType w:val="hybridMultilevel"/>
    <w:tmpl w:val="88C44EA8"/>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E12038A"/>
    <w:multiLevelType w:val="multilevel"/>
    <w:tmpl w:val="0FE2AF60"/>
    <w:lvl w:ilvl="0">
      <w:start w:val="19"/>
      <w:numFmt w:val="decimal"/>
      <w:lvlText w:val="%1."/>
      <w:lvlJc w:val="left"/>
      <w:pPr>
        <w:ind w:left="600" w:hanging="600"/>
      </w:pPr>
      <w:rPr>
        <w:rFonts w:cs="Times New Roman" w:hint="default"/>
        <w:b w:val="0"/>
        <w:i w:val="0"/>
      </w:rPr>
    </w:lvl>
    <w:lvl w:ilvl="1">
      <w:start w:val="2"/>
      <w:numFmt w:val="decimal"/>
      <w:lvlText w:val="%1.%2."/>
      <w:lvlJc w:val="left"/>
      <w:pPr>
        <w:ind w:left="720" w:hanging="720"/>
      </w:pPr>
      <w:rPr>
        <w:rFonts w:cs="Times New Roman" w:hint="default"/>
        <w:b/>
        <w:i/>
      </w:rPr>
    </w:lvl>
    <w:lvl w:ilvl="2">
      <w:start w:val="1"/>
      <w:numFmt w:val="decimal"/>
      <w:lvlText w:val="%1.%2.%3."/>
      <w:lvlJc w:val="left"/>
      <w:pPr>
        <w:ind w:left="720" w:hanging="720"/>
      </w:pPr>
      <w:rPr>
        <w:rFonts w:cs="Times New Roman" w:hint="default"/>
        <w:b/>
        <w:i/>
      </w:rPr>
    </w:lvl>
    <w:lvl w:ilvl="3">
      <w:start w:val="1"/>
      <w:numFmt w:val="decimal"/>
      <w:lvlText w:val="%1.%2.%3.%4."/>
      <w:lvlJc w:val="left"/>
      <w:pPr>
        <w:ind w:left="1080" w:hanging="1080"/>
      </w:pPr>
      <w:rPr>
        <w:rFonts w:cs="Times New Roman" w:hint="default"/>
        <w:b/>
        <w:i/>
      </w:rPr>
    </w:lvl>
    <w:lvl w:ilvl="4">
      <w:start w:val="1"/>
      <w:numFmt w:val="decimal"/>
      <w:lvlText w:val="%1.%2.%3.%4.%5."/>
      <w:lvlJc w:val="left"/>
      <w:pPr>
        <w:ind w:left="1080" w:hanging="1080"/>
      </w:pPr>
      <w:rPr>
        <w:rFonts w:cs="Times New Roman" w:hint="default"/>
        <w:b/>
        <w:i/>
      </w:rPr>
    </w:lvl>
    <w:lvl w:ilvl="5">
      <w:start w:val="1"/>
      <w:numFmt w:val="decimal"/>
      <w:lvlText w:val="%1.%2.%3.%4.%5.%6."/>
      <w:lvlJc w:val="left"/>
      <w:pPr>
        <w:ind w:left="1440" w:hanging="1440"/>
      </w:pPr>
      <w:rPr>
        <w:rFonts w:cs="Times New Roman" w:hint="default"/>
        <w:b/>
        <w:i/>
      </w:rPr>
    </w:lvl>
    <w:lvl w:ilvl="6">
      <w:start w:val="1"/>
      <w:numFmt w:val="decimal"/>
      <w:lvlText w:val="%1.%2.%3.%4.%5.%6.%7."/>
      <w:lvlJc w:val="left"/>
      <w:pPr>
        <w:ind w:left="1800" w:hanging="1800"/>
      </w:pPr>
      <w:rPr>
        <w:rFonts w:cs="Times New Roman" w:hint="default"/>
        <w:b/>
        <w:i/>
      </w:rPr>
    </w:lvl>
    <w:lvl w:ilvl="7">
      <w:start w:val="1"/>
      <w:numFmt w:val="decimal"/>
      <w:lvlText w:val="%1.%2.%3.%4.%5.%6.%7.%8."/>
      <w:lvlJc w:val="left"/>
      <w:pPr>
        <w:ind w:left="1800" w:hanging="1800"/>
      </w:pPr>
      <w:rPr>
        <w:rFonts w:cs="Times New Roman" w:hint="default"/>
        <w:b/>
        <w:i/>
      </w:rPr>
    </w:lvl>
    <w:lvl w:ilvl="8">
      <w:start w:val="1"/>
      <w:numFmt w:val="decimal"/>
      <w:lvlText w:val="%1.%2.%3.%4.%5.%6.%7.%8.%9."/>
      <w:lvlJc w:val="left"/>
      <w:pPr>
        <w:ind w:left="2160" w:hanging="2160"/>
      </w:pPr>
      <w:rPr>
        <w:rFonts w:cs="Times New Roman" w:hint="default"/>
        <w:b/>
        <w:i/>
      </w:rPr>
    </w:lvl>
  </w:abstractNum>
  <w:abstractNum w:abstractNumId="6">
    <w:nsid w:val="4B803E8C"/>
    <w:multiLevelType w:val="multilevel"/>
    <w:tmpl w:val="35C2ACC2"/>
    <w:lvl w:ilvl="0">
      <w:start w:val="2"/>
      <w:numFmt w:val="decimal"/>
      <w:lvlText w:val="%1."/>
      <w:lvlJc w:val="left"/>
      <w:pPr>
        <w:ind w:left="675" w:hanging="67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7">
    <w:nsid w:val="5A2E6F3B"/>
    <w:multiLevelType w:val="multilevel"/>
    <w:tmpl w:val="EDDA56E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1EA16CA"/>
    <w:multiLevelType w:val="multilevel"/>
    <w:tmpl w:val="2A4289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sz w:val="28"/>
        <w:szCs w:val="28"/>
        <w:lang w:val="es-ES_tradnl"/>
      </w:rPr>
    </w:lvl>
    <w:lvl w:ilvl="2">
      <w:start w:val="1"/>
      <w:numFmt w:val="decimal"/>
      <w:isLgl/>
      <w:lvlText w:val="%1.%2.%3."/>
      <w:lvlJc w:val="left"/>
      <w:pPr>
        <w:ind w:left="1080" w:hanging="720"/>
      </w:pPr>
      <w:rPr>
        <w:rFonts w:hint="default"/>
        <w:b w:val="0"/>
        <w:i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1EC5754"/>
    <w:multiLevelType w:val="multilevel"/>
    <w:tmpl w:val="15B03DC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i w:val="0"/>
        <w:sz w:val="28"/>
        <w:szCs w:val="28"/>
        <w:lang w:val="es-ES_tradnl"/>
      </w:rPr>
    </w:lvl>
    <w:lvl w:ilvl="2">
      <w:start w:val="1"/>
      <w:numFmt w:val="decimal"/>
      <w:isLgl/>
      <w:lvlText w:val="%1.%2.%3."/>
      <w:lvlJc w:val="left"/>
      <w:pPr>
        <w:ind w:left="720" w:hanging="720"/>
      </w:pPr>
      <w:rPr>
        <w:rFonts w:hint="default"/>
        <w:b w:val="0"/>
        <w:i w:val="0"/>
        <w:sz w:val="28"/>
        <w:szCs w:val="28"/>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20364FE"/>
    <w:multiLevelType w:val="hybridMultilevel"/>
    <w:tmpl w:val="0F86F728"/>
    <w:lvl w:ilvl="0" w:tplc="339E9C2E">
      <w:start w:val="1"/>
      <w:numFmt w:val="lowerRoman"/>
      <w:lvlText w:val="(%1)"/>
      <w:lvlJc w:val="left"/>
      <w:pPr>
        <w:ind w:left="1800" w:hanging="720"/>
      </w:pPr>
      <w:rPr>
        <w:rFonts w:eastAsia="Times New Roman" w:cs="Times New Roman"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abstractNumId w:val="3"/>
  </w:num>
  <w:num w:numId="2">
    <w:abstractNumId w:val="7"/>
  </w:num>
  <w:num w:numId="3">
    <w:abstractNumId w:val="9"/>
  </w:num>
  <w:num w:numId="4">
    <w:abstractNumId w:val="10"/>
  </w:num>
  <w:num w:numId="5">
    <w:abstractNumId w:val="8"/>
  </w:num>
  <w:num w:numId="6">
    <w:abstractNumId w:val="1"/>
  </w:num>
  <w:num w:numId="7">
    <w:abstractNumId w:val="5"/>
  </w:num>
  <w:num w:numId="8">
    <w:abstractNumId w:val="0"/>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revisionView w:inkAnnotations="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92"/>
    <w:rsid w:val="00003B79"/>
    <w:rsid w:val="0000538C"/>
    <w:rsid w:val="000066D5"/>
    <w:rsid w:val="00006DE2"/>
    <w:rsid w:val="00012E80"/>
    <w:rsid w:val="00013F55"/>
    <w:rsid w:val="0001730D"/>
    <w:rsid w:val="00034B82"/>
    <w:rsid w:val="00044BF6"/>
    <w:rsid w:val="00046AE9"/>
    <w:rsid w:val="00047672"/>
    <w:rsid w:val="00047C96"/>
    <w:rsid w:val="00063BE0"/>
    <w:rsid w:val="00065B33"/>
    <w:rsid w:val="00066FDE"/>
    <w:rsid w:val="000672AA"/>
    <w:rsid w:val="00083D02"/>
    <w:rsid w:val="0008756A"/>
    <w:rsid w:val="00090FD8"/>
    <w:rsid w:val="00092074"/>
    <w:rsid w:val="00092A4E"/>
    <w:rsid w:val="000943F5"/>
    <w:rsid w:val="000971B4"/>
    <w:rsid w:val="000A0647"/>
    <w:rsid w:val="000A62BD"/>
    <w:rsid w:val="000B01F8"/>
    <w:rsid w:val="000B2E64"/>
    <w:rsid w:val="000B352A"/>
    <w:rsid w:val="000C503F"/>
    <w:rsid w:val="000C64DE"/>
    <w:rsid w:val="000D4FEE"/>
    <w:rsid w:val="000D5BF7"/>
    <w:rsid w:val="000D7E7D"/>
    <w:rsid w:val="000E635C"/>
    <w:rsid w:val="000F2BDF"/>
    <w:rsid w:val="000F3874"/>
    <w:rsid w:val="000F45D2"/>
    <w:rsid w:val="000F710F"/>
    <w:rsid w:val="00101F31"/>
    <w:rsid w:val="0011003A"/>
    <w:rsid w:val="001144BF"/>
    <w:rsid w:val="00116E76"/>
    <w:rsid w:val="00117FDD"/>
    <w:rsid w:val="00122902"/>
    <w:rsid w:val="00133C4B"/>
    <w:rsid w:val="0013721E"/>
    <w:rsid w:val="00144BDE"/>
    <w:rsid w:val="00152E2A"/>
    <w:rsid w:val="00161518"/>
    <w:rsid w:val="0016339B"/>
    <w:rsid w:val="0017150D"/>
    <w:rsid w:val="00174C1A"/>
    <w:rsid w:val="001830C3"/>
    <w:rsid w:val="00183163"/>
    <w:rsid w:val="0018493B"/>
    <w:rsid w:val="00186D02"/>
    <w:rsid w:val="00187D95"/>
    <w:rsid w:val="00190300"/>
    <w:rsid w:val="00190630"/>
    <w:rsid w:val="00191EE5"/>
    <w:rsid w:val="001A0127"/>
    <w:rsid w:val="001A58AC"/>
    <w:rsid w:val="001B252C"/>
    <w:rsid w:val="001B4DF8"/>
    <w:rsid w:val="001B4E4B"/>
    <w:rsid w:val="001B52DA"/>
    <w:rsid w:val="001B6809"/>
    <w:rsid w:val="001B69E8"/>
    <w:rsid w:val="001B7AFB"/>
    <w:rsid w:val="001C0635"/>
    <w:rsid w:val="001C0CEC"/>
    <w:rsid w:val="001C5BE0"/>
    <w:rsid w:val="001D2130"/>
    <w:rsid w:val="001D2AE2"/>
    <w:rsid w:val="001D57B7"/>
    <w:rsid w:val="001E6F5D"/>
    <w:rsid w:val="001F0FFE"/>
    <w:rsid w:val="001F1B09"/>
    <w:rsid w:val="001F5321"/>
    <w:rsid w:val="00212CAD"/>
    <w:rsid w:val="00214F4F"/>
    <w:rsid w:val="002202D0"/>
    <w:rsid w:val="00225275"/>
    <w:rsid w:val="00226046"/>
    <w:rsid w:val="00233285"/>
    <w:rsid w:val="00246462"/>
    <w:rsid w:val="00252C46"/>
    <w:rsid w:val="002538CB"/>
    <w:rsid w:val="00257D71"/>
    <w:rsid w:val="00262A1B"/>
    <w:rsid w:val="00270068"/>
    <w:rsid w:val="0027277D"/>
    <w:rsid w:val="0027460A"/>
    <w:rsid w:val="0027481F"/>
    <w:rsid w:val="00287476"/>
    <w:rsid w:val="00296098"/>
    <w:rsid w:val="002A72C5"/>
    <w:rsid w:val="002C10AB"/>
    <w:rsid w:val="002C6971"/>
    <w:rsid w:val="002D1522"/>
    <w:rsid w:val="002D4BB0"/>
    <w:rsid w:val="002D5CF3"/>
    <w:rsid w:val="002D73FE"/>
    <w:rsid w:val="002D77EA"/>
    <w:rsid w:val="002E2116"/>
    <w:rsid w:val="002E433E"/>
    <w:rsid w:val="002F276D"/>
    <w:rsid w:val="002F70CA"/>
    <w:rsid w:val="00300133"/>
    <w:rsid w:val="003015A5"/>
    <w:rsid w:val="00304DF6"/>
    <w:rsid w:val="0031187F"/>
    <w:rsid w:val="00313B8E"/>
    <w:rsid w:val="00320B54"/>
    <w:rsid w:val="00326F93"/>
    <w:rsid w:val="00334224"/>
    <w:rsid w:val="00334A11"/>
    <w:rsid w:val="00345C26"/>
    <w:rsid w:val="00346AAA"/>
    <w:rsid w:val="00357C55"/>
    <w:rsid w:val="00362346"/>
    <w:rsid w:val="0036486E"/>
    <w:rsid w:val="00365BF9"/>
    <w:rsid w:val="003660F2"/>
    <w:rsid w:val="00367CD6"/>
    <w:rsid w:val="0038142B"/>
    <w:rsid w:val="00383E1B"/>
    <w:rsid w:val="00392113"/>
    <w:rsid w:val="0039313E"/>
    <w:rsid w:val="00397D20"/>
    <w:rsid w:val="003B0E4B"/>
    <w:rsid w:val="003B26D0"/>
    <w:rsid w:val="003B2DC1"/>
    <w:rsid w:val="003B4388"/>
    <w:rsid w:val="003B5A9C"/>
    <w:rsid w:val="003C12ED"/>
    <w:rsid w:val="003C6CE7"/>
    <w:rsid w:val="003C70CE"/>
    <w:rsid w:val="003D3703"/>
    <w:rsid w:val="003E00B0"/>
    <w:rsid w:val="003E2926"/>
    <w:rsid w:val="003E5CEC"/>
    <w:rsid w:val="003E6701"/>
    <w:rsid w:val="003F03E9"/>
    <w:rsid w:val="003F1D17"/>
    <w:rsid w:val="003F2891"/>
    <w:rsid w:val="003F388B"/>
    <w:rsid w:val="00404DDE"/>
    <w:rsid w:val="0043046A"/>
    <w:rsid w:val="00434E93"/>
    <w:rsid w:val="004459F6"/>
    <w:rsid w:val="00445C76"/>
    <w:rsid w:val="00446907"/>
    <w:rsid w:val="00450CCD"/>
    <w:rsid w:val="00454779"/>
    <w:rsid w:val="004734F4"/>
    <w:rsid w:val="004819D4"/>
    <w:rsid w:val="004849BC"/>
    <w:rsid w:val="00486420"/>
    <w:rsid w:val="004937E5"/>
    <w:rsid w:val="00493960"/>
    <w:rsid w:val="004951C9"/>
    <w:rsid w:val="0049655A"/>
    <w:rsid w:val="00497F77"/>
    <w:rsid w:val="004B0501"/>
    <w:rsid w:val="004B450C"/>
    <w:rsid w:val="004C0482"/>
    <w:rsid w:val="004D18F3"/>
    <w:rsid w:val="004D6945"/>
    <w:rsid w:val="004E139E"/>
    <w:rsid w:val="004F1C27"/>
    <w:rsid w:val="004F7AC4"/>
    <w:rsid w:val="004F7B77"/>
    <w:rsid w:val="004F7D62"/>
    <w:rsid w:val="0050364A"/>
    <w:rsid w:val="00503DA8"/>
    <w:rsid w:val="005057FB"/>
    <w:rsid w:val="00510747"/>
    <w:rsid w:val="0051083D"/>
    <w:rsid w:val="00511198"/>
    <w:rsid w:val="005136E8"/>
    <w:rsid w:val="00514316"/>
    <w:rsid w:val="005222CD"/>
    <w:rsid w:val="00524D15"/>
    <w:rsid w:val="00525F58"/>
    <w:rsid w:val="005272C2"/>
    <w:rsid w:val="00530AA5"/>
    <w:rsid w:val="0053419C"/>
    <w:rsid w:val="00541DF7"/>
    <w:rsid w:val="005523FA"/>
    <w:rsid w:val="00553F18"/>
    <w:rsid w:val="005558A1"/>
    <w:rsid w:val="00562143"/>
    <w:rsid w:val="00565C93"/>
    <w:rsid w:val="00566162"/>
    <w:rsid w:val="00584D12"/>
    <w:rsid w:val="00590986"/>
    <w:rsid w:val="00594F1D"/>
    <w:rsid w:val="00596692"/>
    <w:rsid w:val="005967C6"/>
    <w:rsid w:val="005971F2"/>
    <w:rsid w:val="00597961"/>
    <w:rsid w:val="005A32BC"/>
    <w:rsid w:val="005A5387"/>
    <w:rsid w:val="005A7D13"/>
    <w:rsid w:val="005B13C5"/>
    <w:rsid w:val="005B3310"/>
    <w:rsid w:val="005C123E"/>
    <w:rsid w:val="005C63CB"/>
    <w:rsid w:val="005C66BF"/>
    <w:rsid w:val="005D52B0"/>
    <w:rsid w:val="005D6944"/>
    <w:rsid w:val="005E19F0"/>
    <w:rsid w:val="005E217D"/>
    <w:rsid w:val="005E38C1"/>
    <w:rsid w:val="005F224B"/>
    <w:rsid w:val="005F71F5"/>
    <w:rsid w:val="0060047A"/>
    <w:rsid w:val="00601709"/>
    <w:rsid w:val="0062148E"/>
    <w:rsid w:val="00621A6A"/>
    <w:rsid w:val="006245DD"/>
    <w:rsid w:val="0063028C"/>
    <w:rsid w:val="00635E62"/>
    <w:rsid w:val="00636F3E"/>
    <w:rsid w:val="0065041F"/>
    <w:rsid w:val="0065143D"/>
    <w:rsid w:val="006570AF"/>
    <w:rsid w:val="00661210"/>
    <w:rsid w:val="00662DFC"/>
    <w:rsid w:val="00667CAB"/>
    <w:rsid w:val="00671C50"/>
    <w:rsid w:val="006773EA"/>
    <w:rsid w:val="00677F13"/>
    <w:rsid w:val="006801EF"/>
    <w:rsid w:val="0068357B"/>
    <w:rsid w:val="00686316"/>
    <w:rsid w:val="006933D6"/>
    <w:rsid w:val="006954AC"/>
    <w:rsid w:val="00696906"/>
    <w:rsid w:val="00697DE5"/>
    <w:rsid w:val="006A2D32"/>
    <w:rsid w:val="006A4C57"/>
    <w:rsid w:val="006B3B96"/>
    <w:rsid w:val="006B3FC5"/>
    <w:rsid w:val="006B6130"/>
    <w:rsid w:val="006C3845"/>
    <w:rsid w:val="006C5165"/>
    <w:rsid w:val="006D53CB"/>
    <w:rsid w:val="006E10C2"/>
    <w:rsid w:val="006E5A9E"/>
    <w:rsid w:val="006E7465"/>
    <w:rsid w:val="006F09D2"/>
    <w:rsid w:val="006F330E"/>
    <w:rsid w:val="006F5620"/>
    <w:rsid w:val="006F56DD"/>
    <w:rsid w:val="007013AE"/>
    <w:rsid w:val="00703743"/>
    <w:rsid w:val="0070406E"/>
    <w:rsid w:val="00717966"/>
    <w:rsid w:val="00720BDB"/>
    <w:rsid w:val="007237F6"/>
    <w:rsid w:val="00723F29"/>
    <w:rsid w:val="0072521C"/>
    <w:rsid w:val="00727769"/>
    <w:rsid w:val="00733619"/>
    <w:rsid w:val="0074245F"/>
    <w:rsid w:val="007526FC"/>
    <w:rsid w:val="007531F7"/>
    <w:rsid w:val="00754AB4"/>
    <w:rsid w:val="00757784"/>
    <w:rsid w:val="00764070"/>
    <w:rsid w:val="0076773B"/>
    <w:rsid w:val="00767748"/>
    <w:rsid w:val="007762E8"/>
    <w:rsid w:val="00784D3A"/>
    <w:rsid w:val="00784D79"/>
    <w:rsid w:val="00787A55"/>
    <w:rsid w:val="00792D1A"/>
    <w:rsid w:val="0079652D"/>
    <w:rsid w:val="007A3526"/>
    <w:rsid w:val="007A7FC1"/>
    <w:rsid w:val="007B4722"/>
    <w:rsid w:val="007B76B1"/>
    <w:rsid w:val="007D12EE"/>
    <w:rsid w:val="007D291E"/>
    <w:rsid w:val="007D4C03"/>
    <w:rsid w:val="007D7F87"/>
    <w:rsid w:val="007E0A63"/>
    <w:rsid w:val="007E4E31"/>
    <w:rsid w:val="007E6257"/>
    <w:rsid w:val="007E76B7"/>
    <w:rsid w:val="007F15E9"/>
    <w:rsid w:val="007F1777"/>
    <w:rsid w:val="007F58B1"/>
    <w:rsid w:val="008040B2"/>
    <w:rsid w:val="00806F91"/>
    <w:rsid w:val="00817407"/>
    <w:rsid w:val="00820969"/>
    <w:rsid w:val="00822EA1"/>
    <w:rsid w:val="008239E4"/>
    <w:rsid w:val="00833250"/>
    <w:rsid w:val="00835864"/>
    <w:rsid w:val="008426D1"/>
    <w:rsid w:val="0084507C"/>
    <w:rsid w:val="00853A2E"/>
    <w:rsid w:val="008573B8"/>
    <w:rsid w:val="00867CE1"/>
    <w:rsid w:val="00874992"/>
    <w:rsid w:val="00882578"/>
    <w:rsid w:val="00890F3A"/>
    <w:rsid w:val="00891A04"/>
    <w:rsid w:val="00895A5E"/>
    <w:rsid w:val="00896937"/>
    <w:rsid w:val="008A0F50"/>
    <w:rsid w:val="008A30E0"/>
    <w:rsid w:val="008A4913"/>
    <w:rsid w:val="008B46B2"/>
    <w:rsid w:val="008B5878"/>
    <w:rsid w:val="008B652C"/>
    <w:rsid w:val="008B74DE"/>
    <w:rsid w:val="008C139F"/>
    <w:rsid w:val="008C1FD6"/>
    <w:rsid w:val="008D0CC4"/>
    <w:rsid w:val="008D370E"/>
    <w:rsid w:val="008D43FC"/>
    <w:rsid w:val="008D4A6E"/>
    <w:rsid w:val="008E2151"/>
    <w:rsid w:val="008E2545"/>
    <w:rsid w:val="008E3C5E"/>
    <w:rsid w:val="008E7DC2"/>
    <w:rsid w:val="008F28C3"/>
    <w:rsid w:val="008F4C8F"/>
    <w:rsid w:val="00900203"/>
    <w:rsid w:val="00903CC9"/>
    <w:rsid w:val="00906128"/>
    <w:rsid w:val="0091136B"/>
    <w:rsid w:val="00916952"/>
    <w:rsid w:val="00921EE0"/>
    <w:rsid w:val="009240E9"/>
    <w:rsid w:val="00924692"/>
    <w:rsid w:val="0093792E"/>
    <w:rsid w:val="00940A4F"/>
    <w:rsid w:val="00940E8A"/>
    <w:rsid w:val="0094251F"/>
    <w:rsid w:val="009502FC"/>
    <w:rsid w:val="009530D4"/>
    <w:rsid w:val="009606B7"/>
    <w:rsid w:val="00961268"/>
    <w:rsid w:val="00963FE1"/>
    <w:rsid w:val="00967242"/>
    <w:rsid w:val="00970132"/>
    <w:rsid w:val="00972F9D"/>
    <w:rsid w:val="00975769"/>
    <w:rsid w:val="009805B7"/>
    <w:rsid w:val="0098173A"/>
    <w:rsid w:val="00981BBA"/>
    <w:rsid w:val="009836BD"/>
    <w:rsid w:val="00984462"/>
    <w:rsid w:val="00991E93"/>
    <w:rsid w:val="00991FDE"/>
    <w:rsid w:val="009928C9"/>
    <w:rsid w:val="00992E1D"/>
    <w:rsid w:val="009A0FF8"/>
    <w:rsid w:val="009A414A"/>
    <w:rsid w:val="009A6C39"/>
    <w:rsid w:val="009B124C"/>
    <w:rsid w:val="009B787A"/>
    <w:rsid w:val="009C5839"/>
    <w:rsid w:val="009D0302"/>
    <w:rsid w:val="009D1666"/>
    <w:rsid w:val="009E5647"/>
    <w:rsid w:val="009E665E"/>
    <w:rsid w:val="009E7B0F"/>
    <w:rsid w:val="009F13CC"/>
    <w:rsid w:val="009F5136"/>
    <w:rsid w:val="00A01334"/>
    <w:rsid w:val="00A02524"/>
    <w:rsid w:val="00A05D56"/>
    <w:rsid w:val="00A12847"/>
    <w:rsid w:val="00A1383E"/>
    <w:rsid w:val="00A13D2B"/>
    <w:rsid w:val="00A150AB"/>
    <w:rsid w:val="00A16728"/>
    <w:rsid w:val="00A16ED3"/>
    <w:rsid w:val="00A27964"/>
    <w:rsid w:val="00A35980"/>
    <w:rsid w:val="00A37959"/>
    <w:rsid w:val="00A40BB5"/>
    <w:rsid w:val="00A449F9"/>
    <w:rsid w:val="00A47069"/>
    <w:rsid w:val="00A57DBA"/>
    <w:rsid w:val="00A60E59"/>
    <w:rsid w:val="00A61B63"/>
    <w:rsid w:val="00A650AA"/>
    <w:rsid w:val="00A65B62"/>
    <w:rsid w:val="00A6627E"/>
    <w:rsid w:val="00A77DBD"/>
    <w:rsid w:val="00A8045E"/>
    <w:rsid w:val="00A962F9"/>
    <w:rsid w:val="00AA6E10"/>
    <w:rsid w:val="00AA777C"/>
    <w:rsid w:val="00AB3789"/>
    <w:rsid w:val="00AB6DA8"/>
    <w:rsid w:val="00AB7BD4"/>
    <w:rsid w:val="00AD06D0"/>
    <w:rsid w:val="00AD124D"/>
    <w:rsid w:val="00AD3F4F"/>
    <w:rsid w:val="00AD6A1E"/>
    <w:rsid w:val="00AD7DA8"/>
    <w:rsid w:val="00AE386B"/>
    <w:rsid w:val="00AE4DCB"/>
    <w:rsid w:val="00AF6AE3"/>
    <w:rsid w:val="00B050A6"/>
    <w:rsid w:val="00B21052"/>
    <w:rsid w:val="00B2294C"/>
    <w:rsid w:val="00B23955"/>
    <w:rsid w:val="00B25C75"/>
    <w:rsid w:val="00B25DE7"/>
    <w:rsid w:val="00B40986"/>
    <w:rsid w:val="00B47E1D"/>
    <w:rsid w:val="00B50D4F"/>
    <w:rsid w:val="00B61810"/>
    <w:rsid w:val="00B62314"/>
    <w:rsid w:val="00B6738A"/>
    <w:rsid w:val="00B75649"/>
    <w:rsid w:val="00B7573E"/>
    <w:rsid w:val="00B75EAD"/>
    <w:rsid w:val="00B83221"/>
    <w:rsid w:val="00B857FA"/>
    <w:rsid w:val="00B90272"/>
    <w:rsid w:val="00B9296F"/>
    <w:rsid w:val="00B9518B"/>
    <w:rsid w:val="00B95197"/>
    <w:rsid w:val="00B97B3D"/>
    <w:rsid w:val="00BB2B91"/>
    <w:rsid w:val="00BB5F9C"/>
    <w:rsid w:val="00BB70F3"/>
    <w:rsid w:val="00BC299E"/>
    <w:rsid w:val="00BC47AE"/>
    <w:rsid w:val="00BC48F3"/>
    <w:rsid w:val="00BC63F2"/>
    <w:rsid w:val="00BD15B7"/>
    <w:rsid w:val="00BD52AF"/>
    <w:rsid w:val="00BD7B29"/>
    <w:rsid w:val="00BE2ABC"/>
    <w:rsid w:val="00BE32AB"/>
    <w:rsid w:val="00BE4955"/>
    <w:rsid w:val="00BE4CD4"/>
    <w:rsid w:val="00BF170D"/>
    <w:rsid w:val="00BF4BBF"/>
    <w:rsid w:val="00BF4C46"/>
    <w:rsid w:val="00BF5BF8"/>
    <w:rsid w:val="00BF682C"/>
    <w:rsid w:val="00C05520"/>
    <w:rsid w:val="00C10459"/>
    <w:rsid w:val="00C200ED"/>
    <w:rsid w:val="00C2515F"/>
    <w:rsid w:val="00C265DD"/>
    <w:rsid w:val="00C33A24"/>
    <w:rsid w:val="00C358BA"/>
    <w:rsid w:val="00C420A7"/>
    <w:rsid w:val="00C44FE5"/>
    <w:rsid w:val="00C542FB"/>
    <w:rsid w:val="00C646E2"/>
    <w:rsid w:val="00C64805"/>
    <w:rsid w:val="00C651C7"/>
    <w:rsid w:val="00C65CEC"/>
    <w:rsid w:val="00C67A73"/>
    <w:rsid w:val="00C71161"/>
    <w:rsid w:val="00C73835"/>
    <w:rsid w:val="00C76BF6"/>
    <w:rsid w:val="00C83364"/>
    <w:rsid w:val="00C83D61"/>
    <w:rsid w:val="00C8546F"/>
    <w:rsid w:val="00C90CB5"/>
    <w:rsid w:val="00C95AEC"/>
    <w:rsid w:val="00C96087"/>
    <w:rsid w:val="00CA5C86"/>
    <w:rsid w:val="00CB3118"/>
    <w:rsid w:val="00CB6A2B"/>
    <w:rsid w:val="00CC09A9"/>
    <w:rsid w:val="00CC55A9"/>
    <w:rsid w:val="00CC7BD7"/>
    <w:rsid w:val="00CC7BDE"/>
    <w:rsid w:val="00CD5E9D"/>
    <w:rsid w:val="00CD7C06"/>
    <w:rsid w:val="00CF0F8A"/>
    <w:rsid w:val="00CF13E4"/>
    <w:rsid w:val="00D009BC"/>
    <w:rsid w:val="00D0152C"/>
    <w:rsid w:val="00D14897"/>
    <w:rsid w:val="00D14AB2"/>
    <w:rsid w:val="00D14E9B"/>
    <w:rsid w:val="00D17809"/>
    <w:rsid w:val="00D213D5"/>
    <w:rsid w:val="00D2299D"/>
    <w:rsid w:val="00D27D38"/>
    <w:rsid w:val="00D34221"/>
    <w:rsid w:val="00D41828"/>
    <w:rsid w:val="00D50973"/>
    <w:rsid w:val="00D50A6C"/>
    <w:rsid w:val="00D51851"/>
    <w:rsid w:val="00D51DA6"/>
    <w:rsid w:val="00D5649C"/>
    <w:rsid w:val="00D6711F"/>
    <w:rsid w:val="00D7460D"/>
    <w:rsid w:val="00D748DB"/>
    <w:rsid w:val="00D74F87"/>
    <w:rsid w:val="00D755B7"/>
    <w:rsid w:val="00D775C1"/>
    <w:rsid w:val="00D77CE2"/>
    <w:rsid w:val="00D85B0F"/>
    <w:rsid w:val="00D86164"/>
    <w:rsid w:val="00D876C5"/>
    <w:rsid w:val="00DA4F20"/>
    <w:rsid w:val="00DB03E0"/>
    <w:rsid w:val="00DB0BF0"/>
    <w:rsid w:val="00DC0CF8"/>
    <w:rsid w:val="00DC5771"/>
    <w:rsid w:val="00DC5B33"/>
    <w:rsid w:val="00DD6692"/>
    <w:rsid w:val="00DE099C"/>
    <w:rsid w:val="00DE4FB9"/>
    <w:rsid w:val="00DE7C04"/>
    <w:rsid w:val="00DF0D3C"/>
    <w:rsid w:val="00DF1700"/>
    <w:rsid w:val="00DF1807"/>
    <w:rsid w:val="00DF5572"/>
    <w:rsid w:val="00E019BE"/>
    <w:rsid w:val="00E02733"/>
    <w:rsid w:val="00E029D5"/>
    <w:rsid w:val="00E108BA"/>
    <w:rsid w:val="00E16006"/>
    <w:rsid w:val="00E24867"/>
    <w:rsid w:val="00E256D6"/>
    <w:rsid w:val="00E2603A"/>
    <w:rsid w:val="00E26B63"/>
    <w:rsid w:val="00E30013"/>
    <w:rsid w:val="00E30ADA"/>
    <w:rsid w:val="00E31C21"/>
    <w:rsid w:val="00E323B2"/>
    <w:rsid w:val="00E3252B"/>
    <w:rsid w:val="00E32635"/>
    <w:rsid w:val="00E441BD"/>
    <w:rsid w:val="00E4608E"/>
    <w:rsid w:val="00E55FBA"/>
    <w:rsid w:val="00E60E70"/>
    <w:rsid w:val="00E62771"/>
    <w:rsid w:val="00E634E0"/>
    <w:rsid w:val="00E63601"/>
    <w:rsid w:val="00E71DC0"/>
    <w:rsid w:val="00E77498"/>
    <w:rsid w:val="00E80F02"/>
    <w:rsid w:val="00E86DF3"/>
    <w:rsid w:val="00E90633"/>
    <w:rsid w:val="00E9091E"/>
    <w:rsid w:val="00E92A10"/>
    <w:rsid w:val="00EA23C8"/>
    <w:rsid w:val="00EB1A6E"/>
    <w:rsid w:val="00EB2E08"/>
    <w:rsid w:val="00EB2FAA"/>
    <w:rsid w:val="00EB5D74"/>
    <w:rsid w:val="00EC11D9"/>
    <w:rsid w:val="00EC640E"/>
    <w:rsid w:val="00ED6C66"/>
    <w:rsid w:val="00EE2A50"/>
    <w:rsid w:val="00EF046B"/>
    <w:rsid w:val="00F01255"/>
    <w:rsid w:val="00F0166C"/>
    <w:rsid w:val="00F03ED6"/>
    <w:rsid w:val="00F044C3"/>
    <w:rsid w:val="00F06158"/>
    <w:rsid w:val="00F136F3"/>
    <w:rsid w:val="00F162F6"/>
    <w:rsid w:val="00F17BEE"/>
    <w:rsid w:val="00F22151"/>
    <w:rsid w:val="00F23D9A"/>
    <w:rsid w:val="00F24D51"/>
    <w:rsid w:val="00F31752"/>
    <w:rsid w:val="00F40B39"/>
    <w:rsid w:val="00F429E0"/>
    <w:rsid w:val="00F430F2"/>
    <w:rsid w:val="00F474A3"/>
    <w:rsid w:val="00F5145B"/>
    <w:rsid w:val="00F536AA"/>
    <w:rsid w:val="00F54331"/>
    <w:rsid w:val="00F55EA0"/>
    <w:rsid w:val="00F56097"/>
    <w:rsid w:val="00F57BFE"/>
    <w:rsid w:val="00F66210"/>
    <w:rsid w:val="00F66E95"/>
    <w:rsid w:val="00F82772"/>
    <w:rsid w:val="00F85A34"/>
    <w:rsid w:val="00FA3510"/>
    <w:rsid w:val="00FA36F6"/>
    <w:rsid w:val="00FA483D"/>
    <w:rsid w:val="00FB124E"/>
    <w:rsid w:val="00FC05CD"/>
    <w:rsid w:val="00FD3544"/>
    <w:rsid w:val="00FD3AA7"/>
    <w:rsid w:val="00FD65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A198"/>
  <w15:chartTrackingRefBased/>
  <w15:docId w15:val="{62A7EB18-86A5-4E69-A904-AACBB9B2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692"/>
    <w:pPr>
      <w:widowControl w:val="0"/>
      <w:suppressAutoHyphens/>
      <w:jc w:val="both"/>
    </w:pPr>
    <w:rPr>
      <w:rFonts w:ascii="Times New Roman" w:eastAsia="SimSun" w:hAnsi="Times New Roman" w:cs="Mangal"/>
      <w:kern w:val="1"/>
      <w:sz w:val="28"/>
      <w:szCs w:val="24"/>
      <w:lang w:eastAsia="hi-IN" w:bidi="hi-IN"/>
    </w:rPr>
  </w:style>
  <w:style w:type="paragraph" w:styleId="Ttulo2">
    <w:name w:val="heading 2"/>
    <w:basedOn w:val="Normal"/>
    <w:next w:val="Normal"/>
    <w:link w:val="Ttulo2Car"/>
    <w:uiPriority w:val="99"/>
    <w:qFormat/>
    <w:rsid w:val="001B4DF8"/>
    <w:pPr>
      <w:suppressAutoHyphens w:val="0"/>
      <w:autoSpaceDE w:val="0"/>
      <w:autoSpaceDN w:val="0"/>
      <w:adjustRightInd w:val="0"/>
      <w:jc w:val="left"/>
      <w:outlineLvl w:val="1"/>
    </w:pPr>
    <w:rPr>
      <w:rFonts w:eastAsiaTheme="minorEastAsia" w:cs="Times New Roman"/>
      <w:kern w:val="0"/>
      <w:sz w:val="24"/>
      <w:lang w:val="es-ES" w:eastAsia="es-CO"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ft,Footnote symbol"/>
    <w:basedOn w:val="Normal"/>
    <w:link w:val="TextonotapieCar1"/>
    <w:autoRedefine/>
    <w:uiPriority w:val="99"/>
    <w:qFormat/>
    <w:rsid w:val="002202D0"/>
    <w:pPr>
      <w:widowControl/>
      <w:suppressAutoHyphens w:val="0"/>
      <w:overflowPunct w:val="0"/>
      <w:autoSpaceDE w:val="0"/>
      <w:autoSpaceDN w:val="0"/>
    </w:pPr>
    <w:rPr>
      <w:rFonts w:eastAsia="Times New Roman" w:cs="Times New Roman"/>
      <w:kern w:val="0"/>
      <w:sz w:val="20"/>
      <w:szCs w:val="20"/>
      <w:lang w:eastAsia="es-CO" w:bidi="ar-SA"/>
    </w:rPr>
  </w:style>
  <w:style w:type="character" w:customStyle="1" w:styleId="TextonotapieCar">
    <w:name w:val="Texto nota pie Car"/>
    <w:aliases w:val="Ref. de nota al pie1 Car,Footnote Text Char Char Char Char Char Char1 Car"/>
    <w:basedOn w:val="Fuentedeprrafopredeter"/>
    <w:uiPriority w:val="99"/>
    <w:rsid w:val="00392113"/>
    <w:rPr>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ink w:val="Textonotapie"/>
    <w:uiPriority w:val="99"/>
    <w:locked/>
    <w:rsid w:val="002202D0"/>
    <w:rPr>
      <w:rFonts w:ascii="Times New Roman" w:eastAsia="Times New Roman" w:hAnsi="Times New Roman" w:cs="Times New Roman"/>
      <w:sz w:val="20"/>
      <w:szCs w:val="20"/>
      <w:lang w:eastAsia="es-CO"/>
    </w:rPr>
  </w:style>
  <w:style w:type="character" w:styleId="Refdenotaalpie">
    <w:name w:val="footnote reference"/>
    <w:aliases w:val="Texto de nota al pie,referencia nota al pie,Texto nota pie Car Car1,texto de nota al pie Car Car,Texto nota pie Car Car Car,Ref. de nota al pie 2,Footnotes refss,Appel note de bas de page,f,Footnote number,BVI fnr,4_G,16 Point,FC,F,R"/>
    <w:uiPriority w:val="99"/>
    <w:qFormat/>
    <w:rsid w:val="007D7F87"/>
    <w:rPr>
      <w:rFonts w:ascii="Times New Roman" w:hAnsi="Times New Roman" w:cs="Times New Roman"/>
      <w:sz w:val="28"/>
      <w:vertAlign w:val="superscript"/>
    </w:rPr>
  </w:style>
  <w:style w:type="paragraph" w:styleId="Sinespaciado">
    <w:name w:val="No Spacing"/>
    <w:aliases w:val="CITA 1"/>
    <w:basedOn w:val="Normal"/>
    <w:uiPriority w:val="1"/>
    <w:qFormat/>
    <w:rsid w:val="00DD6692"/>
    <w:pPr>
      <w:widowControl/>
      <w:suppressAutoHyphens w:val="0"/>
    </w:pPr>
    <w:rPr>
      <w:rFonts w:eastAsia="Times New Roman" w:cs="Times New Roman"/>
      <w:kern w:val="0"/>
      <w:sz w:val="26"/>
      <w:lang w:eastAsia="es-ES" w:bidi="ar-SA"/>
    </w:rPr>
  </w:style>
  <w:style w:type="paragraph" w:customStyle="1" w:styleId="Style9">
    <w:name w:val="Style9"/>
    <w:basedOn w:val="Normal"/>
    <w:uiPriority w:val="99"/>
    <w:rsid w:val="00DD6692"/>
    <w:pPr>
      <w:autoSpaceDE w:val="0"/>
      <w:autoSpaceDN w:val="0"/>
      <w:adjustRightInd w:val="0"/>
      <w:spacing w:line="230" w:lineRule="exact"/>
      <w:jc w:val="right"/>
    </w:pPr>
    <w:rPr>
      <w:rFonts w:eastAsia="Times New Roman" w:cs="Times New Roman"/>
      <w:lang w:val="es-ES" w:eastAsia="es-ES"/>
    </w:rPr>
  </w:style>
  <w:style w:type="character" w:customStyle="1" w:styleId="FontStyle26">
    <w:name w:val="Font Style26"/>
    <w:basedOn w:val="Fuentedeprrafopredeter"/>
    <w:uiPriority w:val="99"/>
    <w:rsid w:val="00DD6692"/>
    <w:rPr>
      <w:rFonts w:ascii="Times New Roman" w:hAnsi="Times New Roman" w:cs="Times New Roman"/>
      <w:b/>
      <w:bCs/>
      <w:sz w:val="18"/>
      <w:szCs w:val="18"/>
    </w:rPr>
  </w:style>
  <w:style w:type="paragraph" w:styleId="Textoindependiente">
    <w:name w:val="Body Text"/>
    <w:basedOn w:val="Normal"/>
    <w:link w:val="TextoindependienteCar"/>
    <w:rsid w:val="00DD6692"/>
    <w:pPr>
      <w:spacing w:after="120"/>
    </w:pPr>
  </w:style>
  <w:style w:type="character" w:customStyle="1" w:styleId="TextoindependienteCar">
    <w:name w:val="Texto independiente Car"/>
    <w:basedOn w:val="Fuentedeprrafopredeter"/>
    <w:link w:val="Textoindependiente"/>
    <w:rsid w:val="00DD6692"/>
    <w:rPr>
      <w:rFonts w:ascii="Times New Roman" w:eastAsia="SimSun" w:hAnsi="Times New Roman" w:cs="Mangal"/>
      <w:kern w:val="1"/>
      <w:sz w:val="28"/>
      <w:szCs w:val="24"/>
      <w:lang w:eastAsia="hi-IN" w:bidi="hi-IN"/>
    </w:rPr>
  </w:style>
  <w:style w:type="paragraph" w:customStyle="1" w:styleId="bodytext23">
    <w:name w:val="bodytext23"/>
    <w:basedOn w:val="Normal"/>
    <w:rsid w:val="00DD6692"/>
    <w:pPr>
      <w:widowControl/>
      <w:suppressAutoHyphens w:val="0"/>
      <w:spacing w:before="100" w:beforeAutospacing="1" w:after="100" w:afterAutospacing="1"/>
    </w:pPr>
    <w:rPr>
      <w:rFonts w:eastAsia="Times New Roman" w:cs="Times New Roman"/>
      <w:kern w:val="0"/>
      <w:lang w:val="es-ES" w:eastAsia="es-ES" w:bidi="ar-SA"/>
    </w:rPr>
  </w:style>
  <w:style w:type="character" w:customStyle="1" w:styleId="FontStyle231">
    <w:name w:val="Font Style231"/>
    <w:basedOn w:val="Fuentedeprrafopredeter"/>
    <w:uiPriority w:val="99"/>
    <w:rsid w:val="00DD6692"/>
    <w:rPr>
      <w:rFonts w:ascii="Times New Roman" w:hAnsi="Times New Roman" w:cs="Times New Roman"/>
      <w:i/>
      <w:iCs/>
      <w:sz w:val="26"/>
      <w:szCs w:val="26"/>
    </w:rPr>
  </w:style>
  <w:style w:type="character" w:customStyle="1" w:styleId="FontStyle305">
    <w:name w:val="Font Style305"/>
    <w:basedOn w:val="Fuentedeprrafopredeter"/>
    <w:uiPriority w:val="99"/>
    <w:rsid w:val="00DD6692"/>
    <w:rPr>
      <w:rFonts w:ascii="Arial" w:hAnsi="Arial" w:cs="Arial"/>
      <w:i/>
      <w:iCs/>
      <w:sz w:val="18"/>
      <w:szCs w:val="18"/>
    </w:rPr>
  </w:style>
  <w:style w:type="character" w:customStyle="1" w:styleId="FontStyle327">
    <w:name w:val="Font Style327"/>
    <w:basedOn w:val="Fuentedeprrafopredeter"/>
    <w:uiPriority w:val="99"/>
    <w:rsid w:val="00DD6692"/>
    <w:rPr>
      <w:rFonts w:ascii="Times New Roman" w:hAnsi="Times New Roman" w:cs="Times New Roman"/>
      <w:sz w:val="22"/>
      <w:szCs w:val="22"/>
    </w:rPr>
  </w:style>
  <w:style w:type="paragraph" w:styleId="Encabezado">
    <w:name w:val="header"/>
    <w:basedOn w:val="Normal"/>
    <w:link w:val="EncabezadoCar"/>
    <w:uiPriority w:val="99"/>
    <w:unhideWhenUsed/>
    <w:rsid w:val="004D6945"/>
    <w:pPr>
      <w:tabs>
        <w:tab w:val="center" w:pos="4419"/>
        <w:tab w:val="right" w:pos="8838"/>
      </w:tabs>
    </w:pPr>
  </w:style>
  <w:style w:type="character" w:customStyle="1" w:styleId="EncabezadoCar">
    <w:name w:val="Encabezado Car"/>
    <w:basedOn w:val="Fuentedeprrafopredeter"/>
    <w:link w:val="Encabezado"/>
    <w:uiPriority w:val="99"/>
    <w:rsid w:val="004D6945"/>
    <w:rPr>
      <w:rFonts w:ascii="Times New Roman" w:eastAsia="SimSun" w:hAnsi="Times New Roman" w:cs="Mangal"/>
      <w:kern w:val="1"/>
      <w:sz w:val="28"/>
      <w:szCs w:val="24"/>
      <w:lang w:eastAsia="hi-IN" w:bidi="hi-IN"/>
    </w:rPr>
  </w:style>
  <w:style w:type="paragraph" w:styleId="Piedepgina">
    <w:name w:val="footer"/>
    <w:basedOn w:val="Normal"/>
    <w:link w:val="PiedepginaCar"/>
    <w:uiPriority w:val="99"/>
    <w:unhideWhenUsed/>
    <w:rsid w:val="004D6945"/>
    <w:pPr>
      <w:tabs>
        <w:tab w:val="center" w:pos="4419"/>
        <w:tab w:val="right" w:pos="8838"/>
      </w:tabs>
    </w:pPr>
  </w:style>
  <w:style w:type="character" w:customStyle="1" w:styleId="PiedepginaCar">
    <w:name w:val="Pie de página Car"/>
    <w:basedOn w:val="Fuentedeprrafopredeter"/>
    <w:link w:val="Piedepgina"/>
    <w:uiPriority w:val="99"/>
    <w:rsid w:val="004D6945"/>
    <w:rPr>
      <w:rFonts w:ascii="Times New Roman" w:eastAsia="SimSun" w:hAnsi="Times New Roman" w:cs="Mangal"/>
      <w:kern w:val="1"/>
      <w:sz w:val="28"/>
      <w:szCs w:val="24"/>
      <w:lang w:eastAsia="hi-IN" w:bidi="hi-IN"/>
    </w:rPr>
  </w:style>
  <w:style w:type="paragraph" w:styleId="Prrafodelista">
    <w:name w:val="List Paragraph"/>
    <w:basedOn w:val="Normal"/>
    <w:link w:val="PrrafodelistaCar"/>
    <w:uiPriority w:val="34"/>
    <w:qFormat/>
    <w:rsid w:val="005C123E"/>
    <w:pPr>
      <w:ind w:left="720"/>
      <w:contextualSpacing/>
    </w:pPr>
  </w:style>
  <w:style w:type="character" w:customStyle="1" w:styleId="Ttulo2Car">
    <w:name w:val="Título 2 Car"/>
    <w:basedOn w:val="Fuentedeprrafopredeter"/>
    <w:link w:val="Ttulo2"/>
    <w:uiPriority w:val="9"/>
    <w:rsid w:val="001B4DF8"/>
    <w:rPr>
      <w:rFonts w:ascii="Times New Roman" w:eastAsiaTheme="minorEastAsia" w:hAnsi="Times New Roman" w:cs="Times New Roman"/>
      <w:sz w:val="24"/>
      <w:szCs w:val="24"/>
      <w:lang w:val="es-ES" w:eastAsia="es-CO"/>
    </w:rPr>
  </w:style>
  <w:style w:type="character" w:styleId="Hipervnculo">
    <w:name w:val="Hyperlink"/>
    <w:basedOn w:val="Fuentedeprrafopredeter"/>
    <w:uiPriority w:val="99"/>
    <w:unhideWhenUsed/>
    <w:rsid w:val="00FA3510"/>
    <w:rPr>
      <w:color w:val="0000FF"/>
      <w:u w:val="single"/>
    </w:rPr>
  </w:style>
  <w:style w:type="character" w:customStyle="1" w:styleId="ref">
    <w:name w:val="ref"/>
    <w:basedOn w:val="Fuentedeprrafopredeter"/>
    <w:rsid w:val="00FA3510"/>
  </w:style>
  <w:style w:type="character" w:customStyle="1" w:styleId="apple-converted-space">
    <w:name w:val="apple-converted-space"/>
    <w:basedOn w:val="Fuentedeprrafopredeter"/>
    <w:rsid w:val="006245DD"/>
  </w:style>
  <w:style w:type="character" w:customStyle="1" w:styleId="CarCar13">
    <w:name w:val="Car Car13"/>
    <w:rsid w:val="00E30013"/>
    <w:rPr>
      <w:rFonts w:ascii="Arial" w:hAnsi="Arial"/>
      <w:b/>
      <w:kern w:val="32"/>
      <w:sz w:val="32"/>
      <w:lang w:val="en-US" w:eastAsia="x-none"/>
    </w:rPr>
  </w:style>
  <w:style w:type="paragraph" w:customStyle="1" w:styleId="listavistosa-nfasis11">
    <w:name w:val="listavistosa-nfasis11"/>
    <w:basedOn w:val="Normal"/>
    <w:rsid w:val="00D17809"/>
    <w:pPr>
      <w:widowControl/>
      <w:suppressAutoHyphens w:val="0"/>
      <w:spacing w:before="100" w:beforeAutospacing="1" w:after="100" w:afterAutospacing="1"/>
      <w:jc w:val="left"/>
    </w:pPr>
    <w:rPr>
      <w:rFonts w:eastAsia="Times New Roman" w:cs="Times New Roman"/>
      <w:kern w:val="0"/>
      <w:sz w:val="24"/>
      <w:lang w:eastAsia="es-CO" w:bidi="ar-SA"/>
    </w:rPr>
  </w:style>
  <w:style w:type="character" w:customStyle="1" w:styleId="PrrafodelistaCar">
    <w:name w:val="Párrafo de lista Car"/>
    <w:link w:val="Prrafodelista"/>
    <w:uiPriority w:val="34"/>
    <w:locked/>
    <w:rsid w:val="00E86DF3"/>
    <w:rPr>
      <w:rFonts w:ascii="Times New Roman" w:eastAsia="SimSun" w:hAnsi="Times New Roman" w:cs="Mangal"/>
      <w:kern w:val="1"/>
      <w:sz w:val="28"/>
      <w:szCs w:val="24"/>
      <w:lang w:eastAsia="hi-IN" w:bidi="hi-IN"/>
    </w:rPr>
  </w:style>
  <w:style w:type="character" w:styleId="nfasis">
    <w:name w:val="Emphasis"/>
    <w:basedOn w:val="Fuentedeprrafopredeter"/>
    <w:uiPriority w:val="20"/>
    <w:qFormat/>
    <w:rsid w:val="00A650AA"/>
    <w:rPr>
      <w:i/>
      <w:iCs/>
    </w:rPr>
  </w:style>
  <w:style w:type="character" w:customStyle="1" w:styleId="UnresolvedMention">
    <w:name w:val="Unresolved Mention"/>
    <w:basedOn w:val="Fuentedeprrafopredeter"/>
    <w:uiPriority w:val="99"/>
    <w:semiHidden/>
    <w:unhideWhenUsed/>
    <w:rsid w:val="00A650AA"/>
    <w:rPr>
      <w:color w:val="605E5C"/>
      <w:shd w:val="clear" w:color="auto" w:fill="E1DFDD"/>
    </w:rPr>
  </w:style>
  <w:style w:type="paragraph" w:styleId="Sangradetextonormal">
    <w:name w:val="Body Text Indent"/>
    <w:basedOn w:val="Normal"/>
    <w:link w:val="SangradetextonormalCar"/>
    <w:uiPriority w:val="99"/>
    <w:semiHidden/>
    <w:unhideWhenUsed/>
    <w:rsid w:val="00365BF9"/>
    <w:pPr>
      <w:spacing w:after="120"/>
      <w:ind w:left="283"/>
    </w:pPr>
  </w:style>
  <w:style w:type="character" w:customStyle="1" w:styleId="SangradetextonormalCar">
    <w:name w:val="Sangría de texto normal Car"/>
    <w:basedOn w:val="Fuentedeprrafopredeter"/>
    <w:link w:val="Sangradetextonormal"/>
    <w:uiPriority w:val="99"/>
    <w:semiHidden/>
    <w:rsid w:val="00365BF9"/>
    <w:rPr>
      <w:rFonts w:ascii="Times New Roman" w:eastAsia="SimSun" w:hAnsi="Times New Roman" w:cs="Mangal"/>
      <w:kern w:val="1"/>
      <w:sz w:val="28"/>
      <w:szCs w:val="24"/>
      <w:lang w:eastAsia="hi-IN" w:bidi="hi-IN"/>
    </w:rPr>
  </w:style>
  <w:style w:type="paragraph" w:styleId="Textoindependienteprimerasangra2">
    <w:name w:val="Body Text First Indent 2"/>
    <w:basedOn w:val="Sangradetextonormal"/>
    <w:link w:val="Textoindependienteprimerasangra2Car"/>
    <w:uiPriority w:val="99"/>
    <w:unhideWhenUsed/>
    <w:rsid w:val="00365BF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65BF9"/>
    <w:rPr>
      <w:rFonts w:ascii="Times New Roman" w:eastAsia="SimSun" w:hAnsi="Times New Roman" w:cs="Mangal"/>
      <w:kern w:val="1"/>
      <w:sz w:val="28"/>
      <w:szCs w:val="24"/>
      <w:lang w:eastAsia="hi-IN" w:bidi="hi-IN"/>
    </w:rPr>
  </w:style>
  <w:style w:type="paragraph" w:styleId="NormalWeb">
    <w:name w:val="Normal (Web)"/>
    <w:basedOn w:val="Normal"/>
    <w:uiPriority w:val="99"/>
    <w:unhideWhenUsed/>
    <w:rsid w:val="00B7573E"/>
    <w:pPr>
      <w:widowControl/>
      <w:suppressAutoHyphens w:val="0"/>
      <w:spacing w:before="100" w:beforeAutospacing="1" w:after="100" w:afterAutospacing="1"/>
      <w:jc w:val="left"/>
    </w:pPr>
    <w:rPr>
      <w:rFonts w:eastAsia="Times New Roman" w:cs="Times New Roman"/>
      <w:kern w:val="0"/>
      <w:sz w:val="24"/>
      <w:lang w:eastAsia="es-CO" w:bidi="ar-SA"/>
    </w:rPr>
  </w:style>
  <w:style w:type="paragraph" w:styleId="Textodeglobo">
    <w:name w:val="Balloon Text"/>
    <w:basedOn w:val="Normal"/>
    <w:link w:val="TextodegloboCar"/>
    <w:uiPriority w:val="99"/>
    <w:semiHidden/>
    <w:unhideWhenUsed/>
    <w:rsid w:val="004B450C"/>
    <w:rPr>
      <w:rFonts w:ascii="Segoe UI" w:hAnsi="Segoe UI"/>
      <w:sz w:val="18"/>
      <w:szCs w:val="16"/>
    </w:rPr>
  </w:style>
  <w:style w:type="character" w:customStyle="1" w:styleId="TextodegloboCar">
    <w:name w:val="Texto de globo Car"/>
    <w:basedOn w:val="Fuentedeprrafopredeter"/>
    <w:link w:val="Textodeglobo"/>
    <w:uiPriority w:val="99"/>
    <w:semiHidden/>
    <w:rsid w:val="004B450C"/>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4424">
      <w:bodyDiv w:val="1"/>
      <w:marLeft w:val="0"/>
      <w:marRight w:val="0"/>
      <w:marTop w:val="0"/>
      <w:marBottom w:val="0"/>
      <w:divBdr>
        <w:top w:val="none" w:sz="0" w:space="0" w:color="auto"/>
        <w:left w:val="none" w:sz="0" w:space="0" w:color="auto"/>
        <w:bottom w:val="none" w:sz="0" w:space="0" w:color="auto"/>
        <w:right w:val="none" w:sz="0" w:space="0" w:color="auto"/>
      </w:divBdr>
    </w:div>
    <w:div w:id="160660051">
      <w:bodyDiv w:val="1"/>
      <w:marLeft w:val="0"/>
      <w:marRight w:val="0"/>
      <w:marTop w:val="0"/>
      <w:marBottom w:val="0"/>
      <w:divBdr>
        <w:top w:val="none" w:sz="0" w:space="0" w:color="auto"/>
        <w:left w:val="none" w:sz="0" w:space="0" w:color="auto"/>
        <w:bottom w:val="none" w:sz="0" w:space="0" w:color="auto"/>
        <w:right w:val="none" w:sz="0" w:space="0" w:color="auto"/>
      </w:divBdr>
    </w:div>
    <w:div w:id="168251069">
      <w:bodyDiv w:val="1"/>
      <w:marLeft w:val="0"/>
      <w:marRight w:val="0"/>
      <w:marTop w:val="0"/>
      <w:marBottom w:val="0"/>
      <w:divBdr>
        <w:top w:val="none" w:sz="0" w:space="0" w:color="auto"/>
        <w:left w:val="none" w:sz="0" w:space="0" w:color="auto"/>
        <w:bottom w:val="none" w:sz="0" w:space="0" w:color="auto"/>
        <w:right w:val="none" w:sz="0" w:space="0" w:color="auto"/>
      </w:divBdr>
    </w:div>
    <w:div w:id="340619549">
      <w:bodyDiv w:val="1"/>
      <w:marLeft w:val="0"/>
      <w:marRight w:val="0"/>
      <w:marTop w:val="0"/>
      <w:marBottom w:val="0"/>
      <w:divBdr>
        <w:top w:val="none" w:sz="0" w:space="0" w:color="auto"/>
        <w:left w:val="none" w:sz="0" w:space="0" w:color="auto"/>
        <w:bottom w:val="none" w:sz="0" w:space="0" w:color="auto"/>
        <w:right w:val="none" w:sz="0" w:space="0" w:color="auto"/>
      </w:divBdr>
    </w:div>
    <w:div w:id="352609415">
      <w:bodyDiv w:val="1"/>
      <w:marLeft w:val="0"/>
      <w:marRight w:val="0"/>
      <w:marTop w:val="0"/>
      <w:marBottom w:val="0"/>
      <w:divBdr>
        <w:top w:val="none" w:sz="0" w:space="0" w:color="auto"/>
        <w:left w:val="none" w:sz="0" w:space="0" w:color="auto"/>
        <w:bottom w:val="none" w:sz="0" w:space="0" w:color="auto"/>
        <w:right w:val="none" w:sz="0" w:space="0" w:color="auto"/>
      </w:divBdr>
    </w:div>
    <w:div w:id="504831435">
      <w:bodyDiv w:val="1"/>
      <w:marLeft w:val="0"/>
      <w:marRight w:val="0"/>
      <w:marTop w:val="0"/>
      <w:marBottom w:val="0"/>
      <w:divBdr>
        <w:top w:val="none" w:sz="0" w:space="0" w:color="auto"/>
        <w:left w:val="none" w:sz="0" w:space="0" w:color="auto"/>
        <w:bottom w:val="none" w:sz="0" w:space="0" w:color="auto"/>
        <w:right w:val="none" w:sz="0" w:space="0" w:color="auto"/>
      </w:divBdr>
    </w:div>
    <w:div w:id="640156658">
      <w:bodyDiv w:val="1"/>
      <w:marLeft w:val="0"/>
      <w:marRight w:val="0"/>
      <w:marTop w:val="0"/>
      <w:marBottom w:val="0"/>
      <w:divBdr>
        <w:top w:val="none" w:sz="0" w:space="0" w:color="auto"/>
        <w:left w:val="none" w:sz="0" w:space="0" w:color="auto"/>
        <w:bottom w:val="none" w:sz="0" w:space="0" w:color="auto"/>
        <w:right w:val="none" w:sz="0" w:space="0" w:color="auto"/>
      </w:divBdr>
    </w:div>
    <w:div w:id="646982196">
      <w:bodyDiv w:val="1"/>
      <w:marLeft w:val="0"/>
      <w:marRight w:val="0"/>
      <w:marTop w:val="0"/>
      <w:marBottom w:val="0"/>
      <w:divBdr>
        <w:top w:val="none" w:sz="0" w:space="0" w:color="auto"/>
        <w:left w:val="none" w:sz="0" w:space="0" w:color="auto"/>
        <w:bottom w:val="none" w:sz="0" w:space="0" w:color="auto"/>
        <w:right w:val="none" w:sz="0" w:space="0" w:color="auto"/>
      </w:divBdr>
    </w:div>
    <w:div w:id="746196429">
      <w:bodyDiv w:val="1"/>
      <w:marLeft w:val="0"/>
      <w:marRight w:val="0"/>
      <w:marTop w:val="0"/>
      <w:marBottom w:val="0"/>
      <w:divBdr>
        <w:top w:val="none" w:sz="0" w:space="0" w:color="auto"/>
        <w:left w:val="none" w:sz="0" w:space="0" w:color="auto"/>
        <w:bottom w:val="none" w:sz="0" w:space="0" w:color="auto"/>
        <w:right w:val="none" w:sz="0" w:space="0" w:color="auto"/>
      </w:divBdr>
    </w:div>
    <w:div w:id="1036584082">
      <w:bodyDiv w:val="1"/>
      <w:marLeft w:val="0"/>
      <w:marRight w:val="0"/>
      <w:marTop w:val="0"/>
      <w:marBottom w:val="0"/>
      <w:divBdr>
        <w:top w:val="none" w:sz="0" w:space="0" w:color="auto"/>
        <w:left w:val="none" w:sz="0" w:space="0" w:color="auto"/>
        <w:bottom w:val="none" w:sz="0" w:space="0" w:color="auto"/>
        <w:right w:val="none" w:sz="0" w:space="0" w:color="auto"/>
      </w:divBdr>
    </w:div>
    <w:div w:id="1210218873">
      <w:bodyDiv w:val="1"/>
      <w:marLeft w:val="0"/>
      <w:marRight w:val="0"/>
      <w:marTop w:val="0"/>
      <w:marBottom w:val="0"/>
      <w:divBdr>
        <w:top w:val="none" w:sz="0" w:space="0" w:color="auto"/>
        <w:left w:val="none" w:sz="0" w:space="0" w:color="auto"/>
        <w:bottom w:val="none" w:sz="0" w:space="0" w:color="auto"/>
        <w:right w:val="none" w:sz="0" w:space="0" w:color="auto"/>
      </w:divBdr>
      <w:divsChild>
        <w:div w:id="399136437">
          <w:marLeft w:val="0"/>
          <w:marRight w:val="0"/>
          <w:marTop w:val="0"/>
          <w:marBottom w:val="0"/>
          <w:divBdr>
            <w:top w:val="none" w:sz="0" w:space="0" w:color="auto"/>
            <w:left w:val="none" w:sz="0" w:space="0" w:color="auto"/>
            <w:bottom w:val="none" w:sz="0" w:space="0" w:color="auto"/>
            <w:right w:val="none" w:sz="0" w:space="0" w:color="auto"/>
          </w:divBdr>
        </w:div>
        <w:div w:id="197469146">
          <w:marLeft w:val="0"/>
          <w:marRight w:val="0"/>
          <w:marTop w:val="0"/>
          <w:marBottom w:val="0"/>
          <w:divBdr>
            <w:top w:val="none" w:sz="0" w:space="0" w:color="auto"/>
            <w:left w:val="none" w:sz="0" w:space="0" w:color="auto"/>
            <w:bottom w:val="none" w:sz="0" w:space="0" w:color="auto"/>
            <w:right w:val="none" w:sz="0" w:space="0" w:color="auto"/>
          </w:divBdr>
        </w:div>
        <w:div w:id="1837454803">
          <w:marLeft w:val="0"/>
          <w:marRight w:val="0"/>
          <w:marTop w:val="0"/>
          <w:marBottom w:val="0"/>
          <w:divBdr>
            <w:top w:val="none" w:sz="0" w:space="0" w:color="auto"/>
            <w:left w:val="none" w:sz="0" w:space="0" w:color="auto"/>
            <w:bottom w:val="none" w:sz="0" w:space="0" w:color="auto"/>
            <w:right w:val="none" w:sz="0" w:space="0" w:color="auto"/>
          </w:divBdr>
        </w:div>
        <w:div w:id="306394961">
          <w:marLeft w:val="0"/>
          <w:marRight w:val="0"/>
          <w:marTop w:val="0"/>
          <w:marBottom w:val="0"/>
          <w:divBdr>
            <w:top w:val="none" w:sz="0" w:space="0" w:color="auto"/>
            <w:left w:val="none" w:sz="0" w:space="0" w:color="auto"/>
            <w:bottom w:val="none" w:sz="0" w:space="0" w:color="auto"/>
            <w:right w:val="none" w:sz="0" w:space="0" w:color="auto"/>
          </w:divBdr>
        </w:div>
      </w:divsChild>
    </w:div>
    <w:div w:id="1293367422">
      <w:bodyDiv w:val="1"/>
      <w:marLeft w:val="0"/>
      <w:marRight w:val="0"/>
      <w:marTop w:val="0"/>
      <w:marBottom w:val="0"/>
      <w:divBdr>
        <w:top w:val="none" w:sz="0" w:space="0" w:color="auto"/>
        <w:left w:val="none" w:sz="0" w:space="0" w:color="auto"/>
        <w:bottom w:val="none" w:sz="0" w:space="0" w:color="auto"/>
        <w:right w:val="none" w:sz="0" w:space="0" w:color="auto"/>
      </w:divBdr>
    </w:div>
    <w:div w:id="1485973833">
      <w:bodyDiv w:val="1"/>
      <w:marLeft w:val="0"/>
      <w:marRight w:val="0"/>
      <w:marTop w:val="0"/>
      <w:marBottom w:val="0"/>
      <w:divBdr>
        <w:top w:val="none" w:sz="0" w:space="0" w:color="auto"/>
        <w:left w:val="none" w:sz="0" w:space="0" w:color="auto"/>
        <w:bottom w:val="none" w:sz="0" w:space="0" w:color="auto"/>
        <w:right w:val="none" w:sz="0" w:space="0" w:color="auto"/>
      </w:divBdr>
    </w:div>
    <w:div w:id="1510825534">
      <w:bodyDiv w:val="1"/>
      <w:marLeft w:val="0"/>
      <w:marRight w:val="0"/>
      <w:marTop w:val="0"/>
      <w:marBottom w:val="0"/>
      <w:divBdr>
        <w:top w:val="none" w:sz="0" w:space="0" w:color="auto"/>
        <w:left w:val="none" w:sz="0" w:space="0" w:color="auto"/>
        <w:bottom w:val="none" w:sz="0" w:space="0" w:color="auto"/>
        <w:right w:val="none" w:sz="0" w:space="0" w:color="auto"/>
      </w:divBdr>
    </w:div>
    <w:div w:id="1515344070">
      <w:bodyDiv w:val="1"/>
      <w:marLeft w:val="0"/>
      <w:marRight w:val="0"/>
      <w:marTop w:val="0"/>
      <w:marBottom w:val="0"/>
      <w:divBdr>
        <w:top w:val="none" w:sz="0" w:space="0" w:color="auto"/>
        <w:left w:val="none" w:sz="0" w:space="0" w:color="auto"/>
        <w:bottom w:val="none" w:sz="0" w:space="0" w:color="auto"/>
        <w:right w:val="none" w:sz="0" w:space="0" w:color="auto"/>
      </w:divBdr>
    </w:div>
    <w:div w:id="1599557291">
      <w:bodyDiv w:val="1"/>
      <w:marLeft w:val="0"/>
      <w:marRight w:val="0"/>
      <w:marTop w:val="0"/>
      <w:marBottom w:val="0"/>
      <w:divBdr>
        <w:top w:val="none" w:sz="0" w:space="0" w:color="auto"/>
        <w:left w:val="none" w:sz="0" w:space="0" w:color="auto"/>
        <w:bottom w:val="none" w:sz="0" w:space="0" w:color="auto"/>
        <w:right w:val="none" w:sz="0" w:space="0" w:color="auto"/>
      </w:divBdr>
    </w:div>
    <w:div w:id="1689985056">
      <w:bodyDiv w:val="1"/>
      <w:marLeft w:val="0"/>
      <w:marRight w:val="0"/>
      <w:marTop w:val="0"/>
      <w:marBottom w:val="0"/>
      <w:divBdr>
        <w:top w:val="none" w:sz="0" w:space="0" w:color="auto"/>
        <w:left w:val="none" w:sz="0" w:space="0" w:color="auto"/>
        <w:bottom w:val="none" w:sz="0" w:space="0" w:color="auto"/>
        <w:right w:val="none" w:sz="0" w:space="0" w:color="auto"/>
      </w:divBdr>
    </w:div>
    <w:div w:id="1729257238">
      <w:bodyDiv w:val="1"/>
      <w:marLeft w:val="0"/>
      <w:marRight w:val="0"/>
      <w:marTop w:val="0"/>
      <w:marBottom w:val="0"/>
      <w:divBdr>
        <w:top w:val="none" w:sz="0" w:space="0" w:color="auto"/>
        <w:left w:val="none" w:sz="0" w:space="0" w:color="auto"/>
        <w:bottom w:val="none" w:sz="0" w:space="0" w:color="auto"/>
        <w:right w:val="none" w:sz="0" w:space="0" w:color="auto"/>
      </w:divBdr>
    </w:div>
    <w:div w:id="1810248887">
      <w:bodyDiv w:val="1"/>
      <w:marLeft w:val="0"/>
      <w:marRight w:val="0"/>
      <w:marTop w:val="0"/>
      <w:marBottom w:val="0"/>
      <w:divBdr>
        <w:top w:val="none" w:sz="0" w:space="0" w:color="auto"/>
        <w:left w:val="none" w:sz="0" w:space="0" w:color="auto"/>
        <w:bottom w:val="none" w:sz="0" w:space="0" w:color="auto"/>
        <w:right w:val="none" w:sz="0" w:space="0" w:color="auto"/>
      </w:divBdr>
    </w:div>
    <w:div w:id="1853641798">
      <w:bodyDiv w:val="1"/>
      <w:marLeft w:val="0"/>
      <w:marRight w:val="0"/>
      <w:marTop w:val="0"/>
      <w:marBottom w:val="0"/>
      <w:divBdr>
        <w:top w:val="none" w:sz="0" w:space="0" w:color="auto"/>
        <w:left w:val="none" w:sz="0" w:space="0" w:color="auto"/>
        <w:bottom w:val="none" w:sz="0" w:space="0" w:color="auto"/>
        <w:right w:val="none" w:sz="0" w:space="0" w:color="auto"/>
      </w:divBdr>
    </w:div>
    <w:div w:id="1970434551">
      <w:bodyDiv w:val="1"/>
      <w:marLeft w:val="0"/>
      <w:marRight w:val="0"/>
      <w:marTop w:val="0"/>
      <w:marBottom w:val="0"/>
      <w:divBdr>
        <w:top w:val="none" w:sz="0" w:space="0" w:color="auto"/>
        <w:left w:val="none" w:sz="0" w:space="0" w:color="auto"/>
        <w:bottom w:val="none" w:sz="0" w:space="0" w:color="auto"/>
        <w:right w:val="none" w:sz="0" w:space="0" w:color="auto"/>
      </w:divBdr>
    </w:div>
    <w:div w:id="2037922271">
      <w:bodyDiv w:val="1"/>
      <w:marLeft w:val="0"/>
      <w:marRight w:val="0"/>
      <w:marTop w:val="0"/>
      <w:marBottom w:val="0"/>
      <w:divBdr>
        <w:top w:val="none" w:sz="0" w:space="0" w:color="auto"/>
        <w:left w:val="none" w:sz="0" w:space="0" w:color="auto"/>
        <w:bottom w:val="none" w:sz="0" w:space="0" w:color="auto"/>
        <w:right w:val="none" w:sz="0" w:space="0" w:color="auto"/>
      </w:divBdr>
    </w:div>
    <w:div w:id="2122995317">
      <w:bodyDiv w:val="1"/>
      <w:marLeft w:val="0"/>
      <w:marRight w:val="0"/>
      <w:marTop w:val="0"/>
      <w:marBottom w:val="0"/>
      <w:divBdr>
        <w:top w:val="none" w:sz="0" w:space="0" w:color="auto"/>
        <w:left w:val="none" w:sz="0" w:space="0" w:color="auto"/>
        <w:bottom w:val="none" w:sz="0" w:space="0" w:color="auto"/>
        <w:right w:val="none" w:sz="0" w:space="0" w:color="auto"/>
      </w:divBdr>
    </w:div>
    <w:div w:id="213944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13/T-058-13.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rteconstitucional.gov.co/relatoria/2013/T-058-13.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rteconstitucional.gov.co/relatoria/2013/T-058-13.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8B2DD-1AD3-432B-B029-5B532DD59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14202</Words>
  <Characters>78117</Characters>
  <Application>Microsoft Office Word</Application>
  <DocSecurity>4</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Romero Rincon</dc:creator>
  <cp:keywords/>
  <dc:description/>
  <cp:lastModifiedBy>Grupo de Relatoria</cp:lastModifiedBy>
  <cp:revision>2</cp:revision>
  <cp:lastPrinted>2019-07-30T15:30:00Z</cp:lastPrinted>
  <dcterms:created xsi:type="dcterms:W3CDTF">2019-09-11T15:58:00Z</dcterms:created>
  <dcterms:modified xsi:type="dcterms:W3CDTF">2019-09-11T15:58:00Z</dcterms:modified>
</cp:coreProperties>
</file>