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1D6CC9" w14:textId="55F5C049" w:rsidR="00171C89" w:rsidRDefault="00171C89" w:rsidP="002C1A32">
      <w:pPr>
        <w:spacing w:after="0" w:line="240" w:lineRule="auto"/>
        <w:contextualSpacing/>
        <w:rPr>
          <w:rFonts w:eastAsia="Times New Roman"/>
          <w:b/>
          <w:sz w:val="28"/>
          <w:szCs w:val="28"/>
        </w:rPr>
      </w:pPr>
      <w:bookmarkStart w:id="0" w:name="_GoBack"/>
      <w:bookmarkEnd w:id="0"/>
      <w:r w:rsidRPr="002C1A32">
        <w:rPr>
          <w:rFonts w:eastAsia="Times New Roman"/>
          <w:b/>
          <w:sz w:val="28"/>
          <w:szCs w:val="28"/>
        </w:rPr>
        <w:t>S</w:t>
      </w:r>
      <w:r w:rsidR="002C1A32" w:rsidRPr="002C1A32">
        <w:rPr>
          <w:rFonts w:eastAsia="Times New Roman"/>
          <w:b/>
          <w:sz w:val="28"/>
          <w:szCs w:val="28"/>
        </w:rPr>
        <w:t>entencia</w:t>
      </w:r>
      <w:r w:rsidR="002C1A32">
        <w:rPr>
          <w:rFonts w:eastAsia="Times New Roman"/>
          <w:b/>
          <w:sz w:val="28"/>
          <w:szCs w:val="28"/>
        </w:rPr>
        <w:t xml:space="preserve"> SU</w:t>
      </w:r>
      <w:r w:rsidR="00FE6E09" w:rsidRPr="002C1A32">
        <w:rPr>
          <w:rFonts w:eastAsia="Times New Roman"/>
          <w:b/>
          <w:sz w:val="28"/>
          <w:szCs w:val="28"/>
        </w:rPr>
        <w:t>273</w:t>
      </w:r>
      <w:r w:rsidR="002C1A32">
        <w:rPr>
          <w:rFonts w:eastAsia="Times New Roman"/>
          <w:b/>
          <w:sz w:val="28"/>
          <w:szCs w:val="28"/>
        </w:rPr>
        <w:t>/</w:t>
      </w:r>
      <w:r w:rsidRPr="002C1A32">
        <w:rPr>
          <w:rFonts w:eastAsia="Times New Roman"/>
          <w:b/>
          <w:sz w:val="28"/>
          <w:szCs w:val="28"/>
        </w:rPr>
        <w:t>1</w:t>
      </w:r>
      <w:r w:rsidR="00CE0DEC" w:rsidRPr="002C1A32">
        <w:rPr>
          <w:rFonts w:eastAsia="Times New Roman"/>
          <w:b/>
          <w:sz w:val="28"/>
          <w:szCs w:val="28"/>
        </w:rPr>
        <w:t>9</w:t>
      </w:r>
    </w:p>
    <w:p w14:paraId="4FDE9899" w14:textId="77777777" w:rsidR="002C1A32" w:rsidRPr="002C1A32" w:rsidRDefault="002C1A32" w:rsidP="002C1A32">
      <w:pPr>
        <w:spacing w:after="0" w:line="240" w:lineRule="auto"/>
        <w:contextualSpacing/>
        <w:rPr>
          <w:rFonts w:eastAsia="Times New Roman"/>
          <w:b/>
          <w:sz w:val="28"/>
          <w:szCs w:val="28"/>
        </w:rPr>
      </w:pPr>
    </w:p>
    <w:p w14:paraId="75E31589" w14:textId="68F6CB5D" w:rsidR="00171C89" w:rsidRPr="002C1A32" w:rsidRDefault="00171C89" w:rsidP="002C1A32">
      <w:pPr>
        <w:tabs>
          <w:tab w:val="left" w:pos="3301"/>
        </w:tabs>
        <w:spacing w:after="0" w:line="240" w:lineRule="auto"/>
        <w:contextualSpacing/>
        <w:rPr>
          <w:rFonts w:eastAsia="Times New Roman"/>
          <w:b/>
          <w:sz w:val="28"/>
          <w:szCs w:val="28"/>
        </w:rPr>
      </w:pPr>
    </w:p>
    <w:p w14:paraId="506A934F" w14:textId="75243185" w:rsidR="00171C89" w:rsidRPr="002C1A32" w:rsidRDefault="009B78EF" w:rsidP="002C1A32">
      <w:pPr>
        <w:shd w:val="clear" w:color="auto" w:fill="FFFFFF"/>
        <w:spacing w:after="0" w:line="240" w:lineRule="auto"/>
        <w:ind w:left="3969" w:right="49"/>
        <w:contextualSpacing/>
        <w:jc w:val="both"/>
        <w:rPr>
          <w:rFonts w:eastAsia="Times New Roman"/>
          <w:sz w:val="28"/>
          <w:szCs w:val="28"/>
        </w:rPr>
      </w:pPr>
      <w:r w:rsidRPr="002C1A32">
        <w:rPr>
          <w:rFonts w:eastAsia="Times New Roman"/>
          <w:sz w:val="28"/>
          <w:szCs w:val="28"/>
        </w:rPr>
        <w:t>Expedientes</w:t>
      </w:r>
      <w:r w:rsidR="009165CC" w:rsidRPr="002C1A32">
        <w:rPr>
          <w:rFonts w:eastAsia="Times New Roman"/>
          <w:sz w:val="28"/>
          <w:szCs w:val="28"/>
        </w:rPr>
        <w:t>:</w:t>
      </w:r>
      <w:r w:rsidRPr="002C1A32">
        <w:rPr>
          <w:rFonts w:eastAsia="Times New Roman"/>
          <w:sz w:val="28"/>
          <w:szCs w:val="28"/>
        </w:rPr>
        <w:t xml:space="preserve"> T-5.457.363,</w:t>
      </w:r>
      <w:r w:rsidR="009165CC" w:rsidRPr="002C1A32">
        <w:rPr>
          <w:rFonts w:eastAsia="Times New Roman"/>
          <w:sz w:val="28"/>
          <w:szCs w:val="28"/>
        </w:rPr>
        <w:t xml:space="preserve"> </w:t>
      </w:r>
      <w:r w:rsidRPr="002C1A32">
        <w:rPr>
          <w:rFonts w:eastAsia="Times New Roman"/>
          <w:sz w:val="28"/>
          <w:szCs w:val="28"/>
        </w:rPr>
        <w:t>T-5.513.941 y T-5.516.632, AC.</w:t>
      </w:r>
    </w:p>
    <w:p w14:paraId="04F8978F" w14:textId="77777777" w:rsidR="009B78EF" w:rsidRPr="002C1A32" w:rsidRDefault="009B78EF" w:rsidP="002C1A32">
      <w:pPr>
        <w:spacing w:after="0" w:line="240" w:lineRule="auto"/>
        <w:ind w:left="3969"/>
        <w:contextualSpacing/>
        <w:jc w:val="both"/>
        <w:rPr>
          <w:rFonts w:eastAsia="Times New Roman"/>
          <w:sz w:val="28"/>
          <w:szCs w:val="28"/>
        </w:rPr>
      </w:pPr>
    </w:p>
    <w:p w14:paraId="1FF75212" w14:textId="14F8796D" w:rsidR="00171C89" w:rsidRPr="002C1A32" w:rsidRDefault="009B78EF" w:rsidP="002C1A32">
      <w:pPr>
        <w:spacing w:after="0" w:line="240" w:lineRule="auto"/>
        <w:ind w:left="3969"/>
        <w:contextualSpacing/>
        <w:jc w:val="both"/>
        <w:rPr>
          <w:rFonts w:eastAsia="Times New Roman"/>
          <w:sz w:val="28"/>
          <w:szCs w:val="28"/>
        </w:rPr>
      </w:pPr>
      <w:r w:rsidRPr="002C1A32">
        <w:rPr>
          <w:rFonts w:eastAsia="Times New Roman"/>
          <w:sz w:val="28"/>
          <w:szCs w:val="28"/>
        </w:rPr>
        <w:t>Accio</w:t>
      </w:r>
      <w:r w:rsidR="00171C89" w:rsidRPr="002C1A32">
        <w:rPr>
          <w:rFonts w:eastAsia="Times New Roman"/>
          <w:sz w:val="28"/>
          <w:szCs w:val="28"/>
        </w:rPr>
        <w:t>n</w:t>
      </w:r>
      <w:r w:rsidRPr="002C1A32">
        <w:rPr>
          <w:rFonts w:eastAsia="Times New Roman"/>
          <w:sz w:val="28"/>
          <w:szCs w:val="28"/>
        </w:rPr>
        <w:t>es</w:t>
      </w:r>
      <w:r w:rsidR="00171C89" w:rsidRPr="002C1A32">
        <w:rPr>
          <w:rFonts w:eastAsia="Times New Roman"/>
          <w:sz w:val="28"/>
          <w:szCs w:val="28"/>
        </w:rPr>
        <w:t xml:space="preserve"> de tutela interpuesta</w:t>
      </w:r>
      <w:r w:rsidRPr="002C1A32">
        <w:rPr>
          <w:rFonts w:eastAsia="Times New Roman"/>
          <w:sz w:val="28"/>
          <w:szCs w:val="28"/>
        </w:rPr>
        <w:t>s</w:t>
      </w:r>
      <w:r w:rsidR="00171C89" w:rsidRPr="002C1A32">
        <w:rPr>
          <w:rFonts w:eastAsia="Times New Roman"/>
          <w:sz w:val="28"/>
          <w:szCs w:val="28"/>
        </w:rPr>
        <w:t xml:space="preserve"> por </w:t>
      </w:r>
      <w:r w:rsidRPr="002C1A32">
        <w:rPr>
          <w:rFonts w:eastAsia="Times New Roman"/>
          <w:sz w:val="28"/>
          <w:szCs w:val="28"/>
        </w:rPr>
        <w:t xml:space="preserve">Inés Tomasa Valencia Quejada (T-5.457.363), María Rogelia Calpa De Chingue y otras (T-5.513.941) y Ana de Jesús Arciniegas Herrera y otras (T-5.516.632), contra el Instituto Colombiano de Bienestar Familiar –ICBF- y el Departamento Administrativo para la Prosperidad Social –DPS-, </w:t>
      </w:r>
      <w:r w:rsidR="00DB0831" w:rsidRPr="002C1A32">
        <w:rPr>
          <w:rFonts w:eastAsia="Times New Roman"/>
          <w:sz w:val="28"/>
          <w:szCs w:val="28"/>
        </w:rPr>
        <w:t xml:space="preserve">la Administradora Colombiana de Pensiones –Colpensiones- y Summar Temporales S.A.S. </w:t>
      </w:r>
      <w:r w:rsidRPr="002C1A32">
        <w:rPr>
          <w:rFonts w:eastAsia="Times New Roman"/>
          <w:sz w:val="28"/>
          <w:szCs w:val="28"/>
        </w:rPr>
        <w:t xml:space="preserve">y los vinculados </w:t>
      </w:r>
      <w:r w:rsidR="00C8038D" w:rsidRPr="002C1A32">
        <w:rPr>
          <w:rFonts w:eastAsia="Times New Roman"/>
          <w:sz w:val="28"/>
          <w:szCs w:val="28"/>
        </w:rPr>
        <w:t xml:space="preserve">Ministerio del Trabajo y </w:t>
      </w:r>
      <w:r w:rsidRPr="002C1A32">
        <w:rPr>
          <w:rFonts w:eastAsia="Times New Roman"/>
          <w:sz w:val="28"/>
          <w:szCs w:val="28"/>
        </w:rPr>
        <w:t>Consorcio Colombia Mayor 2013.</w:t>
      </w:r>
    </w:p>
    <w:p w14:paraId="0D440175" w14:textId="77777777" w:rsidR="009B78EF" w:rsidRPr="002C1A32" w:rsidRDefault="009B78EF" w:rsidP="002C1A32">
      <w:pPr>
        <w:shd w:val="clear" w:color="auto" w:fill="FFFFFF"/>
        <w:spacing w:after="0" w:line="240" w:lineRule="auto"/>
        <w:ind w:left="3969" w:right="49"/>
        <w:contextualSpacing/>
        <w:jc w:val="both"/>
        <w:rPr>
          <w:rFonts w:eastAsia="Times New Roman"/>
          <w:sz w:val="28"/>
          <w:szCs w:val="28"/>
        </w:rPr>
      </w:pPr>
    </w:p>
    <w:p w14:paraId="6E1435C8" w14:textId="77777777" w:rsidR="00171C89" w:rsidRPr="002C1A32" w:rsidRDefault="00171C89" w:rsidP="002C1A32">
      <w:pPr>
        <w:shd w:val="clear" w:color="auto" w:fill="FFFFFF"/>
        <w:spacing w:after="0" w:line="240" w:lineRule="auto"/>
        <w:ind w:left="3969" w:right="49"/>
        <w:contextualSpacing/>
        <w:jc w:val="both"/>
        <w:rPr>
          <w:rFonts w:eastAsia="Times New Roman"/>
          <w:sz w:val="28"/>
          <w:szCs w:val="28"/>
        </w:rPr>
      </w:pPr>
      <w:r w:rsidRPr="002C1A32">
        <w:rPr>
          <w:rFonts w:eastAsia="Times New Roman"/>
          <w:sz w:val="28"/>
          <w:szCs w:val="28"/>
        </w:rPr>
        <w:t>Magistrado Ponente:</w:t>
      </w:r>
    </w:p>
    <w:p w14:paraId="1860312B" w14:textId="77777777" w:rsidR="00171C89" w:rsidRPr="002C1A32" w:rsidRDefault="00171C89" w:rsidP="002C1A32">
      <w:pPr>
        <w:shd w:val="clear" w:color="auto" w:fill="FFFFFF"/>
        <w:spacing w:after="0" w:line="240" w:lineRule="auto"/>
        <w:ind w:left="3969" w:right="49"/>
        <w:contextualSpacing/>
        <w:jc w:val="both"/>
        <w:rPr>
          <w:rFonts w:eastAsia="Times New Roman"/>
          <w:sz w:val="28"/>
          <w:szCs w:val="28"/>
        </w:rPr>
      </w:pPr>
      <w:r w:rsidRPr="002C1A32">
        <w:rPr>
          <w:rFonts w:eastAsia="Times New Roman"/>
          <w:sz w:val="28"/>
          <w:szCs w:val="28"/>
        </w:rPr>
        <w:t>CARLOS BERNAL PULIDO</w:t>
      </w:r>
    </w:p>
    <w:p w14:paraId="3D4B0DAC" w14:textId="77777777" w:rsidR="00171C89" w:rsidRDefault="00171C89" w:rsidP="002C1A32">
      <w:pPr>
        <w:shd w:val="clear" w:color="auto" w:fill="FFFFFF"/>
        <w:spacing w:after="0" w:line="240" w:lineRule="auto"/>
        <w:ind w:right="49"/>
        <w:contextualSpacing/>
        <w:rPr>
          <w:rFonts w:eastAsia="Times New Roman"/>
          <w:sz w:val="28"/>
          <w:szCs w:val="28"/>
        </w:rPr>
      </w:pPr>
    </w:p>
    <w:p w14:paraId="2990FB87" w14:textId="77777777" w:rsidR="002C1A32" w:rsidRPr="002C1A32" w:rsidRDefault="002C1A32" w:rsidP="002C1A32">
      <w:pPr>
        <w:shd w:val="clear" w:color="auto" w:fill="FFFFFF"/>
        <w:spacing w:after="0" w:line="240" w:lineRule="auto"/>
        <w:ind w:right="49"/>
        <w:contextualSpacing/>
        <w:rPr>
          <w:rFonts w:eastAsia="Times New Roman"/>
          <w:sz w:val="28"/>
          <w:szCs w:val="28"/>
        </w:rPr>
      </w:pPr>
    </w:p>
    <w:p w14:paraId="0A15C8B6" w14:textId="2135DFE9" w:rsidR="00171C89" w:rsidRDefault="00171C89" w:rsidP="002C1A32">
      <w:pPr>
        <w:shd w:val="clear" w:color="auto" w:fill="FFFFFF"/>
        <w:spacing w:after="0" w:line="240" w:lineRule="auto"/>
        <w:ind w:right="49"/>
        <w:contextualSpacing/>
        <w:rPr>
          <w:rFonts w:eastAsia="Times New Roman"/>
          <w:sz w:val="28"/>
          <w:szCs w:val="28"/>
        </w:rPr>
      </w:pPr>
      <w:r w:rsidRPr="002C1A32">
        <w:rPr>
          <w:rFonts w:eastAsia="Times New Roman"/>
          <w:sz w:val="28"/>
          <w:szCs w:val="28"/>
        </w:rPr>
        <w:t>Bogotá, D.C</w:t>
      </w:r>
      <w:r w:rsidR="003F24C2" w:rsidRPr="002C1A32">
        <w:rPr>
          <w:rFonts w:eastAsia="Times New Roman"/>
          <w:sz w:val="28"/>
          <w:szCs w:val="28"/>
        </w:rPr>
        <w:t>.</w:t>
      </w:r>
      <w:r w:rsidRPr="002C1A32">
        <w:rPr>
          <w:rFonts w:eastAsia="Times New Roman"/>
          <w:sz w:val="28"/>
          <w:szCs w:val="28"/>
        </w:rPr>
        <w:t xml:space="preserve">, </w:t>
      </w:r>
      <w:r w:rsidR="001D1750" w:rsidRPr="002C1A32">
        <w:rPr>
          <w:rFonts w:eastAsia="Times New Roman"/>
          <w:sz w:val="28"/>
          <w:szCs w:val="28"/>
        </w:rPr>
        <w:t>diecinueve</w:t>
      </w:r>
      <w:r w:rsidR="00DF63C6" w:rsidRPr="002C1A32">
        <w:rPr>
          <w:rFonts w:eastAsia="Times New Roman"/>
          <w:sz w:val="28"/>
          <w:szCs w:val="28"/>
        </w:rPr>
        <w:t xml:space="preserve"> </w:t>
      </w:r>
      <w:r w:rsidRPr="002C1A32">
        <w:rPr>
          <w:rFonts w:eastAsia="Times New Roman"/>
          <w:sz w:val="28"/>
          <w:szCs w:val="28"/>
        </w:rPr>
        <w:t>(</w:t>
      </w:r>
      <w:r w:rsidR="001D1750" w:rsidRPr="002C1A32">
        <w:rPr>
          <w:rFonts w:eastAsia="Times New Roman"/>
          <w:sz w:val="28"/>
          <w:szCs w:val="28"/>
        </w:rPr>
        <w:t>19</w:t>
      </w:r>
      <w:r w:rsidRPr="002C1A32">
        <w:rPr>
          <w:rFonts w:eastAsia="Times New Roman"/>
          <w:sz w:val="28"/>
          <w:szCs w:val="28"/>
        </w:rPr>
        <w:t xml:space="preserve">) de </w:t>
      </w:r>
      <w:r w:rsidR="003F24C2" w:rsidRPr="002C1A32">
        <w:rPr>
          <w:rFonts w:eastAsia="Times New Roman"/>
          <w:sz w:val="28"/>
          <w:szCs w:val="28"/>
        </w:rPr>
        <w:t>juni</w:t>
      </w:r>
      <w:r w:rsidR="00DF63C6" w:rsidRPr="002C1A32">
        <w:rPr>
          <w:rFonts w:eastAsia="Times New Roman"/>
          <w:sz w:val="28"/>
          <w:szCs w:val="28"/>
        </w:rPr>
        <w:t xml:space="preserve">o de dos mil diecinueve </w:t>
      </w:r>
      <w:r w:rsidRPr="002C1A32">
        <w:rPr>
          <w:rFonts w:eastAsia="Times New Roman"/>
          <w:sz w:val="28"/>
          <w:szCs w:val="28"/>
        </w:rPr>
        <w:t>(201</w:t>
      </w:r>
      <w:r w:rsidR="00DF63C6" w:rsidRPr="002C1A32">
        <w:rPr>
          <w:rFonts w:eastAsia="Times New Roman"/>
          <w:sz w:val="28"/>
          <w:szCs w:val="28"/>
        </w:rPr>
        <w:t>9</w:t>
      </w:r>
      <w:r w:rsidRPr="002C1A32">
        <w:rPr>
          <w:rFonts w:eastAsia="Times New Roman"/>
          <w:sz w:val="28"/>
          <w:szCs w:val="28"/>
        </w:rPr>
        <w:t>).</w:t>
      </w:r>
      <w:r w:rsidR="00DF63C6" w:rsidRPr="002C1A32">
        <w:rPr>
          <w:rFonts w:eastAsia="Times New Roman"/>
          <w:sz w:val="28"/>
          <w:szCs w:val="28"/>
        </w:rPr>
        <w:br/>
      </w:r>
      <w:r w:rsidRPr="002C1A32">
        <w:rPr>
          <w:rFonts w:eastAsia="Times New Roman"/>
          <w:sz w:val="28"/>
          <w:szCs w:val="28"/>
        </w:rPr>
        <w:t> </w:t>
      </w:r>
    </w:p>
    <w:p w14:paraId="3A0E2AA2" w14:textId="77777777" w:rsidR="002C1A32" w:rsidRPr="002C1A32" w:rsidRDefault="002C1A32" w:rsidP="002C1A32">
      <w:pPr>
        <w:shd w:val="clear" w:color="auto" w:fill="FFFFFF"/>
        <w:spacing w:after="0" w:line="240" w:lineRule="auto"/>
        <w:ind w:right="49"/>
        <w:contextualSpacing/>
        <w:rPr>
          <w:rFonts w:eastAsia="Times New Roman"/>
          <w:sz w:val="28"/>
          <w:szCs w:val="28"/>
        </w:rPr>
      </w:pPr>
    </w:p>
    <w:p w14:paraId="00C19BE7" w14:textId="327895E7" w:rsidR="00171C89" w:rsidRPr="002C1A32" w:rsidRDefault="00171C89" w:rsidP="002C1A32">
      <w:pPr>
        <w:shd w:val="clear" w:color="auto" w:fill="FFFFFF"/>
        <w:spacing w:after="0" w:line="240" w:lineRule="auto"/>
        <w:ind w:right="49"/>
        <w:contextualSpacing/>
        <w:jc w:val="both"/>
        <w:rPr>
          <w:rFonts w:eastAsia="Times New Roman"/>
          <w:sz w:val="28"/>
          <w:szCs w:val="28"/>
        </w:rPr>
      </w:pPr>
      <w:r w:rsidRPr="002C1A32">
        <w:rPr>
          <w:rFonts w:eastAsia="Times New Roman"/>
          <w:sz w:val="28"/>
          <w:szCs w:val="28"/>
        </w:rPr>
        <w:t>La Sala Plena de la Corte Constitucional, en ejercicio de sus competencias constitucionales y legales, específicamente las previstas en los artículos 86 y 241 numeral 9 de la Constitución Política, 33 y siguientes del Decreto 2591 de 1991, y de conformidad con lo</w:t>
      </w:r>
      <w:r w:rsidR="002772EF" w:rsidRPr="002C1A32">
        <w:rPr>
          <w:rFonts w:eastAsia="Times New Roman"/>
          <w:sz w:val="28"/>
          <w:szCs w:val="28"/>
        </w:rPr>
        <w:t xml:space="preserve"> dispuesto en l</w:t>
      </w:r>
      <w:r w:rsidR="00C04BC0" w:rsidRPr="002C1A32">
        <w:rPr>
          <w:rFonts w:eastAsia="Times New Roman"/>
          <w:sz w:val="28"/>
          <w:szCs w:val="28"/>
        </w:rPr>
        <w:t>os</w:t>
      </w:r>
      <w:r w:rsidR="002772EF" w:rsidRPr="002C1A32">
        <w:rPr>
          <w:rFonts w:eastAsia="Times New Roman"/>
          <w:sz w:val="28"/>
          <w:szCs w:val="28"/>
        </w:rPr>
        <w:t xml:space="preserve"> Autos </w:t>
      </w:r>
      <w:r w:rsidR="00C04BC0" w:rsidRPr="002C1A32">
        <w:rPr>
          <w:rFonts w:eastAsia="Times New Roman"/>
          <w:sz w:val="28"/>
          <w:szCs w:val="28"/>
        </w:rPr>
        <w:t>186 de 2017 y 217 de 2018</w:t>
      </w:r>
      <w:r w:rsidRPr="002C1A32">
        <w:rPr>
          <w:rFonts w:eastAsia="Times New Roman"/>
          <w:sz w:val="28"/>
          <w:szCs w:val="28"/>
        </w:rPr>
        <w:t>, que declar</w:t>
      </w:r>
      <w:r w:rsidR="00C04BC0" w:rsidRPr="002C1A32">
        <w:rPr>
          <w:rFonts w:eastAsia="Times New Roman"/>
          <w:sz w:val="28"/>
          <w:szCs w:val="28"/>
        </w:rPr>
        <w:t xml:space="preserve">aron la nulidad </w:t>
      </w:r>
      <w:r w:rsidRPr="002C1A32">
        <w:rPr>
          <w:rFonts w:eastAsia="Times New Roman"/>
          <w:sz w:val="28"/>
          <w:szCs w:val="28"/>
        </w:rPr>
        <w:t xml:space="preserve">de la </w:t>
      </w:r>
      <w:r w:rsidR="00C04BC0" w:rsidRPr="002C1A32">
        <w:rPr>
          <w:rFonts w:eastAsia="Times New Roman"/>
          <w:sz w:val="28"/>
          <w:szCs w:val="28"/>
        </w:rPr>
        <w:t>S</w:t>
      </w:r>
      <w:r w:rsidRPr="002C1A32">
        <w:rPr>
          <w:rFonts w:eastAsia="Times New Roman"/>
          <w:sz w:val="28"/>
          <w:szCs w:val="28"/>
        </w:rPr>
        <w:t>entencia T-</w:t>
      </w:r>
      <w:r w:rsidR="00C04BC0" w:rsidRPr="002C1A32">
        <w:rPr>
          <w:rFonts w:eastAsia="Times New Roman"/>
          <w:sz w:val="28"/>
          <w:szCs w:val="28"/>
        </w:rPr>
        <w:t>480</w:t>
      </w:r>
      <w:r w:rsidRPr="002C1A32">
        <w:rPr>
          <w:rFonts w:eastAsia="Times New Roman"/>
          <w:sz w:val="28"/>
          <w:szCs w:val="28"/>
        </w:rPr>
        <w:t xml:space="preserve"> de 20</w:t>
      </w:r>
      <w:r w:rsidR="00DF63C6" w:rsidRPr="002C1A32">
        <w:rPr>
          <w:rFonts w:eastAsia="Times New Roman"/>
          <w:sz w:val="28"/>
          <w:szCs w:val="28"/>
        </w:rPr>
        <w:t>1</w:t>
      </w:r>
      <w:r w:rsidR="00C04BC0" w:rsidRPr="002C1A32">
        <w:rPr>
          <w:rFonts w:eastAsia="Times New Roman"/>
          <w:sz w:val="28"/>
          <w:szCs w:val="28"/>
        </w:rPr>
        <w:t>6</w:t>
      </w:r>
      <w:r w:rsidRPr="002C1A32">
        <w:rPr>
          <w:rFonts w:eastAsia="Times New Roman"/>
          <w:sz w:val="28"/>
          <w:szCs w:val="28"/>
        </w:rPr>
        <w:t>, profiere la siguiente:</w:t>
      </w:r>
    </w:p>
    <w:p w14:paraId="1E869FB9" w14:textId="77777777" w:rsidR="00171C89" w:rsidRPr="002C1A32" w:rsidRDefault="00171C89" w:rsidP="002C1A32">
      <w:pPr>
        <w:shd w:val="clear" w:color="auto" w:fill="FFFFFF"/>
        <w:spacing w:after="0" w:line="240" w:lineRule="auto"/>
        <w:ind w:right="49"/>
        <w:contextualSpacing/>
        <w:jc w:val="both"/>
        <w:rPr>
          <w:rFonts w:eastAsia="Times New Roman"/>
          <w:sz w:val="28"/>
          <w:szCs w:val="28"/>
        </w:rPr>
      </w:pPr>
    </w:p>
    <w:p w14:paraId="2DAA3588" w14:textId="77777777" w:rsidR="00171C89" w:rsidRPr="002C1A32" w:rsidRDefault="00171C89" w:rsidP="002C1A32">
      <w:pPr>
        <w:shd w:val="clear" w:color="auto" w:fill="FFFFFF"/>
        <w:spacing w:after="0" w:line="240" w:lineRule="auto"/>
        <w:ind w:right="49"/>
        <w:contextualSpacing/>
        <w:jc w:val="center"/>
        <w:rPr>
          <w:rFonts w:eastAsia="Times New Roman"/>
          <w:sz w:val="28"/>
          <w:szCs w:val="28"/>
        </w:rPr>
      </w:pPr>
      <w:r w:rsidRPr="002C1A32">
        <w:rPr>
          <w:rFonts w:eastAsia="Times New Roman"/>
          <w:b/>
          <w:sz w:val="28"/>
          <w:szCs w:val="28"/>
        </w:rPr>
        <w:t>SENTENCIA</w:t>
      </w:r>
    </w:p>
    <w:p w14:paraId="75D45FA8" w14:textId="77777777" w:rsidR="00171C89" w:rsidRPr="002C1A32" w:rsidRDefault="00171C89" w:rsidP="002C1A32">
      <w:pPr>
        <w:shd w:val="clear" w:color="auto" w:fill="FFFFFF"/>
        <w:spacing w:after="0" w:line="240" w:lineRule="auto"/>
        <w:ind w:right="49"/>
        <w:contextualSpacing/>
        <w:jc w:val="both"/>
        <w:rPr>
          <w:rFonts w:eastAsia="Times New Roman"/>
          <w:sz w:val="28"/>
          <w:szCs w:val="28"/>
        </w:rPr>
      </w:pPr>
      <w:r w:rsidRPr="002C1A32">
        <w:rPr>
          <w:rFonts w:eastAsia="Times New Roman"/>
          <w:sz w:val="28"/>
          <w:szCs w:val="28"/>
        </w:rPr>
        <w:t> </w:t>
      </w:r>
    </w:p>
    <w:p w14:paraId="4FA4B1F6" w14:textId="77777777" w:rsidR="0035634D" w:rsidRPr="002C1A32" w:rsidRDefault="002C7F95" w:rsidP="002C1A3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right="60"/>
        <w:contextualSpacing/>
        <w:jc w:val="both"/>
        <w:rPr>
          <w:rFonts w:eastAsia="Times New Roman"/>
          <w:sz w:val="28"/>
          <w:szCs w:val="28"/>
        </w:rPr>
      </w:pPr>
      <w:r w:rsidRPr="002C1A32">
        <w:rPr>
          <w:rFonts w:eastAsia="Times New Roman"/>
          <w:sz w:val="28"/>
          <w:szCs w:val="28"/>
        </w:rPr>
        <w:t xml:space="preserve">En el proceso de revisión de los fallos proferidos en única instancia el 25 de noviembre de 2015 por el Juzgado Noveno Penal del Circuito de Medellín, el 23 de noviembre de 2015 por la Sala Laboral del Tribunal Superior del Distrito Judicial de Pasto y el 12 de enero de 2016 por el Juzgado Segundo Civil del Circuito de Cali, dentro de las acciones de tutela promovidas, mediante apoderado judicial, por Inés Tomasa Valencia Quejada (T-5.457.363); María Rogelia Calpa De Chingue, </w:t>
      </w:r>
      <w:r w:rsidR="00DC225A" w:rsidRPr="002C1A32">
        <w:rPr>
          <w:rFonts w:eastAsia="Times New Roman"/>
          <w:sz w:val="28"/>
          <w:szCs w:val="28"/>
        </w:rPr>
        <w:t xml:space="preserve">y otras </w:t>
      </w:r>
      <w:r w:rsidR="004822CB" w:rsidRPr="002C1A32">
        <w:rPr>
          <w:rFonts w:eastAsia="Times New Roman"/>
          <w:sz w:val="28"/>
          <w:szCs w:val="28"/>
        </w:rPr>
        <w:t>56</w:t>
      </w:r>
      <w:r w:rsidR="00DC225A" w:rsidRPr="002C1A32">
        <w:rPr>
          <w:rFonts w:eastAsia="Times New Roman"/>
          <w:sz w:val="28"/>
          <w:szCs w:val="28"/>
        </w:rPr>
        <w:t xml:space="preserve"> accionantes </w:t>
      </w:r>
      <w:r w:rsidRPr="002C1A32">
        <w:rPr>
          <w:rFonts w:eastAsia="Times New Roman"/>
          <w:sz w:val="28"/>
          <w:szCs w:val="28"/>
        </w:rPr>
        <w:t xml:space="preserve">(T-5.513.941); y </w:t>
      </w:r>
      <w:r w:rsidR="008720D4" w:rsidRPr="002C1A32">
        <w:rPr>
          <w:rFonts w:eastAsia="Times New Roman"/>
          <w:sz w:val="28"/>
          <w:szCs w:val="28"/>
        </w:rPr>
        <w:t>Ana de Jesús Arciniegas Herrera y otras 48 accionantes</w:t>
      </w:r>
      <w:r w:rsidRPr="002C1A32">
        <w:rPr>
          <w:rFonts w:eastAsia="Times New Roman"/>
          <w:sz w:val="28"/>
          <w:szCs w:val="28"/>
        </w:rPr>
        <w:t xml:space="preserve"> (T-5.516.632), respectivamente, contra el </w:t>
      </w:r>
      <w:r w:rsidR="00411A0E" w:rsidRPr="002C1A32">
        <w:rPr>
          <w:rFonts w:eastAsia="Times New Roman"/>
          <w:sz w:val="28"/>
          <w:szCs w:val="28"/>
        </w:rPr>
        <w:t xml:space="preserve">ICBF, </w:t>
      </w:r>
      <w:r w:rsidRPr="002C1A32">
        <w:rPr>
          <w:rFonts w:eastAsia="Times New Roman"/>
          <w:sz w:val="28"/>
          <w:szCs w:val="28"/>
        </w:rPr>
        <w:t>el DPS,</w:t>
      </w:r>
      <w:r w:rsidR="00411A0E" w:rsidRPr="002C1A32">
        <w:rPr>
          <w:rFonts w:eastAsia="Times New Roman"/>
          <w:sz w:val="28"/>
          <w:szCs w:val="28"/>
        </w:rPr>
        <w:t xml:space="preserve"> Colpensiones y Summar Temporales S.A.S.</w:t>
      </w:r>
      <w:r w:rsidRPr="002C1A32">
        <w:rPr>
          <w:rFonts w:eastAsia="Times New Roman"/>
          <w:sz w:val="28"/>
          <w:szCs w:val="28"/>
        </w:rPr>
        <w:t xml:space="preserve"> y los vinculados </w:t>
      </w:r>
      <w:r w:rsidR="0035634D" w:rsidRPr="002C1A32">
        <w:rPr>
          <w:rFonts w:eastAsia="Times New Roman"/>
          <w:sz w:val="28"/>
          <w:szCs w:val="28"/>
        </w:rPr>
        <w:t xml:space="preserve">Ministerio del Trabajo y Consorcio Colombia Mayor </w:t>
      </w:r>
      <w:r w:rsidRPr="002C1A32">
        <w:rPr>
          <w:rFonts w:eastAsia="Times New Roman"/>
          <w:sz w:val="28"/>
          <w:szCs w:val="28"/>
        </w:rPr>
        <w:t>2013</w:t>
      </w:r>
      <w:r w:rsidR="0035634D" w:rsidRPr="002C1A32">
        <w:rPr>
          <w:rFonts w:eastAsia="Times New Roman"/>
          <w:sz w:val="28"/>
          <w:szCs w:val="28"/>
        </w:rPr>
        <w:t>.</w:t>
      </w:r>
    </w:p>
    <w:p w14:paraId="2493D924" w14:textId="402C7A8D" w:rsidR="00171C89" w:rsidRPr="002C1A32" w:rsidRDefault="00171C89" w:rsidP="002C1A32">
      <w:pPr>
        <w:pStyle w:val="Ttulo1"/>
        <w:numPr>
          <w:ilvl w:val="0"/>
          <w:numId w:val="9"/>
        </w:numPr>
        <w:pBdr>
          <w:top w:val="none" w:sz="0" w:space="0" w:color="auto"/>
          <w:left w:val="none" w:sz="0" w:space="0" w:color="auto"/>
          <w:bottom w:val="none" w:sz="0" w:space="0" w:color="auto"/>
          <w:right w:val="none" w:sz="0" w:space="0" w:color="auto"/>
          <w:between w:val="none" w:sz="0" w:space="0" w:color="auto"/>
        </w:pBdr>
        <w:spacing w:before="0" w:after="0" w:line="240" w:lineRule="auto"/>
        <w:ind w:left="0" w:hanging="567"/>
        <w:jc w:val="both"/>
        <w:rPr>
          <w:sz w:val="28"/>
          <w:szCs w:val="28"/>
        </w:rPr>
      </w:pPr>
      <w:r w:rsidRPr="002C1A32">
        <w:rPr>
          <w:rFonts w:eastAsiaTheme="minorHAnsi"/>
          <w:sz w:val="28"/>
          <w:szCs w:val="28"/>
          <w:lang w:val="es-ES" w:eastAsia="en-US"/>
        </w:rPr>
        <w:lastRenderedPageBreak/>
        <w:t>ANTECEDENTES</w:t>
      </w:r>
    </w:p>
    <w:p w14:paraId="56FDFF50" w14:textId="77777777" w:rsidR="00171C89" w:rsidRPr="002C1A32" w:rsidRDefault="00171C89" w:rsidP="002C1A32">
      <w:pPr>
        <w:widowControl w:val="0"/>
        <w:spacing w:after="0" w:line="240" w:lineRule="auto"/>
        <w:contextualSpacing/>
        <w:rPr>
          <w:rFonts w:eastAsia="Times New Roman"/>
          <w:b/>
          <w:sz w:val="28"/>
          <w:szCs w:val="28"/>
        </w:rPr>
      </w:pPr>
    </w:p>
    <w:p w14:paraId="6938739B" w14:textId="4264FA3A" w:rsidR="00171C89" w:rsidRPr="002C1A32" w:rsidRDefault="00171C89" w:rsidP="002C1A32">
      <w:pPr>
        <w:pStyle w:val="Ttulo2"/>
        <w:pBdr>
          <w:top w:val="none" w:sz="0" w:space="0" w:color="auto"/>
          <w:left w:val="none" w:sz="0" w:space="0" w:color="auto"/>
          <w:bottom w:val="none" w:sz="0" w:space="0" w:color="auto"/>
          <w:right w:val="none" w:sz="0" w:space="0" w:color="auto"/>
          <w:between w:val="none" w:sz="0" w:space="0" w:color="auto"/>
        </w:pBdr>
        <w:spacing w:before="0" w:after="0" w:line="240" w:lineRule="auto"/>
        <w:rPr>
          <w:rFonts w:eastAsia="Times New Roman"/>
          <w:b/>
          <w:szCs w:val="28"/>
        </w:rPr>
      </w:pPr>
      <w:r w:rsidRPr="002C1A32">
        <w:rPr>
          <w:b/>
          <w:color w:val="000000"/>
          <w:szCs w:val="28"/>
        </w:rPr>
        <w:t>Hechos</w:t>
      </w:r>
      <w:r w:rsidRPr="002C1A32">
        <w:rPr>
          <w:rFonts w:eastAsia="Times New Roman"/>
          <w:b/>
          <w:szCs w:val="28"/>
        </w:rPr>
        <w:t xml:space="preserve"> probados</w:t>
      </w:r>
      <w:r w:rsidR="00622F2F" w:rsidRPr="002C1A32">
        <w:rPr>
          <w:b/>
          <w:szCs w:val="28"/>
        </w:rPr>
        <w:t xml:space="preserve"> </w:t>
      </w:r>
      <w:r w:rsidR="00622F2F" w:rsidRPr="002C1A32">
        <w:rPr>
          <w:rFonts w:eastAsia="Times New Roman"/>
          <w:b/>
          <w:szCs w:val="28"/>
        </w:rPr>
        <w:t>comunes a los expedientes</w:t>
      </w:r>
    </w:p>
    <w:p w14:paraId="35B7EF74" w14:textId="77777777" w:rsidR="00171C89" w:rsidRPr="002C1A32" w:rsidRDefault="00171C89" w:rsidP="002C1A32">
      <w:pPr>
        <w:widowControl w:val="0"/>
        <w:spacing w:after="0" w:line="240" w:lineRule="auto"/>
        <w:contextualSpacing/>
        <w:jc w:val="both"/>
        <w:rPr>
          <w:rFonts w:eastAsia="Times New Roman"/>
          <w:sz w:val="28"/>
          <w:szCs w:val="28"/>
        </w:rPr>
      </w:pPr>
    </w:p>
    <w:p w14:paraId="078FDF1B" w14:textId="5CA7694D" w:rsidR="002F0FEA" w:rsidRPr="002C1A32" w:rsidRDefault="002F0FEA" w:rsidP="002C1A32">
      <w:pPr>
        <w:widowControl w:val="0"/>
        <w:numPr>
          <w:ilvl w:val="0"/>
          <w:numId w:val="2"/>
        </w:numPr>
        <w:tabs>
          <w:tab w:val="left" w:pos="284"/>
        </w:tabs>
        <w:spacing w:after="0" w:line="240" w:lineRule="auto"/>
        <w:ind w:right="56"/>
        <w:contextualSpacing/>
        <w:jc w:val="both"/>
        <w:rPr>
          <w:rFonts w:eastAsia="Times New Roman"/>
          <w:sz w:val="28"/>
          <w:szCs w:val="28"/>
        </w:rPr>
      </w:pPr>
      <w:r w:rsidRPr="002C1A32">
        <w:rPr>
          <w:rFonts w:eastAsia="Times New Roman"/>
          <w:sz w:val="28"/>
          <w:szCs w:val="28"/>
        </w:rPr>
        <w:t xml:space="preserve">El 5 y 9 de noviembre de 2015 y el 9 de diciembre del mismo año, </w:t>
      </w:r>
      <w:r w:rsidR="00C8038D" w:rsidRPr="002C1A32">
        <w:rPr>
          <w:rFonts w:eastAsia="Times New Roman"/>
          <w:sz w:val="28"/>
          <w:szCs w:val="28"/>
        </w:rPr>
        <w:t xml:space="preserve">Inés Tomasa Valencia Quejada (T-5.457.363), </w:t>
      </w:r>
      <w:r w:rsidRPr="002C1A32">
        <w:rPr>
          <w:rFonts w:eastAsia="Times New Roman"/>
          <w:sz w:val="28"/>
          <w:szCs w:val="28"/>
        </w:rPr>
        <w:t>María Rogelia Calpa De Chingue y las demás ciudadanas relacionadas</w:t>
      </w:r>
      <w:r w:rsidR="00C8038D" w:rsidRPr="002C1A32">
        <w:rPr>
          <w:rFonts w:eastAsia="Times New Roman"/>
          <w:sz w:val="28"/>
          <w:szCs w:val="28"/>
        </w:rPr>
        <w:t xml:space="preserve"> en la demanda (</w:t>
      </w:r>
      <w:r w:rsidRPr="002C1A32">
        <w:rPr>
          <w:rFonts w:eastAsia="Times New Roman"/>
          <w:sz w:val="28"/>
          <w:szCs w:val="28"/>
        </w:rPr>
        <w:t>T-5.513.941</w:t>
      </w:r>
      <w:r w:rsidR="00C8038D" w:rsidRPr="002C1A32">
        <w:rPr>
          <w:rFonts w:eastAsia="Times New Roman"/>
          <w:sz w:val="28"/>
          <w:szCs w:val="28"/>
        </w:rPr>
        <w:t>)</w:t>
      </w:r>
      <w:r w:rsidRPr="002C1A32">
        <w:rPr>
          <w:rFonts w:eastAsia="Times New Roman"/>
          <w:sz w:val="28"/>
          <w:szCs w:val="28"/>
        </w:rPr>
        <w:t xml:space="preserve"> y Ana de Jesús Arciniegas Herrera y las </w:t>
      </w:r>
      <w:r w:rsidR="00C8038D" w:rsidRPr="002C1A32">
        <w:rPr>
          <w:rFonts w:eastAsia="Times New Roman"/>
          <w:sz w:val="28"/>
          <w:szCs w:val="28"/>
        </w:rPr>
        <w:t xml:space="preserve">otras demandantes </w:t>
      </w:r>
      <w:r w:rsidRPr="002C1A32">
        <w:rPr>
          <w:rFonts w:eastAsia="Times New Roman"/>
          <w:sz w:val="28"/>
          <w:szCs w:val="28"/>
        </w:rPr>
        <w:t>(T-5.516.632), respectivamente, formularon, por separado</w:t>
      </w:r>
      <w:r w:rsidR="001A1D21" w:rsidRPr="002C1A32">
        <w:rPr>
          <w:rFonts w:eastAsia="Times New Roman"/>
          <w:sz w:val="28"/>
          <w:szCs w:val="28"/>
        </w:rPr>
        <w:t xml:space="preserve"> y mediante apoderado judicial</w:t>
      </w:r>
      <w:r w:rsidRPr="002C1A32">
        <w:rPr>
          <w:rFonts w:eastAsia="Times New Roman"/>
          <w:sz w:val="28"/>
          <w:szCs w:val="28"/>
        </w:rPr>
        <w:t xml:space="preserve">, acciones de tutela </w:t>
      </w:r>
      <w:r w:rsidR="001A1D21" w:rsidRPr="002C1A32">
        <w:rPr>
          <w:rFonts w:eastAsia="Times New Roman"/>
          <w:sz w:val="28"/>
          <w:szCs w:val="28"/>
        </w:rPr>
        <w:t xml:space="preserve">en </w:t>
      </w:r>
      <w:r w:rsidRPr="002C1A32">
        <w:rPr>
          <w:rFonts w:eastAsia="Times New Roman"/>
          <w:sz w:val="28"/>
          <w:szCs w:val="28"/>
        </w:rPr>
        <w:t xml:space="preserve">contra </w:t>
      </w:r>
      <w:r w:rsidR="001A1D21" w:rsidRPr="002C1A32">
        <w:rPr>
          <w:rFonts w:eastAsia="Times New Roman"/>
          <w:sz w:val="28"/>
          <w:szCs w:val="28"/>
        </w:rPr>
        <w:t>d</w:t>
      </w:r>
      <w:r w:rsidRPr="002C1A32">
        <w:rPr>
          <w:rFonts w:eastAsia="Times New Roman"/>
          <w:sz w:val="28"/>
          <w:szCs w:val="28"/>
        </w:rPr>
        <w:t>el Instituto Colombiano de Bienestar Familiar (en adelante ICBF) y el Departamento Administrativo para la Prosperidad Social (en adelante DPS), por considerar vulnerados sus derechos fundamentales a la igualdad, a la seguridad social, a la dignidad humana, al mínimo vital y al trabajo.</w:t>
      </w:r>
    </w:p>
    <w:p w14:paraId="030D09AC" w14:textId="77777777" w:rsidR="002F0FEA" w:rsidRPr="002C1A32" w:rsidRDefault="002F0FEA" w:rsidP="002C1A32">
      <w:pPr>
        <w:widowControl w:val="0"/>
        <w:tabs>
          <w:tab w:val="left" w:pos="284"/>
        </w:tabs>
        <w:spacing w:after="0" w:line="240" w:lineRule="auto"/>
        <w:ind w:right="56"/>
        <w:contextualSpacing/>
        <w:jc w:val="both"/>
        <w:rPr>
          <w:rFonts w:eastAsia="Times New Roman"/>
          <w:sz w:val="28"/>
          <w:szCs w:val="28"/>
        </w:rPr>
      </w:pPr>
    </w:p>
    <w:p w14:paraId="564B1FFB" w14:textId="567E2414" w:rsidR="00622F2F" w:rsidRPr="002C1A32" w:rsidRDefault="00524DB8" w:rsidP="002C1A32">
      <w:pPr>
        <w:widowControl w:val="0"/>
        <w:numPr>
          <w:ilvl w:val="0"/>
          <w:numId w:val="2"/>
        </w:numPr>
        <w:tabs>
          <w:tab w:val="left" w:pos="284"/>
        </w:tabs>
        <w:spacing w:after="0" w:line="240" w:lineRule="auto"/>
        <w:ind w:right="56"/>
        <w:contextualSpacing/>
        <w:jc w:val="both"/>
        <w:rPr>
          <w:sz w:val="28"/>
          <w:szCs w:val="28"/>
        </w:rPr>
      </w:pPr>
      <w:r w:rsidRPr="002C1A32">
        <w:rPr>
          <w:rFonts w:eastAsia="Times New Roman"/>
          <w:sz w:val="28"/>
          <w:szCs w:val="28"/>
        </w:rPr>
        <w:t>A</w:t>
      </w:r>
      <w:r w:rsidR="002F0FEA" w:rsidRPr="002C1A32">
        <w:rPr>
          <w:rFonts w:eastAsia="Times New Roman"/>
          <w:sz w:val="28"/>
          <w:szCs w:val="28"/>
        </w:rPr>
        <w:t xml:space="preserve">firman que la supuesta vulneración surge del incumplimiento del ICBF </w:t>
      </w:r>
      <w:r w:rsidR="001164E6" w:rsidRPr="002C1A32">
        <w:rPr>
          <w:rFonts w:eastAsia="Times New Roman"/>
          <w:sz w:val="28"/>
          <w:szCs w:val="28"/>
        </w:rPr>
        <w:t xml:space="preserve">en el pago </w:t>
      </w:r>
      <w:r w:rsidR="002F0FEA" w:rsidRPr="002C1A32">
        <w:rPr>
          <w:rFonts w:eastAsia="Times New Roman"/>
          <w:sz w:val="28"/>
          <w:szCs w:val="28"/>
        </w:rPr>
        <w:t xml:space="preserve">de los aportes al sistema de seguridad social en pensión, </w:t>
      </w:r>
      <w:r w:rsidR="001164E6" w:rsidRPr="002C1A32">
        <w:rPr>
          <w:rFonts w:eastAsia="Times New Roman"/>
          <w:sz w:val="28"/>
          <w:szCs w:val="28"/>
        </w:rPr>
        <w:t xml:space="preserve">derivados de </w:t>
      </w:r>
      <w:r w:rsidR="002F0FEA" w:rsidRPr="002C1A32">
        <w:rPr>
          <w:rFonts w:eastAsia="Times New Roman"/>
          <w:sz w:val="28"/>
          <w:szCs w:val="28"/>
        </w:rPr>
        <w:t>la labor de madre comunitaria que desempeñaron desde la fecha de su vinculación al Programa Hogares Comunitarios de Bienestar del ICBF hasta la fecha en que estuvier</w:t>
      </w:r>
      <w:r w:rsidR="00CC3886" w:rsidRPr="002C1A32">
        <w:rPr>
          <w:rFonts w:eastAsia="Times New Roman"/>
          <w:sz w:val="28"/>
          <w:szCs w:val="28"/>
        </w:rPr>
        <w:t xml:space="preserve">on vinculadas a dicho programa o el </w:t>
      </w:r>
      <w:r w:rsidR="00121C26" w:rsidRPr="002C1A32">
        <w:rPr>
          <w:rFonts w:eastAsia="Times New Roman"/>
          <w:sz w:val="28"/>
          <w:szCs w:val="28"/>
        </w:rPr>
        <w:t>12</w:t>
      </w:r>
      <w:r w:rsidR="00CC3886" w:rsidRPr="002C1A32">
        <w:rPr>
          <w:rFonts w:eastAsia="Times New Roman"/>
          <w:sz w:val="28"/>
          <w:szCs w:val="28"/>
        </w:rPr>
        <w:t xml:space="preserve"> de </w:t>
      </w:r>
      <w:r w:rsidR="00121C26" w:rsidRPr="002C1A32">
        <w:rPr>
          <w:rFonts w:eastAsia="Times New Roman"/>
          <w:sz w:val="28"/>
          <w:szCs w:val="28"/>
        </w:rPr>
        <w:t>febrero</w:t>
      </w:r>
      <w:r w:rsidR="00CC3886" w:rsidRPr="002C1A32">
        <w:rPr>
          <w:rFonts w:eastAsia="Times New Roman"/>
          <w:sz w:val="28"/>
          <w:szCs w:val="28"/>
        </w:rPr>
        <w:t xml:space="preserve"> de 2014</w:t>
      </w:r>
      <w:r w:rsidR="00CC3886" w:rsidRPr="002C1A32">
        <w:rPr>
          <w:rStyle w:val="Refdenotaalpie"/>
          <w:rFonts w:eastAsia="Times New Roman"/>
          <w:sz w:val="28"/>
          <w:szCs w:val="28"/>
        </w:rPr>
        <w:footnoteReference w:id="1"/>
      </w:r>
      <w:r w:rsidR="00CC3886" w:rsidRPr="002C1A32">
        <w:rPr>
          <w:rFonts w:eastAsia="Times New Roman"/>
          <w:sz w:val="28"/>
          <w:szCs w:val="28"/>
        </w:rPr>
        <w:t>.</w:t>
      </w:r>
    </w:p>
    <w:p w14:paraId="55A2BF0B" w14:textId="77777777" w:rsidR="00622F2F" w:rsidRPr="002C1A32" w:rsidRDefault="00622F2F" w:rsidP="002C1A32">
      <w:pPr>
        <w:widowControl w:val="0"/>
        <w:tabs>
          <w:tab w:val="left" w:pos="284"/>
        </w:tabs>
        <w:spacing w:after="0" w:line="240" w:lineRule="auto"/>
        <w:ind w:right="56"/>
        <w:contextualSpacing/>
        <w:jc w:val="both"/>
        <w:rPr>
          <w:rFonts w:eastAsia="Times New Roman"/>
          <w:sz w:val="28"/>
          <w:szCs w:val="28"/>
        </w:rPr>
      </w:pPr>
    </w:p>
    <w:p w14:paraId="61A3C5D3" w14:textId="0FA13BF3" w:rsidR="006C4002" w:rsidRPr="002C1A32" w:rsidRDefault="001E4E39" w:rsidP="002C1A32">
      <w:pPr>
        <w:widowControl w:val="0"/>
        <w:numPr>
          <w:ilvl w:val="0"/>
          <w:numId w:val="2"/>
        </w:numPr>
        <w:tabs>
          <w:tab w:val="left" w:pos="284"/>
        </w:tabs>
        <w:spacing w:after="0" w:line="240" w:lineRule="auto"/>
        <w:ind w:right="56"/>
        <w:contextualSpacing/>
        <w:jc w:val="both"/>
        <w:rPr>
          <w:rFonts w:eastAsia="Times New Roman"/>
          <w:sz w:val="28"/>
          <w:szCs w:val="28"/>
        </w:rPr>
      </w:pPr>
      <w:r w:rsidRPr="002C1A32">
        <w:rPr>
          <w:rFonts w:eastAsia="Times New Roman"/>
          <w:sz w:val="28"/>
          <w:szCs w:val="28"/>
        </w:rPr>
        <w:t>Aducen que su vínculo con el ICBF constituye contrato realidad, al acreditar los elementos establecidos en el artículo 23 del Código Sustantivo del Trabajo</w:t>
      </w:r>
      <w:r w:rsidR="00CC3886" w:rsidRPr="002C1A32">
        <w:rPr>
          <w:rStyle w:val="Refdenotaalpie"/>
          <w:rFonts w:eastAsia="Times New Roman"/>
          <w:sz w:val="28"/>
          <w:szCs w:val="28"/>
        </w:rPr>
        <w:footnoteReference w:id="2"/>
      </w:r>
      <w:r w:rsidRPr="002C1A32">
        <w:rPr>
          <w:rFonts w:eastAsia="Times New Roman"/>
          <w:sz w:val="28"/>
          <w:szCs w:val="28"/>
        </w:rPr>
        <w:t xml:space="preserve">, a saber: </w:t>
      </w:r>
    </w:p>
    <w:p w14:paraId="20E75AE8" w14:textId="77777777" w:rsidR="006C4002" w:rsidRPr="002C1A32" w:rsidRDefault="006C4002" w:rsidP="002C1A32">
      <w:pPr>
        <w:pStyle w:val="Prrafodelista"/>
        <w:spacing w:after="0" w:line="240" w:lineRule="auto"/>
        <w:ind w:left="0"/>
        <w:rPr>
          <w:rFonts w:eastAsia="Times New Roman"/>
          <w:sz w:val="28"/>
          <w:szCs w:val="28"/>
        </w:rPr>
      </w:pPr>
    </w:p>
    <w:tbl>
      <w:tblPr>
        <w:tblStyle w:val="Tablaconcuadrcula"/>
        <w:tblW w:w="0" w:type="auto"/>
        <w:tblLook w:val="04A0" w:firstRow="1" w:lastRow="0" w:firstColumn="1" w:lastColumn="0" w:noHBand="0" w:noVBand="1"/>
      </w:tblPr>
      <w:tblGrid>
        <w:gridCol w:w="2942"/>
        <w:gridCol w:w="2943"/>
        <w:gridCol w:w="2943"/>
      </w:tblGrid>
      <w:tr w:rsidR="006C4002" w:rsidRPr="002C1A32" w14:paraId="2808BBE7" w14:textId="77777777" w:rsidTr="00987365">
        <w:trPr>
          <w:trHeight w:val="705"/>
        </w:trPr>
        <w:tc>
          <w:tcPr>
            <w:tcW w:w="2942" w:type="dxa"/>
            <w:shd w:val="clear" w:color="auto" w:fill="D9D9D9" w:themeFill="background1" w:themeFillShade="D9"/>
            <w:vAlign w:val="center"/>
          </w:tcPr>
          <w:p w14:paraId="0D36B7F2" w14:textId="42513786" w:rsidR="006C4002" w:rsidRPr="002C1A32" w:rsidRDefault="006C4002" w:rsidP="002C1A32">
            <w:pPr>
              <w:pStyle w:val="Prrafodelista"/>
              <w:pBdr>
                <w:top w:val="none" w:sz="0" w:space="0" w:color="auto"/>
                <w:left w:val="none" w:sz="0" w:space="0" w:color="auto"/>
                <w:bottom w:val="none" w:sz="0" w:space="0" w:color="auto"/>
                <w:right w:val="none" w:sz="0" w:space="0" w:color="auto"/>
                <w:between w:val="none" w:sz="0" w:space="0" w:color="auto"/>
              </w:pBdr>
              <w:ind w:left="0"/>
              <w:jc w:val="center"/>
              <w:rPr>
                <w:rFonts w:eastAsia="Times New Roman"/>
                <w:b/>
                <w:sz w:val="28"/>
                <w:szCs w:val="28"/>
              </w:rPr>
            </w:pPr>
            <w:r w:rsidRPr="002C1A32">
              <w:rPr>
                <w:rFonts w:eastAsia="Times New Roman"/>
                <w:b/>
                <w:sz w:val="28"/>
                <w:szCs w:val="28"/>
              </w:rPr>
              <w:t>Prestación personal del servicio</w:t>
            </w:r>
          </w:p>
        </w:tc>
        <w:tc>
          <w:tcPr>
            <w:tcW w:w="2943" w:type="dxa"/>
            <w:shd w:val="clear" w:color="auto" w:fill="D9D9D9" w:themeFill="background1" w:themeFillShade="D9"/>
            <w:vAlign w:val="center"/>
          </w:tcPr>
          <w:p w14:paraId="073B6714" w14:textId="6D9FA7F4" w:rsidR="006C4002" w:rsidRPr="002C1A32" w:rsidRDefault="006C4002" w:rsidP="002C1A32">
            <w:pPr>
              <w:pStyle w:val="Prrafodelista"/>
              <w:pBdr>
                <w:top w:val="none" w:sz="0" w:space="0" w:color="auto"/>
                <w:left w:val="none" w:sz="0" w:space="0" w:color="auto"/>
                <w:bottom w:val="none" w:sz="0" w:space="0" w:color="auto"/>
                <w:right w:val="none" w:sz="0" w:space="0" w:color="auto"/>
                <w:between w:val="none" w:sz="0" w:space="0" w:color="auto"/>
              </w:pBdr>
              <w:ind w:left="0"/>
              <w:jc w:val="center"/>
              <w:rPr>
                <w:rFonts w:eastAsia="Times New Roman"/>
                <w:b/>
                <w:sz w:val="28"/>
                <w:szCs w:val="28"/>
              </w:rPr>
            </w:pPr>
            <w:r w:rsidRPr="002C1A32">
              <w:rPr>
                <w:rFonts w:eastAsia="Times New Roman"/>
                <w:b/>
                <w:sz w:val="28"/>
                <w:szCs w:val="28"/>
              </w:rPr>
              <w:t>Continua subordinación o dependencia</w:t>
            </w:r>
          </w:p>
        </w:tc>
        <w:tc>
          <w:tcPr>
            <w:tcW w:w="2943" w:type="dxa"/>
            <w:shd w:val="clear" w:color="auto" w:fill="D9D9D9" w:themeFill="background1" w:themeFillShade="D9"/>
            <w:vAlign w:val="center"/>
          </w:tcPr>
          <w:p w14:paraId="0CEE2B88" w14:textId="5E0BE3A1" w:rsidR="006C4002" w:rsidRPr="002C1A32" w:rsidRDefault="006C4002" w:rsidP="002C1A32">
            <w:pPr>
              <w:pStyle w:val="Prrafodelista"/>
              <w:pBdr>
                <w:top w:val="none" w:sz="0" w:space="0" w:color="auto"/>
                <w:left w:val="none" w:sz="0" w:space="0" w:color="auto"/>
                <w:bottom w:val="none" w:sz="0" w:space="0" w:color="auto"/>
                <w:right w:val="none" w:sz="0" w:space="0" w:color="auto"/>
                <w:between w:val="none" w:sz="0" w:space="0" w:color="auto"/>
              </w:pBdr>
              <w:ind w:left="0"/>
              <w:jc w:val="center"/>
              <w:rPr>
                <w:rFonts w:eastAsia="Times New Roman"/>
                <w:b/>
                <w:sz w:val="28"/>
                <w:szCs w:val="28"/>
              </w:rPr>
            </w:pPr>
            <w:r w:rsidRPr="002C1A32">
              <w:rPr>
                <w:rFonts w:eastAsia="Times New Roman"/>
                <w:b/>
                <w:sz w:val="28"/>
                <w:szCs w:val="28"/>
              </w:rPr>
              <w:t>Retribución económica del servicio</w:t>
            </w:r>
          </w:p>
        </w:tc>
      </w:tr>
      <w:tr w:rsidR="006C4002" w:rsidRPr="002C1A32" w14:paraId="32491CB0" w14:textId="77777777" w:rsidTr="006C4002">
        <w:tc>
          <w:tcPr>
            <w:tcW w:w="2942" w:type="dxa"/>
          </w:tcPr>
          <w:p w14:paraId="721D48EF" w14:textId="1FEF05AF" w:rsidR="00987365" w:rsidRPr="002C1A32" w:rsidRDefault="006C4002" w:rsidP="002C1A32">
            <w:pPr>
              <w:widowControl w:val="0"/>
              <w:tabs>
                <w:tab w:val="left" w:pos="284"/>
              </w:tabs>
              <w:ind w:right="56"/>
              <w:contextualSpacing/>
              <w:jc w:val="both"/>
              <w:rPr>
                <w:sz w:val="28"/>
                <w:szCs w:val="28"/>
                <w:bdr w:val="none" w:sz="0" w:space="0" w:color="auto" w:frame="1"/>
              </w:rPr>
            </w:pPr>
            <w:r w:rsidRPr="002C1A32">
              <w:rPr>
                <w:rFonts w:eastAsia="Times New Roman"/>
                <w:sz w:val="28"/>
                <w:szCs w:val="28"/>
              </w:rPr>
              <w:t xml:space="preserve">Indican que las labores </w:t>
            </w:r>
            <w:r w:rsidR="007D79BF" w:rsidRPr="002C1A32">
              <w:rPr>
                <w:rFonts w:eastAsia="Times New Roman"/>
                <w:sz w:val="28"/>
                <w:szCs w:val="28"/>
              </w:rPr>
              <w:t xml:space="preserve">de una </w:t>
            </w:r>
            <w:r w:rsidRPr="002C1A32">
              <w:rPr>
                <w:rFonts w:eastAsia="Times New Roman"/>
                <w:sz w:val="28"/>
                <w:szCs w:val="28"/>
              </w:rPr>
              <w:t>madr</w:t>
            </w:r>
            <w:r w:rsidRPr="002C1A32">
              <w:rPr>
                <w:sz w:val="28"/>
                <w:szCs w:val="28"/>
                <w:bdr w:val="none" w:sz="0" w:space="0" w:color="auto" w:frame="1"/>
              </w:rPr>
              <w:t xml:space="preserve">e comunitaria son, entre otras: cuidar y alimentar a los niños asignados al hogar comunitario, organizar </w:t>
            </w:r>
            <w:r w:rsidRPr="002C1A32">
              <w:rPr>
                <w:sz w:val="28"/>
                <w:szCs w:val="28"/>
                <w:bdr w:val="none" w:sz="0" w:space="0" w:color="auto" w:frame="1"/>
              </w:rPr>
              <w:lastRenderedPageBreak/>
              <w:t xml:space="preserve">y realizar actividades pedagógicas. Explican que su jornada laboral comienza a las 5:00 a.m. con el alistamiento de la casa. </w:t>
            </w:r>
            <w:r w:rsidR="007D79BF" w:rsidRPr="002C1A32">
              <w:rPr>
                <w:sz w:val="28"/>
                <w:szCs w:val="28"/>
                <w:bdr w:val="none" w:sz="0" w:space="0" w:color="auto" w:frame="1"/>
              </w:rPr>
              <w:t xml:space="preserve">De </w:t>
            </w:r>
            <w:r w:rsidRPr="002C1A32">
              <w:rPr>
                <w:sz w:val="28"/>
                <w:szCs w:val="28"/>
                <w:bdr w:val="none" w:sz="0" w:space="0" w:color="auto" w:frame="1"/>
              </w:rPr>
              <w:t>8:00 a.m.</w:t>
            </w:r>
            <w:r w:rsidR="007D79BF" w:rsidRPr="002C1A32">
              <w:rPr>
                <w:sz w:val="28"/>
                <w:szCs w:val="28"/>
                <w:bdr w:val="none" w:sz="0" w:space="0" w:color="auto" w:frame="1"/>
              </w:rPr>
              <w:t xml:space="preserve"> a 4:00 p.m</w:t>
            </w:r>
            <w:r w:rsidRPr="002C1A32">
              <w:rPr>
                <w:sz w:val="28"/>
                <w:szCs w:val="28"/>
                <w:bdr w:val="none" w:sz="0" w:space="0" w:color="auto" w:frame="1"/>
              </w:rPr>
              <w:t xml:space="preserve"> </w:t>
            </w:r>
            <w:r w:rsidR="007D79BF" w:rsidRPr="002C1A32">
              <w:rPr>
                <w:sz w:val="28"/>
                <w:szCs w:val="28"/>
                <w:bdr w:val="none" w:sz="0" w:space="0" w:color="auto" w:frame="1"/>
              </w:rPr>
              <w:t xml:space="preserve">cuidan a los menores, o </w:t>
            </w:r>
            <w:r w:rsidRPr="002C1A32">
              <w:rPr>
                <w:sz w:val="28"/>
                <w:szCs w:val="28"/>
                <w:bdr w:val="none" w:sz="0" w:space="0" w:color="auto" w:frame="1"/>
              </w:rPr>
              <w:t>hasta que el último padre de familia recoge a su hijo.</w:t>
            </w:r>
          </w:p>
        </w:tc>
        <w:tc>
          <w:tcPr>
            <w:tcW w:w="2943" w:type="dxa"/>
          </w:tcPr>
          <w:p w14:paraId="6883E59E" w14:textId="7E983292" w:rsidR="006C4002" w:rsidRPr="002C1A32" w:rsidRDefault="006C4002" w:rsidP="002C1A32">
            <w:pPr>
              <w:pStyle w:val="Prrafodelista"/>
              <w:pBdr>
                <w:top w:val="none" w:sz="0" w:space="0" w:color="auto"/>
                <w:left w:val="none" w:sz="0" w:space="0" w:color="auto"/>
                <w:bottom w:val="none" w:sz="0" w:space="0" w:color="auto"/>
                <w:right w:val="none" w:sz="0" w:space="0" w:color="auto"/>
                <w:between w:val="none" w:sz="0" w:space="0" w:color="auto"/>
              </w:pBdr>
              <w:ind w:left="0"/>
              <w:jc w:val="both"/>
              <w:rPr>
                <w:rFonts w:eastAsia="Times New Roman"/>
                <w:sz w:val="28"/>
                <w:szCs w:val="28"/>
              </w:rPr>
            </w:pPr>
            <w:r w:rsidRPr="002C1A32">
              <w:rPr>
                <w:rFonts w:eastAsia="Times New Roman"/>
                <w:sz w:val="28"/>
                <w:szCs w:val="28"/>
              </w:rPr>
              <w:lastRenderedPageBreak/>
              <w:t xml:space="preserve">Manifiestan que </w:t>
            </w:r>
            <w:r w:rsidR="007D79BF" w:rsidRPr="002C1A32">
              <w:rPr>
                <w:rFonts w:eastAsia="Times New Roman"/>
                <w:sz w:val="28"/>
                <w:szCs w:val="28"/>
              </w:rPr>
              <w:t xml:space="preserve">dichas funciones se realizaron </w:t>
            </w:r>
            <w:r w:rsidRPr="002C1A32">
              <w:rPr>
                <w:rFonts w:eastAsia="Times New Roman"/>
                <w:sz w:val="28"/>
                <w:szCs w:val="28"/>
              </w:rPr>
              <w:t xml:space="preserve">de manera permanente, personalizada y subordinada </w:t>
            </w:r>
            <w:r w:rsidR="008870A7" w:rsidRPr="002C1A32">
              <w:rPr>
                <w:rFonts w:eastAsia="Times New Roman"/>
                <w:sz w:val="28"/>
                <w:szCs w:val="28"/>
              </w:rPr>
              <w:t>a</w:t>
            </w:r>
            <w:r w:rsidRPr="002C1A32">
              <w:rPr>
                <w:rFonts w:eastAsia="Times New Roman"/>
                <w:sz w:val="28"/>
                <w:szCs w:val="28"/>
              </w:rPr>
              <w:t xml:space="preserve">l ICBF, puesto que </w:t>
            </w:r>
            <w:r w:rsidR="00B938EC" w:rsidRPr="002C1A32">
              <w:rPr>
                <w:rFonts w:eastAsia="Times New Roman"/>
                <w:sz w:val="28"/>
                <w:szCs w:val="28"/>
              </w:rPr>
              <w:t>sus</w:t>
            </w:r>
            <w:r w:rsidRPr="002C1A32">
              <w:rPr>
                <w:rFonts w:eastAsia="Times New Roman"/>
                <w:sz w:val="28"/>
                <w:szCs w:val="28"/>
              </w:rPr>
              <w:t xml:space="preserve"> </w:t>
            </w:r>
            <w:r w:rsidR="00B938EC" w:rsidRPr="002C1A32">
              <w:rPr>
                <w:rFonts w:eastAsia="Times New Roman"/>
                <w:sz w:val="28"/>
                <w:szCs w:val="28"/>
              </w:rPr>
              <w:t>labores</w:t>
            </w:r>
            <w:r w:rsidRPr="002C1A32">
              <w:rPr>
                <w:rFonts w:eastAsia="Times New Roman"/>
                <w:sz w:val="28"/>
                <w:szCs w:val="28"/>
              </w:rPr>
              <w:t xml:space="preserve"> </w:t>
            </w:r>
            <w:r w:rsidR="00B938EC" w:rsidRPr="002C1A32">
              <w:rPr>
                <w:rFonts w:eastAsia="Times New Roman"/>
                <w:sz w:val="28"/>
                <w:szCs w:val="28"/>
              </w:rPr>
              <w:t>eran</w:t>
            </w:r>
            <w:r w:rsidRPr="002C1A32">
              <w:rPr>
                <w:rFonts w:eastAsia="Times New Roman"/>
                <w:sz w:val="28"/>
                <w:szCs w:val="28"/>
              </w:rPr>
              <w:t xml:space="preserve"> asignadas y </w:t>
            </w:r>
            <w:r w:rsidRPr="002C1A32">
              <w:rPr>
                <w:rFonts w:eastAsia="Times New Roman"/>
                <w:sz w:val="28"/>
                <w:szCs w:val="28"/>
              </w:rPr>
              <w:lastRenderedPageBreak/>
              <w:t>supervisadas por dicha entidad, conforme a los estánd</w:t>
            </w:r>
            <w:r w:rsidR="007147E7" w:rsidRPr="002C1A32">
              <w:rPr>
                <w:rFonts w:eastAsia="Times New Roman"/>
                <w:sz w:val="28"/>
                <w:szCs w:val="28"/>
              </w:rPr>
              <w:t>ares establecidos por la misma, l</w:t>
            </w:r>
            <w:r w:rsidR="008870A7" w:rsidRPr="002C1A32">
              <w:rPr>
                <w:rFonts w:eastAsia="Times New Roman"/>
                <w:sz w:val="28"/>
                <w:szCs w:val="28"/>
              </w:rPr>
              <w:t>os cuales, de ser incumplidos</w:t>
            </w:r>
            <w:r w:rsidR="007147E7" w:rsidRPr="002C1A32">
              <w:rPr>
                <w:rFonts w:eastAsia="Times New Roman"/>
                <w:sz w:val="28"/>
                <w:szCs w:val="28"/>
              </w:rPr>
              <w:t>,</w:t>
            </w:r>
            <w:r w:rsidR="008870A7" w:rsidRPr="002C1A32">
              <w:rPr>
                <w:rFonts w:eastAsia="Times New Roman"/>
                <w:sz w:val="28"/>
                <w:szCs w:val="28"/>
              </w:rPr>
              <w:t xml:space="preserve"> conducen a la </w:t>
            </w:r>
            <w:r w:rsidRPr="002C1A32">
              <w:rPr>
                <w:rFonts w:eastAsia="Times New Roman"/>
                <w:sz w:val="28"/>
                <w:szCs w:val="28"/>
              </w:rPr>
              <w:t>clausura</w:t>
            </w:r>
            <w:r w:rsidR="008870A7" w:rsidRPr="002C1A32">
              <w:rPr>
                <w:rFonts w:eastAsia="Times New Roman"/>
                <w:sz w:val="28"/>
                <w:szCs w:val="28"/>
              </w:rPr>
              <w:t xml:space="preserve"> del</w:t>
            </w:r>
            <w:r w:rsidRPr="002C1A32">
              <w:rPr>
                <w:rFonts w:eastAsia="Times New Roman"/>
                <w:sz w:val="28"/>
                <w:szCs w:val="28"/>
              </w:rPr>
              <w:t xml:space="preserve"> </w:t>
            </w:r>
            <w:r w:rsidR="007147E7" w:rsidRPr="002C1A32">
              <w:rPr>
                <w:rFonts w:eastAsia="Times New Roman"/>
                <w:sz w:val="28"/>
                <w:szCs w:val="28"/>
              </w:rPr>
              <w:t xml:space="preserve">respectivo </w:t>
            </w:r>
            <w:r w:rsidRPr="002C1A32">
              <w:rPr>
                <w:rFonts w:eastAsia="Times New Roman"/>
                <w:sz w:val="28"/>
                <w:szCs w:val="28"/>
              </w:rPr>
              <w:t>hogar comunitario.</w:t>
            </w:r>
          </w:p>
        </w:tc>
        <w:tc>
          <w:tcPr>
            <w:tcW w:w="2943" w:type="dxa"/>
          </w:tcPr>
          <w:p w14:paraId="270CD4B6" w14:textId="1FBAAF6E" w:rsidR="006C4002" w:rsidRPr="002C1A32" w:rsidRDefault="006C4002" w:rsidP="002C1A32">
            <w:pPr>
              <w:pStyle w:val="Prrafodelista"/>
              <w:pBdr>
                <w:top w:val="none" w:sz="0" w:space="0" w:color="auto"/>
                <w:left w:val="none" w:sz="0" w:space="0" w:color="auto"/>
                <w:bottom w:val="none" w:sz="0" w:space="0" w:color="auto"/>
                <w:right w:val="none" w:sz="0" w:space="0" w:color="auto"/>
                <w:between w:val="none" w:sz="0" w:space="0" w:color="auto"/>
              </w:pBdr>
              <w:ind w:left="0"/>
              <w:jc w:val="both"/>
              <w:rPr>
                <w:rFonts w:eastAsia="Times New Roman"/>
                <w:sz w:val="28"/>
                <w:szCs w:val="28"/>
              </w:rPr>
            </w:pPr>
            <w:r w:rsidRPr="002C1A32">
              <w:rPr>
                <w:rFonts w:eastAsia="Times New Roman"/>
                <w:sz w:val="28"/>
                <w:szCs w:val="28"/>
              </w:rPr>
              <w:lastRenderedPageBreak/>
              <w:t xml:space="preserve">Afirman que desde la fecha de su vinculación al Programa Hogares Comunitarios del ICBF, por </w:t>
            </w:r>
            <w:r w:rsidR="00987365" w:rsidRPr="002C1A32">
              <w:rPr>
                <w:rFonts w:eastAsia="Times New Roman"/>
                <w:sz w:val="28"/>
                <w:szCs w:val="28"/>
              </w:rPr>
              <w:t>la prestación de sus s</w:t>
            </w:r>
            <w:r w:rsidRPr="002C1A32">
              <w:rPr>
                <w:rFonts w:eastAsia="Times New Roman"/>
                <w:sz w:val="28"/>
                <w:szCs w:val="28"/>
              </w:rPr>
              <w:t>ervicios prestados recibi</w:t>
            </w:r>
            <w:r w:rsidR="00987365" w:rsidRPr="002C1A32">
              <w:rPr>
                <w:rFonts w:eastAsia="Times New Roman"/>
                <w:sz w:val="28"/>
                <w:szCs w:val="28"/>
              </w:rPr>
              <w:t>eron</w:t>
            </w:r>
            <w:r w:rsidRPr="002C1A32">
              <w:rPr>
                <w:rFonts w:eastAsia="Times New Roman"/>
                <w:sz w:val="28"/>
                <w:szCs w:val="28"/>
              </w:rPr>
              <w:t xml:space="preserve"> el pago </w:t>
            </w:r>
            <w:r w:rsidRPr="002C1A32">
              <w:rPr>
                <w:rFonts w:eastAsia="Times New Roman"/>
                <w:sz w:val="28"/>
                <w:szCs w:val="28"/>
              </w:rPr>
              <w:lastRenderedPageBreak/>
              <w:t>mensual de una suma de dinero denominada “beca”, la cual, por su continuidad y características se constituye en salario. Pero sólo a partir del 1 de febrero de 2014 se igualó al monto de un salario mínimo mensual legal vigente.</w:t>
            </w:r>
          </w:p>
        </w:tc>
      </w:tr>
    </w:tbl>
    <w:p w14:paraId="28525498" w14:textId="77777777" w:rsidR="009165CC" w:rsidRPr="002C1A32" w:rsidRDefault="009165CC" w:rsidP="002C1A32">
      <w:pPr>
        <w:widowControl w:val="0"/>
        <w:pBdr>
          <w:top w:val="none" w:sz="0" w:space="0" w:color="000000"/>
          <w:left w:val="none" w:sz="0" w:space="0" w:color="000000"/>
          <w:bottom w:val="none" w:sz="0" w:space="0" w:color="000000"/>
          <w:right w:val="none" w:sz="0" w:space="0" w:color="000000"/>
          <w:between w:val="none" w:sz="0" w:space="0" w:color="000000"/>
        </w:pBdr>
        <w:tabs>
          <w:tab w:val="left" w:pos="283"/>
        </w:tabs>
        <w:spacing w:after="0" w:line="240" w:lineRule="auto"/>
        <w:contextualSpacing/>
        <w:jc w:val="both"/>
        <w:rPr>
          <w:rFonts w:eastAsia="Times New Roman"/>
          <w:b/>
          <w:sz w:val="28"/>
          <w:szCs w:val="28"/>
        </w:rPr>
      </w:pPr>
    </w:p>
    <w:p w14:paraId="798409EE" w14:textId="2FB9D7AD" w:rsidR="009165CC" w:rsidRPr="002C1A32" w:rsidRDefault="009165CC" w:rsidP="002C1A32">
      <w:pPr>
        <w:widowControl w:val="0"/>
        <w:numPr>
          <w:ilvl w:val="0"/>
          <w:numId w:val="2"/>
        </w:numPr>
        <w:tabs>
          <w:tab w:val="left" w:pos="283"/>
        </w:tabs>
        <w:spacing w:after="0" w:line="240" w:lineRule="auto"/>
        <w:ind w:right="56"/>
        <w:contextualSpacing/>
        <w:jc w:val="both"/>
        <w:rPr>
          <w:rFonts w:eastAsia="Times New Roman"/>
          <w:b/>
          <w:sz w:val="28"/>
          <w:szCs w:val="28"/>
        </w:rPr>
      </w:pPr>
      <w:r w:rsidRPr="002C1A32">
        <w:rPr>
          <w:rFonts w:eastAsia="Times New Roman"/>
          <w:sz w:val="28"/>
          <w:szCs w:val="28"/>
        </w:rPr>
        <w:t>En sede de nulidad de constató que la edad promedio de las 106 accionantes es de 71.24 años, siendo la más joven de 36 años y la mayor de 82 años y</w:t>
      </w:r>
      <w:r w:rsidR="00121C26" w:rsidRPr="002C1A32">
        <w:rPr>
          <w:rFonts w:eastAsia="Times New Roman"/>
          <w:sz w:val="28"/>
          <w:szCs w:val="28"/>
        </w:rPr>
        <w:t>,</w:t>
      </w:r>
      <w:r w:rsidRPr="002C1A32">
        <w:rPr>
          <w:rFonts w:eastAsia="Times New Roman"/>
          <w:sz w:val="28"/>
          <w:szCs w:val="28"/>
        </w:rPr>
        <w:t xml:space="preserve"> en su mayoría sufren de varias enfermedades</w:t>
      </w:r>
      <w:r w:rsidR="002D77BD" w:rsidRPr="002C1A32">
        <w:rPr>
          <w:rStyle w:val="Refdenotaalpie"/>
          <w:rFonts w:eastAsia="Times New Roman"/>
          <w:sz w:val="28"/>
          <w:szCs w:val="28"/>
        </w:rPr>
        <w:footnoteReference w:id="3"/>
      </w:r>
      <w:r w:rsidRPr="002C1A32">
        <w:rPr>
          <w:rFonts w:eastAsia="Times New Roman"/>
          <w:sz w:val="28"/>
          <w:szCs w:val="28"/>
        </w:rPr>
        <w:t>.</w:t>
      </w:r>
    </w:p>
    <w:p w14:paraId="35F11E31" w14:textId="77777777" w:rsidR="009165CC" w:rsidRPr="002C1A32" w:rsidRDefault="009165CC" w:rsidP="002C1A32">
      <w:pPr>
        <w:widowControl w:val="0"/>
        <w:tabs>
          <w:tab w:val="left" w:pos="283"/>
        </w:tabs>
        <w:spacing w:after="0" w:line="240" w:lineRule="auto"/>
        <w:ind w:right="56"/>
        <w:contextualSpacing/>
        <w:jc w:val="both"/>
        <w:rPr>
          <w:rFonts w:eastAsia="Times New Roman"/>
          <w:b/>
          <w:sz w:val="28"/>
          <w:szCs w:val="28"/>
        </w:rPr>
      </w:pPr>
    </w:p>
    <w:p w14:paraId="299708C6" w14:textId="2B2A3F81" w:rsidR="00171C89" w:rsidRPr="002C1A32" w:rsidRDefault="00171C89" w:rsidP="002C1A32">
      <w:pPr>
        <w:pStyle w:val="Ttulo2"/>
        <w:pBdr>
          <w:top w:val="none" w:sz="0" w:space="0" w:color="auto"/>
          <w:left w:val="none" w:sz="0" w:space="0" w:color="auto"/>
          <w:bottom w:val="none" w:sz="0" w:space="0" w:color="auto"/>
          <w:right w:val="none" w:sz="0" w:space="0" w:color="auto"/>
          <w:between w:val="none" w:sz="0" w:space="0" w:color="auto"/>
        </w:pBdr>
        <w:spacing w:before="0" w:after="0" w:line="240" w:lineRule="auto"/>
        <w:rPr>
          <w:rFonts w:eastAsia="Times New Roman"/>
          <w:b/>
          <w:szCs w:val="28"/>
        </w:rPr>
      </w:pPr>
      <w:r w:rsidRPr="002C1A32">
        <w:rPr>
          <w:b/>
          <w:color w:val="000000"/>
          <w:szCs w:val="28"/>
        </w:rPr>
        <w:t>Pretensiones</w:t>
      </w:r>
    </w:p>
    <w:p w14:paraId="22384DC7" w14:textId="77777777" w:rsidR="00171C89" w:rsidRPr="002C1A32" w:rsidRDefault="00171C89" w:rsidP="002C1A32">
      <w:pPr>
        <w:widowControl w:val="0"/>
        <w:spacing w:after="0" w:line="240" w:lineRule="auto"/>
        <w:contextualSpacing/>
        <w:jc w:val="both"/>
        <w:rPr>
          <w:rFonts w:eastAsia="Times New Roman"/>
          <w:sz w:val="28"/>
          <w:szCs w:val="28"/>
        </w:rPr>
      </w:pPr>
    </w:p>
    <w:p w14:paraId="2A99D188" w14:textId="408C5D24" w:rsidR="001E4E39" w:rsidRPr="002C1A32" w:rsidRDefault="001E4E39" w:rsidP="002C1A32">
      <w:pPr>
        <w:widowControl w:val="0"/>
        <w:numPr>
          <w:ilvl w:val="0"/>
          <w:numId w:val="2"/>
        </w:numPr>
        <w:tabs>
          <w:tab w:val="left" w:pos="284"/>
        </w:tabs>
        <w:spacing w:after="0" w:line="240" w:lineRule="auto"/>
        <w:ind w:right="56"/>
        <w:contextualSpacing/>
        <w:jc w:val="both"/>
        <w:rPr>
          <w:sz w:val="28"/>
          <w:szCs w:val="28"/>
        </w:rPr>
      </w:pPr>
      <w:r w:rsidRPr="002C1A32">
        <w:rPr>
          <w:sz w:val="28"/>
          <w:szCs w:val="28"/>
          <w:bdr w:val="none" w:sz="0" w:space="0" w:color="auto" w:frame="1"/>
        </w:rPr>
        <w:t>Con base en l</w:t>
      </w:r>
      <w:r w:rsidR="006C4002" w:rsidRPr="002C1A32">
        <w:rPr>
          <w:sz w:val="28"/>
          <w:szCs w:val="28"/>
          <w:bdr w:val="none" w:sz="0" w:space="0" w:color="auto" w:frame="1"/>
        </w:rPr>
        <w:t>a</w:t>
      </w:r>
      <w:r w:rsidRPr="002C1A32">
        <w:rPr>
          <w:sz w:val="28"/>
          <w:szCs w:val="28"/>
          <w:bdr w:val="none" w:sz="0" w:space="0" w:color="auto" w:frame="1"/>
        </w:rPr>
        <w:t xml:space="preserve"> anterior</w:t>
      </w:r>
      <w:r w:rsidR="006C4002" w:rsidRPr="002C1A32">
        <w:rPr>
          <w:sz w:val="28"/>
          <w:szCs w:val="28"/>
          <w:bdr w:val="none" w:sz="0" w:space="0" w:color="auto" w:frame="1"/>
        </w:rPr>
        <w:t xml:space="preserve"> situación fáctica</w:t>
      </w:r>
      <w:r w:rsidRPr="002C1A32">
        <w:rPr>
          <w:sz w:val="28"/>
          <w:szCs w:val="28"/>
          <w:bdr w:val="none" w:sz="0" w:space="0" w:color="auto" w:frame="1"/>
        </w:rPr>
        <w:t xml:space="preserve">, solicitan </w:t>
      </w:r>
      <w:r w:rsidR="006C4002" w:rsidRPr="002C1A32">
        <w:rPr>
          <w:sz w:val="28"/>
          <w:szCs w:val="28"/>
          <w:bdr w:val="none" w:sz="0" w:space="0" w:color="auto" w:frame="1"/>
        </w:rPr>
        <w:t>que</w:t>
      </w:r>
      <w:r w:rsidRPr="002C1A32">
        <w:rPr>
          <w:sz w:val="28"/>
          <w:szCs w:val="28"/>
          <w:bdr w:val="none" w:sz="0" w:space="0" w:color="auto" w:frame="1"/>
        </w:rPr>
        <w:t xml:space="preserve">: </w:t>
      </w:r>
      <w:r w:rsidRPr="002C1A32">
        <w:rPr>
          <w:i/>
          <w:sz w:val="28"/>
          <w:szCs w:val="28"/>
          <w:bdr w:val="none" w:sz="0" w:space="0" w:color="auto" w:frame="1"/>
        </w:rPr>
        <w:t>(i)</w:t>
      </w:r>
      <w:r w:rsidRPr="002C1A32">
        <w:rPr>
          <w:sz w:val="28"/>
          <w:szCs w:val="28"/>
          <w:bdr w:val="none" w:sz="0" w:space="0" w:color="auto" w:frame="1"/>
        </w:rPr>
        <w:t xml:space="preserve"> se amparen sus derechos fundamentales a la igualdad, a la seguridad social, a la dignidad humana, al mínimo vital y al trabajo; </w:t>
      </w:r>
      <w:r w:rsidRPr="002C1A32">
        <w:rPr>
          <w:i/>
          <w:sz w:val="28"/>
          <w:szCs w:val="28"/>
          <w:bdr w:val="none" w:sz="0" w:space="0" w:color="auto" w:frame="1"/>
        </w:rPr>
        <w:t>(ii)</w:t>
      </w:r>
      <w:r w:rsidRPr="002C1A32">
        <w:rPr>
          <w:sz w:val="28"/>
          <w:szCs w:val="28"/>
          <w:bdr w:val="none" w:sz="0" w:space="0" w:color="auto" w:frame="1"/>
        </w:rPr>
        <w:t xml:space="preserve"> se ordene al ICBF a pagar, con destino a Colpensiones, los aportes pensionales no realizados a su favor, junto con los intereses moratorios causados desde la fecha de su vinculación al Programa Hogares Comunitarios de Bienestar del ICBF hasta el </w:t>
      </w:r>
      <w:r w:rsidR="00121C26" w:rsidRPr="002C1A32">
        <w:rPr>
          <w:sz w:val="28"/>
          <w:szCs w:val="28"/>
          <w:bdr w:val="none" w:sz="0" w:space="0" w:color="auto" w:frame="1"/>
        </w:rPr>
        <w:t>12</w:t>
      </w:r>
      <w:r w:rsidRPr="002C1A32">
        <w:rPr>
          <w:sz w:val="28"/>
          <w:szCs w:val="28"/>
          <w:bdr w:val="none" w:sz="0" w:space="0" w:color="auto" w:frame="1"/>
        </w:rPr>
        <w:t xml:space="preserve"> de </w:t>
      </w:r>
      <w:r w:rsidR="00121C26" w:rsidRPr="002C1A32">
        <w:rPr>
          <w:sz w:val="28"/>
          <w:szCs w:val="28"/>
          <w:bdr w:val="none" w:sz="0" w:space="0" w:color="auto" w:frame="1"/>
        </w:rPr>
        <w:t>febrero</w:t>
      </w:r>
      <w:r w:rsidRPr="002C1A32">
        <w:rPr>
          <w:sz w:val="28"/>
          <w:szCs w:val="28"/>
          <w:bdr w:val="none" w:sz="0" w:space="0" w:color="auto" w:frame="1"/>
        </w:rPr>
        <w:t xml:space="preserve"> de 2014, o hasta la fecha en que con anterioridad hayan estado vinculadas a dicho programa; o en su defecto, a reconocer pensión sanción, en razón a los </w:t>
      </w:r>
      <w:r w:rsidRPr="002C1A32">
        <w:rPr>
          <w:i/>
          <w:iCs/>
          <w:sz w:val="28"/>
          <w:szCs w:val="28"/>
          <w:bdr w:val="none" w:sz="0" w:space="0" w:color="auto" w:frame="1"/>
        </w:rPr>
        <w:t>“derechos inalienables de las personas de la tercera edad”</w:t>
      </w:r>
      <w:r w:rsidRPr="002C1A32">
        <w:rPr>
          <w:sz w:val="28"/>
          <w:szCs w:val="28"/>
          <w:bdr w:val="none" w:sz="0" w:space="0" w:color="auto" w:frame="1"/>
        </w:rPr>
        <w:t xml:space="preserve">; </w:t>
      </w:r>
      <w:r w:rsidRPr="002C1A32">
        <w:rPr>
          <w:i/>
          <w:sz w:val="28"/>
          <w:szCs w:val="28"/>
          <w:bdr w:val="none" w:sz="0" w:space="0" w:color="auto" w:frame="1"/>
        </w:rPr>
        <w:t>(iii)</w:t>
      </w:r>
      <w:r w:rsidRPr="002C1A32">
        <w:rPr>
          <w:sz w:val="28"/>
          <w:szCs w:val="28"/>
          <w:bdr w:val="none" w:sz="0" w:space="0" w:color="auto" w:frame="1"/>
        </w:rPr>
        <w:t xml:space="preserve"> se ordene a</w:t>
      </w:r>
      <w:r w:rsidR="009242F6" w:rsidRPr="002C1A32">
        <w:rPr>
          <w:sz w:val="28"/>
          <w:szCs w:val="28"/>
          <w:bdr w:val="none" w:sz="0" w:space="0" w:color="auto" w:frame="1"/>
        </w:rPr>
        <w:t xml:space="preserve"> </w:t>
      </w:r>
      <w:r w:rsidRPr="002C1A32">
        <w:rPr>
          <w:sz w:val="28"/>
          <w:szCs w:val="28"/>
          <w:bdr w:val="none" w:sz="0" w:space="0" w:color="auto" w:frame="1"/>
        </w:rPr>
        <w:t>l</w:t>
      </w:r>
      <w:r w:rsidR="009242F6" w:rsidRPr="002C1A32">
        <w:rPr>
          <w:sz w:val="28"/>
          <w:szCs w:val="28"/>
          <w:bdr w:val="none" w:sz="0" w:space="0" w:color="auto" w:frame="1"/>
        </w:rPr>
        <w:t>a accionada</w:t>
      </w:r>
      <w:r w:rsidRPr="002C1A32">
        <w:rPr>
          <w:sz w:val="28"/>
          <w:szCs w:val="28"/>
          <w:bdr w:val="none" w:sz="0" w:space="0" w:color="auto" w:frame="1"/>
        </w:rPr>
        <w:t xml:space="preserve"> a abstenerse de inaplicar normas de carácter pensional y </w:t>
      </w:r>
      <w:r w:rsidRPr="002C1A32">
        <w:rPr>
          <w:i/>
          <w:sz w:val="28"/>
          <w:szCs w:val="28"/>
          <w:bdr w:val="none" w:sz="0" w:space="0" w:color="auto" w:frame="1"/>
        </w:rPr>
        <w:t>(iv)</w:t>
      </w:r>
      <w:r w:rsidRPr="002C1A32">
        <w:rPr>
          <w:sz w:val="28"/>
          <w:szCs w:val="28"/>
          <w:bdr w:val="none" w:sz="0" w:space="0" w:color="auto" w:frame="1"/>
        </w:rPr>
        <w:t xml:space="preserve"> </w:t>
      </w:r>
      <w:r w:rsidR="009242F6" w:rsidRPr="002C1A32">
        <w:rPr>
          <w:sz w:val="28"/>
          <w:szCs w:val="28"/>
          <w:bdr w:val="none" w:sz="0" w:space="0" w:color="auto" w:frame="1"/>
        </w:rPr>
        <w:t xml:space="preserve">en consecuencia, </w:t>
      </w:r>
      <w:r w:rsidRPr="002C1A32">
        <w:rPr>
          <w:sz w:val="28"/>
          <w:szCs w:val="28"/>
          <w:bdr w:val="none" w:sz="0" w:space="0" w:color="auto" w:frame="1"/>
        </w:rPr>
        <w:t>a reconocer y pagar las acreencias laborales correspondientes.</w:t>
      </w:r>
    </w:p>
    <w:p w14:paraId="14424E89" w14:textId="77777777" w:rsidR="00171C89" w:rsidRPr="002C1A32" w:rsidRDefault="00171C89" w:rsidP="002C1A32">
      <w:pPr>
        <w:widowControl w:val="0"/>
        <w:spacing w:after="0" w:line="240" w:lineRule="auto"/>
        <w:contextualSpacing/>
        <w:jc w:val="both"/>
        <w:rPr>
          <w:rFonts w:eastAsia="Times New Roman"/>
          <w:sz w:val="28"/>
          <w:szCs w:val="28"/>
        </w:rPr>
      </w:pPr>
    </w:p>
    <w:p w14:paraId="4ECB8B66" w14:textId="14403824" w:rsidR="00171C89" w:rsidRPr="002C1A32" w:rsidRDefault="00171C89" w:rsidP="002C1A32">
      <w:pPr>
        <w:pStyle w:val="Ttulo2"/>
        <w:pBdr>
          <w:top w:val="none" w:sz="0" w:space="0" w:color="auto"/>
          <w:left w:val="none" w:sz="0" w:space="0" w:color="auto"/>
          <w:bottom w:val="none" w:sz="0" w:space="0" w:color="auto"/>
          <w:right w:val="none" w:sz="0" w:space="0" w:color="auto"/>
          <w:between w:val="none" w:sz="0" w:space="0" w:color="auto"/>
        </w:pBdr>
        <w:spacing w:before="0" w:after="0" w:line="240" w:lineRule="auto"/>
        <w:rPr>
          <w:rFonts w:eastAsia="Times New Roman"/>
          <w:b/>
          <w:szCs w:val="28"/>
        </w:rPr>
      </w:pPr>
      <w:r w:rsidRPr="002C1A32">
        <w:rPr>
          <w:b/>
          <w:color w:val="000000"/>
          <w:szCs w:val="28"/>
        </w:rPr>
        <w:t>Respuesta</w:t>
      </w:r>
      <w:r w:rsidRPr="002C1A32">
        <w:rPr>
          <w:rFonts w:eastAsia="Times New Roman"/>
          <w:b/>
          <w:szCs w:val="28"/>
        </w:rPr>
        <w:t xml:space="preserve"> de la</w:t>
      </w:r>
      <w:r w:rsidR="00EE0A5F" w:rsidRPr="002C1A32">
        <w:rPr>
          <w:rFonts w:eastAsia="Times New Roman"/>
          <w:b/>
          <w:szCs w:val="28"/>
        </w:rPr>
        <w:t>s</w:t>
      </w:r>
      <w:r w:rsidRPr="002C1A32">
        <w:rPr>
          <w:rFonts w:eastAsia="Times New Roman"/>
          <w:b/>
          <w:szCs w:val="28"/>
        </w:rPr>
        <w:t xml:space="preserve"> entidad</w:t>
      </w:r>
      <w:r w:rsidR="00EE0A5F" w:rsidRPr="002C1A32">
        <w:rPr>
          <w:rFonts w:eastAsia="Times New Roman"/>
          <w:b/>
          <w:szCs w:val="28"/>
        </w:rPr>
        <w:t>es</w:t>
      </w:r>
      <w:r w:rsidRPr="002C1A32">
        <w:rPr>
          <w:rFonts w:eastAsia="Times New Roman"/>
          <w:b/>
          <w:szCs w:val="28"/>
        </w:rPr>
        <w:t xml:space="preserve"> accionada</w:t>
      </w:r>
      <w:r w:rsidR="00EE0A5F" w:rsidRPr="002C1A32">
        <w:rPr>
          <w:rFonts w:eastAsia="Times New Roman"/>
          <w:b/>
          <w:szCs w:val="28"/>
        </w:rPr>
        <w:t>s</w:t>
      </w:r>
    </w:p>
    <w:p w14:paraId="71AFB9A5" w14:textId="77777777" w:rsidR="00171C89" w:rsidRPr="002C1A32" w:rsidRDefault="00171C89" w:rsidP="002C1A32">
      <w:pPr>
        <w:widowControl w:val="0"/>
        <w:spacing w:after="0" w:line="240" w:lineRule="auto"/>
        <w:contextualSpacing/>
        <w:jc w:val="both"/>
        <w:rPr>
          <w:rFonts w:eastAsia="Times New Roman"/>
          <w:sz w:val="28"/>
          <w:szCs w:val="28"/>
        </w:rPr>
      </w:pPr>
    </w:p>
    <w:p w14:paraId="2AC8CB91" w14:textId="7C0FB848" w:rsidR="008B045E" w:rsidRPr="002C1A32" w:rsidRDefault="008B045E" w:rsidP="002C1A32">
      <w:pPr>
        <w:pStyle w:val="Ttulo2"/>
        <w:numPr>
          <w:ilvl w:val="0"/>
          <w:numId w:val="2"/>
        </w:numPr>
        <w:pBdr>
          <w:top w:val="none" w:sz="0" w:space="0" w:color="auto"/>
          <w:left w:val="none" w:sz="0" w:space="0" w:color="auto"/>
          <w:bottom w:val="none" w:sz="0" w:space="0" w:color="auto"/>
          <w:right w:val="none" w:sz="0" w:space="0" w:color="auto"/>
          <w:between w:val="none" w:sz="0" w:space="0" w:color="auto"/>
        </w:pBdr>
        <w:spacing w:before="0" w:after="0" w:line="240" w:lineRule="auto"/>
        <w:jc w:val="both"/>
        <w:rPr>
          <w:rFonts w:eastAsia="Times New Roman"/>
          <w:szCs w:val="28"/>
        </w:rPr>
      </w:pPr>
      <w:r w:rsidRPr="002C1A32">
        <w:rPr>
          <w:rFonts w:eastAsia="Times New Roman"/>
          <w:b/>
          <w:i/>
          <w:szCs w:val="28"/>
        </w:rPr>
        <w:t>Instituto Colombiano de Bienestar Familiar.</w:t>
      </w:r>
      <w:r w:rsidRPr="002C1A32">
        <w:rPr>
          <w:rFonts w:eastAsia="Times New Roman"/>
          <w:b/>
          <w:szCs w:val="28"/>
        </w:rPr>
        <w:t xml:space="preserve"> </w:t>
      </w:r>
      <w:r w:rsidR="004E108B" w:rsidRPr="002C1A32">
        <w:rPr>
          <w:rFonts w:eastAsia="Times New Roman"/>
          <w:szCs w:val="28"/>
        </w:rPr>
        <w:t xml:space="preserve">Mediante </w:t>
      </w:r>
      <w:r w:rsidRPr="002C1A32">
        <w:rPr>
          <w:rFonts w:eastAsia="Times New Roman"/>
          <w:szCs w:val="28"/>
        </w:rPr>
        <w:t xml:space="preserve">sendos </w:t>
      </w:r>
      <w:r w:rsidR="004E108B" w:rsidRPr="002C1A32">
        <w:rPr>
          <w:rFonts w:eastAsia="Times New Roman"/>
          <w:szCs w:val="28"/>
        </w:rPr>
        <w:t>escrito</w:t>
      </w:r>
      <w:r w:rsidRPr="002C1A32">
        <w:rPr>
          <w:rFonts w:eastAsia="Times New Roman"/>
          <w:szCs w:val="28"/>
        </w:rPr>
        <w:t>s</w:t>
      </w:r>
      <w:r w:rsidR="004E108B" w:rsidRPr="002C1A32">
        <w:rPr>
          <w:rFonts w:eastAsia="Times New Roman"/>
          <w:szCs w:val="28"/>
        </w:rPr>
        <w:t xml:space="preserve"> del </w:t>
      </w:r>
      <w:r w:rsidR="00A041AA" w:rsidRPr="002C1A32">
        <w:rPr>
          <w:rFonts w:eastAsia="Times New Roman"/>
          <w:szCs w:val="28"/>
        </w:rPr>
        <w:t>13</w:t>
      </w:r>
      <w:r w:rsidR="00003AD1" w:rsidRPr="002C1A32">
        <w:rPr>
          <w:rFonts w:eastAsia="Times New Roman"/>
          <w:szCs w:val="28"/>
        </w:rPr>
        <w:t xml:space="preserve">, </w:t>
      </w:r>
      <w:r w:rsidR="004E108B" w:rsidRPr="002C1A32">
        <w:rPr>
          <w:rFonts w:eastAsia="Times New Roman"/>
          <w:szCs w:val="28"/>
        </w:rPr>
        <w:t xml:space="preserve">17 de noviembre </w:t>
      </w:r>
      <w:r w:rsidR="00003AD1" w:rsidRPr="002C1A32">
        <w:rPr>
          <w:rFonts w:eastAsia="Times New Roman"/>
          <w:szCs w:val="28"/>
        </w:rPr>
        <w:t>y 15 de diciembre de 2015</w:t>
      </w:r>
      <w:r w:rsidR="00A041AA" w:rsidRPr="002C1A32">
        <w:rPr>
          <w:rStyle w:val="Refdenotaalpie"/>
          <w:rFonts w:eastAsia="Times New Roman"/>
          <w:szCs w:val="28"/>
        </w:rPr>
        <w:footnoteReference w:id="4"/>
      </w:r>
      <w:r w:rsidR="004E108B" w:rsidRPr="002C1A32">
        <w:rPr>
          <w:rFonts w:eastAsia="Times New Roman"/>
          <w:szCs w:val="28"/>
        </w:rPr>
        <w:t xml:space="preserve">, </w:t>
      </w:r>
      <w:r w:rsidR="00A041AA" w:rsidRPr="002C1A32">
        <w:rPr>
          <w:rFonts w:eastAsia="Times New Roman"/>
          <w:szCs w:val="28"/>
        </w:rPr>
        <w:t xml:space="preserve">el ICBF </w:t>
      </w:r>
      <w:r w:rsidR="004E108B" w:rsidRPr="002C1A32">
        <w:rPr>
          <w:rFonts w:eastAsia="Times New Roman"/>
          <w:szCs w:val="28"/>
        </w:rPr>
        <w:t>solicitó que se desvinculara</w:t>
      </w:r>
      <w:r w:rsidRPr="002C1A32">
        <w:rPr>
          <w:rFonts w:eastAsia="Times New Roman"/>
          <w:szCs w:val="28"/>
        </w:rPr>
        <w:t xml:space="preserve"> a dicha</w:t>
      </w:r>
      <w:r w:rsidR="004E108B" w:rsidRPr="002C1A32">
        <w:rPr>
          <w:rFonts w:eastAsia="Times New Roman"/>
          <w:szCs w:val="28"/>
        </w:rPr>
        <w:t xml:space="preserve"> </w:t>
      </w:r>
      <w:r w:rsidRPr="002C1A32">
        <w:rPr>
          <w:rFonts w:eastAsia="Times New Roman"/>
          <w:szCs w:val="28"/>
        </w:rPr>
        <w:t xml:space="preserve">entidad </w:t>
      </w:r>
      <w:r w:rsidR="004E108B" w:rsidRPr="002C1A32">
        <w:rPr>
          <w:rFonts w:eastAsia="Times New Roman"/>
          <w:szCs w:val="28"/>
        </w:rPr>
        <w:t>y s</w:t>
      </w:r>
      <w:r w:rsidR="00121C26" w:rsidRPr="002C1A32">
        <w:rPr>
          <w:rFonts w:eastAsia="Times New Roman"/>
          <w:szCs w:val="28"/>
        </w:rPr>
        <w:t>e declarara</w:t>
      </w:r>
      <w:r w:rsidRPr="002C1A32">
        <w:rPr>
          <w:rFonts w:eastAsia="Times New Roman"/>
          <w:szCs w:val="28"/>
        </w:rPr>
        <w:t xml:space="preserve"> la improcedencia de los casos acumulados</w:t>
      </w:r>
      <w:r w:rsidR="004E108B" w:rsidRPr="002C1A32">
        <w:rPr>
          <w:rFonts w:eastAsia="Times New Roman"/>
          <w:szCs w:val="28"/>
        </w:rPr>
        <w:t xml:space="preserve">, por considerar que </w:t>
      </w:r>
      <w:r w:rsidRPr="002C1A32">
        <w:rPr>
          <w:rFonts w:eastAsia="Times New Roman"/>
          <w:szCs w:val="28"/>
        </w:rPr>
        <w:t xml:space="preserve">su representada </w:t>
      </w:r>
      <w:r w:rsidR="004E108B" w:rsidRPr="002C1A32">
        <w:rPr>
          <w:rFonts w:eastAsia="Times New Roman"/>
          <w:szCs w:val="28"/>
        </w:rPr>
        <w:t>no vulneró ningún derecho fundamental de las demandantes. Señaló que es improcedente el reconocimiento de salarios, cesantías, intereses a las cesantías, primas de servicios, vacaciones, subsidio, dotación, subsidio de transporte, aportes al sistema general de seguridad social en pensión y salud, sanciones moratorias, indemnizaciones y demás acreencias laborales, al “</w:t>
      </w:r>
      <w:r w:rsidR="004E108B" w:rsidRPr="002C1A32">
        <w:rPr>
          <w:rFonts w:eastAsia="Times New Roman"/>
          <w:i/>
          <w:szCs w:val="28"/>
        </w:rPr>
        <w:t>no existir ni haber existido vínculo laboral</w:t>
      </w:r>
      <w:r w:rsidR="004E108B" w:rsidRPr="002C1A32">
        <w:rPr>
          <w:rFonts w:eastAsia="Times New Roman"/>
          <w:szCs w:val="28"/>
        </w:rPr>
        <w:t xml:space="preserve">” entre las madres comunitarias y el ICBF. </w:t>
      </w:r>
    </w:p>
    <w:p w14:paraId="61E9EF3D" w14:textId="070353BC" w:rsidR="008B045E" w:rsidRPr="002C1A32" w:rsidRDefault="008B045E" w:rsidP="002C1A32">
      <w:pPr>
        <w:widowControl w:val="0"/>
        <w:tabs>
          <w:tab w:val="left" w:pos="284"/>
        </w:tabs>
        <w:spacing w:after="0" w:line="240" w:lineRule="auto"/>
        <w:ind w:right="56"/>
        <w:contextualSpacing/>
        <w:jc w:val="both"/>
        <w:rPr>
          <w:rFonts w:eastAsia="Times New Roman"/>
          <w:sz w:val="28"/>
          <w:szCs w:val="28"/>
        </w:rPr>
      </w:pPr>
    </w:p>
    <w:p w14:paraId="1206686A" w14:textId="026F4970" w:rsidR="004E108B" w:rsidRPr="002C1A32" w:rsidRDefault="004E108B" w:rsidP="002C1A32">
      <w:pPr>
        <w:widowControl w:val="0"/>
        <w:numPr>
          <w:ilvl w:val="0"/>
          <w:numId w:val="2"/>
        </w:numPr>
        <w:tabs>
          <w:tab w:val="left" w:pos="284"/>
        </w:tabs>
        <w:spacing w:after="0" w:line="240" w:lineRule="auto"/>
        <w:ind w:right="56"/>
        <w:contextualSpacing/>
        <w:jc w:val="both"/>
        <w:rPr>
          <w:rFonts w:eastAsia="Times New Roman"/>
          <w:sz w:val="28"/>
          <w:szCs w:val="28"/>
        </w:rPr>
      </w:pPr>
      <w:r w:rsidRPr="002C1A32">
        <w:rPr>
          <w:rFonts w:eastAsia="Times New Roman"/>
          <w:sz w:val="28"/>
          <w:szCs w:val="28"/>
        </w:rPr>
        <w:lastRenderedPageBreak/>
        <w:t>En sustento de</w:t>
      </w:r>
      <w:r w:rsidR="008B045E" w:rsidRPr="002C1A32">
        <w:rPr>
          <w:rFonts w:eastAsia="Times New Roman"/>
          <w:sz w:val="28"/>
          <w:szCs w:val="28"/>
        </w:rPr>
        <w:t xml:space="preserve"> lo anterior</w:t>
      </w:r>
      <w:r w:rsidRPr="002C1A32">
        <w:rPr>
          <w:rFonts w:eastAsia="Times New Roman"/>
          <w:sz w:val="28"/>
          <w:szCs w:val="28"/>
        </w:rPr>
        <w:t xml:space="preserve">, expuso </w:t>
      </w:r>
      <w:r w:rsidR="00EE0A5F" w:rsidRPr="002C1A32">
        <w:rPr>
          <w:rFonts w:eastAsia="Times New Roman"/>
          <w:sz w:val="28"/>
          <w:szCs w:val="28"/>
        </w:rPr>
        <w:t>que</w:t>
      </w:r>
      <w:r w:rsidRPr="002C1A32">
        <w:rPr>
          <w:rFonts w:eastAsia="Times New Roman"/>
          <w:sz w:val="28"/>
          <w:szCs w:val="28"/>
        </w:rPr>
        <w:t>:</w:t>
      </w:r>
      <w:r w:rsidR="00EE0A5F" w:rsidRPr="002C1A32">
        <w:rPr>
          <w:rFonts w:eastAsia="Times New Roman"/>
          <w:sz w:val="28"/>
          <w:szCs w:val="28"/>
        </w:rPr>
        <w:t xml:space="preserve"> </w:t>
      </w:r>
      <w:r w:rsidR="008B045E" w:rsidRPr="002C1A32">
        <w:rPr>
          <w:rFonts w:eastAsia="Times New Roman"/>
          <w:i/>
          <w:sz w:val="28"/>
          <w:szCs w:val="28"/>
        </w:rPr>
        <w:t>(i) e</w:t>
      </w:r>
      <w:r w:rsidRPr="002C1A32">
        <w:rPr>
          <w:rFonts w:eastAsia="Times New Roman"/>
          <w:sz w:val="28"/>
          <w:szCs w:val="28"/>
        </w:rPr>
        <w:t>xisten normas legales y reglamentarias que excluyen de manera expresa algún vínculo laboral entre el</w:t>
      </w:r>
      <w:r w:rsidR="00643C87" w:rsidRPr="002C1A32">
        <w:rPr>
          <w:rFonts w:eastAsia="Times New Roman"/>
          <w:sz w:val="28"/>
          <w:szCs w:val="28"/>
        </w:rPr>
        <w:t xml:space="preserve"> ICBF y las madres comunitarias;</w:t>
      </w:r>
      <w:r w:rsidRPr="002C1A32">
        <w:rPr>
          <w:rFonts w:eastAsia="Times New Roman"/>
          <w:sz w:val="28"/>
          <w:szCs w:val="28"/>
        </w:rPr>
        <w:t xml:space="preserve"> </w:t>
      </w:r>
      <w:r w:rsidR="008B045E" w:rsidRPr="002C1A32">
        <w:rPr>
          <w:rFonts w:eastAsia="Times New Roman"/>
          <w:i/>
          <w:sz w:val="28"/>
          <w:szCs w:val="28"/>
        </w:rPr>
        <w:t xml:space="preserve">(ii) </w:t>
      </w:r>
      <w:r w:rsidR="007E079D" w:rsidRPr="002C1A32">
        <w:rPr>
          <w:rFonts w:eastAsia="Times New Roman"/>
          <w:sz w:val="28"/>
          <w:szCs w:val="28"/>
        </w:rPr>
        <w:t>e</w:t>
      </w:r>
      <w:r w:rsidR="00EE0A5F" w:rsidRPr="002C1A32">
        <w:rPr>
          <w:rFonts w:eastAsia="Times New Roman"/>
          <w:sz w:val="28"/>
          <w:szCs w:val="28"/>
        </w:rPr>
        <w:t xml:space="preserve">l Decreto 289 de 2014 </w:t>
      </w:r>
      <w:r w:rsidR="008B045E" w:rsidRPr="002C1A32">
        <w:rPr>
          <w:rFonts w:eastAsia="Times New Roman"/>
          <w:sz w:val="28"/>
          <w:szCs w:val="28"/>
        </w:rPr>
        <w:t>desde</w:t>
      </w:r>
      <w:r w:rsidR="007147E7" w:rsidRPr="002C1A32">
        <w:rPr>
          <w:rFonts w:eastAsia="Times New Roman"/>
          <w:sz w:val="28"/>
          <w:szCs w:val="28"/>
        </w:rPr>
        <w:t xml:space="preserve"> el 12 de </w:t>
      </w:r>
      <w:r w:rsidR="008B045E" w:rsidRPr="002C1A32">
        <w:rPr>
          <w:rFonts w:eastAsia="Times New Roman"/>
          <w:sz w:val="28"/>
          <w:szCs w:val="28"/>
        </w:rPr>
        <w:t xml:space="preserve">febrero de 2014, </w:t>
      </w:r>
      <w:r w:rsidR="00EE0A5F" w:rsidRPr="002C1A32">
        <w:rPr>
          <w:rFonts w:eastAsia="Times New Roman"/>
          <w:sz w:val="28"/>
          <w:szCs w:val="28"/>
        </w:rPr>
        <w:t xml:space="preserve">estableció la vinculación laboral de las madres comunitarias con las </w:t>
      </w:r>
      <w:r w:rsidR="002B4EF7" w:rsidRPr="002C1A32">
        <w:rPr>
          <w:rFonts w:eastAsia="Times New Roman"/>
          <w:sz w:val="28"/>
          <w:szCs w:val="28"/>
        </w:rPr>
        <w:t xml:space="preserve">Entidades Administradoras del Servicio </w:t>
      </w:r>
      <w:r w:rsidR="0078176E" w:rsidRPr="002C1A32">
        <w:rPr>
          <w:rFonts w:eastAsia="Times New Roman"/>
          <w:sz w:val="28"/>
          <w:szCs w:val="28"/>
        </w:rPr>
        <w:t xml:space="preserve">(en adelante </w:t>
      </w:r>
      <w:r w:rsidR="008B045E" w:rsidRPr="002C1A32">
        <w:rPr>
          <w:rFonts w:eastAsia="Times New Roman"/>
          <w:sz w:val="28"/>
          <w:szCs w:val="28"/>
        </w:rPr>
        <w:t>EAS</w:t>
      </w:r>
      <w:r w:rsidR="0078176E" w:rsidRPr="002C1A32">
        <w:rPr>
          <w:rFonts w:eastAsia="Times New Roman"/>
          <w:sz w:val="28"/>
          <w:szCs w:val="28"/>
        </w:rPr>
        <w:t>)</w:t>
      </w:r>
      <w:r w:rsidR="008B045E" w:rsidRPr="002C1A32">
        <w:rPr>
          <w:rFonts w:eastAsia="Times New Roman"/>
          <w:sz w:val="28"/>
          <w:szCs w:val="28"/>
        </w:rPr>
        <w:t xml:space="preserve">, </w:t>
      </w:r>
      <w:r w:rsidR="00EE0A5F" w:rsidRPr="002C1A32">
        <w:rPr>
          <w:rFonts w:eastAsia="Times New Roman"/>
          <w:sz w:val="28"/>
          <w:szCs w:val="28"/>
        </w:rPr>
        <w:t xml:space="preserve">siendo </w:t>
      </w:r>
      <w:r w:rsidR="008B045E" w:rsidRPr="002C1A32">
        <w:rPr>
          <w:rFonts w:eastAsia="Times New Roman"/>
          <w:sz w:val="28"/>
          <w:szCs w:val="28"/>
        </w:rPr>
        <w:t>estas</w:t>
      </w:r>
      <w:r w:rsidR="00987365" w:rsidRPr="002C1A32">
        <w:rPr>
          <w:rFonts w:eastAsia="Times New Roman"/>
          <w:sz w:val="28"/>
          <w:szCs w:val="28"/>
        </w:rPr>
        <w:t>,</w:t>
      </w:r>
      <w:r w:rsidR="008B045E" w:rsidRPr="002C1A32">
        <w:rPr>
          <w:rFonts w:eastAsia="Times New Roman"/>
          <w:sz w:val="28"/>
          <w:szCs w:val="28"/>
        </w:rPr>
        <w:t xml:space="preserve"> </w:t>
      </w:r>
      <w:r w:rsidR="00EE0A5F" w:rsidRPr="002C1A32">
        <w:rPr>
          <w:rFonts w:eastAsia="Times New Roman"/>
          <w:sz w:val="28"/>
          <w:szCs w:val="28"/>
        </w:rPr>
        <w:t xml:space="preserve">quienes tienen </w:t>
      </w:r>
      <w:r w:rsidR="00643C87" w:rsidRPr="002C1A32">
        <w:rPr>
          <w:rFonts w:eastAsia="Times New Roman"/>
          <w:sz w:val="28"/>
          <w:szCs w:val="28"/>
        </w:rPr>
        <w:t>la condición de único empleador;</w:t>
      </w:r>
      <w:r w:rsidR="00EE0A5F" w:rsidRPr="002C1A32">
        <w:rPr>
          <w:rFonts w:eastAsia="Times New Roman"/>
          <w:sz w:val="28"/>
          <w:szCs w:val="28"/>
        </w:rPr>
        <w:t xml:space="preserve"> </w:t>
      </w:r>
      <w:r w:rsidR="008B045E" w:rsidRPr="002C1A32">
        <w:rPr>
          <w:rFonts w:eastAsia="Times New Roman"/>
          <w:i/>
          <w:sz w:val="28"/>
          <w:szCs w:val="28"/>
        </w:rPr>
        <w:t xml:space="preserve">(iii) </w:t>
      </w:r>
      <w:r w:rsidR="008B045E" w:rsidRPr="002C1A32">
        <w:rPr>
          <w:rFonts w:eastAsia="Times New Roman"/>
          <w:sz w:val="28"/>
          <w:szCs w:val="28"/>
        </w:rPr>
        <w:t>n</w:t>
      </w:r>
      <w:r w:rsidR="00EE0A5F" w:rsidRPr="002C1A32">
        <w:rPr>
          <w:rFonts w:eastAsia="Times New Roman"/>
          <w:sz w:val="28"/>
          <w:szCs w:val="28"/>
        </w:rPr>
        <w:t xml:space="preserve">o existe </w:t>
      </w:r>
      <w:r w:rsidRPr="002C1A32">
        <w:rPr>
          <w:rFonts w:eastAsia="Times New Roman"/>
          <w:sz w:val="28"/>
          <w:szCs w:val="28"/>
        </w:rPr>
        <w:t xml:space="preserve">subordinación </w:t>
      </w:r>
      <w:r w:rsidR="00EE0A5F" w:rsidRPr="002C1A32">
        <w:rPr>
          <w:rFonts w:eastAsia="Times New Roman"/>
          <w:sz w:val="28"/>
          <w:szCs w:val="28"/>
        </w:rPr>
        <w:t>entre el ICBF y las madres comunitari</w:t>
      </w:r>
      <w:r w:rsidR="008B045E" w:rsidRPr="002C1A32">
        <w:rPr>
          <w:rFonts w:eastAsia="Times New Roman"/>
          <w:sz w:val="28"/>
          <w:szCs w:val="28"/>
        </w:rPr>
        <w:t>a</w:t>
      </w:r>
      <w:r w:rsidR="00EE0A5F" w:rsidRPr="002C1A32">
        <w:rPr>
          <w:rFonts w:eastAsia="Times New Roman"/>
          <w:sz w:val="28"/>
          <w:szCs w:val="28"/>
        </w:rPr>
        <w:t xml:space="preserve">s, </w:t>
      </w:r>
      <w:r w:rsidRPr="002C1A32">
        <w:rPr>
          <w:rFonts w:eastAsia="Times New Roman"/>
          <w:sz w:val="28"/>
          <w:szCs w:val="28"/>
        </w:rPr>
        <w:t>elemento esencial del contrato de trabajo</w:t>
      </w:r>
      <w:r w:rsidR="00643C87" w:rsidRPr="002C1A32">
        <w:rPr>
          <w:rFonts w:eastAsia="Times New Roman"/>
          <w:sz w:val="28"/>
          <w:szCs w:val="28"/>
        </w:rPr>
        <w:t xml:space="preserve"> regido por el C.S.T. y de la S.S.</w:t>
      </w:r>
      <w:r w:rsidRPr="002C1A32">
        <w:rPr>
          <w:rFonts w:eastAsia="Times New Roman"/>
          <w:sz w:val="28"/>
          <w:szCs w:val="28"/>
        </w:rPr>
        <w:t xml:space="preserve">, por cuanto no hay jerarquía organizacional e institucional; las funciones que desarrollan las </w:t>
      </w:r>
      <w:r w:rsidR="00EE0A5F" w:rsidRPr="002C1A32">
        <w:rPr>
          <w:rFonts w:eastAsia="Times New Roman"/>
          <w:sz w:val="28"/>
          <w:szCs w:val="28"/>
        </w:rPr>
        <w:t>accionantes</w:t>
      </w:r>
      <w:r w:rsidRPr="002C1A32">
        <w:rPr>
          <w:rFonts w:eastAsia="Times New Roman"/>
          <w:sz w:val="28"/>
          <w:szCs w:val="28"/>
        </w:rPr>
        <w:t xml:space="preserve"> se fundan en la distribución de competencias prevista en el artículo 44 de la Constitución; el ICBF no está facultado para adoptar medidas disciplinarias frente a las madres comunitarias; los requerimientos de idoneidad a las madres comunitarias no implican subordinación o dependencia; </w:t>
      </w:r>
      <w:r w:rsidR="00643C87" w:rsidRPr="002C1A32">
        <w:rPr>
          <w:rFonts w:eastAsia="Times New Roman"/>
          <w:sz w:val="28"/>
          <w:szCs w:val="28"/>
        </w:rPr>
        <w:t>de acuerdo con el artículo 42 de la Constitución existe una c</w:t>
      </w:r>
      <w:r w:rsidRPr="002C1A32">
        <w:rPr>
          <w:rFonts w:eastAsia="Times New Roman"/>
          <w:sz w:val="28"/>
          <w:szCs w:val="28"/>
        </w:rPr>
        <w:t>orresponsabilidad en la protección integral de la familia</w:t>
      </w:r>
      <w:r w:rsidR="00643C87" w:rsidRPr="002C1A32">
        <w:rPr>
          <w:rFonts w:eastAsia="Times New Roman"/>
          <w:sz w:val="28"/>
          <w:szCs w:val="28"/>
        </w:rPr>
        <w:t>;</w:t>
      </w:r>
      <w:r w:rsidR="008B045E" w:rsidRPr="002C1A32">
        <w:rPr>
          <w:rFonts w:eastAsia="Times New Roman"/>
          <w:sz w:val="28"/>
          <w:szCs w:val="28"/>
        </w:rPr>
        <w:t xml:space="preserve"> </w:t>
      </w:r>
      <w:r w:rsidR="00987365" w:rsidRPr="002C1A32">
        <w:rPr>
          <w:rFonts w:eastAsia="Times New Roman"/>
          <w:sz w:val="28"/>
          <w:szCs w:val="28"/>
        </w:rPr>
        <w:t xml:space="preserve">y </w:t>
      </w:r>
      <w:r w:rsidR="008B045E" w:rsidRPr="002C1A32">
        <w:rPr>
          <w:rFonts w:eastAsia="Times New Roman"/>
          <w:i/>
          <w:sz w:val="28"/>
          <w:szCs w:val="28"/>
        </w:rPr>
        <w:t xml:space="preserve">(iv) </w:t>
      </w:r>
      <w:r w:rsidR="008B045E" w:rsidRPr="002C1A32">
        <w:rPr>
          <w:rFonts w:eastAsia="Times New Roman"/>
          <w:sz w:val="28"/>
          <w:szCs w:val="28"/>
        </w:rPr>
        <w:t>t</w:t>
      </w:r>
      <w:r w:rsidR="00EE0A5F" w:rsidRPr="002C1A32">
        <w:rPr>
          <w:rFonts w:eastAsia="Times New Roman"/>
          <w:sz w:val="28"/>
          <w:szCs w:val="28"/>
        </w:rPr>
        <w:t xml:space="preserve">ampoco se presentan los </w:t>
      </w:r>
      <w:r w:rsidRPr="002C1A32">
        <w:rPr>
          <w:rFonts w:eastAsia="Times New Roman"/>
          <w:sz w:val="28"/>
          <w:szCs w:val="28"/>
        </w:rPr>
        <w:t xml:space="preserve">elementos necesarios para la configuración de una relación laboral administrativa, </w:t>
      </w:r>
      <w:r w:rsidR="00EA2FC3" w:rsidRPr="002C1A32">
        <w:rPr>
          <w:rFonts w:eastAsia="Times New Roman"/>
          <w:sz w:val="28"/>
          <w:szCs w:val="28"/>
        </w:rPr>
        <w:t xml:space="preserve">ante </w:t>
      </w:r>
      <w:r w:rsidRPr="002C1A32">
        <w:rPr>
          <w:rFonts w:eastAsia="Times New Roman"/>
          <w:sz w:val="28"/>
          <w:szCs w:val="28"/>
        </w:rPr>
        <w:t>la inexistencia del cargo de madre comunitaria en la planta de personal del ICBF.</w:t>
      </w:r>
    </w:p>
    <w:p w14:paraId="2280D7D2" w14:textId="77777777" w:rsidR="009165CC" w:rsidRPr="002C1A32" w:rsidRDefault="009165CC" w:rsidP="002C1A32">
      <w:pPr>
        <w:widowControl w:val="0"/>
        <w:tabs>
          <w:tab w:val="left" w:pos="284"/>
        </w:tabs>
        <w:spacing w:after="0" w:line="240" w:lineRule="auto"/>
        <w:ind w:right="56"/>
        <w:contextualSpacing/>
        <w:jc w:val="both"/>
        <w:rPr>
          <w:rFonts w:eastAsia="Times New Roman"/>
          <w:sz w:val="28"/>
          <w:szCs w:val="28"/>
        </w:rPr>
      </w:pPr>
    </w:p>
    <w:p w14:paraId="700E68C0" w14:textId="04D6BAFA" w:rsidR="004E108B" w:rsidRPr="002C1A32" w:rsidRDefault="008B045E" w:rsidP="002C1A32">
      <w:pPr>
        <w:pStyle w:val="Ttulo2"/>
        <w:numPr>
          <w:ilvl w:val="0"/>
          <w:numId w:val="2"/>
        </w:numPr>
        <w:pBdr>
          <w:top w:val="none" w:sz="0" w:space="0" w:color="auto"/>
          <w:left w:val="none" w:sz="0" w:space="0" w:color="auto"/>
          <w:bottom w:val="none" w:sz="0" w:space="0" w:color="auto"/>
          <w:right w:val="none" w:sz="0" w:space="0" w:color="auto"/>
          <w:between w:val="none" w:sz="0" w:space="0" w:color="auto"/>
        </w:pBdr>
        <w:spacing w:before="0" w:after="0" w:line="240" w:lineRule="auto"/>
        <w:jc w:val="both"/>
        <w:rPr>
          <w:rFonts w:eastAsia="Times New Roman"/>
          <w:szCs w:val="28"/>
        </w:rPr>
      </w:pPr>
      <w:r w:rsidRPr="002C1A32">
        <w:rPr>
          <w:rFonts w:eastAsia="Times New Roman"/>
          <w:b/>
          <w:i/>
          <w:szCs w:val="28"/>
        </w:rPr>
        <w:t>Departamento Administrativo para la Prosperidad Social</w:t>
      </w:r>
      <w:r w:rsidRPr="002C1A32">
        <w:rPr>
          <w:rFonts w:eastAsia="Times New Roman"/>
          <w:b/>
          <w:szCs w:val="28"/>
        </w:rPr>
        <w:t>.</w:t>
      </w:r>
      <w:r w:rsidRPr="002C1A32">
        <w:rPr>
          <w:rFonts w:eastAsia="Times New Roman"/>
          <w:szCs w:val="28"/>
        </w:rPr>
        <w:t xml:space="preserve"> </w:t>
      </w:r>
      <w:r w:rsidR="004E108B" w:rsidRPr="002C1A32">
        <w:rPr>
          <w:rFonts w:eastAsia="Times New Roman"/>
          <w:szCs w:val="28"/>
        </w:rPr>
        <w:t>Por medio de escrito</w:t>
      </w:r>
      <w:r w:rsidR="007E079D" w:rsidRPr="002C1A32">
        <w:rPr>
          <w:rFonts w:eastAsia="Times New Roman"/>
          <w:szCs w:val="28"/>
        </w:rPr>
        <w:t>s</w:t>
      </w:r>
      <w:r w:rsidR="004E108B" w:rsidRPr="002C1A32">
        <w:rPr>
          <w:rFonts w:eastAsia="Times New Roman"/>
          <w:szCs w:val="28"/>
        </w:rPr>
        <w:t xml:space="preserve"> del 17</w:t>
      </w:r>
      <w:r w:rsidR="007E079D" w:rsidRPr="002C1A32">
        <w:rPr>
          <w:rFonts w:eastAsia="Times New Roman"/>
          <w:szCs w:val="28"/>
        </w:rPr>
        <w:t xml:space="preserve"> y</w:t>
      </w:r>
      <w:r w:rsidR="00A041AA" w:rsidRPr="002C1A32">
        <w:rPr>
          <w:rFonts w:eastAsia="Times New Roman"/>
          <w:szCs w:val="28"/>
        </w:rPr>
        <w:t xml:space="preserve"> 18</w:t>
      </w:r>
      <w:r w:rsidR="004E108B" w:rsidRPr="002C1A32">
        <w:rPr>
          <w:rFonts w:eastAsia="Times New Roman"/>
          <w:szCs w:val="28"/>
        </w:rPr>
        <w:t xml:space="preserve"> de noviembre de 2015</w:t>
      </w:r>
      <w:r w:rsidR="00A041AA" w:rsidRPr="002C1A32">
        <w:rPr>
          <w:rStyle w:val="Refdenotaalpie"/>
          <w:rFonts w:eastAsia="Times New Roman"/>
          <w:szCs w:val="28"/>
        </w:rPr>
        <w:footnoteReference w:id="5"/>
      </w:r>
      <w:r w:rsidR="004E108B" w:rsidRPr="002C1A32">
        <w:rPr>
          <w:rFonts w:eastAsia="Times New Roman"/>
          <w:szCs w:val="28"/>
        </w:rPr>
        <w:t>, la Jefe de la Oficina Asesora Jurídica del</w:t>
      </w:r>
      <w:r w:rsidRPr="002C1A32">
        <w:rPr>
          <w:rFonts w:eastAsia="Times New Roman"/>
          <w:szCs w:val="28"/>
        </w:rPr>
        <w:t xml:space="preserve"> DPS</w:t>
      </w:r>
      <w:r w:rsidR="004E108B" w:rsidRPr="002C1A32">
        <w:rPr>
          <w:rFonts w:eastAsia="Times New Roman"/>
          <w:szCs w:val="28"/>
        </w:rPr>
        <w:t xml:space="preserve"> pidió la desvinculación de esa entidad, toda vez que, en virtud de la Ley 1448 de 2011, no está facultada para dar respuesta a las solicitudes formuladas por las accionantes sino que ello corresponde exclusivamente al ICBF.</w:t>
      </w:r>
    </w:p>
    <w:p w14:paraId="49009CF0" w14:textId="77777777" w:rsidR="00A041AA" w:rsidRPr="002C1A32" w:rsidRDefault="00A041AA" w:rsidP="002C1A32">
      <w:pPr>
        <w:widowControl w:val="0"/>
        <w:tabs>
          <w:tab w:val="left" w:pos="426"/>
        </w:tabs>
        <w:spacing w:after="0" w:line="240" w:lineRule="auto"/>
        <w:ind w:right="56"/>
        <w:contextualSpacing/>
        <w:jc w:val="both"/>
        <w:rPr>
          <w:rFonts w:eastAsia="Times New Roman"/>
          <w:sz w:val="28"/>
          <w:szCs w:val="28"/>
        </w:rPr>
      </w:pPr>
    </w:p>
    <w:p w14:paraId="262DE03F" w14:textId="40153A14" w:rsidR="00A041AA" w:rsidRPr="002C1A32" w:rsidRDefault="003C12CA" w:rsidP="002C1A32">
      <w:pPr>
        <w:pStyle w:val="Ttulo2"/>
        <w:numPr>
          <w:ilvl w:val="0"/>
          <w:numId w:val="2"/>
        </w:numPr>
        <w:pBdr>
          <w:top w:val="none" w:sz="0" w:space="0" w:color="auto"/>
          <w:left w:val="none" w:sz="0" w:space="0" w:color="auto"/>
          <w:bottom w:val="none" w:sz="0" w:space="0" w:color="auto"/>
          <w:right w:val="none" w:sz="0" w:space="0" w:color="auto"/>
          <w:between w:val="none" w:sz="0" w:space="0" w:color="auto"/>
        </w:pBdr>
        <w:spacing w:before="0" w:after="0" w:line="240" w:lineRule="auto"/>
        <w:jc w:val="both"/>
        <w:rPr>
          <w:rFonts w:eastAsia="Times New Roman"/>
          <w:szCs w:val="28"/>
        </w:rPr>
      </w:pPr>
      <w:r w:rsidRPr="002C1A32">
        <w:rPr>
          <w:rFonts w:eastAsia="Times New Roman"/>
          <w:b/>
          <w:i/>
          <w:szCs w:val="28"/>
        </w:rPr>
        <w:t>Summar Temporales S.A.S.</w:t>
      </w:r>
      <w:r w:rsidR="00A041AA" w:rsidRPr="002C1A32">
        <w:rPr>
          <w:rFonts w:eastAsia="Times New Roman"/>
          <w:szCs w:val="28"/>
        </w:rPr>
        <w:t xml:space="preserve"> </w:t>
      </w:r>
      <w:r w:rsidRPr="002C1A32">
        <w:rPr>
          <w:rFonts w:eastAsia="Times New Roman"/>
          <w:szCs w:val="28"/>
        </w:rPr>
        <w:t xml:space="preserve">Mediante </w:t>
      </w:r>
      <w:r w:rsidR="00A041AA" w:rsidRPr="002C1A32">
        <w:rPr>
          <w:rFonts w:eastAsia="Times New Roman"/>
          <w:szCs w:val="28"/>
        </w:rPr>
        <w:t xml:space="preserve">respuesta del 18 de noviembre de 2015, </w:t>
      </w:r>
      <w:r w:rsidRPr="002C1A32">
        <w:rPr>
          <w:rFonts w:eastAsia="Times New Roman"/>
          <w:szCs w:val="28"/>
        </w:rPr>
        <w:t xml:space="preserve">esta EAS </w:t>
      </w:r>
      <w:r w:rsidR="00A041AA" w:rsidRPr="002C1A32">
        <w:rPr>
          <w:rFonts w:eastAsia="Times New Roman"/>
          <w:szCs w:val="28"/>
        </w:rPr>
        <w:t xml:space="preserve">pidió </w:t>
      </w:r>
      <w:r w:rsidRPr="002C1A32">
        <w:rPr>
          <w:rFonts w:eastAsia="Times New Roman"/>
          <w:szCs w:val="28"/>
        </w:rPr>
        <w:t xml:space="preserve">que </w:t>
      </w:r>
      <w:r w:rsidR="00A041AA" w:rsidRPr="002C1A32">
        <w:rPr>
          <w:rFonts w:eastAsia="Times New Roman"/>
          <w:szCs w:val="28"/>
        </w:rPr>
        <w:t xml:space="preserve">se </w:t>
      </w:r>
      <w:r w:rsidRPr="002C1A32">
        <w:rPr>
          <w:rFonts w:eastAsia="Times New Roman"/>
          <w:szCs w:val="28"/>
        </w:rPr>
        <w:t xml:space="preserve">le </w:t>
      </w:r>
      <w:r w:rsidR="00A041AA" w:rsidRPr="002C1A32">
        <w:rPr>
          <w:rFonts w:eastAsia="Times New Roman"/>
          <w:szCs w:val="28"/>
        </w:rPr>
        <w:t>excluya de responsabilidad, toda vez que no</w:t>
      </w:r>
      <w:r w:rsidR="007E079D" w:rsidRPr="002C1A32">
        <w:rPr>
          <w:rFonts w:eastAsia="Times New Roman"/>
          <w:szCs w:val="28"/>
        </w:rPr>
        <w:t xml:space="preserve"> existió</w:t>
      </w:r>
      <w:r w:rsidR="00A041AA" w:rsidRPr="002C1A32">
        <w:rPr>
          <w:rFonts w:eastAsia="Times New Roman"/>
          <w:szCs w:val="28"/>
        </w:rPr>
        <w:t xml:space="preserve"> </w:t>
      </w:r>
      <w:r w:rsidR="007E079D" w:rsidRPr="002C1A32">
        <w:rPr>
          <w:rFonts w:eastAsia="Times New Roman"/>
          <w:szCs w:val="28"/>
        </w:rPr>
        <w:t>una</w:t>
      </w:r>
      <w:r w:rsidR="00A041AA" w:rsidRPr="002C1A32">
        <w:rPr>
          <w:rFonts w:eastAsia="Times New Roman"/>
          <w:szCs w:val="28"/>
        </w:rPr>
        <w:t xml:space="preserve"> relación laboral entre esa sociedad y las accionantes</w:t>
      </w:r>
      <w:r w:rsidR="00A041AA" w:rsidRPr="002C1A32">
        <w:rPr>
          <w:rStyle w:val="Refdenotaalpie"/>
          <w:rFonts w:eastAsia="Times New Roman"/>
          <w:szCs w:val="28"/>
        </w:rPr>
        <w:footnoteReference w:id="6"/>
      </w:r>
      <w:r w:rsidR="00A041AA" w:rsidRPr="002C1A32">
        <w:rPr>
          <w:rFonts w:eastAsia="Times New Roman"/>
          <w:szCs w:val="28"/>
        </w:rPr>
        <w:t>.</w:t>
      </w:r>
    </w:p>
    <w:p w14:paraId="4C3BF7A7" w14:textId="77777777" w:rsidR="00823EF7" w:rsidRPr="002C1A32" w:rsidRDefault="00823EF7" w:rsidP="002C1A32">
      <w:pPr>
        <w:widowControl w:val="0"/>
        <w:tabs>
          <w:tab w:val="left" w:pos="426"/>
        </w:tabs>
        <w:spacing w:after="0" w:line="240" w:lineRule="auto"/>
        <w:ind w:right="56"/>
        <w:contextualSpacing/>
        <w:jc w:val="both"/>
        <w:rPr>
          <w:rFonts w:eastAsia="Times New Roman"/>
          <w:sz w:val="28"/>
          <w:szCs w:val="28"/>
        </w:rPr>
      </w:pPr>
    </w:p>
    <w:p w14:paraId="5B7A0CFB" w14:textId="208583DA" w:rsidR="00716C59" w:rsidRPr="002C1A32" w:rsidRDefault="00716C59" w:rsidP="002C1A32">
      <w:pPr>
        <w:widowControl w:val="0"/>
        <w:numPr>
          <w:ilvl w:val="0"/>
          <w:numId w:val="2"/>
        </w:numPr>
        <w:tabs>
          <w:tab w:val="left" w:pos="426"/>
        </w:tabs>
        <w:spacing w:after="0" w:line="240" w:lineRule="auto"/>
        <w:ind w:right="56"/>
        <w:contextualSpacing/>
        <w:jc w:val="both"/>
        <w:rPr>
          <w:rFonts w:eastAsia="Times New Roman"/>
          <w:sz w:val="28"/>
          <w:szCs w:val="28"/>
        </w:rPr>
      </w:pPr>
      <w:r w:rsidRPr="002C1A32">
        <w:rPr>
          <w:rFonts w:eastAsia="Times New Roman"/>
          <w:sz w:val="28"/>
          <w:szCs w:val="28"/>
        </w:rPr>
        <w:t>Mediante Auto 217 de 2018, la Corte ordenó</w:t>
      </w:r>
      <w:r w:rsidRPr="002C1A32">
        <w:rPr>
          <w:sz w:val="28"/>
          <w:szCs w:val="28"/>
        </w:rPr>
        <w:t xml:space="preserve"> </w:t>
      </w:r>
      <w:r w:rsidRPr="002C1A32">
        <w:rPr>
          <w:rFonts w:eastAsia="Times New Roman"/>
          <w:sz w:val="28"/>
          <w:szCs w:val="28"/>
        </w:rPr>
        <w:t xml:space="preserve">vincular </w:t>
      </w:r>
      <w:r w:rsidR="00B7651C" w:rsidRPr="002C1A32">
        <w:rPr>
          <w:rFonts w:eastAsia="Times New Roman"/>
          <w:sz w:val="28"/>
          <w:szCs w:val="28"/>
        </w:rPr>
        <w:t xml:space="preserve">en sede de nulidad </w:t>
      </w:r>
      <w:r w:rsidRPr="002C1A32">
        <w:rPr>
          <w:rFonts w:eastAsia="Times New Roman"/>
          <w:sz w:val="28"/>
          <w:szCs w:val="28"/>
        </w:rPr>
        <w:t>al Consorcio Colombia Mayor 2</w:t>
      </w:r>
      <w:r w:rsidR="00AA3C9D" w:rsidRPr="002C1A32">
        <w:rPr>
          <w:rFonts w:eastAsia="Times New Roman"/>
          <w:sz w:val="28"/>
          <w:szCs w:val="28"/>
        </w:rPr>
        <w:t>013 y al Ministerio del Trabajo</w:t>
      </w:r>
      <w:r w:rsidRPr="002C1A32">
        <w:rPr>
          <w:rFonts w:eastAsia="Times New Roman"/>
          <w:sz w:val="28"/>
          <w:szCs w:val="28"/>
        </w:rPr>
        <w:t xml:space="preserve">. Por lo que dichas entidades intervinieron </w:t>
      </w:r>
      <w:r w:rsidR="000223C3" w:rsidRPr="002C1A32">
        <w:rPr>
          <w:rFonts w:eastAsia="Times New Roman"/>
          <w:sz w:val="28"/>
          <w:szCs w:val="28"/>
        </w:rPr>
        <w:t>en los procesos de la referencia</w:t>
      </w:r>
      <w:r w:rsidRPr="002C1A32">
        <w:rPr>
          <w:rFonts w:eastAsia="Times New Roman"/>
          <w:sz w:val="28"/>
          <w:szCs w:val="28"/>
        </w:rPr>
        <w:t xml:space="preserve">. </w:t>
      </w:r>
    </w:p>
    <w:p w14:paraId="7450D844" w14:textId="77777777" w:rsidR="00716C59" w:rsidRPr="002C1A32" w:rsidRDefault="00716C59" w:rsidP="002C1A32">
      <w:pPr>
        <w:widowControl w:val="0"/>
        <w:tabs>
          <w:tab w:val="left" w:pos="426"/>
        </w:tabs>
        <w:spacing w:after="0" w:line="240" w:lineRule="auto"/>
        <w:ind w:right="56"/>
        <w:contextualSpacing/>
        <w:jc w:val="both"/>
        <w:rPr>
          <w:rFonts w:eastAsia="Times New Roman"/>
          <w:sz w:val="28"/>
          <w:szCs w:val="28"/>
        </w:rPr>
      </w:pPr>
    </w:p>
    <w:p w14:paraId="534F7AAB" w14:textId="4B7D8A4F" w:rsidR="00823EF7" w:rsidRPr="002C1A32" w:rsidRDefault="00823EF7" w:rsidP="002C1A32">
      <w:pPr>
        <w:pStyle w:val="Ttulo2"/>
        <w:numPr>
          <w:ilvl w:val="0"/>
          <w:numId w:val="2"/>
        </w:numPr>
        <w:pBdr>
          <w:top w:val="none" w:sz="0" w:space="0" w:color="auto"/>
          <w:left w:val="none" w:sz="0" w:space="0" w:color="auto"/>
          <w:bottom w:val="none" w:sz="0" w:space="0" w:color="auto"/>
          <w:right w:val="none" w:sz="0" w:space="0" w:color="auto"/>
          <w:between w:val="none" w:sz="0" w:space="0" w:color="auto"/>
        </w:pBdr>
        <w:spacing w:before="0" w:after="0" w:line="240" w:lineRule="auto"/>
        <w:jc w:val="both"/>
        <w:rPr>
          <w:rFonts w:eastAsia="Times New Roman"/>
          <w:szCs w:val="28"/>
        </w:rPr>
      </w:pPr>
      <w:r w:rsidRPr="002C1A32">
        <w:rPr>
          <w:rFonts w:eastAsia="Times New Roman"/>
          <w:b/>
          <w:i/>
          <w:szCs w:val="28"/>
        </w:rPr>
        <w:lastRenderedPageBreak/>
        <w:t xml:space="preserve">Consorcio Colombia Mayor 2013. </w:t>
      </w:r>
      <w:r w:rsidRPr="002C1A32">
        <w:rPr>
          <w:rFonts w:eastAsia="Times New Roman"/>
          <w:szCs w:val="28"/>
        </w:rPr>
        <w:t>En respuesta del 22 de junio de 2018, el vinculado</w:t>
      </w:r>
      <w:r w:rsidR="00CC032A" w:rsidRPr="002C1A32">
        <w:rPr>
          <w:rStyle w:val="Refdenotaalpie"/>
          <w:rFonts w:eastAsia="Times New Roman"/>
          <w:szCs w:val="28"/>
        </w:rPr>
        <w:footnoteReference w:id="7"/>
      </w:r>
      <w:r w:rsidRPr="002C1A32">
        <w:rPr>
          <w:rFonts w:eastAsia="Times New Roman"/>
          <w:szCs w:val="28"/>
        </w:rPr>
        <w:t xml:space="preserve"> adujo que: </w:t>
      </w:r>
      <w:r w:rsidR="007F2914" w:rsidRPr="002C1A32">
        <w:rPr>
          <w:rFonts w:eastAsia="Times New Roman"/>
          <w:i/>
          <w:szCs w:val="28"/>
        </w:rPr>
        <w:t xml:space="preserve">(i) </w:t>
      </w:r>
      <w:r w:rsidR="007F2914" w:rsidRPr="002C1A32">
        <w:rPr>
          <w:rFonts w:eastAsia="Times New Roman"/>
          <w:szCs w:val="28"/>
        </w:rPr>
        <w:t>la acción de tutela no es el mecanismo idóneo para solicitar el reconocimiento de prestaciones económicas</w:t>
      </w:r>
      <w:r w:rsidR="006C4629" w:rsidRPr="002C1A32">
        <w:rPr>
          <w:rFonts w:eastAsia="Times New Roman"/>
          <w:szCs w:val="28"/>
        </w:rPr>
        <w:t xml:space="preserve"> derivadas de una presunta relación laboral</w:t>
      </w:r>
      <w:r w:rsidR="007F2914" w:rsidRPr="002C1A32">
        <w:rPr>
          <w:rFonts w:eastAsia="Times New Roman"/>
          <w:szCs w:val="28"/>
        </w:rPr>
        <w:t xml:space="preserve">, </w:t>
      </w:r>
      <w:r w:rsidR="007F2914" w:rsidRPr="002C1A32">
        <w:rPr>
          <w:rFonts w:eastAsia="Times New Roman"/>
          <w:i/>
          <w:szCs w:val="28"/>
        </w:rPr>
        <w:t xml:space="preserve">(ii) </w:t>
      </w:r>
      <w:r w:rsidR="007F2914" w:rsidRPr="002C1A32">
        <w:rPr>
          <w:rFonts w:eastAsia="Times New Roman"/>
          <w:szCs w:val="28"/>
        </w:rPr>
        <w:t xml:space="preserve">no se evidencia la existencia de un perjuicio irremediable, </w:t>
      </w:r>
      <w:r w:rsidR="007F2914" w:rsidRPr="002C1A32">
        <w:rPr>
          <w:rFonts w:eastAsia="Times New Roman"/>
          <w:i/>
          <w:szCs w:val="28"/>
        </w:rPr>
        <w:t xml:space="preserve">(iii) </w:t>
      </w:r>
      <w:r w:rsidR="007F2914" w:rsidRPr="002C1A32">
        <w:rPr>
          <w:rFonts w:eastAsia="Times New Roman"/>
          <w:szCs w:val="28"/>
        </w:rPr>
        <w:t>los casos seleccionados no cumplen con los requisitos</w:t>
      </w:r>
      <w:r w:rsidR="009D0128" w:rsidRPr="002C1A32">
        <w:rPr>
          <w:rFonts w:eastAsia="Times New Roman"/>
          <w:szCs w:val="28"/>
        </w:rPr>
        <w:t xml:space="preserve"> de subsidiariedad e inmediatez, </w:t>
      </w:r>
      <w:r w:rsidR="009D0128" w:rsidRPr="002C1A32">
        <w:rPr>
          <w:rFonts w:eastAsia="Times New Roman"/>
          <w:i/>
          <w:szCs w:val="28"/>
        </w:rPr>
        <w:t xml:space="preserve">(iv) </w:t>
      </w:r>
      <w:r w:rsidR="006C4629" w:rsidRPr="002C1A32">
        <w:rPr>
          <w:rFonts w:eastAsia="Times New Roman"/>
          <w:szCs w:val="28"/>
        </w:rPr>
        <w:t xml:space="preserve">las providencias anuladas planteaban una </w:t>
      </w:r>
      <w:r w:rsidR="009D0128" w:rsidRPr="002C1A32">
        <w:rPr>
          <w:rFonts w:eastAsia="Times New Roman"/>
          <w:szCs w:val="28"/>
        </w:rPr>
        <w:t>inadecuada destinación de los recursos del fondo de solidaridad pensional para cubrir la totalidad de aportes a pensión</w:t>
      </w:r>
      <w:r w:rsidR="00B4466C" w:rsidRPr="002C1A32">
        <w:rPr>
          <w:rFonts w:eastAsia="Times New Roman"/>
          <w:szCs w:val="28"/>
        </w:rPr>
        <w:t xml:space="preserve"> (Ley 100 de 1993, art.25)</w:t>
      </w:r>
      <w:r w:rsidR="007F2914" w:rsidRPr="002C1A32">
        <w:rPr>
          <w:rFonts w:eastAsia="Times New Roman"/>
          <w:szCs w:val="28"/>
        </w:rPr>
        <w:t xml:space="preserve"> </w:t>
      </w:r>
      <w:r w:rsidR="009D0128" w:rsidRPr="002C1A32">
        <w:rPr>
          <w:rFonts w:eastAsia="Times New Roman"/>
          <w:szCs w:val="28"/>
        </w:rPr>
        <w:t>y</w:t>
      </w:r>
      <w:r w:rsidR="00E40295" w:rsidRPr="002C1A32">
        <w:rPr>
          <w:rFonts w:eastAsia="Times New Roman"/>
          <w:szCs w:val="28"/>
        </w:rPr>
        <w:t>,</w:t>
      </w:r>
      <w:r w:rsidR="009D0128" w:rsidRPr="002C1A32">
        <w:rPr>
          <w:rFonts w:eastAsia="Times New Roman"/>
          <w:szCs w:val="28"/>
        </w:rPr>
        <w:t xml:space="preserve"> </w:t>
      </w:r>
      <w:r w:rsidR="007F2914" w:rsidRPr="002C1A32">
        <w:rPr>
          <w:rFonts w:eastAsia="Times New Roman"/>
          <w:i/>
          <w:szCs w:val="28"/>
        </w:rPr>
        <w:t xml:space="preserve">(v) </w:t>
      </w:r>
      <w:r w:rsidR="007F2914" w:rsidRPr="002C1A32">
        <w:rPr>
          <w:rFonts w:eastAsia="Times New Roman"/>
          <w:szCs w:val="28"/>
        </w:rPr>
        <w:t>desconoce</w:t>
      </w:r>
      <w:r w:rsidR="00B4466C" w:rsidRPr="002C1A32">
        <w:rPr>
          <w:rFonts w:eastAsia="Times New Roman"/>
          <w:szCs w:val="28"/>
        </w:rPr>
        <w:t>n</w:t>
      </w:r>
      <w:r w:rsidR="007F2914" w:rsidRPr="002C1A32">
        <w:rPr>
          <w:rFonts w:eastAsia="Times New Roman"/>
          <w:szCs w:val="28"/>
        </w:rPr>
        <w:t xml:space="preserve"> el funcionamiento del programa al subsidio al aporte a la pensión, </w:t>
      </w:r>
      <w:r w:rsidR="00420DD0" w:rsidRPr="002C1A32">
        <w:rPr>
          <w:rFonts w:eastAsia="Times New Roman"/>
          <w:szCs w:val="28"/>
        </w:rPr>
        <w:t xml:space="preserve">así como los requisitos de permanencia y causales de exclusión </w:t>
      </w:r>
      <w:r w:rsidR="009D0128" w:rsidRPr="002C1A32">
        <w:rPr>
          <w:rFonts w:eastAsia="Times New Roman"/>
          <w:szCs w:val="28"/>
        </w:rPr>
        <w:t xml:space="preserve">de dicho programa, </w:t>
      </w:r>
      <w:r w:rsidR="00420DD0" w:rsidRPr="002C1A32">
        <w:rPr>
          <w:rFonts w:eastAsia="Times New Roman"/>
          <w:szCs w:val="28"/>
        </w:rPr>
        <w:t xml:space="preserve">como </w:t>
      </w:r>
      <w:r w:rsidR="00B07B2C" w:rsidRPr="002C1A32">
        <w:rPr>
          <w:rFonts w:eastAsia="Times New Roman"/>
          <w:szCs w:val="28"/>
        </w:rPr>
        <w:t>incurrir en mora en el pago del aporte</w:t>
      </w:r>
      <w:r w:rsidR="00B07B2C" w:rsidRPr="002C1A32">
        <w:rPr>
          <w:rStyle w:val="Refdenotaalpie"/>
          <w:rFonts w:eastAsia="Times New Roman"/>
          <w:szCs w:val="28"/>
        </w:rPr>
        <w:footnoteReference w:id="8"/>
      </w:r>
      <w:r w:rsidR="00420DD0" w:rsidRPr="002C1A32">
        <w:rPr>
          <w:rFonts w:eastAsia="Times New Roman"/>
          <w:szCs w:val="28"/>
        </w:rPr>
        <w:t xml:space="preserve">, </w:t>
      </w:r>
      <w:r w:rsidR="00B07B2C" w:rsidRPr="002C1A32">
        <w:rPr>
          <w:rFonts w:eastAsia="Times New Roman"/>
          <w:szCs w:val="28"/>
        </w:rPr>
        <w:t>llegar a los 65 años sin posibilidad de causar una pensi</w:t>
      </w:r>
      <w:r w:rsidR="00867218" w:rsidRPr="002C1A32">
        <w:rPr>
          <w:rFonts w:eastAsia="Times New Roman"/>
          <w:szCs w:val="28"/>
        </w:rPr>
        <w:t>ón o</w:t>
      </w:r>
      <w:r w:rsidR="00B07B2C" w:rsidRPr="002C1A32">
        <w:rPr>
          <w:rFonts w:eastAsia="Times New Roman"/>
          <w:szCs w:val="28"/>
        </w:rPr>
        <w:t xml:space="preserve"> adquirir</w:t>
      </w:r>
      <w:r w:rsidR="00420DD0" w:rsidRPr="002C1A32">
        <w:rPr>
          <w:rFonts w:eastAsia="Times New Roman"/>
          <w:szCs w:val="28"/>
        </w:rPr>
        <w:t xml:space="preserve"> capacidad de pago</w:t>
      </w:r>
      <w:r w:rsidR="00B4466C" w:rsidRPr="002C1A32">
        <w:rPr>
          <w:rFonts w:eastAsia="Times New Roman"/>
          <w:szCs w:val="28"/>
        </w:rPr>
        <w:t xml:space="preserve"> (Decreto 1833 de 2016 hoy Decreto 387 de 2018)</w:t>
      </w:r>
      <w:r w:rsidR="00B07B2C" w:rsidRPr="002C1A32">
        <w:rPr>
          <w:rFonts w:eastAsia="Times New Roman"/>
          <w:szCs w:val="28"/>
        </w:rPr>
        <w:t>, entre otras</w:t>
      </w:r>
      <w:r w:rsidR="009D0128" w:rsidRPr="002C1A32">
        <w:rPr>
          <w:rStyle w:val="Refdenotaalpie"/>
          <w:rFonts w:eastAsia="Times New Roman"/>
          <w:szCs w:val="28"/>
        </w:rPr>
        <w:footnoteReference w:id="9"/>
      </w:r>
      <w:r w:rsidR="00420DD0" w:rsidRPr="002C1A32">
        <w:rPr>
          <w:rFonts w:eastAsia="Times New Roman"/>
          <w:szCs w:val="28"/>
        </w:rPr>
        <w:t xml:space="preserve">. </w:t>
      </w:r>
    </w:p>
    <w:p w14:paraId="18E39FA1" w14:textId="77777777" w:rsidR="007F2914" w:rsidRPr="002C1A32" w:rsidRDefault="007F2914" w:rsidP="002C1A32">
      <w:pPr>
        <w:widowControl w:val="0"/>
        <w:tabs>
          <w:tab w:val="left" w:pos="426"/>
        </w:tabs>
        <w:spacing w:after="0" w:line="240" w:lineRule="auto"/>
        <w:ind w:right="56"/>
        <w:contextualSpacing/>
        <w:jc w:val="both"/>
        <w:rPr>
          <w:rFonts w:eastAsia="Times New Roman"/>
          <w:sz w:val="28"/>
          <w:szCs w:val="28"/>
        </w:rPr>
      </w:pPr>
    </w:p>
    <w:p w14:paraId="5B8B0521" w14:textId="67C94485" w:rsidR="00823EF7" w:rsidRPr="002C1A32" w:rsidRDefault="00867218" w:rsidP="002C1A32">
      <w:pPr>
        <w:pStyle w:val="Ttulo2"/>
        <w:numPr>
          <w:ilvl w:val="0"/>
          <w:numId w:val="2"/>
        </w:numPr>
        <w:pBdr>
          <w:top w:val="none" w:sz="0" w:space="0" w:color="auto"/>
          <w:left w:val="none" w:sz="0" w:space="0" w:color="auto"/>
          <w:bottom w:val="none" w:sz="0" w:space="0" w:color="auto"/>
          <w:right w:val="none" w:sz="0" w:space="0" w:color="auto"/>
          <w:between w:val="none" w:sz="0" w:space="0" w:color="auto"/>
        </w:pBdr>
        <w:spacing w:before="0" w:after="0" w:line="240" w:lineRule="auto"/>
        <w:jc w:val="both"/>
        <w:rPr>
          <w:rFonts w:eastAsia="Times New Roman"/>
          <w:szCs w:val="28"/>
        </w:rPr>
      </w:pPr>
      <w:r w:rsidRPr="002C1A32">
        <w:rPr>
          <w:rFonts w:eastAsia="Times New Roman"/>
          <w:b/>
          <w:i/>
          <w:szCs w:val="28"/>
        </w:rPr>
        <w:t>Ministerio de Trabajo.</w:t>
      </w:r>
      <w:r w:rsidRPr="002C1A32">
        <w:rPr>
          <w:rFonts w:eastAsia="Times New Roman"/>
          <w:i/>
          <w:szCs w:val="28"/>
        </w:rPr>
        <w:t xml:space="preserve"> </w:t>
      </w:r>
      <w:r w:rsidRPr="002C1A32">
        <w:rPr>
          <w:rFonts w:eastAsia="Times New Roman"/>
          <w:szCs w:val="28"/>
        </w:rPr>
        <w:t xml:space="preserve">Por medio de escrito del 22 de junio de 2018, esta cartera solicitó: </w:t>
      </w:r>
      <w:r w:rsidRPr="002C1A32">
        <w:rPr>
          <w:rFonts w:eastAsia="Times New Roman"/>
          <w:i/>
          <w:szCs w:val="28"/>
        </w:rPr>
        <w:t xml:space="preserve">(i) </w:t>
      </w:r>
      <w:r w:rsidR="00A47B9E" w:rsidRPr="002C1A32">
        <w:rPr>
          <w:rFonts w:eastAsia="Times New Roman"/>
          <w:szCs w:val="28"/>
        </w:rPr>
        <w:t xml:space="preserve">declarar improcedentes las demandas de tutela de la referencia para reclamar la declaración de un contrato realidad y el consecuente pago de aportes parafiscales, </w:t>
      </w:r>
      <w:r w:rsidR="00A47B9E" w:rsidRPr="002C1A32">
        <w:rPr>
          <w:rFonts w:eastAsia="Times New Roman"/>
          <w:i/>
          <w:szCs w:val="28"/>
        </w:rPr>
        <w:t xml:space="preserve">(ii) </w:t>
      </w:r>
      <w:r w:rsidR="007C58DA" w:rsidRPr="002C1A32">
        <w:rPr>
          <w:rFonts w:eastAsia="Times New Roman"/>
          <w:szCs w:val="28"/>
        </w:rPr>
        <w:t>aclarar q</w:t>
      </w:r>
      <w:r w:rsidR="00A47B9E" w:rsidRPr="002C1A32">
        <w:rPr>
          <w:rFonts w:eastAsia="Times New Roman"/>
          <w:szCs w:val="28"/>
        </w:rPr>
        <w:t xml:space="preserve">ue no desconoció derecho fundamental alguno, </w:t>
      </w:r>
      <w:r w:rsidR="007C58DA" w:rsidRPr="002C1A32">
        <w:rPr>
          <w:rFonts w:eastAsia="Times New Roman"/>
          <w:szCs w:val="28"/>
        </w:rPr>
        <w:t xml:space="preserve">toda vez que en el caso de las </w:t>
      </w:r>
      <w:r w:rsidR="000223C3" w:rsidRPr="002C1A32">
        <w:rPr>
          <w:rFonts w:eastAsia="Times New Roman"/>
          <w:szCs w:val="28"/>
        </w:rPr>
        <w:t xml:space="preserve">demandantes </w:t>
      </w:r>
      <w:r w:rsidR="007C58DA" w:rsidRPr="002C1A32">
        <w:rPr>
          <w:rFonts w:eastAsia="Times New Roman"/>
          <w:szCs w:val="28"/>
        </w:rPr>
        <w:t xml:space="preserve">se </w:t>
      </w:r>
      <w:r w:rsidR="00A47B9E" w:rsidRPr="002C1A32">
        <w:rPr>
          <w:rFonts w:eastAsia="Times New Roman"/>
          <w:szCs w:val="28"/>
        </w:rPr>
        <w:t>aplic</w:t>
      </w:r>
      <w:r w:rsidR="007C58DA" w:rsidRPr="002C1A32">
        <w:rPr>
          <w:rFonts w:eastAsia="Times New Roman"/>
          <w:szCs w:val="28"/>
        </w:rPr>
        <w:t xml:space="preserve">aron las normas </w:t>
      </w:r>
      <w:r w:rsidR="00A47B9E" w:rsidRPr="002C1A32">
        <w:rPr>
          <w:rFonts w:eastAsia="Times New Roman"/>
          <w:szCs w:val="28"/>
        </w:rPr>
        <w:t>vigente</w:t>
      </w:r>
      <w:r w:rsidR="007C58DA" w:rsidRPr="002C1A32">
        <w:rPr>
          <w:rFonts w:eastAsia="Times New Roman"/>
          <w:szCs w:val="28"/>
        </w:rPr>
        <w:t xml:space="preserve">s, </w:t>
      </w:r>
      <w:r w:rsidR="007C58DA" w:rsidRPr="002C1A32">
        <w:rPr>
          <w:rFonts w:eastAsia="Times New Roman"/>
          <w:i/>
          <w:szCs w:val="28"/>
        </w:rPr>
        <w:t xml:space="preserve">(iii) </w:t>
      </w:r>
      <w:r w:rsidR="007C58DA" w:rsidRPr="002C1A32">
        <w:rPr>
          <w:rFonts w:eastAsia="Times New Roman"/>
          <w:szCs w:val="28"/>
        </w:rPr>
        <w:t>no desconocer el objeto y finalidad del fondo de seguridad pensional, por lo que no es posible que con cargo a dicha cuenta se sufrague la totalidad de los aportes a pensi</w:t>
      </w:r>
      <w:r w:rsidR="001A7F86" w:rsidRPr="002C1A32">
        <w:rPr>
          <w:rFonts w:eastAsia="Times New Roman"/>
          <w:szCs w:val="28"/>
        </w:rPr>
        <w:t xml:space="preserve">ón de las accionantes, </w:t>
      </w:r>
      <w:r w:rsidR="001A7F86" w:rsidRPr="002C1A32">
        <w:rPr>
          <w:rFonts w:eastAsia="Times New Roman"/>
          <w:i/>
          <w:szCs w:val="28"/>
        </w:rPr>
        <w:t>(iv)</w:t>
      </w:r>
      <w:r w:rsidR="00643C87" w:rsidRPr="002C1A32">
        <w:rPr>
          <w:rFonts w:eastAsia="Times New Roman"/>
          <w:i/>
          <w:szCs w:val="28"/>
        </w:rPr>
        <w:t xml:space="preserve"> </w:t>
      </w:r>
      <w:r w:rsidR="00643C87" w:rsidRPr="002C1A32">
        <w:rPr>
          <w:rFonts w:eastAsia="Times New Roman"/>
          <w:szCs w:val="28"/>
        </w:rPr>
        <w:t>negar la modificación d</w:t>
      </w:r>
      <w:r w:rsidR="001A7F86" w:rsidRPr="002C1A32">
        <w:rPr>
          <w:rFonts w:eastAsia="Times New Roman"/>
          <w:szCs w:val="28"/>
        </w:rPr>
        <w:t>el subsidio al aporte a la pensión</w:t>
      </w:r>
      <w:r w:rsidR="00643C87" w:rsidRPr="002C1A32">
        <w:rPr>
          <w:rFonts w:eastAsia="Times New Roman"/>
          <w:szCs w:val="28"/>
        </w:rPr>
        <w:t>, pues este</w:t>
      </w:r>
      <w:r w:rsidR="001A7F86" w:rsidRPr="002C1A32">
        <w:rPr>
          <w:rFonts w:eastAsia="Times New Roman"/>
          <w:szCs w:val="28"/>
        </w:rPr>
        <w:t xml:space="preserve"> consagra una obligación condicionada</w:t>
      </w:r>
      <w:r w:rsidR="00716C59" w:rsidRPr="002C1A32">
        <w:rPr>
          <w:rFonts w:eastAsia="Times New Roman"/>
          <w:szCs w:val="28"/>
        </w:rPr>
        <w:t xml:space="preserve"> al esfuerzo mínimo del beneficiario, esto es, se subsidia el 80% de</w:t>
      </w:r>
      <w:r w:rsidR="000223C3" w:rsidRPr="002C1A32">
        <w:rPr>
          <w:rFonts w:eastAsia="Times New Roman"/>
          <w:szCs w:val="28"/>
        </w:rPr>
        <w:t xml:space="preserve"> </w:t>
      </w:r>
      <w:r w:rsidR="00716C59" w:rsidRPr="002C1A32">
        <w:rPr>
          <w:rFonts w:eastAsia="Times New Roman"/>
          <w:szCs w:val="28"/>
        </w:rPr>
        <w:t>l</w:t>
      </w:r>
      <w:r w:rsidR="000223C3" w:rsidRPr="002C1A32">
        <w:rPr>
          <w:rFonts w:eastAsia="Times New Roman"/>
          <w:szCs w:val="28"/>
        </w:rPr>
        <w:t>a cotización</w:t>
      </w:r>
      <w:r w:rsidR="00716C59" w:rsidRPr="002C1A32">
        <w:rPr>
          <w:rFonts w:eastAsia="Times New Roman"/>
          <w:szCs w:val="28"/>
        </w:rPr>
        <w:t xml:space="preserve"> siempre y cuando el </w:t>
      </w:r>
      <w:r w:rsidR="000223C3" w:rsidRPr="002C1A32">
        <w:rPr>
          <w:rFonts w:eastAsia="Times New Roman"/>
          <w:szCs w:val="28"/>
        </w:rPr>
        <w:t>afiliado</w:t>
      </w:r>
      <w:r w:rsidR="00716C59" w:rsidRPr="002C1A32">
        <w:rPr>
          <w:rFonts w:eastAsia="Times New Roman"/>
          <w:szCs w:val="28"/>
        </w:rPr>
        <w:t xml:space="preserve"> pague el 20% restante</w:t>
      </w:r>
      <w:r w:rsidR="002D77BD" w:rsidRPr="002C1A32">
        <w:rPr>
          <w:rStyle w:val="Refdenotaalpie"/>
          <w:rFonts w:eastAsia="Times New Roman"/>
          <w:szCs w:val="28"/>
        </w:rPr>
        <w:footnoteReference w:id="10"/>
      </w:r>
      <w:r w:rsidR="00716C59" w:rsidRPr="002C1A32">
        <w:rPr>
          <w:rFonts w:eastAsia="Times New Roman"/>
          <w:szCs w:val="28"/>
        </w:rPr>
        <w:t xml:space="preserve">. </w:t>
      </w:r>
    </w:p>
    <w:p w14:paraId="7FBBB13D" w14:textId="77777777" w:rsidR="00AA3C9D" w:rsidRPr="002C1A32" w:rsidRDefault="00AA3C9D" w:rsidP="002C1A32">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both"/>
        <w:rPr>
          <w:rFonts w:eastAsia="Times New Roman"/>
          <w:sz w:val="28"/>
          <w:szCs w:val="28"/>
        </w:rPr>
      </w:pPr>
    </w:p>
    <w:p w14:paraId="03E7F947" w14:textId="77777777" w:rsidR="00171C89" w:rsidRPr="002C1A32" w:rsidRDefault="00171C89" w:rsidP="002C1A32">
      <w:pPr>
        <w:pStyle w:val="Ttulo2"/>
        <w:pBdr>
          <w:top w:val="none" w:sz="0" w:space="0" w:color="auto"/>
          <w:left w:val="none" w:sz="0" w:space="0" w:color="auto"/>
          <w:bottom w:val="none" w:sz="0" w:space="0" w:color="auto"/>
          <w:right w:val="none" w:sz="0" w:space="0" w:color="auto"/>
          <w:between w:val="none" w:sz="0" w:space="0" w:color="auto"/>
        </w:pBdr>
        <w:spacing w:before="0" w:after="0" w:line="240" w:lineRule="auto"/>
        <w:rPr>
          <w:rFonts w:eastAsia="Times New Roman"/>
          <w:b/>
          <w:szCs w:val="28"/>
        </w:rPr>
      </w:pPr>
      <w:r w:rsidRPr="002C1A32">
        <w:rPr>
          <w:b/>
          <w:color w:val="000000"/>
          <w:szCs w:val="28"/>
        </w:rPr>
        <w:t>Decisiones</w:t>
      </w:r>
      <w:r w:rsidRPr="002C1A32">
        <w:rPr>
          <w:rFonts w:eastAsia="Times New Roman"/>
          <w:b/>
          <w:szCs w:val="28"/>
        </w:rPr>
        <w:t xml:space="preserve"> objeto de revisión</w:t>
      </w:r>
    </w:p>
    <w:p w14:paraId="7552DA6D" w14:textId="77777777" w:rsidR="00171C89" w:rsidRPr="002C1A32" w:rsidRDefault="00171C89" w:rsidP="002C1A32">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both"/>
        <w:rPr>
          <w:rFonts w:eastAsia="Times New Roman"/>
          <w:sz w:val="28"/>
          <w:szCs w:val="28"/>
        </w:rPr>
      </w:pPr>
      <w:r w:rsidRPr="002C1A32">
        <w:rPr>
          <w:rFonts w:eastAsia="Times New Roman"/>
          <w:sz w:val="28"/>
          <w:szCs w:val="28"/>
        </w:rPr>
        <w:t> </w:t>
      </w:r>
    </w:p>
    <w:p w14:paraId="5FAC5825" w14:textId="77777777" w:rsidR="006A7BED" w:rsidRPr="002C1A32" w:rsidRDefault="006A7BED" w:rsidP="002C1A32">
      <w:pPr>
        <w:widowControl w:val="0"/>
        <w:numPr>
          <w:ilvl w:val="0"/>
          <w:numId w:val="2"/>
        </w:numPr>
        <w:tabs>
          <w:tab w:val="left" w:pos="426"/>
        </w:tabs>
        <w:spacing w:after="0" w:line="240" w:lineRule="auto"/>
        <w:ind w:right="56"/>
        <w:contextualSpacing/>
        <w:jc w:val="both"/>
        <w:rPr>
          <w:rFonts w:eastAsia="Times New Roman"/>
          <w:sz w:val="28"/>
          <w:szCs w:val="28"/>
        </w:rPr>
      </w:pPr>
      <w:r w:rsidRPr="002C1A32">
        <w:rPr>
          <w:rFonts w:eastAsia="Times New Roman"/>
          <w:sz w:val="28"/>
          <w:szCs w:val="28"/>
        </w:rPr>
        <w:t xml:space="preserve">Teniendo en cuenta que se trata de 106 accionantes, cuyos procesos fueron acumulados por unidad temática y de pretensiones, se presentan las decisiones de tutela falladas en instancias, del siguiente modo: </w:t>
      </w:r>
    </w:p>
    <w:p w14:paraId="66CF0AA2" w14:textId="77777777" w:rsidR="004822CB" w:rsidRPr="002C1A32" w:rsidRDefault="004822CB" w:rsidP="002C1A32">
      <w:pPr>
        <w:widowControl w:val="0"/>
        <w:tabs>
          <w:tab w:val="left" w:pos="426"/>
        </w:tabs>
        <w:spacing w:after="0" w:line="240" w:lineRule="auto"/>
        <w:ind w:right="56"/>
        <w:contextualSpacing/>
        <w:jc w:val="both"/>
        <w:rPr>
          <w:rFonts w:eastAsia="Times New Roman"/>
          <w:sz w:val="28"/>
          <w:szCs w:val="28"/>
        </w:rPr>
      </w:pPr>
    </w:p>
    <w:p w14:paraId="2FD7DE7E" w14:textId="1E42F252" w:rsidR="004822CB" w:rsidRPr="002C1A32" w:rsidRDefault="004822CB" w:rsidP="002C1A32">
      <w:pPr>
        <w:pStyle w:val="Prrafodelista"/>
        <w:widowControl w:val="0"/>
        <w:numPr>
          <w:ilvl w:val="1"/>
          <w:numId w:val="2"/>
        </w:numPr>
        <w:tabs>
          <w:tab w:val="left" w:pos="426"/>
        </w:tabs>
        <w:spacing w:after="0" w:line="240" w:lineRule="auto"/>
        <w:ind w:right="56"/>
        <w:jc w:val="both"/>
        <w:rPr>
          <w:rFonts w:eastAsia="Times New Roman"/>
          <w:sz w:val="28"/>
          <w:szCs w:val="28"/>
        </w:rPr>
      </w:pPr>
      <w:r w:rsidRPr="002C1A32">
        <w:rPr>
          <w:rFonts w:eastAsia="Times New Roman"/>
          <w:b/>
          <w:i/>
          <w:sz w:val="28"/>
          <w:szCs w:val="28"/>
        </w:rPr>
        <w:t>Expediente T-5.457.363</w:t>
      </w:r>
      <w:r w:rsidR="008720D4" w:rsidRPr="002C1A32">
        <w:rPr>
          <w:rFonts w:eastAsia="Times New Roman"/>
          <w:b/>
          <w:i/>
          <w:sz w:val="28"/>
          <w:szCs w:val="28"/>
        </w:rPr>
        <w:t>.</w:t>
      </w:r>
      <w:r w:rsidRPr="002C1A32">
        <w:rPr>
          <w:rFonts w:eastAsia="Times New Roman"/>
          <w:sz w:val="28"/>
          <w:szCs w:val="28"/>
        </w:rPr>
        <w:t xml:space="preserve"> </w:t>
      </w:r>
      <w:r w:rsidR="00EB407C" w:rsidRPr="002C1A32">
        <w:rPr>
          <w:rFonts w:eastAsia="Times New Roman"/>
          <w:sz w:val="28"/>
          <w:szCs w:val="28"/>
        </w:rPr>
        <w:t>Accionante</w:t>
      </w:r>
      <w:r w:rsidR="008720D4" w:rsidRPr="002C1A32">
        <w:rPr>
          <w:rFonts w:eastAsia="Times New Roman"/>
          <w:sz w:val="28"/>
          <w:szCs w:val="28"/>
        </w:rPr>
        <w:t>:</w:t>
      </w:r>
      <w:r w:rsidRPr="002C1A32">
        <w:rPr>
          <w:rFonts w:eastAsia="Times New Roman"/>
          <w:sz w:val="28"/>
          <w:szCs w:val="28"/>
        </w:rPr>
        <w:t xml:space="preserve"> Inés Tomasa Valencia Quejada. </w:t>
      </w:r>
      <w:r w:rsidR="008720D4" w:rsidRPr="002C1A32">
        <w:rPr>
          <w:rFonts w:eastAsia="Times New Roman"/>
          <w:sz w:val="28"/>
          <w:szCs w:val="28"/>
        </w:rPr>
        <w:t xml:space="preserve">Mediante sentencia del 25 de noviembre de 2015, el </w:t>
      </w:r>
      <w:r w:rsidRPr="002C1A32">
        <w:rPr>
          <w:rFonts w:eastAsia="Times New Roman"/>
          <w:sz w:val="28"/>
          <w:szCs w:val="28"/>
        </w:rPr>
        <w:t xml:space="preserve">Juzgado 9 Penal del Circuito de Medellín, declaró improcedente el amparo. </w:t>
      </w:r>
      <w:r w:rsidR="008720D4" w:rsidRPr="002C1A32">
        <w:rPr>
          <w:rFonts w:eastAsia="Times New Roman"/>
          <w:sz w:val="28"/>
          <w:szCs w:val="28"/>
        </w:rPr>
        <w:t>Dicha providencia n</w:t>
      </w:r>
      <w:r w:rsidRPr="002C1A32">
        <w:rPr>
          <w:rFonts w:eastAsia="Times New Roman"/>
          <w:sz w:val="28"/>
          <w:szCs w:val="28"/>
        </w:rPr>
        <w:t xml:space="preserve">o </w:t>
      </w:r>
      <w:r w:rsidR="008720D4" w:rsidRPr="002C1A32">
        <w:rPr>
          <w:rFonts w:eastAsia="Times New Roman"/>
          <w:sz w:val="28"/>
          <w:szCs w:val="28"/>
        </w:rPr>
        <w:t>se</w:t>
      </w:r>
      <w:r w:rsidRPr="002C1A32">
        <w:rPr>
          <w:rFonts w:eastAsia="Times New Roman"/>
          <w:sz w:val="28"/>
          <w:szCs w:val="28"/>
        </w:rPr>
        <w:t xml:space="preserve"> impugn</w:t>
      </w:r>
      <w:r w:rsidR="008720D4" w:rsidRPr="002C1A32">
        <w:rPr>
          <w:rFonts w:eastAsia="Times New Roman"/>
          <w:sz w:val="28"/>
          <w:szCs w:val="28"/>
        </w:rPr>
        <w:t>ó</w:t>
      </w:r>
      <w:r w:rsidRPr="002C1A32">
        <w:rPr>
          <w:sz w:val="28"/>
          <w:szCs w:val="28"/>
          <w:vertAlign w:val="superscript"/>
        </w:rPr>
        <w:footnoteReference w:id="11"/>
      </w:r>
      <w:r w:rsidRPr="002C1A32">
        <w:rPr>
          <w:rFonts w:eastAsia="Times New Roman"/>
          <w:sz w:val="28"/>
          <w:szCs w:val="28"/>
        </w:rPr>
        <w:t>.</w:t>
      </w:r>
    </w:p>
    <w:p w14:paraId="458AADD3" w14:textId="77777777" w:rsidR="008720D4" w:rsidRPr="002C1A32" w:rsidRDefault="008720D4" w:rsidP="002C1A32">
      <w:pPr>
        <w:pStyle w:val="Prrafodelista"/>
        <w:widowControl w:val="0"/>
        <w:tabs>
          <w:tab w:val="left" w:pos="426"/>
        </w:tabs>
        <w:spacing w:after="0" w:line="240" w:lineRule="auto"/>
        <w:ind w:left="0" w:right="56"/>
        <w:jc w:val="both"/>
        <w:rPr>
          <w:rFonts w:eastAsia="Times New Roman"/>
          <w:sz w:val="28"/>
          <w:szCs w:val="28"/>
        </w:rPr>
      </w:pPr>
    </w:p>
    <w:p w14:paraId="4211F256" w14:textId="2DC3478E" w:rsidR="008720D4" w:rsidRPr="002C1A32" w:rsidRDefault="008720D4" w:rsidP="002C1A32">
      <w:pPr>
        <w:pStyle w:val="Prrafodelista"/>
        <w:widowControl w:val="0"/>
        <w:numPr>
          <w:ilvl w:val="1"/>
          <w:numId w:val="2"/>
        </w:numPr>
        <w:tabs>
          <w:tab w:val="left" w:pos="426"/>
        </w:tabs>
        <w:spacing w:after="0" w:line="240" w:lineRule="auto"/>
        <w:ind w:right="56"/>
        <w:jc w:val="both"/>
        <w:rPr>
          <w:rFonts w:eastAsia="Times New Roman"/>
          <w:sz w:val="28"/>
          <w:szCs w:val="28"/>
        </w:rPr>
      </w:pPr>
      <w:r w:rsidRPr="002C1A32">
        <w:rPr>
          <w:rFonts w:eastAsia="Times New Roman"/>
          <w:sz w:val="28"/>
          <w:szCs w:val="28"/>
        </w:rPr>
        <w:t xml:space="preserve"> </w:t>
      </w:r>
      <w:r w:rsidRPr="002C1A32">
        <w:rPr>
          <w:rFonts w:eastAsia="Times New Roman"/>
          <w:b/>
          <w:i/>
          <w:sz w:val="28"/>
          <w:szCs w:val="28"/>
        </w:rPr>
        <w:t xml:space="preserve">Expediente T-5.513.941. </w:t>
      </w:r>
      <w:r w:rsidRPr="002C1A32">
        <w:rPr>
          <w:rFonts w:eastAsia="Times New Roman"/>
          <w:sz w:val="28"/>
          <w:szCs w:val="28"/>
        </w:rPr>
        <w:t xml:space="preserve">57 </w:t>
      </w:r>
      <w:r w:rsidR="00EB407C" w:rsidRPr="002C1A32">
        <w:rPr>
          <w:rFonts w:eastAsia="Times New Roman"/>
          <w:sz w:val="28"/>
          <w:szCs w:val="28"/>
        </w:rPr>
        <w:t>a</w:t>
      </w:r>
      <w:r w:rsidRPr="002C1A32">
        <w:rPr>
          <w:rFonts w:eastAsia="Times New Roman"/>
          <w:sz w:val="28"/>
          <w:szCs w:val="28"/>
        </w:rPr>
        <w:t xml:space="preserve">ccionantes: María Rogelia Calpa De Chingue, María Sara Paz De Lazo, Dolores Bertha Morales Regalado, Marina Cecilia Enríquez González, Luz María Andrade de Andrade, Sofía Gómez De Ortiz, Aura Rosalba Mena Daza, María Orfelina Taquez De La Cruz, Mariana </w:t>
      </w:r>
      <w:r w:rsidRPr="002C1A32">
        <w:rPr>
          <w:rFonts w:eastAsia="Times New Roman"/>
          <w:sz w:val="28"/>
          <w:szCs w:val="28"/>
        </w:rPr>
        <w:lastRenderedPageBreak/>
        <w:t>Castro Arellano, Luz Esperanza Urbina De Guancha, Clara Elisa Castillo, Zoila Salazar Lucano, Ana Dolores Realpe De Castro, Rosa Érica Meléndez De Urresti, María Susana Realpe, Olga Inés Manosalva Belalcazar, Socorro Rosero De Hormaza, Isabel María Salazar, Teresa Carmela Enríquez Rodríguez, Laura Elina Estrada Molina, Leticia Betancourt, María Edith Cuero De Rodríguez, Ruth Esperanza Riáscos Eraso, Teresa Isabel Velásquez Leiton, Irma Esperanza Erazo Tulcanas, María Beatriz Narváez De Ruíz, María Dolores Parra De Rivera, Margarita Arteaga Guanga, María Del Socorro Betancourt De Estrada, Elvia Del Valle Rosero, Aura Marina Hernández Pantoja, Érica Nohra Cabezas Hurtado, Tulia Aurora Valencia Hurtado, Cecilia Del Carmen De La Portilla Ortega, Celia Socorro Pantoja Figueroa, María Trinidad Meza López, Maura Barahona, Rosa Matilde Criollo Torres, María Graciela Caez Cuaicuan, Aura Sabina Checa De Melo, Rosa Amelia Espinosa De Mejía, Blanca Estrada De López, Yolanda Fabiola Mora, Isaura Lasso De Muñoz, María Laura Rosales De Armero, María Nidia Córdoba Díaz, Dolores Bastidas Trujillo, Fany Leonor Mora De Castro, Nelly Velásquez López, María Hortensia Gustinez Rosero, Zoila Rosa Meneses De Galeano, Meibol Klinger, Blanca Elvira Calvache Cancimansi, Marlene Del Socorro Tutistar, Ruth Del Rosario Jurado Chamorro, Marleny Orozco Núñez y María Stella Córdoba Meneses. Mediante sentencia del 23 de noviembre de 2015, el Tribunal Superior del Distrito Judicial de Pasto, Sala Laboral, declaró improcedente el amparo por subsidiariedad. Este fallo no se impugnó</w:t>
      </w:r>
      <w:r w:rsidRPr="002C1A32">
        <w:rPr>
          <w:rStyle w:val="Refdenotaalpie"/>
          <w:rFonts w:eastAsia="Times New Roman"/>
          <w:sz w:val="28"/>
          <w:szCs w:val="28"/>
        </w:rPr>
        <w:footnoteReference w:id="12"/>
      </w:r>
      <w:r w:rsidRPr="002C1A32">
        <w:rPr>
          <w:rFonts w:eastAsia="Times New Roman"/>
          <w:sz w:val="28"/>
          <w:szCs w:val="28"/>
        </w:rPr>
        <w:t>.</w:t>
      </w:r>
    </w:p>
    <w:p w14:paraId="51BFD352" w14:textId="77777777" w:rsidR="008720D4" w:rsidRPr="002C1A32" w:rsidRDefault="008720D4" w:rsidP="002C1A32">
      <w:pPr>
        <w:pStyle w:val="Prrafodelista"/>
        <w:widowControl w:val="0"/>
        <w:tabs>
          <w:tab w:val="left" w:pos="426"/>
        </w:tabs>
        <w:spacing w:after="0" w:line="240" w:lineRule="auto"/>
        <w:ind w:left="0" w:right="56"/>
        <w:jc w:val="both"/>
        <w:rPr>
          <w:rFonts w:eastAsia="Times New Roman"/>
          <w:sz w:val="28"/>
          <w:szCs w:val="28"/>
        </w:rPr>
      </w:pPr>
    </w:p>
    <w:p w14:paraId="27181547" w14:textId="22DAAFE6" w:rsidR="005E4604" w:rsidRPr="002C1A32" w:rsidRDefault="008720D4" w:rsidP="002C1A32">
      <w:pPr>
        <w:pStyle w:val="Prrafodelista"/>
        <w:widowControl w:val="0"/>
        <w:numPr>
          <w:ilvl w:val="1"/>
          <w:numId w:val="2"/>
        </w:numPr>
        <w:tabs>
          <w:tab w:val="left" w:pos="426"/>
        </w:tabs>
        <w:spacing w:after="0" w:line="240" w:lineRule="auto"/>
        <w:ind w:right="56"/>
        <w:jc w:val="both"/>
        <w:rPr>
          <w:rFonts w:eastAsia="Times New Roman"/>
          <w:sz w:val="28"/>
          <w:szCs w:val="28"/>
        </w:rPr>
      </w:pPr>
      <w:r w:rsidRPr="002C1A32">
        <w:rPr>
          <w:rFonts w:eastAsia="Times New Roman"/>
          <w:sz w:val="28"/>
          <w:szCs w:val="28"/>
        </w:rPr>
        <w:t xml:space="preserve"> </w:t>
      </w:r>
      <w:r w:rsidRPr="002C1A32">
        <w:rPr>
          <w:rFonts w:eastAsia="Times New Roman"/>
          <w:b/>
          <w:i/>
          <w:sz w:val="28"/>
          <w:szCs w:val="28"/>
        </w:rPr>
        <w:t xml:space="preserve">Expediente T-5.516.632. </w:t>
      </w:r>
      <w:r w:rsidRPr="002C1A32">
        <w:rPr>
          <w:rFonts w:eastAsia="Times New Roman"/>
          <w:sz w:val="28"/>
          <w:szCs w:val="28"/>
        </w:rPr>
        <w:t xml:space="preserve">48 </w:t>
      </w:r>
      <w:r w:rsidR="00EB407C" w:rsidRPr="002C1A32">
        <w:rPr>
          <w:rFonts w:eastAsia="Times New Roman"/>
          <w:sz w:val="28"/>
          <w:szCs w:val="28"/>
        </w:rPr>
        <w:t>a</w:t>
      </w:r>
      <w:r w:rsidRPr="002C1A32">
        <w:rPr>
          <w:rFonts w:eastAsia="Times New Roman"/>
          <w:sz w:val="28"/>
          <w:szCs w:val="28"/>
        </w:rPr>
        <w:t>ccionantes: Ana de Jesús Arciniegas Herrera, Luz Marina García De Izquierdo, Bertha Omaira Gutiérrez Millán, Ana Isabel Hernández Molina, María Bertilda Nañez Conde, María Inés Nañez De Ramírez, Aurea Luisa Núñez Arboleda, María Paulina Ocampo De Ortiz, Rosa Elvia Ojeda Molano, Cástula Orobio Biojo, Elvia María Padilla Quejada, Fabiola Ascensión Ramírez Vargas, Berta Tulia Velasco, Ana Delia Zapata Castillo, Paula Oliva Medina Rentería, Zoila Martínez Escobar, Teófila Hurtado Álvarez, Catalina Hernández, Nolberta García Mejía, Isabel Domínguez Moreno, Patricia Díaz De Murillo, Elvia María Cuero Ibarguen, Corina Cuero Arboleda, Antonia Carabalí García, Urfa Nelly Borja, Aida María Arroyo Caicedo, Concepción Angulo Mosquera, Florencia Angulo Advincula, Adalgisa Betancourt De Aguirre, Mariana Mesa, Aura Nelly Micolta De Valencia, Eustaquia Mina, Martina Mondragón, María Cruz Mondragón Panameño, María Gertrudis Montaño Viafara, Patricia Morales, Leonila Alberta Murillo, Paula Eutemia Ordoñez Cabezas, Omaira Paredes De Camacho, Carmen Pretel García, Rosaura Riascos Caicedo, Epifanía Riascos De Hernández, Benilda Rentería Cuero, Carmen Rentería De Escobar, Hermenegilda Riascos Riascos, Alicia Riascos Sinisterra, Florencia Ruíz Cuero y Ana Margelica Vásquez De Gallego</w:t>
      </w:r>
      <w:r w:rsidR="005E4604" w:rsidRPr="002C1A32">
        <w:rPr>
          <w:rFonts w:eastAsia="Times New Roman"/>
          <w:sz w:val="28"/>
          <w:szCs w:val="28"/>
        </w:rPr>
        <w:t>. Mediante sentencia del 12 de enero de 2016, el Juzgado 2 Civil del Circuito de Cali, declar</w:t>
      </w:r>
      <w:r w:rsidR="004C3081" w:rsidRPr="002C1A32">
        <w:rPr>
          <w:rFonts w:eastAsia="Times New Roman"/>
          <w:sz w:val="28"/>
          <w:szCs w:val="28"/>
        </w:rPr>
        <w:t>ó improcedente el amparo</w:t>
      </w:r>
      <w:r w:rsidR="005E4604" w:rsidRPr="002C1A32">
        <w:rPr>
          <w:rFonts w:eastAsia="Times New Roman"/>
          <w:sz w:val="28"/>
          <w:szCs w:val="28"/>
        </w:rPr>
        <w:t>. Esta providencia no se impugnó</w:t>
      </w:r>
      <w:r w:rsidR="005E4604" w:rsidRPr="002C1A32">
        <w:rPr>
          <w:sz w:val="28"/>
          <w:szCs w:val="28"/>
          <w:vertAlign w:val="superscript"/>
        </w:rPr>
        <w:footnoteReference w:id="13"/>
      </w:r>
      <w:r w:rsidR="005E4604" w:rsidRPr="002C1A32">
        <w:rPr>
          <w:rFonts w:eastAsia="Times New Roman"/>
          <w:sz w:val="28"/>
          <w:szCs w:val="28"/>
        </w:rPr>
        <w:t>.</w:t>
      </w:r>
    </w:p>
    <w:p w14:paraId="05D26A46" w14:textId="77777777" w:rsidR="008720D4" w:rsidRPr="002C1A32" w:rsidRDefault="008720D4" w:rsidP="002C1A32">
      <w:pPr>
        <w:pStyle w:val="Prrafodelista"/>
        <w:widowControl w:val="0"/>
        <w:tabs>
          <w:tab w:val="left" w:pos="426"/>
        </w:tabs>
        <w:spacing w:after="0" w:line="240" w:lineRule="auto"/>
        <w:ind w:left="0" w:right="56"/>
        <w:jc w:val="both"/>
        <w:rPr>
          <w:rFonts w:eastAsia="Times New Roman"/>
          <w:sz w:val="28"/>
          <w:szCs w:val="28"/>
        </w:rPr>
      </w:pPr>
    </w:p>
    <w:p w14:paraId="693D2770" w14:textId="77777777" w:rsidR="00171C89" w:rsidRPr="002C1A32" w:rsidRDefault="00171C89" w:rsidP="002C1A32">
      <w:pPr>
        <w:pStyle w:val="Ttulo2"/>
        <w:pBdr>
          <w:top w:val="none" w:sz="0" w:space="0" w:color="auto"/>
          <w:left w:val="none" w:sz="0" w:space="0" w:color="auto"/>
          <w:bottom w:val="none" w:sz="0" w:space="0" w:color="auto"/>
          <w:right w:val="none" w:sz="0" w:space="0" w:color="auto"/>
          <w:between w:val="none" w:sz="0" w:space="0" w:color="auto"/>
        </w:pBdr>
        <w:spacing w:before="0" w:after="0" w:line="240" w:lineRule="auto"/>
        <w:rPr>
          <w:rFonts w:eastAsia="Times New Roman"/>
          <w:b/>
          <w:szCs w:val="28"/>
        </w:rPr>
      </w:pPr>
      <w:r w:rsidRPr="002C1A32">
        <w:rPr>
          <w:rFonts w:eastAsia="Times New Roman"/>
          <w:b/>
          <w:szCs w:val="28"/>
        </w:rPr>
        <w:t>Trámite ante la Corte Constitucional</w:t>
      </w:r>
    </w:p>
    <w:p w14:paraId="6A1EDBC3" w14:textId="77777777" w:rsidR="00171C89" w:rsidRPr="002C1A32" w:rsidRDefault="00171C89" w:rsidP="002C1A32">
      <w:pPr>
        <w:pStyle w:val="Prrafodelista"/>
        <w:widowControl w:val="0"/>
        <w:tabs>
          <w:tab w:val="left" w:pos="426"/>
        </w:tabs>
        <w:spacing w:after="0" w:line="240" w:lineRule="auto"/>
        <w:ind w:left="0" w:right="56"/>
        <w:jc w:val="both"/>
        <w:rPr>
          <w:rFonts w:eastAsia="Times New Roman"/>
          <w:sz w:val="28"/>
          <w:szCs w:val="28"/>
        </w:rPr>
      </w:pPr>
    </w:p>
    <w:p w14:paraId="0A25BEB8" w14:textId="6A3D072F" w:rsidR="009242F6" w:rsidRPr="002C1A32" w:rsidRDefault="004B6474" w:rsidP="002C1A32">
      <w:pPr>
        <w:pStyle w:val="Ttulo2"/>
        <w:numPr>
          <w:ilvl w:val="0"/>
          <w:numId w:val="2"/>
        </w:numPr>
        <w:pBdr>
          <w:top w:val="none" w:sz="0" w:space="0" w:color="auto"/>
          <w:left w:val="none" w:sz="0" w:space="0" w:color="auto"/>
          <w:bottom w:val="none" w:sz="0" w:space="0" w:color="auto"/>
          <w:right w:val="none" w:sz="0" w:space="0" w:color="auto"/>
          <w:between w:val="none" w:sz="0" w:space="0" w:color="auto"/>
        </w:pBdr>
        <w:spacing w:before="0" w:after="0" w:line="240" w:lineRule="auto"/>
        <w:jc w:val="both"/>
        <w:rPr>
          <w:rFonts w:eastAsia="Times New Roman"/>
          <w:szCs w:val="28"/>
        </w:rPr>
      </w:pPr>
      <w:r w:rsidRPr="002C1A32">
        <w:rPr>
          <w:rFonts w:eastAsia="Times New Roman"/>
          <w:b/>
          <w:i/>
          <w:szCs w:val="28"/>
        </w:rPr>
        <w:t>Proceso de selección.</w:t>
      </w:r>
      <w:r w:rsidRPr="002C1A32">
        <w:rPr>
          <w:rFonts w:eastAsia="Times New Roman"/>
          <w:i/>
          <w:szCs w:val="28"/>
        </w:rPr>
        <w:t xml:space="preserve"> </w:t>
      </w:r>
      <w:r w:rsidR="00A00B4E" w:rsidRPr="002C1A32">
        <w:rPr>
          <w:rFonts w:eastAsia="Times New Roman"/>
          <w:szCs w:val="28"/>
        </w:rPr>
        <w:t xml:space="preserve">Mediante </w:t>
      </w:r>
      <w:r w:rsidR="009242F6" w:rsidRPr="002C1A32">
        <w:rPr>
          <w:rFonts w:eastAsia="Times New Roman"/>
          <w:szCs w:val="28"/>
        </w:rPr>
        <w:t>Auto del 14 de abril de 2016, la Sala de Selección de Tutelas Número Cuatro de la Corte Constitucional seleccionó el expediente T-5.457.363 para su revisión</w:t>
      </w:r>
      <w:r w:rsidR="009242F6" w:rsidRPr="002C1A32">
        <w:rPr>
          <w:rStyle w:val="Refdenotaalpie"/>
          <w:rFonts w:eastAsia="Times New Roman"/>
          <w:szCs w:val="28"/>
        </w:rPr>
        <w:footnoteReference w:id="14"/>
      </w:r>
      <w:r w:rsidR="009242F6" w:rsidRPr="002C1A32">
        <w:rPr>
          <w:rFonts w:eastAsia="Times New Roman"/>
          <w:szCs w:val="28"/>
        </w:rPr>
        <w:t xml:space="preserve">. Posteriormente, la Sala de Selección de Tutelas Número Cinco de esta Corporación, </w:t>
      </w:r>
      <w:r w:rsidR="00A00B4E" w:rsidRPr="002C1A32">
        <w:rPr>
          <w:rFonts w:eastAsia="Times New Roman"/>
          <w:szCs w:val="28"/>
        </w:rPr>
        <w:t>a través del</w:t>
      </w:r>
      <w:r w:rsidR="009242F6" w:rsidRPr="002C1A32">
        <w:rPr>
          <w:rFonts w:eastAsia="Times New Roman"/>
          <w:szCs w:val="28"/>
        </w:rPr>
        <w:t xml:space="preserve"> Auto de 13 de mayo de 2016, seleccionó los expedientes T-5.513.941 y T-5.516.632 para su revisión</w:t>
      </w:r>
      <w:r w:rsidR="009242F6" w:rsidRPr="002C1A32">
        <w:rPr>
          <w:rStyle w:val="Refdenotaalpie"/>
          <w:rFonts w:eastAsia="Times New Roman"/>
          <w:szCs w:val="28"/>
        </w:rPr>
        <w:footnoteReference w:id="15"/>
      </w:r>
      <w:r w:rsidR="009242F6" w:rsidRPr="002C1A32">
        <w:rPr>
          <w:rFonts w:eastAsia="Times New Roman"/>
          <w:szCs w:val="28"/>
        </w:rPr>
        <w:t xml:space="preserve"> y, al tiempo, los acumuló al expediente T-5.457.363, a fin de que fueren fallados en una sola sentencia </w:t>
      </w:r>
      <w:r w:rsidR="004C3081" w:rsidRPr="002C1A32">
        <w:rPr>
          <w:rFonts w:eastAsia="Times New Roman"/>
          <w:szCs w:val="28"/>
        </w:rPr>
        <w:t>por presentar unidad de materia</w:t>
      </w:r>
      <w:r w:rsidR="009242F6" w:rsidRPr="002C1A32">
        <w:rPr>
          <w:rStyle w:val="Refdenotaalpie"/>
          <w:rFonts w:eastAsia="Times New Roman"/>
          <w:szCs w:val="28"/>
        </w:rPr>
        <w:footnoteReference w:id="16"/>
      </w:r>
      <w:r w:rsidR="009242F6" w:rsidRPr="002C1A32">
        <w:rPr>
          <w:rFonts w:eastAsia="Times New Roman"/>
          <w:szCs w:val="28"/>
        </w:rPr>
        <w:t>.</w:t>
      </w:r>
    </w:p>
    <w:p w14:paraId="7AA878DC" w14:textId="77777777" w:rsidR="000D47FE" w:rsidRPr="002C1A32" w:rsidRDefault="000D47FE" w:rsidP="002C1A32">
      <w:pPr>
        <w:widowControl w:val="0"/>
        <w:tabs>
          <w:tab w:val="left" w:pos="426"/>
        </w:tabs>
        <w:spacing w:after="0" w:line="240" w:lineRule="auto"/>
        <w:ind w:right="56"/>
        <w:contextualSpacing/>
        <w:jc w:val="both"/>
        <w:rPr>
          <w:rFonts w:eastAsia="Times New Roman"/>
          <w:sz w:val="28"/>
          <w:szCs w:val="28"/>
        </w:rPr>
      </w:pPr>
    </w:p>
    <w:p w14:paraId="2C07BBAE" w14:textId="17BC9CED" w:rsidR="003A4265" w:rsidRPr="002C1A32" w:rsidRDefault="00870273" w:rsidP="002C1A32">
      <w:pPr>
        <w:pStyle w:val="Ttulo2"/>
        <w:numPr>
          <w:ilvl w:val="0"/>
          <w:numId w:val="2"/>
        </w:numPr>
        <w:pBdr>
          <w:top w:val="none" w:sz="0" w:space="0" w:color="auto"/>
          <w:left w:val="none" w:sz="0" w:space="0" w:color="auto"/>
          <w:bottom w:val="none" w:sz="0" w:space="0" w:color="auto"/>
          <w:right w:val="none" w:sz="0" w:space="0" w:color="auto"/>
          <w:between w:val="none" w:sz="0" w:space="0" w:color="auto"/>
        </w:pBdr>
        <w:spacing w:before="0" w:after="0" w:line="240" w:lineRule="auto"/>
        <w:jc w:val="both"/>
        <w:rPr>
          <w:rFonts w:eastAsia="Times New Roman"/>
          <w:szCs w:val="28"/>
        </w:rPr>
      </w:pPr>
      <w:r w:rsidRPr="002C1A32">
        <w:rPr>
          <w:rFonts w:eastAsia="Times New Roman"/>
          <w:b/>
          <w:i/>
          <w:szCs w:val="28"/>
        </w:rPr>
        <w:t xml:space="preserve">Alcance de la </w:t>
      </w:r>
      <w:r w:rsidR="00171C89" w:rsidRPr="002C1A32">
        <w:rPr>
          <w:rFonts w:eastAsia="Times New Roman"/>
          <w:b/>
          <w:i/>
          <w:szCs w:val="28"/>
        </w:rPr>
        <w:t>Sentencia T-</w:t>
      </w:r>
      <w:r w:rsidR="009242F6" w:rsidRPr="002C1A32">
        <w:rPr>
          <w:rFonts w:eastAsia="Times New Roman"/>
          <w:b/>
          <w:i/>
          <w:szCs w:val="28"/>
        </w:rPr>
        <w:t>480 de 2016</w:t>
      </w:r>
      <w:r w:rsidRPr="002C1A32">
        <w:rPr>
          <w:rFonts w:eastAsia="Times New Roman"/>
          <w:b/>
          <w:i/>
          <w:szCs w:val="28"/>
        </w:rPr>
        <w:t>.</w:t>
      </w:r>
      <w:r w:rsidRPr="002C1A32">
        <w:rPr>
          <w:rFonts w:eastAsia="Times New Roman"/>
          <w:szCs w:val="28"/>
        </w:rPr>
        <w:t xml:space="preserve"> L</w:t>
      </w:r>
      <w:r w:rsidR="00171C89" w:rsidRPr="002C1A32">
        <w:rPr>
          <w:rFonts w:eastAsia="Times New Roman"/>
          <w:szCs w:val="28"/>
        </w:rPr>
        <w:t xml:space="preserve">a Sala </w:t>
      </w:r>
      <w:r w:rsidR="008F480A" w:rsidRPr="002C1A32">
        <w:rPr>
          <w:rFonts w:eastAsia="Times New Roman"/>
          <w:szCs w:val="28"/>
        </w:rPr>
        <w:t xml:space="preserve">Octava </w:t>
      </w:r>
      <w:r w:rsidR="00171C89" w:rsidRPr="002C1A32">
        <w:rPr>
          <w:rFonts w:eastAsia="Times New Roman"/>
          <w:szCs w:val="28"/>
        </w:rPr>
        <w:t xml:space="preserve">de Revisión de la Corte Constitucional </w:t>
      </w:r>
      <w:r w:rsidR="008F480A" w:rsidRPr="002C1A32">
        <w:rPr>
          <w:rFonts w:eastAsia="Times New Roman"/>
          <w:szCs w:val="28"/>
        </w:rPr>
        <w:t xml:space="preserve">amparó los derechos fundamentales </w:t>
      </w:r>
      <w:r w:rsidR="00EE6BD0" w:rsidRPr="002C1A32">
        <w:rPr>
          <w:rFonts w:eastAsia="Times New Roman"/>
          <w:szCs w:val="28"/>
        </w:rPr>
        <w:t>a la igualdad, a la seguridad social, a la dignidad humana, al mínimo vital y al trabajo de las accionantes,</w:t>
      </w:r>
      <w:r w:rsidR="000D47FE" w:rsidRPr="002C1A32">
        <w:rPr>
          <w:rFonts w:eastAsia="Times New Roman"/>
          <w:szCs w:val="28"/>
        </w:rPr>
        <w:t xml:space="preserve"> </w:t>
      </w:r>
      <w:r w:rsidR="00EE6BD0" w:rsidRPr="002C1A32">
        <w:rPr>
          <w:rFonts w:eastAsia="Times New Roman"/>
          <w:szCs w:val="28"/>
        </w:rPr>
        <w:t>a</w:t>
      </w:r>
      <w:r w:rsidR="008F480A" w:rsidRPr="002C1A32">
        <w:rPr>
          <w:rFonts w:eastAsia="Times New Roman"/>
          <w:szCs w:val="28"/>
        </w:rPr>
        <w:t>l</w:t>
      </w:r>
      <w:r w:rsidR="00304706" w:rsidRPr="002C1A32">
        <w:rPr>
          <w:rFonts w:eastAsia="Times New Roman"/>
          <w:szCs w:val="28"/>
        </w:rPr>
        <w:t xml:space="preserve"> consider</w:t>
      </w:r>
      <w:r w:rsidR="008F480A" w:rsidRPr="002C1A32">
        <w:rPr>
          <w:rFonts w:eastAsia="Times New Roman"/>
          <w:szCs w:val="28"/>
        </w:rPr>
        <w:t>ar reunidos los tres elementos para declarar un contrato realidad</w:t>
      </w:r>
      <w:r w:rsidR="00EE6BD0" w:rsidRPr="002C1A32">
        <w:rPr>
          <w:rFonts w:eastAsia="Times New Roman"/>
          <w:szCs w:val="28"/>
        </w:rPr>
        <w:t xml:space="preserve">. Dicha Sala de Revisión </w:t>
      </w:r>
      <w:r w:rsidR="00EE6BD0" w:rsidRPr="002C1A32">
        <w:rPr>
          <w:rFonts w:eastAsia="Times New Roman"/>
          <w:i/>
          <w:szCs w:val="28"/>
        </w:rPr>
        <w:t>“</w:t>
      </w:r>
      <w:r w:rsidR="008F480A" w:rsidRPr="002C1A32">
        <w:rPr>
          <w:rFonts w:eastAsia="Times New Roman"/>
          <w:i/>
          <w:szCs w:val="28"/>
        </w:rPr>
        <w:t>constató que entre el ICBF y las 106 madres comunitarias sí existió contrato de trabajo realidad desde el 29 de diciembre de 1988 o desde la fecha en que con posterioridad se hayan vinculado al Programa Hogares Comunitarios de Bienestar, hasta el 31 de enero de 2014 o hasta la fecha en que con anterioridad hayan estado vinculadas al referido programa. Lo anterior, como resultado de la observancia y adecuada aplicación del principio constitucional de primacía de la realidad sobre las formalidades, como garantía en la protección efectiva de los derechos laborales que solicitaron las accionantes”</w:t>
      </w:r>
      <w:r w:rsidR="00B0493C" w:rsidRPr="002C1A32">
        <w:rPr>
          <w:rStyle w:val="Refdenotaalpie"/>
          <w:rFonts w:eastAsia="Times New Roman"/>
          <w:i/>
          <w:szCs w:val="28"/>
        </w:rPr>
        <w:footnoteReference w:id="17"/>
      </w:r>
      <w:r w:rsidR="005D0463" w:rsidRPr="002C1A32">
        <w:rPr>
          <w:rFonts w:eastAsia="Times New Roman"/>
          <w:szCs w:val="28"/>
        </w:rPr>
        <w:t>.</w:t>
      </w:r>
      <w:r w:rsidR="006C0F82" w:rsidRPr="002C1A32">
        <w:rPr>
          <w:rFonts w:eastAsia="Times New Roman"/>
          <w:szCs w:val="28"/>
        </w:rPr>
        <w:t xml:space="preserve"> </w:t>
      </w:r>
    </w:p>
    <w:p w14:paraId="483435B0" w14:textId="77777777" w:rsidR="00C54786" w:rsidRPr="002C1A32" w:rsidRDefault="00C54786" w:rsidP="002C1A32">
      <w:pPr>
        <w:widowControl w:val="0"/>
        <w:pBdr>
          <w:top w:val="none" w:sz="0" w:space="0" w:color="000000"/>
          <w:left w:val="none" w:sz="0" w:space="0" w:color="000000"/>
          <w:bottom w:val="none" w:sz="0" w:space="0" w:color="000000"/>
          <w:right w:val="none" w:sz="0" w:space="0" w:color="000000"/>
          <w:between w:val="none" w:sz="0" w:space="0" w:color="000000"/>
        </w:pBdr>
        <w:tabs>
          <w:tab w:val="left" w:pos="283"/>
        </w:tabs>
        <w:spacing w:after="0" w:line="240" w:lineRule="auto"/>
        <w:ind w:right="56"/>
        <w:contextualSpacing/>
        <w:jc w:val="both"/>
        <w:rPr>
          <w:rFonts w:eastAsia="Times New Roman"/>
          <w:sz w:val="28"/>
          <w:szCs w:val="28"/>
        </w:rPr>
      </w:pPr>
    </w:p>
    <w:p w14:paraId="3A627023" w14:textId="590A3FE0" w:rsidR="00794980" w:rsidRPr="002C1A32" w:rsidRDefault="00794980" w:rsidP="002C1A32">
      <w:pPr>
        <w:pStyle w:val="Ttulo2"/>
        <w:numPr>
          <w:ilvl w:val="0"/>
          <w:numId w:val="2"/>
        </w:numPr>
        <w:pBdr>
          <w:top w:val="none" w:sz="0" w:space="0" w:color="auto"/>
          <w:left w:val="none" w:sz="0" w:space="0" w:color="auto"/>
          <w:bottom w:val="none" w:sz="0" w:space="0" w:color="auto"/>
          <w:right w:val="none" w:sz="0" w:space="0" w:color="auto"/>
          <w:between w:val="none" w:sz="0" w:space="0" w:color="auto"/>
        </w:pBdr>
        <w:spacing w:before="0" w:after="0" w:line="240" w:lineRule="auto"/>
        <w:jc w:val="both"/>
        <w:rPr>
          <w:rFonts w:eastAsia="Times New Roman"/>
          <w:szCs w:val="28"/>
        </w:rPr>
      </w:pPr>
      <w:r w:rsidRPr="002C1A32">
        <w:rPr>
          <w:rFonts w:eastAsia="Times New Roman"/>
          <w:b/>
          <w:i/>
          <w:szCs w:val="28"/>
        </w:rPr>
        <w:t>Contenido de la p</w:t>
      </w:r>
      <w:r w:rsidR="00870273" w:rsidRPr="002C1A32">
        <w:rPr>
          <w:rFonts w:eastAsia="Times New Roman"/>
          <w:b/>
          <w:i/>
          <w:szCs w:val="28"/>
        </w:rPr>
        <w:t xml:space="preserve">rimera </w:t>
      </w:r>
      <w:r w:rsidR="00171C89" w:rsidRPr="002C1A32">
        <w:rPr>
          <w:rFonts w:eastAsia="Times New Roman"/>
          <w:b/>
          <w:i/>
          <w:szCs w:val="28"/>
        </w:rPr>
        <w:t>nulidad</w:t>
      </w:r>
      <w:r w:rsidR="00870273" w:rsidRPr="002C1A32">
        <w:rPr>
          <w:rFonts w:eastAsia="Times New Roman"/>
          <w:b/>
          <w:i/>
          <w:szCs w:val="28"/>
        </w:rPr>
        <w:t>.</w:t>
      </w:r>
      <w:r w:rsidR="00870273" w:rsidRPr="002C1A32">
        <w:rPr>
          <w:rFonts w:eastAsia="Times New Roman"/>
          <w:szCs w:val="28"/>
        </w:rPr>
        <w:t xml:space="preserve"> </w:t>
      </w:r>
      <w:r w:rsidR="0087378D" w:rsidRPr="002C1A32">
        <w:rPr>
          <w:rFonts w:eastAsia="Times New Roman"/>
          <w:szCs w:val="28"/>
        </w:rPr>
        <w:t>Me</w:t>
      </w:r>
      <w:r w:rsidR="00171C89" w:rsidRPr="002C1A32">
        <w:rPr>
          <w:rFonts w:eastAsia="Times New Roman"/>
          <w:szCs w:val="28"/>
        </w:rPr>
        <w:t xml:space="preserve">diante Auto </w:t>
      </w:r>
      <w:r w:rsidR="00870273" w:rsidRPr="002C1A32">
        <w:rPr>
          <w:rFonts w:eastAsia="Times New Roman"/>
          <w:szCs w:val="28"/>
        </w:rPr>
        <w:t>186</w:t>
      </w:r>
      <w:r w:rsidR="00171C89" w:rsidRPr="002C1A32">
        <w:rPr>
          <w:rFonts w:eastAsia="Times New Roman"/>
          <w:szCs w:val="28"/>
        </w:rPr>
        <w:t xml:space="preserve"> </w:t>
      </w:r>
      <w:r w:rsidR="00596705" w:rsidRPr="002C1A32">
        <w:rPr>
          <w:rFonts w:eastAsia="Times New Roman"/>
          <w:szCs w:val="28"/>
        </w:rPr>
        <w:t>de 2017</w:t>
      </w:r>
      <w:r w:rsidR="00171C89" w:rsidRPr="002C1A32">
        <w:rPr>
          <w:rFonts w:eastAsia="Times New Roman"/>
          <w:szCs w:val="28"/>
        </w:rPr>
        <w:t xml:space="preserve">, </w:t>
      </w:r>
      <w:r w:rsidR="0087378D" w:rsidRPr="002C1A32">
        <w:rPr>
          <w:rFonts w:eastAsia="Times New Roman"/>
          <w:szCs w:val="28"/>
        </w:rPr>
        <w:t xml:space="preserve">la Sala Plena de la Corte Constitucional </w:t>
      </w:r>
      <w:r w:rsidR="00171C89" w:rsidRPr="002C1A32">
        <w:rPr>
          <w:rFonts w:eastAsia="Times New Roman"/>
          <w:szCs w:val="28"/>
        </w:rPr>
        <w:t xml:space="preserve">declaró la nulidad </w:t>
      </w:r>
      <w:r w:rsidR="00870273" w:rsidRPr="002C1A32">
        <w:rPr>
          <w:rFonts w:eastAsia="Times New Roman"/>
          <w:szCs w:val="28"/>
        </w:rPr>
        <w:t xml:space="preserve">parcial </w:t>
      </w:r>
      <w:r w:rsidR="00171C89" w:rsidRPr="002C1A32">
        <w:rPr>
          <w:rFonts w:eastAsia="Times New Roman"/>
          <w:szCs w:val="28"/>
        </w:rPr>
        <w:t xml:space="preserve">de la </w:t>
      </w:r>
      <w:r w:rsidR="00870273" w:rsidRPr="002C1A32">
        <w:rPr>
          <w:rFonts w:eastAsia="Times New Roman"/>
          <w:szCs w:val="28"/>
        </w:rPr>
        <w:t xml:space="preserve">providencia mencionada </w:t>
      </w:r>
      <w:r w:rsidRPr="002C1A32">
        <w:rPr>
          <w:rFonts w:eastAsia="Times New Roman"/>
          <w:szCs w:val="28"/>
        </w:rPr>
        <w:t>al c</w:t>
      </w:r>
      <w:r w:rsidR="00171C89" w:rsidRPr="002C1A32">
        <w:rPr>
          <w:rFonts w:eastAsia="Times New Roman"/>
          <w:szCs w:val="28"/>
        </w:rPr>
        <w:t>onsider</w:t>
      </w:r>
      <w:r w:rsidRPr="002C1A32">
        <w:rPr>
          <w:rFonts w:eastAsia="Times New Roman"/>
          <w:szCs w:val="28"/>
        </w:rPr>
        <w:t>ar</w:t>
      </w:r>
      <w:r w:rsidR="00171C89" w:rsidRPr="002C1A32">
        <w:rPr>
          <w:rFonts w:eastAsia="Times New Roman"/>
          <w:szCs w:val="28"/>
        </w:rPr>
        <w:t xml:space="preserve"> que la sentencia de la Sala </w:t>
      </w:r>
      <w:r w:rsidRPr="002C1A32">
        <w:rPr>
          <w:rFonts w:eastAsia="Times New Roman"/>
          <w:szCs w:val="28"/>
        </w:rPr>
        <w:t>Octava</w:t>
      </w:r>
      <w:r w:rsidR="00171C89" w:rsidRPr="002C1A32">
        <w:rPr>
          <w:rFonts w:eastAsia="Times New Roman"/>
          <w:szCs w:val="28"/>
        </w:rPr>
        <w:t xml:space="preserve"> de Revisión</w:t>
      </w:r>
      <w:r w:rsidR="003C489D" w:rsidRPr="002C1A32">
        <w:rPr>
          <w:rFonts w:eastAsia="Times New Roman"/>
          <w:szCs w:val="28"/>
        </w:rPr>
        <w:t xml:space="preserve"> </w:t>
      </w:r>
      <w:r w:rsidRPr="002C1A32">
        <w:rPr>
          <w:rFonts w:eastAsia="Times New Roman"/>
          <w:szCs w:val="28"/>
        </w:rPr>
        <w:t>desconoció el precedente</w:t>
      </w:r>
      <w:r w:rsidR="003C489D" w:rsidRPr="002C1A32">
        <w:rPr>
          <w:bCs/>
          <w:szCs w:val="28"/>
        </w:rPr>
        <w:t xml:space="preserve"> </w:t>
      </w:r>
      <w:r w:rsidRPr="002C1A32">
        <w:rPr>
          <w:bCs/>
          <w:szCs w:val="28"/>
        </w:rPr>
        <w:t xml:space="preserve">de </w:t>
      </w:r>
      <w:r w:rsidRPr="002C1A32">
        <w:rPr>
          <w:rFonts w:eastAsia="Times New Roman"/>
          <w:szCs w:val="28"/>
          <w:bdr w:val="none" w:sz="0" w:space="0" w:color="auto" w:frame="1"/>
          <w:lang w:val="es-ES_tradnl"/>
        </w:rPr>
        <w:t>la Sentencia SU-224 de 1998 y la jurisprudencia en vigor</w:t>
      </w:r>
      <w:r w:rsidRPr="002C1A32">
        <w:rPr>
          <w:rStyle w:val="Refdenotaalpie"/>
          <w:rFonts w:eastAsia="Times New Roman"/>
          <w:szCs w:val="28"/>
          <w:bdr w:val="none" w:sz="0" w:space="0" w:color="auto" w:frame="1"/>
          <w:lang w:val="es-ES_tradnl"/>
        </w:rPr>
        <w:footnoteReference w:id="18"/>
      </w:r>
      <w:r w:rsidRPr="002C1A32">
        <w:rPr>
          <w:rFonts w:eastAsia="Times New Roman"/>
          <w:szCs w:val="28"/>
          <w:bdr w:val="none" w:sz="0" w:space="0" w:color="auto" w:frame="1"/>
          <w:lang w:val="es-ES_tradnl"/>
        </w:rPr>
        <w:t>. </w:t>
      </w:r>
      <w:r w:rsidR="00E06AF9" w:rsidRPr="002C1A32">
        <w:rPr>
          <w:rFonts w:eastAsia="Times New Roman"/>
          <w:szCs w:val="28"/>
          <w:bdr w:val="none" w:sz="0" w:space="0" w:color="auto" w:frame="1"/>
          <w:lang w:val="es-ES_tradnl"/>
        </w:rPr>
        <w:t xml:space="preserve">En sustento de ello, </w:t>
      </w:r>
      <w:r w:rsidRPr="002C1A32">
        <w:rPr>
          <w:rFonts w:eastAsia="Times New Roman"/>
          <w:szCs w:val="28"/>
          <w:bdr w:val="none" w:sz="0" w:space="0" w:color="auto" w:frame="1"/>
        </w:rPr>
        <w:t xml:space="preserve">la Corte </w:t>
      </w:r>
      <w:r w:rsidR="00B50E6E" w:rsidRPr="002C1A32">
        <w:rPr>
          <w:rFonts w:eastAsia="Times New Roman"/>
          <w:szCs w:val="28"/>
          <w:bdr w:val="none" w:sz="0" w:space="0" w:color="auto" w:frame="1"/>
        </w:rPr>
        <w:t>constató</w:t>
      </w:r>
      <w:r w:rsidRPr="002C1A32">
        <w:rPr>
          <w:rFonts w:eastAsia="Times New Roman"/>
          <w:szCs w:val="28"/>
          <w:bdr w:val="none" w:sz="0" w:space="0" w:color="auto" w:frame="1"/>
        </w:rPr>
        <w:t xml:space="preserve"> </w:t>
      </w:r>
      <w:r w:rsidR="00A00B4E" w:rsidRPr="002C1A32">
        <w:rPr>
          <w:rFonts w:eastAsia="Times New Roman"/>
          <w:szCs w:val="28"/>
          <w:bdr w:val="none" w:sz="0" w:space="0" w:color="auto" w:frame="1"/>
        </w:rPr>
        <w:t>que</w:t>
      </w:r>
      <w:r w:rsidRPr="002C1A32">
        <w:rPr>
          <w:rFonts w:eastAsia="Times New Roman"/>
          <w:szCs w:val="28"/>
          <w:bdr w:val="none" w:sz="0" w:space="0" w:color="auto" w:frame="1"/>
        </w:rPr>
        <w:t>:</w:t>
      </w:r>
      <w:r w:rsidR="00B50E6E" w:rsidRPr="002C1A32">
        <w:rPr>
          <w:rFonts w:eastAsia="Times New Roman"/>
          <w:szCs w:val="28"/>
          <w:bdr w:val="none" w:sz="0" w:space="0" w:color="auto" w:frame="1"/>
        </w:rPr>
        <w:t xml:space="preserve"> </w:t>
      </w:r>
      <w:r w:rsidR="00B50E6E" w:rsidRPr="002C1A32">
        <w:rPr>
          <w:rFonts w:eastAsia="Times New Roman"/>
          <w:i/>
          <w:szCs w:val="28"/>
          <w:bdr w:val="none" w:sz="0" w:space="0" w:color="auto" w:frame="1"/>
        </w:rPr>
        <w:t xml:space="preserve">(i) </w:t>
      </w:r>
      <w:r w:rsidR="00B50E6E" w:rsidRPr="002C1A32">
        <w:rPr>
          <w:rFonts w:eastAsia="Times New Roman"/>
          <w:szCs w:val="28"/>
          <w:bdr w:val="none" w:sz="0" w:space="0" w:color="auto" w:frame="1"/>
        </w:rPr>
        <w:t>l</w:t>
      </w:r>
      <w:r w:rsidR="00B50E6E" w:rsidRPr="002C1A32">
        <w:rPr>
          <w:rFonts w:eastAsia="Times New Roman"/>
          <w:szCs w:val="28"/>
          <w:bdr w:val="none" w:sz="0" w:space="0" w:color="auto" w:frame="1"/>
          <w:lang w:val="es-ES_tradnl"/>
        </w:rPr>
        <w:t>a S</w:t>
      </w:r>
      <w:r w:rsidRPr="002C1A32">
        <w:rPr>
          <w:rFonts w:eastAsia="Times New Roman"/>
          <w:szCs w:val="28"/>
          <w:bdr w:val="none" w:sz="0" w:space="0" w:color="auto" w:frame="1"/>
          <w:lang w:val="es-ES_tradnl"/>
        </w:rPr>
        <w:t xml:space="preserve">entencia SU-224 de 1998 constituía </w:t>
      </w:r>
      <w:r w:rsidR="00B50E6E" w:rsidRPr="002C1A32">
        <w:rPr>
          <w:rFonts w:eastAsia="Times New Roman"/>
          <w:szCs w:val="28"/>
          <w:bdr w:val="none" w:sz="0" w:space="0" w:color="auto" w:frame="1"/>
          <w:lang w:val="es-ES_tradnl"/>
        </w:rPr>
        <w:t xml:space="preserve">un </w:t>
      </w:r>
      <w:r w:rsidRPr="002C1A32">
        <w:rPr>
          <w:rFonts w:eastAsia="Times New Roman"/>
          <w:szCs w:val="28"/>
          <w:bdr w:val="none" w:sz="0" w:space="0" w:color="auto" w:frame="1"/>
          <w:lang w:val="es-ES_tradnl"/>
        </w:rPr>
        <w:t>precedente vinculante</w:t>
      </w:r>
      <w:r w:rsidR="00B50E6E" w:rsidRPr="002C1A32">
        <w:rPr>
          <w:rFonts w:eastAsia="Times New Roman"/>
          <w:szCs w:val="28"/>
          <w:bdr w:val="none" w:sz="0" w:space="0" w:color="auto" w:frame="1"/>
          <w:lang w:val="es-ES_tradnl"/>
        </w:rPr>
        <w:t xml:space="preserve">, toda vez, que en sede </w:t>
      </w:r>
      <w:r w:rsidRPr="002C1A32">
        <w:rPr>
          <w:rFonts w:eastAsia="Times New Roman"/>
          <w:szCs w:val="28"/>
          <w:bdr w:val="none" w:sz="0" w:space="0" w:color="auto" w:frame="1"/>
          <w:lang w:val="es-ES_tradnl"/>
        </w:rPr>
        <w:t>de unificación</w:t>
      </w:r>
      <w:r w:rsidR="00B50E6E" w:rsidRPr="002C1A32">
        <w:rPr>
          <w:rFonts w:eastAsia="Times New Roman"/>
          <w:szCs w:val="28"/>
          <w:bdr w:val="none" w:sz="0" w:space="0" w:color="auto" w:frame="1"/>
          <w:lang w:val="es-ES_tradnl"/>
        </w:rPr>
        <w:t xml:space="preserve">, la </w:t>
      </w:r>
      <w:r w:rsidR="00A00B4E" w:rsidRPr="002C1A32">
        <w:rPr>
          <w:rFonts w:eastAsia="Times New Roman"/>
          <w:szCs w:val="28"/>
          <w:bdr w:val="none" w:sz="0" w:space="0" w:color="auto" w:frame="1"/>
          <w:lang w:val="es-ES_tradnl"/>
        </w:rPr>
        <w:t xml:space="preserve">Sala Plena </w:t>
      </w:r>
      <w:r w:rsidR="00B50E6E" w:rsidRPr="002C1A32">
        <w:rPr>
          <w:rFonts w:eastAsia="Times New Roman"/>
          <w:szCs w:val="28"/>
          <w:bdr w:val="none" w:sz="0" w:space="0" w:color="auto" w:frame="1"/>
          <w:lang w:val="es-ES_tradnl"/>
        </w:rPr>
        <w:t>determin</w:t>
      </w:r>
      <w:r w:rsidRPr="002C1A32">
        <w:rPr>
          <w:rFonts w:eastAsia="Times New Roman"/>
          <w:szCs w:val="28"/>
          <w:bdr w:val="none" w:sz="0" w:space="0" w:color="auto" w:frame="1"/>
          <w:lang w:val="es-ES_tradnl"/>
        </w:rPr>
        <w:t>ó que </w:t>
      </w:r>
      <w:r w:rsidRPr="002C1A32">
        <w:rPr>
          <w:rFonts w:eastAsia="Times New Roman"/>
          <w:szCs w:val="28"/>
          <w:bdr w:val="none" w:sz="0" w:space="0" w:color="auto" w:frame="1"/>
        </w:rPr>
        <w:t>no existía amenaza o vulneración del derecho fundamental al trabajo</w:t>
      </w:r>
      <w:r w:rsidRPr="002C1A32">
        <w:rPr>
          <w:rFonts w:eastAsia="Times New Roman"/>
          <w:szCs w:val="28"/>
          <w:bdr w:val="none" w:sz="0" w:space="0" w:color="auto" w:frame="1"/>
          <w:lang w:val="es-ES_tradnl"/>
        </w:rPr>
        <w:t>, </w:t>
      </w:r>
      <w:r w:rsidRPr="002C1A32">
        <w:rPr>
          <w:rFonts w:eastAsia="Times New Roman"/>
          <w:szCs w:val="28"/>
          <w:bdr w:val="none" w:sz="0" w:space="0" w:color="auto" w:frame="1"/>
        </w:rPr>
        <w:t>ya que </w:t>
      </w:r>
      <w:r w:rsidRPr="002C1A32">
        <w:rPr>
          <w:rFonts w:eastAsia="Times New Roman"/>
          <w:i/>
          <w:iCs/>
          <w:szCs w:val="28"/>
          <w:bdr w:val="none" w:sz="0" w:space="0" w:color="auto" w:frame="1"/>
        </w:rPr>
        <w:t>“el vínculo existente entre las madres comunitarias y la asociación de padres de familia de los hogares comunitarios de Bienestar, es de naturaleza contractual, de origen civil”</w:t>
      </w:r>
      <w:r w:rsidR="00B50E6E" w:rsidRPr="002C1A32">
        <w:rPr>
          <w:rFonts w:eastAsia="Times New Roman"/>
          <w:szCs w:val="28"/>
          <w:bdr w:val="none" w:sz="0" w:space="0" w:color="auto" w:frame="1"/>
        </w:rPr>
        <w:t xml:space="preserve"> y no se encontraban reunidos </w:t>
      </w:r>
      <w:r w:rsidRPr="002C1A32">
        <w:rPr>
          <w:rFonts w:eastAsia="Times New Roman"/>
          <w:szCs w:val="28"/>
          <w:bdr w:val="none" w:sz="0" w:space="0" w:color="auto" w:frame="1"/>
        </w:rPr>
        <w:t xml:space="preserve">los requisitos esenciales del contrato de trabajo (prestación personal del servicio, subordinación y salario), </w:t>
      </w:r>
      <w:r w:rsidR="00B50E6E" w:rsidRPr="002C1A32">
        <w:rPr>
          <w:rFonts w:eastAsia="Times New Roman"/>
          <w:szCs w:val="28"/>
          <w:bdr w:val="none" w:sz="0" w:space="0" w:color="auto" w:frame="1"/>
        </w:rPr>
        <w:t xml:space="preserve">con </w:t>
      </w:r>
      <w:r w:rsidRPr="002C1A32">
        <w:rPr>
          <w:rFonts w:eastAsia="Times New Roman"/>
          <w:szCs w:val="28"/>
          <w:bdr w:val="none" w:sz="0" w:space="0" w:color="auto" w:frame="1"/>
        </w:rPr>
        <w:t>lo cual</w:t>
      </w:r>
      <w:r w:rsidR="00B50E6E" w:rsidRPr="002C1A32">
        <w:rPr>
          <w:rFonts w:eastAsia="Times New Roman"/>
          <w:szCs w:val="28"/>
          <w:bdr w:val="none" w:sz="0" w:space="0" w:color="auto" w:frame="1"/>
        </w:rPr>
        <w:t>,</w:t>
      </w:r>
      <w:r w:rsidRPr="002C1A32">
        <w:rPr>
          <w:rFonts w:eastAsia="Times New Roman"/>
          <w:szCs w:val="28"/>
          <w:bdr w:val="none" w:sz="0" w:space="0" w:color="auto" w:frame="1"/>
        </w:rPr>
        <w:t xml:space="preserve"> </w:t>
      </w:r>
      <w:r w:rsidR="00B50E6E" w:rsidRPr="002C1A32">
        <w:rPr>
          <w:rFonts w:eastAsia="Times New Roman"/>
          <w:szCs w:val="28"/>
          <w:bdr w:val="none" w:sz="0" w:space="0" w:color="auto" w:frame="1"/>
        </w:rPr>
        <w:t xml:space="preserve">se </w:t>
      </w:r>
      <w:r w:rsidRPr="002C1A32">
        <w:rPr>
          <w:rFonts w:eastAsia="Times New Roman"/>
          <w:szCs w:val="28"/>
          <w:bdr w:val="none" w:sz="0" w:space="0" w:color="auto" w:frame="1"/>
        </w:rPr>
        <w:t>descarta la </w:t>
      </w:r>
      <w:r w:rsidRPr="002C1A32">
        <w:rPr>
          <w:rFonts w:eastAsia="Times New Roman"/>
          <w:szCs w:val="28"/>
          <w:bdr w:val="none" w:sz="0" w:space="0" w:color="auto" w:frame="1"/>
          <w:lang w:val="es-ES_tradnl"/>
        </w:rPr>
        <w:t>existencia de</w:t>
      </w:r>
      <w:r w:rsidR="00B50E6E" w:rsidRPr="002C1A32">
        <w:rPr>
          <w:rFonts w:eastAsia="Times New Roman"/>
          <w:szCs w:val="28"/>
          <w:bdr w:val="none" w:sz="0" w:space="0" w:color="auto" w:frame="1"/>
          <w:lang w:val="es-ES_tradnl"/>
        </w:rPr>
        <w:t xml:space="preserve"> </w:t>
      </w:r>
      <w:r w:rsidRPr="002C1A32">
        <w:rPr>
          <w:rFonts w:eastAsia="Times New Roman"/>
          <w:i/>
          <w:iCs/>
          <w:szCs w:val="28"/>
          <w:bdr w:val="none" w:sz="0" w:space="0" w:color="auto" w:frame="1"/>
          <w:lang w:val="es-ES_tradnl"/>
        </w:rPr>
        <w:t>“una vinculación contractual de carácter labo</w:t>
      </w:r>
      <w:r w:rsidR="00B50E6E" w:rsidRPr="002C1A32">
        <w:rPr>
          <w:rFonts w:eastAsia="Times New Roman"/>
          <w:i/>
          <w:iCs/>
          <w:szCs w:val="28"/>
          <w:bdr w:val="none" w:sz="0" w:space="0" w:color="auto" w:frame="1"/>
          <w:lang w:val="es-ES_tradnl"/>
        </w:rPr>
        <w:t>ral”</w:t>
      </w:r>
      <w:r w:rsidR="00B50E6E" w:rsidRPr="002C1A32">
        <w:rPr>
          <w:rFonts w:eastAsia="Times New Roman"/>
          <w:iCs/>
          <w:szCs w:val="28"/>
          <w:bdr w:val="none" w:sz="0" w:space="0" w:color="auto" w:frame="1"/>
          <w:lang w:val="es-ES_tradnl"/>
        </w:rPr>
        <w:t xml:space="preserve">, y </w:t>
      </w:r>
      <w:r w:rsidR="00B50E6E" w:rsidRPr="002C1A32">
        <w:rPr>
          <w:rFonts w:eastAsia="Times New Roman"/>
          <w:i/>
          <w:iCs/>
          <w:szCs w:val="28"/>
          <w:bdr w:val="none" w:sz="0" w:space="0" w:color="auto" w:frame="1"/>
          <w:lang w:val="es-ES_tradnl"/>
        </w:rPr>
        <w:t>(ii)</w:t>
      </w:r>
      <w:r w:rsidR="00B50E6E" w:rsidRPr="002C1A32">
        <w:rPr>
          <w:rFonts w:eastAsia="Times New Roman"/>
          <w:iCs/>
          <w:szCs w:val="28"/>
          <w:bdr w:val="none" w:sz="0" w:space="0" w:color="auto" w:frame="1"/>
          <w:lang w:val="es-ES_tradnl"/>
        </w:rPr>
        <w:t xml:space="preserve"> de conformidad con la jurisprudencia en vigor</w:t>
      </w:r>
      <w:r w:rsidR="00D67B75" w:rsidRPr="002C1A32">
        <w:rPr>
          <w:rFonts w:eastAsia="Times New Roman"/>
          <w:iCs/>
          <w:szCs w:val="28"/>
          <w:bdr w:val="none" w:sz="0" w:space="0" w:color="auto" w:frame="1"/>
          <w:lang w:val="es-ES_tradnl"/>
        </w:rPr>
        <w:t xml:space="preserve">, se reiteró </w:t>
      </w:r>
      <w:r w:rsidR="00B50E6E" w:rsidRPr="002C1A32">
        <w:rPr>
          <w:rFonts w:eastAsia="Times New Roman"/>
          <w:i/>
          <w:iCs/>
          <w:szCs w:val="28"/>
          <w:bdr w:val="none" w:sz="0" w:space="0" w:color="auto" w:frame="1"/>
          <w:lang w:val="es-ES_tradnl"/>
        </w:rPr>
        <w:t>“la inexistencia de contrato de trabajo entre las madres comunitarias y el ICBF o las asociaciones o entidades que participan en el Programa Hogares Comunitarios de Bienestar y, que el vínculo es de naturaleza contractual de origen civil</w:t>
      </w:r>
      <w:r w:rsidR="00D67B75" w:rsidRPr="002C1A32">
        <w:rPr>
          <w:rFonts w:eastAsia="Times New Roman"/>
          <w:i/>
          <w:iCs/>
          <w:szCs w:val="28"/>
          <w:bdr w:val="none" w:sz="0" w:space="0" w:color="auto" w:frame="1"/>
          <w:lang w:val="es-ES_tradnl"/>
        </w:rPr>
        <w:t>”</w:t>
      </w:r>
      <w:r w:rsidR="00B50E6E" w:rsidRPr="002C1A32">
        <w:rPr>
          <w:rFonts w:eastAsia="Times New Roman"/>
          <w:i/>
          <w:iCs/>
          <w:szCs w:val="28"/>
          <w:bdr w:val="none" w:sz="0" w:space="0" w:color="auto" w:frame="1"/>
          <w:lang w:val="es-ES_tradnl"/>
        </w:rPr>
        <w:t>.</w:t>
      </w:r>
    </w:p>
    <w:p w14:paraId="7477932B" w14:textId="77777777" w:rsidR="00D67B75" w:rsidRPr="002C1A32" w:rsidRDefault="00D67B75" w:rsidP="002C1A32">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3"/>
        </w:tabs>
        <w:spacing w:after="0" w:line="240" w:lineRule="auto"/>
        <w:ind w:right="56"/>
        <w:contextualSpacing/>
        <w:jc w:val="both"/>
        <w:textAlignment w:val="baseline"/>
        <w:rPr>
          <w:rFonts w:eastAsia="Times New Roman"/>
          <w:b/>
          <w:sz w:val="28"/>
          <w:szCs w:val="28"/>
        </w:rPr>
      </w:pPr>
    </w:p>
    <w:p w14:paraId="5163D4A5" w14:textId="5A879876" w:rsidR="00171C89" w:rsidRPr="002C1A32" w:rsidRDefault="00D67B75" w:rsidP="002C1A32">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283"/>
        </w:tabs>
        <w:spacing w:after="0" w:line="240" w:lineRule="auto"/>
        <w:ind w:right="56"/>
        <w:contextualSpacing/>
        <w:jc w:val="both"/>
        <w:rPr>
          <w:rFonts w:eastAsia="Times New Roman"/>
          <w:b/>
          <w:sz w:val="28"/>
          <w:szCs w:val="28"/>
        </w:rPr>
      </w:pPr>
      <w:r w:rsidRPr="002C1A32">
        <w:rPr>
          <w:rFonts w:eastAsia="Times New Roman"/>
          <w:sz w:val="28"/>
          <w:szCs w:val="28"/>
        </w:rPr>
        <w:t xml:space="preserve"> Conforme a lo anterior, </w:t>
      </w:r>
      <w:r w:rsidR="00794980" w:rsidRPr="002C1A32">
        <w:rPr>
          <w:rFonts w:eastAsia="Times New Roman"/>
          <w:sz w:val="28"/>
          <w:szCs w:val="28"/>
        </w:rPr>
        <w:t xml:space="preserve">en un auto </w:t>
      </w:r>
      <w:r w:rsidRPr="002C1A32">
        <w:rPr>
          <w:rFonts w:eastAsia="Times New Roman"/>
          <w:sz w:val="28"/>
          <w:szCs w:val="28"/>
        </w:rPr>
        <w:t xml:space="preserve">de naturaleza </w:t>
      </w:r>
      <w:r w:rsidR="00794980" w:rsidRPr="002C1A32">
        <w:rPr>
          <w:rFonts w:eastAsia="Times New Roman"/>
          <w:sz w:val="28"/>
          <w:szCs w:val="28"/>
        </w:rPr>
        <w:t>mixt</w:t>
      </w:r>
      <w:r w:rsidRPr="002C1A32">
        <w:rPr>
          <w:rFonts w:eastAsia="Times New Roman"/>
          <w:sz w:val="28"/>
          <w:szCs w:val="28"/>
        </w:rPr>
        <w:t>a,</w:t>
      </w:r>
      <w:r w:rsidR="00794980" w:rsidRPr="002C1A32">
        <w:rPr>
          <w:rFonts w:eastAsia="Times New Roman"/>
          <w:sz w:val="28"/>
          <w:szCs w:val="28"/>
        </w:rPr>
        <w:t xml:space="preserve"> </w:t>
      </w:r>
      <w:r w:rsidRPr="002C1A32">
        <w:rPr>
          <w:rFonts w:eastAsia="Times New Roman"/>
          <w:sz w:val="28"/>
          <w:szCs w:val="28"/>
        </w:rPr>
        <w:t xml:space="preserve">la Corte declaró </w:t>
      </w:r>
      <w:r w:rsidRPr="002C1A32">
        <w:rPr>
          <w:rFonts w:eastAsia="Times New Roman"/>
          <w:i/>
          <w:sz w:val="28"/>
          <w:szCs w:val="28"/>
        </w:rPr>
        <w:t xml:space="preserve">“la NULIDAD PARCIAL de la Sentencia T-480 del 1 de septiembre de 2016” </w:t>
      </w:r>
      <w:r w:rsidRPr="002C1A32">
        <w:rPr>
          <w:rFonts w:eastAsia="Times New Roman"/>
          <w:sz w:val="28"/>
          <w:szCs w:val="28"/>
        </w:rPr>
        <w:t>y profirió un conjunto de órdenes de reemplazo</w:t>
      </w:r>
      <w:r w:rsidR="00186381" w:rsidRPr="002C1A32">
        <w:rPr>
          <w:rFonts w:eastAsia="Times New Roman"/>
          <w:sz w:val="28"/>
          <w:szCs w:val="28"/>
        </w:rPr>
        <w:t xml:space="preserve"> a cargo del Fondo </w:t>
      </w:r>
      <w:r w:rsidR="00186381" w:rsidRPr="002C1A32">
        <w:rPr>
          <w:color w:val="000000"/>
          <w:sz w:val="28"/>
          <w:szCs w:val="28"/>
          <w:shd w:val="clear" w:color="auto" w:fill="FFFFFF"/>
        </w:rPr>
        <w:t>de Solidaridad Pensional</w:t>
      </w:r>
      <w:r w:rsidR="00186381" w:rsidRPr="002C1A32">
        <w:rPr>
          <w:rFonts w:eastAsia="Times New Roman"/>
          <w:sz w:val="28"/>
          <w:szCs w:val="28"/>
        </w:rPr>
        <w:t>, entre otras</w:t>
      </w:r>
      <w:r w:rsidR="00E06AF9" w:rsidRPr="002C1A32">
        <w:rPr>
          <w:rFonts w:eastAsia="Times New Roman"/>
          <w:sz w:val="28"/>
          <w:szCs w:val="28"/>
        </w:rPr>
        <w:t xml:space="preserve"> entidades</w:t>
      </w:r>
      <w:r w:rsidR="00643C87" w:rsidRPr="002C1A32">
        <w:rPr>
          <w:rFonts w:eastAsia="Times New Roman"/>
          <w:sz w:val="28"/>
          <w:szCs w:val="28"/>
        </w:rPr>
        <w:t xml:space="preserve">, que en su momento no fueron vinculadas. </w:t>
      </w:r>
    </w:p>
    <w:p w14:paraId="0B38D5EF" w14:textId="77777777" w:rsidR="00186381" w:rsidRPr="002C1A32" w:rsidRDefault="00186381" w:rsidP="002C1A32">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3"/>
        </w:tabs>
        <w:spacing w:after="0" w:line="240" w:lineRule="auto"/>
        <w:ind w:right="56"/>
        <w:contextualSpacing/>
        <w:jc w:val="both"/>
        <w:textAlignment w:val="baseline"/>
        <w:rPr>
          <w:rFonts w:eastAsia="Times New Roman"/>
          <w:b/>
          <w:sz w:val="28"/>
          <w:szCs w:val="28"/>
        </w:rPr>
      </w:pPr>
    </w:p>
    <w:p w14:paraId="5ED62960" w14:textId="77777777" w:rsidR="00740E15" w:rsidRPr="002C1A32" w:rsidRDefault="00186381" w:rsidP="002C1A32">
      <w:pPr>
        <w:pStyle w:val="Ttulo2"/>
        <w:keepNext w:val="0"/>
        <w:widowControl w:val="0"/>
        <w:numPr>
          <w:ilvl w:val="0"/>
          <w:numId w:val="2"/>
        </w:numPr>
        <w:pBdr>
          <w:top w:val="none" w:sz="0" w:space="0" w:color="auto"/>
          <w:left w:val="none" w:sz="0" w:space="0" w:color="auto"/>
          <w:bottom w:val="none" w:sz="0" w:space="0" w:color="auto"/>
          <w:right w:val="none" w:sz="0" w:space="0" w:color="auto"/>
          <w:between w:val="none" w:sz="0" w:space="0" w:color="auto"/>
        </w:pBdr>
        <w:spacing w:before="0" w:after="0" w:line="240" w:lineRule="auto"/>
        <w:jc w:val="both"/>
        <w:rPr>
          <w:rFonts w:eastAsia="Times New Roman"/>
          <w:szCs w:val="28"/>
        </w:rPr>
      </w:pPr>
      <w:r w:rsidRPr="002C1A32">
        <w:rPr>
          <w:rFonts w:eastAsia="Times New Roman"/>
          <w:b/>
          <w:szCs w:val="28"/>
        </w:rPr>
        <w:t xml:space="preserve"> </w:t>
      </w:r>
      <w:r w:rsidRPr="002C1A32">
        <w:rPr>
          <w:rFonts w:eastAsia="Times New Roman"/>
          <w:b/>
          <w:i/>
          <w:szCs w:val="28"/>
        </w:rPr>
        <w:t>Marco de la segunda nulidad.</w:t>
      </w:r>
      <w:r w:rsidRPr="002C1A32">
        <w:rPr>
          <w:rFonts w:eastAsia="Times New Roman"/>
          <w:szCs w:val="28"/>
        </w:rPr>
        <w:t xml:space="preserve"> Mediante Auto 217 de 2018, </w:t>
      </w:r>
      <w:r w:rsidR="00822551" w:rsidRPr="002C1A32">
        <w:rPr>
          <w:rFonts w:eastAsia="Times New Roman"/>
          <w:szCs w:val="28"/>
        </w:rPr>
        <w:t xml:space="preserve">el pleno anuló las ordenes de reemplazo contenidas en el Auto 186 de 2017, al constatar que </w:t>
      </w:r>
      <w:r w:rsidR="00740E15" w:rsidRPr="002C1A32">
        <w:rPr>
          <w:rFonts w:eastAsia="Times New Roman"/>
          <w:szCs w:val="28"/>
        </w:rPr>
        <w:t xml:space="preserve">si bien </w:t>
      </w:r>
      <w:r w:rsidR="00822551" w:rsidRPr="002C1A32">
        <w:rPr>
          <w:rFonts w:eastAsia="Times New Roman"/>
          <w:i/>
          <w:szCs w:val="28"/>
        </w:rPr>
        <w:t>“</w:t>
      </w:r>
      <w:r w:rsidR="00740E15" w:rsidRPr="002C1A32">
        <w:rPr>
          <w:rFonts w:eastAsia="Times New Roman"/>
          <w:i/>
          <w:szCs w:val="28"/>
        </w:rPr>
        <w:t>no es necesario vincular al proceso de tutela, ni al de revisión de los fallos pronunciados en sede de amparo constitucional, a las autoridades de orden nacional, regional y/o local que dentro de su deber legal y constitucional tienen la obligación de cumplir lo que se disponga en el marco de dichos trámites, lo cierto es que en el caso en comentario sí debió vincularse al Consorcio Colombia Mayor 2013 y al Ministerio del Trabajo, dado que lo ordenado al Fondo de Solidaridad Pensional en el Auto 186 de 2017 desbordó el deber legal que le ha sido impuesto al referido Fondo, en relación con el valor a asumir como subsidio de los aportes al régimen general de pensiones de las 106 madres comunitarias, al haberse determinado que el mismo equivaldría al 100% del total de la cotización para pensión y no al 80% como lo establecen las Leyes 509 de 1999 y 1187 de 2008</w:t>
      </w:r>
      <w:r w:rsidR="00822551" w:rsidRPr="002C1A32">
        <w:rPr>
          <w:rFonts w:eastAsia="Times New Roman"/>
          <w:i/>
          <w:szCs w:val="28"/>
        </w:rPr>
        <w:t xml:space="preserve">”. </w:t>
      </w:r>
    </w:p>
    <w:p w14:paraId="2D59A1DD" w14:textId="77777777" w:rsidR="00740E15" w:rsidRPr="002C1A32" w:rsidRDefault="00740E15" w:rsidP="002C1A32">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3"/>
        </w:tabs>
        <w:spacing w:after="0" w:line="240" w:lineRule="auto"/>
        <w:ind w:right="56"/>
        <w:contextualSpacing/>
        <w:jc w:val="both"/>
        <w:textAlignment w:val="baseline"/>
        <w:rPr>
          <w:rFonts w:eastAsia="Times New Roman"/>
          <w:b/>
          <w:sz w:val="28"/>
          <w:szCs w:val="28"/>
        </w:rPr>
      </w:pPr>
    </w:p>
    <w:p w14:paraId="1C12B4BE" w14:textId="3919A577" w:rsidR="00822551" w:rsidRPr="002C1A32" w:rsidRDefault="00822551" w:rsidP="002C1A32">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283"/>
        </w:tabs>
        <w:spacing w:after="0" w:line="240" w:lineRule="auto"/>
        <w:ind w:right="56"/>
        <w:contextualSpacing/>
        <w:jc w:val="both"/>
        <w:rPr>
          <w:rFonts w:eastAsia="Times New Roman"/>
          <w:sz w:val="28"/>
          <w:szCs w:val="28"/>
        </w:rPr>
      </w:pPr>
      <w:r w:rsidRPr="002C1A32">
        <w:rPr>
          <w:rFonts w:eastAsia="Times New Roman"/>
          <w:sz w:val="28"/>
          <w:szCs w:val="28"/>
        </w:rPr>
        <w:t>En consecuencia, dispuso que una vez integrado el contradictorio con dichas entidades, la Sala Plena proferirá la decisión que corresponda en el marco de</w:t>
      </w:r>
      <w:r w:rsidR="00F306E8" w:rsidRPr="002C1A32">
        <w:rPr>
          <w:rFonts w:eastAsia="Times New Roman"/>
          <w:sz w:val="28"/>
          <w:szCs w:val="28"/>
        </w:rPr>
        <w:t>l debido proceso</w:t>
      </w:r>
      <w:r w:rsidRPr="002C1A32">
        <w:rPr>
          <w:rFonts w:eastAsia="Times New Roman"/>
          <w:sz w:val="28"/>
          <w:szCs w:val="28"/>
        </w:rPr>
        <w:t>, de acuerdo con la parte motiva de</w:t>
      </w:r>
      <w:r w:rsidR="00F306E8" w:rsidRPr="002C1A32">
        <w:rPr>
          <w:rFonts w:eastAsia="Times New Roman"/>
          <w:sz w:val="28"/>
          <w:szCs w:val="28"/>
        </w:rPr>
        <w:t xml:space="preserve"> dicho</w:t>
      </w:r>
      <w:r w:rsidRPr="002C1A32">
        <w:rPr>
          <w:rFonts w:eastAsia="Times New Roman"/>
          <w:sz w:val="28"/>
          <w:szCs w:val="28"/>
        </w:rPr>
        <w:t xml:space="preserve"> auto, en lo referente al subsidio pensional previsto en las </w:t>
      </w:r>
      <w:r w:rsidR="00C54786" w:rsidRPr="002C1A32">
        <w:rPr>
          <w:rFonts w:eastAsia="Times New Roman"/>
          <w:sz w:val="28"/>
          <w:szCs w:val="28"/>
        </w:rPr>
        <w:t>l</w:t>
      </w:r>
      <w:r w:rsidRPr="002C1A32">
        <w:rPr>
          <w:rFonts w:eastAsia="Times New Roman"/>
          <w:sz w:val="28"/>
          <w:szCs w:val="28"/>
        </w:rPr>
        <w:t>eyes 509 de 1999 y 1187 de 2008.</w:t>
      </w:r>
    </w:p>
    <w:p w14:paraId="48D42893" w14:textId="1F50E751" w:rsidR="00740E15" w:rsidRPr="002C1A32" w:rsidRDefault="00740E15" w:rsidP="002C1A32">
      <w:pPr>
        <w:spacing w:after="0" w:line="240" w:lineRule="auto"/>
        <w:contextualSpacing/>
        <w:jc w:val="both"/>
        <w:rPr>
          <w:rFonts w:eastAsia="Times New Roman"/>
          <w:sz w:val="28"/>
          <w:szCs w:val="28"/>
        </w:rPr>
      </w:pPr>
    </w:p>
    <w:p w14:paraId="0444F939" w14:textId="77777777" w:rsidR="008345C3" w:rsidRPr="002C1A32" w:rsidRDefault="00EE41C8" w:rsidP="002C1A32">
      <w:pPr>
        <w:pStyle w:val="Ttulo1"/>
        <w:numPr>
          <w:ilvl w:val="0"/>
          <w:numId w:val="9"/>
        </w:numPr>
        <w:pBdr>
          <w:top w:val="none" w:sz="0" w:space="0" w:color="auto"/>
          <w:left w:val="none" w:sz="0" w:space="0" w:color="auto"/>
          <w:bottom w:val="none" w:sz="0" w:space="0" w:color="auto"/>
          <w:right w:val="none" w:sz="0" w:space="0" w:color="auto"/>
          <w:between w:val="none" w:sz="0" w:space="0" w:color="auto"/>
        </w:pBdr>
        <w:spacing w:before="0" w:after="0" w:line="240" w:lineRule="auto"/>
        <w:ind w:left="0" w:hanging="567"/>
        <w:jc w:val="both"/>
        <w:rPr>
          <w:rFonts w:eastAsia="Times New Roman"/>
          <w:sz w:val="28"/>
          <w:szCs w:val="28"/>
          <w:lang w:eastAsia="en-US"/>
        </w:rPr>
      </w:pPr>
      <w:r w:rsidRPr="002C1A32">
        <w:rPr>
          <w:rFonts w:eastAsia="Times New Roman"/>
          <w:sz w:val="28"/>
          <w:szCs w:val="28"/>
          <w:lang w:eastAsia="en-US"/>
        </w:rPr>
        <w:t>CONSIDERACIONES</w:t>
      </w:r>
    </w:p>
    <w:p w14:paraId="079D1D11" w14:textId="77777777" w:rsidR="00846196" w:rsidRPr="002C1A32" w:rsidRDefault="00846196" w:rsidP="002C1A32">
      <w:pPr>
        <w:spacing w:after="0" w:line="240" w:lineRule="auto"/>
        <w:contextualSpacing/>
        <w:jc w:val="both"/>
        <w:rPr>
          <w:rFonts w:eastAsia="Times New Roman"/>
          <w:sz w:val="28"/>
          <w:szCs w:val="28"/>
        </w:rPr>
      </w:pPr>
      <w:r w:rsidRPr="002C1A32">
        <w:rPr>
          <w:rFonts w:eastAsia="Times New Roman"/>
          <w:sz w:val="28"/>
          <w:szCs w:val="28"/>
        </w:rPr>
        <w:t> </w:t>
      </w:r>
    </w:p>
    <w:p w14:paraId="3170C26F" w14:textId="77777777" w:rsidR="00846196" w:rsidRPr="002C1A32" w:rsidRDefault="00846196" w:rsidP="002C1A32">
      <w:pPr>
        <w:pStyle w:val="Ttulo2"/>
        <w:pBdr>
          <w:top w:val="none" w:sz="0" w:space="0" w:color="auto"/>
          <w:left w:val="none" w:sz="0" w:space="0" w:color="auto"/>
          <w:bottom w:val="none" w:sz="0" w:space="0" w:color="auto"/>
          <w:right w:val="none" w:sz="0" w:space="0" w:color="auto"/>
          <w:between w:val="none" w:sz="0" w:space="0" w:color="auto"/>
        </w:pBdr>
        <w:spacing w:before="0" w:after="0" w:line="240" w:lineRule="auto"/>
        <w:rPr>
          <w:rFonts w:eastAsia="Times New Roman"/>
          <w:b/>
          <w:bCs/>
          <w:szCs w:val="28"/>
        </w:rPr>
      </w:pPr>
      <w:r w:rsidRPr="002C1A32">
        <w:rPr>
          <w:rFonts w:eastAsia="Times New Roman"/>
          <w:b/>
          <w:bCs/>
          <w:szCs w:val="28"/>
        </w:rPr>
        <w:t>Competencia</w:t>
      </w:r>
    </w:p>
    <w:p w14:paraId="4DDFEB13" w14:textId="77777777" w:rsidR="00846196" w:rsidRPr="002C1A32" w:rsidRDefault="00846196" w:rsidP="002C1A32">
      <w:pPr>
        <w:spacing w:after="0" w:line="240" w:lineRule="auto"/>
        <w:contextualSpacing/>
        <w:jc w:val="both"/>
        <w:rPr>
          <w:rFonts w:eastAsia="Times New Roman"/>
          <w:sz w:val="28"/>
          <w:szCs w:val="28"/>
        </w:rPr>
      </w:pPr>
    </w:p>
    <w:p w14:paraId="224A0E12" w14:textId="1DE8901E" w:rsidR="00846196" w:rsidRPr="002C1A32" w:rsidRDefault="00846196" w:rsidP="002C1A32">
      <w:pPr>
        <w:pStyle w:val="Prrafodelista"/>
        <w:numPr>
          <w:ilvl w:val="0"/>
          <w:numId w:val="2"/>
        </w:numPr>
        <w:tabs>
          <w:tab w:val="left" w:pos="426"/>
        </w:tabs>
        <w:spacing w:after="0" w:line="240" w:lineRule="auto"/>
        <w:ind w:right="51"/>
        <w:jc w:val="both"/>
        <w:rPr>
          <w:rFonts w:eastAsia="Times New Roman"/>
          <w:sz w:val="28"/>
          <w:szCs w:val="28"/>
        </w:rPr>
      </w:pPr>
      <w:r w:rsidRPr="002C1A32">
        <w:rPr>
          <w:rFonts w:eastAsia="Times New Roman"/>
          <w:sz w:val="28"/>
          <w:szCs w:val="28"/>
        </w:rPr>
        <w:t xml:space="preserve">La Corte Constitucional es competente para revisar </w:t>
      </w:r>
      <w:r w:rsidR="005E2B71" w:rsidRPr="002C1A32">
        <w:rPr>
          <w:rFonts w:eastAsia="Times New Roman"/>
          <w:sz w:val="28"/>
          <w:szCs w:val="28"/>
        </w:rPr>
        <w:t>l</w:t>
      </w:r>
      <w:r w:rsidR="004C3081" w:rsidRPr="002C1A32">
        <w:rPr>
          <w:rFonts w:eastAsia="Times New Roman"/>
          <w:sz w:val="28"/>
          <w:szCs w:val="28"/>
        </w:rPr>
        <w:t>os</w:t>
      </w:r>
      <w:r w:rsidR="005E2B71" w:rsidRPr="002C1A32">
        <w:rPr>
          <w:rFonts w:eastAsia="Times New Roman"/>
          <w:sz w:val="28"/>
          <w:szCs w:val="28"/>
        </w:rPr>
        <w:t xml:space="preserve"> </w:t>
      </w:r>
      <w:r w:rsidRPr="002C1A32">
        <w:rPr>
          <w:rFonts w:eastAsia="Times New Roman"/>
          <w:sz w:val="28"/>
          <w:szCs w:val="28"/>
        </w:rPr>
        <w:t>fallo</w:t>
      </w:r>
      <w:r w:rsidR="004C3081" w:rsidRPr="002C1A32">
        <w:rPr>
          <w:rFonts w:eastAsia="Times New Roman"/>
          <w:sz w:val="28"/>
          <w:szCs w:val="28"/>
        </w:rPr>
        <w:t>s</w:t>
      </w:r>
      <w:r w:rsidRPr="002C1A32">
        <w:rPr>
          <w:rFonts w:eastAsia="Times New Roman"/>
          <w:sz w:val="28"/>
          <w:szCs w:val="28"/>
        </w:rPr>
        <w:t xml:space="preserve"> de tutela proferido</w:t>
      </w:r>
      <w:r w:rsidR="004C3081" w:rsidRPr="002C1A32">
        <w:rPr>
          <w:rFonts w:eastAsia="Times New Roman"/>
          <w:sz w:val="28"/>
          <w:szCs w:val="28"/>
        </w:rPr>
        <w:t>s</w:t>
      </w:r>
      <w:r w:rsidRPr="002C1A32">
        <w:rPr>
          <w:rFonts w:eastAsia="Times New Roman"/>
          <w:sz w:val="28"/>
          <w:szCs w:val="28"/>
        </w:rPr>
        <w:t xml:space="preserve"> dentro del trámite de la referencia, con fundamento en lo dispuesto por el inciso 3 del artículo 86 y el numeral 9 del artículo 241 de la Constitución Política, en concordancia con los artículos 33, 34, 35 y 36 del Decreto 2591 de 1991. Igualmente, </w:t>
      </w:r>
      <w:r w:rsidR="00537D2B" w:rsidRPr="002C1A32">
        <w:rPr>
          <w:rFonts w:eastAsia="Times New Roman"/>
          <w:sz w:val="28"/>
          <w:szCs w:val="28"/>
        </w:rPr>
        <w:t xml:space="preserve">mediante el </w:t>
      </w:r>
      <w:r w:rsidR="00E37687" w:rsidRPr="002C1A32">
        <w:rPr>
          <w:rFonts w:eastAsia="Times New Roman"/>
          <w:sz w:val="28"/>
          <w:szCs w:val="28"/>
        </w:rPr>
        <w:t xml:space="preserve">Auto </w:t>
      </w:r>
      <w:r w:rsidR="004C3081" w:rsidRPr="002C1A32">
        <w:rPr>
          <w:rFonts w:eastAsia="Times New Roman"/>
          <w:sz w:val="28"/>
          <w:szCs w:val="28"/>
        </w:rPr>
        <w:t>217</w:t>
      </w:r>
      <w:r w:rsidR="00E37687" w:rsidRPr="002C1A32">
        <w:rPr>
          <w:rFonts w:eastAsia="Times New Roman"/>
          <w:sz w:val="28"/>
          <w:szCs w:val="28"/>
        </w:rPr>
        <w:t xml:space="preserve"> de 201</w:t>
      </w:r>
      <w:r w:rsidR="004C3081" w:rsidRPr="002C1A32">
        <w:rPr>
          <w:rFonts w:eastAsia="Times New Roman"/>
          <w:sz w:val="28"/>
          <w:szCs w:val="28"/>
        </w:rPr>
        <w:t>8</w:t>
      </w:r>
      <w:r w:rsidR="00FB0BB0" w:rsidRPr="002C1A32">
        <w:rPr>
          <w:rFonts w:eastAsia="Times New Roman"/>
          <w:sz w:val="28"/>
          <w:szCs w:val="28"/>
        </w:rPr>
        <w:t xml:space="preserve">, </w:t>
      </w:r>
      <w:r w:rsidRPr="002C1A32">
        <w:rPr>
          <w:rFonts w:eastAsia="Times New Roman"/>
          <w:sz w:val="28"/>
          <w:szCs w:val="28"/>
        </w:rPr>
        <w:t xml:space="preserve">la Sala Plena asumió el conocimiento </w:t>
      </w:r>
      <w:r w:rsidR="00FB0BB0" w:rsidRPr="002C1A32">
        <w:rPr>
          <w:rFonts w:eastAsia="Times New Roman"/>
          <w:sz w:val="28"/>
          <w:szCs w:val="28"/>
        </w:rPr>
        <w:t>del expediente</w:t>
      </w:r>
      <w:r w:rsidR="00537D2B" w:rsidRPr="002C1A32">
        <w:rPr>
          <w:rFonts w:eastAsia="Times New Roman"/>
          <w:sz w:val="28"/>
          <w:szCs w:val="28"/>
        </w:rPr>
        <w:t xml:space="preserve"> de la referencia</w:t>
      </w:r>
      <w:r w:rsidRPr="002C1A32">
        <w:rPr>
          <w:rFonts w:eastAsia="Times New Roman"/>
          <w:sz w:val="28"/>
          <w:szCs w:val="28"/>
        </w:rPr>
        <w:t xml:space="preserve">, razón por la cual es competente para proferir </w:t>
      </w:r>
      <w:r w:rsidR="009D1A20" w:rsidRPr="002C1A32">
        <w:rPr>
          <w:rFonts w:eastAsia="Times New Roman"/>
          <w:sz w:val="28"/>
          <w:szCs w:val="28"/>
        </w:rPr>
        <w:t>la presente providencia</w:t>
      </w:r>
      <w:r w:rsidR="004C3081" w:rsidRPr="002C1A32">
        <w:rPr>
          <w:rFonts w:eastAsia="Times New Roman"/>
          <w:sz w:val="28"/>
          <w:szCs w:val="28"/>
        </w:rPr>
        <w:t xml:space="preserve"> de reemplazo</w:t>
      </w:r>
      <w:r w:rsidRPr="002C1A32">
        <w:rPr>
          <w:rFonts w:eastAsia="Times New Roman"/>
          <w:sz w:val="28"/>
          <w:szCs w:val="28"/>
        </w:rPr>
        <w:t>.</w:t>
      </w:r>
    </w:p>
    <w:p w14:paraId="0E0A9E09" w14:textId="77777777" w:rsidR="00846196" w:rsidRPr="002C1A32" w:rsidRDefault="00846196" w:rsidP="002C1A32">
      <w:pPr>
        <w:tabs>
          <w:tab w:val="left" w:pos="426"/>
        </w:tabs>
        <w:spacing w:after="0" w:line="240" w:lineRule="auto"/>
        <w:contextualSpacing/>
        <w:jc w:val="both"/>
        <w:rPr>
          <w:rFonts w:eastAsia="Times New Roman"/>
          <w:sz w:val="28"/>
          <w:szCs w:val="28"/>
        </w:rPr>
      </w:pPr>
      <w:r w:rsidRPr="002C1A32">
        <w:rPr>
          <w:rFonts w:eastAsia="Times New Roman"/>
          <w:sz w:val="28"/>
          <w:szCs w:val="28"/>
        </w:rPr>
        <w:t> </w:t>
      </w:r>
    </w:p>
    <w:p w14:paraId="5C967E51" w14:textId="2E02649E" w:rsidR="008345C3" w:rsidRPr="002C1A32" w:rsidRDefault="003D75D7" w:rsidP="002C1A32">
      <w:pPr>
        <w:pStyle w:val="Ttulo2"/>
        <w:pBdr>
          <w:top w:val="none" w:sz="0" w:space="0" w:color="auto"/>
          <w:left w:val="none" w:sz="0" w:space="0" w:color="auto"/>
          <w:bottom w:val="none" w:sz="0" w:space="0" w:color="auto"/>
          <w:right w:val="none" w:sz="0" w:space="0" w:color="auto"/>
          <w:between w:val="none" w:sz="0" w:space="0" w:color="auto"/>
        </w:pBdr>
        <w:spacing w:before="0" w:after="0" w:line="240" w:lineRule="auto"/>
        <w:rPr>
          <w:rFonts w:eastAsia="Times New Roman"/>
          <w:b/>
          <w:szCs w:val="28"/>
        </w:rPr>
      </w:pPr>
      <w:r w:rsidRPr="002C1A32">
        <w:rPr>
          <w:rFonts w:eastAsia="Times New Roman"/>
          <w:b/>
          <w:szCs w:val="28"/>
        </w:rPr>
        <w:t>D</w:t>
      </w:r>
      <w:r w:rsidR="005A37EA" w:rsidRPr="002C1A32">
        <w:rPr>
          <w:rFonts w:eastAsia="Times New Roman"/>
          <w:b/>
          <w:szCs w:val="28"/>
        </w:rPr>
        <w:t>e</w:t>
      </w:r>
      <w:r w:rsidR="00B373BF" w:rsidRPr="002C1A32">
        <w:rPr>
          <w:rFonts w:eastAsia="Times New Roman"/>
          <w:b/>
          <w:szCs w:val="28"/>
        </w:rPr>
        <w:t>l análisis de</w:t>
      </w:r>
      <w:r w:rsidR="00971C71" w:rsidRPr="002C1A32">
        <w:rPr>
          <w:rFonts w:eastAsia="Times New Roman"/>
          <w:b/>
          <w:szCs w:val="28"/>
        </w:rPr>
        <w:t xml:space="preserve"> los requisitos de procedencia </w:t>
      </w:r>
      <w:r w:rsidR="005A37EA" w:rsidRPr="002C1A32">
        <w:rPr>
          <w:rFonts w:eastAsia="Times New Roman"/>
          <w:b/>
          <w:szCs w:val="28"/>
        </w:rPr>
        <w:t xml:space="preserve">de la acción </w:t>
      </w:r>
      <w:r w:rsidR="001E62EE" w:rsidRPr="002C1A32">
        <w:rPr>
          <w:rFonts w:eastAsia="Times New Roman"/>
          <w:b/>
          <w:szCs w:val="28"/>
        </w:rPr>
        <w:t>de tutela</w:t>
      </w:r>
    </w:p>
    <w:p w14:paraId="2CDAD3F9" w14:textId="77777777" w:rsidR="00353E17" w:rsidRPr="002C1A32" w:rsidRDefault="00353E17" w:rsidP="002C1A32">
      <w:pPr>
        <w:widowControl w:val="0"/>
        <w:spacing w:after="0" w:line="240" w:lineRule="auto"/>
        <w:ind w:right="51"/>
        <w:contextualSpacing/>
        <w:jc w:val="both"/>
        <w:rPr>
          <w:rFonts w:eastAsia="Times New Roman"/>
          <w:sz w:val="28"/>
          <w:szCs w:val="28"/>
        </w:rPr>
      </w:pPr>
    </w:p>
    <w:p w14:paraId="3C1AAD4F" w14:textId="4475857C" w:rsidR="007235DF" w:rsidRPr="002C1A32" w:rsidRDefault="0094427A" w:rsidP="002C1A32">
      <w:pPr>
        <w:pStyle w:val="Prrafodelista"/>
        <w:widowControl w:val="0"/>
        <w:numPr>
          <w:ilvl w:val="0"/>
          <w:numId w:val="2"/>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426"/>
        </w:tabs>
        <w:spacing w:after="0" w:line="240" w:lineRule="auto"/>
        <w:contextualSpacing w:val="0"/>
        <w:jc w:val="both"/>
        <w:textAlignment w:val="baseline"/>
        <w:rPr>
          <w:rFonts w:eastAsia="Times New Roman"/>
          <w:sz w:val="28"/>
          <w:szCs w:val="28"/>
        </w:rPr>
      </w:pPr>
      <w:r w:rsidRPr="002C1A32">
        <w:rPr>
          <w:rFonts w:eastAsia="Times New Roman"/>
          <w:sz w:val="28"/>
          <w:szCs w:val="28"/>
        </w:rPr>
        <w:t>La tutela fue concebida como un mecanismo de protección inmediato, oportuno y adecuado para l</w:t>
      </w:r>
      <w:r w:rsidR="00B373BF" w:rsidRPr="002C1A32">
        <w:rPr>
          <w:rFonts w:eastAsia="Times New Roman"/>
          <w:sz w:val="28"/>
          <w:szCs w:val="28"/>
        </w:rPr>
        <w:t>os derechos</w:t>
      </w:r>
      <w:r w:rsidRPr="002C1A32">
        <w:rPr>
          <w:rFonts w:eastAsia="Times New Roman"/>
          <w:sz w:val="28"/>
          <w:szCs w:val="28"/>
        </w:rPr>
        <w:t xml:space="preserve"> fundamentales, frente a situaciones de amenaza o vulneración, ya fuera por la acción u omisión de las autoridades públicas, o de los particulares en casos excepcionales. De lo dispuesto por el artículo 86 de la Constitución y el Decreto 2591 de 1991</w:t>
      </w:r>
      <w:r w:rsidR="005C6585" w:rsidRPr="002C1A32">
        <w:rPr>
          <w:rFonts w:eastAsia="Times New Roman"/>
          <w:sz w:val="28"/>
          <w:szCs w:val="28"/>
        </w:rPr>
        <w:t>, esta Corte</w:t>
      </w:r>
      <w:r w:rsidRPr="002C1A32">
        <w:rPr>
          <w:rFonts w:eastAsia="Times New Roman"/>
          <w:sz w:val="28"/>
          <w:szCs w:val="28"/>
        </w:rPr>
        <w:t xml:space="preserve"> considera que son requisitos para </w:t>
      </w:r>
      <w:r w:rsidR="005C6585" w:rsidRPr="002C1A32">
        <w:rPr>
          <w:rFonts w:eastAsia="Times New Roman"/>
          <w:sz w:val="28"/>
          <w:szCs w:val="28"/>
        </w:rPr>
        <w:t>el</w:t>
      </w:r>
      <w:r w:rsidRPr="002C1A32">
        <w:rPr>
          <w:rFonts w:eastAsia="Times New Roman"/>
          <w:sz w:val="28"/>
          <w:szCs w:val="28"/>
        </w:rPr>
        <w:t xml:space="preserve"> estudio de fondo de la acción de tutela la acreditación de </w:t>
      </w:r>
      <w:r w:rsidR="007235DF" w:rsidRPr="002C1A32">
        <w:rPr>
          <w:rFonts w:eastAsia="Times New Roman"/>
          <w:sz w:val="28"/>
          <w:szCs w:val="28"/>
        </w:rPr>
        <w:t>los siguientes presupuestos:</w:t>
      </w:r>
    </w:p>
    <w:p w14:paraId="79979BB5" w14:textId="77777777" w:rsidR="005C6585" w:rsidRPr="002C1A32" w:rsidRDefault="005C6585" w:rsidP="002C1A32">
      <w:pPr>
        <w:pStyle w:val="Prrafodelista"/>
        <w:widowControl w:val="0"/>
        <w:pBdr>
          <w:top w:val="none" w:sz="0" w:space="0" w:color="auto"/>
          <w:left w:val="none" w:sz="0" w:space="0" w:color="auto"/>
          <w:bottom w:val="none" w:sz="0" w:space="0" w:color="auto"/>
          <w:right w:val="none" w:sz="0" w:space="0" w:color="auto"/>
          <w:between w:val="none" w:sz="0" w:space="0" w:color="auto"/>
        </w:pBdr>
        <w:shd w:val="clear" w:color="auto" w:fill="FFFFFF"/>
        <w:tabs>
          <w:tab w:val="left" w:pos="426"/>
        </w:tabs>
        <w:spacing w:after="0" w:line="240" w:lineRule="auto"/>
        <w:ind w:left="0"/>
        <w:contextualSpacing w:val="0"/>
        <w:jc w:val="both"/>
        <w:textAlignment w:val="baseline"/>
        <w:rPr>
          <w:rFonts w:eastAsia="Times New Roman"/>
          <w:sz w:val="28"/>
          <w:szCs w:val="28"/>
        </w:rPr>
      </w:pPr>
    </w:p>
    <w:p w14:paraId="35F7184E" w14:textId="367BCA61" w:rsidR="000E1B66" w:rsidRPr="002C1A32" w:rsidRDefault="00133EB0" w:rsidP="002C1A32">
      <w:pPr>
        <w:pStyle w:val="Ttulo2"/>
        <w:keepNext w:val="0"/>
        <w:keepLines w:val="0"/>
        <w:widowControl w:val="0"/>
        <w:numPr>
          <w:ilvl w:val="0"/>
          <w:numId w:val="2"/>
        </w:numPr>
        <w:pBdr>
          <w:top w:val="none" w:sz="0" w:space="0" w:color="auto"/>
          <w:left w:val="none" w:sz="0" w:space="0" w:color="auto"/>
          <w:bottom w:val="none" w:sz="0" w:space="0" w:color="auto"/>
          <w:right w:val="none" w:sz="0" w:space="0" w:color="auto"/>
          <w:between w:val="none" w:sz="0" w:space="0" w:color="auto"/>
        </w:pBdr>
        <w:spacing w:before="0" w:after="0" w:line="240" w:lineRule="auto"/>
        <w:jc w:val="both"/>
        <w:rPr>
          <w:rFonts w:eastAsia="Times New Roman"/>
          <w:iCs/>
          <w:szCs w:val="28"/>
          <w:bdr w:val="none" w:sz="0" w:space="0" w:color="auto" w:frame="1"/>
          <w:shd w:val="clear" w:color="auto" w:fill="FFFFFF"/>
        </w:rPr>
      </w:pPr>
      <w:r w:rsidRPr="002C1A32">
        <w:rPr>
          <w:rFonts w:eastAsia="Times New Roman"/>
          <w:b/>
          <w:i/>
          <w:iCs/>
          <w:szCs w:val="28"/>
          <w:bdr w:val="none" w:sz="0" w:space="0" w:color="auto" w:frame="1"/>
          <w:shd w:val="clear" w:color="auto" w:fill="FFFFFF"/>
        </w:rPr>
        <w:t>Relevancia constitucional</w:t>
      </w:r>
      <w:r w:rsidR="00965264" w:rsidRPr="002C1A32">
        <w:rPr>
          <w:rFonts w:eastAsia="Times New Roman"/>
          <w:b/>
          <w:i/>
          <w:iCs/>
          <w:szCs w:val="28"/>
          <w:bdr w:val="none" w:sz="0" w:space="0" w:color="auto" w:frame="1"/>
          <w:shd w:val="clear" w:color="auto" w:fill="FFFFFF"/>
        </w:rPr>
        <w:t>.</w:t>
      </w:r>
      <w:r w:rsidRPr="002C1A32">
        <w:rPr>
          <w:rFonts w:eastAsia="Times New Roman"/>
          <w:iCs/>
          <w:szCs w:val="28"/>
          <w:bdr w:val="none" w:sz="0" w:space="0" w:color="auto" w:frame="1"/>
          <w:shd w:val="clear" w:color="auto" w:fill="FFFFFF"/>
        </w:rPr>
        <w:t xml:space="preserve"> </w:t>
      </w:r>
      <w:r w:rsidR="00965264" w:rsidRPr="002C1A32">
        <w:rPr>
          <w:rFonts w:eastAsia="Times New Roman"/>
          <w:iCs/>
          <w:szCs w:val="28"/>
          <w:bdr w:val="none" w:sz="0" w:space="0" w:color="auto" w:frame="1"/>
          <w:shd w:val="clear" w:color="auto" w:fill="FFFFFF"/>
        </w:rPr>
        <w:t>En el presente caso se cumple con este requisito, habida cuenta de que la discusión se circunscribe a</w:t>
      </w:r>
      <w:r w:rsidR="00826F62" w:rsidRPr="002C1A32">
        <w:rPr>
          <w:rFonts w:eastAsia="Times New Roman"/>
          <w:iCs/>
          <w:szCs w:val="28"/>
          <w:bdr w:val="none" w:sz="0" w:space="0" w:color="auto" w:frame="1"/>
          <w:shd w:val="clear" w:color="auto" w:fill="FFFFFF"/>
        </w:rPr>
        <w:t xml:space="preserve"> si </w:t>
      </w:r>
      <w:r w:rsidR="00477B15" w:rsidRPr="002C1A32">
        <w:rPr>
          <w:rFonts w:eastAsia="Times New Roman"/>
          <w:iCs/>
          <w:szCs w:val="28"/>
          <w:bdr w:val="none" w:sz="0" w:space="0" w:color="auto" w:frame="1"/>
          <w:shd w:val="clear" w:color="auto" w:fill="FFFFFF"/>
        </w:rPr>
        <w:t xml:space="preserve">conforme </w:t>
      </w:r>
      <w:r w:rsidR="00826F62" w:rsidRPr="002C1A32">
        <w:rPr>
          <w:rFonts w:eastAsia="Times New Roman"/>
          <w:iCs/>
          <w:szCs w:val="28"/>
          <w:bdr w:val="none" w:sz="0" w:space="0" w:color="auto" w:frame="1"/>
          <w:shd w:val="clear" w:color="auto" w:fill="FFFFFF"/>
        </w:rPr>
        <w:t>al</w:t>
      </w:r>
      <w:r w:rsidR="00477B15" w:rsidRPr="002C1A32">
        <w:rPr>
          <w:rFonts w:eastAsia="Times New Roman"/>
          <w:iCs/>
          <w:szCs w:val="28"/>
          <w:bdr w:val="none" w:sz="0" w:space="0" w:color="auto" w:frame="1"/>
          <w:shd w:val="clear" w:color="auto" w:fill="FFFFFF"/>
        </w:rPr>
        <w:t xml:space="preserve"> artículo 53 de la Constitución y demás derechos invocados como vulnerados por las accionantes,</w:t>
      </w:r>
      <w:r w:rsidR="00826F62" w:rsidRPr="002C1A32">
        <w:rPr>
          <w:rFonts w:eastAsia="Times New Roman"/>
          <w:iCs/>
          <w:szCs w:val="28"/>
          <w:bdr w:val="none" w:sz="0" w:space="0" w:color="auto" w:frame="1"/>
          <w:shd w:val="clear" w:color="auto" w:fill="FFFFFF"/>
        </w:rPr>
        <w:t xml:space="preserve"> se configuran los elementos para </w:t>
      </w:r>
      <w:r w:rsidR="000E1B66" w:rsidRPr="002C1A32">
        <w:rPr>
          <w:rFonts w:eastAsia="Times New Roman"/>
          <w:iCs/>
          <w:szCs w:val="28"/>
          <w:bdr w:val="none" w:sz="0" w:space="0" w:color="auto" w:frame="1"/>
          <w:shd w:val="clear" w:color="auto" w:fill="FFFFFF"/>
        </w:rPr>
        <w:t xml:space="preserve">que el juez constitucional </w:t>
      </w:r>
      <w:r w:rsidR="00826F62" w:rsidRPr="002C1A32">
        <w:rPr>
          <w:rFonts w:eastAsia="Times New Roman"/>
          <w:iCs/>
          <w:szCs w:val="28"/>
          <w:bdr w:val="none" w:sz="0" w:space="0" w:color="auto" w:frame="1"/>
          <w:shd w:val="clear" w:color="auto" w:fill="FFFFFF"/>
        </w:rPr>
        <w:t>declar</w:t>
      </w:r>
      <w:r w:rsidR="000E1B66" w:rsidRPr="002C1A32">
        <w:rPr>
          <w:rFonts w:eastAsia="Times New Roman"/>
          <w:iCs/>
          <w:szCs w:val="28"/>
          <w:bdr w:val="none" w:sz="0" w:space="0" w:color="auto" w:frame="1"/>
          <w:shd w:val="clear" w:color="auto" w:fill="FFFFFF"/>
        </w:rPr>
        <w:t>e</w:t>
      </w:r>
      <w:r w:rsidR="00826F62" w:rsidRPr="002C1A32">
        <w:rPr>
          <w:rFonts w:eastAsia="Times New Roman"/>
          <w:iCs/>
          <w:szCs w:val="28"/>
          <w:bdr w:val="none" w:sz="0" w:space="0" w:color="auto" w:frame="1"/>
          <w:shd w:val="clear" w:color="auto" w:fill="FFFFFF"/>
        </w:rPr>
        <w:t xml:space="preserve"> la existencia de un contrato realidad entre las accionantes y el ICBF, y </w:t>
      </w:r>
      <w:r w:rsidR="000E1B66" w:rsidRPr="002C1A32">
        <w:rPr>
          <w:rFonts w:eastAsia="Times New Roman"/>
          <w:iCs/>
          <w:szCs w:val="28"/>
          <w:bdr w:val="none" w:sz="0" w:space="0" w:color="auto" w:frame="1"/>
          <w:shd w:val="clear" w:color="auto" w:fill="FFFFFF"/>
        </w:rPr>
        <w:t>en consecuencia, el pago de las respectivas cotizaciones a pensión</w:t>
      </w:r>
      <w:r w:rsidR="00965264" w:rsidRPr="002C1A32">
        <w:rPr>
          <w:rStyle w:val="Refdenotaalpie"/>
          <w:rFonts w:eastAsia="Times New Roman"/>
          <w:iCs/>
          <w:szCs w:val="28"/>
          <w:bdr w:val="none" w:sz="0" w:space="0" w:color="auto" w:frame="1"/>
          <w:shd w:val="clear" w:color="auto" w:fill="FFFFFF"/>
        </w:rPr>
        <w:footnoteReference w:id="19"/>
      </w:r>
      <w:r w:rsidR="000E1B66" w:rsidRPr="002C1A32">
        <w:rPr>
          <w:rFonts w:eastAsia="Times New Roman"/>
          <w:iCs/>
          <w:szCs w:val="28"/>
          <w:bdr w:val="none" w:sz="0" w:space="0" w:color="auto" w:frame="1"/>
          <w:shd w:val="clear" w:color="auto" w:fill="FFFFFF"/>
        </w:rPr>
        <w:t>.</w:t>
      </w:r>
    </w:p>
    <w:p w14:paraId="3A83FD2B" w14:textId="77777777" w:rsidR="00615F9A" w:rsidRPr="002C1A32" w:rsidRDefault="00615F9A" w:rsidP="002C1A32">
      <w:pPr>
        <w:pStyle w:val="Prrafodelista"/>
        <w:spacing w:after="0" w:line="240" w:lineRule="auto"/>
        <w:ind w:left="0"/>
        <w:rPr>
          <w:sz w:val="28"/>
          <w:szCs w:val="28"/>
        </w:rPr>
      </w:pPr>
    </w:p>
    <w:p w14:paraId="3F77D063" w14:textId="09FB1722" w:rsidR="00A3659D" w:rsidRPr="002C1A32" w:rsidRDefault="0094427A" w:rsidP="002C1A32">
      <w:pPr>
        <w:pStyle w:val="Ttulo2"/>
        <w:numPr>
          <w:ilvl w:val="0"/>
          <w:numId w:val="2"/>
        </w:numPr>
        <w:pBdr>
          <w:top w:val="none" w:sz="0" w:space="0" w:color="auto"/>
          <w:left w:val="none" w:sz="0" w:space="0" w:color="auto"/>
          <w:bottom w:val="none" w:sz="0" w:space="0" w:color="auto"/>
          <w:right w:val="none" w:sz="0" w:space="0" w:color="auto"/>
          <w:between w:val="none" w:sz="0" w:space="0" w:color="auto"/>
        </w:pBdr>
        <w:spacing w:before="0" w:after="0" w:line="240" w:lineRule="auto"/>
        <w:jc w:val="both"/>
        <w:rPr>
          <w:rFonts w:eastAsia="Times New Roman"/>
          <w:iCs/>
          <w:szCs w:val="28"/>
          <w:bdr w:val="none" w:sz="0" w:space="0" w:color="auto" w:frame="1"/>
          <w:shd w:val="clear" w:color="auto" w:fill="FFFFFF"/>
        </w:rPr>
      </w:pPr>
      <w:r w:rsidRPr="002C1A32">
        <w:rPr>
          <w:rFonts w:eastAsia="Times New Roman"/>
          <w:b/>
          <w:i/>
          <w:szCs w:val="28"/>
        </w:rPr>
        <w:t>Legitimación en la causa</w:t>
      </w:r>
      <w:r w:rsidR="007235DF" w:rsidRPr="002C1A32">
        <w:rPr>
          <w:rFonts w:eastAsia="Times New Roman"/>
          <w:b/>
          <w:szCs w:val="28"/>
        </w:rPr>
        <w:t>.</w:t>
      </w:r>
      <w:r w:rsidR="007235DF" w:rsidRPr="002C1A32">
        <w:rPr>
          <w:rFonts w:eastAsia="Times New Roman"/>
          <w:szCs w:val="28"/>
        </w:rPr>
        <w:t xml:space="preserve"> </w:t>
      </w:r>
      <w:r w:rsidRPr="002C1A32">
        <w:rPr>
          <w:iCs/>
          <w:szCs w:val="28"/>
          <w:bdr w:val="none" w:sz="0" w:space="0" w:color="auto" w:frame="1"/>
          <w:shd w:val="clear" w:color="auto" w:fill="FFFFFF"/>
        </w:rPr>
        <w:t xml:space="preserve">En el presente caso se </w:t>
      </w:r>
      <w:r w:rsidR="00A00B4E" w:rsidRPr="002C1A32">
        <w:rPr>
          <w:iCs/>
          <w:szCs w:val="28"/>
          <w:bdr w:val="none" w:sz="0" w:space="0" w:color="auto" w:frame="1"/>
          <w:shd w:val="clear" w:color="auto" w:fill="FFFFFF"/>
        </w:rPr>
        <w:t xml:space="preserve">satisfacen </w:t>
      </w:r>
      <w:r w:rsidRPr="002C1A32">
        <w:rPr>
          <w:iCs/>
          <w:szCs w:val="28"/>
          <w:bdr w:val="none" w:sz="0" w:space="0" w:color="auto" w:frame="1"/>
          <w:shd w:val="clear" w:color="auto" w:fill="FFFFFF"/>
        </w:rPr>
        <w:t>los requisitos de legitimación en la causa</w:t>
      </w:r>
      <w:r w:rsidR="00A3659D" w:rsidRPr="002C1A32">
        <w:rPr>
          <w:iCs/>
          <w:szCs w:val="28"/>
          <w:bdr w:val="none" w:sz="0" w:space="0" w:color="auto" w:frame="1"/>
          <w:shd w:val="clear" w:color="auto" w:fill="FFFFFF"/>
        </w:rPr>
        <w:t>, tal y como se evidencia a continuación:</w:t>
      </w:r>
      <w:r w:rsidRPr="002C1A32">
        <w:rPr>
          <w:iCs/>
          <w:szCs w:val="28"/>
          <w:bdr w:val="none" w:sz="0" w:space="0" w:color="auto" w:frame="1"/>
          <w:shd w:val="clear" w:color="auto" w:fill="FFFFFF"/>
        </w:rPr>
        <w:t xml:space="preserve"> </w:t>
      </w:r>
    </w:p>
    <w:p w14:paraId="08F93D78" w14:textId="77777777" w:rsidR="00A3659D" w:rsidRPr="002C1A32" w:rsidRDefault="00A3659D" w:rsidP="002C1A32">
      <w:pPr>
        <w:pStyle w:val="Prrafodelista"/>
        <w:spacing w:after="0" w:line="240" w:lineRule="auto"/>
        <w:ind w:left="0"/>
        <w:rPr>
          <w:iCs/>
          <w:sz w:val="28"/>
          <w:szCs w:val="28"/>
          <w:bdr w:val="none" w:sz="0" w:space="0" w:color="auto" w:frame="1"/>
          <w:shd w:val="clear" w:color="auto" w:fill="FFFFFF"/>
        </w:rPr>
      </w:pPr>
    </w:p>
    <w:p w14:paraId="500704E0" w14:textId="2E971C4C" w:rsidR="00A3659D" w:rsidRPr="002C1A32" w:rsidRDefault="00A3659D" w:rsidP="002C1A32">
      <w:pPr>
        <w:pStyle w:val="Prrafodelista"/>
        <w:pBdr>
          <w:top w:val="none" w:sz="0" w:space="0" w:color="auto"/>
          <w:left w:val="none" w:sz="0" w:space="0" w:color="auto"/>
          <w:bottom w:val="none" w:sz="0" w:space="0" w:color="auto"/>
          <w:right w:val="none" w:sz="0" w:space="0" w:color="auto"/>
          <w:between w:val="none" w:sz="0" w:space="0" w:color="auto"/>
        </w:pBdr>
        <w:shd w:val="clear" w:color="auto" w:fill="FFFFFF"/>
        <w:tabs>
          <w:tab w:val="left" w:pos="426"/>
        </w:tabs>
        <w:spacing w:after="0" w:line="240" w:lineRule="auto"/>
        <w:ind w:left="0"/>
        <w:jc w:val="both"/>
        <w:textAlignment w:val="baseline"/>
        <w:rPr>
          <w:rFonts w:eastAsia="Times New Roman"/>
          <w:iCs/>
          <w:sz w:val="28"/>
          <w:szCs w:val="28"/>
          <w:bdr w:val="none" w:sz="0" w:space="0" w:color="auto" w:frame="1"/>
          <w:shd w:val="clear" w:color="auto" w:fill="FFFFFF"/>
        </w:rPr>
      </w:pPr>
      <w:r w:rsidRPr="002C1A32">
        <w:rPr>
          <w:i/>
          <w:iCs/>
          <w:sz w:val="28"/>
          <w:szCs w:val="28"/>
          <w:bdr w:val="none" w:sz="0" w:space="0" w:color="auto" w:frame="1"/>
          <w:shd w:val="clear" w:color="auto" w:fill="FFFFFF"/>
        </w:rPr>
        <w:t xml:space="preserve">(i) </w:t>
      </w:r>
      <w:r w:rsidR="0094427A" w:rsidRPr="002C1A32">
        <w:rPr>
          <w:i/>
          <w:iCs/>
          <w:sz w:val="28"/>
          <w:szCs w:val="28"/>
          <w:bdr w:val="none" w:sz="0" w:space="0" w:color="auto" w:frame="1"/>
          <w:shd w:val="clear" w:color="auto" w:fill="FFFFFF"/>
        </w:rPr>
        <w:t>Por</w:t>
      </w:r>
      <w:r w:rsidR="0094427A" w:rsidRPr="002C1A32">
        <w:rPr>
          <w:iCs/>
          <w:sz w:val="28"/>
          <w:szCs w:val="28"/>
          <w:bdr w:val="none" w:sz="0" w:space="0" w:color="auto" w:frame="1"/>
          <w:shd w:val="clear" w:color="auto" w:fill="FFFFFF"/>
        </w:rPr>
        <w:t xml:space="preserve"> </w:t>
      </w:r>
      <w:r w:rsidR="007235DF" w:rsidRPr="002C1A32">
        <w:rPr>
          <w:i/>
          <w:iCs/>
          <w:sz w:val="28"/>
          <w:szCs w:val="28"/>
          <w:bdr w:val="none" w:sz="0" w:space="0" w:color="auto" w:frame="1"/>
          <w:shd w:val="clear" w:color="auto" w:fill="FFFFFF"/>
        </w:rPr>
        <w:t>activa</w:t>
      </w:r>
      <w:r w:rsidRPr="002C1A32">
        <w:rPr>
          <w:iCs/>
          <w:sz w:val="28"/>
          <w:szCs w:val="28"/>
          <w:bdr w:val="none" w:sz="0" w:space="0" w:color="auto" w:frame="1"/>
          <w:shd w:val="clear" w:color="auto" w:fill="FFFFFF"/>
        </w:rPr>
        <w:t>:</w:t>
      </w:r>
      <w:r w:rsidR="0094427A" w:rsidRPr="002C1A32">
        <w:rPr>
          <w:iCs/>
          <w:sz w:val="28"/>
          <w:szCs w:val="28"/>
          <w:bdr w:val="none" w:sz="0" w:space="0" w:color="auto" w:frame="1"/>
          <w:shd w:val="clear" w:color="auto" w:fill="FFFFFF"/>
        </w:rPr>
        <w:t xml:space="preserve"> </w:t>
      </w:r>
      <w:r w:rsidRPr="002C1A32">
        <w:rPr>
          <w:iCs/>
          <w:sz w:val="28"/>
          <w:szCs w:val="28"/>
          <w:bdr w:val="none" w:sz="0" w:space="0" w:color="auto" w:frame="1"/>
          <w:shd w:val="clear" w:color="auto" w:fill="FFFFFF"/>
        </w:rPr>
        <w:t>acorde con la Constitución y la ley</w:t>
      </w:r>
      <w:r w:rsidR="008542A9" w:rsidRPr="002C1A32">
        <w:rPr>
          <w:rStyle w:val="Refdenotaalpie"/>
          <w:iCs/>
          <w:sz w:val="28"/>
          <w:szCs w:val="28"/>
          <w:bdr w:val="none" w:sz="0" w:space="0" w:color="auto" w:frame="1"/>
          <w:shd w:val="clear" w:color="auto" w:fill="FFFFFF"/>
        </w:rPr>
        <w:footnoteReference w:id="20"/>
      </w:r>
      <w:r w:rsidRPr="002C1A32">
        <w:rPr>
          <w:iCs/>
          <w:sz w:val="28"/>
          <w:szCs w:val="28"/>
          <w:bdr w:val="none" w:sz="0" w:space="0" w:color="auto" w:frame="1"/>
          <w:shd w:val="clear" w:color="auto" w:fill="FFFFFF"/>
        </w:rPr>
        <w:t xml:space="preserve">, toda persona puede presentar </w:t>
      </w:r>
      <w:r w:rsidR="008542A9" w:rsidRPr="002C1A32">
        <w:rPr>
          <w:iCs/>
          <w:sz w:val="28"/>
          <w:szCs w:val="28"/>
          <w:bdr w:val="none" w:sz="0" w:space="0" w:color="auto" w:frame="1"/>
          <w:shd w:val="clear" w:color="auto" w:fill="FFFFFF"/>
        </w:rPr>
        <w:t>acción</w:t>
      </w:r>
      <w:r w:rsidRPr="002C1A32">
        <w:rPr>
          <w:iCs/>
          <w:sz w:val="28"/>
          <w:szCs w:val="28"/>
          <w:bdr w:val="none" w:sz="0" w:space="0" w:color="auto" w:frame="1"/>
          <w:shd w:val="clear" w:color="auto" w:fill="FFFFFF"/>
        </w:rPr>
        <w:t xml:space="preserve"> de tutela </w:t>
      </w:r>
      <w:r w:rsidRPr="002C1A32">
        <w:rPr>
          <w:i/>
          <w:iCs/>
          <w:sz w:val="28"/>
          <w:szCs w:val="28"/>
          <w:bdr w:val="none" w:sz="0" w:space="0" w:color="auto" w:frame="1"/>
          <w:shd w:val="clear" w:color="auto" w:fill="FFFFFF"/>
        </w:rPr>
        <w:t>“por sí misma o por quien actúe a su nombre”</w:t>
      </w:r>
      <w:r w:rsidR="008542A9" w:rsidRPr="002C1A32">
        <w:rPr>
          <w:rStyle w:val="Refdenotaalpie"/>
          <w:i/>
          <w:iCs/>
          <w:sz w:val="28"/>
          <w:szCs w:val="28"/>
          <w:bdr w:val="none" w:sz="0" w:space="0" w:color="auto" w:frame="1"/>
          <w:shd w:val="clear" w:color="auto" w:fill="FFFFFF"/>
        </w:rPr>
        <w:footnoteReference w:id="21"/>
      </w:r>
      <w:r w:rsidRPr="002C1A32">
        <w:rPr>
          <w:i/>
          <w:iCs/>
          <w:sz w:val="28"/>
          <w:szCs w:val="28"/>
          <w:bdr w:val="none" w:sz="0" w:space="0" w:color="auto" w:frame="1"/>
          <w:shd w:val="clear" w:color="auto" w:fill="FFFFFF"/>
        </w:rPr>
        <w:t xml:space="preserve">. </w:t>
      </w:r>
      <w:r w:rsidRPr="002C1A32">
        <w:rPr>
          <w:iCs/>
          <w:sz w:val="28"/>
          <w:szCs w:val="28"/>
          <w:bdr w:val="none" w:sz="0" w:space="0" w:color="auto" w:frame="1"/>
          <w:shd w:val="clear" w:color="auto" w:fill="FFFFFF"/>
        </w:rPr>
        <w:t xml:space="preserve">En el presente caso, </w:t>
      </w:r>
      <w:r w:rsidR="00135FD2" w:rsidRPr="002C1A32">
        <w:rPr>
          <w:iCs/>
          <w:sz w:val="28"/>
          <w:szCs w:val="28"/>
          <w:bdr w:val="none" w:sz="0" w:space="0" w:color="auto" w:frame="1"/>
          <w:shd w:val="clear" w:color="auto" w:fill="FFFFFF"/>
        </w:rPr>
        <w:t>l</w:t>
      </w:r>
      <w:r w:rsidRPr="002C1A32">
        <w:rPr>
          <w:iCs/>
          <w:sz w:val="28"/>
          <w:szCs w:val="28"/>
          <w:bdr w:val="none" w:sz="0" w:space="0" w:color="auto" w:frame="1"/>
          <w:shd w:val="clear" w:color="auto" w:fill="FFFFFF"/>
        </w:rPr>
        <w:t>a</w:t>
      </w:r>
      <w:r w:rsidR="007235DF" w:rsidRPr="002C1A32">
        <w:rPr>
          <w:iCs/>
          <w:sz w:val="28"/>
          <w:szCs w:val="28"/>
          <w:bdr w:val="none" w:sz="0" w:space="0" w:color="auto" w:frame="1"/>
          <w:shd w:val="clear" w:color="auto" w:fill="FFFFFF"/>
        </w:rPr>
        <w:t xml:space="preserve">s 106 </w:t>
      </w:r>
      <w:r w:rsidRPr="002C1A32">
        <w:rPr>
          <w:iCs/>
          <w:sz w:val="28"/>
          <w:szCs w:val="28"/>
          <w:bdr w:val="none" w:sz="0" w:space="0" w:color="auto" w:frame="1"/>
          <w:shd w:val="clear" w:color="auto" w:fill="FFFFFF"/>
        </w:rPr>
        <w:t>accionantes, quienes se</w:t>
      </w:r>
      <w:r w:rsidR="004C03BB" w:rsidRPr="002C1A32">
        <w:rPr>
          <w:iCs/>
          <w:sz w:val="28"/>
          <w:szCs w:val="28"/>
          <w:bdr w:val="none" w:sz="0" w:space="0" w:color="auto" w:frame="1"/>
          <w:shd w:val="clear" w:color="auto" w:fill="FFFFFF"/>
        </w:rPr>
        <w:t xml:space="preserve"> consideran</w:t>
      </w:r>
      <w:r w:rsidRPr="002C1A32">
        <w:rPr>
          <w:iCs/>
          <w:sz w:val="28"/>
          <w:szCs w:val="28"/>
          <w:bdr w:val="none" w:sz="0" w:space="0" w:color="auto" w:frame="1"/>
          <w:shd w:val="clear" w:color="auto" w:fill="FFFFFF"/>
        </w:rPr>
        <w:t xml:space="preserve"> las titulares de los derechos fundamentales presuntamente vulnerados, confirieron </w:t>
      </w:r>
      <w:r w:rsidR="001A1D21" w:rsidRPr="002C1A32">
        <w:rPr>
          <w:iCs/>
          <w:sz w:val="28"/>
          <w:szCs w:val="28"/>
          <w:bdr w:val="none" w:sz="0" w:space="0" w:color="auto" w:frame="1"/>
          <w:shd w:val="clear" w:color="auto" w:fill="FFFFFF"/>
        </w:rPr>
        <w:t>poder especial a los abogados Marión de Jesús Álvarez Rodríguez, Dairo Rosero Ortega y Juan Pablo Mantilla Chaparro</w:t>
      </w:r>
      <w:r w:rsidRPr="002C1A32">
        <w:rPr>
          <w:iCs/>
          <w:sz w:val="28"/>
          <w:szCs w:val="28"/>
          <w:bdr w:val="none" w:sz="0" w:space="0" w:color="auto" w:frame="1"/>
          <w:shd w:val="clear" w:color="auto" w:fill="FFFFFF"/>
        </w:rPr>
        <w:t xml:space="preserve">, con el fin de interponer las </w:t>
      </w:r>
      <w:r w:rsidR="008542A9" w:rsidRPr="002C1A32">
        <w:rPr>
          <w:iCs/>
          <w:sz w:val="28"/>
          <w:szCs w:val="28"/>
          <w:bdr w:val="none" w:sz="0" w:space="0" w:color="auto" w:frame="1"/>
          <w:shd w:val="clear" w:color="auto" w:fill="FFFFFF"/>
        </w:rPr>
        <w:t>demandas</w:t>
      </w:r>
      <w:r w:rsidR="004C03BB" w:rsidRPr="002C1A32">
        <w:rPr>
          <w:iCs/>
          <w:sz w:val="28"/>
          <w:szCs w:val="28"/>
          <w:bdr w:val="none" w:sz="0" w:space="0" w:color="auto" w:frame="1"/>
          <w:shd w:val="clear" w:color="auto" w:fill="FFFFFF"/>
        </w:rPr>
        <w:t xml:space="preserve"> objeto de estudio en la presente sentencia</w:t>
      </w:r>
      <w:r w:rsidR="001A1D21" w:rsidRPr="002C1A32">
        <w:rPr>
          <w:rStyle w:val="Refdenotaalpie"/>
          <w:iCs/>
          <w:sz w:val="28"/>
          <w:szCs w:val="28"/>
          <w:bdr w:val="none" w:sz="0" w:space="0" w:color="auto" w:frame="1"/>
          <w:shd w:val="clear" w:color="auto" w:fill="FFFFFF"/>
        </w:rPr>
        <w:footnoteReference w:id="22"/>
      </w:r>
      <w:r w:rsidR="0094427A" w:rsidRPr="002C1A32">
        <w:rPr>
          <w:iCs/>
          <w:sz w:val="28"/>
          <w:szCs w:val="28"/>
          <w:bdr w:val="none" w:sz="0" w:space="0" w:color="auto" w:frame="1"/>
          <w:shd w:val="clear" w:color="auto" w:fill="FFFFFF"/>
        </w:rPr>
        <w:t xml:space="preserve">. </w:t>
      </w:r>
    </w:p>
    <w:p w14:paraId="6149901F" w14:textId="77777777" w:rsidR="00A3659D" w:rsidRPr="002C1A32" w:rsidRDefault="00A3659D" w:rsidP="002C1A32">
      <w:pPr>
        <w:pStyle w:val="Prrafodelista"/>
        <w:spacing w:after="0" w:line="240" w:lineRule="auto"/>
        <w:ind w:left="0"/>
        <w:rPr>
          <w:iCs/>
          <w:sz w:val="28"/>
          <w:szCs w:val="28"/>
          <w:bdr w:val="none" w:sz="0" w:space="0" w:color="auto" w:frame="1"/>
          <w:shd w:val="clear" w:color="auto" w:fill="FFFFFF"/>
        </w:rPr>
      </w:pPr>
    </w:p>
    <w:p w14:paraId="2D033751" w14:textId="04D3565D" w:rsidR="001A1D21" w:rsidRPr="002C1A32" w:rsidRDefault="008542A9" w:rsidP="002C1A32">
      <w:pPr>
        <w:pStyle w:val="Prrafodelista"/>
        <w:widowControl w:val="0"/>
        <w:pBdr>
          <w:top w:val="none" w:sz="0" w:space="0" w:color="auto"/>
          <w:left w:val="none" w:sz="0" w:space="0" w:color="auto"/>
          <w:bottom w:val="none" w:sz="0" w:space="0" w:color="auto"/>
          <w:right w:val="none" w:sz="0" w:space="0" w:color="auto"/>
          <w:between w:val="none" w:sz="0" w:space="0" w:color="auto"/>
        </w:pBdr>
        <w:shd w:val="clear" w:color="auto" w:fill="FFFFFF"/>
        <w:tabs>
          <w:tab w:val="left" w:pos="426"/>
        </w:tabs>
        <w:spacing w:after="0" w:line="240" w:lineRule="auto"/>
        <w:ind w:left="0"/>
        <w:jc w:val="both"/>
        <w:textAlignment w:val="baseline"/>
        <w:rPr>
          <w:sz w:val="28"/>
          <w:szCs w:val="28"/>
        </w:rPr>
      </w:pPr>
      <w:r w:rsidRPr="002C1A32">
        <w:rPr>
          <w:i/>
          <w:iCs/>
          <w:sz w:val="28"/>
          <w:szCs w:val="28"/>
          <w:bdr w:val="none" w:sz="0" w:space="0" w:color="auto" w:frame="1"/>
          <w:shd w:val="clear" w:color="auto" w:fill="FFFFFF"/>
        </w:rPr>
        <w:t xml:space="preserve">(ii) </w:t>
      </w:r>
      <w:r w:rsidR="007235DF" w:rsidRPr="002C1A32">
        <w:rPr>
          <w:i/>
          <w:iCs/>
          <w:sz w:val="28"/>
          <w:szCs w:val="28"/>
          <w:bdr w:val="none" w:sz="0" w:space="0" w:color="auto" w:frame="1"/>
          <w:shd w:val="clear" w:color="auto" w:fill="FFFFFF"/>
        </w:rPr>
        <w:t>Por</w:t>
      </w:r>
      <w:r w:rsidR="007235DF" w:rsidRPr="002C1A32">
        <w:rPr>
          <w:iCs/>
          <w:sz w:val="28"/>
          <w:szCs w:val="28"/>
          <w:bdr w:val="none" w:sz="0" w:space="0" w:color="auto" w:frame="1"/>
          <w:shd w:val="clear" w:color="auto" w:fill="FFFFFF"/>
        </w:rPr>
        <w:t xml:space="preserve"> </w:t>
      </w:r>
      <w:r w:rsidR="007235DF" w:rsidRPr="002C1A32">
        <w:rPr>
          <w:i/>
          <w:iCs/>
          <w:sz w:val="28"/>
          <w:szCs w:val="28"/>
          <w:bdr w:val="none" w:sz="0" w:space="0" w:color="auto" w:frame="1"/>
          <w:shd w:val="clear" w:color="auto" w:fill="FFFFFF"/>
        </w:rPr>
        <w:t>pasiva</w:t>
      </w:r>
      <w:r w:rsidRPr="002C1A32">
        <w:rPr>
          <w:iCs/>
          <w:sz w:val="28"/>
          <w:szCs w:val="28"/>
          <w:bdr w:val="none" w:sz="0" w:space="0" w:color="auto" w:frame="1"/>
          <w:shd w:val="clear" w:color="auto" w:fill="FFFFFF"/>
        </w:rPr>
        <w:t xml:space="preserve">: </w:t>
      </w:r>
      <w:r w:rsidR="004C03BB" w:rsidRPr="002C1A32">
        <w:rPr>
          <w:iCs/>
          <w:sz w:val="28"/>
          <w:szCs w:val="28"/>
          <w:bdr w:val="none" w:sz="0" w:space="0" w:color="auto" w:frame="1"/>
          <w:shd w:val="clear" w:color="auto" w:fill="FFFFFF"/>
        </w:rPr>
        <w:t xml:space="preserve">el artículo 86 de la Constitución Política dispone que toda persona tendrá </w:t>
      </w:r>
      <w:r w:rsidR="00F0483F" w:rsidRPr="002C1A32">
        <w:rPr>
          <w:iCs/>
          <w:sz w:val="28"/>
          <w:szCs w:val="28"/>
          <w:bdr w:val="none" w:sz="0" w:space="0" w:color="auto" w:frame="1"/>
          <w:shd w:val="clear" w:color="auto" w:fill="FFFFFF"/>
        </w:rPr>
        <w:t xml:space="preserve">la </w:t>
      </w:r>
      <w:r w:rsidR="004C03BB" w:rsidRPr="002C1A32">
        <w:rPr>
          <w:iCs/>
          <w:sz w:val="28"/>
          <w:szCs w:val="28"/>
          <w:bdr w:val="none" w:sz="0" w:space="0" w:color="auto" w:frame="1"/>
          <w:shd w:val="clear" w:color="auto" w:fill="FFFFFF"/>
        </w:rPr>
        <w:t xml:space="preserve">acción de tutela para reclamar la protección de sus derechos fundamentales </w:t>
      </w:r>
      <w:r w:rsidR="00CA2A0D" w:rsidRPr="002C1A32">
        <w:rPr>
          <w:i/>
          <w:iCs/>
          <w:sz w:val="28"/>
          <w:szCs w:val="28"/>
          <w:bdr w:val="none" w:sz="0" w:space="0" w:color="auto" w:frame="1"/>
          <w:shd w:val="clear" w:color="auto" w:fill="FFFFFF"/>
        </w:rPr>
        <w:t xml:space="preserve">“cuando resulten vulnerados o amenazados por la acción o la omisión de cualquier autoridad pública”. </w:t>
      </w:r>
      <w:r w:rsidR="00CA2A0D" w:rsidRPr="002C1A32">
        <w:rPr>
          <w:iCs/>
          <w:sz w:val="28"/>
          <w:szCs w:val="28"/>
          <w:bdr w:val="none" w:sz="0" w:space="0" w:color="auto" w:frame="1"/>
          <w:shd w:val="clear" w:color="auto" w:fill="FFFFFF"/>
        </w:rPr>
        <w:t xml:space="preserve">En </w:t>
      </w:r>
      <w:r w:rsidR="00941C75" w:rsidRPr="002C1A32">
        <w:rPr>
          <w:iCs/>
          <w:sz w:val="28"/>
          <w:szCs w:val="28"/>
          <w:bdr w:val="none" w:sz="0" w:space="0" w:color="auto" w:frame="1"/>
          <w:shd w:val="clear" w:color="auto" w:fill="FFFFFF"/>
        </w:rPr>
        <w:t xml:space="preserve">el caso </w:t>
      </w:r>
      <w:r w:rsidR="00941C75" w:rsidRPr="002C1A32">
        <w:rPr>
          <w:i/>
          <w:iCs/>
          <w:sz w:val="28"/>
          <w:szCs w:val="28"/>
          <w:bdr w:val="none" w:sz="0" w:space="0" w:color="auto" w:frame="1"/>
          <w:shd w:val="clear" w:color="auto" w:fill="FFFFFF"/>
        </w:rPr>
        <w:t>sub lite</w:t>
      </w:r>
      <w:r w:rsidR="00CA2A0D" w:rsidRPr="002C1A32">
        <w:rPr>
          <w:iCs/>
          <w:sz w:val="28"/>
          <w:szCs w:val="28"/>
          <w:bdr w:val="none" w:sz="0" w:space="0" w:color="auto" w:frame="1"/>
          <w:shd w:val="clear" w:color="auto" w:fill="FFFFFF"/>
        </w:rPr>
        <w:t xml:space="preserve">, </w:t>
      </w:r>
      <w:r w:rsidRPr="002C1A32">
        <w:rPr>
          <w:iCs/>
          <w:sz w:val="28"/>
          <w:szCs w:val="28"/>
          <w:bdr w:val="none" w:sz="0" w:space="0" w:color="auto" w:frame="1"/>
          <w:shd w:val="clear" w:color="auto" w:fill="FFFFFF"/>
        </w:rPr>
        <w:t xml:space="preserve">el </w:t>
      </w:r>
      <w:r w:rsidRPr="002C1A32">
        <w:rPr>
          <w:sz w:val="28"/>
          <w:szCs w:val="28"/>
        </w:rPr>
        <w:t>ICBF</w:t>
      </w:r>
      <w:r w:rsidRPr="002C1A32">
        <w:rPr>
          <w:iCs/>
          <w:sz w:val="28"/>
          <w:szCs w:val="28"/>
          <w:bdr w:val="none" w:sz="0" w:space="0" w:color="auto" w:frame="1"/>
          <w:shd w:val="clear" w:color="auto" w:fill="FFFFFF"/>
        </w:rPr>
        <w:t xml:space="preserve"> es la entidad estatal a la que la parte actora le atribuye la violación </w:t>
      </w:r>
      <w:r w:rsidR="00941C75" w:rsidRPr="002C1A32">
        <w:rPr>
          <w:i/>
          <w:iCs/>
          <w:sz w:val="28"/>
          <w:szCs w:val="28"/>
          <w:bdr w:val="none" w:sz="0" w:space="0" w:color="auto" w:frame="1"/>
          <w:shd w:val="clear" w:color="auto" w:fill="FFFFFF"/>
        </w:rPr>
        <w:t>directa</w:t>
      </w:r>
      <w:r w:rsidR="00941C75" w:rsidRPr="002C1A32">
        <w:rPr>
          <w:iCs/>
          <w:sz w:val="28"/>
          <w:szCs w:val="28"/>
          <w:bdr w:val="none" w:sz="0" w:space="0" w:color="auto" w:frame="1"/>
          <w:shd w:val="clear" w:color="auto" w:fill="FFFFFF"/>
        </w:rPr>
        <w:t xml:space="preserve"> </w:t>
      </w:r>
      <w:r w:rsidRPr="002C1A32">
        <w:rPr>
          <w:iCs/>
          <w:sz w:val="28"/>
          <w:szCs w:val="28"/>
          <w:bdr w:val="none" w:sz="0" w:space="0" w:color="auto" w:frame="1"/>
          <w:shd w:val="clear" w:color="auto" w:fill="FFFFFF"/>
        </w:rPr>
        <w:t xml:space="preserve">de sus garantías fundamentales, al haber desconocido la existencia de una </w:t>
      </w:r>
      <w:r w:rsidR="00CA2A0D" w:rsidRPr="002C1A32">
        <w:rPr>
          <w:iCs/>
          <w:sz w:val="28"/>
          <w:szCs w:val="28"/>
          <w:bdr w:val="none" w:sz="0" w:space="0" w:color="auto" w:frame="1"/>
          <w:shd w:val="clear" w:color="auto" w:fill="FFFFFF"/>
        </w:rPr>
        <w:t xml:space="preserve">presunta </w:t>
      </w:r>
      <w:r w:rsidRPr="002C1A32">
        <w:rPr>
          <w:iCs/>
          <w:sz w:val="28"/>
          <w:szCs w:val="28"/>
          <w:bdr w:val="none" w:sz="0" w:space="0" w:color="auto" w:frame="1"/>
          <w:shd w:val="clear" w:color="auto" w:fill="FFFFFF"/>
        </w:rPr>
        <w:t>relación laboral derivada de un contrato realidad y el correspondiente pago de aportes al sistema pensional</w:t>
      </w:r>
      <w:r w:rsidR="009764A2" w:rsidRPr="002C1A32">
        <w:rPr>
          <w:iCs/>
          <w:sz w:val="28"/>
          <w:szCs w:val="28"/>
          <w:bdr w:val="none" w:sz="0" w:space="0" w:color="auto" w:frame="1"/>
          <w:shd w:val="clear" w:color="auto" w:fill="FFFFFF"/>
        </w:rPr>
        <w:t xml:space="preserve">, y solo en un caso (T-5.516.632), se endilgó esa misma relación con la asociación de padres constituida como </w:t>
      </w:r>
      <w:r w:rsidR="009764A2" w:rsidRPr="002C1A32">
        <w:rPr>
          <w:sz w:val="28"/>
          <w:szCs w:val="28"/>
        </w:rPr>
        <w:t>Summar Temporales S.A.S.</w:t>
      </w:r>
      <w:r w:rsidR="00CA2A0D" w:rsidRPr="002C1A32">
        <w:rPr>
          <w:iCs/>
          <w:sz w:val="28"/>
          <w:szCs w:val="28"/>
          <w:bdr w:val="none" w:sz="0" w:space="0" w:color="auto" w:frame="1"/>
          <w:shd w:val="clear" w:color="auto" w:fill="FFFFFF"/>
        </w:rPr>
        <w:t xml:space="preserve"> </w:t>
      </w:r>
      <w:r w:rsidR="00477B15" w:rsidRPr="002C1A32">
        <w:rPr>
          <w:iCs/>
          <w:sz w:val="28"/>
          <w:szCs w:val="28"/>
          <w:bdr w:val="none" w:sz="0" w:space="0" w:color="auto" w:frame="1"/>
          <w:shd w:val="clear" w:color="auto" w:fill="FFFFFF"/>
        </w:rPr>
        <w:t xml:space="preserve">E </w:t>
      </w:r>
      <w:r w:rsidR="00F0483F" w:rsidRPr="002C1A32">
        <w:rPr>
          <w:i/>
          <w:iCs/>
          <w:sz w:val="28"/>
          <w:szCs w:val="28"/>
          <w:bdr w:val="none" w:sz="0" w:space="0" w:color="auto" w:frame="1"/>
          <w:shd w:val="clear" w:color="auto" w:fill="FFFFFF"/>
        </w:rPr>
        <w:t>i</w:t>
      </w:r>
      <w:r w:rsidR="00C16EFD" w:rsidRPr="002C1A32">
        <w:rPr>
          <w:i/>
          <w:iCs/>
          <w:sz w:val="28"/>
          <w:szCs w:val="28"/>
          <w:bdr w:val="none" w:sz="0" w:space="0" w:color="auto" w:frame="1"/>
          <w:shd w:val="clear" w:color="auto" w:fill="FFFFFF"/>
        </w:rPr>
        <w:t>ndirect</w:t>
      </w:r>
      <w:r w:rsidR="00477B15" w:rsidRPr="002C1A32">
        <w:rPr>
          <w:i/>
          <w:iCs/>
          <w:sz w:val="28"/>
          <w:szCs w:val="28"/>
          <w:bdr w:val="none" w:sz="0" w:space="0" w:color="auto" w:frame="1"/>
          <w:shd w:val="clear" w:color="auto" w:fill="FFFFFF"/>
        </w:rPr>
        <w:t>amente</w:t>
      </w:r>
      <w:r w:rsidR="00C16EFD" w:rsidRPr="002C1A32">
        <w:rPr>
          <w:iCs/>
          <w:sz w:val="28"/>
          <w:szCs w:val="28"/>
          <w:bdr w:val="none" w:sz="0" w:space="0" w:color="auto" w:frame="1"/>
          <w:shd w:val="clear" w:color="auto" w:fill="FFFFFF"/>
        </w:rPr>
        <w:t xml:space="preserve"> relaciona</w:t>
      </w:r>
      <w:r w:rsidR="00477B15" w:rsidRPr="002C1A32">
        <w:rPr>
          <w:iCs/>
          <w:sz w:val="28"/>
          <w:szCs w:val="28"/>
          <w:bdr w:val="none" w:sz="0" w:space="0" w:color="auto" w:frame="1"/>
          <w:shd w:val="clear" w:color="auto" w:fill="FFFFFF"/>
        </w:rPr>
        <w:t>ro</w:t>
      </w:r>
      <w:r w:rsidR="00F0483F" w:rsidRPr="002C1A32">
        <w:rPr>
          <w:iCs/>
          <w:sz w:val="28"/>
          <w:szCs w:val="28"/>
          <w:bdr w:val="none" w:sz="0" w:space="0" w:color="auto" w:frame="1"/>
          <w:shd w:val="clear" w:color="auto" w:fill="FFFFFF"/>
        </w:rPr>
        <w:t>n</w:t>
      </w:r>
      <w:r w:rsidR="00C16EFD" w:rsidRPr="002C1A32">
        <w:rPr>
          <w:iCs/>
          <w:sz w:val="28"/>
          <w:szCs w:val="28"/>
          <w:bdr w:val="none" w:sz="0" w:space="0" w:color="auto" w:frame="1"/>
          <w:shd w:val="clear" w:color="auto" w:fill="FFFFFF"/>
        </w:rPr>
        <w:t xml:space="preserve"> </w:t>
      </w:r>
      <w:r w:rsidR="00477B15" w:rsidRPr="002C1A32">
        <w:rPr>
          <w:iCs/>
          <w:sz w:val="28"/>
          <w:szCs w:val="28"/>
          <w:bdr w:val="none" w:sz="0" w:space="0" w:color="auto" w:frame="1"/>
          <w:shd w:val="clear" w:color="auto" w:fill="FFFFFF"/>
        </w:rPr>
        <w:t xml:space="preserve">en las demandas de tutela </w:t>
      </w:r>
      <w:r w:rsidR="00C16EFD" w:rsidRPr="002C1A32">
        <w:rPr>
          <w:iCs/>
          <w:sz w:val="28"/>
          <w:szCs w:val="28"/>
          <w:bdr w:val="none" w:sz="0" w:space="0" w:color="auto" w:frame="1"/>
          <w:shd w:val="clear" w:color="auto" w:fill="FFFFFF"/>
        </w:rPr>
        <w:t>al</w:t>
      </w:r>
      <w:r w:rsidR="001D602A" w:rsidRPr="002C1A32">
        <w:rPr>
          <w:sz w:val="28"/>
          <w:szCs w:val="28"/>
        </w:rPr>
        <w:t xml:space="preserve"> DPS, </w:t>
      </w:r>
      <w:r w:rsidR="00DB0831" w:rsidRPr="002C1A32">
        <w:rPr>
          <w:sz w:val="28"/>
          <w:szCs w:val="28"/>
        </w:rPr>
        <w:t>Colpensiones</w:t>
      </w:r>
      <w:r w:rsidR="00C16EFD" w:rsidRPr="002C1A32">
        <w:rPr>
          <w:sz w:val="28"/>
          <w:szCs w:val="28"/>
        </w:rPr>
        <w:t>,</w:t>
      </w:r>
      <w:r w:rsidR="00DB0831" w:rsidRPr="002C1A32">
        <w:rPr>
          <w:sz w:val="28"/>
          <w:szCs w:val="28"/>
        </w:rPr>
        <w:t xml:space="preserve"> </w:t>
      </w:r>
      <w:r w:rsidR="00477B15" w:rsidRPr="002C1A32">
        <w:rPr>
          <w:sz w:val="28"/>
          <w:szCs w:val="28"/>
        </w:rPr>
        <w:t xml:space="preserve">Ministerio del Trabajo y Consorcio Colombia Mayor 2013, </w:t>
      </w:r>
      <w:r w:rsidR="00C16EFD" w:rsidRPr="002C1A32">
        <w:rPr>
          <w:sz w:val="28"/>
          <w:szCs w:val="28"/>
        </w:rPr>
        <w:t xml:space="preserve">como </w:t>
      </w:r>
      <w:r w:rsidR="00477B15" w:rsidRPr="002C1A32">
        <w:rPr>
          <w:sz w:val="28"/>
          <w:szCs w:val="28"/>
        </w:rPr>
        <w:t xml:space="preserve">las </w:t>
      </w:r>
      <w:r w:rsidR="00C16EFD" w:rsidRPr="002C1A32">
        <w:rPr>
          <w:sz w:val="28"/>
          <w:szCs w:val="28"/>
        </w:rPr>
        <w:t>e</w:t>
      </w:r>
      <w:r w:rsidR="001A1D21" w:rsidRPr="002C1A32">
        <w:rPr>
          <w:sz w:val="28"/>
          <w:szCs w:val="28"/>
        </w:rPr>
        <w:t>ntidades públicas</w:t>
      </w:r>
      <w:r w:rsidR="00C16EFD" w:rsidRPr="002C1A32">
        <w:rPr>
          <w:sz w:val="28"/>
          <w:szCs w:val="28"/>
        </w:rPr>
        <w:t xml:space="preserve"> encargad</w:t>
      </w:r>
      <w:r w:rsidR="009764A2" w:rsidRPr="002C1A32">
        <w:rPr>
          <w:sz w:val="28"/>
          <w:szCs w:val="28"/>
        </w:rPr>
        <w:t>a</w:t>
      </w:r>
      <w:r w:rsidR="00C16EFD" w:rsidRPr="002C1A32">
        <w:rPr>
          <w:sz w:val="28"/>
          <w:szCs w:val="28"/>
        </w:rPr>
        <w:t>s de regular</w:t>
      </w:r>
      <w:r w:rsidR="00F0483F" w:rsidRPr="002C1A32">
        <w:rPr>
          <w:sz w:val="28"/>
          <w:szCs w:val="28"/>
        </w:rPr>
        <w:t xml:space="preserve">, </w:t>
      </w:r>
      <w:r w:rsidR="00C16EFD" w:rsidRPr="002C1A32">
        <w:rPr>
          <w:sz w:val="28"/>
          <w:szCs w:val="28"/>
        </w:rPr>
        <w:t>tramitar</w:t>
      </w:r>
      <w:r w:rsidR="00F0483F" w:rsidRPr="002C1A32">
        <w:rPr>
          <w:sz w:val="28"/>
          <w:szCs w:val="28"/>
        </w:rPr>
        <w:t xml:space="preserve"> y administrar el </w:t>
      </w:r>
      <w:r w:rsidR="005C09E0" w:rsidRPr="002C1A32">
        <w:rPr>
          <w:sz w:val="28"/>
          <w:szCs w:val="28"/>
        </w:rPr>
        <w:t>Programa de Subsidio al Aporte en Pensión – PSAP.</w:t>
      </w:r>
    </w:p>
    <w:p w14:paraId="274B5C29" w14:textId="77777777" w:rsidR="00C54786" w:rsidRPr="002C1A32" w:rsidRDefault="00C54786" w:rsidP="002C1A32">
      <w:pPr>
        <w:pStyle w:val="Prrafodelista"/>
        <w:widowControl w:val="0"/>
        <w:pBdr>
          <w:top w:val="none" w:sz="0" w:space="0" w:color="auto"/>
          <w:left w:val="none" w:sz="0" w:space="0" w:color="auto"/>
          <w:bottom w:val="none" w:sz="0" w:space="0" w:color="auto"/>
          <w:right w:val="none" w:sz="0" w:space="0" w:color="auto"/>
          <w:between w:val="none" w:sz="0" w:space="0" w:color="auto"/>
        </w:pBdr>
        <w:shd w:val="clear" w:color="auto" w:fill="FFFFFF"/>
        <w:tabs>
          <w:tab w:val="left" w:pos="426"/>
        </w:tabs>
        <w:spacing w:after="0" w:line="240" w:lineRule="auto"/>
        <w:ind w:left="0"/>
        <w:jc w:val="both"/>
        <w:textAlignment w:val="baseline"/>
        <w:rPr>
          <w:rFonts w:eastAsia="Times New Roman"/>
          <w:iCs/>
          <w:sz w:val="28"/>
          <w:szCs w:val="28"/>
          <w:bdr w:val="none" w:sz="0" w:space="0" w:color="auto" w:frame="1"/>
          <w:shd w:val="clear" w:color="auto" w:fill="FFFFFF"/>
        </w:rPr>
      </w:pPr>
    </w:p>
    <w:p w14:paraId="0474B600" w14:textId="367437FF" w:rsidR="00157871" w:rsidRPr="002C1A32" w:rsidRDefault="00157871" w:rsidP="002C1A32">
      <w:pPr>
        <w:pStyle w:val="Ttulo2"/>
        <w:keepNext w:val="0"/>
        <w:keepLines w:val="0"/>
        <w:widowControl w:val="0"/>
        <w:numPr>
          <w:ilvl w:val="0"/>
          <w:numId w:val="2"/>
        </w:numPr>
        <w:pBdr>
          <w:top w:val="none" w:sz="0" w:space="0" w:color="auto"/>
          <w:left w:val="none" w:sz="0" w:space="0" w:color="auto"/>
          <w:bottom w:val="none" w:sz="0" w:space="0" w:color="auto"/>
          <w:right w:val="none" w:sz="0" w:space="0" w:color="auto"/>
          <w:between w:val="none" w:sz="0" w:space="0" w:color="auto"/>
        </w:pBdr>
        <w:spacing w:before="0" w:after="0" w:line="240" w:lineRule="auto"/>
        <w:jc w:val="both"/>
        <w:rPr>
          <w:iCs/>
          <w:szCs w:val="28"/>
          <w:bdr w:val="none" w:sz="0" w:space="0" w:color="auto" w:frame="1"/>
          <w:shd w:val="clear" w:color="auto" w:fill="FFFFFF"/>
        </w:rPr>
      </w:pPr>
      <w:r w:rsidRPr="002C1A32">
        <w:rPr>
          <w:rFonts w:eastAsia="Times New Roman"/>
          <w:b/>
          <w:i/>
          <w:szCs w:val="28"/>
        </w:rPr>
        <w:t>Inmediatez</w:t>
      </w:r>
      <w:r w:rsidR="007235DF" w:rsidRPr="002C1A32">
        <w:rPr>
          <w:rFonts w:eastAsia="Times New Roman"/>
          <w:i/>
          <w:szCs w:val="28"/>
        </w:rPr>
        <w:t xml:space="preserve">. </w:t>
      </w:r>
      <w:r w:rsidR="006E2AD2" w:rsidRPr="002C1A32">
        <w:rPr>
          <w:rFonts w:eastAsia="Times New Roman"/>
          <w:szCs w:val="28"/>
        </w:rPr>
        <w:t xml:space="preserve">Para evaluar el cumplimiento de este requisito de procedencia, el juez constitucional debe constatar que </w:t>
      </w:r>
      <w:r w:rsidR="0024070E" w:rsidRPr="002C1A32">
        <w:rPr>
          <w:rFonts w:eastAsia="Times New Roman"/>
          <w:szCs w:val="28"/>
        </w:rPr>
        <w:t>entre la fecha de ocurrencia de la presunta afectación de los derechos fundamentales y su cuestionamiento en sede de tutela</w:t>
      </w:r>
      <w:r w:rsidR="006E2AD2" w:rsidRPr="002C1A32">
        <w:rPr>
          <w:rFonts w:eastAsia="Times New Roman"/>
          <w:szCs w:val="28"/>
        </w:rPr>
        <w:t xml:space="preserve"> medie un tiempo “razonable”</w:t>
      </w:r>
      <w:r w:rsidR="006E2AD2" w:rsidRPr="002C1A32">
        <w:rPr>
          <w:rStyle w:val="Refdenotaalpie"/>
          <w:rFonts w:eastAsia="Times New Roman"/>
          <w:szCs w:val="28"/>
        </w:rPr>
        <w:footnoteReference w:id="23"/>
      </w:r>
      <w:r w:rsidR="0024070E" w:rsidRPr="002C1A32">
        <w:rPr>
          <w:rFonts w:eastAsia="Times New Roman"/>
          <w:szCs w:val="28"/>
        </w:rPr>
        <w:t xml:space="preserve">. </w:t>
      </w:r>
      <w:r w:rsidR="00566152" w:rsidRPr="002C1A32">
        <w:rPr>
          <w:rFonts w:eastAsia="Times New Roman"/>
          <w:szCs w:val="28"/>
        </w:rPr>
        <w:t>Frente a los casos acumulados, l</w:t>
      </w:r>
      <w:r w:rsidR="006E2AD2" w:rsidRPr="002C1A32">
        <w:rPr>
          <w:rFonts w:eastAsia="Times New Roman"/>
          <w:szCs w:val="28"/>
        </w:rPr>
        <w:t xml:space="preserve">a Sala considera que </w:t>
      </w:r>
      <w:r w:rsidR="006E2AD2" w:rsidRPr="002C1A32">
        <w:rPr>
          <w:szCs w:val="28"/>
        </w:rPr>
        <w:t xml:space="preserve">se </w:t>
      </w:r>
      <w:r w:rsidRPr="002C1A32">
        <w:rPr>
          <w:szCs w:val="28"/>
        </w:rPr>
        <w:t xml:space="preserve">ejerció </w:t>
      </w:r>
      <w:r w:rsidR="006E2AD2" w:rsidRPr="002C1A32">
        <w:rPr>
          <w:szCs w:val="28"/>
        </w:rPr>
        <w:t xml:space="preserve">la defensa </w:t>
      </w:r>
      <w:r w:rsidRPr="002C1A32">
        <w:rPr>
          <w:szCs w:val="28"/>
        </w:rPr>
        <w:t>de m</w:t>
      </w:r>
      <w:r w:rsidR="00244D61" w:rsidRPr="002C1A32">
        <w:rPr>
          <w:szCs w:val="28"/>
        </w:rPr>
        <w:t>odo razonable y proporcionado</w:t>
      </w:r>
      <w:r w:rsidR="004D7B9F" w:rsidRPr="002C1A32">
        <w:rPr>
          <w:szCs w:val="28"/>
        </w:rPr>
        <w:t>,</w:t>
      </w:r>
      <w:r w:rsidRPr="002C1A32">
        <w:rPr>
          <w:szCs w:val="28"/>
        </w:rPr>
        <w:t xml:space="preserve"> si se tiene en cuenta que</w:t>
      </w:r>
      <w:r w:rsidR="00566152" w:rsidRPr="002C1A32">
        <w:rPr>
          <w:szCs w:val="28"/>
        </w:rPr>
        <w:t xml:space="preserve"> la eventual vulneración de</w:t>
      </w:r>
      <w:r w:rsidR="004D7B9F" w:rsidRPr="002C1A32">
        <w:rPr>
          <w:szCs w:val="28"/>
        </w:rPr>
        <w:t xml:space="preserve"> </w:t>
      </w:r>
      <w:r w:rsidR="00566152" w:rsidRPr="002C1A32">
        <w:rPr>
          <w:szCs w:val="28"/>
        </w:rPr>
        <w:t>l</w:t>
      </w:r>
      <w:r w:rsidR="004D7B9F" w:rsidRPr="002C1A32">
        <w:rPr>
          <w:szCs w:val="28"/>
        </w:rPr>
        <w:t>os</w:t>
      </w:r>
      <w:r w:rsidR="00566152" w:rsidRPr="002C1A32">
        <w:rPr>
          <w:szCs w:val="28"/>
        </w:rPr>
        <w:t xml:space="preserve"> derecho</w:t>
      </w:r>
      <w:r w:rsidR="004D7B9F" w:rsidRPr="002C1A32">
        <w:rPr>
          <w:szCs w:val="28"/>
        </w:rPr>
        <w:t xml:space="preserve">s fundamentales </w:t>
      </w:r>
      <w:r w:rsidR="00450356" w:rsidRPr="002C1A32">
        <w:rPr>
          <w:szCs w:val="28"/>
        </w:rPr>
        <w:t xml:space="preserve">es actual y continua, </w:t>
      </w:r>
      <w:r w:rsidR="00244D61" w:rsidRPr="002C1A32">
        <w:rPr>
          <w:szCs w:val="28"/>
        </w:rPr>
        <w:t xml:space="preserve">al </w:t>
      </w:r>
      <w:r w:rsidR="00450356" w:rsidRPr="002C1A32">
        <w:rPr>
          <w:szCs w:val="28"/>
        </w:rPr>
        <w:t>deriva</w:t>
      </w:r>
      <w:r w:rsidR="00244D61" w:rsidRPr="002C1A32">
        <w:rPr>
          <w:szCs w:val="28"/>
        </w:rPr>
        <w:t>r</w:t>
      </w:r>
      <w:r w:rsidR="00450356" w:rsidRPr="002C1A32">
        <w:rPr>
          <w:szCs w:val="28"/>
        </w:rPr>
        <w:t xml:space="preserve"> </w:t>
      </w:r>
      <w:r w:rsidR="004D7B9F" w:rsidRPr="002C1A32">
        <w:rPr>
          <w:szCs w:val="28"/>
        </w:rPr>
        <w:t xml:space="preserve">en </w:t>
      </w:r>
      <w:r w:rsidR="00566152" w:rsidRPr="002C1A32">
        <w:rPr>
          <w:szCs w:val="28"/>
        </w:rPr>
        <w:t>la falta de reconocimiento y pago de los aportes pensionales</w:t>
      </w:r>
      <w:r w:rsidR="00244D61" w:rsidRPr="002C1A32">
        <w:rPr>
          <w:szCs w:val="28"/>
        </w:rPr>
        <w:t xml:space="preserve"> de </w:t>
      </w:r>
      <w:r w:rsidR="004F5D54" w:rsidRPr="002C1A32">
        <w:rPr>
          <w:szCs w:val="28"/>
        </w:rPr>
        <w:t>un conjunto de accionantes que se encuentran cercanas a la edad pensional o la han superado</w:t>
      </w:r>
      <w:r w:rsidRPr="002C1A32">
        <w:rPr>
          <w:szCs w:val="28"/>
          <w:vertAlign w:val="superscript"/>
        </w:rPr>
        <w:footnoteReference w:id="24"/>
      </w:r>
      <w:r w:rsidRPr="002C1A32">
        <w:rPr>
          <w:szCs w:val="28"/>
        </w:rPr>
        <w:t>.</w:t>
      </w:r>
    </w:p>
    <w:p w14:paraId="7701A0DC" w14:textId="77777777" w:rsidR="00A00B4E" w:rsidRPr="002C1A32" w:rsidRDefault="00A00B4E" w:rsidP="002C1A32">
      <w:pPr>
        <w:pStyle w:val="Ttulo3"/>
        <w:spacing w:before="0" w:after="0" w:line="240" w:lineRule="auto"/>
        <w:rPr>
          <w:rFonts w:eastAsia="Times New Roman"/>
          <w:shd w:val="clear" w:color="auto" w:fill="FFFFFF"/>
        </w:rPr>
      </w:pPr>
    </w:p>
    <w:p w14:paraId="1AA60562" w14:textId="22B740A0" w:rsidR="009C490A" w:rsidRPr="002C1A32" w:rsidRDefault="0094427A" w:rsidP="002C1A32">
      <w:pPr>
        <w:pStyle w:val="Ttulo2"/>
        <w:numPr>
          <w:ilvl w:val="0"/>
          <w:numId w:val="2"/>
        </w:numPr>
        <w:pBdr>
          <w:top w:val="none" w:sz="0" w:space="0" w:color="auto"/>
          <w:left w:val="none" w:sz="0" w:space="0" w:color="auto"/>
          <w:bottom w:val="none" w:sz="0" w:space="0" w:color="auto"/>
          <w:right w:val="none" w:sz="0" w:space="0" w:color="auto"/>
          <w:between w:val="none" w:sz="0" w:space="0" w:color="auto"/>
        </w:pBdr>
        <w:spacing w:before="0" w:after="0" w:line="240" w:lineRule="auto"/>
        <w:jc w:val="both"/>
        <w:rPr>
          <w:rFonts w:eastAsia="Times New Roman"/>
          <w:szCs w:val="28"/>
        </w:rPr>
      </w:pPr>
      <w:r w:rsidRPr="002C1A32">
        <w:rPr>
          <w:rFonts w:eastAsia="Times New Roman"/>
          <w:b/>
          <w:i/>
          <w:szCs w:val="28"/>
        </w:rPr>
        <w:t>Subsidiariedad</w:t>
      </w:r>
      <w:r w:rsidR="007235DF" w:rsidRPr="002C1A32">
        <w:rPr>
          <w:rFonts w:eastAsia="Times New Roman"/>
          <w:b/>
          <w:i/>
          <w:szCs w:val="28"/>
        </w:rPr>
        <w:t xml:space="preserve">. </w:t>
      </w:r>
      <w:r w:rsidR="00CA68D2" w:rsidRPr="002C1A32">
        <w:rPr>
          <w:rFonts w:eastAsia="Times New Roman"/>
          <w:szCs w:val="28"/>
        </w:rPr>
        <w:t xml:space="preserve">La </w:t>
      </w:r>
      <w:r w:rsidR="00157871" w:rsidRPr="002C1A32">
        <w:rPr>
          <w:rFonts w:eastAsia="Times New Roman"/>
          <w:szCs w:val="28"/>
        </w:rPr>
        <w:t xml:space="preserve">Constitución </w:t>
      </w:r>
      <w:r w:rsidR="00EE116A" w:rsidRPr="002C1A32">
        <w:rPr>
          <w:rFonts w:eastAsia="Times New Roman"/>
          <w:szCs w:val="28"/>
        </w:rPr>
        <w:t xml:space="preserve">Política </w:t>
      </w:r>
      <w:r w:rsidR="00157871" w:rsidRPr="002C1A32">
        <w:rPr>
          <w:rFonts w:eastAsia="Times New Roman"/>
          <w:szCs w:val="28"/>
        </w:rPr>
        <w:t xml:space="preserve">caracteriza </w:t>
      </w:r>
      <w:r w:rsidR="00977EE6" w:rsidRPr="002C1A32">
        <w:rPr>
          <w:rFonts w:eastAsia="Times New Roman"/>
          <w:szCs w:val="28"/>
        </w:rPr>
        <w:t xml:space="preserve">a </w:t>
      </w:r>
      <w:r w:rsidR="00157871" w:rsidRPr="002C1A32">
        <w:rPr>
          <w:rFonts w:eastAsia="Times New Roman"/>
          <w:szCs w:val="28"/>
        </w:rPr>
        <w:t>la tutela como un mecanismo subsidiario frente a los demás medios de defensa judiciales</w:t>
      </w:r>
      <w:r w:rsidR="00EE116A" w:rsidRPr="002C1A32">
        <w:rPr>
          <w:rFonts w:eastAsia="Times New Roman"/>
          <w:szCs w:val="28"/>
        </w:rPr>
        <w:t xml:space="preserve"> ordinarios</w:t>
      </w:r>
      <w:r w:rsidR="00157871" w:rsidRPr="002C1A32">
        <w:rPr>
          <w:rFonts w:eastAsia="Times New Roman"/>
          <w:szCs w:val="28"/>
        </w:rPr>
        <w:t>, los cuales</w:t>
      </w:r>
      <w:r w:rsidR="00EE116A" w:rsidRPr="002C1A32">
        <w:rPr>
          <w:rFonts w:eastAsia="Times New Roman"/>
          <w:szCs w:val="28"/>
        </w:rPr>
        <w:t xml:space="preserve"> constituyen</w:t>
      </w:r>
      <w:r w:rsidR="00157871" w:rsidRPr="002C1A32">
        <w:rPr>
          <w:rFonts w:eastAsia="Times New Roman"/>
          <w:szCs w:val="28"/>
        </w:rPr>
        <w:t xml:space="preserve">, entonces, instrumentos preferentes a los que deben acudir las personas </w:t>
      </w:r>
      <w:r w:rsidR="00EE116A" w:rsidRPr="002C1A32">
        <w:rPr>
          <w:rFonts w:eastAsia="Times New Roman"/>
          <w:szCs w:val="28"/>
        </w:rPr>
        <w:t xml:space="preserve">que buscan la protección de </w:t>
      </w:r>
      <w:r w:rsidR="00157871" w:rsidRPr="002C1A32">
        <w:rPr>
          <w:rFonts w:eastAsia="Times New Roman"/>
          <w:szCs w:val="28"/>
        </w:rPr>
        <w:t>sus derechos</w:t>
      </w:r>
      <w:r w:rsidR="00EE116A" w:rsidRPr="002C1A32">
        <w:rPr>
          <w:rFonts w:eastAsia="Times New Roman"/>
          <w:szCs w:val="28"/>
        </w:rPr>
        <w:t xml:space="preserve"> </w:t>
      </w:r>
      <w:r w:rsidR="006B6998" w:rsidRPr="002C1A32">
        <w:rPr>
          <w:rFonts w:eastAsia="Times New Roman"/>
          <w:szCs w:val="28"/>
        </w:rPr>
        <w:t>fundamentales</w:t>
      </w:r>
      <w:r w:rsidR="00157871" w:rsidRPr="002C1A32">
        <w:rPr>
          <w:rStyle w:val="Refdenotaalpie"/>
          <w:rFonts w:eastAsia="Times New Roman"/>
          <w:szCs w:val="28"/>
        </w:rPr>
        <w:footnoteReference w:id="25"/>
      </w:r>
      <w:r w:rsidR="00157871" w:rsidRPr="002C1A32">
        <w:rPr>
          <w:rFonts w:eastAsia="Times New Roman"/>
          <w:szCs w:val="28"/>
        </w:rPr>
        <w:t xml:space="preserve">. En relación con el caso </w:t>
      </w:r>
      <w:r w:rsidR="00694C07" w:rsidRPr="002C1A32">
        <w:rPr>
          <w:rFonts w:eastAsia="Times New Roman"/>
          <w:i/>
          <w:szCs w:val="28"/>
        </w:rPr>
        <w:t>sub lite</w:t>
      </w:r>
      <w:r w:rsidR="00157871" w:rsidRPr="002C1A32">
        <w:rPr>
          <w:rFonts w:eastAsia="Times New Roman"/>
          <w:szCs w:val="28"/>
        </w:rPr>
        <w:t xml:space="preserve">, la Sala </w:t>
      </w:r>
      <w:r w:rsidR="00694C07" w:rsidRPr="002C1A32">
        <w:rPr>
          <w:rFonts w:eastAsia="Times New Roman"/>
          <w:szCs w:val="28"/>
        </w:rPr>
        <w:t xml:space="preserve">advierte </w:t>
      </w:r>
      <w:r w:rsidR="00157871" w:rsidRPr="002C1A32">
        <w:rPr>
          <w:rFonts w:eastAsia="Times New Roman"/>
          <w:szCs w:val="28"/>
        </w:rPr>
        <w:t xml:space="preserve">que </w:t>
      </w:r>
      <w:r w:rsidR="00694C07" w:rsidRPr="002C1A32">
        <w:rPr>
          <w:rFonts w:eastAsia="Times New Roman"/>
          <w:szCs w:val="28"/>
        </w:rPr>
        <w:t>se supera este requisito, en la medida que si bien las accionantes c</w:t>
      </w:r>
      <w:r w:rsidR="005078F9" w:rsidRPr="002C1A32">
        <w:rPr>
          <w:rFonts w:eastAsia="Times New Roman"/>
          <w:szCs w:val="28"/>
        </w:rPr>
        <w:t>uentan</w:t>
      </w:r>
      <w:r w:rsidR="00694C07" w:rsidRPr="002C1A32">
        <w:rPr>
          <w:rFonts w:eastAsia="Times New Roman"/>
          <w:szCs w:val="28"/>
        </w:rPr>
        <w:t xml:space="preserve"> </w:t>
      </w:r>
      <w:r w:rsidR="00514E8B" w:rsidRPr="002C1A32">
        <w:rPr>
          <w:rFonts w:eastAsia="Times New Roman"/>
          <w:szCs w:val="28"/>
        </w:rPr>
        <w:t>con la acción de nulidad y restablecimiento del derecho</w:t>
      </w:r>
      <w:r w:rsidR="00C41870" w:rsidRPr="002C1A32">
        <w:rPr>
          <w:rFonts w:eastAsia="Times New Roman"/>
          <w:szCs w:val="28"/>
        </w:rPr>
        <w:t xml:space="preserve"> para el reclamo de las prestaciones sociales derivadas de un eventual contrato realidad</w:t>
      </w:r>
      <w:r w:rsidR="00514E8B" w:rsidRPr="002C1A32">
        <w:rPr>
          <w:rStyle w:val="Refdenotaalpie"/>
          <w:rFonts w:eastAsia="Times New Roman"/>
          <w:szCs w:val="28"/>
        </w:rPr>
        <w:footnoteReference w:id="26"/>
      </w:r>
      <w:r w:rsidR="00514E8B" w:rsidRPr="002C1A32">
        <w:rPr>
          <w:rFonts w:eastAsia="Times New Roman"/>
          <w:szCs w:val="28"/>
        </w:rPr>
        <w:t xml:space="preserve">, dicho medio de control no es eficaz ante la </w:t>
      </w:r>
      <w:r w:rsidR="00C41870" w:rsidRPr="002C1A32">
        <w:rPr>
          <w:rFonts w:eastAsia="Times New Roman"/>
          <w:szCs w:val="28"/>
        </w:rPr>
        <w:t xml:space="preserve">ocurrencia de un perjuicio irremediable, consistente en la afectación </w:t>
      </w:r>
      <w:r w:rsidR="009165CC" w:rsidRPr="002C1A32">
        <w:rPr>
          <w:rFonts w:eastAsia="Times New Roman"/>
          <w:szCs w:val="28"/>
        </w:rPr>
        <w:t>de</w:t>
      </w:r>
      <w:r w:rsidR="00977EE6" w:rsidRPr="002C1A32">
        <w:rPr>
          <w:rFonts w:eastAsia="Times New Roman"/>
          <w:szCs w:val="28"/>
        </w:rPr>
        <w:t xml:space="preserve"> </w:t>
      </w:r>
      <w:r w:rsidR="00DB04EC" w:rsidRPr="002C1A32">
        <w:rPr>
          <w:rFonts w:eastAsia="Times New Roman"/>
          <w:szCs w:val="28"/>
        </w:rPr>
        <w:t xml:space="preserve">los </w:t>
      </w:r>
      <w:r w:rsidR="009165CC" w:rsidRPr="002C1A32">
        <w:rPr>
          <w:rFonts w:eastAsia="Times New Roman"/>
          <w:szCs w:val="28"/>
        </w:rPr>
        <w:t>derecho</w:t>
      </w:r>
      <w:r w:rsidR="00977EE6" w:rsidRPr="002C1A32">
        <w:rPr>
          <w:rFonts w:eastAsia="Times New Roman"/>
          <w:szCs w:val="28"/>
        </w:rPr>
        <w:t>s</w:t>
      </w:r>
      <w:r w:rsidR="009165CC" w:rsidRPr="002C1A32">
        <w:rPr>
          <w:rFonts w:eastAsia="Times New Roman"/>
          <w:szCs w:val="28"/>
        </w:rPr>
        <w:t xml:space="preserve"> pensional</w:t>
      </w:r>
      <w:r w:rsidR="00977EE6" w:rsidRPr="002C1A32">
        <w:rPr>
          <w:rFonts w:eastAsia="Times New Roman"/>
          <w:szCs w:val="28"/>
        </w:rPr>
        <w:t>es</w:t>
      </w:r>
      <w:r w:rsidR="009165CC" w:rsidRPr="002C1A32">
        <w:rPr>
          <w:rFonts w:eastAsia="Times New Roman"/>
          <w:szCs w:val="28"/>
        </w:rPr>
        <w:t xml:space="preserve"> de personas que en su mayoría, han superado la edad para acceder a una pensión de vejez</w:t>
      </w:r>
      <w:r w:rsidR="009165CC" w:rsidRPr="002C1A32">
        <w:rPr>
          <w:rStyle w:val="Refdenotaalpie"/>
          <w:rFonts w:eastAsia="Times New Roman"/>
          <w:szCs w:val="28"/>
        </w:rPr>
        <w:footnoteReference w:id="27"/>
      </w:r>
      <w:r w:rsidR="009165CC" w:rsidRPr="002C1A32">
        <w:rPr>
          <w:rFonts w:eastAsia="Times New Roman"/>
          <w:szCs w:val="28"/>
        </w:rPr>
        <w:t xml:space="preserve">. </w:t>
      </w:r>
    </w:p>
    <w:p w14:paraId="2CF0059A" w14:textId="061BDE1C" w:rsidR="00583B2D" w:rsidRPr="002C1A32" w:rsidRDefault="00583B2D" w:rsidP="002C1A32">
      <w:pPr>
        <w:tabs>
          <w:tab w:val="left" w:pos="426"/>
          <w:tab w:val="left" w:pos="8789"/>
        </w:tabs>
        <w:spacing w:after="0" w:line="240" w:lineRule="auto"/>
        <w:ind w:right="49"/>
        <w:jc w:val="both"/>
        <w:rPr>
          <w:rFonts w:eastAsia="Times New Roman"/>
          <w:b/>
          <w:sz w:val="28"/>
          <w:szCs w:val="28"/>
        </w:rPr>
      </w:pPr>
    </w:p>
    <w:p w14:paraId="7230DAEF" w14:textId="3468DD15" w:rsidR="001F1B64" w:rsidRPr="002C1A32" w:rsidRDefault="001F1B64" w:rsidP="002C1A32">
      <w:pPr>
        <w:pStyle w:val="Ttulo2"/>
        <w:pBdr>
          <w:top w:val="none" w:sz="0" w:space="0" w:color="auto"/>
          <w:left w:val="none" w:sz="0" w:space="0" w:color="auto"/>
          <w:bottom w:val="none" w:sz="0" w:space="0" w:color="auto"/>
          <w:right w:val="none" w:sz="0" w:space="0" w:color="auto"/>
          <w:between w:val="none" w:sz="0" w:space="0" w:color="auto"/>
        </w:pBdr>
        <w:spacing w:before="0" w:after="0" w:line="240" w:lineRule="auto"/>
        <w:rPr>
          <w:rFonts w:eastAsia="Times New Roman"/>
          <w:b/>
          <w:bCs/>
          <w:szCs w:val="28"/>
        </w:rPr>
      </w:pPr>
      <w:r w:rsidRPr="002C1A32">
        <w:rPr>
          <w:rFonts w:eastAsia="Times New Roman"/>
          <w:b/>
          <w:bCs/>
          <w:szCs w:val="28"/>
        </w:rPr>
        <w:t>Problema</w:t>
      </w:r>
      <w:r w:rsidR="007147E7" w:rsidRPr="002C1A32">
        <w:rPr>
          <w:rFonts w:eastAsia="Times New Roman"/>
          <w:b/>
          <w:bCs/>
          <w:szCs w:val="28"/>
        </w:rPr>
        <w:t>s</w:t>
      </w:r>
      <w:r w:rsidRPr="002C1A32">
        <w:rPr>
          <w:rFonts w:eastAsia="Times New Roman"/>
          <w:b/>
          <w:bCs/>
          <w:szCs w:val="28"/>
        </w:rPr>
        <w:t xml:space="preserve"> jurídico</w:t>
      </w:r>
      <w:r w:rsidR="007147E7" w:rsidRPr="002C1A32">
        <w:rPr>
          <w:rFonts w:eastAsia="Times New Roman"/>
          <w:b/>
          <w:bCs/>
          <w:szCs w:val="28"/>
        </w:rPr>
        <w:t>s</w:t>
      </w:r>
      <w:r w:rsidRPr="002C1A32">
        <w:rPr>
          <w:rFonts w:eastAsia="Times New Roman"/>
          <w:b/>
          <w:bCs/>
          <w:szCs w:val="28"/>
        </w:rPr>
        <w:t xml:space="preserve"> del caso</w:t>
      </w:r>
    </w:p>
    <w:p w14:paraId="574BE6B4" w14:textId="77777777" w:rsidR="001F1B64" w:rsidRPr="002C1A32" w:rsidRDefault="001F1B64" w:rsidP="002C1A32">
      <w:pPr>
        <w:tabs>
          <w:tab w:val="left" w:pos="426"/>
        </w:tabs>
        <w:spacing w:after="0" w:line="240" w:lineRule="auto"/>
        <w:contextualSpacing/>
        <w:jc w:val="both"/>
        <w:rPr>
          <w:rFonts w:eastAsia="Times New Roman"/>
          <w:sz w:val="28"/>
          <w:szCs w:val="28"/>
        </w:rPr>
      </w:pPr>
    </w:p>
    <w:p w14:paraId="6C7CE955" w14:textId="31727B94" w:rsidR="00C54786" w:rsidRPr="002C1A32" w:rsidRDefault="00287580" w:rsidP="002C1A32">
      <w:pPr>
        <w:numPr>
          <w:ilvl w:val="0"/>
          <w:numId w:val="2"/>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after="0" w:line="240" w:lineRule="auto"/>
        <w:ind w:right="49"/>
        <w:contextualSpacing/>
        <w:jc w:val="both"/>
        <w:rPr>
          <w:sz w:val="28"/>
          <w:szCs w:val="28"/>
        </w:rPr>
      </w:pPr>
      <w:r w:rsidRPr="002C1A32">
        <w:rPr>
          <w:rFonts w:eastAsia="Times New Roman"/>
          <w:sz w:val="28"/>
          <w:szCs w:val="28"/>
        </w:rPr>
        <w:t>Por superar las exigencias de procedibilidad</w:t>
      </w:r>
      <w:r w:rsidR="00C54786" w:rsidRPr="002C1A32">
        <w:rPr>
          <w:rFonts w:eastAsia="Times New Roman"/>
          <w:sz w:val="28"/>
          <w:szCs w:val="28"/>
        </w:rPr>
        <w:t xml:space="preserve"> y de conformidad con la situación fáctica presentada en las demandas de tutela, </w:t>
      </w:r>
      <w:r w:rsidRPr="002C1A32">
        <w:rPr>
          <w:rFonts w:eastAsia="Times New Roman"/>
          <w:sz w:val="28"/>
          <w:szCs w:val="28"/>
        </w:rPr>
        <w:t>l</w:t>
      </w:r>
      <w:r w:rsidR="001F1B64" w:rsidRPr="002C1A32">
        <w:rPr>
          <w:sz w:val="28"/>
          <w:szCs w:val="28"/>
        </w:rPr>
        <w:t xml:space="preserve">e corresponde resolver a la </w:t>
      </w:r>
      <w:r w:rsidR="00C54786" w:rsidRPr="002C1A32">
        <w:rPr>
          <w:sz w:val="28"/>
          <w:szCs w:val="28"/>
        </w:rPr>
        <w:t>Corte</w:t>
      </w:r>
      <w:r w:rsidR="007B1F62" w:rsidRPr="002C1A32">
        <w:rPr>
          <w:sz w:val="28"/>
          <w:szCs w:val="28"/>
        </w:rPr>
        <w:t xml:space="preserve"> </w:t>
      </w:r>
      <w:r w:rsidR="001F1B64" w:rsidRPr="002C1A32">
        <w:rPr>
          <w:sz w:val="28"/>
          <w:szCs w:val="28"/>
        </w:rPr>
        <w:t>l</w:t>
      </w:r>
      <w:r w:rsidR="007B1F62" w:rsidRPr="002C1A32">
        <w:rPr>
          <w:sz w:val="28"/>
          <w:szCs w:val="28"/>
        </w:rPr>
        <w:t>os</w:t>
      </w:r>
      <w:r w:rsidR="001F1B64" w:rsidRPr="002C1A32">
        <w:rPr>
          <w:sz w:val="28"/>
          <w:szCs w:val="28"/>
        </w:rPr>
        <w:t xml:space="preserve"> siguiente</w:t>
      </w:r>
      <w:r w:rsidR="007B1F62" w:rsidRPr="002C1A32">
        <w:rPr>
          <w:sz w:val="28"/>
          <w:szCs w:val="28"/>
        </w:rPr>
        <w:t>s</w:t>
      </w:r>
      <w:r w:rsidR="001F1B64" w:rsidRPr="002C1A32">
        <w:rPr>
          <w:sz w:val="28"/>
          <w:szCs w:val="28"/>
        </w:rPr>
        <w:t xml:space="preserve"> problema</w:t>
      </w:r>
      <w:r w:rsidR="007B1F62" w:rsidRPr="002C1A32">
        <w:rPr>
          <w:sz w:val="28"/>
          <w:szCs w:val="28"/>
        </w:rPr>
        <w:t>s</w:t>
      </w:r>
      <w:r w:rsidR="001F1B64" w:rsidRPr="002C1A32">
        <w:rPr>
          <w:sz w:val="28"/>
          <w:szCs w:val="28"/>
        </w:rPr>
        <w:t xml:space="preserve"> jurídico</w:t>
      </w:r>
      <w:r w:rsidR="007B1F62" w:rsidRPr="002C1A32">
        <w:rPr>
          <w:sz w:val="28"/>
          <w:szCs w:val="28"/>
        </w:rPr>
        <w:t>s</w:t>
      </w:r>
      <w:r w:rsidR="001F1B64" w:rsidRPr="002C1A32">
        <w:rPr>
          <w:sz w:val="28"/>
          <w:szCs w:val="28"/>
        </w:rPr>
        <w:t xml:space="preserve">: </w:t>
      </w:r>
      <w:r w:rsidR="00B8520C" w:rsidRPr="002C1A32">
        <w:rPr>
          <w:sz w:val="28"/>
          <w:szCs w:val="28"/>
        </w:rPr>
        <w:t>si</w:t>
      </w:r>
      <w:r w:rsidR="007B1F62" w:rsidRPr="002C1A32">
        <w:rPr>
          <w:sz w:val="28"/>
          <w:szCs w:val="28"/>
        </w:rPr>
        <w:t xml:space="preserve"> </w:t>
      </w:r>
      <w:r w:rsidR="00B8520C" w:rsidRPr="002C1A32">
        <w:rPr>
          <w:sz w:val="28"/>
          <w:szCs w:val="28"/>
        </w:rPr>
        <w:t xml:space="preserve">se </w:t>
      </w:r>
      <w:r w:rsidR="007B1F62" w:rsidRPr="002C1A32">
        <w:rPr>
          <w:sz w:val="28"/>
          <w:szCs w:val="28"/>
        </w:rPr>
        <w:t xml:space="preserve">configura un contrato realidad, con las consecuentes obligaciones prestacionales que de allí se derivan, entre las </w:t>
      </w:r>
      <w:r w:rsidR="00B8520C" w:rsidRPr="002C1A32">
        <w:rPr>
          <w:sz w:val="28"/>
          <w:szCs w:val="28"/>
        </w:rPr>
        <w:t xml:space="preserve">106 accionantes </w:t>
      </w:r>
      <w:r w:rsidR="007B1F62" w:rsidRPr="002C1A32">
        <w:rPr>
          <w:sz w:val="28"/>
          <w:szCs w:val="28"/>
        </w:rPr>
        <w:t xml:space="preserve">y el ICBF por las actividades desempeñadas </w:t>
      </w:r>
      <w:r w:rsidR="00FC52A1" w:rsidRPr="002C1A32">
        <w:rPr>
          <w:sz w:val="28"/>
          <w:szCs w:val="28"/>
        </w:rPr>
        <w:t xml:space="preserve">en </w:t>
      </w:r>
      <w:r w:rsidR="00C54786" w:rsidRPr="002C1A32">
        <w:rPr>
          <w:sz w:val="28"/>
          <w:szCs w:val="28"/>
        </w:rPr>
        <w:t xml:space="preserve">el Programa de Hogares </w:t>
      </w:r>
      <w:r w:rsidR="00B8520C" w:rsidRPr="002C1A32">
        <w:rPr>
          <w:sz w:val="28"/>
          <w:szCs w:val="28"/>
        </w:rPr>
        <w:t xml:space="preserve">Comunitarios </w:t>
      </w:r>
      <w:r w:rsidR="00FC52A1" w:rsidRPr="002C1A32">
        <w:rPr>
          <w:sz w:val="28"/>
          <w:szCs w:val="28"/>
        </w:rPr>
        <w:t xml:space="preserve">desde </w:t>
      </w:r>
      <w:r w:rsidR="00B8520C" w:rsidRPr="002C1A32">
        <w:rPr>
          <w:sz w:val="28"/>
          <w:szCs w:val="28"/>
        </w:rPr>
        <w:t xml:space="preserve">su respectiva vinculación </w:t>
      </w:r>
      <w:r w:rsidR="00C54786" w:rsidRPr="002C1A32">
        <w:rPr>
          <w:sz w:val="28"/>
          <w:szCs w:val="28"/>
        </w:rPr>
        <w:t>y el 12 de febrero de 2014</w:t>
      </w:r>
      <w:r w:rsidR="00933184" w:rsidRPr="002C1A32">
        <w:rPr>
          <w:rStyle w:val="Refdenotaalpie"/>
          <w:sz w:val="28"/>
          <w:szCs w:val="28"/>
        </w:rPr>
        <w:footnoteReference w:id="28"/>
      </w:r>
      <w:r w:rsidR="00304882" w:rsidRPr="002C1A32">
        <w:rPr>
          <w:sz w:val="28"/>
          <w:szCs w:val="28"/>
        </w:rPr>
        <w:t>.</w:t>
      </w:r>
      <w:r w:rsidR="00C54786" w:rsidRPr="002C1A32">
        <w:rPr>
          <w:sz w:val="28"/>
          <w:szCs w:val="28"/>
        </w:rPr>
        <w:t xml:space="preserve"> </w:t>
      </w:r>
    </w:p>
    <w:p w14:paraId="7FB8522B" w14:textId="77777777" w:rsidR="00C54786" w:rsidRPr="002C1A32" w:rsidRDefault="00C54786" w:rsidP="002C1A32">
      <w:p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after="0" w:line="240" w:lineRule="auto"/>
        <w:ind w:right="49"/>
        <w:contextualSpacing/>
        <w:jc w:val="both"/>
        <w:rPr>
          <w:sz w:val="28"/>
          <w:szCs w:val="28"/>
        </w:rPr>
      </w:pPr>
    </w:p>
    <w:p w14:paraId="60E98472" w14:textId="472014CE" w:rsidR="007B1F62" w:rsidRPr="002C1A32" w:rsidRDefault="00FC52A1" w:rsidP="002C1A32">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283"/>
        </w:tabs>
        <w:spacing w:after="0" w:line="240" w:lineRule="auto"/>
        <w:ind w:right="56"/>
        <w:contextualSpacing/>
        <w:jc w:val="both"/>
        <w:rPr>
          <w:rFonts w:eastAsia="Times New Roman"/>
          <w:sz w:val="28"/>
          <w:szCs w:val="28"/>
        </w:rPr>
      </w:pPr>
      <w:r w:rsidRPr="002C1A32">
        <w:rPr>
          <w:sz w:val="28"/>
          <w:szCs w:val="28"/>
        </w:rPr>
        <w:t xml:space="preserve">De acuerdo con el resolutivo tercero </w:t>
      </w:r>
      <w:r w:rsidR="00740E15" w:rsidRPr="002C1A32">
        <w:rPr>
          <w:sz w:val="28"/>
          <w:szCs w:val="28"/>
        </w:rPr>
        <w:t xml:space="preserve">del auto de nulidad 217 de 2018, una vez vinculados el Consorcio Colombia Mayor 2013 y el Ministerio de Trabajo, </w:t>
      </w:r>
      <w:r w:rsidR="00B8520C" w:rsidRPr="002C1A32">
        <w:rPr>
          <w:sz w:val="28"/>
          <w:szCs w:val="28"/>
        </w:rPr>
        <w:t xml:space="preserve">determinar si </w:t>
      </w:r>
      <w:r w:rsidRPr="002C1A32">
        <w:rPr>
          <w:sz w:val="28"/>
          <w:szCs w:val="28"/>
        </w:rPr>
        <w:t xml:space="preserve">es razonable que el monto del subsidio al aporte a la pensión consagrado </w:t>
      </w:r>
      <w:r w:rsidRPr="002C1A32">
        <w:rPr>
          <w:rFonts w:eastAsia="Times New Roman"/>
          <w:sz w:val="28"/>
          <w:szCs w:val="28"/>
        </w:rPr>
        <w:t xml:space="preserve">en las leyes 509 de 1999 y 1187 de 2008 </w:t>
      </w:r>
      <w:r w:rsidRPr="002C1A32">
        <w:rPr>
          <w:sz w:val="28"/>
          <w:szCs w:val="28"/>
        </w:rPr>
        <w:t>no sea equivalente al 80% sino al 100% del total de las cotizaciones pensionales faltantes y causadas en ejercicio de la labor de madre comunitaria</w:t>
      </w:r>
      <w:r w:rsidR="00304882" w:rsidRPr="002C1A32">
        <w:rPr>
          <w:rFonts w:eastAsia="Times New Roman"/>
          <w:sz w:val="28"/>
          <w:szCs w:val="28"/>
        </w:rPr>
        <w:t>.</w:t>
      </w:r>
      <w:r w:rsidR="007B1F62" w:rsidRPr="002C1A32">
        <w:rPr>
          <w:rFonts w:eastAsia="Times New Roman"/>
          <w:sz w:val="28"/>
          <w:szCs w:val="28"/>
        </w:rPr>
        <w:t xml:space="preserve"> </w:t>
      </w:r>
    </w:p>
    <w:p w14:paraId="735B811D" w14:textId="187523C2" w:rsidR="007B1F62" w:rsidRPr="002C1A32" w:rsidRDefault="007B1F62" w:rsidP="002C1A32">
      <w:p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after="0" w:line="240" w:lineRule="auto"/>
        <w:ind w:right="49"/>
        <w:contextualSpacing/>
        <w:jc w:val="both"/>
        <w:rPr>
          <w:sz w:val="28"/>
          <w:szCs w:val="28"/>
        </w:rPr>
      </w:pPr>
    </w:p>
    <w:p w14:paraId="762485E0" w14:textId="178AB71A" w:rsidR="001F1B64" w:rsidRPr="002C1A32" w:rsidRDefault="00C54786" w:rsidP="002C1A32">
      <w:pPr>
        <w:numPr>
          <w:ilvl w:val="0"/>
          <w:numId w:val="2"/>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after="0" w:line="240" w:lineRule="auto"/>
        <w:ind w:right="49"/>
        <w:contextualSpacing/>
        <w:jc w:val="both"/>
        <w:rPr>
          <w:rFonts w:eastAsia="Times New Roman"/>
          <w:b/>
          <w:sz w:val="28"/>
          <w:szCs w:val="28"/>
        </w:rPr>
      </w:pPr>
      <w:r w:rsidRPr="002C1A32">
        <w:rPr>
          <w:sz w:val="28"/>
          <w:szCs w:val="28"/>
        </w:rPr>
        <w:t>Para dar solución a</w:t>
      </w:r>
      <w:r w:rsidR="00FC52A1" w:rsidRPr="002C1A32">
        <w:rPr>
          <w:sz w:val="28"/>
          <w:szCs w:val="28"/>
        </w:rPr>
        <w:t xml:space="preserve"> </w:t>
      </w:r>
      <w:r w:rsidRPr="002C1A32">
        <w:rPr>
          <w:sz w:val="28"/>
          <w:szCs w:val="28"/>
        </w:rPr>
        <w:t>l</w:t>
      </w:r>
      <w:r w:rsidR="00FC52A1" w:rsidRPr="002C1A32">
        <w:rPr>
          <w:sz w:val="28"/>
          <w:szCs w:val="28"/>
        </w:rPr>
        <w:t>os anteriores</w:t>
      </w:r>
      <w:r w:rsidRPr="002C1A32">
        <w:rPr>
          <w:sz w:val="28"/>
          <w:szCs w:val="28"/>
        </w:rPr>
        <w:t xml:space="preserve"> problema</w:t>
      </w:r>
      <w:r w:rsidR="00FC52A1" w:rsidRPr="002C1A32">
        <w:rPr>
          <w:sz w:val="28"/>
          <w:szCs w:val="28"/>
        </w:rPr>
        <w:t>s</w:t>
      </w:r>
      <w:r w:rsidRPr="002C1A32">
        <w:rPr>
          <w:sz w:val="28"/>
          <w:szCs w:val="28"/>
        </w:rPr>
        <w:t xml:space="preserve"> jurídico</w:t>
      </w:r>
      <w:r w:rsidR="00FC52A1" w:rsidRPr="002C1A32">
        <w:rPr>
          <w:sz w:val="28"/>
          <w:szCs w:val="28"/>
        </w:rPr>
        <w:t>s</w:t>
      </w:r>
      <w:r w:rsidRPr="002C1A32">
        <w:rPr>
          <w:sz w:val="28"/>
          <w:szCs w:val="28"/>
        </w:rPr>
        <w:t xml:space="preserve">, la Corte </w:t>
      </w:r>
      <w:r w:rsidR="00DB04EC" w:rsidRPr="002C1A32">
        <w:rPr>
          <w:sz w:val="28"/>
          <w:szCs w:val="28"/>
        </w:rPr>
        <w:t>aborda</w:t>
      </w:r>
      <w:r w:rsidRPr="002C1A32">
        <w:rPr>
          <w:sz w:val="28"/>
          <w:szCs w:val="28"/>
        </w:rPr>
        <w:t xml:space="preserve">rá los siguientes temas: </w:t>
      </w:r>
      <w:r w:rsidRPr="002C1A32">
        <w:rPr>
          <w:i/>
          <w:sz w:val="28"/>
          <w:szCs w:val="28"/>
        </w:rPr>
        <w:t>(i)</w:t>
      </w:r>
      <w:r w:rsidRPr="002C1A32">
        <w:rPr>
          <w:sz w:val="28"/>
          <w:szCs w:val="28"/>
        </w:rPr>
        <w:t xml:space="preserve"> </w:t>
      </w:r>
      <w:r w:rsidR="00050850" w:rsidRPr="002C1A32">
        <w:rPr>
          <w:sz w:val="28"/>
          <w:szCs w:val="28"/>
        </w:rPr>
        <w:t>desarrollo normativo de</w:t>
      </w:r>
      <w:r w:rsidR="001609B0" w:rsidRPr="002C1A32">
        <w:rPr>
          <w:sz w:val="28"/>
          <w:szCs w:val="28"/>
        </w:rPr>
        <w:t xml:space="preserve">l </w:t>
      </w:r>
      <w:r w:rsidRPr="002C1A32">
        <w:rPr>
          <w:sz w:val="28"/>
          <w:szCs w:val="28"/>
        </w:rPr>
        <w:t>programa de hogares comunitarios de bienestar</w:t>
      </w:r>
      <w:r w:rsidR="00FC52A1" w:rsidRPr="002C1A32">
        <w:rPr>
          <w:sz w:val="28"/>
          <w:szCs w:val="28"/>
        </w:rPr>
        <w:t xml:space="preserve">, </w:t>
      </w:r>
      <w:r w:rsidR="00050850" w:rsidRPr="002C1A32">
        <w:rPr>
          <w:i/>
          <w:sz w:val="28"/>
          <w:szCs w:val="28"/>
        </w:rPr>
        <w:t xml:space="preserve">(ii) </w:t>
      </w:r>
      <w:r w:rsidR="00050850" w:rsidRPr="002C1A32">
        <w:rPr>
          <w:sz w:val="28"/>
          <w:szCs w:val="28"/>
        </w:rPr>
        <w:t xml:space="preserve">proceso de formalización laboral de las madres comunitarias y sustitutas, </w:t>
      </w:r>
      <w:r w:rsidRPr="002C1A32">
        <w:rPr>
          <w:i/>
          <w:sz w:val="28"/>
          <w:szCs w:val="28"/>
        </w:rPr>
        <w:t>(i</w:t>
      </w:r>
      <w:r w:rsidR="00050850" w:rsidRPr="002C1A32">
        <w:rPr>
          <w:i/>
          <w:sz w:val="28"/>
          <w:szCs w:val="28"/>
        </w:rPr>
        <w:t>i</w:t>
      </w:r>
      <w:r w:rsidRPr="002C1A32">
        <w:rPr>
          <w:i/>
          <w:sz w:val="28"/>
          <w:szCs w:val="28"/>
        </w:rPr>
        <w:t>i)</w:t>
      </w:r>
      <w:r w:rsidRPr="002C1A32">
        <w:rPr>
          <w:sz w:val="28"/>
          <w:szCs w:val="28"/>
        </w:rPr>
        <w:t xml:space="preserve"> </w:t>
      </w:r>
      <w:r w:rsidR="001609B0" w:rsidRPr="002C1A32">
        <w:rPr>
          <w:sz w:val="28"/>
          <w:szCs w:val="28"/>
        </w:rPr>
        <w:t xml:space="preserve">el </w:t>
      </w:r>
      <w:r w:rsidRPr="002C1A32">
        <w:rPr>
          <w:sz w:val="28"/>
          <w:szCs w:val="28"/>
        </w:rPr>
        <w:t>régimen jurídico del Sistema de Seguridad Social Integral de las m</w:t>
      </w:r>
      <w:r w:rsidR="00B8520C" w:rsidRPr="002C1A32">
        <w:rPr>
          <w:sz w:val="28"/>
          <w:szCs w:val="28"/>
        </w:rPr>
        <w:t xml:space="preserve">adres comunitarias y sustitutas, y </w:t>
      </w:r>
      <w:r w:rsidR="00B8520C" w:rsidRPr="002C1A32">
        <w:rPr>
          <w:i/>
          <w:sz w:val="28"/>
          <w:szCs w:val="28"/>
        </w:rPr>
        <w:t>(i</w:t>
      </w:r>
      <w:r w:rsidR="00050850" w:rsidRPr="002C1A32">
        <w:rPr>
          <w:i/>
          <w:sz w:val="28"/>
          <w:szCs w:val="28"/>
        </w:rPr>
        <w:t>v</w:t>
      </w:r>
      <w:r w:rsidR="00B8520C" w:rsidRPr="002C1A32">
        <w:rPr>
          <w:i/>
          <w:sz w:val="28"/>
          <w:szCs w:val="28"/>
        </w:rPr>
        <w:t xml:space="preserve">) </w:t>
      </w:r>
      <w:r w:rsidR="00B8520C" w:rsidRPr="002C1A32">
        <w:rPr>
          <w:sz w:val="28"/>
          <w:szCs w:val="28"/>
        </w:rPr>
        <w:t>el marco legal del subsidio al aporte a la pensión.</w:t>
      </w:r>
      <w:r w:rsidRPr="002C1A32">
        <w:rPr>
          <w:sz w:val="28"/>
          <w:szCs w:val="28"/>
        </w:rPr>
        <w:t xml:space="preserve"> Una vez precisados estos aspectos, </w:t>
      </w:r>
      <w:r w:rsidRPr="002C1A32">
        <w:rPr>
          <w:i/>
          <w:sz w:val="28"/>
          <w:szCs w:val="28"/>
        </w:rPr>
        <w:t>(</w:t>
      </w:r>
      <w:r w:rsidR="00B8520C" w:rsidRPr="002C1A32">
        <w:rPr>
          <w:i/>
          <w:sz w:val="28"/>
          <w:szCs w:val="28"/>
        </w:rPr>
        <w:t>v</w:t>
      </w:r>
      <w:r w:rsidRPr="002C1A32">
        <w:rPr>
          <w:i/>
          <w:sz w:val="28"/>
          <w:szCs w:val="28"/>
        </w:rPr>
        <w:t>)</w:t>
      </w:r>
      <w:r w:rsidRPr="002C1A32">
        <w:rPr>
          <w:sz w:val="28"/>
          <w:szCs w:val="28"/>
        </w:rPr>
        <w:t xml:space="preserve"> </w:t>
      </w:r>
      <w:r w:rsidR="00101175" w:rsidRPr="002C1A32">
        <w:rPr>
          <w:sz w:val="28"/>
          <w:szCs w:val="28"/>
        </w:rPr>
        <w:t xml:space="preserve">se </w:t>
      </w:r>
      <w:r w:rsidR="00DB04EC" w:rsidRPr="002C1A32">
        <w:rPr>
          <w:sz w:val="28"/>
          <w:szCs w:val="28"/>
        </w:rPr>
        <w:t>resolver</w:t>
      </w:r>
      <w:r w:rsidRPr="002C1A32">
        <w:rPr>
          <w:sz w:val="28"/>
          <w:szCs w:val="28"/>
        </w:rPr>
        <w:t>á</w:t>
      </w:r>
      <w:r w:rsidR="00DB04EC" w:rsidRPr="002C1A32">
        <w:rPr>
          <w:sz w:val="28"/>
          <w:szCs w:val="28"/>
        </w:rPr>
        <w:t>n el</w:t>
      </w:r>
      <w:r w:rsidRPr="002C1A32">
        <w:rPr>
          <w:sz w:val="28"/>
          <w:szCs w:val="28"/>
        </w:rPr>
        <w:t xml:space="preserve"> caso </w:t>
      </w:r>
      <w:r w:rsidR="00DB04EC" w:rsidRPr="002C1A32">
        <w:rPr>
          <w:sz w:val="28"/>
          <w:szCs w:val="28"/>
        </w:rPr>
        <w:t>concreto</w:t>
      </w:r>
      <w:r w:rsidRPr="002C1A32">
        <w:rPr>
          <w:sz w:val="28"/>
          <w:szCs w:val="28"/>
        </w:rPr>
        <w:t>.</w:t>
      </w:r>
    </w:p>
    <w:p w14:paraId="510159EA" w14:textId="77777777" w:rsidR="001609B0" w:rsidRPr="002C1A32" w:rsidRDefault="001609B0" w:rsidP="002C1A32">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eastAsia="Times New Roman"/>
          <w:b/>
          <w:sz w:val="28"/>
          <w:szCs w:val="28"/>
        </w:rPr>
      </w:pPr>
    </w:p>
    <w:p w14:paraId="622792EA" w14:textId="3A859E4E" w:rsidR="001609B0" w:rsidRPr="002C1A32" w:rsidRDefault="00527829" w:rsidP="002C1A32">
      <w:pPr>
        <w:pStyle w:val="Ttulo2"/>
        <w:pBdr>
          <w:top w:val="none" w:sz="0" w:space="0" w:color="auto"/>
          <w:left w:val="none" w:sz="0" w:space="0" w:color="auto"/>
          <w:bottom w:val="none" w:sz="0" w:space="0" w:color="auto"/>
          <w:right w:val="none" w:sz="0" w:space="0" w:color="auto"/>
          <w:between w:val="none" w:sz="0" w:space="0" w:color="auto"/>
        </w:pBdr>
        <w:spacing w:before="0" w:after="0" w:line="240" w:lineRule="auto"/>
        <w:jc w:val="both"/>
        <w:rPr>
          <w:rFonts w:eastAsia="Times New Roman"/>
          <w:b/>
          <w:szCs w:val="28"/>
        </w:rPr>
      </w:pPr>
      <w:r w:rsidRPr="002C1A32">
        <w:rPr>
          <w:rFonts w:eastAsia="Times New Roman"/>
          <w:b/>
          <w:szCs w:val="28"/>
        </w:rPr>
        <w:t>(</w:t>
      </w:r>
      <w:r w:rsidR="00977EE6" w:rsidRPr="002C1A32">
        <w:rPr>
          <w:rFonts w:eastAsia="Times New Roman"/>
          <w:b/>
          <w:szCs w:val="28"/>
        </w:rPr>
        <w:t>i</w:t>
      </w:r>
      <w:r w:rsidRPr="002C1A32">
        <w:rPr>
          <w:rFonts w:eastAsia="Times New Roman"/>
          <w:b/>
          <w:szCs w:val="28"/>
        </w:rPr>
        <w:t>)</w:t>
      </w:r>
      <w:r w:rsidR="00977EE6" w:rsidRPr="002C1A32">
        <w:rPr>
          <w:rFonts w:eastAsia="Times New Roman"/>
          <w:b/>
          <w:szCs w:val="28"/>
        </w:rPr>
        <w:t xml:space="preserve">. </w:t>
      </w:r>
      <w:r w:rsidR="00914D90" w:rsidRPr="002C1A32">
        <w:rPr>
          <w:rFonts w:eastAsia="Times New Roman"/>
          <w:b/>
          <w:szCs w:val="28"/>
        </w:rPr>
        <w:t>Desarrollo normativo de los p</w:t>
      </w:r>
      <w:r w:rsidR="001609B0" w:rsidRPr="002C1A32">
        <w:rPr>
          <w:rFonts w:eastAsia="Times New Roman"/>
          <w:b/>
          <w:szCs w:val="28"/>
        </w:rPr>
        <w:t>rogramas de hogares comunitarios</w:t>
      </w:r>
      <w:r w:rsidR="00C57BF5" w:rsidRPr="002C1A32">
        <w:rPr>
          <w:rFonts w:eastAsia="Times New Roman"/>
          <w:b/>
          <w:szCs w:val="28"/>
        </w:rPr>
        <w:t xml:space="preserve"> </w:t>
      </w:r>
      <w:r w:rsidR="001609B0" w:rsidRPr="002C1A32">
        <w:rPr>
          <w:rFonts w:eastAsia="Times New Roman"/>
          <w:b/>
          <w:szCs w:val="28"/>
        </w:rPr>
        <w:t>de bienestar. Reiteración jurisprudencial</w:t>
      </w:r>
    </w:p>
    <w:p w14:paraId="72999E1D" w14:textId="77777777" w:rsidR="001609B0" w:rsidRPr="002C1A32" w:rsidRDefault="001609B0" w:rsidP="002C1A32">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eastAsia="Times New Roman"/>
          <w:b/>
          <w:sz w:val="28"/>
          <w:szCs w:val="28"/>
        </w:rPr>
      </w:pPr>
    </w:p>
    <w:p w14:paraId="57D3E18A" w14:textId="222E0021" w:rsidR="00304882" w:rsidRPr="002C1A32" w:rsidRDefault="00DC7B50" w:rsidP="002C1A32">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426"/>
        </w:tabs>
        <w:autoSpaceDE w:val="0"/>
        <w:autoSpaceDN w:val="0"/>
        <w:adjustRightInd w:val="0"/>
        <w:spacing w:after="0" w:line="240" w:lineRule="auto"/>
        <w:ind w:right="49"/>
        <w:contextualSpacing/>
        <w:jc w:val="both"/>
        <w:rPr>
          <w:rFonts w:eastAsia="Times New Roman"/>
          <w:b/>
          <w:sz w:val="28"/>
          <w:szCs w:val="28"/>
        </w:rPr>
      </w:pPr>
      <w:r w:rsidRPr="002C1A32">
        <w:rPr>
          <w:rFonts w:eastAsia="Times New Roman"/>
          <w:sz w:val="28"/>
          <w:szCs w:val="28"/>
        </w:rPr>
        <w:t>Los lineamientos técnicos del ICBF dan cuenta de la teleología detrás de lo que es hoy, el programa de hogares comunitarios</w:t>
      </w:r>
      <w:r w:rsidR="00DB04EC" w:rsidRPr="002C1A32">
        <w:rPr>
          <w:rFonts w:eastAsia="Times New Roman"/>
          <w:sz w:val="28"/>
          <w:szCs w:val="28"/>
        </w:rPr>
        <w:t xml:space="preserve"> de bienestar</w:t>
      </w:r>
      <w:r w:rsidRPr="002C1A32">
        <w:rPr>
          <w:rFonts w:eastAsia="Times New Roman"/>
          <w:sz w:val="28"/>
          <w:szCs w:val="28"/>
        </w:rPr>
        <w:t>, pues desde el año 1970 se concibió como un conjunto de acciones solidarias en caminadas al cuidado, prevención, asistencia y protección de los menores más vulnerables a través del apoyo de l</w:t>
      </w:r>
      <w:r w:rsidR="003928CC" w:rsidRPr="002C1A32">
        <w:rPr>
          <w:rFonts w:eastAsia="Times New Roman"/>
          <w:sz w:val="28"/>
          <w:szCs w:val="28"/>
        </w:rPr>
        <w:t xml:space="preserve">os padres y de la </w:t>
      </w:r>
      <w:r w:rsidRPr="002C1A32">
        <w:rPr>
          <w:rFonts w:eastAsia="Times New Roman"/>
          <w:sz w:val="28"/>
          <w:szCs w:val="28"/>
        </w:rPr>
        <w:t>comunidad. Así, formalmente se crearon los centros comunitarios para la infancia</w:t>
      </w:r>
      <w:r w:rsidR="00864B87" w:rsidRPr="002C1A32">
        <w:rPr>
          <w:rFonts w:eastAsia="Times New Roman"/>
          <w:sz w:val="28"/>
          <w:szCs w:val="28"/>
        </w:rPr>
        <w:t xml:space="preserve"> (1972)</w:t>
      </w:r>
      <w:r w:rsidR="009356F3" w:rsidRPr="002C1A32">
        <w:rPr>
          <w:rStyle w:val="Refdenotaalpie"/>
          <w:rFonts w:eastAsia="Times New Roman"/>
          <w:sz w:val="28"/>
          <w:szCs w:val="28"/>
        </w:rPr>
        <w:footnoteReference w:id="29"/>
      </w:r>
      <w:r w:rsidRPr="002C1A32">
        <w:rPr>
          <w:rFonts w:eastAsia="Times New Roman"/>
          <w:sz w:val="28"/>
          <w:szCs w:val="28"/>
        </w:rPr>
        <w:t xml:space="preserve">, </w:t>
      </w:r>
      <w:r w:rsidR="000A50EE" w:rsidRPr="002C1A32">
        <w:rPr>
          <w:rFonts w:eastAsia="Times New Roman"/>
          <w:sz w:val="28"/>
          <w:szCs w:val="28"/>
        </w:rPr>
        <w:t>los centros de atención al preescolar</w:t>
      </w:r>
      <w:r w:rsidR="00864B87" w:rsidRPr="002C1A32">
        <w:rPr>
          <w:rFonts w:eastAsia="Times New Roman"/>
          <w:sz w:val="28"/>
          <w:szCs w:val="28"/>
        </w:rPr>
        <w:t xml:space="preserve"> (1974)</w:t>
      </w:r>
      <w:r w:rsidR="000A50EE" w:rsidRPr="002C1A32">
        <w:rPr>
          <w:rStyle w:val="Refdenotaalpie"/>
          <w:rFonts w:eastAsia="Times New Roman"/>
          <w:sz w:val="28"/>
          <w:szCs w:val="28"/>
        </w:rPr>
        <w:footnoteReference w:id="30"/>
      </w:r>
      <w:r w:rsidR="000A50EE" w:rsidRPr="002C1A32">
        <w:rPr>
          <w:rFonts w:eastAsia="Times New Roman"/>
          <w:sz w:val="28"/>
          <w:szCs w:val="28"/>
        </w:rPr>
        <w:t>,</w:t>
      </w:r>
      <w:r w:rsidR="009356F3" w:rsidRPr="002C1A32">
        <w:rPr>
          <w:rFonts w:eastAsia="Times New Roman"/>
          <w:sz w:val="28"/>
          <w:szCs w:val="28"/>
        </w:rPr>
        <w:t xml:space="preserve"> los hogares infantiles</w:t>
      </w:r>
      <w:r w:rsidR="00864B87" w:rsidRPr="002C1A32">
        <w:rPr>
          <w:rFonts w:eastAsia="Times New Roman"/>
          <w:sz w:val="28"/>
          <w:szCs w:val="28"/>
        </w:rPr>
        <w:t xml:space="preserve"> (1979)</w:t>
      </w:r>
      <w:r w:rsidR="009356F3" w:rsidRPr="002C1A32">
        <w:rPr>
          <w:rStyle w:val="Refdenotaalpie"/>
          <w:rFonts w:eastAsia="Times New Roman"/>
          <w:sz w:val="28"/>
          <w:szCs w:val="28"/>
        </w:rPr>
        <w:footnoteReference w:id="31"/>
      </w:r>
      <w:r w:rsidR="00864B87" w:rsidRPr="002C1A32">
        <w:rPr>
          <w:rFonts w:eastAsia="Times New Roman"/>
          <w:sz w:val="28"/>
          <w:szCs w:val="28"/>
        </w:rPr>
        <w:t xml:space="preserve"> y los hogares comunitarios</w:t>
      </w:r>
      <w:r w:rsidR="00260E01" w:rsidRPr="002C1A32">
        <w:rPr>
          <w:rFonts w:eastAsia="Times New Roman"/>
          <w:sz w:val="28"/>
          <w:szCs w:val="28"/>
        </w:rPr>
        <w:t xml:space="preserve"> de bienestar</w:t>
      </w:r>
      <w:r w:rsidR="00864B87" w:rsidRPr="002C1A32">
        <w:rPr>
          <w:rFonts w:eastAsia="Times New Roman"/>
          <w:sz w:val="28"/>
          <w:szCs w:val="28"/>
        </w:rPr>
        <w:t xml:space="preserve"> (1986)</w:t>
      </w:r>
      <w:r w:rsidR="00864B87" w:rsidRPr="002C1A32">
        <w:rPr>
          <w:rStyle w:val="Refdenotaalpie"/>
          <w:rFonts w:eastAsia="Times New Roman"/>
          <w:sz w:val="28"/>
          <w:szCs w:val="28"/>
        </w:rPr>
        <w:footnoteReference w:id="32"/>
      </w:r>
      <w:r w:rsidR="0045247A" w:rsidRPr="002C1A32">
        <w:rPr>
          <w:rFonts w:eastAsia="Times New Roman"/>
          <w:sz w:val="28"/>
          <w:szCs w:val="28"/>
        </w:rPr>
        <w:t>, cuya reglamentación</w:t>
      </w:r>
      <w:r w:rsidR="00BE06FE" w:rsidRPr="002C1A32">
        <w:rPr>
          <w:rFonts w:eastAsia="Times New Roman"/>
          <w:sz w:val="28"/>
          <w:szCs w:val="28"/>
        </w:rPr>
        <w:t>,</w:t>
      </w:r>
      <w:r w:rsidR="0045247A" w:rsidRPr="002C1A32">
        <w:rPr>
          <w:rFonts w:eastAsia="Times New Roman"/>
          <w:sz w:val="28"/>
          <w:szCs w:val="28"/>
        </w:rPr>
        <w:t xml:space="preserve"> se fundament</w:t>
      </w:r>
      <w:r w:rsidR="00E675E2" w:rsidRPr="002C1A32">
        <w:rPr>
          <w:rFonts w:eastAsia="Times New Roman"/>
          <w:sz w:val="28"/>
          <w:szCs w:val="28"/>
        </w:rPr>
        <w:t>ó</w:t>
      </w:r>
      <w:r w:rsidR="0045247A" w:rsidRPr="002C1A32">
        <w:rPr>
          <w:rFonts w:eastAsia="Times New Roman"/>
          <w:sz w:val="28"/>
          <w:szCs w:val="28"/>
        </w:rPr>
        <w:t xml:space="preserve"> en el trabajo solidario de la comunidad encaminado a garantizar a los niños la atención de sus necesidades básicas, especialmente en los aspectos de nutrición, protección y desarrollo individual</w:t>
      </w:r>
      <w:r w:rsidR="00DB04EC" w:rsidRPr="002C1A32">
        <w:rPr>
          <w:rFonts w:eastAsia="Times New Roman"/>
          <w:sz w:val="28"/>
          <w:szCs w:val="28"/>
        </w:rPr>
        <w:t xml:space="preserve">. Dicho programa </w:t>
      </w:r>
      <w:r w:rsidR="0045247A" w:rsidRPr="002C1A32">
        <w:rPr>
          <w:rFonts w:eastAsia="Times New Roman"/>
          <w:sz w:val="28"/>
          <w:szCs w:val="28"/>
        </w:rPr>
        <w:t xml:space="preserve">se </w:t>
      </w:r>
      <w:r w:rsidR="00DB04EC" w:rsidRPr="002C1A32">
        <w:rPr>
          <w:rFonts w:eastAsia="Times New Roman"/>
          <w:sz w:val="28"/>
          <w:szCs w:val="28"/>
        </w:rPr>
        <w:t>financiaba</w:t>
      </w:r>
      <w:r w:rsidR="0045247A" w:rsidRPr="002C1A32">
        <w:rPr>
          <w:rFonts w:eastAsia="Times New Roman"/>
          <w:sz w:val="28"/>
          <w:szCs w:val="28"/>
        </w:rPr>
        <w:t xml:space="preserve"> </w:t>
      </w:r>
      <w:r w:rsidR="0045247A" w:rsidRPr="002C1A32">
        <w:rPr>
          <w:rFonts w:eastAsia="Times New Roman"/>
          <w:i/>
          <w:sz w:val="28"/>
          <w:szCs w:val="28"/>
        </w:rPr>
        <w:t>“mediante las becas que asigne el Instituto Colombiano de Bienestar Familiar y los recursos locales”</w:t>
      </w:r>
      <w:r w:rsidR="00BE06FE" w:rsidRPr="002C1A32">
        <w:rPr>
          <w:rStyle w:val="Refdenotaalpie"/>
          <w:rFonts w:eastAsia="Times New Roman"/>
          <w:i/>
          <w:sz w:val="28"/>
          <w:szCs w:val="28"/>
        </w:rPr>
        <w:footnoteReference w:id="33"/>
      </w:r>
      <w:r w:rsidR="0045247A" w:rsidRPr="002C1A32">
        <w:rPr>
          <w:rFonts w:eastAsia="Times New Roman"/>
          <w:sz w:val="28"/>
          <w:szCs w:val="28"/>
        </w:rPr>
        <w:t>.</w:t>
      </w:r>
    </w:p>
    <w:p w14:paraId="222262D5" w14:textId="77777777" w:rsidR="00AE482A" w:rsidRPr="002C1A32" w:rsidRDefault="00AE482A" w:rsidP="002C1A32">
      <w:pPr>
        <w:widowControl w:val="0"/>
        <w:pBdr>
          <w:top w:val="none" w:sz="0" w:space="0" w:color="000000"/>
          <w:left w:val="none" w:sz="0" w:space="0" w:color="000000"/>
          <w:bottom w:val="none" w:sz="0" w:space="0" w:color="000000"/>
          <w:right w:val="none" w:sz="0" w:space="0" w:color="000000"/>
          <w:between w:val="none" w:sz="0" w:space="0" w:color="000000"/>
        </w:pBdr>
        <w:tabs>
          <w:tab w:val="left" w:pos="426"/>
        </w:tabs>
        <w:autoSpaceDE w:val="0"/>
        <w:autoSpaceDN w:val="0"/>
        <w:adjustRightInd w:val="0"/>
        <w:spacing w:after="0" w:line="240" w:lineRule="auto"/>
        <w:ind w:right="49"/>
        <w:contextualSpacing/>
        <w:jc w:val="both"/>
        <w:rPr>
          <w:rFonts w:eastAsia="Times New Roman"/>
          <w:b/>
          <w:sz w:val="28"/>
          <w:szCs w:val="28"/>
        </w:rPr>
      </w:pPr>
    </w:p>
    <w:p w14:paraId="08A8532A" w14:textId="2C7BCFAD" w:rsidR="007C2DFF" w:rsidRPr="002C1A32" w:rsidRDefault="00914D90" w:rsidP="002C1A32">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426"/>
        </w:tabs>
        <w:autoSpaceDE w:val="0"/>
        <w:autoSpaceDN w:val="0"/>
        <w:adjustRightInd w:val="0"/>
        <w:spacing w:after="0" w:line="240" w:lineRule="auto"/>
        <w:ind w:right="49"/>
        <w:contextualSpacing/>
        <w:jc w:val="both"/>
        <w:rPr>
          <w:rFonts w:eastAsia="Times New Roman"/>
          <w:sz w:val="28"/>
          <w:szCs w:val="28"/>
        </w:rPr>
      </w:pPr>
      <w:r w:rsidRPr="002C1A32">
        <w:rPr>
          <w:rFonts w:eastAsia="Times New Roman"/>
          <w:sz w:val="28"/>
          <w:szCs w:val="28"/>
        </w:rPr>
        <w:t>Acorde con el Acuerdo 21 de 1996</w:t>
      </w:r>
      <w:r w:rsidRPr="002C1A32">
        <w:rPr>
          <w:rStyle w:val="Refdenotaalpie"/>
          <w:rFonts w:eastAsia="Times New Roman"/>
          <w:sz w:val="28"/>
          <w:szCs w:val="28"/>
        </w:rPr>
        <w:footnoteReference w:id="34"/>
      </w:r>
      <w:r w:rsidRPr="002C1A32">
        <w:rPr>
          <w:rFonts w:eastAsia="Times New Roman"/>
          <w:sz w:val="28"/>
          <w:szCs w:val="28"/>
        </w:rPr>
        <w:t xml:space="preserve">, el ICBF restructuró el programa de </w:t>
      </w:r>
      <w:r w:rsidR="00260E01" w:rsidRPr="002C1A32">
        <w:rPr>
          <w:rFonts w:eastAsia="Times New Roman"/>
          <w:sz w:val="28"/>
          <w:szCs w:val="28"/>
        </w:rPr>
        <w:t>hogares comunitarios de bienestar (en adelante HCB)</w:t>
      </w:r>
      <w:r w:rsidR="000C6E93" w:rsidRPr="002C1A32">
        <w:rPr>
          <w:rFonts w:eastAsia="Times New Roman"/>
          <w:sz w:val="28"/>
          <w:szCs w:val="28"/>
        </w:rPr>
        <w:t xml:space="preserve"> </w:t>
      </w:r>
      <w:r w:rsidR="007C2DFF" w:rsidRPr="002C1A32">
        <w:rPr>
          <w:rFonts w:eastAsia="Times New Roman"/>
          <w:sz w:val="28"/>
          <w:szCs w:val="28"/>
        </w:rPr>
        <w:t xml:space="preserve">y </w:t>
      </w:r>
      <w:r w:rsidR="00CE0FA3" w:rsidRPr="002C1A32">
        <w:rPr>
          <w:rFonts w:eastAsia="Times New Roman"/>
          <w:sz w:val="28"/>
          <w:szCs w:val="28"/>
        </w:rPr>
        <w:t>entre otras disposiciones, fijó</w:t>
      </w:r>
      <w:r w:rsidR="007C2DFF" w:rsidRPr="002C1A32">
        <w:rPr>
          <w:rFonts w:eastAsia="Times New Roman"/>
          <w:sz w:val="28"/>
          <w:szCs w:val="28"/>
        </w:rPr>
        <w:t xml:space="preserve">: </w:t>
      </w:r>
      <w:r w:rsidR="007C2DFF" w:rsidRPr="002C1A32">
        <w:rPr>
          <w:rFonts w:eastAsia="Times New Roman"/>
          <w:i/>
          <w:sz w:val="28"/>
          <w:szCs w:val="28"/>
        </w:rPr>
        <w:t>(i)</w:t>
      </w:r>
      <w:r w:rsidR="007C2DFF" w:rsidRPr="002C1A32">
        <w:rPr>
          <w:rFonts w:eastAsia="Times New Roman"/>
          <w:sz w:val="28"/>
          <w:szCs w:val="28"/>
        </w:rPr>
        <w:t xml:space="preserve"> el régimen de contrataci</w:t>
      </w:r>
      <w:r w:rsidR="0034794C" w:rsidRPr="002C1A32">
        <w:rPr>
          <w:rFonts w:eastAsia="Times New Roman"/>
          <w:sz w:val="28"/>
          <w:szCs w:val="28"/>
        </w:rPr>
        <w:t>ón</w:t>
      </w:r>
      <w:r w:rsidR="00CE0FA3" w:rsidRPr="002C1A32">
        <w:rPr>
          <w:rFonts w:eastAsia="Times New Roman"/>
          <w:sz w:val="28"/>
          <w:szCs w:val="28"/>
        </w:rPr>
        <w:t xml:space="preserve"> y sus partes</w:t>
      </w:r>
      <w:r w:rsidR="007C2DFF" w:rsidRPr="002C1A32">
        <w:rPr>
          <w:rFonts w:eastAsia="Times New Roman"/>
          <w:sz w:val="28"/>
          <w:szCs w:val="28"/>
        </w:rPr>
        <w:t xml:space="preserve">, </w:t>
      </w:r>
      <w:r w:rsidR="007C2DFF" w:rsidRPr="002C1A32">
        <w:rPr>
          <w:rFonts w:eastAsia="Times New Roman"/>
          <w:i/>
          <w:sz w:val="28"/>
          <w:szCs w:val="28"/>
        </w:rPr>
        <w:t>(ii)</w:t>
      </w:r>
      <w:r w:rsidR="007C2DFF" w:rsidRPr="002C1A32">
        <w:rPr>
          <w:rFonts w:eastAsia="Times New Roman"/>
          <w:sz w:val="28"/>
          <w:szCs w:val="28"/>
        </w:rPr>
        <w:t xml:space="preserve"> el esquema de financiación y </w:t>
      </w:r>
      <w:r w:rsidR="007C2DFF" w:rsidRPr="002C1A32">
        <w:rPr>
          <w:rFonts w:eastAsia="Times New Roman"/>
          <w:i/>
          <w:sz w:val="28"/>
          <w:szCs w:val="28"/>
        </w:rPr>
        <w:t>(iii)</w:t>
      </w:r>
      <w:r w:rsidR="007C2DFF" w:rsidRPr="002C1A32">
        <w:rPr>
          <w:rFonts w:eastAsia="Times New Roman"/>
          <w:sz w:val="28"/>
          <w:szCs w:val="28"/>
        </w:rPr>
        <w:t xml:space="preserve"> los estándares de cumplimiento, </w:t>
      </w:r>
      <w:r w:rsidR="00CE0FA3" w:rsidRPr="002C1A32">
        <w:rPr>
          <w:rFonts w:eastAsia="Times New Roman"/>
          <w:sz w:val="28"/>
          <w:szCs w:val="28"/>
        </w:rPr>
        <w:t>caracterizados a continuación</w:t>
      </w:r>
      <w:r w:rsidR="007C2DFF" w:rsidRPr="002C1A32">
        <w:rPr>
          <w:rFonts w:eastAsia="Times New Roman"/>
          <w:sz w:val="28"/>
          <w:szCs w:val="28"/>
        </w:rPr>
        <w:t>.</w:t>
      </w:r>
    </w:p>
    <w:p w14:paraId="3FE31E1A" w14:textId="77777777" w:rsidR="007C2DFF" w:rsidRPr="002C1A32" w:rsidRDefault="007C2DFF" w:rsidP="002C1A32">
      <w:pPr>
        <w:widowControl w:val="0"/>
        <w:pBdr>
          <w:top w:val="none" w:sz="0" w:space="0" w:color="000000"/>
          <w:left w:val="none" w:sz="0" w:space="0" w:color="000000"/>
          <w:bottom w:val="none" w:sz="0" w:space="0" w:color="000000"/>
          <w:right w:val="none" w:sz="0" w:space="0" w:color="000000"/>
          <w:between w:val="none" w:sz="0" w:space="0" w:color="000000"/>
        </w:pBdr>
        <w:tabs>
          <w:tab w:val="left" w:pos="426"/>
        </w:tabs>
        <w:autoSpaceDE w:val="0"/>
        <w:autoSpaceDN w:val="0"/>
        <w:adjustRightInd w:val="0"/>
        <w:spacing w:after="0" w:line="240" w:lineRule="auto"/>
        <w:ind w:right="49"/>
        <w:contextualSpacing/>
        <w:jc w:val="both"/>
        <w:rPr>
          <w:rFonts w:eastAsia="Times New Roman"/>
          <w:b/>
          <w:sz w:val="28"/>
          <w:szCs w:val="28"/>
        </w:rPr>
      </w:pPr>
    </w:p>
    <w:p w14:paraId="4D4FE720" w14:textId="77777777" w:rsidR="00092747" w:rsidRPr="002C1A32" w:rsidRDefault="00CE0FA3" w:rsidP="002C1A32">
      <w:pPr>
        <w:pStyle w:val="Prrafodelista"/>
        <w:widowControl w:val="0"/>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426"/>
        </w:tabs>
        <w:autoSpaceDE w:val="0"/>
        <w:autoSpaceDN w:val="0"/>
        <w:adjustRightInd w:val="0"/>
        <w:spacing w:after="0" w:line="240" w:lineRule="auto"/>
        <w:ind w:right="49"/>
        <w:jc w:val="both"/>
        <w:rPr>
          <w:rFonts w:eastAsia="Times New Roman"/>
          <w:sz w:val="28"/>
          <w:szCs w:val="28"/>
        </w:rPr>
      </w:pPr>
      <w:r w:rsidRPr="002C1A32">
        <w:rPr>
          <w:rFonts w:eastAsia="Times New Roman"/>
          <w:i/>
          <w:sz w:val="28"/>
          <w:szCs w:val="28"/>
        </w:rPr>
        <w:t>Régimen de contratación y partes.</w:t>
      </w:r>
      <w:r w:rsidRPr="002C1A32">
        <w:rPr>
          <w:rFonts w:eastAsia="Times New Roman"/>
          <w:sz w:val="28"/>
          <w:szCs w:val="28"/>
        </w:rPr>
        <w:t xml:space="preserve"> </w:t>
      </w:r>
      <w:r w:rsidR="007C2DFF" w:rsidRPr="002C1A32">
        <w:rPr>
          <w:rFonts w:eastAsia="Times New Roman"/>
          <w:sz w:val="28"/>
          <w:szCs w:val="28"/>
        </w:rPr>
        <w:t xml:space="preserve">La ejecución del programa se adelantaría </w:t>
      </w:r>
      <w:r w:rsidR="000C6E93" w:rsidRPr="002C1A32">
        <w:rPr>
          <w:rFonts w:eastAsia="Times New Roman"/>
          <w:sz w:val="28"/>
          <w:szCs w:val="28"/>
        </w:rPr>
        <w:t xml:space="preserve">bajo el esquema del contrato de aporte entre la entidad y las </w:t>
      </w:r>
      <w:r w:rsidR="00751B8F" w:rsidRPr="002C1A32">
        <w:rPr>
          <w:rFonts w:eastAsia="Times New Roman"/>
          <w:sz w:val="28"/>
          <w:szCs w:val="28"/>
        </w:rPr>
        <w:t>a</w:t>
      </w:r>
      <w:r w:rsidR="000C6E93" w:rsidRPr="002C1A32">
        <w:rPr>
          <w:rFonts w:eastAsia="Times New Roman"/>
          <w:sz w:val="28"/>
          <w:szCs w:val="28"/>
        </w:rPr>
        <w:t>sociaciones conformadas por los padres de familia de los niños beneficiados</w:t>
      </w:r>
      <w:r w:rsidR="007C2DFF" w:rsidRPr="002C1A32">
        <w:rPr>
          <w:rStyle w:val="Refdenotaalpie"/>
          <w:rFonts w:eastAsia="Times New Roman"/>
          <w:sz w:val="28"/>
          <w:szCs w:val="28"/>
        </w:rPr>
        <w:footnoteReference w:id="35"/>
      </w:r>
      <w:r w:rsidR="001513B7" w:rsidRPr="002C1A32">
        <w:rPr>
          <w:rFonts w:eastAsia="Times New Roman"/>
          <w:sz w:val="28"/>
          <w:szCs w:val="28"/>
        </w:rPr>
        <w:t>, las cuales escogían a la madre o padre comunitario</w:t>
      </w:r>
      <w:r w:rsidR="001513B7" w:rsidRPr="002C1A32">
        <w:rPr>
          <w:rStyle w:val="Refdenotaalpie"/>
          <w:rFonts w:eastAsia="Times New Roman"/>
          <w:sz w:val="28"/>
          <w:szCs w:val="28"/>
        </w:rPr>
        <w:footnoteReference w:id="36"/>
      </w:r>
      <w:r w:rsidR="000C6E93" w:rsidRPr="002C1A32">
        <w:rPr>
          <w:rFonts w:eastAsia="Times New Roman"/>
          <w:sz w:val="28"/>
          <w:szCs w:val="28"/>
        </w:rPr>
        <w:t xml:space="preserve">. </w:t>
      </w:r>
      <w:r w:rsidR="0034794C" w:rsidRPr="002C1A32">
        <w:rPr>
          <w:rFonts w:eastAsia="Times New Roman"/>
          <w:sz w:val="28"/>
          <w:szCs w:val="28"/>
        </w:rPr>
        <w:t>De ello, se identifican por lo menos dos relaciones</w:t>
      </w:r>
      <w:r w:rsidRPr="002C1A32">
        <w:rPr>
          <w:rFonts w:eastAsia="Times New Roman"/>
          <w:sz w:val="28"/>
          <w:szCs w:val="28"/>
        </w:rPr>
        <w:t xml:space="preserve"> jurídicas</w:t>
      </w:r>
      <w:r w:rsidR="0034794C" w:rsidRPr="002C1A32">
        <w:rPr>
          <w:rFonts w:eastAsia="Times New Roman"/>
          <w:sz w:val="28"/>
          <w:szCs w:val="28"/>
        </w:rPr>
        <w:t xml:space="preserve">, una entre el ICBF y la asociación de padres, y otra, entre dicha asociación y la madre comunitaria. </w:t>
      </w:r>
    </w:p>
    <w:p w14:paraId="17AF0987" w14:textId="77777777" w:rsidR="00092747" w:rsidRPr="002C1A32" w:rsidRDefault="00092747" w:rsidP="002C1A32">
      <w:pPr>
        <w:pStyle w:val="Prrafodelista"/>
        <w:widowControl w:val="0"/>
        <w:pBdr>
          <w:top w:val="none" w:sz="0" w:space="0" w:color="000000"/>
          <w:left w:val="none" w:sz="0" w:space="0" w:color="000000"/>
          <w:bottom w:val="none" w:sz="0" w:space="0" w:color="000000"/>
          <w:right w:val="none" w:sz="0" w:space="0" w:color="000000"/>
          <w:between w:val="none" w:sz="0" w:space="0" w:color="000000"/>
        </w:pBdr>
        <w:tabs>
          <w:tab w:val="left" w:pos="426"/>
        </w:tabs>
        <w:autoSpaceDE w:val="0"/>
        <w:autoSpaceDN w:val="0"/>
        <w:adjustRightInd w:val="0"/>
        <w:spacing w:after="0" w:line="240" w:lineRule="auto"/>
        <w:ind w:left="0" w:right="49"/>
        <w:jc w:val="both"/>
        <w:rPr>
          <w:rFonts w:eastAsia="Times New Roman"/>
          <w:i/>
          <w:sz w:val="28"/>
          <w:szCs w:val="28"/>
        </w:rPr>
      </w:pPr>
    </w:p>
    <w:p w14:paraId="439CE118" w14:textId="651EE8B9" w:rsidR="007C2DFF" w:rsidRPr="002C1A32" w:rsidRDefault="0034794C" w:rsidP="002C1A32">
      <w:pPr>
        <w:pStyle w:val="Prrafodelista"/>
        <w:widowControl w:val="0"/>
        <w:numPr>
          <w:ilvl w:val="2"/>
          <w:numId w:val="2"/>
        </w:numPr>
        <w:pBdr>
          <w:top w:val="none" w:sz="0" w:space="0" w:color="000000"/>
          <w:left w:val="none" w:sz="0" w:space="0" w:color="000000"/>
          <w:bottom w:val="none" w:sz="0" w:space="0" w:color="000000"/>
          <w:right w:val="none" w:sz="0" w:space="0" w:color="000000"/>
          <w:between w:val="none" w:sz="0" w:space="0" w:color="000000"/>
        </w:pBdr>
        <w:tabs>
          <w:tab w:val="left" w:pos="426"/>
        </w:tabs>
        <w:autoSpaceDE w:val="0"/>
        <w:autoSpaceDN w:val="0"/>
        <w:adjustRightInd w:val="0"/>
        <w:spacing w:after="0" w:line="240" w:lineRule="auto"/>
        <w:ind w:right="49"/>
        <w:jc w:val="both"/>
        <w:rPr>
          <w:rFonts w:eastAsia="Times New Roman"/>
          <w:sz w:val="28"/>
          <w:szCs w:val="28"/>
        </w:rPr>
      </w:pPr>
      <w:r w:rsidRPr="002C1A32">
        <w:rPr>
          <w:rFonts w:eastAsia="Times New Roman"/>
          <w:sz w:val="28"/>
          <w:szCs w:val="28"/>
        </w:rPr>
        <w:t xml:space="preserve">Frente a la primera, el Consejo de Estado </w:t>
      </w:r>
      <w:r w:rsidR="00CE0FA3" w:rsidRPr="002C1A32">
        <w:rPr>
          <w:rFonts w:eastAsia="Times New Roman"/>
          <w:sz w:val="28"/>
          <w:szCs w:val="28"/>
        </w:rPr>
        <w:t xml:space="preserve">al pronunciarse sobre el contrato de aporte, consideró </w:t>
      </w:r>
      <w:r w:rsidRPr="002C1A32">
        <w:rPr>
          <w:rFonts w:eastAsia="Times New Roman"/>
          <w:sz w:val="28"/>
          <w:szCs w:val="28"/>
        </w:rPr>
        <w:t>lo siguiente:</w:t>
      </w:r>
    </w:p>
    <w:p w14:paraId="212C2C6C" w14:textId="77777777" w:rsidR="0034794C" w:rsidRPr="002C1A32" w:rsidRDefault="0034794C" w:rsidP="002C1A32">
      <w:pPr>
        <w:pStyle w:val="Prrafodelista"/>
        <w:widowControl w:val="0"/>
        <w:pBdr>
          <w:top w:val="none" w:sz="0" w:space="0" w:color="000000"/>
          <w:left w:val="none" w:sz="0" w:space="0" w:color="000000"/>
          <w:bottom w:val="none" w:sz="0" w:space="0" w:color="000000"/>
          <w:right w:val="none" w:sz="0" w:space="0" w:color="000000"/>
          <w:between w:val="none" w:sz="0" w:space="0" w:color="000000"/>
        </w:pBdr>
        <w:tabs>
          <w:tab w:val="left" w:pos="426"/>
        </w:tabs>
        <w:autoSpaceDE w:val="0"/>
        <w:autoSpaceDN w:val="0"/>
        <w:adjustRightInd w:val="0"/>
        <w:spacing w:after="0" w:line="240" w:lineRule="auto"/>
        <w:ind w:left="0" w:right="49"/>
        <w:jc w:val="both"/>
        <w:rPr>
          <w:rFonts w:eastAsia="Times New Roman"/>
          <w:sz w:val="28"/>
          <w:szCs w:val="28"/>
        </w:rPr>
      </w:pPr>
    </w:p>
    <w:p w14:paraId="3A375F79" w14:textId="79D6AE32" w:rsidR="0034794C" w:rsidRPr="002C1A32" w:rsidRDefault="0034794C" w:rsidP="002C1A32">
      <w:pPr>
        <w:widowControl w:val="0"/>
        <w:pBdr>
          <w:top w:val="none" w:sz="0" w:space="0" w:color="000000"/>
          <w:left w:val="none" w:sz="0" w:space="0" w:color="000000"/>
          <w:bottom w:val="none" w:sz="0" w:space="0" w:color="000000"/>
          <w:right w:val="none" w:sz="0" w:space="0" w:color="000000"/>
          <w:between w:val="none" w:sz="0" w:space="0" w:color="000000"/>
        </w:pBdr>
        <w:tabs>
          <w:tab w:val="left" w:pos="426"/>
        </w:tabs>
        <w:autoSpaceDE w:val="0"/>
        <w:autoSpaceDN w:val="0"/>
        <w:adjustRightInd w:val="0"/>
        <w:spacing w:after="0" w:line="240" w:lineRule="auto"/>
        <w:ind w:right="397"/>
        <w:contextualSpacing/>
        <w:jc w:val="both"/>
        <w:rPr>
          <w:rFonts w:eastAsia="Times New Roman"/>
          <w:sz w:val="28"/>
          <w:szCs w:val="28"/>
        </w:rPr>
      </w:pPr>
      <w:r w:rsidRPr="002C1A32">
        <w:rPr>
          <w:rFonts w:eastAsia="Times New Roman"/>
          <w:sz w:val="28"/>
          <w:szCs w:val="28"/>
        </w:rPr>
        <w:t>[E]el contrato de aporte es “una clase de convención atípica encaminada a que el ICBF -en virtud de su función de propender y fortalecer la integración y el desarrollo armónico de la familia, proteja al menor de edad y le garantice sus derechos- suscriba con personas naturales o jurídicas, públicas o privadas, nacionales o internacionales el manejo de sus campañas, de los establecimientos destinados a sus programas y en general para el desarrollo de su objetivo (...) El objeto de todo contrato de aporte es la provisión o entrega de bienes del ICBF a otra institución que se encarga de prestar el servicio público de bienestar familiar, a diferencia del contrato de prestación de servicios. (...) [E]l ingreso al sistema nacional de bienestar familiar no depende del acto de creación de la persona jurídica que presta el servicio de forma indirecta, sino de la prestación que esta realiza a partir de sus obligaciones contractuales. No se desprende de una formalidad, sino de la puesta en marcha de actividades que, bajo la dirección, vigilancia y control del ICBF, satisfagan la necesidad tantas veces mencionada de protección de la población infantil y de las familias en situación de vulnerabilidad</w:t>
      </w:r>
      <w:r w:rsidRPr="002C1A32">
        <w:rPr>
          <w:rStyle w:val="Refdenotaalpie"/>
          <w:rFonts w:eastAsia="Times New Roman"/>
          <w:sz w:val="28"/>
          <w:szCs w:val="28"/>
        </w:rPr>
        <w:footnoteReference w:id="37"/>
      </w:r>
      <w:r w:rsidRPr="002C1A32">
        <w:rPr>
          <w:rFonts w:eastAsia="Times New Roman"/>
          <w:sz w:val="28"/>
          <w:szCs w:val="28"/>
        </w:rPr>
        <w:t>.</w:t>
      </w:r>
    </w:p>
    <w:p w14:paraId="276B5CF8" w14:textId="77777777" w:rsidR="007C2DFF" w:rsidRPr="002C1A32" w:rsidRDefault="007C2DFF" w:rsidP="002C1A32">
      <w:pPr>
        <w:pStyle w:val="Prrafodelista"/>
        <w:widowControl w:val="0"/>
        <w:pBdr>
          <w:top w:val="none" w:sz="0" w:space="0" w:color="000000"/>
          <w:left w:val="none" w:sz="0" w:space="0" w:color="000000"/>
          <w:bottom w:val="none" w:sz="0" w:space="0" w:color="000000"/>
          <w:right w:val="none" w:sz="0" w:space="0" w:color="000000"/>
          <w:between w:val="none" w:sz="0" w:space="0" w:color="000000"/>
        </w:pBdr>
        <w:tabs>
          <w:tab w:val="left" w:pos="426"/>
        </w:tabs>
        <w:autoSpaceDE w:val="0"/>
        <w:autoSpaceDN w:val="0"/>
        <w:adjustRightInd w:val="0"/>
        <w:spacing w:after="0" w:line="240" w:lineRule="auto"/>
        <w:ind w:left="0" w:right="49"/>
        <w:jc w:val="both"/>
        <w:rPr>
          <w:rFonts w:eastAsia="Times New Roman"/>
          <w:sz w:val="28"/>
          <w:szCs w:val="28"/>
        </w:rPr>
      </w:pPr>
    </w:p>
    <w:p w14:paraId="4D97E391" w14:textId="53BBB9BE" w:rsidR="00CE0FA3" w:rsidRPr="002C1A32" w:rsidRDefault="00CE0FA3" w:rsidP="002C1A32">
      <w:pPr>
        <w:pStyle w:val="Prrafodelista"/>
        <w:widowControl w:val="0"/>
        <w:numPr>
          <w:ilvl w:val="2"/>
          <w:numId w:val="2"/>
        </w:numPr>
        <w:pBdr>
          <w:top w:val="none" w:sz="0" w:space="0" w:color="000000"/>
          <w:left w:val="none" w:sz="0" w:space="0" w:color="000000"/>
          <w:bottom w:val="none" w:sz="0" w:space="0" w:color="000000"/>
          <w:right w:val="none" w:sz="0" w:space="0" w:color="000000"/>
          <w:between w:val="none" w:sz="0" w:space="0" w:color="000000"/>
        </w:pBdr>
        <w:tabs>
          <w:tab w:val="left" w:pos="426"/>
        </w:tabs>
        <w:autoSpaceDE w:val="0"/>
        <w:autoSpaceDN w:val="0"/>
        <w:adjustRightInd w:val="0"/>
        <w:spacing w:after="0" w:line="240" w:lineRule="auto"/>
        <w:ind w:right="49"/>
        <w:jc w:val="both"/>
        <w:rPr>
          <w:rFonts w:eastAsia="Times New Roman"/>
          <w:sz w:val="28"/>
          <w:szCs w:val="28"/>
        </w:rPr>
      </w:pPr>
      <w:r w:rsidRPr="002C1A32">
        <w:rPr>
          <w:rFonts w:eastAsia="Times New Roman"/>
          <w:sz w:val="28"/>
          <w:szCs w:val="28"/>
        </w:rPr>
        <w:t>En cuanto a la segunda, en la Sentencia SU-224 de 1998, la Corte se pronunció sobre la relación jurídica entre una madre comunitaria y la asociación de padres y el ICBF, estos últimos acusados de vulnerar el derecho al trabajo de la accionante por suspender el HCB a su cargo. En esta oportunidad, la Sala concluyó que no es posible derivar la afectación de dicho derecho fundamental cuando el vínculo que los une es de naturaleza civil, con fundamento en lo siguiente:</w:t>
      </w:r>
    </w:p>
    <w:p w14:paraId="570214BB" w14:textId="77777777" w:rsidR="00CE0FA3" w:rsidRPr="002C1A32" w:rsidRDefault="00CE0FA3" w:rsidP="002C1A32">
      <w:pPr>
        <w:widowControl w:val="0"/>
        <w:pBdr>
          <w:top w:val="none" w:sz="0" w:space="0" w:color="000000"/>
          <w:left w:val="none" w:sz="0" w:space="0" w:color="000000"/>
          <w:bottom w:val="none" w:sz="0" w:space="0" w:color="000000"/>
          <w:right w:val="none" w:sz="0" w:space="0" w:color="000000"/>
          <w:between w:val="none" w:sz="0" w:space="0" w:color="000000"/>
        </w:pBdr>
        <w:tabs>
          <w:tab w:val="left" w:pos="426"/>
        </w:tabs>
        <w:autoSpaceDE w:val="0"/>
        <w:autoSpaceDN w:val="0"/>
        <w:adjustRightInd w:val="0"/>
        <w:spacing w:after="0" w:line="240" w:lineRule="auto"/>
        <w:ind w:right="49"/>
        <w:contextualSpacing/>
        <w:jc w:val="both"/>
        <w:rPr>
          <w:rFonts w:eastAsia="Times New Roman"/>
          <w:sz w:val="28"/>
          <w:szCs w:val="28"/>
        </w:rPr>
      </w:pPr>
    </w:p>
    <w:p w14:paraId="05E228B9" w14:textId="77777777" w:rsidR="00CE0FA3" w:rsidRPr="002C1A32" w:rsidRDefault="00CE0FA3" w:rsidP="002C1A32">
      <w:pPr>
        <w:widowControl w:val="0"/>
        <w:pBdr>
          <w:top w:val="none" w:sz="0" w:space="0" w:color="000000"/>
          <w:left w:val="none" w:sz="0" w:space="0" w:color="000000"/>
          <w:bottom w:val="none" w:sz="0" w:space="0" w:color="000000"/>
          <w:right w:val="none" w:sz="0" w:space="0" w:color="000000"/>
          <w:between w:val="none" w:sz="0" w:space="0" w:color="000000"/>
        </w:pBdr>
        <w:tabs>
          <w:tab w:val="left" w:pos="426"/>
        </w:tabs>
        <w:autoSpaceDE w:val="0"/>
        <w:autoSpaceDN w:val="0"/>
        <w:adjustRightInd w:val="0"/>
        <w:spacing w:after="0" w:line="240" w:lineRule="auto"/>
        <w:ind w:right="397"/>
        <w:contextualSpacing/>
        <w:jc w:val="both"/>
        <w:rPr>
          <w:rFonts w:eastAsia="Times New Roman"/>
          <w:sz w:val="28"/>
          <w:szCs w:val="28"/>
        </w:rPr>
      </w:pPr>
      <w:r w:rsidRPr="002C1A32">
        <w:rPr>
          <w:rFonts w:eastAsia="Times New Roman"/>
          <w:sz w:val="28"/>
          <w:szCs w:val="28"/>
        </w:rPr>
        <w:t>Como es sabido, para que exista una vinculación contractual de carácter laboral se requiere la prestación personal del servicio por parte del trabajador, la subordinación y el salario, este último como retribución del servicio; y si se trata de un empleado vinculado a través de una relación legal y reglamentaria, el respectivo nombramiento de la autoridad oficial nominadora, con la prestación personal del servicio con posterioridad a la posesión, unido a la subordinación y el respectivo salario, cuyos presupuestos no aparecen configurados en el asunto </w:t>
      </w:r>
      <w:r w:rsidRPr="002C1A32">
        <w:rPr>
          <w:rFonts w:eastAsia="Times New Roman"/>
          <w:i/>
          <w:sz w:val="28"/>
          <w:szCs w:val="28"/>
        </w:rPr>
        <w:t>sub-examine</w:t>
      </w:r>
      <w:r w:rsidRPr="002C1A32">
        <w:rPr>
          <w:rFonts w:eastAsia="Times New Roman"/>
          <w:sz w:val="28"/>
          <w:szCs w:val="28"/>
        </w:rPr>
        <w:t>. (…)</w:t>
      </w:r>
    </w:p>
    <w:p w14:paraId="5040EC11" w14:textId="77777777" w:rsidR="00CE0FA3" w:rsidRPr="002C1A32" w:rsidRDefault="00CE0FA3" w:rsidP="002C1A32">
      <w:pPr>
        <w:widowControl w:val="0"/>
        <w:pBdr>
          <w:top w:val="none" w:sz="0" w:space="0" w:color="000000"/>
          <w:left w:val="none" w:sz="0" w:space="0" w:color="000000"/>
          <w:bottom w:val="none" w:sz="0" w:space="0" w:color="000000"/>
          <w:right w:val="none" w:sz="0" w:space="0" w:color="000000"/>
          <w:between w:val="none" w:sz="0" w:space="0" w:color="000000"/>
        </w:pBdr>
        <w:tabs>
          <w:tab w:val="left" w:pos="426"/>
        </w:tabs>
        <w:autoSpaceDE w:val="0"/>
        <w:autoSpaceDN w:val="0"/>
        <w:adjustRightInd w:val="0"/>
        <w:spacing w:after="0" w:line="240" w:lineRule="auto"/>
        <w:ind w:right="49"/>
        <w:contextualSpacing/>
        <w:jc w:val="both"/>
        <w:rPr>
          <w:rFonts w:eastAsia="Times New Roman"/>
          <w:sz w:val="28"/>
          <w:szCs w:val="28"/>
        </w:rPr>
      </w:pPr>
    </w:p>
    <w:p w14:paraId="65AD1E1E" w14:textId="77777777" w:rsidR="00CE0FA3" w:rsidRPr="002C1A32" w:rsidRDefault="00CE0FA3" w:rsidP="002C1A32">
      <w:pPr>
        <w:widowControl w:val="0"/>
        <w:pBdr>
          <w:top w:val="none" w:sz="0" w:space="0" w:color="000000"/>
          <w:left w:val="none" w:sz="0" w:space="0" w:color="000000"/>
          <w:bottom w:val="none" w:sz="0" w:space="0" w:color="000000"/>
          <w:right w:val="none" w:sz="0" w:space="0" w:color="000000"/>
          <w:between w:val="none" w:sz="0" w:space="0" w:color="000000"/>
        </w:pBdr>
        <w:tabs>
          <w:tab w:val="left" w:pos="426"/>
        </w:tabs>
        <w:autoSpaceDE w:val="0"/>
        <w:autoSpaceDN w:val="0"/>
        <w:adjustRightInd w:val="0"/>
        <w:spacing w:after="0" w:line="240" w:lineRule="auto"/>
        <w:ind w:right="397"/>
        <w:contextualSpacing/>
        <w:jc w:val="both"/>
        <w:rPr>
          <w:rFonts w:eastAsia="Times New Roman"/>
          <w:sz w:val="28"/>
          <w:szCs w:val="28"/>
        </w:rPr>
      </w:pPr>
      <w:r w:rsidRPr="002C1A32">
        <w:rPr>
          <w:rFonts w:eastAsia="Times New Roman"/>
          <w:sz w:val="28"/>
          <w:szCs w:val="28"/>
        </w:rPr>
        <w:t>Por consiguiente, con respecto al posible desconocimiento del derecho al trabajo, invocado por la peticionaria, por la terminación de la relación vigente y la suspensión de la actividad del hogar comunitario a su cargo, es pertinente concluir que, si de la relación existente entre la demandante y la accionada no se desprende una vinculación de carácter laboral, no es posible deducir la amenaza o violación de dicho derecho, razón por la cual no prospera la tutela para los efectos de la protección del mismo.</w:t>
      </w:r>
    </w:p>
    <w:p w14:paraId="5FF3A1B5" w14:textId="208F93F8" w:rsidR="00CE0FA3" w:rsidRPr="002C1A32" w:rsidRDefault="00CE0FA3" w:rsidP="002C1A32">
      <w:pPr>
        <w:pStyle w:val="Prrafodelista"/>
        <w:widowControl w:val="0"/>
        <w:pBdr>
          <w:top w:val="none" w:sz="0" w:space="0" w:color="000000"/>
          <w:left w:val="none" w:sz="0" w:space="0" w:color="000000"/>
          <w:bottom w:val="none" w:sz="0" w:space="0" w:color="000000"/>
          <w:right w:val="none" w:sz="0" w:space="0" w:color="000000"/>
          <w:between w:val="none" w:sz="0" w:space="0" w:color="000000"/>
        </w:pBdr>
        <w:tabs>
          <w:tab w:val="left" w:pos="426"/>
        </w:tabs>
        <w:autoSpaceDE w:val="0"/>
        <w:autoSpaceDN w:val="0"/>
        <w:adjustRightInd w:val="0"/>
        <w:spacing w:after="0" w:line="240" w:lineRule="auto"/>
        <w:ind w:left="0" w:right="49"/>
        <w:jc w:val="both"/>
        <w:rPr>
          <w:rFonts w:eastAsia="Times New Roman"/>
          <w:sz w:val="28"/>
          <w:szCs w:val="28"/>
        </w:rPr>
      </w:pPr>
    </w:p>
    <w:p w14:paraId="5AADEE14" w14:textId="4E5D5E24" w:rsidR="000C6E93" w:rsidRPr="002C1A32" w:rsidRDefault="00CE0FA3" w:rsidP="002C1A32">
      <w:pPr>
        <w:pStyle w:val="Prrafodelista"/>
        <w:widowControl w:val="0"/>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426"/>
        </w:tabs>
        <w:autoSpaceDE w:val="0"/>
        <w:autoSpaceDN w:val="0"/>
        <w:adjustRightInd w:val="0"/>
        <w:spacing w:after="0" w:line="240" w:lineRule="auto"/>
        <w:ind w:right="49"/>
        <w:jc w:val="both"/>
        <w:rPr>
          <w:rFonts w:eastAsia="Times New Roman"/>
          <w:sz w:val="28"/>
          <w:szCs w:val="28"/>
        </w:rPr>
      </w:pPr>
      <w:r w:rsidRPr="002C1A32">
        <w:rPr>
          <w:rFonts w:eastAsia="Times New Roman"/>
          <w:i/>
          <w:sz w:val="28"/>
          <w:szCs w:val="28"/>
        </w:rPr>
        <w:t xml:space="preserve">Financiación. </w:t>
      </w:r>
      <w:r w:rsidR="001513B7" w:rsidRPr="002C1A32">
        <w:rPr>
          <w:rFonts w:eastAsia="Times New Roman"/>
          <w:sz w:val="28"/>
          <w:szCs w:val="28"/>
        </w:rPr>
        <w:t xml:space="preserve">El programa se </w:t>
      </w:r>
      <w:r w:rsidR="00286C03" w:rsidRPr="002C1A32">
        <w:rPr>
          <w:rFonts w:eastAsia="Times New Roman"/>
          <w:sz w:val="28"/>
          <w:szCs w:val="28"/>
        </w:rPr>
        <w:t>costearía</w:t>
      </w:r>
      <w:r w:rsidR="00751B8F" w:rsidRPr="002C1A32">
        <w:rPr>
          <w:rFonts w:eastAsia="Times New Roman"/>
          <w:sz w:val="28"/>
          <w:szCs w:val="28"/>
        </w:rPr>
        <w:t>,</w:t>
      </w:r>
      <w:r w:rsidR="000C6E93" w:rsidRPr="002C1A32">
        <w:rPr>
          <w:rFonts w:eastAsia="Times New Roman"/>
          <w:sz w:val="28"/>
          <w:szCs w:val="28"/>
        </w:rPr>
        <w:t xml:space="preserve"> entre otras, </w:t>
      </w:r>
      <w:r w:rsidR="00286C03" w:rsidRPr="002C1A32">
        <w:rPr>
          <w:rFonts w:eastAsia="Times New Roman"/>
          <w:sz w:val="28"/>
          <w:szCs w:val="28"/>
        </w:rPr>
        <w:t>con</w:t>
      </w:r>
      <w:r w:rsidR="000C6E93" w:rsidRPr="002C1A32">
        <w:rPr>
          <w:rFonts w:eastAsia="Times New Roman"/>
          <w:sz w:val="28"/>
          <w:szCs w:val="28"/>
        </w:rPr>
        <w:t xml:space="preserve"> la transferencia de recursos mediante la denominada beca, la cual, se define en los siguientes términos: </w:t>
      </w:r>
    </w:p>
    <w:p w14:paraId="793CFA3C" w14:textId="77777777" w:rsidR="000C6E93" w:rsidRPr="002C1A32" w:rsidRDefault="000C6E93" w:rsidP="002C1A32">
      <w:pPr>
        <w:widowControl w:val="0"/>
        <w:pBdr>
          <w:top w:val="none" w:sz="0" w:space="0" w:color="000000"/>
          <w:left w:val="none" w:sz="0" w:space="0" w:color="000000"/>
          <w:bottom w:val="none" w:sz="0" w:space="0" w:color="000000"/>
          <w:right w:val="none" w:sz="0" w:space="0" w:color="000000"/>
          <w:between w:val="none" w:sz="0" w:space="0" w:color="000000"/>
        </w:pBdr>
        <w:tabs>
          <w:tab w:val="left" w:pos="426"/>
        </w:tabs>
        <w:autoSpaceDE w:val="0"/>
        <w:autoSpaceDN w:val="0"/>
        <w:adjustRightInd w:val="0"/>
        <w:spacing w:after="0" w:line="240" w:lineRule="auto"/>
        <w:ind w:right="49"/>
        <w:contextualSpacing/>
        <w:jc w:val="both"/>
        <w:rPr>
          <w:rFonts w:eastAsia="Times New Roman"/>
          <w:b/>
          <w:sz w:val="28"/>
          <w:szCs w:val="28"/>
        </w:rPr>
      </w:pPr>
    </w:p>
    <w:p w14:paraId="39F3FF30" w14:textId="77777777" w:rsidR="000C6E93" w:rsidRPr="002C1A32" w:rsidRDefault="000C6E93" w:rsidP="002C1A32">
      <w:pPr>
        <w:widowControl w:val="0"/>
        <w:pBdr>
          <w:top w:val="none" w:sz="0" w:space="0" w:color="000000"/>
          <w:left w:val="none" w:sz="0" w:space="0" w:color="000000"/>
          <w:bottom w:val="none" w:sz="0" w:space="0" w:color="000000"/>
          <w:right w:val="none" w:sz="0" w:space="0" w:color="000000"/>
          <w:between w:val="none" w:sz="0" w:space="0" w:color="000000"/>
        </w:pBdr>
        <w:tabs>
          <w:tab w:val="left" w:pos="426"/>
        </w:tabs>
        <w:autoSpaceDE w:val="0"/>
        <w:autoSpaceDN w:val="0"/>
        <w:adjustRightInd w:val="0"/>
        <w:spacing w:after="0" w:line="240" w:lineRule="auto"/>
        <w:ind w:right="397"/>
        <w:contextualSpacing/>
        <w:jc w:val="both"/>
        <w:rPr>
          <w:rFonts w:eastAsia="Times New Roman"/>
          <w:sz w:val="28"/>
          <w:szCs w:val="28"/>
        </w:rPr>
      </w:pPr>
      <w:r w:rsidRPr="002C1A32">
        <w:rPr>
          <w:rFonts w:eastAsia="Times New Roman"/>
          <w:sz w:val="28"/>
          <w:szCs w:val="28"/>
        </w:rPr>
        <w:t xml:space="preserve">Por beca se entiende los recursos, que se asignen a las familias para atender a los niños y por lo tanto se destinarán a. madre comunitaria, reposición de dotación, aseo y combustible, raciones, material didáctico duradero y de consumo para hacer actividades con los niños y apoyo para servicios públicos. Para la ejecución de estos recursos las asociaciones de padres o las Organizaciones Comunitarias deberán observar estrictamente los lineamientos del ICBF. </w:t>
      </w:r>
    </w:p>
    <w:p w14:paraId="4F901DF8" w14:textId="77777777" w:rsidR="000C6E93" w:rsidRPr="002C1A32" w:rsidRDefault="000C6E93" w:rsidP="002C1A32">
      <w:pPr>
        <w:widowControl w:val="0"/>
        <w:pBdr>
          <w:top w:val="none" w:sz="0" w:space="0" w:color="000000"/>
          <w:left w:val="none" w:sz="0" w:space="0" w:color="000000"/>
          <w:bottom w:val="none" w:sz="0" w:space="0" w:color="000000"/>
          <w:right w:val="none" w:sz="0" w:space="0" w:color="000000"/>
          <w:between w:val="none" w:sz="0" w:space="0" w:color="000000"/>
        </w:pBdr>
        <w:tabs>
          <w:tab w:val="left" w:pos="426"/>
        </w:tabs>
        <w:autoSpaceDE w:val="0"/>
        <w:autoSpaceDN w:val="0"/>
        <w:adjustRightInd w:val="0"/>
        <w:spacing w:after="0" w:line="240" w:lineRule="auto"/>
        <w:ind w:right="397"/>
        <w:contextualSpacing/>
        <w:jc w:val="both"/>
        <w:rPr>
          <w:rFonts w:eastAsia="Times New Roman"/>
          <w:sz w:val="28"/>
          <w:szCs w:val="28"/>
        </w:rPr>
      </w:pPr>
    </w:p>
    <w:p w14:paraId="14ED02AE" w14:textId="4D22EAA2" w:rsidR="000C6E93" w:rsidRPr="002C1A32" w:rsidRDefault="000C6E93" w:rsidP="002C1A32">
      <w:pPr>
        <w:widowControl w:val="0"/>
        <w:pBdr>
          <w:top w:val="none" w:sz="0" w:space="0" w:color="000000"/>
          <w:left w:val="none" w:sz="0" w:space="0" w:color="000000"/>
          <w:bottom w:val="none" w:sz="0" w:space="0" w:color="000000"/>
          <w:right w:val="none" w:sz="0" w:space="0" w:color="000000"/>
          <w:between w:val="none" w:sz="0" w:space="0" w:color="000000"/>
        </w:pBdr>
        <w:tabs>
          <w:tab w:val="left" w:pos="426"/>
        </w:tabs>
        <w:autoSpaceDE w:val="0"/>
        <w:autoSpaceDN w:val="0"/>
        <w:adjustRightInd w:val="0"/>
        <w:spacing w:after="0" w:line="240" w:lineRule="auto"/>
        <w:ind w:right="397"/>
        <w:contextualSpacing/>
        <w:jc w:val="both"/>
        <w:rPr>
          <w:rFonts w:eastAsia="Times New Roman"/>
          <w:sz w:val="28"/>
          <w:szCs w:val="28"/>
        </w:rPr>
      </w:pPr>
      <w:r w:rsidRPr="002C1A32">
        <w:rPr>
          <w:rFonts w:eastAsia="Times New Roman"/>
          <w:sz w:val="28"/>
          <w:szCs w:val="28"/>
        </w:rPr>
        <w:t>PARÁGRAFO. Será competencia de la Junta Directiva, de acuerdo con la disponibilidad presupuestal del ICBF fijar en cada vigencia fiscal los costos de cada componente de la beca</w:t>
      </w:r>
      <w:r w:rsidRPr="002C1A32">
        <w:rPr>
          <w:rStyle w:val="Refdenotaalpie"/>
          <w:rFonts w:eastAsia="Times New Roman"/>
          <w:sz w:val="28"/>
          <w:szCs w:val="28"/>
        </w:rPr>
        <w:footnoteReference w:id="38"/>
      </w:r>
      <w:r w:rsidRPr="002C1A32">
        <w:rPr>
          <w:rFonts w:eastAsia="Times New Roman"/>
          <w:sz w:val="28"/>
          <w:szCs w:val="28"/>
        </w:rPr>
        <w:t>.</w:t>
      </w:r>
    </w:p>
    <w:p w14:paraId="651312CF" w14:textId="77777777" w:rsidR="000C6E93" w:rsidRPr="002C1A32" w:rsidRDefault="000C6E93" w:rsidP="002C1A32">
      <w:pPr>
        <w:widowControl w:val="0"/>
        <w:pBdr>
          <w:top w:val="none" w:sz="0" w:space="0" w:color="000000"/>
          <w:left w:val="none" w:sz="0" w:space="0" w:color="000000"/>
          <w:bottom w:val="none" w:sz="0" w:space="0" w:color="000000"/>
          <w:right w:val="none" w:sz="0" w:space="0" w:color="000000"/>
          <w:between w:val="none" w:sz="0" w:space="0" w:color="000000"/>
        </w:pBdr>
        <w:tabs>
          <w:tab w:val="left" w:pos="426"/>
        </w:tabs>
        <w:autoSpaceDE w:val="0"/>
        <w:autoSpaceDN w:val="0"/>
        <w:adjustRightInd w:val="0"/>
        <w:spacing w:after="0" w:line="240" w:lineRule="auto"/>
        <w:ind w:right="397"/>
        <w:contextualSpacing/>
        <w:jc w:val="both"/>
        <w:rPr>
          <w:rFonts w:eastAsia="Times New Roman"/>
          <w:sz w:val="28"/>
          <w:szCs w:val="28"/>
        </w:rPr>
      </w:pPr>
    </w:p>
    <w:p w14:paraId="6657A38D" w14:textId="424D386A" w:rsidR="00286C03" w:rsidRPr="002C1A32" w:rsidRDefault="00286C03" w:rsidP="002C1A32">
      <w:pPr>
        <w:pStyle w:val="Prrafodelista"/>
        <w:widowControl w:val="0"/>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426"/>
        </w:tabs>
        <w:autoSpaceDE w:val="0"/>
        <w:autoSpaceDN w:val="0"/>
        <w:adjustRightInd w:val="0"/>
        <w:spacing w:after="0" w:line="240" w:lineRule="auto"/>
        <w:ind w:right="49"/>
        <w:jc w:val="both"/>
        <w:rPr>
          <w:rFonts w:eastAsia="Times New Roman"/>
          <w:sz w:val="28"/>
          <w:szCs w:val="28"/>
        </w:rPr>
      </w:pPr>
      <w:r w:rsidRPr="002C1A32">
        <w:rPr>
          <w:rFonts w:eastAsia="Times New Roman"/>
          <w:i/>
          <w:sz w:val="28"/>
          <w:szCs w:val="28"/>
        </w:rPr>
        <w:t xml:space="preserve">Estándares de cumplimiento. </w:t>
      </w:r>
      <w:r w:rsidR="00084E29" w:rsidRPr="002C1A32">
        <w:rPr>
          <w:rFonts w:eastAsia="Times New Roman"/>
          <w:sz w:val="28"/>
          <w:szCs w:val="28"/>
        </w:rPr>
        <w:t>La Dirección General del ICBF fijó  los lineamientos y procedimientos técnicos y administrativos para garantizar el cumplimiento del programa de HCB</w:t>
      </w:r>
      <w:r w:rsidR="00084E29" w:rsidRPr="002C1A32">
        <w:rPr>
          <w:rStyle w:val="Refdenotaalpie"/>
          <w:rFonts w:eastAsia="Times New Roman"/>
          <w:sz w:val="28"/>
          <w:szCs w:val="28"/>
        </w:rPr>
        <w:footnoteReference w:id="39"/>
      </w:r>
      <w:r w:rsidR="00084E29" w:rsidRPr="002C1A32">
        <w:rPr>
          <w:rFonts w:eastAsia="Times New Roman"/>
          <w:sz w:val="28"/>
          <w:szCs w:val="28"/>
        </w:rPr>
        <w:t xml:space="preserve">. Es así, como mediante el </w:t>
      </w:r>
      <w:r w:rsidRPr="002C1A32">
        <w:rPr>
          <w:rFonts w:eastAsia="Times New Roman"/>
          <w:sz w:val="28"/>
          <w:szCs w:val="28"/>
        </w:rPr>
        <w:t xml:space="preserve">Acuerdo 050 de 1996 adoptó </w:t>
      </w:r>
      <w:r w:rsidR="00084E29" w:rsidRPr="002C1A32">
        <w:rPr>
          <w:rFonts w:eastAsia="Times New Roman"/>
          <w:sz w:val="28"/>
          <w:szCs w:val="28"/>
        </w:rPr>
        <w:t>los estándares a seguir y sus respectivas causales de suspensión o cierre</w:t>
      </w:r>
      <w:r w:rsidR="00084E29" w:rsidRPr="002C1A32">
        <w:rPr>
          <w:rStyle w:val="Refdenotaalpie"/>
          <w:rFonts w:eastAsia="Times New Roman"/>
          <w:sz w:val="28"/>
          <w:szCs w:val="28"/>
        </w:rPr>
        <w:footnoteReference w:id="40"/>
      </w:r>
      <w:r w:rsidR="00084E29" w:rsidRPr="002C1A32">
        <w:rPr>
          <w:rFonts w:eastAsia="Times New Roman"/>
          <w:sz w:val="28"/>
          <w:szCs w:val="28"/>
        </w:rPr>
        <w:t xml:space="preserve">. </w:t>
      </w:r>
      <w:r w:rsidR="00911233" w:rsidRPr="002C1A32">
        <w:rPr>
          <w:rFonts w:eastAsia="Times New Roman"/>
          <w:sz w:val="28"/>
          <w:szCs w:val="28"/>
        </w:rPr>
        <w:t xml:space="preserve">Al respecto, en la Sentencia T-130 de 2015, la Corte consideró que </w:t>
      </w:r>
      <w:r w:rsidR="001D767F" w:rsidRPr="002C1A32">
        <w:rPr>
          <w:rFonts w:eastAsia="Times New Roman"/>
          <w:sz w:val="28"/>
          <w:szCs w:val="28"/>
        </w:rPr>
        <w:t>el cierre de un hogar comunitario por el incumplimiento de las directrices no configura una relación laboral</w:t>
      </w:r>
      <w:r w:rsidR="002057E9" w:rsidRPr="002C1A32">
        <w:rPr>
          <w:rStyle w:val="Refdenotaalpie"/>
          <w:rFonts w:eastAsia="Times New Roman"/>
          <w:sz w:val="28"/>
          <w:szCs w:val="28"/>
        </w:rPr>
        <w:footnoteReference w:id="41"/>
      </w:r>
      <w:r w:rsidR="001D767F" w:rsidRPr="002C1A32">
        <w:rPr>
          <w:rFonts w:eastAsia="Times New Roman"/>
          <w:sz w:val="28"/>
          <w:szCs w:val="28"/>
        </w:rPr>
        <w:t xml:space="preserve">, debido a lo siguiente: </w:t>
      </w:r>
    </w:p>
    <w:p w14:paraId="659DFCD9" w14:textId="77777777" w:rsidR="00286C03" w:rsidRPr="002C1A32" w:rsidRDefault="00286C03" w:rsidP="002C1A32">
      <w:pPr>
        <w:widowControl w:val="0"/>
        <w:pBdr>
          <w:top w:val="none" w:sz="0" w:space="0" w:color="000000"/>
          <w:left w:val="none" w:sz="0" w:space="0" w:color="000000"/>
          <w:bottom w:val="none" w:sz="0" w:space="0" w:color="000000"/>
          <w:right w:val="none" w:sz="0" w:space="0" w:color="000000"/>
          <w:between w:val="none" w:sz="0" w:space="0" w:color="000000"/>
        </w:pBdr>
        <w:tabs>
          <w:tab w:val="left" w:pos="426"/>
        </w:tabs>
        <w:autoSpaceDE w:val="0"/>
        <w:autoSpaceDN w:val="0"/>
        <w:adjustRightInd w:val="0"/>
        <w:spacing w:after="0" w:line="240" w:lineRule="auto"/>
        <w:ind w:right="397"/>
        <w:contextualSpacing/>
        <w:jc w:val="both"/>
        <w:rPr>
          <w:rFonts w:eastAsia="Times New Roman"/>
          <w:sz w:val="28"/>
          <w:szCs w:val="28"/>
        </w:rPr>
      </w:pPr>
    </w:p>
    <w:p w14:paraId="6FDCC351" w14:textId="78F9F861" w:rsidR="00286C03" w:rsidRPr="002C1A32" w:rsidRDefault="00286C03" w:rsidP="002C1A32">
      <w:pPr>
        <w:widowControl w:val="0"/>
        <w:pBdr>
          <w:top w:val="none" w:sz="0" w:space="0" w:color="000000"/>
          <w:left w:val="none" w:sz="0" w:space="0" w:color="000000"/>
          <w:bottom w:val="none" w:sz="0" w:space="0" w:color="000000"/>
          <w:right w:val="none" w:sz="0" w:space="0" w:color="000000"/>
          <w:between w:val="none" w:sz="0" w:space="0" w:color="000000"/>
        </w:pBdr>
        <w:tabs>
          <w:tab w:val="left" w:pos="426"/>
        </w:tabs>
        <w:autoSpaceDE w:val="0"/>
        <w:autoSpaceDN w:val="0"/>
        <w:adjustRightInd w:val="0"/>
        <w:spacing w:after="0" w:line="240" w:lineRule="auto"/>
        <w:ind w:right="397"/>
        <w:contextualSpacing/>
        <w:jc w:val="both"/>
        <w:rPr>
          <w:rFonts w:eastAsia="Times New Roman"/>
          <w:sz w:val="28"/>
          <w:szCs w:val="28"/>
        </w:rPr>
      </w:pPr>
      <w:r w:rsidRPr="002C1A32">
        <w:rPr>
          <w:rFonts w:eastAsia="Times New Roman"/>
          <w:sz w:val="28"/>
          <w:szCs w:val="28"/>
        </w:rPr>
        <w:t xml:space="preserve">En cuanto al cierre de un Hogar Comunitario de Bienestar, el Acuerdo 050 de 1996 dispone que es definitivo y se debe decretar de manera inmediata, cuando se den las causales previstas en el artículo segundo del citado Acuerdo  o como resultado de un proceso de supervisión, en los eventos enunciados en el artículo tercero del mismo acuerdo, mediante resolución motivada que debe ser notificada al representante legal de la Asociación de Padres de Familia, a la madre comunitaria y a la Junta de Padres a la que pertenezca el Hogar. Contra esta decisión procede el recurso de reposición ante el funcionario que profirió el acto y el de apelación ante el Director Regional o Seccional.  </w:t>
      </w:r>
    </w:p>
    <w:p w14:paraId="42943A53" w14:textId="77777777" w:rsidR="00050850" w:rsidRPr="002C1A32" w:rsidRDefault="00050850" w:rsidP="002C1A32">
      <w:pPr>
        <w:widowControl w:val="0"/>
        <w:pBdr>
          <w:top w:val="none" w:sz="0" w:space="0" w:color="000000"/>
          <w:left w:val="none" w:sz="0" w:space="0" w:color="000000"/>
          <w:bottom w:val="none" w:sz="0" w:space="0" w:color="000000"/>
          <w:right w:val="none" w:sz="0" w:space="0" w:color="000000"/>
          <w:between w:val="none" w:sz="0" w:space="0" w:color="000000"/>
        </w:pBdr>
        <w:tabs>
          <w:tab w:val="left" w:pos="426"/>
        </w:tabs>
        <w:autoSpaceDE w:val="0"/>
        <w:autoSpaceDN w:val="0"/>
        <w:adjustRightInd w:val="0"/>
        <w:spacing w:after="0" w:line="240" w:lineRule="auto"/>
        <w:ind w:right="397"/>
        <w:contextualSpacing/>
        <w:jc w:val="both"/>
        <w:rPr>
          <w:rFonts w:eastAsia="Times New Roman"/>
          <w:sz w:val="28"/>
          <w:szCs w:val="28"/>
        </w:rPr>
      </w:pPr>
    </w:p>
    <w:p w14:paraId="2DA0648A" w14:textId="1B1C7112" w:rsidR="00BD5615" w:rsidRPr="002C1A32" w:rsidRDefault="00050850" w:rsidP="002C1A32">
      <w:pPr>
        <w:pStyle w:val="Ttulo2"/>
        <w:numPr>
          <w:ilvl w:val="0"/>
          <w:numId w:val="2"/>
        </w:numPr>
        <w:pBdr>
          <w:top w:val="none" w:sz="0" w:space="0" w:color="auto"/>
          <w:left w:val="none" w:sz="0" w:space="0" w:color="auto"/>
          <w:bottom w:val="none" w:sz="0" w:space="0" w:color="auto"/>
          <w:right w:val="none" w:sz="0" w:space="0" w:color="auto"/>
          <w:between w:val="none" w:sz="0" w:space="0" w:color="auto"/>
        </w:pBdr>
        <w:spacing w:before="0" w:after="0" w:line="240" w:lineRule="auto"/>
        <w:jc w:val="both"/>
        <w:rPr>
          <w:rFonts w:eastAsia="Times New Roman"/>
          <w:szCs w:val="28"/>
        </w:rPr>
      </w:pPr>
      <w:r w:rsidRPr="002C1A32">
        <w:rPr>
          <w:rFonts w:eastAsia="Times New Roman"/>
          <w:szCs w:val="28"/>
        </w:rPr>
        <w:t xml:space="preserve">De todo lo expuesto, se </w:t>
      </w:r>
      <w:r w:rsidR="00BD5615" w:rsidRPr="002C1A32">
        <w:rPr>
          <w:rFonts w:eastAsia="Times New Roman"/>
          <w:szCs w:val="28"/>
        </w:rPr>
        <w:t>concl</w:t>
      </w:r>
      <w:r w:rsidRPr="002C1A32">
        <w:rPr>
          <w:rFonts w:eastAsia="Times New Roman"/>
          <w:szCs w:val="28"/>
        </w:rPr>
        <w:t>uye respecto del</w:t>
      </w:r>
      <w:r w:rsidR="002572A2" w:rsidRPr="002C1A32">
        <w:rPr>
          <w:rFonts w:eastAsia="Times New Roman"/>
          <w:szCs w:val="28"/>
        </w:rPr>
        <w:t xml:space="preserve"> programa de</w:t>
      </w:r>
      <w:r w:rsidRPr="002C1A32">
        <w:rPr>
          <w:rFonts w:eastAsia="Times New Roman"/>
          <w:szCs w:val="28"/>
        </w:rPr>
        <w:t xml:space="preserve"> HCB</w:t>
      </w:r>
      <w:r w:rsidR="009327FE" w:rsidRPr="002C1A32">
        <w:rPr>
          <w:rStyle w:val="Refdenotaalpie"/>
          <w:rFonts w:eastAsia="Times New Roman"/>
          <w:szCs w:val="28"/>
        </w:rPr>
        <w:footnoteReference w:id="42"/>
      </w:r>
      <w:r w:rsidR="002572A2" w:rsidRPr="002C1A32">
        <w:rPr>
          <w:rFonts w:eastAsia="Times New Roman"/>
          <w:szCs w:val="28"/>
        </w:rPr>
        <w:t xml:space="preserve"> que</w:t>
      </w:r>
      <w:r w:rsidRPr="002C1A32">
        <w:rPr>
          <w:rFonts w:eastAsia="Times New Roman"/>
          <w:szCs w:val="28"/>
        </w:rPr>
        <w:t xml:space="preserve">: </w:t>
      </w:r>
      <w:r w:rsidRPr="002C1A32">
        <w:rPr>
          <w:rFonts w:eastAsia="Times New Roman"/>
          <w:i/>
          <w:szCs w:val="28"/>
        </w:rPr>
        <w:t xml:space="preserve">(i) </w:t>
      </w:r>
      <w:r w:rsidRPr="002C1A32">
        <w:rPr>
          <w:rFonts w:eastAsia="Times New Roman"/>
          <w:szCs w:val="28"/>
        </w:rPr>
        <w:t xml:space="preserve">tiene por objeto el trabajo solidario de la comunidad encaminado a garantizar a los niños la atención de sus necesidades básicas, especialmente en los aspectos de nutrición, protección y desarrollo individual, </w:t>
      </w:r>
      <w:r w:rsidRPr="002C1A32">
        <w:rPr>
          <w:rFonts w:eastAsia="Times New Roman"/>
          <w:i/>
          <w:szCs w:val="28"/>
        </w:rPr>
        <w:t xml:space="preserve">(ii) </w:t>
      </w:r>
      <w:r w:rsidRPr="002C1A32">
        <w:rPr>
          <w:rFonts w:eastAsia="Times New Roman"/>
          <w:szCs w:val="28"/>
        </w:rPr>
        <w:t>se ejecuta median</w:t>
      </w:r>
      <w:r w:rsidR="001D5665" w:rsidRPr="002C1A32">
        <w:rPr>
          <w:rFonts w:eastAsia="Times New Roman"/>
          <w:szCs w:val="28"/>
        </w:rPr>
        <w:t xml:space="preserve">te un contrato de aporte de naturaleza estatal entre el ICBF y la asociación de padres, y de carácter civil entre dicha asociación y la madre comunitaria, </w:t>
      </w:r>
      <w:r w:rsidR="001D5665" w:rsidRPr="002C1A32">
        <w:rPr>
          <w:rFonts w:eastAsia="Times New Roman"/>
          <w:i/>
          <w:szCs w:val="28"/>
        </w:rPr>
        <w:t xml:space="preserve">(iii) </w:t>
      </w:r>
      <w:r w:rsidR="001D5665" w:rsidRPr="002C1A32">
        <w:rPr>
          <w:rFonts w:eastAsia="Times New Roman"/>
          <w:szCs w:val="28"/>
        </w:rPr>
        <w:t>la beca tiene por fin financiar o reembolsar la compra de alimentos, útiles escolares, elementos de aseo</w:t>
      </w:r>
      <w:r w:rsidR="002572A2" w:rsidRPr="002C1A32">
        <w:rPr>
          <w:rFonts w:eastAsia="Times New Roman"/>
          <w:szCs w:val="28"/>
        </w:rPr>
        <w:t xml:space="preserve"> </w:t>
      </w:r>
      <w:r w:rsidR="001D5665" w:rsidRPr="002C1A32">
        <w:rPr>
          <w:rFonts w:eastAsia="Times New Roman"/>
          <w:szCs w:val="28"/>
        </w:rPr>
        <w:t>destinados a los menores, mas no como remuneraci</w:t>
      </w:r>
      <w:r w:rsidR="009327FE" w:rsidRPr="002C1A32">
        <w:rPr>
          <w:rFonts w:eastAsia="Times New Roman"/>
          <w:szCs w:val="28"/>
        </w:rPr>
        <w:t>ó</w:t>
      </w:r>
      <w:r w:rsidR="001D5665" w:rsidRPr="002C1A32">
        <w:rPr>
          <w:rFonts w:eastAsia="Times New Roman"/>
          <w:szCs w:val="28"/>
        </w:rPr>
        <w:t>n</w:t>
      </w:r>
      <w:r w:rsidR="009327FE" w:rsidRPr="002C1A32">
        <w:rPr>
          <w:rFonts w:eastAsia="Times New Roman"/>
          <w:szCs w:val="28"/>
        </w:rPr>
        <w:t xml:space="preserve">, y </w:t>
      </w:r>
      <w:r w:rsidR="009327FE" w:rsidRPr="002C1A32">
        <w:rPr>
          <w:rFonts w:eastAsia="Times New Roman"/>
          <w:i/>
          <w:szCs w:val="28"/>
        </w:rPr>
        <w:t xml:space="preserve">(iv) </w:t>
      </w:r>
      <w:r w:rsidR="009327FE" w:rsidRPr="002C1A32">
        <w:rPr>
          <w:rFonts w:eastAsia="Times New Roman"/>
          <w:szCs w:val="28"/>
        </w:rPr>
        <w:t xml:space="preserve">el cumplimiento de los lineamientos o estándares de funcionamiento no constituyen una relación de subordinación. </w:t>
      </w:r>
    </w:p>
    <w:p w14:paraId="5E603AE5" w14:textId="77777777" w:rsidR="00BD5615" w:rsidRPr="002C1A32" w:rsidRDefault="00BD5615" w:rsidP="002C1A32">
      <w:pPr>
        <w:widowControl w:val="0"/>
        <w:pBdr>
          <w:top w:val="none" w:sz="0" w:space="0" w:color="000000"/>
          <w:left w:val="none" w:sz="0" w:space="0" w:color="000000"/>
          <w:bottom w:val="none" w:sz="0" w:space="0" w:color="000000"/>
          <w:right w:val="none" w:sz="0" w:space="0" w:color="000000"/>
          <w:between w:val="none" w:sz="0" w:space="0" w:color="000000"/>
        </w:pBdr>
        <w:tabs>
          <w:tab w:val="left" w:pos="426"/>
        </w:tabs>
        <w:autoSpaceDE w:val="0"/>
        <w:autoSpaceDN w:val="0"/>
        <w:adjustRightInd w:val="0"/>
        <w:spacing w:after="0" w:line="240" w:lineRule="auto"/>
        <w:ind w:right="49"/>
        <w:contextualSpacing/>
        <w:jc w:val="both"/>
        <w:rPr>
          <w:rFonts w:eastAsia="Times New Roman"/>
          <w:sz w:val="28"/>
          <w:szCs w:val="28"/>
        </w:rPr>
      </w:pPr>
    </w:p>
    <w:p w14:paraId="4636D263" w14:textId="502156FE" w:rsidR="00050850" w:rsidRPr="002C1A32" w:rsidRDefault="00051933" w:rsidP="002C1A32">
      <w:pPr>
        <w:pStyle w:val="Ttulo2"/>
        <w:pBdr>
          <w:top w:val="none" w:sz="0" w:space="0" w:color="auto"/>
          <w:left w:val="none" w:sz="0" w:space="0" w:color="auto"/>
          <w:bottom w:val="none" w:sz="0" w:space="0" w:color="auto"/>
          <w:right w:val="none" w:sz="0" w:space="0" w:color="auto"/>
          <w:between w:val="none" w:sz="0" w:space="0" w:color="auto"/>
        </w:pBdr>
        <w:spacing w:before="0" w:after="0" w:line="240" w:lineRule="auto"/>
        <w:rPr>
          <w:rFonts w:eastAsia="Times New Roman"/>
          <w:b/>
          <w:szCs w:val="28"/>
        </w:rPr>
      </w:pPr>
      <w:r>
        <w:rPr>
          <w:rFonts w:eastAsia="Times New Roman"/>
          <w:b/>
          <w:szCs w:val="28"/>
        </w:rPr>
        <w:t xml:space="preserve">(ii) </w:t>
      </w:r>
      <w:r w:rsidR="00050850" w:rsidRPr="002C1A32">
        <w:rPr>
          <w:rFonts w:eastAsia="Times New Roman"/>
          <w:b/>
          <w:szCs w:val="28"/>
        </w:rPr>
        <w:t>Formalización laboral de las madres comunitarias y sustitutas</w:t>
      </w:r>
    </w:p>
    <w:p w14:paraId="6B37C3BE" w14:textId="77777777" w:rsidR="00050850" w:rsidRPr="002C1A32" w:rsidRDefault="00050850" w:rsidP="002C1A32">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eastAsia="Times New Roman"/>
          <w:b/>
          <w:sz w:val="28"/>
          <w:szCs w:val="28"/>
        </w:rPr>
      </w:pPr>
    </w:p>
    <w:p w14:paraId="7725E2FA" w14:textId="562AFC74" w:rsidR="009356F3" w:rsidRPr="002C1A32" w:rsidRDefault="006E7BAE" w:rsidP="002C1A32">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426"/>
        </w:tabs>
        <w:autoSpaceDE w:val="0"/>
        <w:autoSpaceDN w:val="0"/>
        <w:adjustRightInd w:val="0"/>
        <w:spacing w:after="0" w:line="240" w:lineRule="auto"/>
        <w:ind w:right="49"/>
        <w:contextualSpacing/>
        <w:jc w:val="both"/>
        <w:rPr>
          <w:rFonts w:eastAsia="Times New Roman"/>
          <w:sz w:val="28"/>
          <w:szCs w:val="28"/>
        </w:rPr>
      </w:pPr>
      <w:r w:rsidRPr="002C1A32">
        <w:rPr>
          <w:rFonts w:eastAsia="Times New Roman"/>
          <w:sz w:val="28"/>
          <w:szCs w:val="28"/>
        </w:rPr>
        <w:t>Por medio del</w:t>
      </w:r>
      <w:r w:rsidR="001528F5" w:rsidRPr="002C1A32">
        <w:rPr>
          <w:rFonts w:eastAsia="Times New Roman"/>
          <w:sz w:val="28"/>
          <w:szCs w:val="28"/>
        </w:rPr>
        <w:t xml:space="preserve"> </w:t>
      </w:r>
      <w:r w:rsidRPr="002C1A32">
        <w:rPr>
          <w:rFonts w:eastAsia="Times New Roman"/>
          <w:sz w:val="28"/>
          <w:szCs w:val="28"/>
        </w:rPr>
        <w:t>a</w:t>
      </w:r>
      <w:r w:rsidR="001528F5" w:rsidRPr="002C1A32">
        <w:rPr>
          <w:rFonts w:eastAsia="Times New Roman"/>
          <w:sz w:val="28"/>
          <w:szCs w:val="28"/>
        </w:rPr>
        <w:t>rtículo 36 de la</w:t>
      </w:r>
      <w:r w:rsidRPr="002C1A32">
        <w:rPr>
          <w:rFonts w:eastAsia="Times New Roman"/>
          <w:sz w:val="28"/>
          <w:szCs w:val="28"/>
        </w:rPr>
        <w:t xml:space="preserve"> Ley 1607 de 2012</w:t>
      </w:r>
      <w:r w:rsidR="00FC3FDF" w:rsidRPr="002C1A32">
        <w:rPr>
          <w:rStyle w:val="Refdenotaalpie"/>
          <w:rFonts w:eastAsia="Times New Roman"/>
          <w:sz w:val="28"/>
          <w:szCs w:val="28"/>
        </w:rPr>
        <w:footnoteReference w:id="43"/>
      </w:r>
      <w:r w:rsidRPr="002C1A32">
        <w:rPr>
          <w:rFonts w:eastAsia="Times New Roman"/>
          <w:sz w:val="28"/>
          <w:szCs w:val="28"/>
        </w:rPr>
        <w:t xml:space="preserve">, el legislador </w:t>
      </w:r>
      <w:r w:rsidR="00527F12" w:rsidRPr="002C1A32">
        <w:rPr>
          <w:rFonts w:eastAsia="Times New Roman"/>
          <w:sz w:val="28"/>
          <w:szCs w:val="28"/>
        </w:rPr>
        <w:t>ordenó la formalización laboral entre las madres comunitarias y las asociaciones de padres</w:t>
      </w:r>
      <w:r w:rsidRPr="002C1A32">
        <w:rPr>
          <w:rFonts w:eastAsia="Times New Roman"/>
          <w:sz w:val="28"/>
          <w:szCs w:val="28"/>
        </w:rPr>
        <w:t xml:space="preserve"> </w:t>
      </w:r>
      <w:r w:rsidR="00ED3FC0" w:rsidRPr="002C1A32">
        <w:rPr>
          <w:rFonts w:eastAsia="Times New Roman"/>
          <w:sz w:val="28"/>
          <w:szCs w:val="28"/>
        </w:rPr>
        <w:t xml:space="preserve">en dos etapas a saber: la primera, en el 2013 mediante la entrega del equivalente a una beca, permitiendo su contratación bajo distintos tipos de modalidades, sin que ello implique que adquieran la calidad de servidoras públicas y, la segunda, a partir del 2014 restringió su vinculación al contrato laboral. </w:t>
      </w:r>
    </w:p>
    <w:p w14:paraId="7BD0BEBB" w14:textId="77777777" w:rsidR="00F55D48" w:rsidRPr="002C1A32" w:rsidRDefault="00F55D48" w:rsidP="002C1A32">
      <w:pPr>
        <w:widowControl w:val="0"/>
        <w:pBdr>
          <w:top w:val="none" w:sz="0" w:space="0" w:color="000000"/>
          <w:left w:val="none" w:sz="0" w:space="0" w:color="000000"/>
          <w:bottom w:val="none" w:sz="0" w:space="0" w:color="000000"/>
          <w:right w:val="none" w:sz="0" w:space="0" w:color="000000"/>
          <w:between w:val="none" w:sz="0" w:space="0" w:color="000000"/>
        </w:pBdr>
        <w:tabs>
          <w:tab w:val="left" w:pos="426"/>
        </w:tabs>
        <w:autoSpaceDE w:val="0"/>
        <w:autoSpaceDN w:val="0"/>
        <w:adjustRightInd w:val="0"/>
        <w:spacing w:after="0" w:line="240" w:lineRule="auto"/>
        <w:ind w:right="49"/>
        <w:contextualSpacing/>
        <w:jc w:val="both"/>
        <w:rPr>
          <w:rFonts w:eastAsia="Times New Roman"/>
          <w:sz w:val="28"/>
          <w:szCs w:val="28"/>
        </w:rPr>
      </w:pPr>
    </w:p>
    <w:p w14:paraId="42F75979" w14:textId="433B70D4" w:rsidR="00F55D48" w:rsidRPr="002C1A32" w:rsidRDefault="00F55D48" w:rsidP="002C1A32">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426"/>
        </w:tabs>
        <w:autoSpaceDE w:val="0"/>
        <w:autoSpaceDN w:val="0"/>
        <w:adjustRightInd w:val="0"/>
        <w:spacing w:after="0" w:line="240" w:lineRule="auto"/>
        <w:ind w:right="49"/>
        <w:contextualSpacing/>
        <w:jc w:val="both"/>
        <w:rPr>
          <w:rFonts w:eastAsia="Times New Roman"/>
          <w:sz w:val="28"/>
          <w:szCs w:val="28"/>
        </w:rPr>
      </w:pPr>
      <w:r w:rsidRPr="002C1A32">
        <w:rPr>
          <w:rFonts w:eastAsia="Times New Roman"/>
          <w:sz w:val="28"/>
          <w:szCs w:val="28"/>
        </w:rPr>
        <w:t>La anterior disposición fue objeto de control abstracto en dos ocasiones. En la primera oportunidad, en la Sentencia C-465 de 2014, la Corte declaró exequible el artículo 36 de la Ley 1607 de 2012 por el cargo de unidad de materia al considerar que dicha norma autoriza</w:t>
      </w:r>
      <w:r w:rsidR="00282962" w:rsidRPr="002C1A32">
        <w:rPr>
          <w:rFonts w:eastAsia="Times New Roman"/>
          <w:sz w:val="28"/>
          <w:szCs w:val="28"/>
        </w:rPr>
        <w:t>ba</w:t>
      </w:r>
      <w:r w:rsidRPr="002C1A32">
        <w:rPr>
          <w:rFonts w:eastAsia="Times New Roman"/>
          <w:sz w:val="28"/>
          <w:szCs w:val="28"/>
        </w:rPr>
        <w:t xml:space="preserve"> el gasto para cubrir el sostenimiento de las madres comunitarias y sustitutas del </w:t>
      </w:r>
      <w:r w:rsidR="00282962" w:rsidRPr="002C1A32">
        <w:rPr>
          <w:rFonts w:eastAsia="Times New Roman"/>
          <w:sz w:val="28"/>
          <w:szCs w:val="28"/>
        </w:rPr>
        <w:t>ICBF</w:t>
      </w:r>
      <w:r w:rsidRPr="002C1A32">
        <w:rPr>
          <w:rFonts w:eastAsia="Times New Roman"/>
          <w:sz w:val="28"/>
          <w:szCs w:val="28"/>
        </w:rPr>
        <w:t xml:space="preserve">, </w:t>
      </w:r>
      <w:r w:rsidR="00282962" w:rsidRPr="002C1A32">
        <w:rPr>
          <w:rFonts w:eastAsia="Times New Roman"/>
          <w:sz w:val="28"/>
          <w:szCs w:val="28"/>
        </w:rPr>
        <w:t xml:space="preserve">mediante </w:t>
      </w:r>
      <w:r w:rsidRPr="002C1A32">
        <w:rPr>
          <w:rFonts w:eastAsia="Times New Roman"/>
          <w:sz w:val="28"/>
          <w:szCs w:val="28"/>
        </w:rPr>
        <w:t>la denomina</w:t>
      </w:r>
      <w:r w:rsidR="00282962" w:rsidRPr="002C1A32">
        <w:rPr>
          <w:rFonts w:eastAsia="Times New Roman"/>
          <w:sz w:val="28"/>
          <w:szCs w:val="28"/>
        </w:rPr>
        <w:t xml:space="preserve">da </w:t>
      </w:r>
      <w:r w:rsidRPr="002C1A32">
        <w:rPr>
          <w:rFonts w:eastAsia="Times New Roman"/>
          <w:sz w:val="28"/>
          <w:szCs w:val="28"/>
        </w:rPr>
        <w:t xml:space="preserve">beca, la cual debía </w:t>
      </w:r>
      <w:r w:rsidR="00282962" w:rsidRPr="002C1A32">
        <w:rPr>
          <w:rFonts w:eastAsia="Times New Roman"/>
          <w:sz w:val="28"/>
          <w:szCs w:val="28"/>
        </w:rPr>
        <w:t>cubrirse con</w:t>
      </w:r>
      <w:r w:rsidRPr="002C1A32">
        <w:rPr>
          <w:rFonts w:eastAsia="Times New Roman"/>
          <w:sz w:val="28"/>
          <w:szCs w:val="28"/>
        </w:rPr>
        <w:t xml:space="preserve"> la respectiva partida presupuestal de los recursos provenientes del CREE</w:t>
      </w:r>
      <w:r w:rsidR="00282962" w:rsidRPr="002C1A32">
        <w:rPr>
          <w:rFonts w:eastAsia="Times New Roman"/>
          <w:sz w:val="28"/>
          <w:szCs w:val="28"/>
        </w:rPr>
        <w:t>. En especial, consideró lo</w:t>
      </w:r>
      <w:r w:rsidRPr="002C1A32">
        <w:rPr>
          <w:rFonts w:eastAsia="Times New Roman"/>
          <w:sz w:val="28"/>
          <w:szCs w:val="28"/>
        </w:rPr>
        <w:t xml:space="preserve"> siguiente:</w:t>
      </w:r>
    </w:p>
    <w:p w14:paraId="731CB05A" w14:textId="77777777" w:rsidR="00F55D48" w:rsidRPr="002C1A32" w:rsidRDefault="00F55D48" w:rsidP="002C1A32">
      <w:pPr>
        <w:widowControl w:val="0"/>
        <w:pBdr>
          <w:top w:val="none" w:sz="0" w:space="0" w:color="000000"/>
          <w:left w:val="none" w:sz="0" w:space="0" w:color="000000"/>
          <w:bottom w:val="none" w:sz="0" w:space="0" w:color="000000"/>
          <w:right w:val="none" w:sz="0" w:space="0" w:color="000000"/>
          <w:between w:val="none" w:sz="0" w:space="0" w:color="000000"/>
        </w:pBdr>
        <w:tabs>
          <w:tab w:val="left" w:pos="426"/>
        </w:tabs>
        <w:autoSpaceDE w:val="0"/>
        <w:autoSpaceDN w:val="0"/>
        <w:adjustRightInd w:val="0"/>
        <w:spacing w:after="0" w:line="240" w:lineRule="auto"/>
        <w:ind w:right="49"/>
        <w:contextualSpacing/>
        <w:jc w:val="both"/>
        <w:rPr>
          <w:rFonts w:eastAsia="Times New Roman"/>
          <w:sz w:val="28"/>
          <w:szCs w:val="28"/>
        </w:rPr>
      </w:pPr>
    </w:p>
    <w:p w14:paraId="5D4CDE22" w14:textId="3AF790B3" w:rsidR="00F55D48" w:rsidRDefault="00282962" w:rsidP="002C1A32">
      <w:pPr>
        <w:widowControl w:val="0"/>
        <w:pBdr>
          <w:top w:val="none" w:sz="0" w:space="0" w:color="000000"/>
          <w:left w:val="none" w:sz="0" w:space="0" w:color="000000"/>
          <w:bottom w:val="none" w:sz="0" w:space="0" w:color="000000"/>
          <w:right w:val="none" w:sz="0" w:space="0" w:color="000000"/>
          <w:between w:val="none" w:sz="0" w:space="0" w:color="000000"/>
        </w:pBdr>
        <w:tabs>
          <w:tab w:val="left" w:pos="426"/>
        </w:tabs>
        <w:autoSpaceDE w:val="0"/>
        <w:autoSpaceDN w:val="0"/>
        <w:adjustRightInd w:val="0"/>
        <w:spacing w:after="0" w:line="240" w:lineRule="auto"/>
        <w:ind w:right="397"/>
        <w:contextualSpacing/>
        <w:jc w:val="both"/>
        <w:rPr>
          <w:rFonts w:eastAsia="Times New Roman"/>
          <w:sz w:val="28"/>
          <w:szCs w:val="28"/>
        </w:rPr>
      </w:pPr>
      <w:r w:rsidRPr="002C1A32">
        <w:rPr>
          <w:rFonts w:eastAsia="Times New Roman"/>
          <w:sz w:val="28"/>
          <w:szCs w:val="28"/>
        </w:rPr>
        <w:t>[E]</w:t>
      </w:r>
      <w:r w:rsidR="00F55D48" w:rsidRPr="002C1A32">
        <w:rPr>
          <w:rFonts w:eastAsia="Times New Roman"/>
          <w:sz w:val="28"/>
          <w:szCs w:val="28"/>
        </w:rPr>
        <w:t>l legislador consideró necesario establecer los sujetos destinatarios del CREE, en este caso el ICBF, así como la manera en la cual debía ejecutar y gestionar los recursos que le correspondan de la referida contribución. Además de ello, estableció que debía formalizarse el trabajo de las madres comunitarias y para ello debía empezarse por reconocerles un salario mínimo mensual legal vigente, política que genera un conjunto de prestaciones a favor de aquel grupo de trabajadoras, a partir de la vigencia 2014.</w:t>
      </w:r>
    </w:p>
    <w:p w14:paraId="4C86525B" w14:textId="77777777" w:rsidR="002C1A32" w:rsidRPr="002C1A32" w:rsidRDefault="002C1A32" w:rsidP="002C1A32">
      <w:pPr>
        <w:widowControl w:val="0"/>
        <w:pBdr>
          <w:top w:val="none" w:sz="0" w:space="0" w:color="000000"/>
          <w:left w:val="none" w:sz="0" w:space="0" w:color="000000"/>
          <w:bottom w:val="none" w:sz="0" w:space="0" w:color="000000"/>
          <w:right w:val="none" w:sz="0" w:space="0" w:color="000000"/>
          <w:between w:val="none" w:sz="0" w:space="0" w:color="000000"/>
        </w:pBdr>
        <w:tabs>
          <w:tab w:val="left" w:pos="426"/>
        </w:tabs>
        <w:autoSpaceDE w:val="0"/>
        <w:autoSpaceDN w:val="0"/>
        <w:adjustRightInd w:val="0"/>
        <w:spacing w:after="0" w:line="240" w:lineRule="auto"/>
        <w:ind w:right="397"/>
        <w:contextualSpacing/>
        <w:jc w:val="both"/>
        <w:rPr>
          <w:rFonts w:eastAsia="Times New Roman"/>
          <w:sz w:val="28"/>
          <w:szCs w:val="28"/>
        </w:rPr>
      </w:pPr>
    </w:p>
    <w:p w14:paraId="3F2131D3" w14:textId="77777777" w:rsidR="00F55D48" w:rsidRPr="002C1A32" w:rsidRDefault="00F55D48" w:rsidP="002C1A32">
      <w:pPr>
        <w:widowControl w:val="0"/>
        <w:pBdr>
          <w:top w:val="none" w:sz="0" w:space="0" w:color="000000"/>
          <w:left w:val="none" w:sz="0" w:space="0" w:color="000000"/>
          <w:bottom w:val="none" w:sz="0" w:space="0" w:color="000000"/>
          <w:right w:val="none" w:sz="0" w:space="0" w:color="000000"/>
          <w:between w:val="none" w:sz="0" w:space="0" w:color="000000"/>
        </w:pBdr>
        <w:tabs>
          <w:tab w:val="left" w:pos="426"/>
        </w:tabs>
        <w:autoSpaceDE w:val="0"/>
        <w:autoSpaceDN w:val="0"/>
        <w:adjustRightInd w:val="0"/>
        <w:spacing w:after="0" w:line="240" w:lineRule="auto"/>
        <w:ind w:right="397"/>
        <w:contextualSpacing/>
        <w:jc w:val="both"/>
        <w:rPr>
          <w:rFonts w:eastAsia="Times New Roman"/>
          <w:sz w:val="28"/>
          <w:szCs w:val="28"/>
        </w:rPr>
      </w:pPr>
      <w:r w:rsidRPr="002C1A32">
        <w:rPr>
          <w:rFonts w:eastAsia="Times New Roman"/>
          <w:sz w:val="28"/>
          <w:szCs w:val="28"/>
        </w:rPr>
        <w:t>Por tanto, como el artículo 36 diseña una política pública, a partir de los recursos generados por una contribución, en este caso el CREE, las Comisiones Terceras eran competentes para conocer del mismo, pues dentro de sus funciones cabe la de analizar el impacto de la medida tributaria, su destinación y su ejecución, que en este caso se traduce en la generación y formalización de empleo de las madres comunitarias.</w:t>
      </w:r>
    </w:p>
    <w:p w14:paraId="577E9920" w14:textId="77777777" w:rsidR="006E7BAE" w:rsidRPr="002C1A32" w:rsidRDefault="006E7BAE" w:rsidP="002C1A32">
      <w:pPr>
        <w:widowControl w:val="0"/>
        <w:pBdr>
          <w:top w:val="none" w:sz="0" w:space="0" w:color="000000"/>
          <w:left w:val="none" w:sz="0" w:space="0" w:color="000000"/>
          <w:bottom w:val="none" w:sz="0" w:space="0" w:color="000000"/>
          <w:right w:val="none" w:sz="0" w:space="0" w:color="000000"/>
          <w:between w:val="none" w:sz="0" w:space="0" w:color="000000"/>
        </w:pBdr>
        <w:tabs>
          <w:tab w:val="left" w:pos="426"/>
        </w:tabs>
        <w:autoSpaceDE w:val="0"/>
        <w:autoSpaceDN w:val="0"/>
        <w:adjustRightInd w:val="0"/>
        <w:spacing w:after="0" w:line="240" w:lineRule="auto"/>
        <w:ind w:right="49"/>
        <w:contextualSpacing/>
        <w:jc w:val="both"/>
        <w:rPr>
          <w:rFonts w:eastAsia="Times New Roman"/>
          <w:sz w:val="28"/>
          <w:szCs w:val="28"/>
        </w:rPr>
      </w:pPr>
    </w:p>
    <w:p w14:paraId="467709AE" w14:textId="5A79D4C1" w:rsidR="00282962" w:rsidRPr="002C1A32" w:rsidRDefault="002572A2" w:rsidP="002C1A32">
      <w:pPr>
        <w:widowControl w:val="0"/>
        <w:pBdr>
          <w:top w:val="none" w:sz="0" w:space="0" w:color="000000"/>
          <w:left w:val="none" w:sz="0" w:space="0" w:color="000000"/>
          <w:bottom w:val="none" w:sz="0" w:space="0" w:color="000000"/>
          <w:right w:val="none" w:sz="0" w:space="0" w:color="000000"/>
          <w:between w:val="none" w:sz="0" w:space="0" w:color="000000"/>
        </w:pBdr>
        <w:tabs>
          <w:tab w:val="left" w:pos="426"/>
        </w:tabs>
        <w:autoSpaceDE w:val="0"/>
        <w:autoSpaceDN w:val="0"/>
        <w:adjustRightInd w:val="0"/>
        <w:spacing w:after="0" w:line="240" w:lineRule="auto"/>
        <w:ind w:right="49"/>
        <w:contextualSpacing/>
        <w:jc w:val="both"/>
        <w:rPr>
          <w:rFonts w:eastAsia="Times New Roman"/>
          <w:sz w:val="28"/>
          <w:szCs w:val="28"/>
        </w:rPr>
      </w:pPr>
      <w:r w:rsidRPr="002C1A32">
        <w:rPr>
          <w:rFonts w:eastAsia="Times New Roman"/>
          <w:sz w:val="28"/>
          <w:szCs w:val="28"/>
        </w:rPr>
        <w:t xml:space="preserve">En una segunda ocasión, </w:t>
      </w:r>
      <w:r w:rsidR="00282962" w:rsidRPr="002C1A32">
        <w:rPr>
          <w:rFonts w:eastAsia="Times New Roman"/>
          <w:sz w:val="28"/>
          <w:szCs w:val="28"/>
        </w:rPr>
        <w:t>en la Sentencia C-185 de 2019, la Corte reiteró la consti</w:t>
      </w:r>
      <w:r w:rsidR="00933184" w:rsidRPr="002C1A32">
        <w:rPr>
          <w:rFonts w:eastAsia="Times New Roman"/>
          <w:sz w:val="28"/>
          <w:szCs w:val="28"/>
        </w:rPr>
        <w:t>tucionalidad de dicha norma al ponderar que la prohibición de ser funcionarias públicas no desconoce los derechos a la dignidad, mínimo vital y móvil y derecho al trabajo, con fundamento en lo siguiente:</w:t>
      </w:r>
    </w:p>
    <w:p w14:paraId="42BD01EB" w14:textId="77777777" w:rsidR="00933184" w:rsidRPr="002C1A32" w:rsidRDefault="00933184" w:rsidP="002C1A32">
      <w:pPr>
        <w:widowControl w:val="0"/>
        <w:pBdr>
          <w:top w:val="none" w:sz="0" w:space="0" w:color="000000"/>
          <w:left w:val="none" w:sz="0" w:space="0" w:color="000000"/>
          <w:bottom w:val="none" w:sz="0" w:space="0" w:color="000000"/>
          <w:right w:val="none" w:sz="0" w:space="0" w:color="000000"/>
          <w:between w:val="none" w:sz="0" w:space="0" w:color="000000"/>
        </w:pBdr>
        <w:tabs>
          <w:tab w:val="left" w:pos="426"/>
        </w:tabs>
        <w:autoSpaceDE w:val="0"/>
        <w:autoSpaceDN w:val="0"/>
        <w:adjustRightInd w:val="0"/>
        <w:spacing w:after="0" w:line="240" w:lineRule="auto"/>
        <w:ind w:right="397"/>
        <w:contextualSpacing/>
        <w:jc w:val="both"/>
        <w:rPr>
          <w:rFonts w:eastAsia="Times New Roman"/>
          <w:sz w:val="28"/>
          <w:szCs w:val="28"/>
        </w:rPr>
      </w:pPr>
    </w:p>
    <w:p w14:paraId="3BBEE656" w14:textId="77777777" w:rsidR="00933184" w:rsidRPr="002C1A32" w:rsidRDefault="00933184" w:rsidP="002C1A32">
      <w:pPr>
        <w:widowControl w:val="0"/>
        <w:pBdr>
          <w:top w:val="none" w:sz="0" w:space="0" w:color="000000"/>
          <w:left w:val="none" w:sz="0" w:space="0" w:color="000000"/>
          <w:bottom w:val="none" w:sz="0" w:space="0" w:color="000000"/>
          <w:right w:val="none" w:sz="0" w:space="0" w:color="000000"/>
          <w:between w:val="none" w:sz="0" w:space="0" w:color="000000"/>
        </w:pBdr>
        <w:tabs>
          <w:tab w:val="left" w:pos="426"/>
        </w:tabs>
        <w:autoSpaceDE w:val="0"/>
        <w:autoSpaceDN w:val="0"/>
        <w:adjustRightInd w:val="0"/>
        <w:spacing w:after="0" w:line="240" w:lineRule="auto"/>
        <w:ind w:right="397"/>
        <w:contextualSpacing/>
        <w:jc w:val="both"/>
        <w:rPr>
          <w:rFonts w:eastAsia="Times New Roman"/>
          <w:sz w:val="28"/>
          <w:szCs w:val="28"/>
        </w:rPr>
      </w:pPr>
      <w:r w:rsidRPr="002C1A32">
        <w:rPr>
          <w:rFonts w:eastAsia="Times New Roman"/>
          <w:sz w:val="28"/>
          <w:szCs w:val="28"/>
        </w:rPr>
        <w:t>Luego de examinar el contenido de la norma acusada, este Tribunal señaló que su expedición se sustenta en el principio básico de autonomía legislativa, el cual le permite al Congreso de República decidir autónomamente sobre las distintas modalidades, sistemas o formas a través de las cuales se canaliza el derecho al trabajo, con la carga de respetar, como ocurre en este caso, las garantías mínimas y los derechos ciertos e indiscutibles de los trabajadores. En efecto, el propio artículo 36 de la Ley 1607 de 2012, al prohibir de forma expresa su vinculación como funcionarias públicas, indirectamente dispuso su formalización laboral a través de un contrato de carácter privado, como se concretó con la expedición del Decreto 289 de 2014, estableciendo a favor de las madres comunitarias todos los beneficios, derechos y garantías previstos en el Código Sustantivo del Trabajo.</w:t>
      </w:r>
    </w:p>
    <w:p w14:paraId="25974FA8" w14:textId="77777777" w:rsidR="00933184" w:rsidRPr="002C1A32" w:rsidRDefault="00933184" w:rsidP="002C1A32">
      <w:pPr>
        <w:widowControl w:val="0"/>
        <w:pBdr>
          <w:top w:val="none" w:sz="0" w:space="0" w:color="000000"/>
          <w:left w:val="none" w:sz="0" w:space="0" w:color="000000"/>
          <w:bottom w:val="none" w:sz="0" w:space="0" w:color="000000"/>
          <w:right w:val="none" w:sz="0" w:space="0" w:color="000000"/>
          <w:between w:val="none" w:sz="0" w:space="0" w:color="000000"/>
        </w:pBdr>
        <w:tabs>
          <w:tab w:val="left" w:pos="426"/>
        </w:tabs>
        <w:autoSpaceDE w:val="0"/>
        <w:autoSpaceDN w:val="0"/>
        <w:adjustRightInd w:val="0"/>
        <w:spacing w:after="0" w:line="240" w:lineRule="auto"/>
        <w:ind w:right="397"/>
        <w:contextualSpacing/>
        <w:jc w:val="both"/>
        <w:rPr>
          <w:rFonts w:eastAsia="Times New Roman"/>
          <w:sz w:val="28"/>
          <w:szCs w:val="28"/>
        </w:rPr>
      </w:pPr>
    </w:p>
    <w:p w14:paraId="4EF44B1D" w14:textId="18475C2C" w:rsidR="00933184" w:rsidRPr="002C1A32" w:rsidRDefault="00933184" w:rsidP="002C1A32">
      <w:pPr>
        <w:widowControl w:val="0"/>
        <w:pBdr>
          <w:top w:val="none" w:sz="0" w:space="0" w:color="000000"/>
          <w:left w:val="none" w:sz="0" w:space="0" w:color="000000"/>
          <w:bottom w:val="none" w:sz="0" w:space="0" w:color="000000"/>
          <w:right w:val="none" w:sz="0" w:space="0" w:color="000000"/>
          <w:between w:val="none" w:sz="0" w:space="0" w:color="000000"/>
        </w:pBdr>
        <w:tabs>
          <w:tab w:val="left" w:pos="426"/>
        </w:tabs>
        <w:autoSpaceDE w:val="0"/>
        <w:autoSpaceDN w:val="0"/>
        <w:adjustRightInd w:val="0"/>
        <w:spacing w:after="0" w:line="240" w:lineRule="auto"/>
        <w:ind w:right="397"/>
        <w:contextualSpacing/>
        <w:jc w:val="both"/>
        <w:rPr>
          <w:rFonts w:eastAsia="Times New Roman"/>
          <w:sz w:val="28"/>
          <w:szCs w:val="28"/>
        </w:rPr>
      </w:pPr>
      <w:r w:rsidRPr="002C1A32">
        <w:rPr>
          <w:rFonts w:eastAsia="Times New Roman"/>
          <w:sz w:val="28"/>
          <w:szCs w:val="28"/>
        </w:rPr>
        <w:t xml:space="preserve">Aunado a lo anterior, esta Corporación precisó que el principio de primacía de la realidad sobre las formas no aplica de manera general y abstracta frente a las distintas categorías jurídicas de naturaleza contractual o legal previstas en el ordenamiento jurídico, pues su operancia depende de cada caso concreto, en donde se debe acreditar por el interesado que se presentan los tres elementos que identifican, precisamente, a una relación laboral. </w:t>
      </w:r>
    </w:p>
    <w:p w14:paraId="544E8211" w14:textId="77777777" w:rsidR="001528F5" w:rsidRPr="002C1A32" w:rsidRDefault="001528F5" w:rsidP="002C1A32">
      <w:pPr>
        <w:widowControl w:val="0"/>
        <w:pBdr>
          <w:top w:val="none" w:sz="0" w:space="0" w:color="000000"/>
          <w:left w:val="none" w:sz="0" w:space="0" w:color="000000"/>
          <w:bottom w:val="none" w:sz="0" w:space="0" w:color="000000"/>
          <w:right w:val="none" w:sz="0" w:space="0" w:color="000000"/>
          <w:between w:val="none" w:sz="0" w:space="0" w:color="000000"/>
        </w:pBdr>
        <w:tabs>
          <w:tab w:val="left" w:pos="426"/>
        </w:tabs>
        <w:autoSpaceDE w:val="0"/>
        <w:autoSpaceDN w:val="0"/>
        <w:adjustRightInd w:val="0"/>
        <w:spacing w:after="0" w:line="240" w:lineRule="auto"/>
        <w:ind w:right="397"/>
        <w:contextualSpacing/>
        <w:jc w:val="both"/>
        <w:rPr>
          <w:rFonts w:eastAsia="Times New Roman"/>
          <w:sz w:val="28"/>
          <w:szCs w:val="28"/>
        </w:rPr>
      </w:pPr>
    </w:p>
    <w:p w14:paraId="2AAD1DB5" w14:textId="77777777" w:rsidR="003A1120" w:rsidRPr="002C1A32" w:rsidRDefault="00933184" w:rsidP="002C1A32">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426"/>
        </w:tabs>
        <w:autoSpaceDE w:val="0"/>
        <w:autoSpaceDN w:val="0"/>
        <w:adjustRightInd w:val="0"/>
        <w:spacing w:after="0" w:line="240" w:lineRule="auto"/>
        <w:ind w:right="49"/>
        <w:contextualSpacing/>
        <w:jc w:val="both"/>
        <w:rPr>
          <w:rFonts w:eastAsia="Times New Roman"/>
          <w:i/>
          <w:sz w:val="28"/>
          <w:szCs w:val="28"/>
        </w:rPr>
      </w:pPr>
      <w:r w:rsidRPr="002C1A32">
        <w:rPr>
          <w:rFonts w:eastAsia="Times New Roman"/>
          <w:sz w:val="28"/>
          <w:szCs w:val="28"/>
        </w:rPr>
        <w:t>E</w:t>
      </w:r>
      <w:r w:rsidR="001528F5" w:rsidRPr="002C1A32">
        <w:rPr>
          <w:rFonts w:eastAsia="Times New Roman"/>
          <w:sz w:val="28"/>
          <w:szCs w:val="28"/>
        </w:rPr>
        <w:t>l D</w:t>
      </w:r>
      <w:r w:rsidR="00FC3FDF" w:rsidRPr="002C1A32">
        <w:rPr>
          <w:rFonts w:eastAsia="Times New Roman"/>
          <w:sz w:val="28"/>
          <w:szCs w:val="28"/>
        </w:rPr>
        <w:t xml:space="preserve">ecreto </w:t>
      </w:r>
      <w:r w:rsidRPr="002C1A32">
        <w:rPr>
          <w:rFonts w:eastAsia="Times New Roman"/>
          <w:sz w:val="28"/>
          <w:szCs w:val="28"/>
        </w:rPr>
        <w:t xml:space="preserve">289 de 2014 </w:t>
      </w:r>
      <w:r w:rsidR="00951382" w:rsidRPr="002C1A32">
        <w:rPr>
          <w:rFonts w:eastAsia="Times New Roman"/>
          <w:sz w:val="28"/>
          <w:szCs w:val="28"/>
        </w:rPr>
        <w:t xml:space="preserve">ordenó que a partir de su entrada en vigencia -12 </w:t>
      </w:r>
      <w:r w:rsidRPr="002C1A32">
        <w:rPr>
          <w:rFonts w:eastAsia="Times New Roman"/>
          <w:sz w:val="28"/>
          <w:szCs w:val="28"/>
        </w:rPr>
        <w:t>de febrero de 2014</w:t>
      </w:r>
      <w:r w:rsidR="00951382" w:rsidRPr="002C1A32">
        <w:rPr>
          <w:rFonts w:eastAsia="Times New Roman"/>
          <w:sz w:val="28"/>
          <w:szCs w:val="28"/>
        </w:rPr>
        <w:t>-</w:t>
      </w:r>
      <w:r w:rsidR="003A1120" w:rsidRPr="002C1A32">
        <w:rPr>
          <w:rFonts w:eastAsia="Times New Roman"/>
          <w:sz w:val="28"/>
          <w:szCs w:val="28"/>
        </w:rPr>
        <w:t xml:space="preserve"> las entidades administradoras del programa de HCB deben contratar laboralmente a las madres comunitarias</w:t>
      </w:r>
      <w:r w:rsidR="003A1120" w:rsidRPr="002C1A32">
        <w:rPr>
          <w:rStyle w:val="Refdenotaalpie"/>
          <w:rFonts w:eastAsia="Times New Roman"/>
          <w:sz w:val="28"/>
          <w:szCs w:val="28"/>
        </w:rPr>
        <w:footnoteReference w:id="44"/>
      </w:r>
      <w:r w:rsidR="003A1120" w:rsidRPr="002C1A32">
        <w:rPr>
          <w:rFonts w:eastAsia="Times New Roman"/>
          <w:i/>
          <w:sz w:val="28"/>
          <w:szCs w:val="28"/>
        </w:rPr>
        <w:t xml:space="preserve">. </w:t>
      </w:r>
      <w:r w:rsidR="003A1120" w:rsidRPr="002C1A32">
        <w:rPr>
          <w:rFonts w:eastAsia="Times New Roman"/>
          <w:sz w:val="28"/>
          <w:szCs w:val="28"/>
        </w:rPr>
        <w:t>Con lo cual se consolidó un cambio en el esquema operativo de dicho programa, tal y como lo reconoció esta Corte en la Sentencia SU-079 de 2018, al concluir que:</w:t>
      </w:r>
    </w:p>
    <w:p w14:paraId="58D1AB76" w14:textId="77777777" w:rsidR="003A1120" w:rsidRPr="002C1A32" w:rsidRDefault="003A1120" w:rsidP="002C1A32">
      <w:pPr>
        <w:widowControl w:val="0"/>
        <w:pBdr>
          <w:top w:val="none" w:sz="0" w:space="0" w:color="000000"/>
          <w:left w:val="none" w:sz="0" w:space="0" w:color="000000"/>
          <w:bottom w:val="none" w:sz="0" w:space="0" w:color="000000"/>
          <w:right w:val="none" w:sz="0" w:space="0" w:color="000000"/>
          <w:between w:val="none" w:sz="0" w:space="0" w:color="000000"/>
        </w:pBdr>
        <w:tabs>
          <w:tab w:val="left" w:pos="426"/>
        </w:tabs>
        <w:autoSpaceDE w:val="0"/>
        <w:autoSpaceDN w:val="0"/>
        <w:adjustRightInd w:val="0"/>
        <w:spacing w:after="0" w:line="240" w:lineRule="auto"/>
        <w:ind w:right="49"/>
        <w:contextualSpacing/>
        <w:jc w:val="both"/>
        <w:rPr>
          <w:rFonts w:eastAsia="Times New Roman"/>
          <w:sz w:val="28"/>
          <w:szCs w:val="28"/>
        </w:rPr>
      </w:pPr>
    </w:p>
    <w:p w14:paraId="7EF0EEF2" w14:textId="439E8870" w:rsidR="000A50EE" w:rsidRPr="002C1A32" w:rsidRDefault="003A1120" w:rsidP="002C1A32">
      <w:pPr>
        <w:widowControl w:val="0"/>
        <w:pBdr>
          <w:top w:val="none" w:sz="0" w:space="0" w:color="000000"/>
          <w:left w:val="none" w:sz="0" w:space="0" w:color="000000"/>
          <w:bottom w:val="none" w:sz="0" w:space="0" w:color="000000"/>
          <w:right w:val="none" w:sz="0" w:space="0" w:color="000000"/>
          <w:between w:val="none" w:sz="0" w:space="0" w:color="000000"/>
        </w:pBdr>
        <w:tabs>
          <w:tab w:val="left" w:pos="426"/>
        </w:tabs>
        <w:autoSpaceDE w:val="0"/>
        <w:autoSpaceDN w:val="0"/>
        <w:adjustRightInd w:val="0"/>
        <w:spacing w:after="0" w:line="240" w:lineRule="auto"/>
        <w:ind w:right="397"/>
        <w:contextualSpacing/>
        <w:jc w:val="both"/>
        <w:rPr>
          <w:rFonts w:eastAsia="Times New Roman"/>
          <w:sz w:val="28"/>
          <w:szCs w:val="28"/>
        </w:rPr>
      </w:pPr>
      <w:r w:rsidRPr="002C1A32">
        <w:rPr>
          <w:rFonts w:eastAsia="Times New Roman"/>
          <w:sz w:val="28"/>
          <w:szCs w:val="28"/>
        </w:rPr>
        <w:t>[L]a relación jurídica entre las madres comunitarias, el ICBF y las entidades administradoras u operadoras del Programa Hogares Comunitarios, con anterioridad a la Ley 1607 de 2012 y el Decreto 289 de 2014, como atrás se indicó, el artículo 4º del Decreto 1340 de 1995 estableció que la vinculación de las madres comunitarias en dicho programa “</w:t>
      </w:r>
      <w:r w:rsidRPr="002C1A32">
        <w:rPr>
          <w:rFonts w:eastAsia="Times New Roman"/>
          <w:b/>
          <w:sz w:val="28"/>
          <w:szCs w:val="28"/>
        </w:rPr>
        <w:t xml:space="preserve">no implica relación laboral </w:t>
      </w:r>
      <w:r w:rsidRPr="002C1A32">
        <w:rPr>
          <w:rFonts w:eastAsia="Times New Roman"/>
          <w:sz w:val="28"/>
          <w:szCs w:val="28"/>
        </w:rPr>
        <w:t>con las asociaciones que para tal efecto se organicen, ni con las entidades públicas que participen en el mismo”. Asimismo, el artículo 16 del Decreto 1137 de 1999, señaló que la participación de la comunidad en el desarrollo de los programas adelantados por el ICBF “</w:t>
      </w:r>
      <w:r w:rsidRPr="002C1A32">
        <w:rPr>
          <w:rFonts w:eastAsia="Times New Roman"/>
          <w:b/>
          <w:sz w:val="28"/>
          <w:szCs w:val="28"/>
        </w:rPr>
        <w:t>en ningún caso implicarán una relación laboral con los organismos o entidades responsables por la ejecución de los programas</w:t>
      </w:r>
      <w:r w:rsidRPr="002C1A32">
        <w:rPr>
          <w:rFonts w:eastAsia="Times New Roman"/>
          <w:sz w:val="28"/>
          <w:szCs w:val="28"/>
        </w:rPr>
        <w:t>”, pues dicha participación se trata de un trabajo solidario y una contribuci</w:t>
      </w:r>
      <w:r w:rsidR="006D2DAD" w:rsidRPr="002C1A32">
        <w:rPr>
          <w:rFonts w:eastAsia="Times New Roman"/>
          <w:sz w:val="28"/>
          <w:szCs w:val="28"/>
        </w:rPr>
        <w:t>ón voluntaria brindada por ésta (negritas originales).</w:t>
      </w:r>
    </w:p>
    <w:p w14:paraId="3FFD7BCC" w14:textId="77777777" w:rsidR="008E6A91" w:rsidRPr="002C1A32" w:rsidRDefault="008E6A91" w:rsidP="002C1A32">
      <w:pPr>
        <w:widowControl w:val="0"/>
        <w:pBdr>
          <w:top w:val="none" w:sz="0" w:space="0" w:color="000000"/>
          <w:left w:val="none" w:sz="0" w:space="0" w:color="000000"/>
          <w:bottom w:val="none" w:sz="0" w:space="0" w:color="000000"/>
          <w:right w:val="none" w:sz="0" w:space="0" w:color="000000"/>
          <w:between w:val="none" w:sz="0" w:space="0" w:color="000000"/>
        </w:pBdr>
        <w:tabs>
          <w:tab w:val="left" w:pos="426"/>
        </w:tabs>
        <w:autoSpaceDE w:val="0"/>
        <w:autoSpaceDN w:val="0"/>
        <w:adjustRightInd w:val="0"/>
        <w:spacing w:after="0" w:line="240" w:lineRule="auto"/>
        <w:ind w:right="397"/>
        <w:contextualSpacing/>
        <w:jc w:val="both"/>
        <w:rPr>
          <w:rFonts w:eastAsia="Times New Roman"/>
          <w:sz w:val="28"/>
          <w:szCs w:val="28"/>
        </w:rPr>
      </w:pPr>
    </w:p>
    <w:p w14:paraId="70D4DEFA" w14:textId="0E6384AD" w:rsidR="008653C8" w:rsidRPr="002C1A32" w:rsidRDefault="008653C8" w:rsidP="002C1A32">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426"/>
        </w:tabs>
        <w:autoSpaceDE w:val="0"/>
        <w:autoSpaceDN w:val="0"/>
        <w:adjustRightInd w:val="0"/>
        <w:spacing w:after="0" w:line="240" w:lineRule="auto"/>
        <w:ind w:right="49"/>
        <w:contextualSpacing/>
        <w:jc w:val="both"/>
        <w:rPr>
          <w:rFonts w:eastAsia="Times New Roman"/>
          <w:sz w:val="28"/>
          <w:szCs w:val="28"/>
        </w:rPr>
      </w:pPr>
      <w:r w:rsidRPr="002C1A32">
        <w:rPr>
          <w:rFonts w:eastAsia="Times New Roman"/>
          <w:sz w:val="28"/>
          <w:szCs w:val="28"/>
        </w:rPr>
        <w:t>En suma, la Corte en sede control abstracto y concreto consider</w:t>
      </w:r>
      <w:r w:rsidR="002572A2" w:rsidRPr="002C1A32">
        <w:rPr>
          <w:rFonts w:eastAsia="Times New Roman"/>
          <w:sz w:val="28"/>
          <w:szCs w:val="28"/>
        </w:rPr>
        <w:t>ó</w:t>
      </w:r>
      <w:r w:rsidRPr="002C1A32">
        <w:rPr>
          <w:rFonts w:eastAsia="Times New Roman"/>
          <w:sz w:val="28"/>
          <w:szCs w:val="28"/>
        </w:rPr>
        <w:t xml:space="preserve"> que: </w:t>
      </w:r>
      <w:r w:rsidRPr="002C1A32">
        <w:rPr>
          <w:rFonts w:eastAsia="Times New Roman"/>
          <w:i/>
          <w:sz w:val="28"/>
          <w:szCs w:val="28"/>
        </w:rPr>
        <w:t xml:space="preserve">(i) </w:t>
      </w:r>
      <w:r w:rsidRPr="002C1A32">
        <w:rPr>
          <w:rFonts w:eastAsia="Times New Roman"/>
          <w:sz w:val="28"/>
          <w:szCs w:val="28"/>
        </w:rPr>
        <w:t>previo al proceso de formalización laboral entre las madres comunitarias y la</w:t>
      </w:r>
      <w:r w:rsidR="002572A2" w:rsidRPr="002C1A32">
        <w:rPr>
          <w:rFonts w:eastAsia="Times New Roman"/>
          <w:sz w:val="28"/>
          <w:szCs w:val="28"/>
        </w:rPr>
        <w:t>s asociaciones de padres, existió</w:t>
      </w:r>
      <w:r w:rsidRPr="002C1A32">
        <w:rPr>
          <w:rFonts w:eastAsia="Times New Roman"/>
          <w:sz w:val="28"/>
          <w:szCs w:val="28"/>
        </w:rPr>
        <w:t xml:space="preserve"> un vínculo de naturaleza civil, predicable a su vez, en su relación con el ICBF al tratarse de una contribución voluntaria y solidaria con los menores de su comunidad</w:t>
      </w:r>
      <w:r w:rsidRPr="002C1A32">
        <w:rPr>
          <w:rStyle w:val="Refdenotaalpie"/>
          <w:rFonts w:eastAsia="Times New Roman"/>
          <w:sz w:val="28"/>
          <w:szCs w:val="28"/>
        </w:rPr>
        <w:footnoteReference w:id="45"/>
      </w:r>
      <w:r w:rsidRPr="002C1A32">
        <w:rPr>
          <w:rFonts w:eastAsia="Times New Roman"/>
          <w:sz w:val="28"/>
          <w:szCs w:val="28"/>
        </w:rPr>
        <w:t xml:space="preserve">, </w:t>
      </w:r>
      <w:r w:rsidRPr="002C1A32">
        <w:rPr>
          <w:rFonts w:eastAsia="Times New Roman"/>
          <w:i/>
          <w:sz w:val="28"/>
          <w:szCs w:val="28"/>
        </w:rPr>
        <w:t xml:space="preserve">(ii) </w:t>
      </w:r>
      <w:r w:rsidR="00DE3AE5" w:rsidRPr="002C1A32">
        <w:rPr>
          <w:rFonts w:eastAsia="Times New Roman"/>
          <w:sz w:val="28"/>
          <w:szCs w:val="28"/>
        </w:rPr>
        <w:t xml:space="preserve">en desarrollo de una política pública, </w:t>
      </w:r>
      <w:r w:rsidRPr="002C1A32">
        <w:rPr>
          <w:rFonts w:eastAsia="Times New Roman"/>
          <w:sz w:val="28"/>
          <w:szCs w:val="28"/>
        </w:rPr>
        <w:t xml:space="preserve">a partir de la vigencia fiscal del 2013 se ordenó el pago de un salario mínimo a través del mecanismo de la beca, pero desde el 12 de febrero de 2014 se decretó la vinculación exclusiva mediante contrato laboral, excluyendo </w:t>
      </w:r>
      <w:r w:rsidR="00363803" w:rsidRPr="002C1A32">
        <w:rPr>
          <w:rFonts w:eastAsia="Times New Roman"/>
          <w:sz w:val="28"/>
          <w:szCs w:val="28"/>
        </w:rPr>
        <w:t xml:space="preserve">con ello, </w:t>
      </w:r>
      <w:r w:rsidRPr="002C1A32">
        <w:rPr>
          <w:rFonts w:eastAsia="Times New Roman"/>
          <w:sz w:val="28"/>
          <w:szCs w:val="28"/>
        </w:rPr>
        <w:t>cualquier posibilidad de ser consideradas servidoras públicas so pena el principio de realidad sobre las formas</w:t>
      </w:r>
      <w:r w:rsidR="008E6A91" w:rsidRPr="002C1A32">
        <w:rPr>
          <w:rStyle w:val="Refdenotaalpie"/>
          <w:rFonts w:eastAsia="Times New Roman"/>
          <w:sz w:val="28"/>
          <w:szCs w:val="28"/>
        </w:rPr>
        <w:footnoteReference w:id="46"/>
      </w:r>
      <w:r w:rsidRPr="002C1A32">
        <w:rPr>
          <w:rFonts w:eastAsia="Times New Roman"/>
          <w:sz w:val="28"/>
          <w:szCs w:val="28"/>
        </w:rPr>
        <w:t xml:space="preserve">.  </w:t>
      </w:r>
    </w:p>
    <w:p w14:paraId="1AE5985F" w14:textId="77777777" w:rsidR="002572A2" w:rsidRPr="002C1A32" w:rsidRDefault="002572A2" w:rsidP="002C1A32">
      <w:pPr>
        <w:widowControl w:val="0"/>
        <w:pBdr>
          <w:top w:val="none" w:sz="0" w:space="0" w:color="000000"/>
          <w:left w:val="none" w:sz="0" w:space="0" w:color="000000"/>
          <w:bottom w:val="none" w:sz="0" w:space="0" w:color="000000"/>
          <w:right w:val="none" w:sz="0" w:space="0" w:color="000000"/>
          <w:between w:val="none" w:sz="0" w:space="0" w:color="000000"/>
        </w:pBdr>
        <w:tabs>
          <w:tab w:val="left" w:pos="426"/>
        </w:tabs>
        <w:autoSpaceDE w:val="0"/>
        <w:autoSpaceDN w:val="0"/>
        <w:adjustRightInd w:val="0"/>
        <w:spacing w:after="0" w:line="240" w:lineRule="auto"/>
        <w:ind w:right="49"/>
        <w:contextualSpacing/>
        <w:jc w:val="both"/>
        <w:rPr>
          <w:rFonts w:eastAsia="Times New Roman"/>
          <w:sz w:val="28"/>
          <w:szCs w:val="28"/>
        </w:rPr>
      </w:pPr>
    </w:p>
    <w:p w14:paraId="4276DFFC" w14:textId="2A133B5F" w:rsidR="001609B0" w:rsidRPr="002C1A32" w:rsidRDefault="00527829" w:rsidP="002C1A32">
      <w:pPr>
        <w:pStyle w:val="Ttulo2"/>
        <w:pBdr>
          <w:top w:val="none" w:sz="0" w:space="0" w:color="auto"/>
          <w:left w:val="none" w:sz="0" w:space="0" w:color="auto"/>
          <w:bottom w:val="none" w:sz="0" w:space="0" w:color="auto"/>
          <w:right w:val="none" w:sz="0" w:space="0" w:color="auto"/>
          <w:between w:val="none" w:sz="0" w:space="0" w:color="auto"/>
        </w:pBdr>
        <w:spacing w:before="0" w:after="0" w:line="240" w:lineRule="auto"/>
        <w:jc w:val="both"/>
        <w:rPr>
          <w:rFonts w:eastAsia="Times New Roman"/>
          <w:b/>
          <w:szCs w:val="28"/>
        </w:rPr>
      </w:pPr>
      <w:r w:rsidRPr="002C1A32">
        <w:rPr>
          <w:rFonts w:eastAsia="Times New Roman"/>
          <w:b/>
          <w:szCs w:val="28"/>
        </w:rPr>
        <w:t>(ii</w:t>
      </w:r>
      <w:r w:rsidR="00051933">
        <w:rPr>
          <w:rFonts w:eastAsia="Times New Roman"/>
          <w:b/>
          <w:szCs w:val="28"/>
        </w:rPr>
        <w:t>i</w:t>
      </w:r>
      <w:r w:rsidRPr="002C1A32">
        <w:rPr>
          <w:rFonts w:eastAsia="Times New Roman"/>
          <w:b/>
          <w:szCs w:val="28"/>
        </w:rPr>
        <w:t xml:space="preserve">). </w:t>
      </w:r>
      <w:r w:rsidR="001609B0" w:rsidRPr="002C1A32">
        <w:rPr>
          <w:rFonts w:eastAsia="Times New Roman"/>
          <w:b/>
          <w:szCs w:val="28"/>
        </w:rPr>
        <w:t>Régimen jurídico del Sistema de Seguridad Social de las madres comunitarias y sustitutas</w:t>
      </w:r>
    </w:p>
    <w:p w14:paraId="5C5CAE56" w14:textId="77777777" w:rsidR="001609B0" w:rsidRPr="002C1A32" w:rsidRDefault="001609B0" w:rsidP="002C1A32">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eastAsia="Times New Roman"/>
          <w:b/>
          <w:sz w:val="28"/>
          <w:szCs w:val="28"/>
        </w:rPr>
      </w:pPr>
    </w:p>
    <w:p w14:paraId="6824D241" w14:textId="5B2402F8" w:rsidR="00F21893" w:rsidRPr="002C1A32" w:rsidRDefault="001C5396" w:rsidP="002C1A32">
      <w:pPr>
        <w:pStyle w:val="Prrafodelista"/>
        <w:numPr>
          <w:ilvl w:val="0"/>
          <w:numId w:val="2"/>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426"/>
        </w:tabs>
        <w:spacing w:after="0" w:line="240" w:lineRule="auto"/>
        <w:jc w:val="both"/>
        <w:textAlignment w:val="baseline"/>
        <w:rPr>
          <w:rFonts w:eastAsia="Times New Roman"/>
          <w:sz w:val="28"/>
          <w:szCs w:val="28"/>
        </w:rPr>
      </w:pPr>
      <w:r w:rsidRPr="002C1A32">
        <w:rPr>
          <w:rFonts w:eastAsia="Times New Roman"/>
          <w:sz w:val="28"/>
          <w:szCs w:val="28"/>
        </w:rPr>
        <w:t>Vistos los aspectos operativos y contractuales que comporta el programa de HCB, resulta necesario analizar su incidencia en el derecho a la seguridad social</w:t>
      </w:r>
      <w:r w:rsidR="007D0C36" w:rsidRPr="002C1A32">
        <w:rPr>
          <w:rFonts w:eastAsia="Times New Roman"/>
          <w:sz w:val="28"/>
          <w:szCs w:val="28"/>
        </w:rPr>
        <w:t xml:space="preserve"> de las accionantes</w:t>
      </w:r>
      <w:r w:rsidR="00F21893" w:rsidRPr="002C1A32">
        <w:rPr>
          <w:rFonts w:eastAsia="Times New Roman"/>
          <w:sz w:val="28"/>
          <w:szCs w:val="28"/>
        </w:rPr>
        <w:t xml:space="preserve">, destacando que la consagración de dicho derecho </w:t>
      </w:r>
      <w:r w:rsidR="00125687" w:rsidRPr="002C1A32">
        <w:rPr>
          <w:rFonts w:eastAsia="Times New Roman"/>
          <w:sz w:val="28"/>
          <w:szCs w:val="28"/>
        </w:rPr>
        <w:t xml:space="preserve">como fundamental </w:t>
      </w:r>
      <w:r w:rsidR="00F21893" w:rsidRPr="002C1A32">
        <w:rPr>
          <w:rFonts w:eastAsia="Times New Roman"/>
          <w:sz w:val="28"/>
          <w:szCs w:val="28"/>
        </w:rPr>
        <w:t>se dio con la Constituci</w:t>
      </w:r>
      <w:r w:rsidR="00125687" w:rsidRPr="002C1A32">
        <w:rPr>
          <w:rFonts w:eastAsia="Times New Roman"/>
          <w:sz w:val="28"/>
          <w:szCs w:val="28"/>
        </w:rPr>
        <w:t xml:space="preserve">ón de 1991 y que a partir de la Ley 100 de 1993, se creó el sistema de seguridad social integral para todos los habitantes del territorio nacional, pues bajo el sistema anterior, la afiliación </w:t>
      </w:r>
      <w:r w:rsidR="00D17B75" w:rsidRPr="002C1A32">
        <w:rPr>
          <w:rFonts w:eastAsia="Times New Roman"/>
          <w:sz w:val="28"/>
          <w:szCs w:val="28"/>
        </w:rPr>
        <w:t xml:space="preserve">obligatoria </w:t>
      </w:r>
      <w:r w:rsidR="00125687" w:rsidRPr="002C1A32">
        <w:rPr>
          <w:rFonts w:eastAsia="Times New Roman"/>
          <w:sz w:val="28"/>
          <w:szCs w:val="28"/>
        </w:rPr>
        <w:t>a una caja o administradora pensional se encontraba sujeta a una relación laboral</w:t>
      </w:r>
      <w:r w:rsidR="00125687" w:rsidRPr="002C1A32">
        <w:rPr>
          <w:rStyle w:val="Refdenotaalpie"/>
          <w:rFonts w:eastAsia="Times New Roman"/>
          <w:sz w:val="28"/>
          <w:szCs w:val="28"/>
        </w:rPr>
        <w:footnoteReference w:id="47"/>
      </w:r>
      <w:r w:rsidR="00D17B75" w:rsidRPr="002C1A32">
        <w:rPr>
          <w:rFonts w:eastAsia="Times New Roman"/>
          <w:sz w:val="28"/>
          <w:szCs w:val="28"/>
        </w:rPr>
        <w:t xml:space="preserve"> y de modo voluntario a ciertos independientes</w:t>
      </w:r>
      <w:r w:rsidR="00974E32" w:rsidRPr="002C1A32">
        <w:rPr>
          <w:rFonts w:eastAsia="Times New Roman"/>
          <w:sz w:val="28"/>
          <w:szCs w:val="28"/>
        </w:rPr>
        <w:t xml:space="preserve"> dentro de los cuales no se contemplaron a las madres comunitarias</w:t>
      </w:r>
      <w:r w:rsidR="00D17B75" w:rsidRPr="002C1A32">
        <w:rPr>
          <w:rStyle w:val="Refdenotaalpie"/>
          <w:rFonts w:eastAsia="Times New Roman"/>
          <w:sz w:val="28"/>
          <w:szCs w:val="28"/>
        </w:rPr>
        <w:footnoteReference w:id="48"/>
      </w:r>
      <w:r w:rsidR="00125687" w:rsidRPr="002C1A32">
        <w:rPr>
          <w:rFonts w:eastAsia="Times New Roman"/>
          <w:sz w:val="28"/>
          <w:szCs w:val="28"/>
        </w:rPr>
        <w:t xml:space="preserve">. </w:t>
      </w:r>
    </w:p>
    <w:p w14:paraId="70AF99CA" w14:textId="77777777" w:rsidR="00F21893" w:rsidRPr="002C1A32" w:rsidRDefault="00F21893" w:rsidP="002C1A32">
      <w:pPr>
        <w:pStyle w:val="Prrafodelista"/>
        <w:pBdr>
          <w:top w:val="none" w:sz="0" w:space="0" w:color="auto"/>
          <w:left w:val="none" w:sz="0" w:space="0" w:color="auto"/>
          <w:bottom w:val="none" w:sz="0" w:space="0" w:color="auto"/>
          <w:right w:val="none" w:sz="0" w:space="0" w:color="auto"/>
          <w:between w:val="none" w:sz="0" w:space="0" w:color="auto"/>
        </w:pBdr>
        <w:shd w:val="clear" w:color="auto" w:fill="FFFFFF"/>
        <w:tabs>
          <w:tab w:val="left" w:pos="426"/>
        </w:tabs>
        <w:spacing w:after="0" w:line="240" w:lineRule="auto"/>
        <w:ind w:left="0"/>
        <w:jc w:val="both"/>
        <w:textAlignment w:val="baseline"/>
        <w:rPr>
          <w:rFonts w:eastAsia="Times New Roman"/>
          <w:sz w:val="28"/>
          <w:szCs w:val="28"/>
        </w:rPr>
      </w:pPr>
    </w:p>
    <w:p w14:paraId="53F5CB86" w14:textId="5C073FBB" w:rsidR="007D0C36" w:rsidRPr="002C1A32" w:rsidRDefault="00661068" w:rsidP="002C1A32">
      <w:pPr>
        <w:pStyle w:val="Prrafodelista"/>
        <w:numPr>
          <w:ilvl w:val="0"/>
          <w:numId w:val="2"/>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426"/>
        </w:tabs>
        <w:spacing w:after="0" w:line="240" w:lineRule="auto"/>
        <w:jc w:val="both"/>
        <w:textAlignment w:val="baseline"/>
        <w:rPr>
          <w:rFonts w:eastAsia="Times New Roman"/>
          <w:sz w:val="28"/>
          <w:szCs w:val="28"/>
        </w:rPr>
      </w:pPr>
      <w:r w:rsidRPr="002C1A32">
        <w:rPr>
          <w:rFonts w:eastAsia="Times New Roman"/>
          <w:sz w:val="28"/>
          <w:szCs w:val="28"/>
        </w:rPr>
        <w:t>La Ley 100 de 1993 se fijó como objetivo</w:t>
      </w:r>
      <w:r w:rsidR="00EC507E" w:rsidRPr="002C1A32">
        <w:rPr>
          <w:rFonts w:eastAsia="Times New Roman"/>
          <w:sz w:val="28"/>
          <w:szCs w:val="28"/>
        </w:rPr>
        <w:t>s</w:t>
      </w:r>
      <w:r w:rsidRPr="002C1A32">
        <w:rPr>
          <w:rFonts w:eastAsia="Times New Roman"/>
          <w:sz w:val="28"/>
          <w:szCs w:val="28"/>
        </w:rPr>
        <w:t xml:space="preserve"> </w:t>
      </w:r>
      <w:r w:rsidRPr="002C1A32">
        <w:rPr>
          <w:rFonts w:eastAsia="Times New Roman"/>
          <w:i/>
          <w:sz w:val="28"/>
          <w:szCs w:val="28"/>
        </w:rPr>
        <w:t>“</w:t>
      </w:r>
      <w:r w:rsidR="00EC507E" w:rsidRPr="002C1A32">
        <w:rPr>
          <w:rFonts w:eastAsia="Times New Roman"/>
          <w:i/>
          <w:sz w:val="28"/>
          <w:szCs w:val="28"/>
        </w:rPr>
        <w:t>el amparo contra las contingencias derivadas de la vejez, la invalidez y la muerte</w:t>
      </w:r>
      <w:r w:rsidRPr="002C1A32">
        <w:rPr>
          <w:rFonts w:eastAsia="Times New Roman"/>
          <w:i/>
          <w:sz w:val="28"/>
          <w:szCs w:val="28"/>
        </w:rPr>
        <w:t>”</w:t>
      </w:r>
      <w:r w:rsidR="00EC507E" w:rsidRPr="002C1A32">
        <w:rPr>
          <w:rFonts w:eastAsia="Times New Roman"/>
          <w:i/>
          <w:sz w:val="28"/>
          <w:szCs w:val="28"/>
        </w:rPr>
        <w:t xml:space="preserve"> y “propender por la ampliación progresiva de cobertura a los segmentos de población no cubiertos con un sistema de pensiones”</w:t>
      </w:r>
      <w:r w:rsidRPr="002C1A32">
        <w:rPr>
          <w:rStyle w:val="Refdenotaalpie"/>
          <w:rFonts w:eastAsia="Times New Roman"/>
          <w:i/>
          <w:sz w:val="28"/>
          <w:szCs w:val="28"/>
        </w:rPr>
        <w:footnoteReference w:id="49"/>
      </w:r>
      <w:r w:rsidRPr="002C1A32">
        <w:rPr>
          <w:rFonts w:eastAsia="Times New Roman"/>
          <w:i/>
          <w:sz w:val="28"/>
          <w:szCs w:val="28"/>
        </w:rPr>
        <w:t>.</w:t>
      </w:r>
      <w:r w:rsidR="00EC507E" w:rsidRPr="002C1A32">
        <w:rPr>
          <w:rFonts w:eastAsia="Times New Roman"/>
          <w:i/>
          <w:sz w:val="28"/>
          <w:szCs w:val="28"/>
        </w:rPr>
        <w:t xml:space="preserve"> </w:t>
      </w:r>
      <w:r w:rsidR="00EC507E" w:rsidRPr="002C1A32">
        <w:rPr>
          <w:rFonts w:eastAsia="Times New Roman"/>
          <w:sz w:val="28"/>
          <w:szCs w:val="28"/>
        </w:rPr>
        <w:t xml:space="preserve">Ello mediante un esquema de afiliación obligatoria y otro subsidiado. Así, </w:t>
      </w:r>
      <w:r w:rsidR="00AB6437" w:rsidRPr="002C1A32">
        <w:rPr>
          <w:rFonts w:eastAsia="Times New Roman"/>
          <w:sz w:val="28"/>
          <w:szCs w:val="28"/>
        </w:rPr>
        <w:t xml:space="preserve">el artículo </w:t>
      </w:r>
      <w:r w:rsidR="00EC507E" w:rsidRPr="002C1A32">
        <w:rPr>
          <w:rFonts w:eastAsia="Times New Roman"/>
          <w:sz w:val="28"/>
          <w:szCs w:val="28"/>
        </w:rPr>
        <w:t>13</w:t>
      </w:r>
      <w:r w:rsidR="00711DE7" w:rsidRPr="002C1A32">
        <w:rPr>
          <w:rFonts w:eastAsia="Times New Roman"/>
          <w:sz w:val="28"/>
          <w:szCs w:val="28"/>
        </w:rPr>
        <w:t xml:space="preserve"> original </w:t>
      </w:r>
      <w:r w:rsidR="00EC507E" w:rsidRPr="002C1A32">
        <w:rPr>
          <w:rFonts w:eastAsia="Times New Roman"/>
          <w:sz w:val="28"/>
          <w:szCs w:val="28"/>
        </w:rPr>
        <w:t xml:space="preserve">incluía como beneficiarios del subsidio a los </w:t>
      </w:r>
      <w:r w:rsidR="00EC507E" w:rsidRPr="002C1A32">
        <w:rPr>
          <w:rFonts w:eastAsia="Times New Roman"/>
          <w:i/>
          <w:sz w:val="28"/>
          <w:szCs w:val="28"/>
        </w:rPr>
        <w:t xml:space="preserve">“campesinos, indígenas, trabajadores independientes, artistas, deportistas y madres comunitarias”. </w:t>
      </w:r>
      <w:r w:rsidR="00EC507E" w:rsidRPr="002C1A32">
        <w:rPr>
          <w:rFonts w:eastAsia="Times New Roman"/>
          <w:sz w:val="28"/>
          <w:szCs w:val="28"/>
        </w:rPr>
        <w:t xml:space="preserve">En la actualidad, tras la modificación introducida por el artículo 2 de la Ley 797 de 2003. El fondo de solidaridad pensional </w:t>
      </w:r>
      <w:r w:rsidR="00EC507E" w:rsidRPr="002C1A32">
        <w:rPr>
          <w:rFonts w:eastAsia="Times New Roman"/>
          <w:i/>
          <w:sz w:val="28"/>
          <w:szCs w:val="28"/>
        </w:rPr>
        <w:t>“estará destinado a ampliar la cobertura mediante el subsidio a los grupos de población que, por sus características y condiciones socioeconómicas, no tienen acceso a los sistemas de seguridad social, tales como trabajadores independientes o desempleados, artistas, deportistas, madres comunitarias y discapacitados”</w:t>
      </w:r>
      <w:r w:rsidR="00EC507E" w:rsidRPr="002C1A32">
        <w:rPr>
          <w:rStyle w:val="Refdenotaalpie"/>
          <w:rFonts w:eastAsia="Times New Roman"/>
          <w:i/>
          <w:sz w:val="28"/>
          <w:szCs w:val="28"/>
        </w:rPr>
        <w:footnoteReference w:id="50"/>
      </w:r>
      <w:r w:rsidR="00EC507E" w:rsidRPr="002C1A32">
        <w:rPr>
          <w:rFonts w:eastAsia="Times New Roman"/>
          <w:sz w:val="28"/>
          <w:szCs w:val="28"/>
        </w:rPr>
        <w:t xml:space="preserve">. </w:t>
      </w:r>
    </w:p>
    <w:p w14:paraId="2D5C1CA7" w14:textId="77777777" w:rsidR="00BB1354" w:rsidRPr="002C1A32" w:rsidRDefault="00BB1354" w:rsidP="002C1A32">
      <w:pPr>
        <w:pStyle w:val="Prrafodelista"/>
        <w:spacing w:after="0" w:line="240" w:lineRule="auto"/>
        <w:ind w:left="0"/>
        <w:rPr>
          <w:rFonts w:eastAsia="Times New Roman"/>
          <w:sz w:val="28"/>
          <w:szCs w:val="28"/>
        </w:rPr>
      </w:pPr>
    </w:p>
    <w:p w14:paraId="0C820722" w14:textId="3B3B0586" w:rsidR="00BB1354" w:rsidRPr="002C1A32" w:rsidRDefault="00BB1354" w:rsidP="002C1A32">
      <w:pPr>
        <w:pStyle w:val="Prrafodelista"/>
        <w:numPr>
          <w:ilvl w:val="0"/>
          <w:numId w:val="2"/>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426"/>
        </w:tabs>
        <w:spacing w:after="0" w:line="240" w:lineRule="auto"/>
        <w:jc w:val="both"/>
        <w:textAlignment w:val="baseline"/>
        <w:rPr>
          <w:rFonts w:eastAsia="Times New Roman"/>
          <w:color w:val="2D2D2D"/>
          <w:sz w:val="28"/>
          <w:szCs w:val="28"/>
        </w:rPr>
      </w:pPr>
      <w:r w:rsidRPr="002C1A32">
        <w:rPr>
          <w:rFonts w:eastAsia="Times New Roman"/>
          <w:sz w:val="28"/>
          <w:szCs w:val="28"/>
        </w:rPr>
        <w:t xml:space="preserve">En hilo con lo anterior, el artículo 221 de la Ley 100 de 1993 dispuso que </w:t>
      </w:r>
      <w:r w:rsidRPr="002C1A32">
        <w:rPr>
          <w:rFonts w:eastAsia="Times New Roman"/>
          <w:i/>
          <w:sz w:val="28"/>
          <w:szCs w:val="28"/>
        </w:rPr>
        <w:t xml:space="preserve">“los recursos de solidaridad se destinarán a cofinanciar los subsidios para los colombianos más pobres y vulnerables, los cuales se transferirán, de acuerdo con la reglamentación que para el efecto adopte el Gobierno Nacional”. </w:t>
      </w:r>
      <w:r w:rsidRPr="002C1A32">
        <w:rPr>
          <w:rFonts w:eastAsia="Times New Roman"/>
          <w:sz w:val="28"/>
          <w:szCs w:val="28"/>
        </w:rPr>
        <w:t xml:space="preserve">Al respecto, la Corte en la Sentencia T-1058 de 2006, reseñó la evolución de la ampliación de la cobertura de las madres comunitarias, del siguiente modo: </w:t>
      </w:r>
    </w:p>
    <w:p w14:paraId="3316FAD1" w14:textId="77777777" w:rsidR="00527829" w:rsidRPr="002C1A32" w:rsidRDefault="00527829" w:rsidP="002C1A32">
      <w:pPr>
        <w:widowControl w:val="0"/>
        <w:pBdr>
          <w:top w:val="none" w:sz="0" w:space="0" w:color="000000"/>
          <w:left w:val="none" w:sz="0" w:space="0" w:color="000000"/>
          <w:bottom w:val="none" w:sz="0" w:space="0" w:color="000000"/>
          <w:right w:val="none" w:sz="0" w:space="0" w:color="000000"/>
          <w:between w:val="none" w:sz="0" w:space="0" w:color="000000"/>
        </w:pBdr>
        <w:tabs>
          <w:tab w:val="left" w:pos="426"/>
        </w:tabs>
        <w:autoSpaceDE w:val="0"/>
        <w:autoSpaceDN w:val="0"/>
        <w:adjustRightInd w:val="0"/>
        <w:spacing w:after="0" w:line="240" w:lineRule="auto"/>
        <w:ind w:right="397"/>
        <w:contextualSpacing/>
        <w:jc w:val="both"/>
        <w:rPr>
          <w:rFonts w:eastAsia="Times New Roman"/>
          <w:sz w:val="28"/>
          <w:szCs w:val="28"/>
        </w:rPr>
      </w:pPr>
    </w:p>
    <w:p w14:paraId="73585DA5" w14:textId="7C70241D" w:rsidR="00BB1354" w:rsidRPr="002C1A32" w:rsidRDefault="00BB1354" w:rsidP="002C1A32">
      <w:pPr>
        <w:widowControl w:val="0"/>
        <w:pBdr>
          <w:top w:val="none" w:sz="0" w:space="0" w:color="000000"/>
          <w:left w:val="none" w:sz="0" w:space="0" w:color="000000"/>
          <w:bottom w:val="none" w:sz="0" w:space="0" w:color="000000"/>
          <w:right w:val="none" w:sz="0" w:space="0" w:color="000000"/>
          <w:between w:val="none" w:sz="0" w:space="0" w:color="000000"/>
        </w:pBdr>
        <w:tabs>
          <w:tab w:val="left" w:pos="426"/>
        </w:tabs>
        <w:autoSpaceDE w:val="0"/>
        <w:autoSpaceDN w:val="0"/>
        <w:adjustRightInd w:val="0"/>
        <w:spacing w:after="0" w:line="240" w:lineRule="auto"/>
        <w:ind w:right="397"/>
        <w:contextualSpacing/>
        <w:jc w:val="both"/>
        <w:rPr>
          <w:rFonts w:eastAsia="Times New Roman"/>
          <w:sz w:val="28"/>
          <w:szCs w:val="28"/>
        </w:rPr>
      </w:pPr>
      <w:r w:rsidRPr="002C1A32">
        <w:rPr>
          <w:rFonts w:eastAsia="Times New Roman"/>
          <w:sz w:val="28"/>
          <w:szCs w:val="28"/>
        </w:rPr>
        <w:t>[L]as madres comunitarias eran afiliadas al sistema de seguridad social en salud, a través del régimen subsidiado, el cual se financiaba con los recursos del IVA social (literal g. art. 221 Ley 100 de 1993). Posteriormente, el artículo 1º de la Ley 509 de 1999 señaló que las madres comunitarias del programa hogares comunitarios del Instituto Colombiano de Bienestar Familiar, debían ser acreedoras a título personal a las mismas prestaciones asistenciales y económicas de que gozan los afiliados del régimen contributivo previsto por la Ley 100 de 1993. En esa misma normatividad se estableció, que la vinculación al régimen contributivo será financiada por un aporte mensual, el cual corresponderá a las madres comunitarias, en un 8% de la bonificación, y al Fondo de Solidaridad y Garantía, de acuerdo con lo señalado en los artículos 3º y 4º de la Ley 509 de 1999. El monto de la cotización será recaudada por las organizaciones que administran el programa hogares de bienestar, quienes también se obligan a transferir los recursos a la EPS.</w:t>
      </w:r>
    </w:p>
    <w:p w14:paraId="1FC0F18C" w14:textId="77777777" w:rsidR="00BB1354" w:rsidRPr="002C1A32" w:rsidRDefault="00BB1354" w:rsidP="002C1A32">
      <w:pPr>
        <w:pStyle w:val="Prrafodelista"/>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426"/>
        </w:tabs>
        <w:autoSpaceDE w:val="0"/>
        <w:autoSpaceDN w:val="0"/>
        <w:adjustRightInd w:val="0"/>
        <w:spacing w:after="0" w:line="240" w:lineRule="auto"/>
        <w:ind w:left="0" w:right="49"/>
        <w:jc w:val="both"/>
        <w:textAlignment w:val="baseline"/>
        <w:rPr>
          <w:rFonts w:eastAsia="Times New Roman"/>
          <w:sz w:val="28"/>
          <w:szCs w:val="28"/>
        </w:rPr>
      </w:pPr>
    </w:p>
    <w:p w14:paraId="75A560A5" w14:textId="16689DBD" w:rsidR="003B0F6F" w:rsidRPr="002C1A32" w:rsidRDefault="00D138AD" w:rsidP="002C1A32">
      <w:pPr>
        <w:pStyle w:val="Prrafodelista"/>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426"/>
        </w:tabs>
        <w:autoSpaceDE w:val="0"/>
        <w:autoSpaceDN w:val="0"/>
        <w:adjustRightInd w:val="0"/>
        <w:spacing w:after="0" w:line="240" w:lineRule="auto"/>
        <w:ind w:right="49"/>
        <w:jc w:val="both"/>
        <w:textAlignment w:val="baseline"/>
        <w:rPr>
          <w:rFonts w:eastAsia="Times New Roman"/>
          <w:sz w:val="28"/>
          <w:szCs w:val="28"/>
        </w:rPr>
      </w:pPr>
      <w:r w:rsidRPr="002C1A32">
        <w:rPr>
          <w:rFonts w:eastAsia="Times New Roman"/>
          <w:sz w:val="28"/>
          <w:szCs w:val="28"/>
        </w:rPr>
        <w:t>E</w:t>
      </w:r>
      <w:r w:rsidR="003B0F6F" w:rsidRPr="002C1A32">
        <w:rPr>
          <w:rFonts w:eastAsia="Times New Roman"/>
          <w:sz w:val="28"/>
          <w:szCs w:val="28"/>
        </w:rPr>
        <w:t xml:space="preserve">n la Sentencia SU-079 de 2018, la Corte </w:t>
      </w:r>
      <w:r w:rsidRPr="002C1A32">
        <w:rPr>
          <w:rFonts w:eastAsia="Times New Roman"/>
          <w:sz w:val="28"/>
          <w:szCs w:val="28"/>
        </w:rPr>
        <w:t xml:space="preserve">al resolver un caso idéntico al ahora estudiado, </w:t>
      </w:r>
      <w:r w:rsidR="00E22B59" w:rsidRPr="002C1A32">
        <w:rPr>
          <w:rFonts w:eastAsia="Times New Roman"/>
          <w:sz w:val="28"/>
          <w:szCs w:val="28"/>
        </w:rPr>
        <w:t xml:space="preserve">constató que </w:t>
      </w:r>
      <w:r w:rsidR="003B0F6F" w:rsidRPr="002C1A32">
        <w:rPr>
          <w:rFonts w:eastAsia="Times New Roman"/>
          <w:sz w:val="28"/>
          <w:szCs w:val="28"/>
        </w:rPr>
        <w:t xml:space="preserve">las madres Comunitarias </w:t>
      </w:r>
      <w:r w:rsidR="00E22B59" w:rsidRPr="002C1A32">
        <w:rPr>
          <w:rFonts w:eastAsia="Times New Roman"/>
          <w:sz w:val="28"/>
          <w:szCs w:val="28"/>
        </w:rPr>
        <w:t xml:space="preserve">en calidad de </w:t>
      </w:r>
      <w:r w:rsidR="003B0F6F" w:rsidRPr="002C1A32">
        <w:rPr>
          <w:rFonts w:eastAsia="Times New Roman"/>
          <w:sz w:val="28"/>
          <w:szCs w:val="28"/>
        </w:rPr>
        <w:t xml:space="preserve">titulares del derecho a la </w:t>
      </w:r>
      <w:r w:rsidR="00E22B59" w:rsidRPr="002C1A32">
        <w:rPr>
          <w:rFonts w:eastAsia="Times New Roman"/>
          <w:sz w:val="28"/>
          <w:szCs w:val="28"/>
        </w:rPr>
        <w:t>s</w:t>
      </w:r>
      <w:r w:rsidR="003B0F6F" w:rsidRPr="002C1A32">
        <w:rPr>
          <w:rFonts w:eastAsia="Times New Roman"/>
          <w:sz w:val="28"/>
          <w:szCs w:val="28"/>
        </w:rPr>
        <w:t xml:space="preserve">eguridad </w:t>
      </w:r>
      <w:r w:rsidR="00E22B59" w:rsidRPr="002C1A32">
        <w:rPr>
          <w:rFonts w:eastAsia="Times New Roman"/>
          <w:sz w:val="28"/>
          <w:szCs w:val="28"/>
        </w:rPr>
        <w:t>s</w:t>
      </w:r>
      <w:r w:rsidR="003B0F6F" w:rsidRPr="002C1A32">
        <w:rPr>
          <w:rFonts w:eastAsia="Times New Roman"/>
          <w:sz w:val="28"/>
          <w:szCs w:val="28"/>
        </w:rPr>
        <w:t xml:space="preserve">ocial, </w:t>
      </w:r>
      <w:r w:rsidR="00E22B59" w:rsidRPr="002C1A32">
        <w:rPr>
          <w:rFonts w:eastAsia="Times New Roman"/>
          <w:sz w:val="28"/>
          <w:szCs w:val="28"/>
        </w:rPr>
        <w:t xml:space="preserve">eran </w:t>
      </w:r>
      <w:r w:rsidR="003B0F6F" w:rsidRPr="002C1A32">
        <w:rPr>
          <w:rFonts w:eastAsia="Times New Roman"/>
          <w:sz w:val="28"/>
          <w:szCs w:val="28"/>
        </w:rPr>
        <w:t>responsables de su vinculación y permanencia en el Sistema de Seguridad Social Integral, de conformidad con la Ley 100 de 1993</w:t>
      </w:r>
      <w:r w:rsidR="00E22B59" w:rsidRPr="002C1A32">
        <w:rPr>
          <w:rFonts w:eastAsia="Times New Roman"/>
          <w:sz w:val="28"/>
          <w:szCs w:val="28"/>
        </w:rPr>
        <w:t xml:space="preserve"> y demás normas que la complementan o modifican</w:t>
      </w:r>
      <w:r w:rsidR="003B0F6F" w:rsidRPr="002C1A32">
        <w:rPr>
          <w:rFonts w:eastAsia="Times New Roman"/>
          <w:sz w:val="28"/>
          <w:szCs w:val="28"/>
        </w:rPr>
        <w:t>.</w:t>
      </w:r>
      <w:r w:rsidR="00E22B59" w:rsidRPr="002C1A32">
        <w:rPr>
          <w:rFonts w:eastAsia="Times New Roman"/>
          <w:sz w:val="28"/>
          <w:szCs w:val="28"/>
        </w:rPr>
        <w:t xml:space="preserve"> En especial, consideró que: </w:t>
      </w:r>
    </w:p>
    <w:p w14:paraId="19E29459" w14:textId="77777777" w:rsidR="004A462C" w:rsidRPr="002C1A32" w:rsidRDefault="004A462C" w:rsidP="002C1A32">
      <w:pPr>
        <w:pStyle w:val="Prrafodelista"/>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426"/>
        </w:tabs>
        <w:autoSpaceDE w:val="0"/>
        <w:autoSpaceDN w:val="0"/>
        <w:adjustRightInd w:val="0"/>
        <w:spacing w:after="0" w:line="240" w:lineRule="auto"/>
        <w:ind w:left="0" w:right="49"/>
        <w:jc w:val="both"/>
        <w:textAlignment w:val="baseline"/>
        <w:rPr>
          <w:rFonts w:eastAsia="Times New Roman"/>
          <w:sz w:val="28"/>
          <w:szCs w:val="28"/>
        </w:rPr>
      </w:pPr>
    </w:p>
    <w:p w14:paraId="039549BB" w14:textId="234FCCED" w:rsidR="00D138AD" w:rsidRPr="002C1A32" w:rsidRDefault="00D138AD" w:rsidP="002C1A32">
      <w:pPr>
        <w:widowControl w:val="0"/>
        <w:pBdr>
          <w:top w:val="none" w:sz="0" w:space="0" w:color="000000"/>
          <w:left w:val="none" w:sz="0" w:space="0" w:color="000000"/>
          <w:bottom w:val="none" w:sz="0" w:space="0" w:color="000000"/>
          <w:right w:val="none" w:sz="0" w:space="0" w:color="000000"/>
          <w:between w:val="none" w:sz="0" w:space="0" w:color="000000"/>
        </w:pBdr>
        <w:tabs>
          <w:tab w:val="left" w:pos="426"/>
        </w:tabs>
        <w:autoSpaceDE w:val="0"/>
        <w:autoSpaceDN w:val="0"/>
        <w:adjustRightInd w:val="0"/>
        <w:spacing w:after="0" w:line="240" w:lineRule="auto"/>
        <w:ind w:right="397"/>
        <w:contextualSpacing/>
        <w:jc w:val="both"/>
        <w:rPr>
          <w:rFonts w:eastAsia="Times New Roman"/>
          <w:sz w:val="28"/>
          <w:szCs w:val="28"/>
        </w:rPr>
      </w:pPr>
      <w:r w:rsidRPr="002C1A32">
        <w:rPr>
          <w:rFonts w:eastAsia="Times New Roman"/>
          <w:sz w:val="28"/>
          <w:szCs w:val="28"/>
        </w:rPr>
        <w:t>En conclusión, con anterioridad a la Ley 1607 de 2012 y el Decreto 289 de 2014, las madres comunitarias no tuvieron vínculo o relación laboral con los organismos o entidades responsables por la ejecución del Programa Hogares Comunitarios de Bienestar, lo cual supone que estos últimos no estaban obligados legalmente al pago de aportes parafiscales en favor de las primeras. Recuérdese que las tareas efectuadas por las madres comunitarias se realizaron dentro del marco de un trabajo solidario y una contribución voluntaria, de conformidad con la normatividad legal y la jurisprudencia constitucional. Respecto a esto último, recuérdese que esta Corporación en sus distintos fallos de revisión ha considerado que el vínculo entre las madres comunitarias y el Programa Hogares Comunitarios de Bienestar, era de carácter contractual civil, siendo por este aspecto anulada parcialmente la única sentencia (T-480 de 2016) que estimó la existencia de un contrato realidad de trabajo.</w:t>
      </w:r>
    </w:p>
    <w:p w14:paraId="62DA9184" w14:textId="77777777" w:rsidR="000F1871" w:rsidRPr="002C1A32" w:rsidRDefault="000F1871" w:rsidP="002C1A32">
      <w:pPr>
        <w:pStyle w:val="Prrafodelista"/>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426"/>
        </w:tabs>
        <w:autoSpaceDE w:val="0"/>
        <w:autoSpaceDN w:val="0"/>
        <w:adjustRightInd w:val="0"/>
        <w:spacing w:after="0" w:line="240" w:lineRule="auto"/>
        <w:ind w:left="0" w:right="49"/>
        <w:jc w:val="both"/>
        <w:textAlignment w:val="baseline"/>
        <w:rPr>
          <w:rFonts w:eastAsia="Times New Roman"/>
          <w:sz w:val="28"/>
          <w:szCs w:val="28"/>
        </w:rPr>
      </w:pPr>
    </w:p>
    <w:p w14:paraId="76143F5C" w14:textId="08A30E7E" w:rsidR="004A462C" w:rsidRPr="002C1A32" w:rsidRDefault="004A462C" w:rsidP="002C1A32">
      <w:pPr>
        <w:pStyle w:val="Ttulo2"/>
        <w:numPr>
          <w:ilvl w:val="0"/>
          <w:numId w:val="2"/>
        </w:numPr>
        <w:pBdr>
          <w:top w:val="none" w:sz="0" w:space="0" w:color="auto"/>
          <w:left w:val="none" w:sz="0" w:space="0" w:color="auto"/>
          <w:bottom w:val="none" w:sz="0" w:space="0" w:color="auto"/>
          <w:right w:val="none" w:sz="0" w:space="0" w:color="auto"/>
          <w:between w:val="none" w:sz="0" w:space="0" w:color="auto"/>
        </w:pBdr>
        <w:spacing w:before="0" w:after="0" w:line="240" w:lineRule="auto"/>
        <w:jc w:val="both"/>
        <w:rPr>
          <w:rFonts w:eastAsia="Times New Roman"/>
          <w:b/>
          <w:szCs w:val="28"/>
        </w:rPr>
      </w:pPr>
      <w:r w:rsidRPr="002C1A32">
        <w:rPr>
          <w:rFonts w:eastAsia="Times New Roman"/>
          <w:szCs w:val="28"/>
        </w:rPr>
        <w:t xml:space="preserve">En razón de lo antes expuesto, el derecho a la seguridad social de las madres comunitarias </w:t>
      </w:r>
      <w:r w:rsidR="00641DBE" w:rsidRPr="002C1A32">
        <w:rPr>
          <w:rFonts w:eastAsia="Times New Roman"/>
          <w:szCs w:val="28"/>
        </w:rPr>
        <w:t>y sustitutas</w:t>
      </w:r>
      <w:r w:rsidR="00641DBE" w:rsidRPr="002C1A32">
        <w:rPr>
          <w:rStyle w:val="Refdenotaalpie"/>
          <w:rFonts w:eastAsia="Times New Roman"/>
          <w:szCs w:val="28"/>
        </w:rPr>
        <w:footnoteReference w:id="51"/>
      </w:r>
      <w:r w:rsidR="00641DBE" w:rsidRPr="002C1A32">
        <w:rPr>
          <w:rFonts w:eastAsia="Times New Roman"/>
          <w:szCs w:val="28"/>
        </w:rPr>
        <w:t xml:space="preserve"> </w:t>
      </w:r>
      <w:r w:rsidRPr="002C1A32">
        <w:rPr>
          <w:rFonts w:eastAsia="Times New Roman"/>
          <w:szCs w:val="28"/>
        </w:rPr>
        <w:t xml:space="preserve">ha ido mutando a la par que el Estado ha ampliado la cobertura en la afiliación, pues: </w:t>
      </w:r>
      <w:r w:rsidRPr="002C1A32">
        <w:rPr>
          <w:rFonts w:eastAsia="Times New Roman"/>
          <w:i/>
          <w:szCs w:val="28"/>
        </w:rPr>
        <w:t xml:space="preserve">(i) </w:t>
      </w:r>
      <w:r w:rsidRPr="002C1A32">
        <w:rPr>
          <w:rFonts w:eastAsia="Times New Roman"/>
          <w:szCs w:val="28"/>
        </w:rPr>
        <w:t xml:space="preserve">previo al cambio de Constitución y a la entrada en vigencia de la Ley 100 de 1993 no </w:t>
      </w:r>
      <w:r w:rsidR="0067099E" w:rsidRPr="002C1A32">
        <w:rPr>
          <w:rFonts w:eastAsia="Times New Roman"/>
          <w:szCs w:val="28"/>
        </w:rPr>
        <w:t xml:space="preserve">estaban obligadas a cotizar, </w:t>
      </w:r>
      <w:r w:rsidR="0067099E" w:rsidRPr="002C1A32">
        <w:rPr>
          <w:rFonts w:eastAsia="Times New Roman"/>
          <w:i/>
          <w:szCs w:val="28"/>
        </w:rPr>
        <w:t xml:space="preserve">(ii) </w:t>
      </w:r>
      <w:r w:rsidRPr="002C1A32">
        <w:rPr>
          <w:rFonts w:eastAsia="Times New Roman"/>
          <w:szCs w:val="28"/>
        </w:rPr>
        <w:t>a partir de la Ley 100 de 1993, fueron vinculadas al sistema de seguridad social en salud, a través del régimen subsidiado, por lo que tenían derecho a la atención en salud, pero no al reconocimiento de las prestaciones económicas</w:t>
      </w:r>
      <w:r w:rsidR="0067099E" w:rsidRPr="002C1A32">
        <w:rPr>
          <w:rFonts w:eastAsia="Times New Roman"/>
          <w:szCs w:val="28"/>
        </w:rPr>
        <w:t xml:space="preserve">, </w:t>
      </w:r>
      <w:r w:rsidR="0067099E" w:rsidRPr="002C1A32">
        <w:rPr>
          <w:rFonts w:eastAsia="Times New Roman"/>
          <w:i/>
          <w:szCs w:val="28"/>
        </w:rPr>
        <w:t xml:space="preserve">(iii) </w:t>
      </w:r>
      <w:r w:rsidR="0067099E" w:rsidRPr="002C1A32">
        <w:rPr>
          <w:rFonts w:eastAsia="Times New Roman"/>
          <w:szCs w:val="28"/>
        </w:rPr>
        <w:t xml:space="preserve">con la </w:t>
      </w:r>
      <w:r w:rsidRPr="002C1A32">
        <w:rPr>
          <w:rFonts w:eastAsia="Times New Roman"/>
          <w:szCs w:val="28"/>
        </w:rPr>
        <w:t>Ley 509 de 1999</w:t>
      </w:r>
      <w:r w:rsidR="001F642C" w:rsidRPr="002C1A32">
        <w:rPr>
          <w:rStyle w:val="Refdenotaalpie"/>
          <w:rFonts w:eastAsia="Times New Roman"/>
          <w:szCs w:val="28"/>
        </w:rPr>
        <w:footnoteReference w:id="52"/>
      </w:r>
      <w:r w:rsidRPr="002C1A32">
        <w:rPr>
          <w:rFonts w:eastAsia="Times New Roman"/>
          <w:szCs w:val="28"/>
        </w:rPr>
        <w:t>, s</w:t>
      </w:r>
      <w:r w:rsidR="0067099E" w:rsidRPr="002C1A32">
        <w:rPr>
          <w:rFonts w:eastAsia="Times New Roman"/>
          <w:szCs w:val="28"/>
        </w:rPr>
        <w:t>on</w:t>
      </w:r>
      <w:r w:rsidRPr="002C1A32">
        <w:rPr>
          <w:rFonts w:eastAsia="Times New Roman"/>
          <w:szCs w:val="28"/>
        </w:rPr>
        <w:t xml:space="preserve"> vincul</w:t>
      </w:r>
      <w:r w:rsidR="0067099E" w:rsidRPr="002C1A32">
        <w:rPr>
          <w:rFonts w:eastAsia="Times New Roman"/>
          <w:szCs w:val="28"/>
        </w:rPr>
        <w:t>adas</w:t>
      </w:r>
      <w:r w:rsidRPr="002C1A32">
        <w:rPr>
          <w:rFonts w:eastAsia="Times New Roman"/>
          <w:szCs w:val="28"/>
        </w:rPr>
        <w:t xml:space="preserve"> al sistema en el régimen contributivo</w:t>
      </w:r>
      <w:r w:rsidR="0067099E" w:rsidRPr="002C1A32">
        <w:rPr>
          <w:rFonts w:eastAsia="Times New Roman"/>
          <w:szCs w:val="28"/>
        </w:rPr>
        <w:t xml:space="preserve"> mediante un subsidio a la cotización</w:t>
      </w:r>
      <w:r w:rsidRPr="002C1A32">
        <w:rPr>
          <w:rFonts w:eastAsia="Times New Roman"/>
          <w:szCs w:val="28"/>
        </w:rPr>
        <w:t>, adquiriendo así, las mismas prestaciones asistenciales y económicas de que gozan los afi</w:t>
      </w:r>
      <w:r w:rsidR="0067099E" w:rsidRPr="002C1A32">
        <w:rPr>
          <w:rFonts w:eastAsia="Times New Roman"/>
          <w:szCs w:val="28"/>
        </w:rPr>
        <w:t xml:space="preserve">liados al régimen contributivo, </w:t>
      </w:r>
      <w:r w:rsidR="0067099E" w:rsidRPr="002C1A32">
        <w:rPr>
          <w:rFonts w:eastAsia="Times New Roman"/>
          <w:i/>
          <w:szCs w:val="28"/>
        </w:rPr>
        <w:t xml:space="preserve">(iv) </w:t>
      </w:r>
      <w:r w:rsidR="0067099E" w:rsidRPr="002C1A32">
        <w:rPr>
          <w:rFonts w:eastAsia="Times New Roman"/>
          <w:szCs w:val="28"/>
        </w:rPr>
        <w:t xml:space="preserve">a través de la Ley 1607 de 2012 y el Decreto 289 de 2014 deben cotizar como trabajadoras sujetas al régimen del Código Sustantivo del Trabajo. </w:t>
      </w:r>
    </w:p>
    <w:p w14:paraId="53E631B8" w14:textId="77777777" w:rsidR="0067099E" w:rsidRPr="002C1A32" w:rsidRDefault="0067099E" w:rsidP="002C1A32">
      <w:pPr>
        <w:pStyle w:val="Prrafodelista"/>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426"/>
        </w:tabs>
        <w:autoSpaceDE w:val="0"/>
        <w:autoSpaceDN w:val="0"/>
        <w:adjustRightInd w:val="0"/>
        <w:spacing w:after="0" w:line="240" w:lineRule="auto"/>
        <w:ind w:left="0" w:right="49"/>
        <w:jc w:val="both"/>
        <w:textAlignment w:val="baseline"/>
        <w:rPr>
          <w:rFonts w:eastAsia="Times New Roman"/>
          <w:b/>
          <w:sz w:val="28"/>
          <w:szCs w:val="28"/>
        </w:rPr>
      </w:pPr>
    </w:p>
    <w:p w14:paraId="2C8DF0D4" w14:textId="31EC8ECF" w:rsidR="001609B0" w:rsidRPr="002C1A32" w:rsidRDefault="00051933" w:rsidP="002C1A32">
      <w:pPr>
        <w:pStyle w:val="Ttulo2"/>
        <w:pBdr>
          <w:top w:val="none" w:sz="0" w:space="0" w:color="auto"/>
          <w:left w:val="none" w:sz="0" w:space="0" w:color="auto"/>
          <w:bottom w:val="none" w:sz="0" w:space="0" w:color="auto"/>
          <w:right w:val="none" w:sz="0" w:space="0" w:color="auto"/>
          <w:between w:val="none" w:sz="0" w:space="0" w:color="auto"/>
        </w:pBdr>
        <w:spacing w:before="0" w:after="0" w:line="240" w:lineRule="auto"/>
        <w:jc w:val="both"/>
        <w:rPr>
          <w:rFonts w:eastAsia="Times New Roman"/>
          <w:b/>
          <w:szCs w:val="28"/>
        </w:rPr>
      </w:pPr>
      <w:r>
        <w:rPr>
          <w:rFonts w:eastAsia="Times New Roman"/>
          <w:b/>
          <w:szCs w:val="28"/>
        </w:rPr>
        <w:t xml:space="preserve">(iv) </w:t>
      </w:r>
      <w:r w:rsidR="001609B0" w:rsidRPr="002C1A32">
        <w:rPr>
          <w:rFonts w:eastAsia="Times New Roman"/>
          <w:b/>
          <w:szCs w:val="28"/>
        </w:rPr>
        <w:t>Programa de subsidio al aporte a la pensión</w:t>
      </w:r>
      <w:r w:rsidR="007D713B" w:rsidRPr="002C1A32">
        <w:rPr>
          <w:rFonts w:eastAsia="Times New Roman"/>
          <w:b/>
          <w:szCs w:val="28"/>
        </w:rPr>
        <w:t xml:space="preserve"> – PSAP</w:t>
      </w:r>
    </w:p>
    <w:p w14:paraId="3E594E1A" w14:textId="77777777" w:rsidR="007D713B" w:rsidRPr="002C1A32" w:rsidRDefault="007D713B" w:rsidP="002C1A32">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eastAsia="Times New Roman"/>
          <w:b/>
          <w:sz w:val="28"/>
          <w:szCs w:val="28"/>
        </w:rPr>
      </w:pPr>
    </w:p>
    <w:p w14:paraId="5823B23E" w14:textId="594F52BB" w:rsidR="00527829" w:rsidRPr="002C1A32" w:rsidRDefault="00282391" w:rsidP="002C1A32">
      <w:pPr>
        <w:pStyle w:val="Prrafodelista"/>
        <w:numPr>
          <w:ilvl w:val="0"/>
          <w:numId w:val="2"/>
        </w:numPr>
        <w:spacing w:after="0" w:line="240" w:lineRule="auto"/>
        <w:jc w:val="both"/>
        <w:rPr>
          <w:rFonts w:eastAsia="Times New Roman"/>
          <w:sz w:val="28"/>
          <w:szCs w:val="28"/>
        </w:rPr>
      </w:pPr>
      <w:r w:rsidRPr="002C1A32">
        <w:rPr>
          <w:rFonts w:eastAsia="Times New Roman"/>
          <w:sz w:val="28"/>
          <w:szCs w:val="28"/>
        </w:rPr>
        <w:t>El D</w:t>
      </w:r>
      <w:r w:rsidR="007D713B" w:rsidRPr="002C1A32">
        <w:rPr>
          <w:rFonts w:eastAsia="Times New Roman"/>
          <w:sz w:val="28"/>
          <w:szCs w:val="28"/>
        </w:rPr>
        <w:t>ecreto 1858 de 1995</w:t>
      </w:r>
      <w:r w:rsidRPr="002C1A32">
        <w:rPr>
          <w:rStyle w:val="Refdenotaalpie"/>
          <w:rFonts w:eastAsia="Times New Roman"/>
          <w:sz w:val="28"/>
          <w:szCs w:val="28"/>
        </w:rPr>
        <w:footnoteReference w:id="53"/>
      </w:r>
      <w:r w:rsidR="007D713B" w:rsidRPr="002C1A32">
        <w:rPr>
          <w:rFonts w:eastAsia="Times New Roman"/>
          <w:sz w:val="28"/>
          <w:szCs w:val="28"/>
        </w:rPr>
        <w:t xml:space="preserve"> cre</w:t>
      </w:r>
      <w:r w:rsidRPr="002C1A32">
        <w:rPr>
          <w:rFonts w:eastAsia="Times New Roman"/>
          <w:sz w:val="28"/>
          <w:szCs w:val="28"/>
        </w:rPr>
        <w:t>ó</w:t>
      </w:r>
      <w:r w:rsidR="007D713B" w:rsidRPr="002C1A32">
        <w:rPr>
          <w:rFonts w:eastAsia="Times New Roman"/>
          <w:sz w:val="28"/>
          <w:szCs w:val="28"/>
        </w:rPr>
        <w:t xml:space="preserve"> el programa de subsidio al aporte a la pensión (en adelante, PSAP) como una subvención de naturaleza temporal y parcial en beneficio de </w:t>
      </w:r>
      <w:r w:rsidR="007D713B" w:rsidRPr="002C1A32">
        <w:rPr>
          <w:rFonts w:eastAsia="Times New Roman"/>
          <w:i/>
          <w:sz w:val="28"/>
          <w:szCs w:val="28"/>
        </w:rPr>
        <w:t>“los trabajadores asalariados o independientes del sector rural y urbano que carezcan de suficientes recursos para efectuar la totalidad del aporte, tales como artistas, deportistas, músicos, compositores, toreros y sus subalternos, la mujer microempresaria, las madres comunitarias, las personas en situación de discapacidad física, psíquica y sensorial, los miembros de las cooperativas de trabajo asociado y otras formas asociativas de producción”</w:t>
      </w:r>
      <w:r w:rsidR="007D713B" w:rsidRPr="002C1A32">
        <w:rPr>
          <w:rStyle w:val="Refdenotaalpie"/>
          <w:rFonts w:eastAsia="Times New Roman"/>
          <w:i/>
          <w:sz w:val="28"/>
          <w:szCs w:val="28"/>
        </w:rPr>
        <w:footnoteReference w:id="54"/>
      </w:r>
      <w:r w:rsidR="007D713B" w:rsidRPr="002C1A32">
        <w:rPr>
          <w:rFonts w:eastAsia="Times New Roman"/>
          <w:i/>
          <w:sz w:val="28"/>
          <w:szCs w:val="28"/>
        </w:rPr>
        <w:t xml:space="preserve">, </w:t>
      </w:r>
      <w:r w:rsidR="007D713B" w:rsidRPr="002C1A32">
        <w:rPr>
          <w:rFonts w:eastAsia="Times New Roman"/>
          <w:sz w:val="28"/>
          <w:szCs w:val="28"/>
        </w:rPr>
        <w:t>bajo la condición de realizar un esfuerzo en el pago del aporte que está a su cargo</w:t>
      </w:r>
      <w:r w:rsidRPr="002C1A32">
        <w:rPr>
          <w:rStyle w:val="Refdenotaalpie"/>
          <w:rFonts w:eastAsia="Times New Roman"/>
          <w:sz w:val="28"/>
          <w:szCs w:val="28"/>
        </w:rPr>
        <w:footnoteReference w:id="55"/>
      </w:r>
      <w:r w:rsidRPr="002C1A32">
        <w:rPr>
          <w:rFonts w:eastAsia="Times New Roman"/>
          <w:sz w:val="28"/>
          <w:szCs w:val="28"/>
        </w:rPr>
        <w:t>, y a cargo del Fondo de Solidaridad Pensional</w:t>
      </w:r>
      <w:r w:rsidRPr="002C1A32">
        <w:rPr>
          <w:rStyle w:val="Refdenotaalpie"/>
          <w:rFonts w:eastAsia="Times New Roman"/>
          <w:sz w:val="28"/>
          <w:szCs w:val="28"/>
        </w:rPr>
        <w:footnoteReference w:id="56"/>
      </w:r>
      <w:r w:rsidRPr="002C1A32">
        <w:rPr>
          <w:rFonts w:eastAsia="Times New Roman"/>
          <w:sz w:val="28"/>
          <w:szCs w:val="28"/>
        </w:rPr>
        <w:t xml:space="preserve">. </w:t>
      </w:r>
      <w:r w:rsidR="00693F6D" w:rsidRPr="002C1A32">
        <w:rPr>
          <w:rFonts w:eastAsia="Times New Roman"/>
          <w:sz w:val="28"/>
          <w:szCs w:val="28"/>
        </w:rPr>
        <w:t>Esta política pública, ha sido modificada a lo largo de su vigencia, respecto de l</w:t>
      </w:r>
      <w:r w:rsidR="00B61A72" w:rsidRPr="002C1A32">
        <w:rPr>
          <w:rFonts w:eastAsia="Times New Roman"/>
          <w:sz w:val="28"/>
          <w:szCs w:val="28"/>
        </w:rPr>
        <w:t xml:space="preserve">os beneficiarios, porcentajes y semanas a subsidiar y </w:t>
      </w:r>
      <w:r w:rsidR="00693F6D" w:rsidRPr="002C1A32">
        <w:rPr>
          <w:rFonts w:eastAsia="Times New Roman"/>
          <w:sz w:val="28"/>
          <w:szCs w:val="28"/>
        </w:rPr>
        <w:t>causales de exclusión</w:t>
      </w:r>
      <w:r w:rsidR="002572A2" w:rsidRPr="002C1A32">
        <w:rPr>
          <w:rFonts w:eastAsia="Times New Roman"/>
          <w:sz w:val="28"/>
          <w:szCs w:val="28"/>
        </w:rPr>
        <w:t>, entre otros aspectos</w:t>
      </w:r>
      <w:r w:rsidR="00B61A72" w:rsidRPr="002C1A32">
        <w:rPr>
          <w:rStyle w:val="Refdenotaalpie"/>
          <w:rFonts w:eastAsia="Times New Roman"/>
          <w:sz w:val="28"/>
          <w:szCs w:val="28"/>
        </w:rPr>
        <w:footnoteReference w:id="57"/>
      </w:r>
      <w:r w:rsidR="00693F6D" w:rsidRPr="002C1A32">
        <w:rPr>
          <w:rFonts w:eastAsia="Times New Roman"/>
          <w:sz w:val="28"/>
          <w:szCs w:val="28"/>
        </w:rPr>
        <w:t xml:space="preserve">. </w:t>
      </w:r>
      <w:r w:rsidR="00107C36" w:rsidRPr="002C1A32">
        <w:rPr>
          <w:rFonts w:eastAsia="Times New Roman"/>
          <w:sz w:val="28"/>
          <w:szCs w:val="28"/>
        </w:rPr>
        <w:t xml:space="preserve">Incluso, </w:t>
      </w:r>
      <w:r w:rsidR="00527829" w:rsidRPr="002C1A32">
        <w:rPr>
          <w:rFonts w:eastAsia="Times New Roman"/>
          <w:sz w:val="28"/>
          <w:szCs w:val="28"/>
        </w:rPr>
        <w:t xml:space="preserve">en la actualidad, por orden del artículo 212 de la Ley 1753 de 2015 </w:t>
      </w:r>
      <w:r w:rsidR="00107C36" w:rsidRPr="002C1A32">
        <w:rPr>
          <w:rFonts w:eastAsia="Times New Roman"/>
          <w:sz w:val="28"/>
          <w:szCs w:val="28"/>
        </w:rPr>
        <w:t>está previsto su cierre gradual</w:t>
      </w:r>
      <w:r w:rsidR="00107C36" w:rsidRPr="002C1A32">
        <w:rPr>
          <w:rStyle w:val="Refdenotaalpie"/>
          <w:rFonts w:eastAsia="Times New Roman"/>
          <w:sz w:val="28"/>
          <w:szCs w:val="28"/>
        </w:rPr>
        <w:footnoteReference w:id="58"/>
      </w:r>
      <w:r w:rsidR="00107C36" w:rsidRPr="002C1A32">
        <w:rPr>
          <w:rFonts w:eastAsia="Times New Roman"/>
          <w:sz w:val="28"/>
          <w:szCs w:val="28"/>
        </w:rPr>
        <w:t xml:space="preserve">. </w:t>
      </w:r>
    </w:p>
    <w:p w14:paraId="1B1EF2BB" w14:textId="77777777" w:rsidR="00527829" w:rsidRPr="002C1A32" w:rsidRDefault="00527829" w:rsidP="002C1A32">
      <w:pPr>
        <w:pStyle w:val="Prrafodelista"/>
        <w:spacing w:after="0" w:line="240" w:lineRule="auto"/>
        <w:ind w:left="0"/>
        <w:rPr>
          <w:rFonts w:eastAsia="Times New Roman"/>
          <w:sz w:val="28"/>
          <w:szCs w:val="28"/>
        </w:rPr>
      </w:pPr>
    </w:p>
    <w:p w14:paraId="7C302170" w14:textId="60E3D4ED" w:rsidR="00527829" w:rsidRDefault="00527829" w:rsidP="002C1A32">
      <w:pPr>
        <w:pStyle w:val="Prrafodelista"/>
        <w:numPr>
          <w:ilvl w:val="0"/>
          <w:numId w:val="2"/>
        </w:numPr>
        <w:spacing w:after="0" w:line="240" w:lineRule="auto"/>
        <w:jc w:val="both"/>
        <w:rPr>
          <w:rFonts w:eastAsia="Times New Roman"/>
          <w:sz w:val="28"/>
          <w:szCs w:val="28"/>
        </w:rPr>
      </w:pPr>
      <w:r w:rsidRPr="002C1A32">
        <w:rPr>
          <w:rFonts w:eastAsia="Times New Roman"/>
          <w:sz w:val="28"/>
          <w:szCs w:val="28"/>
        </w:rPr>
        <w:t xml:space="preserve">En orden de lo anterior, </w:t>
      </w:r>
      <w:r w:rsidR="00B97A1E" w:rsidRPr="002C1A32">
        <w:rPr>
          <w:rFonts w:eastAsia="Times New Roman"/>
          <w:sz w:val="28"/>
          <w:szCs w:val="28"/>
        </w:rPr>
        <w:t xml:space="preserve">se ilustrará </w:t>
      </w:r>
      <w:r w:rsidR="00A760CB" w:rsidRPr="002C1A32">
        <w:rPr>
          <w:rFonts w:eastAsia="Times New Roman"/>
          <w:sz w:val="28"/>
          <w:szCs w:val="28"/>
        </w:rPr>
        <w:t xml:space="preserve">en el siguiente cuadro </w:t>
      </w:r>
      <w:r w:rsidR="00B97A1E" w:rsidRPr="002C1A32">
        <w:rPr>
          <w:rFonts w:eastAsia="Times New Roman"/>
          <w:sz w:val="28"/>
          <w:szCs w:val="28"/>
        </w:rPr>
        <w:t xml:space="preserve">las principales características </w:t>
      </w:r>
      <w:r w:rsidR="00A760CB" w:rsidRPr="002C1A32">
        <w:rPr>
          <w:rFonts w:eastAsia="Times New Roman"/>
          <w:sz w:val="28"/>
          <w:szCs w:val="28"/>
        </w:rPr>
        <w:t xml:space="preserve">de dicha subvención </w:t>
      </w:r>
      <w:r w:rsidRPr="002C1A32">
        <w:rPr>
          <w:rFonts w:eastAsia="Times New Roman"/>
          <w:sz w:val="28"/>
          <w:szCs w:val="28"/>
        </w:rPr>
        <w:t xml:space="preserve">al aporte a la pensión </w:t>
      </w:r>
      <w:r w:rsidR="00A760CB" w:rsidRPr="002C1A32">
        <w:rPr>
          <w:rFonts w:eastAsia="Times New Roman"/>
          <w:sz w:val="28"/>
          <w:szCs w:val="28"/>
        </w:rPr>
        <w:t>respecto del grupo de m</w:t>
      </w:r>
      <w:r w:rsidRPr="002C1A32">
        <w:rPr>
          <w:rFonts w:eastAsia="Times New Roman"/>
          <w:sz w:val="28"/>
          <w:szCs w:val="28"/>
        </w:rPr>
        <w:t xml:space="preserve">adres comunitarias y sustitutas. Ello, </w:t>
      </w:r>
      <w:r w:rsidR="00A760CB" w:rsidRPr="002C1A32">
        <w:rPr>
          <w:rFonts w:eastAsia="Times New Roman"/>
          <w:sz w:val="28"/>
          <w:szCs w:val="28"/>
        </w:rPr>
        <w:t>desde l</w:t>
      </w:r>
      <w:r w:rsidR="00B97A1E" w:rsidRPr="002C1A32">
        <w:rPr>
          <w:rFonts w:eastAsia="Times New Roman"/>
          <w:sz w:val="28"/>
          <w:szCs w:val="28"/>
        </w:rPr>
        <w:t xml:space="preserve">a creación del programa </w:t>
      </w:r>
      <w:r w:rsidR="00A760CB" w:rsidRPr="002C1A32">
        <w:rPr>
          <w:rFonts w:eastAsia="Times New Roman"/>
          <w:sz w:val="28"/>
          <w:szCs w:val="28"/>
        </w:rPr>
        <w:t>-Decreto 1858 de 1998-</w:t>
      </w:r>
      <w:r w:rsidR="00D6481F" w:rsidRPr="002C1A32">
        <w:rPr>
          <w:rFonts w:eastAsia="Times New Roman"/>
          <w:sz w:val="28"/>
          <w:szCs w:val="28"/>
        </w:rPr>
        <w:t xml:space="preserve">, </w:t>
      </w:r>
      <w:r w:rsidRPr="002C1A32">
        <w:rPr>
          <w:rFonts w:eastAsia="Times New Roman"/>
          <w:sz w:val="28"/>
          <w:szCs w:val="28"/>
        </w:rPr>
        <w:t xml:space="preserve">pasando por </w:t>
      </w:r>
      <w:r w:rsidR="00D6481F" w:rsidRPr="002C1A32">
        <w:rPr>
          <w:rFonts w:eastAsia="Times New Roman"/>
          <w:sz w:val="28"/>
          <w:szCs w:val="28"/>
        </w:rPr>
        <w:t xml:space="preserve">las modificaciones introducidas -leyes 509 de 1999 y 1187 de 2008- </w:t>
      </w:r>
      <w:r w:rsidR="00A760CB" w:rsidRPr="002C1A32">
        <w:rPr>
          <w:rFonts w:eastAsia="Times New Roman"/>
          <w:sz w:val="28"/>
          <w:szCs w:val="28"/>
        </w:rPr>
        <w:t xml:space="preserve"> </w:t>
      </w:r>
      <w:r w:rsidRPr="002C1A32">
        <w:rPr>
          <w:rFonts w:eastAsia="Times New Roman"/>
          <w:sz w:val="28"/>
          <w:szCs w:val="28"/>
        </w:rPr>
        <w:t>hasta el proceso de</w:t>
      </w:r>
      <w:r w:rsidR="00A760CB" w:rsidRPr="002C1A32">
        <w:rPr>
          <w:rFonts w:eastAsia="Times New Roman"/>
          <w:sz w:val="28"/>
          <w:szCs w:val="28"/>
        </w:rPr>
        <w:t xml:space="preserve"> formalización laboral con las asociaciones de padres </w:t>
      </w:r>
      <w:r w:rsidR="009D3110" w:rsidRPr="002C1A32">
        <w:rPr>
          <w:rFonts w:eastAsia="Times New Roman"/>
          <w:sz w:val="28"/>
          <w:szCs w:val="28"/>
        </w:rPr>
        <w:t xml:space="preserve">– Ley 1607 de 2012 y </w:t>
      </w:r>
      <w:r w:rsidR="00B97A1E" w:rsidRPr="002C1A32">
        <w:rPr>
          <w:rFonts w:eastAsia="Times New Roman"/>
          <w:sz w:val="28"/>
          <w:szCs w:val="28"/>
        </w:rPr>
        <w:t>Decreto 289 del 12 de febrero de 2014</w:t>
      </w:r>
      <w:r w:rsidR="00A760CB" w:rsidRPr="002C1A32">
        <w:rPr>
          <w:rFonts w:eastAsia="Times New Roman"/>
          <w:sz w:val="28"/>
          <w:szCs w:val="28"/>
        </w:rPr>
        <w:t>-,</w:t>
      </w:r>
      <w:r w:rsidR="00B97A1E" w:rsidRPr="002C1A32">
        <w:rPr>
          <w:rFonts w:eastAsia="Times New Roman"/>
          <w:sz w:val="28"/>
          <w:szCs w:val="28"/>
        </w:rPr>
        <w:t xml:space="preserve"> así:</w:t>
      </w:r>
    </w:p>
    <w:p w14:paraId="514D8AAE" w14:textId="77777777" w:rsidR="002C1A32" w:rsidRPr="002C1A32" w:rsidRDefault="002C1A32" w:rsidP="002C1A32">
      <w:pPr>
        <w:pStyle w:val="Prrafodelista"/>
        <w:rPr>
          <w:rFonts w:eastAsia="Times New Roman"/>
          <w:sz w:val="28"/>
          <w:szCs w:val="28"/>
        </w:rPr>
      </w:pPr>
    </w:p>
    <w:p w14:paraId="374B47FB" w14:textId="7B3B77B2" w:rsidR="00C87BF4" w:rsidRPr="002C1A32" w:rsidRDefault="00A760CB" w:rsidP="002C1A32">
      <w:pPr>
        <w:spacing w:after="0" w:line="240" w:lineRule="auto"/>
        <w:jc w:val="center"/>
        <w:rPr>
          <w:rFonts w:eastAsia="Times New Roman"/>
          <w:b/>
          <w:sz w:val="28"/>
          <w:szCs w:val="28"/>
        </w:rPr>
      </w:pPr>
      <w:r w:rsidRPr="002C1A32">
        <w:rPr>
          <w:rFonts w:eastAsia="Times New Roman"/>
          <w:b/>
          <w:sz w:val="28"/>
          <w:szCs w:val="28"/>
        </w:rPr>
        <w:t>Modificación normativa del PSAP para las madres comunitarias y sustitutas</w:t>
      </w:r>
    </w:p>
    <w:tbl>
      <w:tblPr>
        <w:tblStyle w:val="Tablaconcuadrcula"/>
        <w:tblW w:w="0" w:type="auto"/>
        <w:jc w:val="center"/>
        <w:tblLayout w:type="fixed"/>
        <w:tblLook w:val="04A0" w:firstRow="1" w:lastRow="0" w:firstColumn="1" w:lastColumn="0" w:noHBand="0" w:noVBand="1"/>
      </w:tblPr>
      <w:tblGrid>
        <w:gridCol w:w="1413"/>
        <w:gridCol w:w="1417"/>
        <w:gridCol w:w="1418"/>
        <w:gridCol w:w="1276"/>
        <w:gridCol w:w="3304"/>
      </w:tblGrid>
      <w:tr w:rsidR="00A760CB" w:rsidRPr="002C1A32" w14:paraId="56C07AD2" w14:textId="727CD714" w:rsidTr="00505463">
        <w:trPr>
          <w:trHeight w:val="460"/>
          <w:jc w:val="center"/>
        </w:trPr>
        <w:tc>
          <w:tcPr>
            <w:tcW w:w="1413" w:type="dxa"/>
            <w:vAlign w:val="center"/>
          </w:tcPr>
          <w:p w14:paraId="4B7912CC" w14:textId="62649621" w:rsidR="00A760CB" w:rsidRPr="002C1A32" w:rsidRDefault="00A760CB" w:rsidP="002C1A32">
            <w:pPr>
              <w:widowControl w:val="0"/>
              <w:pBdr>
                <w:top w:val="none" w:sz="0" w:space="0" w:color="auto"/>
                <w:left w:val="none" w:sz="0" w:space="0" w:color="auto"/>
                <w:bottom w:val="none" w:sz="0" w:space="0" w:color="auto"/>
                <w:right w:val="none" w:sz="0" w:space="0" w:color="auto"/>
                <w:between w:val="none" w:sz="0" w:space="0" w:color="auto"/>
              </w:pBdr>
              <w:jc w:val="center"/>
              <w:rPr>
                <w:rFonts w:eastAsia="Times New Roman"/>
                <w:b/>
                <w:sz w:val="28"/>
                <w:szCs w:val="28"/>
              </w:rPr>
            </w:pPr>
            <w:r w:rsidRPr="002C1A32">
              <w:rPr>
                <w:rFonts w:eastAsia="Times New Roman"/>
                <w:b/>
                <w:sz w:val="28"/>
                <w:szCs w:val="28"/>
              </w:rPr>
              <w:t>Edad</w:t>
            </w:r>
          </w:p>
        </w:tc>
        <w:tc>
          <w:tcPr>
            <w:tcW w:w="1417" w:type="dxa"/>
            <w:vAlign w:val="center"/>
          </w:tcPr>
          <w:p w14:paraId="7ED2F977" w14:textId="6257CA09" w:rsidR="00A760CB" w:rsidRPr="002C1A32" w:rsidRDefault="00A760CB" w:rsidP="002C1A32">
            <w:pPr>
              <w:widowControl w:val="0"/>
              <w:pBdr>
                <w:top w:val="none" w:sz="0" w:space="0" w:color="auto"/>
                <w:left w:val="none" w:sz="0" w:space="0" w:color="auto"/>
                <w:bottom w:val="none" w:sz="0" w:space="0" w:color="auto"/>
                <w:right w:val="none" w:sz="0" w:space="0" w:color="auto"/>
                <w:between w:val="none" w:sz="0" w:space="0" w:color="auto"/>
              </w:pBdr>
              <w:jc w:val="center"/>
              <w:rPr>
                <w:rFonts w:eastAsia="Times New Roman"/>
                <w:b/>
                <w:sz w:val="28"/>
                <w:szCs w:val="28"/>
              </w:rPr>
            </w:pPr>
            <w:r w:rsidRPr="002C1A32">
              <w:rPr>
                <w:rFonts w:eastAsia="Times New Roman"/>
                <w:b/>
                <w:sz w:val="28"/>
                <w:szCs w:val="28"/>
              </w:rPr>
              <w:t>Semanas previas a la afiliación</w:t>
            </w:r>
          </w:p>
        </w:tc>
        <w:tc>
          <w:tcPr>
            <w:tcW w:w="1418" w:type="dxa"/>
            <w:vAlign w:val="center"/>
          </w:tcPr>
          <w:p w14:paraId="7EB956DE" w14:textId="381F04ED" w:rsidR="00A760CB" w:rsidRPr="002C1A32" w:rsidRDefault="00A760CB" w:rsidP="002C1A32">
            <w:pPr>
              <w:widowControl w:val="0"/>
              <w:pBdr>
                <w:top w:val="none" w:sz="0" w:space="0" w:color="auto"/>
                <w:left w:val="none" w:sz="0" w:space="0" w:color="auto"/>
                <w:bottom w:val="none" w:sz="0" w:space="0" w:color="auto"/>
                <w:right w:val="none" w:sz="0" w:space="0" w:color="auto"/>
                <w:between w:val="none" w:sz="0" w:space="0" w:color="auto"/>
              </w:pBdr>
              <w:jc w:val="center"/>
              <w:rPr>
                <w:rFonts w:eastAsia="Times New Roman"/>
                <w:b/>
                <w:sz w:val="28"/>
                <w:szCs w:val="28"/>
              </w:rPr>
            </w:pPr>
            <w:r w:rsidRPr="002C1A32">
              <w:rPr>
                <w:rFonts w:eastAsia="Times New Roman"/>
                <w:b/>
                <w:sz w:val="28"/>
                <w:szCs w:val="28"/>
              </w:rPr>
              <w:t>Requisitos específicos</w:t>
            </w:r>
          </w:p>
        </w:tc>
        <w:tc>
          <w:tcPr>
            <w:tcW w:w="1276" w:type="dxa"/>
            <w:vAlign w:val="center"/>
          </w:tcPr>
          <w:p w14:paraId="2746809B" w14:textId="190CC55A" w:rsidR="00A760CB" w:rsidRPr="002C1A32" w:rsidRDefault="00A760CB" w:rsidP="002C1A32">
            <w:pPr>
              <w:widowControl w:val="0"/>
              <w:pBdr>
                <w:top w:val="none" w:sz="0" w:space="0" w:color="auto"/>
                <w:left w:val="none" w:sz="0" w:space="0" w:color="auto"/>
                <w:bottom w:val="none" w:sz="0" w:space="0" w:color="auto"/>
                <w:right w:val="none" w:sz="0" w:space="0" w:color="auto"/>
                <w:between w:val="none" w:sz="0" w:space="0" w:color="auto"/>
              </w:pBdr>
              <w:jc w:val="center"/>
              <w:rPr>
                <w:rFonts w:eastAsia="Times New Roman"/>
                <w:b/>
                <w:sz w:val="28"/>
                <w:szCs w:val="28"/>
              </w:rPr>
            </w:pPr>
            <w:r w:rsidRPr="002C1A32">
              <w:rPr>
                <w:rFonts w:eastAsia="Times New Roman"/>
                <w:b/>
                <w:sz w:val="28"/>
                <w:szCs w:val="28"/>
              </w:rPr>
              <w:t>Porcentaje del subsidio</w:t>
            </w:r>
          </w:p>
        </w:tc>
        <w:tc>
          <w:tcPr>
            <w:tcW w:w="3304" w:type="dxa"/>
            <w:vAlign w:val="center"/>
          </w:tcPr>
          <w:p w14:paraId="3A53FE38" w14:textId="7882C949" w:rsidR="00A760CB" w:rsidRPr="002C1A32" w:rsidRDefault="00A760CB" w:rsidP="002C1A32">
            <w:pPr>
              <w:widowControl w:val="0"/>
              <w:pBdr>
                <w:top w:val="none" w:sz="0" w:space="0" w:color="auto"/>
                <w:left w:val="none" w:sz="0" w:space="0" w:color="auto"/>
                <w:bottom w:val="none" w:sz="0" w:space="0" w:color="auto"/>
                <w:right w:val="none" w:sz="0" w:space="0" w:color="auto"/>
                <w:between w:val="none" w:sz="0" w:space="0" w:color="auto"/>
              </w:pBdr>
              <w:jc w:val="center"/>
              <w:rPr>
                <w:rFonts w:eastAsia="Times New Roman"/>
                <w:b/>
                <w:sz w:val="28"/>
                <w:szCs w:val="28"/>
              </w:rPr>
            </w:pPr>
            <w:r w:rsidRPr="002C1A32">
              <w:rPr>
                <w:rFonts w:eastAsia="Times New Roman"/>
                <w:b/>
                <w:sz w:val="28"/>
                <w:szCs w:val="28"/>
              </w:rPr>
              <w:t>Causales de exclusión</w:t>
            </w:r>
          </w:p>
        </w:tc>
      </w:tr>
      <w:tr w:rsidR="00A760CB" w:rsidRPr="002C1A32" w14:paraId="5B58ABC0" w14:textId="434C902C" w:rsidTr="00505463">
        <w:trPr>
          <w:jc w:val="center"/>
        </w:trPr>
        <w:tc>
          <w:tcPr>
            <w:tcW w:w="8828" w:type="dxa"/>
            <w:gridSpan w:val="5"/>
            <w:shd w:val="clear" w:color="auto" w:fill="BFBFBF" w:themeFill="background1" w:themeFillShade="BF"/>
            <w:vAlign w:val="center"/>
          </w:tcPr>
          <w:p w14:paraId="6B43BC0D" w14:textId="0F709DC5" w:rsidR="00A760CB" w:rsidRPr="002C1A32" w:rsidRDefault="00A760CB" w:rsidP="002C1A32">
            <w:pPr>
              <w:widowControl w:val="0"/>
              <w:pBdr>
                <w:top w:val="none" w:sz="0" w:space="0" w:color="auto"/>
                <w:left w:val="none" w:sz="0" w:space="0" w:color="auto"/>
                <w:bottom w:val="none" w:sz="0" w:space="0" w:color="auto"/>
                <w:right w:val="none" w:sz="0" w:space="0" w:color="auto"/>
                <w:between w:val="none" w:sz="0" w:space="0" w:color="auto"/>
              </w:pBdr>
              <w:jc w:val="center"/>
              <w:rPr>
                <w:rFonts w:eastAsia="Times New Roman"/>
                <w:b/>
                <w:sz w:val="28"/>
                <w:szCs w:val="28"/>
              </w:rPr>
            </w:pPr>
            <w:r w:rsidRPr="002C1A32">
              <w:rPr>
                <w:rFonts w:eastAsia="Times New Roman"/>
                <w:b/>
                <w:sz w:val="28"/>
                <w:szCs w:val="28"/>
              </w:rPr>
              <w:t>Decreto 1858 de 1995</w:t>
            </w:r>
            <w:r w:rsidR="00D6481F" w:rsidRPr="002C1A32">
              <w:rPr>
                <w:rStyle w:val="Refdenotaalpie"/>
                <w:rFonts w:eastAsia="Times New Roman"/>
                <w:b/>
                <w:sz w:val="28"/>
                <w:szCs w:val="28"/>
              </w:rPr>
              <w:footnoteReference w:id="59"/>
            </w:r>
          </w:p>
        </w:tc>
      </w:tr>
      <w:tr w:rsidR="00A760CB" w:rsidRPr="002C1A32" w14:paraId="6C385817" w14:textId="20923749" w:rsidTr="00505463">
        <w:trPr>
          <w:trHeight w:val="1905"/>
          <w:jc w:val="center"/>
        </w:trPr>
        <w:tc>
          <w:tcPr>
            <w:tcW w:w="1413" w:type="dxa"/>
            <w:vAlign w:val="center"/>
          </w:tcPr>
          <w:p w14:paraId="6AB698A8" w14:textId="0B7759E3" w:rsidR="00A760CB" w:rsidRPr="002C1A32" w:rsidRDefault="00240D60" w:rsidP="002C1A32">
            <w:pPr>
              <w:widowControl w:val="0"/>
              <w:pBdr>
                <w:top w:val="none" w:sz="0" w:space="0" w:color="auto"/>
                <w:left w:val="none" w:sz="0" w:space="0" w:color="auto"/>
                <w:bottom w:val="none" w:sz="0" w:space="0" w:color="auto"/>
                <w:right w:val="none" w:sz="0" w:space="0" w:color="auto"/>
                <w:between w:val="none" w:sz="0" w:space="0" w:color="auto"/>
              </w:pBdr>
              <w:jc w:val="center"/>
              <w:rPr>
                <w:rFonts w:eastAsia="Times New Roman"/>
                <w:sz w:val="28"/>
                <w:szCs w:val="28"/>
              </w:rPr>
            </w:pPr>
            <w:r w:rsidRPr="002C1A32">
              <w:rPr>
                <w:rFonts w:eastAsia="Times New Roman"/>
                <w:sz w:val="28"/>
                <w:szCs w:val="28"/>
              </w:rPr>
              <w:t>&gt; 18 o &gt;55 si es afiliado al ISS y &gt;58 en fondo privado</w:t>
            </w:r>
          </w:p>
        </w:tc>
        <w:tc>
          <w:tcPr>
            <w:tcW w:w="1417" w:type="dxa"/>
            <w:vAlign w:val="center"/>
          </w:tcPr>
          <w:p w14:paraId="7A0B429D" w14:textId="32BF6139" w:rsidR="00A760CB" w:rsidRPr="002C1A32" w:rsidRDefault="00180684" w:rsidP="002C1A32">
            <w:pPr>
              <w:widowControl w:val="0"/>
              <w:pBdr>
                <w:top w:val="none" w:sz="0" w:space="0" w:color="auto"/>
                <w:left w:val="none" w:sz="0" w:space="0" w:color="auto"/>
                <w:bottom w:val="none" w:sz="0" w:space="0" w:color="auto"/>
                <w:right w:val="none" w:sz="0" w:space="0" w:color="auto"/>
                <w:between w:val="none" w:sz="0" w:space="0" w:color="auto"/>
              </w:pBdr>
              <w:jc w:val="center"/>
              <w:rPr>
                <w:rFonts w:eastAsia="Times New Roman"/>
                <w:sz w:val="28"/>
                <w:szCs w:val="28"/>
              </w:rPr>
            </w:pPr>
            <w:r w:rsidRPr="002C1A32">
              <w:rPr>
                <w:rFonts w:eastAsia="Times New Roman"/>
                <w:sz w:val="28"/>
                <w:szCs w:val="28"/>
              </w:rPr>
              <w:t>650</w:t>
            </w:r>
          </w:p>
        </w:tc>
        <w:tc>
          <w:tcPr>
            <w:tcW w:w="1418" w:type="dxa"/>
            <w:vAlign w:val="center"/>
          </w:tcPr>
          <w:p w14:paraId="1D077C38" w14:textId="4D073783" w:rsidR="00A760CB" w:rsidRPr="002C1A32" w:rsidRDefault="00A760CB" w:rsidP="002C1A32">
            <w:pPr>
              <w:widowControl w:val="0"/>
              <w:pBdr>
                <w:top w:val="none" w:sz="0" w:space="0" w:color="auto"/>
                <w:left w:val="none" w:sz="0" w:space="0" w:color="auto"/>
                <w:bottom w:val="none" w:sz="0" w:space="0" w:color="auto"/>
                <w:right w:val="none" w:sz="0" w:space="0" w:color="auto"/>
                <w:between w:val="none" w:sz="0" w:space="0" w:color="auto"/>
              </w:pBdr>
              <w:jc w:val="both"/>
              <w:rPr>
                <w:rFonts w:eastAsia="Times New Roman"/>
                <w:sz w:val="28"/>
                <w:szCs w:val="28"/>
              </w:rPr>
            </w:pPr>
            <w:r w:rsidRPr="002C1A32">
              <w:rPr>
                <w:rFonts w:eastAsia="Times New Roman"/>
                <w:sz w:val="28"/>
                <w:szCs w:val="28"/>
              </w:rPr>
              <w:t>Certificado de madre comunitaria o sustituta</w:t>
            </w:r>
          </w:p>
        </w:tc>
        <w:tc>
          <w:tcPr>
            <w:tcW w:w="1276" w:type="dxa"/>
            <w:vAlign w:val="center"/>
          </w:tcPr>
          <w:p w14:paraId="43353B7F" w14:textId="28E97CB9" w:rsidR="00A760CB" w:rsidRPr="002C1A32" w:rsidRDefault="00A760CB" w:rsidP="002C1A32">
            <w:pPr>
              <w:widowControl w:val="0"/>
              <w:pBdr>
                <w:top w:val="none" w:sz="0" w:space="0" w:color="auto"/>
                <w:left w:val="none" w:sz="0" w:space="0" w:color="auto"/>
                <w:bottom w:val="none" w:sz="0" w:space="0" w:color="auto"/>
                <w:right w:val="none" w:sz="0" w:space="0" w:color="auto"/>
                <w:between w:val="none" w:sz="0" w:space="0" w:color="auto"/>
              </w:pBdr>
              <w:jc w:val="center"/>
              <w:rPr>
                <w:rFonts w:eastAsia="Times New Roman"/>
                <w:sz w:val="28"/>
                <w:szCs w:val="28"/>
              </w:rPr>
            </w:pPr>
            <w:r w:rsidRPr="002C1A32">
              <w:rPr>
                <w:rFonts w:eastAsia="Times New Roman"/>
                <w:sz w:val="28"/>
                <w:szCs w:val="28"/>
              </w:rPr>
              <w:t>80%</w:t>
            </w:r>
          </w:p>
        </w:tc>
        <w:tc>
          <w:tcPr>
            <w:tcW w:w="3304" w:type="dxa"/>
            <w:vAlign w:val="center"/>
          </w:tcPr>
          <w:p w14:paraId="245FA90A" w14:textId="6CCD2EEA" w:rsidR="00A760CB" w:rsidRPr="002C1A32" w:rsidRDefault="00A760CB" w:rsidP="002C1A32">
            <w:pPr>
              <w:widowControl w:val="0"/>
              <w:pBdr>
                <w:top w:val="none" w:sz="0" w:space="0" w:color="auto"/>
                <w:left w:val="none" w:sz="0" w:space="0" w:color="auto"/>
                <w:bottom w:val="none" w:sz="0" w:space="0" w:color="auto"/>
                <w:right w:val="none" w:sz="0" w:space="0" w:color="auto"/>
                <w:between w:val="none" w:sz="0" w:space="0" w:color="auto"/>
              </w:pBdr>
              <w:jc w:val="both"/>
              <w:rPr>
                <w:rFonts w:eastAsia="Times New Roman"/>
                <w:sz w:val="28"/>
                <w:szCs w:val="28"/>
              </w:rPr>
            </w:pPr>
            <w:r w:rsidRPr="002C1A32">
              <w:rPr>
                <w:rFonts w:eastAsia="Times New Roman"/>
                <w:sz w:val="28"/>
                <w:szCs w:val="28"/>
              </w:rPr>
              <w:t>Cuando</w:t>
            </w:r>
            <w:r w:rsidR="00B73849" w:rsidRPr="002C1A32">
              <w:rPr>
                <w:rFonts w:eastAsia="Times New Roman"/>
                <w:sz w:val="28"/>
                <w:szCs w:val="28"/>
              </w:rPr>
              <w:t>:</w:t>
            </w:r>
            <w:r w:rsidRPr="002C1A32">
              <w:rPr>
                <w:rFonts w:eastAsia="Times New Roman"/>
                <w:sz w:val="28"/>
                <w:szCs w:val="28"/>
              </w:rPr>
              <w:t xml:space="preserve"> pueda opt</w:t>
            </w:r>
            <w:r w:rsidR="00B73849" w:rsidRPr="002C1A32">
              <w:rPr>
                <w:rFonts w:eastAsia="Times New Roman"/>
                <w:sz w:val="28"/>
                <w:szCs w:val="28"/>
              </w:rPr>
              <w:t xml:space="preserve">ar por el régimen contributivo; cese la obligación de cotizar; </w:t>
            </w:r>
            <w:r w:rsidRPr="002C1A32">
              <w:rPr>
                <w:rFonts w:eastAsia="Times New Roman"/>
                <w:sz w:val="28"/>
                <w:szCs w:val="28"/>
              </w:rPr>
              <w:t>cumpla el período máximo de subsidio;</w:t>
            </w:r>
            <w:r w:rsidR="00B73849" w:rsidRPr="002C1A32">
              <w:rPr>
                <w:rFonts w:eastAsia="Times New Roman"/>
                <w:sz w:val="28"/>
                <w:szCs w:val="28"/>
              </w:rPr>
              <w:t xml:space="preserve"> </w:t>
            </w:r>
            <w:r w:rsidRPr="002C1A32">
              <w:rPr>
                <w:rFonts w:eastAsia="Times New Roman"/>
                <w:sz w:val="28"/>
                <w:szCs w:val="28"/>
              </w:rPr>
              <w:t>deje de cancelar 2</w:t>
            </w:r>
            <w:r w:rsidR="00846461" w:rsidRPr="002C1A32">
              <w:rPr>
                <w:rFonts w:eastAsia="Times New Roman"/>
                <w:sz w:val="28"/>
                <w:szCs w:val="28"/>
              </w:rPr>
              <w:t xml:space="preserve"> / 4</w:t>
            </w:r>
            <w:r w:rsidR="00180684" w:rsidRPr="002C1A32">
              <w:rPr>
                <w:rStyle w:val="Refdenotaalpie"/>
                <w:rFonts w:eastAsia="Times New Roman"/>
                <w:sz w:val="28"/>
                <w:szCs w:val="28"/>
              </w:rPr>
              <w:footnoteReference w:id="60"/>
            </w:r>
            <w:r w:rsidRPr="002C1A32">
              <w:rPr>
                <w:rFonts w:eastAsia="Times New Roman"/>
                <w:sz w:val="28"/>
                <w:szCs w:val="28"/>
              </w:rPr>
              <w:t xml:space="preserve"> </w:t>
            </w:r>
            <w:r w:rsidR="00180684" w:rsidRPr="002C1A32">
              <w:rPr>
                <w:rFonts w:eastAsia="Times New Roman"/>
                <w:sz w:val="28"/>
                <w:szCs w:val="28"/>
              </w:rPr>
              <w:t>/ 6</w:t>
            </w:r>
            <w:r w:rsidR="00180684" w:rsidRPr="002C1A32">
              <w:rPr>
                <w:rStyle w:val="Refdenotaalpie"/>
                <w:rFonts w:eastAsia="Times New Roman"/>
                <w:sz w:val="28"/>
                <w:szCs w:val="28"/>
              </w:rPr>
              <w:footnoteReference w:id="61"/>
            </w:r>
            <w:r w:rsidR="00180684" w:rsidRPr="002C1A32">
              <w:rPr>
                <w:rFonts w:eastAsia="Times New Roman"/>
                <w:sz w:val="28"/>
                <w:szCs w:val="28"/>
              </w:rPr>
              <w:t xml:space="preserve"> </w:t>
            </w:r>
            <w:r w:rsidRPr="002C1A32">
              <w:rPr>
                <w:rFonts w:eastAsia="Times New Roman"/>
                <w:sz w:val="28"/>
                <w:szCs w:val="28"/>
              </w:rPr>
              <w:t>meses continuos</w:t>
            </w:r>
            <w:r w:rsidR="00B73849" w:rsidRPr="002C1A32">
              <w:rPr>
                <w:rFonts w:eastAsia="Times New Roman"/>
                <w:sz w:val="28"/>
                <w:szCs w:val="28"/>
              </w:rPr>
              <w:t>; se demuestre la falsedad en los datos suministrados; adquiera capacidad de pago</w:t>
            </w:r>
            <w:r w:rsidR="003E4A6D" w:rsidRPr="002C1A32">
              <w:rPr>
                <w:rFonts w:eastAsia="Times New Roman"/>
                <w:sz w:val="28"/>
                <w:szCs w:val="28"/>
              </w:rPr>
              <w:t>, muerte, entre otros</w:t>
            </w:r>
            <w:r w:rsidR="00B73849" w:rsidRPr="002C1A32">
              <w:rPr>
                <w:rStyle w:val="Refdenotaalpie"/>
                <w:rFonts w:eastAsia="Times New Roman"/>
                <w:sz w:val="28"/>
                <w:szCs w:val="28"/>
              </w:rPr>
              <w:footnoteReference w:id="62"/>
            </w:r>
            <w:r w:rsidR="00A012FE" w:rsidRPr="002C1A32">
              <w:rPr>
                <w:rFonts w:eastAsia="Times New Roman"/>
                <w:sz w:val="28"/>
                <w:szCs w:val="28"/>
              </w:rPr>
              <w:t>.</w:t>
            </w:r>
          </w:p>
        </w:tc>
      </w:tr>
      <w:tr w:rsidR="00846461" w:rsidRPr="002C1A32" w14:paraId="3FEBC300" w14:textId="77777777" w:rsidTr="00505463">
        <w:trPr>
          <w:jc w:val="center"/>
        </w:trPr>
        <w:tc>
          <w:tcPr>
            <w:tcW w:w="8828" w:type="dxa"/>
            <w:gridSpan w:val="5"/>
            <w:shd w:val="clear" w:color="auto" w:fill="A6A6A6" w:themeFill="background1" w:themeFillShade="A6"/>
            <w:vAlign w:val="center"/>
          </w:tcPr>
          <w:p w14:paraId="0176A6DB" w14:textId="3B61DE27" w:rsidR="00846461" w:rsidRPr="002C1A32" w:rsidRDefault="00846461" w:rsidP="002C1A32">
            <w:pPr>
              <w:widowControl w:val="0"/>
              <w:pBdr>
                <w:top w:val="none" w:sz="0" w:space="0" w:color="auto"/>
                <w:left w:val="none" w:sz="0" w:space="0" w:color="auto"/>
                <w:bottom w:val="none" w:sz="0" w:space="0" w:color="auto"/>
                <w:right w:val="none" w:sz="0" w:space="0" w:color="auto"/>
                <w:between w:val="none" w:sz="0" w:space="0" w:color="auto"/>
              </w:pBdr>
              <w:jc w:val="center"/>
              <w:rPr>
                <w:rFonts w:eastAsia="Times New Roman"/>
                <w:b/>
                <w:sz w:val="28"/>
                <w:szCs w:val="28"/>
              </w:rPr>
            </w:pPr>
            <w:r w:rsidRPr="002C1A32">
              <w:rPr>
                <w:rFonts w:eastAsia="Times New Roman"/>
                <w:b/>
                <w:sz w:val="28"/>
                <w:szCs w:val="28"/>
              </w:rPr>
              <w:t>Decreto 3771 de 2007</w:t>
            </w:r>
            <w:r w:rsidR="00240D60" w:rsidRPr="002C1A32">
              <w:rPr>
                <w:rStyle w:val="Refdenotaalpie"/>
                <w:rFonts w:eastAsia="Times New Roman"/>
                <w:b/>
                <w:sz w:val="28"/>
                <w:szCs w:val="28"/>
              </w:rPr>
              <w:footnoteReference w:id="63"/>
            </w:r>
            <w:r w:rsidR="003E4A6D" w:rsidRPr="002C1A32">
              <w:rPr>
                <w:rFonts w:eastAsia="Times New Roman"/>
                <w:b/>
                <w:sz w:val="28"/>
                <w:szCs w:val="28"/>
              </w:rPr>
              <w:t xml:space="preserve"> </w:t>
            </w:r>
            <w:r w:rsidR="00821C73" w:rsidRPr="002C1A32">
              <w:rPr>
                <w:rFonts w:eastAsia="Times New Roman"/>
                <w:b/>
                <w:sz w:val="28"/>
                <w:szCs w:val="28"/>
              </w:rPr>
              <w:t xml:space="preserve">en relación con </w:t>
            </w:r>
            <w:r w:rsidR="003E4A6D" w:rsidRPr="002C1A32">
              <w:rPr>
                <w:rFonts w:eastAsia="Times New Roman"/>
                <w:b/>
                <w:sz w:val="28"/>
                <w:szCs w:val="28"/>
              </w:rPr>
              <w:t>las leyes 509 de 1999 y 1187 de 2008</w:t>
            </w:r>
          </w:p>
        </w:tc>
      </w:tr>
      <w:tr w:rsidR="003E4F9B" w:rsidRPr="002C1A32" w14:paraId="67F9768F" w14:textId="77777777" w:rsidTr="00505463">
        <w:trPr>
          <w:jc w:val="center"/>
        </w:trPr>
        <w:tc>
          <w:tcPr>
            <w:tcW w:w="1413" w:type="dxa"/>
            <w:vAlign w:val="center"/>
          </w:tcPr>
          <w:p w14:paraId="045939D2" w14:textId="3FBDE057" w:rsidR="003E4F9B" w:rsidRPr="002C1A32" w:rsidRDefault="003E4F9B" w:rsidP="002C1A32">
            <w:pPr>
              <w:widowControl w:val="0"/>
              <w:pBdr>
                <w:top w:val="none" w:sz="0" w:space="0" w:color="auto"/>
                <w:left w:val="none" w:sz="0" w:space="0" w:color="auto"/>
                <w:bottom w:val="none" w:sz="0" w:space="0" w:color="auto"/>
                <w:right w:val="none" w:sz="0" w:space="0" w:color="auto"/>
                <w:between w:val="none" w:sz="0" w:space="0" w:color="auto"/>
              </w:pBdr>
              <w:jc w:val="center"/>
              <w:rPr>
                <w:rFonts w:eastAsia="Times New Roman"/>
                <w:sz w:val="28"/>
                <w:szCs w:val="28"/>
              </w:rPr>
            </w:pPr>
            <w:r w:rsidRPr="002C1A32">
              <w:rPr>
                <w:rFonts w:eastAsia="Times New Roman"/>
                <w:sz w:val="28"/>
                <w:szCs w:val="28"/>
              </w:rPr>
              <w:t xml:space="preserve">&gt;35 y &lt;55 si es afiliado al ISS o &lt; 58 </w:t>
            </w:r>
            <w:r w:rsidR="00505463" w:rsidRPr="002C1A32">
              <w:rPr>
                <w:rFonts w:eastAsia="Times New Roman"/>
                <w:sz w:val="28"/>
                <w:szCs w:val="28"/>
              </w:rPr>
              <w:t>si es</w:t>
            </w:r>
            <w:r w:rsidRPr="002C1A32">
              <w:rPr>
                <w:rFonts w:eastAsia="Times New Roman"/>
                <w:sz w:val="28"/>
                <w:szCs w:val="28"/>
              </w:rPr>
              <w:t xml:space="preserve"> privado</w:t>
            </w:r>
          </w:p>
        </w:tc>
        <w:tc>
          <w:tcPr>
            <w:tcW w:w="1417" w:type="dxa"/>
            <w:vAlign w:val="center"/>
          </w:tcPr>
          <w:p w14:paraId="6E0BE914" w14:textId="11939CF9" w:rsidR="003E4F9B" w:rsidRPr="002C1A32" w:rsidRDefault="003E4F9B" w:rsidP="002C1A32">
            <w:pPr>
              <w:widowControl w:val="0"/>
              <w:pBdr>
                <w:top w:val="none" w:sz="0" w:space="0" w:color="auto"/>
                <w:left w:val="none" w:sz="0" w:space="0" w:color="auto"/>
                <w:bottom w:val="none" w:sz="0" w:space="0" w:color="auto"/>
                <w:right w:val="none" w:sz="0" w:space="0" w:color="auto"/>
                <w:between w:val="none" w:sz="0" w:space="0" w:color="auto"/>
              </w:pBdr>
              <w:jc w:val="center"/>
              <w:rPr>
                <w:rFonts w:eastAsia="Times New Roman"/>
                <w:sz w:val="28"/>
                <w:szCs w:val="28"/>
              </w:rPr>
            </w:pPr>
            <w:r w:rsidRPr="002C1A32">
              <w:rPr>
                <w:rFonts w:eastAsia="Times New Roman"/>
                <w:sz w:val="28"/>
                <w:szCs w:val="28"/>
              </w:rPr>
              <w:t>250</w:t>
            </w:r>
          </w:p>
        </w:tc>
        <w:tc>
          <w:tcPr>
            <w:tcW w:w="1418" w:type="dxa"/>
            <w:vMerge w:val="restart"/>
            <w:vAlign w:val="center"/>
          </w:tcPr>
          <w:p w14:paraId="59F9A285" w14:textId="2BC8A6E8" w:rsidR="003E4F9B" w:rsidRPr="002C1A32" w:rsidRDefault="003E4A6D" w:rsidP="002C1A32">
            <w:pPr>
              <w:widowControl w:val="0"/>
              <w:pBdr>
                <w:top w:val="none" w:sz="0" w:space="0" w:color="auto"/>
                <w:left w:val="none" w:sz="0" w:space="0" w:color="auto"/>
                <w:bottom w:val="none" w:sz="0" w:space="0" w:color="auto"/>
                <w:right w:val="none" w:sz="0" w:space="0" w:color="auto"/>
                <w:between w:val="none" w:sz="0" w:space="0" w:color="auto"/>
              </w:pBdr>
              <w:jc w:val="both"/>
              <w:rPr>
                <w:rFonts w:eastAsia="Times New Roman"/>
                <w:sz w:val="28"/>
                <w:szCs w:val="28"/>
              </w:rPr>
            </w:pPr>
            <w:r w:rsidRPr="002C1A32">
              <w:rPr>
                <w:rFonts w:eastAsia="Times New Roman"/>
                <w:sz w:val="28"/>
                <w:szCs w:val="28"/>
              </w:rPr>
              <w:t>Ser reportadas por el ICBF como beneficiaria del subsidio</w:t>
            </w:r>
            <w:r w:rsidR="003E4F9B" w:rsidRPr="002C1A32">
              <w:rPr>
                <w:rStyle w:val="Refdenotaalpie"/>
                <w:rFonts w:eastAsia="Times New Roman"/>
                <w:sz w:val="28"/>
                <w:szCs w:val="28"/>
              </w:rPr>
              <w:footnoteReference w:id="64"/>
            </w:r>
          </w:p>
        </w:tc>
        <w:tc>
          <w:tcPr>
            <w:tcW w:w="1276" w:type="dxa"/>
            <w:vMerge w:val="restart"/>
            <w:vAlign w:val="center"/>
          </w:tcPr>
          <w:p w14:paraId="58DCA4B4" w14:textId="6724AF6D" w:rsidR="003E4F9B" w:rsidRPr="002C1A32" w:rsidRDefault="003E4F9B" w:rsidP="002C1A32">
            <w:pPr>
              <w:widowControl w:val="0"/>
              <w:pBdr>
                <w:top w:val="none" w:sz="0" w:space="0" w:color="auto"/>
                <w:left w:val="none" w:sz="0" w:space="0" w:color="auto"/>
                <w:bottom w:val="none" w:sz="0" w:space="0" w:color="auto"/>
                <w:right w:val="none" w:sz="0" w:space="0" w:color="auto"/>
                <w:between w:val="none" w:sz="0" w:space="0" w:color="auto"/>
              </w:pBdr>
              <w:jc w:val="center"/>
              <w:rPr>
                <w:rFonts w:eastAsia="Times New Roman"/>
                <w:sz w:val="28"/>
                <w:szCs w:val="28"/>
              </w:rPr>
            </w:pPr>
            <w:r w:rsidRPr="002C1A32">
              <w:rPr>
                <w:rFonts w:eastAsia="Times New Roman"/>
                <w:sz w:val="28"/>
                <w:szCs w:val="28"/>
              </w:rPr>
              <w:t>80%</w:t>
            </w:r>
            <w:r w:rsidR="00B15998" w:rsidRPr="002C1A32">
              <w:rPr>
                <w:rStyle w:val="Refdenotaalpie"/>
                <w:rFonts w:eastAsia="Times New Roman"/>
                <w:sz w:val="28"/>
                <w:szCs w:val="28"/>
              </w:rPr>
              <w:footnoteReference w:id="65"/>
            </w:r>
          </w:p>
        </w:tc>
        <w:tc>
          <w:tcPr>
            <w:tcW w:w="3304" w:type="dxa"/>
            <w:vMerge w:val="restart"/>
            <w:vAlign w:val="center"/>
          </w:tcPr>
          <w:p w14:paraId="23A765CF" w14:textId="1E26262C" w:rsidR="003E4F9B" w:rsidRPr="002C1A32" w:rsidRDefault="003E4F9B" w:rsidP="002C1A32">
            <w:pPr>
              <w:widowControl w:val="0"/>
              <w:pBdr>
                <w:top w:val="none" w:sz="0" w:space="0" w:color="auto"/>
                <w:left w:val="none" w:sz="0" w:space="0" w:color="auto"/>
                <w:bottom w:val="none" w:sz="0" w:space="0" w:color="auto"/>
                <w:right w:val="none" w:sz="0" w:space="0" w:color="auto"/>
                <w:between w:val="none" w:sz="0" w:space="0" w:color="auto"/>
              </w:pBdr>
              <w:jc w:val="both"/>
              <w:rPr>
                <w:rFonts w:eastAsia="Times New Roman"/>
                <w:sz w:val="28"/>
                <w:szCs w:val="28"/>
              </w:rPr>
            </w:pPr>
            <w:r w:rsidRPr="002C1A32">
              <w:rPr>
                <w:rFonts w:eastAsia="Times New Roman"/>
                <w:sz w:val="28"/>
                <w:szCs w:val="28"/>
              </w:rPr>
              <w:t xml:space="preserve">Cuando: adquiera capacidad de pago; cese la obligación de cotizar; cumpla el período máximo de subsidio; deje de cancelar 6  meses continuos; se demuestre la falsedad en los datos suministrados; </w:t>
            </w:r>
            <w:r w:rsidR="003E4A6D" w:rsidRPr="002C1A32">
              <w:rPr>
                <w:rFonts w:eastAsia="Times New Roman"/>
                <w:sz w:val="28"/>
                <w:szCs w:val="28"/>
              </w:rPr>
              <w:t>se desafilie del SGSSS, muerte, entre otros</w:t>
            </w:r>
            <w:r w:rsidR="003E4A6D" w:rsidRPr="002C1A32">
              <w:rPr>
                <w:rStyle w:val="Refdenotaalpie"/>
                <w:rFonts w:eastAsia="Times New Roman"/>
                <w:sz w:val="28"/>
                <w:szCs w:val="28"/>
              </w:rPr>
              <w:footnoteReference w:id="66"/>
            </w:r>
            <w:r w:rsidR="003E4A6D" w:rsidRPr="002C1A32">
              <w:rPr>
                <w:rFonts w:eastAsia="Times New Roman"/>
                <w:sz w:val="28"/>
                <w:szCs w:val="28"/>
              </w:rPr>
              <w:t>.</w:t>
            </w:r>
          </w:p>
        </w:tc>
      </w:tr>
      <w:tr w:rsidR="003E4F9B" w:rsidRPr="002C1A32" w14:paraId="6C50ADD2" w14:textId="77777777" w:rsidTr="00505463">
        <w:trPr>
          <w:jc w:val="center"/>
        </w:trPr>
        <w:tc>
          <w:tcPr>
            <w:tcW w:w="1413" w:type="dxa"/>
            <w:vAlign w:val="center"/>
          </w:tcPr>
          <w:p w14:paraId="6227F4FF" w14:textId="24B22957" w:rsidR="003E4F9B" w:rsidRPr="002C1A32" w:rsidRDefault="003E4F9B" w:rsidP="002C1A32">
            <w:pPr>
              <w:widowControl w:val="0"/>
              <w:pBdr>
                <w:top w:val="none" w:sz="0" w:space="0" w:color="auto"/>
                <w:left w:val="none" w:sz="0" w:space="0" w:color="auto"/>
                <w:bottom w:val="none" w:sz="0" w:space="0" w:color="auto"/>
                <w:right w:val="none" w:sz="0" w:space="0" w:color="auto"/>
                <w:between w:val="none" w:sz="0" w:space="0" w:color="auto"/>
              </w:pBdr>
              <w:jc w:val="center"/>
              <w:rPr>
                <w:rFonts w:eastAsia="Times New Roman"/>
                <w:sz w:val="28"/>
                <w:szCs w:val="28"/>
              </w:rPr>
            </w:pPr>
            <w:r w:rsidRPr="002C1A32">
              <w:rPr>
                <w:rFonts w:eastAsia="Times New Roman"/>
                <w:sz w:val="28"/>
                <w:szCs w:val="28"/>
              </w:rPr>
              <w:t xml:space="preserve">&gt; 55 años si es afiliado al ISS o &gt; 58 </w:t>
            </w:r>
            <w:r w:rsidR="00505463" w:rsidRPr="002C1A32">
              <w:rPr>
                <w:rFonts w:eastAsia="Times New Roman"/>
                <w:sz w:val="28"/>
                <w:szCs w:val="28"/>
              </w:rPr>
              <w:t xml:space="preserve">si es </w:t>
            </w:r>
            <w:r w:rsidRPr="002C1A32">
              <w:rPr>
                <w:rFonts w:eastAsia="Times New Roman"/>
                <w:sz w:val="28"/>
                <w:szCs w:val="28"/>
              </w:rPr>
              <w:t xml:space="preserve">privado </w:t>
            </w:r>
          </w:p>
        </w:tc>
        <w:tc>
          <w:tcPr>
            <w:tcW w:w="1417" w:type="dxa"/>
            <w:vAlign w:val="center"/>
          </w:tcPr>
          <w:p w14:paraId="31EED67F" w14:textId="747F2EC2" w:rsidR="003E4F9B" w:rsidRPr="002C1A32" w:rsidRDefault="003E4F9B" w:rsidP="002C1A32">
            <w:pPr>
              <w:widowControl w:val="0"/>
              <w:pBdr>
                <w:top w:val="none" w:sz="0" w:space="0" w:color="auto"/>
                <w:left w:val="none" w:sz="0" w:space="0" w:color="auto"/>
                <w:bottom w:val="none" w:sz="0" w:space="0" w:color="auto"/>
                <w:right w:val="none" w:sz="0" w:space="0" w:color="auto"/>
                <w:between w:val="none" w:sz="0" w:space="0" w:color="auto"/>
              </w:pBdr>
              <w:jc w:val="center"/>
              <w:rPr>
                <w:rFonts w:eastAsia="Times New Roman"/>
                <w:sz w:val="28"/>
                <w:szCs w:val="28"/>
              </w:rPr>
            </w:pPr>
            <w:r w:rsidRPr="002C1A32">
              <w:rPr>
                <w:rFonts w:eastAsia="Times New Roman"/>
                <w:sz w:val="28"/>
                <w:szCs w:val="28"/>
              </w:rPr>
              <w:t>500</w:t>
            </w:r>
          </w:p>
        </w:tc>
        <w:tc>
          <w:tcPr>
            <w:tcW w:w="1418" w:type="dxa"/>
            <w:vMerge/>
          </w:tcPr>
          <w:p w14:paraId="32A78348" w14:textId="77777777" w:rsidR="003E4F9B" w:rsidRPr="002C1A32" w:rsidRDefault="003E4F9B" w:rsidP="002C1A32">
            <w:pPr>
              <w:widowControl w:val="0"/>
              <w:pBdr>
                <w:top w:val="none" w:sz="0" w:space="0" w:color="auto"/>
                <w:left w:val="none" w:sz="0" w:space="0" w:color="auto"/>
                <w:bottom w:val="none" w:sz="0" w:space="0" w:color="auto"/>
                <w:right w:val="none" w:sz="0" w:space="0" w:color="auto"/>
                <w:between w:val="none" w:sz="0" w:space="0" w:color="auto"/>
              </w:pBdr>
              <w:ind w:hanging="397"/>
              <w:jc w:val="both"/>
              <w:rPr>
                <w:rFonts w:eastAsia="Times New Roman"/>
                <w:sz w:val="28"/>
                <w:szCs w:val="28"/>
              </w:rPr>
            </w:pPr>
          </w:p>
        </w:tc>
        <w:tc>
          <w:tcPr>
            <w:tcW w:w="1276" w:type="dxa"/>
            <w:vMerge/>
            <w:vAlign w:val="center"/>
          </w:tcPr>
          <w:p w14:paraId="5F641D06" w14:textId="77777777" w:rsidR="003E4F9B" w:rsidRPr="002C1A32" w:rsidRDefault="003E4F9B" w:rsidP="002C1A32">
            <w:pPr>
              <w:widowControl w:val="0"/>
              <w:pBdr>
                <w:top w:val="none" w:sz="0" w:space="0" w:color="auto"/>
                <w:left w:val="none" w:sz="0" w:space="0" w:color="auto"/>
                <w:bottom w:val="none" w:sz="0" w:space="0" w:color="auto"/>
                <w:right w:val="none" w:sz="0" w:space="0" w:color="auto"/>
                <w:between w:val="none" w:sz="0" w:space="0" w:color="auto"/>
              </w:pBdr>
              <w:jc w:val="center"/>
              <w:rPr>
                <w:rFonts w:eastAsia="Times New Roman"/>
                <w:sz w:val="28"/>
                <w:szCs w:val="28"/>
              </w:rPr>
            </w:pPr>
          </w:p>
        </w:tc>
        <w:tc>
          <w:tcPr>
            <w:tcW w:w="3304" w:type="dxa"/>
            <w:vMerge/>
          </w:tcPr>
          <w:p w14:paraId="1EBA4E0B" w14:textId="77777777" w:rsidR="003E4F9B" w:rsidRPr="002C1A32" w:rsidRDefault="003E4F9B" w:rsidP="002C1A32">
            <w:pPr>
              <w:widowControl w:val="0"/>
              <w:pBdr>
                <w:top w:val="none" w:sz="0" w:space="0" w:color="auto"/>
                <w:left w:val="none" w:sz="0" w:space="0" w:color="auto"/>
                <w:bottom w:val="none" w:sz="0" w:space="0" w:color="auto"/>
                <w:right w:val="none" w:sz="0" w:space="0" w:color="auto"/>
                <w:between w:val="none" w:sz="0" w:space="0" w:color="auto"/>
              </w:pBdr>
              <w:jc w:val="center"/>
              <w:rPr>
                <w:rFonts w:eastAsia="Times New Roman"/>
                <w:sz w:val="28"/>
                <w:szCs w:val="28"/>
              </w:rPr>
            </w:pPr>
          </w:p>
        </w:tc>
      </w:tr>
      <w:tr w:rsidR="00240D60" w:rsidRPr="002C1A32" w14:paraId="28A38478" w14:textId="77777777" w:rsidTr="00505463">
        <w:trPr>
          <w:jc w:val="center"/>
        </w:trPr>
        <w:tc>
          <w:tcPr>
            <w:tcW w:w="8828" w:type="dxa"/>
            <w:gridSpan w:val="5"/>
            <w:shd w:val="clear" w:color="auto" w:fill="A6A6A6" w:themeFill="background1" w:themeFillShade="A6"/>
            <w:vAlign w:val="center"/>
          </w:tcPr>
          <w:p w14:paraId="1F700CB0" w14:textId="1BF20F31" w:rsidR="00240D60" w:rsidRPr="002C1A32" w:rsidRDefault="00F231B5" w:rsidP="002C1A32">
            <w:pPr>
              <w:widowControl w:val="0"/>
              <w:pBdr>
                <w:top w:val="none" w:sz="0" w:space="0" w:color="auto"/>
                <w:left w:val="none" w:sz="0" w:space="0" w:color="auto"/>
                <w:bottom w:val="none" w:sz="0" w:space="0" w:color="auto"/>
                <w:right w:val="none" w:sz="0" w:space="0" w:color="auto"/>
                <w:between w:val="none" w:sz="0" w:space="0" w:color="auto"/>
              </w:pBdr>
              <w:jc w:val="center"/>
              <w:rPr>
                <w:rFonts w:eastAsia="Times New Roman"/>
                <w:b/>
                <w:sz w:val="28"/>
                <w:szCs w:val="28"/>
              </w:rPr>
            </w:pPr>
            <w:r w:rsidRPr="002C1A32">
              <w:rPr>
                <w:rFonts w:eastAsia="Times New Roman"/>
                <w:b/>
                <w:sz w:val="28"/>
                <w:szCs w:val="28"/>
              </w:rPr>
              <w:t>Ley 1607 de 2012</w:t>
            </w:r>
            <w:r w:rsidRPr="002C1A32">
              <w:rPr>
                <w:rStyle w:val="Refdenotaalpie"/>
                <w:rFonts w:eastAsia="Times New Roman"/>
                <w:b/>
                <w:sz w:val="28"/>
                <w:szCs w:val="28"/>
              </w:rPr>
              <w:footnoteReference w:id="67"/>
            </w:r>
          </w:p>
        </w:tc>
      </w:tr>
      <w:tr w:rsidR="00240D60" w:rsidRPr="002C1A32" w14:paraId="433A1C3F" w14:textId="77777777" w:rsidTr="00505463">
        <w:trPr>
          <w:jc w:val="center"/>
        </w:trPr>
        <w:tc>
          <w:tcPr>
            <w:tcW w:w="1413" w:type="dxa"/>
            <w:vAlign w:val="center"/>
          </w:tcPr>
          <w:p w14:paraId="3E293825" w14:textId="44359EFA" w:rsidR="00240D60" w:rsidRPr="002C1A32" w:rsidRDefault="00A35324" w:rsidP="002C1A32">
            <w:pPr>
              <w:widowControl w:val="0"/>
              <w:pBdr>
                <w:top w:val="none" w:sz="0" w:space="0" w:color="auto"/>
                <w:left w:val="none" w:sz="0" w:space="0" w:color="auto"/>
                <w:bottom w:val="none" w:sz="0" w:space="0" w:color="auto"/>
                <w:right w:val="none" w:sz="0" w:space="0" w:color="auto"/>
                <w:between w:val="none" w:sz="0" w:space="0" w:color="auto"/>
              </w:pBdr>
              <w:jc w:val="center"/>
              <w:rPr>
                <w:rFonts w:eastAsia="Times New Roman"/>
                <w:sz w:val="28"/>
                <w:szCs w:val="28"/>
              </w:rPr>
            </w:pPr>
            <w:r w:rsidRPr="002C1A32">
              <w:rPr>
                <w:rFonts w:eastAsia="Times New Roman"/>
                <w:sz w:val="28"/>
                <w:szCs w:val="28"/>
              </w:rPr>
              <w:t>&gt;18 y &lt;65</w:t>
            </w:r>
          </w:p>
        </w:tc>
        <w:tc>
          <w:tcPr>
            <w:tcW w:w="1417" w:type="dxa"/>
            <w:vAlign w:val="center"/>
          </w:tcPr>
          <w:p w14:paraId="4E5BC7FF" w14:textId="76A88FE9" w:rsidR="00240D60" w:rsidRPr="002C1A32" w:rsidRDefault="003E3C0B" w:rsidP="002C1A32">
            <w:pPr>
              <w:widowControl w:val="0"/>
              <w:pBdr>
                <w:top w:val="none" w:sz="0" w:space="0" w:color="auto"/>
                <w:left w:val="none" w:sz="0" w:space="0" w:color="auto"/>
                <w:bottom w:val="none" w:sz="0" w:space="0" w:color="auto"/>
                <w:right w:val="none" w:sz="0" w:space="0" w:color="auto"/>
                <w:between w:val="none" w:sz="0" w:space="0" w:color="auto"/>
              </w:pBdr>
              <w:jc w:val="center"/>
              <w:rPr>
                <w:rFonts w:eastAsia="Times New Roman"/>
                <w:sz w:val="28"/>
                <w:szCs w:val="28"/>
              </w:rPr>
            </w:pPr>
            <w:r w:rsidRPr="002C1A32">
              <w:rPr>
                <w:rFonts w:eastAsia="Times New Roman"/>
                <w:sz w:val="28"/>
                <w:szCs w:val="28"/>
              </w:rPr>
              <w:t>N.A.</w:t>
            </w:r>
          </w:p>
        </w:tc>
        <w:tc>
          <w:tcPr>
            <w:tcW w:w="1418" w:type="dxa"/>
          </w:tcPr>
          <w:p w14:paraId="32145256" w14:textId="4BD83181" w:rsidR="00240D60" w:rsidRPr="002C1A32" w:rsidRDefault="003E3C0B" w:rsidP="002C1A32">
            <w:pPr>
              <w:widowControl w:val="0"/>
              <w:pBdr>
                <w:top w:val="none" w:sz="0" w:space="0" w:color="auto"/>
                <w:left w:val="none" w:sz="0" w:space="0" w:color="auto"/>
                <w:bottom w:val="none" w:sz="0" w:space="0" w:color="auto"/>
                <w:right w:val="none" w:sz="0" w:space="0" w:color="auto"/>
                <w:between w:val="none" w:sz="0" w:space="0" w:color="auto"/>
              </w:pBdr>
              <w:jc w:val="both"/>
              <w:rPr>
                <w:rFonts w:eastAsia="Times New Roman"/>
                <w:sz w:val="28"/>
                <w:szCs w:val="28"/>
              </w:rPr>
            </w:pPr>
            <w:r w:rsidRPr="002C1A32">
              <w:rPr>
                <w:rFonts w:eastAsia="Times New Roman"/>
                <w:sz w:val="28"/>
                <w:szCs w:val="28"/>
              </w:rPr>
              <w:t>Certificado de madre comunitaria o sustituta</w:t>
            </w:r>
          </w:p>
        </w:tc>
        <w:tc>
          <w:tcPr>
            <w:tcW w:w="1276" w:type="dxa"/>
            <w:vAlign w:val="center"/>
          </w:tcPr>
          <w:p w14:paraId="50A778C5" w14:textId="2F80F0AA" w:rsidR="00240D60" w:rsidRPr="002C1A32" w:rsidRDefault="003E3C0B" w:rsidP="002C1A32">
            <w:pPr>
              <w:widowControl w:val="0"/>
              <w:pBdr>
                <w:top w:val="none" w:sz="0" w:space="0" w:color="auto"/>
                <w:left w:val="none" w:sz="0" w:space="0" w:color="auto"/>
                <w:bottom w:val="none" w:sz="0" w:space="0" w:color="auto"/>
                <w:right w:val="none" w:sz="0" w:space="0" w:color="auto"/>
                <w:between w:val="none" w:sz="0" w:space="0" w:color="auto"/>
              </w:pBdr>
              <w:jc w:val="center"/>
              <w:rPr>
                <w:rFonts w:eastAsia="Times New Roman"/>
                <w:sz w:val="28"/>
                <w:szCs w:val="28"/>
              </w:rPr>
            </w:pPr>
            <w:r w:rsidRPr="002C1A32">
              <w:rPr>
                <w:rFonts w:eastAsia="Times New Roman"/>
                <w:sz w:val="28"/>
                <w:szCs w:val="28"/>
              </w:rPr>
              <w:t>N.A.</w:t>
            </w:r>
          </w:p>
        </w:tc>
        <w:tc>
          <w:tcPr>
            <w:tcW w:w="3304" w:type="dxa"/>
            <w:vAlign w:val="center"/>
          </w:tcPr>
          <w:p w14:paraId="43D0FB01" w14:textId="6664B255" w:rsidR="00240D60" w:rsidRPr="002C1A32" w:rsidRDefault="003E3C0B" w:rsidP="002C1A32">
            <w:pPr>
              <w:widowControl w:val="0"/>
              <w:pBdr>
                <w:top w:val="none" w:sz="0" w:space="0" w:color="auto"/>
                <w:left w:val="none" w:sz="0" w:space="0" w:color="auto"/>
                <w:bottom w:val="none" w:sz="0" w:space="0" w:color="auto"/>
                <w:right w:val="none" w:sz="0" w:space="0" w:color="auto"/>
                <w:between w:val="none" w:sz="0" w:space="0" w:color="auto"/>
              </w:pBdr>
              <w:jc w:val="both"/>
              <w:rPr>
                <w:rFonts w:eastAsia="Times New Roman"/>
                <w:sz w:val="28"/>
                <w:szCs w:val="28"/>
              </w:rPr>
            </w:pPr>
            <w:r w:rsidRPr="002C1A32">
              <w:rPr>
                <w:rFonts w:eastAsia="Times New Roman"/>
                <w:sz w:val="28"/>
                <w:szCs w:val="28"/>
              </w:rPr>
              <w:t>N.A. Al adquirir capacidad de pago como consecuencia del proceso de formalización.</w:t>
            </w:r>
          </w:p>
        </w:tc>
      </w:tr>
      <w:tr w:rsidR="00F231B5" w:rsidRPr="002C1A32" w14:paraId="7D0C897B" w14:textId="77777777" w:rsidTr="00505463">
        <w:trPr>
          <w:jc w:val="center"/>
        </w:trPr>
        <w:tc>
          <w:tcPr>
            <w:tcW w:w="8828" w:type="dxa"/>
            <w:gridSpan w:val="5"/>
            <w:shd w:val="clear" w:color="auto" w:fill="A6A6A6" w:themeFill="background1" w:themeFillShade="A6"/>
            <w:vAlign w:val="center"/>
          </w:tcPr>
          <w:p w14:paraId="039EC587" w14:textId="0AFF7D7B" w:rsidR="00F231B5" w:rsidRPr="002C1A32" w:rsidRDefault="00F231B5" w:rsidP="002C1A32">
            <w:pPr>
              <w:widowControl w:val="0"/>
              <w:pBdr>
                <w:top w:val="none" w:sz="0" w:space="0" w:color="auto"/>
                <w:left w:val="none" w:sz="0" w:space="0" w:color="auto"/>
                <w:bottom w:val="none" w:sz="0" w:space="0" w:color="auto"/>
                <w:right w:val="none" w:sz="0" w:space="0" w:color="auto"/>
                <w:between w:val="none" w:sz="0" w:space="0" w:color="auto"/>
              </w:pBdr>
              <w:jc w:val="center"/>
              <w:rPr>
                <w:rFonts w:eastAsia="Times New Roman"/>
                <w:b/>
                <w:sz w:val="28"/>
                <w:szCs w:val="28"/>
              </w:rPr>
            </w:pPr>
            <w:r w:rsidRPr="002C1A32">
              <w:rPr>
                <w:rFonts w:eastAsia="Times New Roman"/>
                <w:b/>
                <w:sz w:val="28"/>
                <w:szCs w:val="28"/>
              </w:rPr>
              <w:t>Decreto 387 de 2018</w:t>
            </w:r>
          </w:p>
        </w:tc>
      </w:tr>
      <w:tr w:rsidR="009D3110" w:rsidRPr="002C1A32" w14:paraId="27BB0968" w14:textId="77777777" w:rsidTr="00505463">
        <w:trPr>
          <w:jc w:val="center"/>
        </w:trPr>
        <w:tc>
          <w:tcPr>
            <w:tcW w:w="1413" w:type="dxa"/>
            <w:vAlign w:val="center"/>
          </w:tcPr>
          <w:p w14:paraId="02873398" w14:textId="3C0ABE16" w:rsidR="009D3110" w:rsidRPr="002C1A32" w:rsidRDefault="009D3110" w:rsidP="002C1A32">
            <w:pPr>
              <w:widowControl w:val="0"/>
              <w:pBdr>
                <w:top w:val="none" w:sz="0" w:space="0" w:color="auto"/>
                <w:left w:val="none" w:sz="0" w:space="0" w:color="auto"/>
                <w:bottom w:val="none" w:sz="0" w:space="0" w:color="auto"/>
                <w:right w:val="none" w:sz="0" w:space="0" w:color="auto"/>
                <w:between w:val="none" w:sz="0" w:space="0" w:color="auto"/>
              </w:pBdr>
              <w:jc w:val="center"/>
              <w:rPr>
                <w:rFonts w:eastAsia="Times New Roman"/>
                <w:sz w:val="28"/>
                <w:szCs w:val="28"/>
              </w:rPr>
            </w:pPr>
            <w:r w:rsidRPr="002C1A32">
              <w:rPr>
                <w:rFonts w:eastAsia="Times New Roman"/>
                <w:sz w:val="28"/>
                <w:szCs w:val="28"/>
              </w:rPr>
              <w:t>N.A.</w:t>
            </w:r>
          </w:p>
        </w:tc>
        <w:tc>
          <w:tcPr>
            <w:tcW w:w="1417" w:type="dxa"/>
            <w:vAlign w:val="center"/>
          </w:tcPr>
          <w:p w14:paraId="17D2EDFE" w14:textId="032B198E" w:rsidR="009D3110" w:rsidRPr="002C1A32" w:rsidRDefault="009D3110" w:rsidP="002C1A32">
            <w:pPr>
              <w:widowControl w:val="0"/>
              <w:pBdr>
                <w:top w:val="none" w:sz="0" w:space="0" w:color="auto"/>
                <w:left w:val="none" w:sz="0" w:space="0" w:color="auto"/>
                <w:bottom w:val="none" w:sz="0" w:space="0" w:color="auto"/>
                <w:right w:val="none" w:sz="0" w:space="0" w:color="auto"/>
                <w:between w:val="none" w:sz="0" w:space="0" w:color="auto"/>
              </w:pBdr>
              <w:jc w:val="center"/>
              <w:rPr>
                <w:rFonts w:eastAsia="Times New Roman"/>
                <w:sz w:val="28"/>
                <w:szCs w:val="28"/>
              </w:rPr>
            </w:pPr>
            <w:r w:rsidRPr="002C1A32">
              <w:rPr>
                <w:rFonts w:eastAsia="Times New Roman"/>
                <w:sz w:val="28"/>
                <w:szCs w:val="28"/>
              </w:rPr>
              <w:t>N.A.</w:t>
            </w:r>
          </w:p>
        </w:tc>
        <w:tc>
          <w:tcPr>
            <w:tcW w:w="1418" w:type="dxa"/>
          </w:tcPr>
          <w:p w14:paraId="1200DD5B" w14:textId="4137C2C6" w:rsidR="009D3110" w:rsidRPr="002C1A32" w:rsidRDefault="009D3110" w:rsidP="002C1A32">
            <w:pPr>
              <w:widowControl w:val="0"/>
              <w:pBdr>
                <w:top w:val="none" w:sz="0" w:space="0" w:color="auto"/>
                <w:left w:val="none" w:sz="0" w:space="0" w:color="auto"/>
                <w:bottom w:val="none" w:sz="0" w:space="0" w:color="auto"/>
                <w:right w:val="none" w:sz="0" w:space="0" w:color="auto"/>
                <w:between w:val="none" w:sz="0" w:space="0" w:color="auto"/>
              </w:pBdr>
              <w:jc w:val="both"/>
              <w:rPr>
                <w:rFonts w:eastAsia="Times New Roman"/>
                <w:sz w:val="28"/>
                <w:szCs w:val="28"/>
              </w:rPr>
            </w:pPr>
            <w:r w:rsidRPr="002C1A32">
              <w:rPr>
                <w:rFonts w:eastAsia="Times New Roman"/>
                <w:sz w:val="28"/>
                <w:szCs w:val="28"/>
              </w:rPr>
              <w:t>Exmadres comunitarias</w:t>
            </w:r>
            <w:r w:rsidRPr="002C1A32">
              <w:rPr>
                <w:rStyle w:val="Refdenotaalpie"/>
                <w:rFonts w:eastAsia="Times New Roman"/>
                <w:sz w:val="28"/>
                <w:szCs w:val="28"/>
              </w:rPr>
              <w:footnoteReference w:id="68"/>
            </w:r>
          </w:p>
        </w:tc>
        <w:tc>
          <w:tcPr>
            <w:tcW w:w="1276" w:type="dxa"/>
            <w:vMerge w:val="restart"/>
            <w:vAlign w:val="center"/>
          </w:tcPr>
          <w:p w14:paraId="46389964" w14:textId="465CF01E" w:rsidR="009D3110" w:rsidRPr="002C1A32" w:rsidRDefault="009D3110" w:rsidP="002C1A32">
            <w:pPr>
              <w:widowControl w:val="0"/>
              <w:pBdr>
                <w:top w:val="none" w:sz="0" w:space="0" w:color="auto"/>
                <w:left w:val="none" w:sz="0" w:space="0" w:color="auto"/>
                <w:bottom w:val="none" w:sz="0" w:space="0" w:color="auto"/>
                <w:right w:val="none" w:sz="0" w:space="0" w:color="auto"/>
                <w:between w:val="none" w:sz="0" w:space="0" w:color="auto"/>
              </w:pBdr>
              <w:jc w:val="center"/>
              <w:rPr>
                <w:rFonts w:eastAsia="Times New Roman"/>
                <w:sz w:val="28"/>
                <w:szCs w:val="28"/>
              </w:rPr>
            </w:pPr>
            <w:r w:rsidRPr="002C1A32">
              <w:rPr>
                <w:rFonts w:eastAsia="Times New Roman"/>
                <w:sz w:val="28"/>
                <w:szCs w:val="28"/>
              </w:rPr>
              <w:t>20% para BEPS</w:t>
            </w:r>
          </w:p>
        </w:tc>
        <w:tc>
          <w:tcPr>
            <w:tcW w:w="3304" w:type="dxa"/>
            <w:vMerge w:val="restart"/>
            <w:vAlign w:val="center"/>
          </w:tcPr>
          <w:p w14:paraId="0461670D" w14:textId="459F9C45" w:rsidR="009D3110" w:rsidRPr="002C1A32" w:rsidRDefault="009D3110" w:rsidP="002C1A32">
            <w:pPr>
              <w:widowControl w:val="0"/>
              <w:pBdr>
                <w:top w:val="none" w:sz="0" w:space="0" w:color="auto"/>
                <w:left w:val="none" w:sz="0" w:space="0" w:color="auto"/>
                <w:bottom w:val="none" w:sz="0" w:space="0" w:color="auto"/>
                <w:right w:val="none" w:sz="0" w:space="0" w:color="auto"/>
                <w:between w:val="none" w:sz="0" w:space="0" w:color="auto"/>
              </w:pBdr>
              <w:jc w:val="center"/>
              <w:rPr>
                <w:rFonts w:eastAsia="Times New Roman"/>
                <w:sz w:val="28"/>
                <w:szCs w:val="28"/>
              </w:rPr>
            </w:pPr>
            <w:r w:rsidRPr="002C1A32">
              <w:rPr>
                <w:rFonts w:eastAsia="Times New Roman"/>
                <w:sz w:val="28"/>
                <w:szCs w:val="28"/>
              </w:rPr>
              <w:t>N.A. se busca una migración de los aportes a BEPS.</w:t>
            </w:r>
          </w:p>
        </w:tc>
      </w:tr>
      <w:tr w:rsidR="009D3110" w:rsidRPr="002C1A32" w14:paraId="34C83853" w14:textId="77777777" w:rsidTr="00505463">
        <w:trPr>
          <w:jc w:val="center"/>
        </w:trPr>
        <w:tc>
          <w:tcPr>
            <w:tcW w:w="1413" w:type="dxa"/>
            <w:vAlign w:val="center"/>
          </w:tcPr>
          <w:p w14:paraId="5AC904E3" w14:textId="24EB97F5" w:rsidR="009D3110" w:rsidRPr="002C1A32" w:rsidRDefault="009D3110" w:rsidP="002C1A32">
            <w:pPr>
              <w:widowControl w:val="0"/>
              <w:pBdr>
                <w:top w:val="none" w:sz="0" w:space="0" w:color="auto"/>
                <w:left w:val="none" w:sz="0" w:space="0" w:color="auto"/>
                <w:bottom w:val="none" w:sz="0" w:space="0" w:color="auto"/>
                <w:right w:val="none" w:sz="0" w:space="0" w:color="auto"/>
                <w:between w:val="none" w:sz="0" w:space="0" w:color="auto"/>
              </w:pBdr>
              <w:jc w:val="center"/>
              <w:rPr>
                <w:rFonts w:eastAsia="Times New Roman"/>
                <w:sz w:val="28"/>
                <w:szCs w:val="28"/>
              </w:rPr>
            </w:pPr>
            <w:r w:rsidRPr="002C1A32">
              <w:rPr>
                <w:rFonts w:eastAsia="Times New Roman"/>
                <w:sz w:val="28"/>
                <w:szCs w:val="28"/>
              </w:rPr>
              <w:t>N.A.</w:t>
            </w:r>
          </w:p>
        </w:tc>
        <w:tc>
          <w:tcPr>
            <w:tcW w:w="1417" w:type="dxa"/>
            <w:vAlign w:val="center"/>
          </w:tcPr>
          <w:p w14:paraId="6CCD596B" w14:textId="7D3147F3" w:rsidR="009D3110" w:rsidRPr="002C1A32" w:rsidRDefault="009D3110" w:rsidP="002C1A32">
            <w:pPr>
              <w:widowControl w:val="0"/>
              <w:pBdr>
                <w:top w:val="none" w:sz="0" w:space="0" w:color="auto"/>
                <w:left w:val="none" w:sz="0" w:space="0" w:color="auto"/>
                <w:bottom w:val="none" w:sz="0" w:space="0" w:color="auto"/>
                <w:right w:val="none" w:sz="0" w:space="0" w:color="auto"/>
                <w:between w:val="none" w:sz="0" w:space="0" w:color="auto"/>
              </w:pBdr>
              <w:jc w:val="center"/>
              <w:rPr>
                <w:rFonts w:eastAsia="Times New Roman"/>
                <w:sz w:val="28"/>
                <w:szCs w:val="28"/>
              </w:rPr>
            </w:pPr>
            <w:r w:rsidRPr="002C1A32">
              <w:rPr>
                <w:rFonts w:eastAsia="Times New Roman"/>
                <w:sz w:val="28"/>
                <w:szCs w:val="28"/>
              </w:rPr>
              <w:t>N.A.</w:t>
            </w:r>
          </w:p>
        </w:tc>
        <w:tc>
          <w:tcPr>
            <w:tcW w:w="1418" w:type="dxa"/>
          </w:tcPr>
          <w:p w14:paraId="1CEC5FB9" w14:textId="0C2611E1" w:rsidR="009D3110" w:rsidRPr="002C1A32" w:rsidRDefault="009D3110" w:rsidP="002C1A32">
            <w:pPr>
              <w:widowControl w:val="0"/>
              <w:pBdr>
                <w:top w:val="none" w:sz="0" w:space="0" w:color="auto"/>
                <w:left w:val="none" w:sz="0" w:space="0" w:color="auto"/>
                <w:bottom w:val="none" w:sz="0" w:space="0" w:color="auto"/>
                <w:right w:val="none" w:sz="0" w:space="0" w:color="auto"/>
                <w:between w:val="none" w:sz="0" w:space="0" w:color="auto"/>
              </w:pBdr>
              <w:jc w:val="both"/>
              <w:rPr>
                <w:rFonts w:eastAsia="Times New Roman"/>
                <w:sz w:val="28"/>
                <w:szCs w:val="28"/>
              </w:rPr>
            </w:pPr>
            <w:r w:rsidRPr="002C1A32">
              <w:rPr>
                <w:rFonts w:eastAsia="Times New Roman"/>
                <w:sz w:val="28"/>
                <w:szCs w:val="28"/>
              </w:rPr>
              <w:t>Cierre de la afiliación, salvo para madres sustitutas que no estén afiliadas al SGP</w:t>
            </w:r>
            <w:r w:rsidRPr="002C1A32">
              <w:rPr>
                <w:rStyle w:val="Refdenotaalpie"/>
                <w:rFonts w:eastAsia="Times New Roman"/>
                <w:sz w:val="28"/>
                <w:szCs w:val="28"/>
              </w:rPr>
              <w:footnoteReference w:id="69"/>
            </w:r>
          </w:p>
        </w:tc>
        <w:tc>
          <w:tcPr>
            <w:tcW w:w="1276" w:type="dxa"/>
            <w:vMerge/>
            <w:vAlign w:val="center"/>
          </w:tcPr>
          <w:p w14:paraId="33210DCE" w14:textId="3B4E4FEC" w:rsidR="009D3110" w:rsidRPr="002C1A32" w:rsidRDefault="009D3110" w:rsidP="002C1A32">
            <w:pPr>
              <w:widowControl w:val="0"/>
              <w:pBdr>
                <w:top w:val="none" w:sz="0" w:space="0" w:color="auto"/>
                <w:left w:val="none" w:sz="0" w:space="0" w:color="auto"/>
                <w:bottom w:val="none" w:sz="0" w:space="0" w:color="auto"/>
                <w:right w:val="none" w:sz="0" w:space="0" w:color="auto"/>
                <w:between w:val="none" w:sz="0" w:space="0" w:color="auto"/>
              </w:pBdr>
              <w:jc w:val="center"/>
              <w:rPr>
                <w:rFonts w:eastAsia="Times New Roman"/>
                <w:sz w:val="28"/>
                <w:szCs w:val="28"/>
              </w:rPr>
            </w:pPr>
          </w:p>
        </w:tc>
        <w:tc>
          <w:tcPr>
            <w:tcW w:w="3304" w:type="dxa"/>
            <w:vMerge/>
          </w:tcPr>
          <w:p w14:paraId="161B6A43" w14:textId="2B5A6348" w:rsidR="009D3110" w:rsidRPr="002C1A32" w:rsidRDefault="009D3110" w:rsidP="002C1A32">
            <w:pPr>
              <w:widowControl w:val="0"/>
              <w:pBdr>
                <w:top w:val="none" w:sz="0" w:space="0" w:color="auto"/>
                <w:left w:val="none" w:sz="0" w:space="0" w:color="auto"/>
                <w:bottom w:val="none" w:sz="0" w:space="0" w:color="auto"/>
                <w:right w:val="none" w:sz="0" w:space="0" w:color="auto"/>
                <w:between w:val="none" w:sz="0" w:space="0" w:color="auto"/>
              </w:pBdr>
              <w:jc w:val="center"/>
              <w:rPr>
                <w:rFonts w:eastAsia="Times New Roman"/>
                <w:sz w:val="28"/>
                <w:szCs w:val="28"/>
              </w:rPr>
            </w:pPr>
          </w:p>
        </w:tc>
      </w:tr>
    </w:tbl>
    <w:p w14:paraId="5A46DE1A" w14:textId="77777777" w:rsidR="00107C36" w:rsidRPr="002C1A32" w:rsidRDefault="00107C36" w:rsidP="002C1A32">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eastAsia="Times New Roman"/>
          <w:b/>
          <w:sz w:val="28"/>
          <w:szCs w:val="28"/>
        </w:rPr>
      </w:pPr>
    </w:p>
    <w:p w14:paraId="7FBD4724" w14:textId="08E8FDC4" w:rsidR="009D3110" w:rsidRPr="002C1A32" w:rsidRDefault="008E4FCC" w:rsidP="002C1A32">
      <w:pPr>
        <w:pStyle w:val="Ttulo2"/>
        <w:numPr>
          <w:ilvl w:val="0"/>
          <w:numId w:val="2"/>
        </w:numPr>
        <w:pBdr>
          <w:top w:val="none" w:sz="0" w:space="0" w:color="auto"/>
          <w:left w:val="none" w:sz="0" w:space="0" w:color="auto"/>
          <w:bottom w:val="none" w:sz="0" w:space="0" w:color="auto"/>
          <w:right w:val="none" w:sz="0" w:space="0" w:color="auto"/>
          <w:between w:val="none" w:sz="0" w:space="0" w:color="auto"/>
        </w:pBdr>
        <w:spacing w:before="0" w:after="0" w:line="240" w:lineRule="auto"/>
        <w:jc w:val="both"/>
        <w:rPr>
          <w:rFonts w:eastAsia="Times New Roman"/>
          <w:szCs w:val="28"/>
        </w:rPr>
      </w:pPr>
      <w:r w:rsidRPr="002C1A32">
        <w:rPr>
          <w:rFonts w:eastAsia="Times New Roman"/>
          <w:szCs w:val="28"/>
        </w:rPr>
        <w:t xml:space="preserve">Así, el PSAP: </w:t>
      </w:r>
      <w:r w:rsidR="009D3110" w:rsidRPr="002C1A32">
        <w:rPr>
          <w:rFonts w:eastAsia="Times New Roman"/>
          <w:i/>
          <w:szCs w:val="28"/>
        </w:rPr>
        <w:t>(i)</w:t>
      </w:r>
      <w:r w:rsidR="009D3110" w:rsidRPr="002C1A32">
        <w:rPr>
          <w:rFonts w:eastAsia="Times New Roman"/>
          <w:szCs w:val="28"/>
        </w:rPr>
        <w:t xml:space="preserve"> es una política pública que se ajusta a la disponibilidad presupuestal y la caracterización de los grupos más vulnerables, </w:t>
      </w:r>
      <w:r w:rsidR="009D3110" w:rsidRPr="002C1A32">
        <w:rPr>
          <w:rFonts w:eastAsia="Times New Roman"/>
          <w:i/>
          <w:szCs w:val="28"/>
        </w:rPr>
        <w:t>(ii)</w:t>
      </w:r>
      <w:r w:rsidR="009D3110" w:rsidRPr="002C1A32">
        <w:rPr>
          <w:rFonts w:eastAsia="Times New Roman"/>
          <w:szCs w:val="28"/>
        </w:rPr>
        <w:t xml:space="preserve"> </w:t>
      </w:r>
      <w:r w:rsidRPr="002C1A32">
        <w:rPr>
          <w:rFonts w:eastAsia="Times New Roman"/>
          <w:szCs w:val="28"/>
        </w:rPr>
        <w:t xml:space="preserve">constituye una subvención </w:t>
      </w:r>
      <w:r w:rsidRPr="002C1A32">
        <w:rPr>
          <w:rFonts w:eastAsia="Times New Roman"/>
          <w:i/>
          <w:szCs w:val="28"/>
        </w:rPr>
        <w:t>temporal</w:t>
      </w:r>
      <w:r w:rsidR="00BB6652" w:rsidRPr="002C1A32">
        <w:rPr>
          <w:rFonts w:eastAsia="Times New Roman"/>
          <w:szCs w:val="28"/>
        </w:rPr>
        <w:t>, es decir sujeta a unos rangos de edad</w:t>
      </w:r>
      <w:r w:rsidR="00D0097B" w:rsidRPr="002C1A32">
        <w:rPr>
          <w:rFonts w:eastAsia="Times New Roman"/>
          <w:szCs w:val="28"/>
        </w:rPr>
        <w:t xml:space="preserve"> y duración de la política</w:t>
      </w:r>
      <w:r w:rsidRPr="002C1A32">
        <w:rPr>
          <w:rFonts w:eastAsia="Times New Roman"/>
          <w:szCs w:val="28"/>
        </w:rPr>
        <w:t xml:space="preserve"> y </w:t>
      </w:r>
      <w:r w:rsidRPr="002C1A32">
        <w:rPr>
          <w:rFonts w:eastAsia="Times New Roman"/>
          <w:i/>
          <w:szCs w:val="28"/>
        </w:rPr>
        <w:t>parcial</w:t>
      </w:r>
      <w:r w:rsidRPr="002C1A32">
        <w:rPr>
          <w:rFonts w:eastAsia="Times New Roman"/>
          <w:szCs w:val="28"/>
        </w:rPr>
        <w:t>,</w:t>
      </w:r>
      <w:r w:rsidR="00BB6652" w:rsidRPr="002C1A32">
        <w:rPr>
          <w:rFonts w:eastAsia="Times New Roman"/>
          <w:szCs w:val="28"/>
        </w:rPr>
        <w:t xml:space="preserve"> esto es, implica un esfuerzo propio para sufragar la parte de la cotización que le corresponde al beneficiario,</w:t>
      </w:r>
      <w:r w:rsidRPr="002C1A32">
        <w:rPr>
          <w:rFonts w:eastAsia="Times New Roman"/>
          <w:szCs w:val="28"/>
        </w:rPr>
        <w:t xml:space="preserve"> </w:t>
      </w:r>
      <w:r w:rsidRPr="002C1A32">
        <w:rPr>
          <w:rFonts w:eastAsia="Times New Roman"/>
          <w:i/>
          <w:szCs w:val="28"/>
        </w:rPr>
        <w:t xml:space="preserve">(iii) </w:t>
      </w:r>
      <w:r w:rsidR="009D3110" w:rsidRPr="002C1A32">
        <w:rPr>
          <w:rFonts w:eastAsia="Times New Roman"/>
          <w:szCs w:val="28"/>
        </w:rPr>
        <w:t>las madres comunitarias y sustitutas no son las únicas beneficiarias, ya que cobija a otros grupos como personas en situación de discapacidad, ancianos en condición de indigencia, trabajadores rurales,</w:t>
      </w:r>
      <w:r w:rsidRPr="002C1A32">
        <w:rPr>
          <w:rFonts w:eastAsia="Times New Roman"/>
          <w:szCs w:val="28"/>
        </w:rPr>
        <w:t xml:space="preserve"> mujeres micro empresarias, entre otros y,</w:t>
      </w:r>
      <w:r w:rsidR="009D3110" w:rsidRPr="002C1A32">
        <w:rPr>
          <w:rFonts w:eastAsia="Times New Roman"/>
          <w:szCs w:val="28"/>
        </w:rPr>
        <w:t xml:space="preserve"> </w:t>
      </w:r>
      <w:r w:rsidR="009D3110" w:rsidRPr="002C1A32">
        <w:rPr>
          <w:rFonts w:eastAsia="Times New Roman"/>
          <w:i/>
          <w:szCs w:val="28"/>
        </w:rPr>
        <w:t>(i</w:t>
      </w:r>
      <w:r w:rsidRPr="002C1A32">
        <w:rPr>
          <w:rFonts w:eastAsia="Times New Roman"/>
          <w:i/>
          <w:szCs w:val="28"/>
        </w:rPr>
        <w:t>v</w:t>
      </w:r>
      <w:r w:rsidR="009D3110" w:rsidRPr="002C1A32">
        <w:rPr>
          <w:rFonts w:eastAsia="Times New Roman"/>
          <w:i/>
          <w:szCs w:val="28"/>
        </w:rPr>
        <w:t xml:space="preserve">) </w:t>
      </w:r>
      <w:r w:rsidR="00451A6B" w:rsidRPr="002C1A32">
        <w:rPr>
          <w:rFonts w:eastAsia="Times New Roman"/>
          <w:szCs w:val="28"/>
        </w:rPr>
        <w:t xml:space="preserve">por varios periodos, la legislación </w:t>
      </w:r>
      <w:r w:rsidRPr="002C1A32">
        <w:rPr>
          <w:rFonts w:eastAsia="Times New Roman"/>
          <w:szCs w:val="28"/>
        </w:rPr>
        <w:t>previó</w:t>
      </w:r>
      <w:r w:rsidR="009D3110" w:rsidRPr="002C1A32">
        <w:rPr>
          <w:rFonts w:eastAsia="Times New Roman"/>
          <w:szCs w:val="28"/>
        </w:rPr>
        <w:t xml:space="preserve"> un plazo</w:t>
      </w:r>
      <w:r w:rsidR="00451A6B" w:rsidRPr="002C1A32">
        <w:rPr>
          <w:rFonts w:eastAsia="Times New Roman"/>
          <w:szCs w:val="28"/>
        </w:rPr>
        <w:t xml:space="preserve"> razonable para que aquellas beneficiarias que habiendo incurrido en alguna de las causales de retiro o exclusión, pudieran</w:t>
      </w:r>
      <w:r w:rsidR="009D3110" w:rsidRPr="002C1A32">
        <w:rPr>
          <w:rFonts w:eastAsia="Times New Roman"/>
          <w:szCs w:val="28"/>
        </w:rPr>
        <w:t xml:space="preserve"> saldar la mora y reincorporarse</w:t>
      </w:r>
      <w:r w:rsidR="001D1750" w:rsidRPr="002C1A32">
        <w:rPr>
          <w:rFonts w:eastAsia="Times New Roman"/>
          <w:szCs w:val="28"/>
        </w:rPr>
        <w:t xml:space="preserve"> al programa</w:t>
      </w:r>
      <w:r w:rsidR="00E47EC5" w:rsidRPr="002C1A32">
        <w:rPr>
          <w:rStyle w:val="Refdenotaalpie"/>
          <w:rFonts w:eastAsia="Times New Roman"/>
          <w:szCs w:val="28"/>
        </w:rPr>
        <w:footnoteReference w:id="70"/>
      </w:r>
      <w:r w:rsidR="009D3110" w:rsidRPr="002C1A32">
        <w:rPr>
          <w:rFonts w:eastAsia="Times New Roman"/>
          <w:szCs w:val="28"/>
        </w:rPr>
        <w:t xml:space="preserve">. </w:t>
      </w:r>
    </w:p>
    <w:p w14:paraId="1B5F2B86" w14:textId="77777777" w:rsidR="009D3110" w:rsidRPr="002C1A32" w:rsidRDefault="009D3110" w:rsidP="002C1A32">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eastAsia="Times New Roman"/>
          <w:b/>
          <w:sz w:val="28"/>
          <w:szCs w:val="28"/>
        </w:rPr>
      </w:pPr>
    </w:p>
    <w:p w14:paraId="2375BF00" w14:textId="77C216FB" w:rsidR="0094427A" w:rsidRPr="002C1A32" w:rsidRDefault="007265E7" w:rsidP="002C1A32">
      <w:pPr>
        <w:pStyle w:val="Ttulo2"/>
        <w:pBdr>
          <w:top w:val="none" w:sz="0" w:space="0" w:color="auto"/>
          <w:left w:val="none" w:sz="0" w:space="0" w:color="auto"/>
          <w:bottom w:val="none" w:sz="0" w:space="0" w:color="auto"/>
          <w:right w:val="none" w:sz="0" w:space="0" w:color="auto"/>
          <w:between w:val="none" w:sz="0" w:space="0" w:color="auto"/>
        </w:pBdr>
        <w:spacing w:before="0" w:after="0" w:line="240" w:lineRule="auto"/>
        <w:jc w:val="both"/>
        <w:rPr>
          <w:rFonts w:eastAsia="Times New Roman"/>
          <w:b/>
          <w:szCs w:val="28"/>
        </w:rPr>
      </w:pPr>
      <w:r>
        <w:rPr>
          <w:rFonts w:eastAsia="Times New Roman"/>
          <w:b/>
          <w:szCs w:val="28"/>
        </w:rPr>
        <w:t xml:space="preserve">(v) </w:t>
      </w:r>
      <w:r w:rsidR="004A6AEE" w:rsidRPr="002C1A32">
        <w:rPr>
          <w:rFonts w:eastAsia="Times New Roman"/>
          <w:b/>
          <w:szCs w:val="28"/>
        </w:rPr>
        <w:t xml:space="preserve">Análisis del </w:t>
      </w:r>
      <w:r w:rsidR="001609B0" w:rsidRPr="002C1A32">
        <w:rPr>
          <w:rFonts w:eastAsia="Times New Roman"/>
          <w:b/>
          <w:szCs w:val="28"/>
        </w:rPr>
        <w:t xml:space="preserve">primer </w:t>
      </w:r>
      <w:r w:rsidR="004A6AEE" w:rsidRPr="002C1A32">
        <w:rPr>
          <w:rFonts w:eastAsia="Times New Roman"/>
          <w:b/>
          <w:szCs w:val="28"/>
        </w:rPr>
        <w:t>problema jurídico del caso</w:t>
      </w:r>
      <w:r w:rsidR="001609B0" w:rsidRPr="002C1A32">
        <w:rPr>
          <w:rFonts w:eastAsia="Times New Roman"/>
          <w:b/>
          <w:szCs w:val="28"/>
        </w:rPr>
        <w:t>: inexistencia de un contrato realidad entre las accionantes y el ICBF</w:t>
      </w:r>
    </w:p>
    <w:p w14:paraId="46DA258E" w14:textId="77777777" w:rsidR="0094427A" w:rsidRPr="002C1A32" w:rsidRDefault="0094427A" w:rsidP="002C1A32">
      <w:pPr>
        <w:pBdr>
          <w:top w:val="none" w:sz="0" w:space="0" w:color="auto"/>
          <w:left w:val="none" w:sz="0" w:space="0" w:color="auto"/>
          <w:bottom w:val="none" w:sz="0" w:space="0" w:color="auto"/>
          <w:right w:val="none" w:sz="0" w:space="0" w:color="auto"/>
          <w:between w:val="none" w:sz="0" w:space="0" w:color="auto"/>
        </w:pBdr>
        <w:shd w:val="clear" w:color="auto" w:fill="FFFFFF"/>
        <w:tabs>
          <w:tab w:val="left" w:pos="426"/>
        </w:tabs>
        <w:spacing w:after="0" w:line="240" w:lineRule="auto"/>
        <w:jc w:val="both"/>
        <w:textAlignment w:val="baseline"/>
        <w:rPr>
          <w:sz w:val="28"/>
          <w:szCs w:val="28"/>
          <w:shd w:val="clear" w:color="auto" w:fill="FFFFFF"/>
        </w:rPr>
      </w:pPr>
    </w:p>
    <w:p w14:paraId="64A617E1" w14:textId="090F6B47" w:rsidR="004143B6" w:rsidRPr="002C1A32" w:rsidRDefault="00707086" w:rsidP="002C1A32">
      <w:pPr>
        <w:pStyle w:val="Prrafodelista"/>
        <w:numPr>
          <w:ilvl w:val="0"/>
          <w:numId w:val="2"/>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426"/>
        </w:tabs>
        <w:spacing w:after="0" w:line="240" w:lineRule="auto"/>
        <w:jc w:val="both"/>
        <w:textAlignment w:val="baseline"/>
        <w:rPr>
          <w:sz w:val="28"/>
          <w:szCs w:val="28"/>
        </w:rPr>
      </w:pPr>
      <w:r w:rsidRPr="002C1A32">
        <w:rPr>
          <w:sz w:val="28"/>
          <w:szCs w:val="28"/>
          <w:shd w:val="clear" w:color="auto" w:fill="FFFFFF"/>
        </w:rPr>
        <w:t xml:space="preserve">La resolución de este </w:t>
      </w:r>
      <w:r w:rsidR="001F1B64" w:rsidRPr="002C1A32">
        <w:rPr>
          <w:sz w:val="28"/>
          <w:szCs w:val="28"/>
          <w:shd w:val="clear" w:color="auto" w:fill="FFFFFF"/>
        </w:rPr>
        <w:t xml:space="preserve">problema jurídico </w:t>
      </w:r>
      <w:r w:rsidR="007518FC" w:rsidRPr="002C1A32">
        <w:rPr>
          <w:sz w:val="28"/>
          <w:szCs w:val="28"/>
        </w:rPr>
        <w:t>supone la subsubsión de las reglas jurisprudenciales respecto de los elementos para que se configure un contrato realidad entre las 106 accionantes en calidad madres comunitarias con el ICBF, durante el periodo en que fueron vinculadas y hasta el 12 de febrero de 201</w:t>
      </w:r>
      <w:r w:rsidR="004143B6" w:rsidRPr="002C1A32">
        <w:rPr>
          <w:sz w:val="28"/>
          <w:szCs w:val="28"/>
        </w:rPr>
        <w:t>4</w:t>
      </w:r>
      <w:r w:rsidR="00335BDA" w:rsidRPr="002C1A32">
        <w:rPr>
          <w:sz w:val="28"/>
          <w:szCs w:val="28"/>
        </w:rPr>
        <w:t xml:space="preserve"> o el momento en el que fueron desvinculadas</w:t>
      </w:r>
      <w:r w:rsidR="007518FC" w:rsidRPr="002C1A32">
        <w:rPr>
          <w:sz w:val="28"/>
          <w:szCs w:val="28"/>
        </w:rPr>
        <w:t>. En su criterio consideran que satisfacen los presupuestos de prestación personal, subordinación y remuneración</w:t>
      </w:r>
      <w:r w:rsidR="00505463" w:rsidRPr="002C1A32">
        <w:rPr>
          <w:rStyle w:val="Refdenotaalpie"/>
          <w:sz w:val="28"/>
          <w:szCs w:val="28"/>
        </w:rPr>
        <w:footnoteReference w:id="71"/>
      </w:r>
      <w:r w:rsidR="00505463" w:rsidRPr="002C1A32">
        <w:rPr>
          <w:sz w:val="28"/>
          <w:szCs w:val="28"/>
        </w:rPr>
        <w:t>.</w:t>
      </w:r>
      <w:r w:rsidR="007518FC" w:rsidRPr="002C1A32">
        <w:rPr>
          <w:sz w:val="28"/>
          <w:szCs w:val="28"/>
        </w:rPr>
        <w:t xml:space="preserve"> </w:t>
      </w:r>
      <w:r w:rsidR="004143B6" w:rsidRPr="002C1A32">
        <w:rPr>
          <w:sz w:val="28"/>
          <w:szCs w:val="28"/>
        </w:rPr>
        <w:t>No obstante, frente a cada uno de estos elementos</w:t>
      </w:r>
      <w:r w:rsidR="00505463" w:rsidRPr="002C1A32">
        <w:rPr>
          <w:sz w:val="28"/>
          <w:szCs w:val="28"/>
        </w:rPr>
        <w:t xml:space="preserve"> -prestación personal, subordinación y remuneración-</w:t>
      </w:r>
      <w:r w:rsidR="004143B6" w:rsidRPr="002C1A32">
        <w:rPr>
          <w:sz w:val="28"/>
          <w:szCs w:val="28"/>
        </w:rPr>
        <w:t xml:space="preserve">, la jurisprudencia constitucional tanto en control abstracto como concreto, consideró lo siguiente: </w:t>
      </w:r>
    </w:p>
    <w:p w14:paraId="628C5B9D" w14:textId="77777777" w:rsidR="004143B6" w:rsidRPr="002C1A32" w:rsidRDefault="004143B6" w:rsidP="002C1A32">
      <w:pPr>
        <w:widowControl w:val="0"/>
        <w:pBdr>
          <w:top w:val="none" w:sz="0" w:space="0" w:color="000000"/>
          <w:left w:val="none" w:sz="0" w:space="0" w:color="000000"/>
          <w:bottom w:val="none" w:sz="0" w:space="0" w:color="000000"/>
          <w:right w:val="none" w:sz="0" w:space="0" w:color="000000"/>
          <w:between w:val="none" w:sz="0" w:space="0" w:color="000000"/>
        </w:pBdr>
        <w:tabs>
          <w:tab w:val="left" w:pos="426"/>
        </w:tabs>
        <w:autoSpaceDE w:val="0"/>
        <w:autoSpaceDN w:val="0"/>
        <w:adjustRightInd w:val="0"/>
        <w:spacing w:after="0" w:line="240" w:lineRule="auto"/>
        <w:ind w:right="49"/>
        <w:contextualSpacing/>
        <w:jc w:val="both"/>
        <w:rPr>
          <w:sz w:val="28"/>
          <w:szCs w:val="28"/>
        </w:rPr>
      </w:pPr>
    </w:p>
    <w:p w14:paraId="797C24E5" w14:textId="71973B4D" w:rsidR="004143B6" w:rsidRPr="002C1A32" w:rsidRDefault="004143B6" w:rsidP="002C1A32">
      <w:pPr>
        <w:pStyle w:val="Prrafodelista"/>
        <w:widowControl w:val="0"/>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426"/>
        </w:tabs>
        <w:autoSpaceDE w:val="0"/>
        <w:autoSpaceDN w:val="0"/>
        <w:adjustRightInd w:val="0"/>
        <w:spacing w:after="0" w:line="240" w:lineRule="auto"/>
        <w:ind w:right="49"/>
        <w:jc w:val="both"/>
        <w:rPr>
          <w:sz w:val="28"/>
          <w:szCs w:val="28"/>
        </w:rPr>
      </w:pPr>
      <w:r w:rsidRPr="002C1A32">
        <w:rPr>
          <w:sz w:val="28"/>
          <w:szCs w:val="28"/>
        </w:rPr>
        <w:t xml:space="preserve">El programa de HCB: </w:t>
      </w:r>
      <w:r w:rsidRPr="002C1A32">
        <w:rPr>
          <w:i/>
          <w:sz w:val="28"/>
          <w:szCs w:val="28"/>
        </w:rPr>
        <w:t>(i)</w:t>
      </w:r>
      <w:r w:rsidRPr="002C1A32">
        <w:rPr>
          <w:sz w:val="28"/>
          <w:szCs w:val="28"/>
        </w:rPr>
        <w:t xml:space="preserve"> tiene por objeto el trabajo solidario de la comunidad encaminado a garantizar a los niños la atención de sus necesidades básicas, especialmente en los aspectos de nutrición, protección y desarrollo individual, </w:t>
      </w:r>
      <w:r w:rsidRPr="002C1A32">
        <w:rPr>
          <w:i/>
          <w:sz w:val="28"/>
          <w:szCs w:val="28"/>
        </w:rPr>
        <w:t>(ii)</w:t>
      </w:r>
      <w:r w:rsidRPr="002C1A32">
        <w:rPr>
          <w:sz w:val="28"/>
          <w:szCs w:val="28"/>
        </w:rPr>
        <w:t xml:space="preserve"> se ejecuta mediante un contrato de aporte de naturaleza estatal entre el ICBF y la asociación de padres, y de carácter civil entre dicha asociación y la madre comunitaria, </w:t>
      </w:r>
      <w:r w:rsidRPr="002C1A32">
        <w:rPr>
          <w:i/>
          <w:sz w:val="28"/>
          <w:szCs w:val="28"/>
        </w:rPr>
        <w:t>(iii)</w:t>
      </w:r>
      <w:r w:rsidRPr="002C1A32">
        <w:rPr>
          <w:sz w:val="28"/>
          <w:szCs w:val="28"/>
        </w:rPr>
        <w:t xml:space="preserve"> la beca tiene por fin financiar o reembolsar la compra de alimentos, útiles escolares, elementos de aseo, entre otros, todos destinados a los menores, mas no como remuneración, y </w:t>
      </w:r>
      <w:r w:rsidRPr="002C1A32">
        <w:rPr>
          <w:i/>
          <w:sz w:val="28"/>
          <w:szCs w:val="28"/>
        </w:rPr>
        <w:t>(iv)</w:t>
      </w:r>
      <w:r w:rsidRPr="002C1A32">
        <w:rPr>
          <w:sz w:val="28"/>
          <w:szCs w:val="28"/>
        </w:rPr>
        <w:t xml:space="preserve"> el cumplimiento de los lineamientos o estándares de funcionamiento no constituyen una relación de subordinación</w:t>
      </w:r>
      <w:r w:rsidRPr="002C1A32">
        <w:rPr>
          <w:rStyle w:val="Refdenotaalpie"/>
          <w:sz w:val="28"/>
          <w:szCs w:val="28"/>
        </w:rPr>
        <w:footnoteReference w:id="72"/>
      </w:r>
      <w:r w:rsidRPr="002C1A32">
        <w:rPr>
          <w:sz w:val="28"/>
          <w:szCs w:val="28"/>
        </w:rPr>
        <w:t>.</w:t>
      </w:r>
    </w:p>
    <w:p w14:paraId="66F41EB6" w14:textId="77777777" w:rsidR="004143B6" w:rsidRPr="002C1A32" w:rsidRDefault="004143B6" w:rsidP="002C1A32">
      <w:pPr>
        <w:pStyle w:val="Prrafodelista"/>
        <w:widowControl w:val="0"/>
        <w:pBdr>
          <w:top w:val="none" w:sz="0" w:space="0" w:color="000000"/>
          <w:left w:val="none" w:sz="0" w:space="0" w:color="000000"/>
          <w:bottom w:val="none" w:sz="0" w:space="0" w:color="000000"/>
          <w:right w:val="none" w:sz="0" w:space="0" w:color="000000"/>
          <w:between w:val="none" w:sz="0" w:space="0" w:color="000000"/>
        </w:pBdr>
        <w:tabs>
          <w:tab w:val="left" w:pos="426"/>
        </w:tabs>
        <w:autoSpaceDE w:val="0"/>
        <w:autoSpaceDN w:val="0"/>
        <w:adjustRightInd w:val="0"/>
        <w:spacing w:after="0" w:line="240" w:lineRule="auto"/>
        <w:ind w:left="0" w:right="49"/>
        <w:jc w:val="both"/>
        <w:rPr>
          <w:sz w:val="28"/>
          <w:szCs w:val="28"/>
        </w:rPr>
      </w:pPr>
    </w:p>
    <w:p w14:paraId="360DECC6" w14:textId="77777777" w:rsidR="00237E09" w:rsidRPr="002C1A32" w:rsidRDefault="004143B6" w:rsidP="002C1A32">
      <w:pPr>
        <w:pStyle w:val="Prrafodelista"/>
        <w:widowControl w:val="0"/>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426"/>
        </w:tabs>
        <w:autoSpaceDE w:val="0"/>
        <w:autoSpaceDN w:val="0"/>
        <w:adjustRightInd w:val="0"/>
        <w:spacing w:after="0" w:line="240" w:lineRule="auto"/>
        <w:ind w:right="49"/>
        <w:jc w:val="both"/>
        <w:rPr>
          <w:sz w:val="28"/>
          <w:szCs w:val="28"/>
        </w:rPr>
      </w:pPr>
      <w:r w:rsidRPr="002C1A32">
        <w:rPr>
          <w:rFonts w:eastAsia="Times New Roman"/>
          <w:sz w:val="28"/>
          <w:szCs w:val="28"/>
        </w:rPr>
        <w:t xml:space="preserve">Previo al proceso de formalización laboral entre las madres comunitarias y las asociaciones de padres –Ley 1607 de 2012-, </w:t>
      </w:r>
      <w:r w:rsidR="00237E09" w:rsidRPr="002C1A32">
        <w:rPr>
          <w:rFonts w:eastAsia="Times New Roman"/>
          <w:i/>
          <w:sz w:val="28"/>
          <w:szCs w:val="28"/>
        </w:rPr>
        <w:t xml:space="preserve">(i) </w:t>
      </w:r>
      <w:r w:rsidRPr="002C1A32">
        <w:rPr>
          <w:rFonts w:eastAsia="Times New Roman"/>
          <w:sz w:val="28"/>
          <w:szCs w:val="28"/>
        </w:rPr>
        <w:t xml:space="preserve">existía un vínculo de naturaleza civil, predicable a su vez, en su relación con el ICBF al tratarse de una contribución voluntaria y solidaria con los menores de su comunidad, </w:t>
      </w:r>
      <w:r w:rsidRPr="002C1A32">
        <w:rPr>
          <w:rFonts w:eastAsia="Times New Roman"/>
          <w:i/>
          <w:sz w:val="28"/>
          <w:szCs w:val="28"/>
        </w:rPr>
        <w:t xml:space="preserve">(ii) </w:t>
      </w:r>
      <w:r w:rsidRPr="002C1A32">
        <w:rPr>
          <w:rFonts w:eastAsia="Times New Roman"/>
          <w:sz w:val="28"/>
          <w:szCs w:val="28"/>
        </w:rPr>
        <w:t>en desarrollo de una política pública, a partir de la vigencia fiscal del 2013 se ordenó el pago de un salario mínimo a través del mecanismo de la beca, pero desde el 12 de febrero de 2014 se decretó la vinculación exclusiva mediante contrato laboral, excluyendo con ello, cualquier posibilidad de ser consideradas servidoras públicas so pena el principio de realidad sobre las formas</w:t>
      </w:r>
      <w:r w:rsidR="00237E09" w:rsidRPr="002C1A32">
        <w:rPr>
          <w:rStyle w:val="Refdenotaalpie"/>
          <w:rFonts w:eastAsia="Times New Roman"/>
          <w:sz w:val="28"/>
          <w:szCs w:val="28"/>
        </w:rPr>
        <w:footnoteReference w:id="73"/>
      </w:r>
      <w:r w:rsidRPr="002C1A32">
        <w:rPr>
          <w:rFonts w:eastAsia="Times New Roman"/>
          <w:sz w:val="28"/>
          <w:szCs w:val="28"/>
        </w:rPr>
        <w:t xml:space="preserve">.  </w:t>
      </w:r>
    </w:p>
    <w:p w14:paraId="1290F641" w14:textId="77777777" w:rsidR="00237E09" w:rsidRPr="002C1A32" w:rsidRDefault="00237E09" w:rsidP="002C1A32">
      <w:pPr>
        <w:pStyle w:val="Prrafodelista"/>
        <w:widowControl w:val="0"/>
        <w:pBdr>
          <w:top w:val="none" w:sz="0" w:space="0" w:color="000000"/>
          <w:left w:val="none" w:sz="0" w:space="0" w:color="000000"/>
          <w:bottom w:val="none" w:sz="0" w:space="0" w:color="000000"/>
          <w:right w:val="none" w:sz="0" w:space="0" w:color="000000"/>
          <w:between w:val="none" w:sz="0" w:space="0" w:color="000000"/>
        </w:pBdr>
        <w:tabs>
          <w:tab w:val="left" w:pos="426"/>
        </w:tabs>
        <w:autoSpaceDE w:val="0"/>
        <w:autoSpaceDN w:val="0"/>
        <w:adjustRightInd w:val="0"/>
        <w:spacing w:after="0" w:line="240" w:lineRule="auto"/>
        <w:ind w:left="0" w:right="49"/>
        <w:jc w:val="both"/>
        <w:rPr>
          <w:rFonts w:eastAsia="Times New Roman"/>
          <w:sz w:val="28"/>
          <w:szCs w:val="28"/>
        </w:rPr>
      </w:pPr>
    </w:p>
    <w:p w14:paraId="14135523" w14:textId="1AEC42D5" w:rsidR="004143B6" w:rsidRPr="002C1A32" w:rsidRDefault="00237E09" w:rsidP="002C1A32">
      <w:pPr>
        <w:pStyle w:val="Ttulo2"/>
        <w:numPr>
          <w:ilvl w:val="0"/>
          <w:numId w:val="2"/>
        </w:numPr>
        <w:pBdr>
          <w:top w:val="none" w:sz="0" w:space="0" w:color="auto"/>
          <w:left w:val="none" w:sz="0" w:space="0" w:color="auto"/>
          <w:bottom w:val="none" w:sz="0" w:space="0" w:color="auto"/>
          <w:right w:val="none" w:sz="0" w:space="0" w:color="auto"/>
          <w:between w:val="none" w:sz="0" w:space="0" w:color="auto"/>
        </w:pBdr>
        <w:spacing w:before="0" w:after="0" w:line="240" w:lineRule="auto"/>
        <w:jc w:val="both"/>
        <w:rPr>
          <w:szCs w:val="28"/>
        </w:rPr>
      </w:pPr>
      <w:r w:rsidRPr="002C1A32">
        <w:rPr>
          <w:rFonts w:eastAsia="Times New Roman"/>
          <w:szCs w:val="28"/>
        </w:rPr>
        <w:t xml:space="preserve">En consecuencia, </w:t>
      </w:r>
      <w:r w:rsidR="00331AB3" w:rsidRPr="002C1A32">
        <w:rPr>
          <w:rFonts w:eastAsia="Times New Roman"/>
          <w:szCs w:val="28"/>
        </w:rPr>
        <w:t xml:space="preserve">y en reiteración de la Sentencia SU-079 de 2018, </w:t>
      </w:r>
      <w:r w:rsidRPr="002C1A32">
        <w:rPr>
          <w:rFonts w:eastAsia="Times New Roman"/>
          <w:szCs w:val="28"/>
        </w:rPr>
        <w:t>no es posible derivar la existencia de una relación laboral entre las accionantes y el ICBF, toda vez que</w:t>
      </w:r>
      <w:r w:rsidR="00331AB3" w:rsidRPr="002C1A32">
        <w:rPr>
          <w:rFonts w:eastAsia="Times New Roman"/>
          <w:szCs w:val="28"/>
        </w:rPr>
        <w:t>,</w:t>
      </w:r>
      <w:r w:rsidRPr="002C1A32">
        <w:rPr>
          <w:rFonts w:eastAsia="Times New Roman"/>
          <w:szCs w:val="28"/>
        </w:rPr>
        <w:t xml:space="preserve"> si bien se puede afirmar que las labores fueron desarrolladas por cada una de ellas, no existió una relación de </w:t>
      </w:r>
      <w:r w:rsidRPr="002C1A32">
        <w:rPr>
          <w:rFonts w:eastAsia="Times New Roman"/>
          <w:i/>
          <w:szCs w:val="28"/>
        </w:rPr>
        <w:t>continua subordinación y dependencia</w:t>
      </w:r>
      <w:r w:rsidRPr="002C1A32">
        <w:rPr>
          <w:rFonts w:eastAsia="Times New Roman"/>
          <w:szCs w:val="28"/>
        </w:rPr>
        <w:t xml:space="preserve">, al tratarse de una </w:t>
      </w:r>
      <w:r w:rsidR="002E7700" w:rsidRPr="002C1A32">
        <w:rPr>
          <w:rFonts w:eastAsia="Times New Roman"/>
          <w:szCs w:val="28"/>
        </w:rPr>
        <w:t>contribución voluntaria y solidaria con los menores de su comunidad</w:t>
      </w:r>
      <w:r w:rsidRPr="002C1A32">
        <w:rPr>
          <w:rFonts w:eastAsia="Times New Roman"/>
          <w:szCs w:val="28"/>
        </w:rPr>
        <w:t xml:space="preserve"> y </w:t>
      </w:r>
      <w:r w:rsidR="002E7700" w:rsidRPr="002C1A32">
        <w:rPr>
          <w:rFonts w:eastAsia="Times New Roman"/>
          <w:szCs w:val="28"/>
        </w:rPr>
        <w:t xml:space="preserve">la beca no constituye una </w:t>
      </w:r>
      <w:r w:rsidRPr="002C1A32">
        <w:rPr>
          <w:rFonts w:eastAsia="Times New Roman"/>
          <w:i/>
          <w:szCs w:val="28"/>
        </w:rPr>
        <w:t>remuneración</w:t>
      </w:r>
      <w:r w:rsidR="002E7700" w:rsidRPr="002C1A32">
        <w:rPr>
          <w:rFonts w:eastAsia="Times New Roman"/>
          <w:i/>
          <w:szCs w:val="28"/>
        </w:rPr>
        <w:t xml:space="preserve">, </w:t>
      </w:r>
      <w:r w:rsidR="002E7700" w:rsidRPr="002C1A32">
        <w:rPr>
          <w:rFonts w:eastAsia="Times New Roman"/>
          <w:szCs w:val="28"/>
        </w:rPr>
        <w:t xml:space="preserve">al estar destinada a la alimentación de los niños y niñas a su cuidado, compra de útiles y elementos de aseo, entre otros. </w:t>
      </w:r>
    </w:p>
    <w:p w14:paraId="4BFF169D" w14:textId="77777777" w:rsidR="004143B6" w:rsidRPr="002C1A32" w:rsidRDefault="004143B6" w:rsidP="002C1A32">
      <w:pPr>
        <w:pBdr>
          <w:top w:val="none" w:sz="0" w:space="0" w:color="auto"/>
          <w:left w:val="none" w:sz="0" w:space="0" w:color="auto"/>
          <w:bottom w:val="none" w:sz="0" w:space="0" w:color="auto"/>
          <w:right w:val="none" w:sz="0" w:space="0" w:color="auto"/>
          <w:between w:val="none" w:sz="0" w:space="0" w:color="auto"/>
        </w:pBdr>
        <w:shd w:val="clear" w:color="auto" w:fill="FFFFFF"/>
        <w:tabs>
          <w:tab w:val="left" w:pos="426"/>
        </w:tabs>
        <w:spacing w:after="0" w:line="240" w:lineRule="auto"/>
        <w:jc w:val="both"/>
        <w:textAlignment w:val="baseline"/>
        <w:rPr>
          <w:sz w:val="28"/>
          <w:szCs w:val="28"/>
        </w:rPr>
      </w:pPr>
    </w:p>
    <w:p w14:paraId="3335220E" w14:textId="0E8EF238" w:rsidR="001609B0" w:rsidRPr="002C1A32" w:rsidRDefault="001609B0" w:rsidP="002C1A32">
      <w:pPr>
        <w:pStyle w:val="Ttulo2"/>
        <w:pBdr>
          <w:top w:val="none" w:sz="0" w:space="0" w:color="auto"/>
          <w:left w:val="none" w:sz="0" w:space="0" w:color="auto"/>
          <w:bottom w:val="none" w:sz="0" w:space="0" w:color="auto"/>
          <w:right w:val="none" w:sz="0" w:space="0" w:color="auto"/>
          <w:between w:val="none" w:sz="0" w:space="0" w:color="auto"/>
        </w:pBdr>
        <w:spacing w:before="0" w:after="0" w:line="240" w:lineRule="auto"/>
        <w:jc w:val="both"/>
        <w:rPr>
          <w:b/>
          <w:szCs w:val="28"/>
          <w:shd w:val="clear" w:color="auto" w:fill="FFFFFF"/>
        </w:rPr>
      </w:pPr>
      <w:r w:rsidRPr="002C1A32">
        <w:rPr>
          <w:b/>
          <w:szCs w:val="28"/>
          <w:shd w:val="clear" w:color="auto" w:fill="FFFFFF"/>
        </w:rPr>
        <w:t>Análisis del segundo problema jurídico del caso: imposibilidad de exceptuar el porcentaje de subsidio a la cotización</w:t>
      </w:r>
    </w:p>
    <w:p w14:paraId="6242A630" w14:textId="77777777" w:rsidR="0099174F" w:rsidRPr="002C1A32" w:rsidRDefault="0099174F" w:rsidP="002C1A32">
      <w:pPr>
        <w:pStyle w:val="Prrafodelista"/>
        <w:widowControl w:val="0"/>
        <w:spacing w:after="0" w:line="240" w:lineRule="auto"/>
        <w:ind w:left="0"/>
        <w:jc w:val="both"/>
        <w:rPr>
          <w:rFonts w:eastAsia="Times New Roman"/>
          <w:b/>
          <w:sz w:val="28"/>
          <w:szCs w:val="28"/>
        </w:rPr>
      </w:pPr>
    </w:p>
    <w:p w14:paraId="62126F58" w14:textId="77777777" w:rsidR="00412D62" w:rsidRPr="002C1A32" w:rsidRDefault="00031424" w:rsidP="002C1A32">
      <w:pPr>
        <w:pStyle w:val="Prrafodelista"/>
        <w:widowControl w:val="0"/>
        <w:numPr>
          <w:ilvl w:val="0"/>
          <w:numId w:val="2"/>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426"/>
        </w:tabs>
        <w:spacing w:after="0" w:line="240" w:lineRule="auto"/>
        <w:jc w:val="both"/>
        <w:textAlignment w:val="baseline"/>
        <w:rPr>
          <w:rFonts w:eastAsia="Times New Roman"/>
          <w:b/>
          <w:sz w:val="28"/>
          <w:szCs w:val="28"/>
        </w:rPr>
      </w:pPr>
      <w:r w:rsidRPr="002C1A32">
        <w:rPr>
          <w:rFonts w:eastAsia="Times New Roman"/>
          <w:sz w:val="28"/>
          <w:szCs w:val="28"/>
        </w:rPr>
        <w:t xml:space="preserve">A causa del Auto 217 de 2018, una vez vinculados el Consorcio Colombia Mayor 2013 y el Ministerio de Trabajo, </w:t>
      </w:r>
      <w:r w:rsidR="00412D62" w:rsidRPr="002C1A32">
        <w:rPr>
          <w:rFonts w:eastAsia="Times New Roman"/>
          <w:sz w:val="28"/>
          <w:szCs w:val="28"/>
        </w:rPr>
        <w:t xml:space="preserve">la Sala debe </w:t>
      </w:r>
      <w:r w:rsidRPr="002C1A32">
        <w:rPr>
          <w:rFonts w:eastAsia="Times New Roman"/>
          <w:sz w:val="28"/>
          <w:szCs w:val="28"/>
        </w:rPr>
        <w:t>determinar si es razonable que el monto del subsidio al aporte a la pensión consagrado en las leyes 509 de 1999 y 1187 de 2008 no sea equivalente al 80% sino al 100% del total de las cotizaciones pensionales faltantes y causadas en ejercicio d</w:t>
      </w:r>
      <w:r w:rsidR="00412D62" w:rsidRPr="002C1A32">
        <w:rPr>
          <w:rFonts w:eastAsia="Times New Roman"/>
          <w:sz w:val="28"/>
          <w:szCs w:val="28"/>
        </w:rPr>
        <w:t xml:space="preserve">e la labor de madre comunitaria. </w:t>
      </w:r>
    </w:p>
    <w:p w14:paraId="1DEB1E78" w14:textId="78467D53" w:rsidR="00031424" w:rsidRPr="002C1A32" w:rsidRDefault="00474BC9" w:rsidP="002C1A32">
      <w:pPr>
        <w:pStyle w:val="Prrafodelista"/>
        <w:widowControl w:val="0"/>
        <w:pBdr>
          <w:top w:val="none" w:sz="0" w:space="0" w:color="auto"/>
          <w:left w:val="none" w:sz="0" w:space="0" w:color="auto"/>
          <w:bottom w:val="none" w:sz="0" w:space="0" w:color="auto"/>
          <w:right w:val="none" w:sz="0" w:space="0" w:color="auto"/>
          <w:between w:val="none" w:sz="0" w:space="0" w:color="auto"/>
        </w:pBdr>
        <w:shd w:val="clear" w:color="auto" w:fill="FFFFFF"/>
        <w:tabs>
          <w:tab w:val="left" w:pos="426"/>
        </w:tabs>
        <w:spacing w:after="0" w:line="240" w:lineRule="auto"/>
        <w:ind w:left="0"/>
        <w:jc w:val="both"/>
        <w:textAlignment w:val="baseline"/>
        <w:rPr>
          <w:rFonts w:eastAsia="Times New Roman"/>
          <w:b/>
          <w:sz w:val="28"/>
          <w:szCs w:val="28"/>
        </w:rPr>
      </w:pPr>
      <w:r w:rsidRPr="002C1A32">
        <w:rPr>
          <w:rFonts w:eastAsia="Times New Roman"/>
          <w:sz w:val="28"/>
          <w:szCs w:val="28"/>
        </w:rPr>
        <w:t xml:space="preserve"> </w:t>
      </w:r>
    </w:p>
    <w:p w14:paraId="3DE3678D" w14:textId="1FBB14AA" w:rsidR="00AE5BD1" w:rsidRPr="002C1A32" w:rsidRDefault="00951124" w:rsidP="002C1A32">
      <w:pPr>
        <w:pStyle w:val="Prrafodelista"/>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426"/>
        </w:tabs>
        <w:autoSpaceDE w:val="0"/>
        <w:autoSpaceDN w:val="0"/>
        <w:adjustRightInd w:val="0"/>
        <w:spacing w:after="0" w:line="240" w:lineRule="auto"/>
        <w:ind w:right="49"/>
        <w:jc w:val="both"/>
        <w:textAlignment w:val="baseline"/>
        <w:rPr>
          <w:rFonts w:eastAsia="Times New Roman"/>
          <w:b/>
          <w:sz w:val="28"/>
          <w:szCs w:val="28"/>
        </w:rPr>
      </w:pPr>
      <w:r w:rsidRPr="002C1A32">
        <w:rPr>
          <w:rFonts w:eastAsia="Times New Roman"/>
          <w:sz w:val="28"/>
          <w:szCs w:val="28"/>
        </w:rPr>
        <w:t>P</w:t>
      </w:r>
      <w:r w:rsidR="00412D62" w:rsidRPr="002C1A32">
        <w:rPr>
          <w:rFonts w:eastAsia="Times New Roman"/>
          <w:sz w:val="28"/>
          <w:szCs w:val="28"/>
        </w:rPr>
        <w:t>ara beneficiarse de</w:t>
      </w:r>
      <w:r w:rsidRPr="002C1A32">
        <w:rPr>
          <w:rFonts w:eastAsia="Times New Roman"/>
          <w:sz w:val="28"/>
          <w:szCs w:val="28"/>
        </w:rPr>
        <w:t xml:space="preserve">l subsidio al aporte a la pensión, es un presupuesto básico la afiliación al sistema general de pensiones. Por lo que frente al </w:t>
      </w:r>
      <w:r w:rsidR="00AE5BD1" w:rsidRPr="002C1A32">
        <w:rPr>
          <w:rFonts w:eastAsia="Times New Roman"/>
          <w:sz w:val="28"/>
          <w:szCs w:val="28"/>
        </w:rPr>
        <w:t>derecho a la seguridad social de las madres comunitarias y sustitutas</w:t>
      </w:r>
      <w:r w:rsidR="00AE5BD1" w:rsidRPr="002C1A32">
        <w:rPr>
          <w:rStyle w:val="Refdenotaalpie"/>
          <w:rFonts w:eastAsia="Times New Roman"/>
          <w:sz w:val="28"/>
          <w:szCs w:val="28"/>
        </w:rPr>
        <w:footnoteReference w:id="74"/>
      </w:r>
      <w:r w:rsidRPr="002C1A32">
        <w:rPr>
          <w:rFonts w:eastAsia="Times New Roman"/>
          <w:sz w:val="28"/>
          <w:szCs w:val="28"/>
        </w:rPr>
        <w:t xml:space="preserve">, la Corte reitera que </w:t>
      </w:r>
      <w:r w:rsidR="00412D62" w:rsidRPr="002C1A32">
        <w:rPr>
          <w:rFonts w:eastAsia="Times New Roman"/>
          <w:sz w:val="28"/>
          <w:szCs w:val="28"/>
        </w:rPr>
        <w:t xml:space="preserve">la legislación </w:t>
      </w:r>
      <w:r w:rsidRPr="002C1A32">
        <w:rPr>
          <w:rFonts w:eastAsia="Times New Roman"/>
          <w:sz w:val="28"/>
          <w:szCs w:val="28"/>
        </w:rPr>
        <w:t>varió</w:t>
      </w:r>
      <w:r w:rsidR="00AE5BD1" w:rsidRPr="002C1A32">
        <w:rPr>
          <w:rFonts w:eastAsia="Times New Roman"/>
          <w:sz w:val="28"/>
          <w:szCs w:val="28"/>
        </w:rPr>
        <w:t xml:space="preserve"> a la par que el Estado </w:t>
      </w:r>
      <w:r w:rsidRPr="002C1A32">
        <w:rPr>
          <w:rFonts w:eastAsia="Times New Roman"/>
          <w:sz w:val="28"/>
          <w:szCs w:val="28"/>
        </w:rPr>
        <w:t>fue</w:t>
      </w:r>
      <w:r w:rsidR="00AE5BD1" w:rsidRPr="002C1A32">
        <w:rPr>
          <w:rFonts w:eastAsia="Times New Roman"/>
          <w:sz w:val="28"/>
          <w:szCs w:val="28"/>
        </w:rPr>
        <w:t xml:space="preserve"> ampli</w:t>
      </w:r>
      <w:r w:rsidR="00412D62" w:rsidRPr="002C1A32">
        <w:rPr>
          <w:rFonts w:eastAsia="Times New Roman"/>
          <w:sz w:val="28"/>
          <w:szCs w:val="28"/>
        </w:rPr>
        <w:t>ó</w:t>
      </w:r>
      <w:r w:rsidR="00AE5BD1" w:rsidRPr="002C1A32">
        <w:rPr>
          <w:rFonts w:eastAsia="Times New Roman"/>
          <w:sz w:val="28"/>
          <w:szCs w:val="28"/>
        </w:rPr>
        <w:t xml:space="preserve"> la cobertura en la afiliación, pues: </w:t>
      </w:r>
      <w:r w:rsidR="00AE5BD1" w:rsidRPr="002C1A32">
        <w:rPr>
          <w:rFonts w:eastAsia="Times New Roman"/>
          <w:i/>
          <w:sz w:val="28"/>
          <w:szCs w:val="28"/>
        </w:rPr>
        <w:t xml:space="preserve">(i) </w:t>
      </w:r>
      <w:r w:rsidR="00412D62" w:rsidRPr="002C1A32">
        <w:rPr>
          <w:rFonts w:eastAsia="Times New Roman"/>
          <w:sz w:val="28"/>
          <w:szCs w:val="28"/>
        </w:rPr>
        <w:t>antes de</w:t>
      </w:r>
      <w:r w:rsidR="00AE5BD1" w:rsidRPr="002C1A32">
        <w:rPr>
          <w:rFonts w:eastAsia="Times New Roman"/>
          <w:sz w:val="28"/>
          <w:szCs w:val="28"/>
        </w:rPr>
        <w:t xml:space="preserve">l cambio de Constitución y a la entrada en vigencia de la Ley 100 de 1993 no estaban obligadas a cotizar, </w:t>
      </w:r>
      <w:r w:rsidR="00AE5BD1" w:rsidRPr="002C1A32">
        <w:rPr>
          <w:rFonts w:eastAsia="Times New Roman"/>
          <w:i/>
          <w:sz w:val="28"/>
          <w:szCs w:val="28"/>
        </w:rPr>
        <w:t xml:space="preserve">(ii) </w:t>
      </w:r>
      <w:r w:rsidR="00AE5BD1" w:rsidRPr="002C1A32">
        <w:rPr>
          <w:rFonts w:eastAsia="Times New Roman"/>
          <w:sz w:val="28"/>
          <w:szCs w:val="28"/>
        </w:rPr>
        <w:t xml:space="preserve">a partir de la Ley 100 de 1993, fueron vinculadas al sistema de seguridad social en salud, a través del régimen subsidiado, por lo que tenían derecho a la atención en salud, pero no al reconocimiento de las prestaciones económicas, </w:t>
      </w:r>
      <w:r w:rsidR="00AE5BD1" w:rsidRPr="002C1A32">
        <w:rPr>
          <w:rFonts w:eastAsia="Times New Roman"/>
          <w:i/>
          <w:sz w:val="28"/>
          <w:szCs w:val="28"/>
        </w:rPr>
        <w:t xml:space="preserve">(iii) </w:t>
      </w:r>
      <w:r w:rsidR="00AE5BD1" w:rsidRPr="002C1A32">
        <w:rPr>
          <w:rFonts w:eastAsia="Times New Roman"/>
          <w:sz w:val="28"/>
          <w:szCs w:val="28"/>
        </w:rPr>
        <w:t>con la Ley 509 de 1999</w:t>
      </w:r>
      <w:r w:rsidR="00AE5BD1" w:rsidRPr="002C1A32">
        <w:rPr>
          <w:rStyle w:val="Refdenotaalpie"/>
          <w:rFonts w:eastAsia="Times New Roman"/>
          <w:sz w:val="28"/>
          <w:szCs w:val="28"/>
        </w:rPr>
        <w:footnoteReference w:id="75"/>
      </w:r>
      <w:r w:rsidR="00AE5BD1" w:rsidRPr="002C1A32">
        <w:rPr>
          <w:rFonts w:eastAsia="Times New Roman"/>
          <w:sz w:val="28"/>
          <w:szCs w:val="28"/>
        </w:rPr>
        <w:t xml:space="preserve">, son vinculadas al sistema en el régimen contributivo mediante un subsidio a la cotización, adquiriendo así, las mismas prestaciones asistenciales y económicas de que gozan los afiliados al régimen contributivo, </w:t>
      </w:r>
      <w:r w:rsidR="00AE5BD1" w:rsidRPr="002C1A32">
        <w:rPr>
          <w:rFonts w:eastAsia="Times New Roman"/>
          <w:i/>
          <w:sz w:val="28"/>
          <w:szCs w:val="28"/>
        </w:rPr>
        <w:t xml:space="preserve">(iv) </w:t>
      </w:r>
      <w:r w:rsidR="00AE5BD1" w:rsidRPr="002C1A32">
        <w:rPr>
          <w:rFonts w:eastAsia="Times New Roman"/>
          <w:sz w:val="28"/>
          <w:szCs w:val="28"/>
        </w:rPr>
        <w:t>a través de la Ley 1607 de 2012 y el Decreto 289 de 2014 deben cotizar como trabajadoras sujetas al régimen del Código Sustantivo del Trabajo</w:t>
      </w:r>
      <w:r w:rsidRPr="002C1A32">
        <w:rPr>
          <w:rStyle w:val="Refdenotaalpie"/>
          <w:rFonts w:eastAsia="Times New Roman"/>
          <w:sz w:val="28"/>
          <w:szCs w:val="28"/>
        </w:rPr>
        <w:footnoteReference w:id="76"/>
      </w:r>
      <w:r w:rsidR="00AE5BD1" w:rsidRPr="002C1A32">
        <w:rPr>
          <w:rFonts w:eastAsia="Times New Roman"/>
          <w:sz w:val="28"/>
          <w:szCs w:val="28"/>
        </w:rPr>
        <w:t xml:space="preserve">. </w:t>
      </w:r>
    </w:p>
    <w:p w14:paraId="30607BC1" w14:textId="77777777" w:rsidR="00961BB4" w:rsidRPr="002C1A32" w:rsidRDefault="00961BB4" w:rsidP="002C1A32">
      <w:pPr>
        <w:pStyle w:val="Prrafodelista"/>
        <w:widowControl w:val="0"/>
        <w:pBdr>
          <w:top w:val="none" w:sz="0" w:space="0" w:color="auto"/>
          <w:left w:val="none" w:sz="0" w:space="0" w:color="auto"/>
          <w:bottom w:val="none" w:sz="0" w:space="0" w:color="auto"/>
          <w:right w:val="none" w:sz="0" w:space="0" w:color="auto"/>
          <w:between w:val="none" w:sz="0" w:space="0" w:color="auto"/>
        </w:pBdr>
        <w:shd w:val="clear" w:color="auto" w:fill="FFFFFF"/>
        <w:tabs>
          <w:tab w:val="left" w:pos="426"/>
        </w:tabs>
        <w:spacing w:after="0" w:line="240" w:lineRule="auto"/>
        <w:ind w:left="0"/>
        <w:jc w:val="both"/>
        <w:textAlignment w:val="baseline"/>
        <w:rPr>
          <w:rFonts w:eastAsia="Times New Roman"/>
          <w:b/>
          <w:sz w:val="28"/>
          <w:szCs w:val="28"/>
        </w:rPr>
      </w:pPr>
    </w:p>
    <w:p w14:paraId="4D8712DB" w14:textId="3958B5B2" w:rsidR="00D0097B" w:rsidRPr="002C1A32" w:rsidRDefault="00961BB4" w:rsidP="002C1A32">
      <w:pPr>
        <w:pStyle w:val="Ttulo2"/>
        <w:numPr>
          <w:ilvl w:val="0"/>
          <w:numId w:val="2"/>
        </w:numPr>
        <w:pBdr>
          <w:top w:val="none" w:sz="0" w:space="0" w:color="auto"/>
          <w:left w:val="none" w:sz="0" w:space="0" w:color="auto"/>
          <w:bottom w:val="none" w:sz="0" w:space="0" w:color="auto"/>
          <w:right w:val="none" w:sz="0" w:space="0" w:color="auto"/>
          <w:between w:val="none" w:sz="0" w:space="0" w:color="auto"/>
        </w:pBdr>
        <w:spacing w:before="0" w:after="0" w:line="240" w:lineRule="auto"/>
        <w:jc w:val="both"/>
        <w:rPr>
          <w:rFonts w:eastAsia="Times New Roman"/>
          <w:b/>
          <w:szCs w:val="28"/>
        </w:rPr>
      </w:pPr>
      <w:r w:rsidRPr="002C1A32">
        <w:rPr>
          <w:rFonts w:eastAsia="Times New Roman"/>
          <w:szCs w:val="28"/>
        </w:rPr>
        <w:t xml:space="preserve">En cuanto al </w:t>
      </w:r>
      <w:r w:rsidR="00F763DF" w:rsidRPr="002C1A32">
        <w:rPr>
          <w:rFonts w:eastAsia="Times New Roman"/>
          <w:szCs w:val="28"/>
        </w:rPr>
        <w:t xml:space="preserve">programa de subsidio al aporte a la pensión – </w:t>
      </w:r>
      <w:r w:rsidR="00AE5BD1" w:rsidRPr="002C1A32">
        <w:rPr>
          <w:rFonts w:eastAsia="Times New Roman"/>
          <w:szCs w:val="28"/>
        </w:rPr>
        <w:t>PSAP</w:t>
      </w:r>
      <w:r w:rsidR="00F763DF" w:rsidRPr="002C1A32">
        <w:rPr>
          <w:rFonts w:eastAsia="Times New Roman"/>
          <w:szCs w:val="28"/>
        </w:rPr>
        <w:t>, el Pleno reitera que</w:t>
      </w:r>
      <w:r w:rsidR="007E31B7" w:rsidRPr="002C1A32">
        <w:rPr>
          <w:rFonts w:eastAsia="Times New Roman"/>
          <w:szCs w:val="28"/>
        </w:rPr>
        <w:t xml:space="preserve"> resulta irrazonable y discriminatorio ampliar en una sentencia de tutela el porcentaje de dicha subvención de un 80% al 100%, y además de modo retroactivo, por cuanto</w:t>
      </w:r>
      <w:r w:rsidR="00AE5BD1" w:rsidRPr="002C1A32">
        <w:rPr>
          <w:rFonts w:eastAsia="Times New Roman"/>
          <w:szCs w:val="28"/>
        </w:rPr>
        <w:t xml:space="preserve">: </w:t>
      </w:r>
      <w:r w:rsidR="00AE5BD1" w:rsidRPr="002C1A32">
        <w:rPr>
          <w:rFonts w:eastAsia="Times New Roman"/>
          <w:i/>
          <w:szCs w:val="28"/>
        </w:rPr>
        <w:t>(i)</w:t>
      </w:r>
      <w:r w:rsidR="00AE5BD1" w:rsidRPr="002C1A32">
        <w:rPr>
          <w:rFonts w:eastAsia="Times New Roman"/>
          <w:szCs w:val="28"/>
        </w:rPr>
        <w:t xml:space="preserve"> </w:t>
      </w:r>
      <w:r w:rsidR="00F763DF" w:rsidRPr="002C1A32">
        <w:rPr>
          <w:rFonts w:eastAsia="Times New Roman"/>
          <w:szCs w:val="28"/>
        </w:rPr>
        <w:t xml:space="preserve">se trata de </w:t>
      </w:r>
      <w:r w:rsidR="00AE5BD1" w:rsidRPr="002C1A32">
        <w:rPr>
          <w:rFonts w:eastAsia="Times New Roman"/>
          <w:szCs w:val="28"/>
        </w:rPr>
        <w:t xml:space="preserve">una política pública que se ajusta </w:t>
      </w:r>
      <w:r w:rsidR="00E47EC5" w:rsidRPr="002C1A32">
        <w:rPr>
          <w:rFonts w:eastAsia="Times New Roman"/>
          <w:szCs w:val="28"/>
        </w:rPr>
        <w:t xml:space="preserve">periódicamente </w:t>
      </w:r>
      <w:r w:rsidR="00AE5BD1" w:rsidRPr="002C1A32">
        <w:rPr>
          <w:rFonts w:eastAsia="Times New Roman"/>
          <w:szCs w:val="28"/>
        </w:rPr>
        <w:t>a la disponibilidad presupuestal</w:t>
      </w:r>
      <w:r w:rsidR="007E31B7" w:rsidRPr="002C1A32">
        <w:rPr>
          <w:rFonts w:eastAsia="Times New Roman"/>
          <w:szCs w:val="28"/>
        </w:rPr>
        <w:t xml:space="preserve"> y que busca distribuir los recursos de la subcuenta de solidaridad entre todos los grupos identificados como población más vulnerable, </w:t>
      </w:r>
      <w:r w:rsidR="00AE5BD1" w:rsidRPr="002C1A32">
        <w:rPr>
          <w:rFonts w:eastAsia="Times New Roman"/>
          <w:i/>
          <w:szCs w:val="28"/>
        </w:rPr>
        <w:t>(ii)</w:t>
      </w:r>
      <w:r w:rsidR="00AE5BD1" w:rsidRPr="002C1A32">
        <w:rPr>
          <w:rFonts w:eastAsia="Times New Roman"/>
          <w:szCs w:val="28"/>
        </w:rPr>
        <w:t xml:space="preserve"> constituye una subvención </w:t>
      </w:r>
      <w:r w:rsidR="00BB6652" w:rsidRPr="002C1A32">
        <w:rPr>
          <w:rFonts w:eastAsia="Times New Roman"/>
          <w:i/>
          <w:szCs w:val="28"/>
        </w:rPr>
        <w:t>temporal</w:t>
      </w:r>
      <w:r w:rsidR="00BB6652" w:rsidRPr="002C1A32">
        <w:rPr>
          <w:rFonts w:eastAsia="Times New Roman"/>
          <w:szCs w:val="28"/>
        </w:rPr>
        <w:t xml:space="preserve">, es decir, sujeta a los rangos de edad </w:t>
      </w:r>
      <w:r w:rsidR="00D0097B" w:rsidRPr="002C1A32">
        <w:rPr>
          <w:rFonts w:eastAsia="Times New Roman"/>
          <w:szCs w:val="28"/>
        </w:rPr>
        <w:t xml:space="preserve">y duración de la política </w:t>
      </w:r>
      <w:r w:rsidR="00BB6652" w:rsidRPr="002C1A32">
        <w:rPr>
          <w:rFonts w:eastAsia="Times New Roman"/>
          <w:szCs w:val="28"/>
        </w:rPr>
        <w:t xml:space="preserve">y </w:t>
      </w:r>
      <w:r w:rsidR="00BB6652" w:rsidRPr="002C1A32">
        <w:rPr>
          <w:rFonts w:eastAsia="Times New Roman"/>
          <w:i/>
          <w:szCs w:val="28"/>
        </w:rPr>
        <w:t>parcial</w:t>
      </w:r>
      <w:r w:rsidR="00BB6652" w:rsidRPr="002C1A32">
        <w:rPr>
          <w:rFonts w:eastAsia="Times New Roman"/>
          <w:szCs w:val="28"/>
        </w:rPr>
        <w:t>, esto es, implica el esfuerzo propio para sufragar la parte de la cotización que le corresponde a</w:t>
      </w:r>
      <w:r w:rsidR="00D0097B" w:rsidRPr="002C1A32">
        <w:rPr>
          <w:rFonts w:eastAsia="Times New Roman"/>
          <w:szCs w:val="28"/>
        </w:rPr>
        <w:t xml:space="preserve"> cada </w:t>
      </w:r>
      <w:r w:rsidR="00BB6652" w:rsidRPr="002C1A32">
        <w:rPr>
          <w:rFonts w:eastAsia="Times New Roman"/>
          <w:szCs w:val="28"/>
        </w:rPr>
        <w:t>beneficiario</w:t>
      </w:r>
      <w:r w:rsidR="00AE5BD1" w:rsidRPr="002C1A32">
        <w:rPr>
          <w:rFonts w:eastAsia="Times New Roman"/>
          <w:szCs w:val="28"/>
        </w:rPr>
        <w:t xml:space="preserve">, </w:t>
      </w:r>
      <w:r w:rsidR="00AE5BD1" w:rsidRPr="002C1A32">
        <w:rPr>
          <w:rFonts w:eastAsia="Times New Roman"/>
          <w:i/>
          <w:szCs w:val="28"/>
        </w:rPr>
        <w:t xml:space="preserve">(iii) </w:t>
      </w:r>
      <w:r w:rsidR="00AE5BD1" w:rsidRPr="002C1A32">
        <w:rPr>
          <w:rFonts w:eastAsia="Times New Roman"/>
          <w:szCs w:val="28"/>
        </w:rPr>
        <w:t>las madres comunitarias y sustitutas no son las únicas beneficiarias, ya que cobija a otros grupos como personas en situación de discapacidad, ancianos en condición de indigencia, trabajadores rurales, mujeres</w:t>
      </w:r>
      <w:r w:rsidR="00BB6652" w:rsidRPr="002C1A32">
        <w:rPr>
          <w:rFonts w:eastAsia="Times New Roman"/>
          <w:szCs w:val="28"/>
        </w:rPr>
        <w:t xml:space="preserve"> micro empresarias, entre otros</w:t>
      </w:r>
      <w:r w:rsidR="00AE5BD1" w:rsidRPr="002C1A32">
        <w:rPr>
          <w:rFonts w:eastAsia="Times New Roman"/>
          <w:szCs w:val="28"/>
        </w:rPr>
        <w:t>,</w:t>
      </w:r>
      <w:r w:rsidR="00BB6652" w:rsidRPr="002C1A32">
        <w:rPr>
          <w:rFonts w:eastAsia="Times New Roman"/>
          <w:szCs w:val="28"/>
        </w:rPr>
        <w:t xml:space="preserve"> por lo que eximir</w:t>
      </w:r>
      <w:r w:rsidR="007E31B7" w:rsidRPr="002C1A32">
        <w:rPr>
          <w:rFonts w:eastAsia="Times New Roman"/>
          <w:szCs w:val="28"/>
        </w:rPr>
        <w:t>l</w:t>
      </w:r>
      <w:r w:rsidR="00BB6652" w:rsidRPr="002C1A32">
        <w:rPr>
          <w:rFonts w:eastAsia="Times New Roman"/>
          <w:szCs w:val="28"/>
        </w:rPr>
        <w:t>a</w:t>
      </w:r>
      <w:r w:rsidR="00E47EC5" w:rsidRPr="002C1A32">
        <w:rPr>
          <w:rFonts w:eastAsia="Times New Roman"/>
          <w:szCs w:val="28"/>
        </w:rPr>
        <w:t>s</w:t>
      </w:r>
      <w:r w:rsidR="00BB6652" w:rsidRPr="002C1A32">
        <w:rPr>
          <w:rFonts w:eastAsia="Times New Roman"/>
          <w:szCs w:val="28"/>
        </w:rPr>
        <w:t xml:space="preserve"> del pago del 20% del aporte de la cotización a su cargo, resulta irrazonable </w:t>
      </w:r>
      <w:r w:rsidR="007E31B7" w:rsidRPr="002C1A32">
        <w:rPr>
          <w:rFonts w:eastAsia="Times New Roman"/>
          <w:szCs w:val="28"/>
        </w:rPr>
        <w:t xml:space="preserve">y discriminatorio </w:t>
      </w:r>
      <w:r w:rsidR="00BB6652" w:rsidRPr="002C1A32">
        <w:rPr>
          <w:rFonts w:eastAsia="Times New Roman"/>
          <w:szCs w:val="28"/>
        </w:rPr>
        <w:t>frente a los demás beneficiarios del PSAP quienes sufragan el porcentaje que les corresponde,</w:t>
      </w:r>
      <w:r w:rsidR="00AE5BD1" w:rsidRPr="002C1A32">
        <w:rPr>
          <w:rFonts w:eastAsia="Times New Roman"/>
          <w:szCs w:val="28"/>
        </w:rPr>
        <w:t xml:space="preserve"> </w:t>
      </w:r>
      <w:r w:rsidR="00AE5BD1" w:rsidRPr="002C1A32">
        <w:rPr>
          <w:rFonts w:eastAsia="Times New Roman"/>
          <w:i/>
          <w:szCs w:val="28"/>
        </w:rPr>
        <w:t xml:space="preserve">(iv) </w:t>
      </w:r>
      <w:r w:rsidR="00451A6B" w:rsidRPr="002C1A32">
        <w:rPr>
          <w:rFonts w:eastAsia="Times New Roman"/>
          <w:szCs w:val="28"/>
        </w:rPr>
        <w:t>por varios periodos, la legislación previó un plazo razonable para que aquellas beneficiarias que habiendo incurrido en alguna de las causales de retiro o exclusión, pudieran saldar la mora y reincorporarse al programa</w:t>
      </w:r>
      <w:r w:rsidR="00BB6652" w:rsidRPr="002C1A32">
        <w:rPr>
          <w:rFonts w:eastAsia="Times New Roman"/>
          <w:szCs w:val="28"/>
        </w:rPr>
        <w:t xml:space="preserve">, </w:t>
      </w:r>
      <w:r w:rsidR="00451A6B" w:rsidRPr="002C1A32">
        <w:rPr>
          <w:rFonts w:eastAsia="Times New Roman"/>
          <w:i/>
          <w:szCs w:val="28"/>
        </w:rPr>
        <w:t xml:space="preserve">(v) </w:t>
      </w:r>
      <w:r w:rsidR="00451A6B" w:rsidRPr="002C1A32">
        <w:rPr>
          <w:rFonts w:eastAsia="Times New Roman"/>
          <w:szCs w:val="28"/>
        </w:rPr>
        <w:t>no existe</w:t>
      </w:r>
      <w:r w:rsidR="00BB6652" w:rsidRPr="002C1A32">
        <w:rPr>
          <w:rFonts w:eastAsia="Times New Roman"/>
          <w:szCs w:val="28"/>
        </w:rPr>
        <w:t xml:space="preserve"> un mandato constitucional </w:t>
      </w:r>
      <w:r w:rsidR="000529FE" w:rsidRPr="002C1A32">
        <w:rPr>
          <w:rFonts w:eastAsia="Times New Roman"/>
          <w:szCs w:val="28"/>
        </w:rPr>
        <w:t xml:space="preserve">expreso </w:t>
      </w:r>
      <w:r w:rsidR="00BB6652" w:rsidRPr="002C1A32">
        <w:rPr>
          <w:rFonts w:eastAsia="Times New Roman"/>
          <w:szCs w:val="28"/>
        </w:rPr>
        <w:t xml:space="preserve">que permita el pago de dichos aportes de modo retroactivo </w:t>
      </w:r>
      <w:r w:rsidR="007A120A" w:rsidRPr="002C1A32">
        <w:rPr>
          <w:rFonts w:eastAsia="Times New Roman"/>
          <w:szCs w:val="28"/>
        </w:rPr>
        <w:t xml:space="preserve">o subsidiado en un 100%, </w:t>
      </w:r>
      <w:r w:rsidR="00BB6652" w:rsidRPr="002C1A32">
        <w:rPr>
          <w:rFonts w:eastAsia="Times New Roman"/>
          <w:szCs w:val="28"/>
        </w:rPr>
        <w:t xml:space="preserve">por el contrario, el Acto Legislativo 1 de 2005 ordena que </w:t>
      </w:r>
      <w:r w:rsidR="00BB6652" w:rsidRPr="002C1A32">
        <w:rPr>
          <w:rFonts w:eastAsia="Times New Roman"/>
          <w:i/>
          <w:szCs w:val="28"/>
        </w:rPr>
        <w:t xml:space="preserve">“para la liquidación de las pensiones solo se tendrá en cuenta </w:t>
      </w:r>
      <w:r w:rsidR="00D0097B" w:rsidRPr="002C1A32">
        <w:rPr>
          <w:rFonts w:eastAsia="Times New Roman"/>
          <w:i/>
          <w:szCs w:val="28"/>
        </w:rPr>
        <w:t xml:space="preserve">los factores sobre los cuales </w:t>
      </w:r>
      <w:r w:rsidR="00D0097B" w:rsidRPr="002C1A32">
        <w:rPr>
          <w:rFonts w:eastAsia="Times New Roman"/>
          <w:b/>
          <w:i/>
          <w:szCs w:val="28"/>
        </w:rPr>
        <w:t>cada persona</w:t>
      </w:r>
      <w:r w:rsidR="00D0097B" w:rsidRPr="002C1A32">
        <w:rPr>
          <w:rFonts w:eastAsia="Times New Roman"/>
          <w:i/>
          <w:szCs w:val="28"/>
        </w:rPr>
        <w:t xml:space="preserve"> hubiere efectuado las cotizaciones”</w:t>
      </w:r>
      <w:r w:rsidR="007A120A" w:rsidRPr="002C1A32">
        <w:rPr>
          <w:rFonts w:eastAsia="Times New Roman"/>
          <w:i/>
          <w:szCs w:val="28"/>
        </w:rPr>
        <w:t xml:space="preserve"> </w:t>
      </w:r>
      <w:r w:rsidR="007A120A" w:rsidRPr="002C1A32">
        <w:rPr>
          <w:rFonts w:eastAsia="Times New Roman"/>
          <w:szCs w:val="28"/>
        </w:rPr>
        <w:t>(negrillas propias)</w:t>
      </w:r>
      <w:r w:rsidR="00D0097B" w:rsidRPr="002C1A32">
        <w:rPr>
          <w:rFonts w:eastAsia="Times New Roman"/>
          <w:i/>
          <w:szCs w:val="28"/>
        </w:rPr>
        <w:t>.</w:t>
      </w:r>
      <w:r w:rsidR="00BB6652" w:rsidRPr="002C1A32">
        <w:rPr>
          <w:rFonts w:eastAsia="Times New Roman"/>
          <w:szCs w:val="28"/>
        </w:rPr>
        <w:t xml:space="preserve"> </w:t>
      </w:r>
    </w:p>
    <w:p w14:paraId="64397434" w14:textId="77777777" w:rsidR="00D0097B" w:rsidRPr="002C1A32" w:rsidRDefault="00D0097B" w:rsidP="002C1A32">
      <w:pPr>
        <w:pStyle w:val="Ttulo2"/>
        <w:pBdr>
          <w:top w:val="none" w:sz="0" w:space="0" w:color="auto"/>
          <w:left w:val="none" w:sz="0" w:space="0" w:color="auto"/>
          <w:bottom w:val="none" w:sz="0" w:space="0" w:color="auto"/>
          <w:right w:val="none" w:sz="0" w:space="0" w:color="auto"/>
          <w:between w:val="none" w:sz="0" w:space="0" w:color="auto"/>
        </w:pBdr>
        <w:spacing w:before="0" w:after="0" w:line="240" w:lineRule="auto"/>
        <w:jc w:val="both"/>
        <w:rPr>
          <w:rFonts w:eastAsia="Times New Roman"/>
          <w:szCs w:val="28"/>
        </w:rPr>
      </w:pPr>
    </w:p>
    <w:p w14:paraId="31EE5B9A" w14:textId="77777777" w:rsidR="0099174F" w:rsidRPr="002C1A32" w:rsidRDefault="0099174F" w:rsidP="002C1A32">
      <w:pPr>
        <w:pStyle w:val="Ttulo2"/>
        <w:pBdr>
          <w:top w:val="none" w:sz="0" w:space="0" w:color="auto"/>
          <w:left w:val="none" w:sz="0" w:space="0" w:color="auto"/>
          <w:bottom w:val="none" w:sz="0" w:space="0" w:color="auto"/>
          <w:right w:val="none" w:sz="0" w:space="0" w:color="auto"/>
          <w:between w:val="none" w:sz="0" w:space="0" w:color="auto"/>
        </w:pBdr>
        <w:spacing w:before="0" w:after="0" w:line="240" w:lineRule="auto"/>
        <w:jc w:val="both"/>
        <w:rPr>
          <w:rFonts w:eastAsia="Times New Roman"/>
          <w:b/>
          <w:szCs w:val="28"/>
        </w:rPr>
      </w:pPr>
      <w:r w:rsidRPr="002C1A32">
        <w:rPr>
          <w:rFonts w:eastAsia="Times New Roman"/>
          <w:b/>
          <w:szCs w:val="28"/>
        </w:rPr>
        <w:t>Síntesis de la decisión</w:t>
      </w:r>
    </w:p>
    <w:p w14:paraId="7D168594" w14:textId="77777777" w:rsidR="00040438" w:rsidRPr="002C1A32" w:rsidRDefault="00040438" w:rsidP="002C1A32">
      <w:pPr>
        <w:spacing w:after="0" w:line="240" w:lineRule="auto"/>
        <w:rPr>
          <w:rFonts w:eastAsia="Times New Roman"/>
          <w:b/>
          <w:sz w:val="28"/>
          <w:szCs w:val="28"/>
        </w:rPr>
      </w:pPr>
    </w:p>
    <w:p w14:paraId="2B8A856D" w14:textId="52637BEA" w:rsidR="004B6474" w:rsidRPr="002C1A32" w:rsidRDefault="004B6474" w:rsidP="002C1A32">
      <w:pPr>
        <w:widowControl w:val="0"/>
        <w:numPr>
          <w:ilvl w:val="0"/>
          <w:numId w:val="2"/>
        </w:numPr>
        <w:tabs>
          <w:tab w:val="left" w:pos="426"/>
          <w:tab w:val="left" w:pos="567"/>
        </w:tabs>
        <w:spacing w:after="0" w:line="240" w:lineRule="auto"/>
        <w:ind w:right="56"/>
        <w:contextualSpacing/>
        <w:jc w:val="both"/>
        <w:rPr>
          <w:rFonts w:eastAsia="Times New Roman"/>
          <w:sz w:val="28"/>
          <w:szCs w:val="28"/>
        </w:rPr>
      </w:pPr>
      <w:r w:rsidRPr="002C1A32">
        <w:rPr>
          <w:rFonts w:eastAsia="Times New Roman"/>
          <w:sz w:val="28"/>
          <w:szCs w:val="28"/>
        </w:rPr>
        <w:t xml:space="preserve">Mediante Sentencia T-480 de 2016, la Sala Octava de Revisión amparó los derechos fundamentales </w:t>
      </w:r>
      <w:r w:rsidR="00E918A0" w:rsidRPr="002C1A32">
        <w:rPr>
          <w:rFonts w:eastAsia="Times New Roman"/>
          <w:sz w:val="28"/>
          <w:szCs w:val="28"/>
        </w:rPr>
        <w:t>a la igualdad, a la seguridad social, a la dignidad humana, al mínimo vital y al trabajo</w:t>
      </w:r>
      <w:r w:rsidRPr="002C1A32">
        <w:rPr>
          <w:rFonts w:eastAsia="Times New Roman"/>
          <w:sz w:val="28"/>
          <w:szCs w:val="28"/>
        </w:rPr>
        <w:t xml:space="preserve">. No obstante, dicha providencia fue objeto de una primera nulidad por medio del Auto 186 de 2017 y posteriormente, por medio del Auto 217 de 2018, se anuló por segunda vez, en lo que atañe al contenido de las órdenes de reemplazo. Razón por la cual, la </w:t>
      </w:r>
      <w:r w:rsidR="0099174F" w:rsidRPr="002C1A32">
        <w:rPr>
          <w:rFonts w:eastAsia="Times New Roman"/>
          <w:sz w:val="28"/>
          <w:szCs w:val="28"/>
        </w:rPr>
        <w:t>Sala</w:t>
      </w:r>
      <w:r w:rsidR="00E803D0" w:rsidRPr="002C1A32">
        <w:rPr>
          <w:rFonts w:eastAsia="Times New Roman"/>
          <w:sz w:val="28"/>
          <w:szCs w:val="28"/>
        </w:rPr>
        <w:t xml:space="preserve"> Plena </w:t>
      </w:r>
      <w:r w:rsidRPr="002C1A32">
        <w:rPr>
          <w:rFonts w:eastAsia="Times New Roman"/>
          <w:sz w:val="28"/>
          <w:szCs w:val="28"/>
        </w:rPr>
        <w:t xml:space="preserve">avocó conocimiento para </w:t>
      </w:r>
      <w:r w:rsidR="00E803D0" w:rsidRPr="002C1A32">
        <w:rPr>
          <w:rFonts w:eastAsia="Times New Roman"/>
          <w:sz w:val="28"/>
          <w:szCs w:val="28"/>
        </w:rPr>
        <w:t>dict</w:t>
      </w:r>
      <w:r w:rsidRPr="002C1A32">
        <w:rPr>
          <w:rFonts w:eastAsia="Times New Roman"/>
          <w:sz w:val="28"/>
          <w:szCs w:val="28"/>
        </w:rPr>
        <w:t>ar la presente</w:t>
      </w:r>
      <w:r w:rsidR="00E803D0" w:rsidRPr="002C1A32">
        <w:rPr>
          <w:rFonts w:eastAsia="Times New Roman"/>
          <w:sz w:val="28"/>
          <w:szCs w:val="28"/>
        </w:rPr>
        <w:t xml:space="preserve"> providencia de reemplazo</w:t>
      </w:r>
      <w:r w:rsidRPr="002C1A32">
        <w:rPr>
          <w:rFonts w:eastAsia="Times New Roman"/>
          <w:sz w:val="28"/>
          <w:szCs w:val="28"/>
        </w:rPr>
        <w:t xml:space="preserve">. </w:t>
      </w:r>
    </w:p>
    <w:p w14:paraId="75552082" w14:textId="77777777" w:rsidR="004B6474" w:rsidRPr="002C1A32" w:rsidRDefault="004B6474" w:rsidP="002C1A32">
      <w:pPr>
        <w:widowControl w:val="0"/>
        <w:tabs>
          <w:tab w:val="left" w:pos="426"/>
          <w:tab w:val="left" w:pos="567"/>
        </w:tabs>
        <w:spacing w:after="0" w:line="240" w:lineRule="auto"/>
        <w:ind w:right="56"/>
        <w:contextualSpacing/>
        <w:jc w:val="both"/>
        <w:rPr>
          <w:rFonts w:eastAsia="Times New Roman"/>
          <w:sz w:val="28"/>
          <w:szCs w:val="28"/>
        </w:rPr>
      </w:pPr>
    </w:p>
    <w:p w14:paraId="14231488" w14:textId="7E295F84" w:rsidR="00A54A9A" w:rsidRPr="002C1A32" w:rsidRDefault="00E803D0" w:rsidP="002C1A32">
      <w:pPr>
        <w:pStyle w:val="Prrafodelista"/>
        <w:numPr>
          <w:ilvl w:val="0"/>
          <w:numId w:val="2"/>
        </w:numPr>
        <w:spacing w:after="0" w:line="240" w:lineRule="auto"/>
        <w:jc w:val="both"/>
        <w:rPr>
          <w:rFonts w:eastAsia="Times New Roman"/>
          <w:sz w:val="28"/>
          <w:szCs w:val="28"/>
        </w:rPr>
      </w:pPr>
      <w:r w:rsidRPr="002C1A32">
        <w:rPr>
          <w:rFonts w:eastAsia="Times New Roman"/>
          <w:sz w:val="28"/>
          <w:szCs w:val="28"/>
        </w:rPr>
        <w:t>Luego de considerar que la acción de tutela satisf</w:t>
      </w:r>
      <w:r w:rsidR="00547568" w:rsidRPr="002C1A32">
        <w:rPr>
          <w:rFonts w:eastAsia="Times New Roman"/>
          <w:sz w:val="28"/>
          <w:szCs w:val="28"/>
        </w:rPr>
        <w:t>izo</w:t>
      </w:r>
      <w:r w:rsidRPr="002C1A32">
        <w:rPr>
          <w:rFonts w:eastAsia="Times New Roman"/>
          <w:sz w:val="28"/>
          <w:szCs w:val="28"/>
        </w:rPr>
        <w:t xml:space="preserve"> las exigencias de procedibilidad, </w:t>
      </w:r>
      <w:r w:rsidR="00A54A9A" w:rsidRPr="002C1A32">
        <w:rPr>
          <w:rFonts w:eastAsia="Times New Roman"/>
          <w:sz w:val="28"/>
          <w:szCs w:val="28"/>
        </w:rPr>
        <w:t xml:space="preserve">al resolver el primer problema jurídico, la Corte reiteró la </w:t>
      </w:r>
      <w:r w:rsidR="00547568" w:rsidRPr="002C1A32">
        <w:rPr>
          <w:rFonts w:eastAsia="Times New Roman"/>
          <w:i/>
          <w:sz w:val="28"/>
          <w:szCs w:val="28"/>
        </w:rPr>
        <w:t xml:space="preserve">ratio decidendi </w:t>
      </w:r>
      <w:r w:rsidR="00547568" w:rsidRPr="002C1A32">
        <w:rPr>
          <w:rFonts w:eastAsia="Times New Roman"/>
          <w:sz w:val="28"/>
          <w:szCs w:val="28"/>
        </w:rPr>
        <w:t xml:space="preserve">de la </w:t>
      </w:r>
      <w:r w:rsidR="00A54A9A" w:rsidRPr="002C1A32">
        <w:rPr>
          <w:rFonts w:eastAsia="Times New Roman"/>
          <w:sz w:val="28"/>
          <w:szCs w:val="28"/>
        </w:rPr>
        <w:t>Sentencia SU-079 de 2018, al considerar que no es posible derivar la existencia de un</w:t>
      </w:r>
      <w:r w:rsidR="00E918A0" w:rsidRPr="002C1A32">
        <w:rPr>
          <w:rFonts w:eastAsia="Times New Roman"/>
          <w:sz w:val="28"/>
          <w:szCs w:val="28"/>
        </w:rPr>
        <w:t xml:space="preserve"> contrato realidad </w:t>
      </w:r>
      <w:r w:rsidR="00A54A9A" w:rsidRPr="002C1A32">
        <w:rPr>
          <w:rFonts w:eastAsia="Times New Roman"/>
          <w:sz w:val="28"/>
          <w:szCs w:val="28"/>
        </w:rPr>
        <w:t xml:space="preserve">entre las accionantes y el ICBF, </w:t>
      </w:r>
      <w:r w:rsidR="00547568" w:rsidRPr="002C1A32">
        <w:rPr>
          <w:rFonts w:eastAsia="Times New Roman"/>
          <w:sz w:val="28"/>
          <w:szCs w:val="28"/>
        </w:rPr>
        <w:t>desde el momento en que se vincularon al programa</w:t>
      </w:r>
      <w:r w:rsidR="00E918A0" w:rsidRPr="002C1A32">
        <w:rPr>
          <w:rFonts w:eastAsia="Times New Roman"/>
          <w:sz w:val="28"/>
          <w:szCs w:val="28"/>
        </w:rPr>
        <w:t xml:space="preserve"> de HCB</w:t>
      </w:r>
      <w:r w:rsidR="00547568" w:rsidRPr="002C1A32">
        <w:rPr>
          <w:rFonts w:eastAsia="Times New Roman"/>
          <w:sz w:val="28"/>
          <w:szCs w:val="28"/>
        </w:rPr>
        <w:t xml:space="preserve"> y el 1</w:t>
      </w:r>
      <w:r w:rsidR="00987365" w:rsidRPr="002C1A32">
        <w:rPr>
          <w:rFonts w:eastAsia="Times New Roman"/>
          <w:sz w:val="28"/>
          <w:szCs w:val="28"/>
        </w:rPr>
        <w:t>2</w:t>
      </w:r>
      <w:r w:rsidR="00547568" w:rsidRPr="002C1A32">
        <w:rPr>
          <w:rFonts w:eastAsia="Times New Roman"/>
          <w:sz w:val="28"/>
          <w:szCs w:val="28"/>
        </w:rPr>
        <w:t xml:space="preserve"> de febrero de 2014, </w:t>
      </w:r>
      <w:r w:rsidR="00A54A9A" w:rsidRPr="002C1A32">
        <w:rPr>
          <w:rFonts w:eastAsia="Times New Roman"/>
          <w:sz w:val="28"/>
          <w:szCs w:val="28"/>
        </w:rPr>
        <w:t xml:space="preserve">toda vez que, si bien se puede afirmar que las labores fueron desarrolladas por cada una de ellas, no existió una </w:t>
      </w:r>
      <w:r w:rsidR="00A54A9A" w:rsidRPr="002C1A32">
        <w:rPr>
          <w:rFonts w:eastAsia="Times New Roman"/>
          <w:i/>
          <w:sz w:val="28"/>
          <w:szCs w:val="28"/>
        </w:rPr>
        <w:t>relación de continua subordinación y dependencia</w:t>
      </w:r>
      <w:r w:rsidR="00A54A9A" w:rsidRPr="002C1A32">
        <w:rPr>
          <w:rFonts w:eastAsia="Times New Roman"/>
          <w:sz w:val="28"/>
          <w:szCs w:val="28"/>
        </w:rPr>
        <w:t xml:space="preserve">, al tratarse de una contribución voluntaria y solidaria con los menores de su comunidad y la beca no constituye una </w:t>
      </w:r>
      <w:r w:rsidR="00A54A9A" w:rsidRPr="002C1A32">
        <w:rPr>
          <w:rFonts w:eastAsia="Times New Roman"/>
          <w:i/>
          <w:sz w:val="28"/>
          <w:szCs w:val="28"/>
        </w:rPr>
        <w:t>remuneración</w:t>
      </w:r>
      <w:r w:rsidR="00A54A9A" w:rsidRPr="002C1A32">
        <w:rPr>
          <w:rFonts w:eastAsia="Times New Roman"/>
          <w:sz w:val="28"/>
          <w:szCs w:val="28"/>
        </w:rPr>
        <w:t>, al estar destinada a la alimentación de los niños y niñas a su cuidado, compra de útiles y elementos de aseo, entre otros</w:t>
      </w:r>
      <w:r w:rsidR="00547568" w:rsidRPr="002C1A32">
        <w:rPr>
          <w:rFonts w:eastAsia="Times New Roman"/>
          <w:sz w:val="28"/>
          <w:szCs w:val="28"/>
        </w:rPr>
        <w:t xml:space="preserve"> fines</w:t>
      </w:r>
      <w:r w:rsidR="00451A6B" w:rsidRPr="002C1A32">
        <w:rPr>
          <w:rFonts w:eastAsia="Times New Roman"/>
          <w:sz w:val="28"/>
          <w:szCs w:val="28"/>
        </w:rPr>
        <w:t xml:space="preserve"> -</w:t>
      </w:r>
      <w:r w:rsidR="00451A6B" w:rsidRPr="002C1A32">
        <w:rPr>
          <w:rFonts w:eastAsia="Times New Roman"/>
          <w:i/>
          <w:sz w:val="28"/>
          <w:szCs w:val="28"/>
        </w:rPr>
        <w:t xml:space="preserve">Supra </w:t>
      </w:r>
      <w:r w:rsidR="00451A6B" w:rsidRPr="002C1A32">
        <w:rPr>
          <w:rFonts w:eastAsia="Times New Roman"/>
          <w:sz w:val="28"/>
          <w:szCs w:val="28"/>
        </w:rPr>
        <w:t>numeral 45-</w:t>
      </w:r>
      <w:r w:rsidR="00A54A9A" w:rsidRPr="002C1A32">
        <w:rPr>
          <w:rFonts w:eastAsia="Times New Roman"/>
          <w:sz w:val="28"/>
          <w:szCs w:val="28"/>
        </w:rPr>
        <w:t xml:space="preserve">. </w:t>
      </w:r>
    </w:p>
    <w:p w14:paraId="7C693269" w14:textId="3E4FBD6F" w:rsidR="00E803D0" w:rsidRPr="002C1A32" w:rsidRDefault="00E803D0" w:rsidP="002C1A32">
      <w:pPr>
        <w:pStyle w:val="Prrafodelista"/>
        <w:widowControl w:val="0"/>
        <w:tabs>
          <w:tab w:val="left" w:pos="567"/>
        </w:tabs>
        <w:spacing w:after="0" w:line="240" w:lineRule="auto"/>
        <w:ind w:left="0"/>
        <w:jc w:val="both"/>
        <w:rPr>
          <w:rFonts w:eastAsia="Times New Roman"/>
          <w:sz w:val="28"/>
          <w:szCs w:val="28"/>
        </w:rPr>
      </w:pPr>
    </w:p>
    <w:p w14:paraId="026F7789" w14:textId="19556368" w:rsidR="000529FE" w:rsidRPr="002C1A32" w:rsidRDefault="00547568" w:rsidP="002C1A32">
      <w:pPr>
        <w:pStyle w:val="Prrafodelista"/>
        <w:numPr>
          <w:ilvl w:val="0"/>
          <w:numId w:val="2"/>
        </w:numPr>
        <w:spacing w:after="0" w:line="240" w:lineRule="auto"/>
        <w:jc w:val="both"/>
        <w:rPr>
          <w:rFonts w:eastAsia="Times New Roman"/>
          <w:sz w:val="28"/>
          <w:szCs w:val="28"/>
        </w:rPr>
      </w:pPr>
      <w:r w:rsidRPr="002C1A32">
        <w:rPr>
          <w:rFonts w:eastAsia="Times New Roman"/>
          <w:sz w:val="28"/>
          <w:szCs w:val="28"/>
        </w:rPr>
        <w:t>Frente al s</w:t>
      </w:r>
      <w:r w:rsidR="00E803D0" w:rsidRPr="002C1A32">
        <w:rPr>
          <w:rFonts w:eastAsia="Times New Roman"/>
          <w:sz w:val="28"/>
          <w:szCs w:val="28"/>
        </w:rPr>
        <w:t xml:space="preserve">egundo </w:t>
      </w:r>
      <w:r w:rsidRPr="002C1A32">
        <w:rPr>
          <w:rFonts w:eastAsia="Times New Roman"/>
          <w:sz w:val="28"/>
          <w:szCs w:val="28"/>
        </w:rPr>
        <w:t>problema jurídico</w:t>
      </w:r>
      <w:r w:rsidR="00E803D0" w:rsidRPr="002C1A32">
        <w:rPr>
          <w:rFonts w:eastAsia="Times New Roman"/>
          <w:sz w:val="28"/>
          <w:szCs w:val="28"/>
        </w:rPr>
        <w:t xml:space="preserve">, la Sala Plena consideró que </w:t>
      </w:r>
      <w:r w:rsidR="000529FE" w:rsidRPr="002C1A32">
        <w:rPr>
          <w:rFonts w:eastAsia="Times New Roman"/>
          <w:sz w:val="28"/>
          <w:szCs w:val="28"/>
        </w:rPr>
        <w:t xml:space="preserve">no solo </w:t>
      </w:r>
      <w:r w:rsidRPr="002C1A32">
        <w:rPr>
          <w:rFonts w:eastAsia="Times New Roman"/>
          <w:sz w:val="28"/>
          <w:szCs w:val="28"/>
        </w:rPr>
        <w:t xml:space="preserve">es irrazonable </w:t>
      </w:r>
      <w:r w:rsidR="000529FE" w:rsidRPr="002C1A32">
        <w:rPr>
          <w:rFonts w:eastAsia="Times New Roman"/>
          <w:sz w:val="28"/>
          <w:szCs w:val="28"/>
        </w:rPr>
        <w:t xml:space="preserve">incrementar el </w:t>
      </w:r>
      <w:r w:rsidRPr="002C1A32">
        <w:rPr>
          <w:rFonts w:eastAsia="Times New Roman"/>
          <w:sz w:val="28"/>
          <w:szCs w:val="28"/>
        </w:rPr>
        <w:t xml:space="preserve">porcentaje del subsidio al aporte a pensión </w:t>
      </w:r>
      <w:r w:rsidR="000529FE" w:rsidRPr="002C1A32">
        <w:rPr>
          <w:rFonts w:eastAsia="Times New Roman"/>
          <w:sz w:val="28"/>
          <w:szCs w:val="28"/>
        </w:rPr>
        <w:t xml:space="preserve">previsto para las accionantes </w:t>
      </w:r>
      <w:r w:rsidRPr="002C1A32">
        <w:rPr>
          <w:rFonts w:eastAsia="Times New Roman"/>
          <w:sz w:val="28"/>
          <w:szCs w:val="28"/>
        </w:rPr>
        <w:t>del 80% al</w:t>
      </w:r>
      <w:r w:rsidR="000529FE" w:rsidRPr="002C1A32">
        <w:rPr>
          <w:rFonts w:eastAsia="Times New Roman"/>
          <w:sz w:val="28"/>
          <w:szCs w:val="28"/>
        </w:rPr>
        <w:t xml:space="preserve"> </w:t>
      </w:r>
      <w:r w:rsidRPr="002C1A32">
        <w:rPr>
          <w:rFonts w:eastAsia="Times New Roman"/>
          <w:sz w:val="28"/>
          <w:szCs w:val="28"/>
        </w:rPr>
        <w:t>100%,</w:t>
      </w:r>
      <w:r w:rsidR="000529FE" w:rsidRPr="002C1A32">
        <w:rPr>
          <w:rFonts w:eastAsia="Times New Roman"/>
          <w:sz w:val="28"/>
          <w:szCs w:val="28"/>
        </w:rPr>
        <w:t xml:space="preserve"> y además de modo retroactivo, sino </w:t>
      </w:r>
      <w:r w:rsidR="00F80482" w:rsidRPr="002C1A32">
        <w:rPr>
          <w:rFonts w:eastAsia="Times New Roman"/>
          <w:sz w:val="28"/>
          <w:szCs w:val="28"/>
        </w:rPr>
        <w:t xml:space="preserve">que ello </w:t>
      </w:r>
      <w:r w:rsidR="000529FE" w:rsidRPr="002C1A32">
        <w:rPr>
          <w:rFonts w:eastAsia="Times New Roman"/>
          <w:sz w:val="28"/>
          <w:szCs w:val="28"/>
        </w:rPr>
        <w:t>resulta</w:t>
      </w:r>
      <w:r w:rsidR="00F80482" w:rsidRPr="002C1A32">
        <w:rPr>
          <w:rFonts w:eastAsia="Times New Roman"/>
          <w:sz w:val="28"/>
          <w:szCs w:val="28"/>
        </w:rPr>
        <w:t>ría</w:t>
      </w:r>
      <w:r w:rsidR="000529FE" w:rsidRPr="002C1A32">
        <w:rPr>
          <w:rFonts w:eastAsia="Times New Roman"/>
          <w:sz w:val="28"/>
          <w:szCs w:val="28"/>
        </w:rPr>
        <w:t xml:space="preserve"> discriminatorio frente a los demás grupos caracterizados en el PSAP, quienes asumen con su esfuerzo propio el porcentaje de cotización que les corresponde. Además, se constató que no existe un mandato constitucional expreso que permita el pago de dichos aportes de modo retroactivo o subsidiado en un 100%, por el contrario, el Acto Legislativo 1 de 2005 ordena que </w:t>
      </w:r>
      <w:r w:rsidR="000529FE" w:rsidRPr="002C1A32">
        <w:rPr>
          <w:rFonts w:eastAsia="Times New Roman"/>
          <w:i/>
          <w:sz w:val="28"/>
          <w:szCs w:val="28"/>
        </w:rPr>
        <w:t xml:space="preserve">“para la liquidación de las pensiones solo se tendrá en cuenta los factores sobre los cuales </w:t>
      </w:r>
      <w:r w:rsidR="000529FE" w:rsidRPr="002C1A32">
        <w:rPr>
          <w:rFonts w:eastAsia="Times New Roman"/>
          <w:b/>
          <w:i/>
          <w:sz w:val="28"/>
          <w:szCs w:val="28"/>
        </w:rPr>
        <w:t>cada persona</w:t>
      </w:r>
      <w:r w:rsidR="000529FE" w:rsidRPr="002C1A32">
        <w:rPr>
          <w:rFonts w:eastAsia="Times New Roman"/>
          <w:i/>
          <w:sz w:val="28"/>
          <w:szCs w:val="28"/>
        </w:rPr>
        <w:t xml:space="preserve"> hubiere efectuado las cotizaciones”</w:t>
      </w:r>
      <w:r w:rsidR="000529FE" w:rsidRPr="002C1A32">
        <w:rPr>
          <w:rFonts w:eastAsia="Times New Roman"/>
          <w:sz w:val="28"/>
          <w:szCs w:val="28"/>
        </w:rPr>
        <w:t xml:space="preserve"> (negrillas propias)</w:t>
      </w:r>
      <w:r w:rsidR="00D25B5B" w:rsidRPr="002C1A32">
        <w:rPr>
          <w:rFonts w:eastAsia="Times New Roman"/>
          <w:sz w:val="28"/>
          <w:szCs w:val="28"/>
        </w:rPr>
        <w:t xml:space="preserve"> -</w:t>
      </w:r>
      <w:r w:rsidR="00D25B5B" w:rsidRPr="002C1A32">
        <w:rPr>
          <w:rFonts w:eastAsia="Times New Roman"/>
          <w:i/>
          <w:sz w:val="28"/>
          <w:szCs w:val="28"/>
        </w:rPr>
        <w:t xml:space="preserve">Supra </w:t>
      </w:r>
      <w:r w:rsidR="00D25B5B" w:rsidRPr="002C1A32">
        <w:rPr>
          <w:rFonts w:eastAsia="Times New Roman"/>
          <w:sz w:val="28"/>
          <w:szCs w:val="28"/>
        </w:rPr>
        <w:t>numeral 48-</w:t>
      </w:r>
      <w:r w:rsidR="000529FE" w:rsidRPr="002C1A32">
        <w:rPr>
          <w:rFonts w:eastAsia="Times New Roman"/>
          <w:sz w:val="28"/>
          <w:szCs w:val="28"/>
        </w:rPr>
        <w:t>.</w:t>
      </w:r>
    </w:p>
    <w:p w14:paraId="51DE4F8A" w14:textId="77777777" w:rsidR="00547568" w:rsidRPr="002C1A32" w:rsidRDefault="00547568" w:rsidP="002C1A32">
      <w:pPr>
        <w:pStyle w:val="Prrafodelista"/>
        <w:spacing w:after="0" w:line="240" w:lineRule="auto"/>
        <w:ind w:left="0"/>
        <w:rPr>
          <w:rFonts w:eastAsia="Times New Roman"/>
          <w:sz w:val="28"/>
          <w:szCs w:val="28"/>
        </w:rPr>
      </w:pPr>
    </w:p>
    <w:p w14:paraId="191E4BEC" w14:textId="39B2A791" w:rsidR="00547568" w:rsidRPr="002C1A32" w:rsidRDefault="00E918A0" w:rsidP="002C1A32">
      <w:pPr>
        <w:pStyle w:val="Prrafodelista"/>
        <w:numPr>
          <w:ilvl w:val="0"/>
          <w:numId w:val="2"/>
        </w:numPr>
        <w:spacing w:after="0" w:line="240" w:lineRule="auto"/>
        <w:jc w:val="both"/>
        <w:rPr>
          <w:rFonts w:eastAsia="Times New Roman"/>
          <w:sz w:val="28"/>
          <w:szCs w:val="28"/>
        </w:rPr>
      </w:pPr>
      <w:r w:rsidRPr="002C1A32">
        <w:rPr>
          <w:rFonts w:eastAsia="Times New Roman"/>
          <w:sz w:val="28"/>
          <w:szCs w:val="28"/>
        </w:rPr>
        <w:t xml:space="preserve"> L</w:t>
      </w:r>
      <w:r w:rsidR="00547568" w:rsidRPr="002C1A32">
        <w:rPr>
          <w:rFonts w:eastAsia="Times New Roman"/>
          <w:sz w:val="28"/>
          <w:szCs w:val="28"/>
        </w:rPr>
        <w:t>a Sala Plena revocará la</w:t>
      </w:r>
      <w:r w:rsidR="00BC12DA" w:rsidRPr="002C1A32">
        <w:rPr>
          <w:rFonts w:eastAsia="Times New Roman"/>
          <w:sz w:val="28"/>
          <w:szCs w:val="28"/>
        </w:rPr>
        <w:t>s decisiones</w:t>
      </w:r>
      <w:r w:rsidR="00547568" w:rsidRPr="002C1A32">
        <w:rPr>
          <w:rFonts w:eastAsia="Times New Roman"/>
          <w:sz w:val="28"/>
          <w:szCs w:val="28"/>
        </w:rPr>
        <w:t xml:space="preserve"> de tutela </w:t>
      </w:r>
      <w:r w:rsidR="009B111A" w:rsidRPr="002C1A32">
        <w:rPr>
          <w:rFonts w:eastAsia="Times New Roman"/>
          <w:sz w:val="28"/>
          <w:szCs w:val="28"/>
        </w:rPr>
        <w:t>adoptadas en los expedientes acumulados T-5.457.363</w:t>
      </w:r>
      <w:r w:rsidR="00547568" w:rsidRPr="002C1A32">
        <w:rPr>
          <w:rFonts w:eastAsia="Times New Roman"/>
          <w:sz w:val="28"/>
          <w:szCs w:val="28"/>
        </w:rPr>
        <w:t>,</w:t>
      </w:r>
      <w:r w:rsidR="009B111A" w:rsidRPr="002C1A32">
        <w:rPr>
          <w:rFonts w:eastAsia="Times New Roman"/>
          <w:sz w:val="28"/>
          <w:szCs w:val="28"/>
        </w:rPr>
        <w:t xml:space="preserve"> T-5.513.941 y T-5.516.632, </w:t>
      </w:r>
      <w:r w:rsidR="00BC12DA" w:rsidRPr="002C1A32">
        <w:rPr>
          <w:rFonts w:eastAsia="Times New Roman"/>
          <w:sz w:val="28"/>
          <w:szCs w:val="28"/>
        </w:rPr>
        <w:t>que declararon improcedente</w:t>
      </w:r>
      <w:r w:rsidR="009B111A" w:rsidRPr="002C1A32">
        <w:rPr>
          <w:rFonts w:eastAsia="Times New Roman"/>
          <w:sz w:val="28"/>
          <w:szCs w:val="28"/>
        </w:rPr>
        <w:t>s</w:t>
      </w:r>
      <w:r w:rsidR="00BC12DA" w:rsidRPr="002C1A32">
        <w:rPr>
          <w:rFonts w:eastAsia="Times New Roman"/>
          <w:sz w:val="28"/>
          <w:szCs w:val="28"/>
        </w:rPr>
        <w:t xml:space="preserve"> la</w:t>
      </w:r>
      <w:r w:rsidR="009B111A" w:rsidRPr="002C1A32">
        <w:rPr>
          <w:rFonts w:eastAsia="Times New Roman"/>
          <w:sz w:val="28"/>
          <w:szCs w:val="28"/>
        </w:rPr>
        <w:t>s</w:t>
      </w:r>
      <w:r w:rsidR="00BC12DA" w:rsidRPr="002C1A32">
        <w:rPr>
          <w:rFonts w:eastAsia="Times New Roman"/>
          <w:sz w:val="28"/>
          <w:szCs w:val="28"/>
        </w:rPr>
        <w:t xml:space="preserve"> acci</w:t>
      </w:r>
      <w:r w:rsidR="009B111A" w:rsidRPr="002C1A32">
        <w:rPr>
          <w:rFonts w:eastAsia="Times New Roman"/>
          <w:sz w:val="28"/>
          <w:szCs w:val="28"/>
        </w:rPr>
        <w:t>o</w:t>
      </w:r>
      <w:r w:rsidR="00BC12DA" w:rsidRPr="002C1A32">
        <w:rPr>
          <w:rFonts w:eastAsia="Times New Roman"/>
          <w:sz w:val="28"/>
          <w:szCs w:val="28"/>
        </w:rPr>
        <w:t>n</w:t>
      </w:r>
      <w:r w:rsidR="009B111A" w:rsidRPr="002C1A32">
        <w:rPr>
          <w:rFonts w:eastAsia="Times New Roman"/>
          <w:sz w:val="28"/>
          <w:szCs w:val="28"/>
        </w:rPr>
        <w:t>es de tutela</w:t>
      </w:r>
      <w:r w:rsidR="00BC12DA" w:rsidRPr="002C1A32">
        <w:rPr>
          <w:rFonts w:eastAsia="Times New Roman"/>
          <w:sz w:val="28"/>
          <w:szCs w:val="28"/>
        </w:rPr>
        <w:t xml:space="preserve">, </w:t>
      </w:r>
      <w:r w:rsidR="009B111A" w:rsidRPr="002C1A32">
        <w:rPr>
          <w:rFonts w:eastAsia="Times New Roman"/>
          <w:sz w:val="28"/>
          <w:szCs w:val="28"/>
        </w:rPr>
        <w:t xml:space="preserve">y </w:t>
      </w:r>
      <w:r w:rsidR="00547568" w:rsidRPr="002C1A32">
        <w:rPr>
          <w:rFonts w:eastAsia="Times New Roman"/>
          <w:sz w:val="28"/>
          <w:szCs w:val="28"/>
        </w:rPr>
        <w:t xml:space="preserve">en su lugar, </w:t>
      </w:r>
      <w:r w:rsidR="00BC12DA" w:rsidRPr="002C1A32">
        <w:rPr>
          <w:rFonts w:eastAsia="Times New Roman"/>
          <w:sz w:val="28"/>
          <w:szCs w:val="28"/>
        </w:rPr>
        <w:t>negar</w:t>
      </w:r>
      <w:r w:rsidRPr="002C1A32">
        <w:rPr>
          <w:rFonts w:eastAsia="Times New Roman"/>
          <w:sz w:val="28"/>
          <w:szCs w:val="28"/>
        </w:rPr>
        <w:t>á</w:t>
      </w:r>
      <w:r w:rsidR="00BC12DA" w:rsidRPr="002C1A32">
        <w:rPr>
          <w:rFonts w:eastAsia="Times New Roman"/>
          <w:sz w:val="28"/>
          <w:szCs w:val="28"/>
        </w:rPr>
        <w:t xml:space="preserve"> el amparo de los derechos fundamentales solicitados. </w:t>
      </w:r>
    </w:p>
    <w:p w14:paraId="15D333E7" w14:textId="77777777" w:rsidR="00E918A0" w:rsidRPr="002C1A32" w:rsidRDefault="00E918A0" w:rsidP="002C1A32">
      <w:pPr>
        <w:pStyle w:val="Prrafodelista"/>
        <w:spacing w:after="0" w:line="240" w:lineRule="auto"/>
        <w:ind w:left="0"/>
        <w:rPr>
          <w:rFonts w:eastAsia="Times New Roman"/>
          <w:sz w:val="28"/>
          <w:szCs w:val="28"/>
        </w:rPr>
      </w:pPr>
    </w:p>
    <w:p w14:paraId="1209B4F8" w14:textId="1CEF0C16" w:rsidR="0099174F" w:rsidRPr="002C1A32" w:rsidRDefault="001609B0" w:rsidP="002C1A32">
      <w:pPr>
        <w:pStyle w:val="Ttulo1"/>
        <w:numPr>
          <w:ilvl w:val="0"/>
          <w:numId w:val="9"/>
        </w:numPr>
        <w:pBdr>
          <w:top w:val="none" w:sz="0" w:space="0" w:color="auto"/>
          <w:left w:val="none" w:sz="0" w:space="0" w:color="auto"/>
          <w:bottom w:val="none" w:sz="0" w:space="0" w:color="auto"/>
          <w:right w:val="none" w:sz="0" w:space="0" w:color="auto"/>
          <w:between w:val="none" w:sz="0" w:space="0" w:color="auto"/>
        </w:pBdr>
        <w:spacing w:before="0" w:after="0" w:line="240" w:lineRule="auto"/>
        <w:ind w:left="0" w:hanging="567"/>
        <w:jc w:val="both"/>
        <w:rPr>
          <w:rFonts w:eastAsia="Times New Roman"/>
          <w:b w:val="0"/>
          <w:sz w:val="28"/>
          <w:szCs w:val="28"/>
          <w:lang w:eastAsia="en-US"/>
        </w:rPr>
      </w:pPr>
      <w:r w:rsidRPr="002C1A32">
        <w:rPr>
          <w:rFonts w:eastAsia="Times New Roman"/>
          <w:b w:val="0"/>
          <w:sz w:val="28"/>
          <w:szCs w:val="28"/>
          <w:lang w:eastAsia="en-US"/>
        </w:rPr>
        <w:t xml:space="preserve"> </w:t>
      </w:r>
      <w:r w:rsidR="0099174F" w:rsidRPr="002C1A32">
        <w:rPr>
          <w:rFonts w:eastAsia="Times New Roman"/>
          <w:sz w:val="28"/>
          <w:szCs w:val="28"/>
          <w:lang w:eastAsia="en-US"/>
        </w:rPr>
        <w:t>DECISIÓN</w:t>
      </w:r>
    </w:p>
    <w:p w14:paraId="197059D9" w14:textId="77777777" w:rsidR="0099174F" w:rsidRPr="002C1A32" w:rsidRDefault="0099174F" w:rsidP="002C1A32">
      <w:pPr>
        <w:pStyle w:val="Prrafodelista"/>
        <w:spacing w:after="0" w:line="240" w:lineRule="auto"/>
        <w:ind w:left="0"/>
        <w:rPr>
          <w:rFonts w:eastAsia="Times New Roman"/>
          <w:sz w:val="28"/>
          <w:szCs w:val="28"/>
        </w:rPr>
      </w:pPr>
      <w:r w:rsidRPr="002C1A32">
        <w:rPr>
          <w:rFonts w:eastAsia="Times New Roman"/>
          <w:sz w:val="28"/>
          <w:szCs w:val="28"/>
        </w:rPr>
        <w:t> </w:t>
      </w:r>
    </w:p>
    <w:p w14:paraId="0633A5D0" w14:textId="77777777" w:rsidR="0099174F" w:rsidRPr="002C1A32" w:rsidRDefault="0099174F" w:rsidP="002C1A32">
      <w:pPr>
        <w:shd w:val="clear" w:color="auto" w:fill="FFFFFF"/>
        <w:spacing w:after="0" w:line="240" w:lineRule="auto"/>
        <w:ind w:right="49"/>
        <w:contextualSpacing/>
        <w:jc w:val="both"/>
        <w:rPr>
          <w:rFonts w:eastAsia="Times New Roman"/>
          <w:sz w:val="28"/>
          <w:szCs w:val="28"/>
        </w:rPr>
      </w:pPr>
      <w:r w:rsidRPr="002C1A32">
        <w:rPr>
          <w:rFonts w:eastAsia="Times New Roman"/>
          <w:sz w:val="28"/>
          <w:szCs w:val="28"/>
        </w:rPr>
        <w:t>En mérito de lo expuesto, la Sala Plena de la Corte Constitucional, administrando justicia en nombre del pueblo y por mandato de la Constitución,</w:t>
      </w:r>
    </w:p>
    <w:p w14:paraId="066CD716" w14:textId="77777777" w:rsidR="0099174F" w:rsidRPr="002C1A32" w:rsidRDefault="0099174F" w:rsidP="002C1A32">
      <w:pPr>
        <w:shd w:val="clear" w:color="auto" w:fill="FFFFFF"/>
        <w:spacing w:after="0" w:line="240" w:lineRule="auto"/>
        <w:ind w:right="49"/>
        <w:contextualSpacing/>
        <w:jc w:val="center"/>
        <w:rPr>
          <w:rFonts w:eastAsia="Times New Roman"/>
          <w:sz w:val="28"/>
          <w:szCs w:val="28"/>
        </w:rPr>
      </w:pPr>
    </w:p>
    <w:p w14:paraId="18841527" w14:textId="6C6FD389" w:rsidR="0099174F" w:rsidRPr="002C1A32" w:rsidRDefault="0099174F" w:rsidP="002C1A32">
      <w:pPr>
        <w:pStyle w:val="Ttulo1"/>
        <w:pBdr>
          <w:top w:val="none" w:sz="0" w:space="0" w:color="auto"/>
          <w:left w:val="none" w:sz="0" w:space="0" w:color="auto"/>
          <w:bottom w:val="none" w:sz="0" w:space="0" w:color="auto"/>
          <w:right w:val="none" w:sz="0" w:space="0" w:color="auto"/>
          <w:between w:val="none" w:sz="0" w:space="0" w:color="auto"/>
        </w:pBdr>
        <w:spacing w:before="0" w:after="0" w:line="240" w:lineRule="auto"/>
        <w:jc w:val="center"/>
        <w:rPr>
          <w:rFonts w:eastAsia="Times New Roman"/>
          <w:sz w:val="28"/>
          <w:szCs w:val="28"/>
        </w:rPr>
      </w:pPr>
      <w:bookmarkStart w:id="1" w:name="_30j0zll" w:colFirst="0" w:colLast="0"/>
      <w:bookmarkEnd w:id="1"/>
      <w:r w:rsidRPr="002C1A32">
        <w:rPr>
          <w:rFonts w:eastAsiaTheme="minorHAnsi"/>
          <w:sz w:val="28"/>
          <w:szCs w:val="28"/>
          <w:lang w:val="es-ES" w:eastAsia="en-US"/>
        </w:rPr>
        <w:t>RESUELVE</w:t>
      </w:r>
    </w:p>
    <w:p w14:paraId="1E2C2873" w14:textId="43A919F0" w:rsidR="0099174F" w:rsidRDefault="0099174F" w:rsidP="002C1A32">
      <w:pPr>
        <w:shd w:val="clear" w:color="auto" w:fill="FFFFFF"/>
        <w:spacing w:after="0" w:line="240" w:lineRule="auto"/>
        <w:ind w:right="49"/>
        <w:contextualSpacing/>
        <w:jc w:val="center"/>
        <w:rPr>
          <w:rFonts w:eastAsia="Times New Roman"/>
          <w:sz w:val="28"/>
          <w:szCs w:val="28"/>
        </w:rPr>
      </w:pPr>
    </w:p>
    <w:p w14:paraId="71417DD0" w14:textId="77777777" w:rsidR="002C1A32" w:rsidRPr="002C1A32" w:rsidRDefault="002C1A32" w:rsidP="002C1A32">
      <w:pPr>
        <w:shd w:val="clear" w:color="auto" w:fill="FFFFFF"/>
        <w:spacing w:after="0" w:line="240" w:lineRule="auto"/>
        <w:ind w:right="49"/>
        <w:contextualSpacing/>
        <w:jc w:val="center"/>
        <w:rPr>
          <w:rFonts w:eastAsia="Times New Roman"/>
          <w:sz w:val="28"/>
          <w:szCs w:val="28"/>
        </w:rPr>
      </w:pPr>
    </w:p>
    <w:p w14:paraId="2239B457" w14:textId="77777777" w:rsidR="003F24C2" w:rsidRPr="002C1A32" w:rsidRDefault="003F24C2" w:rsidP="002C1A32">
      <w:pPr>
        <w:spacing w:after="0" w:line="240" w:lineRule="auto"/>
        <w:ind w:right="51"/>
        <w:contextualSpacing/>
        <w:jc w:val="both"/>
        <w:rPr>
          <w:rFonts w:eastAsia="Times New Roman"/>
          <w:sz w:val="28"/>
          <w:szCs w:val="28"/>
        </w:rPr>
      </w:pPr>
      <w:r w:rsidRPr="002C1A32">
        <w:rPr>
          <w:rFonts w:eastAsia="Times New Roman"/>
          <w:b/>
          <w:sz w:val="28"/>
          <w:szCs w:val="28"/>
        </w:rPr>
        <w:t xml:space="preserve">Primero.- </w:t>
      </w:r>
      <w:r w:rsidRPr="002C1A32">
        <w:rPr>
          <w:rFonts w:eastAsia="Times New Roman"/>
          <w:sz w:val="28"/>
          <w:szCs w:val="28"/>
        </w:rPr>
        <w:t xml:space="preserve">Levantar la suspensión de términos decretada en el presente proceso. </w:t>
      </w:r>
    </w:p>
    <w:p w14:paraId="1AC840B4" w14:textId="77777777" w:rsidR="003F24C2" w:rsidRPr="002C1A32" w:rsidRDefault="003F24C2" w:rsidP="002C1A32">
      <w:pPr>
        <w:spacing w:after="0" w:line="240" w:lineRule="auto"/>
        <w:ind w:right="51"/>
        <w:contextualSpacing/>
        <w:jc w:val="both"/>
        <w:rPr>
          <w:rFonts w:eastAsia="Times New Roman"/>
          <w:b/>
          <w:sz w:val="28"/>
          <w:szCs w:val="28"/>
        </w:rPr>
      </w:pPr>
    </w:p>
    <w:p w14:paraId="0F66FDBB" w14:textId="63D67533" w:rsidR="003F24C2" w:rsidRPr="002C1A32" w:rsidRDefault="003F24C2" w:rsidP="002C1A32">
      <w:pPr>
        <w:spacing w:after="0" w:line="240" w:lineRule="auto"/>
        <w:ind w:right="51"/>
        <w:contextualSpacing/>
        <w:jc w:val="both"/>
        <w:rPr>
          <w:rFonts w:eastAsia="Times New Roman"/>
          <w:sz w:val="28"/>
          <w:szCs w:val="28"/>
        </w:rPr>
      </w:pPr>
      <w:r w:rsidRPr="002C1A32">
        <w:rPr>
          <w:rFonts w:eastAsia="Times New Roman"/>
          <w:b/>
          <w:sz w:val="28"/>
          <w:szCs w:val="28"/>
        </w:rPr>
        <w:t xml:space="preserve">Segundo.- </w:t>
      </w:r>
      <w:r w:rsidRPr="002C1A32">
        <w:rPr>
          <w:rFonts w:eastAsia="Times New Roman"/>
          <w:sz w:val="28"/>
          <w:szCs w:val="28"/>
        </w:rPr>
        <w:t xml:space="preserve">REVOCAR la sentencia proferida en única instancia por el Juzgado </w:t>
      </w:r>
      <w:r w:rsidR="00E06AF9" w:rsidRPr="002C1A32">
        <w:rPr>
          <w:rFonts w:eastAsia="Times New Roman"/>
          <w:sz w:val="28"/>
          <w:szCs w:val="28"/>
        </w:rPr>
        <w:t>Noveno</w:t>
      </w:r>
      <w:r w:rsidRPr="002C1A32">
        <w:rPr>
          <w:rFonts w:eastAsia="Times New Roman"/>
          <w:sz w:val="28"/>
          <w:szCs w:val="28"/>
        </w:rPr>
        <w:t xml:space="preserve"> Penal del Circuito de Medellín, de fecha veinticinco (25) de noviembre de dos mil quince (2015), que declaró improcedente la acción de tutela (expediente T-5.457.363) promovida por Inés Tomasa Valencia Quejada. En su lugar, NEGAR el amparo por las razones expuestas en esta providencia. </w:t>
      </w:r>
    </w:p>
    <w:p w14:paraId="7D209538" w14:textId="77777777" w:rsidR="003F24C2" w:rsidRPr="002C1A32" w:rsidRDefault="003F24C2" w:rsidP="002C1A32">
      <w:pPr>
        <w:spacing w:after="0" w:line="240" w:lineRule="auto"/>
        <w:ind w:right="51"/>
        <w:contextualSpacing/>
        <w:jc w:val="both"/>
        <w:rPr>
          <w:rFonts w:eastAsia="Times New Roman"/>
          <w:b/>
          <w:sz w:val="28"/>
          <w:szCs w:val="28"/>
        </w:rPr>
      </w:pPr>
    </w:p>
    <w:p w14:paraId="66097E93" w14:textId="77777777" w:rsidR="003F24C2" w:rsidRPr="002C1A32" w:rsidRDefault="003F24C2" w:rsidP="002C1A32">
      <w:pPr>
        <w:spacing w:after="0" w:line="240" w:lineRule="auto"/>
        <w:ind w:right="51"/>
        <w:contextualSpacing/>
        <w:jc w:val="both"/>
        <w:rPr>
          <w:rFonts w:eastAsia="Times New Roman"/>
          <w:b/>
          <w:sz w:val="28"/>
          <w:szCs w:val="28"/>
        </w:rPr>
      </w:pPr>
      <w:r w:rsidRPr="002C1A32">
        <w:rPr>
          <w:rFonts w:eastAsia="Times New Roman"/>
          <w:b/>
          <w:sz w:val="28"/>
          <w:szCs w:val="28"/>
        </w:rPr>
        <w:t xml:space="preserve">Tercero.- </w:t>
      </w:r>
      <w:r w:rsidRPr="002C1A32">
        <w:rPr>
          <w:rFonts w:eastAsia="Times New Roman"/>
          <w:sz w:val="28"/>
          <w:szCs w:val="28"/>
        </w:rPr>
        <w:t>REVOCAR la sentencia proferida en única instancia por el Tribunal Superior del Distrito Judicial de Pasto, Sala de Decisión Laboral, de fecha veintitrés (23) de noviembre de dos mil quince (2015), en cuanto declaró improcedente la acción de tutela (expediente T-5.513.941) promovida por María Rogelia Calpa de Chingue y las demás accionantes relacionadas en este proceso. En su lugar, NEGAR el amparo por las razones expuestas en esta providencia.</w:t>
      </w:r>
      <w:r w:rsidRPr="002C1A32">
        <w:rPr>
          <w:rFonts w:eastAsia="Times New Roman"/>
          <w:b/>
          <w:sz w:val="28"/>
          <w:szCs w:val="28"/>
        </w:rPr>
        <w:t xml:space="preserve"> </w:t>
      </w:r>
    </w:p>
    <w:p w14:paraId="1549C9B6" w14:textId="77777777" w:rsidR="003F24C2" w:rsidRPr="002C1A32" w:rsidRDefault="003F24C2" w:rsidP="002C1A32">
      <w:pPr>
        <w:spacing w:after="0" w:line="240" w:lineRule="auto"/>
        <w:ind w:right="51"/>
        <w:contextualSpacing/>
        <w:jc w:val="both"/>
        <w:rPr>
          <w:rFonts w:eastAsia="Times New Roman"/>
          <w:b/>
          <w:sz w:val="28"/>
          <w:szCs w:val="28"/>
        </w:rPr>
      </w:pPr>
    </w:p>
    <w:p w14:paraId="4ACC0BB4" w14:textId="77777777" w:rsidR="003F24C2" w:rsidRPr="002C1A32" w:rsidRDefault="003F24C2" w:rsidP="002C1A32">
      <w:pPr>
        <w:spacing w:after="0" w:line="240" w:lineRule="auto"/>
        <w:ind w:right="51"/>
        <w:contextualSpacing/>
        <w:jc w:val="both"/>
        <w:rPr>
          <w:rFonts w:eastAsia="Times New Roman"/>
          <w:sz w:val="28"/>
          <w:szCs w:val="28"/>
        </w:rPr>
      </w:pPr>
      <w:r w:rsidRPr="002C1A32">
        <w:rPr>
          <w:rFonts w:eastAsia="Times New Roman"/>
          <w:b/>
          <w:sz w:val="28"/>
          <w:szCs w:val="28"/>
        </w:rPr>
        <w:t xml:space="preserve">Cuarto.- </w:t>
      </w:r>
      <w:r w:rsidRPr="002C1A32">
        <w:rPr>
          <w:rFonts w:eastAsia="Times New Roman"/>
          <w:sz w:val="28"/>
          <w:szCs w:val="28"/>
        </w:rPr>
        <w:t xml:space="preserve">REVOCAR la sentencia proferida en única instancia por el Juzgado Segundo Civil del Circuito de Cali, de fecha doce (12) de enero de dos mil dieciséis (2016), que declaró  improcedente la acción de tutela (expediente T-5.516.632) promovida por Ana de Jesús Arciniegas Herrera y las demás accionantes relacionadas en este expediente. En su lugar, NEGAR el amparo por las razones expuestas en esta providencia. </w:t>
      </w:r>
    </w:p>
    <w:p w14:paraId="10E9E843" w14:textId="77777777" w:rsidR="003F24C2" w:rsidRPr="002C1A32" w:rsidRDefault="003F24C2" w:rsidP="002C1A32">
      <w:pPr>
        <w:spacing w:after="0" w:line="240" w:lineRule="auto"/>
        <w:ind w:right="51"/>
        <w:contextualSpacing/>
        <w:jc w:val="both"/>
        <w:rPr>
          <w:rFonts w:eastAsia="Times New Roman"/>
          <w:b/>
          <w:sz w:val="28"/>
          <w:szCs w:val="28"/>
        </w:rPr>
      </w:pPr>
    </w:p>
    <w:p w14:paraId="78800D15" w14:textId="74506372" w:rsidR="003F24C2" w:rsidRPr="002C1A32" w:rsidRDefault="003F24C2" w:rsidP="002C1A32">
      <w:pPr>
        <w:spacing w:after="0" w:line="240" w:lineRule="auto"/>
        <w:ind w:right="51"/>
        <w:contextualSpacing/>
        <w:jc w:val="both"/>
        <w:rPr>
          <w:rFonts w:eastAsia="Times New Roman"/>
          <w:sz w:val="28"/>
          <w:szCs w:val="28"/>
        </w:rPr>
      </w:pPr>
      <w:r w:rsidRPr="002C1A32">
        <w:rPr>
          <w:rFonts w:eastAsia="Times New Roman"/>
          <w:b/>
          <w:sz w:val="28"/>
          <w:szCs w:val="28"/>
        </w:rPr>
        <w:t>Quinto.-</w:t>
      </w:r>
      <w:r w:rsidR="009B111A" w:rsidRPr="002C1A32">
        <w:rPr>
          <w:rFonts w:eastAsia="Times New Roman"/>
          <w:b/>
          <w:sz w:val="28"/>
          <w:szCs w:val="28"/>
        </w:rPr>
        <w:t xml:space="preserve"> </w:t>
      </w:r>
      <w:r w:rsidRPr="002C1A32">
        <w:rPr>
          <w:rFonts w:eastAsia="Times New Roman"/>
          <w:sz w:val="28"/>
          <w:szCs w:val="28"/>
        </w:rPr>
        <w:t>DECLARAR IMPROCEDENTE el amparo solicitado por las accionantes en los expedientes T-5.457.363, T-5.513.941 y T-5.516.632, en relación con el Departamento Administrativo para la Prosperidad Social –DPS, o quien hiciere sus veces, de conformidad con lo expuesto en la parte motiva de este fallo.</w:t>
      </w:r>
    </w:p>
    <w:p w14:paraId="6382C80D" w14:textId="77777777" w:rsidR="003F24C2" w:rsidRPr="002C1A32" w:rsidRDefault="003F24C2" w:rsidP="002C1A32">
      <w:pPr>
        <w:spacing w:after="0" w:line="240" w:lineRule="auto"/>
        <w:ind w:right="51"/>
        <w:contextualSpacing/>
        <w:jc w:val="both"/>
        <w:rPr>
          <w:rFonts w:eastAsia="Times New Roman"/>
          <w:b/>
          <w:sz w:val="28"/>
          <w:szCs w:val="28"/>
        </w:rPr>
      </w:pPr>
    </w:p>
    <w:p w14:paraId="6C893648" w14:textId="2B418A71" w:rsidR="00621E37" w:rsidRPr="002C1A32" w:rsidRDefault="003F24C2" w:rsidP="002C1A32">
      <w:pPr>
        <w:spacing w:after="0" w:line="240" w:lineRule="auto"/>
        <w:ind w:right="51"/>
        <w:contextualSpacing/>
        <w:jc w:val="both"/>
        <w:rPr>
          <w:rFonts w:eastAsia="Times New Roman"/>
          <w:sz w:val="28"/>
          <w:szCs w:val="28"/>
        </w:rPr>
      </w:pPr>
      <w:r w:rsidRPr="002C1A32">
        <w:rPr>
          <w:rFonts w:eastAsia="Times New Roman"/>
          <w:b/>
          <w:sz w:val="28"/>
          <w:szCs w:val="28"/>
        </w:rPr>
        <w:t xml:space="preserve">Sexto.- </w:t>
      </w:r>
      <w:r w:rsidRPr="002C1A32">
        <w:rPr>
          <w:rFonts w:eastAsia="Times New Roman"/>
          <w:sz w:val="28"/>
          <w:szCs w:val="28"/>
        </w:rPr>
        <w:t>DECLARAR IMPROCEDENTE el amparo solicitado por las accionantes en el expediente T-5.513.941, en relación con la sociedad Summar Temporales S.A.S., o quien hiciere sus veces, de conformidad con lo expuesto en esta providencia.</w:t>
      </w:r>
    </w:p>
    <w:p w14:paraId="0C68E43A" w14:textId="77777777" w:rsidR="003F24C2" w:rsidRPr="002C1A32" w:rsidRDefault="003F24C2" w:rsidP="002C1A32">
      <w:pPr>
        <w:spacing w:after="0" w:line="240" w:lineRule="auto"/>
        <w:ind w:right="51"/>
        <w:contextualSpacing/>
        <w:jc w:val="both"/>
        <w:rPr>
          <w:rFonts w:eastAsia="Times New Roman"/>
          <w:sz w:val="28"/>
          <w:szCs w:val="28"/>
        </w:rPr>
      </w:pPr>
    </w:p>
    <w:p w14:paraId="3F387778" w14:textId="170A2577" w:rsidR="0099174F" w:rsidRPr="002C1A32" w:rsidRDefault="003F24C2" w:rsidP="002C1A32">
      <w:pPr>
        <w:spacing w:after="0" w:line="240" w:lineRule="auto"/>
        <w:ind w:right="51"/>
        <w:contextualSpacing/>
        <w:jc w:val="both"/>
        <w:rPr>
          <w:rFonts w:eastAsia="Times New Roman"/>
          <w:sz w:val="28"/>
          <w:szCs w:val="28"/>
        </w:rPr>
      </w:pPr>
      <w:r w:rsidRPr="002C1A32">
        <w:rPr>
          <w:rFonts w:eastAsia="Times New Roman"/>
          <w:b/>
          <w:sz w:val="28"/>
          <w:szCs w:val="28"/>
        </w:rPr>
        <w:t>Séptimo</w:t>
      </w:r>
      <w:r w:rsidR="0099174F" w:rsidRPr="002C1A32">
        <w:rPr>
          <w:rFonts w:eastAsia="Times New Roman"/>
          <w:b/>
          <w:sz w:val="28"/>
          <w:szCs w:val="28"/>
        </w:rPr>
        <w:t>.</w:t>
      </w:r>
      <w:r w:rsidRPr="002C1A32">
        <w:rPr>
          <w:rFonts w:eastAsia="Times New Roman"/>
          <w:b/>
          <w:sz w:val="28"/>
          <w:szCs w:val="28"/>
        </w:rPr>
        <w:t>-</w:t>
      </w:r>
      <w:r w:rsidR="0099174F" w:rsidRPr="002C1A32">
        <w:rPr>
          <w:rFonts w:eastAsia="Times New Roman"/>
          <w:b/>
          <w:sz w:val="28"/>
          <w:szCs w:val="28"/>
        </w:rPr>
        <w:t xml:space="preserve"> </w:t>
      </w:r>
      <w:r w:rsidR="0099174F" w:rsidRPr="002C1A32">
        <w:rPr>
          <w:rFonts w:eastAsia="Times New Roman"/>
          <w:sz w:val="28"/>
          <w:szCs w:val="28"/>
        </w:rPr>
        <w:t>EXPEDIR, por Secretaría General, las comunicaciones previstas en el artículo 36 del Decreto Ley 2591 de 1991.</w:t>
      </w:r>
    </w:p>
    <w:p w14:paraId="744C07BD" w14:textId="77777777" w:rsidR="0099174F" w:rsidRPr="002C1A32" w:rsidRDefault="0099174F" w:rsidP="002C1A32">
      <w:pPr>
        <w:spacing w:after="0" w:line="240" w:lineRule="auto"/>
        <w:ind w:right="51"/>
        <w:contextualSpacing/>
        <w:jc w:val="both"/>
        <w:rPr>
          <w:rFonts w:eastAsia="Times New Roman"/>
          <w:sz w:val="28"/>
          <w:szCs w:val="28"/>
        </w:rPr>
      </w:pPr>
    </w:p>
    <w:p w14:paraId="4C86A251" w14:textId="056396B6" w:rsidR="00F747AF" w:rsidRPr="002C1A32" w:rsidRDefault="00F747AF" w:rsidP="002C1A32">
      <w:pPr>
        <w:spacing w:after="0" w:line="240" w:lineRule="auto"/>
        <w:ind w:right="51"/>
        <w:contextualSpacing/>
        <w:jc w:val="both"/>
        <w:rPr>
          <w:rFonts w:eastAsia="Times New Roman"/>
          <w:sz w:val="28"/>
          <w:szCs w:val="28"/>
        </w:rPr>
      </w:pPr>
    </w:p>
    <w:p w14:paraId="23D1D300" w14:textId="640DEDAB" w:rsidR="0099174F" w:rsidRPr="002C1A32" w:rsidRDefault="0099174F" w:rsidP="002C1A32">
      <w:pPr>
        <w:spacing w:after="0" w:line="240" w:lineRule="auto"/>
        <w:ind w:right="51"/>
        <w:contextualSpacing/>
        <w:jc w:val="both"/>
        <w:rPr>
          <w:rFonts w:eastAsia="Times New Roman"/>
          <w:sz w:val="28"/>
          <w:szCs w:val="28"/>
        </w:rPr>
      </w:pPr>
      <w:r w:rsidRPr="002C1A32">
        <w:rPr>
          <w:rFonts w:eastAsia="Times New Roman"/>
          <w:sz w:val="28"/>
          <w:szCs w:val="28"/>
        </w:rPr>
        <w:t>Comuníquese y cúmplase,</w:t>
      </w:r>
    </w:p>
    <w:p w14:paraId="28EB852B" w14:textId="77777777" w:rsidR="007C4BC1" w:rsidRPr="002C1A32" w:rsidRDefault="007C4BC1" w:rsidP="002C1A32">
      <w:pPr>
        <w:spacing w:after="0" w:line="240" w:lineRule="auto"/>
        <w:ind w:right="51"/>
        <w:contextualSpacing/>
        <w:jc w:val="center"/>
        <w:rPr>
          <w:rFonts w:eastAsia="Times New Roman"/>
          <w:sz w:val="28"/>
          <w:szCs w:val="28"/>
          <w:lang w:val="es-ES"/>
        </w:rPr>
      </w:pPr>
      <w:bookmarkStart w:id="2" w:name="_1fob9te" w:colFirst="0" w:colLast="0"/>
      <w:bookmarkEnd w:id="2"/>
    </w:p>
    <w:p w14:paraId="58997292" w14:textId="77777777" w:rsidR="00F747AF" w:rsidRPr="002C1A32" w:rsidRDefault="00F747AF" w:rsidP="002C1A32">
      <w:pPr>
        <w:spacing w:after="0" w:line="240" w:lineRule="auto"/>
        <w:ind w:right="51"/>
        <w:contextualSpacing/>
        <w:jc w:val="center"/>
        <w:rPr>
          <w:rFonts w:eastAsia="Times New Roman"/>
          <w:sz w:val="28"/>
          <w:szCs w:val="28"/>
          <w:lang w:val="es-ES"/>
        </w:rPr>
      </w:pPr>
    </w:p>
    <w:p w14:paraId="01233145" w14:textId="77777777" w:rsidR="007B3CBB" w:rsidRPr="002C1A32" w:rsidRDefault="007B3CBB" w:rsidP="002C1A32">
      <w:pPr>
        <w:spacing w:after="0" w:line="240" w:lineRule="auto"/>
        <w:ind w:right="51"/>
        <w:contextualSpacing/>
        <w:jc w:val="center"/>
        <w:rPr>
          <w:rFonts w:eastAsia="Times New Roman"/>
          <w:sz w:val="28"/>
          <w:szCs w:val="28"/>
        </w:rPr>
      </w:pPr>
    </w:p>
    <w:p w14:paraId="473F6D92" w14:textId="77777777" w:rsidR="004075B4" w:rsidRPr="002C1A32" w:rsidRDefault="004075B4" w:rsidP="002C1A32">
      <w:pPr>
        <w:spacing w:after="0" w:line="240" w:lineRule="auto"/>
        <w:ind w:right="51"/>
        <w:contextualSpacing/>
        <w:jc w:val="center"/>
        <w:rPr>
          <w:rFonts w:eastAsia="Times New Roman"/>
          <w:sz w:val="28"/>
          <w:szCs w:val="28"/>
        </w:rPr>
      </w:pPr>
      <w:r w:rsidRPr="002C1A32">
        <w:rPr>
          <w:rFonts w:eastAsia="Times New Roman"/>
          <w:sz w:val="28"/>
          <w:szCs w:val="28"/>
        </w:rPr>
        <w:t>GLORIA STELLA ORTIZ DELGADO</w:t>
      </w:r>
    </w:p>
    <w:p w14:paraId="675B49E9" w14:textId="77777777" w:rsidR="004075B4" w:rsidRPr="002C1A32" w:rsidRDefault="004075B4" w:rsidP="002C1A32">
      <w:pPr>
        <w:spacing w:after="0" w:line="240" w:lineRule="auto"/>
        <w:ind w:right="51"/>
        <w:contextualSpacing/>
        <w:jc w:val="center"/>
        <w:rPr>
          <w:rFonts w:eastAsia="Times New Roman"/>
          <w:sz w:val="28"/>
          <w:szCs w:val="28"/>
        </w:rPr>
      </w:pPr>
      <w:r w:rsidRPr="002C1A32">
        <w:rPr>
          <w:rFonts w:eastAsia="Times New Roman"/>
          <w:sz w:val="28"/>
          <w:szCs w:val="28"/>
        </w:rPr>
        <w:t>Presidenta</w:t>
      </w:r>
    </w:p>
    <w:p w14:paraId="1F9493C8" w14:textId="77777777" w:rsidR="004075B4" w:rsidRPr="002C1A32" w:rsidRDefault="004075B4" w:rsidP="002C1A32">
      <w:pPr>
        <w:spacing w:after="0" w:line="240" w:lineRule="auto"/>
        <w:ind w:right="51"/>
        <w:contextualSpacing/>
        <w:jc w:val="center"/>
        <w:rPr>
          <w:rFonts w:eastAsia="Times New Roman"/>
          <w:sz w:val="28"/>
          <w:szCs w:val="28"/>
          <w:lang w:val="es-ES"/>
        </w:rPr>
      </w:pPr>
    </w:p>
    <w:p w14:paraId="4782704B" w14:textId="77777777" w:rsidR="004A55EA" w:rsidRPr="002C1A32" w:rsidRDefault="004A55EA" w:rsidP="002C1A32">
      <w:pPr>
        <w:spacing w:after="0" w:line="240" w:lineRule="auto"/>
        <w:ind w:right="51"/>
        <w:contextualSpacing/>
        <w:jc w:val="center"/>
        <w:rPr>
          <w:rFonts w:eastAsia="Times New Roman"/>
          <w:sz w:val="28"/>
          <w:szCs w:val="28"/>
        </w:rPr>
      </w:pPr>
    </w:p>
    <w:p w14:paraId="3DAA16F6" w14:textId="77777777" w:rsidR="004A55EA" w:rsidRPr="002C1A32" w:rsidRDefault="004A55EA" w:rsidP="002C1A32">
      <w:pPr>
        <w:spacing w:after="0" w:line="240" w:lineRule="auto"/>
        <w:ind w:right="51"/>
        <w:contextualSpacing/>
        <w:jc w:val="center"/>
        <w:rPr>
          <w:rFonts w:eastAsia="Times New Roman"/>
          <w:sz w:val="28"/>
          <w:szCs w:val="28"/>
        </w:rPr>
      </w:pPr>
    </w:p>
    <w:p w14:paraId="3D35F9D1" w14:textId="77777777" w:rsidR="004075B4" w:rsidRPr="002C1A32" w:rsidRDefault="004075B4" w:rsidP="002C1A32">
      <w:pPr>
        <w:spacing w:after="0" w:line="240" w:lineRule="auto"/>
        <w:ind w:right="51"/>
        <w:contextualSpacing/>
        <w:jc w:val="center"/>
        <w:rPr>
          <w:rFonts w:eastAsia="Times New Roman"/>
          <w:sz w:val="28"/>
          <w:szCs w:val="28"/>
        </w:rPr>
      </w:pPr>
      <w:r w:rsidRPr="002C1A32">
        <w:rPr>
          <w:rFonts w:eastAsia="Times New Roman"/>
          <w:sz w:val="28"/>
          <w:szCs w:val="28"/>
        </w:rPr>
        <w:t>CARLOS BERNAL PULIDO</w:t>
      </w:r>
    </w:p>
    <w:p w14:paraId="5ABDA675" w14:textId="77777777" w:rsidR="004075B4" w:rsidRPr="002C1A32" w:rsidRDefault="004075B4" w:rsidP="002C1A32">
      <w:pPr>
        <w:spacing w:after="0" w:line="240" w:lineRule="auto"/>
        <w:ind w:right="51"/>
        <w:contextualSpacing/>
        <w:jc w:val="center"/>
        <w:rPr>
          <w:rFonts w:eastAsia="Times New Roman"/>
          <w:sz w:val="28"/>
          <w:szCs w:val="28"/>
        </w:rPr>
      </w:pPr>
      <w:r w:rsidRPr="002C1A32">
        <w:rPr>
          <w:rFonts w:eastAsia="Times New Roman"/>
          <w:sz w:val="28"/>
          <w:szCs w:val="28"/>
        </w:rPr>
        <w:t>Magistrado</w:t>
      </w:r>
    </w:p>
    <w:p w14:paraId="1F9B8F76" w14:textId="77777777" w:rsidR="004075B4" w:rsidRPr="002C1A32" w:rsidRDefault="004075B4" w:rsidP="002C1A32">
      <w:pPr>
        <w:spacing w:after="0" w:line="240" w:lineRule="auto"/>
        <w:ind w:right="51"/>
        <w:contextualSpacing/>
        <w:jc w:val="center"/>
        <w:rPr>
          <w:rFonts w:eastAsia="Times New Roman"/>
          <w:sz w:val="28"/>
          <w:szCs w:val="28"/>
        </w:rPr>
      </w:pPr>
    </w:p>
    <w:p w14:paraId="1864A1E8" w14:textId="77777777" w:rsidR="004A55EA" w:rsidRPr="002C1A32" w:rsidRDefault="004A55EA" w:rsidP="002C1A32">
      <w:pPr>
        <w:spacing w:after="0" w:line="240" w:lineRule="auto"/>
        <w:ind w:right="51"/>
        <w:contextualSpacing/>
        <w:jc w:val="center"/>
        <w:rPr>
          <w:rFonts w:eastAsia="Times New Roman"/>
          <w:sz w:val="28"/>
          <w:szCs w:val="28"/>
        </w:rPr>
      </w:pPr>
    </w:p>
    <w:p w14:paraId="11CD3C8F" w14:textId="77777777" w:rsidR="00F747AF" w:rsidRPr="002C1A32" w:rsidRDefault="00F747AF" w:rsidP="002C1A32">
      <w:pPr>
        <w:spacing w:after="0" w:line="240" w:lineRule="auto"/>
        <w:ind w:right="51"/>
        <w:contextualSpacing/>
        <w:jc w:val="center"/>
        <w:rPr>
          <w:rFonts w:eastAsia="Times New Roman"/>
          <w:sz w:val="28"/>
          <w:szCs w:val="28"/>
        </w:rPr>
      </w:pPr>
    </w:p>
    <w:p w14:paraId="09470421" w14:textId="77777777" w:rsidR="004075B4" w:rsidRPr="002C1A32" w:rsidRDefault="004075B4" w:rsidP="002C1A32">
      <w:pPr>
        <w:spacing w:after="0" w:line="240" w:lineRule="auto"/>
        <w:ind w:right="51"/>
        <w:contextualSpacing/>
        <w:jc w:val="center"/>
        <w:rPr>
          <w:rFonts w:eastAsia="Times New Roman"/>
          <w:sz w:val="28"/>
          <w:szCs w:val="28"/>
        </w:rPr>
      </w:pPr>
      <w:r w:rsidRPr="002C1A32">
        <w:rPr>
          <w:rFonts w:eastAsia="Times New Roman"/>
          <w:sz w:val="28"/>
          <w:szCs w:val="28"/>
        </w:rPr>
        <w:t>DIANA FAJARDO RIVERA</w:t>
      </w:r>
    </w:p>
    <w:p w14:paraId="047617F8" w14:textId="77777777" w:rsidR="004075B4" w:rsidRPr="002C1A32" w:rsidRDefault="004075B4" w:rsidP="002C1A32">
      <w:pPr>
        <w:spacing w:after="0" w:line="240" w:lineRule="auto"/>
        <w:ind w:right="51"/>
        <w:contextualSpacing/>
        <w:jc w:val="center"/>
        <w:rPr>
          <w:rFonts w:eastAsia="Times New Roman"/>
          <w:sz w:val="28"/>
          <w:szCs w:val="28"/>
        </w:rPr>
      </w:pPr>
      <w:r w:rsidRPr="002C1A32">
        <w:rPr>
          <w:rFonts w:eastAsia="Times New Roman"/>
          <w:sz w:val="28"/>
          <w:szCs w:val="28"/>
        </w:rPr>
        <w:t>Magistrada</w:t>
      </w:r>
    </w:p>
    <w:p w14:paraId="60FEF056" w14:textId="4385E1D8" w:rsidR="000B31BC" w:rsidRPr="002C1A32" w:rsidRDefault="002C1A32" w:rsidP="002C1A32">
      <w:pPr>
        <w:spacing w:after="0" w:line="240" w:lineRule="auto"/>
        <w:ind w:right="51"/>
        <w:contextualSpacing/>
        <w:jc w:val="center"/>
        <w:rPr>
          <w:rFonts w:eastAsia="Times New Roman"/>
          <w:i/>
          <w:sz w:val="28"/>
          <w:szCs w:val="28"/>
          <w:lang w:val="es-ES"/>
        </w:rPr>
      </w:pPr>
      <w:r>
        <w:rPr>
          <w:rFonts w:eastAsia="Times New Roman"/>
          <w:i/>
          <w:sz w:val="28"/>
          <w:szCs w:val="28"/>
        </w:rPr>
        <w:t>Con s</w:t>
      </w:r>
      <w:r w:rsidR="005B0EB8" w:rsidRPr="002C1A32">
        <w:rPr>
          <w:rFonts w:eastAsia="Times New Roman"/>
          <w:i/>
          <w:sz w:val="28"/>
          <w:szCs w:val="28"/>
        </w:rPr>
        <w:t>alvamento de voto</w:t>
      </w:r>
    </w:p>
    <w:p w14:paraId="756C90E1" w14:textId="77777777" w:rsidR="000B31BC" w:rsidRPr="002C1A32" w:rsidRDefault="000B31BC" w:rsidP="002C1A32">
      <w:pPr>
        <w:spacing w:after="0" w:line="240" w:lineRule="auto"/>
        <w:ind w:right="51"/>
        <w:contextualSpacing/>
        <w:jc w:val="center"/>
        <w:rPr>
          <w:rFonts w:eastAsia="Times New Roman"/>
          <w:sz w:val="28"/>
          <w:szCs w:val="28"/>
        </w:rPr>
      </w:pPr>
    </w:p>
    <w:p w14:paraId="018E9CAA" w14:textId="77777777" w:rsidR="004075B4" w:rsidRPr="002C1A32" w:rsidRDefault="004075B4" w:rsidP="002C1A32">
      <w:pPr>
        <w:spacing w:after="0" w:line="240" w:lineRule="auto"/>
        <w:ind w:right="51"/>
        <w:contextualSpacing/>
        <w:jc w:val="center"/>
        <w:rPr>
          <w:rFonts w:eastAsia="Times New Roman"/>
          <w:sz w:val="28"/>
          <w:szCs w:val="28"/>
        </w:rPr>
      </w:pPr>
    </w:p>
    <w:p w14:paraId="77A4BC11" w14:textId="77777777" w:rsidR="00F747AF" w:rsidRPr="002C1A32" w:rsidRDefault="00F747AF" w:rsidP="002C1A32">
      <w:pPr>
        <w:spacing w:after="0" w:line="240" w:lineRule="auto"/>
        <w:ind w:right="51"/>
        <w:contextualSpacing/>
        <w:jc w:val="center"/>
        <w:rPr>
          <w:rFonts w:eastAsia="Times New Roman"/>
          <w:sz w:val="28"/>
          <w:szCs w:val="28"/>
        </w:rPr>
      </w:pPr>
    </w:p>
    <w:p w14:paraId="56CD2678" w14:textId="77777777" w:rsidR="004075B4" w:rsidRPr="002C1A32" w:rsidRDefault="004075B4" w:rsidP="002C1A32">
      <w:pPr>
        <w:spacing w:after="0" w:line="240" w:lineRule="auto"/>
        <w:ind w:right="51"/>
        <w:contextualSpacing/>
        <w:jc w:val="center"/>
        <w:rPr>
          <w:rFonts w:eastAsia="Times New Roman"/>
          <w:sz w:val="28"/>
          <w:szCs w:val="28"/>
        </w:rPr>
      </w:pPr>
      <w:r w:rsidRPr="002C1A32">
        <w:rPr>
          <w:rFonts w:eastAsia="Times New Roman"/>
          <w:sz w:val="28"/>
          <w:szCs w:val="28"/>
        </w:rPr>
        <w:t>LUIS GUILLERMO GUERRERO PÉREZ</w:t>
      </w:r>
    </w:p>
    <w:p w14:paraId="5AB89441" w14:textId="761C6F4E" w:rsidR="004075B4" w:rsidRPr="002C1A32" w:rsidRDefault="004075B4" w:rsidP="002C1A32">
      <w:pPr>
        <w:spacing w:after="0" w:line="240" w:lineRule="auto"/>
        <w:ind w:right="51"/>
        <w:contextualSpacing/>
        <w:jc w:val="center"/>
        <w:rPr>
          <w:rFonts w:eastAsia="Times New Roman"/>
          <w:sz w:val="28"/>
          <w:szCs w:val="28"/>
        </w:rPr>
      </w:pPr>
      <w:r w:rsidRPr="002C1A32">
        <w:rPr>
          <w:rFonts w:eastAsia="Times New Roman"/>
          <w:sz w:val="28"/>
          <w:szCs w:val="28"/>
        </w:rPr>
        <w:t>Magistrado</w:t>
      </w:r>
    </w:p>
    <w:p w14:paraId="10E207B0" w14:textId="77777777" w:rsidR="004075B4" w:rsidRPr="002C1A32" w:rsidRDefault="004075B4" w:rsidP="002C1A32">
      <w:pPr>
        <w:spacing w:after="0" w:line="240" w:lineRule="auto"/>
        <w:ind w:right="51"/>
        <w:contextualSpacing/>
        <w:jc w:val="center"/>
        <w:rPr>
          <w:rFonts w:eastAsia="Times New Roman"/>
          <w:sz w:val="28"/>
          <w:szCs w:val="28"/>
        </w:rPr>
      </w:pPr>
    </w:p>
    <w:p w14:paraId="78D8116B" w14:textId="77777777" w:rsidR="00596106" w:rsidRPr="002C1A32" w:rsidRDefault="00596106" w:rsidP="002C1A32">
      <w:pPr>
        <w:spacing w:after="0" w:line="240" w:lineRule="auto"/>
        <w:ind w:right="51"/>
        <w:contextualSpacing/>
        <w:jc w:val="center"/>
        <w:rPr>
          <w:rFonts w:eastAsia="Times New Roman"/>
          <w:sz w:val="28"/>
          <w:szCs w:val="28"/>
        </w:rPr>
      </w:pPr>
    </w:p>
    <w:p w14:paraId="05CFC9FF" w14:textId="77777777" w:rsidR="00F747AF" w:rsidRPr="002C1A32" w:rsidRDefault="00F747AF" w:rsidP="002C1A32">
      <w:pPr>
        <w:spacing w:after="0" w:line="240" w:lineRule="auto"/>
        <w:ind w:right="51"/>
        <w:contextualSpacing/>
        <w:jc w:val="center"/>
        <w:rPr>
          <w:rFonts w:eastAsia="Times New Roman"/>
          <w:sz w:val="28"/>
          <w:szCs w:val="28"/>
        </w:rPr>
      </w:pPr>
    </w:p>
    <w:p w14:paraId="18B8234B" w14:textId="7671AE87" w:rsidR="004075B4" w:rsidRPr="002C1A32" w:rsidRDefault="003F24C2" w:rsidP="002C1A32">
      <w:pPr>
        <w:spacing w:after="0" w:line="240" w:lineRule="auto"/>
        <w:ind w:right="51"/>
        <w:contextualSpacing/>
        <w:jc w:val="center"/>
        <w:rPr>
          <w:rFonts w:eastAsia="Times New Roman"/>
          <w:sz w:val="28"/>
          <w:szCs w:val="28"/>
        </w:rPr>
      </w:pPr>
      <w:r w:rsidRPr="002C1A32">
        <w:rPr>
          <w:rFonts w:eastAsia="Times New Roman"/>
          <w:i/>
          <w:sz w:val="28"/>
          <w:szCs w:val="28"/>
          <w:lang w:val="es-ES"/>
        </w:rPr>
        <w:t>-En comisión-</w:t>
      </w:r>
    </w:p>
    <w:p w14:paraId="1D5CC55F" w14:textId="2A1498F4" w:rsidR="003F24C2" w:rsidRPr="002C1A32" w:rsidRDefault="003F24C2" w:rsidP="002C1A32">
      <w:pPr>
        <w:spacing w:after="0" w:line="240" w:lineRule="auto"/>
        <w:ind w:right="51"/>
        <w:contextualSpacing/>
        <w:jc w:val="center"/>
        <w:rPr>
          <w:rFonts w:eastAsia="Times New Roman"/>
          <w:sz w:val="28"/>
          <w:szCs w:val="28"/>
        </w:rPr>
      </w:pPr>
      <w:r w:rsidRPr="002C1A32">
        <w:rPr>
          <w:rFonts w:eastAsia="Times New Roman"/>
          <w:sz w:val="28"/>
          <w:szCs w:val="28"/>
        </w:rPr>
        <w:t>ALEJANDRO LINARES CANTILLO</w:t>
      </w:r>
    </w:p>
    <w:p w14:paraId="7D2FB3E0" w14:textId="733C96CA" w:rsidR="003F24C2" w:rsidRPr="002C1A32" w:rsidRDefault="003F24C2" w:rsidP="002C1A32">
      <w:pPr>
        <w:spacing w:after="0" w:line="240" w:lineRule="auto"/>
        <w:ind w:right="51"/>
        <w:contextualSpacing/>
        <w:jc w:val="center"/>
        <w:rPr>
          <w:rFonts w:eastAsia="Times New Roman"/>
          <w:sz w:val="28"/>
          <w:szCs w:val="28"/>
        </w:rPr>
      </w:pPr>
      <w:r w:rsidRPr="002C1A32">
        <w:rPr>
          <w:rFonts w:eastAsia="Times New Roman"/>
          <w:sz w:val="28"/>
          <w:szCs w:val="28"/>
        </w:rPr>
        <w:t>Magistrado</w:t>
      </w:r>
    </w:p>
    <w:p w14:paraId="024167A9" w14:textId="77777777" w:rsidR="003F24C2" w:rsidRPr="002C1A32" w:rsidRDefault="003F24C2" w:rsidP="002C1A32">
      <w:pPr>
        <w:spacing w:after="0" w:line="240" w:lineRule="auto"/>
        <w:ind w:right="51"/>
        <w:contextualSpacing/>
        <w:jc w:val="center"/>
        <w:rPr>
          <w:rFonts w:eastAsia="Times New Roman"/>
          <w:sz w:val="28"/>
          <w:szCs w:val="28"/>
        </w:rPr>
      </w:pPr>
    </w:p>
    <w:p w14:paraId="0F84EBD2" w14:textId="77777777" w:rsidR="00F747AF" w:rsidRPr="002C1A32" w:rsidRDefault="00F747AF" w:rsidP="002C1A32">
      <w:pPr>
        <w:spacing w:after="0" w:line="240" w:lineRule="auto"/>
        <w:ind w:right="51"/>
        <w:contextualSpacing/>
        <w:jc w:val="center"/>
        <w:rPr>
          <w:rFonts w:eastAsia="Times New Roman"/>
          <w:sz w:val="28"/>
          <w:szCs w:val="28"/>
        </w:rPr>
      </w:pPr>
    </w:p>
    <w:p w14:paraId="795782E5" w14:textId="77777777" w:rsidR="00F747AF" w:rsidRPr="002C1A32" w:rsidRDefault="00F747AF" w:rsidP="002C1A32">
      <w:pPr>
        <w:spacing w:after="0" w:line="240" w:lineRule="auto"/>
        <w:ind w:right="51"/>
        <w:contextualSpacing/>
        <w:jc w:val="center"/>
        <w:rPr>
          <w:rFonts w:eastAsia="Times New Roman"/>
          <w:sz w:val="28"/>
          <w:szCs w:val="28"/>
        </w:rPr>
      </w:pPr>
    </w:p>
    <w:p w14:paraId="114D540F" w14:textId="77777777" w:rsidR="004075B4" w:rsidRPr="002C1A32" w:rsidRDefault="004075B4" w:rsidP="002C1A32">
      <w:pPr>
        <w:spacing w:after="0" w:line="240" w:lineRule="auto"/>
        <w:ind w:right="51"/>
        <w:contextualSpacing/>
        <w:jc w:val="center"/>
        <w:rPr>
          <w:rFonts w:eastAsia="Times New Roman"/>
          <w:sz w:val="28"/>
          <w:szCs w:val="28"/>
        </w:rPr>
      </w:pPr>
      <w:r w:rsidRPr="002C1A32">
        <w:rPr>
          <w:rFonts w:eastAsia="Times New Roman"/>
          <w:sz w:val="28"/>
          <w:szCs w:val="28"/>
        </w:rPr>
        <w:t>ANTONIO JOSÉ LIZARAZO OCAMPO</w:t>
      </w:r>
    </w:p>
    <w:p w14:paraId="5E9E8A1B" w14:textId="77777777" w:rsidR="004075B4" w:rsidRPr="002C1A32" w:rsidRDefault="004075B4" w:rsidP="002C1A32">
      <w:pPr>
        <w:spacing w:after="0" w:line="240" w:lineRule="auto"/>
        <w:ind w:right="51"/>
        <w:contextualSpacing/>
        <w:jc w:val="center"/>
        <w:rPr>
          <w:rFonts w:eastAsia="Times New Roman"/>
          <w:sz w:val="28"/>
          <w:szCs w:val="28"/>
        </w:rPr>
      </w:pPr>
      <w:r w:rsidRPr="002C1A32">
        <w:rPr>
          <w:rFonts w:eastAsia="Times New Roman"/>
          <w:sz w:val="28"/>
          <w:szCs w:val="28"/>
        </w:rPr>
        <w:t>Magistrado</w:t>
      </w:r>
    </w:p>
    <w:p w14:paraId="721ACE47" w14:textId="77777777" w:rsidR="004A55EA" w:rsidRPr="002C1A32" w:rsidRDefault="004A55EA" w:rsidP="002C1A32">
      <w:pPr>
        <w:pStyle w:val="Prrafodelista"/>
        <w:spacing w:after="0" w:line="240" w:lineRule="auto"/>
        <w:ind w:left="0" w:right="51"/>
        <w:jc w:val="center"/>
        <w:rPr>
          <w:rFonts w:eastAsia="Times New Roman"/>
          <w:i/>
          <w:sz w:val="28"/>
          <w:szCs w:val="28"/>
          <w:lang w:val="es-ES"/>
        </w:rPr>
      </w:pPr>
    </w:p>
    <w:p w14:paraId="2D458075" w14:textId="77777777" w:rsidR="00F747AF" w:rsidRPr="002C1A32" w:rsidRDefault="00F747AF" w:rsidP="002C1A32">
      <w:pPr>
        <w:pStyle w:val="Prrafodelista"/>
        <w:spacing w:after="0" w:line="240" w:lineRule="auto"/>
        <w:ind w:left="0" w:right="51"/>
        <w:jc w:val="center"/>
        <w:rPr>
          <w:rFonts w:eastAsia="Times New Roman"/>
          <w:i/>
          <w:sz w:val="28"/>
          <w:szCs w:val="28"/>
          <w:lang w:val="es-ES"/>
        </w:rPr>
      </w:pPr>
    </w:p>
    <w:p w14:paraId="1BF42B57" w14:textId="0881709D" w:rsidR="004075B4" w:rsidRPr="002C1A32" w:rsidRDefault="003F24C2" w:rsidP="002C1A32">
      <w:pPr>
        <w:pStyle w:val="Prrafodelista"/>
        <w:spacing w:after="0" w:line="240" w:lineRule="auto"/>
        <w:ind w:left="0" w:right="51"/>
        <w:jc w:val="center"/>
        <w:rPr>
          <w:rFonts w:eastAsia="Times New Roman"/>
          <w:i/>
          <w:sz w:val="28"/>
          <w:szCs w:val="28"/>
          <w:lang w:val="es-ES"/>
        </w:rPr>
      </w:pPr>
      <w:r w:rsidRPr="002C1A32">
        <w:rPr>
          <w:rFonts w:eastAsia="Times New Roman"/>
          <w:i/>
          <w:sz w:val="28"/>
          <w:szCs w:val="28"/>
          <w:lang w:val="es-ES"/>
        </w:rPr>
        <w:t>-En comisión-</w:t>
      </w:r>
    </w:p>
    <w:p w14:paraId="05BDB1AF" w14:textId="77777777" w:rsidR="004075B4" w:rsidRPr="002C1A32" w:rsidRDefault="004075B4" w:rsidP="002C1A32">
      <w:pPr>
        <w:spacing w:after="0" w:line="240" w:lineRule="auto"/>
        <w:ind w:right="51"/>
        <w:contextualSpacing/>
        <w:jc w:val="center"/>
        <w:rPr>
          <w:rFonts w:eastAsia="Times New Roman"/>
          <w:sz w:val="28"/>
          <w:szCs w:val="28"/>
        </w:rPr>
      </w:pPr>
      <w:r w:rsidRPr="002C1A32">
        <w:rPr>
          <w:rFonts w:eastAsia="Times New Roman"/>
          <w:sz w:val="28"/>
          <w:szCs w:val="28"/>
        </w:rPr>
        <w:t>CRISTINA PARDO SCHLESINGER</w:t>
      </w:r>
    </w:p>
    <w:p w14:paraId="59563BEC" w14:textId="77777777" w:rsidR="004075B4" w:rsidRPr="002C1A32" w:rsidRDefault="004075B4" w:rsidP="002C1A32">
      <w:pPr>
        <w:spacing w:after="0" w:line="240" w:lineRule="auto"/>
        <w:ind w:right="51"/>
        <w:contextualSpacing/>
        <w:jc w:val="center"/>
        <w:rPr>
          <w:rFonts w:eastAsia="Times New Roman"/>
          <w:sz w:val="28"/>
          <w:szCs w:val="28"/>
        </w:rPr>
      </w:pPr>
      <w:r w:rsidRPr="002C1A32">
        <w:rPr>
          <w:rFonts w:eastAsia="Times New Roman"/>
          <w:sz w:val="28"/>
          <w:szCs w:val="28"/>
        </w:rPr>
        <w:t>Magistrada</w:t>
      </w:r>
    </w:p>
    <w:p w14:paraId="632DF06C" w14:textId="77777777" w:rsidR="000B31BC" w:rsidRPr="002C1A32" w:rsidRDefault="000B31BC" w:rsidP="002C1A32">
      <w:pPr>
        <w:spacing w:after="0" w:line="240" w:lineRule="auto"/>
        <w:ind w:right="51"/>
        <w:contextualSpacing/>
        <w:jc w:val="center"/>
        <w:rPr>
          <w:rFonts w:eastAsia="Times New Roman"/>
          <w:sz w:val="28"/>
          <w:szCs w:val="28"/>
        </w:rPr>
      </w:pPr>
    </w:p>
    <w:p w14:paraId="7F33D4DE" w14:textId="77777777" w:rsidR="004075B4" w:rsidRPr="002C1A32" w:rsidRDefault="004075B4" w:rsidP="002C1A32">
      <w:pPr>
        <w:spacing w:after="0" w:line="240" w:lineRule="auto"/>
        <w:ind w:right="51"/>
        <w:contextualSpacing/>
        <w:jc w:val="center"/>
        <w:rPr>
          <w:rFonts w:eastAsia="Times New Roman"/>
          <w:sz w:val="28"/>
          <w:szCs w:val="28"/>
        </w:rPr>
      </w:pPr>
    </w:p>
    <w:p w14:paraId="4E8E0C02" w14:textId="77777777" w:rsidR="00F747AF" w:rsidRPr="002C1A32" w:rsidRDefault="00F747AF" w:rsidP="002C1A32">
      <w:pPr>
        <w:spacing w:after="0" w:line="240" w:lineRule="auto"/>
        <w:ind w:right="51"/>
        <w:contextualSpacing/>
        <w:jc w:val="center"/>
        <w:rPr>
          <w:rFonts w:eastAsia="Times New Roman"/>
          <w:sz w:val="28"/>
          <w:szCs w:val="28"/>
        </w:rPr>
      </w:pPr>
    </w:p>
    <w:p w14:paraId="6C777144" w14:textId="77777777" w:rsidR="004075B4" w:rsidRPr="002C1A32" w:rsidRDefault="004075B4" w:rsidP="002C1A32">
      <w:pPr>
        <w:spacing w:after="0" w:line="240" w:lineRule="auto"/>
        <w:ind w:right="51"/>
        <w:contextualSpacing/>
        <w:jc w:val="center"/>
        <w:rPr>
          <w:rFonts w:eastAsia="Times New Roman"/>
          <w:sz w:val="28"/>
          <w:szCs w:val="28"/>
        </w:rPr>
      </w:pPr>
      <w:r w:rsidRPr="002C1A32">
        <w:rPr>
          <w:rFonts w:eastAsia="Times New Roman"/>
          <w:sz w:val="28"/>
          <w:szCs w:val="28"/>
        </w:rPr>
        <w:t>JOSÉ FERNANDO REYES CUARTAS</w:t>
      </w:r>
    </w:p>
    <w:p w14:paraId="3D4126C1" w14:textId="77777777" w:rsidR="004075B4" w:rsidRPr="002C1A32" w:rsidRDefault="004075B4" w:rsidP="002C1A32">
      <w:pPr>
        <w:spacing w:after="0" w:line="240" w:lineRule="auto"/>
        <w:ind w:right="51"/>
        <w:contextualSpacing/>
        <w:jc w:val="center"/>
        <w:rPr>
          <w:rFonts w:eastAsia="Times New Roman"/>
          <w:sz w:val="28"/>
          <w:szCs w:val="28"/>
        </w:rPr>
      </w:pPr>
      <w:r w:rsidRPr="002C1A32">
        <w:rPr>
          <w:rFonts w:eastAsia="Times New Roman"/>
          <w:sz w:val="28"/>
          <w:szCs w:val="28"/>
        </w:rPr>
        <w:t>Magistrado</w:t>
      </w:r>
    </w:p>
    <w:p w14:paraId="522E9135" w14:textId="77777777" w:rsidR="003F24C2" w:rsidRPr="002C1A32" w:rsidRDefault="003F24C2" w:rsidP="002C1A32">
      <w:pPr>
        <w:spacing w:after="0" w:line="240" w:lineRule="auto"/>
        <w:ind w:right="51"/>
        <w:contextualSpacing/>
        <w:jc w:val="center"/>
        <w:rPr>
          <w:rFonts w:eastAsia="Times New Roman"/>
          <w:i/>
          <w:sz w:val="28"/>
          <w:szCs w:val="28"/>
          <w:lang w:val="es-ES"/>
        </w:rPr>
      </w:pPr>
    </w:p>
    <w:p w14:paraId="31F7962E" w14:textId="77777777" w:rsidR="00F12D72" w:rsidRPr="002C1A32" w:rsidRDefault="00F12D72" w:rsidP="002C1A32">
      <w:pPr>
        <w:spacing w:after="0" w:line="240" w:lineRule="auto"/>
        <w:ind w:right="51"/>
        <w:contextualSpacing/>
        <w:jc w:val="center"/>
        <w:rPr>
          <w:rFonts w:eastAsia="Times New Roman"/>
          <w:i/>
          <w:sz w:val="28"/>
          <w:szCs w:val="28"/>
          <w:lang w:val="es-ES"/>
        </w:rPr>
      </w:pPr>
    </w:p>
    <w:p w14:paraId="7E0FA295" w14:textId="77777777" w:rsidR="004075B4" w:rsidRPr="002C1A32" w:rsidRDefault="004075B4" w:rsidP="002C1A32">
      <w:pPr>
        <w:spacing w:after="0" w:line="240" w:lineRule="auto"/>
        <w:ind w:right="51"/>
        <w:contextualSpacing/>
        <w:jc w:val="center"/>
        <w:rPr>
          <w:rFonts w:eastAsia="Times New Roman"/>
          <w:sz w:val="28"/>
          <w:szCs w:val="28"/>
        </w:rPr>
      </w:pPr>
    </w:p>
    <w:p w14:paraId="1209DA4C" w14:textId="77777777" w:rsidR="004075B4" w:rsidRPr="002C1A32" w:rsidRDefault="004075B4" w:rsidP="002C1A32">
      <w:pPr>
        <w:spacing w:after="0" w:line="240" w:lineRule="auto"/>
        <w:ind w:right="51"/>
        <w:contextualSpacing/>
        <w:jc w:val="center"/>
        <w:rPr>
          <w:rFonts w:eastAsia="Times New Roman"/>
          <w:sz w:val="28"/>
          <w:szCs w:val="28"/>
        </w:rPr>
      </w:pPr>
      <w:r w:rsidRPr="002C1A32">
        <w:rPr>
          <w:rFonts w:eastAsia="Times New Roman"/>
          <w:sz w:val="28"/>
          <w:szCs w:val="28"/>
        </w:rPr>
        <w:t>ALBERTO ROJAS RÍOS</w:t>
      </w:r>
    </w:p>
    <w:p w14:paraId="1F085F7E" w14:textId="77777777" w:rsidR="004075B4" w:rsidRPr="002C1A32" w:rsidRDefault="004075B4" w:rsidP="002C1A32">
      <w:pPr>
        <w:spacing w:after="0" w:line="240" w:lineRule="auto"/>
        <w:ind w:right="51"/>
        <w:contextualSpacing/>
        <w:jc w:val="center"/>
        <w:rPr>
          <w:rFonts w:eastAsia="Times New Roman"/>
          <w:sz w:val="28"/>
          <w:szCs w:val="28"/>
        </w:rPr>
      </w:pPr>
      <w:r w:rsidRPr="002C1A32">
        <w:rPr>
          <w:rFonts w:eastAsia="Times New Roman"/>
          <w:sz w:val="28"/>
          <w:szCs w:val="28"/>
        </w:rPr>
        <w:t>Magistrado</w:t>
      </w:r>
    </w:p>
    <w:p w14:paraId="5802223C" w14:textId="6ABD4D1F" w:rsidR="004A55EA" w:rsidRPr="002C1A32" w:rsidRDefault="002C1A32" w:rsidP="002C1A32">
      <w:pPr>
        <w:spacing w:after="0" w:line="240" w:lineRule="auto"/>
        <w:ind w:right="51"/>
        <w:contextualSpacing/>
        <w:jc w:val="center"/>
        <w:rPr>
          <w:rFonts w:eastAsia="Times New Roman"/>
          <w:i/>
          <w:sz w:val="28"/>
          <w:szCs w:val="28"/>
          <w:lang w:val="es-ES"/>
        </w:rPr>
      </w:pPr>
      <w:r>
        <w:rPr>
          <w:rFonts w:eastAsia="Times New Roman"/>
          <w:i/>
          <w:sz w:val="28"/>
          <w:szCs w:val="28"/>
        </w:rPr>
        <w:t>Con s</w:t>
      </w:r>
      <w:r w:rsidR="004A55EA" w:rsidRPr="002C1A32">
        <w:rPr>
          <w:rFonts w:eastAsia="Times New Roman"/>
          <w:i/>
          <w:sz w:val="28"/>
          <w:szCs w:val="28"/>
        </w:rPr>
        <w:t>alvamento de voto</w:t>
      </w:r>
    </w:p>
    <w:p w14:paraId="46973D65" w14:textId="00176DF4" w:rsidR="000B31BC" w:rsidRPr="002C1A32" w:rsidRDefault="000B31BC" w:rsidP="002C1A32">
      <w:pPr>
        <w:spacing w:after="0" w:line="240" w:lineRule="auto"/>
        <w:ind w:right="51"/>
        <w:contextualSpacing/>
        <w:jc w:val="center"/>
        <w:rPr>
          <w:rFonts w:eastAsia="Times New Roman"/>
          <w:i/>
          <w:sz w:val="28"/>
          <w:szCs w:val="28"/>
          <w:lang w:val="es-ES"/>
        </w:rPr>
      </w:pPr>
    </w:p>
    <w:p w14:paraId="167E48DB" w14:textId="77777777" w:rsidR="004075B4" w:rsidRPr="002C1A32" w:rsidRDefault="004075B4" w:rsidP="002C1A32">
      <w:pPr>
        <w:spacing w:after="0" w:line="240" w:lineRule="auto"/>
        <w:ind w:right="51"/>
        <w:contextualSpacing/>
        <w:jc w:val="center"/>
        <w:rPr>
          <w:rFonts w:eastAsia="Times New Roman"/>
          <w:sz w:val="28"/>
          <w:szCs w:val="28"/>
          <w:lang w:val="es-ES"/>
        </w:rPr>
      </w:pPr>
    </w:p>
    <w:p w14:paraId="25700A05" w14:textId="77777777" w:rsidR="00B02A52" w:rsidRPr="002C1A32" w:rsidRDefault="00B02A52" w:rsidP="002C1A32">
      <w:pPr>
        <w:spacing w:after="0" w:line="240" w:lineRule="auto"/>
        <w:ind w:right="51"/>
        <w:contextualSpacing/>
        <w:jc w:val="center"/>
        <w:rPr>
          <w:rFonts w:eastAsia="Times New Roman"/>
          <w:sz w:val="28"/>
          <w:szCs w:val="28"/>
          <w:lang w:val="es-ES"/>
        </w:rPr>
      </w:pPr>
    </w:p>
    <w:p w14:paraId="31C074E1" w14:textId="0A893415" w:rsidR="00621E37" w:rsidRPr="002C1A32" w:rsidRDefault="00621E37" w:rsidP="002C1A32">
      <w:pPr>
        <w:spacing w:after="0" w:line="240" w:lineRule="auto"/>
        <w:ind w:right="51"/>
        <w:contextualSpacing/>
        <w:jc w:val="center"/>
        <w:rPr>
          <w:rFonts w:eastAsia="Times New Roman"/>
          <w:sz w:val="28"/>
          <w:szCs w:val="28"/>
        </w:rPr>
      </w:pPr>
      <w:r w:rsidRPr="002C1A32">
        <w:rPr>
          <w:rFonts w:eastAsia="Times New Roman"/>
          <w:sz w:val="28"/>
          <w:szCs w:val="28"/>
        </w:rPr>
        <w:t>MARTHA VICTORIA SÁCHICA MÉNDEZ</w:t>
      </w:r>
    </w:p>
    <w:p w14:paraId="7244C996" w14:textId="11C3431D" w:rsidR="00797D2E" w:rsidRDefault="00621E37" w:rsidP="002C1A32">
      <w:pPr>
        <w:spacing w:after="0" w:line="240" w:lineRule="auto"/>
        <w:ind w:right="51"/>
        <w:contextualSpacing/>
        <w:jc w:val="center"/>
        <w:rPr>
          <w:rFonts w:eastAsia="Times New Roman"/>
          <w:sz w:val="28"/>
          <w:szCs w:val="28"/>
        </w:rPr>
      </w:pPr>
      <w:r w:rsidRPr="002C1A32">
        <w:rPr>
          <w:rFonts w:eastAsia="Times New Roman"/>
          <w:sz w:val="28"/>
          <w:szCs w:val="28"/>
        </w:rPr>
        <w:t>Secretaria General</w:t>
      </w:r>
    </w:p>
    <w:p w14:paraId="0AF265A3" w14:textId="1031D73D" w:rsidR="00CE41AF" w:rsidRDefault="00CE41AF" w:rsidP="002C1A32">
      <w:pPr>
        <w:spacing w:after="0" w:line="240" w:lineRule="auto"/>
        <w:ind w:right="51"/>
        <w:contextualSpacing/>
        <w:jc w:val="center"/>
        <w:rPr>
          <w:rFonts w:eastAsia="Times New Roman"/>
          <w:sz w:val="28"/>
          <w:szCs w:val="28"/>
        </w:rPr>
      </w:pPr>
    </w:p>
    <w:p w14:paraId="631AFB67" w14:textId="171A3B02" w:rsidR="00CE41AF" w:rsidRDefault="00CE41AF" w:rsidP="002C1A32">
      <w:pPr>
        <w:spacing w:after="0" w:line="240" w:lineRule="auto"/>
        <w:ind w:right="51"/>
        <w:contextualSpacing/>
        <w:jc w:val="center"/>
        <w:rPr>
          <w:rFonts w:eastAsia="Times New Roman"/>
          <w:sz w:val="28"/>
          <w:szCs w:val="28"/>
        </w:rPr>
      </w:pPr>
    </w:p>
    <w:p w14:paraId="64567F16" w14:textId="65565425" w:rsidR="0086612F" w:rsidRDefault="0086612F" w:rsidP="002C1A32">
      <w:pPr>
        <w:spacing w:after="0" w:line="240" w:lineRule="auto"/>
        <w:ind w:right="51"/>
        <w:contextualSpacing/>
        <w:jc w:val="center"/>
        <w:rPr>
          <w:rFonts w:eastAsia="Times New Roman"/>
          <w:sz w:val="28"/>
          <w:szCs w:val="28"/>
        </w:rPr>
      </w:pPr>
    </w:p>
    <w:p w14:paraId="3BE6F186" w14:textId="0A76D3E1" w:rsidR="0086612F" w:rsidRDefault="0086612F" w:rsidP="002C1A32">
      <w:pPr>
        <w:spacing w:after="0" w:line="240" w:lineRule="auto"/>
        <w:ind w:right="51"/>
        <w:contextualSpacing/>
        <w:jc w:val="center"/>
        <w:rPr>
          <w:rFonts w:eastAsia="Times New Roman"/>
          <w:sz w:val="28"/>
          <w:szCs w:val="28"/>
        </w:rPr>
      </w:pPr>
    </w:p>
    <w:p w14:paraId="0BAB2314" w14:textId="3F6D5C8E" w:rsidR="00C03275" w:rsidRDefault="00C03275" w:rsidP="002C1A32">
      <w:pPr>
        <w:spacing w:after="0" w:line="240" w:lineRule="auto"/>
        <w:ind w:right="51"/>
        <w:contextualSpacing/>
        <w:jc w:val="center"/>
        <w:rPr>
          <w:rFonts w:eastAsia="Times New Roman"/>
          <w:sz w:val="28"/>
          <w:szCs w:val="28"/>
        </w:rPr>
      </w:pPr>
    </w:p>
    <w:p w14:paraId="61848674" w14:textId="62DA002F" w:rsidR="00C03275" w:rsidRDefault="00C03275" w:rsidP="002C1A32">
      <w:pPr>
        <w:spacing w:after="0" w:line="240" w:lineRule="auto"/>
        <w:ind w:right="51"/>
        <w:contextualSpacing/>
        <w:jc w:val="center"/>
        <w:rPr>
          <w:rFonts w:eastAsia="Times New Roman"/>
          <w:sz w:val="28"/>
          <w:szCs w:val="28"/>
        </w:rPr>
      </w:pPr>
    </w:p>
    <w:p w14:paraId="604607AE" w14:textId="79A17AAB" w:rsidR="009C41A7" w:rsidRDefault="009C41A7" w:rsidP="002C1A32">
      <w:pPr>
        <w:spacing w:after="0" w:line="240" w:lineRule="auto"/>
        <w:ind w:right="51"/>
        <w:contextualSpacing/>
        <w:jc w:val="center"/>
        <w:rPr>
          <w:rFonts w:eastAsia="Times New Roman"/>
          <w:sz w:val="28"/>
          <w:szCs w:val="28"/>
        </w:rPr>
      </w:pPr>
    </w:p>
    <w:p w14:paraId="42EBF7DE" w14:textId="68278812" w:rsidR="009C41A7" w:rsidRDefault="009C41A7" w:rsidP="002C1A32">
      <w:pPr>
        <w:spacing w:after="0" w:line="240" w:lineRule="auto"/>
        <w:ind w:right="51"/>
        <w:contextualSpacing/>
        <w:jc w:val="center"/>
        <w:rPr>
          <w:rFonts w:eastAsia="Times New Roman"/>
          <w:sz w:val="28"/>
          <w:szCs w:val="28"/>
        </w:rPr>
      </w:pPr>
    </w:p>
    <w:p w14:paraId="4F9BFB32" w14:textId="2E009325" w:rsidR="00870E90" w:rsidRDefault="00870E90" w:rsidP="002C1A32">
      <w:pPr>
        <w:spacing w:after="0" w:line="240" w:lineRule="auto"/>
        <w:ind w:right="51"/>
        <w:contextualSpacing/>
        <w:jc w:val="center"/>
        <w:rPr>
          <w:rFonts w:eastAsia="Times New Roman"/>
          <w:sz w:val="28"/>
          <w:szCs w:val="28"/>
        </w:rPr>
      </w:pPr>
    </w:p>
    <w:p w14:paraId="6719AE15" w14:textId="2245AC9C" w:rsidR="00870E90" w:rsidRDefault="00870E90" w:rsidP="002C1A32">
      <w:pPr>
        <w:spacing w:after="0" w:line="240" w:lineRule="auto"/>
        <w:ind w:right="51"/>
        <w:contextualSpacing/>
        <w:jc w:val="center"/>
        <w:rPr>
          <w:rFonts w:eastAsia="Times New Roman"/>
          <w:sz w:val="28"/>
          <w:szCs w:val="28"/>
        </w:rPr>
      </w:pPr>
    </w:p>
    <w:p w14:paraId="65FB8E46" w14:textId="7E8DF6B5" w:rsidR="00CF5CF0" w:rsidRDefault="00CF5CF0" w:rsidP="002C1A32">
      <w:pPr>
        <w:spacing w:after="0" w:line="240" w:lineRule="auto"/>
        <w:ind w:right="51"/>
        <w:contextualSpacing/>
        <w:jc w:val="center"/>
        <w:rPr>
          <w:rFonts w:eastAsia="Times New Roman"/>
          <w:sz w:val="28"/>
          <w:szCs w:val="28"/>
        </w:rPr>
      </w:pPr>
    </w:p>
    <w:p w14:paraId="273E7172" w14:textId="678615D0" w:rsidR="00CF5CF0" w:rsidRDefault="00CF5CF0" w:rsidP="002C1A32">
      <w:pPr>
        <w:spacing w:after="0" w:line="240" w:lineRule="auto"/>
        <w:ind w:right="51"/>
        <w:contextualSpacing/>
        <w:jc w:val="center"/>
        <w:rPr>
          <w:rFonts w:eastAsia="Times New Roman"/>
          <w:sz w:val="28"/>
          <w:szCs w:val="28"/>
        </w:rPr>
      </w:pPr>
    </w:p>
    <w:p w14:paraId="1DFFACD9" w14:textId="7496C3F7" w:rsidR="00DA6F6D" w:rsidRDefault="00DA6F6D" w:rsidP="002C1A32">
      <w:pPr>
        <w:spacing w:after="0" w:line="240" w:lineRule="auto"/>
        <w:ind w:right="51"/>
        <w:contextualSpacing/>
        <w:jc w:val="center"/>
        <w:rPr>
          <w:rFonts w:eastAsia="Times New Roman"/>
          <w:sz w:val="28"/>
          <w:szCs w:val="28"/>
        </w:rPr>
      </w:pPr>
    </w:p>
    <w:p w14:paraId="56E8D157" w14:textId="5620821D" w:rsidR="00DA6F6D" w:rsidRDefault="00DA6F6D" w:rsidP="002C1A32">
      <w:pPr>
        <w:spacing w:after="0" w:line="240" w:lineRule="auto"/>
        <w:ind w:right="51"/>
        <w:contextualSpacing/>
        <w:jc w:val="center"/>
        <w:rPr>
          <w:rFonts w:eastAsia="Times New Roman"/>
          <w:sz w:val="28"/>
          <w:szCs w:val="28"/>
        </w:rPr>
      </w:pPr>
    </w:p>
    <w:p w14:paraId="382C7DAF" w14:textId="1DDE72AD" w:rsidR="00F34D4D" w:rsidRDefault="00F34D4D" w:rsidP="002C1A32">
      <w:pPr>
        <w:spacing w:after="0" w:line="240" w:lineRule="auto"/>
        <w:ind w:right="51"/>
        <w:contextualSpacing/>
        <w:jc w:val="center"/>
        <w:rPr>
          <w:rFonts w:eastAsia="Times New Roman"/>
          <w:sz w:val="28"/>
          <w:szCs w:val="28"/>
        </w:rPr>
      </w:pPr>
    </w:p>
    <w:p w14:paraId="79E210FD" w14:textId="77777777" w:rsidR="00F34D4D" w:rsidRPr="002C1A32" w:rsidRDefault="00F34D4D" w:rsidP="002C1A32">
      <w:pPr>
        <w:spacing w:after="0" w:line="240" w:lineRule="auto"/>
        <w:ind w:right="51"/>
        <w:contextualSpacing/>
        <w:jc w:val="center"/>
        <w:rPr>
          <w:rFonts w:eastAsia="Times New Roman"/>
          <w:sz w:val="28"/>
          <w:szCs w:val="28"/>
        </w:rPr>
      </w:pPr>
    </w:p>
    <w:sectPr w:rsidR="00F34D4D" w:rsidRPr="002C1A32" w:rsidSect="00084D20">
      <w:headerReference w:type="default" r:id="rId8"/>
      <w:footerReference w:type="default" r:id="rId9"/>
      <w:pgSz w:w="12240" w:h="18720"/>
      <w:pgMar w:top="1701" w:right="1701" w:bottom="1701" w:left="1701" w:header="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1D1208" w14:textId="77777777" w:rsidR="0067632E" w:rsidRDefault="0067632E">
      <w:pPr>
        <w:spacing w:after="0" w:line="240" w:lineRule="auto"/>
      </w:pPr>
      <w:r>
        <w:separator/>
      </w:r>
    </w:p>
  </w:endnote>
  <w:endnote w:type="continuationSeparator" w:id="0">
    <w:p w14:paraId="64F1E5FD" w14:textId="77777777" w:rsidR="0067632E" w:rsidRDefault="00676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338032"/>
      <w:docPartObj>
        <w:docPartGallery w:val="Page Numbers (Bottom of Page)"/>
        <w:docPartUnique/>
      </w:docPartObj>
    </w:sdtPr>
    <w:sdtEndPr/>
    <w:sdtContent>
      <w:sdt>
        <w:sdtPr>
          <w:id w:val="-1769616900"/>
          <w:docPartObj>
            <w:docPartGallery w:val="Page Numbers (Top of Page)"/>
            <w:docPartUnique/>
          </w:docPartObj>
        </w:sdtPr>
        <w:sdtEndPr/>
        <w:sdtContent>
          <w:p w14:paraId="5EA4A50B" w14:textId="65B8C34F" w:rsidR="003E3C0B" w:rsidRPr="003F02C1" w:rsidRDefault="003E3C0B">
            <w:pPr>
              <w:pStyle w:val="Piedepgina"/>
              <w:jc w:val="right"/>
            </w:pPr>
            <w:r w:rsidRPr="003F02C1">
              <w:rPr>
                <w:lang w:val="es-ES"/>
              </w:rPr>
              <w:t xml:space="preserve">Página </w:t>
            </w:r>
            <w:r w:rsidRPr="003F02C1">
              <w:rPr>
                <w:b/>
                <w:bCs/>
              </w:rPr>
              <w:fldChar w:fldCharType="begin"/>
            </w:r>
            <w:r w:rsidRPr="003F02C1">
              <w:rPr>
                <w:b/>
                <w:bCs/>
              </w:rPr>
              <w:instrText>PAGE</w:instrText>
            </w:r>
            <w:r w:rsidRPr="003F02C1">
              <w:rPr>
                <w:b/>
                <w:bCs/>
              </w:rPr>
              <w:fldChar w:fldCharType="separate"/>
            </w:r>
            <w:r w:rsidR="00A3758C">
              <w:rPr>
                <w:b/>
                <w:bCs/>
                <w:noProof/>
              </w:rPr>
              <w:t>2</w:t>
            </w:r>
            <w:r w:rsidRPr="003F02C1">
              <w:rPr>
                <w:b/>
                <w:bCs/>
              </w:rPr>
              <w:fldChar w:fldCharType="end"/>
            </w:r>
            <w:r w:rsidRPr="003F02C1">
              <w:rPr>
                <w:lang w:val="es-ES"/>
              </w:rPr>
              <w:t xml:space="preserve"> de </w:t>
            </w:r>
            <w:r w:rsidRPr="003F02C1">
              <w:rPr>
                <w:b/>
                <w:bCs/>
              </w:rPr>
              <w:fldChar w:fldCharType="begin"/>
            </w:r>
            <w:r w:rsidRPr="003F02C1">
              <w:rPr>
                <w:b/>
                <w:bCs/>
              </w:rPr>
              <w:instrText>NUMPAGES</w:instrText>
            </w:r>
            <w:r w:rsidRPr="003F02C1">
              <w:rPr>
                <w:b/>
                <w:bCs/>
              </w:rPr>
              <w:fldChar w:fldCharType="separate"/>
            </w:r>
            <w:r w:rsidR="00A3758C">
              <w:rPr>
                <w:b/>
                <w:bCs/>
                <w:noProof/>
              </w:rPr>
              <w:t>28</w:t>
            </w:r>
            <w:r w:rsidRPr="003F02C1">
              <w:rPr>
                <w:b/>
                <w:bCs/>
              </w:rPr>
              <w:fldChar w:fldCharType="end"/>
            </w:r>
          </w:p>
        </w:sdtContent>
      </w:sdt>
    </w:sdtContent>
  </w:sdt>
  <w:p w14:paraId="3F3CA5BB" w14:textId="7975CED8" w:rsidR="003E3C0B" w:rsidRDefault="003E3C0B">
    <w:pPr>
      <w:tabs>
        <w:tab w:val="center" w:pos="4419"/>
        <w:tab w:val="right" w:pos="8838"/>
      </w:tabs>
      <w:spacing w:after="0" w:line="240" w:lineRule="auto"/>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95966F" w14:textId="77777777" w:rsidR="0067632E" w:rsidRDefault="0067632E">
      <w:pPr>
        <w:spacing w:after="0" w:line="240" w:lineRule="auto"/>
      </w:pPr>
      <w:r>
        <w:separator/>
      </w:r>
    </w:p>
  </w:footnote>
  <w:footnote w:type="continuationSeparator" w:id="0">
    <w:p w14:paraId="1BCF810A" w14:textId="77777777" w:rsidR="0067632E" w:rsidRDefault="0067632E">
      <w:pPr>
        <w:spacing w:after="0" w:line="240" w:lineRule="auto"/>
      </w:pPr>
      <w:r>
        <w:continuationSeparator/>
      </w:r>
    </w:p>
  </w:footnote>
  <w:footnote w:id="1">
    <w:p w14:paraId="18967477" w14:textId="77777777" w:rsidR="00CC3886" w:rsidRPr="00E47EC5" w:rsidRDefault="00CC3886" w:rsidP="00CC3886">
      <w:pPr>
        <w:pStyle w:val="Textonotapie"/>
        <w:jc w:val="both"/>
        <w:rPr>
          <w:lang w:val="es-ES"/>
        </w:rPr>
      </w:pPr>
      <w:r w:rsidRPr="00E47EC5">
        <w:rPr>
          <w:rStyle w:val="Refdenotaalpie"/>
        </w:rPr>
        <w:footnoteRef/>
      </w:r>
      <w:r w:rsidRPr="00E47EC5">
        <w:t xml:space="preserve"> A partir del 12 febrero de 2014 la vinculación laboral de las madres comunitarias fue formalizada por disposición del artículo 36 de la Ley 1607 de 2012 y el Decreto 289 de 2014, cuyo artículo 2 establece: </w:t>
      </w:r>
      <w:r w:rsidRPr="00E47EC5">
        <w:rPr>
          <w:i/>
        </w:rPr>
        <w:t>“Las Madres Comunitarias serán vinculadas laboralmente mediante contrato de trabajo suscrito con las entidades administradoras del Programa de Hogares Comunitarios de Bienestar y contarán con todos los derechos y garantías consagradas en el Código Sustantivo de Trabajo, de acuerdo con la modalidad contractual y las normas que regulan el Sistema de Protección Social”.</w:t>
      </w:r>
    </w:p>
  </w:footnote>
  <w:footnote w:id="2">
    <w:p w14:paraId="6E726FD7" w14:textId="587F3C1E" w:rsidR="00CC3886" w:rsidRPr="00E47EC5" w:rsidRDefault="00CC3886" w:rsidP="00CC3886">
      <w:pPr>
        <w:pStyle w:val="Textonotapie"/>
        <w:jc w:val="both"/>
        <w:rPr>
          <w:i/>
        </w:rPr>
      </w:pPr>
      <w:r w:rsidRPr="00E47EC5">
        <w:rPr>
          <w:rStyle w:val="Refdenotaalpie"/>
        </w:rPr>
        <w:footnoteRef/>
      </w:r>
      <w:r w:rsidRPr="00E47EC5">
        <w:t xml:space="preserve"> C.S.T. y de la S.S., articulo 23. </w:t>
      </w:r>
      <w:r w:rsidRPr="00E47EC5">
        <w:rPr>
          <w:i/>
        </w:rPr>
        <w:t xml:space="preserve">“ELEMENTOS ESENCIALES. 1. Para que haya contrato de trabajo se requiere que concurran estos tres elementos esenciales: </w:t>
      </w:r>
      <w:r w:rsidRPr="00E47EC5">
        <w:rPr>
          <w:b/>
          <w:i/>
        </w:rPr>
        <w:t>a.</w:t>
      </w:r>
      <w:r w:rsidRPr="00E47EC5">
        <w:rPr>
          <w:i/>
        </w:rPr>
        <w:t xml:space="preserve"> La actividad personal del trabajador, es decir, realizada por sí mismo; </w:t>
      </w:r>
      <w:r w:rsidRPr="00E47EC5">
        <w:rPr>
          <w:b/>
          <w:i/>
        </w:rPr>
        <w:t>b.</w:t>
      </w:r>
      <w:r w:rsidRPr="00E47EC5">
        <w:rPr>
          <w:i/>
        </w:rPr>
        <w:t xml:space="preserve"> La continuada subordinación o dependencia del trabajador respecto del empleador, que faculta a éste para exigirle el cumplimiento de órdenes, en cualquier momento, en cuanto al modo, tiempo o cantidad de trabajo, e imponerle reglamentos, la cual debe mantenerse por todo el tiempo de duración del contrato. Todo ello sin que afecte el honor, la dignidad y los derechos mínimos del trabajador en concordancia con los tratados o convenios internacionales que sobre derechos humanos relativos a la materia obliguen al país; y </w:t>
      </w:r>
      <w:r w:rsidRPr="00E47EC5">
        <w:rPr>
          <w:b/>
          <w:i/>
        </w:rPr>
        <w:t>c.</w:t>
      </w:r>
      <w:r w:rsidRPr="00E47EC5">
        <w:rPr>
          <w:i/>
        </w:rPr>
        <w:t xml:space="preserve"> Un salario como retribución del servicio.</w:t>
      </w:r>
    </w:p>
    <w:p w14:paraId="3785A45B" w14:textId="46A37095" w:rsidR="00CC3886" w:rsidRPr="00E47EC5" w:rsidRDefault="00CC3886" w:rsidP="00CC3886">
      <w:pPr>
        <w:pStyle w:val="Textonotapie"/>
        <w:jc w:val="both"/>
        <w:rPr>
          <w:i/>
        </w:rPr>
      </w:pPr>
      <w:r w:rsidRPr="00E47EC5">
        <w:rPr>
          <w:i/>
        </w:rPr>
        <w:t>2. Una vez reunidos los tres elementos de que trata este artículo, se entiende que existe contrato de trabajo y no deja de serlo por razón del nombre que se le dé ni de otras condiciones o modalidades que se le agreguen”.</w:t>
      </w:r>
    </w:p>
  </w:footnote>
  <w:footnote w:id="3">
    <w:p w14:paraId="71B803C1" w14:textId="7D2597FD" w:rsidR="002D77BD" w:rsidRPr="00E47EC5" w:rsidRDefault="002D77BD">
      <w:pPr>
        <w:pStyle w:val="Textonotapie"/>
      </w:pPr>
      <w:r w:rsidRPr="00E47EC5">
        <w:rPr>
          <w:rStyle w:val="Refdenotaalpie"/>
        </w:rPr>
        <w:footnoteRef/>
      </w:r>
      <w:r w:rsidRPr="00E47EC5">
        <w:t xml:space="preserve"> Autos 186 de 2018 y 217 de </w:t>
      </w:r>
    </w:p>
  </w:footnote>
  <w:footnote w:id="4">
    <w:p w14:paraId="3B2B7143" w14:textId="72BB9BA4" w:rsidR="003E3C0B" w:rsidRPr="00E47EC5" w:rsidRDefault="003E3C0B" w:rsidP="005078F9">
      <w:pPr>
        <w:pStyle w:val="Textonotapie"/>
        <w:jc w:val="both"/>
        <w:rPr>
          <w:lang w:val="es-ES"/>
        </w:rPr>
      </w:pPr>
      <w:r w:rsidRPr="00E47EC5">
        <w:rPr>
          <w:rStyle w:val="Refdenotaalpie"/>
        </w:rPr>
        <w:footnoteRef/>
      </w:r>
      <w:r w:rsidRPr="00E47EC5">
        <w:t xml:space="preserve"> </w:t>
      </w:r>
      <w:r w:rsidRPr="00E47EC5">
        <w:rPr>
          <w:lang w:val="es-ES"/>
        </w:rPr>
        <w:t>Expedientes T-5.457.363 por medio de la Directora (E) de la Regional Antioquia (fls. 49-52, Cdno. 1), T-5.513.941 a través de la Directora (E) de la Regional Nariño (fls. 706-712, Cdno. 1) y T-5.516.632 representado por la Coordinadora de la Oficina Jurídica de la Regional Valle del Cauca (fls. 552-558, Cdno. 1).</w:t>
      </w:r>
    </w:p>
  </w:footnote>
  <w:footnote w:id="5">
    <w:p w14:paraId="7E2FFA97" w14:textId="1F594EBB" w:rsidR="003E3C0B" w:rsidRPr="00E47EC5" w:rsidRDefault="003E3C0B" w:rsidP="005078F9">
      <w:pPr>
        <w:pStyle w:val="Textonotapie"/>
        <w:jc w:val="both"/>
        <w:rPr>
          <w:lang w:val="es-ES"/>
        </w:rPr>
      </w:pPr>
      <w:r w:rsidRPr="00E47EC5">
        <w:rPr>
          <w:rStyle w:val="Refdenotaalpie"/>
        </w:rPr>
        <w:footnoteRef/>
      </w:r>
      <w:r w:rsidRPr="00E47EC5">
        <w:t xml:space="preserve"> </w:t>
      </w:r>
      <w:r w:rsidRPr="00E47EC5">
        <w:rPr>
          <w:lang w:val="es-ES"/>
        </w:rPr>
        <w:t xml:space="preserve">Expedientes T-5.457.363 (fls. </w:t>
      </w:r>
      <w:r w:rsidRPr="00E47EC5">
        <w:t>32-40</w:t>
      </w:r>
      <w:r w:rsidRPr="00E47EC5">
        <w:rPr>
          <w:lang w:val="es-ES"/>
        </w:rPr>
        <w:t>, Cdno. 1), T-5.513.941 (fls. 820-825, Cdno. 1) y T-5.516.632 (no contestó).</w:t>
      </w:r>
    </w:p>
  </w:footnote>
  <w:footnote w:id="6">
    <w:p w14:paraId="61E301DD" w14:textId="2C4F8D94" w:rsidR="003E3C0B" w:rsidRPr="00E47EC5" w:rsidRDefault="003E3C0B" w:rsidP="005078F9">
      <w:pPr>
        <w:pStyle w:val="Textonotapie"/>
        <w:jc w:val="both"/>
        <w:rPr>
          <w:lang w:val="es-ES"/>
        </w:rPr>
      </w:pPr>
      <w:r w:rsidRPr="00E47EC5">
        <w:rPr>
          <w:rStyle w:val="Refdenotaalpie"/>
        </w:rPr>
        <w:footnoteRef/>
      </w:r>
      <w:r w:rsidRPr="00E47EC5">
        <w:t xml:space="preserve"> </w:t>
      </w:r>
      <w:r w:rsidRPr="00E47EC5">
        <w:rPr>
          <w:lang w:val="es-US"/>
        </w:rPr>
        <w:t>Fls.</w:t>
      </w:r>
      <w:r w:rsidRPr="00E47EC5">
        <w:t>830-832</w:t>
      </w:r>
      <w:r w:rsidRPr="00E47EC5">
        <w:rPr>
          <w:lang w:val="es-US"/>
        </w:rPr>
        <w:t>, Cdno. 1.</w:t>
      </w:r>
    </w:p>
  </w:footnote>
  <w:footnote w:id="7">
    <w:p w14:paraId="264312F3" w14:textId="6DB559B0" w:rsidR="003E3C0B" w:rsidRPr="00E47EC5" w:rsidRDefault="003E3C0B" w:rsidP="005078F9">
      <w:pPr>
        <w:pStyle w:val="Textonotapie"/>
        <w:jc w:val="both"/>
      </w:pPr>
      <w:r w:rsidRPr="00E47EC5">
        <w:rPr>
          <w:rStyle w:val="Refdenotaalpie"/>
        </w:rPr>
        <w:footnoteRef/>
      </w:r>
      <w:r w:rsidRPr="00E47EC5">
        <w:t xml:space="preserve"> Resolutivo segundo del Auto 217 de 2018. </w:t>
      </w:r>
    </w:p>
  </w:footnote>
  <w:footnote w:id="8">
    <w:p w14:paraId="593626D2" w14:textId="0F2DD4A1" w:rsidR="003E3C0B" w:rsidRPr="00E47EC5" w:rsidRDefault="003E3C0B" w:rsidP="005078F9">
      <w:pPr>
        <w:pStyle w:val="Textonotapie"/>
        <w:jc w:val="both"/>
      </w:pPr>
      <w:r w:rsidRPr="00E47EC5">
        <w:rPr>
          <w:rStyle w:val="Refdenotaalpie"/>
        </w:rPr>
        <w:footnoteRef/>
      </w:r>
      <w:r w:rsidRPr="00E47EC5">
        <w:t xml:space="preserve"> En vigencia del artículo 9 del Decreto 2414 de 1998 la mora era de 4 meses, posteriormente el artículo 2.2.14.1.24 del Decreto 1833 de 2016 la amplió a 6 meses. </w:t>
      </w:r>
    </w:p>
  </w:footnote>
  <w:footnote w:id="9">
    <w:p w14:paraId="411DF012" w14:textId="4F93CD06" w:rsidR="003E3C0B" w:rsidRPr="00E47EC5" w:rsidRDefault="003E3C0B" w:rsidP="005078F9">
      <w:pPr>
        <w:pStyle w:val="Textonotapie"/>
        <w:jc w:val="both"/>
        <w:rPr>
          <w:lang w:val="es-US"/>
        </w:rPr>
      </w:pPr>
      <w:r w:rsidRPr="00E47EC5">
        <w:rPr>
          <w:rStyle w:val="Refdenotaalpie"/>
        </w:rPr>
        <w:footnoteRef/>
      </w:r>
      <w:r w:rsidRPr="00E47EC5">
        <w:t xml:space="preserve"> </w:t>
      </w:r>
      <w:r w:rsidRPr="00E47EC5">
        <w:rPr>
          <w:lang w:val="es-US"/>
        </w:rPr>
        <w:t xml:space="preserve">Fls. </w:t>
      </w:r>
      <w:r w:rsidR="002D77BD" w:rsidRPr="00E47EC5">
        <w:rPr>
          <w:lang w:val="es-US"/>
        </w:rPr>
        <w:t>261</w:t>
      </w:r>
      <w:r w:rsidRPr="00E47EC5">
        <w:rPr>
          <w:lang w:val="es-US"/>
        </w:rPr>
        <w:t>-</w:t>
      </w:r>
      <w:r w:rsidR="002D77BD" w:rsidRPr="00E47EC5">
        <w:rPr>
          <w:lang w:val="es-US"/>
        </w:rPr>
        <w:t>272, Cdno</w:t>
      </w:r>
      <w:r w:rsidRPr="00E47EC5">
        <w:rPr>
          <w:lang w:val="es-US"/>
        </w:rPr>
        <w:t xml:space="preserve"> </w:t>
      </w:r>
      <w:r w:rsidR="002D77BD" w:rsidRPr="00E47EC5">
        <w:rPr>
          <w:lang w:val="es-US"/>
        </w:rPr>
        <w:t>de nulidad</w:t>
      </w:r>
      <w:r w:rsidRPr="00E47EC5">
        <w:rPr>
          <w:lang w:val="es-US"/>
        </w:rPr>
        <w:t>.</w:t>
      </w:r>
    </w:p>
  </w:footnote>
  <w:footnote w:id="10">
    <w:p w14:paraId="03DAC24C" w14:textId="1788AC28" w:rsidR="002D77BD" w:rsidRPr="00E47EC5" w:rsidRDefault="002D77BD">
      <w:pPr>
        <w:pStyle w:val="Textonotapie"/>
      </w:pPr>
      <w:r w:rsidRPr="00E47EC5">
        <w:rPr>
          <w:rStyle w:val="Refdenotaalpie"/>
        </w:rPr>
        <w:footnoteRef/>
      </w:r>
      <w:r w:rsidRPr="00E47EC5">
        <w:t xml:space="preserve"> </w:t>
      </w:r>
      <w:r w:rsidRPr="00E47EC5">
        <w:rPr>
          <w:lang w:val="es-US"/>
        </w:rPr>
        <w:t>Fls. 273-284, Cdno de nulidad.</w:t>
      </w:r>
    </w:p>
  </w:footnote>
  <w:footnote w:id="11">
    <w:p w14:paraId="5F6AB7D9" w14:textId="77777777" w:rsidR="003E3C0B" w:rsidRPr="00E47EC5" w:rsidRDefault="003E3C0B" w:rsidP="005078F9">
      <w:pPr>
        <w:pStyle w:val="Textonotapie"/>
        <w:jc w:val="both"/>
        <w:rPr>
          <w:lang w:val="es-US"/>
        </w:rPr>
      </w:pPr>
      <w:r w:rsidRPr="00E47EC5">
        <w:rPr>
          <w:rStyle w:val="Refdenotaalpie"/>
        </w:rPr>
        <w:footnoteRef/>
      </w:r>
      <w:r w:rsidRPr="00E47EC5">
        <w:t xml:space="preserve"> </w:t>
      </w:r>
      <w:r w:rsidRPr="00E47EC5">
        <w:rPr>
          <w:lang w:val="es-US"/>
        </w:rPr>
        <w:t>Fls. 53-59, Cdno. 1.</w:t>
      </w:r>
    </w:p>
  </w:footnote>
  <w:footnote w:id="12">
    <w:p w14:paraId="0413971A" w14:textId="76E6367F" w:rsidR="003E3C0B" w:rsidRPr="00E47EC5" w:rsidRDefault="003E3C0B" w:rsidP="005078F9">
      <w:pPr>
        <w:pStyle w:val="Textonotapie"/>
        <w:jc w:val="both"/>
        <w:rPr>
          <w:lang w:val="es-ES"/>
        </w:rPr>
      </w:pPr>
      <w:r w:rsidRPr="00E47EC5">
        <w:rPr>
          <w:rStyle w:val="Refdenotaalpie"/>
        </w:rPr>
        <w:footnoteRef/>
      </w:r>
      <w:r w:rsidRPr="00E47EC5">
        <w:t xml:space="preserve"> Fls. 846-851, Cdno. 1.</w:t>
      </w:r>
    </w:p>
  </w:footnote>
  <w:footnote w:id="13">
    <w:p w14:paraId="61F4FE30" w14:textId="0EED1E7F" w:rsidR="003E3C0B" w:rsidRPr="00E47EC5" w:rsidRDefault="003E3C0B" w:rsidP="005078F9">
      <w:pPr>
        <w:pStyle w:val="Textonotapie"/>
        <w:jc w:val="both"/>
        <w:rPr>
          <w:lang w:val="es-US"/>
        </w:rPr>
      </w:pPr>
      <w:r w:rsidRPr="00E47EC5">
        <w:rPr>
          <w:rStyle w:val="Refdenotaalpie"/>
        </w:rPr>
        <w:footnoteRef/>
      </w:r>
      <w:r w:rsidRPr="00E47EC5">
        <w:t xml:space="preserve"> </w:t>
      </w:r>
      <w:r w:rsidRPr="00E47EC5">
        <w:rPr>
          <w:lang w:val="es-US"/>
        </w:rPr>
        <w:t>Fls. 559-569, Cdno. 1.</w:t>
      </w:r>
    </w:p>
  </w:footnote>
  <w:footnote w:id="14">
    <w:p w14:paraId="65125935" w14:textId="77777777" w:rsidR="003E3C0B" w:rsidRPr="00E47EC5" w:rsidRDefault="003E3C0B" w:rsidP="005078F9">
      <w:pPr>
        <w:pStyle w:val="Textonotapie"/>
        <w:jc w:val="both"/>
        <w:rPr>
          <w:lang w:val="es-ES"/>
        </w:rPr>
      </w:pPr>
      <w:r w:rsidRPr="00E47EC5">
        <w:rPr>
          <w:rStyle w:val="Refdenotaalpie"/>
        </w:rPr>
        <w:footnoteRef/>
      </w:r>
      <w:r w:rsidRPr="00E47EC5">
        <w:t xml:space="preserve"> Conformada por los Magistrados Luis Guillermo Guerrero Pérez y Gloria Stella Ortiz Delgado.</w:t>
      </w:r>
    </w:p>
  </w:footnote>
  <w:footnote w:id="15">
    <w:p w14:paraId="0BF52138" w14:textId="77777777" w:rsidR="003E3C0B" w:rsidRPr="00E47EC5" w:rsidRDefault="003E3C0B" w:rsidP="005078F9">
      <w:pPr>
        <w:pStyle w:val="Textonotapie"/>
        <w:jc w:val="both"/>
        <w:rPr>
          <w:lang w:val="es-ES"/>
        </w:rPr>
      </w:pPr>
      <w:r w:rsidRPr="00E47EC5">
        <w:rPr>
          <w:rStyle w:val="Refdenotaalpie"/>
        </w:rPr>
        <w:footnoteRef/>
      </w:r>
      <w:r w:rsidRPr="00E47EC5">
        <w:t xml:space="preserve"> Integrada por los Magistrados Alejandro Linares Cantillo y Alberto Rojas Ríos.</w:t>
      </w:r>
    </w:p>
  </w:footnote>
  <w:footnote w:id="16">
    <w:p w14:paraId="56082873" w14:textId="09AB9B8E" w:rsidR="003E3C0B" w:rsidRPr="00E47EC5" w:rsidRDefault="003E3C0B" w:rsidP="005078F9">
      <w:pPr>
        <w:pStyle w:val="Textonotapie"/>
        <w:jc w:val="both"/>
      </w:pPr>
      <w:r w:rsidRPr="00E47EC5">
        <w:rPr>
          <w:rStyle w:val="Refdenotaalpie"/>
        </w:rPr>
        <w:footnoteRef/>
      </w:r>
      <w:r w:rsidRPr="00E47EC5">
        <w:t xml:space="preserve"> Los cuadernos que integran el expediente de tutela fueron allegados al despacho del magistrado ponente, por conducto de la Secretaría General de la Corte Constitucional, con el contenido de que da cuenta la constancia secretarial que obra en el folio </w:t>
      </w:r>
      <w:r w:rsidR="002D77BD" w:rsidRPr="00E47EC5">
        <w:t>874</w:t>
      </w:r>
      <w:r w:rsidRPr="00E47EC5">
        <w:t xml:space="preserve"> del cuaderno del incidente de nulidad tramitado an</w:t>
      </w:r>
      <w:r w:rsidR="002D77BD" w:rsidRPr="00E47EC5">
        <w:t>te esta Corte (en adelante Cdno de nulidad</w:t>
      </w:r>
      <w:r w:rsidRPr="00E47EC5">
        <w:t>).</w:t>
      </w:r>
    </w:p>
  </w:footnote>
  <w:footnote w:id="17">
    <w:p w14:paraId="3993A424" w14:textId="3C809B7E" w:rsidR="003E3C0B" w:rsidRPr="00E47EC5" w:rsidRDefault="003E3C0B" w:rsidP="005078F9">
      <w:pPr>
        <w:pStyle w:val="Textonotapie"/>
        <w:jc w:val="both"/>
        <w:rPr>
          <w:lang w:val="es-US"/>
        </w:rPr>
      </w:pPr>
      <w:r w:rsidRPr="00E47EC5">
        <w:rPr>
          <w:rStyle w:val="Refdenotaalpie"/>
        </w:rPr>
        <w:footnoteRef/>
      </w:r>
      <w:r w:rsidRPr="00E47EC5">
        <w:t xml:space="preserve"> </w:t>
      </w:r>
      <w:r w:rsidRPr="00E47EC5">
        <w:rPr>
          <w:lang w:val="es-US"/>
        </w:rPr>
        <w:t>Ver el numeral 166 de la anulada Sentencia T-480 de 2016.</w:t>
      </w:r>
    </w:p>
  </w:footnote>
  <w:footnote w:id="18">
    <w:p w14:paraId="1BB53A17" w14:textId="0D6FC3F5" w:rsidR="003E3C0B" w:rsidRPr="00E47EC5" w:rsidRDefault="003E3C0B" w:rsidP="005078F9">
      <w:pPr>
        <w:pStyle w:val="Textonotapie"/>
        <w:jc w:val="both"/>
      </w:pPr>
      <w:r w:rsidRPr="00E47EC5">
        <w:rPr>
          <w:rStyle w:val="Refdenotaalpie"/>
        </w:rPr>
        <w:footnoteRef/>
      </w:r>
      <w:r w:rsidRPr="00E47EC5">
        <w:t xml:space="preserve"> Contenida en la línea jurisprudencial T-269 de 1995, T-668 de 2000, T-990 de 2000, T-1081 de 2000, T-1117 de 2000, T-1173 de 2000, T-1605 de 2000, T-1674 de 2000, T-158 de 2001, T-159 de 2001 y T-1029 de 2001.</w:t>
      </w:r>
    </w:p>
  </w:footnote>
  <w:footnote w:id="19">
    <w:p w14:paraId="0F2B9198" w14:textId="04FD540C" w:rsidR="003E3C0B" w:rsidRPr="00E47EC5" w:rsidRDefault="003E3C0B" w:rsidP="00965264">
      <w:pPr>
        <w:pStyle w:val="Textonotapie"/>
        <w:jc w:val="both"/>
        <w:rPr>
          <w:i/>
        </w:rPr>
      </w:pPr>
      <w:r w:rsidRPr="00E47EC5">
        <w:rPr>
          <w:rStyle w:val="Refdenotaalpie"/>
        </w:rPr>
        <w:footnoteRef/>
      </w:r>
      <w:r w:rsidRPr="00E47EC5">
        <w:t xml:space="preserve"> Sentencia T-422 de 2018. Este requisito tiene por objeto: </w:t>
      </w:r>
      <w:r w:rsidRPr="00E47EC5">
        <w:rPr>
          <w:i/>
        </w:rPr>
        <w:t xml:space="preserve">“(i) Preservar la competencia y la independencia de los jueces de las jurisdicciones diferentes a la constitucional y, por tanto, evitar que la acción de tutela se utilice para discutir asuntos de mera legalidad; (ii) restringir el </w:t>
      </w:r>
      <w:r w:rsidRPr="00E47EC5">
        <w:t>ejercicio</w:t>
      </w:r>
      <w:r w:rsidRPr="00E47EC5">
        <w:rPr>
          <w:i/>
        </w:rPr>
        <w:t xml:space="preserve"> de la acción de tutela a cuestiones de relevancia constitucional que afecten los derechos fundamentales y, finalmente, (iii) impedir que la acción de tutela se convierta en una instancia o recurso adicional para controvertir las decisiones de los jueces”.</w:t>
      </w:r>
    </w:p>
  </w:footnote>
  <w:footnote w:id="20">
    <w:p w14:paraId="17150B80" w14:textId="344E257D" w:rsidR="003E3C0B" w:rsidRPr="00E47EC5" w:rsidRDefault="003E3C0B" w:rsidP="005078F9">
      <w:pPr>
        <w:pStyle w:val="Textonotapie"/>
        <w:jc w:val="both"/>
        <w:rPr>
          <w:lang w:val="es-ES"/>
        </w:rPr>
      </w:pPr>
      <w:r w:rsidRPr="00E47EC5">
        <w:rPr>
          <w:rStyle w:val="Refdenotaalpie"/>
        </w:rPr>
        <w:footnoteRef/>
      </w:r>
      <w:r w:rsidRPr="00E47EC5">
        <w:t xml:space="preserve"> Constitución Política, artículo 86, y Decreto Ley 2591 de 1991, artículos 1 y 10.</w:t>
      </w:r>
    </w:p>
  </w:footnote>
  <w:footnote w:id="21">
    <w:p w14:paraId="68685013" w14:textId="485A345D" w:rsidR="003E3C0B" w:rsidRPr="00E47EC5" w:rsidRDefault="003E3C0B" w:rsidP="005078F9">
      <w:pPr>
        <w:pStyle w:val="Textonotapie"/>
        <w:jc w:val="both"/>
        <w:rPr>
          <w:i/>
          <w:lang w:val="es-ES"/>
        </w:rPr>
      </w:pPr>
      <w:r w:rsidRPr="00E47EC5">
        <w:rPr>
          <w:rStyle w:val="Refdenotaalpie"/>
        </w:rPr>
        <w:footnoteRef/>
      </w:r>
      <w:r w:rsidRPr="00E47EC5">
        <w:t xml:space="preserve"> Sentencia SU-377 de 2014. </w:t>
      </w:r>
      <w:r w:rsidRPr="00E47EC5">
        <w:rPr>
          <w:i/>
        </w:rPr>
        <w:t>“No es necesario, que el titular de los derechos interponga directamente el amparo, pues un tercero puede hacerlo a su nombre.  El tercero debe sin embargo tener una de las siguientes calidades: (i) representante del titular de los derechos, (ii) agente oficioso, o (iii) Defensor del Pueblo o personero municipal.  En específico: (i) representante puede ser, por una parte, el representante legal (cuando el titular de los derechos sea menor de edad, incapaz absoluto, interdicto o persona jurídica), y por otra el apoderado judicial (en los demás casos). Para ser apoderado judicial, la persona debe ser abogado titulado y a la acción debe anexar poder especial para el caso o en su defecto el poder general respectivo”.</w:t>
      </w:r>
    </w:p>
  </w:footnote>
  <w:footnote w:id="22">
    <w:p w14:paraId="177E884D" w14:textId="24E79A48" w:rsidR="003E3C0B" w:rsidRPr="00E47EC5" w:rsidRDefault="003E3C0B" w:rsidP="005078F9">
      <w:pPr>
        <w:pStyle w:val="Textonotapie"/>
        <w:jc w:val="both"/>
      </w:pPr>
      <w:r w:rsidRPr="00E47EC5">
        <w:rPr>
          <w:rStyle w:val="Refdenotaalpie"/>
        </w:rPr>
        <w:footnoteRef/>
      </w:r>
      <w:r w:rsidRPr="00E47EC5">
        <w:t xml:space="preserve"> Fls. 14, 634 a 690 y 35 a 83 de los cuadernos iniciales de los expedientes T-5.457.363, T-5.513.941 y T-5.516.632, respectivamente. </w:t>
      </w:r>
    </w:p>
  </w:footnote>
  <w:footnote w:id="23">
    <w:p w14:paraId="4FC51A4B" w14:textId="1F5F081D" w:rsidR="003E3C0B" w:rsidRPr="00E47EC5" w:rsidRDefault="003E3C0B" w:rsidP="005078F9">
      <w:pPr>
        <w:pStyle w:val="Textonotapie"/>
        <w:jc w:val="both"/>
      </w:pPr>
      <w:r w:rsidRPr="00E47EC5">
        <w:rPr>
          <w:rStyle w:val="Refdenotaalpie"/>
        </w:rPr>
        <w:footnoteRef/>
      </w:r>
      <w:r w:rsidRPr="00E47EC5">
        <w:t xml:space="preserve"> Cfr., entre otras, las sentencias T-001 de 1992, C-543 de 1992, SU-961 de 1999, T-575 de 2002, T-526 de 2005, T-033 de 2010, T-060 de 2016 y SU-391 de 2016. Sentencia SU-378 de 2014. “</w:t>
      </w:r>
      <w:r w:rsidRPr="00E47EC5">
        <w:rPr>
          <w:i/>
        </w:rPr>
        <w:t>La jurisprudencia de esta Corporación ha sido consistente en señalar que el presupuesto de la inmediatez constituye un requisito de procedibilidad de la tutela, de tal manera que ésta debe ejercerse dentro de un término oportuno, justo y razonable, circunstancia que deberá ser calificada por el juez constitucional de acuerdo con los elementos que concurren en cada caso. En este sentido ha reiterado la Corte que debe existir un término razonable entre la ocurrencia de la vulneración o puesta en riesgo de los derechos fundamentales del accionante y la presentación de la demanda, en la medida que la naturaleza misma de este medio de defensa judicial no sólo tiene que ver con la urgencia en la protección de las garantías constitucionales de una persona, sino también con el respeto a la seguridad jurídica y a los derechos de los terceros afectados</w:t>
      </w:r>
      <w:r w:rsidRPr="00E47EC5">
        <w:t>”.</w:t>
      </w:r>
    </w:p>
  </w:footnote>
  <w:footnote w:id="24">
    <w:p w14:paraId="4743307D" w14:textId="7D8616DB" w:rsidR="003E3C0B" w:rsidRPr="00E47EC5" w:rsidRDefault="003E3C0B" w:rsidP="005078F9">
      <w:pPr>
        <w:spacing w:after="0" w:line="240" w:lineRule="auto"/>
        <w:jc w:val="both"/>
        <w:rPr>
          <w:rFonts w:eastAsia="Times New Roman"/>
        </w:rPr>
      </w:pPr>
      <w:r w:rsidRPr="00E47EC5">
        <w:rPr>
          <w:vertAlign w:val="superscript"/>
        </w:rPr>
        <w:footnoteRef/>
      </w:r>
      <w:r w:rsidRPr="00E47EC5">
        <w:rPr>
          <w:rFonts w:eastAsia="Times New Roman"/>
        </w:rPr>
        <w:t xml:space="preserve"> Sentencia T-468 de 2006. “</w:t>
      </w:r>
      <w:r w:rsidRPr="00E47EC5">
        <w:rPr>
          <w:rFonts w:eastAsia="Times New Roman"/>
          <w:i/>
        </w:rPr>
        <w:t xml:space="preserve">La Corte Constitucional ha sostenido que en los únicos dos casos en que no es exigible de manera estricta el principio de inmediatez en la interposición de la tutela, es cuando: (i) se demuestre que la vulneración es permanente en el tiempo y que, pese a que el hecho que la originó por primera vez es muy antiguo respecto de la presentación de la tutela, la situación desfavorable del actor derivada del irrespeto por sus derechos, continúa y es actual. Y </w:t>
      </w:r>
      <w:r w:rsidRPr="00E47EC5">
        <w:rPr>
          <w:rFonts w:eastAsia="Times New Roman"/>
        </w:rPr>
        <w:t>[cuando]</w:t>
      </w:r>
      <w:r w:rsidRPr="00E47EC5">
        <w:rPr>
          <w:rFonts w:eastAsia="Times New Roman"/>
          <w:i/>
        </w:rPr>
        <w:t xml:space="preserve"> (ii) la especial situación de aquella persona a quien se le han vulnerado sus derechos fundamentales, convierte en desproporcionado el hecho de adjudicarle la carga de acudir a un juez; por ejemplo el estado de indefensión, interdicción, abandono, minoría de edad, incapacidad física, entre otros”</w:t>
      </w:r>
      <w:r w:rsidRPr="00E47EC5">
        <w:rPr>
          <w:rFonts w:eastAsia="Times New Roman"/>
        </w:rPr>
        <w:t xml:space="preserve">. </w:t>
      </w:r>
    </w:p>
  </w:footnote>
  <w:footnote w:id="25">
    <w:p w14:paraId="12D52B78" w14:textId="17925D81" w:rsidR="003E3C0B" w:rsidRPr="00E47EC5" w:rsidRDefault="003E3C0B" w:rsidP="005078F9">
      <w:pPr>
        <w:tabs>
          <w:tab w:val="left" w:pos="426"/>
        </w:tabs>
        <w:spacing w:after="0" w:line="240" w:lineRule="auto"/>
        <w:contextualSpacing/>
        <w:jc w:val="both"/>
      </w:pPr>
      <w:r w:rsidRPr="00E47EC5">
        <w:rPr>
          <w:rStyle w:val="Refdenotaalpie"/>
        </w:rPr>
        <w:footnoteRef/>
      </w:r>
      <w:r w:rsidRPr="00E47EC5">
        <w:t xml:space="preserve"> Constitución Política, artículo 86 y Decreto 2591 de 1991, artículos 6 y 8. Según estas disposiciones, la acción satisface esta exigencia en caso de que no existan medios judiciales de defensa disponibles o, de existir, si resulta necesaria para evitar la materialización de un riesgo de perjuicio irremediable, que se caracteriza por ser </w:t>
      </w:r>
      <w:r w:rsidRPr="00E47EC5">
        <w:rPr>
          <w:rFonts w:eastAsia="Times New Roman"/>
          <w:i/>
        </w:rPr>
        <w:t>(i)</w:t>
      </w:r>
      <w:r w:rsidRPr="00E47EC5">
        <w:rPr>
          <w:rFonts w:eastAsia="Times New Roman"/>
        </w:rPr>
        <w:t xml:space="preserve"> cierto, en cuanto a la producción de una afectación, </w:t>
      </w:r>
      <w:r w:rsidRPr="00E47EC5">
        <w:rPr>
          <w:rFonts w:eastAsia="Times New Roman"/>
          <w:i/>
        </w:rPr>
        <w:t>(ii)</w:t>
      </w:r>
      <w:r w:rsidRPr="00E47EC5">
        <w:rPr>
          <w:rFonts w:eastAsia="Times New Roman"/>
        </w:rPr>
        <w:t xml:space="preserve"> altamente probable en su concreción, </w:t>
      </w:r>
      <w:r w:rsidRPr="00E47EC5">
        <w:rPr>
          <w:rFonts w:eastAsia="Times New Roman"/>
          <w:i/>
        </w:rPr>
        <w:t>(iii)</w:t>
      </w:r>
      <w:r w:rsidRPr="00E47EC5">
        <w:rPr>
          <w:rFonts w:eastAsia="Times New Roman"/>
        </w:rPr>
        <w:t xml:space="preserve"> inminente y, por tanto, requiera una pronta intervención del juez constitucional, con el fin de evitar la proximidad de consumación de un daño que el medio de defensa existente no es eficaz para impedir, y que, </w:t>
      </w:r>
      <w:r w:rsidRPr="00E47EC5">
        <w:rPr>
          <w:rFonts w:eastAsia="Times New Roman"/>
          <w:i/>
        </w:rPr>
        <w:t>(iv)</w:t>
      </w:r>
      <w:r w:rsidRPr="00E47EC5">
        <w:rPr>
          <w:rFonts w:eastAsia="Times New Roman"/>
        </w:rPr>
        <w:t xml:space="preserve"> en consecuencia, exija la impostergable actuación del juez de tutela.</w:t>
      </w:r>
    </w:p>
  </w:footnote>
  <w:footnote w:id="26">
    <w:p w14:paraId="2890173E" w14:textId="1F01CBE3" w:rsidR="003E3C0B" w:rsidRPr="00E47EC5" w:rsidRDefault="003E3C0B" w:rsidP="005078F9">
      <w:pPr>
        <w:pStyle w:val="Textonotapie"/>
        <w:jc w:val="both"/>
      </w:pPr>
      <w:r w:rsidRPr="00E47EC5">
        <w:rPr>
          <w:rStyle w:val="Refdenotaalpie"/>
        </w:rPr>
        <w:footnoteRef/>
      </w:r>
      <w:r w:rsidRPr="00E47EC5">
        <w:t xml:space="preserve"> Consejo de Estado, Sección Segunda, sentencia de unificación CE-SUJ2 5 de 25 de agosto de 2016, precisó las reglas jurisprudenciales para el reconocimiento del contrato realidad, de las cuales se destacan las siguientes: </w:t>
      </w:r>
      <w:r w:rsidRPr="00E47EC5">
        <w:rPr>
          <w:i/>
        </w:rPr>
        <w:t>“</w:t>
      </w:r>
      <w:r w:rsidRPr="00E47EC5">
        <w:rPr>
          <w:b/>
          <w:i/>
        </w:rPr>
        <w:t>i)</w:t>
      </w:r>
      <w:r w:rsidRPr="00E47EC5">
        <w:rPr>
          <w:i/>
        </w:rPr>
        <w:t xml:space="preserve"> Quien pretenda el reconocimiento de la relación laboral con el Estado y, en consecuencia, el pago de las prestaciones derivadas de esta, en aplicación del principio de la primacía de la realidad sobre las formalidades, deberá reclamarlos dentro del término de tres años contados a partir de la terminación de su vínculo contractual. </w:t>
      </w:r>
      <w:r w:rsidRPr="00E47EC5">
        <w:rPr>
          <w:b/>
          <w:i/>
        </w:rPr>
        <w:t>ii)</w:t>
      </w:r>
      <w:r w:rsidRPr="00E47EC5">
        <w:rPr>
          <w:i/>
        </w:rPr>
        <w:t xml:space="preserve"> Sin embargo, no aplica el fenómeno prescriptivo frente a los aportes para pensión, en atención a la condición periódica del derecho pensional y en armonía con los derechos constitucionales a la igualdad e irrenunciabilidad a los beneficios mínimos laborales y los principios de in dubio pro operario, no regresividad y progresividad </w:t>
      </w:r>
      <w:r w:rsidRPr="00E47EC5">
        <w:t xml:space="preserve">(…). </w:t>
      </w:r>
      <w:r w:rsidRPr="00E47EC5">
        <w:rPr>
          <w:b/>
          <w:i/>
        </w:rPr>
        <w:t>iv)</w:t>
      </w:r>
      <w:r w:rsidRPr="00E47EC5">
        <w:rPr>
          <w:i/>
        </w:rPr>
        <w:t xml:space="preserve"> Las reclamaciones de los aportes pensionales adeudados al sistema integral de seguridad social derivados del contrato realidad, por su carácter de imprescriptibles y prestaciones periódicas, también están exceptuadas de la caducidad del medio de control (de acuerdo con el artículo 164, numeral 1, letra e, del CPACA) </w:t>
      </w:r>
      <w:r w:rsidRPr="00E47EC5">
        <w:t xml:space="preserve">(…). </w:t>
      </w:r>
      <w:r w:rsidRPr="00E47EC5">
        <w:rPr>
          <w:b/>
          <w:i/>
        </w:rPr>
        <w:t>vii)</w:t>
      </w:r>
      <w:r w:rsidRPr="00E47EC5">
        <w:rPr>
          <w:i/>
        </w:rPr>
        <w:t xml:space="preserve"> El juez contencioso-administrativo se debe pronunciar, aunque no se haya deprecado de manera expresa, respecto de los aportes al sistema de seguridad social en pensiones, una vez determinada la existencia del vínculo laboral entre el demandante y la agencia estatal accionada”</w:t>
      </w:r>
      <w:r w:rsidRPr="00E47EC5">
        <w:t>.</w:t>
      </w:r>
    </w:p>
  </w:footnote>
  <w:footnote w:id="27">
    <w:p w14:paraId="70D67BCB" w14:textId="696BFA47" w:rsidR="003E3C0B" w:rsidRPr="00E47EC5" w:rsidRDefault="003E3C0B">
      <w:pPr>
        <w:pStyle w:val="Textonotapie"/>
        <w:rPr>
          <w:lang w:val="es-ES"/>
        </w:rPr>
      </w:pPr>
      <w:r w:rsidRPr="00E47EC5">
        <w:rPr>
          <w:rStyle w:val="Refdenotaalpie"/>
        </w:rPr>
        <w:footnoteRef/>
      </w:r>
      <w:r w:rsidRPr="00E47EC5">
        <w:t xml:space="preserve"> </w:t>
      </w:r>
      <w:r w:rsidRPr="00E47EC5">
        <w:rPr>
          <w:i/>
        </w:rPr>
        <w:t xml:space="preserve">Supra </w:t>
      </w:r>
      <w:r w:rsidRPr="00E47EC5">
        <w:t>numeral 4 de la presente sentencia.</w:t>
      </w:r>
    </w:p>
  </w:footnote>
  <w:footnote w:id="28">
    <w:p w14:paraId="0FFB9A23" w14:textId="3C5185D3" w:rsidR="003E3C0B" w:rsidRPr="00E47EC5" w:rsidRDefault="003E3C0B">
      <w:pPr>
        <w:pStyle w:val="Textonotapie"/>
      </w:pPr>
      <w:r w:rsidRPr="00E47EC5">
        <w:rPr>
          <w:rStyle w:val="Refdenotaalpie"/>
        </w:rPr>
        <w:footnoteRef/>
      </w:r>
      <w:r w:rsidRPr="00E47EC5">
        <w:t xml:space="preserve"> Fecha de entrada en vigencia del Decreto 289 de 2014.</w:t>
      </w:r>
    </w:p>
  </w:footnote>
  <w:footnote w:id="29">
    <w:p w14:paraId="5B07A4EC" w14:textId="2C25B8C5" w:rsidR="003E3C0B" w:rsidRPr="00E47EC5" w:rsidRDefault="003E3C0B" w:rsidP="009356F3">
      <w:pPr>
        <w:pStyle w:val="Textonotapie"/>
      </w:pPr>
      <w:r w:rsidRPr="00E47EC5">
        <w:rPr>
          <w:rStyle w:val="Refdenotaalpie"/>
        </w:rPr>
        <w:footnoteRef/>
      </w:r>
      <w:r w:rsidRPr="00E47EC5">
        <w:t xml:space="preserve"> ICBF - Dirección de primera infancia, </w:t>
      </w:r>
      <w:r w:rsidRPr="00E47EC5">
        <w:rPr>
          <w:i/>
        </w:rPr>
        <w:t xml:space="preserve">lineamiento técnico, administrativo y operativo, modalidad hogares comunitarios de bienestar en todas sus formas, </w:t>
      </w:r>
      <w:r w:rsidRPr="00E47EC5">
        <w:t xml:space="preserve">(2014) disponible en el siguiente enlace: </w:t>
      </w:r>
      <w:hyperlink r:id="rId1" w:history="1">
        <w:r w:rsidRPr="00E47EC5">
          <w:rPr>
            <w:rStyle w:val="Hipervnculo"/>
            <w:color w:val="auto"/>
          </w:rPr>
          <w:t>https://www.icbf.gov.co/sites/default/files/anexo_6._lineamiento_hogares_comunitarios.pdf</w:t>
        </w:r>
      </w:hyperlink>
      <w:r w:rsidRPr="00E47EC5">
        <w:t xml:space="preserve"> </w:t>
      </w:r>
    </w:p>
  </w:footnote>
  <w:footnote w:id="30">
    <w:p w14:paraId="18E2564E" w14:textId="4B0E4EC6" w:rsidR="003E3C0B" w:rsidRPr="00E47EC5" w:rsidRDefault="003E3C0B" w:rsidP="000A50EE">
      <w:pPr>
        <w:pStyle w:val="Textonotapie"/>
        <w:jc w:val="both"/>
      </w:pPr>
      <w:r w:rsidRPr="00E47EC5">
        <w:rPr>
          <w:rStyle w:val="Refdenotaalpie"/>
        </w:rPr>
        <w:footnoteRef/>
      </w:r>
      <w:r w:rsidRPr="00E47EC5">
        <w:t xml:space="preserve"> La Ley 27 de 1974 crea los centros de atención integral al preescolar, para los niños menores de 7 años.</w:t>
      </w:r>
    </w:p>
  </w:footnote>
  <w:footnote w:id="31">
    <w:p w14:paraId="2FC9406E" w14:textId="0FF69284" w:rsidR="003E3C0B" w:rsidRPr="00E47EC5" w:rsidRDefault="003E3C0B" w:rsidP="0073705B">
      <w:pPr>
        <w:pStyle w:val="Textonotapie"/>
      </w:pPr>
      <w:r w:rsidRPr="00E47EC5">
        <w:rPr>
          <w:rStyle w:val="Refdenotaalpie"/>
        </w:rPr>
        <w:footnoteRef/>
      </w:r>
      <w:r w:rsidRPr="00E47EC5">
        <w:t xml:space="preserve"> Resolución 1822 de 1979, a través de la cual estableció que los padres de familia y vecinos debían asumir la administración de los Hogares Infantiles reconociéndoles un papel educativo.</w:t>
      </w:r>
    </w:p>
  </w:footnote>
  <w:footnote w:id="32">
    <w:p w14:paraId="5978B240" w14:textId="5007ECA7" w:rsidR="003E3C0B" w:rsidRPr="00E47EC5" w:rsidRDefault="003E3C0B" w:rsidP="00864B87">
      <w:pPr>
        <w:pStyle w:val="Textonotapie"/>
        <w:jc w:val="both"/>
      </w:pPr>
      <w:r w:rsidRPr="00E47EC5">
        <w:rPr>
          <w:rStyle w:val="Refdenotaalpie"/>
        </w:rPr>
        <w:footnoteRef/>
      </w:r>
      <w:r w:rsidRPr="00E47EC5">
        <w:t xml:space="preserve"> El Consejo Nacional de Política Económica y Social (CONPES) aprobó el Proyecto Hogares Comunitarios de Bienestar (HCB) en 1986, como una estrategia de desarrollo humano con una nueva filosofía de atención para cubrir la población infantil más pobre de zonas urbanas y núcleos rurales. Posteriormente, para una mayor efectividad de esta política se expidió la Ley 89 de 1988.</w:t>
      </w:r>
    </w:p>
  </w:footnote>
  <w:footnote w:id="33">
    <w:p w14:paraId="6101045E" w14:textId="2CC57D66" w:rsidR="003E3C0B" w:rsidRPr="00E47EC5" w:rsidRDefault="003E3C0B" w:rsidP="00BE06FE">
      <w:pPr>
        <w:pStyle w:val="Textonotapie"/>
      </w:pPr>
      <w:r w:rsidRPr="00E47EC5">
        <w:rPr>
          <w:rStyle w:val="Refdenotaalpie"/>
        </w:rPr>
        <w:footnoteRef/>
      </w:r>
      <w:r w:rsidRPr="00E47EC5">
        <w:t xml:space="preserve"> Decreto Reglamentario 2019 de 1989 y Decreto 1340 de 1995.</w:t>
      </w:r>
    </w:p>
  </w:footnote>
  <w:footnote w:id="34">
    <w:p w14:paraId="491B1EAE" w14:textId="4D5A04E0" w:rsidR="003E3C0B" w:rsidRPr="00E47EC5" w:rsidRDefault="003E3C0B" w:rsidP="00914D90">
      <w:pPr>
        <w:pStyle w:val="Textonotapie"/>
        <w:jc w:val="both"/>
      </w:pPr>
      <w:r w:rsidRPr="00E47EC5">
        <w:rPr>
          <w:rStyle w:val="Refdenotaalpie"/>
        </w:rPr>
        <w:footnoteRef/>
      </w:r>
      <w:r w:rsidRPr="00E47EC5">
        <w:t xml:space="preserve"> “</w:t>
      </w:r>
      <w:r w:rsidRPr="00E47EC5">
        <w:rPr>
          <w:i/>
        </w:rPr>
        <w:t>Por el cual se dictan lineamientos y procedimientos técnicos y administrativos para la organización y funcionamiento del Programa Hogares Comunitarios de Bienestar</w:t>
      </w:r>
      <w:r w:rsidRPr="00E47EC5">
        <w:t>”.</w:t>
      </w:r>
    </w:p>
  </w:footnote>
  <w:footnote w:id="35">
    <w:p w14:paraId="31E07F98" w14:textId="75D83218" w:rsidR="003E3C0B" w:rsidRPr="00E47EC5" w:rsidRDefault="003E3C0B" w:rsidP="007C2DFF">
      <w:pPr>
        <w:pStyle w:val="Textonotapie"/>
        <w:jc w:val="both"/>
      </w:pPr>
      <w:r w:rsidRPr="00E47EC5">
        <w:rPr>
          <w:rStyle w:val="Refdenotaalpie"/>
        </w:rPr>
        <w:footnoteRef/>
      </w:r>
      <w:r w:rsidRPr="00E47EC5">
        <w:t xml:space="preserve"> Acuerdo 21 de 1996, artículo 2. </w:t>
      </w:r>
      <w:r w:rsidRPr="00E47EC5">
        <w:rPr>
          <w:i/>
        </w:rPr>
        <w:t>“El funcionamiento y desarrollo del Programa Hogares Comunitarios de Bienestar será ejecutado por las familias de los niños beneficiarios del Programa, que se constituirán en Asociaciones de Padres u otra forma de organización Comunitaria y quienes una vez tramitada su personería jurídica ante el IBCF, celebrarán contratos de aporte para administrar los recursos asignados por el Gobierno Nacional y los aportes provenientes de la comunidad. Los Hogares Comunitarios de Bienestar deberán funcionar prioritariamente en los sectores más deprimidos económica y socialmente y definidos dentro del SISBEN como estratos 1 y 2 en el área urbana y en sectores rurales concentrados”.</w:t>
      </w:r>
    </w:p>
  </w:footnote>
  <w:footnote w:id="36">
    <w:p w14:paraId="23EDB968" w14:textId="3ADFBC0A" w:rsidR="003E3C0B" w:rsidRPr="00E47EC5" w:rsidRDefault="003E3C0B" w:rsidP="001513B7">
      <w:pPr>
        <w:pStyle w:val="Textonotapie"/>
        <w:jc w:val="both"/>
      </w:pPr>
      <w:r w:rsidRPr="00E47EC5">
        <w:rPr>
          <w:rStyle w:val="Refdenotaalpie"/>
        </w:rPr>
        <w:footnoteRef/>
      </w:r>
      <w:r w:rsidRPr="00E47EC5">
        <w:t xml:space="preserve"> Acuerdo 21 de 1996, artículo 5, litera c) </w:t>
      </w:r>
      <w:r w:rsidRPr="00E47EC5">
        <w:rPr>
          <w:i/>
        </w:rPr>
        <w:t>“Los Hogares Comunitarios de Bienestar funcionarán bajo el cuidado de una madre comunitaria si es Hogar Comunitario Familiar o varias madres comunitarias si es Hogar Comunitario Múltiple o Empresarial, escogidas por la Asociación de Padres de Familia o la organización comunitaria quienes deben tener el siguiente perfil. hombre o mujer con actitud y aptitud para el trabajo con los niños; mayor de edad y menor de 55 años, de reconocido comportamiento social y moral, con mínimo cuatro años de educación básica primaria, posea vivienda adecuada o tenga disposición para atender a los niños en espacio comunitario, acepte su vinculación al programa como un trabajo solidario y voluntario, esté dispuesto a capacitarse para dar una mejor atención a los beneficiarios, tenga buena salud y cuente con el tiempo necesario para dedicarse a la atención de los niños”</w:t>
      </w:r>
      <w:r w:rsidRPr="00E47EC5">
        <w:t>.</w:t>
      </w:r>
    </w:p>
  </w:footnote>
  <w:footnote w:id="37">
    <w:p w14:paraId="3BE5A648" w14:textId="64FBF6AE" w:rsidR="003E3C0B" w:rsidRPr="00E47EC5" w:rsidRDefault="003E3C0B">
      <w:pPr>
        <w:pStyle w:val="Textonotapie"/>
      </w:pPr>
      <w:r w:rsidRPr="00E47EC5">
        <w:rPr>
          <w:rStyle w:val="Refdenotaalpie"/>
        </w:rPr>
        <w:footnoteRef/>
      </w:r>
      <w:r w:rsidRPr="00E47EC5">
        <w:t xml:space="preserve"> Consejo de Estado, Sección Tercera, subsección B, sentencia del 30 de junio de 2016, radicado 2082765.</w:t>
      </w:r>
    </w:p>
  </w:footnote>
  <w:footnote w:id="38">
    <w:p w14:paraId="1D86D595" w14:textId="596A7B8F" w:rsidR="003E3C0B" w:rsidRPr="00E47EC5" w:rsidRDefault="003E3C0B">
      <w:pPr>
        <w:pStyle w:val="Textonotapie"/>
      </w:pPr>
      <w:r w:rsidRPr="00E47EC5">
        <w:rPr>
          <w:rStyle w:val="Refdenotaalpie"/>
        </w:rPr>
        <w:footnoteRef/>
      </w:r>
      <w:r w:rsidRPr="00E47EC5">
        <w:t xml:space="preserve"> Acuerdo 21 de 1996, artículo 4.</w:t>
      </w:r>
    </w:p>
  </w:footnote>
  <w:footnote w:id="39">
    <w:p w14:paraId="342D8F36" w14:textId="1FCA9A4F" w:rsidR="003E3C0B" w:rsidRPr="00E47EC5" w:rsidRDefault="003E3C0B">
      <w:pPr>
        <w:pStyle w:val="Textonotapie"/>
      </w:pPr>
      <w:r w:rsidRPr="00E47EC5">
        <w:rPr>
          <w:rStyle w:val="Refdenotaalpie"/>
        </w:rPr>
        <w:footnoteRef/>
      </w:r>
      <w:r w:rsidRPr="00E47EC5">
        <w:t xml:space="preserve"> Ídem, artículo 5.</w:t>
      </w:r>
    </w:p>
  </w:footnote>
  <w:footnote w:id="40">
    <w:p w14:paraId="090D6734" w14:textId="1D61F30F" w:rsidR="003E3C0B" w:rsidRPr="00E47EC5" w:rsidRDefault="003E3C0B" w:rsidP="00084E29">
      <w:pPr>
        <w:pStyle w:val="Textonotapie"/>
        <w:jc w:val="both"/>
      </w:pPr>
      <w:r w:rsidRPr="00E47EC5">
        <w:rPr>
          <w:rStyle w:val="Refdenotaalpie"/>
        </w:rPr>
        <w:footnoteRef/>
      </w:r>
      <w:r w:rsidRPr="00E47EC5">
        <w:t xml:space="preserve"> Acuerdo 050 de 1996, artículo 2. </w:t>
      </w:r>
      <w:r w:rsidRPr="00E47EC5">
        <w:rPr>
          <w:i/>
        </w:rPr>
        <w:t>“Son causales de cierre inmediato de un Hogar Comunitario de Bienestar las siguientes: a) Retiro de la Madre Comunitaria; b) Muerte de la Madre Comunitaria; c) Ubicación del Hogar en sitios declarados de alto riesgo por autoridad competente o que amenace ruina o destrucción por incendio, avalancha u otra catástrofe natural; d) Comprobación por parte de la Policía, de expendio de sustancias psicoactivas en el Hogar o consumo de éstas por alguna de las personas que habita en el lugar donde funciona el Hogar Comunitario de Bienestar; e) Venta y/o uso indebido de los elementos y recursos del proyecto por parte de alguno de los miembros de la Asociación de Padres de Familia o de la Madre Comunitaria; f) Contratación o encargo a terceros para la atención de los niños en el Hogar; g) Enfermedad permanente e incapacitante de la madre Comunitaria, certificada por médico, que impida la atención a los niños, o de enfermedad infecto-contagiosa o mental de la misma, o de otra persona que habite o permanezca en el lugar donde funciona el hogar; h) Condena judicial con pena privativa de la libertad, a la madre Comunitaria u otra persona que habite o permanezca en el lugar donde funciona el Hogar Comunitario. Así mismo cuando contra la Madre Comunitaria se dicte medida de aseguramiento; i) Almacenamiento o existencia de sustancias químicas tóxicas o explosivas, sin las debidas previsiones, en el lugar donde funciona el Hogar; j) Accidente grave o muerte de un niño en el Hogar; k) Conductas sexuales abusivas contra un niño en el Hogar, por parte de la Madre Comunitaria u otra persona que permanezca o habite en el lugar donde funciona el Hogar, sin perjuicio de las acciones legales pertinentes; l) Maltrato físico o psicológico a los niños del Hogar por parte de la Madre Comunitaria o una persona que habita en el mism</w:t>
      </w:r>
      <w:r w:rsidR="002572A2" w:rsidRPr="00E47EC5">
        <w:rPr>
          <w:i/>
        </w:rPr>
        <w:t>o lugar donde funciona el Hogar</w:t>
      </w:r>
      <w:r w:rsidRPr="00E47EC5">
        <w:rPr>
          <w:i/>
        </w:rPr>
        <w:t>”</w:t>
      </w:r>
      <w:r w:rsidR="002572A2" w:rsidRPr="00E47EC5">
        <w:rPr>
          <w:i/>
        </w:rPr>
        <w:t xml:space="preserve"> </w:t>
      </w:r>
      <w:r w:rsidR="002572A2" w:rsidRPr="00E47EC5">
        <w:t>entre otros</w:t>
      </w:r>
      <w:r w:rsidRPr="00E47EC5">
        <w:t>. Ver, artículo 3 respecto del cierre definitivo como parte de un proceso de supervisión.</w:t>
      </w:r>
    </w:p>
  </w:footnote>
  <w:footnote w:id="41">
    <w:p w14:paraId="277A1EB0" w14:textId="4193C28F" w:rsidR="003E3C0B" w:rsidRPr="00E47EC5" w:rsidRDefault="003E3C0B" w:rsidP="002057E9">
      <w:pPr>
        <w:pStyle w:val="Textonotapie"/>
        <w:jc w:val="both"/>
        <w:rPr>
          <w:i/>
        </w:rPr>
      </w:pPr>
      <w:r w:rsidRPr="00E47EC5">
        <w:rPr>
          <w:rStyle w:val="Refdenotaalpie"/>
        </w:rPr>
        <w:footnoteRef/>
      </w:r>
      <w:r w:rsidRPr="00E47EC5">
        <w:t xml:space="preserve"> Sentencia T-130 de 2015. </w:t>
      </w:r>
      <w:r w:rsidRPr="00E47EC5">
        <w:rPr>
          <w:i/>
        </w:rPr>
        <w:t>“Constata la Sala que en el presente caso al igual que en los casos estudiados por esta Corporación, no se encontraban probados los elementos que constituyen un contrato de trabajo, pues si bien es cierto, que la señora Blanca Prado prestaba diariamente su servicio como madre comunitaria y tenía derecho al Sistema de Seguridad Social Integral en salud y pensión, como un trabajador dependiente, no se encuentra acreditada la subordinación y la remuneración por el servicio prestado”.</w:t>
      </w:r>
    </w:p>
  </w:footnote>
  <w:footnote w:id="42">
    <w:p w14:paraId="0CFBFC11" w14:textId="697CB089" w:rsidR="003E3C0B" w:rsidRPr="00E47EC5" w:rsidRDefault="003E3C0B">
      <w:pPr>
        <w:pStyle w:val="Textonotapie"/>
      </w:pPr>
      <w:r w:rsidRPr="00E47EC5">
        <w:rPr>
          <w:rStyle w:val="Refdenotaalpie"/>
        </w:rPr>
        <w:footnoteRef/>
      </w:r>
      <w:r w:rsidRPr="00E47EC5">
        <w:t xml:space="preserve"> Actualmente, el programa de hogares comunitarios de bienestar se desarrolla a través de distintas formas de atención: (i) HCB Familiares, (ii) HCB Agrupados, (iii) HCB Múltiples, (iv) HCB Empresarial, (v) Jardines Sociales y (vi) Hogares Comunitarios de Bienestar – Familia, Mujer e Infancia –FAMI.</w:t>
      </w:r>
    </w:p>
  </w:footnote>
  <w:footnote w:id="43">
    <w:p w14:paraId="7CB3772D" w14:textId="53FDAA6C" w:rsidR="003E3C0B" w:rsidRPr="00E47EC5" w:rsidRDefault="003E3C0B" w:rsidP="002572A2">
      <w:pPr>
        <w:pStyle w:val="Textonotapie"/>
        <w:jc w:val="both"/>
        <w:rPr>
          <w:i/>
        </w:rPr>
      </w:pPr>
      <w:r w:rsidRPr="00E47EC5">
        <w:rPr>
          <w:rStyle w:val="Refdenotaalpie"/>
        </w:rPr>
        <w:footnoteRef/>
      </w:r>
      <w:r w:rsidRPr="00E47EC5">
        <w:t xml:space="preserve"> Ley 1607 de 2012, artículo 36. </w:t>
      </w:r>
      <w:r w:rsidRPr="00E47EC5">
        <w:rPr>
          <w:i/>
        </w:rPr>
        <w:t>“Durante el transcurso del año 2013, se otorgará a las Madres Comunitarias y Sustitutas una beca equivalente a un salario mínimo legal mensual vigente. De manera progresiva durante los años 2013, se diseñarán y adoptarán diferentes modalidades de vinculación, en procura de garantizar a todas las madres comunitarias el salario mínimo legal mensual vigente, sin que lo anterior implique otorgarles la calidad de funcionarias públicas.</w:t>
      </w:r>
      <w:r w:rsidR="002572A2" w:rsidRPr="00E47EC5">
        <w:rPr>
          <w:i/>
        </w:rPr>
        <w:t xml:space="preserve"> </w:t>
      </w:r>
      <w:r w:rsidRPr="00E47EC5">
        <w:rPr>
          <w:i/>
        </w:rPr>
        <w:t>La segunda etapa para el reconocimiento del salario mínimo para las madres comunitarias se hará a partir de la vigencia 2014. Durante ese año, todas las Madres Comunitarias estarán formalizadas laboralmente y devengarán un salario mínimo o su equivalente de acuerdo con el tiempo de dedicación al Programa”.</w:t>
      </w:r>
    </w:p>
  </w:footnote>
  <w:footnote w:id="44">
    <w:p w14:paraId="624042B2" w14:textId="124C4B89" w:rsidR="003E3C0B" w:rsidRPr="00E47EC5" w:rsidRDefault="003E3C0B" w:rsidP="003A1120">
      <w:pPr>
        <w:pStyle w:val="Textonotapie"/>
        <w:jc w:val="both"/>
        <w:rPr>
          <w:i/>
        </w:rPr>
      </w:pPr>
      <w:r w:rsidRPr="00E47EC5">
        <w:rPr>
          <w:rStyle w:val="Refdenotaalpie"/>
        </w:rPr>
        <w:footnoteRef/>
      </w:r>
      <w:r w:rsidRPr="00E47EC5">
        <w:t xml:space="preserve"> Decreto 289 de 2014 </w:t>
      </w:r>
      <w:r w:rsidRPr="00E47EC5">
        <w:rPr>
          <w:i/>
        </w:rPr>
        <w:t>“Por el cual se reglamenta parcialmente el artículo 36 la Ley 1607 de 2012 y se dictan otras disposiciones”</w:t>
      </w:r>
      <w:r w:rsidRPr="00E47EC5">
        <w:t xml:space="preserve">, artículo 2. </w:t>
      </w:r>
      <w:r w:rsidRPr="00E47EC5">
        <w:rPr>
          <w:i/>
        </w:rPr>
        <w:t>“Las Madres Comunitarias serán vinculadas laboralmente mediante contrato de trabajo suscrito con las entidades administradoras del Programa de Hogares Comunitarios de Bienestar y contarán con todos los derechos y garantías consagradas en el Código Sustantivo de Trabajo, de acuerdo con la modalidad contractual y las normas que regulan el Sistema de Protección Social”.</w:t>
      </w:r>
    </w:p>
  </w:footnote>
  <w:footnote w:id="45">
    <w:p w14:paraId="0F443297" w14:textId="729F04B5" w:rsidR="003E3C0B" w:rsidRPr="00E47EC5" w:rsidRDefault="003E3C0B" w:rsidP="007D0C36">
      <w:pPr>
        <w:pStyle w:val="Textonotapie"/>
        <w:jc w:val="both"/>
      </w:pPr>
      <w:r w:rsidRPr="00E47EC5">
        <w:rPr>
          <w:rStyle w:val="Refdenotaalpie"/>
        </w:rPr>
        <w:footnoteRef/>
      </w:r>
      <w:r w:rsidRPr="00E47EC5">
        <w:t xml:space="preserve"> Sentencia T-269 de 1995. </w:t>
      </w:r>
      <w:r w:rsidRPr="00E47EC5">
        <w:rPr>
          <w:i/>
        </w:rPr>
        <w:t>“Sin duda, alrededor de la relación surgida entre ambas partes -una entidad sin ánimo de lucro, de beneficio social, vinculada al Sistema Nacional de Bienestar Familiar, y un particular que nunca ostentó la calidad de empleado-, se puede decir que fue de orden civil; bilateral, en la medida en que los contratantes se obligaron recíprocamente: la madre, a la satisfacción del interés de su contraparte, o sea la adecuada prestación de una serie de servicios a los niños usuarios y a sus padres, y la asociación, al apoyo debido y al pago de la beca suministrada por el I.C.B.F.; consensual, puesto que no requirió de ninguna solemnidad; onerosa, porque daba derecho a la madre comunitaria para percibir parcialmente parte de la beca mencionada</w:t>
      </w:r>
      <w:r w:rsidRPr="00E47EC5">
        <w:t>”. Reiterada en las sentencias T-668, T-990, T-1081, T-1117, T-1173, T-1605 y T-1674 de 2000, T-158, T-159 y T-1029 de 2001, SU-224 de 1998 y SU-079 de 2018.</w:t>
      </w:r>
    </w:p>
  </w:footnote>
  <w:footnote w:id="46">
    <w:p w14:paraId="10BC6453" w14:textId="6962D54B" w:rsidR="008E6A91" w:rsidRPr="00E47EC5" w:rsidRDefault="008E6A91" w:rsidP="008E6A91">
      <w:pPr>
        <w:pStyle w:val="Textonotapie"/>
        <w:jc w:val="both"/>
        <w:rPr>
          <w:i/>
        </w:rPr>
      </w:pPr>
      <w:r w:rsidRPr="00E47EC5">
        <w:rPr>
          <w:rStyle w:val="Refdenotaalpie"/>
        </w:rPr>
        <w:footnoteRef/>
      </w:r>
      <w:r w:rsidRPr="00E47EC5">
        <w:t xml:space="preserve"> Adicionalmente, en la Sentencia C-110 de 2018, al resolverse las objeciones al proyecto de ley que ordenaba su vinculación directa con el ICBF, la Corte la encontró fundada al concluir </w:t>
      </w:r>
      <w:r w:rsidRPr="00E47EC5">
        <w:rPr>
          <w:i/>
        </w:rPr>
        <w:t>“que la habilitación general para que una entidad del orden nacional establezca vínculos laborales y permanentes con las madres comunitarias y FAMI constituye una modificación sustancial de la estructura de la administración nacional por varias razones. En primer lugar (i) tendría un impacto significativo en la gestión, organización y administración del ICBF; (ii) atribuye al ICBF, de hecho, una nueva función bajo su responsabilidad directa que no tiene capacidad de atender; (iii) se trata de una reforma del régimen jurídico vigente en materia de vinculación de las madres comunitarias y sustitutas en los programas promovidos por el ICBF. Igualmente, en segundo lugar, (iv) constituye un régimen contractual que, además de ser permanente, implicaría un impacto trascendental en la configuración y desarrollo de los diferentes programas a cargo de esa entidad. La vinculación laboral de las madres comunitarias y las madres FAMI (v) incidiría significativamente en la estructura de la administración nacional teniendo en cuenta que, según información aportada por el Ministerio de Hacienda y Crédito Público, las primeras se acercan a un número de 44.563 al paso que las segundas corresponden a 9.632. Constituye entonces, de implementarse, (vi) una transformación que se refleja en la parte estática de la administración nacional a través de la modificación del régimen laboral del ICBF mediante la inserción de nuevo personal</w:t>
      </w:r>
      <w:r w:rsidR="005F315C" w:rsidRPr="00E47EC5">
        <w:rPr>
          <w:i/>
        </w:rPr>
        <w:t>”</w:t>
      </w:r>
      <w:r w:rsidRPr="00E47EC5">
        <w:rPr>
          <w:i/>
        </w:rPr>
        <w:t>.</w:t>
      </w:r>
    </w:p>
  </w:footnote>
  <w:footnote w:id="47">
    <w:p w14:paraId="7806B508" w14:textId="00D218F8" w:rsidR="003E3C0B" w:rsidRPr="00E47EC5" w:rsidRDefault="003E3C0B" w:rsidP="00125687">
      <w:pPr>
        <w:pStyle w:val="Textonotapie"/>
        <w:jc w:val="both"/>
        <w:rPr>
          <w:i/>
        </w:rPr>
      </w:pPr>
      <w:r w:rsidRPr="00E47EC5">
        <w:rPr>
          <w:rStyle w:val="Refdenotaalpie"/>
        </w:rPr>
        <w:footnoteRef/>
      </w:r>
      <w:r w:rsidRPr="00E47EC5">
        <w:t xml:space="preserve"> Ley 90 de 1946, artículo 2. </w:t>
      </w:r>
      <w:r w:rsidRPr="00E47EC5">
        <w:rPr>
          <w:i/>
        </w:rPr>
        <w:t>“Serán asegurados por el régimen del seguro social obligatorio, todos los individuos, nacionales y extranjeros, que presten sus servicios a otra persona en virtud de un contrato expreso o presunto, de trabajo o aprendizaje, inclusive los trabajadores a domicilio y los del servicio doméstico”.</w:t>
      </w:r>
    </w:p>
  </w:footnote>
  <w:footnote w:id="48">
    <w:p w14:paraId="2F4F4227" w14:textId="222E1F5E" w:rsidR="003E3C0B" w:rsidRPr="00E47EC5" w:rsidRDefault="003E3C0B" w:rsidP="00D17B75">
      <w:pPr>
        <w:pStyle w:val="Textonotapie"/>
        <w:jc w:val="both"/>
      </w:pPr>
      <w:r w:rsidRPr="00E47EC5">
        <w:rPr>
          <w:rStyle w:val="Refdenotaalpie"/>
        </w:rPr>
        <w:footnoteRef/>
      </w:r>
      <w:r w:rsidRPr="00E47EC5">
        <w:t xml:space="preserve"> Ley 90 de 1946, artículo  5. </w:t>
      </w:r>
      <w:r w:rsidRPr="00E47EC5">
        <w:rPr>
          <w:i/>
        </w:rPr>
        <w:t>“Estarán también sujetos al régimen de seguro social obligatorios los trabajadores independientes (pequeños industriales, agricultores y comerciantes, maestros de taller, artesanos, voceadores de periódicos, lustrabotas, loteros, vendedores ambulantes, etc.), cuyos ingresos normales no excedan de mil ochocientos pesos ($ 1.800) por año. Sin embargo, mientras el Instituto asume el seguro de estos trabajadores con el carácter de obligatorio, podrá admitirlos como asegurados facultativos”</w:t>
      </w:r>
      <w:r w:rsidRPr="00E47EC5">
        <w:t>.</w:t>
      </w:r>
    </w:p>
  </w:footnote>
  <w:footnote w:id="49">
    <w:p w14:paraId="4478FF92" w14:textId="1FE4BEF7" w:rsidR="003E3C0B" w:rsidRPr="00E47EC5" w:rsidRDefault="003E3C0B">
      <w:pPr>
        <w:pStyle w:val="Textonotapie"/>
      </w:pPr>
      <w:r w:rsidRPr="00E47EC5">
        <w:rPr>
          <w:rStyle w:val="Refdenotaalpie"/>
        </w:rPr>
        <w:footnoteRef/>
      </w:r>
      <w:r w:rsidRPr="00E47EC5">
        <w:t xml:space="preserve"> Ley 100 de 1993, artículo 10.</w:t>
      </w:r>
    </w:p>
  </w:footnote>
  <w:footnote w:id="50">
    <w:p w14:paraId="1D24D7FB" w14:textId="4C70EA6A" w:rsidR="003E3C0B" w:rsidRPr="00E47EC5" w:rsidRDefault="003E3C0B" w:rsidP="004A619E">
      <w:pPr>
        <w:pStyle w:val="Textonotapie"/>
      </w:pPr>
      <w:r w:rsidRPr="00E47EC5">
        <w:rPr>
          <w:rStyle w:val="Refdenotaalpie"/>
        </w:rPr>
        <w:footnoteRef/>
      </w:r>
      <w:r w:rsidRPr="00E47EC5">
        <w:t xml:space="preserve"> Ley 100 de 1993, artículo 13, literal i).</w:t>
      </w:r>
    </w:p>
  </w:footnote>
  <w:footnote w:id="51">
    <w:p w14:paraId="726FA793" w14:textId="77A997A9" w:rsidR="003E3C0B" w:rsidRPr="00E47EC5" w:rsidRDefault="003E3C0B">
      <w:pPr>
        <w:pStyle w:val="Textonotapie"/>
      </w:pPr>
      <w:r w:rsidRPr="00E47EC5">
        <w:rPr>
          <w:rStyle w:val="Refdenotaalpie"/>
        </w:rPr>
        <w:footnoteRef/>
      </w:r>
      <w:r w:rsidRPr="00E47EC5">
        <w:t xml:space="preserve"> Ley 1769 de 2015, el artículo 110 y Resolución 483 de 2016, artículo 4.</w:t>
      </w:r>
    </w:p>
  </w:footnote>
  <w:footnote w:id="52">
    <w:p w14:paraId="4D736CB5" w14:textId="303A53DE" w:rsidR="003E3C0B" w:rsidRPr="00E47EC5" w:rsidRDefault="003E3C0B">
      <w:pPr>
        <w:pStyle w:val="Textonotapie"/>
      </w:pPr>
      <w:r w:rsidRPr="00E47EC5">
        <w:rPr>
          <w:rStyle w:val="Refdenotaalpie"/>
        </w:rPr>
        <w:footnoteRef/>
      </w:r>
      <w:r w:rsidRPr="00E47EC5">
        <w:t xml:space="preserve"> Con la Ley 1187 de 2008 se adicionan algunas disposiciones. </w:t>
      </w:r>
    </w:p>
  </w:footnote>
  <w:footnote w:id="53">
    <w:p w14:paraId="5210E94E" w14:textId="523032C0" w:rsidR="003E3C0B" w:rsidRPr="00E47EC5" w:rsidRDefault="003E3C0B">
      <w:pPr>
        <w:pStyle w:val="Textonotapie"/>
        <w:rPr>
          <w:lang w:val="es-ES"/>
        </w:rPr>
      </w:pPr>
      <w:r w:rsidRPr="00E47EC5">
        <w:rPr>
          <w:rStyle w:val="Refdenotaalpie"/>
        </w:rPr>
        <w:footnoteRef/>
      </w:r>
      <w:r w:rsidRPr="00E47EC5">
        <w:t xml:space="preserve"> </w:t>
      </w:r>
      <w:r w:rsidRPr="00E47EC5">
        <w:rPr>
          <w:i/>
        </w:rPr>
        <w:t>“Por el cual se reglamenta el subsidio de aportes al Sistema General de Pensiones</w:t>
      </w:r>
      <w:r w:rsidRPr="00E47EC5">
        <w:t>”. Derogado mediante el artículo 39 del Decreto 3771 de 2007.</w:t>
      </w:r>
    </w:p>
  </w:footnote>
  <w:footnote w:id="54">
    <w:p w14:paraId="40521F08" w14:textId="50FB3481" w:rsidR="003E3C0B" w:rsidRPr="00E47EC5" w:rsidRDefault="003E3C0B">
      <w:pPr>
        <w:pStyle w:val="Textonotapie"/>
      </w:pPr>
      <w:r w:rsidRPr="00E47EC5">
        <w:rPr>
          <w:rStyle w:val="Refdenotaalpie"/>
        </w:rPr>
        <w:footnoteRef/>
      </w:r>
      <w:r w:rsidRPr="00E47EC5">
        <w:t xml:space="preserve"> Ley 100 de 1993, artículo 26.</w:t>
      </w:r>
    </w:p>
  </w:footnote>
  <w:footnote w:id="55">
    <w:p w14:paraId="768983B2" w14:textId="000972C7" w:rsidR="003E3C0B" w:rsidRPr="00E47EC5" w:rsidRDefault="003E3C0B" w:rsidP="00282391">
      <w:pPr>
        <w:pStyle w:val="Textonotapie"/>
        <w:jc w:val="both"/>
        <w:rPr>
          <w:i/>
          <w:lang w:val="es-ES"/>
        </w:rPr>
      </w:pPr>
      <w:r w:rsidRPr="00E47EC5">
        <w:rPr>
          <w:rStyle w:val="Refdenotaalpie"/>
        </w:rPr>
        <w:footnoteRef/>
      </w:r>
      <w:r w:rsidRPr="00E47EC5">
        <w:t xml:space="preserve"> Decreto 1858 de 1995, artículo 6. </w:t>
      </w:r>
      <w:r w:rsidRPr="00E47EC5">
        <w:rPr>
          <w:i/>
        </w:rPr>
        <w:t xml:space="preserve">“Pago de aportes. Los aportes por cotización estarán a cargo del afiliado cuando éste sea independiente </w:t>
      </w:r>
      <w:r w:rsidRPr="00E47EC5">
        <w:t>(…)</w:t>
      </w:r>
      <w:r w:rsidRPr="00E47EC5">
        <w:rPr>
          <w:i/>
        </w:rPr>
        <w:t>”.</w:t>
      </w:r>
    </w:p>
  </w:footnote>
  <w:footnote w:id="56">
    <w:p w14:paraId="5BEA34EB" w14:textId="7BF8F99D" w:rsidR="003E3C0B" w:rsidRPr="00E47EC5" w:rsidRDefault="003E3C0B" w:rsidP="003678B6">
      <w:pPr>
        <w:pStyle w:val="Textonotapie"/>
        <w:jc w:val="both"/>
        <w:rPr>
          <w:i/>
          <w:lang w:val="es-ES"/>
        </w:rPr>
      </w:pPr>
      <w:r w:rsidRPr="00E47EC5">
        <w:rPr>
          <w:rStyle w:val="Refdenotaalpie"/>
        </w:rPr>
        <w:footnoteRef/>
      </w:r>
      <w:r w:rsidRPr="00E47EC5">
        <w:t xml:space="preserve"> Ley 100 de 1993, artículo 25. </w:t>
      </w:r>
      <w:r w:rsidRPr="00E47EC5">
        <w:rPr>
          <w:i/>
        </w:rPr>
        <w:t xml:space="preserve">“Créase el Fondo de Solidaridad Pensional, como una cuenta especial de la Nación sin personería jurídica, adscrita al Ministerio de Trabajo y Seguridad Social, cuyos recursos serán administrados en fiducia por las sociedades fiduciarias de naturaleza pública, y preferencialmente por las sociedades fiduciarias del sector social solidario, o por las administradoras de fondos de pensiones y/o cesantía del sector social solidario, las cuales quedan autorizadas para tal efecto por virtud de la presente ley”. </w:t>
      </w:r>
      <w:r w:rsidRPr="00E47EC5">
        <w:t xml:space="preserve">Y el Decreto 1858 de 1995, artículo 11. </w:t>
      </w:r>
      <w:r w:rsidRPr="00E47EC5">
        <w:rPr>
          <w:i/>
        </w:rPr>
        <w:t xml:space="preserve">“Transferencias del subsidio por parte del Fondo de Solidaridad Pensional. La entidad administradora del Fondo de Solidaridad Pensional, transferirá los recursos correspondientes al subsidio a las entidades administradoras de pensiones donde se encuentren afiliados los beneficiarios, dentro de los primeros diez (10) días del mes correspondiente a aquel que es objeto de la cotización </w:t>
      </w:r>
      <w:r w:rsidRPr="00E47EC5">
        <w:t>(…)</w:t>
      </w:r>
      <w:r w:rsidRPr="00E47EC5">
        <w:rPr>
          <w:i/>
        </w:rPr>
        <w:t>”.</w:t>
      </w:r>
    </w:p>
  </w:footnote>
  <w:footnote w:id="57">
    <w:p w14:paraId="398FD67C" w14:textId="6BC84599" w:rsidR="003E3C0B" w:rsidRPr="00E47EC5" w:rsidRDefault="003E3C0B" w:rsidP="00B61A72">
      <w:pPr>
        <w:pStyle w:val="Textonotapie"/>
        <w:rPr>
          <w:lang w:val="es-ES"/>
        </w:rPr>
      </w:pPr>
      <w:r w:rsidRPr="00E47EC5">
        <w:rPr>
          <w:rStyle w:val="Refdenotaalpie"/>
        </w:rPr>
        <w:footnoteRef/>
      </w:r>
      <w:r w:rsidRPr="00E47EC5">
        <w:t xml:space="preserve"> Ver, </w:t>
      </w:r>
      <w:r w:rsidRPr="00E47EC5">
        <w:rPr>
          <w:lang w:val="es-ES"/>
        </w:rPr>
        <w:t xml:space="preserve">decretos 569 de 2004, 3771 de 2007, 4944 de 2009, 1833 de 2016 y 387 de 2018, entre otros. </w:t>
      </w:r>
    </w:p>
  </w:footnote>
  <w:footnote w:id="58">
    <w:p w14:paraId="57E26542" w14:textId="2C7F7F4A" w:rsidR="003E3C0B" w:rsidRPr="00E47EC5" w:rsidRDefault="003E3C0B" w:rsidP="00107C36">
      <w:pPr>
        <w:pStyle w:val="Textonotapie"/>
        <w:jc w:val="both"/>
        <w:rPr>
          <w:i/>
          <w:lang w:val="es-ES"/>
        </w:rPr>
      </w:pPr>
      <w:r w:rsidRPr="00E47EC5">
        <w:rPr>
          <w:rStyle w:val="Refdenotaalpie"/>
        </w:rPr>
        <w:footnoteRef/>
      </w:r>
      <w:r w:rsidRPr="00E47EC5">
        <w:t xml:space="preserve"> </w:t>
      </w:r>
      <w:r w:rsidRPr="00E47EC5">
        <w:rPr>
          <w:lang w:val="es-ES"/>
        </w:rPr>
        <w:t xml:space="preserve">Sentencia C-081 de 2018. </w:t>
      </w:r>
      <w:r w:rsidRPr="00E47EC5">
        <w:rPr>
          <w:i/>
          <w:lang w:val="es-ES"/>
        </w:rPr>
        <w:t xml:space="preserve">“Tal como se estudió previamente, el Gobierno Nacional expidió el Decreto 387 de 26 de febrero de 2018, con base en el artículo 212 de la Ley 1753 de 2015, que estableció que esa autoridad reglamentaría “(…) la forma como el Programa Subsidio Aporte a la Pensión se cerrará gradualmente (…)”. Dicho cuerpo normativo, en su artículo 2.2.14.5.8 consagró que: “A partir de la entrada en vigencia del presente Capítulo, se cierran las afiliaciones al Subsidio al Aporte para Pensión que adelanta el administrador fiduciario del Fondo de Solidaridad Pensional. </w:t>
      </w:r>
      <w:r w:rsidRPr="00E47EC5">
        <w:rPr>
          <w:lang w:val="es-ES"/>
        </w:rPr>
        <w:t xml:space="preserve">(…) </w:t>
      </w:r>
      <w:r w:rsidRPr="00E47EC5">
        <w:rPr>
          <w:i/>
          <w:lang w:val="es-ES"/>
        </w:rPr>
        <w:t>En efecto, tal y como se expuso previamente, la prohibición de cambio de régimen se imponía como una barrera para las personas que requieren el auxilio, están afiliados en el RAIS y les falten diez (10) años o menos para tener derecho a la pensión de vejez, ya agotó plenamente su contenido al haberse cerrado las afiliaciones al programa de asistencia estatal”.</w:t>
      </w:r>
    </w:p>
  </w:footnote>
  <w:footnote w:id="59">
    <w:p w14:paraId="6E613A2C" w14:textId="12F5A901" w:rsidR="003E3C0B" w:rsidRPr="00E47EC5" w:rsidRDefault="003E3C0B" w:rsidP="00180684">
      <w:pPr>
        <w:pStyle w:val="Textonotapie"/>
        <w:jc w:val="both"/>
      </w:pPr>
      <w:r w:rsidRPr="00E47EC5">
        <w:rPr>
          <w:rStyle w:val="Refdenotaalpie"/>
        </w:rPr>
        <w:footnoteRef/>
      </w:r>
      <w:r w:rsidRPr="00E47EC5">
        <w:t xml:space="preserve"> Derogado. Durante su vigencia fue adicionado por el Decreto 1156 de 1996 y modificado por los decretos 2414 de 1998, 2681 de 2003 y 569 de 2004.</w:t>
      </w:r>
    </w:p>
  </w:footnote>
  <w:footnote w:id="60">
    <w:p w14:paraId="691C2691" w14:textId="77777777" w:rsidR="003E3C0B" w:rsidRPr="00E47EC5" w:rsidRDefault="003E3C0B" w:rsidP="00180684">
      <w:pPr>
        <w:pStyle w:val="Textonotapie"/>
        <w:jc w:val="both"/>
      </w:pPr>
      <w:r w:rsidRPr="00E47EC5">
        <w:rPr>
          <w:rStyle w:val="Refdenotaalpie"/>
        </w:rPr>
        <w:footnoteRef/>
      </w:r>
      <w:r w:rsidRPr="00E47EC5">
        <w:t xml:space="preserve"> El Decreto 2414 de 1998, artículo 1° amplió este periodo a 4 meses y en su artículo 2, confirió un plazo hasta el 31 de mayo de 1999 para que las personas que se encontraban en mora, se pusieran al día.</w:t>
      </w:r>
    </w:p>
  </w:footnote>
  <w:footnote w:id="61">
    <w:p w14:paraId="7A298350" w14:textId="4666BF1C" w:rsidR="003E3C0B" w:rsidRPr="00E47EC5" w:rsidRDefault="003E3C0B" w:rsidP="00180684">
      <w:pPr>
        <w:pStyle w:val="Textonotapie"/>
        <w:jc w:val="both"/>
      </w:pPr>
      <w:r w:rsidRPr="00E47EC5">
        <w:rPr>
          <w:rStyle w:val="Refdenotaalpie"/>
        </w:rPr>
        <w:footnoteRef/>
      </w:r>
      <w:r w:rsidRPr="00E47EC5">
        <w:t xml:space="preserve"> El Decreto 2681 de 2003, artículo 11 amplió este periodo a 6 meses y en su artículo 10, confirió un plazo de 3 meses desde su entrada en vigencia para que las personas que se encontraban en mora, se pusieran al día. El Decreto 569 de 2004 amplió dicho periodo al 30 de abril de 2004. </w:t>
      </w:r>
    </w:p>
  </w:footnote>
  <w:footnote w:id="62">
    <w:p w14:paraId="29AAC22D" w14:textId="24E07FA2" w:rsidR="003E3C0B" w:rsidRPr="00E47EC5" w:rsidRDefault="003E3C0B">
      <w:pPr>
        <w:pStyle w:val="Textonotapie"/>
        <w:rPr>
          <w:lang w:val="es-ES"/>
        </w:rPr>
      </w:pPr>
      <w:r w:rsidRPr="00E47EC5">
        <w:rPr>
          <w:rStyle w:val="Refdenotaalpie"/>
        </w:rPr>
        <w:footnoteRef/>
      </w:r>
      <w:r w:rsidRPr="00E47EC5">
        <w:t xml:space="preserve"> Decreto 1858 de 1995, artículo 9.</w:t>
      </w:r>
    </w:p>
  </w:footnote>
  <w:footnote w:id="63">
    <w:p w14:paraId="713B6E82" w14:textId="10C2937F" w:rsidR="003E3C0B" w:rsidRPr="00E47EC5" w:rsidRDefault="003E3C0B" w:rsidP="008C125C">
      <w:pPr>
        <w:pStyle w:val="Textonotapie"/>
        <w:jc w:val="both"/>
      </w:pPr>
      <w:r w:rsidRPr="00E47EC5">
        <w:rPr>
          <w:rStyle w:val="Refdenotaalpie"/>
        </w:rPr>
        <w:footnoteRef/>
      </w:r>
      <w:r w:rsidRPr="00E47EC5">
        <w:t xml:space="preserve"> Ha sido varias veces modificado por los decretos 2963 y 3550 de 2008, 4943 y 4944 de 2009, 589 y 4048 de 2010, 211, 1542 y 1788 de 2013, 455 de 2014 y compilado en el DUR 1833 de 2016.</w:t>
      </w:r>
    </w:p>
  </w:footnote>
  <w:footnote w:id="64">
    <w:p w14:paraId="77647AF0" w14:textId="4B9023E4" w:rsidR="003E3C0B" w:rsidRPr="00E47EC5" w:rsidRDefault="003E3C0B" w:rsidP="00884696">
      <w:pPr>
        <w:pStyle w:val="Textonotapie"/>
        <w:jc w:val="both"/>
        <w:rPr>
          <w:i/>
        </w:rPr>
      </w:pPr>
      <w:r w:rsidRPr="00E47EC5">
        <w:rPr>
          <w:rStyle w:val="Refdenotaalpie"/>
        </w:rPr>
        <w:footnoteRef/>
      </w:r>
      <w:r w:rsidRPr="00E47EC5">
        <w:t xml:space="preserve"> Ley 1187 de 2008, artículo 2. </w:t>
      </w:r>
      <w:r w:rsidRPr="00E47EC5">
        <w:rPr>
          <w:i/>
        </w:rPr>
        <w:t>“El Gobierno Nacional garantizará la priorización al acceso de las Madres Comunitarias al subsidio de la Subcuenta de Subsistencia de que trata la Ley 797 de 2003, cuando no cumplan con los requisitos para acceder al Fondo de Solidaridad Pensional - Subcuenta de Solidaridad, o cuando habiendo cumplido la edad en los términos de la ley no alcancen a completar el requisito de semanas de cotización exigido.</w:t>
      </w:r>
    </w:p>
    <w:p w14:paraId="2EDC3D3D" w14:textId="77777777" w:rsidR="003E3C0B" w:rsidRPr="00E47EC5" w:rsidRDefault="003E3C0B" w:rsidP="00884696">
      <w:pPr>
        <w:pStyle w:val="Textonotapie"/>
        <w:jc w:val="both"/>
        <w:rPr>
          <w:i/>
        </w:rPr>
      </w:pPr>
      <w:r w:rsidRPr="00E47EC5">
        <w:rPr>
          <w:i/>
        </w:rPr>
        <w:t>PARÁGRAFO 1</w:t>
      </w:r>
      <w:r w:rsidRPr="00E47EC5">
        <w:rPr>
          <w:i/>
          <w:vertAlign w:val="superscript"/>
        </w:rPr>
        <w:t>o</w:t>
      </w:r>
      <w:r w:rsidRPr="00E47EC5">
        <w:rPr>
          <w:i/>
        </w:rPr>
        <w:t>. Las Madres Comunitarias para ser beneficiarias de los subsidios de la subcuenta de Solidaridad, deben acreditar la calidad de Madres Comunitarias que ostenta, por parte del Instituto Colombiano de Bienestar Familiar, o quien haga sus veces.</w:t>
      </w:r>
    </w:p>
    <w:p w14:paraId="6B80F330" w14:textId="4F576A2E" w:rsidR="003E3C0B" w:rsidRPr="00E47EC5" w:rsidRDefault="003E3C0B" w:rsidP="00884696">
      <w:pPr>
        <w:pStyle w:val="Textonotapie"/>
        <w:jc w:val="both"/>
      </w:pPr>
      <w:r w:rsidRPr="00E47EC5">
        <w:rPr>
          <w:i/>
        </w:rPr>
        <w:t>PARÁGRAFO 2</w:t>
      </w:r>
      <w:r w:rsidRPr="00E47EC5">
        <w:rPr>
          <w:i/>
          <w:vertAlign w:val="superscript"/>
        </w:rPr>
        <w:t>o</w:t>
      </w:r>
      <w:r w:rsidRPr="00E47EC5">
        <w:rPr>
          <w:i/>
        </w:rPr>
        <w:t>. Las madres sustitutas, los agentes educativos FAMI (Familia, Mujer e Infancia), tendrán acceso al Fondo de Solidaridad Pensional, previo cumplimiento de los requisitos exigidos por la presente ley”</w:t>
      </w:r>
      <w:r w:rsidRPr="00E47EC5">
        <w:t>.</w:t>
      </w:r>
    </w:p>
  </w:footnote>
  <w:footnote w:id="65">
    <w:p w14:paraId="056AD22D" w14:textId="2FA5DFE8" w:rsidR="003E3C0B" w:rsidRPr="00E47EC5" w:rsidRDefault="003E3C0B" w:rsidP="00B15998">
      <w:pPr>
        <w:pStyle w:val="Textonotapie"/>
        <w:jc w:val="both"/>
      </w:pPr>
      <w:r w:rsidRPr="00E47EC5">
        <w:rPr>
          <w:rStyle w:val="Refdenotaalpie"/>
        </w:rPr>
        <w:footnoteRef/>
      </w:r>
      <w:r w:rsidRPr="00E47EC5">
        <w:t xml:space="preserve"> Ley 509 de 1999, artículo 6. </w:t>
      </w:r>
      <w:r w:rsidRPr="00E47EC5">
        <w:rPr>
          <w:i/>
        </w:rPr>
        <w:t>“El monto del subsidio será equivalente al ochenta por ciento (80%) del total de la cotización para pensión y su duración se extenderá por el término en que la Madre Comunitaria ejerza esta actividad</w:t>
      </w:r>
      <w:r w:rsidRPr="00E47EC5">
        <w:t xml:space="preserve">”. </w:t>
      </w:r>
    </w:p>
  </w:footnote>
  <w:footnote w:id="66">
    <w:p w14:paraId="10A67569" w14:textId="0312DE31" w:rsidR="003E3C0B" w:rsidRPr="00E47EC5" w:rsidRDefault="003E3C0B">
      <w:pPr>
        <w:pStyle w:val="Textonotapie"/>
      </w:pPr>
      <w:r w:rsidRPr="00E47EC5">
        <w:rPr>
          <w:rStyle w:val="Refdenotaalpie"/>
        </w:rPr>
        <w:footnoteRef/>
      </w:r>
      <w:r w:rsidRPr="00E47EC5">
        <w:t xml:space="preserve"> Decreto 3771 de 2007, artículos 24 y 37.</w:t>
      </w:r>
    </w:p>
  </w:footnote>
  <w:footnote w:id="67">
    <w:p w14:paraId="303D9E92" w14:textId="55338DE2" w:rsidR="003E3C0B" w:rsidRPr="00E47EC5" w:rsidRDefault="003E3C0B" w:rsidP="009D3110">
      <w:pPr>
        <w:pStyle w:val="Textonotapie"/>
        <w:jc w:val="both"/>
      </w:pPr>
      <w:r w:rsidRPr="00E47EC5">
        <w:rPr>
          <w:rStyle w:val="Refdenotaalpie"/>
        </w:rPr>
        <w:footnoteRef/>
      </w:r>
      <w:r w:rsidRPr="00E47EC5">
        <w:t xml:space="preserve"> Reglamentada mediante el Decreto 289 de 2014 y modificada por las leyes 1739 de 2014, 1753 de 2015, 1819 de 2016 y 1943 de 2018.</w:t>
      </w:r>
      <w:r w:rsidR="009D3110" w:rsidRPr="00E47EC5">
        <w:t xml:space="preserve"> Adicionalmente es de destacar que el Consorcio Colombia Mayor nació como una alianza entre la Fiduprevisora S.A., Fiducoldex S.A. y Fiducentral S.A., y tiene por objeto administrar los recursos del Fondo de Solidaridad Pensional, en virtud del contrato de fiducia pública No.216 de 2013, suscrito con el Ministerio del Trabajo. En tal calidad, tiene a cargo las subcuentas de solidaridad y subsistencia, con las que financia el Programa de Subsidio al Aporte en Pensión y el Programa de Solidaridad con el Adulto Mayor, Colombia Mayor.</w:t>
      </w:r>
    </w:p>
  </w:footnote>
  <w:footnote w:id="68">
    <w:p w14:paraId="1337F4D5" w14:textId="017B0EDD" w:rsidR="009D3110" w:rsidRPr="00E47EC5" w:rsidRDefault="009D3110" w:rsidP="00744D5D">
      <w:pPr>
        <w:pStyle w:val="Textonotapie"/>
        <w:jc w:val="both"/>
        <w:rPr>
          <w:i/>
        </w:rPr>
      </w:pPr>
      <w:r w:rsidRPr="00E47EC5">
        <w:rPr>
          <w:rStyle w:val="Refdenotaalpie"/>
        </w:rPr>
        <w:footnoteRef/>
      </w:r>
      <w:r w:rsidRPr="00E47EC5">
        <w:t xml:space="preserve"> Decreto 387 de 2018, artículo 2.2.14.5.10. </w:t>
      </w:r>
      <w:r w:rsidRPr="00E47EC5">
        <w:rPr>
          <w:i/>
        </w:rPr>
        <w:t>“Ex Madres comunitarias. Para las personas que dejaron de ser madres comunitarias a partir de la entrada en vigencia de la Ley 1450 de 2011, que cumplan con lo establecido en los artículos 2.2.14.5.3. y 2.2.14.5.4. del presente capítulo y destinen los recursos del Servicio Social Complementario de Beneficios Económicos Periódicos al pago de una suma de dinero mensual o beneficio económico periódico hasta su muerte, se les reconocerá adicionalmente el beneficio de que trata el artículo 2.2.14.3.2 del Decreto 1833 de 2016 en las mismas condiciones definidas en el título 13 del citado decreto. Igualmente, aplica para las ex madres sustitutas objeto del beneficio regulado en el artículo 2.2.14.4.3. del Decreto 1833 de 2016”.</w:t>
      </w:r>
    </w:p>
  </w:footnote>
  <w:footnote w:id="69">
    <w:p w14:paraId="2B888F86" w14:textId="2A90BBEA" w:rsidR="009D3110" w:rsidRPr="00E47EC5" w:rsidRDefault="009D3110" w:rsidP="00A35324">
      <w:pPr>
        <w:pStyle w:val="Textonotapie"/>
        <w:jc w:val="both"/>
      </w:pPr>
      <w:r w:rsidRPr="00E47EC5">
        <w:rPr>
          <w:rStyle w:val="Refdenotaalpie"/>
        </w:rPr>
        <w:footnoteRef/>
      </w:r>
      <w:r w:rsidRPr="00E47EC5">
        <w:t xml:space="preserve"> Decreto 387 de 2018, artículo 2.2.14.5.8. </w:t>
      </w:r>
      <w:r w:rsidRPr="00E47EC5">
        <w:rPr>
          <w:i/>
        </w:rPr>
        <w:t xml:space="preserve">“Afiliaciones al Subsidio al Aporte para Pensión del Fondo de Solidaridad Pensional. A partir de la entrada en vigencia del presente Capítulo, se cierran las afiliaciones al Subsidio al Aporte para Pensión que adelanta el administrador fiduciario del Fondo de Solidaridad Pensional Sin embargo, se podrá vincular excepcionalmente la siguiente población: </w:t>
      </w:r>
      <w:r w:rsidRPr="00E47EC5">
        <w:t xml:space="preserve">(…) </w:t>
      </w:r>
      <w:r w:rsidRPr="00E47EC5">
        <w:rPr>
          <w:i/>
        </w:rPr>
        <w:t>4. Madres sustitutas, siempre que no sean afiliadas obligatorias al Sistema General de Pensiones”.</w:t>
      </w:r>
    </w:p>
  </w:footnote>
  <w:footnote w:id="70">
    <w:p w14:paraId="0B2766E0" w14:textId="628A61D5" w:rsidR="00E47EC5" w:rsidRPr="00E47EC5" w:rsidRDefault="00E47EC5" w:rsidP="00E47EC5">
      <w:pPr>
        <w:pStyle w:val="Textonotapie"/>
        <w:jc w:val="both"/>
        <w:rPr>
          <w:i/>
        </w:rPr>
      </w:pPr>
      <w:r w:rsidRPr="00E47EC5">
        <w:rPr>
          <w:rStyle w:val="Refdenotaalpie"/>
        </w:rPr>
        <w:footnoteRef/>
      </w:r>
      <w:r w:rsidRPr="00E47EC5">
        <w:t xml:space="preserve"> Adicionalmente, </w:t>
      </w:r>
      <w:r w:rsidR="001D1750">
        <w:t xml:space="preserve">se destaca que </w:t>
      </w:r>
      <w:r w:rsidRPr="00E47EC5">
        <w:t xml:space="preserve">en la Sentencia C-100 de 2019, la Corte concluyó que </w:t>
      </w:r>
      <w:r w:rsidR="001D1750">
        <w:t xml:space="preserve">el PSAP no ha sido el único </w:t>
      </w:r>
      <w:r w:rsidRPr="00E47EC5">
        <w:t xml:space="preserve">beneficio </w:t>
      </w:r>
      <w:r w:rsidR="001D1750">
        <w:t xml:space="preserve">previsto para </w:t>
      </w:r>
      <w:r w:rsidRPr="00E47EC5">
        <w:t>este grupo poblacional</w:t>
      </w:r>
      <w:r w:rsidR="001D1750">
        <w:t xml:space="preserve">, sino que </w:t>
      </w:r>
      <w:r w:rsidRPr="00E47EC5">
        <w:t xml:space="preserve">se han establecido las siguientes subvenciones: </w:t>
      </w:r>
      <w:r w:rsidRPr="00E47EC5">
        <w:rPr>
          <w:i/>
        </w:rPr>
        <w:t xml:space="preserve">“En suma, el régimen jurídico vigente prevé un grupo de instrumentos de amparo durante la vejez de quienes contribuyen al desarrollo de los programas de protección de la niñez del ICBF. Tal regulación ha comprendido (i) apoyos económicos para la realización de los aportes al sistema de seguridad social; (ii) el reconocimiento de subsidios especiales a madres comunitarias y madres sustitutas; (iii) el gradual proceso de formalización laboral; y (iv) la posibilidad de acceder al programa de los BEPS. Para la Corte es relevante resaltar el hecho de que el subsidio previsto en las disposiciones objetadas -que sería cubierto por la cuenta de subsistencia- no tiene como propósito apoyar el esfuerzo en la realización de cotizaciones al sistema de seguridad social sino, en una dirección diferente, otorgar un subsidio permanente a la vejez”.   </w:t>
      </w:r>
    </w:p>
  </w:footnote>
  <w:footnote w:id="71">
    <w:p w14:paraId="6E6CC796" w14:textId="6497B51E" w:rsidR="00505463" w:rsidRPr="00E47EC5" w:rsidRDefault="00505463">
      <w:pPr>
        <w:pStyle w:val="Textonotapie"/>
      </w:pPr>
      <w:r w:rsidRPr="00E47EC5">
        <w:rPr>
          <w:rStyle w:val="Refdenotaalpie"/>
        </w:rPr>
        <w:footnoteRef/>
      </w:r>
      <w:r w:rsidRPr="00E47EC5">
        <w:t xml:space="preserve"> </w:t>
      </w:r>
      <w:r w:rsidRPr="00E47EC5">
        <w:rPr>
          <w:i/>
        </w:rPr>
        <w:t xml:space="preserve">Supra </w:t>
      </w:r>
      <w:r w:rsidRPr="00E47EC5">
        <w:t xml:space="preserve">numeral 3 de la presente sentencia. </w:t>
      </w:r>
    </w:p>
  </w:footnote>
  <w:footnote w:id="72">
    <w:p w14:paraId="53DA3F0A" w14:textId="3B689272" w:rsidR="004143B6" w:rsidRPr="00E47EC5" w:rsidRDefault="004143B6">
      <w:pPr>
        <w:pStyle w:val="Textonotapie"/>
      </w:pPr>
      <w:r w:rsidRPr="00E47EC5">
        <w:rPr>
          <w:rStyle w:val="Refdenotaalpie"/>
        </w:rPr>
        <w:footnoteRef/>
      </w:r>
      <w:r w:rsidRPr="00E47EC5">
        <w:t xml:space="preserve"> </w:t>
      </w:r>
      <w:r w:rsidRPr="00E47EC5">
        <w:rPr>
          <w:i/>
        </w:rPr>
        <w:t xml:space="preserve">Supra </w:t>
      </w:r>
      <w:r w:rsidRPr="00E47EC5">
        <w:t xml:space="preserve">numeral 31 de la presente sentencia. </w:t>
      </w:r>
    </w:p>
  </w:footnote>
  <w:footnote w:id="73">
    <w:p w14:paraId="2603B2DC" w14:textId="3F3381F8" w:rsidR="00237E09" w:rsidRPr="00E47EC5" w:rsidRDefault="00237E09">
      <w:pPr>
        <w:pStyle w:val="Textonotapie"/>
      </w:pPr>
      <w:r w:rsidRPr="00E47EC5">
        <w:rPr>
          <w:rStyle w:val="Refdenotaalpie"/>
        </w:rPr>
        <w:footnoteRef/>
      </w:r>
      <w:r w:rsidRPr="00E47EC5">
        <w:t xml:space="preserve"> </w:t>
      </w:r>
      <w:r w:rsidRPr="00E47EC5">
        <w:rPr>
          <w:i/>
        </w:rPr>
        <w:t>Supra</w:t>
      </w:r>
      <w:r w:rsidRPr="00E47EC5">
        <w:t xml:space="preserve"> numeral 35 de la presente sentencia.</w:t>
      </w:r>
    </w:p>
  </w:footnote>
  <w:footnote w:id="74">
    <w:p w14:paraId="580864DD" w14:textId="77777777" w:rsidR="00AE5BD1" w:rsidRPr="00E47EC5" w:rsidRDefault="00AE5BD1" w:rsidP="00AE5BD1">
      <w:pPr>
        <w:pStyle w:val="Textonotapie"/>
      </w:pPr>
      <w:r w:rsidRPr="00E47EC5">
        <w:rPr>
          <w:rStyle w:val="Refdenotaalpie"/>
        </w:rPr>
        <w:footnoteRef/>
      </w:r>
      <w:r w:rsidRPr="00E47EC5">
        <w:t xml:space="preserve"> Ley 1769 de 2015, el artículo 110 y Resolución 483 de 2016, artículo 4.</w:t>
      </w:r>
    </w:p>
  </w:footnote>
  <w:footnote w:id="75">
    <w:p w14:paraId="5512478D" w14:textId="77777777" w:rsidR="00AE5BD1" w:rsidRPr="00E47EC5" w:rsidRDefault="00AE5BD1" w:rsidP="00AE5BD1">
      <w:pPr>
        <w:pStyle w:val="Textonotapie"/>
      </w:pPr>
      <w:r w:rsidRPr="00E47EC5">
        <w:rPr>
          <w:rStyle w:val="Refdenotaalpie"/>
        </w:rPr>
        <w:footnoteRef/>
      </w:r>
      <w:r w:rsidRPr="00E47EC5">
        <w:t xml:space="preserve"> Con la Ley 1187 de 2008 se adicionan algunas disposiciones. </w:t>
      </w:r>
    </w:p>
  </w:footnote>
  <w:footnote w:id="76">
    <w:p w14:paraId="73867709" w14:textId="428092DA" w:rsidR="00951124" w:rsidRPr="00E47EC5" w:rsidRDefault="00951124">
      <w:pPr>
        <w:pStyle w:val="Textonotapie"/>
      </w:pPr>
      <w:r w:rsidRPr="00E47EC5">
        <w:rPr>
          <w:rStyle w:val="Refdenotaalpie"/>
        </w:rPr>
        <w:footnoteRef/>
      </w:r>
      <w:r w:rsidRPr="00E47EC5">
        <w:t xml:space="preserve"> </w:t>
      </w:r>
      <w:r w:rsidRPr="00E47EC5">
        <w:rPr>
          <w:i/>
        </w:rPr>
        <w:t>Supra</w:t>
      </w:r>
      <w:r w:rsidRPr="00E47EC5">
        <w:t xml:space="preserve"> numeral 40 de la presente sentencia.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BEDDD" w14:textId="77777777" w:rsidR="003E3C0B" w:rsidRDefault="003E3C0B">
    <w:pPr>
      <w:spacing w:after="0" w:line="240" w:lineRule="auto"/>
    </w:pPr>
  </w:p>
  <w:p w14:paraId="38A0E9B6" w14:textId="77777777" w:rsidR="003E3C0B" w:rsidRDefault="003E3C0B">
    <w:pPr>
      <w:spacing w:after="0" w:line="240" w:lineRule="auto"/>
    </w:pPr>
  </w:p>
  <w:p w14:paraId="1032CE53" w14:textId="77777777" w:rsidR="003E3C0B" w:rsidRDefault="003E3C0B">
    <w:pPr>
      <w:spacing w:after="0" w:line="240" w:lineRule="auto"/>
      <w:jc w:val="right"/>
      <w:rPr>
        <w:rFonts w:eastAsia="Times New Roman"/>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642B1"/>
    <w:multiLevelType w:val="hybridMultilevel"/>
    <w:tmpl w:val="18EC5CD4"/>
    <w:lvl w:ilvl="0" w:tplc="A97EB2F2">
      <w:start w:val="1"/>
      <w:numFmt w:val="upperRoman"/>
      <w:pStyle w:val="Titulosprincipales"/>
      <w:lvlText w:val="%1."/>
      <w:lvlJc w:val="left"/>
      <w:pPr>
        <w:ind w:left="1080" w:hanging="72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7D53883"/>
    <w:multiLevelType w:val="hybridMultilevel"/>
    <w:tmpl w:val="8EFE1712"/>
    <w:lvl w:ilvl="0" w:tplc="8F82FFAA">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nsid w:val="166A14BB"/>
    <w:multiLevelType w:val="hybridMultilevel"/>
    <w:tmpl w:val="DB7226BE"/>
    <w:lvl w:ilvl="0" w:tplc="240A000B">
      <w:start w:val="20"/>
      <w:numFmt w:val="bullet"/>
      <w:lvlText w:val=""/>
      <w:lvlJc w:val="left"/>
      <w:pPr>
        <w:ind w:left="720" w:hanging="360"/>
      </w:pPr>
      <w:rPr>
        <w:rFonts w:ascii="Wingdings" w:eastAsia="Times New Roman" w:hAnsi="Wingdings"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E720AB6"/>
    <w:multiLevelType w:val="hybridMultilevel"/>
    <w:tmpl w:val="8EFE1712"/>
    <w:lvl w:ilvl="0" w:tplc="8F82FFAA">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nsid w:val="3F4C0602"/>
    <w:multiLevelType w:val="multilevel"/>
    <w:tmpl w:val="218C66B8"/>
    <w:lvl w:ilvl="0">
      <w:start w:val="1"/>
      <w:numFmt w:val="decimal"/>
      <w:lvlText w:val="%1."/>
      <w:lvlJc w:val="left"/>
      <w:pPr>
        <w:ind w:left="0" w:firstLine="0"/>
      </w:pPr>
      <w:rPr>
        <w:rFonts w:hint="default"/>
        <w:b/>
        <w:i w:val="0"/>
        <w:sz w:val="28"/>
        <w:szCs w:val="28"/>
        <w:u w:val="none"/>
      </w:rPr>
    </w:lvl>
    <w:lvl w:ilvl="1">
      <w:start w:val="1"/>
      <w:numFmt w:val="decimal"/>
      <w:lvlText w:val="%1.%2."/>
      <w:lvlJc w:val="left"/>
      <w:pPr>
        <w:ind w:left="0" w:firstLine="0"/>
      </w:pPr>
      <w:rPr>
        <w:rFonts w:hint="default"/>
        <w:b/>
        <w:i w:val="0"/>
        <w:u w:val="none"/>
      </w:rPr>
    </w:lvl>
    <w:lvl w:ilvl="2">
      <w:start w:val="1"/>
      <w:numFmt w:val="decimal"/>
      <w:lvlText w:val="%1.%2.%3."/>
      <w:lvlJc w:val="left"/>
      <w:pPr>
        <w:ind w:left="0" w:firstLine="0"/>
      </w:pPr>
      <w:rPr>
        <w:rFonts w:hint="default"/>
        <w:b/>
        <w:i w:val="0"/>
        <w:u w:val="none"/>
      </w:rPr>
    </w:lvl>
    <w:lvl w:ilvl="3">
      <w:start w:val="1"/>
      <w:numFmt w:val="decimal"/>
      <w:lvlText w:val="%1.%2.%3.%4."/>
      <w:lvlJc w:val="left"/>
      <w:pPr>
        <w:ind w:left="0" w:firstLine="0"/>
      </w:pPr>
      <w:rPr>
        <w:rFonts w:hint="default"/>
        <w:u w:val="none"/>
      </w:rPr>
    </w:lvl>
    <w:lvl w:ilvl="4">
      <w:start w:val="1"/>
      <w:numFmt w:val="decimal"/>
      <w:lvlText w:val="%1.%2.%3.%4.%5."/>
      <w:lvlJc w:val="left"/>
      <w:pPr>
        <w:ind w:left="0" w:firstLine="0"/>
      </w:pPr>
      <w:rPr>
        <w:rFonts w:hint="default"/>
        <w:u w:val="none"/>
      </w:rPr>
    </w:lvl>
    <w:lvl w:ilvl="5">
      <w:start w:val="1"/>
      <w:numFmt w:val="decimal"/>
      <w:lvlText w:val="%1.%2.%3.%4.%5.%6."/>
      <w:lvlJc w:val="left"/>
      <w:pPr>
        <w:ind w:left="0" w:firstLine="0"/>
      </w:pPr>
      <w:rPr>
        <w:rFonts w:hint="default"/>
        <w:u w:val="none"/>
      </w:rPr>
    </w:lvl>
    <w:lvl w:ilvl="6">
      <w:start w:val="1"/>
      <w:numFmt w:val="decimal"/>
      <w:lvlText w:val="%1.%2.%3.%4.%5.%6.%7."/>
      <w:lvlJc w:val="left"/>
      <w:pPr>
        <w:ind w:left="0" w:firstLine="0"/>
      </w:pPr>
      <w:rPr>
        <w:rFonts w:hint="default"/>
        <w:u w:val="none"/>
      </w:rPr>
    </w:lvl>
    <w:lvl w:ilvl="7">
      <w:start w:val="1"/>
      <w:numFmt w:val="decimal"/>
      <w:lvlText w:val="%1.%2.%3.%4.%5.%6.%7.%8."/>
      <w:lvlJc w:val="left"/>
      <w:pPr>
        <w:ind w:left="0" w:firstLine="0"/>
      </w:pPr>
      <w:rPr>
        <w:rFonts w:hint="default"/>
        <w:u w:val="none"/>
      </w:rPr>
    </w:lvl>
    <w:lvl w:ilvl="8">
      <w:start w:val="1"/>
      <w:numFmt w:val="decimal"/>
      <w:lvlText w:val="%1.%2.%3.%4.%5.%6.%7.%8.%9."/>
      <w:lvlJc w:val="left"/>
      <w:pPr>
        <w:ind w:left="0" w:firstLine="0"/>
      </w:pPr>
      <w:rPr>
        <w:rFonts w:hint="default"/>
        <w:u w:val="none"/>
      </w:rPr>
    </w:lvl>
  </w:abstractNum>
  <w:abstractNum w:abstractNumId="5">
    <w:nsid w:val="41C43961"/>
    <w:multiLevelType w:val="multilevel"/>
    <w:tmpl w:val="DB7CB40E"/>
    <w:lvl w:ilvl="0">
      <w:start w:val="1"/>
      <w:numFmt w:val="decimal"/>
      <w:lvlText w:val="%1."/>
      <w:lvlJc w:val="left"/>
      <w:pPr>
        <w:ind w:left="0" w:firstLine="0"/>
      </w:pPr>
      <w:rPr>
        <w:rFonts w:ascii="Times New Roman" w:hAnsi="Times New Roman" w:cs="Times New Roman" w:hint="default"/>
        <w:b w:val="0"/>
        <w:i w:val="0"/>
        <w:sz w:val="28"/>
        <w:szCs w:val="28"/>
      </w:rPr>
    </w:lvl>
    <w:lvl w:ilvl="1">
      <w:start w:val="1"/>
      <w:numFmt w:val="decimal"/>
      <w:lvlText w:val="%1.%2."/>
      <w:lvlJc w:val="left"/>
      <w:pPr>
        <w:ind w:left="0" w:firstLine="0"/>
      </w:pPr>
      <w:rPr>
        <w:rFonts w:hint="default"/>
        <w:i w:val="0"/>
        <w:sz w:val="28"/>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nsid w:val="473918F8"/>
    <w:multiLevelType w:val="multilevel"/>
    <w:tmpl w:val="218C66B8"/>
    <w:lvl w:ilvl="0">
      <w:start w:val="1"/>
      <w:numFmt w:val="decimal"/>
      <w:lvlText w:val="%1."/>
      <w:lvlJc w:val="left"/>
      <w:pPr>
        <w:ind w:left="0" w:firstLine="0"/>
      </w:pPr>
      <w:rPr>
        <w:rFonts w:hint="default"/>
        <w:b/>
        <w:i w:val="0"/>
        <w:sz w:val="28"/>
        <w:szCs w:val="28"/>
        <w:u w:val="none"/>
      </w:rPr>
    </w:lvl>
    <w:lvl w:ilvl="1">
      <w:start w:val="1"/>
      <w:numFmt w:val="decimal"/>
      <w:lvlText w:val="%1.%2."/>
      <w:lvlJc w:val="left"/>
      <w:pPr>
        <w:ind w:left="0" w:firstLine="0"/>
      </w:pPr>
      <w:rPr>
        <w:rFonts w:hint="default"/>
        <w:b/>
        <w:i w:val="0"/>
        <w:u w:val="none"/>
      </w:rPr>
    </w:lvl>
    <w:lvl w:ilvl="2">
      <w:start w:val="1"/>
      <w:numFmt w:val="decimal"/>
      <w:lvlText w:val="%1.%2.%3."/>
      <w:lvlJc w:val="left"/>
      <w:pPr>
        <w:ind w:left="0" w:firstLine="0"/>
      </w:pPr>
      <w:rPr>
        <w:rFonts w:hint="default"/>
        <w:b/>
        <w:i w:val="0"/>
        <w:u w:val="none"/>
      </w:rPr>
    </w:lvl>
    <w:lvl w:ilvl="3">
      <w:start w:val="1"/>
      <w:numFmt w:val="decimal"/>
      <w:lvlText w:val="%1.%2.%3.%4."/>
      <w:lvlJc w:val="left"/>
      <w:pPr>
        <w:ind w:left="0" w:firstLine="0"/>
      </w:pPr>
      <w:rPr>
        <w:rFonts w:hint="default"/>
        <w:u w:val="none"/>
      </w:rPr>
    </w:lvl>
    <w:lvl w:ilvl="4">
      <w:start w:val="1"/>
      <w:numFmt w:val="decimal"/>
      <w:lvlText w:val="%1.%2.%3.%4.%5."/>
      <w:lvlJc w:val="left"/>
      <w:pPr>
        <w:ind w:left="0" w:firstLine="0"/>
      </w:pPr>
      <w:rPr>
        <w:rFonts w:hint="default"/>
        <w:u w:val="none"/>
      </w:rPr>
    </w:lvl>
    <w:lvl w:ilvl="5">
      <w:start w:val="1"/>
      <w:numFmt w:val="decimal"/>
      <w:lvlText w:val="%1.%2.%3.%4.%5.%6."/>
      <w:lvlJc w:val="left"/>
      <w:pPr>
        <w:ind w:left="0" w:firstLine="0"/>
      </w:pPr>
      <w:rPr>
        <w:rFonts w:hint="default"/>
        <w:u w:val="none"/>
      </w:rPr>
    </w:lvl>
    <w:lvl w:ilvl="6">
      <w:start w:val="1"/>
      <w:numFmt w:val="decimal"/>
      <w:lvlText w:val="%1.%2.%3.%4.%5.%6.%7."/>
      <w:lvlJc w:val="left"/>
      <w:pPr>
        <w:ind w:left="0" w:firstLine="0"/>
      </w:pPr>
      <w:rPr>
        <w:rFonts w:hint="default"/>
        <w:u w:val="none"/>
      </w:rPr>
    </w:lvl>
    <w:lvl w:ilvl="7">
      <w:start w:val="1"/>
      <w:numFmt w:val="decimal"/>
      <w:lvlText w:val="%1.%2.%3.%4.%5.%6.%7.%8."/>
      <w:lvlJc w:val="left"/>
      <w:pPr>
        <w:ind w:left="0" w:firstLine="0"/>
      </w:pPr>
      <w:rPr>
        <w:rFonts w:hint="default"/>
        <w:u w:val="none"/>
      </w:rPr>
    </w:lvl>
    <w:lvl w:ilvl="8">
      <w:start w:val="1"/>
      <w:numFmt w:val="decimal"/>
      <w:lvlText w:val="%1.%2.%3.%4.%5.%6.%7.%8.%9."/>
      <w:lvlJc w:val="left"/>
      <w:pPr>
        <w:ind w:left="0" w:firstLine="0"/>
      </w:pPr>
      <w:rPr>
        <w:rFonts w:hint="default"/>
        <w:u w:val="none"/>
      </w:rPr>
    </w:lvl>
  </w:abstractNum>
  <w:abstractNum w:abstractNumId="7">
    <w:nsid w:val="4C593EA5"/>
    <w:multiLevelType w:val="hybridMultilevel"/>
    <w:tmpl w:val="8EFE1712"/>
    <w:lvl w:ilvl="0" w:tplc="8F82FFAA">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6C566FBD"/>
    <w:multiLevelType w:val="multilevel"/>
    <w:tmpl w:val="E5E077D4"/>
    <w:lvl w:ilvl="0">
      <w:start w:val="1"/>
      <w:numFmt w:val="upperRoman"/>
      <w:lvlText w:val="%1."/>
      <w:lvlJc w:val="left"/>
      <w:pPr>
        <w:ind w:left="1080" w:firstLine="2520"/>
      </w:pPr>
    </w:lvl>
    <w:lvl w:ilvl="1">
      <w:start w:val="1"/>
      <w:numFmt w:val="lowerLetter"/>
      <w:lvlText w:val="%2."/>
      <w:lvlJc w:val="left"/>
      <w:pPr>
        <w:ind w:left="1440" w:firstLine="3960"/>
      </w:pPr>
    </w:lvl>
    <w:lvl w:ilvl="2">
      <w:start w:val="1"/>
      <w:numFmt w:val="lowerRoman"/>
      <w:lvlText w:val="%3."/>
      <w:lvlJc w:val="right"/>
      <w:pPr>
        <w:ind w:left="2160" w:firstLine="6300"/>
      </w:pPr>
    </w:lvl>
    <w:lvl w:ilvl="3">
      <w:start w:val="1"/>
      <w:numFmt w:val="decimal"/>
      <w:lvlText w:val="%4."/>
      <w:lvlJc w:val="left"/>
      <w:pPr>
        <w:ind w:left="2880" w:firstLine="8280"/>
      </w:pPr>
    </w:lvl>
    <w:lvl w:ilvl="4">
      <w:start w:val="1"/>
      <w:numFmt w:val="lowerLetter"/>
      <w:lvlText w:val="%5."/>
      <w:lvlJc w:val="left"/>
      <w:pPr>
        <w:ind w:left="3600" w:firstLine="10440"/>
      </w:pPr>
    </w:lvl>
    <w:lvl w:ilvl="5">
      <w:start w:val="1"/>
      <w:numFmt w:val="lowerRoman"/>
      <w:lvlText w:val="%6."/>
      <w:lvlJc w:val="right"/>
      <w:pPr>
        <w:ind w:left="4320" w:firstLine="12780"/>
      </w:pPr>
    </w:lvl>
    <w:lvl w:ilvl="6">
      <w:start w:val="1"/>
      <w:numFmt w:val="decimal"/>
      <w:lvlText w:val="%7."/>
      <w:lvlJc w:val="left"/>
      <w:pPr>
        <w:ind w:left="5040" w:firstLine="14760"/>
      </w:pPr>
    </w:lvl>
    <w:lvl w:ilvl="7">
      <w:start w:val="1"/>
      <w:numFmt w:val="lowerLetter"/>
      <w:lvlText w:val="%8."/>
      <w:lvlJc w:val="left"/>
      <w:pPr>
        <w:ind w:left="5760" w:firstLine="16920"/>
      </w:pPr>
    </w:lvl>
    <w:lvl w:ilvl="8">
      <w:start w:val="1"/>
      <w:numFmt w:val="lowerRoman"/>
      <w:lvlText w:val="%9."/>
      <w:lvlJc w:val="right"/>
      <w:pPr>
        <w:ind w:left="6480" w:firstLine="19260"/>
      </w:pPr>
    </w:lvl>
  </w:abstractNum>
  <w:abstractNum w:abstractNumId="9">
    <w:nsid w:val="78923D81"/>
    <w:multiLevelType w:val="multilevel"/>
    <w:tmpl w:val="36BAF0C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5"/>
  </w:num>
  <w:num w:numId="3">
    <w:abstractNumId w:val="6"/>
  </w:num>
  <w:num w:numId="4">
    <w:abstractNumId w:val="8"/>
  </w:num>
  <w:num w:numId="5">
    <w:abstractNumId w:val="7"/>
  </w:num>
  <w:num w:numId="6">
    <w:abstractNumId w:val="1"/>
  </w:num>
  <w:num w:numId="7">
    <w:abstractNumId w:val="3"/>
  </w:num>
  <w:num w:numId="8">
    <w:abstractNumId w:val="2"/>
  </w:num>
  <w:num w:numId="9">
    <w:abstractNumId w:val="0"/>
  </w:num>
  <w:num w:numId="1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397"/>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5C3"/>
    <w:rsid w:val="000002D8"/>
    <w:rsid w:val="0000070B"/>
    <w:rsid w:val="00000959"/>
    <w:rsid w:val="00000EE6"/>
    <w:rsid w:val="0000142C"/>
    <w:rsid w:val="00001A84"/>
    <w:rsid w:val="00002F27"/>
    <w:rsid w:val="00002F4E"/>
    <w:rsid w:val="00003AD1"/>
    <w:rsid w:val="00004C91"/>
    <w:rsid w:val="00004EEB"/>
    <w:rsid w:val="000050BF"/>
    <w:rsid w:val="00005293"/>
    <w:rsid w:val="00005922"/>
    <w:rsid w:val="00006F60"/>
    <w:rsid w:val="00006FA9"/>
    <w:rsid w:val="000073DB"/>
    <w:rsid w:val="00007BC0"/>
    <w:rsid w:val="00007FD9"/>
    <w:rsid w:val="00010715"/>
    <w:rsid w:val="000124E9"/>
    <w:rsid w:val="000126CF"/>
    <w:rsid w:val="00012747"/>
    <w:rsid w:val="00012B9C"/>
    <w:rsid w:val="00013ECF"/>
    <w:rsid w:val="00014E5F"/>
    <w:rsid w:val="00015108"/>
    <w:rsid w:val="00016D03"/>
    <w:rsid w:val="00016EDD"/>
    <w:rsid w:val="00020297"/>
    <w:rsid w:val="000206A5"/>
    <w:rsid w:val="00020A31"/>
    <w:rsid w:val="00020BC5"/>
    <w:rsid w:val="000212BD"/>
    <w:rsid w:val="000215F6"/>
    <w:rsid w:val="00021A8A"/>
    <w:rsid w:val="000223C3"/>
    <w:rsid w:val="00024D58"/>
    <w:rsid w:val="00024E52"/>
    <w:rsid w:val="00025A71"/>
    <w:rsid w:val="000266AF"/>
    <w:rsid w:val="00026789"/>
    <w:rsid w:val="00027211"/>
    <w:rsid w:val="00027482"/>
    <w:rsid w:val="00030149"/>
    <w:rsid w:val="00030AB9"/>
    <w:rsid w:val="00031012"/>
    <w:rsid w:val="00031424"/>
    <w:rsid w:val="000328FF"/>
    <w:rsid w:val="0003471A"/>
    <w:rsid w:val="000349CB"/>
    <w:rsid w:val="00036110"/>
    <w:rsid w:val="0003624D"/>
    <w:rsid w:val="0003651B"/>
    <w:rsid w:val="00037008"/>
    <w:rsid w:val="000373AE"/>
    <w:rsid w:val="00040105"/>
    <w:rsid w:val="00040438"/>
    <w:rsid w:val="00040537"/>
    <w:rsid w:val="000405AE"/>
    <w:rsid w:val="00041889"/>
    <w:rsid w:val="00041DB7"/>
    <w:rsid w:val="00041EF4"/>
    <w:rsid w:val="000435FC"/>
    <w:rsid w:val="00043BE7"/>
    <w:rsid w:val="00043E67"/>
    <w:rsid w:val="000443B0"/>
    <w:rsid w:val="0004499D"/>
    <w:rsid w:val="00044D18"/>
    <w:rsid w:val="00044F2C"/>
    <w:rsid w:val="00045AE1"/>
    <w:rsid w:val="00045CD5"/>
    <w:rsid w:val="00045F3D"/>
    <w:rsid w:val="00046631"/>
    <w:rsid w:val="00046644"/>
    <w:rsid w:val="000477BB"/>
    <w:rsid w:val="000479F1"/>
    <w:rsid w:val="00047B9B"/>
    <w:rsid w:val="00050850"/>
    <w:rsid w:val="000508B5"/>
    <w:rsid w:val="00050D67"/>
    <w:rsid w:val="00050EAC"/>
    <w:rsid w:val="00051933"/>
    <w:rsid w:val="0005195E"/>
    <w:rsid w:val="000529FE"/>
    <w:rsid w:val="0005356D"/>
    <w:rsid w:val="00053CD2"/>
    <w:rsid w:val="0005420A"/>
    <w:rsid w:val="0005463F"/>
    <w:rsid w:val="000551F2"/>
    <w:rsid w:val="000554D9"/>
    <w:rsid w:val="00056206"/>
    <w:rsid w:val="00057B3E"/>
    <w:rsid w:val="0006016D"/>
    <w:rsid w:val="000615DD"/>
    <w:rsid w:val="00062538"/>
    <w:rsid w:val="000651C2"/>
    <w:rsid w:val="000657DA"/>
    <w:rsid w:val="00065FFA"/>
    <w:rsid w:val="00066822"/>
    <w:rsid w:val="00066F2A"/>
    <w:rsid w:val="0006709D"/>
    <w:rsid w:val="00067A10"/>
    <w:rsid w:val="000701CC"/>
    <w:rsid w:val="0007115E"/>
    <w:rsid w:val="00071BBE"/>
    <w:rsid w:val="00072076"/>
    <w:rsid w:val="000722FC"/>
    <w:rsid w:val="00072BE1"/>
    <w:rsid w:val="0007474B"/>
    <w:rsid w:val="00076BFA"/>
    <w:rsid w:val="00076C27"/>
    <w:rsid w:val="00080C07"/>
    <w:rsid w:val="00080C6D"/>
    <w:rsid w:val="00080D87"/>
    <w:rsid w:val="00080E8C"/>
    <w:rsid w:val="0008179B"/>
    <w:rsid w:val="00081A8C"/>
    <w:rsid w:val="000834CF"/>
    <w:rsid w:val="00083BF7"/>
    <w:rsid w:val="00084D20"/>
    <w:rsid w:val="00084E29"/>
    <w:rsid w:val="000853B5"/>
    <w:rsid w:val="0008552F"/>
    <w:rsid w:val="00087AEB"/>
    <w:rsid w:val="00087FD3"/>
    <w:rsid w:val="000904AD"/>
    <w:rsid w:val="00090A03"/>
    <w:rsid w:val="00091113"/>
    <w:rsid w:val="00091227"/>
    <w:rsid w:val="00091315"/>
    <w:rsid w:val="000913CF"/>
    <w:rsid w:val="00091463"/>
    <w:rsid w:val="00092594"/>
    <w:rsid w:val="000925EB"/>
    <w:rsid w:val="00092747"/>
    <w:rsid w:val="00092F01"/>
    <w:rsid w:val="00093051"/>
    <w:rsid w:val="000935C7"/>
    <w:rsid w:val="000938E9"/>
    <w:rsid w:val="000940DE"/>
    <w:rsid w:val="000946B7"/>
    <w:rsid w:val="0009471C"/>
    <w:rsid w:val="00094F21"/>
    <w:rsid w:val="00095252"/>
    <w:rsid w:val="00095E8A"/>
    <w:rsid w:val="00096E1C"/>
    <w:rsid w:val="0009703C"/>
    <w:rsid w:val="000978EC"/>
    <w:rsid w:val="00097F6E"/>
    <w:rsid w:val="000A024A"/>
    <w:rsid w:val="000A031D"/>
    <w:rsid w:val="000A094D"/>
    <w:rsid w:val="000A0C91"/>
    <w:rsid w:val="000A0E85"/>
    <w:rsid w:val="000A12EF"/>
    <w:rsid w:val="000A1839"/>
    <w:rsid w:val="000A2611"/>
    <w:rsid w:val="000A2A40"/>
    <w:rsid w:val="000A3A20"/>
    <w:rsid w:val="000A3C9F"/>
    <w:rsid w:val="000A4269"/>
    <w:rsid w:val="000A50EE"/>
    <w:rsid w:val="000A5476"/>
    <w:rsid w:val="000A652E"/>
    <w:rsid w:val="000A6AC7"/>
    <w:rsid w:val="000A6B74"/>
    <w:rsid w:val="000A7434"/>
    <w:rsid w:val="000A74A2"/>
    <w:rsid w:val="000B01B8"/>
    <w:rsid w:val="000B06E9"/>
    <w:rsid w:val="000B2E67"/>
    <w:rsid w:val="000B31BC"/>
    <w:rsid w:val="000B3345"/>
    <w:rsid w:val="000B360D"/>
    <w:rsid w:val="000B39EF"/>
    <w:rsid w:val="000B4818"/>
    <w:rsid w:val="000B4E36"/>
    <w:rsid w:val="000B59F4"/>
    <w:rsid w:val="000B644F"/>
    <w:rsid w:val="000B65DD"/>
    <w:rsid w:val="000B665F"/>
    <w:rsid w:val="000B67E7"/>
    <w:rsid w:val="000B6CED"/>
    <w:rsid w:val="000B6E99"/>
    <w:rsid w:val="000B73C4"/>
    <w:rsid w:val="000B743E"/>
    <w:rsid w:val="000B763A"/>
    <w:rsid w:val="000B7C11"/>
    <w:rsid w:val="000C0684"/>
    <w:rsid w:val="000C0836"/>
    <w:rsid w:val="000C08A6"/>
    <w:rsid w:val="000C0C3B"/>
    <w:rsid w:val="000C11BB"/>
    <w:rsid w:val="000C1A85"/>
    <w:rsid w:val="000C1E2D"/>
    <w:rsid w:val="000C2BC4"/>
    <w:rsid w:val="000C335E"/>
    <w:rsid w:val="000C45F3"/>
    <w:rsid w:val="000C4819"/>
    <w:rsid w:val="000C685F"/>
    <w:rsid w:val="000C6B58"/>
    <w:rsid w:val="000C6E93"/>
    <w:rsid w:val="000C6EAA"/>
    <w:rsid w:val="000C73D4"/>
    <w:rsid w:val="000C7FB2"/>
    <w:rsid w:val="000D07D4"/>
    <w:rsid w:val="000D2877"/>
    <w:rsid w:val="000D3EA0"/>
    <w:rsid w:val="000D3FAD"/>
    <w:rsid w:val="000D4350"/>
    <w:rsid w:val="000D47FE"/>
    <w:rsid w:val="000D5197"/>
    <w:rsid w:val="000D5714"/>
    <w:rsid w:val="000D6625"/>
    <w:rsid w:val="000D7B63"/>
    <w:rsid w:val="000E025C"/>
    <w:rsid w:val="000E109F"/>
    <w:rsid w:val="000E1716"/>
    <w:rsid w:val="000E17C1"/>
    <w:rsid w:val="000E1B66"/>
    <w:rsid w:val="000E22A2"/>
    <w:rsid w:val="000E3503"/>
    <w:rsid w:val="000E3592"/>
    <w:rsid w:val="000E3C18"/>
    <w:rsid w:val="000E3FB1"/>
    <w:rsid w:val="000E4350"/>
    <w:rsid w:val="000E44BC"/>
    <w:rsid w:val="000E4628"/>
    <w:rsid w:val="000E686B"/>
    <w:rsid w:val="000E6F3B"/>
    <w:rsid w:val="000E72C5"/>
    <w:rsid w:val="000E7718"/>
    <w:rsid w:val="000E7819"/>
    <w:rsid w:val="000E7992"/>
    <w:rsid w:val="000F107C"/>
    <w:rsid w:val="000F1180"/>
    <w:rsid w:val="000F1871"/>
    <w:rsid w:val="000F1F58"/>
    <w:rsid w:val="000F2813"/>
    <w:rsid w:val="000F317A"/>
    <w:rsid w:val="000F358F"/>
    <w:rsid w:val="000F36FE"/>
    <w:rsid w:val="000F3D28"/>
    <w:rsid w:val="000F541E"/>
    <w:rsid w:val="000F61C7"/>
    <w:rsid w:val="000F65EE"/>
    <w:rsid w:val="000F680C"/>
    <w:rsid w:val="000F684D"/>
    <w:rsid w:val="000F6DB5"/>
    <w:rsid w:val="000F7634"/>
    <w:rsid w:val="000F7E42"/>
    <w:rsid w:val="001001E1"/>
    <w:rsid w:val="001009B1"/>
    <w:rsid w:val="00100F0D"/>
    <w:rsid w:val="0010109F"/>
    <w:rsid w:val="00101175"/>
    <w:rsid w:val="00101310"/>
    <w:rsid w:val="00101F8C"/>
    <w:rsid w:val="00102082"/>
    <w:rsid w:val="001020A9"/>
    <w:rsid w:val="0010215E"/>
    <w:rsid w:val="00102BF3"/>
    <w:rsid w:val="00102E69"/>
    <w:rsid w:val="00103355"/>
    <w:rsid w:val="00103D72"/>
    <w:rsid w:val="00103F1D"/>
    <w:rsid w:val="00104B8B"/>
    <w:rsid w:val="001051DE"/>
    <w:rsid w:val="00105963"/>
    <w:rsid w:val="00105E0A"/>
    <w:rsid w:val="00106EAE"/>
    <w:rsid w:val="0010738A"/>
    <w:rsid w:val="00107647"/>
    <w:rsid w:val="00107C36"/>
    <w:rsid w:val="0011096C"/>
    <w:rsid w:val="00110D6A"/>
    <w:rsid w:val="00110DE3"/>
    <w:rsid w:val="001115C3"/>
    <w:rsid w:val="00112D9D"/>
    <w:rsid w:val="00113280"/>
    <w:rsid w:val="001134C2"/>
    <w:rsid w:val="0011386E"/>
    <w:rsid w:val="00113C7C"/>
    <w:rsid w:val="00113D33"/>
    <w:rsid w:val="00113DDF"/>
    <w:rsid w:val="00113F10"/>
    <w:rsid w:val="0011441C"/>
    <w:rsid w:val="0011445C"/>
    <w:rsid w:val="00114B5D"/>
    <w:rsid w:val="00114BB8"/>
    <w:rsid w:val="00115601"/>
    <w:rsid w:val="00116220"/>
    <w:rsid w:val="001162BF"/>
    <w:rsid w:val="0011644F"/>
    <w:rsid w:val="001164E6"/>
    <w:rsid w:val="00116CB6"/>
    <w:rsid w:val="00117204"/>
    <w:rsid w:val="001203CB"/>
    <w:rsid w:val="001211FF"/>
    <w:rsid w:val="00121C26"/>
    <w:rsid w:val="00122809"/>
    <w:rsid w:val="00124076"/>
    <w:rsid w:val="00125144"/>
    <w:rsid w:val="00125687"/>
    <w:rsid w:val="0012630A"/>
    <w:rsid w:val="00126637"/>
    <w:rsid w:val="00126D1C"/>
    <w:rsid w:val="001271FC"/>
    <w:rsid w:val="0012758B"/>
    <w:rsid w:val="001309DB"/>
    <w:rsid w:val="00130C17"/>
    <w:rsid w:val="00132631"/>
    <w:rsid w:val="001327CF"/>
    <w:rsid w:val="00133EB0"/>
    <w:rsid w:val="00134090"/>
    <w:rsid w:val="00134591"/>
    <w:rsid w:val="00135FD2"/>
    <w:rsid w:val="001366FF"/>
    <w:rsid w:val="0013693A"/>
    <w:rsid w:val="00136A4B"/>
    <w:rsid w:val="00136AB2"/>
    <w:rsid w:val="00137102"/>
    <w:rsid w:val="0013761E"/>
    <w:rsid w:val="0014033B"/>
    <w:rsid w:val="001404D8"/>
    <w:rsid w:val="00140584"/>
    <w:rsid w:val="00140749"/>
    <w:rsid w:val="0014130F"/>
    <w:rsid w:val="0014140A"/>
    <w:rsid w:val="0014305F"/>
    <w:rsid w:val="00143077"/>
    <w:rsid w:val="0014424A"/>
    <w:rsid w:val="00144973"/>
    <w:rsid w:val="00144A60"/>
    <w:rsid w:val="00144CA0"/>
    <w:rsid w:val="00144F7F"/>
    <w:rsid w:val="00146036"/>
    <w:rsid w:val="00146D07"/>
    <w:rsid w:val="00147542"/>
    <w:rsid w:val="001477FA"/>
    <w:rsid w:val="00147860"/>
    <w:rsid w:val="00147B7D"/>
    <w:rsid w:val="00147D71"/>
    <w:rsid w:val="00150DE5"/>
    <w:rsid w:val="001513B7"/>
    <w:rsid w:val="001528F5"/>
    <w:rsid w:val="00152AAF"/>
    <w:rsid w:val="001534BD"/>
    <w:rsid w:val="001557B5"/>
    <w:rsid w:val="001559F9"/>
    <w:rsid w:val="0015683B"/>
    <w:rsid w:val="00156D83"/>
    <w:rsid w:val="00157430"/>
    <w:rsid w:val="00157871"/>
    <w:rsid w:val="00160136"/>
    <w:rsid w:val="001609B0"/>
    <w:rsid w:val="00160BB6"/>
    <w:rsid w:val="0016103A"/>
    <w:rsid w:val="0016145C"/>
    <w:rsid w:val="0016152B"/>
    <w:rsid w:val="0016171D"/>
    <w:rsid w:val="0016239C"/>
    <w:rsid w:val="00162451"/>
    <w:rsid w:val="0016268B"/>
    <w:rsid w:val="00162AB6"/>
    <w:rsid w:val="00165C0B"/>
    <w:rsid w:val="00165CC7"/>
    <w:rsid w:val="00165FCF"/>
    <w:rsid w:val="00167B2D"/>
    <w:rsid w:val="0017040D"/>
    <w:rsid w:val="0017087B"/>
    <w:rsid w:val="00170C74"/>
    <w:rsid w:val="00170CF3"/>
    <w:rsid w:val="00171C89"/>
    <w:rsid w:val="00172538"/>
    <w:rsid w:val="00172E61"/>
    <w:rsid w:val="0017302D"/>
    <w:rsid w:val="001732C9"/>
    <w:rsid w:val="00174692"/>
    <w:rsid w:val="0017480A"/>
    <w:rsid w:val="00174C61"/>
    <w:rsid w:val="00175CA9"/>
    <w:rsid w:val="00176DD5"/>
    <w:rsid w:val="0017763C"/>
    <w:rsid w:val="00177696"/>
    <w:rsid w:val="00180684"/>
    <w:rsid w:val="00180691"/>
    <w:rsid w:val="001822D2"/>
    <w:rsid w:val="0018319D"/>
    <w:rsid w:val="001836CF"/>
    <w:rsid w:val="00183D4E"/>
    <w:rsid w:val="001841F7"/>
    <w:rsid w:val="001842D6"/>
    <w:rsid w:val="0018572C"/>
    <w:rsid w:val="00186381"/>
    <w:rsid w:val="00187E99"/>
    <w:rsid w:val="00190185"/>
    <w:rsid w:val="00190389"/>
    <w:rsid w:val="00190622"/>
    <w:rsid w:val="0019062B"/>
    <w:rsid w:val="00190BCA"/>
    <w:rsid w:val="001917C4"/>
    <w:rsid w:val="00191F35"/>
    <w:rsid w:val="0019258E"/>
    <w:rsid w:val="00193740"/>
    <w:rsid w:val="0019394C"/>
    <w:rsid w:val="00193F04"/>
    <w:rsid w:val="00194326"/>
    <w:rsid w:val="00194E33"/>
    <w:rsid w:val="0019607E"/>
    <w:rsid w:val="00196131"/>
    <w:rsid w:val="001973FA"/>
    <w:rsid w:val="00197C19"/>
    <w:rsid w:val="001A0247"/>
    <w:rsid w:val="001A0C44"/>
    <w:rsid w:val="001A0ECA"/>
    <w:rsid w:val="001A18DB"/>
    <w:rsid w:val="001A1D21"/>
    <w:rsid w:val="001A2C7B"/>
    <w:rsid w:val="001A4565"/>
    <w:rsid w:val="001A4CFB"/>
    <w:rsid w:val="001A4E0B"/>
    <w:rsid w:val="001A53D6"/>
    <w:rsid w:val="001A5B7B"/>
    <w:rsid w:val="001A5D5D"/>
    <w:rsid w:val="001A5DB6"/>
    <w:rsid w:val="001A61F4"/>
    <w:rsid w:val="001A7F86"/>
    <w:rsid w:val="001B1866"/>
    <w:rsid w:val="001B1F9A"/>
    <w:rsid w:val="001B2F5F"/>
    <w:rsid w:val="001B33EC"/>
    <w:rsid w:val="001B38D5"/>
    <w:rsid w:val="001B39B6"/>
    <w:rsid w:val="001B3B6E"/>
    <w:rsid w:val="001B4953"/>
    <w:rsid w:val="001B4A8D"/>
    <w:rsid w:val="001B4D06"/>
    <w:rsid w:val="001B5143"/>
    <w:rsid w:val="001B56F9"/>
    <w:rsid w:val="001B5BB2"/>
    <w:rsid w:val="001B5F26"/>
    <w:rsid w:val="001B694E"/>
    <w:rsid w:val="001B6B71"/>
    <w:rsid w:val="001C09C0"/>
    <w:rsid w:val="001C1A54"/>
    <w:rsid w:val="001C20EF"/>
    <w:rsid w:val="001C333F"/>
    <w:rsid w:val="001C34D0"/>
    <w:rsid w:val="001C412D"/>
    <w:rsid w:val="001C42C6"/>
    <w:rsid w:val="001C454C"/>
    <w:rsid w:val="001C4CE3"/>
    <w:rsid w:val="001C5396"/>
    <w:rsid w:val="001C5D06"/>
    <w:rsid w:val="001C5E7D"/>
    <w:rsid w:val="001C671D"/>
    <w:rsid w:val="001C68A0"/>
    <w:rsid w:val="001C6E47"/>
    <w:rsid w:val="001C7185"/>
    <w:rsid w:val="001C71C9"/>
    <w:rsid w:val="001D167B"/>
    <w:rsid w:val="001D1750"/>
    <w:rsid w:val="001D187E"/>
    <w:rsid w:val="001D1AEB"/>
    <w:rsid w:val="001D1B33"/>
    <w:rsid w:val="001D22C3"/>
    <w:rsid w:val="001D286C"/>
    <w:rsid w:val="001D3B8C"/>
    <w:rsid w:val="001D3F1D"/>
    <w:rsid w:val="001D50FB"/>
    <w:rsid w:val="001D5665"/>
    <w:rsid w:val="001D5A45"/>
    <w:rsid w:val="001D5FFA"/>
    <w:rsid w:val="001D602A"/>
    <w:rsid w:val="001D6E06"/>
    <w:rsid w:val="001D767F"/>
    <w:rsid w:val="001E0661"/>
    <w:rsid w:val="001E0F3D"/>
    <w:rsid w:val="001E3150"/>
    <w:rsid w:val="001E3A48"/>
    <w:rsid w:val="001E43C3"/>
    <w:rsid w:val="001E46F4"/>
    <w:rsid w:val="001E4E39"/>
    <w:rsid w:val="001E55EB"/>
    <w:rsid w:val="001E567F"/>
    <w:rsid w:val="001E62EE"/>
    <w:rsid w:val="001E6D70"/>
    <w:rsid w:val="001E74F4"/>
    <w:rsid w:val="001E7851"/>
    <w:rsid w:val="001E7A74"/>
    <w:rsid w:val="001F0E20"/>
    <w:rsid w:val="001F143D"/>
    <w:rsid w:val="001F1B64"/>
    <w:rsid w:val="001F2EFC"/>
    <w:rsid w:val="001F3267"/>
    <w:rsid w:val="001F42B8"/>
    <w:rsid w:val="001F4ABB"/>
    <w:rsid w:val="001F56F6"/>
    <w:rsid w:val="001F5D1D"/>
    <w:rsid w:val="001F642C"/>
    <w:rsid w:val="001F74FA"/>
    <w:rsid w:val="001F7CD3"/>
    <w:rsid w:val="00200085"/>
    <w:rsid w:val="00200243"/>
    <w:rsid w:val="0020175B"/>
    <w:rsid w:val="00203967"/>
    <w:rsid w:val="00204A77"/>
    <w:rsid w:val="00204F17"/>
    <w:rsid w:val="002057E9"/>
    <w:rsid w:val="0020657F"/>
    <w:rsid w:val="002067B3"/>
    <w:rsid w:val="0020751E"/>
    <w:rsid w:val="00207983"/>
    <w:rsid w:val="00210C40"/>
    <w:rsid w:val="00210EFE"/>
    <w:rsid w:val="00211139"/>
    <w:rsid w:val="00211B91"/>
    <w:rsid w:val="002129E6"/>
    <w:rsid w:val="00213AC4"/>
    <w:rsid w:val="00213CDA"/>
    <w:rsid w:val="002145D9"/>
    <w:rsid w:val="002148EC"/>
    <w:rsid w:val="002154D2"/>
    <w:rsid w:val="002159B9"/>
    <w:rsid w:val="00222E90"/>
    <w:rsid w:val="00223498"/>
    <w:rsid w:val="00223B4D"/>
    <w:rsid w:val="00223C71"/>
    <w:rsid w:val="00223F43"/>
    <w:rsid w:val="00224813"/>
    <w:rsid w:val="00224B89"/>
    <w:rsid w:val="002251F1"/>
    <w:rsid w:val="00225752"/>
    <w:rsid w:val="00225774"/>
    <w:rsid w:val="00226923"/>
    <w:rsid w:val="00227186"/>
    <w:rsid w:val="00230267"/>
    <w:rsid w:val="002303C5"/>
    <w:rsid w:val="0023059C"/>
    <w:rsid w:val="00230809"/>
    <w:rsid w:val="0023134B"/>
    <w:rsid w:val="00231B15"/>
    <w:rsid w:val="00232362"/>
    <w:rsid w:val="002325E2"/>
    <w:rsid w:val="002333B1"/>
    <w:rsid w:val="0023341B"/>
    <w:rsid w:val="00233857"/>
    <w:rsid w:val="00233A2F"/>
    <w:rsid w:val="002346EC"/>
    <w:rsid w:val="00234A7B"/>
    <w:rsid w:val="002366F8"/>
    <w:rsid w:val="0023787E"/>
    <w:rsid w:val="00237C7F"/>
    <w:rsid w:val="00237E09"/>
    <w:rsid w:val="0024070E"/>
    <w:rsid w:val="00240843"/>
    <w:rsid w:val="00240D60"/>
    <w:rsid w:val="0024140E"/>
    <w:rsid w:val="00241426"/>
    <w:rsid w:val="00241993"/>
    <w:rsid w:val="00242165"/>
    <w:rsid w:val="00242577"/>
    <w:rsid w:val="00242755"/>
    <w:rsid w:val="0024279A"/>
    <w:rsid w:val="00244218"/>
    <w:rsid w:val="00244D61"/>
    <w:rsid w:val="00246F20"/>
    <w:rsid w:val="00247FC7"/>
    <w:rsid w:val="00250DDF"/>
    <w:rsid w:val="00252C5A"/>
    <w:rsid w:val="002533EE"/>
    <w:rsid w:val="0025351F"/>
    <w:rsid w:val="0025382F"/>
    <w:rsid w:val="002545C8"/>
    <w:rsid w:val="0025465D"/>
    <w:rsid w:val="00255A0C"/>
    <w:rsid w:val="00255B70"/>
    <w:rsid w:val="002560DE"/>
    <w:rsid w:val="00256303"/>
    <w:rsid w:val="00256718"/>
    <w:rsid w:val="0025722D"/>
    <w:rsid w:val="002572A2"/>
    <w:rsid w:val="002601BA"/>
    <w:rsid w:val="00260E01"/>
    <w:rsid w:val="002610B2"/>
    <w:rsid w:val="00261FFD"/>
    <w:rsid w:val="002622EB"/>
    <w:rsid w:val="002628EC"/>
    <w:rsid w:val="0026316E"/>
    <w:rsid w:val="002634C3"/>
    <w:rsid w:val="0026370F"/>
    <w:rsid w:val="002654BC"/>
    <w:rsid w:val="00265687"/>
    <w:rsid w:val="00265FA3"/>
    <w:rsid w:val="0026621F"/>
    <w:rsid w:val="002665FA"/>
    <w:rsid w:val="00267749"/>
    <w:rsid w:val="00267866"/>
    <w:rsid w:val="002678EA"/>
    <w:rsid w:val="00267A32"/>
    <w:rsid w:val="002717F7"/>
    <w:rsid w:val="00271B97"/>
    <w:rsid w:val="002722C3"/>
    <w:rsid w:val="00273632"/>
    <w:rsid w:val="00273D35"/>
    <w:rsid w:val="002744D3"/>
    <w:rsid w:val="00274E57"/>
    <w:rsid w:val="00275B20"/>
    <w:rsid w:val="0027644D"/>
    <w:rsid w:val="002768EB"/>
    <w:rsid w:val="00276A75"/>
    <w:rsid w:val="002772EF"/>
    <w:rsid w:val="002778AB"/>
    <w:rsid w:val="00280B4F"/>
    <w:rsid w:val="00280D8A"/>
    <w:rsid w:val="002814F6"/>
    <w:rsid w:val="00282391"/>
    <w:rsid w:val="002825C6"/>
    <w:rsid w:val="00282962"/>
    <w:rsid w:val="002835B8"/>
    <w:rsid w:val="002838B7"/>
    <w:rsid w:val="00283FFF"/>
    <w:rsid w:val="00285F8A"/>
    <w:rsid w:val="00286B97"/>
    <w:rsid w:val="00286C03"/>
    <w:rsid w:val="00286E5A"/>
    <w:rsid w:val="00287580"/>
    <w:rsid w:val="00287585"/>
    <w:rsid w:val="00287B23"/>
    <w:rsid w:val="00290911"/>
    <w:rsid w:val="00290E53"/>
    <w:rsid w:val="002914F9"/>
    <w:rsid w:val="00292A7B"/>
    <w:rsid w:val="00293B14"/>
    <w:rsid w:val="00294E32"/>
    <w:rsid w:val="0029574C"/>
    <w:rsid w:val="0029614C"/>
    <w:rsid w:val="002964FA"/>
    <w:rsid w:val="00296E10"/>
    <w:rsid w:val="00297B18"/>
    <w:rsid w:val="002A188C"/>
    <w:rsid w:val="002A3188"/>
    <w:rsid w:val="002A40CB"/>
    <w:rsid w:val="002A54E9"/>
    <w:rsid w:val="002A5C3B"/>
    <w:rsid w:val="002A6C60"/>
    <w:rsid w:val="002A7375"/>
    <w:rsid w:val="002B115E"/>
    <w:rsid w:val="002B1B1C"/>
    <w:rsid w:val="002B49BD"/>
    <w:rsid w:val="002B4D64"/>
    <w:rsid w:val="002B4EF7"/>
    <w:rsid w:val="002B50DB"/>
    <w:rsid w:val="002B53A7"/>
    <w:rsid w:val="002B54B5"/>
    <w:rsid w:val="002B59DA"/>
    <w:rsid w:val="002B5F97"/>
    <w:rsid w:val="002B6C8D"/>
    <w:rsid w:val="002B6CBC"/>
    <w:rsid w:val="002B7217"/>
    <w:rsid w:val="002C132F"/>
    <w:rsid w:val="002C1A32"/>
    <w:rsid w:val="002C2157"/>
    <w:rsid w:val="002C27A7"/>
    <w:rsid w:val="002C280C"/>
    <w:rsid w:val="002C2C49"/>
    <w:rsid w:val="002C3546"/>
    <w:rsid w:val="002C62D1"/>
    <w:rsid w:val="002C63C1"/>
    <w:rsid w:val="002C79C7"/>
    <w:rsid w:val="002C7F95"/>
    <w:rsid w:val="002D0895"/>
    <w:rsid w:val="002D09B3"/>
    <w:rsid w:val="002D117A"/>
    <w:rsid w:val="002D1B26"/>
    <w:rsid w:val="002D2F24"/>
    <w:rsid w:val="002D39DB"/>
    <w:rsid w:val="002D40C5"/>
    <w:rsid w:val="002D4545"/>
    <w:rsid w:val="002D5F6A"/>
    <w:rsid w:val="002D6063"/>
    <w:rsid w:val="002D68C8"/>
    <w:rsid w:val="002D68FE"/>
    <w:rsid w:val="002D69FB"/>
    <w:rsid w:val="002D6B43"/>
    <w:rsid w:val="002D6CC5"/>
    <w:rsid w:val="002D77BD"/>
    <w:rsid w:val="002D7BB8"/>
    <w:rsid w:val="002E04B6"/>
    <w:rsid w:val="002E0E24"/>
    <w:rsid w:val="002E18C1"/>
    <w:rsid w:val="002E1D22"/>
    <w:rsid w:val="002E29C1"/>
    <w:rsid w:val="002E3BEC"/>
    <w:rsid w:val="002E3CB0"/>
    <w:rsid w:val="002E48EE"/>
    <w:rsid w:val="002E4CE5"/>
    <w:rsid w:val="002E4E7C"/>
    <w:rsid w:val="002E5371"/>
    <w:rsid w:val="002E69F0"/>
    <w:rsid w:val="002E6C65"/>
    <w:rsid w:val="002E6D66"/>
    <w:rsid w:val="002E6F73"/>
    <w:rsid w:val="002E7700"/>
    <w:rsid w:val="002E7823"/>
    <w:rsid w:val="002F0D9E"/>
    <w:rsid w:val="002F0FEA"/>
    <w:rsid w:val="002F14D0"/>
    <w:rsid w:val="002F1FBE"/>
    <w:rsid w:val="002F2431"/>
    <w:rsid w:val="002F27B4"/>
    <w:rsid w:val="002F2AD3"/>
    <w:rsid w:val="002F2E20"/>
    <w:rsid w:val="002F30C5"/>
    <w:rsid w:val="002F424B"/>
    <w:rsid w:val="002F5605"/>
    <w:rsid w:val="002F6993"/>
    <w:rsid w:val="002F7637"/>
    <w:rsid w:val="002F7DDD"/>
    <w:rsid w:val="0030046D"/>
    <w:rsid w:val="00301B0F"/>
    <w:rsid w:val="00302221"/>
    <w:rsid w:val="00302820"/>
    <w:rsid w:val="0030300C"/>
    <w:rsid w:val="00303EB3"/>
    <w:rsid w:val="00304706"/>
    <w:rsid w:val="00304882"/>
    <w:rsid w:val="00304B29"/>
    <w:rsid w:val="0030513D"/>
    <w:rsid w:val="0030593E"/>
    <w:rsid w:val="00307407"/>
    <w:rsid w:val="0030759D"/>
    <w:rsid w:val="00307821"/>
    <w:rsid w:val="00307FDA"/>
    <w:rsid w:val="0031065D"/>
    <w:rsid w:val="0031102D"/>
    <w:rsid w:val="003121EB"/>
    <w:rsid w:val="00312C09"/>
    <w:rsid w:val="003132A9"/>
    <w:rsid w:val="00313F79"/>
    <w:rsid w:val="00314BDD"/>
    <w:rsid w:val="00315292"/>
    <w:rsid w:val="003153FA"/>
    <w:rsid w:val="00316EDC"/>
    <w:rsid w:val="00317304"/>
    <w:rsid w:val="00320BCD"/>
    <w:rsid w:val="00320FC6"/>
    <w:rsid w:val="003212BD"/>
    <w:rsid w:val="00321945"/>
    <w:rsid w:val="00321E52"/>
    <w:rsid w:val="00321F74"/>
    <w:rsid w:val="003226CD"/>
    <w:rsid w:val="003227FE"/>
    <w:rsid w:val="00322878"/>
    <w:rsid w:val="00323345"/>
    <w:rsid w:val="00323745"/>
    <w:rsid w:val="003237D8"/>
    <w:rsid w:val="0032443C"/>
    <w:rsid w:val="00324997"/>
    <w:rsid w:val="00324D33"/>
    <w:rsid w:val="00324D8C"/>
    <w:rsid w:val="00326991"/>
    <w:rsid w:val="0032735A"/>
    <w:rsid w:val="003302C5"/>
    <w:rsid w:val="003308AB"/>
    <w:rsid w:val="00330B1B"/>
    <w:rsid w:val="003316C1"/>
    <w:rsid w:val="00331AB3"/>
    <w:rsid w:val="00332CF9"/>
    <w:rsid w:val="0033417B"/>
    <w:rsid w:val="003343A6"/>
    <w:rsid w:val="0033470E"/>
    <w:rsid w:val="00335617"/>
    <w:rsid w:val="00335BDA"/>
    <w:rsid w:val="00335DEF"/>
    <w:rsid w:val="00340EAA"/>
    <w:rsid w:val="00340F7E"/>
    <w:rsid w:val="0034166F"/>
    <w:rsid w:val="00342141"/>
    <w:rsid w:val="00342364"/>
    <w:rsid w:val="00342FAB"/>
    <w:rsid w:val="003430EB"/>
    <w:rsid w:val="00343141"/>
    <w:rsid w:val="00343B34"/>
    <w:rsid w:val="0034576C"/>
    <w:rsid w:val="00345EFF"/>
    <w:rsid w:val="0034628C"/>
    <w:rsid w:val="003468DD"/>
    <w:rsid w:val="0034692F"/>
    <w:rsid w:val="0034794C"/>
    <w:rsid w:val="003503C1"/>
    <w:rsid w:val="00350A8E"/>
    <w:rsid w:val="00350E44"/>
    <w:rsid w:val="0035128C"/>
    <w:rsid w:val="00351CFB"/>
    <w:rsid w:val="00351F33"/>
    <w:rsid w:val="0035257B"/>
    <w:rsid w:val="003534A7"/>
    <w:rsid w:val="0035366A"/>
    <w:rsid w:val="00353E17"/>
    <w:rsid w:val="00353F85"/>
    <w:rsid w:val="00354347"/>
    <w:rsid w:val="00355557"/>
    <w:rsid w:val="00355618"/>
    <w:rsid w:val="00355BB8"/>
    <w:rsid w:val="0035634D"/>
    <w:rsid w:val="0035710E"/>
    <w:rsid w:val="0035735C"/>
    <w:rsid w:val="00357C8C"/>
    <w:rsid w:val="0036062A"/>
    <w:rsid w:val="00360BD6"/>
    <w:rsid w:val="00363409"/>
    <w:rsid w:val="0036343D"/>
    <w:rsid w:val="00363803"/>
    <w:rsid w:val="003649A6"/>
    <w:rsid w:val="00365195"/>
    <w:rsid w:val="003653A7"/>
    <w:rsid w:val="003657BF"/>
    <w:rsid w:val="003660BE"/>
    <w:rsid w:val="00366F33"/>
    <w:rsid w:val="0036726A"/>
    <w:rsid w:val="003678B6"/>
    <w:rsid w:val="00367CF7"/>
    <w:rsid w:val="00371464"/>
    <w:rsid w:val="003721E1"/>
    <w:rsid w:val="003729C7"/>
    <w:rsid w:val="00372F5D"/>
    <w:rsid w:val="0037305B"/>
    <w:rsid w:val="00373ED3"/>
    <w:rsid w:val="00374F06"/>
    <w:rsid w:val="003759D0"/>
    <w:rsid w:val="003766E1"/>
    <w:rsid w:val="003774FE"/>
    <w:rsid w:val="00377877"/>
    <w:rsid w:val="00377C32"/>
    <w:rsid w:val="0038086B"/>
    <w:rsid w:val="00380F0F"/>
    <w:rsid w:val="00380FFA"/>
    <w:rsid w:val="00380FFB"/>
    <w:rsid w:val="00381032"/>
    <w:rsid w:val="00381A16"/>
    <w:rsid w:val="00381E42"/>
    <w:rsid w:val="00382164"/>
    <w:rsid w:val="003827AE"/>
    <w:rsid w:val="00382BAE"/>
    <w:rsid w:val="00382BDF"/>
    <w:rsid w:val="00382EC5"/>
    <w:rsid w:val="00383371"/>
    <w:rsid w:val="003834BA"/>
    <w:rsid w:val="003835F3"/>
    <w:rsid w:val="00383ED4"/>
    <w:rsid w:val="003845D3"/>
    <w:rsid w:val="00384ADC"/>
    <w:rsid w:val="00385561"/>
    <w:rsid w:val="00385C4C"/>
    <w:rsid w:val="00386308"/>
    <w:rsid w:val="00387494"/>
    <w:rsid w:val="003877EA"/>
    <w:rsid w:val="003914F8"/>
    <w:rsid w:val="00391AD9"/>
    <w:rsid w:val="00391E8C"/>
    <w:rsid w:val="003928CC"/>
    <w:rsid w:val="003933CF"/>
    <w:rsid w:val="00394E04"/>
    <w:rsid w:val="003960F7"/>
    <w:rsid w:val="00396626"/>
    <w:rsid w:val="00396C6B"/>
    <w:rsid w:val="00397D6A"/>
    <w:rsid w:val="003A0538"/>
    <w:rsid w:val="003A0854"/>
    <w:rsid w:val="003A0AD9"/>
    <w:rsid w:val="003A1120"/>
    <w:rsid w:val="003A1ACE"/>
    <w:rsid w:val="003A1B84"/>
    <w:rsid w:val="003A1E58"/>
    <w:rsid w:val="003A22D4"/>
    <w:rsid w:val="003A2323"/>
    <w:rsid w:val="003A25D2"/>
    <w:rsid w:val="003A3E41"/>
    <w:rsid w:val="003A4265"/>
    <w:rsid w:val="003A4AC3"/>
    <w:rsid w:val="003A4B89"/>
    <w:rsid w:val="003A6187"/>
    <w:rsid w:val="003A6349"/>
    <w:rsid w:val="003A6AA0"/>
    <w:rsid w:val="003A724B"/>
    <w:rsid w:val="003A753B"/>
    <w:rsid w:val="003A7932"/>
    <w:rsid w:val="003A7EDC"/>
    <w:rsid w:val="003B0867"/>
    <w:rsid w:val="003B0938"/>
    <w:rsid w:val="003B0F6F"/>
    <w:rsid w:val="003B16D9"/>
    <w:rsid w:val="003B184D"/>
    <w:rsid w:val="003B1F5F"/>
    <w:rsid w:val="003B2BEB"/>
    <w:rsid w:val="003B3871"/>
    <w:rsid w:val="003B3ABA"/>
    <w:rsid w:val="003B4399"/>
    <w:rsid w:val="003B48B6"/>
    <w:rsid w:val="003B5A8F"/>
    <w:rsid w:val="003B759F"/>
    <w:rsid w:val="003C051B"/>
    <w:rsid w:val="003C12CA"/>
    <w:rsid w:val="003C1B78"/>
    <w:rsid w:val="003C1EBB"/>
    <w:rsid w:val="003C2161"/>
    <w:rsid w:val="003C21D8"/>
    <w:rsid w:val="003C2645"/>
    <w:rsid w:val="003C42AF"/>
    <w:rsid w:val="003C489D"/>
    <w:rsid w:val="003C48EF"/>
    <w:rsid w:val="003C4997"/>
    <w:rsid w:val="003C4D84"/>
    <w:rsid w:val="003C5A40"/>
    <w:rsid w:val="003C671B"/>
    <w:rsid w:val="003C6BBE"/>
    <w:rsid w:val="003C77EF"/>
    <w:rsid w:val="003D0557"/>
    <w:rsid w:val="003D0654"/>
    <w:rsid w:val="003D0D03"/>
    <w:rsid w:val="003D18A1"/>
    <w:rsid w:val="003D1A58"/>
    <w:rsid w:val="003D2E16"/>
    <w:rsid w:val="003D3024"/>
    <w:rsid w:val="003D325A"/>
    <w:rsid w:val="003D3288"/>
    <w:rsid w:val="003D3AF8"/>
    <w:rsid w:val="003D45CD"/>
    <w:rsid w:val="003D68A1"/>
    <w:rsid w:val="003D6DA2"/>
    <w:rsid w:val="003D6F2F"/>
    <w:rsid w:val="003D724E"/>
    <w:rsid w:val="003D75D7"/>
    <w:rsid w:val="003D7ECA"/>
    <w:rsid w:val="003E16E5"/>
    <w:rsid w:val="003E1BCC"/>
    <w:rsid w:val="003E25C1"/>
    <w:rsid w:val="003E2728"/>
    <w:rsid w:val="003E2827"/>
    <w:rsid w:val="003E293F"/>
    <w:rsid w:val="003E2D65"/>
    <w:rsid w:val="003E2EEA"/>
    <w:rsid w:val="003E3947"/>
    <w:rsid w:val="003E3C0B"/>
    <w:rsid w:val="003E3D5B"/>
    <w:rsid w:val="003E4260"/>
    <w:rsid w:val="003E4A6D"/>
    <w:rsid w:val="003E4F3E"/>
    <w:rsid w:val="003E4F9B"/>
    <w:rsid w:val="003E566F"/>
    <w:rsid w:val="003E58E7"/>
    <w:rsid w:val="003E69A8"/>
    <w:rsid w:val="003E6A75"/>
    <w:rsid w:val="003E6DEB"/>
    <w:rsid w:val="003F02C1"/>
    <w:rsid w:val="003F0615"/>
    <w:rsid w:val="003F13E6"/>
    <w:rsid w:val="003F14BA"/>
    <w:rsid w:val="003F18FE"/>
    <w:rsid w:val="003F24C2"/>
    <w:rsid w:val="003F3097"/>
    <w:rsid w:val="003F447E"/>
    <w:rsid w:val="003F5266"/>
    <w:rsid w:val="003F54D5"/>
    <w:rsid w:val="003F5981"/>
    <w:rsid w:val="003F644C"/>
    <w:rsid w:val="003F7507"/>
    <w:rsid w:val="003F759D"/>
    <w:rsid w:val="003F7D20"/>
    <w:rsid w:val="003F7FAF"/>
    <w:rsid w:val="00400981"/>
    <w:rsid w:val="0040196C"/>
    <w:rsid w:val="00401E1F"/>
    <w:rsid w:val="00401F37"/>
    <w:rsid w:val="004024A4"/>
    <w:rsid w:val="0040257D"/>
    <w:rsid w:val="00402BAC"/>
    <w:rsid w:val="004032B6"/>
    <w:rsid w:val="00403B76"/>
    <w:rsid w:val="0040575D"/>
    <w:rsid w:val="00405D4E"/>
    <w:rsid w:val="00405FE9"/>
    <w:rsid w:val="004064E8"/>
    <w:rsid w:val="00406C61"/>
    <w:rsid w:val="00406D76"/>
    <w:rsid w:val="00407207"/>
    <w:rsid w:val="004075B4"/>
    <w:rsid w:val="00410C52"/>
    <w:rsid w:val="00411A0E"/>
    <w:rsid w:val="00412749"/>
    <w:rsid w:val="00412D62"/>
    <w:rsid w:val="00413209"/>
    <w:rsid w:val="004133B2"/>
    <w:rsid w:val="00413CA3"/>
    <w:rsid w:val="00413FC4"/>
    <w:rsid w:val="004141AE"/>
    <w:rsid w:val="004143B6"/>
    <w:rsid w:val="00414F11"/>
    <w:rsid w:val="00416428"/>
    <w:rsid w:val="00416F56"/>
    <w:rsid w:val="00417E71"/>
    <w:rsid w:val="00420537"/>
    <w:rsid w:val="00420771"/>
    <w:rsid w:val="00420B77"/>
    <w:rsid w:val="00420DD0"/>
    <w:rsid w:val="00420F57"/>
    <w:rsid w:val="00420F5E"/>
    <w:rsid w:val="00421550"/>
    <w:rsid w:val="00421839"/>
    <w:rsid w:val="004225EC"/>
    <w:rsid w:val="00423FFF"/>
    <w:rsid w:val="004249BE"/>
    <w:rsid w:val="00424E9E"/>
    <w:rsid w:val="0042638A"/>
    <w:rsid w:val="004265F0"/>
    <w:rsid w:val="00426762"/>
    <w:rsid w:val="004271D1"/>
    <w:rsid w:val="00430085"/>
    <w:rsid w:val="004308FC"/>
    <w:rsid w:val="0043108B"/>
    <w:rsid w:val="00431097"/>
    <w:rsid w:val="00431220"/>
    <w:rsid w:val="00431BDD"/>
    <w:rsid w:val="00431ED3"/>
    <w:rsid w:val="004331F0"/>
    <w:rsid w:val="00433E75"/>
    <w:rsid w:val="00434873"/>
    <w:rsid w:val="00434E5D"/>
    <w:rsid w:val="004356D3"/>
    <w:rsid w:val="00437653"/>
    <w:rsid w:val="004376EF"/>
    <w:rsid w:val="00441083"/>
    <w:rsid w:val="00441357"/>
    <w:rsid w:val="004413AF"/>
    <w:rsid w:val="00441B52"/>
    <w:rsid w:val="004424EB"/>
    <w:rsid w:val="00442595"/>
    <w:rsid w:val="004426B2"/>
    <w:rsid w:val="00442AF0"/>
    <w:rsid w:val="00444409"/>
    <w:rsid w:val="004469EA"/>
    <w:rsid w:val="00447FAC"/>
    <w:rsid w:val="00450356"/>
    <w:rsid w:val="00450404"/>
    <w:rsid w:val="004504FD"/>
    <w:rsid w:val="00451A6B"/>
    <w:rsid w:val="00452189"/>
    <w:rsid w:val="0045247A"/>
    <w:rsid w:val="0045385E"/>
    <w:rsid w:val="00453B69"/>
    <w:rsid w:val="004541B2"/>
    <w:rsid w:val="004549AC"/>
    <w:rsid w:val="00454D40"/>
    <w:rsid w:val="00455502"/>
    <w:rsid w:val="00455865"/>
    <w:rsid w:val="00455F09"/>
    <w:rsid w:val="0045702C"/>
    <w:rsid w:val="0046042E"/>
    <w:rsid w:val="004607A7"/>
    <w:rsid w:val="00460AD9"/>
    <w:rsid w:val="00461454"/>
    <w:rsid w:val="00464BB4"/>
    <w:rsid w:val="00465068"/>
    <w:rsid w:val="0046531B"/>
    <w:rsid w:val="00465622"/>
    <w:rsid w:val="00465F85"/>
    <w:rsid w:val="004661FB"/>
    <w:rsid w:val="004677FB"/>
    <w:rsid w:val="004710C1"/>
    <w:rsid w:val="00471E14"/>
    <w:rsid w:val="00472D22"/>
    <w:rsid w:val="0047441A"/>
    <w:rsid w:val="00474BC9"/>
    <w:rsid w:val="004751CC"/>
    <w:rsid w:val="00475AE2"/>
    <w:rsid w:val="00476669"/>
    <w:rsid w:val="0047694E"/>
    <w:rsid w:val="0047714F"/>
    <w:rsid w:val="004772D7"/>
    <w:rsid w:val="00477B15"/>
    <w:rsid w:val="00477CA1"/>
    <w:rsid w:val="004802FA"/>
    <w:rsid w:val="004816A5"/>
    <w:rsid w:val="0048201B"/>
    <w:rsid w:val="004822CB"/>
    <w:rsid w:val="004832EA"/>
    <w:rsid w:val="00483410"/>
    <w:rsid w:val="00484929"/>
    <w:rsid w:val="00485165"/>
    <w:rsid w:val="0048524A"/>
    <w:rsid w:val="00485F6C"/>
    <w:rsid w:val="00486628"/>
    <w:rsid w:val="00487993"/>
    <w:rsid w:val="00487EEB"/>
    <w:rsid w:val="00487FD2"/>
    <w:rsid w:val="004913B3"/>
    <w:rsid w:val="0049157A"/>
    <w:rsid w:val="004915F2"/>
    <w:rsid w:val="00491D3C"/>
    <w:rsid w:val="00491E6D"/>
    <w:rsid w:val="00493155"/>
    <w:rsid w:val="004931CE"/>
    <w:rsid w:val="00493728"/>
    <w:rsid w:val="0049393E"/>
    <w:rsid w:val="00493C4E"/>
    <w:rsid w:val="00493CCD"/>
    <w:rsid w:val="00493E72"/>
    <w:rsid w:val="00494253"/>
    <w:rsid w:val="0049444E"/>
    <w:rsid w:val="004945BF"/>
    <w:rsid w:val="004948F7"/>
    <w:rsid w:val="00497038"/>
    <w:rsid w:val="004972A3"/>
    <w:rsid w:val="00497517"/>
    <w:rsid w:val="00497896"/>
    <w:rsid w:val="004A0308"/>
    <w:rsid w:val="004A0969"/>
    <w:rsid w:val="004A138A"/>
    <w:rsid w:val="004A2392"/>
    <w:rsid w:val="004A2A41"/>
    <w:rsid w:val="004A3585"/>
    <w:rsid w:val="004A37F4"/>
    <w:rsid w:val="004A462C"/>
    <w:rsid w:val="004A4827"/>
    <w:rsid w:val="004A5002"/>
    <w:rsid w:val="004A55EA"/>
    <w:rsid w:val="004A619E"/>
    <w:rsid w:val="004A6462"/>
    <w:rsid w:val="004A64FF"/>
    <w:rsid w:val="004A6AEE"/>
    <w:rsid w:val="004B052B"/>
    <w:rsid w:val="004B1344"/>
    <w:rsid w:val="004B13B0"/>
    <w:rsid w:val="004B38E4"/>
    <w:rsid w:val="004B41DC"/>
    <w:rsid w:val="004B45DA"/>
    <w:rsid w:val="004B4880"/>
    <w:rsid w:val="004B5308"/>
    <w:rsid w:val="004B55D5"/>
    <w:rsid w:val="004B5CA0"/>
    <w:rsid w:val="004B5E7F"/>
    <w:rsid w:val="004B602B"/>
    <w:rsid w:val="004B6474"/>
    <w:rsid w:val="004B6559"/>
    <w:rsid w:val="004B6A39"/>
    <w:rsid w:val="004B722A"/>
    <w:rsid w:val="004C03BB"/>
    <w:rsid w:val="004C061F"/>
    <w:rsid w:val="004C11F9"/>
    <w:rsid w:val="004C3081"/>
    <w:rsid w:val="004C38BE"/>
    <w:rsid w:val="004C397B"/>
    <w:rsid w:val="004C3EB8"/>
    <w:rsid w:val="004C46BD"/>
    <w:rsid w:val="004C53A9"/>
    <w:rsid w:val="004C6CC2"/>
    <w:rsid w:val="004C6E8F"/>
    <w:rsid w:val="004C733A"/>
    <w:rsid w:val="004C7E6B"/>
    <w:rsid w:val="004D0BA6"/>
    <w:rsid w:val="004D32CA"/>
    <w:rsid w:val="004D4172"/>
    <w:rsid w:val="004D4B86"/>
    <w:rsid w:val="004D5A84"/>
    <w:rsid w:val="004D66F9"/>
    <w:rsid w:val="004D6DD8"/>
    <w:rsid w:val="004D6DF2"/>
    <w:rsid w:val="004D7147"/>
    <w:rsid w:val="004D7925"/>
    <w:rsid w:val="004D7B9F"/>
    <w:rsid w:val="004D7F92"/>
    <w:rsid w:val="004E0195"/>
    <w:rsid w:val="004E033F"/>
    <w:rsid w:val="004E038F"/>
    <w:rsid w:val="004E065D"/>
    <w:rsid w:val="004E108B"/>
    <w:rsid w:val="004E1596"/>
    <w:rsid w:val="004E1E4B"/>
    <w:rsid w:val="004E2117"/>
    <w:rsid w:val="004E3E7B"/>
    <w:rsid w:val="004E4739"/>
    <w:rsid w:val="004E4DFE"/>
    <w:rsid w:val="004E5051"/>
    <w:rsid w:val="004E51FC"/>
    <w:rsid w:val="004E63E4"/>
    <w:rsid w:val="004E6503"/>
    <w:rsid w:val="004F117D"/>
    <w:rsid w:val="004F1B8A"/>
    <w:rsid w:val="004F1D4B"/>
    <w:rsid w:val="004F2F77"/>
    <w:rsid w:val="004F47EA"/>
    <w:rsid w:val="004F4C2B"/>
    <w:rsid w:val="004F54E2"/>
    <w:rsid w:val="004F5655"/>
    <w:rsid w:val="004F594C"/>
    <w:rsid w:val="004F5D54"/>
    <w:rsid w:val="004F62AF"/>
    <w:rsid w:val="004F6C1D"/>
    <w:rsid w:val="004F755A"/>
    <w:rsid w:val="004F78A1"/>
    <w:rsid w:val="005010AD"/>
    <w:rsid w:val="00501750"/>
    <w:rsid w:val="00502E71"/>
    <w:rsid w:val="00504660"/>
    <w:rsid w:val="00504875"/>
    <w:rsid w:val="00504BDF"/>
    <w:rsid w:val="00504E0C"/>
    <w:rsid w:val="00505463"/>
    <w:rsid w:val="00505E22"/>
    <w:rsid w:val="005078F9"/>
    <w:rsid w:val="00510718"/>
    <w:rsid w:val="00510C18"/>
    <w:rsid w:val="00510DCF"/>
    <w:rsid w:val="00511839"/>
    <w:rsid w:val="00511B24"/>
    <w:rsid w:val="00514AB1"/>
    <w:rsid w:val="00514E8B"/>
    <w:rsid w:val="00515677"/>
    <w:rsid w:val="0051575A"/>
    <w:rsid w:val="00515CA1"/>
    <w:rsid w:val="00516056"/>
    <w:rsid w:val="00516665"/>
    <w:rsid w:val="00517646"/>
    <w:rsid w:val="0052028C"/>
    <w:rsid w:val="00520C57"/>
    <w:rsid w:val="00521A6B"/>
    <w:rsid w:val="00521F76"/>
    <w:rsid w:val="005227BD"/>
    <w:rsid w:val="00522E8A"/>
    <w:rsid w:val="00523B6B"/>
    <w:rsid w:val="00523EA5"/>
    <w:rsid w:val="005246C3"/>
    <w:rsid w:val="00524DB8"/>
    <w:rsid w:val="00526276"/>
    <w:rsid w:val="0052653A"/>
    <w:rsid w:val="00526856"/>
    <w:rsid w:val="005269A7"/>
    <w:rsid w:val="0052721D"/>
    <w:rsid w:val="00527829"/>
    <w:rsid w:val="00527F12"/>
    <w:rsid w:val="005301AB"/>
    <w:rsid w:val="0053033D"/>
    <w:rsid w:val="00530556"/>
    <w:rsid w:val="00531000"/>
    <w:rsid w:val="0053131C"/>
    <w:rsid w:val="0053233E"/>
    <w:rsid w:val="00532492"/>
    <w:rsid w:val="005326D9"/>
    <w:rsid w:val="00532D9E"/>
    <w:rsid w:val="00532F5A"/>
    <w:rsid w:val="00533AD6"/>
    <w:rsid w:val="00533DAC"/>
    <w:rsid w:val="005355A1"/>
    <w:rsid w:val="00535A6B"/>
    <w:rsid w:val="00535EB1"/>
    <w:rsid w:val="005368AD"/>
    <w:rsid w:val="00537794"/>
    <w:rsid w:val="00537830"/>
    <w:rsid w:val="00537D2B"/>
    <w:rsid w:val="00537FFB"/>
    <w:rsid w:val="00540A82"/>
    <w:rsid w:val="00540F8E"/>
    <w:rsid w:val="00541A99"/>
    <w:rsid w:val="00542FDF"/>
    <w:rsid w:val="005437C2"/>
    <w:rsid w:val="005445AE"/>
    <w:rsid w:val="00545201"/>
    <w:rsid w:val="005469EB"/>
    <w:rsid w:val="00546A3F"/>
    <w:rsid w:val="00547010"/>
    <w:rsid w:val="00547568"/>
    <w:rsid w:val="00547910"/>
    <w:rsid w:val="00547EDD"/>
    <w:rsid w:val="00550B30"/>
    <w:rsid w:val="005511C7"/>
    <w:rsid w:val="00552EAC"/>
    <w:rsid w:val="0055339C"/>
    <w:rsid w:val="005534CD"/>
    <w:rsid w:val="00553D52"/>
    <w:rsid w:val="00553F2C"/>
    <w:rsid w:val="005544FA"/>
    <w:rsid w:val="005544FD"/>
    <w:rsid w:val="00557E2F"/>
    <w:rsid w:val="0056038A"/>
    <w:rsid w:val="0056066F"/>
    <w:rsid w:val="0056070F"/>
    <w:rsid w:val="00560A5D"/>
    <w:rsid w:val="0056205C"/>
    <w:rsid w:val="00562B71"/>
    <w:rsid w:val="00562C2E"/>
    <w:rsid w:val="00564208"/>
    <w:rsid w:val="00565026"/>
    <w:rsid w:val="0056579C"/>
    <w:rsid w:val="00566152"/>
    <w:rsid w:val="0057034F"/>
    <w:rsid w:val="0057164E"/>
    <w:rsid w:val="00571BA1"/>
    <w:rsid w:val="00573082"/>
    <w:rsid w:val="005742B7"/>
    <w:rsid w:val="00574539"/>
    <w:rsid w:val="0057485E"/>
    <w:rsid w:val="00574E45"/>
    <w:rsid w:val="00575C40"/>
    <w:rsid w:val="00576988"/>
    <w:rsid w:val="005775C7"/>
    <w:rsid w:val="005776F5"/>
    <w:rsid w:val="0058011A"/>
    <w:rsid w:val="0058070B"/>
    <w:rsid w:val="005820C0"/>
    <w:rsid w:val="00582F08"/>
    <w:rsid w:val="0058347E"/>
    <w:rsid w:val="00583B2D"/>
    <w:rsid w:val="0058480D"/>
    <w:rsid w:val="00584EC2"/>
    <w:rsid w:val="00584FB1"/>
    <w:rsid w:val="0058778A"/>
    <w:rsid w:val="005902E0"/>
    <w:rsid w:val="0059094E"/>
    <w:rsid w:val="00590D96"/>
    <w:rsid w:val="0059368D"/>
    <w:rsid w:val="00593BB4"/>
    <w:rsid w:val="00595153"/>
    <w:rsid w:val="00595183"/>
    <w:rsid w:val="00596015"/>
    <w:rsid w:val="00596106"/>
    <w:rsid w:val="0059614F"/>
    <w:rsid w:val="00596705"/>
    <w:rsid w:val="005976C6"/>
    <w:rsid w:val="00597A5A"/>
    <w:rsid w:val="005A022E"/>
    <w:rsid w:val="005A21CA"/>
    <w:rsid w:val="005A242B"/>
    <w:rsid w:val="005A277A"/>
    <w:rsid w:val="005A2CB3"/>
    <w:rsid w:val="005A315C"/>
    <w:rsid w:val="005A37EA"/>
    <w:rsid w:val="005A45B7"/>
    <w:rsid w:val="005A5CD4"/>
    <w:rsid w:val="005A6445"/>
    <w:rsid w:val="005A7048"/>
    <w:rsid w:val="005B0160"/>
    <w:rsid w:val="005B0911"/>
    <w:rsid w:val="005B0EB8"/>
    <w:rsid w:val="005B40EE"/>
    <w:rsid w:val="005B4363"/>
    <w:rsid w:val="005B4AA3"/>
    <w:rsid w:val="005B510D"/>
    <w:rsid w:val="005B5359"/>
    <w:rsid w:val="005B5872"/>
    <w:rsid w:val="005B657D"/>
    <w:rsid w:val="005B6A34"/>
    <w:rsid w:val="005B6C1C"/>
    <w:rsid w:val="005B7C9D"/>
    <w:rsid w:val="005C0357"/>
    <w:rsid w:val="005C0602"/>
    <w:rsid w:val="005C0999"/>
    <w:rsid w:val="005C09E0"/>
    <w:rsid w:val="005C1235"/>
    <w:rsid w:val="005C20A6"/>
    <w:rsid w:val="005C34A5"/>
    <w:rsid w:val="005C3E06"/>
    <w:rsid w:val="005C4A53"/>
    <w:rsid w:val="005C4F54"/>
    <w:rsid w:val="005C5E11"/>
    <w:rsid w:val="005C6585"/>
    <w:rsid w:val="005C7571"/>
    <w:rsid w:val="005C7814"/>
    <w:rsid w:val="005C7E61"/>
    <w:rsid w:val="005D0463"/>
    <w:rsid w:val="005D13FA"/>
    <w:rsid w:val="005D14BF"/>
    <w:rsid w:val="005D1A9A"/>
    <w:rsid w:val="005D273A"/>
    <w:rsid w:val="005D293B"/>
    <w:rsid w:val="005D2B42"/>
    <w:rsid w:val="005D4D4C"/>
    <w:rsid w:val="005D5AAC"/>
    <w:rsid w:val="005D68DF"/>
    <w:rsid w:val="005D6D88"/>
    <w:rsid w:val="005D7AF3"/>
    <w:rsid w:val="005E0548"/>
    <w:rsid w:val="005E0B61"/>
    <w:rsid w:val="005E172D"/>
    <w:rsid w:val="005E2B71"/>
    <w:rsid w:val="005E2FBE"/>
    <w:rsid w:val="005E3147"/>
    <w:rsid w:val="005E34A3"/>
    <w:rsid w:val="005E3C38"/>
    <w:rsid w:val="005E40BA"/>
    <w:rsid w:val="005E4604"/>
    <w:rsid w:val="005E50C2"/>
    <w:rsid w:val="005E5D27"/>
    <w:rsid w:val="005E5D82"/>
    <w:rsid w:val="005E66F0"/>
    <w:rsid w:val="005E713E"/>
    <w:rsid w:val="005E78F0"/>
    <w:rsid w:val="005E7AB0"/>
    <w:rsid w:val="005F0467"/>
    <w:rsid w:val="005F0E50"/>
    <w:rsid w:val="005F1445"/>
    <w:rsid w:val="005F1AD2"/>
    <w:rsid w:val="005F1EAD"/>
    <w:rsid w:val="005F1F0D"/>
    <w:rsid w:val="005F22A6"/>
    <w:rsid w:val="005F2F4E"/>
    <w:rsid w:val="005F315C"/>
    <w:rsid w:val="005F31CC"/>
    <w:rsid w:val="005F3ECD"/>
    <w:rsid w:val="005F3F44"/>
    <w:rsid w:val="005F506D"/>
    <w:rsid w:val="005F64A3"/>
    <w:rsid w:val="005F65EE"/>
    <w:rsid w:val="005F7012"/>
    <w:rsid w:val="005F7042"/>
    <w:rsid w:val="005F70DE"/>
    <w:rsid w:val="005F7757"/>
    <w:rsid w:val="005F7995"/>
    <w:rsid w:val="00600279"/>
    <w:rsid w:val="006012D8"/>
    <w:rsid w:val="006025C1"/>
    <w:rsid w:val="00602F5C"/>
    <w:rsid w:val="00604773"/>
    <w:rsid w:val="00604E17"/>
    <w:rsid w:val="00605849"/>
    <w:rsid w:val="00606C61"/>
    <w:rsid w:val="006070CE"/>
    <w:rsid w:val="00607517"/>
    <w:rsid w:val="006077FC"/>
    <w:rsid w:val="0060780E"/>
    <w:rsid w:val="0061039F"/>
    <w:rsid w:val="00610623"/>
    <w:rsid w:val="00611232"/>
    <w:rsid w:val="00611653"/>
    <w:rsid w:val="00611672"/>
    <w:rsid w:val="006119D9"/>
    <w:rsid w:val="00611C38"/>
    <w:rsid w:val="00612733"/>
    <w:rsid w:val="00613669"/>
    <w:rsid w:val="00613ED0"/>
    <w:rsid w:val="00614105"/>
    <w:rsid w:val="00615EF0"/>
    <w:rsid w:val="00615F9A"/>
    <w:rsid w:val="006168A8"/>
    <w:rsid w:val="00620DCD"/>
    <w:rsid w:val="00620E57"/>
    <w:rsid w:val="006212E1"/>
    <w:rsid w:val="006219E2"/>
    <w:rsid w:val="00621E37"/>
    <w:rsid w:val="006222F2"/>
    <w:rsid w:val="00622E46"/>
    <w:rsid w:val="00622F2F"/>
    <w:rsid w:val="00623C46"/>
    <w:rsid w:val="00624F64"/>
    <w:rsid w:val="00625522"/>
    <w:rsid w:val="00625602"/>
    <w:rsid w:val="00625C0F"/>
    <w:rsid w:val="006263F5"/>
    <w:rsid w:val="00627C98"/>
    <w:rsid w:val="006303E3"/>
    <w:rsid w:val="00630B31"/>
    <w:rsid w:val="006316E2"/>
    <w:rsid w:val="006325B0"/>
    <w:rsid w:val="00632A7A"/>
    <w:rsid w:val="006345A7"/>
    <w:rsid w:val="00634AB3"/>
    <w:rsid w:val="00634CF1"/>
    <w:rsid w:val="006377D5"/>
    <w:rsid w:val="006379A4"/>
    <w:rsid w:val="00637FF7"/>
    <w:rsid w:val="00640069"/>
    <w:rsid w:val="006414E8"/>
    <w:rsid w:val="0064189B"/>
    <w:rsid w:val="00641A54"/>
    <w:rsid w:val="00641DBE"/>
    <w:rsid w:val="00642695"/>
    <w:rsid w:val="0064340A"/>
    <w:rsid w:val="00643558"/>
    <w:rsid w:val="00643C87"/>
    <w:rsid w:val="00643DDA"/>
    <w:rsid w:val="00644798"/>
    <w:rsid w:val="0064624E"/>
    <w:rsid w:val="00646420"/>
    <w:rsid w:val="00650967"/>
    <w:rsid w:val="00650D26"/>
    <w:rsid w:val="00651AA6"/>
    <w:rsid w:val="00651C90"/>
    <w:rsid w:val="00652292"/>
    <w:rsid w:val="00652911"/>
    <w:rsid w:val="0065343F"/>
    <w:rsid w:val="00653F40"/>
    <w:rsid w:val="00654797"/>
    <w:rsid w:val="006548FF"/>
    <w:rsid w:val="00654D96"/>
    <w:rsid w:val="00655630"/>
    <w:rsid w:val="00655988"/>
    <w:rsid w:val="0065664D"/>
    <w:rsid w:val="006569A5"/>
    <w:rsid w:val="00661068"/>
    <w:rsid w:val="00661A29"/>
    <w:rsid w:val="006629E0"/>
    <w:rsid w:val="00663122"/>
    <w:rsid w:val="006631B5"/>
    <w:rsid w:val="006634F6"/>
    <w:rsid w:val="006643F8"/>
    <w:rsid w:val="0066522F"/>
    <w:rsid w:val="00665772"/>
    <w:rsid w:val="0066646E"/>
    <w:rsid w:val="006702C6"/>
    <w:rsid w:val="00670504"/>
    <w:rsid w:val="0067099E"/>
    <w:rsid w:val="006709E1"/>
    <w:rsid w:val="00670D42"/>
    <w:rsid w:val="006711B8"/>
    <w:rsid w:val="00671A4F"/>
    <w:rsid w:val="00673E5F"/>
    <w:rsid w:val="0067423A"/>
    <w:rsid w:val="00674CD5"/>
    <w:rsid w:val="0067528E"/>
    <w:rsid w:val="00676168"/>
    <w:rsid w:val="0067632E"/>
    <w:rsid w:val="0067792A"/>
    <w:rsid w:val="00677A5D"/>
    <w:rsid w:val="00680798"/>
    <w:rsid w:val="00680870"/>
    <w:rsid w:val="006832CD"/>
    <w:rsid w:val="006833ED"/>
    <w:rsid w:val="00683D7C"/>
    <w:rsid w:val="00684BC4"/>
    <w:rsid w:val="0068521C"/>
    <w:rsid w:val="0068523E"/>
    <w:rsid w:val="00686494"/>
    <w:rsid w:val="0068653D"/>
    <w:rsid w:val="0068713D"/>
    <w:rsid w:val="00687C0D"/>
    <w:rsid w:val="00690015"/>
    <w:rsid w:val="0069043C"/>
    <w:rsid w:val="006910BB"/>
    <w:rsid w:val="006913B9"/>
    <w:rsid w:val="00691722"/>
    <w:rsid w:val="00691A74"/>
    <w:rsid w:val="00691AA9"/>
    <w:rsid w:val="006925C4"/>
    <w:rsid w:val="00692ACA"/>
    <w:rsid w:val="00693441"/>
    <w:rsid w:val="00693F6D"/>
    <w:rsid w:val="0069473D"/>
    <w:rsid w:val="00694C07"/>
    <w:rsid w:val="0069523A"/>
    <w:rsid w:val="006959A4"/>
    <w:rsid w:val="00695CF9"/>
    <w:rsid w:val="00696184"/>
    <w:rsid w:val="00696451"/>
    <w:rsid w:val="00696D4A"/>
    <w:rsid w:val="00697462"/>
    <w:rsid w:val="006A193A"/>
    <w:rsid w:val="006A1AC8"/>
    <w:rsid w:val="006A38CA"/>
    <w:rsid w:val="006A3CD2"/>
    <w:rsid w:val="006A3F17"/>
    <w:rsid w:val="006A4759"/>
    <w:rsid w:val="006A4E1D"/>
    <w:rsid w:val="006A5063"/>
    <w:rsid w:val="006A548B"/>
    <w:rsid w:val="006A67A7"/>
    <w:rsid w:val="006A7BED"/>
    <w:rsid w:val="006A7C5E"/>
    <w:rsid w:val="006B02AD"/>
    <w:rsid w:val="006B0490"/>
    <w:rsid w:val="006B167B"/>
    <w:rsid w:val="006B18CB"/>
    <w:rsid w:val="006B22B9"/>
    <w:rsid w:val="006B25DB"/>
    <w:rsid w:val="006B5EC5"/>
    <w:rsid w:val="006B6998"/>
    <w:rsid w:val="006B6C28"/>
    <w:rsid w:val="006B6F72"/>
    <w:rsid w:val="006B71E2"/>
    <w:rsid w:val="006C0606"/>
    <w:rsid w:val="006C08B8"/>
    <w:rsid w:val="006C0F82"/>
    <w:rsid w:val="006C149D"/>
    <w:rsid w:val="006C27EC"/>
    <w:rsid w:val="006C2E9D"/>
    <w:rsid w:val="006C2F90"/>
    <w:rsid w:val="006C2F93"/>
    <w:rsid w:val="006C318B"/>
    <w:rsid w:val="006C3353"/>
    <w:rsid w:val="006C3471"/>
    <w:rsid w:val="006C3C08"/>
    <w:rsid w:val="006C4002"/>
    <w:rsid w:val="006C4186"/>
    <w:rsid w:val="006C4202"/>
    <w:rsid w:val="006C4606"/>
    <w:rsid w:val="006C4629"/>
    <w:rsid w:val="006C562A"/>
    <w:rsid w:val="006C6E8F"/>
    <w:rsid w:val="006C704F"/>
    <w:rsid w:val="006C7610"/>
    <w:rsid w:val="006C76D3"/>
    <w:rsid w:val="006C7BAE"/>
    <w:rsid w:val="006C7E4E"/>
    <w:rsid w:val="006D0437"/>
    <w:rsid w:val="006D2206"/>
    <w:rsid w:val="006D2663"/>
    <w:rsid w:val="006D28FF"/>
    <w:rsid w:val="006D2DAD"/>
    <w:rsid w:val="006D5A29"/>
    <w:rsid w:val="006D5E59"/>
    <w:rsid w:val="006D64D0"/>
    <w:rsid w:val="006D723F"/>
    <w:rsid w:val="006D7A68"/>
    <w:rsid w:val="006E04EA"/>
    <w:rsid w:val="006E0C95"/>
    <w:rsid w:val="006E126B"/>
    <w:rsid w:val="006E150F"/>
    <w:rsid w:val="006E1714"/>
    <w:rsid w:val="006E2443"/>
    <w:rsid w:val="006E2AD2"/>
    <w:rsid w:val="006E3576"/>
    <w:rsid w:val="006E3924"/>
    <w:rsid w:val="006E5658"/>
    <w:rsid w:val="006E5913"/>
    <w:rsid w:val="006E5C46"/>
    <w:rsid w:val="006E5EB1"/>
    <w:rsid w:val="006E6CC4"/>
    <w:rsid w:val="006E6FE6"/>
    <w:rsid w:val="006E7760"/>
    <w:rsid w:val="006E798D"/>
    <w:rsid w:val="006E7BAE"/>
    <w:rsid w:val="006F019A"/>
    <w:rsid w:val="006F0500"/>
    <w:rsid w:val="006F0ED4"/>
    <w:rsid w:val="006F0F10"/>
    <w:rsid w:val="006F1055"/>
    <w:rsid w:val="006F2369"/>
    <w:rsid w:val="006F24B8"/>
    <w:rsid w:val="006F2B69"/>
    <w:rsid w:val="006F2F76"/>
    <w:rsid w:val="006F390E"/>
    <w:rsid w:val="006F4D3E"/>
    <w:rsid w:val="006F7275"/>
    <w:rsid w:val="006F79FC"/>
    <w:rsid w:val="007001F3"/>
    <w:rsid w:val="00700264"/>
    <w:rsid w:val="00700515"/>
    <w:rsid w:val="0070087B"/>
    <w:rsid w:val="007010D4"/>
    <w:rsid w:val="00701393"/>
    <w:rsid w:val="0070191A"/>
    <w:rsid w:val="00703FEA"/>
    <w:rsid w:val="0070459C"/>
    <w:rsid w:val="00707086"/>
    <w:rsid w:val="007075A2"/>
    <w:rsid w:val="0071035B"/>
    <w:rsid w:val="00711BE3"/>
    <w:rsid w:val="00711DE7"/>
    <w:rsid w:val="0071320A"/>
    <w:rsid w:val="00713C04"/>
    <w:rsid w:val="00714458"/>
    <w:rsid w:val="00714763"/>
    <w:rsid w:val="007147E7"/>
    <w:rsid w:val="00714F70"/>
    <w:rsid w:val="00716B7B"/>
    <w:rsid w:val="00716C59"/>
    <w:rsid w:val="00720458"/>
    <w:rsid w:val="00720A18"/>
    <w:rsid w:val="00720DEC"/>
    <w:rsid w:val="00720E23"/>
    <w:rsid w:val="00721D6C"/>
    <w:rsid w:val="00721FFD"/>
    <w:rsid w:val="00722B7B"/>
    <w:rsid w:val="007235DF"/>
    <w:rsid w:val="00723DD2"/>
    <w:rsid w:val="007251D6"/>
    <w:rsid w:val="007260BF"/>
    <w:rsid w:val="007265E7"/>
    <w:rsid w:val="00726910"/>
    <w:rsid w:val="00727995"/>
    <w:rsid w:val="00731180"/>
    <w:rsid w:val="007312F6"/>
    <w:rsid w:val="00731780"/>
    <w:rsid w:val="00731C1C"/>
    <w:rsid w:val="00733C61"/>
    <w:rsid w:val="007360AB"/>
    <w:rsid w:val="0073705B"/>
    <w:rsid w:val="007373E1"/>
    <w:rsid w:val="007378CD"/>
    <w:rsid w:val="00737AC8"/>
    <w:rsid w:val="00740E15"/>
    <w:rsid w:val="00740ECD"/>
    <w:rsid w:val="007412C8"/>
    <w:rsid w:val="007419AA"/>
    <w:rsid w:val="00741BFD"/>
    <w:rsid w:val="007433A3"/>
    <w:rsid w:val="00744D5D"/>
    <w:rsid w:val="007452BD"/>
    <w:rsid w:val="00745E00"/>
    <w:rsid w:val="00745E38"/>
    <w:rsid w:val="00746D29"/>
    <w:rsid w:val="00747010"/>
    <w:rsid w:val="0074731B"/>
    <w:rsid w:val="0074736D"/>
    <w:rsid w:val="0074738C"/>
    <w:rsid w:val="007501EE"/>
    <w:rsid w:val="00750E66"/>
    <w:rsid w:val="00751869"/>
    <w:rsid w:val="007518FC"/>
    <w:rsid w:val="00751B8F"/>
    <w:rsid w:val="00752795"/>
    <w:rsid w:val="00752AC8"/>
    <w:rsid w:val="00753BA8"/>
    <w:rsid w:val="00754E74"/>
    <w:rsid w:val="007562F6"/>
    <w:rsid w:val="00756B1B"/>
    <w:rsid w:val="00757F96"/>
    <w:rsid w:val="007604A0"/>
    <w:rsid w:val="00760A26"/>
    <w:rsid w:val="00760B02"/>
    <w:rsid w:val="00761128"/>
    <w:rsid w:val="00761C73"/>
    <w:rsid w:val="00761DDB"/>
    <w:rsid w:val="0076248A"/>
    <w:rsid w:val="00762805"/>
    <w:rsid w:val="00762917"/>
    <w:rsid w:val="00763A64"/>
    <w:rsid w:val="00763F79"/>
    <w:rsid w:val="007644DF"/>
    <w:rsid w:val="00766C13"/>
    <w:rsid w:val="007677EC"/>
    <w:rsid w:val="00770430"/>
    <w:rsid w:val="00770C86"/>
    <w:rsid w:val="0077189E"/>
    <w:rsid w:val="0077211E"/>
    <w:rsid w:val="00772344"/>
    <w:rsid w:val="00772912"/>
    <w:rsid w:val="00772ADC"/>
    <w:rsid w:val="00773452"/>
    <w:rsid w:val="00774991"/>
    <w:rsid w:val="00774B7F"/>
    <w:rsid w:val="00774F21"/>
    <w:rsid w:val="00775B9F"/>
    <w:rsid w:val="007762F4"/>
    <w:rsid w:val="007773D8"/>
    <w:rsid w:val="00777612"/>
    <w:rsid w:val="007807A8"/>
    <w:rsid w:val="00780F59"/>
    <w:rsid w:val="00781100"/>
    <w:rsid w:val="0078176E"/>
    <w:rsid w:val="00781BA7"/>
    <w:rsid w:val="00782106"/>
    <w:rsid w:val="007829D5"/>
    <w:rsid w:val="00783102"/>
    <w:rsid w:val="00784161"/>
    <w:rsid w:val="00785D07"/>
    <w:rsid w:val="00786412"/>
    <w:rsid w:val="00787C42"/>
    <w:rsid w:val="0079058F"/>
    <w:rsid w:val="00790769"/>
    <w:rsid w:val="007916B4"/>
    <w:rsid w:val="00791E63"/>
    <w:rsid w:val="00792182"/>
    <w:rsid w:val="00792B2B"/>
    <w:rsid w:val="00792DFB"/>
    <w:rsid w:val="00792F51"/>
    <w:rsid w:val="00793942"/>
    <w:rsid w:val="00794980"/>
    <w:rsid w:val="00794B29"/>
    <w:rsid w:val="007971D3"/>
    <w:rsid w:val="00797299"/>
    <w:rsid w:val="00797D2E"/>
    <w:rsid w:val="007A030D"/>
    <w:rsid w:val="007A05D7"/>
    <w:rsid w:val="007A0D8E"/>
    <w:rsid w:val="007A120A"/>
    <w:rsid w:val="007A16CE"/>
    <w:rsid w:val="007A2F4D"/>
    <w:rsid w:val="007A3CEA"/>
    <w:rsid w:val="007A4380"/>
    <w:rsid w:val="007A4774"/>
    <w:rsid w:val="007A4F32"/>
    <w:rsid w:val="007A51EE"/>
    <w:rsid w:val="007A5CCD"/>
    <w:rsid w:val="007A76D9"/>
    <w:rsid w:val="007A7F20"/>
    <w:rsid w:val="007B073E"/>
    <w:rsid w:val="007B0AB1"/>
    <w:rsid w:val="007B1F62"/>
    <w:rsid w:val="007B22AC"/>
    <w:rsid w:val="007B358F"/>
    <w:rsid w:val="007B394E"/>
    <w:rsid w:val="007B3CBB"/>
    <w:rsid w:val="007B5174"/>
    <w:rsid w:val="007B6A29"/>
    <w:rsid w:val="007B6E12"/>
    <w:rsid w:val="007B755B"/>
    <w:rsid w:val="007B7DCC"/>
    <w:rsid w:val="007C1117"/>
    <w:rsid w:val="007C2437"/>
    <w:rsid w:val="007C2965"/>
    <w:rsid w:val="007C2DFF"/>
    <w:rsid w:val="007C3302"/>
    <w:rsid w:val="007C38AE"/>
    <w:rsid w:val="007C45FF"/>
    <w:rsid w:val="007C4BC1"/>
    <w:rsid w:val="007C5546"/>
    <w:rsid w:val="007C576B"/>
    <w:rsid w:val="007C58DA"/>
    <w:rsid w:val="007C74B6"/>
    <w:rsid w:val="007C7547"/>
    <w:rsid w:val="007C7F97"/>
    <w:rsid w:val="007D0C36"/>
    <w:rsid w:val="007D13CE"/>
    <w:rsid w:val="007D154C"/>
    <w:rsid w:val="007D1EE7"/>
    <w:rsid w:val="007D34A7"/>
    <w:rsid w:val="007D35C3"/>
    <w:rsid w:val="007D4799"/>
    <w:rsid w:val="007D4B86"/>
    <w:rsid w:val="007D5432"/>
    <w:rsid w:val="007D56D8"/>
    <w:rsid w:val="007D5B72"/>
    <w:rsid w:val="007D5CDB"/>
    <w:rsid w:val="007D5E15"/>
    <w:rsid w:val="007D5F57"/>
    <w:rsid w:val="007D6064"/>
    <w:rsid w:val="007D6100"/>
    <w:rsid w:val="007D6FC3"/>
    <w:rsid w:val="007D713B"/>
    <w:rsid w:val="007D79BF"/>
    <w:rsid w:val="007E02CF"/>
    <w:rsid w:val="007E079D"/>
    <w:rsid w:val="007E0889"/>
    <w:rsid w:val="007E0B68"/>
    <w:rsid w:val="007E13AF"/>
    <w:rsid w:val="007E2DAB"/>
    <w:rsid w:val="007E31B7"/>
    <w:rsid w:val="007E3251"/>
    <w:rsid w:val="007E4239"/>
    <w:rsid w:val="007E47D7"/>
    <w:rsid w:val="007E4826"/>
    <w:rsid w:val="007E4D62"/>
    <w:rsid w:val="007E50BE"/>
    <w:rsid w:val="007E52E2"/>
    <w:rsid w:val="007E5498"/>
    <w:rsid w:val="007E6074"/>
    <w:rsid w:val="007E72D3"/>
    <w:rsid w:val="007E7F51"/>
    <w:rsid w:val="007F0029"/>
    <w:rsid w:val="007F01F2"/>
    <w:rsid w:val="007F1772"/>
    <w:rsid w:val="007F185F"/>
    <w:rsid w:val="007F20B7"/>
    <w:rsid w:val="007F2914"/>
    <w:rsid w:val="007F302A"/>
    <w:rsid w:val="007F3ED9"/>
    <w:rsid w:val="007F4AF2"/>
    <w:rsid w:val="007F51D7"/>
    <w:rsid w:val="007F530B"/>
    <w:rsid w:val="007F56A6"/>
    <w:rsid w:val="007F7A01"/>
    <w:rsid w:val="0080038D"/>
    <w:rsid w:val="0080046D"/>
    <w:rsid w:val="0080083C"/>
    <w:rsid w:val="008012AF"/>
    <w:rsid w:val="00802621"/>
    <w:rsid w:val="00803659"/>
    <w:rsid w:val="00805418"/>
    <w:rsid w:val="008059CA"/>
    <w:rsid w:val="00805A48"/>
    <w:rsid w:val="00805B0C"/>
    <w:rsid w:val="00806C31"/>
    <w:rsid w:val="00806EFD"/>
    <w:rsid w:val="0080727C"/>
    <w:rsid w:val="00807472"/>
    <w:rsid w:val="008107FB"/>
    <w:rsid w:val="0081119E"/>
    <w:rsid w:val="0081134B"/>
    <w:rsid w:val="008113DD"/>
    <w:rsid w:val="008116A0"/>
    <w:rsid w:val="00811ADF"/>
    <w:rsid w:val="00812B9B"/>
    <w:rsid w:val="00812CF9"/>
    <w:rsid w:val="00812F33"/>
    <w:rsid w:val="00814000"/>
    <w:rsid w:val="0081479E"/>
    <w:rsid w:val="00814B16"/>
    <w:rsid w:val="00814E03"/>
    <w:rsid w:val="008150A0"/>
    <w:rsid w:val="00816843"/>
    <w:rsid w:val="00816FA2"/>
    <w:rsid w:val="0081761A"/>
    <w:rsid w:val="00817A53"/>
    <w:rsid w:val="00817FE5"/>
    <w:rsid w:val="00821182"/>
    <w:rsid w:val="00821625"/>
    <w:rsid w:val="00821AD9"/>
    <w:rsid w:val="00821C73"/>
    <w:rsid w:val="00822229"/>
    <w:rsid w:val="00822551"/>
    <w:rsid w:val="0082285A"/>
    <w:rsid w:val="00822CAA"/>
    <w:rsid w:val="00823EF7"/>
    <w:rsid w:val="0082414E"/>
    <w:rsid w:val="008255D2"/>
    <w:rsid w:val="00826F62"/>
    <w:rsid w:val="00827749"/>
    <w:rsid w:val="00827E9E"/>
    <w:rsid w:val="00833084"/>
    <w:rsid w:val="00833A3F"/>
    <w:rsid w:val="00834159"/>
    <w:rsid w:val="008342F9"/>
    <w:rsid w:val="008345C3"/>
    <w:rsid w:val="00834FC2"/>
    <w:rsid w:val="008354E9"/>
    <w:rsid w:val="00835575"/>
    <w:rsid w:val="00835AF5"/>
    <w:rsid w:val="008361E3"/>
    <w:rsid w:val="00836A03"/>
    <w:rsid w:val="00837314"/>
    <w:rsid w:val="008376A2"/>
    <w:rsid w:val="0084056C"/>
    <w:rsid w:val="00840723"/>
    <w:rsid w:val="00840FC4"/>
    <w:rsid w:val="00841643"/>
    <w:rsid w:val="00842854"/>
    <w:rsid w:val="008429A9"/>
    <w:rsid w:val="00842ADF"/>
    <w:rsid w:val="0084446B"/>
    <w:rsid w:val="00844F35"/>
    <w:rsid w:val="00846196"/>
    <w:rsid w:val="008461C8"/>
    <w:rsid w:val="00846461"/>
    <w:rsid w:val="0084683D"/>
    <w:rsid w:val="00847262"/>
    <w:rsid w:val="0084798C"/>
    <w:rsid w:val="00847C25"/>
    <w:rsid w:val="0085003B"/>
    <w:rsid w:val="00850F24"/>
    <w:rsid w:val="00850F58"/>
    <w:rsid w:val="00851899"/>
    <w:rsid w:val="00851AC5"/>
    <w:rsid w:val="00851C59"/>
    <w:rsid w:val="00851DCA"/>
    <w:rsid w:val="008520F4"/>
    <w:rsid w:val="00852B1F"/>
    <w:rsid w:val="008542A9"/>
    <w:rsid w:val="008543FF"/>
    <w:rsid w:val="008547DF"/>
    <w:rsid w:val="00855469"/>
    <w:rsid w:val="00856336"/>
    <w:rsid w:val="0085671C"/>
    <w:rsid w:val="00856834"/>
    <w:rsid w:val="008571E8"/>
    <w:rsid w:val="00857D18"/>
    <w:rsid w:val="00857E32"/>
    <w:rsid w:val="008603BD"/>
    <w:rsid w:val="00860533"/>
    <w:rsid w:val="00860831"/>
    <w:rsid w:val="0086213A"/>
    <w:rsid w:val="00862EA6"/>
    <w:rsid w:val="00863348"/>
    <w:rsid w:val="0086358A"/>
    <w:rsid w:val="008639E4"/>
    <w:rsid w:val="00863FBC"/>
    <w:rsid w:val="0086452C"/>
    <w:rsid w:val="00864B87"/>
    <w:rsid w:val="00864D35"/>
    <w:rsid w:val="008650A5"/>
    <w:rsid w:val="008653C8"/>
    <w:rsid w:val="008654AC"/>
    <w:rsid w:val="0086612F"/>
    <w:rsid w:val="008663EB"/>
    <w:rsid w:val="00867218"/>
    <w:rsid w:val="0086785E"/>
    <w:rsid w:val="00867F15"/>
    <w:rsid w:val="00870273"/>
    <w:rsid w:val="00870E90"/>
    <w:rsid w:val="0087152D"/>
    <w:rsid w:val="00871766"/>
    <w:rsid w:val="008720BE"/>
    <w:rsid w:val="008720D4"/>
    <w:rsid w:val="0087235D"/>
    <w:rsid w:val="0087378D"/>
    <w:rsid w:val="00873CF8"/>
    <w:rsid w:val="00874939"/>
    <w:rsid w:val="0087552B"/>
    <w:rsid w:val="00875820"/>
    <w:rsid w:val="00875E7B"/>
    <w:rsid w:val="00875FCD"/>
    <w:rsid w:val="008762AA"/>
    <w:rsid w:val="00877380"/>
    <w:rsid w:val="00877B6B"/>
    <w:rsid w:val="00880202"/>
    <w:rsid w:val="00881039"/>
    <w:rsid w:val="008835A2"/>
    <w:rsid w:val="00883A3B"/>
    <w:rsid w:val="008844D6"/>
    <w:rsid w:val="00884696"/>
    <w:rsid w:val="00885283"/>
    <w:rsid w:val="0088532E"/>
    <w:rsid w:val="00885DFB"/>
    <w:rsid w:val="00885EFC"/>
    <w:rsid w:val="0088617C"/>
    <w:rsid w:val="00886958"/>
    <w:rsid w:val="008870A7"/>
    <w:rsid w:val="008871D9"/>
    <w:rsid w:val="0088734E"/>
    <w:rsid w:val="00890149"/>
    <w:rsid w:val="00890BF6"/>
    <w:rsid w:val="00890E5B"/>
    <w:rsid w:val="00891E83"/>
    <w:rsid w:val="00892456"/>
    <w:rsid w:val="0089300F"/>
    <w:rsid w:val="0089341A"/>
    <w:rsid w:val="008934DE"/>
    <w:rsid w:val="008935A6"/>
    <w:rsid w:val="0089461C"/>
    <w:rsid w:val="00894DBC"/>
    <w:rsid w:val="00895545"/>
    <w:rsid w:val="008955DE"/>
    <w:rsid w:val="00896444"/>
    <w:rsid w:val="00896C66"/>
    <w:rsid w:val="00897378"/>
    <w:rsid w:val="00897881"/>
    <w:rsid w:val="00897A43"/>
    <w:rsid w:val="008A0127"/>
    <w:rsid w:val="008A11BC"/>
    <w:rsid w:val="008A1267"/>
    <w:rsid w:val="008A1454"/>
    <w:rsid w:val="008A179C"/>
    <w:rsid w:val="008A2930"/>
    <w:rsid w:val="008A2D63"/>
    <w:rsid w:val="008A4A02"/>
    <w:rsid w:val="008A5157"/>
    <w:rsid w:val="008A583B"/>
    <w:rsid w:val="008A5A20"/>
    <w:rsid w:val="008A7BB3"/>
    <w:rsid w:val="008A7D4C"/>
    <w:rsid w:val="008B0022"/>
    <w:rsid w:val="008B045E"/>
    <w:rsid w:val="008B04F8"/>
    <w:rsid w:val="008B0513"/>
    <w:rsid w:val="008B0FA2"/>
    <w:rsid w:val="008B16D5"/>
    <w:rsid w:val="008B290C"/>
    <w:rsid w:val="008B4689"/>
    <w:rsid w:val="008B4E9F"/>
    <w:rsid w:val="008B593B"/>
    <w:rsid w:val="008B5E98"/>
    <w:rsid w:val="008B6485"/>
    <w:rsid w:val="008B7A2B"/>
    <w:rsid w:val="008B7E19"/>
    <w:rsid w:val="008C053E"/>
    <w:rsid w:val="008C0F81"/>
    <w:rsid w:val="008C1025"/>
    <w:rsid w:val="008C125C"/>
    <w:rsid w:val="008C1A9B"/>
    <w:rsid w:val="008C28F5"/>
    <w:rsid w:val="008C3E56"/>
    <w:rsid w:val="008C7534"/>
    <w:rsid w:val="008C7671"/>
    <w:rsid w:val="008C78AA"/>
    <w:rsid w:val="008C7C13"/>
    <w:rsid w:val="008D28CC"/>
    <w:rsid w:val="008D2C53"/>
    <w:rsid w:val="008D3AFB"/>
    <w:rsid w:val="008D3F6B"/>
    <w:rsid w:val="008D44EB"/>
    <w:rsid w:val="008D51C7"/>
    <w:rsid w:val="008D591C"/>
    <w:rsid w:val="008D5BE8"/>
    <w:rsid w:val="008E0264"/>
    <w:rsid w:val="008E0574"/>
    <w:rsid w:val="008E1292"/>
    <w:rsid w:val="008E12E4"/>
    <w:rsid w:val="008E230C"/>
    <w:rsid w:val="008E25CC"/>
    <w:rsid w:val="008E2B5E"/>
    <w:rsid w:val="008E3191"/>
    <w:rsid w:val="008E3341"/>
    <w:rsid w:val="008E3F14"/>
    <w:rsid w:val="008E4CC5"/>
    <w:rsid w:val="008E4F47"/>
    <w:rsid w:val="008E4FCC"/>
    <w:rsid w:val="008E58BF"/>
    <w:rsid w:val="008E58DA"/>
    <w:rsid w:val="008E5A49"/>
    <w:rsid w:val="008E6581"/>
    <w:rsid w:val="008E6747"/>
    <w:rsid w:val="008E6A91"/>
    <w:rsid w:val="008E6F79"/>
    <w:rsid w:val="008E7C15"/>
    <w:rsid w:val="008F037C"/>
    <w:rsid w:val="008F0C15"/>
    <w:rsid w:val="008F0EF1"/>
    <w:rsid w:val="008F1410"/>
    <w:rsid w:val="008F1484"/>
    <w:rsid w:val="008F20B1"/>
    <w:rsid w:val="008F33C8"/>
    <w:rsid w:val="008F3455"/>
    <w:rsid w:val="008F47AD"/>
    <w:rsid w:val="008F480A"/>
    <w:rsid w:val="008F57A2"/>
    <w:rsid w:val="008F6C4F"/>
    <w:rsid w:val="008F72C3"/>
    <w:rsid w:val="008F7461"/>
    <w:rsid w:val="008F7B40"/>
    <w:rsid w:val="0090009D"/>
    <w:rsid w:val="009008EE"/>
    <w:rsid w:val="00901B44"/>
    <w:rsid w:val="0090299F"/>
    <w:rsid w:val="00902C7B"/>
    <w:rsid w:val="009031E9"/>
    <w:rsid w:val="0090321F"/>
    <w:rsid w:val="00903524"/>
    <w:rsid w:val="0090383E"/>
    <w:rsid w:val="00904628"/>
    <w:rsid w:val="009046EF"/>
    <w:rsid w:val="00904ED9"/>
    <w:rsid w:val="0090645A"/>
    <w:rsid w:val="009070B1"/>
    <w:rsid w:val="00907631"/>
    <w:rsid w:val="00910A2F"/>
    <w:rsid w:val="00910B8E"/>
    <w:rsid w:val="00910D20"/>
    <w:rsid w:val="00911233"/>
    <w:rsid w:val="00911EE7"/>
    <w:rsid w:val="00912028"/>
    <w:rsid w:val="0091461F"/>
    <w:rsid w:val="00914670"/>
    <w:rsid w:val="00914B9D"/>
    <w:rsid w:val="00914C5C"/>
    <w:rsid w:val="00914D90"/>
    <w:rsid w:val="00915279"/>
    <w:rsid w:val="00915A33"/>
    <w:rsid w:val="009165CC"/>
    <w:rsid w:val="00916B65"/>
    <w:rsid w:val="009174AB"/>
    <w:rsid w:val="00917D93"/>
    <w:rsid w:val="00920C45"/>
    <w:rsid w:val="00920D44"/>
    <w:rsid w:val="00921720"/>
    <w:rsid w:val="0092198B"/>
    <w:rsid w:val="009225DD"/>
    <w:rsid w:val="00923906"/>
    <w:rsid w:val="00923B34"/>
    <w:rsid w:val="009242F6"/>
    <w:rsid w:val="009244A8"/>
    <w:rsid w:val="0092563A"/>
    <w:rsid w:val="0092605A"/>
    <w:rsid w:val="009267F1"/>
    <w:rsid w:val="00926FC7"/>
    <w:rsid w:val="00927967"/>
    <w:rsid w:val="0093147B"/>
    <w:rsid w:val="0093158A"/>
    <w:rsid w:val="00931AE2"/>
    <w:rsid w:val="009327FE"/>
    <w:rsid w:val="00932D1B"/>
    <w:rsid w:val="00933184"/>
    <w:rsid w:val="009332A5"/>
    <w:rsid w:val="00933D29"/>
    <w:rsid w:val="0093454F"/>
    <w:rsid w:val="00934595"/>
    <w:rsid w:val="00934F31"/>
    <w:rsid w:val="009356F3"/>
    <w:rsid w:val="00935C90"/>
    <w:rsid w:val="00936589"/>
    <w:rsid w:val="00936C19"/>
    <w:rsid w:val="00936C8C"/>
    <w:rsid w:val="00937B47"/>
    <w:rsid w:val="00937D17"/>
    <w:rsid w:val="00941C75"/>
    <w:rsid w:val="009426D9"/>
    <w:rsid w:val="00943BEA"/>
    <w:rsid w:val="0094427A"/>
    <w:rsid w:val="0094440C"/>
    <w:rsid w:val="009450BF"/>
    <w:rsid w:val="00945B74"/>
    <w:rsid w:val="00945FE7"/>
    <w:rsid w:val="00946F81"/>
    <w:rsid w:val="00946F8C"/>
    <w:rsid w:val="00947DBA"/>
    <w:rsid w:val="00947F38"/>
    <w:rsid w:val="00950478"/>
    <w:rsid w:val="00951124"/>
    <w:rsid w:val="00951382"/>
    <w:rsid w:val="0095369C"/>
    <w:rsid w:val="00953CE0"/>
    <w:rsid w:val="009545D6"/>
    <w:rsid w:val="009549A7"/>
    <w:rsid w:val="00955279"/>
    <w:rsid w:val="00955403"/>
    <w:rsid w:val="009559DE"/>
    <w:rsid w:val="00955BE9"/>
    <w:rsid w:val="00956CB5"/>
    <w:rsid w:val="00956D15"/>
    <w:rsid w:val="00957444"/>
    <w:rsid w:val="00960013"/>
    <w:rsid w:val="00961166"/>
    <w:rsid w:val="0096161A"/>
    <w:rsid w:val="00961BB4"/>
    <w:rsid w:val="00961D35"/>
    <w:rsid w:val="009625D4"/>
    <w:rsid w:val="009629BF"/>
    <w:rsid w:val="00962C08"/>
    <w:rsid w:val="00963215"/>
    <w:rsid w:val="0096362F"/>
    <w:rsid w:val="00963801"/>
    <w:rsid w:val="00963DDA"/>
    <w:rsid w:val="00963F54"/>
    <w:rsid w:val="00964377"/>
    <w:rsid w:val="009649B2"/>
    <w:rsid w:val="00965264"/>
    <w:rsid w:val="00966981"/>
    <w:rsid w:val="0096784D"/>
    <w:rsid w:val="009704B5"/>
    <w:rsid w:val="00971457"/>
    <w:rsid w:val="00971C71"/>
    <w:rsid w:val="00971DBC"/>
    <w:rsid w:val="00972822"/>
    <w:rsid w:val="009739DA"/>
    <w:rsid w:val="00974A61"/>
    <w:rsid w:val="00974D54"/>
    <w:rsid w:val="00974E32"/>
    <w:rsid w:val="009764A2"/>
    <w:rsid w:val="00976C8F"/>
    <w:rsid w:val="00976FD9"/>
    <w:rsid w:val="00977EE6"/>
    <w:rsid w:val="00980DC6"/>
    <w:rsid w:val="00981568"/>
    <w:rsid w:val="00981BFB"/>
    <w:rsid w:val="00981E8F"/>
    <w:rsid w:val="009822FF"/>
    <w:rsid w:val="0098254E"/>
    <w:rsid w:val="009843AC"/>
    <w:rsid w:val="009847D8"/>
    <w:rsid w:val="00985898"/>
    <w:rsid w:val="009858C1"/>
    <w:rsid w:val="00985BBC"/>
    <w:rsid w:val="00985CAD"/>
    <w:rsid w:val="00986A9A"/>
    <w:rsid w:val="00986AD3"/>
    <w:rsid w:val="009871F0"/>
    <w:rsid w:val="00987365"/>
    <w:rsid w:val="00987B96"/>
    <w:rsid w:val="0099065D"/>
    <w:rsid w:val="00990820"/>
    <w:rsid w:val="00990FDC"/>
    <w:rsid w:val="009914C0"/>
    <w:rsid w:val="009914DC"/>
    <w:rsid w:val="0099174F"/>
    <w:rsid w:val="009924AC"/>
    <w:rsid w:val="00992CA7"/>
    <w:rsid w:val="00993063"/>
    <w:rsid w:val="009934A3"/>
    <w:rsid w:val="0099410E"/>
    <w:rsid w:val="00994EC0"/>
    <w:rsid w:val="009957FA"/>
    <w:rsid w:val="009960BF"/>
    <w:rsid w:val="0099688D"/>
    <w:rsid w:val="00997390"/>
    <w:rsid w:val="00997ED0"/>
    <w:rsid w:val="009A0550"/>
    <w:rsid w:val="009A1303"/>
    <w:rsid w:val="009A16F7"/>
    <w:rsid w:val="009A1F39"/>
    <w:rsid w:val="009A2786"/>
    <w:rsid w:val="009A27D6"/>
    <w:rsid w:val="009A2B7D"/>
    <w:rsid w:val="009A2FE5"/>
    <w:rsid w:val="009A3018"/>
    <w:rsid w:val="009A3358"/>
    <w:rsid w:val="009A3D52"/>
    <w:rsid w:val="009A5004"/>
    <w:rsid w:val="009A5516"/>
    <w:rsid w:val="009A5D8B"/>
    <w:rsid w:val="009A65FD"/>
    <w:rsid w:val="009A7CD6"/>
    <w:rsid w:val="009B0458"/>
    <w:rsid w:val="009B06DD"/>
    <w:rsid w:val="009B111A"/>
    <w:rsid w:val="009B1CE3"/>
    <w:rsid w:val="009B2424"/>
    <w:rsid w:val="009B307E"/>
    <w:rsid w:val="009B36B1"/>
    <w:rsid w:val="009B4CDE"/>
    <w:rsid w:val="009B520B"/>
    <w:rsid w:val="009B55FB"/>
    <w:rsid w:val="009B5D1D"/>
    <w:rsid w:val="009B670D"/>
    <w:rsid w:val="009B6DAA"/>
    <w:rsid w:val="009B70AF"/>
    <w:rsid w:val="009B7811"/>
    <w:rsid w:val="009B786C"/>
    <w:rsid w:val="009B78EF"/>
    <w:rsid w:val="009B793C"/>
    <w:rsid w:val="009B79A5"/>
    <w:rsid w:val="009C0F57"/>
    <w:rsid w:val="009C10C6"/>
    <w:rsid w:val="009C117A"/>
    <w:rsid w:val="009C2737"/>
    <w:rsid w:val="009C3AEB"/>
    <w:rsid w:val="009C4136"/>
    <w:rsid w:val="009C41A7"/>
    <w:rsid w:val="009C490A"/>
    <w:rsid w:val="009C4D87"/>
    <w:rsid w:val="009C5295"/>
    <w:rsid w:val="009C54BE"/>
    <w:rsid w:val="009C6514"/>
    <w:rsid w:val="009C6A1A"/>
    <w:rsid w:val="009C7BF4"/>
    <w:rsid w:val="009D0128"/>
    <w:rsid w:val="009D03EF"/>
    <w:rsid w:val="009D0782"/>
    <w:rsid w:val="009D137A"/>
    <w:rsid w:val="009D1622"/>
    <w:rsid w:val="009D1A20"/>
    <w:rsid w:val="009D1C5D"/>
    <w:rsid w:val="009D2400"/>
    <w:rsid w:val="009D3110"/>
    <w:rsid w:val="009D3174"/>
    <w:rsid w:val="009D3524"/>
    <w:rsid w:val="009D3B9A"/>
    <w:rsid w:val="009D4330"/>
    <w:rsid w:val="009D5ADA"/>
    <w:rsid w:val="009D6135"/>
    <w:rsid w:val="009D63E6"/>
    <w:rsid w:val="009D64C4"/>
    <w:rsid w:val="009D663D"/>
    <w:rsid w:val="009D678E"/>
    <w:rsid w:val="009D6C95"/>
    <w:rsid w:val="009D6E47"/>
    <w:rsid w:val="009D6F76"/>
    <w:rsid w:val="009D7B94"/>
    <w:rsid w:val="009E03DC"/>
    <w:rsid w:val="009E087F"/>
    <w:rsid w:val="009E0A37"/>
    <w:rsid w:val="009E0CC0"/>
    <w:rsid w:val="009E1271"/>
    <w:rsid w:val="009E237B"/>
    <w:rsid w:val="009E2620"/>
    <w:rsid w:val="009E39B6"/>
    <w:rsid w:val="009E41A1"/>
    <w:rsid w:val="009E45C2"/>
    <w:rsid w:val="009E4D6E"/>
    <w:rsid w:val="009E5585"/>
    <w:rsid w:val="009E6072"/>
    <w:rsid w:val="009E6C24"/>
    <w:rsid w:val="009E6C29"/>
    <w:rsid w:val="009E7578"/>
    <w:rsid w:val="009E7FF7"/>
    <w:rsid w:val="009F0070"/>
    <w:rsid w:val="009F17BC"/>
    <w:rsid w:val="009F1C53"/>
    <w:rsid w:val="009F241B"/>
    <w:rsid w:val="009F3009"/>
    <w:rsid w:val="009F4A5C"/>
    <w:rsid w:val="009F4E20"/>
    <w:rsid w:val="009F4F5A"/>
    <w:rsid w:val="009F5838"/>
    <w:rsid w:val="009F5AFB"/>
    <w:rsid w:val="009F625E"/>
    <w:rsid w:val="009F6D2F"/>
    <w:rsid w:val="009F7243"/>
    <w:rsid w:val="009F746A"/>
    <w:rsid w:val="009F7597"/>
    <w:rsid w:val="009F76FC"/>
    <w:rsid w:val="00A00B4E"/>
    <w:rsid w:val="00A012FE"/>
    <w:rsid w:val="00A0135E"/>
    <w:rsid w:val="00A0234F"/>
    <w:rsid w:val="00A0330C"/>
    <w:rsid w:val="00A041AA"/>
    <w:rsid w:val="00A04BF5"/>
    <w:rsid w:val="00A04C19"/>
    <w:rsid w:val="00A06799"/>
    <w:rsid w:val="00A06981"/>
    <w:rsid w:val="00A06B49"/>
    <w:rsid w:val="00A06C1D"/>
    <w:rsid w:val="00A07C8F"/>
    <w:rsid w:val="00A107B3"/>
    <w:rsid w:val="00A107C5"/>
    <w:rsid w:val="00A10C09"/>
    <w:rsid w:val="00A114FA"/>
    <w:rsid w:val="00A121FC"/>
    <w:rsid w:val="00A132D2"/>
    <w:rsid w:val="00A13BBD"/>
    <w:rsid w:val="00A13CFD"/>
    <w:rsid w:val="00A14179"/>
    <w:rsid w:val="00A14C4F"/>
    <w:rsid w:val="00A16204"/>
    <w:rsid w:val="00A16F3D"/>
    <w:rsid w:val="00A179D1"/>
    <w:rsid w:val="00A17A5F"/>
    <w:rsid w:val="00A17E9E"/>
    <w:rsid w:val="00A2002E"/>
    <w:rsid w:val="00A222C2"/>
    <w:rsid w:val="00A22BE8"/>
    <w:rsid w:val="00A22D62"/>
    <w:rsid w:val="00A24AF8"/>
    <w:rsid w:val="00A25FEC"/>
    <w:rsid w:val="00A269E1"/>
    <w:rsid w:val="00A27D9F"/>
    <w:rsid w:val="00A27F0D"/>
    <w:rsid w:val="00A27F6E"/>
    <w:rsid w:val="00A30A6F"/>
    <w:rsid w:val="00A31E09"/>
    <w:rsid w:val="00A3230A"/>
    <w:rsid w:val="00A32362"/>
    <w:rsid w:val="00A32CAC"/>
    <w:rsid w:val="00A32D0F"/>
    <w:rsid w:val="00A35324"/>
    <w:rsid w:val="00A35C82"/>
    <w:rsid w:val="00A35D87"/>
    <w:rsid w:val="00A3659D"/>
    <w:rsid w:val="00A36B66"/>
    <w:rsid w:val="00A37564"/>
    <w:rsid w:val="00A3758C"/>
    <w:rsid w:val="00A37618"/>
    <w:rsid w:val="00A37619"/>
    <w:rsid w:val="00A400C3"/>
    <w:rsid w:val="00A40409"/>
    <w:rsid w:val="00A40603"/>
    <w:rsid w:val="00A41F37"/>
    <w:rsid w:val="00A41F7E"/>
    <w:rsid w:val="00A42C00"/>
    <w:rsid w:val="00A4318E"/>
    <w:rsid w:val="00A4319C"/>
    <w:rsid w:val="00A4411B"/>
    <w:rsid w:val="00A45950"/>
    <w:rsid w:val="00A45A00"/>
    <w:rsid w:val="00A45DD2"/>
    <w:rsid w:val="00A46477"/>
    <w:rsid w:val="00A46E65"/>
    <w:rsid w:val="00A478C5"/>
    <w:rsid w:val="00A47B9E"/>
    <w:rsid w:val="00A47C17"/>
    <w:rsid w:val="00A50360"/>
    <w:rsid w:val="00A526D8"/>
    <w:rsid w:val="00A52F2B"/>
    <w:rsid w:val="00A539F3"/>
    <w:rsid w:val="00A53CCF"/>
    <w:rsid w:val="00A546D9"/>
    <w:rsid w:val="00A54A9A"/>
    <w:rsid w:val="00A54C45"/>
    <w:rsid w:val="00A5607D"/>
    <w:rsid w:val="00A564E3"/>
    <w:rsid w:val="00A56907"/>
    <w:rsid w:val="00A56A85"/>
    <w:rsid w:val="00A56E9E"/>
    <w:rsid w:val="00A61261"/>
    <w:rsid w:val="00A61927"/>
    <w:rsid w:val="00A62951"/>
    <w:rsid w:val="00A62ED5"/>
    <w:rsid w:val="00A63763"/>
    <w:rsid w:val="00A63993"/>
    <w:rsid w:val="00A6485D"/>
    <w:rsid w:val="00A6492C"/>
    <w:rsid w:val="00A6500A"/>
    <w:rsid w:val="00A654E3"/>
    <w:rsid w:val="00A65603"/>
    <w:rsid w:val="00A659B7"/>
    <w:rsid w:val="00A70189"/>
    <w:rsid w:val="00A70D82"/>
    <w:rsid w:val="00A717B9"/>
    <w:rsid w:val="00A7225A"/>
    <w:rsid w:val="00A7346F"/>
    <w:rsid w:val="00A73AFC"/>
    <w:rsid w:val="00A742A0"/>
    <w:rsid w:val="00A74FB0"/>
    <w:rsid w:val="00A75025"/>
    <w:rsid w:val="00A75BCE"/>
    <w:rsid w:val="00A75E67"/>
    <w:rsid w:val="00A760CB"/>
    <w:rsid w:val="00A765B8"/>
    <w:rsid w:val="00A76833"/>
    <w:rsid w:val="00A76BD3"/>
    <w:rsid w:val="00A80F7F"/>
    <w:rsid w:val="00A81A0B"/>
    <w:rsid w:val="00A83237"/>
    <w:rsid w:val="00A83AE6"/>
    <w:rsid w:val="00A84773"/>
    <w:rsid w:val="00A84D86"/>
    <w:rsid w:val="00A852C2"/>
    <w:rsid w:val="00A8595A"/>
    <w:rsid w:val="00A86974"/>
    <w:rsid w:val="00A86C4C"/>
    <w:rsid w:val="00A86E9F"/>
    <w:rsid w:val="00A87A40"/>
    <w:rsid w:val="00A926E2"/>
    <w:rsid w:val="00A93CDB"/>
    <w:rsid w:val="00A9569D"/>
    <w:rsid w:val="00A95785"/>
    <w:rsid w:val="00A9649B"/>
    <w:rsid w:val="00A972DF"/>
    <w:rsid w:val="00A97D81"/>
    <w:rsid w:val="00AA01B3"/>
    <w:rsid w:val="00AA0883"/>
    <w:rsid w:val="00AA0E4D"/>
    <w:rsid w:val="00AA189B"/>
    <w:rsid w:val="00AA2ECF"/>
    <w:rsid w:val="00AA31C6"/>
    <w:rsid w:val="00AA3457"/>
    <w:rsid w:val="00AA373D"/>
    <w:rsid w:val="00AA37D0"/>
    <w:rsid w:val="00AA3C9D"/>
    <w:rsid w:val="00AA3CBD"/>
    <w:rsid w:val="00AA3E2A"/>
    <w:rsid w:val="00AA4215"/>
    <w:rsid w:val="00AA509F"/>
    <w:rsid w:val="00AA5384"/>
    <w:rsid w:val="00AA5D68"/>
    <w:rsid w:val="00AA6518"/>
    <w:rsid w:val="00AA6767"/>
    <w:rsid w:val="00AA6ECB"/>
    <w:rsid w:val="00AB08D5"/>
    <w:rsid w:val="00AB0F62"/>
    <w:rsid w:val="00AB1843"/>
    <w:rsid w:val="00AB252D"/>
    <w:rsid w:val="00AB2962"/>
    <w:rsid w:val="00AB3479"/>
    <w:rsid w:val="00AB4697"/>
    <w:rsid w:val="00AB4993"/>
    <w:rsid w:val="00AB506D"/>
    <w:rsid w:val="00AB5762"/>
    <w:rsid w:val="00AB60D9"/>
    <w:rsid w:val="00AB6437"/>
    <w:rsid w:val="00AB722A"/>
    <w:rsid w:val="00AC2830"/>
    <w:rsid w:val="00AC40C5"/>
    <w:rsid w:val="00AC52B6"/>
    <w:rsid w:val="00AC5559"/>
    <w:rsid w:val="00AC59E0"/>
    <w:rsid w:val="00AC7FD5"/>
    <w:rsid w:val="00AD0731"/>
    <w:rsid w:val="00AD09E0"/>
    <w:rsid w:val="00AD0D2E"/>
    <w:rsid w:val="00AD22DD"/>
    <w:rsid w:val="00AD283B"/>
    <w:rsid w:val="00AD2FFC"/>
    <w:rsid w:val="00AD3759"/>
    <w:rsid w:val="00AD4601"/>
    <w:rsid w:val="00AD65AE"/>
    <w:rsid w:val="00AD69DD"/>
    <w:rsid w:val="00AD7895"/>
    <w:rsid w:val="00AE061D"/>
    <w:rsid w:val="00AE074D"/>
    <w:rsid w:val="00AE09CB"/>
    <w:rsid w:val="00AE12D2"/>
    <w:rsid w:val="00AE13FB"/>
    <w:rsid w:val="00AE1918"/>
    <w:rsid w:val="00AE203F"/>
    <w:rsid w:val="00AE2746"/>
    <w:rsid w:val="00AE27E0"/>
    <w:rsid w:val="00AE36E0"/>
    <w:rsid w:val="00AE3943"/>
    <w:rsid w:val="00AE39F9"/>
    <w:rsid w:val="00AE4214"/>
    <w:rsid w:val="00AE478B"/>
    <w:rsid w:val="00AE482A"/>
    <w:rsid w:val="00AE4D27"/>
    <w:rsid w:val="00AE5BD1"/>
    <w:rsid w:val="00AE6B4C"/>
    <w:rsid w:val="00AE7C28"/>
    <w:rsid w:val="00AF0170"/>
    <w:rsid w:val="00AF0638"/>
    <w:rsid w:val="00AF196E"/>
    <w:rsid w:val="00AF1981"/>
    <w:rsid w:val="00AF2DEB"/>
    <w:rsid w:val="00AF3724"/>
    <w:rsid w:val="00AF37C5"/>
    <w:rsid w:val="00AF44ED"/>
    <w:rsid w:val="00AF4D54"/>
    <w:rsid w:val="00AF4F7F"/>
    <w:rsid w:val="00AF5A04"/>
    <w:rsid w:val="00AF5AB9"/>
    <w:rsid w:val="00AF5D08"/>
    <w:rsid w:val="00AF71C8"/>
    <w:rsid w:val="00AF794E"/>
    <w:rsid w:val="00B02820"/>
    <w:rsid w:val="00B02A52"/>
    <w:rsid w:val="00B03663"/>
    <w:rsid w:val="00B045A1"/>
    <w:rsid w:val="00B04758"/>
    <w:rsid w:val="00B047B1"/>
    <w:rsid w:val="00B0493C"/>
    <w:rsid w:val="00B04C74"/>
    <w:rsid w:val="00B05A6B"/>
    <w:rsid w:val="00B05C6B"/>
    <w:rsid w:val="00B0794B"/>
    <w:rsid w:val="00B07B2C"/>
    <w:rsid w:val="00B07CB2"/>
    <w:rsid w:val="00B103F9"/>
    <w:rsid w:val="00B117C3"/>
    <w:rsid w:val="00B132E9"/>
    <w:rsid w:val="00B13AD0"/>
    <w:rsid w:val="00B14290"/>
    <w:rsid w:val="00B14DC1"/>
    <w:rsid w:val="00B15414"/>
    <w:rsid w:val="00B156BB"/>
    <w:rsid w:val="00B15998"/>
    <w:rsid w:val="00B15CE6"/>
    <w:rsid w:val="00B167CB"/>
    <w:rsid w:val="00B169B5"/>
    <w:rsid w:val="00B20132"/>
    <w:rsid w:val="00B201DD"/>
    <w:rsid w:val="00B20624"/>
    <w:rsid w:val="00B2092E"/>
    <w:rsid w:val="00B20A83"/>
    <w:rsid w:val="00B20C35"/>
    <w:rsid w:val="00B2137E"/>
    <w:rsid w:val="00B21BAE"/>
    <w:rsid w:val="00B221CC"/>
    <w:rsid w:val="00B22567"/>
    <w:rsid w:val="00B23804"/>
    <w:rsid w:val="00B23A8B"/>
    <w:rsid w:val="00B23DC3"/>
    <w:rsid w:val="00B23F43"/>
    <w:rsid w:val="00B243C5"/>
    <w:rsid w:val="00B24997"/>
    <w:rsid w:val="00B24D2C"/>
    <w:rsid w:val="00B25878"/>
    <w:rsid w:val="00B272CF"/>
    <w:rsid w:val="00B27ABC"/>
    <w:rsid w:val="00B3052A"/>
    <w:rsid w:val="00B30D3C"/>
    <w:rsid w:val="00B30DF0"/>
    <w:rsid w:val="00B30E2C"/>
    <w:rsid w:val="00B311C4"/>
    <w:rsid w:val="00B3410F"/>
    <w:rsid w:val="00B34E9D"/>
    <w:rsid w:val="00B373BF"/>
    <w:rsid w:val="00B413F6"/>
    <w:rsid w:val="00B414D1"/>
    <w:rsid w:val="00B4255F"/>
    <w:rsid w:val="00B42B2E"/>
    <w:rsid w:val="00B42B99"/>
    <w:rsid w:val="00B4466C"/>
    <w:rsid w:val="00B44823"/>
    <w:rsid w:val="00B4571D"/>
    <w:rsid w:val="00B4586D"/>
    <w:rsid w:val="00B45C74"/>
    <w:rsid w:val="00B45D82"/>
    <w:rsid w:val="00B45EE8"/>
    <w:rsid w:val="00B46506"/>
    <w:rsid w:val="00B4691A"/>
    <w:rsid w:val="00B4694C"/>
    <w:rsid w:val="00B46F47"/>
    <w:rsid w:val="00B47CFB"/>
    <w:rsid w:val="00B50E61"/>
    <w:rsid w:val="00B50E6E"/>
    <w:rsid w:val="00B518D5"/>
    <w:rsid w:val="00B5213E"/>
    <w:rsid w:val="00B52905"/>
    <w:rsid w:val="00B52F29"/>
    <w:rsid w:val="00B53A99"/>
    <w:rsid w:val="00B53F22"/>
    <w:rsid w:val="00B54067"/>
    <w:rsid w:val="00B545CB"/>
    <w:rsid w:val="00B54C74"/>
    <w:rsid w:val="00B55BD2"/>
    <w:rsid w:val="00B56188"/>
    <w:rsid w:val="00B5795A"/>
    <w:rsid w:val="00B57AA6"/>
    <w:rsid w:val="00B57F9F"/>
    <w:rsid w:val="00B60BD1"/>
    <w:rsid w:val="00B613EA"/>
    <w:rsid w:val="00B614C8"/>
    <w:rsid w:val="00B61A72"/>
    <w:rsid w:val="00B6309B"/>
    <w:rsid w:val="00B633B8"/>
    <w:rsid w:val="00B63AA3"/>
    <w:rsid w:val="00B64CCC"/>
    <w:rsid w:val="00B65BC2"/>
    <w:rsid w:val="00B675E0"/>
    <w:rsid w:val="00B70044"/>
    <w:rsid w:val="00B704F5"/>
    <w:rsid w:val="00B70508"/>
    <w:rsid w:val="00B71254"/>
    <w:rsid w:val="00B7222A"/>
    <w:rsid w:val="00B726C6"/>
    <w:rsid w:val="00B73849"/>
    <w:rsid w:val="00B73F13"/>
    <w:rsid w:val="00B747F0"/>
    <w:rsid w:val="00B74C29"/>
    <w:rsid w:val="00B74F77"/>
    <w:rsid w:val="00B75218"/>
    <w:rsid w:val="00B752BD"/>
    <w:rsid w:val="00B760C6"/>
    <w:rsid w:val="00B76368"/>
    <w:rsid w:val="00B764E0"/>
    <w:rsid w:val="00B7651C"/>
    <w:rsid w:val="00B76C74"/>
    <w:rsid w:val="00B76D01"/>
    <w:rsid w:val="00B77204"/>
    <w:rsid w:val="00B77E44"/>
    <w:rsid w:val="00B80336"/>
    <w:rsid w:val="00B80AD5"/>
    <w:rsid w:val="00B80C06"/>
    <w:rsid w:val="00B80CC1"/>
    <w:rsid w:val="00B81202"/>
    <w:rsid w:val="00B81F09"/>
    <w:rsid w:val="00B81F5D"/>
    <w:rsid w:val="00B824CF"/>
    <w:rsid w:val="00B83617"/>
    <w:rsid w:val="00B83973"/>
    <w:rsid w:val="00B83EBA"/>
    <w:rsid w:val="00B8446E"/>
    <w:rsid w:val="00B8520C"/>
    <w:rsid w:val="00B85436"/>
    <w:rsid w:val="00B856C5"/>
    <w:rsid w:val="00B85D80"/>
    <w:rsid w:val="00B86173"/>
    <w:rsid w:val="00B87773"/>
    <w:rsid w:val="00B90931"/>
    <w:rsid w:val="00B90E3B"/>
    <w:rsid w:val="00B9219E"/>
    <w:rsid w:val="00B92362"/>
    <w:rsid w:val="00B92880"/>
    <w:rsid w:val="00B929F4"/>
    <w:rsid w:val="00B932EA"/>
    <w:rsid w:val="00B938EC"/>
    <w:rsid w:val="00B9511D"/>
    <w:rsid w:val="00B9709E"/>
    <w:rsid w:val="00B97168"/>
    <w:rsid w:val="00B9753B"/>
    <w:rsid w:val="00B97A1E"/>
    <w:rsid w:val="00B97E9B"/>
    <w:rsid w:val="00BA09AE"/>
    <w:rsid w:val="00BA0BC6"/>
    <w:rsid w:val="00BA23CA"/>
    <w:rsid w:val="00BA2F65"/>
    <w:rsid w:val="00BA3437"/>
    <w:rsid w:val="00BA38C4"/>
    <w:rsid w:val="00BA3981"/>
    <w:rsid w:val="00BA3B18"/>
    <w:rsid w:val="00BA44E7"/>
    <w:rsid w:val="00BA6460"/>
    <w:rsid w:val="00BA77E4"/>
    <w:rsid w:val="00BA7D17"/>
    <w:rsid w:val="00BA7D93"/>
    <w:rsid w:val="00BB0089"/>
    <w:rsid w:val="00BB0604"/>
    <w:rsid w:val="00BB098F"/>
    <w:rsid w:val="00BB0AD5"/>
    <w:rsid w:val="00BB1354"/>
    <w:rsid w:val="00BB161D"/>
    <w:rsid w:val="00BB1663"/>
    <w:rsid w:val="00BB2C23"/>
    <w:rsid w:val="00BB2DBE"/>
    <w:rsid w:val="00BB3065"/>
    <w:rsid w:val="00BB5D01"/>
    <w:rsid w:val="00BB65DB"/>
    <w:rsid w:val="00BB6652"/>
    <w:rsid w:val="00BB6C0D"/>
    <w:rsid w:val="00BB70C9"/>
    <w:rsid w:val="00BB754F"/>
    <w:rsid w:val="00BB76F8"/>
    <w:rsid w:val="00BB7F22"/>
    <w:rsid w:val="00BC06A4"/>
    <w:rsid w:val="00BC06D3"/>
    <w:rsid w:val="00BC0A22"/>
    <w:rsid w:val="00BC12DA"/>
    <w:rsid w:val="00BC210F"/>
    <w:rsid w:val="00BC3F6D"/>
    <w:rsid w:val="00BC445D"/>
    <w:rsid w:val="00BC471A"/>
    <w:rsid w:val="00BC4823"/>
    <w:rsid w:val="00BC4EBD"/>
    <w:rsid w:val="00BC60BD"/>
    <w:rsid w:val="00BD07C0"/>
    <w:rsid w:val="00BD0EED"/>
    <w:rsid w:val="00BD1548"/>
    <w:rsid w:val="00BD1C4F"/>
    <w:rsid w:val="00BD1DB7"/>
    <w:rsid w:val="00BD1DC1"/>
    <w:rsid w:val="00BD2B89"/>
    <w:rsid w:val="00BD2BA2"/>
    <w:rsid w:val="00BD4116"/>
    <w:rsid w:val="00BD4F95"/>
    <w:rsid w:val="00BD5578"/>
    <w:rsid w:val="00BD5615"/>
    <w:rsid w:val="00BD60DD"/>
    <w:rsid w:val="00BD6169"/>
    <w:rsid w:val="00BD6BF9"/>
    <w:rsid w:val="00BD7251"/>
    <w:rsid w:val="00BD7CEB"/>
    <w:rsid w:val="00BE0487"/>
    <w:rsid w:val="00BE06FE"/>
    <w:rsid w:val="00BE1EDD"/>
    <w:rsid w:val="00BE28C6"/>
    <w:rsid w:val="00BE2915"/>
    <w:rsid w:val="00BE2AB5"/>
    <w:rsid w:val="00BE3081"/>
    <w:rsid w:val="00BE30CC"/>
    <w:rsid w:val="00BE3102"/>
    <w:rsid w:val="00BE31BB"/>
    <w:rsid w:val="00BE4583"/>
    <w:rsid w:val="00BE4E5D"/>
    <w:rsid w:val="00BE5904"/>
    <w:rsid w:val="00BE67AD"/>
    <w:rsid w:val="00BE67DA"/>
    <w:rsid w:val="00BE6E36"/>
    <w:rsid w:val="00BE7E25"/>
    <w:rsid w:val="00BF0637"/>
    <w:rsid w:val="00BF11EF"/>
    <w:rsid w:val="00BF25D9"/>
    <w:rsid w:val="00BF4D98"/>
    <w:rsid w:val="00BF583D"/>
    <w:rsid w:val="00BF7BD6"/>
    <w:rsid w:val="00BF7FFD"/>
    <w:rsid w:val="00C01033"/>
    <w:rsid w:val="00C0228E"/>
    <w:rsid w:val="00C02425"/>
    <w:rsid w:val="00C02AFB"/>
    <w:rsid w:val="00C03275"/>
    <w:rsid w:val="00C03DB0"/>
    <w:rsid w:val="00C047E0"/>
    <w:rsid w:val="00C04BC0"/>
    <w:rsid w:val="00C0619B"/>
    <w:rsid w:val="00C06AA8"/>
    <w:rsid w:val="00C06D56"/>
    <w:rsid w:val="00C06DB6"/>
    <w:rsid w:val="00C073AB"/>
    <w:rsid w:val="00C07BC6"/>
    <w:rsid w:val="00C07D10"/>
    <w:rsid w:val="00C07F05"/>
    <w:rsid w:val="00C10C40"/>
    <w:rsid w:val="00C11181"/>
    <w:rsid w:val="00C12B17"/>
    <w:rsid w:val="00C149EA"/>
    <w:rsid w:val="00C14CF1"/>
    <w:rsid w:val="00C151D8"/>
    <w:rsid w:val="00C1528C"/>
    <w:rsid w:val="00C16157"/>
    <w:rsid w:val="00C16A35"/>
    <w:rsid w:val="00C16D64"/>
    <w:rsid w:val="00C16DF5"/>
    <w:rsid w:val="00C16EFD"/>
    <w:rsid w:val="00C172BC"/>
    <w:rsid w:val="00C172CB"/>
    <w:rsid w:val="00C175E3"/>
    <w:rsid w:val="00C17E64"/>
    <w:rsid w:val="00C200A8"/>
    <w:rsid w:val="00C20305"/>
    <w:rsid w:val="00C216DC"/>
    <w:rsid w:val="00C21E05"/>
    <w:rsid w:val="00C22A7B"/>
    <w:rsid w:val="00C2368B"/>
    <w:rsid w:val="00C23A92"/>
    <w:rsid w:val="00C23C44"/>
    <w:rsid w:val="00C248FB"/>
    <w:rsid w:val="00C249D5"/>
    <w:rsid w:val="00C24ACA"/>
    <w:rsid w:val="00C24DCC"/>
    <w:rsid w:val="00C2548C"/>
    <w:rsid w:val="00C258F9"/>
    <w:rsid w:val="00C26378"/>
    <w:rsid w:val="00C26A3F"/>
    <w:rsid w:val="00C27558"/>
    <w:rsid w:val="00C276C2"/>
    <w:rsid w:val="00C27956"/>
    <w:rsid w:val="00C27D8B"/>
    <w:rsid w:val="00C317EB"/>
    <w:rsid w:val="00C31F70"/>
    <w:rsid w:val="00C31FBB"/>
    <w:rsid w:val="00C32AF5"/>
    <w:rsid w:val="00C34155"/>
    <w:rsid w:val="00C34D34"/>
    <w:rsid w:val="00C375B5"/>
    <w:rsid w:val="00C40AA1"/>
    <w:rsid w:val="00C41870"/>
    <w:rsid w:val="00C41B18"/>
    <w:rsid w:val="00C428FF"/>
    <w:rsid w:val="00C429A5"/>
    <w:rsid w:val="00C42EFB"/>
    <w:rsid w:val="00C44B34"/>
    <w:rsid w:val="00C44C8A"/>
    <w:rsid w:val="00C45620"/>
    <w:rsid w:val="00C456B4"/>
    <w:rsid w:val="00C4574A"/>
    <w:rsid w:val="00C463D6"/>
    <w:rsid w:val="00C46498"/>
    <w:rsid w:val="00C473E1"/>
    <w:rsid w:val="00C47510"/>
    <w:rsid w:val="00C47A02"/>
    <w:rsid w:val="00C52306"/>
    <w:rsid w:val="00C5323C"/>
    <w:rsid w:val="00C53FEB"/>
    <w:rsid w:val="00C53FFE"/>
    <w:rsid w:val="00C54322"/>
    <w:rsid w:val="00C5447B"/>
    <w:rsid w:val="00C5462A"/>
    <w:rsid w:val="00C54786"/>
    <w:rsid w:val="00C54FB6"/>
    <w:rsid w:val="00C567A3"/>
    <w:rsid w:val="00C57BF5"/>
    <w:rsid w:val="00C60CFE"/>
    <w:rsid w:val="00C61258"/>
    <w:rsid w:val="00C612CD"/>
    <w:rsid w:val="00C61DCF"/>
    <w:rsid w:val="00C620BC"/>
    <w:rsid w:val="00C622A0"/>
    <w:rsid w:val="00C62AD1"/>
    <w:rsid w:val="00C6325A"/>
    <w:rsid w:val="00C63B6B"/>
    <w:rsid w:val="00C65C54"/>
    <w:rsid w:val="00C67C65"/>
    <w:rsid w:val="00C70D48"/>
    <w:rsid w:val="00C72A84"/>
    <w:rsid w:val="00C72AFC"/>
    <w:rsid w:val="00C73799"/>
    <w:rsid w:val="00C73E55"/>
    <w:rsid w:val="00C74017"/>
    <w:rsid w:val="00C76178"/>
    <w:rsid w:val="00C76813"/>
    <w:rsid w:val="00C77314"/>
    <w:rsid w:val="00C77355"/>
    <w:rsid w:val="00C77DEF"/>
    <w:rsid w:val="00C8038D"/>
    <w:rsid w:val="00C80CE6"/>
    <w:rsid w:val="00C80E23"/>
    <w:rsid w:val="00C80E26"/>
    <w:rsid w:val="00C8183C"/>
    <w:rsid w:val="00C8230A"/>
    <w:rsid w:val="00C829B6"/>
    <w:rsid w:val="00C82E61"/>
    <w:rsid w:val="00C83616"/>
    <w:rsid w:val="00C847AC"/>
    <w:rsid w:val="00C84C2F"/>
    <w:rsid w:val="00C858F6"/>
    <w:rsid w:val="00C85C42"/>
    <w:rsid w:val="00C86EE0"/>
    <w:rsid w:val="00C87787"/>
    <w:rsid w:val="00C87BF4"/>
    <w:rsid w:val="00C87FF6"/>
    <w:rsid w:val="00C906ED"/>
    <w:rsid w:val="00C9077B"/>
    <w:rsid w:val="00C90D62"/>
    <w:rsid w:val="00C90D78"/>
    <w:rsid w:val="00C90D7F"/>
    <w:rsid w:val="00C91172"/>
    <w:rsid w:val="00C913CA"/>
    <w:rsid w:val="00C9159F"/>
    <w:rsid w:val="00C92ADD"/>
    <w:rsid w:val="00C93209"/>
    <w:rsid w:val="00C9347D"/>
    <w:rsid w:val="00C93644"/>
    <w:rsid w:val="00C946E6"/>
    <w:rsid w:val="00C94CF7"/>
    <w:rsid w:val="00C95318"/>
    <w:rsid w:val="00C95513"/>
    <w:rsid w:val="00C9606B"/>
    <w:rsid w:val="00C96ABC"/>
    <w:rsid w:val="00C97696"/>
    <w:rsid w:val="00C97AB2"/>
    <w:rsid w:val="00C97E19"/>
    <w:rsid w:val="00CA0556"/>
    <w:rsid w:val="00CA0C1A"/>
    <w:rsid w:val="00CA11DC"/>
    <w:rsid w:val="00CA169E"/>
    <w:rsid w:val="00CA1963"/>
    <w:rsid w:val="00CA1A27"/>
    <w:rsid w:val="00CA2563"/>
    <w:rsid w:val="00CA2793"/>
    <w:rsid w:val="00CA27A5"/>
    <w:rsid w:val="00CA288D"/>
    <w:rsid w:val="00CA2A0D"/>
    <w:rsid w:val="00CA45AB"/>
    <w:rsid w:val="00CA56DB"/>
    <w:rsid w:val="00CA68A8"/>
    <w:rsid w:val="00CA68D2"/>
    <w:rsid w:val="00CA7F05"/>
    <w:rsid w:val="00CB1342"/>
    <w:rsid w:val="00CB1D80"/>
    <w:rsid w:val="00CB1E2B"/>
    <w:rsid w:val="00CB24FE"/>
    <w:rsid w:val="00CB2519"/>
    <w:rsid w:val="00CB3AC3"/>
    <w:rsid w:val="00CB3E71"/>
    <w:rsid w:val="00CB3FB5"/>
    <w:rsid w:val="00CB4E92"/>
    <w:rsid w:val="00CB526A"/>
    <w:rsid w:val="00CB5395"/>
    <w:rsid w:val="00CB651E"/>
    <w:rsid w:val="00CB6A21"/>
    <w:rsid w:val="00CB6E96"/>
    <w:rsid w:val="00CC032A"/>
    <w:rsid w:val="00CC1BB8"/>
    <w:rsid w:val="00CC1C79"/>
    <w:rsid w:val="00CC3115"/>
    <w:rsid w:val="00CC3886"/>
    <w:rsid w:val="00CC6208"/>
    <w:rsid w:val="00CC6500"/>
    <w:rsid w:val="00CC650B"/>
    <w:rsid w:val="00CC6D6C"/>
    <w:rsid w:val="00CC6DAA"/>
    <w:rsid w:val="00CC73C7"/>
    <w:rsid w:val="00CD164C"/>
    <w:rsid w:val="00CD192D"/>
    <w:rsid w:val="00CD1958"/>
    <w:rsid w:val="00CD1BC1"/>
    <w:rsid w:val="00CD27AF"/>
    <w:rsid w:val="00CD4DFA"/>
    <w:rsid w:val="00CD5083"/>
    <w:rsid w:val="00CD51C9"/>
    <w:rsid w:val="00CD58B7"/>
    <w:rsid w:val="00CD5B1D"/>
    <w:rsid w:val="00CD5B85"/>
    <w:rsid w:val="00CD5B9B"/>
    <w:rsid w:val="00CD63EC"/>
    <w:rsid w:val="00CD7993"/>
    <w:rsid w:val="00CD7A8A"/>
    <w:rsid w:val="00CE0231"/>
    <w:rsid w:val="00CE0C07"/>
    <w:rsid w:val="00CE0DEC"/>
    <w:rsid w:val="00CE0FA3"/>
    <w:rsid w:val="00CE14DB"/>
    <w:rsid w:val="00CE3025"/>
    <w:rsid w:val="00CE31F4"/>
    <w:rsid w:val="00CE3936"/>
    <w:rsid w:val="00CE3CCA"/>
    <w:rsid w:val="00CE41AF"/>
    <w:rsid w:val="00CE4B21"/>
    <w:rsid w:val="00CE6A51"/>
    <w:rsid w:val="00CE6C89"/>
    <w:rsid w:val="00CE72E2"/>
    <w:rsid w:val="00CE76D4"/>
    <w:rsid w:val="00CE7A61"/>
    <w:rsid w:val="00CE7FFE"/>
    <w:rsid w:val="00CF021B"/>
    <w:rsid w:val="00CF169E"/>
    <w:rsid w:val="00CF2A19"/>
    <w:rsid w:val="00CF34CF"/>
    <w:rsid w:val="00CF34E3"/>
    <w:rsid w:val="00CF3B3D"/>
    <w:rsid w:val="00CF4107"/>
    <w:rsid w:val="00CF41BE"/>
    <w:rsid w:val="00CF44CB"/>
    <w:rsid w:val="00CF468B"/>
    <w:rsid w:val="00CF48D1"/>
    <w:rsid w:val="00CF539D"/>
    <w:rsid w:val="00CF5CF0"/>
    <w:rsid w:val="00CF61C6"/>
    <w:rsid w:val="00CF7694"/>
    <w:rsid w:val="00CF7969"/>
    <w:rsid w:val="00CF7E41"/>
    <w:rsid w:val="00D0097B"/>
    <w:rsid w:val="00D00E39"/>
    <w:rsid w:val="00D014BE"/>
    <w:rsid w:val="00D02264"/>
    <w:rsid w:val="00D023A8"/>
    <w:rsid w:val="00D0279A"/>
    <w:rsid w:val="00D0288E"/>
    <w:rsid w:val="00D0317F"/>
    <w:rsid w:val="00D0351A"/>
    <w:rsid w:val="00D035E6"/>
    <w:rsid w:val="00D03635"/>
    <w:rsid w:val="00D03A46"/>
    <w:rsid w:val="00D03F18"/>
    <w:rsid w:val="00D05B6A"/>
    <w:rsid w:val="00D06468"/>
    <w:rsid w:val="00D06C02"/>
    <w:rsid w:val="00D06D6D"/>
    <w:rsid w:val="00D076A3"/>
    <w:rsid w:val="00D07CCB"/>
    <w:rsid w:val="00D07F65"/>
    <w:rsid w:val="00D10990"/>
    <w:rsid w:val="00D11171"/>
    <w:rsid w:val="00D1151E"/>
    <w:rsid w:val="00D11FCC"/>
    <w:rsid w:val="00D125A3"/>
    <w:rsid w:val="00D12F3F"/>
    <w:rsid w:val="00D138AD"/>
    <w:rsid w:val="00D13A55"/>
    <w:rsid w:val="00D147B7"/>
    <w:rsid w:val="00D155A5"/>
    <w:rsid w:val="00D1682F"/>
    <w:rsid w:val="00D17B75"/>
    <w:rsid w:val="00D204F1"/>
    <w:rsid w:val="00D21356"/>
    <w:rsid w:val="00D216B7"/>
    <w:rsid w:val="00D22661"/>
    <w:rsid w:val="00D23837"/>
    <w:rsid w:val="00D23E77"/>
    <w:rsid w:val="00D24711"/>
    <w:rsid w:val="00D25285"/>
    <w:rsid w:val="00D252C7"/>
    <w:rsid w:val="00D25B5B"/>
    <w:rsid w:val="00D25F3C"/>
    <w:rsid w:val="00D26429"/>
    <w:rsid w:val="00D267D3"/>
    <w:rsid w:val="00D26C86"/>
    <w:rsid w:val="00D27313"/>
    <w:rsid w:val="00D302AF"/>
    <w:rsid w:val="00D30B5D"/>
    <w:rsid w:val="00D31352"/>
    <w:rsid w:val="00D330CC"/>
    <w:rsid w:val="00D3336C"/>
    <w:rsid w:val="00D344B3"/>
    <w:rsid w:val="00D35217"/>
    <w:rsid w:val="00D35CBD"/>
    <w:rsid w:val="00D3637A"/>
    <w:rsid w:val="00D36745"/>
    <w:rsid w:val="00D37395"/>
    <w:rsid w:val="00D4129E"/>
    <w:rsid w:val="00D41F21"/>
    <w:rsid w:val="00D4238D"/>
    <w:rsid w:val="00D44070"/>
    <w:rsid w:val="00D4458E"/>
    <w:rsid w:val="00D4487D"/>
    <w:rsid w:val="00D45032"/>
    <w:rsid w:val="00D45F72"/>
    <w:rsid w:val="00D46294"/>
    <w:rsid w:val="00D4667D"/>
    <w:rsid w:val="00D4691A"/>
    <w:rsid w:val="00D46CF5"/>
    <w:rsid w:val="00D46EAC"/>
    <w:rsid w:val="00D46ECF"/>
    <w:rsid w:val="00D473C1"/>
    <w:rsid w:val="00D4744A"/>
    <w:rsid w:val="00D4764A"/>
    <w:rsid w:val="00D476F1"/>
    <w:rsid w:val="00D47BD1"/>
    <w:rsid w:val="00D5075D"/>
    <w:rsid w:val="00D50777"/>
    <w:rsid w:val="00D50896"/>
    <w:rsid w:val="00D50B44"/>
    <w:rsid w:val="00D51DAE"/>
    <w:rsid w:val="00D53D3A"/>
    <w:rsid w:val="00D53DF9"/>
    <w:rsid w:val="00D5498B"/>
    <w:rsid w:val="00D54A55"/>
    <w:rsid w:val="00D550CD"/>
    <w:rsid w:val="00D553B7"/>
    <w:rsid w:val="00D55895"/>
    <w:rsid w:val="00D55A7D"/>
    <w:rsid w:val="00D55ACF"/>
    <w:rsid w:val="00D55E6D"/>
    <w:rsid w:val="00D601CB"/>
    <w:rsid w:val="00D607F9"/>
    <w:rsid w:val="00D60C1A"/>
    <w:rsid w:val="00D61214"/>
    <w:rsid w:val="00D615F7"/>
    <w:rsid w:val="00D61734"/>
    <w:rsid w:val="00D61C66"/>
    <w:rsid w:val="00D629DA"/>
    <w:rsid w:val="00D63ECB"/>
    <w:rsid w:val="00D6481F"/>
    <w:rsid w:val="00D64FC0"/>
    <w:rsid w:val="00D6538A"/>
    <w:rsid w:val="00D6634B"/>
    <w:rsid w:val="00D66C20"/>
    <w:rsid w:val="00D6781A"/>
    <w:rsid w:val="00D67B75"/>
    <w:rsid w:val="00D67BDC"/>
    <w:rsid w:val="00D67F11"/>
    <w:rsid w:val="00D67FD9"/>
    <w:rsid w:val="00D7007C"/>
    <w:rsid w:val="00D70E45"/>
    <w:rsid w:val="00D71B35"/>
    <w:rsid w:val="00D7294C"/>
    <w:rsid w:val="00D72B6A"/>
    <w:rsid w:val="00D730CF"/>
    <w:rsid w:val="00D73362"/>
    <w:rsid w:val="00D73AFB"/>
    <w:rsid w:val="00D73CD3"/>
    <w:rsid w:val="00D74257"/>
    <w:rsid w:val="00D7475F"/>
    <w:rsid w:val="00D749FD"/>
    <w:rsid w:val="00D74B87"/>
    <w:rsid w:val="00D757BF"/>
    <w:rsid w:val="00D75BC3"/>
    <w:rsid w:val="00D76244"/>
    <w:rsid w:val="00D77991"/>
    <w:rsid w:val="00D77A19"/>
    <w:rsid w:val="00D77C57"/>
    <w:rsid w:val="00D805DB"/>
    <w:rsid w:val="00D809C8"/>
    <w:rsid w:val="00D80B64"/>
    <w:rsid w:val="00D8115A"/>
    <w:rsid w:val="00D820FB"/>
    <w:rsid w:val="00D83B20"/>
    <w:rsid w:val="00D83F5C"/>
    <w:rsid w:val="00D84B2A"/>
    <w:rsid w:val="00D858FC"/>
    <w:rsid w:val="00D862DC"/>
    <w:rsid w:val="00D86ADE"/>
    <w:rsid w:val="00D8781C"/>
    <w:rsid w:val="00D87A39"/>
    <w:rsid w:val="00D9014B"/>
    <w:rsid w:val="00D9139F"/>
    <w:rsid w:val="00D91CB4"/>
    <w:rsid w:val="00D92754"/>
    <w:rsid w:val="00D92815"/>
    <w:rsid w:val="00D92CA9"/>
    <w:rsid w:val="00D92F13"/>
    <w:rsid w:val="00D946C4"/>
    <w:rsid w:val="00D94A15"/>
    <w:rsid w:val="00D95C31"/>
    <w:rsid w:val="00D95C6C"/>
    <w:rsid w:val="00D95D54"/>
    <w:rsid w:val="00D9787C"/>
    <w:rsid w:val="00D97EBE"/>
    <w:rsid w:val="00D97F9E"/>
    <w:rsid w:val="00DA00A7"/>
    <w:rsid w:val="00DA2C1F"/>
    <w:rsid w:val="00DA3490"/>
    <w:rsid w:val="00DA48A9"/>
    <w:rsid w:val="00DA61F8"/>
    <w:rsid w:val="00DA6F6D"/>
    <w:rsid w:val="00DA759E"/>
    <w:rsid w:val="00DB04EC"/>
    <w:rsid w:val="00DB0831"/>
    <w:rsid w:val="00DB13A3"/>
    <w:rsid w:val="00DB194E"/>
    <w:rsid w:val="00DB2500"/>
    <w:rsid w:val="00DB2971"/>
    <w:rsid w:val="00DB2A7E"/>
    <w:rsid w:val="00DB3680"/>
    <w:rsid w:val="00DB45B7"/>
    <w:rsid w:val="00DB494A"/>
    <w:rsid w:val="00DB4F5D"/>
    <w:rsid w:val="00DB53D0"/>
    <w:rsid w:val="00DB67F1"/>
    <w:rsid w:val="00DB6DF2"/>
    <w:rsid w:val="00DB6E47"/>
    <w:rsid w:val="00DB6FC9"/>
    <w:rsid w:val="00DB75F5"/>
    <w:rsid w:val="00DC0657"/>
    <w:rsid w:val="00DC0854"/>
    <w:rsid w:val="00DC1539"/>
    <w:rsid w:val="00DC16D3"/>
    <w:rsid w:val="00DC225A"/>
    <w:rsid w:val="00DC286A"/>
    <w:rsid w:val="00DC2E9B"/>
    <w:rsid w:val="00DC364D"/>
    <w:rsid w:val="00DC465B"/>
    <w:rsid w:val="00DC48DD"/>
    <w:rsid w:val="00DC5406"/>
    <w:rsid w:val="00DC664A"/>
    <w:rsid w:val="00DC76DA"/>
    <w:rsid w:val="00DC7870"/>
    <w:rsid w:val="00DC7B50"/>
    <w:rsid w:val="00DD03C5"/>
    <w:rsid w:val="00DD16F4"/>
    <w:rsid w:val="00DD1E3A"/>
    <w:rsid w:val="00DD1EA0"/>
    <w:rsid w:val="00DD3D1A"/>
    <w:rsid w:val="00DD4808"/>
    <w:rsid w:val="00DD4818"/>
    <w:rsid w:val="00DD4B90"/>
    <w:rsid w:val="00DD54CC"/>
    <w:rsid w:val="00DD59CA"/>
    <w:rsid w:val="00DD5BCB"/>
    <w:rsid w:val="00DD695A"/>
    <w:rsid w:val="00DD6D74"/>
    <w:rsid w:val="00DD708D"/>
    <w:rsid w:val="00DD7D33"/>
    <w:rsid w:val="00DE0CD3"/>
    <w:rsid w:val="00DE1847"/>
    <w:rsid w:val="00DE27F6"/>
    <w:rsid w:val="00DE2A3E"/>
    <w:rsid w:val="00DE3409"/>
    <w:rsid w:val="00DE3AE5"/>
    <w:rsid w:val="00DE41B0"/>
    <w:rsid w:val="00DE4B1E"/>
    <w:rsid w:val="00DE4F97"/>
    <w:rsid w:val="00DE5AA1"/>
    <w:rsid w:val="00DE6295"/>
    <w:rsid w:val="00DE645E"/>
    <w:rsid w:val="00DE6C24"/>
    <w:rsid w:val="00DE76F6"/>
    <w:rsid w:val="00DE7A06"/>
    <w:rsid w:val="00DF016A"/>
    <w:rsid w:val="00DF0197"/>
    <w:rsid w:val="00DF2FB8"/>
    <w:rsid w:val="00DF3368"/>
    <w:rsid w:val="00DF3A09"/>
    <w:rsid w:val="00DF3E53"/>
    <w:rsid w:val="00DF43B1"/>
    <w:rsid w:val="00DF4EC2"/>
    <w:rsid w:val="00DF4EE4"/>
    <w:rsid w:val="00DF5908"/>
    <w:rsid w:val="00DF63C6"/>
    <w:rsid w:val="00DF6CC9"/>
    <w:rsid w:val="00DF78B0"/>
    <w:rsid w:val="00E01075"/>
    <w:rsid w:val="00E015B2"/>
    <w:rsid w:val="00E01776"/>
    <w:rsid w:val="00E01D4B"/>
    <w:rsid w:val="00E032F9"/>
    <w:rsid w:val="00E03A9A"/>
    <w:rsid w:val="00E0556B"/>
    <w:rsid w:val="00E05659"/>
    <w:rsid w:val="00E061A7"/>
    <w:rsid w:val="00E06AF9"/>
    <w:rsid w:val="00E07420"/>
    <w:rsid w:val="00E11F07"/>
    <w:rsid w:val="00E1256B"/>
    <w:rsid w:val="00E12D76"/>
    <w:rsid w:val="00E13EA7"/>
    <w:rsid w:val="00E140DF"/>
    <w:rsid w:val="00E15386"/>
    <w:rsid w:val="00E157E7"/>
    <w:rsid w:val="00E15D9F"/>
    <w:rsid w:val="00E16806"/>
    <w:rsid w:val="00E1693E"/>
    <w:rsid w:val="00E16FDC"/>
    <w:rsid w:val="00E1767F"/>
    <w:rsid w:val="00E20627"/>
    <w:rsid w:val="00E213F4"/>
    <w:rsid w:val="00E21E4E"/>
    <w:rsid w:val="00E22B59"/>
    <w:rsid w:val="00E22D75"/>
    <w:rsid w:val="00E239A4"/>
    <w:rsid w:val="00E24CDB"/>
    <w:rsid w:val="00E25CD3"/>
    <w:rsid w:val="00E26EB6"/>
    <w:rsid w:val="00E27481"/>
    <w:rsid w:val="00E27769"/>
    <w:rsid w:val="00E27BE8"/>
    <w:rsid w:val="00E27DFA"/>
    <w:rsid w:val="00E27F45"/>
    <w:rsid w:val="00E3007D"/>
    <w:rsid w:val="00E303C4"/>
    <w:rsid w:val="00E311CF"/>
    <w:rsid w:val="00E32040"/>
    <w:rsid w:val="00E328EB"/>
    <w:rsid w:val="00E32BBE"/>
    <w:rsid w:val="00E33661"/>
    <w:rsid w:val="00E33C3F"/>
    <w:rsid w:val="00E34176"/>
    <w:rsid w:val="00E3430F"/>
    <w:rsid w:val="00E3538F"/>
    <w:rsid w:val="00E35746"/>
    <w:rsid w:val="00E3593D"/>
    <w:rsid w:val="00E36A52"/>
    <w:rsid w:val="00E36F9A"/>
    <w:rsid w:val="00E37687"/>
    <w:rsid w:val="00E37802"/>
    <w:rsid w:val="00E37DC0"/>
    <w:rsid w:val="00E40295"/>
    <w:rsid w:val="00E407BC"/>
    <w:rsid w:val="00E40980"/>
    <w:rsid w:val="00E40FB9"/>
    <w:rsid w:val="00E41A62"/>
    <w:rsid w:val="00E41F28"/>
    <w:rsid w:val="00E42CF8"/>
    <w:rsid w:val="00E43131"/>
    <w:rsid w:val="00E4394F"/>
    <w:rsid w:val="00E43E6B"/>
    <w:rsid w:val="00E46835"/>
    <w:rsid w:val="00E47EC5"/>
    <w:rsid w:val="00E521CF"/>
    <w:rsid w:val="00E526C8"/>
    <w:rsid w:val="00E53094"/>
    <w:rsid w:val="00E5321D"/>
    <w:rsid w:val="00E5386D"/>
    <w:rsid w:val="00E53D3F"/>
    <w:rsid w:val="00E53E9C"/>
    <w:rsid w:val="00E54649"/>
    <w:rsid w:val="00E54DC3"/>
    <w:rsid w:val="00E55BA5"/>
    <w:rsid w:val="00E56AD2"/>
    <w:rsid w:val="00E56FFE"/>
    <w:rsid w:val="00E57C51"/>
    <w:rsid w:val="00E57CF1"/>
    <w:rsid w:val="00E57D4F"/>
    <w:rsid w:val="00E60711"/>
    <w:rsid w:val="00E61945"/>
    <w:rsid w:val="00E61FE2"/>
    <w:rsid w:val="00E623D2"/>
    <w:rsid w:val="00E62BCE"/>
    <w:rsid w:val="00E639B9"/>
    <w:rsid w:val="00E64899"/>
    <w:rsid w:val="00E648D8"/>
    <w:rsid w:val="00E6517B"/>
    <w:rsid w:val="00E6530F"/>
    <w:rsid w:val="00E65581"/>
    <w:rsid w:val="00E65988"/>
    <w:rsid w:val="00E65CA9"/>
    <w:rsid w:val="00E66413"/>
    <w:rsid w:val="00E667AD"/>
    <w:rsid w:val="00E668D8"/>
    <w:rsid w:val="00E66D5A"/>
    <w:rsid w:val="00E675E2"/>
    <w:rsid w:val="00E70023"/>
    <w:rsid w:val="00E701AE"/>
    <w:rsid w:val="00E70E8F"/>
    <w:rsid w:val="00E71B6C"/>
    <w:rsid w:val="00E71CBC"/>
    <w:rsid w:val="00E7298E"/>
    <w:rsid w:val="00E75114"/>
    <w:rsid w:val="00E75C82"/>
    <w:rsid w:val="00E774E7"/>
    <w:rsid w:val="00E77DA3"/>
    <w:rsid w:val="00E803D0"/>
    <w:rsid w:val="00E810B9"/>
    <w:rsid w:val="00E81E97"/>
    <w:rsid w:val="00E81F36"/>
    <w:rsid w:val="00E8206B"/>
    <w:rsid w:val="00E829A9"/>
    <w:rsid w:val="00E8441D"/>
    <w:rsid w:val="00E848C2"/>
    <w:rsid w:val="00E84B18"/>
    <w:rsid w:val="00E850B8"/>
    <w:rsid w:val="00E85118"/>
    <w:rsid w:val="00E856D9"/>
    <w:rsid w:val="00E85AAD"/>
    <w:rsid w:val="00E8661E"/>
    <w:rsid w:val="00E871A0"/>
    <w:rsid w:val="00E877BA"/>
    <w:rsid w:val="00E87944"/>
    <w:rsid w:val="00E87C4A"/>
    <w:rsid w:val="00E87EF3"/>
    <w:rsid w:val="00E9013C"/>
    <w:rsid w:val="00E90AF7"/>
    <w:rsid w:val="00E91421"/>
    <w:rsid w:val="00E918A0"/>
    <w:rsid w:val="00E92B0C"/>
    <w:rsid w:val="00E92BBA"/>
    <w:rsid w:val="00E94896"/>
    <w:rsid w:val="00E949C9"/>
    <w:rsid w:val="00E94E79"/>
    <w:rsid w:val="00E95024"/>
    <w:rsid w:val="00E9518C"/>
    <w:rsid w:val="00E95B24"/>
    <w:rsid w:val="00E95B2B"/>
    <w:rsid w:val="00E966C1"/>
    <w:rsid w:val="00E96F0F"/>
    <w:rsid w:val="00E978B8"/>
    <w:rsid w:val="00E97C8F"/>
    <w:rsid w:val="00E97E3F"/>
    <w:rsid w:val="00EA0331"/>
    <w:rsid w:val="00EA2FC3"/>
    <w:rsid w:val="00EA3023"/>
    <w:rsid w:val="00EA32F5"/>
    <w:rsid w:val="00EA3FF4"/>
    <w:rsid w:val="00EA4158"/>
    <w:rsid w:val="00EA52C2"/>
    <w:rsid w:val="00EA5EDB"/>
    <w:rsid w:val="00EA5FB1"/>
    <w:rsid w:val="00EA61D1"/>
    <w:rsid w:val="00EA65C6"/>
    <w:rsid w:val="00EA6BED"/>
    <w:rsid w:val="00EA6E6D"/>
    <w:rsid w:val="00EA6E96"/>
    <w:rsid w:val="00EA6F2E"/>
    <w:rsid w:val="00EB0E3A"/>
    <w:rsid w:val="00EB1B5C"/>
    <w:rsid w:val="00EB3942"/>
    <w:rsid w:val="00EB407C"/>
    <w:rsid w:val="00EB411C"/>
    <w:rsid w:val="00EB5847"/>
    <w:rsid w:val="00EB5901"/>
    <w:rsid w:val="00EB60BF"/>
    <w:rsid w:val="00EB6749"/>
    <w:rsid w:val="00EB6C2F"/>
    <w:rsid w:val="00EB7518"/>
    <w:rsid w:val="00EB7F9F"/>
    <w:rsid w:val="00EC0146"/>
    <w:rsid w:val="00EC0229"/>
    <w:rsid w:val="00EC0AC4"/>
    <w:rsid w:val="00EC116A"/>
    <w:rsid w:val="00EC1B4A"/>
    <w:rsid w:val="00EC1D54"/>
    <w:rsid w:val="00EC26D3"/>
    <w:rsid w:val="00EC292E"/>
    <w:rsid w:val="00EC2BA6"/>
    <w:rsid w:val="00EC4707"/>
    <w:rsid w:val="00EC4E6E"/>
    <w:rsid w:val="00EC507E"/>
    <w:rsid w:val="00EC58F9"/>
    <w:rsid w:val="00EC5C0F"/>
    <w:rsid w:val="00EC5E58"/>
    <w:rsid w:val="00EC6A16"/>
    <w:rsid w:val="00EC7D81"/>
    <w:rsid w:val="00ED05D3"/>
    <w:rsid w:val="00ED0B30"/>
    <w:rsid w:val="00ED0D98"/>
    <w:rsid w:val="00ED154A"/>
    <w:rsid w:val="00ED24C6"/>
    <w:rsid w:val="00ED28FC"/>
    <w:rsid w:val="00ED2E84"/>
    <w:rsid w:val="00ED34F5"/>
    <w:rsid w:val="00ED3947"/>
    <w:rsid w:val="00ED3FC0"/>
    <w:rsid w:val="00ED46FB"/>
    <w:rsid w:val="00ED7C00"/>
    <w:rsid w:val="00EE0186"/>
    <w:rsid w:val="00EE0392"/>
    <w:rsid w:val="00EE0734"/>
    <w:rsid w:val="00EE09B3"/>
    <w:rsid w:val="00EE0A5F"/>
    <w:rsid w:val="00EE116A"/>
    <w:rsid w:val="00EE1922"/>
    <w:rsid w:val="00EE1E6C"/>
    <w:rsid w:val="00EE3CD8"/>
    <w:rsid w:val="00EE3DEE"/>
    <w:rsid w:val="00EE41C8"/>
    <w:rsid w:val="00EE46A9"/>
    <w:rsid w:val="00EE4C0E"/>
    <w:rsid w:val="00EE4D0A"/>
    <w:rsid w:val="00EE4D10"/>
    <w:rsid w:val="00EE52A5"/>
    <w:rsid w:val="00EE5727"/>
    <w:rsid w:val="00EE5F0B"/>
    <w:rsid w:val="00EE6164"/>
    <w:rsid w:val="00EE6168"/>
    <w:rsid w:val="00EE653C"/>
    <w:rsid w:val="00EE6717"/>
    <w:rsid w:val="00EE6BD0"/>
    <w:rsid w:val="00EF0175"/>
    <w:rsid w:val="00EF04D2"/>
    <w:rsid w:val="00EF0668"/>
    <w:rsid w:val="00EF0FD4"/>
    <w:rsid w:val="00EF1CBA"/>
    <w:rsid w:val="00EF1CDE"/>
    <w:rsid w:val="00EF27D4"/>
    <w:rsid w:val="00EF2DF0"/>
    <w:rsid w:val="00EF39BA"/>
    <w:rsid w:val="00EF3D6D"/>
    <w:rsid w:val="00EF4857"/>
    <w:rsid w:val="00EF4EB6"/>
    <w:rsid w:val="00EF5693"/>
    <w:rsid w:val="00EF60D0"/>
    <w:rsid w:val="00EF628E"/>
    <w:rsid w:val="00EF770D"/>
    <w:rsid w:val="00F00CFB"/>
    <w:rsid w:val="00F00D3B"/>
    <w:rsid w:val="00F00FDC"/>
    <w:rsid w:val="00F015C3"/>
    <w:rsid w:val="00F01A20"/>
    <w:rsid w:val="00F028FA"/>
    <w:rsid w:val="00F0329E"/>
    <w:rsid w:val="00F03870"/>
    <w:rsid w:val="00F03BF8"/>
    <w:rsid w:val="00F03FE5"/>
    <w:rsid w:val="00F041FD"/>
    <w:rsid w:val="00F0483F"/>
    <w:rsid w:val="00F049AD"/>
    <w:rsid w:val="00F04A88"/>
    <w:rsid w:val="00F05234"/>
    <w:rsid w:val="00F0729D"/>
    <w:rsid w:val="00F072BA"/>
    <w:rsid w:val="00F0762D"/>
    <w:rsid w:val="00F118CA"/>
    <w:rsid w:val="00F1197F"/>
    <w:rsid w:val="00F11A06"/>
    <w:rsid w:val="00F12D72"/>
    <w:rsid w:val="00F1311D"/>
    <w:rsid w:val="00F1371F"/>
    <w:rsid w:val="00F13B88"/>
    <w:rsid w:val="00F149F7"/>
    <w:rsid w:val="00F14CD1"/>
    <w:rsid w:val="00F150E8"/>
    <w:rsid w:val="00F15392"/>
    <w:rsid w:val="00F160CC"/>
    <w:rsid w:val="00F16ABD"/>
    <w:rsid w:val="00F16EA4"/>
    <w:rsid w:val="00F1704B"/>
    <w:rsid w:val="00F17AF5"/>
    <w:rsid w:val="00F17D4F"/>
    <w:rsid w:val="00F205E5"/>
    <w:rsid w:val="00F21893"/>
    <w:rsid w:val="00F21C20"/>
    <w:rsid w:val="00F21F03"/>
    <w:rsid w:val="00F2206B"/>
    <w:rsid w:val="00F23197"/>
    <w:rsid w:val="00F231B5"/>
    <w:rsid w:val="00F23742"/>
    <w:rsid w:val="00F244AE"/>
    <w:rsid w:val="00F24806"/>
    <w:rsid w:val="00F24AAC"/>
    <w:rsid w:val="00F24B31"/>
    <w:rsid w:val="00F25B57"/>
    <w:rsid w:val="00F27168"/>
    <w:rsid w:val="00F27D74"/>
    <w:rsid w:val="00F3003E"/>
    <w:rsid w:val="00F306E8"/>
    <w:rsid w:val="00F30A17"/>
    <w:rsid w:val="00F30CE2"/>
    <w:rsid w:val="00F31160"/>
    <w:rsid w:val="00F31F8C"/>
    <w:rsid w:val="00F32826"/>
    <w:rsid w:val="00F328AF"/>
    <w:rsid w:val="00F349CC"/>
    <w:rsid w:val="00F34D4D"/>
    <w:rsid w:val="00F37BE6"/>
    <w:rsid w:val="00F405F4"/>
    <w:rsid w:val="00F40E12"/>
    <w:rsid w:val="00F428B9"/>
    <w:rsid w:val="00F441B6"/>
    <w:rsid w:val="00F446A6"/>
    <w:rsid w:val="00F4490A"/>
    <w:rsid w:val="00F44B32"/>
    <w:rsid w:val="00F45FD0"/>
    <w:rsid w:val="00F4761D"/>
    <w:rsid w:val="00F4793C"/>
    <w:rsid w:val="00F502A8"/>
    <w:rsid w:val="00F504B3"/>
    <w:rsid w:val="00F5134F"/>
    <w:rsid w:val="00F5143F"/>
    <w:rsid w:val="00F51CA6"/>
    <w:rsid w:val="00F51FA0"/>
    <w:rsid w:val="00F52023"/>
    <w:rsid w:val="00F5291C"/>
    <w:rsid w:val="00F52995"/>
    <w:rsid w:val="00F52D41"/>
    <w:rsid w:val="00F52F34"/>
    <w:rsid w:val="00F537A7"/>
    <w:rsid w:val="00F53F54"/>
    <w:rsid w:val="00F54673"/>
    <w:rsid w:val="00F54F0F"/>
    <w:rsid w:val="00F55D48"/>
    <w:rsid w:val="00F57F87"/>
    <w:rsid w:val="00F57FCD"/>
    <w:rsid w:val="00F6049A"/>
    <w:rsid w:val="00F60846"/>
    <w:rsid w:val="00F6103B"/>
    <w:rsid w:val="00F61DF0"/>
    <w:rsid w:val="00F62026"/>
    <w:rsid w:val="00F620C8"/>
    <w:rsid w:val="00F626A7"/>
    <w:rsid w:val="00F62ABC"/>
    <w:rsid w:val="00F62EBB"/>
    <w:rsid w:val="00F63B49"/>
    <w:rsid w:val="00F6424C"/>
    <w:rsid w:val="00F666E0"/>
    <w:rsid w:val="00F670E4"/>
    <w:rsid w:val="00F67569"/>
    <w:rsid w:val="00F70D14"/>
    <w:rsid w:val="00F71922"/>
    <w:rsid w:val="00F71C6D"/>
    <w:rsid w:val="00F721D6"/>
    <w:rsid w:val="00F7279D"/>
    <w:rsid w:val="00F728BC"/>
    <w:rsid w:val="00F72A96"/>
    <w:rsid w:val="00F72DB4"/>
    <w:rsid w:val="00F735E4"/>
    <w:rsid w:val="00F747AF"/>
    <w:rsid w:val="00F759C4"/>
    <w:rsid w:val="00F763DF"/>
    <w:rsid w:val="00F773C9"/>
    <w:rsid w:val="00F7751A"/>
    <w:rsid w:val="00F77AC5"/>
    <w:rsid w:val="00F77AFA"/>
    <w:rsid w:val="00F77B7C"/>
    <w:rsid w:val="00F80482"/>
    <w:rsid w:val="00F80495"/>
    <w:rsid w:val="00F810F8"/>
    <w:rsid w:val="00F8126A"/>
    <w:rsid w:val="00F81634"/>
    <w:rsid w:val="00F831AA"/>
    <w:rsid w:val="00F83583"/>
    <w:rsid w:val="00F8365C"/>
    <w:rsid w:val="00F83AF1"/>
    <w:rsid w:val="00F83B3C"/>
    <w:rsid w:val="00F8452F"/>
    <w:rsid w:val="00F84869"/>
    <w:rsid w:val="00F84B39"/>
    <w:rsid w:val="00F84C94"/>
    <w:rsid w:val="00F862D5"/>
    <w:rsid w:val="00F87479"/>
    <w:rsid w:val="00F90BB7"/>
    <w:rsid w:val="00F9133B"/>
    <w:rsid w:val="00F91A2E"/>
    <w:rsid w:val="00F91A96"/>
    <w:rsid w:val="00F91DFB"/>
    <w:rsid w:val="00F91E33"/>
    <w:rsid w:val="00F927AE"/>
    <w:rsid w:val="00F92D22"/>
    <w:rsid w:val="00F93036"/>
    <w:rsid w:val="00F93FB8"/>
    <w:rsid w:val="00F95013"/>
    <w:rsid w:val="00F96238"/>
    <w:rsid w:val="00F96C8C"/>
    <w:rsid w:val="00F974CF"/>
    <w:rsid w:val="00FA07B8"/>
    <w:rsid w:val="00FA0911"/>
    <w:rsid w:val="00FA121C"/>
    <w:rsid w:val="00FA17D8"/>
    <w:rsid w:val="00FA2601"/>
    <w:rsid w:val="00FA29FF"/>
    <w:rsid w:val="00FA2DAE"/>
    <w:rsid w:val="00FA342B"/>
    <w:rsid w:val="00FA3FD8"/>
    <w:rsid w:val="00FA5D08"/>
    <w:rsid w:val="00FA6C2B"/>
    <w:rsid w:val="00FB02FE"/>
    <w:rsid w:val="00FB042A"/>
    <w:rsid w:val="00FB0BB0"/>
    <w:rsid w:val="00FB20F2"/>
    <w:rsid w:val="00FB2A1C"/>
    <w:rsid w:val="00FB2FE1"/>
    <w:rsid w:val="00FB3230"/>
    <w:rsid w:val="00FB3394"/>
    <w:rsid w:val="00FB407C"/>
    <w:rsid w:val="00FB4516"/>
    <w:rsid w:val="00FB46CE"/>
    <w:rsid w:val="00FB51B1"/>
    <w:rsid w:val="00FB56EE"/>
    <w:rsid w:val="00FB5D89"/>
    <w:rsid w:val="00FB5F50"/>
    <w:rsid w:val="00FB7135"/>
    <w:rsid w:val="00FB7225"/>
    <w:rsid w:val="00FB7A78"/>
    <w:rsid w:val="00FB7F4F"/>
    <w:rsid w:val="00FC01DA"/>
    <w:rsid w:val="00FC056D"/>
    <w:rsid w:val="00FC2C39"/>
    <w:rsid w:val="00FC30FB"/>
    <w:rsid w:val="00FC3119"/>
    <w:rsid w:val="00FC3FDF"/>
    <w:rsid w:val="00FC467A"/>
    <w:rsid w:val="00FC52A1"/>
    <w:rsid w:val="00FC6552"/>
    <w:rsid w:val="00FC6A72"/>
    <w:rsid w:val="00FC6BED"/>
    <w:rsid w:val="00FC6FE1"/>
    <w:rsid w:val="00FC78E1"/>
    <w:rsid w:val="00FC7E57"/>
    <w:rsid w:val="00FD0006"/>
    <w:rsid w:val="00FD0542"/>
    <w:rsid w:val="00FD0814"/>
    <w:rsid w:val="00FD0ACF"/>
    <w:rsid w:val="00FD0DAF"/>
    <w:rsid w:val="00FD13D0"/>
    <w:rsid w:val="00FD24F9"/>
    <w:rsid w:val="00FD393E"/>
    <w:rsid w:val="00FD41E2"/>
    <w:rsid w:val="00FD4376"/>
    <w:rsid w:val="00FD507F"/>
    <w:rsid w:val="00FD60CC"/>
    <w:rsid w:val="00FD642E"/>
    <w:rsid w:val="00FD70F5"/>
    <w:rsid w:val="00FE308A"/>
    <w:rsid w:val="00FE3FB8"/>
    <w:rsid w:val="00FE4926"/>
    <w:rsid w:val="00FE5FB8"/>
    <w:rsid w:val="00FE67F9"/>
    <w:rsid w:val="00FE6E09"/>
    <w:rsid w:val="00FF0973"/>
    <w:rsid w:val="00FF09BE"/>
    <w:rsid w:val="00FF0A77"/>
    <w:rsid w:val="00FF0F4F"/>
    <w:rsid w:val="00FF0F79"/>
    <w:rsid w:val="00FF13FE"/>
    <w:rsid w:val="00FF1499"/>
    <w:rsid w:val="00FF1BC1"/>
    <w:rsid w:val="00FF1FC3"/>
    <w:rsid w:val="00FF4272"/>
    <w:rsid w:val="00FF5842"/>
    <w:rsid w:val="00FF592F"/>
    <w:rsid w:val="00FF68BC"/>
    <w:rsid w:val="00FF6DB0"/>
    <w:rsid w:val="00FF77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AC8684"/>
  <w15:docId w15:val="{7BF842E4-812A-4D53-9968-90C09E9A4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s-CO" w:eastAsia="es-CO"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aliases w:val="Titulos secundarios"/>
    <w:basedOn w:val="Normal"/>
    <w:next w:val="Normal"/>
    <w:link w:val="Ttulo2Car"/>
    <w:uiPriority w:val="99"/>
    <w:qFormat/>
    <w:rsid w:val="00615F9A"/>
    <w:pPr>
      <w:keepNext/>
      <w:keepLines/>
      <w:spacing w:before="360" w:after="80"/>
      <w:outlineLvl w:val="1"/>
    </w:pPr>
    <w:rPr>
      <w:sz w:val="28"/>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Prrafodelista">
    <w:name w:val="List Paragraph"/>
    <w:basedOn w:val="Normal"/>
    <w:link w:val="PrrafodelistaCar"/>
    <w:uiPriority w:val="34"/>
    <w:qFormat/>
    <w:rsid w:val="00F27168"/>
    <w:pPr>
      <w:ind w:left="720"/>
      <w:contextualSpacing/>
    </w:pPr>
  </w:style>
  <w:style w:type="paragraph" w:styleId="Textodeglobo">
    <w:name w:val="Balloon Text"/>
    <w:basedOn w:val="Normal"/>
    <w:link w:val="TextodegloboCar"/>
    <w:uiPriority w:val="99"/>
    <w:semiHidden/>
    <w:unhideWhenUsed/>
    <w:rsid w:val="00F2716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7168"/>
    <w:rPr>
      <w:rFonts w:ascii="Segoe UI" w:hAnsi="Segoe UI" w:cs="Segoe UI"/>
      <w:sz w:val="18"/>
      <w:szCs w:val="18"/>
    </w:rPr>
  </w:style>
  <w:style w:type="paragraph" w:styleId="Textonotapie">
    <w:name w:val="footnote text"/>
    <w:aliases w:val="Ref. de nota al pie1,Texto de nota al pie,referencia nota al pie,Footnotes refss,Appel note de bas de page,Fago Fußnotenzeichen,Footnote number,BVI fnr,f,Ref. de nota al pie 2,4_G,16 Point,Superscript 6 Point,Footnote symbol,Footnote,Ref"/>
    <w:basedOn w:val="Normal"/>
    <w:link w:val="TextonotapieCar"/>
    <w:uiPriority w:val="99"/>
    <w:unhideWhenUsed/>
    <w:qFormat/>
    <w:rsid w:val="006C7610"/>
    <w:pPr>
      <w:spacing w:after="0" w:line="240" w:lineRule="auto"/>
    </w:pPr>
  </w:style>
  <w:style w:type="character" w:customStyle="1" w:styleId="TextonotapieCar">
    <w:name w:val="Texto nota pie Car"/>
    <w:aliases w:val="Ref. de nota al pie1 Car,Texto de nota al pie Car,referencia nota al pie Car,Footnotes refss Car,Appel note de bas de page Car,Fago Fußnotenzeichen Car,Footnote number Car,BVI fnr Car,f Car,Ref. de nota al pie 2 Car,4_G Car,Ref Car"/>
    <w:basedOn w:val="Fuentedeprrafopredeter"/>
    <w:link w:val="Textonotapie"/>
    <w:uiPriority w:val="99"/>
    <w:qFormat/>
    <w:rsid w:val="006C7610"/>
    <w:rPr>
      <w:sz w:val="20"/>
      <w:szCs w:val="20"/>
    </w:rPr>
  </w:style>
  <w:style w:type="character" w:styleId="Refdenotaalpie">
    <w:name w:val="footnote reference"/>
    <w:aliases w:val="Texto nota al pie,Pie de Página,FC,Texto de nota al pi,Pie de P_gi,Texto nota pie Car2,Footnote Text Char Char Char Char Char Car1,Footnote Text Char Char Char Char Car1"/>
    <w:basedOn w:val="Fuentedeprrafopredeter"/>
    <w:link w:val="4GChar"/>
    <w:uiPriority w:val="99"/>
    <w:unhideWhenUsed/>
    <w:qFormat/>
    <w:rsid w:val="006C7610"/>
    <w:rPr>
      <w:vertAlign w:val="superscript"/>
    </w:rPr>
  </w:style>
  <w:style w:type="paragraph" w:styleId="Encabezado">
    <w:name w:val="header"/>
    <w:basedOn w:val="Normal"/>
    <w:link w:val="EncabezadoCar"/>
    <w:uiPriority w:val="99"/>
    <w:unhideWhenUsed/>
    <w:rsid w:val="009632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3215"/>
  </w:style>
  <w:style w:type="paragraph" w:styleId="Piedepgina">
    <w:name w:val="footer"/>
    <w:basedOn w:val="Normal"/>
    <w:link w:val="PiedepginaCar"/>
    <w:uiPriority w:val="99"/>
    <w:unhideWhenUsed/>
    <w:rsid w:val="009632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3215"/>
  </w:style>
  <w:style w:type="character" w:styleId="Refdecomentario">
    <w:name w:val="annotation reference"/>
    <w:basedOn w:val="Fuentedeprrafopredeter"/>
    <w:uiPriority w:val="99"/>
    <w:semiHidden/>
    <w:unhideWhenUsed/>
    <w:rsid w:val="00E623D2"/>
    <w:rPr>
      <w:sz w:val="16"/>
      <w:szCs w:val="16"/>
    </w:rPr>
  </w:style>
  <w:style w:type="paragraph" w:styleId="Textocomentario">
    <w:name w:val="annotation text"/>
    <w:basedOn w:val="Normal"/>
    <w:link w:val="TextocomentarioCar"/>
    <w:uiPriority w:val="99"/>
    <w:unhideWhenUsed/>
    <w:rsid w:val="00E623D2"/>
    <w:pPr>
      <w:spacing w:line="240" w:lineRule="auto"/>
    </w:pPr>
  </w:style>
  <w:style w:type="character" w:customStyle="1" w:styleId="TextocomentarioCar">
    <w:name w:val="Texto comentario Car"/>
    <w:basedOn w:val="Fuentedeprrafopredeter"/>
    <w:link w:val="Textocomentario"/>
    <w:uiPriority w:val="99"/>
    <w:rsid w:val="00E623D2"/>
    <w:rPr>
      <w:sz w:val="20"/>
      <w:szCs w:val="20"/>
    </w:rPr>
  </w:style>
  <w:style w:type="paragraph" w:styleId="Asuntodelcomentario">
    <w:name w:val="annotation subject"/>
    <w:basedOn w:val="Textocomentario"/>
    <w:next w:val="Textocomentario"/>
    <w:link w:val="AsuntodelcomentarioCar"/>
    <w:uiPriority w:val="99"/>
    <w:semiHidden/>
    <w:unhideWhenUsed/>
    <w:rsid w:val="00E623D2"/>
    <w:rPr>
      <w:b/>
      <w:bCs/>
    </w:rPr>
  </w:style>
  <w:style w:type="character" w:customStyle="1" w:styleId="AsuntodelcomentarioCar">
    <w:name w:val="Asunto del comentario Car"/>
    <w:basedOn w:val="TextocomentarioCar"/>
    <w:link w:val="Asuntodelcomentario"/>
    <w:uiPriority w:val="99"/>
    <w:semiHidden/>
    <w:rsid w:val="00E623D2"/>
    <w:rPr>
      <w:b/>
      <w:bCs/>
      <w:sz w:val="20"/>
      <w:szCs w:val="20"/>
    </w:rPr>
  </w:style>
  <w:style w:type="character" w:customStyle="1" w:styleId="apple-converted-space">
    <w:name w:val="apple-converted-space"/>
    <w:basedOn w:val="Fuentedeprrafopredeter"/>
    <w:rsid w:val="009F5AFB"/>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9F5AFB"/>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vertAlign w:val="superscript"/>
    </w:rPr>
  </w:style>
  <w:style w:type="paragraph" w:customStyle="1" w:styleId="Default">
    <w:name w:val="Default"/>
    <w:rsid w:val="00C07F0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ascii="Tahoma" w:eastAsiaTheme="minorHAnsi" w:hAnsi="Tahoma" w:cs="Tahoma"/>
      <w:sz w:val="24"/>
      <w:szCs w:val="24"/>
      <w:lang w:eastAsia="en-US"/>
    </w:rPr>
  </w:style>
  <w:style w:type="character" w:styleId="Hipervnculo">
    <w:name w:val="Hyperlink"/>
    <w:basedOn w:val="Fuentedeprrafopredeter"/>
    <w:uiPriority w:val="99"/>
    <w:unhideWhenUsed/>
    <w:rsid w:val="00541A99"/>
    <w:rPr>
      <w:color w:val="0563C1" w:themeColor="hyperlink"/>
      <w:u w:val="single"/>
    </w:rPr>
  </w:style>
  <w:style w:type="table" w:styleId="Tablaconcuadrcula">
    <w:name w:val="Table Grid"/>
    <w:basedOn w:val="Tablanormal"/>
    <w:uiPriority w:val="39"/>
    <w:rsid w:val="00677A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2E6F73"/>
    <w:rPr>
      <w:color w:val="954F72" w:themeColor="followedHyperlink"/>
      <w:u w:val="single"/>
    </w:rPr>
  </w:style>
  <w:style w:type="paragraph" w:styleId="NormalWeb">
    <w:name w:val="Normal (Web)"/>
    <w:basedOn w:val="Normal"/>
    <w:uiPriority w:val="99"/>
    <w:unhideWhenUsed/>
    <w:rsid w:val="0094427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eastAsia="Times New Roman"/>
      <w:sz w:val="24"/>
      <w:szCs w:val="24"/>
    </w:rPr>
  </w:style>
  <w:style w:type="paragraph" w:customStyle="1" w:styleId="cuerpotexto">
    <w:name w:val="cuerpotexto"/>
    <w:basedOn w:val="Normal"/>
    <w:rsid w:val="0094427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eastAsia="Times New Roman"/>
      <w:sz w:val="24"/>
      <w:szCs w:val="24"/>
    </w:rPr>
  </w:style>
  <w:style w:type="paragraph" w:customStyle="1" w:styleId="Titulosprincipales">
    <w:name w:val="Titulos principales"/>
    <w:basedOn w:val="Prrafodelista"/>
    <w:link w:val="TitulosprincipalesCar"/>
    <w:qFormat/>
    <w:rsid w:val="00756B1B"/>
    <w:pPr>
      <w:numPr>
        <w:numId w:val="9"/>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right="60"/>
      <w:jc w:val="both"/>
    </w:pPr>
    <w:rPr>
      <w:rFonts w:eastAsia="Times New Roman"/>
      <w:b/>
      <w:sz w:val="28"/>
      <w:szCs w:val="28"/>
      <w:lang w:eastAsia="en-US"/>
    </w:rPr>
  </w:style>
  <w:style w:type="character" w:customStyle="1" w:styleId="Ttulo1Car">
    <w:name w:val="Título 1 Car"/>
    <w:basedOn w:val="Fuentedeprrafopredeter"/>
    <w:link w:val="Ttulo1"/>
    <w:uiPriority w:val="9"/>
    <w:rsid w:val="00756B1B"/>
    <w:rPr>
      <w:b/>
      <w:sz w:val="48"/>
      <w:szCs w:val="48"/>
    </w:rPr>
  </w:style>
  <w:style w:type="character" w:customStyle="1" w:styleId="PrrafodelistaCar">
    <w:name w:val="Párrafo de lista Car"/>
    <w:basedOn w:val="Fuentedeprrafopredeter"/>
    <w:link w:val="Prrafodelista"/>
    <w:uiPriority w:val="34"/>
    <w:rsid w:val="00756B1B"/>
  </w:style>
  <w:style w:type="character" w:customStyle="1" w:styleId="TitulosprincipalesCar">
    <w:name w:val="Titulos principales Car"/>
    <w:basedOn w:val="PrrafodelistaCar"/>
    <w:link w:val="Titulosprincipales"/>
    <w:rsid w:val="00756B1B"/>
    <w:rPr>
      <w:rFonts w:eastAsia="Times New Roman"/>
      <w:b/>
      <w:sz w:val="28"/>
      <w:szCs w:val="28"/>
      <w:shd w:val="clear" w:color="auto" w:fill="FFFFFF"/>
      <w:lang w:eastAsia="en-US"/>
    </w:rPr>
  </w:style>
  <w:style w:type="character" w:customStyle="1" w:styleId="Ttulo2Car">
    <w:name w:val="Título 2 Car"/>
    <w:aliases w:val="Titulos secundarios Car"/>
    <w:basedOn w:val="Fuentedeprrafopredeter"/>
    <w:link w:val="Ttulo2"/>
    <w:uiPriority w:val="99"/>
    <w:rsid w:val="00615F9A"/>
    <w:rPr>
      <w:sz w:val="28"/>
      <w:szCs w:val="36"/>
    </w:rPr>
  </w:style>
  <w:style w:type="character" w:styleId="nfasissutil">
    <w:name w:val="Subtle Emphasis"/>
    <w:basedOn w:val="Fuentedeprrafopredeter"/>
    <w:uiPriority w:val="19"/>
    <w:qFormat/>
    <w:rsid w:val="00756B1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9764">
      <w:bodyDiv w:val="1"/>
      <w:marLeft w:val="0"/>
      <w:marRight w:val="0"/>
      <w:marTop w:val="0"/>
      <w:marBottom w:val="0"/>
      <w:divBdr>
        <w:top w:val="none" w:sz="0" w:space="0" w:color="auto"/>
        <w:left w:val="none" w:sz="0" w:space="0" w:color="auto"/>
        <w:bottom w:val="none" w:sz="0" w:space="0" w:color="auto"/>
        <w:right w:val="none" w:sz="0" w:space="0" w:color="auto"/>
      </w:divBdr>
    </w:div>
    <w:div w:id="86536832">
      <w:bodyDiv w:val="1"/>
      <w:marLeft w:val="0"/>
      <w:marRight w:val="0"/>
      <w:marTop w:val="0"/>
      <w:marBottom w:val="0"/>
      <w:divBdr>
        <w:top w:val="none" w:sz="0" w:space="0" w:color="auto"/>
        <w:left w:val="none" w:sz="0" w:space="0" w:color="auto"/>
        <w:bottom w:val="none" w:sz="0" w:space="0" w:color="auto"/>
        <w:right w:val="none" w:sz="0" w:space="0" w:color="auto"/>
      </w:divBdr>
    </w:div>
    <w:div w:id="184952477">
      <w:bodyDiv w:val="1"/>
      <w:marLeft w:val="0"/>
      <w:marRight w:val="0"/>
      <w:marTop w:val="0"/>
      <w:marBottom w:val="0"/>
      <w:divBdr>
        <w:top w:val="none" w:sz="0" w:space="0" w:color="auto"/>
        <w:left w:val="none" w:sz="0" w:space="0" w:color="auto"/>
        <w:bottom w:val="none" w:sz="0" w:space="0" w:color="auto"/>
        <w:right w:val="none" w:sz="0" w:space="0" w:color="auto"/>
      </w:divBdr>
    </w:div>
    <w:div w:id="315036232">
      <w:bodyDiv w:val="1"/>
      <w:marLeft w:val="0"/>
      <w:marRight w:val="0"/>
      <w:marTop w:val="0"/>
      <w:marBottom w:val="0"/>
      <w:divBdr>
        <w:top w:val="none" w:sz="0" w:space="0" w:color="auto"/>
        <w:left w:val="none" w:sz="0" w:space="0" w:color="auto"/>
        <w:bottom w:val="none" w:sz="0" w:space="0" w:color="auto"/>
        <w:right w:val="none" w:sz="0" w:space="0" w:color="auto"/>
      </w:divBdr>
    </w:div>
    <w:div w:id="503786493">
      <w:bodyDiv w:val="1"/>
      <w:marLeft w:val="0"/>
      <w:marRight w:val="0"/>
      <w:marTop w:val="0"/>
      <w:marBottom w:val="0"/>
      <w:divBdr>
        <w:top w:val="none" w:sz="0" w:space="0" w:color="auto"/>
        <w:left w:val="none" w:sz="0" w:space="0" w:color="auto"/>
        <w:bottom w:val="none" w:sz="0" w:space="0" w:color="auto"/>
        <w:right w:val="none" w:sz="0" w:space="0" w:color="auto"/>
      </w:divBdr>
    </w:div>
    <w:div w:id="585042702">
      <w:bodyDiv w:val="1"/>
      <w:marLeft w:val="0"/>
      <w:marRight w:val="0"/>
      <w:marTop w:val="0"/>
      <w:marBottom w:val="0"/>
      <w:divBdr>
        <w:top w:val="none" w:sz="0" w:space="0" w:color="auto"/>
        <w:left w:val="none" w:sz="0" w:space="0" w:color="auto"/>
        <w:bottom w:val="none" w:sz="0" w:space="0" w:color="auto"/>
        <w:right w:val="none" w:sz="0" w:space="0" w:color="auto"/>
      </w:divBdr>
    </w:div>
    <w:div w:id="641620405">
      <w:bodyDiv w:val="1"/>
      <w:marLeft w:val="0"/>
      <w:marRight w:val="0"/>
      <w:marTop w:val="0"/>
      <w:marBottom w:val="0"/>
      <w:divBdr>
        <w:top w:val="none" w:sz="0" w:space="0" w:color="auto"/>
        <w:left w:val="none" w:sz="0" w:space="0" w:color="auto"/>
        <w:bottom w:val="none" w:sz="0" w:space="0" w:color="auto"/>
        <w:right w:val="none" w:sz="0" w:space="0" w:color="auto"/>
      </w:divBdr>
    </w:div>
    <w:div w:id="691036557">
      <w:bodyDiv w:val="1"/>
      <w:marLeft w:val="0"/>
      <w:marRight w:val="0"/>
      <w:marTop w:val="0"/>
      <w:marBottom w:val="0"/>
      <w:divBdr>
        <w:top w:val="none" w:sz="0" w:space="0" w:color="auto"/>
        <w:left w:val="none" w:sz="0" w:space="0" w:color="auto"/>
        <w:bottom w:val="none" w:sz="0" w:space="0" w:color="auto"/>
        <w:right w:val="none" w:sz="0" w:space="0" w:color="auto"/>
      </w:divBdr>
    </w:div>
    <w:div w:id="715812243">
      <w:bodyDiv w:val="1"/>
      <w:marLeft w:val="0"/>
      <w:marRight w:val="0"/>
      <w:marTop w:val="0"/>
      <w:marBottom w:val="0"/>
      <w:divBdr>
        <w:top w:val="none" w:sz="0" w:space="0" w:color="auto"/>
        <w:left w:val="none" w:sz="0" w:space="0" w:color="auto"/>
        <w:bottom w:val="none" w:sz="0" w:space="0" w:color="auto"/>
        <w:right w:val="none" w:sz="0" w:space="0" w:color="auto"/>
      </w:divBdr>
      <w:divsChild>
        <w:div w:id="1957322693">
          <w:marLeft w:val="547"/>
          <w:marRight w:val="0"/>
          <w:marTop w:val="0"/>
          <w:marBottom w:val="0"/>
          <w:divBdr>
            <w:top w:val="none" w:sz="0" w:space="0" w:color="auto"/>
            <w:left w:val="none" w:sz="0" w:space="0" w:color="auto"/>
            <w:bottom w:val="none" w:sz="0" w:space="0" w:color="auto"/>
            <w:right w:val="none" w:sz="0" w:space="0" w:color="auto"/>
          </w:divBdr>
        </w:div>
      </w:divsChild>
    </w:div>
    <w:div w:id="945968040">
      <w:bodyDiv w:val="1"/>
      <w:marLeft w:val="0"/>
      <w:marRight w:val="0"/>
      <w:marTop w:val="0"/>
      <w:marBottom w:val="0"/>
      <w:divBdr>
        <w:top w:val="none" w:sz="0" w:space="0" w:color="auto"/>
        <w:left w:val="none" w:sz="0" w:space="0" w:color="auto"/>
        <w:bottom w:val="none" w:sz="0" w:space="0" w:color="auto"/>
        <w:right w:val="none" w:sz="0" w:space="0" w:color="auto"/>
      </w:divBdr>
    </w:div>
    <w:div w:id="979768511">
      <w:bodyDiv w:val="1"/>
      <w:marLeft w:val="0"/>
      <w:marRight w:val="0"/>
      <w:marTop w:val="0"/>
      <w:marBottom w:val="0"/>
      <w:divBdr>
        <w:top w:val="none" w:sz="0" w:space="0" w:color="auto"/>
        <w:left w:val="none" w:sz="0" w:space="0" w:color="auto"/>
        <w:bottom w:val="none" w:sz="0" w:space="0" w:color="auto"/>
        <w:right w:val="none" w:sz="0" w:space="0" w:color="auto"/>
      </w:divBdr>
    </w:div>
    <w:div w:id="1028484097">
      <w:bodyDiv w:val="1"/>
      <w:marLeft w:val="0"/>
      <w:marRight w:val="0"/>
      <w:marTop w:val="0"/>
      <w:marBottom w:val="0"/>
      <w:divBdr>
        <w:top w:val="none" w:sz="0" w:space="0" w:color="auto"/>
        <w:left w:val="none" w:sz="0" w:space="0" w:color="auto"/>
        <w:bottom w:val="none" w:sz="0" w:space="0" w:color="auto"/>
        <w:right w:val="none" w:sz="0" w:space="0" w:color="auto"/>
      </w:divBdr>
    </w:div>
    <w:div w:id="1212768726">
      <w:bodyDiv w:val="1"/>
      <w:marLeft w:val="0"/>
      <w:marRight w:val="0"/>
      <w:marTop w:val="0"/>
      <w:marBottom w:val="0"/>
      <w:divBdr>
        <w:top w:val="none" w:sz="0" w:space="0" w:color="auto"/>
        <w:left w:val="none" w:sz="0" w:space="0" w:color="auto"/>
        <w:bottom w:val="none" w:sz="0" w:space="0" w:color="auto"/>
        <w:right w:val="none" w:sz="0" w:space="0" w:color="auto"/>
      </w:divBdr>
    </w:div>
    <w:div w:id="1320308816">
      <w:bodyDiv w:val="1"/>
      <w:marLeft w:val="0"/>
      <w:marRight w:val="0"/>
      <w:marTop w:val="0"/>
      <w:marBottom w:val="0"/>
      <w:divBdr>
        <w:top w:val="none" w:sz="0" w:space="0" w:color="auto"/>
        <w:left w:val="none" w:sz="0" w:space="0" w:color="auto"/>
        <w:bottom w:val="none" w:sz="0" w:space="0" w:color="auto"/>
        <w:right w:val="none" w:sz="0" w:space="0" w:color="auto"/>
      </w:divBdr>
    </w:div>
    <w:div w:id="1364668164">
      <w:bodyDiv w:val="1"/>
      <w:marLeft w:val="0"/>
      <w:marRight w:val="0"/>
      <w:marTop w:val="0"/>
      <w:marBottom w:val="0"/>
      <w:divBdr>
        <w:top w:val="none" w:sz="0" w:space="0" w:color="auto"/>
        <w:left w:val="none" w:sz="0" w:space="0" w:color="auto"/>
        <w:bottom w:val="none" w:sz="0" w:space="0" w:color="auto"/>
        <w:right w:val="none" w:sz="0" w:space="0" w:color="auto"/>
      </w:divBdr>
    </w:div>
    <w:div w:id="1412265844">
      <w:bodyDiv w:val="1"/>
      <w:marLeft w:val="0"/>
      <w:marRight w:val="0"/>
      <w:marTop w:val="0"/>
      <w:marBottom w:val="0"/>
      <w:divBdr>
        <w:top w:val="none" w:sz="0" w:space="0" w:color="auto"/>
        <w:left w:val="none" w:sz="0" w:space="0" w:color="auto"/>
        <w:bottom w:val="none" w:sz="0" w:space="0" w:color="auto"/>
        <w:right w:val="none" w:sz="0" w:space="0" w:color="auto"/>
      </w:divBdr>
    </w:div>
    <w:div w:id="1439131952">
      <w:bodyDiv w:val="1"/>
      <w:marLeft w:val="0"/>
      <w:marRight w:val="0"/>
      <w:marTop w:val="0"/>
      <w:marBottom w:val="0"/>
      <w:divBdr>
        <w:top w:val="none" w:sz="0" w:space="0" w:color="auto"/>
        <w:left w:val="none" w:sz="0" w:space="0" w:color="auto"/>
        <w:bottom w:val="none" w:sz="0" w:space="0" w:color="auto"/>
        <w:right w:val="none" w:sz="0" w:space="0" w:color="auto"/>
      </w:divBdr>
    </w:div>
    <w:div w:id="1490947895">
      <w:bodyDiv w:val="1"/>
      <w:marLeft w:val="0"/>
      <w:marRight w:val="0"/>
      <w:marTop w:val="0"/>
      <w:marBottom w:val="0"/>
      <w:divBdr>
        <w:top w:val="none" w:sz="0" w:space="0" w:color="auto"/>
        <w:left w:val="none" w:sz="0" w:space="0" w:color="auto"/>
        <w:bottom w:val="none" w:sz="0" w:space="0" w:color="auto"/>
        <w:right w:val="none" w:sz="0" w:space="0" w:color="auto"/>
      </w:divBdr>
    </w:div>
    <w:div w:id="1529485435">
      <w:bodyDiv w:val="1"/>
      <w:marLeft w:val="0"/>
      <w:marRight w:val="0"/>
      <w:marTop w:val="0"/>
      <w:marBottom w:val="0"/>
      <w:divBdr>
        <w:top w:val="none" w:sz="0" w:space="0" w:color="auto"/>
        <w:left w:val="none" w:sz="0" w:space="0" w:color="auto"/>
        <w:bottom w:val="none" w:sz="0" w:space="0" w:color="auto"/>
        <w:right w:val="none" w:sz="0" w:space="0" w:color="auto"/>
      </w:divBdr>
    </w:div>
    <w:div w:id="1535923349">
      <w:bodyDiv w:val="1"/>
      <w:marLeft w:val="0"/>
      <w:marRight w:val="0"/>
      <w:marTop w:val="0"/>
      <w:marBottom w:val="0"/>
      <w:divBdr>
        <w:top w:val="none" w:sz="0" w:space="0" w:color="auto"/>
        <w:left w:val="none" w:sz="0" w:space="0" w:color="auto"/>
        <w:bottom w:val="none" w:sz="0" w:space="0" w:color="auto"/>
        <w:right w:val="none" w:sz="0" w:space="0" w:color="auto"/>
      </w:divBdr>
    </w:div>
    <w:div w:id="1595165001">
      <w:bodyDiv w:val="1"/>
      <w:marLeft w:val="0"/>
      <w:marRight w:val="0"/>
      <w:marTop w:val="0"/>
      <w:marBottom w:val="0"/>
      <w:divBdr>
        <w:top w:val="none" w:sz="0" w:space="0" w:color="auto"/>
        <w:left w:val="none" w:sz="0" w:space="0" w:color="auto"/>
        <w:bottom w:val="none" w:sz="0" w:space="0" w:color="auto"/>
        <w:right w:val="none" w:sz="0" w:space="0" w:color="auto"/>
      </w:divBdr>
    </w:div>
    <w:div w:id="1700350538">
      <w:bodyDiv w:val="1"/>
      <w:marLeft w:val="0"/>
      <w:marRight w:val="0"/>
      <w:marTop w:val="0"/>
      <w:marBottom w:val="0"/>
      <w:divBdr>
        <w:top w:val="none" w:sz="0" w:space="0" w:color="auto"/>
        <w:left w:val="none" w:sz="0" w:space="0" w:color="auto"/>
        <w:bottom w:val="none" w:sz="0" w:space="0" w:color="auto"/>
        <w:right w:val="none" w:sz="0" w:space="0" w:color="auto"/>
      </w:divBdr>
    </w:div>
    <w:div w:id="1774519277">
      <w:bodyDiv w:val="1"/>
      <w:marLeft w:val="0"/>
      <w:marRight w:val="0"/>
      <w:marTop w:val="0"/>
      <w:marBottom w:val="0"/>
      <w:divBdr>
        <w:top w:val="none" w:sz="0" w:space="0" w:color="auto"/>
        <w:left w:val="none" w:sz="0" w:space="0" w:color="auto"/>
        <w:bottom w:val="none" w:sz="0" w:space="0" w:color="auto"/>
        <w:right w:val="none" w:sz="0" w:space="0" w:color="auto"/>
      </w:divBdr>
    </w:div>
    <w:div w:id="1824813760">
      <w:bodyDiv w:val="1"/>
      <w:marLeft w:val="0"/>
      <w:marRight w:val="0"/>
      <w:marTop w:val="0"/>
      <w:marBottom w:val="0"/>
      <w:divBdr>
        <w:top w:val="none" w:sz="0" w:space="0" w:color="auto"/>
        <w:left w:val="none" w:sz="0" w:space="0" w:color="auto"/>
        <w:bottom w:val="none" w:sz="0" w:space="0" w:color="auto"/>
        <w:right w:val="none" w:sz="0" w:space="0" w:color="auto"/>
      </w:divBdr>
    </w:div>
    <w:div w:id="1966425158">
      <w:bodyDiv w:val="1"/>
      <w:marLeft w:val="0"/>
      <w:marRight w:val="0"/>
      <w:marTop w:val="0"/>
      <w:marBottom w:val="0"/>
      <w:divBdr>
        <w:top w:val="none" w:sz="0" w:space="0" w:color="auto"/>
        <w:left w:val="none" w:sz="0" w:space="0" w:color="auto"/>
        <w:bottom w:val="none" w:sz="0" w:space="0" w:color="auto"/>
        <w:right w:val="none" w:sz="0" w:space="0" w:color="auto"/>
      </w:divBdr>
    </w:div>
    <w:div w:id="2022274465">
      <w:bodyDiv w:val="1"/>
      <w:marLeft w:val="0"/>
      <w:marRight w:val="0"/>
      <w:marTop w:val="0"/>
      <w:marBottom w:val="0"/>
      <w:divBdr>
        <w:top w:val="none" w:sz="0" w:space="0" w:color="auto"/>
        <w:left w:val="none" w:sz="0" w:space="0" w:color="auto"/>
        <w:bottom w:val="none" w:sz="0" w:space="0" w:color="auto"/>
        <w:right w:val="none" w:sz="0" w:space="0" w:color="auto"/>
      </w:divBdr>
    </w:div>
    <w:div w:id="2053310720">
      <w:bodyDiv w:val="1"/>
      <w:marLeft w:val="0"/>
      <w:marRight w:val="0"/>
      <w:marTop w:val="0"/>
      <w:marBottom w:val="0"/>
      <w:divBdr>
        <w:top w:val="none" w:sz="0" w:space="0" w:color="auto"/>
        <w:left w:val="none" w:sz="0" w:space="0" w:color="auto"/>
        <w:bottom w:val="none" w:sz="0" w:space="0" w:color="auto"/>
        <w:right w:val="none" w:sz="0" w:space="0" w:color="auto"/>
      </w:divBdr>
    </w:div>
    <w:div w:id="2069062354">
      <w:bodyDiv w:val="1"/>
      <w:marLeft w:val="0"/>
      <w:marRight w:val="0"/>
      <w:marTop w:val="0"/>
      <w:marBottom w:val="0"/>
      <w:divBdr>
        <w:top w:val="none" w:sz="0" w:space="0" w:color="auto"/>
        <w:left w:val="none" w:sz="0" w:space="0" w:color="auto"/>
        <w:bottom w:val="none" w:sz="0" w:space="0" w:color="auto"/>
        <w:right w:val="none" w:sz="0" w:space="0" w:color="auto"/>
      </w:divBdr>
    </w:div>
    <w:div w:id="2082214336">
      <w:bodyDiv w:val="1"/>
      <w:marLeft w:val="0"/>
      <w:marRight w:val="0"/>
      <w:marTop w:val="0"/>
      <w:marBottom w:val="0"/>
      <w:divBdr>
        <w:top w:val="none" w:sz="0" w:space="0" w:color="auto"/>
        <w:left w:val="none" w:sz="0" w:space="0" w:color="auto"/>
        <w:bottom w:val="none" w:sz="0" w:space="0" w:color="auto"/>
        <w:right w:val="none" w:sz="0" w:space="0" w:color="auto"/>
      </w:divBdr>
    </w:div>
    <w:div w:id="2140419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cbf.gov.co/sites/default/files/anexo_6._lineamiento_hogares_comunitario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99B65-91B9-4EE2-9C37-AA1A9A9FA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8922</Words>
  <Characters>49075</Characters>
  <Application>Microsoft Office Word</Application>
  <DocSecurity>4</DocSecurity>
  <Lines>408</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Fernanda Rodríguez Rodriguez</dc:creator>
  <cp:keywords/>
  <dc:description/>
  <cp:lastModifiedBy>Grupo de Relatoria</cp:lastModifiedBy>
  <cp:revision>2</cp:revision>
  <cp:lastPrinted>2019-05-07T20:04:00Z</cp:lastPrinted>
  <dcterms:created xsi:type="dcterms:W3CDTF">2019-09-26T16:36:00Z</dcterms:created>
  <dcterms:modified xsi:type="dcterms:W3CDTF">2019-09-26T16:36:00Z</dcterms:modified>
</cp:coreProperties>
</file>