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0FDF" w:rsidRPr="00DB625B" w:rsidRDefault="00B1062F" w:rsidP="00DB625B">
      <w:pPr>
        <w:spacing w:after="0" w:line="240" w:lineRule="auto"/>
        <w:ind w:right="-232"/>
        <w:rPr>
          <w:rFonts w:ascii="Times New Roman" w:eastAsia="Times New Roman" w:hAnsi="Times New Roman" w:cs="Times New Roman"/>
          <w:b/>
          <w:sz w:val="28"/>
          <w:szCs w:val="28"/>
          <w:lang w:val="es-ES_tradnl" w:eastAsia="es-ES"/>
        </w:rPr>
      </w:pPr>
      <w:bookmarkStart w:id="0" w:name="_GoBack"/>
      <w:bookmarkEnd w:id="0"/>
      <w:r w:rsidRPr="00DB625B">
        <w:rPr>
          <w:rFonts w:ascii="Times New Roman" w:eastAsia="Times New Roman" w:hAnsi="Times New Roman" w:cs="Times New Roman"/>
          <w:b/>
          <w:sz w:val="28"/>
          <w:szCs w:val="28"/>
          <w:lang w:eastAsia="es-ES"/>
        </w:rPr>
        <w:t>S</w:t>
      </w:r>
      <w:r w:rsidR="00DB625B" w:rsidRPr="00DB625B">
        <w:rPr>
          <w:rFonts w:ascii="Times New Roman" w:eastAsia="Times New Roman" w:hAnsi="Times New Roman" w:cs="Times New Roman"/>
          <w:b/>
          <w:sz w:val="28"/>
          <w:szCs w:val="28"/>
          <w:lang w:eastAsia="es-ES"/>
        </w:rPr>
        <w:t>entencia</w:t>
      </w:r>
      <w:r w:rsidRPr="00DB625B">
        <w:rPr>
          <w:rFonts w:ascii="Times New Roman" w:eastAsia="Times New Roman" w:hAnsi="Times New Roman" w:cs="Times New Roman"/>
          <w:b/>
          <w:sz w:val="28"/>
          <w:szCs w:val="28"/>
          <w:lang w:eastAsia="es-ES"/>
        </w:rPr>
        <w:t xml:space="preserve"> C-015</w:t>
      </w:r>
      <w:r w:rsidR="00DB625B">
        <w:rPr>
          <w:rFonts w:ascii="Times New Roman" w:eastAsia="Times New Roman" w:hAnsi="Times New Roman" w:cs="Times New Roman"/>
          <w:b/>
          <w:sz w:val="28"/>
          <w:szCs w:val="28"/>
          <w:lang w:eastAsia="es-ES"/>
        </w:rPr>
        <w:t>/</w:t>
      </w:r>
      <w:r w:rsidR="008E7E75" w:rsidRPr="00DB625B">
        <w:rPr>
          <w:rFonts w:ascii="Times New Roman" w:eastAsia="Times New Roman" w:hAnsi="Times New Roman" w:cs="Times New Roman"/>
          <w:b/>
          <w:sz w:val="28"/>
          <w:szCs w:val="28"/>
          <w:lang w:eastAsia="es-ES"/>
        </w:rPr>
        <w:t>20</w:t>
      </w:r>
      <w:r w:rsidR="00170FDF" w:rsidRPr="00DB625B">
        <w:rPr>
          <w:rFonts w:ascii="Times New Roman" w:eastAsia="Times New Roman" w:hAnsi="Times New Roman" w:cs="Times New Roman"/>
          <w:b/>
          <w:sz w:val="28"/>
          <w:szCs w:val="28"/>
          <w:lang w:val="es-ES_tradnl" w:eastAsia="es-ES"/>
        </w:rPr>
        <w:t xml:space="preserve"> </w:t>
      </w:r>
    </w:p>
    <w:p w:rsidR="00170FDF" w:rsidRPr="00DB625B" w:rsidRDefault="00170FDF" w:rsidP="00DB625B">
      <w:pPr>
        <w:spacing w:after="0" w:line="240" w:lineRule="auto"/>
        <w:ind w:right="-232"/>
        <w:jc w:val="center"/>
        <w:rPr>
          <w:rFonts w:ascii="Times New Roman" w:eastAsia="Times New Roman" w:hAnsi="Times New Roman" w:cs="Times New Roman"/>
          <w:b/>
          <w:sz w:val="28"/>
          <w:szCs w:val="28"/>
          <w:lang w:val="es-ES_tradnl" w:eastAsia="es-ES"/>
        </w:rPr>
      </w:pPr>
    </w:p>
    <w:p w:rsidR="00170FDF" w:rsidRPr="00DB625B" w:rsidRDefault="00170FDF" w:rsidP="00DB625B">
      <w:pPr>
        <w:spacing w:after="0" w:line="240" w:lineRule="auto"/>
        <w:ind w:right="-232"/>
        <w:jc w:val="center"/>
        <w:rPr>
          <w:rFonts w:ascii="Times New Roman" w:eastAsia="Times New Roman" w:hAnsi="Times New Roman" w:cs="Times New Roman"/>
          <w:b/>
          <w:sz w:val="28"/>
          <w:szCs w:val="28"/>
          <w:lang w:val="es-ES_tradnl" w:eastAsia="es-ES"/>
        </w:rPr>
      </w:pPr>
    </w:p>
    <w:p w:rsidR="00170FDF" w:rsidRPr="00DB625B" w:rsidRDefault="00DB625B" w:rsidP="00DB625B">
      <w:pPr>
        <w:spacing w:after="0" w:line="240" w:lineRule="auto"/>
        <w:ind w:left="3969" w:right="-232"/>
        <w:jc w:val="both"/>
        <w:rPr>
          <w:rFonts w:ascii="Times New Roman" w:eastAsia="Times New Roman" w:hAnsi="Times New Roman" w:cs="Times New Roman"/>
          <w:sz w:val="28"/>
          <w:szCs w:val="28"/>
          <w:lang w:val="es-ES_tradnl" w:eastAsia="es-ES"/>
        </w:rPr>
      </w:pPr>
      <w:r w:rsidRPr="00DB625B">
        <w:rPr>
          <w:rFonts w:ascii="Times New Roman" w:eastAsia="Times New Roman" w:hAnsi="Times New Roman" w:cs="Times New Roman"/>
          <w:sz w:val="28"/>
          <w:szCs w:val="28"/>
          <w:lang w:val="es-ES_tradnl" w:eastAsia="es-ES"/>
        </w:rPr>
        <w:t>Referencia</w:t>
      </w:r>
      <w:r w:rsidR="00170FDF" w:rsidRPr="00DB625B">
        <w:rPr>
          <w:rFonts w:ascii="Times New Roman" w:eastAsia="Times New Roman" w:hAnsi="Times New Roman" w:cs="Times New Roman"/>
          <w:sz w:val="28"/>
          <w:szCs w:val="28"/>
          <w:lang w:val="es-ES_tradnl" w:eastAsia="es-ES"/>
        </w:rPr>
        <w:t>: Expediente D-13235.</w:t>
      </w:r>
    </w:p>
    <w:p w:rsidR="00170FDF" w:rsidRPr="00DB625B" w:rsidRDefault="00170FDF" w:rsidP="00DB625B">
      <w:pPr>
        <w:spacing w:after="0" w:line="240" w:lineRule="auto"/>
        <w:ind w:left="3969" w:right="-232"/>
        <w:jc w:val="both"/>
        <w:rPr>
          <w:rFonts w:ascii="Times New Roman" w:eastAsia="Times New Roman" w:hAnsi="Times New Roman" w:cs="Times New Roman"/>
          <w:sz w:val="28"/>
          <w:szCs w:val="28"/>
          <w:lang w:val="es-ES_tradnl" w:eastAsia="es-ES"/>
        </w:rPr>
      </w:pPr>
    </w:p>
    <w:p w:rsidR="00170FDF" w:rsidRPr="00DB625B" w:rsidRDefault="00170FDF" w:rsidP="00DB625B">
      <w:pPr>
        <w:spacing w:after="0" w:line="240" w:lineRule="auto"/>
        <w:ind w:left="3969"/>
        <w:jc w:val="both"/>
        <w:rPr>
          <w:rFonts w:ascii="Times New Roman" w:eastAsia="Times New Roman" w:hAnsi="Times New Roman" w:cs="Times New Roman"/>
          <w:i/>
          <w:sz w:val="28"/>
          <w:szCs w:val="28"/>
          <w:lang w:val="es-ES_tradnl" w:eastAsia="es-ES"/>
        </w:rPr>
      </w:pPr>
      <w:r w:rsidRPr="00DB625B">
        <w:rPr>
          <w:rFonts w:ascii="Times New Roman" w:eastAsia="Times New Roman" w:hAnsi="Times New Roman" w:cs="Times New Roman"/>
          <w:sz w:val="28"/>
          <w:szCs w:val="28"/>
          <w:lang w:val="es-ES_tradnl" w:eastAsia="es-ES"/>
        </w:rPr>
        <w:t>Demanda de inconstitucionalidad contra el artículo 217 de la Ley 1952 de 2019 “</w:t>
      </w:r>
      <w:r w:rsidRPr="00DB625B">
        <w:rPr>
          <w:rFonts w:ascii="Times New Roman" w:eastAsia="Times New Roman" w:hAnsi="Times New Roman" w:cs="Times New Roman"/>
          <w:i/>
          <w:sz w:val="28"/>
          <w:szCs w:val="28"/>
          <w:lang w:val="es-ES_tradnl" w:eastAsia="es-ES"/>
        </w:rPr>
        <w:t>Por medio de la cual se expide el Código General Disciplinario, se derogan la Ley 734 de 2002 y algunas disposiciones de la Ley 1474 de 2011, relacionadas con el derecho disciplinario</w:t>
      </w:r>
      <w:r w:rsidRPr="00DB625B">
        <w:rPr>
          <w:rFonts w:ascii="Times New Roman" w:eastAsia="Times New Roman" w:hAnsi="Times New Roman" w:cs="Times New Roman"/>
          <w:sz w:val="28"/>
          <w:szCs w:val="28"/>
          <w:lang w:val="es-ES_tradnl" w:eastAsia="es-ES"/>
        </w:rPr>
        <w:t>”.</w:t>
      </w:r>
    </w:p>
    <w:p w:rsidR="00170FDF" w:rsidRPr="00DB625B" w:rsidRDefault="00170FDF" w:rsidP="00DB625B">
      <w:pPr>
        <w:spacing w:after="0" w:line="240" w:lineRule="auto"/>
        <w:ind w:left="3969" w:right="-232"/>
        <w:jc w:val="both"/>
        <w:rPr>
          <w:rFonts w:ascii="Times New Roman" w:eastAsia="Times New Roman" w:hAnsi="Times New Roman" w:cs="Times New Roman"/>
          <w:i/>
          <w:sz w:val="28"/>
          <w:szCs w:val="28"/>
          <w:lang w:val="es-ES_tradnl" w:eastAsia="es-ES"/>
        </w:rPr>
      </w:pPr>
    </w:p>
    <w:p w:rsidR="00170FDF" w:rsidRPr="00DB625B" w:rsidRDefault="00170FDF" w:rsidP="00DB625B">
      <w:pPr>
        <w:spacing w:after="0" w:line="240" w:lineRule="auto"/>
        <w:ind w:left="3969" w:right="-232"/>
        <w:jc w:val="both"/>
        <w:rPr>
          <w:rFonts w:ascii="Times New Roman" w:eastAsia="Times New Roman" w:hAnsi="Times New Roman" w:cs="Times New Roman"/>
          <w:sz w:val="28"/>
          <w:szCs w:val="28"/>
          <w:lang w:val="es-ES_tradnl" w:eastAsia="es-ES"/>
        </w:rPr>
      </w:pPr>
      <w:r w:rsidRPr="00DB625B">
        <w:rPr>
          <w:rFonts w:ascii="Times New Roman" w:eastAsia="Times New Roman" w:hAnsi="Times New Roman" w:cs="Times New Roman"/>
          <w:sz w:val="28"/>
          <w:szCs w:val="28"/>
          <w:lang w:val="es-ES_tradnl" w:eastAsia="es-ES"/>
        </w:rPr>
        <w:t>Demandantes: Martha Yohana Reyes Medina y Liliana Patricia Ruíz Urrea.</w:t>
      </w:r>
    </w:p>
    <w:p w:rsidR="00170FDF" w:rsidRPr="00DB625B" w:rsidRDefault="00170FDF" w:rsidP="00DB625B">
      <w:pPr>
        <w:spacing w:after="0" w:line="240" w:lineRule="auto"/>
        <w:ind w:left="3969" w:right="-232"/>
        <w:jc w:val="both"/>
        <w:rPr>
          <w:rFonts w:ascii="Times New Roman" w:eastAsia="Times New Roman" w:hAnsi="Times New Roman" w:cs="Times New Roman"/>
          <w:sz w:val="28"/>
          <w:szCs w:val="28"/>
          <w:lang w:val="es-ES_tradnl" w:eastAsia="es-ES"/>
        </w:rPr>
      </w:pPr>
    </w:p>
    <w:p w:rsidR="00170FDF" w:rsidRPr="00DB625B" w:rsidRDefault="00170FDF" w:rsidP="00DB625B">
      <w:pPr>
        <w:spacing w:after="0" w:line="240" w:lineRule="auto"/>
        <w:ind w:left="3969" w:right="-232"/>
        <w:jc w:val="both"/>
        <w:rPr>
          <w:rFonts w:ascii="Times New Roman" w:eastAsia="Times New Roman" w:hAnsi="Times New Roman" w:cs="Times New Roman"/>
          <w:sz w:val="28"/>
          <w:szCs w:val="28"/>
          <w:lang w:val="es-ES_tradnl" w:eastAsia="es-ES"/>
        </w:rPr>
      </w:pPr>
      <w:r w:rsidRPr="00DB625B">
        <w:rPr>
          <w:rFonts w:ascii="Times New Roman" w:eastAsia="Times New Roman" w:hAnsi="Times New Roman" w:cs="Times New Roman"/>
          <w:sz w:val="28"/>
          <w:szCs w:val="28"/>
          <w:lang w:val="es-ES_tradnl" w:eastAsia="es-ES"/>
        </w:rPr>
        <w:t xml:space="preserve">Magistrado Ponente: </w:t>
      </w:r>
    </w:p>
    <w:p w:rsidR="00170FDF" w:rsidRPr="00DB625B" w:rsidRDefault="00170FDF" w:rsidP="00DB625B">
      <w:pPr>
        <w:keepNext/>
        <w:spacing w:after="0" w:line="240" w:lineRule="auto"/>
        <w:ind w:left="3969" w:right="-232"/>
        <w:jc w:val="both"/>
        <w:outlineLvl w:val="2"/>
        <w:rPr>
          <w:rFonts w:ascii="Times New Roman" w:eastAsia="Times New Roman" w:hAnsi="Times New Roman" w:cs="Times New Roman"/>
          <w:sz w:val="28"/>
          <w:szCs w:val="28"/>
          <w:lang w:val="es-ES_tradnl" w:eastAsia="es-ES"/>
        </w:rPr>
      </w:pPr>
      <w:r w:rsidRPr="00DB625B">
        <w:rPr>
          <w:rFonts w:ascii="Times New Roman" w:eastAsia="Times New Roman" w:hAnsi="Times New Roman" w:cs="Times New Roman"/>
          <w:sz w:val="28"/>
          <w:szCs w:val="28"/>
          <w:lang w:val="es-ES_tradnl" w:eastAsia="es-ES"/>
        </w:rPr>
        <w:t>ALBERTO ROJAS RÍOS</w:t>
      </w:r>
    </w:p>
    <w:p w:rsidR="00170FDF" w:rsidRDefault="00170FDF" w:rsidP="00DB625B">
      <w:pPr>
        <w:spacing w:after="0" w:line="240" w:lineRule="auto"/>
        <w:ind w:right="-232"/>
        <w:rPr>
          <w:rFonts w:ascii="Times New Roman" w:eastAsia="Times New Roman" w:hAnsi="Times New Roman" w:cs="Times New Roman"/>
          <w:sz w:val="28"/>
          <w:szCs w:val="28"/>
          <w:lang w:val="es-ES_tradnl" w:eastAsia="es-ES"/>
        </w:rPr>
      </w:pPr>
    </w:p>
    <w:p w:rsidR="00DB625B" w:rsidRPr="00DB625B" w:rsidRDefault="00DB625B" w:rsidP="00DB625B">
      <w:pPr>
        <w:spacing w:after="0" w:line="240" w:lineRule="auto"/>
        <w:ind w:right="-232"/>
        <w:rPr>
          <w:rFonts w:ascii="Times New Roman" w:eastAsia="Times New Roman" w:hAnsi="Times New Roman" w:cs="Times New Roman"/>
          <w:sz w:val="28"/>
          <w:szCs w:val="28"/>
          <w:lang w:val="es-ES_tradnl" w:eastAsia="es-ES"/>
        </w:rPr>
      </w:pPr>
    </w:p>
    <w:p w:rsidR="00170FDF" w:rsidRPr="00DB625B" w:rsidRDefault="00B1062F" w:rsidP="00DB625B">
      <w:pPr>
        <w:spacing w:after="0" w:line="240" w:lineRule="auto"/>
        <w:ind w:right="-232"/>
        <w:jc w:val="both"/>
        <w:rPr>
          <w:rFonts w:ascii="Times New Roman" w:eastAsia="Times New Roman" w:hAnsi="Times New Roman" w:cs="Times New Roman"/>
          <w:sz w:val="28"/>
          <w:szCs w:val="28"/>
          <w:lang w:val="es-ES_tradnl" w:eastAsia="es-ES"/>
        </w:rPr>
      </w:pPr>
      <w:r w:rsidRPr="00DB625B">
        <w:rPr>
          <w:rFonts w:ascii="Times New Roman" w:eastAsia="Times New Roman" w:hAnsi="Times New Roman" w:cs="Times New Roman"/>
          <w:sz w:val="28"/>
          <w:szCs w:val="28"/>
          <w:lang w:val="es-ES_tradnl" w:eastAsia="es-ES"/>
        </w:rPr>
        <w:t>Bogotá, D. C., veintidós (22) de enero</w:t>
      </w:r>
      <w:r w:rsidR="001E59C1" w:rsidRPr="00DB625B">
        <w:rPr>
          <w:rFonts w:ascii="Times New Roman" w:eastAsia="Times New Roman" w:hAnsi="Times New Roman" w:cs="Times New Roman"/>
          <w:sz w:val="28"/>
          <w:szCs w:val="28"/>
          <w:lang w:val="es-ES_tradnl" w:eastAsia="es-ES"/>
        </w:rPr>
        <w:t xml:space="preserve"> de dos mil veinte (2020</w:t>
      </w:r>
      <w:r w:rsidR="00170FDF" w:rsidRPr="00DB625B">
        <w:rPr>
          <w:rFonts w:ascii="Times New Roman" w:eastAsia="Times New Roman" w:hAnsi="Times New Roman" w:cs="Times New Roman"/>
          <w:sz w:val="28"/>
          <w:szCs w:val="28"/>
          <w:lang w:val="es-ES_tradnl" w:eastAsia="es-ES"/>
        </w:rPr>
        <w:t>).</w:t>
      </w:r>
    </w:p>
    <w:p w:rsidR="00170FDF" w:rsidRDefault="00170FDF" w:rsidP="00DB625B">
      <w:pPr>
        <w:spacing w:after="0" w:line="240" w:lineRule="auto"/>
        <w:ind w:right="-232"/>
        <w:jc w:val="both"/>
        <w:rPr>
          <w:rFonts w:ascii="Times New Roman" w:eastAsia="Times New Roman" w:hAnsi="Times New Roman" w:cs="Times New Roman"/>
          <w:sz w:val="28"/>
          <w:szCs w:val="28"/>
          <w:lang w:val="es-ES_tradnl" w:eastAsia="es-ES"/>
        </w:rPr>
      </w:pPr>
    </w:p>
    <w:p w:rsidR="00DB625B" w:rsidRPr="00DB625B" w:rsidRDefault="00DB625B" w:rsidP="00DB625B">
      <w:pPr>
        <w:spacing w:after="0" w:line="240" w:lineRule="auto"/>
        <w:ind w:right="-232"/>
        <w:jc w:val="both"/>
        <w:rPr>
          <w:rFonts w:ascii="Times New Roman" w:eastAsia="Times New Roman" w:hAnsi="Times New Roman" w:cs="Times New Roman"/>
          <w:sz w:val="28"/>
          <w:szCs w:val="28"/>
          <w:lang w:val="es-ES_tradnl" w:eastAsia="es-ES"/>
        </w:rPr>
      </w:pPr>
    </w:p>
    <w:p w:rsidR="00170FDF" w:rsidRPr="00DB625B" w:rsidRDefault="00170FDF" w:rsidP="00DB625B">
      <w:pPr>
        <w:spacing w:after="0" w:line="240" w:lineRule="auto"/>
        <w:ind w:right="-232"/>
        <w:jc w:val="both"/>
        <w:rPr>
          <w:rFonts w:ascii="Times New Roman" w:eastAsia="Times New Roman" w:hAnsi="Times New Roman" w:cs="Times New Roman"/>
          <w:sz w:val="28"/>
          <w:szCs w:val="28"/>
          <w:lang w:val="es-ES_tradnl" w:eastAsia="es-ES"/>
        </w:rPr>
      </w:pPr>
      <w:r w:rsidRPr="00DB625B">
        <w:rPr>
          <w:rFonts w:ascii="Times New Roman" w:eastAsia="Times New Roman" w:hAnsi="Times New Roman" w:cs="Times New Roman"/>
          <w:sz w:val="28"/>
          <w:szCs w:val="28"/>
          <w:lang w:val="es-ES_tradnl" w:eastAsia="es-ES"/>
        </w:rPr>
        <w:t>La Sala Plena de la Corte Constitucional, en ejercicio de sus atribuciones constitucionales y legales, en especial las previstas en el artículo 241, numeral 4, de la Constitución Política, y cumplidos todos los trámites y requisitos contemplados en el Decreto 2067 de 1991, ha proferido la siguiente:</w:t>
      </w:r>
    </w:p>
    <w:p w:rsidR="00170FDF" w:rsidRPr="00DB625B" w:rsidRDefault="00170FDF" w:rsidP="00DB625B">
      <w:pPr>
        <w:spacing w:after="0" w:line="240" w:lineRule="auto"/>
        <w:ind w:right="-232"/>
        <w:jc w:val="center"/>
        <w:rPr>
          <w:rFonts w:ascii="Times New Roman" w:eastAsia="Times New Roman" w:hAnsi="Times New Roman" w:cs="Times New Roman"/>
          <w:sz w:val="28"/>
          <w:szCs w:val="28"/>
          <w:lang w:val="es-ES_tradnl" w:eastAsia="es-ES"/>
        </w:rPr>
      </w:pPr>
    </w:p>
    <w:p w:rsidR="00170FDF" w:rsidRPr="00DB625B" w:rsidRDefault="00170FDF" w:rsidP="00DB625B">
      <w:pPr>
        <w:spacing w:after="0" w:line="240" w:lineRule="auto"/>
        <w:ind w:right="-232"/>
        <w:jc w:val="center"/>
        <w:rPr>
          <w:rFonts w:ascii="Times New Roman" w:eastAsia="Times New Roman" w:hAnsi="Times New Roman" w:cs="Times New Roman"/>
          <w:b/>
          <w:sz w:val="28"/>
          <w:szCs w:val="28"/>
          <w:lang w:val="es-ES_tradnl" w:eastAsia="es-ES"/>
        </w:rPr>
      </w:pPr>
      <w:r w:rsidRPr="00DB625B">
        <w:rPr>
          <w:rFonts w:ascii="Times New Roman" w:eastAsia="Times New Roman" w:hAnsi="Times New Roman" w:cs="Times New Roman"/>
          <w:b/>
          <w:sz w:val="28"/>
          <w:szCs w:val="28"/>
          <w:lang w:val="es-ES_tradnl" w:eastAsia="es-ES"/>
        </w:rPr>
        <w:t>SENTENCIA</w:t>
      </w:r>
    </w:p>
    <w:p w:rsidR="004B6284" w:rsidRPr="00DB625B" w:rsidRDefault="00170FDF" w:rsidP="00DB625B">
      <w:pPr>
        <w:tabs>
          <w:tab w:val="left" w:pos="4845"/>
        </w:tabs>
        <w:spacing w:after="0" w:line="240" w:lineRule="auto"/>
        <w:ind w:right="-232"/>
        <w:jc w:val="both"/>
        <w:rPr>
          <w:rFonts w:ascii="Times New Roman" w:eastAsia="Times New Roman" w:hAnsi="Times New Roman" w:cs="Times New Roman"/>
          <w:sz w:val="28"/>
          <w:szCs w:val="28"/>
          <w:lang w:val="es-ES_tradnl" w:eastAsia="es-ES"/>
        </w:rPr>
      </w:pPr>
      <w:r w:rsidRPr="00DB625B">
        <w:rPr>
          <w:rFonts w:ascii="Times New Roman" w:eastAsia="Times New Roman" w:hAnsi="Times New Roman" w:cs="Times New Roman"/>
          <w:sz w:val="28"/>
          <w:szCs w:val="28"/>
          <w:lang w:val="es-ES_tradnl" w:eastAsia="es-ES"/>
        </w:rPr>
        <w:tab/>
      </w:r>
    </w:p>
    <w:p w:rsidR="00170FDF" w:rsidRPr="00DB625B" w:rsidRDefault="00170FDF" w:rsidP="00DB625B">
      <w:pPr>
        <w:pStyle w:val="Prrafodelista"/>
        <w:numPr>
          <w:ilvl w:val="0"/>
          <w:numId w:val="26"/>
        </w:numPr>
        <w:spacing w:after="0" w:line="240" w:lineRule="auto"/>
        <w:ind w:right="-232"/>
        <w:jc w:val="center"/>
        <w:rPr>
          <w:rFonts w:ascii="Times New Roman" w:eastAsia="Times New Roman" w:hAnsi="Times New Roman" w:cs="Times New Roman"/>
          <w:b/>
          <w:sz w:val="28"/>
          <w:szCs w:val="28"/>
          <w:lang w:val="es-ES_tradnl" w:eastAsia="es-ES"/>
        </w:rPr>
      </w:pPr>
      <w:r w:rsidRPr="00DB625B">
        <w:rPr>
          <w:rFonts w:ascii="Times New Roman" w:eastAsia="Times New Roman" w:hAnsi="Times New Roman" w:cs="Times New Roman"/>
          <w:b/>
          <w:sz w:val="28"/>
          <w:szCs w:val="28"/>
          <w:lang w:val="es-ES_tradnl" w:eastAsia="es-ES"/>
        </w:rPr>
        <w:t>ANTECEDENTES:</w:t>
      </w:r>
    </w:p>
    <w:p w:rsidR="00170FDF" w:rsidRPr="00DB625B" w:rsidRDefault="00170FDF" w:rsidP="00DB625B">
      <w:pPr>
        <w:spacing w:after="0" w:line="240" w:lineRule="auto"/>
        <w:ind w:right="-232"/>
        <w:jc w:val="both"/>
        <w:rPr>
          <w:rFonts w:ascii="Times New Roman" w:eastAsia="Times New Roman" w:hAnsi="Times New Roman" w:cs="Times New Roman"/>
          <w:b/>
          <w:sz w:val="28"/>
          <w:szCs w:val="28"/>
          <w:lang w:val="es-ES_tradnl" w:eastAsia="es-ES"/>
        </w:rPr>
      </w:pPr>
    </w:p>
    <w:p w:rsidR="00170FDF" w:rsidRPr="00DB625B" w:rsidRDefault="00170FDF" w:rsidP="00DB625B">
      <w:pPr>
        <w:pStyle w:val="Prrafodelista"/>
        <w:numPr>
          <w:ilvl w:val="0"/>
          <w:numId w:val="5"/>
        </w:numPr>
        <w:spacing w:after="0" w:line="240" w:lineRule="auto"/>
        <w:ind w:left="0" w:right="-232" w:firstLine="0"/>
        <w:jc w:val="both"/>
        <w:rPr>
          <w:rFonts w:ascii="Times New Roman" w:eastAsia="Times New Roman" w:hAnsi="Times New Roman" w:cs="Times New Roman"/>
          <w:bCs/>
          <w:sz w:val="28"/>
          <w:szCs w:val="28"/>
          <w:lang w:val="es-ES" w:eastAsia="es-ES"/>
        </w:rPr>
      </w:pPr>
      <w:r w:rsidRPr="00DB625B">
        <w:rPr>
          <w:rFonts w:ascii="Times New Roman" w:eastAsia="Times New Roman" w:hAnsi="Times New Roman" w:cs="Times New Roman"/>
          <w:sz w:val="28"/>
          <w:szCs w:val="28"/>
          <w:lang w:val="es-ES_tradnl" w:eastAsia="es-ES"/>
        </w:rPr>
        <w:t xml:space="preserve">El 06 de mayo de 2019, en ejercicio de la acción pública consagrada en el artículo 241 de la Constitución Política, </w:t>
      </w:r>
      <w:r w:rsidR="001E1534" w:rsidRPr="00DB625B">
        <w:rPr>
          <w:rFonts w:ascii="Times New Roman" w:eastAsia="Times New Roman" w:hAnsi="Times New Roman" w:cs="Times New Roman"/>
          <w:sz w:val="28"/>
          <w:szCs w:val="28"/>
          <w:lang w:val="es-ES_tradnl" w:eastAsia="es-ES"/>
        </w:rPr>
        <w:t xml:space="preserve">las ciudadanas Martha Yohana Reyes Medina y Liliana Patricia Ruíz Urrea formularon </w:t>
      </w:r>
      <w:r w:rsidRPr="00DB625B">
        <w:rPr>
          <w:rFonts w:ascii="Times New Roman" w:eastAsia="Times New Roman" w:hAnsi="Times New Roman" w:cs="Times New Roman"/>
          <w:sz w:val="28"/>
          <w:szCs w:val="28"/>
          <w:lang w:val="es-ES_tradnl" w:eastAsia="es-ES"/>
        </w:rPr>
        <w:t xml:space="preserve">demanda de inconstitucionalidad </w:t>
      </w:r>
      <w:r w:rsidR="001E1534" w:rsidRPr="00DB625B">
        <w:rPr>
          <w:rFonts w:ascii="Times New Roman" w:eastAsia="Times New Roman" w:hAnsi="Times New Roman" w:cs="Times New Roman"/>
          <w:sz w:val="28"/>
          <w:szCs w:val="28"/>
          <w:lang w:val="es-ES_tradnl" w:eastAsia="es-ES"/>
        </w:rPr>
        <w:t xml:space="preserve">en contra del artículo 217 de la Ley 1952 de 2019, </w:t>
      </w:r>
      <w:r w:rsidR="001E1534" w:rsidRPr="00DB625B">
        <w:rPr>
          <w:rFonts w:ascii="Times New Roman" w:eastAsia="Times New Roman" w:hAnsi="Times New Roman" w:cs="Times New Roman"/>
          <w:b/>
          <w:bCs/>
          <w:sz w:val="28"/>
          <w:szCs w:val="28"/>
          <w:lang w:val="es-ES" w:eastAsia="es-ES"/>
        </w:rPr>
        <w:t>"</w:t>
      </w:r>
      <w:r w:rsidR="001E1534" w:rsidRPr="00DB625B">
        <w:rPr>
          <w:rFonts w:ascii="Times New Roman" w:eastAsia="Times New Roman" w:hAnsi="Times New Roman" w:cs="Times New Roman"/>
          <w:bCs/>
          <w:i/>
          <w:sz w:val="28"/>
          <w:szCs w:val="28"/>
          <w:lang w:val="es-ES" w:eastAsia="es-ES"/>
        </w:rPr>
        <w:t>Por medio de la cual se expide el Código General Disciplinario, se derogan la Ley 734 de 2002 y algunas disposiciones de la Ley 1474 de 2011, relacionadas con el derecho disciplinario</w:t>
      </w:r>
      <w:r w:rsidR="001E1534" w:rsidRPr="00DB625B">
        <w:rPr>
          <w:rFonts w:ascii="Times New Roman" w:eastAsia="Times New Roman" w:hAnsi="Times New Roman" w:cs="Times New Roman"/>
          <w:bCs/>
          <w:sz w:val="28"/>
          <w:szCs w:val="28"/>
          <w:lang w:val="es-ES" w:eastAsia="es-ES"/>
        </w:rPr>
        <w:t>”</w:t>
      </w:r>
      <w:r w:rsidR="001E1534" w:rsidRPr="00DB625B">
        <w:rPr>
          <w:rFonts w:ascii="Times New Roman" w:eastAsia="Times New Roman" w:hAnsi="Times New Roman" w:cs="Times New Roman"/>
          <w:sz w:val="28"/>
          <w:szCs w:val="28"/>
          <w:lang w:val="es-ES_tradnl" w:eastAsia="es-ES"/>
        </w:rPr>
        <w:t>, al considerar que es contrario a las disposiciones normativas contenidas en los artículos 152 y 153 de la Constitución Política de 1991</w:t>
      </w:r>
      <w:r w:rsidRPr="00DB625B">
        <w:rPr>
          <w:rFonts w:ascii="Times New Roman" w:eastAsia="Times New Roman" w:hAnsi="Times New Roman" w:cs="Times New Roman"/>
          <w:sz w:val="28"/>
          <w:szCs w:val="28"/>
          <w:lang w:val="es-ES_tradnl" w:eastAsia="es-ES"/>
        </w:rPr>
        <w:t>.</w:t>
      </w:r>
    </w:p>
    <w:p w:rsidR="00170FDF" w:rsidRPr="00DB625B" w:rsidRDefault="00170FDF" w:rsidP="00DB625B">
      <w:pPr>
        <w:spacing w:after="0" w:line="240" w:lineRule="auto"/>
        <w:ind w:right="-232"/>
        <w:jc w:val="both"/>
        <w:rPr>
          <w:rFonts w:ascii="Times New Roman" w:eastAsia="Times New Roman" w:hAnsi="Times New Roman" w:cs="Times New Roman"/>
          <w:sz w:val="28"/>
          <w:szCs w:val="28"/>
          <w:lang w:val="es-ES_tradnl" w:eastAsia="es-ES"/>
        </w:rPr>
      </w:pPr>
    </w:p>
    <w:p w:rsidR="003B1E62" w:rsidRPr="00DB625B" w:rsidRDefault="00170FDF" w:rsidP="00DB625B">
      <w:pPr>
        <w:pStyle w:val="Prrafodelista"/>
        <w:numPr>
          <w:ilvl w:val="0"/>
          <w:numId w:val="5"/>
        </w:numPr>
        <w:spacing w:after="0" w:line="240" w:lineRule="auto"/>
        <w:ind w:left="0" w:right="-232" w:firstLine="0"/>
        <w:jc w:val="both"/>
        <w:rPr>
          <w:rFonts w:ascii="Times New Roman" w:eastAsia="Times New Roman" w:hAnsi="Times New Roman" w:cs="Times New Roman"/>
          <w:sz w:val="28"/>
          <w:szCs w:val="28"/>
          <w:lang w:val="es-ES_tradnl" w:eastAsia="es-ES"/>
        </w:rPr>
      </w:pPr>
      <w:r w:rsidRPr="00DB625B">
        <w:rPr>
          <w:rFonts w:ascii="Times New Roman" w:eastAsia="Times New Roman" w:hAnsi="Times New Roman" w:cs="Times New Roman"/>
          <w:sz w:val="28"/>
          <w:szCs w:val="28"/>
          <w:lang w:val="es-ES_tradnl" w:eastAsia="es-ES"/>
        </w:rPr>
        <w:lastRenderedPageBreak/>
        <w:t xml:space="preserve">Mediante Auto del </w:t>
      </w:r>
      <w:r w:rsidR="003B1E62" w:rsidRPr="00DB625B">
        <w:rPr>
          <w:rFonts w:ascii="Times New Roman" w:eastAsia="Times New Roman" w:hAnsi="Times New Roman" w:cs="Times New Roman"/>
          <w:sz w:val="28"/>
          <w:szCs w:val="28"/>
          <w:lang w:val="es-ES_tradnl" w:eastAsia="es-ES"/>
        </w:rPr>
        <w:t>31</w:t>
      </w:r>
      <w:r w:rsidRPr="00DB625B">
        <w:rPr>
          <w:rFonts w:ascii="Times New Roman" w:eastAsia="Times New Roman" w:hAnsi="Times New Roman" w:cs="Times New Roman"/>
          <w:sz w:val="28"/>
          <w:szCs w:val="28"/>
          <w:lang w:val="es-ES_tradnl" w:eastAsia="es-ES"/>
        </w:rPr>
        <w:t xml:space="preserve"> de </w:t>
      </w:r>
      <w:r w:rsidR="003B1E62" w:rsidRPr="00DB625B">
        <w:rPr>
          <w:rFonts w:ascii="Times New Roman" w:eastAsia="Times New Roman" w:hAnsi="Times New Roman" w:cs="Times New Roman"/>
          <w:sz w:val="28"/>
          <w:szCs w:val="28"/>
          <w:lang w:val="es-ES_tradnl" w:eastAsia="es-ES"/>
        </w:rPr>
        <w:t>mayo</w:t>
      </w:r>
      <w:r w:rsidRPr="00DB625B">
        <w:rPr>
          <w:rFonts w:ascii="Times New Roman" w:eastAsia="Times New Roman" w:hAnsi="Times New Roman" w:cs="Times New Roman"/>
          <w:sz w:val="28"/>
          <w:szCs w:val="28"/>
          <w:lang w:val="es-ES_tradnl" w:eastAsia="es-ES"/>
        </w:rPr>
        <w:t xml:space="preserve"> de 201</w:t>
      </w:r>
      <w:r w:rsidR="003B1E62" w:rsidRPr="00DB625B">
        <w:rPr>
          <w:rFonts w:ascii="Times New Roman" w:eastAsia="Times New Roman" w:hAnsi="Times New Roman" w:cs="Times New Roman"/>
          <w:sz w:val="28"/>
          <w:szCs w:val="28"/>
          <w:lang w:val="es-ES_tradnl" w:eastAsia="es-ES"/>
        </w:rPr>
        <w:t>9</w:t>
      </w:r>
      <w:r w:rsidRPr="00DB625B">
        <w:rPr>
          <w:rFonts w:ascii="Times New Roman" w:eastAsia="Times New Roman" w:hAnsi="Times New Roman" w:cs="Times New Roman"/>
          <w:sz w:val="28"/>
          <w:szCs w:val="28"/>
          <w:lang w:val="es-ES_tradnl" w:eastAsia="es-ES"/>
        </w:rPr>
        <w:t>, el despacho del Magistrado Sus</w:t>
      </w:r>
      <w:r w:rsidR="003B1E62" w:rsidRPr="00DB625B">
        <w:rPr>
          <w:rFonts w:ascii="Times New Roman" w:eastAsia="Times New Roman" w:hAnsi="Times New Roman" w:cs="Times New Roman"/>
          <w:sz w:val="28"/>
          <w:szCs w:val="28"/>
          <w:lang w:val="es-ES_tradnl" w:eastAsia="es-ES"/>
        </w:rPr>
        <w:t>tanciador se pronunció sobre la</w:t>
      </w:r>
      <w:r w:rsidRPr="00DB625B">
        <w:rPr>
          <w:rFonts w:ascii="Times New Roman" w:eastAsia="Times New Roman" w:hAnsi="Times New Roman" w:cs="Times New Roman"/>
          <w:sz w:val="28"/>
          <w:szCs w:val="28"/>
          <w:lang w:val="es-ES_tradnl" w:eastAsia="es-ES"/>
        </w:rPr>
        <w:t xml:space="preserve"> demanda formulada </w:t>
      </w:r>
      <w:r w:rsidR="004B6284" w:rsidRPr="00DB625B">
        <w:rPr>
          <w:rFonts w:ascii="Times New Roman" w:eastAsia="Times New Roman" w:hAnsi="Times New Roman" w:cs="Times New Roman"/>
          <w:sz w:val="28"/>
          <w:szCs w:val="28"/>
          <w:lang w:val="es-ES_tradnl" w:eastAsia="es-ES"/>
        </w:rPr>
        <w:t>y resolvió</w:t>
      </w:r>
      <w:r w:rsidRPr="00DB625B">
        <w:rPr>
          <w:rFonts w:ascii="Times New Roman" w:eastAsia="Times New Roman" w:hAnsi="Times New Roman" w:cs="Times New Roman"/>
          <w:b/>
          <w:sz w:val="28"/>
          <w:szCs w:val="28"/>
          <w:lang w:val="es-ES_tradnl" w:eastAsia="es-ES"/>
        </w:rPr>
        <w:t xml:space="preserve"> </w:t>
      </w:r>
      <w:r w:rsidRPr="00DB625B">
        <w:rPr>
          <w:rFonts w:ascii="Times New Roman" w:eastAsia="Times New Roman" w:hAnsi="Times New Roman" w:cs="Times New Roman"/>
          <w:sz w:val="28"/>
          <w:szCs w:val="28"/>
          <w:lang w:val="es-ES_tradnl" w:eastAsia="es-ES"/>
        </w:rPr>
        <w:t xml:space="preserve">admitir la demanda </w:t>
      </w:r>
      <w:r w:rsidR="003B1E62" w:rsidRPr="00DB625B">
        <w:rPr>
          <w:rFonts w:ascii="Times New Roman" w:eastAsia="Times New Roman" w:hAnsi="Times New Roman" w:cs="Times New Roman"/>
          <w:sz w:val="28"/>
          <w:szCs w:val="28"/>
          <w:lang w:val="es-ES_tradnl" w:eastAsia="es-ES"/>
        </w:rPr>
        <w:t>propuesta</w:t>
      </w:r>
      <w:r w:rsidRPr="00DB625B">
        <w:rPr>
          <w:rFonts w:ascii="Times New Roman" w:eastAsia="Times New Roman" w:hAnsi="Times New Roman" w:cs="Times New Roman"/>
          <w:sz w:val="28"/>
          <w:szCs w:val="28"/>
          <w:lang w:val="es-ES_tradnl" w:eastAsia="es-ES"/>
        </w:rPr>
        <w:t xml:space="preserve"> por </w:t>
      </w:r>
      <w:r w:rsidR="003B1E62" w:rsidRPr="00DB625B">
        <w:rPr>
          <w:rFonts w:ascii="Times New Roman" w:eastAsia="Times New Roman" w:hAnsi="Times New Roman" w:cs="Times New Roman"/>
          <w:sz w:val="28"/>
          <w:szCs w:val="28"/>
          <w:lang w:val="es-ES_tradnl" w:eastAsia="es-ES"/>
        </w:rPr>
        <w:t>Martha Yohana Reyes Medina y Liliana Patricia Ruíz Urrea por el presunto desconocimiento de los contenidos de los artículos 152 y 153 de la Constitución</w:t>
      </w:r>
      <w:r w:rsidR="004B6284" w:rsidRPr="00DB625B">
        <w:rPr>
          <w:rFonts w:ascii="Times New Roman" w:eastAsia="Times New Roman" w:hAnsi="Times New Roman" w:cs="Times New Roman"/>
          <w:iCs/>
          <w:sz w:val="28"/>
          <w:szCs w:val="28"/>
          <w:lang w:val="es-ES_tradnl" w:eastAsia="es-ES"/>
        </w:rPr>
        <w:t>.</w:t>
      </w:r>
    </w:p>
    <w:p w:rsidR="003B1E62" w:rsidRPr="00DB625B" w:rsidRDefault="003B1E62" w:rsidP="00DB625B">
      <w:pPr>
        <w:pStyle w:val="Prrafodelista"/>
        <w:spacing w:after="0" w:line="240" w:lineRule="auto"/>
        <w:ind w:left="0" w:right="-232"/>
        <w:jc w:val="both"/>
        <w:rPr>
          <w:rFonts w:ascii="Times New Roman" w:eastAsia="Times New Roman" w:hAnsi="Times New Roman" w:cs="Times New Roman"/>
          <w:sz w:val="28"/>
          <w:szCs w:val="28"/>
          <w:lang w:val="es-ES_tradnl" w:eastAsia="es-ES"/>
        </w:rPr>
      </w:pPr>
    </w:p>
    <w:p w:rsidR="00170FDF" w:rsidRPr="00DB625B" w:rsidRDefault="003B1E62" w:rsidP="00DB625B">
      <w:pPr>
        <w:pStyle w:val="Prrafodelista"/>
        <w:spacing w:after="0" w:line="240" w:lineRule="auto"/>
        <w:ind w:left="0" w:right="-232"/>
        <w:jc w:val="both"/>
        <w:rPr>
          <w:rFonts w:ascii="Times New Roman" w:eastAsia="Times New Roman" w:hAnsi="Times New Roman" w:cs="Times New Roman"/>
          <w:sz w:val="28"/>
          <w:szCs w:val="28"/>
          <w:lang w:val="es-ES_tradnl" w:eastAsia="es-ES"/>
        </w:rPr>
      </w:pPr>
      <w:r w:rsidRPr="00DB625B">
        <w:rPr>
          <w:rFonts w:ascii="Times New Roman" w:eastAsia="Times New Roman" w:hAnsi="Times New Roman" w:cs="Times New Roman"/>
          <w:sz w:val="28"/>
          <w:szCs w:val="28"/>
          <w:lang w:val="es-ES_tradnl" w:eastAsia="es-ES"/>
        </w:rPr>
        <w:t>De</w:t>
      </w:r>
      <w:r w:rsidR="00170FDF" w:rsidRPr="00DB625B">
        <w:rPr>
          <w:rFonts w:ascii="Times New Roman" w:eastAsia="Times New Roman" w:hAnsi="Times New Roman" w:cs="Times New Roman"/>
          <w:sz w:val="28"/>
          <w:szCs w:val="28"/>
          <w:lang w:val="es-ES_tradnl" w:eastAsia="es-ES"/>
        </w:rPr>
        <w:t xml:space="preserve"> esta decisión se </w:t>
      </w:r>
      <w:r w:rsidRPr="00DB625B">
        <w:rPr>
          <w:rFonts w:ascii="Times New Roman" w:eastAsia="Times New Roman" w:hAnsi="Times New Roman" w:cs="Times New Roman"/>
          <w:sz w:val="28"/>
          <w:szCs w:val="28"/>
          <w:lang w:val="es-ES_tradnl" w:eastAsia="es-ES"/>
        </w:rPr>
        <w:t xml:space="preserve">comunicó a diversas autoridades públicas y se </w:t>
      </w:r>
      <w:r w:rsidR="00170FDF" w:rsidRPr="00DB625B">
        <w:rPr>
          <w:rFonts w:ascii="Times New Roman" w:eastAsia="Times New Roman" w:hAnsi="Times New Roman" w:cs="Times New Roman"/>
          <w:sz w:val="28"/>
          <w:szCs w:val="28"/>
          <w:lang w:val="es-ES_tradnl" w:eastAsia="es-ES"/>
        </w:rPr>
        <w:t>invitó a participar a las Facultades de Derecho de las Universidades</w:t>
      </w:r>
      <w:r w:rsidRPr="00DB625B">
        <w:rPr>
          <w:rFonts w:ascii="Times New Roman" w:eastAsia="Times New Roman" w:hAnsi="Times New Roman" w:cs="Times New Roman"/>
          <w:sz w:val="28"/>
          <w:szCs w:val="28"/>
          <w:lang w:val="es-ES_tradnl" w:eastAsia="es-ES"/>
        </w:rPr>
        <w:t>:</w:t>
      </w:r>
      <w:r w:rsidR="00170FDF" w:rsidRPr="00DB625B">
        <w:rPr>
          <w:rFonts w:ascii="Times New Roman" w:eastAsia="Times New Roman" w:hAnsi="Times New Roman" w:cs="Times New Roman"/>
          <w:sz w:val="28"/>
          <w:szCs w:val="28"/>
          <w:lang w:val="es-ES_tradnl" w:eastAsia="es-ES"/>
        </w:rPr>
        <w:t xml:space="preserve"> </w:t>
      </w:r>
      <w:r w:rsidR="00170FDF" w:rsidRPr="00DB625B">
        <w:rPr>
          <w:rFonts w:ascii="Times New Roman" w:eastAsia="Times New Roman" w:hAnsi="Times New Roman" w:cs="Times New Roman"/>
          <w:b/>
          <w:sz w:val="28"/>
          <w:szCs w:val="28"/>
          <w:lang w:val="es-ES_tradnl" w:eastAsia="es-ES"/>
        </w:rPr>
        <w:t>(i)</w:t>
      </w:r>
      <w:r w:rsidR="00170FDF" w:rsidRPr="00DB625B">
        <w:rPr>
          <w:rFonts w:ascii="Times New Roman" w:eastAsia="Times New Roman" w:hAnsi="Times New Roman" w:cs="Times New Roman"/>
          <w:sz w:val="28"/>
          <w:szCs w:val="28"/>
          <w:lang w:val="es-ES_tradnl" w:eastAsia="es-ES"/>
        </w:rPr>
        <w:t xml:space="preserve"> Externado de Colombia, </w:t>
      </w:r>
      <w:r w:rsidR="00170FDF" w:rsidRPr="00DB625B">
        <w:rPr>
          <w:rFonts w:ascii="Times New Roman" w:eastAsia="Times New Roman" w:hAnsi="Times New Roman" w:cs="Times New Roman"/>
          <w:b/>
          <w:sz w:val="28"/>
          <w:szCs w:val="28"/>
          <w:lang w:val="es-ES_tradnl" w:eastAsia="es-ES"/>
        </w:rPr>
        <w:t>(ii)</w:t>
      </w:r>
      <w:r w:rsidR="00170FDF" w:rsidRPr="00DB625B">
        <w:rPr>
          <w:rFonts w:ascii="Times New Roman" w:eastAsia="Times New Roman" w:hAnsi="Times New Roman" w:cs="Times New Roman"/>
          <w:sz w:val="28"/>
          <w:szCs w:val="28"/>
          <w:lang w:val="es-ES_tradnl" w:eastAsia="es-ES"/>
        </w:rPr>
        <w:t xml:space="preserve"> Javeriana, </w:t>
      </w:r>
      <w:r w:rsidR="00170FDF" w:rsidRPr="00DB625B">
        <w:rPr>
          <w:rFonts w:ascii="Times New Roman" w:eastAsia="Times New Roman" w:hAnsi="Times New Roman" w:cs="Times New Roman"/>
          <w:b/>
          <w:sz w:val="28"/>
          <w:szCs w:val="28"/>
          <w:lang w:val="es-ES_tradnl" w:eastAsia="es-ES"/>
        </w:rPr>
        <w:t>(iii)</w:t>
      </w:r>
      <w:r w:rsidR="00170FDF" w:rsidRPr="00DB625B">
        <w:rPr>
          <w:rFonts w:ascii="Times New Roman" w:eastAsia="Times New Roman" w:hAnsi="Times New Roman" w:cs="Times New Roman"/>
          <w:sz w:val="28"/>
          <w:szCs w:val="28"/>
          <w:lang w:val="es-ES_tradnl" w:eastAsia="es-ES"/>
        </w:rPr>
        <w:t xml:space="preserve"> de los Andes, </w:t>
      </w:r>
      <w:r w:rsidR="00170FDF" w:rsidRPr="00DB625B">
        <w:rPr>
          <w:rFonts w:ascii="Times New Roman" w:eastAsia="Times New Roman" w:hAnsi="Times New Roman" w:cs="Times New Roman"/>
          <w:b/>
          <w:sz w:val="28"/>
          <w:szCs w:val="28"/>
          <w:lang w:val="es-ES_tradnl" w:eastAsia="es-ES"/>
        </w:rPr>
        <w:t>(iv)</w:t>
      </w:r>
      <w:r w:rsidRPr="00DB625B">
        <w:rPr>
          <w:rFonts w:ascii="Times New Roman" w:eastAsia="Times New Roman" w:hAnsi="Times New Roman" w:cs="Times New Roman"/>
          <w:b/>
          <w:sz w:val="28"/>
          <w:szCs w:val="28"/>
          <w:lang w:val="es-ES_tradnl" w:eastAsia="es-ES"/>
        </w:rPr>
        <w:t xml:space="preserve"> </w:t>
      </w:r>
      <w:r w:rsidRPr="00DB625B">
        <w:rPr>
          <w:rFonts w:ascii="Times New Roman" w:eastAsia="Times New Roman" w:hAnsi="Times New Roman" w:cs="Times New Roman"/>
          <w:sz w:val="28"/>
          <w:szCs w:val="28"/>
          <w:lang w:val="es-ES_tradnl" w:eastAsia="es-ES"/>
        </w:rPr>
        <w:t>Santo Tomás</w:t>
      </w:r>
      <w:r w:rsidR="00170FDF" w:rsidRPr="00DB625B">
        <w:rPr>
          <w:rFonts w:ascii="Times New Roman" w:eastAsia="Times New Roman" w:hAnsi="Times New Roman" w:cs="Times New Roman"/>
          <w:sz w:val="28"/>
          <w:szCs w:val="28"/>
          <w:lang w:val="es-ES_tradnl" w:eastAsia="es-ES"/>
        </w:rPr>
        <w:t xml:space="preserve">, </w:t>
      </w:r>
      <w:r w:rsidR="00170FDF" w:rsidRPr="00DB625B">
        <w:rPr>
          <w:rFonts w:ascii="Times New Roman" w:eastAsia="Times New Roman" w:hAnsi="Times New Roman" w:cs="Times New Roman"/>
          <w:b/>
          <w:sz w:val="28"/>
          <w:szCs w:val="28"/>
          <w:lang w:val="es-ES_tradnl" w:eastAsia="es-ES"/>
        </w:rPr>
        <w:t>(v)</w:t>
      </w:r>
      <w:r w:rsidR="00170FDF" w:rsidRPr="00DB625B">
        <w:rPr>
          <w:rFonts w:ascii="Times New Roman" w:eastAsia="Times New Roman" w:hAnsi="Times New Roman" w:cs="Times New Roman"/>
          <w:sz w:val="28"/>
          <w:szCs w:val="28"/>
          <w:lang w:val="es-ES_tradnl" w:eastAsia="es-ES"/>
        </w:rPr>
        <w:t xml:space="preserve"> </w:t>
      </w:r>
      <w:r w:rsidRPr="00DB625B">
        <w:rPr>
          <w:rFonts w:ascii="Times New Roman" w:eastAsia="Times New Roman" w:hAnsi="Times New Roman" w:cs="Times New Roman"/>
          <w:sz w:val="28"/>
          <w:szCs w:val="28"/>
          <w:lang w:val="es-ES_tradnl" w:eastAsia="es-ES"/>
        </w:rPr>
        <w:t>Nacional de Colombia</w:t>
      </w:r>
      <w:r w:rsidR="00170FDF" w:rsidRPr="00DB625B">
        <w:rPr>
          <w:rFonts w:ascii="Times New Roman" w:eastAsia="Times New Roman" w:hAnsi="Times New Roman" w:cs="Times New Roman"/>
          <w:sz w:val="28"/>
          <w:szCs w:val="28"/>
          <w:lang w:val="es-ES_tradnl" w:eastAsia="es-ES"/>
        </w:rPr>
        <w:t>,</w:t>
      </w:r>
      <w:r w:rsidRPr="00DB625B">
        <w:rPr>
          <w:rFonts w:ascii="Times New Roman" w:eastAsia="Times New Roman" w:hAnsi="Times New Roman" w:cs="Times New Roman"/>
          <w:sz w:val="28"/>
          <w:szCs w:val="28"/>
          <w:lang w:val="es-ES_tradnl" w:eastAsia="es-ES"/>
        </w:rPr>
        <w:t xml:space="preserve"> y</w:t>
      </w:r>
      <w:r w:rsidR="00170FDF" w:rsidRPr="00DB625B">
        <w:rPr>
          <w:rFonts w:ascii="Times New Roman" w:eastAsia="Times New Roman" w:hAnsi="Times New Roman" w:cs="Times New Roman"/>
          <w:sz w:val="28"/>
          <w:szCs w:val="28"/>
          <w:lang w:val="es-ES_tradnl" w:eastAsia="es-ES"/>
        </w:rPr>
        <w:t xml:space="preserve"> </w:t>
      </w:r>
      <w:r w:rsidR="00170FDF" w:rsidRPr="00DB625B">
        <w:rPr>
          <w:rFonts w:ascii="Times New Roman" w:eastAsia="Times New Roman" w:hAnsi="Times New Roman" w:cs="Times New Roman"/>
          <w:b/>
          <w:sz w:val="28"/>
          <w:szCs w:val="28"/>
          <w:lang w:val="es-ES_tradnl" w:eastAsia="es-ES"/>
        </w:rPr>
        <w:t>(vi)</w:t>
      </w:r>
      <w:r w:rsidR="00170FDF" w:rsidRPr="00DB625B">
        <w:rPr>
          <w:rFonts w:ascii="Times New Roman" w:eastAsia="Times New Roman" w:hAnsi="Times New Roman" w:cs="Times New Roman"/>
          <w:sz w:val="28"/>
          <w:szCs w:val="28"/>
          <w:lang w:val="es-ES_tradnl" w:eastAsia="es-ES"/>
        </w:rPr>
        <w:t xml:space="preserve"> </w:t>
      </w:r>
      <w:r w:rsidRPr="00DB625B">
        <w:rPr>
          <w:rFonts w:ascii="Times New Roman" w:eastAsia="Times New Roman" w:hAnsi="Times New Roman" w:cs="Times New Roman"/>
          <w:sz w:val="28"/>
          <w:szCs w:val="28"/>
          <w:lang w:val="es-ES_tradnl" w:eastAsia="es-ES"/>
        </w:rPr>
        <w:t>del Rosario;</w:t>
      </w:r>
      <w:r w:rsidR="00170FDF" w:rsidRPr="00DB625B">
        <w:rPr>
          <w:rFonts w:ascii="Times New Roman" w:eastAsia="Times New Roman" w:hAnsi="Times New Roman" w:cs="Times New Roman"/>
          <w:sz w:val="28"/>
          <w:szCs w:val="28"/>
          <w:lang w:val="es-ES_tradnl" w:eastAsia="es-ES"/>
        </w:rPr>
        <w:t xml:space="preserve"> </w:t>
      </w:r>
      <w:r w:rsidRPr="00DB625B">
        <w:rPr>
          <w:rFonts w:ascii="Times New Roman" w:eastAsia="Times New Roman" w:hAnsi="Times New Roman" w:cs="Times New Roman"/>
          <w:sz w:val="28"/>
          <w:szCs w:val="28"/>
          <w:lang w:val="es-ES_tradnl" w:eastAsia="es-ES"/>
        </w:rPr>
        <w:t>así como a</w:t>
      </w:r>
      <w:r w:rsidRPr="00DB625B">
        <w:rPr>
          <w:rFonts w:ascii="Times New Roman" w:eastAsia="Times New Roman" w:hAnsi="Times New Roman" w:cs="Times New Roman"/>
          <w:b/>
          <w:sz w:val="28"/>
          <w:szCs w:val="28"/>
          <w:lang w:val="es-ES_tradnl" w:eastAsia="es-ES"/>
        </w:rPr>
        <w:t xml:space="preserve"> </w:t>
      </w:r>
      <w:r w:rsidR="00170FDF" w:rsidRPr="00DB625B">
        <w:rPr>
          <w:rFonts w:ascii="Times New Roman" w:eastAsia="Times New Roman" w:hAnsi="Times New Roman" w:cs="Times New Roman"/>
          <w:b/>
          <w:sz w:val="28"/>
          <w:szCs w:val="28"/>
          <w:lang w:val="es-ES_tradnl" w:eastAsia="es-ES"/>
        </w:rPr>
        <w:t>(vii)</w:t>
      </w:r>
      <w:r w:rsidR="00170FDF" w:rsidRPr="00DB625B">
        <w:rPr>
          <w:rFonts w:ascii="Times New Roman" w:eastAsia="Times New Roman" w:hAnsi="Times New Roman" w:cs="Times New Roman"/>
          <w:sz w:val="28"/>
          <w:szCs w:val="28"/>
          <w:lang w:val="es-ES_tradnl" w:eastAsia="es-ES"/>
        </w:rPr>
        <w:t xml:space="preserve"> </w:t>
      </w:r>
      <w:r w:rsidRPr="00DB625B">
        <w:rPr>
          <w:rFonts w:ascii="Times New Roman" w:eastAsia="Times New Roman" w:hAnsi="Times New Roman" w:cs="Times New Roman"/>
          <w:sz w:val="28"/>
          <w:szCs w:val="28"/>
          <w:lang w:val="es-ES_tradnl" w:eastAsia="es-ES"/>
        </w:rPr>
        <w:t>la Misión de Observación Electoral MOE</w:t>
      </w:r>
      <w:r w:rsidR="00170FDF" w:rsidRPr="00DB625B">
        <w:rPr>
          <w:rFonts w:ascii="Times New Roman" w:eastAsia="Times New Roman" w:hAnsi="Times New Roman" w:cs="Times New Roman"/>
          <w:sz w:val="28"/>
          <w:szCs w:val="28"/>
          <w:lang w:val="es-ES_tradnl" w:eastAsia="es-ES"/>
        </w:rPr>
        <w:t xml:space="preserve">, </w:t>
      </w:r>
      <w:r w:rsidR="00170FDF" w:rsidRPr="00DB625B">
        <w:rPr>
          <w:rFonts w:ascii="Times New Roman" w:eastAsia="Times New Roman" w:hAnsi="Times New Roman" w:cs="Times New Roman"/>
          <w:b/>
          <w:sz w:val="28"/>
          <w:szCs w:val="28"/>
          <w:lang w:val="es-ES_tradnl" w:eastAsia="es-ES"/>
        </w:rPr>
        <w:t>(viii)</w:t>
      </w:r>
      <w:r w:rsidR="00170FDF" w:rsidRPr="00DB625B">
        <w:rPr>
          <w:rFonts w:ascii="Times New Roman" w:eastAsia="Times New Roman" w:hAnsi="Times New Roman" w:cs="Times New Roman"/>
          <w:sz w:val="28"/>
          <w:szCs w:val="28"/>
          <w:lang w:val="es-ES_tradnl" w:eastAsia="es-ES"/>
        </w:rPr>
        <w:t xml:space="preserve"> </w:t>
      </w:r>
      <w:r w:rsidRPr="00DB625B">
        <w:rPr>
          <w:rFonts w:ascii="Times New Roman" w:eastAsia="Times New Roman" w:hAnsi="Times New Roman" w:cs="Times New Roman"/>
          <w:sz w:val="28"/>
          <w:szCs w:val="28"/>
          <w:lang w:val="es-ES_tradnl" w:eastAsia="es-ES"/>
        </w:rPr>
        <w:t>el Centro de Estudios de Derecho, Justicia y Sociedad (Dejusticia)</w:t>
      </w:r>
      <w:r w:rsidR="00170FDF" w:rsidRPr="00DB625B">
        <w:rPr>
          <w:rFonts w:ascii="Times New Roman" w:eastAsia="Times New Roman" w:hAnsi="Times New Roman" w:cs="Times New Roman"/>
          <w:sz w:val="28"/>
          <w:szCs w:val="28"/>
          <w:lang w:val="es-ES_tradnl" w:eastAsia="es-ES"/>
        </w:rPr>
        <w:t xml:space="preserve">, </w:t>
      </w:r>
      <w:r w:rsidRPr="00DB625B">
        <w:rPr>
          <w:rFonts w:ascii="Times New Roman" w:eastAsia="Times New Roman" w:hAnsi="Times New Roman" w:cs="Times New Roman"/>
          <w:sz w:val="28"/>
          <w:szCs w:val="28"/>
          <w:lang w:val="es-ES_tradnl" w:eastAsia="es-ES"/>
        </w:rPr>
        <w:t xml:space="preserve">y </w:t>
      </w:r>
      <w:r w:rsidR="00170FDF" w:rsidRPr="00DB625B">
        <w:rPr>
          <w:rFonts w:ascii="Times New Roman" w:eastAsia="Times New Roman" w:hAnsi="Times New Roman" w:cs="Times New Roman"/>
          <w:b/>
          <w:sz w:val="28"/>
          <w:szCs w:val="28"/>
          <w:lang w:val="es-ES_tradnl" w:eastAsia="es-ES"/>
        </w:rPr>
        <w:t>(ix)</w:t>
      </w:r>
      <w:r w:rsidRPr="00DB625B">
        <w:rPr>
          <w:rFonts w:ascii="Times New Roman" w:eastAsia="Times New Roman" w:hAnsi="Times New Roman" w:cs="Times New Roman"/>
          <w:sz w:val="28"/>
          <w:szCs w:val="28"/>
          <w:lang w:val="es-ES_tradnl" w:eastAsia="es-ES"/>
        </w:rPr>
        <w:t xml:space="preserve"> el Grupo de Investigación Partidos Políticos de la Universidad Nacional de Colombia,</w:t>
      </w:r>
      <w:r w:rsidR="00170FDF" w:rsidRPr="00DB625B">
        <w:rPr>
          <w:rFonts w:ascii="Times New Roman" w:eastAsia="Times New Roman" w:hAnsi="Times New Roman" w:cs="Times New Roman"/>
          <w:sz w:val="28"/>
          <w:szCs w:val="28"/>
          <w:lang w:val="es-ES_tradnl" w:eastAsia="es-ES"/>
        </w:rPr>
        <w:t xml:space="preserve"> con el objeto de que emitieran concepto en relación con la constitucionalidad de la norma demandada, de conformidad con lo previsto en el artículo 13 del Decreto 2067 de 1991.</w:t>
      </w:r>
    </w:p>
    <w:p w:rsidR="00170FDF" w:rsidRPr="00DB625B" w:rsidRDefault="00170FDF" w:rsidP="00DB625B">
      <w:pPr>
        <w:spacing w:after="0" w:line="240" w:lineRule="auto"/>
        <w:rPr>
          <w:rFonts w:ascii="Times New Roman" w:eastAsia="Times New Roman" w:hAnsi="Times New Roman" w:cs="Times New Roman"/>
          <w:sz w:val="28"/>
          <w:szCs w:val="28"/>
          <w:lang w:val="es-ES_tradnl" w:eastAsia="es-ES"/>
        </w:rPr>
      </w:pPr>
    </w:p>
    <w:p w:rsidR="00170FDF" w:rsidRPr="00DB625B" w:rsidRDefault="00170FDF" w:rsidP="00DB625B">
      <w:pPr>
        <w:pStyle w:val="Prrafodelista"/>
        <w:numPr>
          <w:ilvl w:val="0"/>
          <w:numId w:val="5"/>
        </w:numPr>
        <w:spacing w:after="0" w:line="240" w:lineRule="auto"/>
        <w:ind w:left="0" w:right="-232" w:firstLine="0"/>
        <w:jc w:val="both"/>
        <w:rPr>
          <w:rFonts w:ascii="Times New Roman" w:eastAsia="Times New Roman" w:hAnsi="Times New Roman" w:cs="Times New Roman"/>
          <w:sz w:val="28"/>
          <w:szCs w:val="28"/>
          <w:lang w:val="es-ES_tradnl" w:eastAsia="es-ES"/>
        </w:rPr>
      </w:pPr>
      <w:r w:rsidRPr="00DB625B">
        <w:rPr>
          <w:rFonts w:ascii="Times New Roman" w:eastAsia="Times New Roman" w:hAnsi="Times New Roman" w:cs="Times New Roman"/>
          <w:sz w:val="28"/>
          <w:szCs w:val="28"/>
          <w:lang w:val="es-ES_tradnl" w:eastAsia="es-ES"/>
        </w:rPr>
        <w:t xml:space="preserve">Cumplidos los trámites constitucionales y legales propios de esta clase de procesos, la Corte entra a decidir sobre la demanda de la referencia. </w:t>
      </w:r>
    </w:p>
    <w:p w:rsidR="00170FDF" w:rsidRPr="00DB625B" w:rsidRDefault="00170FDF" w:rsidP="00DB625B">
      <w:pPr>
        <w:spacing w:after="0" w:line="240" w:lineRule="auto"/>
        <w:ind w:right="-232"/>
        <w:jc w:val="both"/>
        <w:rPr>
          <w:rFonts w:ascii="Times New Roman" w:eastAsia="Times New Roman" w:hAnsi="Times New Roman" w:cs="Times New Roman"/>
          <w:b/>
          <w:bCs/>
          <w:sz w:val="28"/>
          <w:szCs w:val="28"/>
          <w:lang w:val="es-ES_tradnl" w:eastAsia="es-ES"/>
        </w:rPr>
      </w:pPr>
    </w:p>
    <w:p w:rsidR="00170FDF" w:rsidRPr="00DB625B" w:rsidRDefault="00170FDF" w:rsidP="00DB625B">
      <w:pPr>
        <w:pStyle w:val="Prrafodelista"/>
        <w:numPr>
          <w:ilvl w:val="0"/>
          <w:numId w:val="7"/>
        </w:numPr>
        <w:spacing w:after="0" w:line="240" w:lineRule="auto"/>
        <w:ind w:right="-232"/>
        <w:jc w:val="center"/>
        <w:rPr>
          <w:rFonts w:ascii="Times New Roman" w:eastAsia="Times New Roman" w:hAnsi="Times New Roman" w:cs="Times New Roman"/>
          <w:b/>
          <w:bCs/>
          <w:sz w:val="28"/>
          <w:szCs w:val="28"/>
          <w:lang w:eastAsia="es-ES"/>
        </w:rPr>
      </w:pPr>
      <w:r w:rsidRPr="00DB625B">
        <w:rPr>
          <w:rFonts w:ascii="Times New Roman" w:eastAsia="Times New Roman" w:hAnsi="Times New Roman" w:cs="Times New Roman"/>
          <w:b/>
          <w:bCs/>
          <w:sz w:val="28"/>
          <w:szCs w:val="28"/>
          <w:lang w:eastAsia="es-ES"/>
        </w:rPr>
        <w:t>LAS NORMAS DEMANDADAS</w:t>
      </w:r>
    </w:p>
    <w:p w:rsidR="00170FDF" w:rsidRPr="00DB625B" w:rsidRDefault="00170FDF" w:rsidP="00DB625B">
      <w:pPr>
        <w:spacing w:after="0" w:line="240" w:lineRule="auto"/>
        <w:ind w:right="-232"/>
        <w:jc w:val="both"/>
        <w:rPr>
          <w:rFonts w:ascii="Times New Roman" w:eastAsia="Times New Roman" w:hAnsi="Times New Roman" w:cs="Times New Roman"/>
          <w:sz w:val="28"/>
          <w:szCs w:val="28"/>
          <w:lang w:val="es-ES_tradnl" w:eastAsia="es-ES"/>
        </w:rPr>
      </w:pPr>
    </w:p>
    <w:p w:rsidR="00170FDF" w:rsidRPr="00DB625B" w:rsidRDefault="00170FDF" w:rsidP="00DB625B">
      <w:pPr>
        <w:spacing w:after="0" w:line="240" w:lineRule="auto"/>
        <w:jc w:val="both"/>
        <w:rPr>
          <w:rFonts w:ascii="Times New Roman" w:eastAsia="Times New Roman" w:hAnsi="Times New Roman" w:cs="Times New Roman"/>
          <w:bCs/>
          <w:sz w:val="28"/>
          <w:szCs w:val="28"/>
          <w:lang w:eastAsia="es-CO"/>
        </w:rPr>
      </w:pPr>
      <w:r w:rsidRPr="00DB625B">
        <w:rPr>
          <w:rFonts w:ascii="Times New Roman" w:eastAsia="Times New Roman" w:hAnsi="Times New Roman" w:cs="Times New Roman"/>
          <w:bCs/>
          <w:sz w:val="28"/>
          <w:szCs w:val="28"/>
          <w:lang w:eastAsia="es-CO"/>
        </w:rPr>
        <w:t>A continuación se trascribe la disposición demandada.</w:t>
      </w:r>
    </w:p>
    <w:p w:rsidR="00170FDF" w:rsidRPr="00DB625B" w:rsidRDefault="00170FDF" w:rsidP="00DB625B">
      <w:pPr>
        <w:spacing w:after="0" w:line="240" w:lineRule="auto"/>
        <w:jc w:val="both"/>
        <w:rPr>
          <w:rFonts w:ascii="Times New Roman" w:eastAsia="Times New Roman" w:hAnsi="Times New Roman" w:cs="Times New Roman"/>
          <w:bCs/>
          <w:sz w:val="28"/>
          <w:szCs w:val="28"/>
          <w:lang w:eastAsia="es-CO"/>
        </w:rPr>
      </w:pPr>
    </w:p>
    <w:p w:rsidR="00AD51DD" w:rsidRPr="00DB625B" w:rsidRDefault="00AD51DD" w:rsidP="00DB625B">
      <w:pPr>
        <w:pStyle w:val="NormalWeb"/>
        <w:tabs>
          <w:tab w:val="left" w:pos="7655"/>
        </w:tabs>
        <w:spacing w:before="0" w:beforeAutospacing="0" w:after="0" w:afterAutospacing="0"/>
        <w:ind w:left="720" w:right="618"/>
        <w:jc w:val="center"/>
        <w:rPr>
          <w:b/>
          <w:bCs/>
          <w:sz w:val="28"/>
          <w:szCs w:val="28"/>
        </w:rPr>
      </w:pPr>
      <w:r w:rsidRPr="00DB625B">
        <w:rPr>
          <w:b/>
          <w:bCs/>
          <w:sz w:val="28"/>
          <w:szCs w:val="28"/>
        </w:rPr>
        <w:t>“</w:t>
      </w:r>
      <w:r w:rsidRPr="00DB625B">
        <w:rPr>
          <w:b/>
          <w:bCs/>
          <w:sz w:val="28"/>
          <w:szCs w:val="28"/>
          <w:lang w:val="es-CO"/>
        </w:rPr>
        <w:t>LEY 1952 DE 2019</w:t>
      </w:r>
    </w:p>
    <w:p w:rsidR="00AD51DD" w:rsidRPr="00DB625B" w:rsidRDefault="00AD51DD" w:rsidP="00DB625B">
      <w:pPr>
        <w:pStyle w:val="NormalWeb"/>
        <w:tabs>
          <w:tab w:val="left" w:pos="7655"/>
        </w:tabs>
        <w:spacing w:before="0" w:beforeAutospacing="0" w:after="0" w:afterAutospacing="0"/>
        <w:ind w:left="720" w:right="618"/>
        <w:jc w:val="center"/>
        <w:rPr>
          <w:bCs/>
          <w:sz w:val="28"/>
          <w:szCs w:val="28"/>
        </w:rPr>
      </w:pPr>
      <w:r w:rsidRPr="00DB625B">
        <w:rPr>
          <w:bCs/>
          <w:sz w:val="28"/>
          <w:szCs w:val="28"/>
        </w:rPr>
        <w:t>(Enero 28)</w:t>
      </w:r>
    </w:p>
    <w:p w:rsidR="00AD51DD" w:rsidRPr="00DB625B" w:rsidRDefault="00AD51DD" w:rsidP="00DB625B">
      <w:pPr>
        <w:pStyle w:val="NormalWeb"/>
        <w:tabs>
          <w:tab w:val="left" w:pos="7655"/>
        </w:tabs>
        <w:spacing w:before="0" w:beforeAutospacing="0" w:after="0" w:afterAutospacing="0"/>
        <w:ind w:left="720" w:right="618"/>
        <w:jc w:val="center"/>
        <w:rPr>
          <w:bCs/>
          <w:sz w:val="28"/>
          <w:szCs w:val="28"/>
        </w:rPr>
      </w:pPr>
      <w:r w:rsidRPr="00DB625B">
        <w:rPr>
          <w:bCs/>
          <w:sz w:val="28"/>
          <w:szCs w:val="28"/>
        </w:rPr>
        <w:t>Diario Oficial No. 50.850 de 28 de enero de 2019</w:t>
      </w:r>
    </w:p>
    <w:p w:rsidR="00AD51DD" w:rsidRPr="00DB625B" w:rsidRDefault="00AD51DD" w:rsidP="00DB625B">
      <w:pPr>
        <w:pStyle w:val="NormalWeb"/>
        <w:tabs>
          <w:tab w:val="left" w:pos="7655"/>
        </w:tabs>
        <w:spacing w:before="0" w:beforeAutospacing="0" w:after="0" w:afterAutospacing="0"/>
        <w:ind w:left="720" w:right="618"/>
        <w:jc w:val="center"/>
        <w:rPr>
          <w:bCs/>
          <w:sz w:val="28"/>
          <w:szCs w:val="28"/>
        </w:rPr>
      </w:pPr>
    </w:p>
    <w:p w:rsidR="00AD51DD" w:rsidRPr="00DB625B" w:rsidRDefault="00AD51DD" w:rsidP="00DB625B">
      <w:pPr>
        <w:pStyle w:val="NormalWeb"/>
        <w:tabs>
          <w:tab w:val="left" w:pos="7655"/>
        </w:tabs>
        <w:spacing w:before="0" w:beforeAutospacing="0" w:after="0" w:afterAutospacing="0"/>
        <w:ind w:left="720" w:right="618"/>
        <w:jc w:val="center"/>
        <w:rPr>
          <w:bCs/>
          <w:sz w:val="28"/>
          <w:szCs w:val="28"/>
        </w:rPr>
      </w:pPr>
      <w:r w:rsidRPr="00DB625B">
        <w:rPr>
          <w:bCs/>
          <w:sz w:val="28"/>
          <w:szCs w:val="28"/>
        </w:rPr>
        <w:t>"</w:t>
      </w:r>
      <w:r w:rsidRPr="00DB625B">
        <w:rPr>
          <w:bCs/>
          <w:i/>
          <w:sz w:val="28"/>
          <w:szCs w:val="28"/>
        </w:rPr>
        <w:t>Por medio de la cual se expide el Código General Disciplinario, se derogan la Ley 734 de 2002 y algunas disposiciones de la Ley 1474 de 2011, relacionadas con el derecho disciplinario</w:t>
      </w:r>
      <w:r w:rsidRPr="00DB625B">
        <w:rPr>
          <w:bCs/>
          <w:sz w:val="28"/>
          <w:szCs w:val="28"/>
        </w:rPr>
        <w:t>.”</w:t>
      </w:r>
    </w:p>
    <w:p w:rsidR="00AD51DD" w:rsidRPr="00DB625B" w:rsidRDefault="00AD51DD" w:rsidP="00DB625B">
      <w:pPr>
        <w:pStyle w:val="NormalWeb"/>
        <w:tabs>
          <w:tab w:val="left" w:pos="7655"/>
        </w:tabs>
        <w:spacing w:before="0" w:beforeAutospacing="0" w:after="0" w:afterAutospacing="0"/>
        <w:ind w:left="720" w:right="618"/>
        <w:jc w:val="center"/>
        <w:rPr>
          <w:b/>
          <w:bCs/>
          <w:sz w:val="28"/>
          <w:szCs w:val="28"/>
        </w:rPr>
      </w:pPr>
    </w:p>
    <w:p w:rsidR="00AD51DD" w:rsidRPr="00DB625B" w:rsidRDefault="00AD51DD" w:rsidP="00DB625B">
      <w:pPr>
        <w:pStyle w:val="NormalWeb"/>
        <w:tabs>
          <w:tab w:val="left" w:pos="7655"/>
        </w:tabs>
        <w:spacing w:before="0" w:beforeAutospacing="0" w:after="0" w:afterAutospacing="0"/>
        <w:ind w:left="720" w:right="618"/>
        <w:jc w:val="center"/>
        <w:rPr>
          <w:b/>
          <w:bCs/>
          <w:sz w:val="28"/>
          <w:szCs w:val="28"/>
        </w:rPr>
      </w:pPr>
      <w:r w:rsidRPr="00DB625B">
        <w:rPr>
          <w:b/>
          <w:bCs/>
          <w:sz w:val="28"/>
          <w:szCs w:val="28"/>
        </w:rPr>
        <w:t>El Congreso de la República</w:t>
      </w:r>
    </w:p>
    <w:p w:rsidR="00AD51DD" w:rsidRPr="00DB625B" w:rsidRDefault="00AD51DD" w:rsidP="00DB625B">
      <w:pPr>
        <w:pStyle w:val="NormalWeb"/>
        <w:tabs>
          <w:tab w:val="left" w:pos="7655"/>
        </w:tabs>
        <w:spacing w:before="0" w:beforeAutospacing="0" w:after="0" w:afterAutospacing="0"/>
        <w:ind w:left="720" w:right="618"/>
        <w:jc w:val="center"/>
        <w:rPr>
          <w:b/>
          <w:bCs/>
          <w:sz w:val="28"/>
          <w:szCs w:val="28"/>
        </w:rPr>
      </w:pPr>
    </w:p>
    <w:p w:rsidR="00AD51DD" w:rsidRPr="00DB625B" w:rsidRDefault="00AD51DD" w:rsidP="00DB625B">
      <w:pPr>
        <w:pStyle w:val="NormalWeb"/>
        <w:tabs>
          <w:tab w:val="left" w:pos="7655"/>
        </w:tabs>
        <w:spacing w:before="0" w:beforeAutospacing="0" w:after="0" w:afterAutospacing="0"/>
        <w:ind w:left="720" w:right="618"/>
        <w:jc w:val="center"/>
        <w:rPr>
          <w:b/>
          <w:bCs/>
          <w:sz w:val="28"/>
          <w:szCs w:val="28"/>
        </w:rPr>
      </w:pPr>
      <w:r w:rsidRPr="00DB625B">
        <w:rPr>
          <w:b/>
          <w:bCs/>
          <w:sz w:val="28"/>
          <w:szCs w:val="28"/>
        </w:rPr>
        <w:t>DECRETA:</w:t>
      </w:r>
    </w:p>
    <w:p w:rsidR="00AD51DD" w:rsidRPr="00DB625B" w:rsidRDefault="00AD51DD" w:rsidP="00DB625B">
      <w:pPr>
        <w:pStyle w:val="NormalWeb"/>
        <w:tabs>
          <w:tab w:val="left" w:pos="7655"/>
        </w:tabs>
        <w:spacing w:before="0" w:beforeAutospacing="0" w:after="0" w:afterAutospacing="0"/>
        <w:ind w:left="720" w:right="618"/>
        <w:jc w:val="center"/>
        <w:rPr>
          <w:b/>
          <w:bCs/>
          <w:sz w:val="28"/>
          <w:szCs w:val="28"/>
        </w:rPr>
      </w:pPr>
    </w:p>
    <w:p w:rsidR="00AD51DD" w:rsidRPr="00DB625B" w:rsidRDefault="00AD51DD" w:rsidP="00DB625B">
      <w:pPr>
        <w:pStyle w:val="NormalWeb"/>
        <w:tabs>
          <w:tab w:val="left" w:pos="7655"/>
        </w:tabs>
        <w:spacing w:before="0" w:beforeAutospacing="0" w:after="0" w:afterAutospacing="0"/>
        <w:ind w:left="720" w:right="618"/>
        <w:jc w:val="center"/>
        <w:rPr>
          <w:b/>
          <w:bCs/>
          <w:sz w:val="28"/>
          <w:szCs w:val="28"/>
        </w:rPr>
      </w:pPr>
      <w:r w:rsidRPr="00DB625B">
        <w:rPr>
          <w:b/>
          <w:bCs/>
          <w:sz w:val="28"/>
          <w:szCs w:val="28"/>
        </w:rPr>
        <w:t>CAPÍTULO III.</w:t>
      </w:r>
    </w:p>
    <w:p w:rsidR="00AD51DD" w:rsidRPr="00DB625B" w:rsidRDefault="00AD51DD" w:rsidP="00DB625B">
      <w:pPr>
        <w:pStyle w:val="NormalWeb"/>
        <w:tabs>
          <w:tab w:val="left" w:pos="7655"/>
        </w:tabs>
        <w:spacing w:before="0" w:beforeAutospacing="0" w:after="0" w:afterAutospacing="0"/>
        <w:ind w:left="720" w:right="618"/>
        <w:jc w:val="center"/>
        <w:rPr>
          <w:b/>
          <w:bCs/>
          <w:sz w:val="28"/>
          <w:szCs w:val="28"/>
        </w:rPr>
      </w:pPr>
      <w:r w:rsidRPr="00DB625B">
        <w:rPr>
          <w:b/>
          <w:bCs/>
          <w:sz w:val="28"/>
          <w:szCs w:val="28"/>
        </w:rPr>
        <w:t>SUSPENSIÓN PROVISIONAL Y OTRAS MEDIDAS</w:t>
      </w:r>
    </w:p>
    <w:p w:rsidR="00AD51DD" w:rsidRPr="00DB625B" w:rsidRDefault="00AD51DD" w:rsidP="00DB625B">
      <w:pPr>
        <w:pStyle w:val="NormalWeb"/>
        <w:tabs>
          <w:tab w:val="left" w:pos="7655"/>
        </w:tabs>
        <w:spacing w:before="0" w:beforeAutospacing="0" w:after="0" w:afterAutospacing="0"/>
        <w:ind w:left="720" w:right="618"/>
        <w:jc w:val="both"/>
        <w:rPr>
          <w:b/>
          <w:bCs/>
          <w:sz w:val="28"/>
          <w:szCs w:val="28"/>
        </w:rPr>
      </w:pPr>
    </w:p>
    <w:p w:rsidR="00AD51DD" w:rsidRPr="00DB625B" w:rsidRDefault="00AD51DD" w:rsidP="00DB625B">
      <w:pPr>
        <w:pStyle w:val="NormalWeb"/>
        <w:tabs>
          <w:tab w:val="left" w:pos="7655"/>
        </w:tabs>
        <w:spacing w:before="0" w:beforeAutospacing="0" w:after="0" w:afterAutospacing="0"/>
        <w:ind w:left="720" w:right="618"/>
        <w:jc w:val="both"/>
        <w:rPr>
          <w:bCs/>
          <w:i/>
          <w:sz w:val="28"/>
          <w:szCs w:val="28"/>
        </w:rPr>
      </w:pPr>
      <w:r w:rsidRPr="00DB625B">
        <w:rPr>
          <w:bCs/>
          <w:i/>
          <w:sz w:val="28"/>
          <w:szCs w:val="28"/>
        </w:rPr>
        <w:lastRenderedPageBreak/>
        <w:t>“ARTÍCULO 217. SUSPENSIÓN PROVISIONAL. Durante la investigación disciplinaría o el juzgamiento por faltas calificadas como gravísimas o graves, el funcionario que la esté adelantando podrá ordenar motivadamente la suspensión provisional del servidor público, sin derecho a remuneración alguna, siempre y cuando se evidencien serios elementos de juicio que permitan establecer que la permanencia en el cargo, función o servicio público posibilita la interferencia del autor de la falta en el trámite de la investigación o permite que continúe cometiéndola o que la reitere.</w:t>
      </w:r>
    </w:p>
    <w:p w:rsidR="00AD51DD" w:rsidRPr="00DB625B" w:rsidRDefault="00AD51DD" w:rsidP="00DB625B">
      <w:pPr>
        <w:pStyle w:val="NormalWeb"/>
        <w:tabs>
          <w:tab w:val="left" w:pos="7655"/>
        </w:tabs>
        <w:spacing w:before="0" w:beforeAutospacing="0" w:after="0" w:afterAutospacing="0"/>
        <w:ind w:left="720" w:right="618"/>
        <w:jc w:val="both"/>
        <w:rPr>
          <w:bCs/>
          <w:i/>
          <w:sz w:val="28"/>
          <w:szCs w:val="28"/>
        </w:rPr>
      </w:pPr>
    </w:p>
    <w:p w:rsidR="00AD51DD" w:rsidRPr="00DB625B" w:rsidRDefault="00AD51DD" w:rsidP="00DB625B">
      <w:pPr>
        <w:pStyle w:val="NormalWeb"/>
        <w:tabs>
          <w:tab w:val="left" w:pos="7655"/>
        </w:tabs>
        <w:spacing w:before="0" w:beforeAutospacing="0" w:after="0" w:afterAutospacing="0"/>
        <w:ind w:left="720" w:right="618"/>
        <w:jc w:val="both"/>
        <w:rPr>
          <w:bCs/>
          <w:i/>
          <w:sz w:val="28"/>
          <w:szCs w:val="28"/>
        </w:rPr>
      </w:pPr>
      <w:r w:rsidRPr="00DB625B">
        <w:rPr>
          <w:bCs/>
          <w:i/>
          <w:sz w:val="28"/>
          <w:szCs w:val="28"/>
        </w:rPr>
        <w:t>El término de la suspensión provisional será de tres meses, prorrogable hasta en otro tanto. Dicha suspensión podrá prorrogarse por otros tres meses, una vez proferido el fallo de primera o única instancia..</w:t>
      </w:r>
    </w:p>
    <w:p w:rsidR="00AD51DD" w:rsidRPr="00DB625B" w:rsidRDefault="00AD51DD" w:rsidP="00DB625B">
      <w:pPr>
        <w:pStyle w:val="NormalWeb"/>
        <w:tabs>
          <w:tab w:val="left" w:pos="7655"/>
        </w:tabs>
        <w:spacing w:before="0" w:beforeAutospacing="0" w:after="0" w:afterAutospacing="0"/>
        <w:ind w:left="720" w:right="618"/>
        <w:jc w:val="both"/>
        <w:rPr>
          <w:bCs/>
          <w:i/>
          <w:sz w:val="28"/>
          <w:szCs w:val="28"/>
        </w:rPr>
      </w:pPr>
    </w:p>
    <w:p w:rsidR="00AD51DD" w:rsidRPr="00DB625B" w:rsidRDefault="00AD51DD" w:rsidP="00DB625B">
      <w:pPr>
        <w:pStyle w:val="NormalWeb"/>
        <w:tabs>
          <w:tab w:val="left" w:pos="7655"/>
        </w:tabs>
        <w:spacing w:before="0" w:beforeAutospacing="0" w:after="0" w:afterAutospacing="0"/>
        <w:ind w:left="720" w:right="618"/>
        <w:jc w:val="both"/>
        <w:rPr>
          <w:bCs/>
          <w:i/>
          <w:sz w:val="28"/>
          <w:szCs w:val="28"/>
        </w:rPr>
      </w:pPr>
      <w:r w:rsidRPr="00DB625B">
        <w:rPr>
          <w:bCs/>
          <w:i/>
          <w:sz w:val="28"/>
          <w:szCs w:val="28"/>
        </w:rPr>
        <w:t>El auto que decreta la suspensión provisional y las decisiones de prórroga serán objeto de consulta, sin perjuicio de su inmediato cumplimiento.</w:t>
      </w:r>
    </w:p>
    <w:p w:rsidR="00AD51DD" w:rsidRPr="00DB625B" w:rsidRDefault="00AD51DD" w:rsidP="00DB625B">
      <w:pPr>
        <w:pStyle w:val="NormalWeb"/>
        <w:tabs>
          <w:tab w:val="left" w:pos="7655"/>
        </w:tabs>
        <w:spacing w:before="0" w:beforeAutospacing="0" w:after="0" w:afterAutospacing="0"/>
        <w:ind w:left="720" w:right="618"/>
        <w:jc w:val="both"/>
        <w:rPr>
          <w:bCs/>
          <w:i/>
          <w:sz w:val="28"/>
          <w:szCs w:val="28"/>
        </w:rPr>
      </w:pPr>
    </w:p>
    <w:p w:rsidR="00AD51DD" w:rsidRPr="00DB625B" w:rsidRDefault="00AD51DD" w:rsidP="00DB625B">
      <w:pPr>
        <w:pStyle w:val="NormalWeb"/>
        <w:tabs>
          <w:tab w:val="left" w:pos="7655"/>
        </w:tabs>
        <w:spacing w:before="0" w:beforeAutospacing="0" w:after="0" w:afterAutospacing="0"/>
        <w:ind w:left="720" w:right="618"/>
        <w:jc w:val="both"/>
        <w:rPr>
          <w:bCs/>
          <w:i/>
          <w:sz w:val="28"/>
          <w:szCs w:val="28"/>
        </w:rPr>
      </w:pPr>
      <w:r w:rsidRPr="00DB625B">
        <w:rPr>
          <w:bCs/>
          <w:i/>
          <w:sz w:val="28"/>
          <w:szCs w:val="28"/>
        </w:rPr>
        <w:t>Para los efectos propios de la consulta, el funcionario remitirá de inmediato el proceso al superior, previa comunicación de la decisión al afectado.</w:t>
      </w:r>
    </w:p>
    <w:p w:rsidR="00AD51DD" w:rsidRPr="00DB625B" w:rsidRDefault="00AD51DD" w:rsidP="00DB625B">
      <w:pPr>
        <w:pStyle w:val="NormalWeb"/>
        <w:tabs>
          <w:tab w:val="left" w:pos="7655"/>
        </w:tabs>
        <w:spacing w:before="0" w:beforeAutospacing="0" w:after="0" w:afterAutospacing="0"/>
        <w:ind w:left="720" w:right="618"/>
        <w:jc w:val="both"/>
        <w:rPr>
          <w:bCs/>
          <w:i/>
          <w:sz w:val="28"/>
          <w:szCs w:val="28"/>
        </w:rPr>
      </w:pPr>
    </w:p>
    <w:p w:rsidR="00AD51DD" w:rsidRPr="00DB625B" w:rsidRDefault="00AD51DD" w:rsidP="00DB625B">
      <w:pPr>
        <w:pStyle w:val="NormalWeb"/>
        <w:tabs>
          <w:tab w:val="left" w:pos="7655"/>
        </w:tabs>
        <w:spacing w:before="0" w:beforeAutospacing="0" w:after="0" w:afterAutospacing="0"/>
        <w:ind w:left="720" w:right="618"/>
        <w:jc w:val="both"/>
        <w:rPr>
          <w:bCs/>
          <w:i/>
          <w:sz w:val="28"/>
          <w:szCs w:val="28"/>
        </w:rPr>
      </w:pPr>
      <w:r w:rsidRPr="00DB625B">
        <w:rPr>
          <w:bCs/>
          <w:i/>
          <w:sz w:val="28"/>
          <w:szCs w:val="28"/>
        </w:rPr>
        <w:t>Recibido el expediente, el superior dispondrá que permanezca en Secretaría por el término de tres días, durante los cuales el disciplinado podrá presentar alegaciones en su favor, acompañadas de las pruebas en que las sustente. Vencido dicho término, se decidirá dentro de los diez días siguientes.</w:t>
      </w:r>
    </w:p>
    <w:p w:rsidR="00AD51DD" w:rsidRPr="00DB625B" w:rsidRDefault="00AD51DD" w:rsidP="00DB625B">
      <w:pPr>
        <w:pStyle w:val="NormalWeb"/>
        <w:tabs>
          <w:tab w:val="left" w:pos="7655"/>
        </w:tabs>
        <w:spacing w:before="0" w:beforeAutospacing="0" w:after="0" w:afterAutospacing="0"/>
        <w:ind w:left="720" w:right="618"/>
        <w:jc w:val="both"/>
        <w:rPr>
          <w:bCs/>
          <w:i/>
          <w:sz w:val="28"/>
          <w:szCs w:val="28"/>
        </w:rPr>
      </w:pPr>
    </w:p>
    <w:p w:rsidR="00AD51DD" w:rsidRPr="00DB625B" w:rsidRDefault="00AD51DD" w:rsidP="00DB625B">
      <w:pPr>
        <w:pStyle w:val="NormalWeb"/>
        <w:tabs>
          <w:tab w:val="left" w:pos="7655"/>
        </w:tabs>
        <w:spacing w:before="0" w:beforeAutospacing="0" w:after="0" w:afterAutospacing="0"/>
        <w:ind w:left="720" w:right="618"/>
        <w:jc w:val="both"/>
        <w:rPr>
          <w:bCs/>
          <w:i/>
          <w:sz w:val="28"/>
          <w:szCs w:val="28"/>
        </w:rPr>
      </w:pPr>
      <w:r w:rsidRPr="00DB625B">
        <w:rPr>
          <w:bCs/>
          <w:i/>
          <w:sz w:val="28"/>
          <w:szCs w:val="28"/>
        </w:rPr>
        <w:t>Cuando desaparezcan los motivos que dieron lugar a la medida, la suspensión provisional deberá ser revocada en cualquier momento por quien la profirió, o por el superior funcional del funcionario competente para dictar el fallo de primera instancia.</w:t>
      </w:r>
    </w:p>
    <w:p w:rsidR="00AD51DD" w:rsidRPr="00DB625B" w:rsidRDefault="00AD51DD" w:rsidP="00DB625B">
      <w:pPr>
        <w:pStyle w:val="NormalWeb"/>
        <w:tabs>
          <w:tab w:val="left" w:pos="7655"/>
        </w:tabs>
        <w:spacing w:before="0" w:beforeAutospacing="0" w:after="0" w:afterAutospacing="0"/>
        <w:ind w:left="720" w:right="618"/>
        <w:jc w:val="both"/>
        <w:rPr>
          <w:bCs/>
          <w:i/>
          <w:sz w:val="28"/>
          <w:szCs w:val="28"/>
        </w:rPr>
      </w:pPr>
    </w:p>
    <w:p w:rsidR="00170FDF" w:rsidRPr="00DB625B" w:rsidRDefault="00AD51DD" w:rsidP="00DB625B">
      <w:pPr>
        <w:pStyle w:val="NormalWeb"/>
        <w:tabs>
          <w:tab w:val="left" w:pos="7655"/>
        </w:tabs>
        <w:spacing w:before="0" w:beforeAutospacing="0" w:after="0" w:afterAutospacing="0"/>
        <w:ind w:left="720" w:right="618"/>
        <w:jc w:val="both"/>
        <w:rPr>
          <w:bCs/>
          <w:i/>
          <w:sz w:val="28"/>
          <w:szCs w:val="28"/>
        </w:rPr>
      </w:pPr>
      <w:r w:rsidRPr="00DB625B">
        <w:rPr>
          <w:bCs/>
          <w:i/>
          <w:sz w:val="28"/>
          <w:szCs w:val="28"/>
        </w:rPr>
        <w:t xml:space="preserve">PARÁGRAFO. Cuando la sanción impuesta fuere de suspensión e inhabilidad o únicamente de suspensión, para su cumplimiento se tendrá en cuenta el lapso en que el disciplinado permaneció suspendido provisionalmente. Si la </w:t>
      </w:r>
      <w:r w:rsidRPr="00DB625B">
        <w:rPr>
          <w:bCs/>
          <w:i/>
          <w:sz w:val="28"/>
          <w:szCs w:val="28"/>
        </w:rPr>
        <w:lastRenderedPageBreak/>
        <w:t>sanción fuere de suspensión inferior al término de la aplicada provisionalmente, tendrá derecho a percibir la diferencia”</w:t>
      </w:r>
    </w:p>
    <w:p w:rsidR="004B6284" w:rsidRPr="00DB625B" w:rsidRDefault="004B6284" w:rsidP="00DB625B">
      <w:pPr>
        <w:pStyle w:val="NormalWeb"/>
        <w:tabs>
          <w:tab w:val="left" w:pos="7655"/>
        </w:tabs>
        <w:spacing w:before="0" w:beforeAutospacing="0" w:after="0" w:afterAutospacing="0"/>
        <w:ind w:right="618"/>
        <w:rPr>
          <w:i/>
          <w:sz w:val="28"/>
          <w:szCs w:val="28"/>
        </w:rPr>
      </w:pPr>
    </w:p>
    <w:p w:rsidR="00170FDF" w:rsidRPr="00DB625B" w:rsidRDefault="00170FDF" w:rsidP="00DB625B">
      <w:pPr>
        <w:pStyle w:val="Prrafodelista"/>
        <w:numPr>
          <w:ilvl w:val="0"/>
          <w:numId w:val="7"/>
        </w:numPr>
        <w:spacing w:after="0" w:line="240" w:lineRule="auto"/>
        <w:ind w:right="-232"/>
        <w:jc w:val="center"/>
        <w:rPr>
          <w:rFonts w:ascii="Times New Roman" w:eastAsia="Times New Roman" w:hAnsi="Times New Roman" w:cs="Times New Roman"/>
          <w:b/>
          <w:sz w:val="28"/>
          <w:szCs w:val="28"/>
          <w:lang w:val="es-ES_tradnl" w:eastAsia="es-ES"/>
        </w:rPr>
      </w:pPr>
      <w:r w:rsidRPr="00DB625B">
        <w:rPr>
          <w:rFonts w:ascii="Times New Roman" w:eastAsia="Times New Roman" w:hAnsi="Times New Roman" w:cs="Times New Roman"/>
          <w:b/>
          <w:sz w:val="28"/>
          <w:szCs w:val="28"/>
          <w:lang w:val="es-ES_tradnl" w:eastAsia="es-ES"/>
        </w:rPr>
        <w:t>DEMANDA</w:t>
      </w:r>
    </w:p>
    <w:p w:rsidR="00170FDF" w:rsidRPr="00DB625B" w:rsidRDefault="00170FDF" w:rsidP="00DB625B">
      <w:pPr>
        <w:pStyle w:val="Prrafodelista"/>
        <w:spacing w:after="0" w:line="240" w:lineRule="auto"/>
        <w:ind w:left="861" w:right="-232"/>
        <w:rPr>
          <w:rFonts w:ascii="Times New Roman" w:eastAsia="Times New Roman" w:hAnsi="Times New Roman" w:cs="Times New Roman"/>
          <w:b/>
          <w:sz w:val="28"/>
          <w:szCs w:val="28"/>
          <w:lang w:val="es-ES_tradnl" w:eastAsia="es-ES"/>
        </w:rPr>
      </w:pPr>
    </w:p>
    <w:p w:rsidR="00AD51DD" w:rsidRPr="00DB625B" w:rsidRDefault="00AD51DD" w:rsidP="00DB625B">
      <w:pPr>
        <w:pStyle w:val="Prrafodelista"/>
        <w:spacing w:after="0" w:line="240" w:lineRule="auto"/>
        <w:ind w:left="0" w:right="23"/>
        <w:jc w:val="both"/>
        <w:rPr>
          <w:rFonts w:ascii="Times New Roman" w:eastAsia="Times New Roman" w:hAnsi="Times New Roman" w:cs="Times New Roman"/>
          <w:bCs/>
          <w:sz w:val="28"/>
          <w:szCs w:val="28"/>
          <w:lang w:val="es-ES" w:eastAsia="es-ES"/>
        </w:rPr>
      </w:pPr>
      <w:r w:rsidRPr="00DB625B">
        <w:rPr>
          <w:rFonts w:ascii="Times New Roman" w:eastAsia="Times New Roman" w:hAnsi="Times New Roman" w:cs="Times New Roman"/>
          <w:sz w:val="28"/>
          <w:szCs w:val="28"/>
          <w:lang w:val="es-ES_tradnl" w:eastAsia="es-ES"/>
        </w:rPr>
        <w:t>Las ciudadanas Martha Yohana Reyes Medina y Liliana Patricia Ruíz Urrea</w:t>
      </w:r>
      <w:r w:rsidR="00170FDF" w:rsidRPr="00DB625B">
        <w:rPr>
          <w:rFonts w:ascii="Times New Roman" w:eastAsia="Times New Roman" w:hAnsi="Times New Roman" w:cs="Times New Roman"/>
          <w:sz w:val="28"/>
          <w:szCs w:val="28"/>
          <w:lang w:val="es-ES_tradnl" w:eastAsia="es-ES"/>
        </w:rPr>
        <w:t xml:space="preserve"> solicit</w:t>
      </w:r>
      <w:r w:rsidRPr="00DB625B">
        <w:rPr>
          <w:rFonts w:ascii="Times New Roman" w:eastAsia="Times New Roman" w:hAnsi="Times New Roman" w:cs="Times New Roman"/>
          <w:sz w:val="28"/>
          <w:szCs w:val="28"/>
          <w:lang w:val="es-ES_tradnl" w:eastAsia="es-ES"/>
        </w:rPr>
        <w:t>aron</w:t>
      </w:r>
      <w:r w:rsidR="00170FDF" w:rsidRPr="00DB625B">
        <w:rPr>
          <w:rFonts w:ascii="Times New Roman" w:eastAsia="Times New Roman" w:hAnsi="Times New Roman" w:cs="Times New Roman"/>
          <w:sz w:val="28"/>
          <w:szCs w:val="28"/>
          <w:lang w:val="es-ES_tradnl" w:eastAsia="es-ES"/>
        </w:rPr>
        <w:t xml:space="preserve"> la inexequibilidad </w:t>
      </w:r>
      <w:r w:rsidRPr="00DB625B">
        <w:rPr>
          <w:rFonts w:ascii="Times New Roman" w:eastAsia="Times New Roman" w:hAnsi="Times New Roman" w:cs="Times New Roman"/>
          <w:sz w:val="28"/>
          <w:szCs w:val="28"/>
          <w:lang w:val="es-ES_tradnl" w:eastAsia="es-ES"/>
        </w:rPr>
        <w:t>del artículo 217 de la Ley 1952 de 2019, al considerar que es contrario a las disposiciones contenidas en los artículos 152 y 153 de la Constitución Política de 1991.</w:t>
      </w:r>
      <w:r w:rsidR="007F0CC8" w:rsidRPr="00DB625B">
        <w:rPr>
          <w:rFonts w:ascii="Times New Roman" w:eastAsia="Times New Roman" w:hAnsi="Times New Roman" w:cs="Times New Roman"/>
          <w:bCs/>
          <w:sz w:val="28"/>
          <w:szCs w:val="28"/>
          <w:lang w:val="es-ES" w:eastAsia="es-ES"/>
        </w:rPr>
        <w:t xml:space="preserve"> L</w:t>
      </w:r>
      <w:r w:rsidRPr="00DB625B">
        <w:rPr>
          <w:rFonts w:ascii="Times New Roman" w:eastAsia="Times New Roman" w:hAnsi="Times New Roman" w:cs="Times New Roman"/>
          <w:sz w:val="28"/>
          <w:szCs w:val="28"/>
          <w:lang w:val="es-ES_tradnl" w:eastAsia="es-ES"/>
        </w:rPr>
        <w:t xml:space="preserve">as accionantes consideraron que </w:t>
      </w:r>
      <w:r w:rsidR="00091D83" w:rsidRPr="00DB625B">
        <w:rPr>
          <w:rFonts w:ascii="Times New Roman" w:eastAsia="Times New Roman" w:hAnsi="Times New Roman" w:cs="Times New Roman"/>
          <w:sz w:val="28"/>
          <w:szCs w:val="28"/>
          <w:lang w:val="es-ES_tradnl" w:eastAsia="es-ES"/>
        </w:rPr>
        <w:t>la norma acusada desconoce la</w:t>
      </w:r>
      <w:r w:rsidRPr="00DB625B">
        <w:rPr>
          <w:rFonts w:ascii="Times New Roman" w:eastAsia="Times New Roman" w:hAnsi="Times New Roman" w:cs="Times New Roman"/>
          <w:sz w:val="28"/>
          <w:szCs w:val="28"/>
          <w:lang w:val="es-ES_tradnl" w:eastAsia="es-ES"/>
        </w:rPr>
        <w:t xml:space="preserve"> reserva de Ley Estatutaria, en cuanto restringe el efectivo ejercicio de un derecho fundamental. Para las censoras, la norma demandada regula el núcleo esencial del derecho fundamental a participar en la conformación, ejercicio y control del poder político, al indicar que se suspenden provisionalmente los funcionarios elegidos popularmente, cuando hubieran cometido faltas graves o gravísimas.</w:t>
      </w:r>
    </w:p>
    <w:p w:rsidR="00AD51DD" w:rsidRPr="00DB625B" w:rsidRDefault="00AD51DD" w:rsidP="00DB625B">
      <w:pPr>
        <w:pStyle w:val="Prrafodelista"/>
        <w:spacing w:after="0" w:line="240" w:lineRule="auto"/>
        <w:ind w:left="0"/>
        <w:jc w:val="both"/>
        <w:rPr>
          <w:rFonts w:ascii="Times New Roman" w:eastAsia="Times New Roman" w:hAnsi="Times New Roman" w:cs="Times New Roman"/>
          <w:sz w:val="28"/>
          <w:szCs w:val="28"/>
          <w:lang w:val="es-ES_tradnl" w:eastAsia="es-ES"/>
        </w:rPr>
      </w:pPr>
    </w:p>
    <w:p w:rsidR="00AD51DD" w:rsidRPr="00DB625B" w:rsidRDefault="007F0CC8" w:rsidP="00DB625B">
      <w:pPr>
        <w:pStyle w:val="Prrafodelista"/>
        <w:spacing w:after="0" w:line="240" w:lineRule="auto"/>
        <w:ind w:left="0"/>
        <w:jc w:val="both"/>
        <w:rPr>
          <w:rFonts w:ascii="Times New Roman" w:eastAsia="Times New Roman" w:hAnsi="Times New Roman" w:cs="Times New Roman"/>
          <w:sz w:val="28"/>
          <w:szCs w:val="28"/>
          <w:lang w:val="es-ES_tradnl" w:eastAsia="es-ES"/>
        </w:rPr>
      </w:pPr>
      <w:r w:rsidRPr="00DB625B">
        <w:rPr>
          <w:rFonts w:ascii="Times New Roman" w:eastAsia="Times New Roman" w:hAnsi="Times New Roman" w:cs="Times New Roman"/>
          <w:sz w:val="28"/>
          <w:szCs w:val="28"/>
          <w:lang w:val="es-ES_tradnl" w:eastAsia="es-ES"/>
        </w:rPr>
        <w:t>Así mismo</w:t>
      </w:r>
      <w:r w:rsidR="00AD51DD" w:rsidRPr="00DB625B">
        <w:rPr>
          <w:rFonts w:ascii="Times New Roman" w:eastAsia="Times New Roman" w:hAnsi="Times New Roman" w:cs="Times New Roman"/>
          <w:sz w:val="28"/>
          <w:szCs w:val="28"/>
          <w:lang w:val="es-ES_tradnl" w:eastAsia="es-ES"/>
        </w:rPr>
        <w:t xml:space="preserve">, </w:t>
      </w:r>
      <w:r w:rsidRPr="00DB625B">
        <w:rPr>
          <w:rFonts w:ascii="Times New Roman" w:eastAsia="Times New Roman" w:hAnsi="Times New Roman" w:cs="Times New Roman"/>
          <w:sz w:val="28"/>
          <w:szCs w:val="28"/>
          <w:lang w:val="es-ES_tradnl" w:eastAsia="es-ES"/>
        </w:rPr>
        <w:t xml:space="preserve">precisaron que no se configuraba </w:t>
      </w:r>
      <w:r w:rsidR="00AD51DD" w:rsidRPr="00DB625B">
        <w:rPr>
          <w:rFonts w:ascii="Times New Roman" w:eastAsia="Times New Roman" w:hAnsi="Times New Roman" w:cs="Times New Roman"/>
          <w:sz w:val="28"/>
          <w:szCs w:val="28"/>
          <w:lang w:val="es-ES_tradnl" w:eastAsia="es-ES"/>
        </w:rPr>
        <w:t xml:space="preserve">la existencia de </w:t>
      </w:r>
      <w:r w:rsidRPr="00DB625B">
        <w:rPr>
          <w:rFonts w:ascii="Times New Roman" w:eastAsia="Times New Roman" w:hAnsi="Times New Roman" w:cs="Times New Roman"/>
          <w:sz w:val="28"/>
          <w:szCs w:val="28"/>
          <w:lang w:val="es-ES_tradnl" w:eastAsia="es-ES"/>
        </w:rPr>
        <w:t xml:space="preserve">la </w:t>
      </w:r>
      <w:r w:rsidR="00AD51DD" w:rsidRPr="00DB625B">
        <w:rPr>
          <w:rFonts w:ascii="Times New Roman" w:eastAsia="Times New Roman" w:hAnsi="Times New Roman" w:cs="Times New Roman"/>
          <w:sz w:val="28"/>
          <w:szCs w:val="28"/>
          <w:lang w:val="es-ES_tradnl" w:eastAsia="es-ES"/>
        </w:rPr>
        <w:t>cosa juzgada en relación con la Sentencia C-086 de 2019, toda vez que los cargos y los parámetros de constitucionalidad son diferentes en uno y otro caso. Indicaron que, en aquella ocasión, se estudió la validez del artículo 217 de la Ley 1952 de 2019 frente al artículo 23 de la Convención Americana de Derechos Humanos por haber entregado a una autoridad administrativa la competencia de suspender los derechos políticos de un funcionario elegido popularmente; mientras la demanda actual cuestiona la misma norma pero bajo el cargo de desconocer los artículos 152 y 153 de la Constitución, que se refieren a la reserva de ley estatuaria.</w:t>
      </w:r>
    </w:p>
    <w:p w:rsidR="00170FDF" w:rsidRPr="00DB625B" w:rsidRDefault="00170FDF" w:rsidP="00DB625B">
      <w:pPr>
        <w:pStyle w:val="Prrafodelista"/>
        <w:spacing w:after="0" w:line="240" w:lineRule="auto"/>
        <w:ind w:left="0"/>
        <w:jc w:val="both"/>
        <w:rPr>
          <w:rFonts w:ascii="Times New Roman" w:eastAsia="Times New Roman" w:hAnsi="Times New Roman" w:cs="Times New Roman"/>
          <w:sz w:val="28"/>
          <w:szCs w:val="28"/>
          <w:lang w:val="es-ES_tradnl" w:eastAsia="es-ES"/>
        </w:rPr>
      </w:pPr>
    </w:p>
    <w:p w:rsidR="00170FDF" w:rsidRPr="00DB625B" w:rsidRDefault="00170FDF" w:rsidP="00DB625B">
      <w:pPr>
        <w:pStyle w:val="Prrafodelista"/>
        <w:numPr>
          <w:ilvl w:val="0"/>
          <w:numId w:val="7"/>
        </w:numPr>
        <w:spacing w:after="0" w:line="240" w:lineRule="auto"/>
        <w:jc w:val="center"/>
        <w:rPr>
          <w:rFonts w:ascii="Times New Roman" w:eastAsia="Times New Roman" w:hAnsi="Times New Roman" w:cs="Times New Roman"/>
          <w:b/>
          <w:bCs/>
          <w:sz w:val="28"/>
          <w:szCs w:val="28"/>
          <w:lang w:eastAsia="es-ES"/>
        </w:rPr>
      </w:pPr>
      <w:r w:rsidRPr="00DB625B">
        <w:rPr>
          <w:rFonts w:ascii="Times New Roman" w:eastAsia="Times New Roman" w:hAnsi="Times New Roman" w:cs="Times New Roman"/>
          <w:b/>
          <w:bCs/>
          <w:sz w:val="28"/>
          <w:szCs w:val="28"/>
          <w:lang w:eastAsia="es-ES"/>
        </w:rPr>
        <w:t>INTERVENCIONES</w:t>
      </w:r>
    </w:p>
    <w:p w:rsidR="00170FDF" w:rsidRPr="00DB625B" w:rsidRDefault="00170FDF" w:rsidP="00DB625B">
      <w:pPr>
        <w:tabs>
          <w:tab w:val="left" w:pos="426"/>
        </w:tabs>
        <w:spacing w:after="0" w:line="240" w:lineRule="auto"/>
        <w:jc w:val="both"/>
        <w:rPr>
          <w:rFonts w:ascii="Times New Roman" w:eastAsia="Times New Roman" w:hAnsi="Times New Roman" w:cs="Times New Roman"/>
          <w:bCs/>
          <w:spacing w:val="4"/>
          <w:sz w:val="28"/>
          <w:szCs w:val="28"/>
          <w:lang w:val="es-ES_tradnl" w:eastAsia="es-ES"/>
        </w:rPr>
      </w:pPr>
    </w:p>
    <w:p w:rsidR="00943A9A" w:rsidRPr="00DB625B" w:rsidRDefault="00943A9A" w:rsidP="00DB625B">
      <w:pPr>
        <w:pStyle w:val="Prrafodelista"/>
        <w:numPr>
          <w:ilvl w:val="0"/>
          <w:numId w:val="46"/>
        </w:numPr>
        <w:spacing w:after="0" w:line="240" w:lineRule="auto"/>
        <w:jc w:val="both"/>
        <w:rPr>
          <w:rFonts w:ascii="Times New Roman" w:hAnsi="Times New Roman" w:cs="Times New Roman"/>
          <w:b/>
          <w:bCs/>
          <w:sz w:val="28"/>
          <w:szCs w:val="28"/>
        </w:rPr>
      </w:pPr>
      <w:r w:rsidRPr="00DB625B">
        <w:rPr>
          <w:rFonts w:ascii="Times New Roman" w:hAnsi="Times New Roman" w:cs="Times New Roman"/>
          <w:b/>
          <w:bCs/>
          <w:sz w:val="28"/>
          <w:szCs w:val="28"/>
        </w:rPr>
        <w:t>Entidades públicas</w:t>
      </w:r>
    </w:p>
    <w:p w:rsidR="002D53F7" w:rsidRPr="00DB625B" w:rsidRDefault="002D53F7" w:rsidP="00DB625B">
      <w:pPr>
        <w:pStyle w:val="Prrafodelista"/>
        <w:spacing w:after="0" w:line="240" w:lineRule="auto"/>
        <w:jc w:val="both"/>
        <w:rPr>
          <w:rFonts w:ascii="Times New Roman" w:hAnsi="Times New Roman" w:cs="Times New Roman"/>
          <w:b/>
          <w:bCs/>
          <w:sz w:val="28"/>
          <w:szCs w:val="28"/>
        </w:rPr>
      </w:pPr>
    </w:p>
    <w:p w:rsidR="00943A9A" w:rsidRPr="00DB625B" w:rsidRDefault="00943A9A" w:rsidP="00DB625B">
      <w:pPr>
        <w:pStyle w:val="Prrafodelista"/>
        <w:numPr>
          <w:ilvl w:val="0"/>
          <w:numId w:val="47"/>
        </w:numPr>
        <w:spacing w:after="0" w:line="240" w:lineRule="auto"/>
        <w:jc w:val="both"/>
        <w:rPr>
          <w:rFonts w:ascii="Times New Roman" w:hAnsi="Times New Roman" w:cs="Times New Roman"/>
          <w:b/>
          <w:bCs/>
          <w:sz w:val="28"/>
          <w:szCs w:val="28"/>
        </w:rPr>
      </w:pPr>
      <w:r w:rsidRPr="00DB625B">
        <w:rPr>
          <w:rFonts w:ascii="Times New Roman" w:hAnsi="Times New Roman" w:cs="Times New Roman"/>
          <w:b/>
          <w:bCs/>
          <w:sz w:val="28"/>
          <w:szCs w:val="28"/>
        </w:rPr>
        <w:t>Oficina Asesora Jurídica del Ministerio del Interior</w:t>
      </w:r>
    </w:p>
    <w:p w:rsidR="002D53F7" w:rsidRPr="00DB625B" w:rsidRDefault="002D53F7" w:rsidP="00DB625B">
      <w:pPr>
        <w:pStyle w:val="Prrafodelista"/>
        <w:spacing w:after="0" w:line="240" w:lineRule="auto"/>
        <w:ind w:left="1068"/>
        <w:jc w:val="both"/>
        <w:rPr>
          <w:rFonts w:ascii="Times New Roman" w:hAnsi="Times New Roman" w:cs="Times New Roman"/>
          <w:b/>
          <w:bCs/>
          <w:sz w:val="28"/>
          <w:szCs w:val="28"/>
        </w:rPr>
      </w:pPr>
    </w:p>
    <w:p w:rsidR="00943A9A" w:rsidRPr="00DB625B" w:rsidRDefault="00943A9A" w:rsidP="00DB625B">
      <w:pPr>
        <w:spacing w:after="0" w:line="240" w:lineRule="auto"/>
        <w:jc w:val="both"/>
        <w:rPr>
          <w:rFonts w:ascii="Times New Roman" w:hAnsi="Times New Roman" w:cs="Times New Roman"/>
          <w:sz w:val="28"/>
          <w:szCs w:val="28"/>
        </w:rPr>
      </w:pPr>
      <w:r w:rsidRPr="00DB625B">
        <w:rPr>
          <w:rFonts w:ascii="Times New Roman" w:hAnsi="Times New Roman" w:cs="Times New Roman"/>
          <w:sz w:val="28"/>
          <w:szCs w:val="28"/>
        </w:rPr>
        <w:t xml:space="preserve">Sandra Jeannette </w:t>
      </w:r>
      <w:r w:rsidR="007F0CC8" w:rsidRPr="00DB625B">
        <w:rPr>
          <w:rFonts w:ascii="Times New Roman" w:hAnsi="Times New Roman" w:cs="Times New Roman"/>
          <w:sz w:val="28"/>
          <w:szCs w:val="28"/>
        </w:rPr>
        <w:t>Faura Vargas,</w:t>
      </w:r>
      <w:r w:rsidRPr="00DB625B">
        <w:rPr>
          <w:rFonts w:ascii="Times New Roman" w:hAnsi="Times New Roman" w:cs="Times New Roman"/>
          <w:sz w:val="28"/>
          <w:szCs w:val="28"/>
        </w:rPr>
        <w:t xml:space="preserve"> Jefe de la Oficina Asesora Jurídica del </w:t>
      </w:r>
      <w:r w:rsidR="007F0CC8" w:rsidRPr="00DB625B">
        <w:rPr>
          <w:rFonts w:ascii="Times New Roman" w:hAnsi="Times New Roman" w:cs="Times New Roman"/>
          <w:sz w:val="28"/>
          <w:szCs w:val="28"/>
        </w:rPr>
        <w:t xml:space="preserve">Ministerio del Interior, </w:t>
      </w:r>
      <w:r w:rsidR="004B4129" w:rsidRPr="00DB625B">
        <w:rPr>
          <w:rFonts w:ascii="Times New Roman" w:hAnsi="Times New Roman" w:cs="Times New Roman"/>
          <w:sz w:val="28"/>
          <w:szCs w:val="28"/>
        </w:rPr>
        <w:t>solicitó</w:t>
      </w:r>
      <w:r w:rsidRPr="00DB625B">
        <w:rPr>
          <w:rFonts w:ascii="Times New Roman" w:hAnsi="Times New Roman" w:cs="Times New Roman"/>
          <w:sz w:val="28"/>
          <w:szCs w:val="28"/>
        </w:rPr>
        <w:t xml:space="preserve"> la exequibilidad del artículo 217 de la Ley 1952 de 2019, por considerar que se configura la cosa juzgada constitucional, al existir identidad entre la disposición acusada y lo examinado en presente proceso, toda vez que la Corte Constitu</w:t>
      </w:r>
      <w:r w:rsidRPr="00DB625B">
        <w:rPr>
          <w:rFonts w:ascii="Times New Roman" w:hAnsi="Times New Roman" w:cs="Times New Roman"/>
          <w:sz w:val="28"/>
          <w:szCs w:val="28"/>
        </w:rPr>
        <w:lastRenderedPageBreak/>
        <w:t xml:space="preserve">cional </w:t>
      </w:r>
      <w:r w:rsidR="009B5991" w:rsidRPr="00DB625B">
        <w:rPr>
          <w:rFonts w:ascii="Times New Roman" w:hAnsi="Times New Roman" w:cs="Times New Roman"/>
          <w:sz w:val="28"/>
          <w:szCs w:val="28"/>
        </w:rPr>
        <w:t>mediante Sentencia C-086 de 2019</w:t>
      </w:r>
      <w:r w:rsidRPr="00DB625B">
        <w:rPr>
          <w:rFonts w:ascii="Times New Roman" w:hAnsi="Times New Roman" w:cs="Times New Roman"/>
          <w:sz w:val="28"/>
          <w:szCs w:val="28"/>
        </w:rPr>
        <w:t xml:space="preserve"> acusó la inconstitucionalidad de la misma norma, artículo 217 de la ley 1952 de 2019  por el cual declaró exequible la norma demandada sin condicionamiento</w:t>
      </w:r>
      <w:r w:rsidR="007F0CC8" w:rsidRPr="00DB625B">
        <w:rPr>
          <w:rFonts w:ascii="Times New Roman" w:hAnsi="Times New Roman" w:cs="Times New Roman"/>
          <w:sz w:val="28"/>
          <w:szCs w:val="28"/>
        </w:rPr>
        <w:t xml:space="preserve"> f</w:t>
      </w:r>
      <w:r w:rsidRPr="00DB625B">
        <w:rPr>
          <w:rFonts w:ascii="Times New Roman" w:hAnsi="Times New Roman" w:cs="Times New Roman"/>
          <w:sz w:val="28"/>
          <w:szCs w:val="28"/>
        </w:rPr>
        <w:t>r</w:t>
      </w:r>
      <w:r w:rsidR="007F0CC8" w:rsidRPr="00DB625B">
        <w:rPr>
          <w:rFonts w:ascii="Times New Roman" w:hAnsi="Times New Roman" w:cs="Times New Roman"/>
          <w:sz w:val="28"/>
          <w:szCs w:val="28"/>
        </w:rPr>
        <w:t>ente al artículo 23 de la CADH.  L</w:t>
      </w:r>
      <w:r w:rsidR="00C529B2" w:rsidRPr="00DB625B">
        <w:rPr>
          <w:rFonts w:ascii="Times New Roman" w:hAnsi="Times New Roman" w:cs="Times New Roman"/>
          <w:sz w:val="28"/>
          <w:szCs w:val="28"/>
        </w:rPr>
        <w:t>a Corte precisó</w:t>
      </w:r>
      <w:r w:rsidRPr="00DB625B">
        <w:rPr>
          <w:rFonts w:ascii="Times New Roman" w:hAnsi="Times New Roman" w:cs="Times New Roman"/>
          <w:sz w:val="28"/>
          <w:szCs w:val="28"/>
        </w:rPr>
        <w:t xml:space="preserve"> que “</w:t>
      </w:r>
      <w:r w:rsidRPr="00DB625B">
        <w:rPr>
          <w:rFonts w:ascii="Times New Roman" w:hAnsi="Times New Roman" w:cs="Times New Roman"/>
          <w:i/>
          <w:sz w:val="28"/>
          <w:szCs w:val="28"/>
        </w:rPr>
        <w:t>los derechos políticos son susceptibles de limitación</w:t>
      </w:r>
      <w:r w:rsidR="007F0CC8" w:rsidRPr="00DB625B">
        <w:rPr>
          <w:rFonts w:ascii="Times New Roman" w:hAnsi="Times New Roman" w:cs="Times New Roman"/>
          <w:sz w:val="28"/>
          <w:szCs w:val="28"/>
        </w:rPr>
        <w:t>”</w:t>
      </w:r>
      <w:r w:rsidRPr="00DB625B">
        <w:rPr>
          <w:rFonts w:ascii="Times New Roman" w:hAnsi="Times New Roman" w:cs="Times New Roman"/>
          <w:sz w:val="28"/>
          <w:szCs w:val="28"/>
        </w:rPr>
        <w:t>, pues la Corte Interamericana</w:t>
      </w:r>
      <w:r w:rsidR="00C529B2" w:rsidRPr="00DB625B">
        <w:rPr>
          <w:rFonts w:ascii="Times New Roman" w:hAnsi="Times New Roman" w:cs="Times New Roman"/>
          <w:sz w:val="28"/>
          <w:szCs w:val="28"/>
        </w:rPr>
        <w:t xml:space="preserve"> había reconocido</w:t>
      </w:r>
      <w:r w:rsidRPr="00DB625B">
        <w:rPr>
          <w:rFonts w:ascii="Times New Roman" w:hAnsi="Times New Roman" w:cs="Times New Roman"/>
          <w:sz w:val="28"/>
          <w:szCs w:val="28"/>
        </w:rPr>
        <w:t xml:space="preserve"> que la “</w:t>
      </w:r>
      <w:r w:rsidRPr="00DB625B">
        <w:rPr>
          <w:rFonts w:ascii="Times New Roman" w:hAnsi="Times New Roman" w:cs="Times New Roman"/>
          <w:i/>
          <w:sz w:val="28"/>
          <w:szCs w:val="28"/>
        </w:rPr>
        <w:t>determinación de límites a los derechos políticos son asuntos que corresponde a la cultura política, a la historia y las necesidades concretas de cada país</w:t>
      </w:r>
      <w:r w:rsidRPr="00DB625B">
        <w:rPr>
          <w:rFonts w:ascii="Times New Roman" w:hAnsi="Times New Roman" w:cs="Times New Roman"/>
          <w:sz w:val="28"/>
          <w:szCs w:val="28"/>
        </w:rPr>
        <w:t>”.</w:t>
      </w:r>
    </w:p>
    <w:p w:rsidR="002D53F7" w:rsidRPr="00DB625B" w:rsidRDefault="002D53F7" w:rsidP="00DB625B">
      <w:pPr>
        <w:spacing w:after="0" w:line="240" w:lineRule="auto"/>
        <w:jc w:val="both"/>
        <w:rPr>
          <w:rFonts w:ascii="Times New Roman" w:hAnsi="Times New Roman" w:cs="Times New Roman"/>
          <w:sz w:val="28"/>
          <w:szCs w:val="28"/>
        </w:rPr>
      </w:pPr>
    </w:p>
    <w:p w:rsidR="00943A9A" w:rsidRPr="00DB625B" w:rsidRDefault="00943A9A" w:rsidP="00DB625B">
      <w:pPr>
        <w:spacing w:after="0" w:line="240" w:lineRule="auto"/>
        <w:jc w:val="both"/>
        <w:rPr>
          <w:rFonts w:ascii="Times New Roman" w:hAnsi="Times New Roman" w:cs="Times New Roman"/>
          <w:sz w:val="28"/>
          <w:szCs w:val="28"/>
        </w:rPr>
      </w:pPr>
      <w:r w:rsidRPr="00DB625B">
        <w:rPr>
          <w:rFonts w:ascii="Times New Roman" w:hAnsi="Times New Roman" w:cs="Times New Roman"/>
          <w:sz w:val="28"/>
          <w:szCs w:val="28"/>
        </w:rPr>
        <w:t>En el evento que l</w:t>
      </w:r>
      <w:r w:rsidR="00C529B2" w:rsidRPr="00DB625B">
        <w:rPr>
          <w:rFonts w:ascii="Times New Roman" w:hAnsi="Times New Roman" w:cs="Times New Roman"/>
          <w:sz w:val="28"/>
          <w:szCs w:val="28"/>
        </w:rPr>
        <w:t>a Corte Constitucional determinara</w:t>
      </w:r>
      <w:r w:rsidRPr="00DB625B">
        <w:rPr>
          <w:rFonts w:ascii="Times New Roman" w:hAnsi="Times New Roman" w:cs="Times New Roman"/>
          <w:sz w:val="28"/>
          <w:szCs w:val="28"/>
        </w:rPr>
        <w:t xml:space="preserve"> la pertinencia para resolver de fondo el presente asunto, solicita que se declare la exequibilidad del artículo 217 de la Ley 1952 de 2019 por considerarlas ajustadas a la Car</w:t>
      </w:r>
      <w:r w:rsidR="00C529B2" w:rsidRPr="00DB625B">
        <w:rPr>
          <w:rFonts w:ascii="Times New Roman" w:hAnsi="Times New Roman" w:cs="Times New Roman"/>
          <w:sz w:val="28"/>
          <w:szCs w:val="28"/>
        </w:rPr>
        <w:t xml:space="preserve">ta Política, pues </w:t>
      </w:r>
      <w:r w:rsidRPr="00DB625B">
        <w:rPr>
          <w:rFonts w:ascii="Times New Roman" w:hAnsi="Times New Roman" w:cs="Times New Roman"/>
          <w:sz w:val="28"/>
          <w:szCs w:val="28"/>
        </w:rPr>
        <w:t>los derechos políticos también son susceptibles de limitación, y su restricción debe hacerse en el marco de las exigencias de razonabilidad, proporcionalidad y legalidad.</w:t>
      </w:r>
    </w:p>
    <w:p w:rsidR="002D53F7" w:rsidRPr="00DB625B" w:rsidRDefault="002D53F7" w:rsidP="00DB625B">
      <w:pPr>
        <w:spacing w:after="0" w:line="240" w:lineRule="auto"/>
        <w:jc w:val="both"/>
        <w:rPr>
          <w:rFonts w:ascii="Times New Roman" w:hAnsi="Times New Roman" w:cs="Times New Roman"/>
          <w:sz w:val="28"/>
          <w:szCs w:val="28"/>
        </w:rPr>
      </w:pPr>
    </w:p>
    <w:p w:rsidR="002D53F7" w:rsidRPr="00DB625B" w:rsidRDefault="00943A9A" w:rsidP="00DB625B">
      <w:pPr>
        <w:pStyle w:val="Prrafodelista"/>
        <w:numPr>
          <w:ilvl w:val="0"/>
          <w:numId w:val="47"/>
        </w:numPr>
        <w:spacing w:after="0" w:line="240" w:lineRule="auto"/>
        <w:jc w:val="both"/>
        <w:rPr>
          <w:rFonts w:ascii="Times New Roman" w:hAnsi="Times New Roman" w:cs="Times New Roman"/>
          <w:sz w:val="28"/>
          <w:szCs w:val="28"/>
        </w:rPr>
      </w:pPr>
      <w:r w:rsidRPr="00DB625B">
        <w:rPr>
          <w:rFonts w:ascii="Times New Roman" w:hAnsi="Times New Roman" w:cs="Times New Roman"/>
          <w:b/>
          <w:bCs/>
          <w:sz w:val="28"/>
          <w:szCs w:val="28"/>
        </w:rPr>
        <w:t>Nación – Departamento Administrativo de la Función Pública</w:t>
      </w:r>
    </w:p>
    <w:p w:rsidR="00943A9A" w:rsidRPr="00DB625B" w:rsidRDefault="00943A9A" w:rsidP="00DB625B">
      <w:pPr>
        <w:spacing w:after="0" w:line="240" w:lineRule="auto"/>
        <w:jc w:val="both"/>
        <w:rPr>
          <w:rFonts w:ascii="Times New Roman" w:hAnsi="Times New Roman" w:cs="Times New Roman"/>
          <w:sz w:val="28"/>
          <w:szCs w:val="28"/>
        </w:rPr>
      </w:pPr>
    </w:p>
    <w:p w:rsidR="00943A9A" w:rsidRPr="00DB625B" w:rsidRDefault="00943A9A" w:rsidP="00DB625B">
      <w:pPr>
        <w:spacing w:after="0" w:line="240" w:lineRule="auto"/>
        <w:jc w:val="both"/>
        <w:rPr>
          <w:rFonts w:ascii="Times New Roman" w:hAnsi="Times New Roman" w:cs="Times New Roman"/>
          <w:sz w:val="28"/>
          <w:szCs w:val="28"/>
        </w:rPr>
      </w:pPr>
      <w:r w:rsidRPr="00DB625B">
        <w:rPr>
          <w:rFonts w:ascii="Times New Roman" w:hAnsi="Times New Roman" w:cs="Times New Roman"/>
          <w:sz w:val="28"/>
          <w:szCs w:val="28"/>
        </w:rPr>
        <w:t>A través de escrito presentado el 26 de junio de 2019, por Adriana Marcela Ortega Moreno, apoderada judicial de la Nación – Departamento Administrativo de la Función Pública, intervino con el propósito de efectuar la defensa de la constitucionalidad de la norma parcialmente demandada</w:t>
      </w:r>
      <w:r w:rsidR="006E5706" w:rsidRPr="00DB625B">
        <w:rPr>
          <w:rFonts w:ascii="Times New Roman" w:hAnsi="Times New Roman" w:cs="Times New Roman"/>
          <w:sz w:val="28"/>
          <w:szCs w:val="28"/>
        </w:rPr>
        <w:t xml:space="preserve"> y solicitar la exequibilidad del artículo 217 de la Ley 1952 de 2019</w:t>
      </w:r>
      <w:r w:rsidR="00C529B2" w:rsidRPr="00DB625B">
        <w:rPr>
          <w:rFonts w:ascii="Times New Roman" w:hAnsi="Times New Roman" w:cs="Times New Roman"/>
          <w:sz w:val="28"/>
          <w:szCs w:val="28"/>
        </w:rPr>
        <w:t>, en los términos que se reseñan a continuación</w:t>
      </w:r>
      <w:r w:rsidR="006E5706" w:rsidRPr="00DB625B">
        <w:rPr>
          <w:rFonts w:ascii="Times New Roman" w:hAnsi="Times New Roman" w:cs="Times New Roman"/>
          <w:sz w:val="28"/>
          <w:szCs w:val="28"/>
        </w:rPr>
        <w:t>.</w:t>
      </w:r>
    </w:p>
    <w:p w:rsidR="002D53F7" w:rsidRPr="00DB625B" w:rsidRDefault="002D53F7" w:rsidP="00DB625B">
      <w:pPr>
        <w:tabs>
          <w:tab w:val="left" w:pos="0"/>
        </w:tabs>
        <w:spacing w:after="0" w:line="240" w:lineRule="auto"/>
        <w:jc w:val="both"/>
        <w:rPr>
          <w:rFonts w:ascii="Times New Roman" w:hAnsi="Times New Roman" w:cs="Times New Roman"/>
          <w:sz w:val="28"/>
          <w:szCs w:val="28"/>
        </w:rPr>
      </w:pPr>
    </w:p>
    <w:p w:rsidR="00A01C65" w:rsidRPr="00DB625B" w:rsidRDefault="002D53F7" w:rsidP="00DB625B">
      <w:pPr>
        <w:pStyle w:val="Prrafodelista"/>
        <w:numPr>
          <w:ilvl w:val="0"/>
          <w:numId w:val="49"/>
        </w:numPr>
        <w:spacing w:after="0" w:line="240" w:lineRule="auto"/>
        <w:ind w:left="0" w:firstLine="0"/>
        <w:jc w:val="both"/>
        <w:rPr>
          <w:rFonts w:ascii="Times New Roman" w:hAnsi="Times New Roman" w:cs="Times New Roman"/>
          <w:sz w:val="28"/>
          <w:szCs w:val="28"/>
        </w:rPr>
      </w:pPr>
      <w:r w:rsidRPr="00DB625B">
        <w:rPr>
          <w:rFonts w:ascii="Times New Roman" w:hAnsi="Times New Roman" w:cs="Times New Roman"/>
          <w:sz w:val="28"/>
          <w:szCs w:val="28"/>
        </w:rPr>
        <w:t>S</w:t>
      </w:r>
      <w:r w:rsidR="00C529B2" w:rsidRPr="00DB625B">
        <w:rPr>
          <w:rFonts w:ascii="Times New Roman" w:hAnsi="Times New Roman" w:cs="Times New Roman"/>
          <w:sz w:val="28"/>
          <w:szCs w:val="28"/>
        </w:rPr>
        <w:t>eñaló</w:t>
      </w:r>
      <w:r w:rsidR="00943A9A" w:rsidRPr="00DB625B">
        <w:rPr>
          <w:rFonts w:ascii="Times New Roman" w:hAnsi="Times New Roman" w:cs="Times New Roman"/>
          <w:sz w:val="28"/>
          <w:szCs w:val="28"/>
        </w:rPr>
        <w:t xml:space="preserve"> que el derech</w:t>
      </w:r>
      <w:r w:rsidR="008A283A" w:rsidRPr="00DB625B">
        <w:rPr>
          <w:rFonts w:ascii="Times New Roman" w:hAnsi="Times New Roman" w:cs="Times New Roman"/>
          <w:sz w:val="28"/>
          <w:szCs w:val="28"/>
        </w:rPr>
        <w:t>o disciplinario están integrado</w:t>
      </w:r>
      <w:r w:rsidR="00943A9A" w:rsidRPr="00DB625B">
        <w:rPr>
          <w:rFonts w:ascii="Times New Roman" w:hAnsi="Times New Roman" w:cs="Times New Roman"/>
          <w:sz w:val="28"/>
          <w:szCs w:val="28"/>
        </w:rPr>
        <w:t xml:space="preserve"> por normas que exigen a los servidores públicos una determinada conducta en el ejercicio de sus funciones, independientemente de </w:t>
      </w:r>
      <w:r w:rsidR="008A283A" w:rsidRPr="00DB625B">
        <w:rPr>
          <w:rFonts w:ascii="Times New Roman" w:hAnsi="Times New Roman" w:cs="Times New Roman"/>
          <w:sz w:val="28"/>
          <w:szCs w:val="28"/>
        </w:rPr>
        <w:t>la forma de vinculación con el E</w:t>
      </w:r>
      <w:r w:rsidR="00943A9A" w:rsidRPr="00DB625B">
        <w:rPr>
          <w:rFonts w:ascii="Times New Roman" w:hAnsi="Times New Roman" w:cs="Times New Roman"/>
          <w:sz w:val="28"/>
          <w:szCs w:val="28"/>
        </w:rPr>
        <w:t>stado o del órgano o rama que pertenezcan</w:t>
      </w:r>
      <w:r w:rsidR="00943A9A" w:rsidRPr="00DB625B">
        <w:rPr>
          <w:rStyle w:val="Refdenotaalpie"/>
          <w:rFonts w:ascii="Times New Roman" w:hAnsi="Times New Roman" w:cs="Times New Roman"/>
          <w:sz w:val="28"/>
          <w:szCs w:val="28"/>
        </w:rPr>
        <w:footnoteReference w:id="1"/>
      </w:r>
      <w:r w:rsidR="00943A9A" w:rsidRPr="00DB625B">
        <w:rPr>
          <w:rFonts w:ascii="Times New Roman" w:hAnsi="Times New Roman" w:cs="Times New Roman"/>
          <w:sz w:val="28"/>
          <w:szCs w:val="28"/>
        </w:rPr>
        <w:t>.</w:t>
      </w:r>
    </w:p>
    <w:p w:rsidR="00A01C65" w:rsidRPr="00DB625B" w:rsidRDefault="00A01C65" w:rsidP="00DB625B">
      <w:pPr>
        <w:pStyle w:val="Prrafodelista"/>
        <w:spacing w:after="0" w:line="240" w:lineRule="auto"/>
        <w:ind w:left="0"/>
        <w:jc w:val="both"/>
        <w:rPr>
          <w:rFonts w:ascii="Times New Roman" w:hAnsi="Times New Roman" w:cs="Times New Roman"/>
          <w:sz w:val="28"/>
          <w:szCs w:val="28"/>
        </w:rPr>
      </w:pPr>
    </w:p>
    <w:p w:rsidR="00B26C95" w:rsidRPr="00DB625B" w:rsidRDefault="002D53F7" w:rsidP="00DB625B">
      <w:pPr>
        <w:pStyle w:val="Prrafodelista"/>
        <w:numPr>
          <w:ilvl w:val="0"/>
          <w:numId w:val="49"/>
        </w:numPr>
        <w:spacing w:after="0" w:line="240" w:lineRule="auto"/>
        <w:ind w:left="0" w:firstLine="0"/>
        <w:jc w:val="both"/>
        <w:rPr>
          <w:rFonts w:ascii="Times New Roman" w:hAnsi="Times New Roman" w:cs="Times New Roman"/>
          <w:sz w:val="28"/>
          <w:szCs w:val="28"/>
        </w:rPr>
      </w:pPr>
      <w:r w:rsidRPr="00DB625B">
        <w:rPr>
          <w:rFonts w:ascii="Times New Roman" w:hAnsi="Times New Roman" w:cs="Times New Roman"/>
          <w:sz w:val="28"/>
          <w:szCs w:val="28"/>
        </w:rPr>
        <w:t>Así mismo, explicó que la Sentencia SU-712 de 2013 había precisado que</w:t>
      </w:r>
      <w:r w:rsidR="00943A9A" w:rsidRPr="00DB625B">
        <w:rPr>
          <w:rFonts w:ascii="Times New Roman" w:hAnsi="Times New Roman" w:cs="Times New Roman"/>
          <w:sz w:val="28"/>
          <w:szCs w:val="28"/>
        </w:rPr>
        <w:t xml:space="preserve"> “</w:t>
      </w:r>
      <w:r w:rsidR="00943A9A" w:rsidRPr="00DB625B">
        <w:rPr>
          <w:rFonts w:ascii="Times New Roman" w:hAnsi="Times New Roman" w:cs="Times New Roman"/>
          <w:i/>
          <w:sz w:val="28"/>
          <w:szCs w:val="28"/>
        </w:rPr>
        <w:t xml:space="preserve">el fundamento del control disciplinario asignado constitucionalmente a la Procuraduría General </w:t>
      </w:r>
      <w:r w:rsidR="008A283A" w:rsidRPr="00DB625B">
        <w:rPr>
          <w:rFonts w:ascii="Times New Roman" w:hAnsi="Times New Roman" w:cs="Times New Roman"/>
          <w:i/>
          <w:sz w:val="28"/>
          <w:szCs w:val="28"/>
        </w:rPr>
        <w:t xml:space="preserve">de la Nación”, “la competencia </w:t>
      </w:r>
      <w:r w:rsidR="00943A9A" w:rsidRPr="00DB625B">
        <w:rPr>
          <w:rFonts w:ascii="Times New Roman" w:hAnsi="Times New Roman" w:cs="Times New Roman"/>
          <w:i/>
          <w:sz w:val="28"/>
          <w:szCs w:val="28"/>
        </w:rPr>
        <w:t>para investigar y suspender de sus cargos a los servidores de elección popular</w:t>
      </w:r>
      <w:r w:rsidR="00943A9A" w:rsidRPr="00DB625B">
        <w:rPr>
          <w:rFonts w:ascii="Times New Roman" w:hAnsi="Times New Roman" w:cs="Times New Roman"/>
          <w:sz w:val="28"/>
          <w:szCs w:val="28"/>
        </w:rPr>
        <w:t>”</w:t>
      </w:r>
      <w:r w:rsidR="00943A9A" w:rsidRPr="00DB625B">
        <w:rPr>
          <w:rStyle w:val="Refdenotaalpie"/>
          <w:rFonts w:ascii="Times New Roman" w:hAnsi="Times New Roman" w:cs="Times New Roman"/>
          <w:sz w:val="28"/>
          <w:szCs w:val="28"/>
        </w:rPr>
        <w:footnoteReference w:id="2"/>
      </w:r>
      <w:r w:rsidR="008A283A" w:rsidRPr="00DB625B">
        <w:rPr>
          <w:rFonts w:ascii="Times New Roman" w:hAnsi="Times New Roman" w:cs="Times New Roman"/>
          <w:sz w:val="28"/>
          <w:szCs w:val="28"/>
        </w:rPr>
        <w:t xml:space="preserve"> </w:t>
      </w:r>
      <w:r w:rsidRPr="00DB625B">
        <w:rPr>
          <w:rFonts w:ascii="Times New Roman" w:hAnsi="Times New Roman" w:cs="Times New Roman"/>
          <w:sz w:val="28"/>
          <w:szCs w:val="28"/>
        </w:rPr>
        <w:t xml:space="preserve">no quebranta </w:t>
      </w:r>
      <w:r w:rsidR="00943A9A" w:rsidRPr="00DB625B">
        <w:rPr>
          <w:rFonts w:ascii="Times New Roman" w:hAnsi="Times New Roman" w:cs="Times New Roman"/>
          <w:sz w:val="28"/>
          <w:szCs w:val="28"/>
        </w:rPr>
        <w:t>el artículo 23-2 de la Convención Americana, puesto que el ejercicio disciplinario ha sido calificado como “</w:t>
      </w:r>
      <w:r w:rsidR="00943A9A" w:rsidRPr="00DB625B">
        <w:rPr>
          <w:rFonts w:ascii="Times New Roman" w:hAnsi="Times New Roman" w:cs="Times New Roman"/>
          <w:i/>
          <w:sz w:val="28"/>
          <w:szCs w:val="28"/>
        </w:rPr>
        <w:t xml:space="preserve">consustancial a la organización política y absolutamente necesaria </w:t>
      </w:r>
      <w:r w:rsidR="00943A9A" w:rsidRPr="00DB625B">
        <w:rPr>
          <w:rFonts w:ascii="Times New Roman" w:hAnsi="Times New Roman" w:cs="Times New Roman"/>
          <w:i/>
          <w:sz w:val="28"/>
          <w:szCs w:val="28"/>
        </w:rPr>
        <w:lastRenderedPageBreak/>
        <w:t>en un estado de derecho</w:t>
      </w:r>
      <w:r w:rsidR="00943A9A" w:rsidRPr="00DB625B">
        <w:rPr>
          <w:rFonts w:ascii="Times New Roman" w:hAnsi="Times New Roman" w:cs="Times New Roman"/>
          <w:sz w:val="28"/>
          <w:szCs w:val="28"/>
        </w:rPr>
        <w:t>”</w:t>
      </w:r>
      <w:r w:rsidR="00943A9A" w:rsidRPr="00DB625B">
        <w:rPr>
          <w:rStyle w:val="Refdenotaalpie"/>
          <w:rFonts w:ascii="Times New Roman" w:hAnsi="Times New Roman" w:cs="Times New Roman"/>
          <w:sz w:val="28"/>
          <w:szCs w:val="28"/>
        </w:rPr>
        <w:footnoteReference w:id="3"/>
      </w:r>
      <w:r w:rsidRPr="00DB625B">
        <w:rPr>
          <w:rFonts w:ascii="Times New Roman" w:hAnsi="Times New Roman" w:cs="Times New Roman"/>
          <w:sz w:val="28"/>
          <w:szCs w:val="28"/>
        </w:rPr>
        <w:t>.</w:t>
      </w:r>
      <w:r w:rsidR="00943A9A" w:rsidRPr="00DB625B">
        <w:rPr>
          <w:rFonts w:ascii="Times New Roman" w:hAnsi="Times New Roman" w:cs="Times New Roman"/>
          <w:sz w:val="28"/>
          <w:szCs w:val="28"/>
        </w:rPr>
        <w:t xml:space="preserve"> </w:t>
      </w:r>
      <w:r w:rsidRPr="00DB625B">
        <w:rPr>
          <w:rFonts w:ascii="Times New Roman" w:hAnsi="Times New Roman" w:cs="Times New Roman"/>
          <w:sz w:val="28"/>
          <w:szCs w:val="28"/>
        </w:rPr>
        <w:t>L</w:t>
      </w:r>
      <w:r w:rsidR="00943A9A" w:rsidRPr="00DB625B">
        <w:rPr>
          <w:rFonts w:ascii="Times New Roman" w:hAnsi="Times New Roman" w:cs="Times New Roman"/>
          <w:sz w:val="28"/>
          <w:szCs w:val="28"/>
        </w:rPr>
        <w:t>a Constitución</w:t>
      </w:r>
      <w:r w:rsidR="00943A9A" w:rsidRPr="00DB625B">
        <w:rPr>
          <w:rStyle w:val="Refdenotaalpie"/>
          <w:rFonts w:ascii="Times New Roman" w:hAnsi="Times New Roman" w:cs="Times New Roman"/>
          <w:sz w:val="28"/>
          <w:szCs w:val="28"/>
        </w:rPr>
        <w:footnoteReference w:id="4"/>
      </w:r>
      <w:r w:rsidR="00943A9A" w:rsidRPr="00DB625B">
        <w:rPr>
          <w:rFonts w:ascii="Times New Roman" w:hAnsi="Times New Roman" w:cs="Times New Roman"/>
          <w:sz w:val="28"/>
          <w:szCs w:val="28"/>
        </w:rPr>
        <w:t xml:space="preserve"> atribuye al Ministerio Público</w:t>
      </w:r>
      <w:r w:rsidR="008A283A" w:rsidRPr="00DB625B">
        <w:rPr>
          <w:rFonts w:ascii="Times New Roman" w:hAnsi="Times New Roman" w:cs="Times New Roman"/>
          <w:sz w:val="28"/>
          <w:szCs w:val="28"/>
        </w:rPr>
        <w:t xml:space="preserve">, en cabeza del Procurador General de la Nación, </w:t>
      </w:r>
      <w:r w:rsidR="00943A9A" w:rsidRPr="00DB625B">
        <w:rPr>
          <w:rFonts w:ascii="Times New Roman" w:hAnsi="Times New Roman" w:cs="Times New Roman"/>
          <w:sz w:val="28"/>
          <w:szCs w:val="28"/>
        </w:rPr>
        <w:t>la guarda y promoción de los derechos humanos, la protección del interés público y la vigilancia de la conducta oficial de quienes desempeñan funciones públicas, inclusive las de elección popular.</w:t>
      </w:r>
      <w:r w:rsidR="00B26C95" w:rsidRPr="00DB625B">
        <w:rPr>
          <w:rFonts w:ascii="Times New Roman" w:hAnsi="Times New Roman" w:cs="Times New Roman"/>
          <w:sz w:val="28"/>
          <w:szCs w:val="28"/>
        </w:rPr>
        <w:t xml:space="preserve"> </w:t>
      </w:r>
      <w:r w:rsidR="00AC0BE8" w:rsidRPr="00DB625B">
        <w:rPr>
          <w:rFonts w:ascii="Times New Roman" w:hAnsi="Times New Roman" w:cs="Times New Roman"/>
          <w:sz w:val="28"/>
          <w:szCs w:val="28"/>
        </w:rPr>
        <w:t xml:space="preserve">De hecho, señaló </w:t>
      </w:r>
      <w:r w:rsidR="00C854C2" w:rsidRPr="00DB625B">
        <w:rPr>
          <w:rFonts w:ascii="Times New Roman" w:hAnsi="Times New Roman" w:cs="Times New Roman"/>
          <w:sz w:val="28"/>
          <w:szCs w:val="28"/>
        </w:rPr>
        <w:t xml:space="preserve">que </w:t>
      </w:r>
      <w:r w:rsidR="00B26C95" w:rsidRPr="00DB625B">
        <w:rPr>
          <w:rFonts w:ascii="Times New Roman" w:hAnsi="Times New Roman" w:cs="Times New Roman"/>
          <w:sz w:val="28"/>
          <w:szCs w:val="28"/>
        </w:rPr>
        <w:t xml:space="preserve">en </w:t>
      </w:r>
      <w:r w:rsidR="00AC0BE8" w:rsidRPr="00DB625B">
        <w:rPr>
          <w:rFonts w:ascii="Times New Roman" w:hAnsi="Times New Roman" w:cs="Times New Roman"/>
          <w:sz w:val="28"/>
          <w:szCs w:val="28"/>
        </w:rPr>
        <w:t>la Asamblea Constituyente</w:t>
      </w:r>
      <w:r w:rsidR="00B26C95" w:rsidRPr="00DB625B">
        <w:rPr>
          <w:rFonts w:ascii="Times New Roman" w:hAnsi="Times New Roman" w:cs="Times New Roman"/>
          <w:sz w:val="28"/>
          <w:szCs w:val="28"/>
        </w:rPr>
        <w:t xml:space="preserve"> se</w:t>
      </w:r>
      <w:r w:rsidR="00AC0BE8" w:rsidRPr="00DB625B">
        <w:rPr>
          <w:rFonts w:ascii="Times New Roman" w:hAnsi="Times New Roman" w:cs="Times New Roman"/>
          <w:sz w:val="28"/>
          <w:szCs w:val="28"/>
        </w:rPr>
        <w:t xml:space="preserve"> </w:t>
      </w:r>
      <w:r w:rsidR="00B26C95" w:rsidRPr="00DB625B">
        <w:rPr>
          <w:rFonts w:ascii="Times New Roman" w:hAnsi="Times New Roman" w:cs="Times New Roman"/>
          <w:sz w:val="28"/>
          <w:szCs w:val="28"/>
        </w:rPr>
        <w:t>respaldó esa interpretación.</w:t>
      </w:r>
    </w:p>
    <w:p w:rsidR="00B26C95" w:rsidRPr="00DB625B" w:rsidRDefault="00B26C95" w:rsidP="00DB625B">
      <w:pPr>
        <w:pStyle w:val="Prrafodelista"/>
        <w:spacing w:after="0" w:line="240" w:lineRule="auto"/>
        <w:ind w:left="0"/>
        <w:jc w:val="both"/>
        <w:rPr>
          <w:rFonts w:ascii="Times New Roman" w:hAnsi="Times New Roman" w:cs="Times New Roman"/>
          <w:sz w:val="28"/>
          <w:szCs w:val="28"/>
        </w:rPr>
      </w:pPr>
    </w:p>
    <w:p w:rsidR="00943A9A" w:rsidRPr="00DB625B" w:rsidRDefault="00B26C95" w:rsidP="00DB625B">
      <w:pPr>
        <w:pStyle w:val="Prrafodelista"/>
        <w:numPr>
          <w:ilvl w:val="0"/>
          <w:numId w:val="49"/>
        </w:numPr>
        <w:spacing w:after="0" w:line="240" w:lineRule="auto"/>
        <w:ind w:left="0" w:firstLine="0"/>
        <w:jc w:val="both"/>
        <w:rPr>
          <w:rFonts w:ascii="Times New Roman" w:hAnsi="Times New Roman" w:cs="Times New Roman"/>
          <w:sz w:val="28"/>
          <w:szCs w:val="28"/>
        </w:rPr>
      </w:pPr>
      <w:r w:rsidRPr="00DB625B">
        <w:rPr>
          <w:rFonts w:ascii="Times New Roman" w:hAnsi="Times New Roman" w:cs="Times New Roman"/>
          <w:sz w:val="28"/>
          <w:szCs w:val="28"/>
        </w:rPr>
        <w:t xml:space="preserve"> </w:t>
      </w:r>
      <w:r w:rsidR="00C854C2" w:rsidRPr="00DB625B">
        <w:rPr>
          <w:rFonts w:ascii="Times New Roman" w:hAnsi="Times New Roman" w:cs="Times New Roman"/>
          <w:sz w:val="28"/>
          <w:szCs w:val="28"/>
        </w:rPr>
        <w:t>E</w:t>
      </w:r>
      <w:r w:rsidR="00943A9A" w:rsidRPr="00DB625B">
        <w:rPr>
          <w:rFonts w:ascii="Times New Roman" w:hAnsi="Times New Roman" w:cs="Times New Roman"/>
          <w:sz w:val="28"/>
          <w:szCs w:val="28"/>
        </w:rPr>
        <w:t>l artículo 23 de la Convención Americana s</w:t>
      </w:r>
      <w:r w:rsidR="008A283A" w:rsidRPr="00DB625B">
        <w:rPr>
          <w:rFonts w:ascii="Times New Roman" w:hAnsi="Times New Roman" w:cs="Times New Roman"/>
          <w:sz w:val="28"/>
          <w:szCs w:val="28"/>
        </w:rPr>
        <w:t>obre Derechos Humanos no implica prohibir</w:t>
      </w:r>
      <w:r w:rsidR="00943A9A" w:rsidRPr="00DB625B">
        <w:rPr>
          <w:rFonts w:ascii="Times New Roman" w:hAnsi="Times New Roman" w:cs="Times New Roman"/>
          <w:sz w:val="28"/>
          <w:szCs w:val="28"/>
        </w:rPr>
        <w:t xml:space="preserve"> a los Estados para que en su ordenamiento jurídico interno consagren otras restricciones a los derechos polít</w:t>
      </w:r>
      <w:r w:rsidR="008A283A" w:rsidRPr="00DB625B">
        <w:rPr>
          <w:rFonts w:ascii="Times New Roman" w:hAnsi="Times New Roman" w:cs="Times New Roman"/>
          <w:sz w:val="28"/>
          <w:szCs w:val="28"/>
        </w:rPr>
        <w:t xml:space="preserve">icos sino por el contrario entraña fijar </w:t>
      </w:r>
      <w:r w:rsidR="00943A9A" w:rsidRPr="00DB625B">
        <w:rPr>
          <w:rFonts w:ascii="Times New Roman" w:hAnsi="Times New Roman" w:cs="Times New Roman"/>
          <w:sz w:val="28"/>
          <w:szCs w:val="28"/>
        </w:rPr>
        <w:t>pautas para que el legislador pueda regular los der</w:t>
      </w:r>
      <w:r w:rsidR="008A283A" w:rsidRPr="00DB625B">
        <w:rPr>
          <w:rFonts w:ascii="Times New Roman" w:hAnsi="Times New Roman" w:cs="Times New Roman"/>
          <w:sz w:val="28"/>
          <w:szCs w:val="28"/>
        </w:rPr>
        <w:t>echos allí señalados. L</w:t>
      </w:r>
      <w:r w:rsidR="00943A9A" w:rsidRPr="00DB625B">
        <w:rPr>
          <w:rFonts w:ascii="Times New Roman" w:hAnsi="Times New Roman" w:cs="Times New Roman"/>
          <w:sz w:val="28"/>
          <w:szCs w:val="28"/>
        </w:rPr>
        <w:t>a Sentencia C-028 de 2006</w:t>
      </w:r>
      <w:r w:rsidR="00943A9A" w:rsidRPr="00DB625B">
        <w:rPr>
          <w:rStyle w:val="Refdenotaalpie"/>
          <w:rFonts w:ascii="Times New Roman" w:hAnsi="Times New Roman" w:cs="Times New Roman"/>
          <w:sz w:val="28"/>
          <w:szCs w:val="28"/>
        </w:rPr>
        <w:footnoteReference w:id="5"/>
      </w:r>
      <w:r w:rsidR="008A283A" w:rsidRPr="00DB625B">
        <w:rPr>
          <w:rFonts w:ascii="Times New Roman" w:hAnsi="Times New Roman" w:cs="Times New Roman"/>
          <w:sz w:val="28"/>
          <w:szCs w:val="28"/>
        </w:rPr>
        <w:t xml:space="preserve"> adujo</w:t>
      </w:r>
      <w:r w:rsidR="00943A9A" w:rsidRPr="00DB625B">
        <w:rPr>
          <w:rFonts w:ascii="Times New Roman" w:hAnsi="Times New Roman" w:cs="Times New Roman"/>
          <w:sz w:val="28"/>
          <w:szCs w:val="28"/>
        </w:rPr>
        <w:t xml:space="preserve"> que las sanc</w:t>
      </w:r>
      <w:r w:rsidR="008A283A" w:rsidRPr="00DB625B">
        <w:rPr>
          <w:rFonts w:ascii="Times New Roman" w:hAnsi="Times New Roman" w:cs="Times New Roman"/>
          <w:sz w:val="28"/>
          <w:szCs w:val="28"/>
        </w:rPr>
        <w:t>iones disciplinarias que aparejan</w:t>
      </w:r>
      <w:r w:rsidR="00943A9A" w:rsidRPr="00DB625B">
        <w:rPr>
          <w:rFonts w:ascii="Times New Roman" w:hAnsi="Times New Roman" w:cs="Times New Roman"/>
          <w:sz w:val="28"/>
          <w:szCs w:val="28"/>
        </w:rPr>
        <w:t xml:space="preserve"> la suspensión de</w:t>
      </w:r>
      <w:r w:rsidR="008A283A" w:rsidRPr="00DB625B">
        <w:rPr>
          <w:rFonts w:ascii="Times New Roman" w:hAnsi="Times New Roman" w:cs="Times New Roman"/>
          <w:sz w:val="28"/>
          <w:szCs w:val="28"/>
        </w:rPr>
        <w:t>l</w:t>
      </w:r>
      <w:r w:rsidR="00943A9A" w:rsidRPr="00DB625B">
        <w:rPr>
          <w:rFonts w:ascii="Times New Roman" w:hAnsi="Times New Roman" w:cs="Times New Roman"/>
          <w:sz w:val="28"/>
          <w:szCs w:val="28"/>
        </w:rPr>
        <w:t xml:space="preserve"> derecho de acceso a cargos públicos de congresistas no se oponen a la constitución ni a la Convención Americana sobre Derechos Humanos, debido a que la norma acusada no se opone a lo que los legisladores internos establezcan sanciones disciplinarias que impliquen una suspensión temporal o definitiva del derecho de acceso a cargos públicos.</w:t>
      </w:r>
    </w:p>
    <w:p w:rsidR="00C854C2" w:rsidRPr="00DB625B" w:rsidRDefault="00C854C2" w:rsidP="00DB625B">
      <w:pPr>
        <w:spacing w:after="0" w:line="240" w:lineRule="auto"/>
        <w:jc w:val="both"/>
        <w:rPr>
          <w:rFonts w:ascii="Times New Roman" w:hAnsi="Times New Roman" w:cs="Times New Roman"/>
          <w:sz w:val="28"/>
          <w:szCs w:val="28"/>
        </w:rPr>
      </w:pPr>
    </w:p>
    <w:p w:rsidR="00943A9A" w:rsidRPr="00DB625B" w:rsidRDefault="008A283A" w:rsidP="00DB625B">
      <w:pPr>
        <w:spacing w:after="0" w:line="240" w:lineRule="auto"/>
        <w:jc w:val="both"/>
        <w:rPr>
          <w:rFonts w:ascii="Times New Roman" w:hAnsi="Times New Roman" w:cs="Times New Roman"/>
          <w:sz w:val="28"/>
          <w:szCs w:val="28"/>
        </w:rPr>
      </w:pPr>
      <w:r w:rsidRPr="00DB625B">
        <w:rPr>
          <w:rFonts w:ascii="Times New Roman" w:hAnsi="Times New Roman" w:cs="Times New Roman"/>
          <w:sz w:val="28"/>
          <w:szCs w:val="28"/>
        </w:rPr>
        <w:t xml:space="preserve">Además </w:t>
      </w:r>
      <w:r w:rsidR="00943A9A" w:rsidRPr="00DB625B">
        <w:rPr>
          <w:rFonts w:ascii="Times New Roman" w:hAnsi="Times New Roman" w:cs="Times New Roman"/>
          <w:sz w:val="28"/>
          <w:szCs w:val="28"/>
        </w:rPr>
        <w:t>ma</w:t>
      </w:r>
      <w:r w:rsidRPr="00DB625B">
        <w:rPr>
          <w:rFonts w:ascii="Times New Roman" w:hAnsi="Times New Roman" w:cs="Times New Roman"/>
          <w:sz w:val="28"/>
          <w:szCs w:val="28"/>
        </w:rPr>
        <w:t>nifestó</w:t>
      </w:r>
      <w:r w:rsidR="00943A9A" w:rsidRPr="00DB625B">
        <w:rPr>
          <w:rFonts w:ascii="Times New Roman" w:hAnsi="Times New Roman" w:cs="Times New Roman"/>
          <w:sz w:val="28"/>
          <w:szCs w:val="28"/>
        </w:rPr>
        <w:t xml:space="preserve"> que el artículo 217 de la Ley 1952 de 2019 ha sido objeto de diferente pronunciamientos por parte de la Corte Constitucional, por ejemplo la reciente sentencia C-086 de 2019 resolvió la inconstitucionalidad del artículo 217 de la ley 1952 de 2019</w:t>
      </w:r>
      <w:r w:rsidR="006E5706" w:rsidRPr="00DB625B">
        <w:rPr>
          <w:rFonts w:ascii="Times New Roman" w:hAnsi="Times New Roman" w:cs="Times New Roman"/>
          <w:sz w:val="28"/>
          <w:szCs w:val="28"/>
        </w:rPr>
        <w:t>,</w:t>
      </w:r>
      <w:r w:rsidR="00943A9A" w:rsidRPr="00DB625B">
        <w:rPr>
          <w:rFonts w:ascii="Times New Roman" w:hAnsi="Times New Roman" w:cs="Times New Roman"/>
          <w:sz w:val="28"/>
          <w:szCs w:val="28"/>
        </w:rPr>
        <w:t xml:space="preserve"> </w:t>
      </w:r>
      <w:r w:rsidR="006E5706" w:rsidRPr="00DB625B">
        <w:rPr>
          <w:rFonts w:ascii="Times New Roman" w:hAnsi="Times New Roman" w:cs="Times New Roman"/>
          <w:sz w:val="28"/>
          <w:szCs w:val="28"/>
        </w:rPr>
        <w:t>que declaró</w:t>
      </w:r>
      <w:r w:rsidR="00943A9A" w:rsidRPr="00DB625B">
        <w:rPr>
          <w:rFonts w:ascii="Times New Roman" w:hAnsi="Times New Roman" w:cs="Times New Roman"/>
          <w:sz w:val="28"/>
          <w:szCs w:val="28"/>
        </w:rPr>
        <w:t xml:space="preserve"> la exeq</w:t>
      </w:r>
      <w:r w:rsidRPr="00DB625B">
        <w:rPr>
          <w:rFonts w:ascii="Times New Roman" w:hAnsi="Times New Roman" w:cs="Times New Roman"/>
          <w:sz w:val="28"/>
          <w:szCs w:val="28"/>
        </w:rPr>
        <w:t xml:space="preserve">uibilidad de la norma demandada. Aseveró que </w:t>
      </w:r>
      <w:r w:rsidR="00943A9A" w:rsidRPr="00DB625B">
        <w:rPr>
          <w:rFonts w:ascii="Times New Roman" w:hAnsi="Times New Roman" w:cs="Times New Roman"/>
          <w:sz w:val="28"/>
          <w:szCs w:val="28"/>
        </w:rPr>
        <w:t>el paramento de control utili</w:t>
      </w:r>
      <w:r w:rsidRPr="00DB625B">
        <w:rPr>
          <w:rFonts w:ascii="Times New Roman" w:hAnsi="Times New Roman" w:cs="Times New Roman"/>
          <w:sz w:val="28"/>
          <w:szCs w:val="28"/>
        </w:rPr>
        <w:t>zado en la Sentencia en mención</w:t>
      </w:r>
      <w:r w:rsidR="00943A9A" w:rsidRPr="00DB625B">
        <w:rPr>
          <w:rFonts w:ascii="Times New Roman" w:hAnsi="Times New Roman" w:cs="Times New Roman"/>
          <w:sz w:val="28"/>
          <w:szCs w:val="28"/>
        </w:rPr>
        <w:t xml:space="preserve"> es diferente al caso sub examine, </w:t>
      </w:r>
      <w:r w:rsidRPr="00DB625B">
        <w:rPr>
          <w:rFonts w:ascii="Times New Roman" w:hAnsi="Times New Roman" w:cs="Times New Roman"/>
          <w:sz w:val="28"/>
          <w:szCs w:val="28"/>
        </w:rPr>
        <w:t xml:space="preserve">por lo que </w:t>
      </w:r>
      <w:r w:rsidR="00943A9A" w:rsidRPr="00DB625B">
        <w:rPr>
          <w:rFonts w:ascii="Times New Roman" w:hAnsi="Times New Roman" w:cs="Times New Roman"/>
          <w:sz w:val="28"/>
          <w:szCs w:val="28"/>
        </w:rPr>
        <w:t>no se configura la cosa juzgada constitucional</w:t>
      </w:r>
      <w:r w:rsidR="006E5706" w:rsidRPr="00DB625B">
        <w:rPr>
          <w:rFonts w:ascii="Times New Roman" w:hAnsi="Times New Roman" w:cs="Times New Roman"/>
          <w:sz w:val="28"/>
          <w:szCs w:val="28"/>
        </w:rPr>
        <w:t xml:space="preserve"> en la presen demanda</w:t>
      </w:r>
      <w:r w:rsidR="00943A9A" w:rsidRPr="00DB625B">
        <w:rPr>
          <w:rStyle w:val="Refdenotaalpie"/>
          <w:rFonts w:ascii="Times New Roman" w:hAnsi="Times New Roman" w:cs="Times New Roman"/>
          <w:sz w:val="28"/>
          <w:szCs w:val="28"/>
        </w:rPr>
        <w:footnoteReference w:id="6"/>
      </w:r>
    </w:p>
    <w:p w:rsidR="00C854C2" w:rsidRPr="00DB625B" w:rsidRDefault="00C854C2" w:rsidP="00DB625B">
      <w:pPr>
        <w:spacing w:after="0" w:line="240" w:lineRule="auto"/>
        <w:jc w:val="both"/>
        <w:rPr>
          <w:rFonts w:ascii="Times New Roman" w:hAnsi="Times New Roman" w:cs="Times New Roman"/>
          <w:sz w:val="28"/>
          <w:szCs w:val="28"/>
        </w:rPr>
      </w:pPr>
    </w:p>
    <w:p w:rsidR="00C854C2" w:rsidRPr="00DB625B" w:rsidRDefault="00746C29" w:rsidP="00DB625B">
      <w:pPr>
        <w:pStyle w:val="Prrafodelista"/>
        <w:numPr>
          <w:ilvl w:val="0"/>
          <w:numId w:val="49"/>
        </w:numPr>
        <w:spacing w:after="0" w:line="240" w:lineRule="auto"/>
        <w:ind w:left="0" w:firstLine="0"/>
        <w:jc w:val="both"/>
        <w:rPr>
          <w:rFonts w:ascii="Times New Roman" w:hAnsi="Times New Roman" w:cs="Times New Roman"/>
          <w:sz w:val="28"/>
          <w:szCs w:val="28"/>
        </w:rPr>
      </w:pPr>
      <w:r w:rsidRPr="00DB625B">
        <w:rPr>
          <w:rFonts w:ascii="Times New Roman" w:hAnsi="Times New Roman" w:cs="Times New Roman"/>
          <w:sz w:val="28"/>
          <w:szCs w:val="28"/>
        </w:rPr>
        <w:t>L</w:t>
      </w:r>
      <w:r w:rsidR="00943A9A" w:rsidRPr="00DB625B">
        <w:rPr>
          <w:rFonts w:ascii="Times New Roman" w:hAnsi="Times New Roman" w:cs="Times New Roman"/>
          <w:sz w:val="28"/>
          <w:szCs w:val="28"/>
        </w:rPr>
        <w:t>a suspensión provisional es una</w:t>
      </w:r>
      <w:r w:rsidR="006E5706" w:rsidRPr="00DB625B">
        <w:rPr>
          <w:rFonts w:ascii="Times New Roman" w:hAnsi="Times New Roman" w:cs="Times New Roman"/>
          <w:sz w:val="28"/>
          <w:szCs w:val="28"/>
        </w:rPr>
        <w:t xml:space="preserve"> medida de prudencia disciplinaria</w:t>
      </w:r>
      <w:r w:rsidR="00943A9A" w:rsidRPr="00DB625B">
        <w:rPr>
          <w:rFonts w:ascii="Times New Roman" w:hAnsi="Times New Roman" w:cs="Times New Roman"/>
          <w:sz w:val="28"/>
          <w:szCs w:val="28"/>
        </w:rPr>
        <w:t>, que protege el principio de</w:t>
      </w:r>
      <w:r w:rsidR="006E5706" w:rsidRPr="00DB625B">
        <w:rPr>
          <w:rFonts w:ascii="Times New Roman" w:hAnsi="Times New Roman" w:cs="Times New Roman"/>
          <w:sz w:val="28"/>
          <w:szCs w:val="28"/>
        </w:rPr>
        <w:t xml:space="preserve"> prevalencia de interés general. Resaltó que las sanciones son regladas y no discrecional</w:t>
      </w:r>
      <w:r w:rsidR="00943A9A" w:rsidRPr="00DB625B">
        <w:rPr>
          <w:rFonts w:ascii="Times New Roman" w:hAnsi="Times New Roman" w:cs="Times New Roman"/>
          <w:sz w:val="28"/>
          <w:szCs w:val="28"/>
        </w:rPr>
        <w:t>;</w:t>
      </w:r>
      <w:r w:rsidR="006E5706" w:rsidRPr="00DB625B">
        <w:rPr>
          <w:rFonts w:ascii="Times New Roman" w:hAnsi="Times New Roman" w:cs="Times New Roman"/>
          <w:sz w:val="28"/>
          <w:szCs w:val="28"/>
        </w:rPr>
        <w:t xml:space="preserve"> a saber:</w:t>
      </w:r>
      <w:r w:rsidR="00943A9A" w:rsidRPr="00DB625B">
        <w:rPr>
          <w:rFonts w:ascii="Times New Roman" w:hAnsi="Times New Roman" w:cs="Times New Roman"/>
          <w:sz w:val="28"/>
          <w:szCs w:val="28"/>
        </w:rPr>
        <w:t xml:space="preserve"> “</w:t>
      </w:r>
      <w:r w:rsidR="00943A9A" w:rsidRPr="00DB625B">
        <w:rPr>
          <w:rFonts w:ascii="Times New Roman" w:hAnsi="Times New Roman" w:cs="Times New Roman"/>
          <w:i/>
          <w:sz w:val="28"/>
          <w:szCs w:val="28"/>
        </w:rPr>
        <w:t>(i) el servidor público debe estar en ejercicio de un cargo, función o servicio, (ii) contra él debe haberse iniciado una investigación disciplinaria o adelantarse el juzgamiento disciplinario, (iii) dicha investigación o juz</w:t>
      </w:r>
      <w:r w:rsidR="00943A9A" w:rsidRPr="00DB625B">
        <w:rPr>
          <w:rFonts w:ascii="Times New Roman" w:hAnsi="Times New Roman" w:cs="Times New Roman"/>
          <w:i/>
          <w:sz w:val="28"/>
          <w:szCs w:val="28"/>
        </w:rPr>
        <w:lastRenderedPageBreak/>
        <w:t>gamiento debe tramitarse por la supuesta comisión de faltas disciplinarias gravísimas o graves, (iv) debe existir serios elementos de juicio, a partir de las cuales se pueda establecer que la permanencia en el cargo, función o servicio hace posible: a) que el procesado interfiera en el trámite del proceso, b)que el procesado continúe cometiendo la falta por la cual se lo procesa o c) que el procesado reitere la comisión de dicha falta</w:t>
      </w:r>
      <w:r w:rsidR="00943A9A" w:rsidRPr="00DB625B">
        <w:rPr>
          <w:rFonts w:ascii="Times New Roman" w:hAnsi="Times New Roman" w:cs="Times New Roman"/>
          <w:sz w:val="28"/>
          <w:szCs w:val="28"/>
        </w:rPr>
        <w:t>”</w:t>
      </w:r>
      <w:r w:rsidR="00943A9A" w:rsidRPr="00DB625B">
        <w:rPr>
          <w:rStyle w:val="Refdenotaalpie"/>
          <w:rFonts w:ascii="Times New Roman" w:hAnsi="Times New Roman" w:cs="Times New Roman"/>
          <w:sz w:val="28"/>
          <w:szCs w:val="28"/>
        </w:rPr>
        <w:footnoteReference w:id="7"/>
      </w:r>
      <w:r w:rsidR="00943A9A" w:rsidRPr="00DB625B">
        <w:rPr>
          <w:rFonts w:ascii="Times New Roman" w:hAnsi="Times New Roman" w:cs="Times New Roman"/>
          <w:sz w:val="28"/>
          <w:szCs w:val="28"/>
        </w:rPr>
        <w:t xml:space="preserve">. </w:t>
      </w:r>
    </w:p>
    <w:p w:rsidR="00C854C2" w:rsidRPr="00DB625B" w:rsidRDefault="00C854C2" w:rsidP="00DB625B">
      <w:pPr>
        <w:spacing w:after="0" w:line="240" w:lineRule="auto"/>
        <w:jc w:val="both"/>
        <w:rPr>
          <w:rFonts w:ascii="Times New Roman" w:hAnsi="Times New Roman" w:cs="Times New Roman"/>
          <w:sz w:val="28"/>
          <w:szCs w:val="28"/>
        </w:rPr>
      </w:pPr>
    </w:p>
    <w:p w:rsidR="00943A9A" w:rsidRPr="00DB625B" w:rsidRDefault="006E5706" w:rsidP="00DB625B">
      <w:pPr>
        <w:spacing w:after="0" w:line="240" w:lineRule="auto"/>
        <w:jc w:val="both"/>
        <w:rPr>
          <w:rFonts w:ascii="Times New Roman" w:hAnsi="Times New Roman" w:cs="Times New Roman"/>
          <w:sz w:val="28"/>
          <w:szCs w:val="28"/>
        </w:rPr>
      </w:pPr>
      <w:r w:rsidRPr="00DB625B">
        <w:rPr>
          <w:rFonts w:ascii="Times New Roman" w:hAnsi="Times New Roman" w:cs="Times New Roman"/>
          <w:sz w:val="28"/>
          <w:szCs w:val="28"/>
        </w:rPr>
        <w:t>Además</w:t>
      </w:r>
      <w:r w:rsidR="00943A9A" w:rsidRPr="00DB625B">
        <w:rPr>
          <w:rFonts w:ascii="Times New Roman" w:hAnsi="Times New Roman" w:cs="Times New Roman"/>
          <w:sz w:val="28"/>
          <w:szCs w:val="28"/>
        </w:rPr>
        <w:t xml:space="preserve"> para suspender al servidor público provisionalmente se debe respetar una serie de garantías; la decisión debe ser: (i) motivada (ii) temporal, (iii) necesaria: que los referidos supuestos permanezcan en el tiempo y (iv) que el funcionario que toma la decisión de suspender al servidor público es responsable, en materia disciplinaria. </w:t>
      </w:r>
    </w:p>
    <w:p w:rsidR="00C854C2" w:rsidRPr="00DB625B" w:rsidRDefault="00C854C2" w:rsidP="00DB625B">
      <w:pPr>
        <w:spacing w:after="0" w:line="240" w:lineRule="auto"/>
        <w:jc w:val="both"/>
        <w:rPr>
          <w:rFonts w:ascii="Times New Roman" w:hAnsi="Times New Roman" w:cs="Times New Roman"/>
          <w:sz w:val="28"/>
          <w:szCs w:val="28"/>
        </w:rPr>
      </w:pPr>
    </w:p>
    <w:p w:rsidR="00B26C95" w:rsidRPr="00DB625B" w:rsidRDefault="00746C29" w:rsidP="00DB625B">
      <w:pPr>
        <w:pStyle w:val="Prrafodelista"/>
        <w:numPr>
          <w:ilvl w:val="0"/>
          <w:numId w:val="49"/>
        </w:numPr>
        <w:spacing w:after="0" w:line="240" w:lineRule="auto"/>
        <w:ind w:left="0" w:firstLine="0"/>
        <w:jc w:val="both"/>
        <w:rPr>
          <w:rFonts w:ascii="Times New Roman" w:hAnsi="Times New Roman" w:cs="Times New Roman"/>
          <w:sz w:val="28"/>
          <w:szCs w:val="28"/>
        </w:rPr>
      </w:pPr>
      <w:r w:rsidRPr="00DB625B">
        <w:rPr>
          <w:rFonts w:ascii="Times New Roman" w:hAnsi="Times New Roman" w:cs="Times New Roman"/>
          <w:sz w:val="28"/>
          <w:szCs w:val="28"/>
        </w:rPr>
        <w:t>C</w:t>
      </w:r>
      <w:r w:rsidR="00C529B2" w:rsidRPr="00DB625B">
        <w:rPr>
          <w:rFonts w:ascii="Times New Roman" w:hAnsi="Times New Roman" w:cs="Times New Roman"/>
          <w:sz w:val="28"/>
          <w:szCs w:val="28"/>
        </w:rPr>
        <w:t>onsideró</w:t>
      </w:r>
      <w:r w:rsidR="00943A9A" w:rsidRPr="00DB625B">
        <w:rPr>
          <w:rFonts w:ascii="Times New Roman" w:hAnsi="Times New Roman" w:cs="Times New Roman"/>
          <w:sz w:val="28"/>
          <w:szCs w:val="28"/>
        </w:rPr>
        <w:t xml:space="preserve"> que la medida provisional no vulnera la presunción de inocenc</w:t>
      </w:r>
      <w:r w:rsidR="006E5706" w:rsidRPr="00DB625B">
        <w:rPr>
          <w:rFonts w:ascii="Times New Roman" w:hAnsi="Times New Roman" w:cs="Times New Roman"/>
          <w:sz w:val="28"/>
          <w:szCs w:val="28"/>
        </w:rPr>
        <w:t>ia, pues el carácter transitorio</w:t>
      </w:r>
      <w:r w:rsidR="00943A9A" w:rsidRPr="00DB625B">
        <w:rPr>
          <w:rFonts w:ascii="Times New Roman" w:hAnsi="Times New Roman" w:cs="Times New Roman"/>
          <w:sz w:val="28"/>
          <w:szCs w:val="28"/>
        </w:rPr>
        <w:t xml:space="preserve"> de la suspensión significa que la medida no define la responsabilidad del servido</w:t>
      </w:r>
      <w:r w:rsidR="00A961C1" w:rsidRPr="00DB625B">
        <w:rPr>
          <w:rFonts w:ascii="Times New Roman" w:hAnsi="Times New Roman" w:cs="Times New Roman"/>
          <w:sz w:val="28"/>
          <w:szCs w:val="28"/>
        </w:rPr>
        <w:t>r</w:t>
      </w:r>
      <w:r w:rsidR="00943A9A" w:rsidRPr="00DB625B">
        <w:rPr>
          <w:rFonts w:ascii="Times New Roman" w:hAnsi="Times New Roman" w:cs="Times New Roman"/>
          <w:sz w:val="28"/>
          <w:szCs w:val="28"/>
        </w:rPr>
        <w:t>, porque en ella no se hace ninguna valoración sobre la culpabilidad del servidor</w:t>
      </w:r>
      <w:r w:rsidR="006E5706" w:rsidRPr="00DB625B">
        <w:rPr>
          <w:rFonts w:ascii="Times New Roman" w:hAnsi="Times New Roman" w:cs="Times New Roman"/>
          <w:sz w:val="28"/>
          <w:szCs w:val="28"/>
        </w:rPr>
        <w:t xml:space="preserve">. </w:t>
      </w:r>
      <w:r w:rsidR="00B26C95" w:rsidRPr="00DB625B">
        <w:rPr>
          <w:rFonts w:ascii="Times New Roman" w:hAnsi="Times New Roman" w:cs="Times New Roman"/>
          <w:sz w:val="28"/>
          <w:szCs w:val="28"/>
        </w:rPr>
        <w:t>A su vez,</w:t>
      </w:r>
      <w:r w:rsidR="00943A9A" w:rsidRPr="00DB625B">
        <w:rPr>
          <w:rFonts w:ascii="Times New Roman" w:hAnsi="Times New Roman" w:cs="Times New Roman"/>
          <w:sz w:val="28"/>
          <w:szCs w:val="28"/>
        </w:rPr>
        <w:t xml:space="preserve"> no se excluye la interposición de recur</w:t>
      </w:r>
      <w:r w:rsidR="006E5706" w:rsidRPr="00DB625B">
        <w:rPr>
          <w:rFonts w:ascii="Times New Roman" w:hAnsi="Times New Roman" w:cs="Times New Roman"/>
          <w:sz w:val="28"/>
          <w:szCs w:val="28"/>
        </w:rPr>
        <w:t>sos contra la medida sino que</w:t>
      </w:r>
      <w:r w:rsidR="00943A9A" w:rsidRPr="00DB625B">
        <w:rPr>
          <w:rFonts w:ascii="Times New Roman" w:hAnsi="Times New Roman" w:cs="Times New Roman"/>
          <w:sz w:val="28"/>
          <w:szCs w:val="28"/>
        </w:rPr>
        <w:t xml:space="preserve"> permite al servidor público i</w:t>
      </w:r>
      <w:r w:rsidR="006E5706" w:rsidRPr="00DB625B">
        <w:rPr>
          <w:rFonts w:ascii="Times New Roman" w:hAnsi="Times New Roman" w:cs="Times New Roman"/>
          <w:sz w:val="28"/>
          <w:szCs w:val="28"/>
        </w:rPr>
        <w:t>nterponer por ejemplo reposición o garantizar su revisión en</w:t>
      </w:r>
      <w:r w:rsidR="00943A9A" w:rsidRPr="00DB625B">
        <w:rPr>
          <w:rFonts w:ascii="Times New Roman" w:hAnsi="Times New Roman" w:cs="Times New Roman"/>
          <w:sz w:val="28"/>
          <w:szCs w:val="28"/>
        </w:rPr>
        <w:t xml:space="preserve"> grado de consulta. </w:t>
      </w:r>
    </w:p>
    <w:p w:rsidR="00C854C2" w:rsidRPr="00DB625B" w:rsidRDefault="00C854C2" w:rsidP="00DB625B">
      <w:pPr>
        <w:spacing w:after="0" w:line="240" w:lineRule="auto"/>
        <w:jc w:val="both"/>
        <w:rPr>
          <w:rFonts w:ascii="Times New Roman" w:hAnsi="Times New Roman" w:cs="Times New Roman"/>
          <w:bCs/>
          <w:sz w:val="28"/>
          <w:szCs w:val="28"/>
        </w:rPr>
      </w:pPr>
    </w:p>
    <w:p w:rsidR="00943A9A" w:rsidRPr="00DB625B" w:rsidRDefault="00943A9A" w:rsidP="00DB625B">
      <w:pPr>
        <w:spacing w:after="0" w:line="240" w:lineRule="auto"/>
        <w:ind w:firstLine="708"/>
        <w:jc w:val="both"/>
        <w:rPr>
          <w:rFonts w:ascii="Times New Roman" w:hAnsi="Times New Roman" w:cs="Times New Roman"/>
          <w:b/>
          <w:bCs/>
          <w:sz w:val="28"/>
          <w:szCs w:val="28"/>
        </w:rPr>
      </w:pPr>
      <w:r w:rsidRPr="00DB625B">
        <w:rPr>
          <w:rFonts w:ascii="Times New Roman" w:hAnsi="Times New Roman" w:cs="Times New Roman"/>
          <w:b/>
          <w:bCs/>
          <w:sz w:val="28"/>
          <w:szCs w:val="28"/>
        </w:rPr>
        <w:t>3. Cámara de Representantes</w:t>
      </w:r>
    </w:p>
    <w:p w:rsidR="00C854C2" w:rsidRPr="00DB625B" w:rsidRDefault="00C854C2" w:rsidP="00DB625B">
      <w:pPr>
        <w:spacing w:after="0" w:line="240" w:lineRule="auto"/>
        <w:jc w:val="both"/>
        <w:rPr>
          <w:rFonts w:ascii="Times New Roman" w:hAnsi="Times New Roman" w:cs="Times New Roman"/>
          <w:sz w:val="28"/>
          <w:szCs w:val="28"/>
        </w:rPr>
      </w:pPr>
    </w:p>
    <w:p w:rsidR="00943A9A" w:rsidRPr="00DB625B" w:rsidRDefault="00943A9A" w:rsidP="00DB625B">
      <w:pPr>
        <w:spacing w:after="0" w:line="240" w:lineRule="auto"/>
        <w:jc w:val="both"/>
        <w:rPr>
          <w:rFonts w:ascii="Times New Roman" w:hAnsi="Times New Roman" w:cs="Times New Roman"/>
          <w:sz w:val="28"/>
          <w:szCs w:val="28"/>
        </w:rPr>
      </w:pPr>
      <w:r w:rsidRPr="00DB625B">
        <w:rPr>
          <w:rFonts w:ascii="Times New Roman" w:hAnsi="Times New Roman" w:cs="Times New Roman"/>
          <w:sz w:val="28"/>
          <w:szCs w:val="28"/>
        </w:rPr>
        <w:t>Julián Var</w:t>
      </w:r>
      <w:r w:rsidR="006E5706" w:rsidRPr="00DB625B">
        <w:rPr>
          <w:rFonts w:ascii="Times New Roman" w:hAnsi="Times New Roman" w:cs="Times New Roman"/>
          <w:sz w:val="28"/>
          <w:szCs w:val="28"/>
        </w:rPr>
        <w:t>gas Brand,</w:t>
      </w:r>
      <w:r w:rsidRPr="00DB625B">
        <w:rPr>
          <w:rFonts w:ascii="Times New Roman" w:hAnsi="Times New Roman" w:cs="Times New Roman"/>
          <w:sz w:val="28"/>
          <w:szCs w:val="28"/>
        </w:rPr>
        <w:t xml:space="preserve"> apoderado de la Cámara de Representantes</w:t>
      </w:r>
      <w:r w:rsidR="006E5706" w:rsidRPr="00DB625B">
        <w:rPr>
          <w:rFonts w:ascii="Times New Roman" w:hAnsi="Times New Roman" w:cs="Times New Roman"/>
          <w:sz w:val="28"/>
          <w:szCs w:val="28"/>
        </w:rPr>
        <w:t>, presentó</w:t>
      </w:r>
      <w:r w:rsidRPr="00DB625B">
        <w:rPr>
          <w:rFonts w:ascii="Times New Roman" w:hAnsi="Times New Roman" w:cs="Times New Roman"/>
          <w:sz w:val="28"/>
          <w:szCs w:val="28"/>
        </w:rPr>
        <w:t xml:space="preserve"> escrito el 27 de junio de 2019</w:t>
      </w:r>
      <w:r w:rsidR="007C430C" w:rsidRPr="00DB625B">
        <w:rPr>
          <w:rFonts w:ascii="Times New Roman" w:hAnsi="Times New Roman" w:cs="Times New Roman"/>
          <w:sz w:val="28"/>
          <w:szCs w:val="28"/>
        </w:rPr>
        <w:t>, en donde indicó que se inhibiría</w:t>
      </w:r>
      <w:r w:rsidR="006E5706" w:rsidRPr="00DB625B">
        <w:rPr>
          <w:rFonts w:ascii="Times New Roman" w:hAnsi="Times New Roman" w:cs="Times New Roman"/>
          <w:sz w:val="28"/>
          <w:szCs w:val="28"/>
        </w:rPr>
        <w:t xml:space="preserve"> para</w:t>
      </w:r>
      <w:r w:rsidRPr="00DB625B">
        <w:rPr>
          <w:rFonts w:ascii="Times New Roman" w:hAnsi="Times New Roman" w:cs="Times New Roman"/>
          <w:sz w:val="28"/>
          <w:szCs w:val="28"/>
        </w:rPr>
        <w:t xml:space="preserve"> realizar pronunciamiento alguno sobre la demanda de inconstitucionalidad, porque</w:t>
      </w:r>
      <w:r w:rsidR="007C430C" w:rsidRPr="00DB625B">
        <w:rPr>
          <w:rFonts w:ascii="Times New Roman" w:hAnsi="Times New Roman" w:cs="Times New Roman"/>
          <w:sz w:val="28"/>
          <w:szCs w:val="28"/>
        </w:rPr>
        <w:t xml:space="preserve"> su intervención es de carácter pot</w:t>
      </w:r>
      <w:r w:rsidR="00A961C1" w:rsidRPr="00DB625B">
        <w:rPr>
          <w:rFonts w:ascii="Times New Roman" w:hAnsi="Times New Roman" w:cs="Times New Roman"/>
          <w:sz w:val="28"/>
          <w:szCs w:val="28"/>
        </w:rPr>
        <w:t>estativo</w:t>
      </w:r>
      <w:r w:rsidRPr="00DB625B">
        <w:rPr>
          <w:rStyle w:val="Refdenotaalpie"/>
          <w:rFonts w:ascii="Times New Roman" w:hAnsi="Times New Roman" w:cs="Times New Roman"/>
          <w:sz w:val="28"/>
          <w:szCs w:val="28"/>
        </w:rPr>
        <w:footnoteReference w:id="8"/>
      </w:r>
      <w:r w:rsidRPr="00DB625B">
        <w:rPr>
          <w:rFonts w:ascii="Times New Roman" w:hAnsi="Times New Roman" w:cs="Times New Roman"/>
          <w:sz w:val="28"/>
          <w:szCs w:val="28"/>
        </w:rPr>
        <w:t>.</w:t>
      </w:r>
    </w:p>
    <w:p w:rsidR="00C854C2" w:rsidRPr="00DB625B" w:rsidRDefault="00C854C2" w:rsidP="00DB625B">
      <w:pPr>
        <w:spacing w:after="0" w:line="240" w:lineRule="auto"/>
        <w:jc w:val="both"/>
        <w:rPr>
          <w:rFonts w:ascii="Times New Roman" w:hAnsi="Times New Roman" w:cs="Times New Roman"/>
          <w:bCs/>
          <w:sz w:val="28"/>
          <w:szCs w:val="28"/>
        </w:rPr>
      </w:pPr>
    </w:p>
    <w:p w:rsidR="00B96D15" w:rsidRPr="00DB625B" w:rsidRDefault="004B4129" w:rsidP="00DB625B">
      <w:pPr>
        <w:spacing w:after="0" w:line="240" w:lineRule="auto"/>
        <w:jc w:val="both"/>
        <w:rPr>
          <w:rFonts w:ascii="Times New Roman" w:hAnsi="Times New Roman" w:cs="Times New Roman"/>
          <w:b/>
          <w:bCs/>
          <w:sz w:val="28"/>
          <w:szCs w:val="28"/>
        </w:rPr>
      </w:pPr>
      <w:r w:rsidRPr="00DB625B">
        <w:rPr>
          <w:rFonts w:ascii="Times New Roman" w:hAnsi="Times New Roman" w:cs="Times New Roman"/>
          <w:b/>
          <w:bCs/>
          <w:sz w:val="28"/>
          <w:szCs w:val="28"/>
        </w:rPr>
        <w:t xml:space="preserve">B. </w:t>
      </w:r>
      <w:r w:rsidR="0034481C" w:rsidRPr="00DB625B">
        <w:rPr>
          <w:rFonts w:ascii="Times New Roman" w:hAnsi="Times New Roman" w:cs="Times New Roman"/>
          <w:b/>
          <w:bCs/>
          <w:sz w:val="28"/>
          <w:szCs w:val="28"/>
        </w:rPr>
        <w:t xml:space="preserve">Instituciones de Educación Superior: </w:t>
      </w:r>
      <w:r w:rsidRPr="00DB625B">
        <w:rPr>
          <w:rFonts w:ascii="Times New Roman" w:hAnsi="Times New Roman" w:cs="Times New Roman"/>
          <w:b/>
          <w:bCs/>
          <w:sz w:val="28"/>
          <w:szCs w:val="28"/>
        </w:rPr>
        <w:t>Universidad Externado de Colombia</w:t>
      </w:r>
    </w:p>
    <w:p w:rsidR="00C854C2" w:rsidRPr="00DB625B" w:rsidRDefault="00C854C2" w:rsidP="00DB625B">
      <w:pPr>
        <w:spacing w:after="0" w:line="240" w:lineRule="auto"/>
        <w:jc w:val="both"/>
        <w:rPr>
          <w:rFonts w:ascii="Times New Roman" w:hAnsi="Times New Roman" w:cs="Times New Roman"/>
          <w:sz w:val="28"/>
          <w:szCs w:val="28"/>
        </w:rPr>
      </w:pPr>
    </w:p>
    <w:p w:rsidR="00943A9A" w:rsidRPr="00DB625B" w:rsidRDefault="00943A9A" w:rsidP="00DB625B">
      <w:pPr>
        <w:spacing w:after="0" w:line="240" w:lineRule="auto"/>
        <w:jc w:val="both"/>
        <w:rPr>
          <w:rFonts w:ascii="Times New Roman" w:hAnsi="Times New Roman" w:cs="Times New Roman"/>
          <w:sz w:val="28"/>
          <w:szCs w:val="28"/>
        </w:rPr>
      </w:pPr>
      <w:r w:rsidRPr="00DB625B">
        <w:rPr>
          <w:rFonts w:ascii="Times New Roman" w:hAnsi="Times New Roman" w:cs="Times New Roman"/>
          <w:sz w:val="28"/>
          <w:szCs w:val="28"/>
        </w:rPr>
        <w:t>El 27 de junio de 2019</w:t>
      </w:r>
      <w:r w:rsidR="006E5706" w:rsidRPr="00DB625B">
        <w:rPr>
          <w:rFonts w:ascii="Times New Roman" w:hAnsi="Times New Roman" w:cs="Times New Roman"/>
          <w:sz w:val="28"/>
          <w:szCs w:val="28"/>
        </w:rPr>
        <w:t xml:space="preserve">, </w:t>
      </w:r>
      <w:r w:rsidRPr="00DB625B">
        <w:rPr>
          <w:rFonts w:ascii="Times New Roman" w:hAnsi="Times New Roman" w:cs="Times New Roman"/>
          <w:sz w:val="28"/>
          <w:szCs w:val="28"/>
        </w:rPr>
        <w:t>el Director del Departamento de Derecho Penal de la Universidad Externado de C</w:t>
      </w:r>
      <w:r w:rsidR="00C529B2" w:rsidRPr="00DB625B">
        <w:rPr>
          <w:rFonts w:ascii="Times New Roman" w:hAnsi="Times New Roman" w:cs="Times New Roman"/>
          <w:sz w:val="28"/>
          <w:szCs w:val="28"/>
        </w:rPr>
        <w:t>olombia remitió concepto elaborado</w:t>
      </w:r>
      <w:r w:rsidRPr="00DB625B">
        <w:rPr>
          <w:rFonts w:ascii="Times New Roman" w:hAnsi="Times New Roman" w:cs="Times New Roman"/>
          <w:sz w:val="28"/>
          <w:szCs w:val="28"/>
        </w:rPr>
        <w:t xml:space="preserve"> por </w:t>
      </w:r>
      <w:r w:rsidR="004B4129" w:rsidRPr="00DB625B">
        <w:rPr>
          <w:rFonts w:ascii="Times New Roman" w:hAnsi="Times New Roman" w:cs="Times New Roman"/>
          <w:sz w:val="28"/>
          <w:szCs w:val="28"/>
        </w:rPr>
        <w:t xml:space="preserve">el doctor Orlando Ospina Garzón y pidió a la Corte que se declarara exequible la norma censurada. </w:t>
      </w:r>
      <w:r w:rsidRPr="00DB625B">
        <w:rPr>
          <w:rFonts w:ascii="Times New Roman" w:hAnsi="Times New Roman" w:cs="Times New Roman"/>
          <w:sz w:val="28"/>
          <w:szCs w:val="28"/>
        </w:rPr>
        <w:t xml:space="preserve"> </w:t>
      </w:r>
    </w:p>
    <w:p w:rsidR="004B4129" w:rsidRPr="00DB625B" w:rsidRDefault="004B4129" w:rsidP="00DB625B">
      <w:pPr>
        <w:spacing w:after="0" w:line="240" w:lineRule="auto"/>
        <w:jc w:val="both"/>
        <w:rPr>
          <w:rFonts w:ascii="Times New Roman" w:hAnsi="Times New Roman" w:cs="Times New Roman"/>
          <w:sz w:val="28"/>
          <w:szCs w:val="28"/>
        </w:rPr>
      </w:pPr>
    </w:p>
    <w:p w:rsidR="00943A9A" w:rsidRPr="00DB625B" w:rsidRDefault="004B4129" w:rsidP="00DB625B">
      <w:pPr>
        <w:spacing w:after="0" w:line="240" w:lineRule="auto"/>
        <w:jc w:val="both"/>
        <w:rPr>
          <w:rFonts w:ascii="Times New Roman" w:hAnsi="Times New Roman" w:cs="Times New Roman"/>
          <w:sz w:val="28"/>
          <w:szCs w:val="28"/>
        </w:rPr>
      </w:pPr>
      <w:r w:rsidRPr="00DB625B">
        <w:rPr>
          <w:rFonts w:ascii="Times New Roman" w:hAnsi="Times New Roman" w:cs="Times New Roman"/>
          <w:sz w:val="28"/>
          <w:szCs w:val="28"/>
        </w:rPr>
        <w:lastRenderedPageBreak/>
        <w:t xml:space="preserve">Inicialmente, estimó que no se había configurado cosa juzgada constitucional en relación con la </w:t>
      </w:r>
      <w:r w:rsidR="00943A9A" w:rsidRPr="00DB625B">
        <w:rPr>
          <w:rFonts w:ascii="Times New Roman" w:hAnsi="Times New Roman" w:cs="Times New Roman"/>
          <w:sz w:val="28"/>
          <w:szCs w:val="28"/>
        </w:rPr>
        <w:t>Sentencia C-086 de 2019</w:t>
      </w:r>
      <w:r w:rsidRPr="00DB625B">
        <w:rPr>
          <w:rFonts w:ascii="Times New Roman" w:hAnsi="Times New Roman" w:cs="Times New Roman"/>
          <w:sz w:val="28"/>
          <w:szCs w:val="28"/>
        </w:rPr>
        <w:t>, decisión declaró</w:t>
      </w:r>
      <w:r w:rsidR="00943A9A" w:rsidRPr="00DB625B">
        <w:rPr>
          <w:rFonts w:ascii="Times New Roman" w:hAnsi="Times New Roman" w:cs="Times New Roman"/>
          <w:sz w:val="28"/>
          <w:szCs w:val="28"/>
        </w:rPr>
        <w:t xml:space="preserve"> exequibles los artículos 157 de la Ley 734 de 2002 y 217 de la Ley</w:t>
      </w:r>
      <w:r w:rsidRPr="00DB625B">
        <w:rPr>
          <w:rFonts w:ascii="Times New Roman" w:hAnsi="Times New Roman" w:cs="Times New Roman"/>
          <w:sz w:val="28"/>
          <w:szCs w:val="28"/>
        </w:rPr>
        <w:t xml:space="preserve"> 1952</w:t>
      </w:r>
      <w:r w:rsidR="00943A9A" w:rsidRPr="00DB625B">
        <w:rPr>
          <w:rFonts w:ascii="Times New Roman" w:hAnsi="Times New Roman" w:cs="Times New Roman"/>
          <w:sz w:val="28"/>
          <w:szCs w:val="28"/>
        </w:rPr>
        <w:t xml:space="preserve"> de 2019, </w:t>
      </w:r>
      <w:r w:rsidR="00C068FC" w:rsidRPr="00DB625B">
        <w:rPr>
          <w:rFonts w:ascii="Times New Roman" w:hAnsi="Times New Roman" w:cs="Times New Roman"/>
          <w:sz w:val="28"/>
          <w:szCs w:val="28"/>
        </w:rPr>
        <w:t>porque</w:t>
      </w:r>
      <w:r w:rsidRPr="00DB625B">
        <w:rPr>
          <w:rFonts w:ascii="Times New Roman" w:hAnsi="Times New Roman" w:cs="Times New Roman"/>
          <w:sz w:val="28"/>
          <w:szCs w:val="28"/>
        </w:rPr>
        <w:t xml:space="preserve"> los cargos que se analizan en esta oportunidad</w:t>
      </w:r>
      <w:r w:rsidR="00C529B2" w:rsidRPr="00DB625B">
        <w:rPr>
          <w:rFonts w:ascii="Times New Roman" w:hAnsi="Times New Roman" w:cs="Times New Roman"/>
          <w:sz w:val="28"/>
          <w:szCs w:val="28"/>
        </w:rPr>
        <w:t xml:space="preserve"> fueron</w:t>
      </w:r>
      <w:r w:rsidR="00C068FC" w:rsidRPr="00DB625B">
        <w:rPr>
          <w:rFonts w:ascii="Times New Roman" w:hAnsi="Times New Roman" w:cs="Times New Roman"/>
          <w:sz w:val="28"/>
          <w:szCs w:val="28"/>
        </w:rPr>
        <w:t xml:space="preserve"> diferentes a los que se estudiaron en aquella ocasión</w:t>
      </w:r>
      <w:r w:rsidRPr="00DB625B">
        <w:rPr>
          <w:rFonts w:ascii="Times New Roman" w:hAnsi="Times New Roman" w:cs="Times New Roman"/>
          <w:sz w:val="28"/>
          <w:szCs w:val="28"/>
        </w:rPr>
        <w:t>. Por ello,</w:t>
      </w:r>
      <w:r w:rsidR="00943A9A" w:rsidRPr="00DB625B">
        <w:rPr>
          <w:rFonts w:ascii="Times New Roman" w:hAnsi="Times New Roman" w:cs="Times New Roman"/>
          <w:sz w:val="28"/>
          <w:szCs w:val="28"/>
        </w:rPr>
        <w:t xml:space="preserve"> la Corte </w:t>
      </w:r>
      <w:r w:rsidRPr="00DB625B">
        <w:rPr>
          <w:rFonts w:ascii="Times New Roman" w:hAnsi="Times New Roman" w:cs="Times New Roman"/>
          <w:sz w:val="28"/>
          <w:szCs w:val="28"/>
        </w:rPr>
        <w:t xml:space="preserve">está habilitada para </w:t>
      </w:r>
      <w:r w:rsidR="00943A9A" w:rsidRPr="00DB625B">
        <w:rPr>
          <w:rFonts w:ascii="Times New Roman" w:hAnsi="Times New Roman" w:cs="Times New Roman"/>
          <w:sz w:val="28"/>
          <w:szCs w:val="28"/>
        </w:rPr>
        <w:t>hacer un nuevo es</w:t>
      </w:r>
      <w:r w:rsidRPr="00DB625B">
        <w:rPr>
          <w:rFonts w:ascii="Times New Roman" w:hAnsi="Times New Roman" w:cs="Times New Roman"/>
          <w:sz w:val="28"/>
          <w:szCs w:val="28"/>
        </w:rPr>
        <w:t>tudio de validez de la norma</w:t>
      </w:r>
      <w:r w:rsidR="00C068FC" w:rsidRPr="00DB625B">
        <w:rPr>
          <w:rFonts w:ascii="Times New Roman" w:hAnsi="Times New Roman" w:cs="Times New Roman"/>
          <w:sz w:val="28"/>
          <w:szCs w:val="28"/>
        </w:rPr>
        <w:t>, dado que jamás ha estudiado un concepto de violación que se fundamente en el desconocimiento de la reserva de ley estatutaria</w:t>
      </w:r>
      <w:r w:rsidR="00943A9A" w:rsidRPr="00DB625B">
        <w:rPr>
          <w:rFonts w:ascii="Times New Roman" w:hAnsi="Times New Roman" w:cs="Times New Roman"/>
          <w:sz w:val="28"/>
          <w:szCs w:val="28"/>
        </w:rPr>
        <w:t>.</w:t>
      </w:r>
    </w:p>
    <w:p w:rsidR="006E5706" w:rsidRPr="00DB625B" w:rsidRDefault="006E5706" w:rsidP="00DB625B">
      <w:pPr>
        <w:spacing w:after="0" w:line="240" w:lineRule="auto"/>
        <w:jc w:val="both"/>
        <w:rPr>
          <w:rFonts w:ascii="Times New Roman" w:hAnsi="Times New Roman" w:cs="Times New Roman"/>
          <w:sz w:val="28"/>
          <w:szCs w:val="28"/>
        </w:rPr>
      </w:pPr>
    </w:p>
    <w:p w:rsidR="00943A9A" w:rsidRPr="00DB625B" w:rsidRDefault="00C068FC" w:rsidP="00DB625B">
      <w:pPr>
        <w:spacing w:after="0" w:line="240" w:lineRule="auto"/>
        <w:jc w:val="both"/>
        <w:rPr>
          <w:rFonts w:ascii="Times New Roman" w:hAnsi="Times New Roman" w:cs="Times New Roman"/>
          <w:b/>
          <w:sz w:val="28"/>
          <w:szCs w:val="28"/>
        </w:rPr>
      </w:pPr>
      <w:r w:rsidRPr="00DB625B">
        <w:rPr>
          <w:rFonts w:ascii="Times New Roman" w:hAnsi="Times New Roman" w:cs="Times New Roman"/>
          <w:sz w:val="28"/>
          <w:szCs w:val="28"/>
        </w:rPr>
        <w:t xml:space="preserve">En el análisis de mérito, </w:t>
      </w:r>
      <w:r w:rsidR="00943A9A" w:rsidRPr="00DB625B">
        <w:rPr>
          <w:rFonts w:ascii="Times New Roman" w:hAnsi="Times New Roman" w:cs="Times New Roman"/>
          <w:sz w:val="28"/>
          <w:szCs w:val="28"/>
        </w:rPr>
        <w:t xml:space="preserve"> </w:t>
      </w:r>
      <w:r w:rsidRPr="00DB625B">
        <w:rPr>
          <w:rFonts w:ascii="Times New Roman" w:hAnsi="Times New Roman" w:cs="Times New Roman"/>
          <w:sz w:val="28"/>
          <w:szCs w:val="28"/>
        </w:rPr>
        <w:t>advirtió que la norma demandada no hace parte de las materias que reserva la Constitución a un procedimiento cualificado. L</w:t>
      </w:r>
      <w:r w:rsidR="00943A9A" w:rsidRPr="00DB625B">
        <w:rPr>
          <w:rFonts w:ascii="Times New Roman" w:hAnsi="Times New Roman" w:cs="Times New Roman"/>
          <w:sz w:val="28"/>
          <w:szCs w:val="28"/>
        </w:rPr>
        <w:t>a jurisprudencia ha establecido que la</w:t>
      </w:r>
      <w:r w:rsidRPr="00DB625B">
        <w:rPr>
          <w:rFonts w:ascii="Times New Roman" w:hAnsi="Times New Roman" w:cs="Times New Roman"/>
          <w:sz w:val="28"/>
          <w:szCs w:val="28"/>
        </w:rPr>
        <w:t xml:space="preserve">s materias que están sujetas a ley estatutaria debe ser interpretado de forma restrictiva, dado que </w:t>
      </w:r>
      <w:r w:rsidR="00943A9A" w:rsidRPr="00DB625B">
        <w:rPr>
          <w:rFonts w:ascii="Times New Roman" w:hAnsi="Times New Roman" w:cs="Times New Roman"/>
          <w:sz w:val="28"/>
          <w:szCs w:val="28"/>
        </w:rPr>
        <w:t>toda norma se refiere de manera directa o indirectamente al ejercicio o restricción de un derecho fundamental,</w:t>
      </w:r>
      <w:r w:rsidRPr="00DB625B">
        <w:rPr>
          <w:rFonts w:ascii="Times New Roman" w:hAnsi="Times New Roman" w:cs="Times New Roman"/>
          <w:sz w:val="28"/>
          <w:szCs w:val="28"/>
        </w:rPr>
        <w:t xml:space="preserve"> hipótesis reconocida por el artículo 152 de la Constitución. L</w:t>
      </w:r>
      <w:r w:rsidR="00943A9A" w:rsidRPr="00DB625B">
        <w:rPr>
          <w:rFonts w:ascii="Times New Roman" w:hAnsi="Times New Roman" w:cs="Times New Roman"/>
          <w:sz w:val="28"/>
          <w:szCs w:val="28"/>
        </w:rPr>
        <w:t xml:space="preserve">a Corte </w:t>
      </w:r>
      <w:r w:rsidRPr="00DB625B">
        <w:rPr>
          <w:rFonts w:ascii="Times New Roman" w:hAnsi="Times New Roman" w:cs="Times New Roman"/>
          <w:sz w:val="28"/>
          <w:szCs w:val="28"/>
        </w:rPr>
        <w:t>ha enfatizado que no toda norma ligada</w:t>
      </w:r>
      <w:r w:rsidR="00943A9A" w:rsidRPr="00DB625B">
        <w:rPr>
          <w:rFonts w:ascii="Times New Roman" w:hAnsi="Times New Roman" w:cs="Times New Roman"/>
          <w:sz w:val="28"/>
          <w:szCs w:val="28"/>
        </w:rPr>
        <w:t xml:space="preserve"> a los derechos fundamentales deber ser tramitado mediante Ley estatutaria</w:t>
      </w:r>
      <w:r w:rsidRPr="00DB625B">
        <w:rPr>
          <w:rFonts w:ascii="Times New Roman" w:hAnsi="Times New Roman" w:cs="Times New Roman"/>
          <w:sz w:val="28"/>
          <w:szCs w:val="28"/>
        </w:rPr>
        <w:t>,</w:t>
      </w:r>
      <w:r w:rsidR="00943A9A" w:rsidRPr="00DB625B">
        <w:rPr>
          <w:rFonts w:ascii="Times New Roman" w:hAnsi="Times New Roman" w:cs="Times New Roman"/>
          <w:sz w:val="28"/>
          <w:szCs w:val="28"/>
        </w:rPr>
        <w:t xml:space="preserve"> porque las disposiciones objeto de tramite cualificado son las que regulan el núcleo esencial del derecho o deber fundamental.</w:t>
      </w:r>
    </w:p>
    <w:p w:rsidR="006E5706" w:rsidRPr="00DB625B" w:rsidRDefault="006E5706" w:rsidP="00DB625B">
      <w:pPr>
        <w:spacing w:after="0" w:line="240" w:lineRule="auto"/>
        <w:jc w:val="both"/>
        <w:rPr>
          <w:rFonts w:ascii="Times New Roman" w:hAnsi="Times New Roman" w:cs="Times New Roman"/>
          <w:sz w:val="28"/>
          <w:szCs w:val="28"/>
        </w:rPr>
      </w:pPr>
    </w:p>
    <w:p w:rsidR="00943A9A" w:rsidRPr="00DB625B" w:rsidRDefault="00BD1E34" w:rsidP="00DB625B">
      <w:pPr>
        <w:spacing w:after="0" w:line="240" w:lineRule="auto"/>
        <w:jc w:val="both"/>
        <w:rPr>
          <w:rFonts w:ascii="Times New Roman" w:hAnsi="Times New Roman" w:cs="Times New Roman"/>
          <w:sz w:val="28"/>
          <w:szCs w:val="28"/>
        </w:rPr>
      </w:pPr>
      <w:r w:rsidRPr="00DB625B">
        <w:rPr>
          <w:rFonts w:ascii="Times New Roman" w:hAnsi="Times New Roman" w:cs="Times New Roman"/>
          <w:sz w:val="28"/>
          <w:szCs w:val="28"/>
        </w:rPr>
        <w:t xml:space="preserve">La suspensión </w:t>
      </w:r>
      <w:r w:rsidR="00943A9A" w:rsidRPr="00DB625B">
        <w:rPr>
          <w:rFonts w:ascii="Times New Roman" w:hAnsi="Times New Roman" w:cs="Times New Roman"/>
          <w:sz w:val="28"/>
          <w:szCs w:val="28"/>
        </w:rPr>
        <w:t>provisional como m</w:t>
      </w:r>
      <w:r w:rsidRPr="00DB625B">
        <w:rPr>
          <w:rFonts w:ascii="Times New Roman" w:hAnsi="Times New Roman" w:cs="Times New Roman"/>
          <w:sz w:val="28"/>
          <w:szCs w:val="28"/>
        </w:rPr>
        <w:t>edida cautelar o preventiva</w:t>
      </w:r>
      <w:r w:rsidR="0052720E" w:rsidRPr="00DB625B">
        <w:rPr>
          <w:rFonts w:ascii="Times New Roman" w:hAnsi="Times New Roman" w:cs="Times New Roman"/>
          <w:sz w:val="28"/>
          <w:szCs w:val="28"/>
        </w:rPr>
        <w:t xml:space="preserve"> no afecta de manera directa e</w:t>
      </w:r>
      <w:r w:rsidR="00943A9A" w:rsidRPr="00DB625B">
        <w:rPr>
          <w:rFonts w:ascii="Times New Roman" w:hAnsi="Times New Roman" w:cs="Times New Roman"/>
          <w:sz w:val="28"/>
          <w:szCs w:val="28"/>
        </w:rPr>
        <w:t xml:space="preserve">l núcleo esencial de alguno de los derechos políticos del ciudadano consagrado en el artículo 40 de la Constitución Política, pues </w:t>
      </w:r>
      <w:r w:rsidR="0052720E" w:rsidRPr="00DB625B">
        <w:rPr>
          <w:rFonts w:ascii="Times New Roman" w:hAnsi="Times New Roman" w:cs="Times New Roman"/>
          <w:sz w:val="28"/>
          <w:szCs w:val="28"/>
        </w:rPr>
        <w:t>dicha restricción o limitación para</w:t>
      </w:r>
      <w:r w:rsidR="00943A9A" w:rsidRPr="00DB625B">
        <w:rPr>
          <w:rFonts w:ascii="Times New Roman" w:hAnsi="Times New Roman" w:cs="Times New Roman"/>
          <w:sz w:val="28"/>
          <w:szCs w:val="28"/>
        </w:rPr>
        <w:t xml:space="preserve"> desempeñar cargos de elección popular obedece a conductas derivadas del ejercicio mismo de la función y no a la posibilidad de acceder al desempeño de funciones y cargos públicos de elecció</w:t>
      </w:r>
      <w:r w:rsidR="0052720E" w:rsidRPr="00DB625B">
        <w:rPr>
          <w:rFonts w:ascii="Times New Roman" w:hAnsi="Times New Roman" w:cs="Times New Roman"/>
          <w:sz w:val="28"/>
          <w:szCs w:val="28"/>
        </w:rPr>
        <w:t xml:space="preserve">n popular, materia que sí se encuentra sujeto a </w:t>
      </w:r>
      <w:r w:rsidR="00943A9A" w:rsidRPr="00DB625B">
        <w:rPr>
          <w:rFonts w:ascii="Times New Roman" w:hAnsi="Times New Roman" w:cs="Times New Roman"/>
          <w:sz w:val="28"/>
          <w:szCs w:val="28"/>
        </w:rPr>
        <w:t>trámi</w:t>
      </w:r>
      <w:r w:rsidR="0052720E" w:rsidRPr="00DB625B">
        <w:rPr>
          <w:rFonts w:ascii="Times New Roman" w:hAnsi="Times New Roman" w:cs="Times New Roman"/>
          <w:sz w:val="28"/>
          <w:szCs w:val="28"/>
        </w:rPr>
        <w:t>te especial de Ley estatutaria</w:t>
      </w:r>
      <w:r w:rsidR="00943A9A" w:rsidRPr="00DB625B">
        <w:rPr>
          <w:rFonts w:ascii="Times New Roman" w:hAnsi="Times New Roman" w:cs="Times New Roman"/>
          <w:sz w:val="28"/>
          <w:szCs w:val="28"/>
        </w:rPr>
        <w:t>.</w:t>
      </w:r>
    </w:p>
    <w:p w:rsidR="00DF3198" w:rsidRPr="00DB625B" w:rsidRDefault="00DF3198" w:rsidP="00DB625B">
      <w:pPr>
        <w:spacing w:after="0" w:line="240" w:lineRule="auto"/>
        <w:jc w:val="both"/>
        <w:rPr>
          <w:rFonts w:ascii="Times New Roman" w:hAnsi="Times New Roman" w:cs="Times New Roman"/>
          <w:sz w:val="28"/>
          <w:szCs w:val="28"/>
        </w:rPr>
      </w:pPr>
    </w:p>
    <w:p w:rsidR="00943A9A" w:rsidRPr="00DB625B" w:rsidRDefault="00943A9A" w:rsidP="00DB625B">
      <w:pPr>
        <w:spacing w:after="0" w:line="240" w:lineRule="auto"/>
        <w:jc w:val="center"/>
        <w:rPr>
          <w:rFonts w:ascii="Times New Roman" w:hAnsi="Times New Roman" w:cs="Times New Roman"/>
          <w:b/>
          <w:sz w:val="28"/>
          <w:szCs w:val="28"/>
        </w:rPr>
      </w:pPr>
      <w:r w:rsidRPr="00DB625B">
        <w:rPr>
          <w:rFonts w:ascii="Times New Roman" w:hAnsi="Times New Roman" w:cs="Times New Roman"/>
          <w:b/>
          <w:sz w:val="28"/>
          <w:szCs w:val="28"/>
        </w:rPr>
        <w:t>V. CONCEPTO DE LA PROCURADURÍA GENERAL DE LA NACIÓN</w:t>
      </w:r>
    </w:p>
    <w:p w:rsidR="006E5706" w:rsidRPr="00DB625B" w:rsidRDefault="006E5706" w:rsidP="00DB625B">
      <w:pPr>
        <w:spacing w:after="0" w:line="240" w:lineRule="auto"/>
        <w:jc w:val="both"/>
        <w:rPr>
          <w:rFonts w:ascii="Times New Roman" w:hAnsi="Times New Roman" w:cs="Times New Roman"/>
          <w:sz w:val="28"/>
          <w:szCs w:val="28"/>
        </w:rPr>
      </w:pPr>
    </w:p>
    <w:p w:rsidR="009B5991" w:rsidRPr="00DB625B" w:rsidRDefault="0052720E" w:rsidP="00DB625B">
      <w:pPr>
        <w:spacing w:after="0" w:line="240" w:lineRule="auto"/>
        <w:jc w:val="both"/>
        <w:rPr>
          <w:rFonts w:ascii="Times New Roman" w:hAnsi="Times New Roman" w:cs="Times New Roman"/>
          <w:sz w:val="28"/>
          <w:szCs w:val="28"/>
        </w:rPr>
      </w:pPr>
      <w:r w:rsidRPr="00DB625B">
        <w:rPr>
          <w:rFonts w:ascii="Times New Roman" w:hAnsi="Times New Roman" w:cs="Times New Roman"/>
          <w:sz w:val="28"/>
          <w:szCs w:val="28"/>
        </w:rPr>
        <w:t>Por medio de concepto 06620</w:t>
      </w:r>
      <w:r w:rsidR="00943A9A" w:rsidRPr="00DB625B">
        <w:rPr>
          <w:rFonts w:ascii="Times New Roman" w:hAnsi="Times New Roman" w:cs="Times New Roman"/>
          <w:sz w:val="28"/>
          <w:szCs w:val="28"/>
        </w:rPr>
        <w:t xml:space="preserve"> del 26 de julio de 2019, el Viceprocurador General de la Nación</w:t>
      </w:r>
      <w:r w:rsidRPr="00DB625B">
        <w:rPr>
          <w:rFonts w:ascii="Times New Roman" w:hAnsi="Times New Roman" w:cs="Times New Roman"/>
          <w:sz w:val="28"/>
          <w:szCs w:val="28"/>
        </w:rPr>
        <w:t>,</w:t>
      </w:r>
      <w:r w:rsidR="00943A9A" w:rsidRPr="00DB625B">
        <w:rPr>
          <w:rFonts w:ascii="Times New Roman" w:hAnsi="Times New Roman" w:cs="Times New Roman"/>
          <w:sz w:val="28"/>
          <w:szCs w:val="28"/>
        </w:rPr>
        <w:t xml:space="preserve"> con funciones de Procurad</w:t>
      </w:r>
      <w:r w:rsidRPr="00DB625B">
        <w:rPr>
          <w:rFonts w:ascii="Times New Roman" w:hAnsi="Times New Roman" w:cs="Times New Roman"/>
          <w:sz w:val="28"/>
          <w:szCs w:val="28"/>
        </w:rPr>
        <w:t>or General de la Nación, sol</w:t>
      </w:r>
      <w:r w:rsidR="007C430C" w:rsidRPr="00DB625B">
        <w:rPr>
          <w:rFonts w:ascii="Times New Roman" w:hAnsi="Times New Roman" w:cs="Times New Roman"/>
          <w:sz w:val="28"/>
          <w:szCs w:val="28"/>
        </w:rPr>
        <w:t xml:space="preserve">icita, de manera principal, </w:t>
      </w:r>
      <w:r w:rsidRPr="00DB625B">
        <w:rPr>
          <w:rFonts w:ascii="Times New Roman" w:hAnsi="Times New Roman" w:cs="Times New Roman"/>
          <w:sz w:val="28"/>
          <w:szCs w:val="28"/>
        </w:rPr>
        <w:t>inhibirse</w:t>
      </w:r>
      <w:r w:rsidR="00943A9A" w:rsidRPr="00DB625B">
        <w:rPr>
          <w:rFonts w:ascii="Times New Roman" w:hAnsi="Times New Roman" w:cs="Times New Roman"/>
          <w:sz w:val="28"/>
          <w:szCs w:val="28"/>
        </w:rPr>
        <w:t xml:space="preserve"> para em</w:t>
      </w:r>
      <w:r w:rsidRPr="00DB625B">
        <w:rPr>
          <w:rFonts w:ascii="Times New Roman" w:hAnsi="Times New Roman" w:cs="Times New Roman"/>
          <w:sz w:val="28"/>
          <w:szCs w:val="28"/>
        </w:rPr>
        <w:t>itir un pronunciamiento de mérito</w:t>
      </w:r>
      <w:r w:rsidR="00943A9A" w:rsidRPr="00DB625B">
        <w:rPr>
          <w:rFonts w:ascii="Times New Roman" w:hAnsi="Times New Roman" w:cs="Times New Roman"/>
          <w:sz w:val="28"/>
          <w:szCs w:val="28"/>
        </w:rPr>
        <w:t xml:space="preserve"> contra el artículo 217 de </w:t>
      </w:r>
      <w:r w:rsidR="004B1143" w:rsidRPr="00DB625B">
        <w:rPr>
          <w:rFonts w:ascii="Times New Roman" w:hAnsi="Times New Roman" w:cs="Times New Roman"/>
          <w:sz w:val="28"/>
          <w:szCs w:val="28"/>
        </w:rPr>
        <w:t xml:space="preserve">la Ley 1952 de 2019, en tanto la norma objeto de control no se encuentra vigente ni produciendo efectos jurídicos, pues el artículo 140 de la Ley 1955 de 2019 prorrogó la entrada en vigor del Código Disciplinario hasta el 1 de junio de 2021. </w:t>
      </w:r>
    </w:p>
    <w:p w:rsidR="009B5991" w:rsidRPr="00DB625B" w:rsidRDefault="009B5991" w:rsidP="00DB625B">
      <w:pPr>
        <w:spacing w:after="0" w:line="240" w:lineRule="auto"/>
        <w:jc w:val="both"/>
        <w:rPr>
          <w:rFonts w:ascii="Times New Roman" w:hAnsi="Times New Roman" w:cs="Times New Roman"/>
          <w:sz w:val="28"/>
          <w:szCs w:val="28"/>
        </w:rPr>
      </w:pPr>
    </w:p>
    <w:p w:rsidR="00943A9A" w:rsidRPr="00DB625B" w:rsidRDefault="004B1143" w:rsidP="00DB625B">
      <w:pPr>
        <w:spacing w:after="0" w:line="240" w:lineRule="auto"/>
        <w:jc w:val="both"/>
        <w:rPr>
          <w:rFonts w:ascii="Times New Roman" w:hAnsi="Times New Roman" w:cs="Times New Roman"/>
          <w:sz w:val="28"/>
          <w:szCs w:val="28"/>
        </w:rPr>
      </w:pPr>
      <w:r w:rsidRPr="00DB625B">
        <w:rPr>
          <w:rFonts w:ascii="Times New Roman" w:hAnsi="Times New Roman" w:cs="Times New Roman"/>
          <w:sz w:val="28"/>
          <w:szCs w:val="28"/>
        </w:rPr>
        <w:lastRenderedPageBreak/>
        <w:t xml:space="preserve">Así mismo estimó que no se configuraba </w:t>
      </w:r>
      <w:r w:rsidR="00484ECC" w:rsidRPr="00DB625B">
        <w:rPr>
          <w:rFonts w:ascii="Times New Roman" w:hAnsi="Times New Roman" w:cs="Times New Roman"/>
          <w:sz w:val="28"/>
          <w:szCs w:val="28"/>
        </w:rPr>
        <w:t xml:space="preserve">cosa juzgada </w:t>
      </w:r>
      <w:r w:rsidRPr="00DB625B">
        <w:rPr>
          <w:rFonts w:ascii="Times New Roman" w:hAnsi="Times New Roman" w:cs="Times New Roman"/>
          <w:sz w:val="28"/>
          <w:szCs w:val="28"/>
        </w:rPr>
        <w:t>constitucional en relació</w:t>
      </w:r>
      <w:r w:rsidR="002115F7" w:rsidRPr="00DB625B">
        <w:rPr>
          <w:rFonts w:ascii="Times New Roman" w:hAnsi="Times New Roman" w:cs="Times New Roman"/>
          <w:sz w:val="28"/>
          <w:szCs w:val="28"/>
        </w:rPr>
        <w:t>n con la Sentencia C-086</w:t>
      </w:r>
      <w:r w:rsidR="003D1BD6" w:rsidRPr="00DB625B">
        <w:rPr>
          <w:rFonts w:ascii="Times New Roman" w:hAnsi="Times New Roman" w:cs="Times New Roman"/>
          <w:sz w:val="28"/>
          <w:szCs w:val="28"/>
        </w:rPr>
        <w:t xml:space="preserve"> de 2019, por cuanto</w:t>
      </w:r>
      <w:r w:rsidRPr="00DB625B">
        <w:rPr>
          <w:rFonts w:ascii="Times New Roman" w:hAnsi="Times New Roman" w:cs="Times New Roman"/>
          <w:sz w:val="28"/>
          <w:szCs w:val="28"/>
        </w:rPr>
        <w:t>, a pesar de que se estudia la misma disposición, se trata de car</w:t>
      </w:r>
      <w:r w:rsidR="009B5991" w:rsidRPr="00DB625B">
        <w:rPr>
          <w:rFonts w:ascii="Times New Roman" w:hAnsi="Times New Roman" w:cs="Times New Roman"/>
          <w:sz w:val="28"/>
          <w:szCs w:val="28"/>
        </w:rPr>
        <w:t>g</w:t>
      </w:r>
      <w:r w:rsidRPr="00DB625B">
        <w:rPr>
          <w:rFonts w:ascii="Times New Roman" w:hAnsi="Times New Roman" w:cs="Times New Roman"/>
          <w:sz w:val="28"/>
          <w:szCs w:val="28"/>
        </w:rPr>
        <w:t xml:space="preserve">os diversos. En aquella oportunidad se </w:t>
      </w:r>
      <w:r w:rsidR="002115F7" w:rsidRPr="00DB625B">
        <w:rPr>
          <w:rFonts w:ascii="Times New Roman" w:hAnsi="Times New Roman" w:cs="Times New Roman"/>
          <w:sz w:val="28"/>
          <w:szCs w:val="28"/>
        </w:rPr>
        <w:t>cuestionó</w:t>
      </w:r>
      <w:r w:rsidR="00943A9A" w:rsidRPr="00DB625B">
        <w:rPr>
          <w:rFonts w:ascii="Times New Roman" w:hAnsi="Times New Roman" w:cs="Times New Roman"/>
          <w:sz w:val="28"/>
          <w:szCs w:val="28"/>
        </w:rPr>
        <w:t xml:space="preserve"> </w:t>
      </w:r>
      <w:r w:rsidR="002115F7" w:rsidRPr="00DB625B">
        <w:rPr>
          <w:rFonts w:ascii="Times New Roman" w:hAnsi="Times New Roman" w:cs="Times New Roman"/>
          <w:sz w:val="28"/>
          <w:szCs w:val="28"/>
        </w:rPr>
        <w:t xml:space="preserve">la aplicación de esa sanción para </w:t>
      </w:r>
      <w:r w:rsidR="00943A9A" w:rsidRPr="00DB625B">
        <w:rPr>
          <w:rFonts w:ascii="Times New Roman" w:hAnsi="Times New Roman" w:cs="Times New Roman"/>
          <w:sz w:val="28"/>
          <w:szCs w:val="28"/>
        </w:rPr>
        <w:t xml:space="preserve">los servidores de elección popular, </w:t>
      </w:r>
      <w:r w:rsidR="002115F7" w:rsidRPr="00DB625B">
        <w:rPr>
          <w:rFonts w:ascii="Times New Roman" w:hAnsi="Times New Roman" w:cs="Times New Roman"/>
          <w:sz w:val="28"/>
          <w:szCs w:val="28"/>
        </w:rPr>
        <w:t xml:space="preserve">mientras en este caso </w:t>
      </w:r>
      <w:r w:rsidR="00943A9A" w:rsidRPr="00DB625B">
        <w:rPr>
          <w:rFonts w:ascii="Times New Roman" w:hAnsi="Times New Roman" w:cs="Times New Roman"/>
          <w:sz w:val="28"/>
          <w:szCs w:val="28"/>
        </w:rPr>
        <w:t>se propone un nuevo cargo por reserva de Ley estatutaria.</w:t>
      </w:r>
      <w:r w:rsidR="0069602C" w:rsidRPr="00DB625B">
        <w:rPr>
          <w:rFonts w:ascii="Times New Roman" w:hAnsi="Times New Roman" w:cs="Times New Roman"/>
          <w:sz w:val="28"/>
          <w:szCs w:val="28"/>
        </w:rPr>
        <w:t xml:space="preserve"> Entonces, sintetizó que la Corte tiene la competencia para pronunciarse sobre la constitucionalidad de la norma.</w:t>
      </w:r>
    </w:p>
    <w:p w:rsidR="006E5706" w:rsidRPr="00DB625B" w:rsidRDefault="006E5706" w:rsidP="00DB625B">
      <w:pPr>
        <w:spacing w:after="0" w:line="240" w:lineRule="auto"/>
        <w:jc w:val="both"/>
        <w:rPr>
          <w:rFonts w:ascii="Times New Roman" w:hAnsi="Times New Roman" w:cs="Times New Roman"/>
          <w:sz w:val="28"/>
          <w:szCs w:val="28"/>
        </w:rPr>
      </w:pPr>
    </w:p>
    <w:p w:rsidR="00943A9A" w:rsidRPr="00DB625B" w:rsidRDefault="0069602C" w:rsidP="00DB625B">
      <w:pPr>
        <w:spacing w:after="0" w:line="240" w:lineRule="auto"/>
        <w:jc w:val="both"/>
        <w:rPr>
          <w:rFonts w:ascii="Times New Roman" w:hAnsi="Times New Roman" w:cs="Times New Roman"/>
          <w:sz w:val="28"/>
          <w:szCs w:val="28"/>
        </w:rPr>
      </w:pPr>
      <w:r w:rsidRPr="00DB625B">
        <w:rPr>
          <w:rFonts w:ascii="Times New Roman" w:hAnsi="Times New Roman" w:cs="Times New Roman"/>
          <w:sz w:val="28"/>
          <w:szCs w:val="28"/>
        </w:rPr>
        <w:t>En el asunto de mérito</w:t>
      </w:r>
      <w:r w:rsidR="007C430C" w:rsidRPr="00DB625B">
        <w:rPr>
          <w:rFonts w:ascii="Times New Roman" w:hAnsi="Times New Roman" w:cs="Times New Roman"/>
          <w:sz w:val="28"/>
          <w:szCs w:val="28"/>
        </w:rPr>
        <w:t xml:space="preserve"> y de manera subsidiaria</w:t>
      </w:r>
      <w:r w:rsidRPr="00DB625B">
        <w:rPr>
          <w:rFonts w:ascii="Times New Roman" w:hAnsi="Times New Roman" w:cs="Times New Roman"/>
          <w:sz w:val="28"/>
          <w:szCs w:val="28"/>
        </w:rPr>
        <w:t>, e</w:t>
      </w:r>
      <w:r w:rsidR="00943A9A" w:rsidRPr="00DB625B">
        <w:rPr>
          <w:rFonts w:ascii="Times New Roman" w:hAnsi="Times New Roman" w:cs="Times New Roman"/>
          <w:sz w:val="28"/>
          <w:szCs w:val="28"/>
        </w:rPr>
        <w:t>l Ministerio Público considera que la norma acusada no desconoce la reserva de la Ley estatutaria prevista en el art</w:t>
      </w:r>
      <w:r w:rsidRPr="00DB625B">
        <w:rPr>
          <w:rFonts w:ascii="Times New Roman" w:hAnsi="Times New Roman" w:cs="Times New Roman"/>
          <w:sz w:val="28"/>
          <w:szCs w:val="28"/>
        </w:rPr>
        <w:t xml:space="preserve">ículo 152 de la Carta, porque jamás recae </w:t>
      </w:r>
      <w:r w:rsidR="00943A9A" w:rsidRPr="00DB625B">
        <w:rPr>
          <w:rFonts w:ascii="Times New Roman" w:hAnsi="Times New Roman" w:cs="Times New Roman"/>
          <w:sz w:val="28"/>
          <w:szCs w:val="28"/>
        </w:rPr>
        <w:t>sobre derechos políticos y tampoco sobre una regulación estructural de los mismos, pues “</w:t>
      </w:r>
      <w:r w:rsidR="00943A9A" w:rsidRPr="00DB625B">
        <w:rPr>
          <w:rFonts w:ascii="Times New Roman" w:hAnsi="Times New Roman" w:cs="Times New Roman"/>
          <w:i/>
          <w:sz w:val="28"/>
          <w:szCs w:val="28"/>
        </w:rPr>
        <w:t>no implica anular el núcleo esencial del derecho a ser elegido,–faceta pasiva del derecho a elegir y ser elegido-, pues solo suspende temporalmente el ejercicio de las funciones de las que es titular el servidor, razón por la cual no se puede sostener que esta figura debió regularse por medio de una ley estatutaria</w:t>
      </w:r>
      <w:r w:rsidR="00943A9A" w:rsidRPr="00DB625B">
        <w:rPr>
          <w:rFonts w:ascii="Times New Roman" w:hAnsi="Times New Roman" w:cs="Times New Roman"/>
          <w:sz w:val="28"/>
          <w:szCs w:val="28"/>
        </w:rPr>
        <w:t>”</w:t>
      </w:r>
      <w:r w:rsidR="00943A9A" w:rsidRPr="00DB625B">
        <w:rPr>
          <w:rStyle w:val="Refdenotaalpie"/>
          <w:rFonts w:ascii="Times New Roman" w:hAnsi="Times New Roman" w:cs="Times New Roman"/>
          <w:sz w:val="28"/>
          <w:szCs w:val="28"/>
        </w:rPr>
        <w:footnoteReference w:id="9"/>
      </w:r>
      <w:r w:rsidRPr="00DB625B">
        <w:rPr>
          <w:rFonts w:ascii="Times New Roman" w:hAnsi="Times New Roman" w:cs="Times New Roman"/>
          <w:sz w:val="28"/>
          <w:szCs w:val="28"/>
        </w:rPr>
        <w:t>. Igualmente, recordó que</w:t>
      </w:r>
      <w:r w:rsidR="00943A9A" w:rsidRPr="00DB625B">
        <w:rPr>
          <w:rFonts w:ascii="Times New Roman" w:hAnsi="Times New Roman" w:cs="Times New Roman"/>
          <w:sz w:val="28"/>
          <w:szCs w:val="28"/>
        </w:rPr>
        <w:t xml:space="preserve"> las sanciones de destitución e inhabilidad no se han regulado por Leyes estatutaria aunque impongan limites a los derechos políticos</w:t>
      </w:r>
      <w:r w:rsidR="00943A9A" w:rsidRPr="00DB625B">
        <w:rPr>
          <w:rStyle w:val="Refdenotaalpie"/>
          <w:rFonts w:ascii="Times New Roman" w:hAnsi="Times New Roman" w:cs="Times New Roman"/>
          <w:sz w:val="28"/>
          <w:szCs w:val="28"/>
        </w:rPr>
        <w:footnoteReference w:id="10"/>
      </w:r>
      <w:r w:rsidR="00943A9A" w:rsidRPr="00DB625B">
        <w:rPr>
          <w:rFonts w:ascii="Times New Roman" w:hAnsi="Times New Roman" w:cs="Times New Roman"/>
          <w:sz w:val="28"/>
          <w:szCs w:val="28"/>
        </w:rPr>
        <w:t>, “</w:t>
      </w:r>
      <w:r w:rsidR="00943A9A" w:rsidRPr="00DB625B">
        <w:rPr>
          <w:rFonts w:ascii="Times New Roman" w:hAnsi="Times New Roman" w:cs="Times New Roman"/>
          <w:i/>
          <w:sz w:val="28"/>
          <w:szCs w:val="28"/>
        </w:rPr>
        <w:t>la medida cautelar de suspensión provisional no debe regularse por medio de una ley estatutaria</w:t>
      </w:r>
      <w:r w:rsidR="00943A9A" w:rsidRPr="00DB625B">
        <w:rPr>
          <w:rFonts w:ascii="Times New Roman" w:hAnsi="Times New Roman" w:cs="Times New Roman"/>
          <w:sz w:val="28"/>
          <w:szCs w:val="28"/>
        </w:rPr>
        <w:t>”</w:t>
      </w:r>
      <w:r w:rsidR="00943A9A" w:rsidRPr="00DB625B">
        <w:rPr>
          <w:rStyle w:val="Refdenotaalpie"/>
          <w:rFonts w:ascii="Times New Roman" w:hAnsi="Times New Roman" w:cs="Times New Roman"/>
          <w:sz w:val="28"/>
          <w:szCs w:val="28"/>
        </w:rPr>
        <w:footnoteReference w:id="11"/>
      </w:r>
      <w:r w:rsidRPr="00DB625B">
        <w:rPr>
          <w:rFonts w:ascii="Times New Roman" w:hAnsi="Times New Roman" w:cs="Times New Roman"/>
          <w:sz w:val="28"/>
          <w:szCs w:val="28"/>
        </w:rPr>
        <w:t xml:space="preserve">. </w:t>
      </w:r>
      <w:r w:rsidR="00943A9A" w:rsidRPr="00DB625B">
        <w:rPr>
          <w:rFonts w:ascii="Times New Roman" w:hAnsi="Times New Roman" w:cs="Times New Roman"/>
          <w:sz w:val="28"/>
          <w:szCs w:val="28"/>
        </w:rPr>
        <w:t xml:space="preserve">  </w:t>
      </w:r>
    </w:p>
    <w:p w:rsidR="00DF3198" w:rsidRPr="00DB625B" w:rsidRDefault="00DF3198" w:rsidP="00DB625B">
      <w:pPr>
        <w:tabs>
          <w:tab w:val="left" w:pos="426"/>
        </w:tabs>
        <w:spacing w:after="0" w:line="240" w:lineRule="auto"/>
        <w:jc w:val="both"/>
        <w:rPr>
          <w:rFonts w:ascii="Times New Roman" w:eastAsia="Times New Roman" w:hAnsi="Times New Roman" w:cs="Times New Roman"/>
          <w:bCs/>
          <w:spacing w:val="4"/>
          <w:sz w:val="28"/>
          <w:szCs w:val="28"/>
          <w:lang w:val="es-ES_tradnl" w:eastAsia="es-ES"/>
        </w:rPr>
      </w:pPr>
    </w:p>
    <w:p w:rsidR="00170FDF" w:rsidRPr="00DB625B" w:rsidRDefault="00170FDF" w:rsidP="00DB625B">
      <w:pPr>
        <w:tabs>
          <w:tab w:val="left" w:pos="426"/>
        </w:tabs>
        <w:spacing w:after="0" w:line="240" w:lineRule="auto"/>
        <w:jc w:val="center"/>
        <w:rPr>
          <w:rFonts w:ascii="Times New Roman" w:eastAsia="Times New Roman" w:hAnsi="Times New Roman" w:cs="Times New Roman"/>
          <w:b/>
          <w:bCs/>
          <w:spacing w:val="4"/>
          <w:sz w:val="28"/>
          <w:szCs w:val="28"/>
          <w:lang w:eastAsia="es-ES"/>
        </w:rPr>
      </w:pPr>
      <w:r w:rsidRPr="00DB625B">
        <w:rPr>
          <w:rFonts w:ascii="Times New Roman" w:eastAsia="Times New Roman" w:hAnsi="Times New Roman" w:cs="Times New Roman"/>
          <w:b/>
          <w:bCs/>
          <w:spacing w:val="4"/>
          <w:sz w:val="28"/>
          <w:szCs w:val="28"/>
          <w:lang w:val="es-ES_tradnl" w:eastAsia="es-ES"/>
        </w:rPr>
        <w:t>VI.</w:t>
      </w:r>
      <w:r w:rsidRPr="00DB625B">
        <w:rPr>
          <w:rFonts w:ascii="Times New Roman" w:eastAsia="Times New Roman" w:hAnsi="Times New Roman" w:cs="Times New Roman"/>
          <w:b/>
          <w:bCs/>
          <w:spacing w:val="4"/>
          <w:sz w:val="28"/>
          <w:szCs w:val="28"/>
          <w:lang w:eastAsia="es-ES"/>
        </w:rPr>
        <w:t xml:space="preserve"> FUNDAMENTOS DE LA DECISIÓN</w:t>
      </w:r>
    </w:p>
    <w:p w:rsidR="00170FDF" w:rsidRPr="00DB625B" w:rsidRDefault="00170FDF" w:rsidP="00DB625B">
      <w:pPr>
        <w:tabs>
          <w:tab w:val="left" w:pos="426"/>
        </w:tabs>
        <w:spacing w:after="0" w:line="240" w:lineRule="auto"/>
        <w:jc w:val="both"/>
        <w:rPr>
          <w:rFonts w:ascii="Times New Roman" w:eastAsia="Times New Roman" w:hAnsi="Times New Roman" w:cs="Times New Roman"/>
          <w:b/>
          <w:bCs/>
          <w:spacing w:val="4"/>
          <w:sz w:val="28"/>
          <w:szCs w:val="28"/>
          <w:lang w:eastAsia="es-ES"/>
        </w:rPr>
      </w:pPr>
    </w:p>
    <w:p w:rsidR="00170FDF" w:rsidRPr="00DB625B" w:rsidRDefault="00170FDF" w:rsidP="00DB625B">
      <w:pPr>
        <w:tabs>
          <w:tab w:val="left" w:pos="426"/>
        </w:tabs>
        <w:spacing w:after="0" w:line="240" w:lineRule="auto"/>
        <w:jc w:val="both"/>
        <w:rPr>
          <w:rFonts w:ascii="Times New Roman" w:eastAsia="Times New Roman" w:hAnsi="Times New Roman" w:cs="Times New Roman"/>
          <w:b/>
          <w:bCs/>
          <w:spacing w:val="4"/>
          <w:sz w:val="28"/>
          <w:szCs w:val="28"/>
          <w:lang w:eastAsia="es-ES"/>
        </w:rPr>
      </w:pPr>
      <w:r w:rsidRPr="00DB625B">
        <w:rPr>
          <w:rFonts w:ascii="Times New Roman" w:eastAsia="Times New Roman" w:hAnsi="Times New Roman" w:cs="Times New Roman"/>
          <w:b/>
          <w:bCs/>
          <w:spacing w:val="4"/>
          <w:sz w:val="28"/>
          <w:szCs w:val="28"/>
          <w:lang w:eastAsia="es-ES"/>
        </w:rPr>
        <w:t>Competencia de la Corte</w:t>
      </w:r>
    </w:p>
    <w:p w:rsidR="00170FDF" w:rsidRPr="00DB625B" w:rsidRDefault="00170FDF" w:rsidP="00DB625B">
      <w:pPr>
        <w:tabs>
          <w:tab w:val="left" w:pos="426"/>
        </w:tabs>
        <w:spacing w:after="0" w:line="240" w:lineRule="auto"/>
        <w:jc w:val="both"/>
        <w:rPr>
          <w:rFonts w:ascii="Times New Roman" w:eastAsia="Times New Roman" w:hAnsi="Times New Roman" w:cs="Times New Roman"/>
          <w:b/>
          <w:bCs/>
          <w:spacing w:val="4"/>
          <w:sz w:val="28"/>
          <w:szCs w:val="28"/>
          <w:lang w:eastAsia="es-ES"/>
        </w:rPr>
      </w:pPr>
    </w:p>
    <w:p w:rsidR="00170FDF" w:rsidRPr="00DB625B" w:rsidRDefault="00170FDF" w:rsidP="00DB625B">
      <w:pPr>
        <w:pStyle w:val="Prrafodelista"/>
        <w:numPr>
          <w:ilvl w:val="0"/>
          <w:numId w:val="24"/>
        </w:numPr>
        <w:tabs>
          <w:tab w:val="left" w:pos="0"/>
        </w:tabs>
        <w:spacing w:after="0" w:line="240" w:lineRule="auto"/>
        <w:ind w:left="0" w:firstLine="0"/>
        <w:jc w:val="both"/>
        <w:rPr>
          <w:rFonts w:ascii="Times New Roman" w:eastAsia="Times New Roman" w:hAnsi="Times New Roman" w:cs="Times New Roman"/>
          <w:bCs/>
          <w:spacing w:val="4"/>
          <w:sz w:val="28"/>
          <w:szCs w:val="28"/>
          <w:lang w:val="es-ES" w:eastAsia="es-ES"/>
        </w:rPr>
      </w:pPr>
      <w:r w:rsidRPr="00DB625B">
        <w:rPr>
          <w:rFonts w:ascii="Times New Roman" w:eastAsia="Times New Roman" w:hAnsi="Times New Roman" w:cs="Times New Roman"/>
          <w:bCs/>
          <w:spacing w:val="4"/>
          <w:sz w:val="28"/>
          <w:szCs w:val="28"/>
          <w:lang w:eastAsia="es-ES"/>
        </w:rPr>
        <w:t xml:space="preserve">De conformidad con lo dispuesto en el artículo 241, numeral 4º de la Carta Política, la Corte Constitucional es competente para conocer y decidir definitivamente sobre la demanda de inconstitucionalidad de la referencia, pues la disposición acusada forma parte de una ley de la República, en </w:t>
      </w:r>
      <w:r w:rsidR="00EA3CB7" w:rsidRPr="00DB625B">
        <w:rPr>
          <w:rFonts w:ascii="Times New Roman" w:eastAsia="Times New Roman" w:hAnsi="Times New Roman" w:cs="Times New Roman"/>
          <w:bCs/>
          <w:spacing w:val="4"/>
          <w:sz w:val="28"/>
          <w:szCs w:val="28"/>
          <w:lang w:eastAsia="es-ES"/>
        </w:rPr>
        <w:t xml:space="preserve">este caso, de la Ley </w:t>
      </w:r>
      <w:r w:rsidR="00EA3CB7" w:rsidRPr="00DB625B">
        <w:rPr>
          <w:rFonts w:ascii="Times New Roman" w:eastAsia="Times New Roman" w:hAnsi="Times New Roman" w:cs="Times New Roman"/>
          <w:bCs/>
          <w:spacing w:val="4"/>
          <w:sz w:val="28"/>
          <w:szCs w:val="28"/>
          <w:lang w:val="es-ES_tradnl" w:eastAsia="es-ES"/>
        </w:rPr>
        <w:t>1952 de 2019</w:t>
      </w:r>
      <w:r w:rsidRPr="00DB625B">
        <w:rPr>
          <w:rFonts w:ascii="Times New Roman" w:eastAsia="Times New Roman" w:hAnsi="Times New Roman" w:cs="Times New Roman"/>
          <w:bCs/>
          <w:spacing w:val="4"/>
          <w:sz w:val="28"/>
          <w:szCs w:val="28"/>
          <w:lang w:eastAsia="es-ES"/>
        </w:rPr>
        <w:t>.</w:t>
      </w:r>
    </w:p>
    <w:p w:rsidR="00170FDF" w:rsidRPr="00DB625B" w:rsidRDefault="00170FDF" w:rsidP="00DB625B">
      <w:pPr>
        <w:tabs>
          <w:tab w:val="left" w:pos="426"/>
        </w:tabs>
        <w:spacing w:after="0" w:line="240" w:lineRule="auto"/>
        <w:jc w:val="both"/>
        <w:rPr>
          <w:rFonts w:ascii="Times New Roman" w:eastAsia="Times New Roman" w:hAnsi="Times New Roman" w:cs="Times New Roman"/>
          <w:bCs/>
          <w:spacing w:val="4"/>
          <w:sz w:val="28"/>
          <w:szCs w:val="28"/>
          <w:lang w:eastAsia="es-ES"/>
        </w:rPr>
      </w:pPr>
    </w:p>
    <w:p w:rsidR="00F54743" w:rsidRPr="00DB625B" w:rsidRDefault="00F54743" w:rsidP="00DB625B">
      <w:pPr>
        <w:tabs>
          <w:tab w:val="left" w:pos="0"/>
        </w:tabs>
        <w:spacing w:after="0" w:line="240" w:lineRule="auto"/>
        <w:jc w:val="both"/>
        <w:rPr>
          <w:rFonts w:ascii="Times New Roman" w:eastAsia="Times New Roman" w:hAnsi="Times New Roman" w:cs="Times New Roman"/>
          <w:b/>
          <w:bCs/>
          <w:spacing w:val="4"/>
          <w:sz w:val="28"/>
          <w:szCs w:val="28"/>
          <w:lang w:eastAsia="es-ES"/>
        </w:rPr>
      </w:pPr>
      <w:r w:rsidRPr="00DB625B">
        <w:rPr>
          <w:rFonts w:ascii="Times New Roman" w:eastAsia="Times New Roman" w:hAnsi="Times New Roman" w:cs="Times New Roman"/>
          <w:b/>
          <w:bCs/>
          <w:spacing w:val="4"/>
          <w:sz w:val="28"/>
          <w:szCs w:val="28"/>
          <w:lang w:eastAsia="es-ES"/>
        </w:rPr>
        <w:t>Cuestiones</w:t>
      </w:r>
      <w:r w:rsidR="00170FDF" w:rsidRPr="00DB625B">
        <w:rPr>
          <w:rFonts w:ascii="Times New Roman" w:eastAsia="Times New Roman" w:hAnsi="Times New Roman" w:cs="Times New Roman"/>
          <w:b/>
          <w:bCs/>
          <w:spacing w:val="4"/>
          <w:sz w:val="28"/>
          <w:szCs w:val="28"/>
          <w:lang w:eastAsia="es-ES"/>
        </w:rPr>
        <w:t xml:space="preserve"> preliminar</w:t>
      </w:r>
      <w:r w:rsidRPr="00DB625B">
        <w:rPr>
          <w:rFonts w:ascii="Times New Roman" w:eastAsia="Times New Roman" w:hAnsi="Times New Roman" w:cs="Times New Roman"/>
          <w:b/>
          <w:bCs/>
          <w:spacing w:val="4"/>
          <w:sz w:val="28"/>
          <w:szCs w:val="28"/>
          <w:lang w:eastAsia="es-ES"/>
        </w:rPr>
        <w:t>es</w:t>
      </w:r>
      <w:r w:rsidR="00170FDF" w:rsidRPr="00DB625B">
        <w:rPr>
          <w:rFonts w:ascii="Times New Roman" w:eastAsia="Times New Roman" w:hAnsi="Times New Roman" w:cs="Times New Roman"/>
          <w:b/>
          <w:bCs/>
          <w:spacing w:val="4"/>
          <w:sz w:val="28"/>
          <w:szCs w:val="28"/>
          <w:lang w:eastAsia="es-ES"/>
        </w:rPr>
        <w:t>:</w:t>
      </w:r>
    </w:p>
    <w:p w:rsidR="00F54743" w:rsidRPr="00DB625B" w:rsidRDefault="00F54743" w:rsidP="00DB625B">
      <w:pPr>
        <w:tabs>
          <w:tab w:val="left" w:pos="0"/>
        </w:tabs>
        <w:spacing w:after="0" w:line="240" w:lineRule="auto"/>
        <w:jc w:val="both"/>
        <w:rPr>
          <w:rFonts w:ascii="Times New Roman" w:eastAsia="Times New Roman" w:hAnsi="Times New Roman" w:cs="Times New Roman"/>
          <w:b/>
          <w:bCs/>
          <w:spacing w:val="4"/>
          <w:sz w:val="28"/>
          <w:szCs w:val="28"/>
          <w:lang w:eastAsia="es-ES"/>
        </w:rPr>
      </w:pPr>
    </w:p>
    <w:p w:rsidR="0069602C" w:rsidRPr="00DB625B" w:rsidRDefault="0069602C" w:rsidP="00DB625B">
      <w:pPr>
        <w:pStyle w:val="Prrafodelista"/>
        <w:numPr>
          <w:ilvl w:val="0"/>
          <w:numId w:val="24"/>
        </w:numPr>
        <w:tabs>
          <w:tab w:val="left" w:pos="0"/>
        </w:tabs>
        <w:spacing w:after="0" w:line="240" w:lineRule="auto"/>
        <w:ind w:left="0" w:firstLine="0"/>
        <w:jc w:val="both"/>
        <w:rPr>
          <w:rFonts w:ascii="Times New Roman" w:eastAsia="Times New Roman" w:hAnsi="Times New Roman" w:cs="Times New Roman"/>
          <w:bCs/>
          <w:spacing w:val="4"/>
          <w:sz w:val="28"/>
          <w:szCs w:val="28"/>
          <w:lang w:eastAsia="es-ES"/>
        </w:rPr>
      </w:pPr>
      <w:r w:rsidRPr="00DB625B">
        <w:rPr>
          <w:rFonts w:ascii="Times New Roman" w:eastAsia="Times New Roman" w:hAnsi="Times New Roman" w:cs="Times New Roman"/>
          <w:bCs/>
          <w:spacing w:val="4"/>
          <w:sz w:val="28"/>
          <w:szCs w:val="28"/>
          <w:lang w:eastAsia="es-ES"/>
        </w:rPr>
        <w:t xml:space="preserve">Las intervenciones del Jefe del Ministerio Público, la Universidad Externado de Colombia y el Ministerio del Interior plantearon defectos formales de la demanda, los cuales debe resolver la Sala Plena antes de estudiar de mérito la censura. Tales aspectos versan </w:t>
      </w:r>
      <w:r w:rsidRPr="00DB625B">
        <w:rPr>
          <w:rFonts w:ascii="Times New Roman" w:eastAsia="Times New Roman" w:hAnsi="Times New Roman" w:cs="Times New Roman"/>
          <w:bCs/>
          <w:spacing w:val="4"/>
          <w:sz w:val="28"/>
          <w:szCs w:val="28"/>
          <w:lang w:eastAsia="es-ES"/>
        </w:rPr>
        <w:lastRenderedPageBreak/>
        <w:t>sobre: i) la vigencia o producción de efectos de la norma atacada; ii) el estudio sobre la configuración de la cosa juzgada material en relación c</w:t>
      </w:r>
      <w:r w:rsidR="009B5991" w:rsidRPr="00DB625B">
        <w:rPr>
          <w:rFonts w:ascii="Times New Roman" w:eastAsia="Times New Roman" w:hAnsi="Times New Roman" w:cs="Times New Roman"/>
          <w:bCs/>
          <w:spacing w:val="4"/>
          <w:sz w:val="28"/>
          <w:szCs w:val="28"/>
          <w:lang w:eastAsia="es-ES"/>
        </w:rPr>
        <w:t xml:space="preserve">on la Sentencia </w:t>
      </w:r>
      <w:r w:rsidR="00A159A8" w:rsidRPr="00DB625B">
        <w:rPr>
          <w:rFonts w:ascii="Times New Roman" w:eastAsia="Times New Roman" w:hAnsi="Times New Roman" w:cs="Times New Roman"/>
          <w:bCs/>
          <w:spacing w:val="4"/>
          <w:sz w:val="28"/>
          <w:szCs w:val="28"/>
          <w:lang w:eastAsia="es-ES"/>
        </w:rPr>
        <w:t>C-086</w:t>
      </w:r>
      <w:r w:rsidRPr="00DB625B">
        <w:rPr>
          <w:rFonts w:ascii="Times New Roman" w:eastAsia="Times New Roman" w:hAnsi="Times New Roman" w:cs="Times New Roman"/>
          <w:bCs/>
          <w:spacing w:val="4"/>
          <w:sz w:val="28"/>
          <w:szCs w:val="28"/>
          <w:lang w:eastAsia="es-ES"/>
        </w:rPr>
        <w:t xml:space="preserve"> de 2019; y iii) la aptitud sustantiva del cargo</w:t>
      </w:r>
    </w:p>
    <w:p w:rsidR="0069602C" w:rsidRPr="00DB625B" w:rsidRDefault="0069602C" w:rsidP="00DB625B">
      <w:pPr>
        <w:tabs>
          <w:tab w:val="left" w:pos="0"/>
        </w:tabs>
        <w:spacing w:after="0" w:line="240" w:lineRule="auto"/>
        <w:jc w:val="both"/>
        <w:rPr>
          <w:rFonts w:ascii="Times New Roman" w:eastAsia="Times New Roman" w:hAnsi="Times New Roman" w:cs="Times New Roman"/>
          <w:bCs/>
          <w:spacing w:val="4"/>
          <w:sz w:val="28"/>
          <w:szCs w:val="28"/>
          <w:lang w:eastAsia="es-ES"/>
        </w:rPr>
      </w:pPr>
    </w:p>
    <w:p w:rsidR="0069602C" w:rsidRPr="00DB625B" w:rsidRDefault="0069602C" w:rsidP="00DB625B">
      <w:pPr>
        <w:tabs>
          <w:tab w:val="left" w:pos="0"/>
        </w:tabs>
        <w:spacing w:after="0" w:line="240" w:lineRule="auto"/>
        <w:jc w:val="both"/>
        <w:rPr>
          <w:rFonts w:ascii="Times New Roman" w:eastAsia="Times New Roman" w:hAnsi="Times New Roman" w:cs="Times New Roman"/>
          <w:b/>
          <w:bCs/>
          <w:spacing w:val="4"/>
          <w:sz w:val="28"/>
          <w:szCs w:val="28"/>
          <w:lang w:eastAsia="es-ES"/>
        </w:rPr>
      </w:pPr>
      <w:r w:rsidRPr="00DB625B">
        <w:rPr>
          <w:rFonts w:ascii="Times New Roman" w:eastAsia="Times New Roman" w:hAnsi="Times New Roman" w:cs="Times New Roman"/>
          <w:bCs/>
          <w:spacing w:val="4"/>
          <w:sz w:val="28"/>
          <w:szCs w:val="28"/>
          <w:lang w:eastAsia="es-ES"/>
        </w:rPr>
        <w:t>Una vez se realice dicho análisis, y de ser procedente, la Corte planteará el problema jurídico e iniciará el estudio de constitucionalidad de la norma demandada, según el concepto de violación de la demanda</w:t>
      </w:r>
      <w:r w:rsidRPr="00DB625B">
        <w:rPr>
          <w:rFonts w:ascii="Times New Roman" w:eastAsia="Times New Roman" w:hAnsi="Times New Roman" w:cs="Times New Roman"/>
          <w:b/>
          <w:bCs/>
          <w:spacing w:val="4"/>
          <w:sz w:val="28"/>
          <w:szCs w:val="28"/>
          <w:lang w:eastAsia="es-ES"/>
        </w:rPr>
        <w:t>.</w:t>
      </w:r>
    </w:p>
    <w:p w:rsidR="0069602C" w:rsidRPr="00DB625B" w:rsidRDefault="0069602C" w:rsidP="00DB625B">
      <w:pPr>
        <w:tabs>
          <w:tab w:val="left" w:pos="0"/>
        </w:tabs>
        <w:spacing w:after="0" w:line="240" w:lineRule="auto"/>
        <w:jc w:val="both"/>
        <w:rPr>
          <w:rFonts w:ascii="Times New Roman" w:eastAsia="Times New Roman" w:hAnsi="Times New Roman" w:cs="Times New Roman"/>
          <w:b/>
          <w:bCs/>
          <w:spacing w:val="4"/>
          <w:sz w:val="28"/>
          <w:szCs w:val="28"/>
          <w:lang w:eastAsia="es-ES"/>
        </w:rPr>
      </w:pPr>
    </w:p>
    <w:p w:rsidR="0069602C" w:rsidRPr="00DB625B" w:rsidRDefault="0069602C" w:rsidP="00DB625B">
      <w:pPr>
        <w:tabs>
          <w:tab w:val="left" w:pos="0"/>
        </w:tabs>
        <w:spacing w:after="0" w:line="240" w:lineRule="auto"/>
        <w:jc w:val="both"/>
        <w:rPr>
          <w:rFonts w:ascii="Times New Roman" w:eastAsia="Times New Roman" w:hAnsi="Times New Roman" w:cs="Times New Roman"/>
          <w:b/>
          <w:bCs/>
          <w:spacing w:val="4"/>
          <w:sz w:val="28"/>
          <w:szCs w:val="28"/>
          <w:lang w:val="es-ES" w:eastAsia="es-ES"/>
        </w:rPr>
      </w:pPr>
      <w:r w:rsidRPr="00DB625B">
        <w:rPr>
          <w:rFonts w:ascii="Times New Roman" w:eastAsia="Times New Roman" w:hAnsi="Times New Roman" w:cs="Times New Roman"/>
          <w:b/>
          <w:bCs/>
          <w:spacing w:val="4"/>
          <w:sz w:val="28"/>
          <w:szCs w:val="28"/>
          <w:lang w:val="es-ES" w:eastAsia="es-ES"/>
        </w:rPr>
        <w:t>Análisis sobre la vigencia de la norma demandada</w:t>
      </w:r>
      <w:r w:rsidR="00255D5C" w:rsidRPr="00DB625B">
        <w:rPr>
          <w:rStyle w:val="Refdenotaalpie"/>
          <w:rFonts w:ascii="Times New Roman" w:eastAsia="Times New Roman" w:hAnsi="Times New Roman" w:cs="Times New Roman"/>
          <w:b/>
          <w:bCs/>
          <w:spacing w:val="4"/>
          <w:sz w:val="28"/>
          <w:szCs w:val="28"/>
          <w:lang w:val="es-ES" w:eastAsia="es-ES"/>
        </w:rPr>
        <w:footnoteReference w:id="12"/>
      </w:r>
    </w:p>
    <w:p w:rsidR="0069602C" w:rsidRPr="00DB625B" w:rsidRDefault="0069602C" w:rsidP="00DB625B">
      <w:pPr>
        <w:tabs>
          <w:tab w:val="left" w:pos="0"/>
        </w:tabs>
        <w:spacing w:after="0" w:line="240" w:lineRule="auto"/>
        <w:jc w:val="both"/>
        <w:rPr>
          <w:rFonts w:ascii="Times New Roman" w:eastAsia="Times New Roman" w:hAnsi="Times New Roman" w:cs="Times New Roman"/>
          <w:b/>
          <w:bCs/>
          <w:spacing w:val="4"/>
          <w:sz w:val="28"/>
          <w:szCs w:val="28"/>
          <w:lang w:eastAsia="es-ES"/>
        </w:rPr>
      </w:pPr>
    </w:p>
    <w:p w:rsidR="0069602C" w:rsidRPr="00DB625B" w:rsidRDefault="0069602C" w:rsidP="00DB625B">
      <w:pPr>
        <w:pStyle w:val="Prrafodelista"/>
        <w:numPr>
          <w:ilvl w:val="0"/>
          <w:numId w:val="24"/>
        </w:numPr>
        <w:tabs>
          <w:tab w:val="left" w:pos="0"/>
        </w:tabs>
        <w:spacing w:after="0" w:line="240" w:lineRule="auto"/>
        <w:ind w:left="0" w:firstLine="0"/>
        <w:jc w:val="both"/>
        <w:rPr>
          <w:rFonts w:ascii="Times New Roman" w:eastAsia="Times New Roman" w:hAnsi="Times New Roman" w:cs="Times New Roman"/>
          <w:bCs/>
          <w:spacing w:val="4"/>
          <w:sz w:val="28"/>
          <w:szCs w:val="28"/>
          <w:lang w:eastAsia="es-ES"/>
        </w:rPr>
      </w:pPr>
      <w:r w:rsidRPr="00DB625B">
        <w:rPr>
          <w:rFonts w:ascii="Times New Roman" w:eastAsia="Times New Roman" w:hAnsi="Times New Roman" w:cs="Times New Roman"/>
          <w:bCs/>
          <w:spacing w:val="4"/>
          <w:sz w:val="28"/>
          <w:szCs w:val="28"/>
          <w:lang w:eastAsia="es-ES"/>
        </w:rPr>
        <w:t xml:space="preserve">La vista Fiscal consideró que </w:t>
      </w:r>
      <w:r w:rsidRPr="00DB625B">
        <w:rPr>
          <w:rFonts w:ascii="Times New Roman" w:eastAsia="Times New Roman" w:hAnsi="Times New Roman" w:cs="Times New Roman"/>
          <w:bCs/>
          <w:spacing w:val="4"/>
          <w:sz w:val="28"/>
          <w:szCs w:val="28"/>
          <w:lang w:val="es-ES_tradnl" w:eastAsia="es-ES"/>
        </w:rPr>
        <w:t>la Corte debe declararse inhibida, debido a que la norma no se encuentra vigente y no está produciendo efectos, puesto que el artículo 140 de la Ley 1955 de 2019 estableció que la Ley 1952 de 2019 entraría en vigor hasta el 1 de julio de 2021.</w:t>
      </w:r>
    </w:p>
    <w:p w:rsidR="0069602C" w:rsidRPr="00DB625B" w:rsidRDefault="0069602C" w:rsidP="00DB625B">
      <w:pPr>
        <w:tabs>
          <w:tab w:val="left" w:pos="0"/>
        </w:tabs>
        <w:spacing w:after="0" w:line="240" w:lineRule="auto"/>
        <w:jc w:val="both"/>
        <w:rPr>
          <w:rFonts w:ascii="Times New Roman" w:eastAsia="Times New Roman" w:hAnsi="Times New Roman" w:cs="Times New Roman"/>
          <w:b/>
          <w:bCs/>
          <w:spacing w:val="4"/>
          <w:sz w:val="28"/>
          <w:szCs w:val="28"/>
          <w:lang w:eastAsia="es-ES"/>
        </w:rPr>
      </w:pPr>
    </w:p>
    <w:p w:rsidR="00255D5C" w:rsidRPr="00DB625B" w:rsidRDefault="0069602C" w:rsidP="00DB625B">
      <w:pPr>
        <w:tabs>
          <w:tab w:val="left" w:pos="0"/>
        </w:tabs>
        <w:spacing w:after="0" w:line="240" w:lineRule="auto"/>
        <w:jc w:val="both"/>
        <w:rPr>
          <w:rFonts w:ascii="Times New Roman" w:eastAsia="Times New Roman" w:hAnsi="Times New Roman" w:cs="Times New Roman"/>
          <w:b/>
          <w:bCs/>
          <w:spacing w:val="4"/>
          <w:sz w:val="28"/>
          <w:szCs w:val="28"/>
          <w:lang w:val="es-ES_tradnl" w:eastAsia="es-ES"/>
        </w:rPr>
      </w:pPr>
      <w:r w:rsidRPr="00DB625B">
        <w:rPr>
          <w:rFonts w:ascii="Times New Roman" w:eastAsia="Times New Roman" w:hAnsi="Times New Roman" w:cs="Times New Roman"/>
          <w:bCs/>
          <w:spacing w:val="4"/>
          <w:sz w:val="28"/>
          <w:szCs w:val="28"/>
          <w:lang w:eastAsia="es-ES"/>
        </w:rPr>
        <w:t>En ese escenario</w:t>
      </w:r>
      <w:r w:rsidRPr="00DB625B">
        <w:rPr>
          <w:rFonts w:ascii="Times New Roman" w:eastAsia="Times New Roman" w:hAnsi="Times New Roman" w:cs="Times New Roman"/>
          <w:bCs/>
          <w:spacing w:val="4"/>
          <w:sz w:val="28"/>
          <w:szCs w:val="28"/>
          <w:lang w:val="es-ES_tradnl" w:eastAsia="es-ES"/>
        </w:rPr>
        <w:t xml:space="preserve">, la Corte debe establecer si tiene competencia para analizar la </w:t>
      </w:r>
      <w:r w:rsidR="00255D5C" w:rsidRPr="00DB625B">
        <w:rPr>
          <w:rFonts w:ascii="Times New Roman" w:eastAsia="Times New Roman" w:hAnsi="Times New Roman" w:cs="Times New Roman"/>
          <w:bCs/>
          <w:spacing w:val="4"/>
          <w:sz w:val="28"/>
          <w:szCs w:val="28"/>
          <w:lang w:val="es-ES_tradnl" w:eastAsia="es-ES"/>
        </w:rPr>
        <w:t>demanda de in</w:t>
      </w:r>
      <w:r w:rsidRPr="00DB625B">
        <w:rPr>
          <w:rFonts w:ascii="Times New Roman" w:eastAsia="Times New Roman" w:hAnsi="Times New Roman" w:cs="Times New Roman"/>
          <w:bCs/>
          <w:spacing w:val="4"/>
          <w:sz w:val="28"/>
          <w:szCs w:val="28"/>
          <w:lang w:val="es-ES_tradnl" w:eastAsia="es-ES"/>
        </w:rPr>
        <w:t xml:space="preserve">constitucionalidad </w:t>
      </w:r>
      <w:r w:rsidR="00255D5C" w:rsidRPr="00DB625B">
        <w:rPr>
          <w:rFonts w:ascii="Times New Roman" w:eastAsia="Times New Roman" w:hAnsi="Times New Roman" w:cs="Times New Roman"/>
          <w:bCs/>
          <w:spacing w:val="4"/>
          <w:sz w:val="28"/>
          <w:szCs w:val="28"/>
          <w:lang w:val="es-ES_tradnl" w:eastAsia="es-ES"/>
        </w:rPr>
        <w:t xml:space="preserve">promovida contra </w:t>
      </w:r>
      <w:r w:rsidR="00255D5C" w:rsidRPr="00DB625B">
        <w:rPr>
          <w:rFonts w:ascii="Times New Roman" w:eastAsia="Times New Roman" w:hAnsi="Times New Roman" w:cs="Times New Roman"/>
          <w:bCs/>
          <w:spacing w:val="4"/>
          <w:sz w:val="28"/>
          <w:szCs w:val="28"/>
          <w:lang w:eastAsia="es-ES"/>
        </w:rPr>
        <w:t>el artículo 217</w:t>
      </w:r>
      <w:r w:rsidRPr="00DB625B">
        <w:rPr>
          <w:rFonts w:ascii="Times New Roman" w:eastAsia="Times New Roman" w:hAnsi="Times New Roman" w:cs="Times New Roman"/>
          <w:bCs/>
          <w:spacing w:val="4"/>
          <w:sz w:val="28"/>
          <w:szCs w:val="28"/>
          <w:lang w:eastAsia="es-ES"/>
        </w:rPr>
        <w:t xml:space="preserve"> de la Ley 1952 de 2019 “</w:t>
      </w:r>
      <w:r w:rsidRPr="00DB625B">
        <w:rPr>
          <w:rFonts w:ascii="Times New Roman" w:eastAsia="Times New Roman" w:hAnsi="Times New Roman" w:cs="Times New Roman"/>
          <w:bCs/>
          <w:i/>
          <w:spacing w:val="4"/>
          <w:sz w:val="28"/>
          <w:szCs w:val="28"/>
          <w:lang w:eastAsia="es-ES"/>
        </w:rPr>
        <w:t>Por medio de la cual se expide el código general disciplinario se derogan la ley 734 de 2002 y algunas disposiciones de la ley 1474 de 2011, relacionadas con el derecho disciplinario</w:t>
      </w:r>
      <w:r w:rsidRPr="00DB625B">
        <w:rPr>
          <w:rFonts w:ascii="Times New Roman" w:eastAsia="Times New Roman" w:hAnsi="Times New Roman" w:cs="Times New Roman"/>
          <w:bCs/>
          <w:spacing w:val="4"/>
          <w:sz w:val="28"/>
          <w:szCs w:val="28"/>
          <w:lang w:eastAsia="es-ES"/>
        </w:rPr>
        <w:t>”, debido a que dicho estatuto</w:t>
      </w:r>
      <w:r w:rsidRPr="00DB625B">
        <w:rPr>
          <w:rFonts w:ascii="Times New Roman" w:eastAsia="Times New Roman" w:hAnsi="Times New Roman" w:cs="Times New Roman"/>
          <w:bCs/>
          <w:spacing w:val="4"/>
          <w:sz w:val="28"/>
          <w:szCs w:val="28"/>
          <w:lang w:val="es-ES_tradnl" w:eastAsia="es-ES"/>
        </w:rPr>
        <w:t xml:space="preserve"> carece de vigencia y solo entraría a regir hasta el 1 de julio de 2021</w:t>
      </w:r>
      <w:r w:rsidRPr="00DB625B">
        <w:rPr>
          <w:rFonts w:ascii="Times New Roman" w:eastAsia="Times New Roman" w:hAnsi="Times New Roman" w:cs="Times New Roman"/>
          <w:b/>
          <w:bCs/>
          <w:spacing w:val="4"/>
          <w:sz w:val="28"/>
          <w:szCs w:val="28"/>
          <w:lang w:val="es-ES_tradnl" w:eastAsia="es-ES"/>
        </w:rPr>
        <w:t xml:space="preserve">. </w:t>
      </w:r>
    </w:p>
    <w:p w:rsidR="00255D5C" w:rsidRPr="00DB625B" w:rsidRDefault="00255D5C" w:rsidP="00DB625B">
      <w:pPr>
        <w:tabs>
          <w:tab w:val="left" w:pos="0"/>
        </w:tabs>
        <w:spacing w:after="0" w:line="240" w:lineRule="auto"/>
        <w:jc w:val="both"/>
        <w:rPr>
          <w:rFonts w:ascii="Times New Roman" w:eastAsia="Times New Roman" w:hAnsi="Times New Roman" w:cs="Times New Roman"/>
          <w:b/>
          <w:bCs/>
          <w:spacing w:val="4"/>
          <w:sz w:val="28"/>
          <w:szCs w:val="28"/>
          <w:lang w:val="es-ES_tradnl" w:eastAsia="es-ES"/>
        </w:rPr>
      </w:pPr>
    </w:p>
    <w:p w:rsidR="00255D5C" w:rsidRPr="00DB625B" w:rsidRDefault="0069602C" w:rsidP="00DB625B">
      <w:pPr>
        <w:pStyle w:val="Prrafodelista"/>
        <w:numPr>
          <w:ilvl w:val="1"/>
          <w:numId w:val="24"/>
        </w:numPr>
        <w:tabs>
          <w:tab w:val="left" w:pos="0"/>
        </w:tabs>
        <w:spacing w:after="0" w:line="240" w:lineRule="auto"/>
        <w:ind w:left="0" w:firstLine="0"/>
        <w:jc w:val="both"/>
        <w:rPr>
          <w:rFonts w:ascii="Times New Roman" w:eastAsia="Times New Roman" w:hAnsi="Times New Roman" w:cs="Times New Roman"/>
          <w:bCs/>
          <w:spacing w:val="4"/>
          <w:sz w:val="28"/>
          <w:szCs w:val="28"/>
          <w:lang w:eastAsia="es-ES"/>
        </w:rPr>
      </w:pPr>
      <w:r w:rsidRPr="00DB625B">
        <w:rPr>
          <w:rFonts w:ascii="Times New Roman" w:eastAsia="Times New Roman" w:hAnsi="Times New Roman" w:cs="Times New Roman"/>
          <w:bCs/>
          <w:spacing w:val="4"/>
          <w:sz w:val="28"/>
          <w:szCs w:val="28"/>
          <w:lang w:eastAsia="es-ES"/>
        </w:rPr>
        <w:t>El control abstracto de constitucionalidad tiene como presupuesto la existencia de una ley, pues el numeral 4º del artículo 241 de la Carta Política indica “</w:t>
      </w:r>
      <w:r w:rsidRPr="00DB625B">
        <w:rPr>
          <w:rFonts w:ascii="Times New Roman" w:eastAsia="Times New Roman" w:hAnsi="Times New Roman" w:cs="Times New Roman"/>
          <w:bCs/>
          <w:i/>
          <w:spacing w:val="4"/>
          <w:sz w:val="28"/>
          <w:szCs w:val="28"/>
          <w:lang w:eastAsia="es-ES"/>
        </w:rPr>
        <w:t>decidir sobre las demandas de inconstitucionalidad que presenten los ciudadanos contra las leyes</w:t>
      </w:r>
      <w:r w:rsidR="00255D5C" w:rsidRPr="00DB625B">
        <w:rPr>
          <w:rFonts w:ascii="Times New Roman" w:eastAsia="Times New Roman" w:hAnsi="Times New Roman" w:cs="Times New Roman"/>
          <w:bCs/>
          <w:spacing w:val="4"/>
          <w:sz w:val="28"/>
          <w:szCs w:val="28"/>
          <w:lang w:eastAsia="es-ES"/>
        </w:rPr>
        <w:t>”.</w:t>
      </w:r>
    </w:p>
    <w:p w:rsidR="0069602C" w:rsidRPr="00DB625B" w:rsidRDefault="0069602C" w:rsidP="00DB625B">
      <w:pPr>
        <w:tabs>
          <w:tab w:val="left" w:pos="0"/>
        </w:tabs>
        <w:spacing w:after="0" w:line="240" w:lineRule="auto"/>
        <w:jc w:val="both"/>
        <w:rPr>
          <w:rFonts w:ascii="Times New Roman" w:eastAsia="Times New Roman" w:hAnsi="Times New Roman" w:cs="Times New Roman"/>
          <w:b/>
          <w:bCs/>
          <w:spacing w:val="4"/>
          <w:sz w:val="28"/>
          <w:szCs w:val="28"/>
          <w:lang w:eastAsia="es-ES"/>
        </w:rPr>
      </w:pPr>
    </w:p>
    <w:p w:rsidR="0069602C" w:rsidRPr="00DB625B" w:rsidRDefault="0069602C" w:rsidP="00DB625B">
      <w:pPr>
        <w:tabs>
          <w:tab w:val="left" w:pos="0"/>
        </w:tabs>
        <w:spacing w:after="0" w:line="240" w:lineRule="auto"/>
        <w:jc w:val="both"/>
        <w:rPr>
          <w:rFonts w:ascii="Times New Roman" w:eastAsia="Times New Roman" w:hAnsi="Times New Roman" w:cs="Times New Roman"/>
          <w:bCs/>
          <w:spacing w:val="4"/>
          <w:sz w:val="28"/>
          <w:szCs w:val="28"/>
          <w:lang w:val="es-ES_tradnl" w:eastAsia="es-ES"/>
        </w:rPr>
      </w:pPr>
      <w:r w:rsidRPr="00DB625B">
        <w:rPr>
          <w:rFonts w:ascii="Times New Roman" w:eastAsia="Times New Roman" w:hAnsi="Times New Roman" w:cs="Times New Roman"/>
          <w:bCs/>
          <w:spacing w:val="4"/>
          <w:sz w:val="28"/>
          <w:szCs w:val="28"/>
          <w:lang w:eastAsia="es-ES"/>
        </w:rPr>
        <w:t xml:space="preserve"> Para efectos del control de constitucionalidad y de la competencia de esta Corte, es rele</w:t>
      </w:r>
      <w:r w:rsidR="003D1BD6" w:rsidRPr="00DB625B">
        <w:rPr>
          <w:rFonts w:ascii="Times New Roman" w:eastAsia="Times New Roman" w:hAnsi="Times New Roman" w:cs="Times New Roman"/>
          <w:bCs/>
          <w:spacing w:val="4"/>
          <w:sz w:val="28"/>
          <w:szCs w:val="28"/>
          <w:lang w:eastAsia="es-ES"/>
        </w:rPr>
        <w:t>vante la figura de la promulgación</w:t>
      </w:r>
      <w:r w:rsidRPr="00DB625B">
        <w:rPr>
          <w:rFonts w:ascii="Times New Roman" w:eastAsia="Times New Roman" w:hAnsi="Times New Roman" w:cs="Times New Roman"/>
          <w:bCs/>
          <w:spacing w:val="4"/>
          <w:sz w:val="28"/>
          <w:szCs w:val="28"/>
          <w:lang w:eastAsia="es-ES"/>
        </w:rPr>
        <w:t xml:space="preserve"> y no de la vigencia</w:t>
      </w:r>
      <w:r w:rsidRPr="00DB625B">
        <w:rPr>
          <w:rFonts w:ascii="Times New Roman" w:eastAsia="Times New Roman" w:hAnsi="Times New Roman" w:cs="Times New Roman"/>
          <w:bCs/>
          <w:spacing w:val="4"/>
          <w:sz w:val="28"/>
          <w:szCs w:val="28"/>
          <w:vertAlign w:val="superscript"/>
          <w:lang w:eastAsia="es-ES"/>
        </w:rPr>
        <w:footnoteReference w:id="13"/>
      </w:r>
      <w:r w:rsidRPr="00DB625B">
        <w:rPr>
          <w:rFonts w:ascii="Times New Roman" w:eastAsia="Times New Roman" w:hAnsi="Times New Roman" w:cs="Times New Roman"/>
          <w:bCs/>
          <w:spacing w:val="4"/>
          <w:sz w:val="28"/>
          <w:szCs w:val="28"/>
          <w:lang w:eastAsia="es-ES"/>
        </w:rPr>
        <w:t>. La Corte se ha inhibido para conocer normas derogadas, subrogadas y que no producen efecto alguno</w:t>
      </w:r>
      <w:r w:rsidRPr="00DB625B">
        <w:rPr>
          <w:rFonts w:ascii="Times New Roman" w:eastAsia="Times New Roman" w:hAnsi="Times New Roman" w:cs="Times New Roman"/>
          <w:bCs/>
          <w:spacing w:val="4"/>
          <w:sz w:val="28"/>
          <w:szCs w:val="28"/>
          <w:vertAlign w:val="superscript"/>
          <w:lang w:eastAsia="es-ES"/>
        </w:rPr>
        <w:footnoteReference w:id="14"/>
      </w:r>
      <w:r w:rsidRPr="00DB625B">
        <w:rPr>
          <w:rFonts w:ascii="Times New Roman" w:eastAsia="Times New Roman" w:hAnsi="Times New Roman" w:cs="Times New Roman"/>
          <w:bCs/>
          <w:spacing w:val="4"/>
          <w:sz w:val="28"/>
          <w:szCs w:val="28"/>
          <w:lang w:eastAsia="es-ES"/>
        </w:rPr>
        <w:t xml:space="preserve">, como quiera que </w:t>
      </w:r>
      <w:r w:rsidRPr="00DB625B">
        <w:rPr>
          <w:rFonts w:ascii="Times New Roman" w:eastAsia="Times New Roman" w:hAnsi="Times New Roman" w:cs="Times New Roman"/>
          <w:bCs/>
          <w:spacing w:val="4"/>
          <w:sz w:val="28"/>
          <w:szCs w:val="28"/>
          <w:lang w:val="es-ES_tradnl" w:eastAsia="es-ES"/>
        </w:rPr>
        <w:t>son figuras que determinan la existencia de una norma en un orden jurídico</w:t>
      </w:r>
      <w:r w:rsidRPr="00DB625B">
        <w:rPr>
          <w:rFonts w:ascii="Times New Roman" w:eastAsia="Times New Roman" w:hAnsi="Times New Roman" w:cs="Times New Roman"/>
          <w:bCs/>
          <w:spacing w:val="4"/>
          <w:sz w:val="28"/>
          <w:szCs w:val="28"/>
          <w:vertAlign w:val="superscript"/>
          <w:lang w:val="es-ES_tradnl" w:eastAsia="es-ES"/>
        </w:rPr>
        <w:footnoteReference w:id="15"/>
      </w:r>
      <w:r w:rsidRPr="00DB625B">
        <w:rPr>
          <w:rFonts w:ascii="Times New Roman" w:eastAsia="Times New Roman" w:hAnsi="Times New Roman" w:cs="Times New Roman"/>
          <w:bCs/>
          <w:spacing w:val="4"/>
          <w:sz w:val="28"/>
          <w:szCs w:val="28"/>
          <w:lang w:val="es-ES_tradnl" w:eastAsia="es-ES"/>
        </w:rPr>
        <w:t>. Dicha condición ha sido constatada mediante el juicio de vigencia</w:t>
      </w:r>
      <w:r w:rsidRPr="00DB625B">
        <w:rPr>
          <w:rFonts w:ascii="Times New Roman" w:eastAsia="Times New Roman" w:hAnsi="Times New Roman" w:cs="Times New Roman"/>
          <w:bCs/>
          <w:spacing w:val="4"/>
          <w:sz w:val="28"/>
          <w:szCs w:val="28"/>
          <w:vertAlign w:val="superscript"/>
          <w:lang w:val="es-ES_tradnl" w:eastAsia="es-ES"/>
        </w:rPr>
        <w:footnoteReference w:id="16"/>
      </w:r>
      <w:r w:rsidRPr="00DB625B">
        <w:rPr>
          <w:rFonts w:ascii="Times New Roman" w:eastAsia="Times New Roman" w:hAnsi="Times New Roman" w:cs="Times New Roman"/>
          <w:bCs/>
          <w:spacing w:val="4"/>
          <w:sz w:val="28"/>
          <w:szCs w:val="28"/>
          <w:lang w:val="es-ES_tradnl" w:eastAsia="es-ES"/>
        </w:rPr>
        <w:t xml:space="preserve">. </w:t>
      </w:r>
      <w:r w:rsidRPr="00DB625B">
        <w:rPr>
          <w:rFonts w:ascii="Times New Roman" w:eastAsia="Times New Roman" w:hAnsi="Times New Roman" w:cs="Times New Roman"/>
          <w:bCs/>
          <w:spacing w:val="4"/>
          <w:sz w:val="28"/>
          <w:szCs w:val="28"/>
          <w:lang w:val="es-ES_tradnl" w:eastAsia="es-ES"/>
        </w:rPr>
        <w:lastRenderedPageBreak/>
        <w:t>La pertenencia de un enunciado prescriptivo es el presupuesto básico para iniciar un juicio de validez sobre un enunciado legal.</w:t>
      </w:r>
    </w:p>
    <w:p w:rsidR="0069602C" w:rsidRPr="00DB625B" w:rsidRDefault="0069602C" w:rsidP="00DB625B">
      <w:pPr>
        <w:tabs>
          <w:tab w:val="left" w:pos="0"/>
        </w:tabs>
        <w:spacing w:after="0" w:line="240" w:lineRule="auto"/>
        <w:jc w:val="both"/>
        <w:rPr>
          <w:rFonts w:ascii="Times New Roman" w:eastAsia="Times New Roman" w:hAnsi="Times New Roman" w:cs="Times New Roman"/>
          <w:bCs/>
          <w:spacing w:val="4"/>
          <w:sz w:val="28"/>
          <w:szCs w:val="28"/>
          <w:lang w:val="es-ES_tradnl" w:eastAsia="es-ES"/>
        </w:rPr>
      </w:pPr>
    </w:p>
    <w:p w:rsidR="0069602C" w:rsidRPr="00DB625B" w:rsidRDefault="0069602C" w:rsidP="00DB625B">
      <w:pPr>
        <w:tabs>
          <w:tab w:val="left" w:pos="0"/>
        </w:tabs>
        <w:spacing w:after="0" w:line="240" w:lineRule="auto"/>
        <w:jc w:val="both"/>
        <w:rPr>
          <w:rFonts w:ascii="Times New Roman" w:eastAsia="Times New Roman" w:hAnsi="Times New Roman" w:cs="Times New Roman"/>
          <w:bCs/>
          <w:spacing w:val="4"/>
          <w:sz w:val="28"/>
          <w:szCs w:val="28"/>
          <w:lang w:val="es-ES_tradnl" w:eastAsia="es-ES"/>
        </w:rPr>
      </w:pPr>
      <w:r w:rsidRPr="00DB625B">
        <w:rPr>
          <w:rFonts w:ascii="Times New Roman" w:eastAsia="Times New Roman" w:hAnsi="Times New Roman" w:cs="Times New Roman"/>
          <w:bCs/>
          <w:spacing w:val="4"/>
          <w:sz w:val="28"/>
          <w:szCs w:val="28"/>
          <w:lang w:val="es-ES_tradnl" w:eastAsia="es-ES"/>
        </w:rPr>
        <w:t xml:space="preserve"> En contraste, ha estudiado las demandas que cuestionan </w:t>
      </w:r>
      <w:r w:rsidR="003D1BD6" w:rsidRPr="00DB625B">
        <w:rPr>
          <w:rFonts w:ascii="Times New Roman" w:eastAsia="Times New Roman" w:hAnsi="Times New Roman" w:cs="Times New Roman"/>
          <w:bCs/>
          <w:spacing w:val="4"/>
          <w:sz w:val="28"/>
          <w:szCs w:val="28"/>
          <w:lang w:val="es-ES_tradnl" w:eastAsia="es-ES"/>
        </w:rPr>
        <w:t>enunciados jurídicos que fueron promulgadas</w:t>
      </w:r>
      <w:r w:rsidRPr="00DB625B">
        <w:rPr>
          <w:rFonts w:ascii="Times New Roman" w:eastAsia="Times New Roman" w:hAnsi="Times New Roman" w:cs="Times New Roman"/>
          <w:bCs/>
          <w:spacing w:val="4"/>
          <w:sz w:val="28"/>
          <w:szCs w:val="28"/>
          <w:lang w:val="es-ES_tradnl" w:eastAsia="es-ES"/>
        </w:rPr>
        <w:t xml:space="preserve"> en el sistema de derecho, pero que el legislador defirió su vigencia al futuro. Una muestra de este tipo de decisiones fueron las primeras sentencias que resolvieron las demandas formuladas en contra de la Ley 1437 de 2011, Código de Procedimiento y de lo Contencioso Administrativo, estatuto que el legislador fijó su entrada en vigor después de su promulgación</w:t>
      </w:r>
      <w:r w:rsidRPr="00DB625B">
        <w:rPr>
          <w:rFonts w:ascii="Times New Roman" w:eastAsia="Times New Roman" w:hAnsi="Times New Roman" w:cs="Times New Roman"/>
          <w:bCs/>
          <w:spacing w:val="4"/>
          <w:sz w:val="28"/>
          <w:szCs w:val="28"/>
          <w:vertAlign w:val="superscript"/>
          <w:lang w:val="es-ES_tradnl" w:eastAsia="es-ES"/>
        </w:rPr>
        <w:footnoteReference w:id="17"/>
      </w:r>
      <w:r w:rsidRPr="00DB625B">
        <w:rPr>
          <w:rFonts w:ascii="Times New Roman" w:eastAsia="Times New Roman" w:hAnsi="Times New Roman" w:cs="Times New Roman"/>
          <w:bCs/>
          <w:spacing w:val="4"/>
          <w:sz w:val="28"/>
          <w:szCs w:val="28"/>
          <w:lang w:val="es-ES_tradnl" w:eastAsia="es-ES"/>
        </w:rPr>
        <w:t>.</w:t>
      </w:r>
      <w:r w:rsidR="001B22C8" w:rsidRPr="00DB625B">
        <w:rPr>
          <w:rFonts w:ascii="Times New Roman" w:eastAsia="Times New Roman" w:hAnsi="Times New Roman" w:cs="Times New Roman"/>
          <w:bCs/>
          <w:spacing w:val="4"/>
          <w:sz w:val="28"/>
          <w:szCs w:val="28"/>
          <w:lang w:val="es-ES_tradnl" w:eastAsia="es-ES"/>
        </w:rPr>
        <w:t xml:space="preserve"> Esa misma conclusión se ha aceptado y defendió en las demandas en las que se ha censurado el nuevo Código </w:t>
      </w:r>
      <w:r w:rsidR="00A961C1" w:rsidRPr="00DB625B">
        <w:rPr>
          <w:rFonts w:ascii="Times New Roman" w:eastAsia="Times New Roman" w:hAnsi="Times New Roman" w:cs="Times New Roman"/>
          <w:bCs/>
          <w:spacing w:val="4"/>
          <w:sz w:val="28"/>
          <w:szCs w:val="28"/>
          <w:lang w:val="es-ES_tradnl" w:eastAsia="es-ES"/>
        </w:rPr>
        <w:t>General Disciplinario</w:t>
      </w:r>
      <w:r w:rsidR="001B22C8" w:rsidRPr="00DB625B">
        <w:rPr>
          <w:rFonts w:ascii="Times New Roman" w:eastAsia="Times New Roman" w:hAnsi="Times New Roman" w:cs="Times New Roman"/>
          <w:bCs/>
          <w:spacing w:val="4"/>
          <w:sz w:val="28"/>
          <w:szCs w:val="28"/>
          <w:lang w:val="es-ES_tradnl" w:eastAsia="es-ES"/>
        </w:rPr>
        <w:t>, el cual entrará en vigor en año 2021</w:t>
      </w:r>
      <w:r w:rsidR="001B22C8" w:rsidRPr="00DB625B">
        <w:rPr>
          <w:rStyle w:val="Refdenotaalpie"/>
          <w:rFonts w:ascii="Times New Roman" w:eastAsia="Times New Roman" w:hAnsi="Times New Roman" w:cs="Times New Roman"/>
          <w:bCs/>
          <w:spacing w:val="4"/>
          <w:sz w:val="28"/>
          <w:szCs w:val="28"/>
          <w:lang w:val="es-ES_tradnl" w:eastAsia="es-ES"/>
        </w:rPr>
        <w:footnoteReference w:id="18"/>
      </w:r>
      <w:r w:rsidR="001B22C8" w:rsidRPr="00DB625B">
        <w:rPr>
          <w:rFonts w:ascii="Times New Roman" w:eastAsia="Times New Roman" w:hAnsi="Times New Roman" w:cs="Times New Roman"/>
          <w:bCs/>
          <w:spacing w:val="4"/>
          <w:sz w:val="28"/>
          <w:szCs w:val="28"/>
          <w:lang w:val="es-ES_tradnl" w:eastAsia="es-ES"/>
        </w:rPr>
        <w:t xml:space="preserve">. </w:t>
      </w:r>
      <w:r w:rsidRPr="00DB625B">
        <w:rPr>
          <w:rFonts w:ascii="Times New Roman" w:eastAsia="Times New Roman" w:hAnsi="Times New Roman" w:cs="Times New Roman"/>
          <w:bCs/>
          <w:spacing w:val="4"/>
          <w:sz w:val="28"/>
          <w:szCs w:val="28"/>
          <w:lang w:val="es-ES_tradnl" w:eastAsia="es-ES"/>
        </w:rPr>
        <w:t xml:space="preserve">La competencia de este Tribunal se </w:t>
      </w:r>
      <w:r w:rsidR="001B22C8" w:rsidRPr="00DB625B">
        <w:rPr>
          <w:rFonts w:ascii="Times New Roman" w:eastAsia="Times New Roman" w:hAnsi="Times New Roman" w:cs="Times New Roman"/>
          <w:bCs/>
          <w:spacing w:val="4"/>
          <w:sz w:val="28"/>
          <w:szCs w:val="28"/>
          <w:lang w:val="es-ES_tradnl" w:eastAsia="es-ES"/>
        </w:rPr>
        <w:t>ha sustentado</w:t>
      </w:r>
      <w:r w:rsidRPr="00DB625B">
        <w:rPr>
          <w:rFonts w:ascii="Times New Roman" w:eastAsia="Times New Roman" w:hAnsi="Times New Roman" w:cs="Times New Roman"/>
          <w:bCs/>
          <w:spacing w:val="4"/>
          <w:sz w:val="28"/>
          <w:szCs w:val="28"/>
          <w:lang w:val="es-ES_tradnl" w:eastAsia="es-ES"/>
        </w:rPr>
        <w:t xml:space="preserve"> en que la norma pertenece al ordenamiento jurídico, por lo que es posible evaluar la conformidad o adecuación de ésta frente a la Constitución</w:t>
      </w:r>
      <w:r w:rsidRPr="00DB625B">
        <w:rPr>
          <w:rFonts w:ascii="Times New Roman" w:eastAsia="Times New Roman" w:hAnsi="Times New Roman" w:cs="Times New Roman"/>
          <w:bCs/>
          <w:spacing w:val="4"/>
          <w:sz w:val="28"/>
          <w:szCs w:val="28"/>
          <w:vertAlign w:val="superscript"/>
          <w:lang w:val="es-ES_tradnl" w:eastAsia="es-ES"/>
        </w:rPr>
        <w:footnoteReference w:id="19"/>
      </w:r>
      <w:r w:rsidRPr="00DB625B">
        <w:rPr>
          <w:rFonts w:ascii="Times New Roman" w:eastAsia="Times New Roman" w:hAnsi="Times New Roman" w:cs="Times New Roman"/>
          <w:bCs/>
          <w:spacing w:val="4"/>
          <w:sz w:val="28"/>
          <w:szCs w:val="28"/>
          <w:lang w:val="es-ES_tradnl" w:eastAsia="es-ES"/>
        </w:rPr>
        <w:t xml:space="preserve">. </w:t>
      </w:r>
    </w:p>
    <w:p w:rsidR="0069602C" w:rsidRPr="00DB625B" w:rsidRDefault="0069602C" w:rsidP="00DB625B">
      <w:pPr>
        <w:tabs>
          <w:tab w:val="left" w:pos="0"/>
        </w:tabs>
        <w:spacing w:after="0" w:line="240" w:lineRule="auto"/>
        <w:jc w:val="both"/>
        <w:rPr>
          <w:rFonts w:ascii="Times New Roman" w:eastAsia="Times New Roman" w:hAnsi="Times New Roman" w:cs="Times New Roman"/>
          <w:bCs/>
          <w:spacing w:val="4"/>
          <w:sz w:val="28"/>
          <w:szCs w:val="28"/>
          <w:lang w:val="es-ES_tradnl" w:eastAsia="es-ES"/>
        </w:rPr>
      </w:pPr>
    </w:p>
    <w:p w:rsidR="0069602C" w:rsidRPr="00DB625B" w:rsidRDefault="0069602C" w:rsidP="00DB625B">
      <w:pPr>
        <w:pStyle w:val="Prrafodelista"/>
        <w:numPr>
          <w:ilvl w:val="1"/>
          <w:numId w:val="24"/>
        </w:numPr>
        <w:tabs>
          <w:tab w:val="left" w:pos="0"/>
        </w:tabs>
        <w:spacing w:after="0" w:line="240" w:lineRule="auto"/>
        <w:ind w:left="0" w:hanging="6"/>
        <w:jc w:val="both"/>
        <w:rPr>
          <w:rFonts w:ascii="Times New Roman" w:eastAsia="Times New Roman" w:hAnsi="Times New Roman" w:cs="Times New Roman"/>
          <w:bCs/>
          <w:spacing w:val="4"/>
          <w:sz w:val="28"/>
          <w:szCs w:val="28"/>
          <w:lang w:eastAsia="es-ES"/>
        </w:rPr>
      </w:pPr>
      <w:r w:rsidRPr="00DB625B">
        <w:rPr>
          <w:rFonts w:ascii="Times New Roman" w:eastAsia="Times New Roman" w:hAnsi="Times New Roman" w:cs="Times New Roman"/>
          <w:bCs/>
          <w:spacing w:val="4"/>
          <w:sz w:val="28"/>
          <w:szCs w:val="28"/>
          <w:lang w:val="es-ES_tradnl" w:eastAsia="es-ES"/>
        </w:rPr>
        <w:t xml:space="preserve">En el caso concreto, la Sala constata que </w:t>
      </w:r>
      <w:r w:rsidRPr="00DB625B">
        <w:rPr>
          <w:rFonts w:ascii="Times New Roman" w:eastAsia="Times New Roman" w:hAnsi="Times New Roman" w:cs="Times New Roman"/>
          <w:bCs/>
          <w:spacing w:val="4"/>
          <w:sz w:val="28"/>
          <w:szCs w:val="28"/>
          <w:lang w:eastAsia="es-ES"/>
        </w:rPr>
        <w:t xml:space="preserve">la Ley 1952 de 2019 pertenece al sistema jurídico colombiano y </w:t>
      </w:r>
      <w:r w:rsidR="003D1BD6" w:rsidRPr="00DB625B">
        <w:rPr>
          <w:rFonts w:ascii="Times New Roman" w:eastAsia="Times New Roman" w:hAnsi="Times New Roman" w:cs="Times New Roman"/>
          <w:bCs/>
          <w:spacing w:val="4"/>
          <w:sz w:val="28"/>
          <w:szCs w:val="28"/>
          <w:lang w:eastAsia="es-ES"/>
        </w:rPr>
        <w:t>fue promulgado</w:t>
      </w:r>
      <w:r w:rsidRPr="00DB625B">
        <w:rPr>
          <w:rFonts w:ascii="Times New Roman" w:eastAsia="Times New Roman" w:hAnsi="Times New Roman" w:cs="Times New Roman"/>
          <w:bCs/>
          <w:spacing w:val="4"/>
          <w:sz w:val="28"/>
          <w:szCs w:val="28"/>
          <w:lang w:eastAsia="es-ES"/>
        </w:rPr>
        <w:t xml:space="preserve"> en el mismo</w:t>
      </w:r>
      <w:r w:rsidR="001B22C8" w:rsidRPr="00DB625B">
        <w:rPr>
          <w:rFonts w:ascii="Times New Roman" w:eastAsia="Times New Roman" w:hAnsi="Times New Roman" w:cs="Times New Roman"/>
          <w:bCs/>
          <w:spacing w:val="4"/>
          <w:sz w:val="28"/>
          <w:szCs w:val="28"/>
          <w:lang w:eastAsia="es-ES"/>
        </w:rPr>
        <w:t>, toda vez</w:t>
      </w:r>
      <w:r w:rsidRPr="00DB625B">
        <w:rPr>
          <w:rFonts w:ascii="Times New Roman" w:eastAsia="Times New Roman" w:hAnsi="Times New Roman" w:cs="Times New Roman"/>
          <w:bCs/>
          <w:spacing w:val="4"/>
          <w:sz w:val="28"/>
          <w:szCs w:val="28"/>
          <w:lang w:eastAsia="es-ES"/>
        </w:rPr>
        <w:t xml:space="preserve"> que pasó por el trámite respectivo de aprobación en el congreso y fue sancionada por el gobierno, según dispone el artículo 157 Superior. Ante esa situación, este Tribunal tiene la competencia para evaluar la constitucionalidad de la norma censurada, pese a que su entrada en vigor sea en el año 2021</w:t>
      </w:r>
      <w:r w:rsidRPr="00DB625B">
        <w:rPr>
          <w:rFonts w:ascii="Times New Roman" w:eastAsia="Times New Roman" w:hAnsi="Times New Roman" w:cs="Times New Roman"/>
          <w:bCs/>
          <w:spacing w:val="4"/>
          <w:sz w:val="28"/>
          <w:szCs w:val="28"/>
          <w:vertAlign w:val="superscript"/>
          <w:lang w:eastAsia="es-ES"/>
        </w:rPr>
        <w:footnoteReference w:id="20"/>
      </w:r>
      <w:r w:rsidRPr="00DB625B">
        <w:rPr>
          <w:rFonts w:ascii="Times New Roman" w:eastAsia="Times New Roman" w:hAnsi="Times New Roman" w:cs="Times New Roman"/>
          <w:bCs/>
          <w:spacing w:val="4"/>
          <w:sz w:val="28"/>
          <w:szCs w:val="28"/>
          <w:lang w:eastAsia="es-ES"/>
        </w:rPr>
        <w:t xml:space="preserve">. </w:t>
      </w:r>
      <w:r w:rsidR="00EF573C" w:rsidRPr="00DB625B">
        <w:rPr>
          <w:rFonts w:ascii="Times New Roman" w:eastAsia="Times New Roman" w:hAnsi="Times New Roman" w:cs="Times New Roman"/>
          <w:bCs/>
          <w:spacing w:val="4"/>
          <w:sz w:val="28"/>
          <w:szCs w:val="28"/>
          <w:lang w:eastAsia="es-ES"/>
        </w:rPr>
        <w:t xml:space="preserve"> </w:t>
      </w:r>
      <w:r w:rsidRPr="00DB625B">
        <w:rPr>
          <w:rFonts w:ascii="Times New Roman" w:eastAsia="Times New Roman" w:hAnsi="Times New Roman" w:cs="Times New Roman"/>
          <w:bCs/>
          <w:spacing w:val="4"/>
          <w:sz w:val="28"/>
          <w:szCs w:val="28"/>
          <w:lang w:eastAsia="es-ES"/>
        </w:rPr>
        <w:t>Así mismo, la norma va entrar a regir, por lo que es válido ejercer el respectivo control de constitucionalidad, toda vez que podría evitarse que comience a tener vigencia una norma que eventualmente podría ser contraria a la Carta Política</w:t>
      </w:r>
      <w:r w:rsidRPr="00DB625B">
        <w:rPr>
          <w:rFonts w:ascii="Times New Roman" w:eastAsia="Times New Roman" w:hAnsi="Times New Roman" w:cs="Times New Roman"/>
          <w:b/>
          <w:bCs/>
          <w:spacing w:val="4"/>
          <w:sz w:val="28"/>
          <w:szCs w:val="28"/>
          <w:lang w:eastAsia="es-ES"/>
        </w:rPr>
        <w:t xml:space="preserve">.  </w:t>
      </w:r>
    </w:p>
    <w:p w:rsidR="0069602C" w:rsidRPr="00DB625B" w:rsidRDefault="0069602C" w:rsidP="00DB625B">
      <w:pPr>
        <w:tabs>
          <w:tab w:val="left" w:pos="0"/>
        </w:tabs>
        <w:spacing w:after="0" w:line="240" w:lineRule="auto"/>
        <w:jc w:val="both"/>
        <w:rPr>
          <w:rFonts w:ascii="Times New Roman" w:eastAsia="Times New Roman" w:hAnsi="Times New Roman" w:cs="Times New Roman"/>
          <w:b/>
          <w:bCs/>
          <w:spacing w:val="4"/>
          <w:sz w:val="28"/>
          <w:szCs w:val="28"/>
          <w:lang w:eastAsia="es-ES"/>
        </w:rPr>
      </w:pPr>
    </w:p>
    <w:p w:rsidR="00182526" w:rsidRPr="00DB625B" w:rsidRDefault="00182526" w:rsidP="00DB625B">
      <w:pPr>
        <w:tabs>
          <w:tab w:val="left" w:pos="0"/>
        </w:tabs>
        <w:spacing w:after="0" w:line="240" w:lineRule="auto"/>
        <w:jc w:val="both"/>
        <w:rPr>
          <w:rFonts w:ascii="Times New Roman" w:eastAsia="Times New Roman" w:hAnsi="Times New Roman" w:cs="Times New Roman"/>
          <w:b/>
          <w:bCs/>
          <w:spacing w:val="4"/>
          <w:sz w:val="28"/>
          <w:szCs w:val="28"/>
          <w:lang w:eastAsia="es-ES"/>
        </w:rPr>
      </w:pPr>
      <w:r w:rsidRPr="00DB625B">
        <w:rPr>
          <w:rFonts w:ascii="Times New Roman" w:eastAsia="Times New Roman" w:hAnsi="Times New Roman" w:cs="Times New Roman"/>
          <w:b/>
          <w:bCs/>
          <w:spacing w:val="4"/>
          <w:sz w:val="28"/>
          <w:szCs w:val="28"/>
          <w:lang w:eastAsia="es-ES"/>
        </w:rPr>
        <w:t>Análisis sobre la existencia de la cosa juzgada constitucional</w:t>
      </w:r>
      <w:r w:rsidRPr="00DB625B">
        <w:rPr>
          <w:rFonts w:ascii="Times New Roman" w:eastAsia="Times New Roman" w:hAnsi="Times New Roman" w:cs="Times New Roman"/>
          <w:b/>
          <w:bCs/>
          <w:spacing w:val="4"/>
          <w:sz w:val="28"/>
          <w:szCs w:val="28"/>
          <w:vertAlign w:val="superscript"/>
          <w:lang w:eastAsia="es-ES"/>
        </w:rPr>
        <w:footnoteReference w:id="21"/>
      </w:r>
    </w:p>
    <w:p w:rsidR="00F54743" w:rsidRPr="00DB625B" w:rsidRDefault="00F54743" w:rsidP="00DB625B">
      <w:pPr>
        <w:tabs>
          <w:tab w:val="left" w:pos="0"/>
        </w:tabs>
        <w:spacing w:after="0" w:line="240" w:lineRule="auto"/>
        <w:jc w:val="both"/>
        <w:rPr>
          <w:rFonts w:ascii="Times New Roman" w:eastAsia="Times New Roman" w:hAnsi="Times New Roman" w:cs="Times New Roman"/>
          <w:b/>
          <w:bCs/>
          <w:spacing w:val="4"/>
          <w:sz w:val="28"/>
          <w:szCs w:val="28"/>
          <w:lang w:eastAsia="es-ES"/>
        </w:rPr>
      </w:pPr>
    </w:p>
    <w:p w:rsidR="00182526" w:rsidRPr="00DB625B" w:rsidRDefault="00182526" w:rsidP="00DB625B">
      <w:pPr>
        <w:pStyle w:val="Prrafodelista"/>
        <w:numPr>
          <w:ilvl w:val="0"/>
          <w:numId w:val="24"/>
        </w:numPr>
        <w:tabs>
          <w:tab w:val="left" w:pos="0"/>
        </w:tabs>
        <w:spacing w:after="0" w:line="240" w:lineRule="auto"/>
        <w:ind w:left="0" w:firstLine="0"/>
        <w:jc w:val="both"/>
        <w:rPr>
          <w:rFonts w:ascii="Times New Roman" w:eastAsia="Times New Roman" w:hAnsi="Times New Roman" w:cs="Times New Roman"/>
          <w:spacing w:val="4"/>
          <w:sz w:val="28"/>
          <w:szCs w:val="28"/>
          <w:lang w:eastAsia="es-ES"/>
        </w:rPr>
      </w:pPr>
      <w:r w:rsidRPr="00DB625B">
        <w:rPr>
          <w:rFonts w:ascii="Times New Roman" w:eastAsia="Times New Roman" w:hAnsi="Times New Roman" w:cs="Times New Roman"/>
          <w:spacing w:val="4"/>
          <w:sz w:val="28"/>
          <w:szCs w:val="28"/>
          <w:lang w:eastAsia="es-ES"/>
        </w:rPr>
        <w:t>El Ministerio del Interior sostiene que en el presente caso se configura la cosa juzgada constitucional pues, en su opinión, en la sentencia C- 086 de 2019 “</w:t>
      </w:r>
      <w:r w:rsidRPr="00DB625B">
        <w:rPr>
          <w:rFonts w:ascii="Times New Roman" w:eastAsia="Times New Roman" w:hAnsi="Times New Roman" w:cs="Times New Roman"/>
          <w:i/>
          <w:iCs/>
          <w:spacing w:val="4"/>
          <w:sz w:val="28"/>
          <w:szCs w:val="28"/>
          <w:lang w:eastAsia="es-ES"/>
        </w:rPr>
        <w:t xml:space="preserve">se definió la medida de suspensión provisional en el contexto del CDU </w:t>
      </w:r>
      <w:r w:rsidRPr="00DB625B">
        <w:rPr>
          <w:rFonts w:ascii="Times New Roman" w:eastAsia="Times New Roman" w:hAnsi="Times New Roman" w:cs="Times New Roman"/>
          <w:spacing w:val="4"/>
          <w:sz w:val="28"/>
          <w:szCs w:val="28"/>
          <w:lang w:eastAsia="es-ES"/>
        </w:rPr>
        <w:t>[Código Disciplinario Único]</w:t>
      </w:r>
      <w:r w:rsidRPr="00DB625B">
        <w:rPr>
          <w:rFonts w:ascii="Times New Roman" w:eastAsia="Times New Roman" w:hAnsi="Times New Roman" w:cs="Times New Roman"/>
          <w:i/>
          <w:iCs/>
          <w:spacing w:val="4"/>
          <w:sz w:val="28"/>
          <w:szCs w:val="28"/>
          <w:lang w:eastAsia="es-ES"/>
        </w:rPr>
        <w:t>, sus pre</w:t>
      </w:r>
      <w:r w:rsidRPr="00DB625B">
        <w:rPr>
          <w:rFonts w:ascii="Times New Roman" w:eastAsia="Times New Roman" w:hAnsi="Times New Roman" w:cs="Times New Roman"/>
          <w:i/>
          <w:iCs/>
          <w:spacing w:val="4"/>
          <w:sz w:val="28"/>
          <w:szCs w:val="28"/>
          <w:lang w:eastAsia="es-ES"/>
        </w:rPr>
        <w:lastRenderedPageBreak/>
        <w:t>supuestos o condiciones objetivas, las garantías y los controles aplicables a ella</w:t>
      </w:r>
      <w:r w:rsidRPr="00DB625B">
        <w:rPr>
          <w:rFonts w:ascii="Times New Roman" w:eastAsia="Times New Roman" w:hAnsi="Times New Roman" w:cs="Times New Roman"/>
          <w:spacing w:val="4"/>
          <w:sz w:val="28"/>
          <w:szCs w:val="28"/>
          <w:lang w:eastAsia="es-ES"/>
        </w:rPr>
        <w:t>”</w:t>
      </w:r>
      <w:r w:rsidRPr="00DB625B">
        <w:rPr>
          <w:rStyle w:val="Refdenotaalpie"/>
          <w:rFonts w:ascii="Times New Roman" w:eastAsia="Times New Roman" w:hAnsi="Times New Roman" w:cs="Times New Roman"/>
          <w:i/>
          <w:iCs/>
          <w:spacing w:val="4"/>
          <w:sz w:val="28"/>
          <w:szCs w:val="28"/>
          <w:lang w:eastAsia="es-ES"/>
        </w:rPr>
        <w:footnoteReference w:id="22"/>
      </w:r>
      <w:r w:rsidRPr="00DB625B">
        <w:rPr>
          <w:rFonts w:ascii="Times New Roman" w:eastAsia="Times New Roman" w:hAnsi="Times New Roman" w:cs="Times New Roman"/>
          <w:spacing w:val="4"/>
          <w:sz w:val="28"/>
          <w:szCs w:val="28"/>
          <w:lang w:eastAsia="es-ES"/>
        </w:rPr>
        <w:t>. Asimismo, la entidad considera que, en esa sentencia, “</w:t>
      </w:r>
      <w:r w:rsidRPr="00DB625B">
        <w:rPr>
          <w:rFonts w:ascii="Times New Roman" w:eastAsia="Times New Roman" w:hAnsi="Times New Roman" w:cs="Times New Roman"/>
          <w:i/>
          <w:iCs/>
          <w:spacing w:val="4"/>
          <w:sz w:val="28"/>
          <w:szCs w:val="28"/>
          <w:lang w:eastAsia="es-ES"/>
        </w:rPr>
        <w:t>se hizo una revisión de varias sentencias de tutela, en las cuales se ejerció control judicial de los actos que ordenaban suspensiones provisionales</w:t>
      </w:r>
      <w:r w:rsidRPr="00DB625B">
        <w:rPr>
          <w:rFonts w:ascii="Times New Roman" w:eastAsia="Times New Roman" w:hAnsi="Times New Roman" w:cs="Times New Roman"/>
          <w:spacing w:val="4"/>
          <w:sz w:val="28"/>
          <w:szCs w:val="28"/>
          <w:lang w:eastAsia="es-ES"/>
        </w:rPr>
        <w:t>”</w:t>
      </w:r>
      <w:r w:rsidRPr="00DB625B">
        <w:rPr>
          <w:rStyle w:val="Refdenotaalpie"/>
          <w:rFonts w:ascii="Times New Roman" w:eastAsia="Times New Roman" w:hAnsi="Times New Roman" w:cs="Times New Roman"/>
          <w:spacing w:val="4"/>
          <w:sz w:val="28"/>
          <w:szCs w:val="28"/>
          <w:lang w:eastAsia="es-ES"/>
        </w:rPr>
        <w:footnoteReference w:id="23"/>
      </w:r>
      <w:r w:rsidRPr="00DB625B">
        <w:rPr>
          <w:rFonts w:ascii="Times New Roman" w:eastAsia="Times New Roman" w:hAnsi="Times New Roman" w:cs="Times New Roman"/>
          <w:spacing w:val="4"/>
          <w:sz w:val="28"/>
          <w:szCs w:val="28"/>
          <w:lang w:eastAsia="es-ES"/>
        </w:rPr>
        <w:t xml:space="preserve"> y “</w:t>
      </w:r>
      <w:r w:rsidRPr="00DB625B">
        <w:rPr>
          <w:rFonts w:ascii="Times New Roman" w:eastAsia="Times New Roman" w:hAnsi="Times New Roman" w:cs="Times New Roman"/>
          <w:i/>
          <w:iCs/>
          <w:spacing w:val="4"/>
          <w:sz w:val="28"/>
          <w:szCs w:val="28"/>
          <w:lang w:eastAsia="es-ES"/>
        </w:rPr>
        <w:t>se dio cuenta de la doctrina de la CIDH y de la Corte Constitucional sobre la interpretación del artículo 23 de la CADH</w:t>
      </w:r>
      <w:r w:rsidRPr="00DB625B">
        <w:rPr>
          <w:rFonts w:ascii="Times New Roman" w:eastAsia="Times New Roman" w:hAnsi="Times New Roman" w:cs="Times New Roman"/>
          <w:spacing w:val="4"/>
          <w:sz w:val="28"/>
          <w:szCs w:val="28"/>
          <w:lang w:eastAsia="es-ES"/>
        </w:rPr>
        <w:t xml:space="preserve">”. </w:t>
      </w:r>
    </w:p>
    <w:p w:rsidR="00182526" w:rsidRPr="00DB625B" w:rsidRDefault="00182526" w:rsidP="00DB625B">
      <w:pPr>
        <w:pStyle w:val="Prrafodelista"/>
        <w:tabs>
          <w:tab w:val="left" w:pos="0"/>
        </w:tabs>
        <w:spacing w:after="0" w:line="240" w:lineRule="auto"/>
        <w:ind w:left="0"/>
        <w:jc w:val="both"/>
        <w:rPr>
          <w:rFonts w:ascii="Times New Roman" w:eastAsia="Times New Roman" w:hAnsi="Times New Roman" w:cs="Times New Roman"/>
          <w:spacing w:val="4"/>
          <w:sz w:val="28"/>
          <w:szCs w:val="28"/>
          <w:lang w:eastAsia="es-ES"/>
        </w:rPr>
      </w:pPr>
    </w:p>
    <w:p w:rsidR="00182526" w:rsidRPr="00DB625B" w:rsidRDefault="00182526" w:rsidP="00DB625B">
      <w:pPr>
        <w:pStyle w:val="Prrafodelista"/>
        <w:numPr>
          <w:ilvl w:val="1"/>
          <w:numId w:val="24"/>
        </w:numPr>
        <w:tabs>
          <w:tab w:val="left" w:pos="0"/>
        </w:tabs>
        <w:spacing w:after="0" w:line="240" w:lineRule="auto"/>
        <w:ind w:left="0" w:firstLine="0"/>
        <w:jc w:val="both"/>
        <w:rPr>
          <w:rFonts w:ascii="Times New Roman" w:eastAsia="Times New Roman" w:hAnsi="Times New Roman" w:cs="Times New Roman"/>
          <w:spacing w:val="4"/>
          <w:sz w:val="28"/>
          <w:szCs w:val="28"/>
          <w:lang w:eastAsia="es-ES"/>
        </w:rPr>
      </w:pPr>
      <w:r w:rsidRPr="00DB625B">
        <w:rPr>
          <w:rFonts w:ascii="Times New Roman" w:eastAsia="Times New Roman" w:hAnsi="Times New Roman" w:cs="Times New Roman"/>
          <w:spacing w:val="4"/>
          <w:sz w:val="28"/>
          <w:szCs w:val="28"/>
          <w:lang w:eastAsia="es-ES"/>
        </w:rPr>
        <w:t xml:space="preserve">De manera concreta, se examinará </w:t>
      </w:r>
      <w:r w:rsidRPr="00DB625B">
        <w:rPr>
          <w:rFonts w:ascii="Times New Roman" w:eastAsia="Times New Roman" w:hAnsi="Times New Roman" w:cs="Times New Roman"/>
          <w:bCs/>
          <w:spacing w:val="4"/>
          <w:sz w:val="28"/>
          <w:szCs w:val="28"/>
          <w:lang w:val="es-ES_tradnl" w:eastAsia="es-ES"/>
        </w:rPr>
        <w:t>si existe cosa juzgada en relación con el contenido normativo demandado, que establece la posibilidad de suspender los derechos políticos de los funcionarios de elección po</w:t>
      </w:r>
      <w:r w:rsidR="00830DEF" w:rsidRPr="00DB625B">
        <w:rPr>
          <w:rFonts w:ascii="Times New Roman" w:eastAsia="Times New Roman" w:hAnsi="Times New Roman" w:cs="Times New Roman"/>
          <w:bCs/>
          <w:spacing w:val="4"/>
          <w:sz w:val="28"/>
          <w:szCs w:val="28"/>
          <w:lang w:val="es-ES_tradnl" w:eastAsia="es-ES"/>
        </w:rPr>
        <w:t>pu</w:t>
      </w:r>
      <w:r w:rsidRPr="00DB625B">
        <w:rPr>
          <w:rFonts w:ascii="Times New Roman" w:eastAsia="Times New Roman" w:hAnsi="Times New Roman" w:cs="Times New Roman"/>
          <w:bCs/>
          <w:spacing w:val="4"/>
          <w:sz w:val="28"/>
          <w:szCs w:val="28"/>
          <w:lang w:val="es-ES_tradnl" w:eastAsia="es-ES"/>
        </w:rPr>
        <w:t>lar, pues esa proposición jurídica fue supuestamente estudiada po</w:t>
      </w:r>
      <w:r w:rsidR="00F11E8C" w:rsidRPr="00DB625B">
        <w:rPr>
          <w:rFonts w:ascii="Times New Roman" w:eastAsia="Times New Roman" w:hAnsi="Times New Roman" w:cs="Times New Roman"/>
          <w:bCs/>
          <w:spacing w:val="4"/>
          <w:sz w:val="28"/>
          <w:szCs w:val="28"/>
          <w:lang w:val="es-ES_tradnl" w:eastAsia="es-ES"/>
        </w:rPr>
        <w:t>r la Corte Constitucional en la Sentencias C-086</w:t>
      </w:r>
      <w:r w:rsidRPr="00DB625B">
        <w:rPr>
          <w:rFonts w:ascii="Times New Roman" w:eastAsia="Times New Roman" w:hAnsi="Times New Roman" w:cs="Times New Roman"/>
          <w:bCs/>
          <w:spacing w:val="4"/>
          <w:sz w:val="28"/>
          <w:szCs w:val="28"/>
          <w:lang w:val="es-ES_tradnl" w:eastAsia="es-ES"/>
        </w:rPr>
        <w:t xml:space="preserve"> </w:t>
      </w:r>
      <w:r w:rsidR="00F11E8C" w:rsidRPr="00DB625B">
        <w:rPr>
          <w:rFonts w:ascii="Times New Roman" w:eastAsia="Times New Roman" w:hAnsi="Times New Roman" w:cs="Times New Roman"/>
          <w:bCs/>
          <w:spacing w:val="4"/>
          <w:sz w:val="28"/>
          <w:szCs w:val="28"/>
          <w:lang w:val="es-ES_tradnl" w:eastAsia="es-ES"/>
        </w:rPr>
        <w:t>de 2019</w:t>
      </w:r>
      <w:r w:rsidRPr="00DB625B">
        <w:rPr>
          <w:rFonts w:ascii="Times New Roman" w:eastAsia="Times New Roman" w:hAnsi="Times New Roman" w:cs="Times New Roman"/>
          <w:bCs/>
          <w:spacing w:val="4"/>
          <w:sz w:val="28"/>
          <w:szCs w:val="28"/>
          <w:lang w:val="es-ES_tradnl" w:eastAsia="es-ES"/>
        </w:rPr>
        <w:t>.</w:t>
      </w:r>
    </w:p>
    <w:p w:rsidR="00182526" w:rsidRPr="00DB625B" w:rsidRDefault="00182526" w:rsidP="00DB625B">
      <w:pPr>
        <w:pStyle w:val="Prrafodelista"/>
        <w:tabs>
          <w:tab w:val="left" w:pos="0"/>
        </w:tabs>
        <w:spacing w:after="0" w:line="240" w:lineRule="auto"/>
        <w:ind w:left="0"/>
        <w:jc w:val="both"/>
        <w:rPr>
          <w:rFonts w:ascii="Times New Roman" w:eastAsia="Times New Roman" w:hAnsi="Times New Roman" w:cs="Times New Roman"/>
          <w:spacing w:val="4"/>
          <w:sz w:val="28"/>
          <w:szCs w:val="28"/>
          <w:lang w:eastAsia="es-ES"/>
        </w:rPr>
      </w:pPr>
    </w:p>
    <w:p w:rsidR="00F11E8C" w:rsidRPr="00DB625B" w:rsidRDefault="009D61E9" w:rsidP="00DB625B">
      <w:pPr>
        <w:pStyle w:val="Prrafodelista"/>
        <w:numPr>
          <w:ilvl w:val="1"/>
          <w:numId w:val="24"/>
        </w:numPr>
        <w:tabs>
          <w:tab w:val="left" w:pos="0"/>
        </w:tabs>
        <w:spacing w:after="0" w:line="240" w:lineRule="auto"/>
        <w:ind w:left="0" w:firstLine="0"/>
        <w:jc w:val="both"/>
        <w:rPr>
          <w:rFonts w:ascii="Times New Roman" w:eastAsia="Times New Roman" w:hAnsi="Times New Roman" w:cs="Times New Roman"/>
          <w:spacing w:val="4"/>
          <w:sz w:val="28"/>
          <w:szCs w:val="28"/>
          <w:lang w:eastAsia="es-ES"/>
        </w:rPr>
      </w:pPr>
      <w:r w:rsidRPr="00DB625B">
        <w:rPr>
          <w:rFonts w:ascii="Times New Roman" w:hAnsi="Times New Roman" w:cs="Times New Roman"/>
          <w:sz w:val="28"/>
          <w:szCs w:val="28"/>
        </w:rPr>
        <w:t xml:space="preserve">El artículo 243 inciso 1 de la Constitución Política de Colombia establece que los fallos que la Corte Constitucional en ejercicio del control de constitucionalidad hacen tránsito a cosa juzgada constitucional. La Corte Constitucional ha entendido que esta figura se entiende como una institución </w:t>
      </w:r>
      <w:r w:rsidR="00696BA3" w:rsidRPr="00DB625B">
        <w:rPr>
          <w:rFonts w:ascii="Times New Roman" w:hAnsi="Times New Roman" w:cs="Times New Roman"/>
          <w:sz w:val="28"/>
          <w:szCs w:val="28"/>
        </w:rPr>
        <w:t>jurídica</w:t>
      </w:r>
      <w:r w:rsidRPr="00DB625B">
        <w:rPr>
          <w:rFonts w:ascii="Times New Roman" w:hAnsi="Times New Roman" w:cs="Times New Roman"/>
          <w:sz w:val="28"/>
          <w:szCs w:val="28"/>
        </w:rPr>
        <w:t xml:space="preserve"> procesal, que otorga a la decisión de constitucionalidad el carácter de inmutable, vinculante y definitivo</w:t>
      </w:r>
      <w:r w:rsidRPr="00DB625B">
        <w:rPr>
          <w:rStyle w:val="Refdenotaalpie"/>
          <w:rFonts w:ascii="Times New Roman" w:hAnsi="Times New Roman" w:cs="Times New Roman"/>
          <w:sz w:val="28"/>
          <w:szCs w:val="28"/>
        </w:rPr>
        <w:footnoteReference w:id="24"/>
      </w:r>
      <w:r w:rsidRPr="00DB625B">
        <w:rPr>
          <w:rFonts w:ascii="Times New Roman" w:hAnsi="Times New Roman" w:cs="Times New Roman"/>
          <w:sz w:val="28"/>
          <w:szCs w:val="28"/>
        </w:rPr>
        <w:t xml:space="preserve">. </w:t>
      </w:r>
      <w:r w:rsidR="009B5991" w:rsidRPr="00DB625B">
        <w:rPr>
          <w:rFonts w:ascii="Times New Roman" w:hAnsi="Times New Roman" w:cs="Times New Roman"/>
          <w:sz w:val="28"/>
          <w:szCs w:val="28"/>
        </w:rPr>
        <w:t xml:space="preserve">Sus </w:t>
      </w:r>
      <w:r w:rsidR="00F11E8C" w:rsidRPr="00DB625B">
        <w:rPr>
          <w:rFonts w:ascii="Times New Roman" w:hAnsi="Times New Roman" w:cs="Times New Roman"/>
          <w:sz w:val="28"/>
          <w:szCs w:val="28"/>
        </w:rPr>
        <w:t xml:space="preserve">efectos </w:t>
      </w:r>
      <w:r w:rsidR="009B5991" w:rsidRPr="00DB625B">
        <w:rPr>
          <w:rFonts w:ascii="Times New Roman" w:hAnsi="Times New Roman" w:cs="Times New Roman"/>
          <w:sz w:val="28"/>
          <w:szCs w:val="28"/>
        </w:rPr>
        <w:t>varían si</w:t>
      </w:r>
      <w:r w:rsidR="00F11E8C" w:rsidRPr="00DB625B">
        <w:rPr>
          <w:rFonts w:ascii="Times New Roman" w:hAnsi="Times New Roman" w:cs="Times New Roman"/>
          <w:sz w:val="28"/>
          <w:szCs w:val="28"/>
        </w:rPr>
        <w:t xml:space="preserve"> se adopte</w:t>
      </w:r>
      <w:r w:rsidR="00F11E8C" w:rsidRPr="00DB625B">
        <w:rPr>
          <w:rFonts w:ascii="Times New Roman" w:hAnsi="Times New Roman" w:cs="Times New Roman"/>
          <w:sz w:val="28"/>
          <w:szCs w:val="28"/>
          <w:vertAlign w:val="superscript"/>
        </w:rPr>
        <w:footnoteReference w:id="25"/>
      </w:r>
      <w:r w:rsidR="009B5991" w:rsidRPr="00DB625B">
        <w:rPr>
          <w:rFonts w:ascii="Times New Roman" w:hAnsi="Times New Roman" w:cs="Times New Roman"/>
          <w:sz w:val="28"/>
          <w:szCs w:val="28"/>
        </w:rPr>
        <w:t xml:space="preserve"> una decisión</w:t>
      </w:r>
      <w:r w:rsidR="00F11E8C" w:rsidRPr="00DB625B">
        <w:rPr>
          <w:rFonts w:ascii="Times New Roman" w:hAnsi="Times New Roman" w:cs="Times New Roman"/>
          <w:sz w:val="28"/>
          <w:szCs w:val="28"/>
        </w:rPr>
        <w:t xml:space="preserve"> de </w:t>
      </w:r>
      <w:r w:rsidR="00F11E8C" w:rsidRPr="00DB625B">
        <w:rPr>
          <w:rFonts w:ascii="Times New Roman" w:hAnsi="Times New Roman" w:cs="Times New Roman"/>
          <w:i/>
          <w:sz w:val="28"/>
          <w:szCs w:val="28"/>
        </w:rPr>
        <w:t>in</w:t>
      </w:r>
      <w:r w:rsidR="00F11E8C" w:rsidRPr="00DB625B">
        <w:rPr>
          <w:rFonts w:ascii="Times New Roman" w:hAnsi="Times New Roman" w:cs="Times New Roman"/>
          <w:i/>
          <w:iCs/>
          <w:sz w:val="28"/>
          <w:szCs w:val="28"/>
        </w:rPr>
        <w:t xml:space="preserve">exequibilidad </w:t>
      </w:r>
      <w:r w:rsidR="00F11E8C" w:rsidRPr="00DB625B">
        <w:rPr>
          <w:rFonts w:ascii="Times New Roman" w:hAnsi="Times New Roman" w:cs="Times New Roman"/>
          <w:sz w:val="28"/>
          <w:szCs w:val="28"/>
        </w:rPr>
        <w:t xml:space="preserve">de la norma objeto de estudio o de </w:t>
      </w:r>
      <w:r w:rsidR="00F11E8C" w:rsidRPr="00DB625B">
        <w:rPr>
          <w:rFonts w:ascii="Times New Roman" w:hAnsi="Times New Roman" w:cs="Times New Roman"/>
          <w:i/>
          <w:iCs/>
          <w:sz w:val="28"/>
          <w:szCs w:val="28"/>
        </w:rPr>
        <w:t xml:space="preserve">exequibilidad </w:t>
      </w:r>
      <w:r w:rsidR="00F11E8C" w:rsidRPr="00DB625B">
        <w:rPr>
          <w:rFonts w:ascii="Times New Roman" w:hAnsi="Times New Roman" w:cs="Times New Roman"/>
          <w:iCs/>
          <w:sz w:val="28"/>
          <w:szCs w:val="28"/>
        </w:rPr>
        <w:t>de la misma</w:t>
      </w:r>
      <w:r w:rsidR="009B5991" w:rsidRPr="00DB625B">
        <w:rPr>
          <w:rFonts w:ascii="Times New Roman" w:hAnsi="Times New Roman" w:cs="Times New Roman"/>
          <w:iCs/>
          <w:sz w:val="28"/>
          <w:szCs w:val="28"/>
        </w:rPr>
        <w:t>, a saber</w:t>
      </w:r>
      <w:r w:rsidR="009B5991" w:rsidRPr="00DB625B">
        <w:rPr>
          <w:rFonts w:ascii="Times New Roman" w:hAnsi="Times New Roman" w:cs="Times New Roman"/>
          <w:sz w:val="28"/>
          <w:szCs w:val="28"/>
        </w:rPr>
        <w:t>:</w:t>
      </w:r>
      <w:r w:rsidR="00F11E8C" w:rsidRPr="00DB625B">
        <w:rPr>
          <w:rFonts w:ascii="Times New Roman" w:hAnsi="Times New Roman" w:cs="Times New Roman"/>
          <w:sz w:val="28"/>
          <w:szCs w:val="28"/>
        </w:rPr>
        <w:t xml:space="preserve"> </w:t>
      </w:r>
    </w:p>
    <w:p w:rsidR="00F11E8C" w:rsidRPr="00DB625B" w:rsidRDefault="00F11E8C" w:rsidP="00DB625B">
      <w:pPr>
        <w:spacing w:after="0" w:line="240" w:lineRule="auto"/>
        <w:jc w:val="both"/>
        <w:rPr>
          <w:rFonts w:ascii="Times New Roman" w:hAnsi="Times New Roman" w:cs="Times New Roman"/>
          <w:sz w:val="28"/>
          <w:szCs w:val="28"/>
        </w:rPr>
      </w:pPr>
    </w:p>
    <w:p w:rsidR="00F11E8C" w:rsidRPr="00DB625B" w:rsidRDefault="009B5991" w:rsidP="00DB625B">
      <w:pPr>
        <w:spacing w:after="0" w:line="240" w:lineRule="auto"/>
        <w:jc w:val="both"/>
        <w:rPr>
          <w:rFonts w:ascii="Times New Roman" w:hAnsi="Times New Roman" w:cs="Times New Roman"/>
          <w:i/>
          <w:sz w:val="28"/>
          <w:szCs w:val="28"/>
        </w:rPr>
      </w:pPr>
      <w:r w:rsidRPr="00DB625B">
        <w:rPr>
          <w:rFonts w:ascii="Times New Roman" w:hAnsi="Times New Roman" w:cs="Times New Roman"/>
          <w:sz w:val="28"/>
          <w:szCs w:val="28"/>
        </w:rPr>
        <w:t xml:space="preserve">i) </w:t>
      </w:r>
      <w:r w:rsidRPr="00DB625B">
        <w:rPr>
          <w:rFonts w:ascii="Times New Roman" w:hAnsi="Times New Roman" w:cs="Times New Roman"/>
          <w:i/>
          <w:sz w:val="28"/>
          <w:szCs w:val="28"/>
        </w:rPr>
        <w:t xml:space="preserve">inexequiblidad: </w:t>
      </w:r>
      <w:r w:rsidRPr="00DB625B">
        <w:rPr>
          <w:rFonts w:ascii="Times New Roman" w:hAnsi="Times New Roman" w:cs="Times New Roman"/>
          <w:sz w:val="28"/>
          <w:szCs w:val="28"/>
        </w:rPr>
        <w:t>la cosa juzgada es</w:t>
      </w:r>
      <w:r w:rsidR="00F11E8C" w:rsidRPr="00DB625B">
        <w:rPr>
          <w:rFonts w:ascii="Times New Roman" w:hAnsi="Times New Roman" w:cs="Times New Roman"/>
          <w:sz w:val="28"/>
          <w:szCs w:val="28"/>
        </w:rPr>
        <w:t xml:space="preserve"> absoluta, en la medida en que el contenido normativo queda excluido del orden jurídico, de acuerdo con el artículo </w:t>
      </w:r>
      <w:r w:rsidRPr="00DB625B">
        <w:rPr>
          <w:rFonts w:ascii="Times New Roman" w:hAnsi="Times New Roman" w:cs="Times New Roman"/>
          <w:sz w:val="28"/>
          <w:szCs w:val="28"/>
        </w:rPr>
        <w:t>243 de la Carta Política, consecuencias que operan</w:t>
      </w:r>
      <w:r w:rsidR="00F11E8C" w:rsidRPr="00DB625B">
        <w:rPr>
          <w:rFonts w:ascii="Times New Roman" w:hAnsi="Times New Roman" w:cs="Times New Roman"/>
          <w:sz w:val="28"/>
          <w:szCs w:val="28"/>
        </w:rPr>
        <w:t xml:space="preserve"> con independencia del parámetro de constitucionalidad que desconoció la norma invalidada. Las autoridades tienen vedado reproducir esa proposición jurídica. De ahí que, en el evento en que algún ciudadano demande una norma declarada inconstitucional, la Corte ha precisado que el Tribunal debe </w:t>
      </w:r>
      <w:r w:rsidR="00F11E8C" w:rsidRPr="00DB625B">
        <w:rPr>
          <w:rFonts w:ascii="Times New Roman" w:hAnsi="Times New Roman" w:cs="Times New Roman"/>
          <w:i/>
          <w:sz w:val="28"/>
          <w:szCs w:val="28"/>
        </w:rPr>
        <w:t xml:space="preserve">“estarse a lo resuelto” </w:t>
      </w:r>
      <w:r w:rsidR="00F11E8C" w:rsidRPr="00DB625B">
        <w:rPr>
          <w:rFonts w:ascii="Times New Roman" w:hAnsi="Times New Roman" w:cs="Times New Roman"/>
          <w:sz w:val="28"/>
          <w:szCs w:val="28"/>
        </w:rPr>
        <w:t>en la providencia anterior</w:t>
      </w:r>
      <w:r w:rsidR="00F11E8C" w:rsidRPr="00DB625B">
        <w:rPr>
          <w:rFonts w:ascii="Times New Roman" w:hAnsi="Times New Roman" w:cs="Times New Roman"/>
          <w:sz w:val="28"/>
          <w:szCs w:val="28"/>
          <w:vertAlign w:val="superscript"/>
        </w:rPr>
        <w:footnoteReference w:id="26"/>
      </w:r>
      <w:r w:rsidR="00F11E8C" w:rsidRPr="00DB625B">
        <w:rPr>
          <w:rFonts w:ascii="Times New Roman" w:hAnsi="Times New Roman" w:cs="Times New Roman"/>
          <w:sz w:val="28"/>
          <w:szCs w:val="28"/>
        </w:rPr>
        <w:t xml:space="preserve">. </w:t>
      </w:r>
    </w:p>
    <w:p w:rsidR="009B5991" w:rsidRPr="00DB625B" w:rsidRDefault="009B5991" w:rsidP="00DB625B">
      <w:pPr>
        <w:spacing w:after="0" w:line="240" w:lineRule="auto"/>
        <w:jc w:val="both"/>
        <w:rPr>
          <w:rFonts w:ascii="Times New Roman" w:hAnsi="Times New Roman" w:cs="Times New Roman"/>
          <w:sz w:val="28"/>
          <w:szCs w:val="28"/>
        </w:rPr>
      </w:pPr>
    </w:p>
    <w:p w:rsidR="00F11E8C" w:rsidRPr="00DB625B" w:rsidRDefault="009B5991" w:rsidP="00DB625B">
      <w:pPr>
        <w:spacing w:after="0" w:line="240" w:lineRule="auto"/>
        <w:jc w:val="both"/>
        <w:rPr>
          <w:rFonts w:ascii="Times New Roman" w:hAnsi="Times New Roman" w:cs="Times New Roman"/>
          <w:sz w:val="28"/>
          <w:szCs w:val="28"/>
        </w:rPr>
      </w:pPr>
      <w:r w:rsidRPr="00DB625B">
        <w:rPr>
          <w:rFonts w:ascii="Times New Roman" w:hAnsi="Times New Roman" w:cs="Times New Roman"/>
          <w:sz w:val="28"/>
          <w:szCs w:val="28"/>
        </w:rPr>
        <w:t>ii)</w:t>
      </w:r>
      <w:r w:rsidR="00F11E8C" w:rsidRPr="00DB625B">
        <w:rPr>
          <w:rFonts w:ascii="Times New Roman" w:hAnsi="Times New Roman" w:cs="Times New Roman"/>
          <w:sz w:val="28"/>
          <w:szCs w:val="28"/>
        </w:rPr>
        <w:t xml:space="preserve"> </w:t>
      </w:r>
      <w:r w:rsidR="00F11E8C" w:rsidRPr="00DB625B">
        <w:rPr>
          <w:rFonts w:ascii="Times New Roman" w:hAnsi="Times New Roman" w:cs="Times New Roman"/>
          <w:i/>
          <w:sz w:val="28"/>
          <w:szCs w:val="28"/>
        </w:rPr>
        <w:t>exequibilidad</w:t>
      </w:r>
      <w:r w:rsidRPr="00DB625B">
        <w:rPr>
          <w:rFonts w:ascii="Times New Roman" w:hAnsi="Times New Roman" w:cs="Times New Roman"/>
          <w:sz w:val="28"/>
          <w:szCs w:val="28"/>
        </w:rPr>
        <w:t xml:space="preserve">: </w:t>
      </w:r>
      <w:r w:rsidR="00F11E8C" w:rsidRPr="00DB625B">
        <w:rPr>
          <w:rFonts w:ascii="Times New Roman" w:hAnsi="Times New Roman" w:cs="Times New Roman"/>
          <w:sz w:val="28"/>
          <w:szCs w:val="28"/>
        </w:rPr>
        <w:t>La Sala Plena puede</w:t>
      </w:r>
      <w:r w:rsidR="007C430C" w:rsidRPr="00DB625B">
        <w:rPr>
          <w:rFonts w:ascii="Times New Roman" w:hAnsi="Times New Roman" w:cs="Times New Roman"/>
          <w:sz w:val="28"/>
          <w:szCs w:val="28"/>
        </w:rPr>
        <w:t xml:space="preserve"> confrontar </w:t>
      </w:r>
      <w:r w:rsidR="00EF573C" w:rsidRPr="00DB625B">
        <w:rPr>
          <w:rFonts w:ascii="Times New Roman" w:hAnsi="Times New Roman" w:cs="Times New Roman"/>
          <w:sz w:val="28"/>
          <w:szCs w:val="28"/>
        </w:rPr>
        <w:t>una disposición frente a la amplitud del texto constitucional. Dicho cambio de contraste normativo da origen a distintas</w:t>
      </w:r>
      <w:r w:rsidR="007C430C" w:rsidRPr="00DB625B">
        <w:rPr>
          <w:rFonts w:ascii="Times New Roman" w:hAnsi="Times New Roman" w:cs="Times New Roman"/>
          <w:sz w:val="28"/>
          <w:szCs w:val="28"/>
        </w:rPr>
        <w:t xml:space="preserve"> tipologías de cosa juzgada y permite</w:t>
      </w:r>
      <w:r w:rsidR="00EF573C" w:rsidRPr="00DB625B">
        <w:rPr>
          <w:rFonts w:ascii="Times New Roman" w:hAnsi="Times New Roman" w:cs="Times New Roman"/>
          <w:sz w:val="28"/>
          <w:szCs w:val="28"/>
        </w:rPr>
        <w:t xml:space="preserve"> analizar cargos que nunca han sido estudiados por el juez constitucional</w:t>
      </w:r>
      <w:r w:rsidR="00F11E8C" w:rsidRPr="00DB625B">
        <w:rPr>
          <w:rFonts w:ascii="Times New Roman" w:hAnsi="Times New Roman" w:cs="Times New Roman"/>
          <w:sz w:val="28"/>
          <w:szCs w:val="28"/>
        </w:rPr>
        <w:t>. En ese contexto, debe estudiarse el alcance de la decisión para definir si el asunto ya fue resuelto, lo que se traduce en las siguientes posibilidades de resolución: i) descartar la cosa juzgada y emitir un pronunciamiento de fondo; o ii) “</w:t>
      </w:r>
      <w:r w:rsidR="00F11E8C" w:rsidRPr="00DB625B">
        <w:rPr>
          <w:rFonts w:ascii="Times New Roman" w:hAnsi="Times New Roman" w:cs="Times New Roman"/>
          <w:i/>
          <w:iCs/>
          <w:sz w:val="28"/>
          <w:szCs w:val="28"/>
        </w:rPr>
        <w:t>la demanda deberá rechazarse de plano o, en su defecto la Corte emitirá un fallo en el cual decida estarse a lo resuelto en el fallo anterior</w:t>
      </w:r>
      <w:r w:rsidR="00F11E8C" w:rsidRPr="00DB625B">
        <w:rPr>
          <w:rFonts w:ascii="Times New Roman" w:hAnsi="Times New Roman" w:cs="Times New Roman"/>
          <w:sz w:val="28"/>
          <w:szCs w:val="28"/>
        </w:rPr>
        <w:t>”</w:t>
      </w:r>
      <w:r w:rsidR="00F11E8C" w:rsidRPr="00DB625B">
        <w:rPr>
          <w:rFonts w:ascii="Times New Roman" w:hAnsi="Times New Roman" w:cs="Times New Roman"/>
          <w:sz w:val="28"/>
          <w:szCs w:val="28"/>
          <w:vertAlign w:val="superscript"/>
        </w:rPr>
        <w:footnoteReference w:id="27"/>
      </w:r>
      <w:r w:rsidR="00F11E8C" w:rsidRPr="00DB625B">
        <w:rPr>
          <w:rFonts w:ascii="Times New Roman" w:hAnsi="Times New Roman" w:cs="Times New Roman"/>
          <w:sz w:val="28"/>
          <w:szCs w:val="28"/>
        </w:rPr>
        <w:t>.</w:t>
      </w:r>
    </w:p>
    <w:p w:rsidR="009D61E9" w:rsidRPr="00DB625B" w:rsidRDefault="009D61E9" w:rsidP="00DB625B">
      <w:pPr>
        <w:spacing w:after="0" w:line="240" w:lineRule="auto"/>
        <w:jc w:val="both"/>
        <w:rPr>
          <w:rFonts w:ascii="Times New Roman" w:hAnsi="Times New Roman" w:cs="Times New Roman"/>
          <w:sz w:val="28"/>
          <w:szCs w:val="28"/>
        </w:rPr>
      </w:pPr>
    </w:p>
    <w:p w:rsidR="000426A8" w:rsidRPr="00DB625B" w:rsidRDefault="00F11E8C" w:rsidP="00DB625B">
      <w:pPr>
        <w:tabs>
          <w:tab w:val="left" w:pos="0"/>
        </w:tabs>
        <w:spacing w:after="0" w:line="240" w:lineRule="auto"/>
        <w:jc w:val="both"/>
        <w:rPr>
          <w:rFonts w:ascii="Times New Roman" w:eastAsia="Times New Roman" w:hAnsi="Times New Roman" w:cs="Times New Roman"/>
          <w:b/>
          <w:spacing w:val="4"/>
          <w:sz w:val="28"/>
          <w:szCs w:val="28"/>
          <w:lang w:eastAsia="es-ES"/>
        </w:rPr>
      </w:pPr>
      <w:r w:rsidRPr="00DB625B">
        <w:rPr>
          <w:rFonts w:ascii="Times New Roman" w:eastAsia="Times New Roman" w:hAnsi="Times New Roman" w:cs="Times New Roman"/>
          <w:b/>
          <w:spacing w:val="4"/>
          <w:sz w:val="28"/>
          <w:szCs w:val="28"/>
          <w:lang w:eastAsia="es-ES"/>
        </w:rPr>
        <w:t xml:space="preserve">4.3. </w:t>
      </w:r>
      <w:r w:rsidR="009B5991" w:rsidRPr="00DB625B">
        <w:rPr>
          <w:rFonts w:ascii="Times New Roman" w:eastAsia="Times New Roman" w:hAnsi="Times New Roman" w:cs="Times New Roman"/>
          <w:spacing w:val="4"/>
          <w:sz w:val="28"/>
          <w:szCs w:val="28"/>
          <w:lang w:eastAsia="es-ES"/>
        </w:rPr>
        <w:t xml:space="preserve">En el caso </w:t>
      </w:r>
      <w:r w:rsidR="00DF3198" w:rsidRPr="00DB625B">
        <w:rPr>
          <w:rFonts w:ascii="Times New Roman" w:eastAsia="Times New Roman" w:hAnsi="Times New Roman" w:cs="Times New Roman"/>
          <w:spacing w:val="4"/>
          <w:sz w:val="28"/>
          <w:szCs w:val="28"/>
          <w:lang w:eastAsia="es-ES"/>
        </w:rPr>
        <w:t>particular</w:t>
      </w:r>
      <w:r w:rsidRPr="00DB625B">
        <w:rPr>
          <w:rFonts w:ascii="Times New Roman" w:eastAsia="Times New Roman" w:hAnsi="Times New Roman" w:cs="Times New Roman"/>
          <w:spacing w:val="4"/>
          <w:sz w:val="28"/>
          <w:szCs w:val="28"/>
          <w:lang w:eastAsia="es-ES"/>
        </w:rPr>
        <w:t>, l</w:t>
      </w:r>
      <w:r w:rsidR="000426A8" w:rsidRPr="00DB625B">
        <w:rPr>
          <w:rFonts w:ascii="Times New Roman" w:eastAsia="Times New Roman" w:hAnsi="Times New Roman" w:cs="Times New Roman"/>
          <w:spacing w:val="4"/>
          <w:sz w:val="28"/>
          <w:szCs w:val="28"/>
          <w:lang w:eastAsia="es-ES"/>
        </w:rPr>
        <w:t>a Corte considera que</w:t>
      </w:r>
      <w:r w:rsidRPr="00DB625B">
        <w:rPr>
          <w:rFonts w:ascii="Times New Roman" w:eastAsia="Times New Roman" w:hAnsi="Times New Roman" w:cs="Times New Roman"/>
          <w:spacing w:val="4"/>
          <w:sz w:val="28"/>
          <w:szCs w:val="28"/>
          <w:lang w:eastAsia="es-ES"/>
        </w:rPr>
        <w:t xml:space="preserve"> no se configura</w:t>
      </w:r>
      <w:r w:rsidR="00DF3198" w:rsidRPr="00DB625B">
        <w:rPr>
          <w:rFonts w:ascii="Times New Roman" w:eastAsia="Times New Roman" w:hAnsi="Times New Roman" w:cs="Times New Roman"/>
          <w:spacing w:val="4"/>
          <w:sz w:val="28"/>
          <w:szCs w:val="28"/>
          <w:lang w:eastAsia="es-ES"/>
        </w:rPr>
        <w:t xml:space="preserve"> la cosa juzgada constitucional frente a la Sentencia </w:t>
      </w:r>
      <w:r w:rsidR="005D3037" w:rsidRPr="00DB625B">
        <w:rPr>
          <w:rFonts w:ascii="Times New Roman" w:eastAsia="Times New Roman" w:hAnsi="Times New Roman" w:cs="Times New Roman"/>
          <w:spacing w:val="4"/>
          <w:sz w:val="28"/>
          <w:szCs w:val="28"/>
          <w:lang w:eastAsia="es-ES"/>
        </w:rPr>
        <w:t>C-089 de 2019,</w:t>
      </w:r>
      <w:r w:rsidR="00C9430B" w:rsidRPr="00DB625B">
        <w:rPr>
          <w:rFonts w:ascii="Times New Roman" w:eastAsia="Times New Roman" w:hAnsi="Times New Roman" w:cs="Times New Roman"/>
          <w:spacing w:val="4"/>
          <w:sz w:val="28"/>
          <w:szCs w:val="28"/>
          <w:lang w:eastAsia="es-ES"/>
        </w:rPr>
        <w:t xml:space="preserve"> porque</w:t>
      </w:r>
      <w:r w:rsidR="005D3037" w:rsidRPr="00DB625B">
        <w:rPr>
          <w:rFonts w:ascii="Times New Roman" w:eastAsia="Times New Roman" w:hAnsi="Times New Roman" w:cs="Times New Roman"/>
          <w:spacing w:val="4"/>
          <w:sz w:val="28"/>
          <w:szCs w:val="28"/>
          <w:lang w:eastAsia="es-ES"/>
        </w:rPr>
        <w:t xml:space="preserve"> </w:t>
      </w:r>
      <w:r w:rsidR="00C9430B" w:rsidRPr="00DB625B">
        <w:rPr>
          <w:rFonts w:ascii="Times New Roman" w:eastAsia="Times New Roman" w:hAnsi="Times New Roman" w:cs="Times New Roman"/>
          <w:spacing w:val="4"/>
          <w:sz w:val="28"/>
          <w:szCs w:val="28"/>
          <w:lang w:eastAsia="es-ES"/>
        </w:rPr>
        <w:t>los cargos y los problemas jurídicos</w:t>
      </w:r>
      <w:r w:rsidR="005D3037" w:rsidRPr="00DB625B">
        <w:rPr>
          <w:rFonts w:ascii="Times New Roman" w:eastAsia="Times New Roman" w:hAnsi="Times New Roman" w:cs="Times New Roman"/>
          <w:spacing w:val="4"/>
          <w:sz w:val="28"/>
          <w:szCs w:val="28"/>
          <w:lang w:eastAsia="es-ES"/>
        </w:rPr>
        <w:t xml:space="preserve"> estudiado</w:t>
      </w:r>
      <w:r w:rsidR="00C9430B" w:rsidRPr="00DB625B">
        <w:rPr>
          <w:rFonts w:ascii="Times New Roman" w:eastAsia="Times New Roman" w:hAnsi="Times New Roman" w:cs="Times New Roman"/>
          <w:spacing w:val="4"/>
          <w:sz w:val="28"/>
          <w:szCs w:val="28"/>
          <w:lang w:eastAsia="es-ES"/>
        </w:rPr>
        <w:t>s</w:t>
      </w:r>
      <w:r w:rsidR="005D3037" w:rsidRPr="00DB625B">
        <w:rPr>
          <w:rFonts w:ascii="Times New Roman" w:eastAsia="Times New Roman" w:hAnsi="Times New Roman" w:cs="Times New Roman"/>
          <w:spacing w:val="4"/>
          <w:sz w:val="28"/>
          <w:szCs w:val="28"/>
          <w:lang w:eastAsia="es-ES"/>
        </w:rPr>
        <w:t xml:space="preserve"> en esa ocasi</w:t>
      </w:r>
      <w:r w:rsidR="00C9430B" w:rsidRPr="00DB625B">
        <w:rPr>
          <w:rFonts w:ascii="Times New Roman" w:eastAsia="Times New Roman" w:hAnsi="Times New Roman" w:cs="Times New Roman"/>
          <w:spacing w:val="4"/>
          <w:sz w:val="28"/>
          <w:szCs w:val="28"/>
          <w:lang w:eastAsia="es-ES"/>
        </w:rPr>
        <w:t>ón son</w:t>
      </w:r>
      <w:r w:rsidR="005D3037" w:rsidRPr="00DB625B">
        <w:rPr>
          <w:rFonts w:ascii="Times New Roman" w:eastAsia="Times New Roman" w:hAnsi="Times New Roman" w:cs="Times New Roman"/>
          <w:spacing w:val="4"/>
          <w:sz w:val="28"/>
          <w:szCs w:val="28"/>
          <w:lang w:eastAsia="es-ES"/>
        </w:rPr>
        <w:t xml:space="preserve"> diferente</w:t>
      </w:r>
      <w:r w:rsidR="00C9430B" w:rsidRPr="00DB625B">
        <w:rPr>
          <w:rFonts w:ascii="Times New Roman" w:eastAsia="Times New Roman" w:hAnsi="Times New Roman" w:cs="Times New Roman"/>
          <w:spacing w:val="4"/>
          <w:sz w:val="28"/>
          <w:szCs w:val="28"/>
          <w:lang w:eastAsia="es-ES"/>
        </w:rPr>
        <w:t>s</w:t>
      </w:r>
      <w:r w:rsidR="005D3037" w:rsidRPr="00DB625B">
        <w:rPr>
          <w:rFonts w:ascii="Times New Roman" w:eastAsia="Times New Roman" w:hAnsi="Times New Roman" w:cs="Times New Roman"/>
          <w:spacing w:val="4"/>
          <w:sz w:val="28"/>
          <w:szCs w:val="28"/>
          <w:lang w:eastAsia="es-ES"/>
        </w:rPr>
        <w:t xml:space="preserve"> a</w:t>
      </w:r>
      <w:r w:rsidR="00C9430B" w:rsidRPr="00DB625B">
        <w:rPr>
          <w:rFonts w:ascii="Times New Roman" w:eastAsia="Times New Roman" w:hAnsi="Times New Roman" w:cs="Times New Roman"/>
          <w:spacing w:val="4"/>
          <w:sz w:val="28"/>
          <w:szCs w:val="28"/>
          <w:lang w:eastAsia="es-ES"/>
        </w:rPr>
        <w:t xml:space="preserve"> </w:t>
      </w:r>
      <w:r w:rsidR="005D3037" w:rsidRPr="00DB625B">
        <w:rPr>
          <w:rFonts w:ascii="Times New Roman" w:eastAsia="Times New Roman" w:hAnsi="Times New Roman" w:cs="Times New Roman"/>
          <w:spacing w:val="4"/>
          <w:sz w:val="28"/>
          <w:szCs w:val="28"/>
          <w:lang w:eastAsia="es-ES"/>
        </w:rPr>
        <w:t>l</w:t>
      </w:r>
      <w:r w:rsidR="00C9430B" w:rsidRPr="00DB625B">
        <w:rPr>
          <w:rFonts w:ascii="Times New Roman" w:eastAsia="Times New Roman" w:hAnsi="Times New Roman" w:cs="Times New Roman"/>
          <w:spacing w:val="4"/>
          <w:sz w:val="28"/>
          <w:szCs w:val="28"/>
          <w:lang w:eastAsia="es-ES"/>
        </w:rPr>
        <w:t>os</w:t>
      </w:r>
      <w:r w:rsidR="005D3037" w:rsidRPr="00DB625B">
        <w:rPr>
          <w:rFonts w:ascii="Times New Roman" w:eastAsia="Times New Roman" w:hAnsi="Times New Roman" w:cs="Times New Roman"/>
          <w:spacing w:val="4"/>
          <w:sz w:val="28"/>
          <w:szCs w:val="28"/>
          <w:lang w:eastAsia="es-ES"/>
        </w:rPr>
        <w:t xml:space="preserve"> que se analiza</w:t>
      </w:r>
      <w:r w:rsidR="00C9430B" w:rsidRPr="00DB625B">
        <w:rPr>
          <w:rFonts w:ascii="Times New Roman" w:eastAsia="Times New Roman" w:hAnsi="Times New Roman" w:cs="Times New Roman"/>
          <w:spacing w:val="4"/>
          <w:sz w:val="28"/>
          <w:szCs w:val="28"/>
          <w:lang w:eastAsia="es-ES"/>
        </w:rPr>
        <w:t>n</w:t>
      </w:r>
      <w:r w:rsidR="005D3037" w:rsidRPr="00DB625B">
        <w:rPr>
          <w:rFonts w:ascii="Times New Roman" w:eastAsia="Times New Roman" w:hAnsi="Times New Roman" w:cs="Times New Roman"/>
          <w:spacing w:val="4"/>
          <w:sz w:val="28"/>
          <w:szCs w:val="28"/>
          <w:lang w:eastAsia="es-ES"/>
        </w:rPr>
        <w:t xml:space="preserve"> hoy</w:t>
      </w:r>
      <w:r w:rsidR="000426A8" w:rsidRPr="00DB625B">
        <w:rPr>
          <w:rFonts w:ascii="Times New Roman" w:eastAsia="Times New Roman" w:hAnsi="Times New Roman" w:cs="Times New Roman"/>
          <w:spacing w:val="4"/>
          <w:sz w:val="28"/>
          <w:szCs w:val="28"/>
          <w:lang w:eastAsia="es-ES"/>
        </w:rPr>
        <w:t>.</w:t>
      </w:r>
    </w:p>
    <w:p w:rsidR="000426A8" w:rsidRPr="00DB625B" w:rsidRDefault="000426A8" w:rsidP="00DB625B">
      <w:pPr>
        <w:tabs>
          <w:tab w:val="left" w:pos="0"/>
        </w:tabs>
        <w:spacing w:after="0" w:line="240" w:lineRule="auto"/>
        <w:jc w:val="both"/>
        <w:rPr>
          <w:rFonts w:ascii="Times New Roman" w:eastAsia="Times New Roman" w:hAnsi="Times New Roman" w:cs="Times New Roman"/>
          <w:spacing w:val="4"/>
          <w:sz w:val="28"/>
          <w:szCs w:val="28"/>
          <w:lang w:eastAsia="es-ES"/>
        </w:rPr>
      </w:pPr>
    </w:p>
    <w:p w:rsidR="00EE5499" w:rsidRPr="00DB625B" w:rsidRDefault="00EE5499" w:rsidP="00DB625B">
      <w:pPr>
        <w:tabs>
          <w:tab w:val="left" w:pos="0"/>
        </w:tabs>
        <w:spacing w:after="0" w:line="240" w:lineRule="auto"/>
        <w:jc w:val="both"/>
        <w:rPr>
          <w:rFonts w:ascii="Times New Roman" w:eastAsia="Times New Roman" w:hAnsi="Times New Roman" w:cs="Times New Roman"/>
          <w:spacing w:val="4"/>
          <w:sz w:val="28"/>
          <w:szCs w:val="28"/>
          <w:lang w:eastAsia="es-ES"/>
        </w:rPr>
      </w:pPr>
      <w:r w:rsidRPr="00DB625B">
        <w:rPr>
          <w:rFonts w:ascii="Times New Roman" w:eastAsia="Times New Roman" w:hAnsi="Times New Roman" w:cs="Times New Roman"/>
          <w:spacing w:val="4"/>
          <w:sz w:val="28"/>
          <w:szCs w:val="28"/>
          <w:lang w:eastAsia="es-ES"/>
        </w:rPr>
        <w:t xml:space="preserve">Los actores de la demanda que concluyó con la Sentencia C- 086 de 2019 fundamentaron su censura en el desconocimiento de una interpretación convencional del artículo 23 de la Convención Americana sobre Derechos Humanos, de la jurisprudencia interamericana y de la Corte Constitucional respecto de la mencionada norma del tratado. En contraste, </w:t>
      </w:r>
      <w:r w:rsidR="000E46CC" w:rsidRPr="00DB625B">
        <w:rPr>
          <w:rFonts w:ascii="Times New Roman" w:eastAsia="Times New Roman" w:hAnsi="Times New Roman" w:cs="Times New Roman"/>
          <w:spacing w:val="4"/>
          <w:sz w:val="28"/>
          <w:szCs w:val="28"/>
          <w:lang w:eastAsia="es-ES"/>
        </w:rPr>
        <w:t xml:space="preserve">hoy, los </w:t>
      </w:r>
      <w:r w:rsidRPr="00DB625B">
        <w:rPr>
          <w:rFonts w:ascii="Times New Roman" w:eastAsia="Times New Roman" w:hAnsi="Times New Roman" w:cs="Times New Roman"/>
          <w:spacing w:val="4"/>
          <w:sz w:val="28"/>
          <w:szCs w:val="28"/>
          <w:lang w:eastAsia="es-ES"/>
        </w:rPr>
        <w:t>ciudadanos</w:t>
      </w:r>
      <w:r w:rsidR="000E46CC" w:rsidRPr="00DB625B">
        <w:rPr>
          <w:rFonts w:ascii="Times New Roman" w:eastAsia="Times New Roman" w:hAnsi="Times New Roman" w:cs="Times New Roman"/>
          <w:spacing w:val="4"/>
          <w:sz w:val="28"/>
          <w:szCs w:val="28"/>
          <w:lang w:eastAsia="es-ES"/>
        </w:rPr>
        <w:t xml:space="preserve"> atacan la norma por invadir la órbita del legislador estatutario, sin que se hubiese surtido el trámite pertinente.</w:t>
      </w:r>
      <w:r w:rsidRPr="00DB625B">
        <w:rPr>
          <w:rFonts w:ascii="Times New Roman" w:eastAsia="Times New Roman" w:hAnsi="Times New Roman" w:cs="Times New Roman"/>
          <w:spacing w:val="4"/>
          <w:sz w:val="28"/>
          <w:szCs w:val="28"/>
          <w:lang w:eastAsia="es-ES"/>
        </w:rPr>
        <w:t xml:space="preserve">  </w:t>
      </w:r>
    </w:p>
    <w:p w:rsidR="001223A1" w:rsidRPr="00DB625B" w:rsidRDefault="001223A1" w:rsidP="00DB625B">
      <w:pPr>
        <w:tabs>
          <w:tab w:val="left" w:pos="0"/>
        </w:tabs>
        <w:spacing w:after="0" w:line="240" w:lineRule="auto"/>
        <w:jc w:val="both"/>
        <w:rPr>
          <w:rFonts w:ascii="Times New Roman" w:eastAsia="Times New Roman" w:hAnsi="Times New Roman" w:cs="Times New Roman"/>
          <w:spacing w:val="4"/>
          <w:sz w:val="28"/>
          <w:szCs w:val="28"/>
          <w:lang w:eastAsia="es-ES"/>
        </w:rPr>
      </w:pPr>
    </w:p>
    <w:p w:rsidR="000426A8" w:rsidRPr="00DB625B" w:rsidRDefault="000E46CC" w:rsidP="00DB625B">
      <w:pPr>
        <w:tabs>
          <w:tab w:val="left" w:pos="0"/>
        </w:tabs>
        <w:spacing w:after="0" w:line="240" w:lineRule="auto"/>
        <w:jc w:val="both"/>
        <w:rPr>
          <w:rFonts w:ascii="Times New Roman" w:eastAsia="Times New Roman" w:hAnsi="Times New Roman" w:cs="Times New Roman"/>
          <w:spacing w:val="4"/>
          <w:sz w:val="28"/>
          <w:szCs w:val="28"/>
          <w:lang w:eastAsia="es-ES"/>
        </w:rPr>
      </w:pPr>
      <w:r w:rsidRPr="00DB625B">
        <w:rPr>
          <w:rFonts w:ascii="Times New Roman" w:eastAsia="Times New Roman" w:hAnsi="Times New Roman" w:cs="Times New Roman"/>
          <w:spacing w:val="4"/>
          <w:sz w:val="28"/>
          <w:szCs w:val="28"/>
          <w:lang w:eastAsia="es-ES"/>
        </w:rPr>
        <w:t>Por ello, en la S</w:t>
      </w:r>
      <w:r w:rsidR="000426A8" w:rsidRPr="00DB625B">
        <w:rPr>
          <w:rFonts w:ascii="Times New Roman" w:eastAsia="Times New Roman" w:hAnsi="Times New Roman" w:cs="Times New Roman"/>
          <w:spacing w:val="4"/>
          <w:sz w:val="28"/>
          <w:szCs w:val="28"/>
          <w:lang w:eastAsia="es-ES"/>
        </w:rPr>
        <w:t>entencia C- 086 de 2019, la Corte Constitucional estudió la compatibilidad constitucional de la suspensión provisional de servidores públicos según los lineamientos establecidos en el artículo 93 de la Constitución en concordancia con el artículo 23, inciso 2, de la Convención Americana sobre Derechos Humanos; mientras que, en el presente caso, se estudia la compatibilidad constitucional de la norma acusada a partir de la regla competencial de reserva estatutaria.</w:t>
      </w:r>
      <w:r w:rsidRPr="00DB625B">
        <w:rPr>
          <w:rFonts w:ascii="Times New Roman" w:eastAsia="Times New Roman" w:hAnsi="Times New Roman" w:cs="Times New Roman"/>
          <w:spacing w:val="4"/>
          <w:sz w:val="28"/>
          <w:szCs w:val="28"/>
          <w:lang w:eastAsia="es-ES"/>
        </w:rPr>
        <w:t xml:space="preserve"> </w:t>
      </w:r>
      <w:r w:rsidR="000426A8" w:rsidRPr="00DB625B">
        <w:rPr>
          <w:rFonts w:ascii="Times New Roman" w:eastAsia="Times New Roman" w:hAnsi="Times New Roman" w:cs="Times New Roman"/>
          <w:spacing w:val="4"/>
          <w:sz w:val="28"/>
          <w:szCs w:val="28"/>
          <w:lang w:eastAsia="es-ES"/>
        </w:rPr>
        <w:t>En consecuencia, el problema jurídico también es diferente.</w:t>
      </w:r>
    </w:p>
    <w:p w:rsidR="000426A8" w:rsidRPr="00DB625B" w:rsidRDefault="000426A8" w:rsidP="00DB625B">
      <w:pPr>
        <w:tabs>
          <w:tab w:val="left" w:pos="0"/>
        </w:tabs>
        <w:spacing w:after="0" w:line="240" w:lineRule="auto"/>
        <w:jc w:val="both"/>
        <w:rPr>
          <w:rFonts w:ascii="Times New Roman" w:eastAsia="Times New Roman" w:hAnsi="Times New Roman" w:cs="Times New Roman"/>
          <w:spacing w:val="4"/>
          <w:sz w:val="28"/>
          <w:szCs w:val="28"/>
          <w:lang w:eastAsia="es-ES"/>
        </w:rPr>
      </w:pPr>
    </w:p>
    <w:tbl>
      <w:tblPr>
        <w:tblStyle w:val="Tablaconcuadrcula"/>
        <w:tblW w:w="0" w:type="auto"/>
        <w:tblLook w:val="04A0" w:firstRow="1" w:lastRow="0" w:firstColumn="1" w:lastColumn="0" w:noHBand="0" w:noVBand="1"/>
      </w:tblPr>
      <w:tblGrid>
        <w:gridCol w:w="4188"/>
        <w:gridCol w:w="4189"/>
      </w:tblGrid>
      <w:tr w:rsidR="000426A8" w:rsidRPr="00DB625B" w:rsidTr="005A4EE7">
        <w:tc>
          <w:tcPr>
            <w:tcW w:w="4188" w:type="dxa"/>
            <w:shd w:val="clear" w:color="auto" w:fill="D9D9D9" w:themeFill="background1" w:themeFillShade="D9"/>
          </w:tcPr>
          <w:p w:rsidR="000426A8" w:rsidRPr="00DB625B" w:rsidRDefault="000426A8" w:rsidP="00DB625B">
            <w:pPr>
              <w:tabs>
                <w:tab w:val="left" w:pos="0"/>
              </w:tabs>
              <w:spacing w:after="0" w:line="240" w:lineRule="auto"/>
              <w:jc w:val="center"/>
              <w:rPr>
                <w:rFonts w:ascii="Times New Roman" w:eastAsia="Times New Roman" w:hAnsi="Times New Roman" w:cs="Times New Roman"/>
                <w:b/>
                <w:bCs/>
                <w:spacing w:val="4"/>
                <w:sz w:val="28"/>
                <w:szCs w:val="28"/>
                <w:lang w:eastAsia="es-ES"/>
              </w:rPr>
            </w:pPr>
            <w:r w:rsidRPr="00DB625B">
              <w:rPr>
                <w:rFonts w:ascii="Times New Roman" w:eastAsia="Times New Roman" w:hAnsi="Times New Roman" w:cs="Times New Roman"/>
                <w:b/>
                <w:bCs/>
                <w:spacing w:val="4"/>
                <w:sz w:val="28"/>
                <w:szCs w:val="28"/>
                <w:lang w:eastAsia="es-ES"/>
              </w:rPr>
              <w:t>Sentencia C- 086 de 2019</w:t>
            </w:r>
          </w:p>
        </w:tc>
        <w:tc>
          <w:tcPr>
            <w:tcW w:w="4189" w:type="dxa"/>
            <w:shd w:val="clear" w:color="auto" w:fill="D9D9D9" w:themeFill="background1" w:themeFillShade="D9"/>
          </w:tcPr>
          <w:p w:rsidR="000426A8" w:rsidRPr="00DB625B" w:rsidRDefault="000426A8" w:rsidP="00DB625B">
            <w:pPr>
              <w:tabs>
                <w:tab w:val="left" w:pos="0"/>
              </w:tabs>
              <w:spacing w:after="0" w:line="240" w:lineRule="auto"/>
              <w:jc w:val="center"/>
              <w:rPr>
                <w:rFonts w:ascii="Times New Roman" w:eastAsia="Times New Roman" w:hAnsi="Times New Roman" w:cs="Times New Roman"/>
                <w:b/>
                <w:bCs/>
                <w:spacing w:val="4"/>
                <w:sz w:val="28"/>
                <w:szCs w:val="28"/>
                <w:lang w:eastAsia="es-ES"/>
              </w:rPr>
            </w:pPr>
            <w:r w:rsidRPr="00DB625B">
              <w:rPr>
                <w:rFonts w:ascii="Times New Roman" w:eastAsia="Times New Roman" w:hAnsi="Times New Roman" w:cs="Times New Roman"/>
                <w:b/>
                <w:bCs/>
                <w:spacing w:val="4"/>
                <w:sz w:val="28"/>
                <w:szCs w:val="28"/>
                <w:lang w:eastAsia="es-ES"/>
              </w:rPr>
              <w:t>Expediente D- 13235</w:t>
            </w:r>
          </w:p>
        </w:tc>
      </w:tr>
      <w:tr w:rsidR="000426A8" w:rsidRPr="00DB625B" w:rsidTr="000426A8">
        <w:tc>
          <w:tcPr>
            <w:tcW w:w="4188" w:type="dxa"/>
          </w:tcPr>
          <w:p w:rsidR="000426A8" w:rsidRPr="00DB625B" w:rsidRDefault="000533C4" w:rsidP="00DB625B">
            <w:pPr>
              <w:tabs>
                <w:tab w:val="left" w:pos="0"/>
              </w:tabs>
              <w:spacing w:after="0" w:line="240" w:lineRule="auto"/>
              <w:jc w:val="both"/>
              <w:rPr>
                <w:rFonts w:ascii="Times New Roman" w:eastAsia="Times New Roman" w:hAnsi="Times New Roman" w:cs="Times New Roman"/>
                <w:spacing w:val="4"/>
                <w:sz w:val="28"/>
                <w:szCs w:val="28"/>
                <w:lang w:eastAsia="es-ES"/>
              </w:rPr>
            </w:pPr>
            <w:r w:rsidRPr="00DB625B">
              <w:rPr>
                <w:rFonts w:ascii="Times New Roman" w:eastAsia="Times New Roman" w:hAnsi="Times New Roman" w:cs="Times New Roman"/>
                <w:spacing w:val="4"/>
                <w:sz w:val="28"/>
                <w:szCs w:val="28"/>
                <w:lang w:eastAsia="es-ES"/>
              </w:rPr>
              <w:t xml:space="preserve">“corresponde a este tribunal establecer si la norma contenida en los artículos 157 de la Ley 734 </w:t>
            </w:r>
            <w:r w:rsidRPr="00DB625B">
              <w:rPr>
                <w:rFonts w:ascii="Times New Roman" w:eastAsia="Times New Roman" w:hAnsi="Times New Roman" w:cs="Times New Roman"/>
                <w:spacing w:val="4"/>
                <w:sz w:val="28"/>
                <w:szCs w:val="28"/>
                <w:lang w:eastAsia="es-ES"/>
              </w:rPr>
              <w:lastRenderedPageBreak/>
              <w:t>de 2002 y 217 de la Ley 1952 de 2019, en tanto faculta al operador que adelanta el proceso disciplinario para suspender provisionalmente al servidor público, incluso si es de elección popular, es compatible con la norma superior prevista en el artículo 23 de la Convención Americana sobre Derechos Humanos”</w:t>
            </w:r>
          </w:p>
        </w:tc>
        <w:tc>
          <w:tcPr>
            <w:tcW w:w="4189" w:type="dxa"/>
          </w:tcPr>
          <w:p w:rsidR="000426A8" w:rsidRPr="00DB625B" w:rsidRDefault="000533C4" w:rsidP="00DB625B">
            <w:pPr>
              <w:tabs>
                <w:tab w:val="left" w:pos="0"/>
              </w:tabs>
              <w:spacing w:after="0" w:line="240" w:lineRule="auto"/>
              <w:jc w:val="both"/>
              <w:rPr>
                <w:rFonts w:ascii="Times New Roman" w:eastAsia="Times New Roman" w:hAnsi="Times New Roman" w:cs="Times New Roman"/>
                <w:spacing w:val="4"/>
                <w:sz w:val="28"/>
                <w:szCs w:val="28"/>
                <w:lang w:eastAsia="es-ES"/>
              </w:rPr>
            </w:pPr>
            <w:r w:rsidRPr="00DB625B">
              <w:rPr>
                <w:rFonts w:ascii="Times New Roman" w:eastAsia="Times New Roman" w:hAnsi="Times New Roman" w:cs="Times New Roman"/>
                <w:sz w:val="28"/>
                <w:szCs w:val="28"/>
                <w:lang w:val="es-ES" w:eastAsia="es-ES"/>
              </w:rPr>
              <w:lastRenderedPageBreak/>
              <w:t>¿El artículo 217 de la Ley 1952 de 2019 desconoció</w:t>
            </w:r>
            <w:r w:rsidR="00D83911" w:rsidRPr="00DB625B">
              <w:rPr>
                <w:rFonts w:ascii="Times New Roman" w:eastAsia="Times New Roman" w:hAnsi="Times New Roman" w:cs="Times New Roman"/>
                <w:sz w:val="28"/>
                <w:szCs w:val="28"/>
                <w:lang w:val="es-ES" w:eastAsia="es-ES"/>
              </w:rPr>
              <w:t xml:space="preserve"> los artículos 152 y 153 de la Constituc</w:t>
            </w:r>
            <w:r w:rsidR="00091D83" w:rsidRPr="00DB625B">
              <w:rPr>
                <w:rFonts w:ascii="Times New Roman" w:eastAsia="Times New Roman" w:hAnsi="Times New Roman" w:cs="Times New Roman"/>
                <w:sz w:val="28"/>
                <w:szCs w:val="28"/>
                <w:lang w:val="es-ES" w:eastAsia="es-ES"/>
              </w:rPr>
              <w:t>i</w:t>
            </w:r>
            <w:r w:rsidR="00D83911" w:rsidRPr="00DB625B">
              <w:rPr>
                <w:rFonts w:ascii="Times New Roman" w:eastAsia="Times New Roman" w:hAnsi="Times New Roman" w:cs="Times New Roman"/>
                <w:sz w:val="28"/>
                <w:szCs w:val="28"/>
                <w:lang w:val="es-ES" w:eastAsia="es-ES"/>
              </w:rPr>
              <w:t>ón</w:t>
            </w:r>
            <w:r w:rsidRPr="00DB625B">
              <w:rPr>
                <w:rFonts w:ascii="Times New Roman" w:eastAsia="Times New Roman" w:hAnsi="Times New Roman" w:cs="Times New Roman"/>
                <w:sz w:val="28"/>
                <w:szCs w:val="28"/>
                <w:lang w:val="es-ES" w:eastAsia="es-ES"/>
              </w:rPr>
              <w:t xml:space="preserve">, al </w:t>
            </w:r>
            <w:r w:rsidRPr="00DB625B">
              <w:rPr>
                <w:rFonts w:ascii="Times New Roman" w:eastAsia="Times New Roman" w:hAnsi="Times New Roman" w:cs="Times New Roman"/>
                <w:sz w:val="28"/>
                <w:szCs w:val="28"/>
                <w:lang w:val="es-ES" w:eastAsia="es-ES"/>
              </w:rPr>
              <w:lastRenderedPageBreak/>
              <w:t>permitir que una autoridad administrativa suspenda provisionalmente a los empleados públicos elegidos popularmente, disposición que, según las demandantes, tiene reserva de ley estatutaria, debido a que interfiere de manera desproporcionada el núcleo del derecho fundamental a ejercer el derecho político a ocupar cargos públicos?</w:t>
            </w:r>
          </w:p>
        </w:tc>
      </w:tr>
    </w:tbl>
    <w:p w:rsidR="000533C4" w:rsidRPr="00DB625B" w:rsidRDefault="000533C4" w:rsidP="00DB625B">
      <w:pPr>
        <w:tabs>
          <w:tab w:val="left" w:pos="0"/>
        </w:tabs>
        <w:spacing w:after="0" w:line="240" w:lineRule="auto"/>
        <w:jc w:val="both"/>
        <w:rPr>
          <w:rFonts w:ascii="Times New Roman" w:eastAsia="Times New Roman" w:hAnsi="Times New Roman" w:cs="Times New Roman"/>
          <w:spacing w:val="4"/>
          <w:sz w:val="28"/>
          <w:szCs w:val="28"/>
          <w:lang w:eastAsia="es-ES"/>
        </w:rPr>
      </w:pPr>
    </w:p>
    <w:p w:rsidR="000533C4" w:rsidRPr="00DB625B" w:rsidRDefault="000533C4" w:rsidP="00DB625B">
      <w:pPr>
        <w:tabs>
          <w:tab w:val="left" w:pos="0"/>
        </w:tabs>
        <w:spacing w:after="0" w:line="240" w:lineRule="auto"/>
        <w:jc w:val="both"/>
        <w:rPr>
          <w:rFonts w:ascii="Times New Roman" w:eastAsia="Times New Roman" w:hAnsi="Times New Roman" w:cs="Times New Roman"/>
          <w:spacing w:val="4"/>
          <w:sz w:val="28"/>
          <w:szCs w:val="28"/>
          <w:lang w:eastAsia="es-ES"/>
        </w:rPr>
      </w:pPr>
      <w:r w:rsidRPr="00DB625B">
        <w:rPr>
          <w:rFonts w:ascii="Times New Roman" w:eastAsia="Times New Roman" w:hAnsi="Times New Roman" w:cs="Times New Roman"/>
          <w:spacing w:val="4"/>
          <w:sz w:val="28"/>
          <w:szCs w:val="28"/>
          <w:lang w:eastAsia="es-ES"/>
        </w:rPr>
        <w:t>La ausencia de los criterios de identidad en el cargo, el problema jurídico y</w:t>
      </w:r>
      <w:r w:rsidR="000E46CC" w:rsidRPr="00DB625B">
        <w:rPr>
          <w:rFonts w:ascii="Times New Roman" w:eastAsia="Times New Roman" w:hAnsi="Times New Roman" w:cs="Times New Roman"/>
          <w:spacing w:val="4"/>
          <w:sz w:val="28"/>
          <w:szCs w:val="28"/>
          <w:lang w:eastAsia="es-ES"/>
        </w:rPr>
        <w:t xml:space="preserve"> en la argumentación, </w:t>
      </w:r>
      <w:r w:rsidRPr="00DB625B">
        <w:rPr>
          <w:rFonts w:ascii="Times New Roman" w:eastAsia="Times New Roman" w:hAnsi="Times New Roman" w:cs="Times New Roman"/>
          <w:spacing w:val="4"/>
          <w:sz w:val="28"/>
          <w:szCs w:val="28"/>
          <w:lang w:eastAsia="es-ES"/>
        </w:rPr>
        <w:t>permiten a la Corte concluir que no se configura la institución de cosa juzgada y, en, consecuencia, procederá a revisar aptitud sustantiva de la demanda.</w:t>
      </w:r>
      <w:r w:rsidR="001276DF" w:rsidRPr="00DB625B">
        <w:rPr>
          <w:rFonts w:ascii="Times New Roman" w:eastAsia="Times New Roman" w:hAnsi="Times New Roman" w:cs="Times New Roman"/>
          <w:spacing w:val="4"/>
          <w:sz w:val="28"/>
          <w:szCs w:val="28"/>
          <w:lang w:eastAsia="es-ES"/>
        </w:rPr>
        <w:t xml:space="preserve"> </w:t>
      </w:r>
    </w:p>
    <w:p w:rsidR="006A6F47" w:rsidRPr="00DB625B" w:rsidRDefault="006A6F47" w:rsidP="00DB625B">
      <w:pPr>
        <w:tabs>
          <w:tab w:val="left" w:pos="0"/>
        </w:tabs>
        <w:spacing w:after="0" w:line="240" w:lineRule="auto"/>
        <w:jc w:val="both"/>
        <w:rPr>
          <w:rFonts w:ascii="Times New Roman" w:eastAsia="Times New Roman" w:hAnsi="Times New Roman" w:cs="Times New Roman"/>
          <w:b/>
          <w:bCs/>
          <w:spacing w:val="4"/>
          <w:sz w:val="28"/>
          <w:szCs w:val="28"/>
          <w:lang w:eastAsia="es-ES"/>
        </w:rPr>
      </w:pPr>
    </w:p>
    <w:p w:rsidR="00170FDF" w:rsidRPr="00DB625B" w:rsidRDefault="00170FDF" w:rsidP="00DB625B">
      <w:pPr>
        <w:tabs>
          <w:tab w:val="left" w:pos="0"/>
        </w:tabs>
        <w:spacing w:after="0" w:line="240" w:lineRule="auto"/>
        <w:jc w:val="both"/>
        <w:rPr>
          <w:rFonts w:ascii="Times New Roman" w:eastAsia="Times New Roman" w:hAnsi="Times New Roman" w:cs="Times New Roman"/>
          <w:b/>
          <w:bCs/>
          <w:spacing w:val="4"/>
          <w:sz w:val="28"/>
          <w:szCs w:val="28"/>
          <w:lang w:eastAsia="es-ES"/>
        </w:rPr>
      </w:pPr>
      <w:r w:rsidRPr="00DB625B">
        <w:rPr>
          <w:rFonts w:ascii="Times New Roman" w:eastAsia="Times New Roman" w:hAnsi="Times New Roman" w:cs="Times New Roman"/>
          <w:b/>
          <w:bCs/>
          <w:spacing w:val="4"/>
          <w:sz w:val="28"/>
          <w:szCs w:val="28"/>
          <w:lang w:eastAsia="es-ES"/>
        </w:rPr>
        <w:t xml:space="preserve"> </w:t>
      </w:r>
      <w:r w:rsidR="00F54743" w:rsidRPr="00DB625B">
        <w:rPr>
          <w:rFonts w:ascii="Times New Roman" w:eastAsia="Times New Roman" w:hAnsi="Times New Roman" w:cs="Times New Roman"/>
          <w:b/>
          <w:bCs/>
          <w:spacing w:val="4"/>
          <w:sz w:val="28"/>
          <w:szCs w:val="28"/>
          <w:lang w:eastAsia="es-ES"/>
        </w:rPr>
        <w:t>Estudio</w:t>
      </w:r>
      <w:r w:rsidRPr="00DB625B">
        <w:rPr>
          <w:rFonts w:ascii="Times New Roman" w:eastAsia="Times New Roman" w:hAnsi="Times New Roman" w:cs="Times New Roman"/>
          <w:b/>
          <w:bCs/>
          <w:spacing w:val="4"/>
          <w:sz w:val="28"/>
          <w:szCs w:val="28"/>
          <w:lang w:eastAsia="es-ES"/>
        </w:rPr>
        <w:t xml:space="preserve"> de aptitud sustantiva de la demanda </w:t>
      </w:r>
    </w:p>
    <w:p w:rsidR="00EA3CB7" w:rsidRPr="00DB625B" w:rsidRDefault="00EA3CB7" w:rsidP="00DB625B">
      <w:pPr>
        <w:tabs>
          <w:tab w:val="left" w:pos="0"/>
        </w:tabs>
        <w:spacing w:after="0" w:line="240" w:lineRule="auto"/>
        <w:jc w:val="both"/>
        <w:rPr>
          <w:rFonts w:ascii="Times New Roman" w:eastAsia="Times New Roman" w:hAnsi="Times New Roman" w:cs="Times New Roman"/>
          <w:b/>
          <w:bCs/>
          <w:spacing w:val="4"/>
          <w:sz w:val="28"/>
          <w:szCs w:val="28"/>
          <w:lang w:eastAsia="es-ES"/>
        </w:rPr>
      </w:pPr>
    </w:p>
    <w:p w:rsidR="009D61E9" w:rsidRPr="00DB625B" w:rsidRDefault="00F72BCE" w:rsidP="00DB625B">
      <w:pPr>
        <w:spacing w:after="0" w:line="240" w:lineRule="auto"/>
        <w:jc w:val="both"/>
        <w:rPr>
          <w:rFonts w:ascii="Times New Roman" w:hAnsi="Times New Roman" w:cs="Times New Roman"/>
          <w:sz w:val="28"/>
          <w:szCs w:val="28"/>
        </w:rPr>
      </w:pPr>
      <w:r w:rsidRPr="00DB625B">
        <w:rPr>
          <w:rFonts w:ascii="Times New Roman" w:hAnsi="Times New Roman" w:cs="Times New Roman"/>
          <w:b/>
          <w:sz w:val="28"/>
          <w:szCs w:val="28"/>
        </w:rPr>
        <w:t>5</w:t>
      </w:r>
      <w:r w:rsidRPr="00DB625B">
        <w:rPr>
          <w:rFonts w:ascii="Times New Roman" w:hAnsi="Times New Roman" w:cs="Times New Roman"/>
          <w:sz w:val="28"/>
          <w:szCs w:val="28"/>
        </w:rPr>
        <w:t>.</w:t>
      </w:r>
      <w:r w:rsidR="009D61E9" w:rsidRPr="00DB625B">
        <w:rPr>
          <w:rFonts w:ascii="Times New Roman" w:hAnsi="Times New Roman" w:cs="Times New Roman"/>
          <w:sz w:val="28"/>
          <w:szCs w:val="28"/>
        </w:rPr>
        <w:t xml:space="preserve"> El artículo 2 del Decreto 2067 de 1991 establece que las acciones públicas de inconstitucionalidad contendrán: a) el señalamiento de las normas acusadas como inconstitucionales, así como su transcripción literal o por cualquier medio; b) el señalamiento de las normas constitucionales que se consideran restringidas; c) las razones por las</w:t>
      </w:r>
      <w:r w:rsidR="00091D83" w:rsidRPr="00DB625B">
        <w:rPr>
          <w:rFonts w:ascii="Times New Roman" w:hAnsi="Times New Roman" w:cs="Times New Roman"/>
          <w:sz w:val="28"/>
          <w:szCs w:val="28"/>
        </w:rPr>
        <w:t xml:space="preserve"> cuales dichos textos se estiman</w:t>
      </w:r>
      <w:r w:rsidR="009D61E9" w:rsidRPr="00DB625B">
        <w:rPr>
          <w:rFonts w:ascii="Times New Roman" w:hAnsi="Times New Roman" w:cs="Times New Roman"/>
          <w:sz w:val="28"/>
          <w:szCs w:val="28"/>
        </w:rPr>
        <w:t xml:space="preserve"> violados; d) el señalamiento del trámite impuesto por la constitución para la expedición de la norma, si fuere el caso y; e) la razón por la cual la Corte es competente.</w:t>
      </w:r>
    </w:p>
    <w:p w:rsidR="009D61E9" w:rsidRPr="00DB625B" w:rsidRDefault="009D61E9" w:rsidP="00DB625B">
      <w:pPr>
        <w:spacing w:after="0" w:line="240" w:lineRule="auto"/>
        <w:jc w:val="both"/>
        <w:rPr>
          <w:rFonts w:ascii="Times New Roman" w:hAnsi="Times New Roman" w:cs="Times New Roman"/>
          <w:sz w:val="28"/>
          <w:szCs w:val="28"/>
        </w:rPr>
      </w:pPr>
    </w:p>
    <w:p w:rsidR="001276DF" w:rsidRPr="00DB625B" w:rsidRDefault="001276DF" w:rsidP="00DB625B">
      <w:pPr>
        <w:spacing w:after="0" w:line="240" w:lineRule="auto"/>
        <w:jc w:val="both"/>
        <w:rPr>
          <w:rFonts w:ascii="Times New Roman" w:hAnsi="Times New Roman" w:cs="Times New Roman"/>
          <w:bCs/>
          <w:iCs/>
          <w:sz w:val="28"/>
          <w:szCs w:val="28"/>
        </w:rPr>
      </w:pPr>
      <w:r w:rsidRPr="00DB625B">
        <w:rPr>
          <w:rFonts w:ascii="Times New Roman" w:hAnsi="Times New Roman" w:cs="Times New Roman"/>
          <w:b/>
          <w:bCs/>
          <w:iCs/>
          <w:sz w:val="28"/>
          <w:szCs w:val="28"/>
        </w:rPr>
        <w:t xml:space="preserve">5.1. </w:t>
      </w:r>
      <w:r w:rsidRPr="00DB625B">
        <w:rPr>
          <w:rFonts w:ascii="Times New Roman" w:hAnsi="Times New Roman" w:cs="Times New Roman"/>
          <w:bCs/>
          <w:iCs/>
          <w:sz w:val="28"/>
          <w:szCs w:val="28"/>
        </w:rPr>
        <w:t xml:space="preserve">En cuanto </w:t>
      </w:r>
      <w:r w:rsidR="004E4CF9" w:rsidRPr="00DB625B">
        <w:rPr>
          <w:rFonts w:ascii="Times New Roman" w:hAnsi="Times New Roman" w:cs="Times New Roman"/>
          <w:bCs/>
          <w:iCs/>
          <w:sz w:val="28"/>
          <w:szCs w:val="28"/>
        </w:rPr>
        <w:t>al requisi</w:t>
      </w:r>
      <w:r w:rsidR="001B5028" w:rsidRPr="00DB625B">
        <w:rPr>
          <w:rFonts w:ascii="Times New Roman" w:hAnsi="Times New Roman" w:cs="Times New Roman"/>
          <w:bCs/>
          <w:iCs/>
          <w:sz w:val="28"/>
          <w:szCs w:val="28"/>
        </w:rPr>
        <w:t>to c)</w:t>
      </w:r>
      <w:r w:rsidR="004E4CF9" w:rsidRPr="00DB625B">
        <w:rPr>
          <w:rFonts w:ascii="Times New Roman" w:hAnsi="Times New Roman" w:cs="Times New Roman"/>
          <w:bCs/>
          <w:iCs/>
          <w:sz w:val="28"/>
          <w:szCs w:val="28"/>
        </w:rPr>
        <w:t>, la Sentencia C-1052 de 2001</w:t>
      </w:r>
      <w:r w:rsidRPr="00DB625B">
        <w:rPr>
          <w:rFonts w:ascii="Times New Roman" w:hAnsi="Times New Roman" w:cs="Times New Roman"/>
          <w:bCs/>
          <w:iCs/>
          <w:sz w:val="28"/>
          <w:szCs w:val="28"/>
        </w:rPr>
        <w:t xml:space="preserve"> estableció los presupuestos mínimos que deben cumplir las acciones públicas de inconstitucionalidad para que la Corte las estudie de mérito</w:t>
      </w:r>
      <w:r w:rsidR="004E4CF9" w:rsidRPr="00DB625B">
        <w:rPr>
          <w:rFonts w:ascii="Times New Roman" w:hAnsi="Times New Roman" w:cs="Times New Roman"/>
          <w:bCs/>
          <w:iCs/>
          <w:sz w:val="28"/>
          <w:szCs w:val="28"/>
        </w:rPr>
        <w:t xml:space="preserve">, </w:t>
      </w:r>
      <w:r w:rsidRPr="00DB625B">
        <w:rPr>
          <w:rFonts w:ascii="Times New Roman" w:hAnsi="Times New Roman" w:cs="Times New Roman"/>
          <w:bCs/>
          <w:iCs/>
          <w:sz w:val="28"/>
          <w:szCs w:val="28"/>
        </w:rPr>
        <w:t xml:space="preserve"> delimite de manera clara y precisa el p</w:t>
      </w:r>
      <w:r w:rsidR="004E4CF9" w:rsidRPr="00DB625B">
        <w:rPr>
          <w:rFonts w:ascii="Times New Roman" w:hAnsi="Times New Roman" w:cs="Times New Roman"/>
          <w:bCs/>
          <w:iCs/>
          <w:sz w:val="28"/>
          <w:szCs w:val="28"/>
        </w:rPr>
        <w:t>roblema jurídico y evite emitir</w:t>
      </w:r>
      <w:r w:rsidRPr="00DB625B">
        <w:rPr>
          <w:rFonts w:ascii="Times New Roman" w:hAnsi="Times New Roman" w:cs="Times New Roman"/>
          <w:bCs/>
          <w:iCs/>
          <w:sz w:val="28"/>
          <w:szCs w:val="28"/>
        </w:rPr>
        <w:t xml:space="preserve"> decisiones inhibitorias. </w:t>
      </w:r>
    </w:p>
    <w:p w:rsidR="001276DF" w:rsidRPr="00DB625B" w:rsidRDefault="001276DF" w:rsidP="00DB625B">
      <w:pPr>
        <w:spacing w:after="0" w:line="240" w:lineRule="auto"/>
        <w:jc w:val="both"/>
        <w:rPr>
          <w:rFonts w:ascii="Times New Roman" w:hAnsi="Times New Roman" w:cs="Times New Roman"/>
          <w:bCs/>
          <w:iCs/>
          <w:sz w:val="28"/>
          <w:szCs w:val="28"/>
        </w:rPr>
      </w:pPr>
    </w:p>
    <w:p w:rsidR="001276DF" w:rsidRPr="00DB625B" w:rsidRDefault="004E4CF9" w:rsidP="00DB625B">
      <w:pPr>
        <w:spacing w:after="0" w:line="240" w:lineRule="auto"/>
        <w:jc w:val="both"/>
        <w:rPr>
          <w:rFonts w:ascii="Times New Roman" w:hAnsi="Times New Roman" w:cs="Times New Roman"/>
          <w:bCs/>
          <w:iCs/>
          <w:sz w:val="28"/>
          <w:szCs w:val="28"/>
        </w:rPr>
      </w:pPr>
      <w:r w:rsidRPr="00DB625B">
        <w:rPr>
          <w:rFonts w:ascii="Times New Roman" w:hAnsi="Times New Roman" w:cs="Times New Roman"/>
          <w:bCs/>
          <w:iCs/>
          <w:sz w:val="28"/>
          <w:szCs w:val="28"/>
        </w:rPr>
        <w:t>L</w:t>
      </w:r>
      <w:r w:rsidR="001276DF" w:rsidRPr="00DB625B">
        <w:rPr>
          <w:rFonts w:ascii="Times New Roman" w:hAnsi="Times New Roman" w:cs="Times New Roman"/>
          <w:bCs/>
          <w:iCs/>
          <w:sz w:val="28"/>
          <w:szCs w:val="28"/>
        </w:rPr>
        <w:t xml:space="preserve">a Corte ha interpretado el alcance de las condiciones que debe cumplir la demanda de inconstitucionalidad y ha sistematizado, -sin caer en formalismos incompatibles con la naturaleza popular y ciudadana de la acción-, que los cargos formulados por el demandante deben ser claros, ciertos, específicos, pertinentes y suficientes. </w:t>
      </w:r>
    </w:p>
    <w:p w:rsidR="001276DF" w:rsidRPr="00DB625B" w:rsidRDefault="001276DF" w:rsidP="00DB625B">
      <w:pPr>
        <w:spacing w:after="0" w:line="240" w:lineRule="auto"/>
        <w:jc w:val="both"/>
        <w:rPr>
          <w:rFonts w:ascii="Times New Roman" w:hAnsi="Times New Roman" w:cs="Times New Roman"/>
          <w:bCs/>
          <w:iCs/>
          <w:sz w:val="28"/>
          <w:szCs w:val="28"/>
        </w:rPr>
      </w:pPr>
    </w:p>
    <w:p w:rsidR="001276DF" w:rsidRPr="00DB625B" w:rsidRDefault="004E4CF9" w:rsidP="00DB625B">
      <w:pPr>
        <w:spacing w:after="0" w:line="240" w:lineRule="auto"/>
        <w:jc w:val="both"/>
        <w:rPr>
          <w:rFonts w:ascii="Times New Roman" w:hAnsi="Times New Roman" w:cs="Times New Roman"/>
          <w:bCs/>
          <w:iCs/>
          <w:sz w:val="28"/>
          <w:szCs w:val="28"/>
        </w:rPr>
      </w:pPr>
      <w:r w:rsidRPr="00DB625B">
        <w:rPr>
          <w:rFonts w:ascii="Times New Roman" w:hAnsi="Times New Roman" w:cs="Times New Roman"/>
          <w:bCs/>
          <w:iCs/>
          <w:sz w:val="28"/>
          <w:szCs w:val="28"/>
        </w:rPr>
        <w:t>En ese contexto</w:t>
      </w:r>
      <w:r w:rsidR="001276DF" w:rsidRPr="00DB625B">
        <w:rPr>
          <w:rFonts w:ascii="Times New Roman" w:hAnsi="Times New Roman" w:cs="Times New Roman"/>
          <w:bCs/>
          <w:iCs/>
          <w:sz w:val="28"/>
          <w:szCs w:val="28"/>
        </w:rPr>
        <w:t xml:space="preserve"> la demanda debe: (i) ser comprensible (claridad), (ii) recaer sobre el contenido de la disposición acusada y no sobre uno inferido por quien demanda (certeza), (iii) señalar cómo la disposición </w:t>
      </w:r>
      <w:r w:rsidR="001276DF" w:rsidRPr="00DB625B">
        <w:rPr>
          <w:rFonts w:ascii="Times New Roman" w:hAnsi="Times New Roman" w:cs="Times New Roman"/>
          <w:bCs/>
          <w:iCs/>
          <w:sz w:val="28"/>
          <w:szCs w:val="28"/>
        </w:rPr>
        <w:lastRenderedPageBreak/>
        <w:t xml:space="preserve">vulnera la Carta Política, mediante argumentos determinados, concretos y precisos que recaigan sobre la norma en juicio (especificidad), (iv) ofrecer razonamientos de índole constitucional que se refieran al contenido normativo de las disposiciones demandadas (pertinencia), todo lo cual redunda en (v) suscitar una mínima duda sobre la constitucionalidad de la norma que se estima contraria a la Carta Política (suficiencia).  </w:t>
      </w:r>
    </w:p>
    <w:p w:rsidR="000533C4" w:rsidRPr="00DB625B" w:rsidRDefault="000533C4" w:rsidP="00DB625B">
      <w:pPr>
        <w:pStyle w:val="Prrafodelista"/>
        <w:tabs>
          <w:tab w:val="left" w:pos="0"/>
        </w:tabs>
        <w:spacing w:after="0" w:line="240" w:lineRule="auto"/>
        <w:ind w:left="0"/>
        <w:jc w:val="both"/>
        <w:rPr>
          <w:rFonts w:ascii="Times New Roman" w:eastAsia="Times New Roman" w:hAnsi="Times New Roman" w:cs="Times New Roman"/>
          <w:bCs/>
          <w:spacing w:val="4"/>
          <w:sz w:val="28"/>
          <w:szCs w:val="28"/>
          <w:lang w:eastAsia="es-ES"/>
        </w:rPr>
      </w:pPr>
    </w:p>
    <w:p w:rsidR="001B5028" w:rsidRPr="00DB625B" w:rsidRDefault="004E4CF9" w:rsidP="00DB625B">
      <w:pPr>
        <w:pStyle w:val="Prrafodelista"/>
        <w:tabs>
          <w:tab w:val="left" w:pos="0"/>
        </w:tabs>
        <w:spacing w:after="0" w:line="240" w:lineRule="auto"/>
        <w:ind w:left="0"/>
        <w:jc w:val="both"/>
        <w:rPr>
          <w:rFonts w:ascii="Times New Roman" w:eastAsia="Times New Roman" w:hAnsi="Times New Roman" w:cs="Times New Roman"/>
          <w:bCs/>
          <w:spacing w:val="4"/>
          <w:sz w:val="28"/>
          <w:szCs w:val="28"/>
          <w:lang w:eastAsia="es-ES"/>
        </w:rPr>
      </w:pPr>
      <w:r w:rsidRPr="00DB625B">
        <w:rPr>
          <w:rFonts w:ascii="Times New Roman" w:eastAsia="Times New Roman" w:hAnsi="Times New Roman" w:cs="Times New Roman"/>
          <w:b/>
          <w:bCs/>
          <w:spacing w:val="4"/>
          <w:sz w:val="28"/>
          <w:szCs w:val="28"/>
          <w:lang w:eastAsia="es-ES"/>
        </w:rPr>
        <w:t>5.2</w:t>
      </w:r>
      <w:r w:rsidRPr="00DB625B">
        <w:rPr>
          <w:rFonts w:ascii="Times New Roman" w:eastAsia="Times New Roman" w:hAnsi="Times New Roman" w:cs="Times New Roman"/>
          <w:bCs/>
          <w:spacing w:val="4"/>
          <w:sz w:val="28"/>
          <w:szCs w:val="28"/>
          <w:lang w:eastAsia="es-ES"/>
        </w:rPr>
        <w:t xml:space="preserve">. </w:t>
      </w:r>
      <w:r w:rsidR="001B5028" w:rsidRPr="00DB625B">
        <w:rPr>
          <w:rFonts w:ascii="Times New Roman" w:eastAsia="Times New Roman" w:hAnsi="Times New Roman" w:cs="Times New Roman"/>
          <w:bCs/>
          <w:spacing w:val="4"/>
          <w:sz w:val="28"/>
          <w:szCs w:val="28"/>
          <w:lang w:eastAsia="es-ES"/>
        </w:rPr>
        <w:t>En el caso sub-judice, la Cámara de Representantes indicó que la demanda había incumplido los requisitos</w:t>
      </w:r>
      <w:r w:rsidR="00234477" w:rsidRPr="00DB625B">
        <w:rPr>
          <w:rFonts w:ascii="Times New Roman" w:eastAsia="Times New Roman" w:hAnsi="Times New Roman" w:cs="Times New Roman"/>
          <w:bCs/>
          <w:spacing w:val="4"/>
          <w:sz w:val="28"/>
          <w:szCs w:val="28"/>
          <w:lang w:eastAsia="es-ES"/>
        </w:rPr>
        <w:t xml:space="preserve"> para emitir decisión de mérito</w:t>
      </w:r>
      <w:r w:rsidR="001B5028" w:rsidRPr="00DB625B">
        <w:rPr>
          <w:rFonts w:ascii="Times New Roman" w:eastAsia="Times New Roman" w:hAnsi="Times New Roman" w:cs="Times New Roman"/>
          <w:bCs/>
          <w:spacing w:val="4"/>
          <w:sz w:val="28"/>
          <w:szCs w:val="28"/>
          <w:lang w:eastAsia="es-ES"/>
        </w:rPr>
        <w:t xml:space="preserve">, por lo que esta Corte debía declararse inhibida para conocer del asunto. </w:t>
      </w:r>
      <w:r w:rsidR="00234477" w:rsidRPr="00DB625B">
        <w:rPr>
          <w:rFonts w:ascii="Times New Roman" w:eastAsia="Times New Roman" w:hAnsi="Times New Roman" w:cs="Times New Roman"/>
          <w:bCs/>
          <w:spacing w:val="4"/>
          <w:sz w:val="28"/>
          <w:szCs w:val="28"/>
          <w:lang w:eastAsia="es-ES"/>
        </w:rPr>
        <w:t>Ante ese cuestionamiento de la aptitud sustantiva de la demanda, se evaluará el cumplimiento de las condiciones fijada</w:t>
      </w:r>
      <w:r w:rsidR="00E5792F" w:rsidRPr="00DB625B">
        <w:rPr>
          <w:rFonts w:ascii="Times New Roman" w:eastAsia="Times New Roman" w:hAnsi="Times New Roman" w:cs="Times New Roman"/>
          <w:bCs/>
          <w:spacing w:val="4"/>
          <w:sz w:val="28"/>
          <w:szCs w:val="28"/>
          <w:lang w:eastAsia="es-ES"/>
        </w:rPr>
        <w:t>s</w:t>
      </w:r>
      <w:r w:rsidR="00234477" w:rsidRPr="00DB625B">
        <w:rPr>
          <w:rFonts w:ascii="Times New Roman" w:eastAsia="Times New Roman" w:hAnsi="Times New Roman" w:cs="Times New Roman"/>
          <w:bCs/>
          <w:spacing w:val="4"/>
          <w:sz w:val="28"/>
          <w:szCs w:val="28"/>
          <w:lang w:eastAsia="es-ES"/>
        </w:rPr>
        <w:t xml:space="preserve"> por la jurisprudencia para iniciar un juicio de validez sobre la disposición censurada.  </w:t>
      </w:r>
    </w:p>
    <w:p w:rsidR="001B5028" w:rsidRPr="00DB625B" w:rsidRDefault="001B5028" w:rsidP="00DB625B">
      <w:pPr>
        <w:pStyle w:val="Prrafodelista"/>
        <w:tabs>
          <w:tab w:val="left" w:pos="0"/>
        </w:tabs>
        <w:spacing w:after="0" w:line="240" w:lineRule="auto"/>
        <w:ind w:left="0"/>
        <w:jc w:val="both"/>
        <w:rPr>
          <w:rFonts w:ascii="Times New Roman" w:eastAsia="Times New Roman" w:hAnsi="Times New Roman" w:cs="Times New Roman"/>
          <w:bCs/>
          <w:spacing w:val="4"/>
          <w:sz w:val="28"/>
          <w:szCs w:val="28"/>
          <w:lang w:eastAsia="es-ES"/>
        </w:rPr>
      </w:pPr>
    </w:p>
    <w:p w:rsidR="009435A4" w:rsidRPr="00DB625B" w:rsidRDefault="00287014" w:rsidP="00DB625B">
      <w:pPr>
        <w:pStyle w:val="Prrafodelista"/>
        <w:tabs>
          <w:tab w:val="left" w:pos="0"/>
        </w:tabs>
        <w:spacing w:after="0" w:line="240" w:lineRule="auto"/>
        <w:ind w:left="0"/>
        <w:jc w:val="both"/>
        <w:rPr>
          <w:rFonts w:ascii="Times New Roman" w:eastAsia="Times New Roman" w:hAnsi="Times New Roman" w:cs="Times New Roman"/>
          <w:bCs/>
          <w:spacing w:val="4"/>
          <w:sz w:val="28"/>
          <w:szCs w:val="28"/>
          <w:lang w:eastAsia="es-ES"/>
        </w:rPr>
      </w:pPr>
      <w:r w:rsidRPr="00DB625B">
        <w:rPr>
          <w:rFonts w:ascii="Times New Roman" w:eastAsia="Times New Roman" w:hAnsi="Times New Roman" w:cs="Times New Roman"/>
          <w:bCs/>
          <w:spacing w:val="4"/>
          <w:sz w:val="28"/>
          <w:szCs w:val="28"/>
          <w:lang w:eastAsia="es-ES"/>
        </w:rPr>
        <w:t>La Sala Plena encuentra que la acusación consiste en denunciar</w:t>
      </w:r>
      <w:r w:rsidR="009435A4" w:rsidRPr="00DB625B">
        <w:rPr>
          <w:rFonts w:ascii="Times New Roman" w:eastAsia="Times New Roman" w:hAnsi="Times New Roman" w:cs="Times New Roman"/>
          <w:bCs/>
          <w:spacing w:val="4"/>
          <w:sz w:val="28"/>
          <w:szCs w:val="28"/>
          <w:lang w:eastAsia="es-ES"/>
        </w:rPr>
        <w:t xml:space="preserve"> un presunto desconocimiento </w:t>
      </w:r>
      <w:r w:rsidRPr="00DB625B">
        <w:rPr>
          <w:rFonts w:ascii="Times New Roman" w:eastAsia="Times New Roman" w:hAnsi="Times New Roman" w:cs="Times New Roman"/>
          <w:bCs/>
          <w:spacing w:val="4"/>
          <w:sz w:val="28"/>
          <w:szCs w:val="28"/>
          <w:lang w:eastAsia="es-ES"/>
        </w:rPr>
        <w:t>del artículo 152 de la Constitución, por cuanto</w:t>
      </w:r>
      <w:r w:rsidR="001B5028" w:rsidRPr="00DB625B">
        <w:rPr>
          <w:rFonts w:ascii="Times New Roman" w:eastAsia="Times New Roman" w:hAnsi="Times New Roman" w:cs="Times New Roman"/>
          <w:bCs/>
          <w:spacing w:val="4"/>
          <w:sz w:val="28"/>
          <w:szCs w:val="28"/>
          <w:lang w:eastAsia="es-ES"/>
        </w:rPr>
        <w:t>, en sentir de las actoras,</w:t>
      </w:r>
      <w:r w:rsidRPr="00DB625B">
        <w:rPr>
          <w:rFonts w:ascii="Times New Roman" w:eastAsia="Times New Roman" w:hAnsi="Times New Roman" w:cs="Times New Roman"/>
          <w:bCs/>
          <w:spacing w:val="4"/>
          <w:sz w:val="28"/>
          <w:szCs w:val="28"/>
          <w:lang w:eastAsia="es-ES"/>
        </w:rPr>
        <w:t xml:space="preserve"> </w:t>
      </w:r>
      <w:r w:rsidR="00190FDE" w:rsidRPr="00DB625B">
        <w:rPr>
          <w:rFonts w:ascii="Times New Roman" w:eastAsia="Times New Roman" w:hAnsi="Times New Roman" w:cs="Times New Roman"/>
          <w:bCs/>
          <w:spacing w:val="4"/>
          <w:sz w:val="28"/>
          <w:szCs w:val="28"/>
          <w:lang w:eastAsia="es-ES"/>
        </w:rPr>
        <w:t xml:space="preserve">la disposición </w:t>
      </w:r>
      <w:r w:rsidR="00946554" w:rsidRPr="00DB625B">
        <w:rPr>
          <w:rFonts w:ascii="Times New Roman" w:eastAsia="Times New Roman" w:hAnsi="Times New Roman" w:cs="Times New Roman"/>
          <w:bCs/>
          <w:spacing w:val="4"/>
          <w:sz w:val="28"/>
          <w:szCs w:val="28"/>
          <w:lang w:eastAsia="es-ES"/>
        </w:rPr>
        <w:t xml:space="preserve">demandada </w:t>
      </w:r>
      <w:r w:rsidR="00190FDE" w:rsidRPr="00DB625B">
        <w:rPr>
          <w:rFonts w:ascii="Times New Roman" w:eastAsia="Times New Roman" w:hAnsi="Times New Roman" w:cs="Times New Roman"/>
          <w:bCs/>
          <w:spacing w:val="4"/>
          <w:sz w:val="28"/>
          <w:szCs w:val="28"/>
          <w:lang w:eastAsia="es-ES"/>
        </w:rPr>
        <w:t>regula una materia que tiene reserva de ley estatutaria, al prever la posibilidad de suspender</w:t>
      </w:r>
      <w:r w:rsidR="00946554" w:rsidRPr="00DB625B">
        <w:rPr>
          <w:rFonts w:ascii="Times New Roman" w:eastAsia="Times New Roman" w:hAnsi="Times New Roman" w:cs="Times New Roman"/>
          <w:bCs/>
          <w:spacing w:val="4"/>
          <w:sz w:val="28"/>
          <w:szCs w:val="28"/>
          <w:lang w:eastAsia="es-ES"/>
        </w:rPr>
        <w:t xml:space="preserve"> a los funcionarios de elección popular</w:t>
      </w:r>
      <w:r w:rsidR="00190FDE" w:rsidRPr="00DB625B">
        <w:rPr>
          <w:rFonts w:ascii="Times New Roman" w:eastAsia="Times New Roman" w:hAnsi="Times New Roman" w:cs="Times New Roman"/>
          <w:bCs/>
          <w:spacing w:val="4"/>
          <w:sz w:val="28"/>
          <w:szCs w:val="28"/>
          <w:lang w:eastAsia="es-ES"/>
        </w:rPr>
        <w:t xml:space="preserve"> del ejercicio de su cargo, lo que se traduce en una afectación desproporcionada de los derechos polít</w:t>
      </w:r>
      <w:r w:rsidR="00946554" w:rsidRPr="00DB625B">
        <w:rPr>
          <w:rFonts w:ascii="Times New Roman" w:eastAsia="Times New Roman" w:hAnsi="Times New Roman" w:cs="Times New Roman"/>
          <w:bCs/>
          <w:spacing w:val="4"/>
          <w:sz w:val="28"/>
          <w:szCs w:val="28"/>
          <w:lang w:eastAsia="es-ES"/>
        </w:rPr>
        <w:t>icos de los mencionados ciudadanos</w:t>
      </w:r>
      <w:r w:rsidR="00190FDE" w:rsidRPr="00DB625B">
        <w:rPr>
          <w:rFonts w:ascii="Times New Roman" w:eastAsia="Times New Roman" w:hAnsi="Times New Roman" w:cs="Times New Roman"/>
          <w:bCs/>
          <w:spacing w:val="4"/>
          <w:sz w:val="28"/>
          <w:szCs w:val="28"/>
          <w:lang w:eastAsia="es-ES"/>
        </w:rPr>
        <w:t>.</w:t>
      </w:r>
    </w:p>
    <w:p w:rsidR="004E4CF9" w:rsidRPr="00DB625B" w:rsidRDefault="004E4CF9" w:rsidP="00DB625B">
      <w:pPr>
        <w:pStyle w:val="Prrafodelista"/>
        <w:tabs>
          <w:tab w:val="left" w:pos="0"/>
        </w:tabs>
        <w:spacing w:after="0" w:line="240" w:lineRule="auto"/>
        <w:ind w:left="0"/>
        <w:jc w:val="both"/>
        <w:rPr>
          <w:rFonts w:ascii="Times New Roman" w:eastAsia="Times New Roman" w:hAnsi="Times New Roman" w:cs="Times New Roman"/>
          <w:bCs/>
          <w:spacing w:val="4"/>
          <w:sz w:val="28"/>
          <w:szCs w:val="28"/>
          <w:lang w:eastAsia="es-ES"/>
        </w:rPr>
      </w:pPr>
    </w:p>
    <w:p w:rsidR="00287014" w:rsidRPr="00DB625B" w:rsidRDefault="00287014" w:rsidP="00DB625B">
      <w:pPr>
        <w:tabs>
          <w:tab w:val="left" w:pos="0"/>
        </w:tabs>
        <w:spacing w:after="0" w:line="240" w:lineRule="auto"/>
        <w:jc w:val="both"/>
        <w:rPr>
          <w:rFonts w:ascii="Times New Roman" w:eastAsia="Times New Roman" w:hAnsi="Times New Roman" w:cs="Times New Roman"/>
          <w:bCs/>
          <w:spacing w:val="4"/>
          <w:sz w:val="28"/>
          <w:szCs w:val="28"/>
          <w:lang w:eastAsia="es-ES"/>
        </w:rPr>
      </w:pPr>
      <w:r w:rsidRPr="00DB625B">
        <w:rPr>
          <w:rFonts w:ascii="Times New Roman" w:eastAsia="Times New Roman" w:hAnsi="Times New Roman" w:cs="Times New Roman"/>
          <w:b/>
          <w:bCs/>
          <w:spacing w:val="4"/>
          <w:sz w:val="28"/>
          <w:szCs w:val="28"/>
          <w:lang w:eastAsia="es-ES"/>
        </w:rPr>
        <w:t xml:space="preserve">5.3. </w:t>
      </w:r>
      <w:r w:rsidRPr="00DB625B">
        <w:rPr>
          <w:rFonts w:ascii="Times New Roman" w:eastAsia="Times New Roman" w:hAnsi="Times New Roman" w:cs="Times New Roman"/>
          <w:bCs/>
          <w:spacing w:val="4"/>
          <w:sz w:val="28"/>
          <w:szCs w:val="28"/>
          <w:lang w:eastAsia="es-ES"/>
        </w:rPr>
        <w:t xml:space="preserve">Después de contrastar los argumentos expuestos en la demanda con los presupuestos legales y jurisprudenciales previamente referenciados, se encuentra que los mismos cumplen con el requisito de </w:t>
      </w:r>
      <w:r w:rsidR="00946554" w:rsidRPr="00DB625B">
        <w:rPr>
          <w:rFonts w:ascii="Times New Roman" w:eastAsia="Times New Roman" w:hAnsi="Times New Roman" w:cs="Times New Roman"/>
          <w:bCs/>
          <w:spacing w:val="4"/>
          <w:sz w:val="28"/>
          <w:szCs w:val="28"/>
          <w:lang w:eastAsia="es-ES"/>
        </w:rPr>
        <w:t xml:space="preserve">la </w:t>
      </w:r>
      <w:r w:rsidRPr="00DB625B">
        <w:rPr>
          <w:rFonts w:ascii="Times New Roman" w:eastAsia="Times New Roman" w:hAnsi="Times New Roman" w:cs="Times New Roman"/>
          <w:bCs/>
          <w:spacing w:val="4"/>
          <w:sz w:val="28"/>
          <w:szCs w:val="28"/>
          <w:lang w:eastAsia="es-ES"/>
        </w:rPr>
        <w:t>demanda</w:t>
      </w:r>
      <w:r w:rsidR="00946554" w:rsidRPr="00DB625B">
        <w:rPr>
          <w:rFonts w:ascii="Times New Roman" w:eastAsia="Times New Roman" w:hAnsi="Times New Roman" w:cs="Times New Roman"/>
          <w:bCs/>
          <w:spacing w:val="4"/>
          <w:sz w:val="28"/>
          <w:szCs w:val="28"/>
          <w:lang w:eastAsia="es-ES"/>
        </w:rPr>
        <w:t xml:space="preserve"> para emitir pronunciamiento de mérito</w:t>
      </w:r>
      <w:r w:rsidRPr="00DB625B">
        <w:rPr>
          <w:rFonts w:ascii="Times New Roman" w:eastAsia="Times New Roman" w:hAnsi="Times New Roman" w:cs="Times New Roman"/>
          <w:bCs/>
          <w:spacing w:val="4"/>
          <w:sz w:val="28"/>
          <w:szCs w:val="28"/>
          <w:lang w:eastAsia="es-ES"/>
        </w:rPr>
        <w:t>, p</w:t>
      </w:r>
      <w:r w:rsidR="00946554" w:rsidRPr="00DB625B">
        <w:rPr>
          <w:rFonts w:ascii="Times New Roman" w:eastAsia="Times New Roman" w:hAnsi="Times New Roman" w:cs="Times New Roman"/>
          <w:bCs/>
          <w:spacing w:val="4"/>
          <w:sz w:val="28"/>
          <w:szCs w:val="28"/>
          <w:lang w:eastAsia="es-ES"/>
        </w:rPr>
        <w:t>or las razones que brevemente</w:t>
      </w:r>
      <w:r w:rsidRPr="00DB625B">
        <w:rPr>
          <w:rFonts w:ascii="Times New Roman" w:eastAsia="Times New Roman" w:hAnsi="Times New Roman" w:cs="Times New Roman"/>
          <w:bCs/>
          <w:spacing w:val="4"/>
          <w:sz w:val="28"/>
          <w:szCs w:val="28"/>
          <w:lang w:eastAsia="es-ES"/>
        </w:rPr>
        <w:t xml:space="preserve"> pasan a explicar</w:t>
      </w:r>
      <w:r w:rsidR="00946554" w:rsidRPr="00DB625B">
        <w:rPr>
          <w:rFonts w:ascii="Times New Roman" w:eastAsia="Times New Roman" w:hAnsi="Times New Roman" w:cs="Times New Roman"/>
          <w:bCs/>
          <w:spacing w:val="4"/>
          <w:sz w:val="28"/>
          <w:szCs w:val="28"/>
          <w:lang w:eastAsia="es-ES"/>
        </w:rPr>
        <w:t>se</w:t>
      </w:r>
      <w:r w:rsidRPr="00DB625B">
        <w:rPr>
          <w:rFonts w:ascii="Times New Roman" w:eastAsia="Times New Roman" w:hAnsi="Times New Roman" w:cs="Times New Roman"/>
          <w:bCs/>
          <w:spacing w:val="4"/>
          <w:sz w:val="28"/>
          <w:szCs w:val="28"/>
          <w:lang w:eastAsia="es-ES"/>
        </w:rPr>
        <w:t>.</w:t>
      </w:r>
    </w:p>
    <w:p w:rsidR="00287014" w:rsidRPr="00DB625B" w:rsidRDefault="00287014" w:rsidP="00DB625B">
      <w:pPr>
        <w:pStyle w:val="Prrafodelista"/>
        <w:tabs>
          <w:tab w:val="left" w:pos="0"/>
        </w:tabs>
        <w:spacing w:after="0" w:line="240" w:lineRule="auto"/>
        <w:ind w:left="0"/>
        <w:jc w:val="both"/>
        <w:rPr>
          <w:rFonts w:ascii="Times New Roman" w:eastAsia="Times New Roman" w:hAnsi="Times New Roman" w:cs="Times New Roman"/>
          <w:bCs/>
          <w:spacing w:val="4"/>
          <w:sz w:val="28"/>
          <w:szCs w:val="28"/>
          <w:lang w:eastAsia="es-ES"/>
        </w:rPr>
      </w:pPr>
    </w:p>
    <w:p w:rsidR="00946554" w:rsidRPr="00DB625B" w:rsidRDefault="000533C4" w:rsidP="00DB625B">
      <w:pPr>
        <w:pStyle w:val="Prrafodelista"/>
        <w:tabs>
          <w:tab w:val="left" w:pos="0"/>
        </w:tabs>
        <w:spacing w:after="0" w:line="240" w:lineRule="auto"/>
        <w:ind w:left="0"/>
        <w:jc w:val="both"/>
        <w:rPr>
          <w:rFonts w:ascii="Times New Roman" w:eastAsia="Times New Roman" w:hAnsi="Times New Roman" w:cs="Times New Roman"/>
          <w:bCs/>
          <w:spacing w:val="4"/>
          <w:sz w:val="28"/>
          <w:szCs w:val="28"/>
          <w:lang w:eastAsia="es-ES"/>
        </w:rPr>
      </w:pPr>
      <w:r w:rsidRPr="00DB625B">
        <w:rPr>
          <w:rFonts w:ascii="Times New Roman" w:eastAsia="Times New Roman" w:hAnsi="Times New Roman" w:cs="Times New Roman"/>
          <w:bCs/>
          <w:spacing w:val="4"/>
          <w:sz w:val="28"/>
          <w:szCs w:val="28"/>
          <w:lang w:eastAsia="es-ES"/>
        </w:rPr>
        <w:t xml:space="preserve">El cargo propuesto por los demandantes </w:t>
      </w:r>
      <w:r w:rsidR="00946554" w:rsidRPr="00DB625B">
        <w:rPr>
          <w:rFonts w:ascii="Times New Roman" w:eastAsia="Times New Roman" w:hAnsi="Times New Roman" w:cs="Times New Roman"/>
          <w:bCs/>
          <w:spacing w:val="4"/>
          <w:sz w:val="28"/>
          <w:szCs w:val="28"/>
          <w:lang w:eastAsia="es-ES"/>
        </w:rPr>
        <w:t xml:space="preserve">es claro, </w:t>
      </w:r>
      <w:r w:rsidRPr="00DB625B">
        <w:rPr>
          <w:rFonts w:ascii="Times New Roman" w:eastAsia="Times New Roman" w:hAnsi="Times New Roman" w:cs="Times New Roman"/>
          <w:bCs/>
          <w:spacing w:val="4"/>
          <w:sz w:val="28"/>
          <w:szCs w:val="28"/>
          <w:lang w:eastAsia="es-ES"/>
        </w:rPr>
        <w:t xml:space="preserve">pues logran exponer, de manera coherente y comprensible, que el artículo 217 de la Ley 1952 </w:t>
      </w:r>
      <w:r w:rsidR="00CA65AE" w:rsidRPr="00DB625B">
        <w:rPr>
          <w:rFonts w:ascii="Times New Roman" w:eastAsia="Times New Roman" w:hAnsi="Times New Roman" w:cs="Times New Roman"/>
          <w:bCs/>
          <w:spacing w:val="4"/>
          <w:sz w:val="28"/>
          <w:szCs w:val="28"/>
          <w:lang w:eastAsia="es-ES"/>
        </w:rPr>
        <w:t xml:space="preserve">de 2019 </w:t>
      </w:r>
      <w:r w:rsidRPr="00DB625B">
        <w:rPr>
          <w:rFonts w:ascii="Times New Roman" w:eastAsia="Times New Roman" w:hAnsi="Times New Roman" w:cs="Times New Roman"/>
          <w:bCs/>
          <w:spacing w:val="4"/>
          <w:sz w:val="28"/>
          <w:szCs w:val="28"/>
          <w:lang w:eastAsia="es-ES"/>
        </w:rPr>
        <w:t>desconoce el mandato contenido en el artículo 152 de la Constitución</w:t>
      </w:r>
      <w:r w:rsidR="00946554" w:rsidRPr="00DB625B">
        <w:rPr>
          <w:rFonts w:ascii="Times New Roman" w:eastAsia="Times New Roman" w:hAnsi="Times New Roman" w:cs="Times New Roman"/>
          <w:bCs/>
          <w:spacing w:val="4"/>
          <w:sz w:val="28"/>
          <w:szCs w:val="28"/>
          <w:lang w:eastAsia="es-ES"/>
        </w:rPr>
        <w:t>, al regular un asunto que, en su parecer, tenía reserva de ley estatutaria y debió tramitarse bajo el procedimiento cualificado de ese tipo de compendios</w:t>
      </w:r>
      <w:r w:rsidRPr="00DB625B">
        <w:rPr>
          <w:rFonts w:ascii="Times New Roman" w:eastAsia="Times New Roman" w:hAnsi="Times New Roman" w:cs="Times New Roman"/>
          <w:bCs/>
          <w:spacing w:val="4"/>
          <w:sz w:val="28"/>
          <w:szCs w:val="28"/>
          <w:lang w:eastAsia="es-ES"/>
        </w:rPr>
        <w:t>.</w:t>
      </w:r>
    </w:p>
    <w:p w:rsidR="00946554" w:rsidRPr="00DB625B" w:rsidRDefault="00946554" w:rsidP="00DB625B">
      <w:pPr>
        <w:pStyle w:val="Prrafodelista"/>
        <w:tabs>
          <w:tab w:val="left" w:pos="0"/>
        </w:tabs>
        <w:spacing w:after="0" w:line="240" w:lineRule="auto"/>
        <w:ind w:left="0"/>
        <w:jc w:val="both"/>
        <w:rPr>
          <w:rFonts w:ascii="Times New Roman" w:eastAsia="Times New Roman" w:hAnsi="Times New Roman" w:cs="Times New Roman"/>
          <w:bCs/>
          <w:spacing w:val="4"/>
          <w:sz w:val="28"/>
          <w:szCs w:val="28"/>
          <w:lang w:eastAsia="es-ES"/>
        </w:rPr>
      </w:pPr>
    </w:p>
    <w:p w:rsidR="000533C4" w:rsidRPr="00DB625B" w:rsidRDefault="000533C4" w:rsidP="00DB625B">
      <w:pPr>
        <w:pStyle w:val="Prrafodelista"/>
        <w:tabs>
          <w:tab w:val="left" w:pos="0"/>
        </w:tabs>
        <w:spacing w:after="0" w:line="240" w:lineRule="auto"/>
        <w:ind w:left="0"/>
        <w:jc w:val="both"/>
        <w:rPr>
          <w:rFonts w:ascii="Times New Roman" w:eastAsia="Times New Roman" w:hAnsi="Times New Roman" w:cs="Times New Roman"/>
          <w:bCs/>
          <w:spacing w:val="4"/>
          <w:sz w:val="28"/>
          <w:szCs w:val="28"/>
          <w:lang w:eastAsia="es-ES"/>
        </w:rPr>
      </w:pPr>
      <w:r w:rsidRPr="00DB625B">
        <w:rPr>
          <w:rFonts w:ascii="Times New Roman" w:eastAsia="Times New Roman" w:hAnsi="Times New Roman" w:cs="Times New Roman"/>
          <w:bCs/>
          <w:spacing w:val="4"/>
          <w:sz w:val="28"/>
          <w:szCs w:val="28"/>
          <w:lang w:eastAsia="es-ES"/>
        </w:rPr>
        <w:t xml:space="preserve"> Asimismo, </w:t>
      </w:r>
      <w:r w:rsidR="00BA72E1" w:rsidRPr="00DB625B">
        <w:rPr>
          <w:rFonts w:ascii="Times New Roman" w:eastAsia="Times New Roman" w:hAnsi="Times New Roman" w:cs="Times New Roman"/>
          <w:bCs/>
          <w:spacing w:val="4"/>
          <w:sz w:val="28"/>
          <w:szCs w:val="28"/>
          <w:lang w:eastAsia="es-ES"/>
        </w:rPr>
        <w:t>la demanda propone una censura cierta, en razón de</w:t>
      </w:r>
      <w:r w:rsidR="00CA65AE" w:rsidRPr="00DB625B">
        <w:rPr>
          <w:rFonts w:ascii="Times New Roman" w:eastAsia="Times New Roman" w:hAnsi="Times New Roman" w:cs="Times New Roman"/>
          <w:bCs/>
          <w:spacing w:val="4"/>
          <w:sz w:val="28"/>
          <w:szCs w:val="28"/>
          <w:lang w:eastAsia="es-ES"/>
        </w:rPr>
        <w:t xml:space="preserve"> </w:t>
      </w:r>
      <w:r w:rsidR="00BA72E1" w:rsidRPr="00DB625B">
        <w:rPr>
          <w:rFonts w:ascii="Times New Roman" w:eastAsia="Times New Roman" w:hAnsi="Times New Roman" w:cs="Times New Roman"/>
          <w:bCs/>
          <w:spacing w:val="4"/>
          <w:sz w:val="28"/>
          <w:szCs w:val="28"/>
          <w:lang w:eastAsia="es-ES"/>
        </w:rPr>
        <w:t xml:space="preserve">que </w:t>
      </w:r>
      <w:r w:rsidR="00CA65AE" w:rsidRPr="00DB625B">
        <w:rPr>
          <w:rFonts w:ascii="Times New Roman" w:eastAsia="Times New Roman" w:hAnsi="Times New Roman" w:cs="Times New Roman"/>
          <w:bCs/>
          <w:spacing w:val="4"/>
          <w:sz w:val="28"/>
          <w:szCs w:val="28"/>
          <w:lang w:eastAsia="es-ES"/>
        </w:rPr>
        <w:t xml:space="preserve">los ciudadanos </w:t>
      </w:r>
      <w:r w:rsidR="00BA72E1" w:rsidRPr="00DB625B">
        <w:rPr>
          <w:rFonts w:ascii="Times New Roman" w:eastAsia="Times New Roman" w:hAnsi="Times New Roman" w:cs="Times New Roman"/>
          <w:bCs/>
          <w:spacing w:val="4"/>
          <w:sz w:val="28"/>
          <w:szCs w:val="28"/>
          <w:lang w:eastAsia="es-ES"/>
        </w:rPr>
        <w:t>plantearon una proposición jurídica que se verifica en el artículo 217 de la Ley 1952 de 2019, esto es, la posibilidad de suspender a los funcionarios de elección popular. Así mismo, expli</w:t>
      </w:r>
      <w:r w:rsidR="00BA72E1" w:rsidRPr="00DB625B">
        <w:rPr>
          <w:rFonts w:ascii="Times New Roman" w:eastAsia="Times New Roman" w:hAnsi="Times New Roman" w:cs="Times New Roman"/>
          <w:bCs/>
          <w:spacing w:val="4"/>
          <w:sz w:val="28"/>
          <w:szCs w:val="28"/>
          <w:lang w:eastAsia="es-ES"/>
        </w:rPr>
        <w:lastRenderedPageBreak/>
        <w:t xml:space="preserve">caron que dicha opción podría tener reserva de ley estatutaria, materia regulación de derechos político, según </w:t>
      </w:r>
      <w:r w:rsidR="00CA65AE" w:rsidRPr="00DB625B">
        <w:rPr>
          <w:rFonts w:ascii="Times New Roman" w:eastAsia="Times New Roman" w:hAnsi="Times New Roman" w:cs="Times New Roman"/>
          <w:bCs/>
          <w:spacing w:val="4"/>
          <w:sz w:val="28"/>
          <w:szCs w:val="28"/>
          <w:lang w:eastAsia="es-ES"/>
        </w:rPr>
        <w:t>el artículo 152 de la Constitución.</w:t>
      </w:r>
    </w:p>
    <w:p w:rsidR="00CA65AE" w:rsidRPr="00DB625B" w:rsidRDefault="00CA65AE" w:rsidP="00DB625B">
      <w:pPr>
        <w:pStyle w:val="Prrafodelista"/>
        <w:tabs>
          <w:tab w:val="left" w:pos="0"/>
        </w:tabs>
        <w:spacing w:after="0" w:line="240" w:lineRule="auto"/>
        <w:ind w:left="0"/>
        <w:jc w:val="both"/>
        <w:rPr>
          <w:rFonts w:ascii="Times New Roman" w:eastAsia="Times New Roman" w:hAnsi="Times New Roman" w:cs="Times New Roman"/>
          <w:bCs/>
          <w:spacing w:val="4"/>
          <w:sz w:val="28"/>
          <w:szCs w:val="28"/>
          <w:lang w:eastAsia="es-ES"/>
        </w:rPr>
      </w:pPr>
    </w:p>
    <w:p w:rsidR="00BA72E1" w:rsidRPr="00DB625B" w:rsidRDefault="00BA72E1" w:rsidP="00DB625B">
      <w:pPr>
        <w:pStyle w:val="Prrafodelista"/>
        <w:tabs>
          <w:tab w:val="left" w:pos="0"/>
        </w:tabs>
        <w:spacing w:after="0" w:line="240" w:lineRule="auto"/>
        <w:ind w:left="0"/>
        <w:jc w:val="both"/>
        <w:rPr>
          <w:rFonts w:ascii="Times New Roman" w:eastAsia="Times New Roman" w:hAnsi="Times New Roman" w:cs="Times New Roman"/>
          <w:bCs/>
          <w:spacing w:val="4"/>
          <w:sz w:val="28"/>
          <w:szCs w:val="28"/>
          <w:lang w:eastAsia="es-ES"/>
        </w:rPr>
      </w:pPr>
      <w:r w:rsidRPr="00DB625B">
        <w:rPr>
          <w:rFonts w:ascii="Times New Roman" w:eastAsia="Times New Roman" w:hAnsi="Times New Roman" w:cs="Times New Roman"/>
          <w:bCs/>
          <w:spacing w:val="4"/>
          <w:sz w:val="28"/>
          <w:szCs w:val="28"/>
          <w:lang w:eastAsia="es-ES"/>
        </w:rPr>
        <w:t>La demanda observa el</w:t>
      </w:r>
      <w:r w:rsidR="00CA65AE" w:rsidRPr="00DB625B">
        <w:rPr>
          <w:rFonts w:ascii="Times New Roman" w:eastAsia="Times New Roman" w:hAnsi="Times New Roman" w:cs="Times New Roman"/>
          <w:bCs/>
          <w:spacing w:val="4"/>
          <w:sz w:val="28"/>
          <w:szCs w:val="28"/>
          <w:lang w:eastAsia="es-ES"/>
        </w:rPr>
        <w:t xml:space="preserve"> requisito</w:t>
      </w:r>
      <w:r w:rsidRPr="00DB625B">
        <w:rPr>
          <w:rFonts w:ascii="Times New Roman" w:eastAsia="Times New Roman" w:hAnsi="Times New Roman" w:cs="Times New Roman"/>
          <w:bCs/>
          <w:spacing w:val="4"/>
          <w:sz w:val="28"/>
          <w:szCs w:val="28"/>
          <w:lang w:eastAsia="es-ES"/>
        </w:rPr>
        <w:t xml:space="preserve"> de especificidad</w:t>
      </w:r>
      <w:r w:rsidR="00CA65AE" w:rsidRPr="00DB625B">
        <w:rPr>
          <w:rFonts w:ascii="Times New Roman" w:eastAsia="Times New Roman" w:hAnsi="Times New Roman" w:cs="Times New Roman"/>
          <w:bCs/>
          <w:spacing w:val="4"/>
          <w:sz w:val="28"/>
          <w:szCs w:val="28"/>
          <w:lang w:eastAsia="es-ES"/>
        </w:rPr>
        <w:t xml:space="preserve">. Los demandantes proponen un problema de validez constitucional basado en la competencia del legislador para regular derechos fundamentales mediante la ley. Para los ciudadanos, la suspensión provisional de </w:t>
      </w:r>
      <w:r w:rsidRPr="00DB625B">
        <w:rPr>
          <w:rFonts w:ascii="Times New Roman" w:eastAsia="Times New Roman" w:hAnsi="Times New Roman" w:cs="Times New Roman"/>
          <w:bCs/>
          <w:spacing w:val="4"/>
          <w:sz w:val="28"/>
          <w:szCs w:val="28"/>
          <w:lang w:eastAsia="es-ES"/>
        </w:rPr>
        <w:t xml:space="preserve">los </w:t>
      </w:r>
      <w:r w:rsidR="00CA65AE" w:rsidRPr="00DB625B">
        <w:rPr>
          <w:rFonts w:ascii="Times New Roman" w:eastAsia="Times New Roman" w:hAnsi="Times New Roman" w:cs="Times New Roman"/>
          <w:bCs/>
          <w:spacing w:val="4"/>
          <w:sz w:val="28"/>
          <w:szCs w:val="28"/>
          <w:lang w:eastAsia="es-ES"/>
        </w:rPr>
        <w:t xml:space="preserve">servidores públicos elegidos popularmente implica una afectación al ámbito irreductible de protección de los derechos políticos (ser elegido). </w:t>
      </w:r>
      <w:r w:rsidR="00AB1324" w:rsidRPr="00DB625B">
        <w:rPr>
          <w:rFonts w:ascii="Times New Roman" w:eastAsia="Times New Roman" w:hAnsi="Times New Roman" w:cs="Times New Roman"/>
          <w:bCs/>
          <w:spacing w:val="4"/>
          <w:sz w:val="28"/>
          <w:szCs w:val="28"/>
          <w:lang w:eastAsia="es-ES"/>
        </w:rPr>
        <w:t xml:space="preserve">A su vez, referenciaron la jurisprudencia constitucional que </w:t>
      </w:r>
      <w:r w:rsidR="001223A1" w:rsidRPr="00DB625B">
        <w:rPr>
          <w:rFonts w:ascii="Times New Roman" w:eastAsia="Times New Roman" w:hAnsi="Times New Roman" w:cs="Times New Roman"/>
          <w:bCs/>
          <w:spacing w:val="4"/>
          <w:sz w:val="28"/>
          <w:szCs w:val="28"/>
          <w:lang w:eastAsia="es-ES"/>
        </w:rPr>
        <w:t>recoge</w:t>
      </w:r>
      <w:r w:rsidR="00AB1324" w:rsidRPr="00DB625B">
        <w:rPr>
          <w:rFonts w:ascii="Times New Roman" w:eastAsia="Times New Roman" w:hAnsi="Times New Roman" w:cs="Times New Roman"/>
          <w:bCs/>
          <w:spacing w:val="4"/>
          <w:sz w:val="28"/>
          <w:szCs w:val="28"/>
          <w:lang w:eastAsia="es-ES"/>
        </w:rPr>
        <w:t xml:space="preserve"> los criterios relevantes para identificar las normas que deben objeto de ese trámite cualificado.</w:t>
      </w:r>
      <w:r w:rsidR="001223A1" w:rsidRPr="00DB625B">
        <w:rPr>
          <w:rFonts w:ascii="Times New Roman" w:eastAsia="Times New Roman" w:hAnsi="Times New Roman" w:cs="Times New Roman"/>
          <w:bCs/>
          <w:spacing w:val="4"/>
          <w:sz w:val="28"/>
          <w:szCs w:val="28"/>
          <w:lang w:eastAsia="es-ES"/>
        </w:rPr>
        <w:t xml:space="preserve"> Se trata de una oposición particular y concreta entre la disposición atacada y el artículo 152 Superior. </w:t>
      </w:r>
    </w:p>
    <w:p w:rsidR="00BA72E1" w:rsidRPr="00DB625B" w:rsidRDefault="00BA72E1" w:rsidP="00DB625B">
      <w:pPr>
        <w:pStyle w:val="Prrafodelista"/>
        <w:tabs>
          <w:tab w:val="left" w:pos="0"/>
        </w:tabs>
        <w:spacing w:after="0" w:line="240" w:lineRule="auto"/>
        <w:ind w:left="0"/>
        <w:jc w:val="both"/>
        <w:rPr>
          <w:rFonts w:ascii="Times New Roman" w:eastAsia="Times New Roman" w:hAnsi="Times New Roman" w:cs="Times New Roman"/>
          <w:bCs/>
          <w:spacing w:val="4"/>
          <w:sz w:val="28"/>
          <w:szCs w:val="28"/>
          <w:lang w:eastAsia="es-ES"/>
        </w:rPr>
      </w:pPr>
    </w:p>
    <w:p w:rsidR="00CA65AE" w:rsidRPr="00DB625B" w:rsidRDefault="001223A1" w:rsidP="00DB625B">
      <w:pPr>
        <w:pStyle w:val="Prrafodelista"/>
        <w:tabs>
          <w:tab w:val="left" w:pos="0"/>
        </w:tabs>
        <w:spacing w:after="0" w:line="240" w:lineRule="auto"/>
        <w:ind w:left="0"/>
        <w:jc w:val="both"/>
        <w:rPr>
          <w:rFonts w:ascii="Times New Roman" w:eastAsia="Times New Roman" w:hAnsi="Times New Roman" w:cs="Times New Roman"/>
          <w:bCs/>
          <w:spacing w:val="4"/>
          <w:sz w:val="28"/>
          <w:szCs w:val="28"/>
          <w:lang w:eastAsia="es-ES"/>
        </w:rPr>
      </w:pPr>
      <w:r w:rsidRPr="00DB625B">
        <w:rPr>
          <w:rFonts w:ascii="Times New Roman" w:eastAsia="Times New Roman" w:hAnsi="Times New Roman" w:cs="Times New Roman"/>
          <w:bCs/>
          <w:spacing w:val="4"/>
          <w:sz w:val="28"/>
          <w:szCs w:val="28"/>
          <w:lang w:eastAsia="es-ES"/>
        </w:rPr>
        <w:t xml:space="preserve">De igual forma; se encuentra la demanda sustentó su inconformidad con la disposición cuestionada en argumentos de índole constitucional, dado que cuestionó la competencia que otorga la norma superior al legislador ordinario para expedir la norma. Por ende, la censura </w:t>
      </w:r>
      <w:r w:rsidR="00CA65AE" w:rsidRPr="00DB625B">
        <w:rPr>
          <w:rFonts w:ascii="Times New Roman" w:eastAsia="Times New Roman" w:hAnsi="Times New Roman" w:cs="Times New Roman"/>
          <w:bCs/>
          <w:spacing w:val="4"/>
          <w:sz w:val="28"/>
          <w:szCs w:val="28"/>
          <w:lang w:eastAsia="es-ES"/>
        </w:rPr>
        <w:t xml:space="preserve">no es una mera discusión sobre la conveniencia de someter a este tipo de servidores públicos a </w:t>
      </w:r>
      <w:r w:rsidR="00943A9A" w:rsidRPr="00DB625B">
        <w:rPr>
          <w:rFonts w:ascii="Times New Roman" w:eastAsia="Times New Roman" w:hAnsi="Times New Roman" w:cs="Times New Roman"/>
          <w:bCs/>
          <w:spacing w:val="4"/>
          <w:sz w:val="28"/>
          <w:szCs w:val="28"/>
          <w:lang w:eastAsia="es-ES"/>
        </w:rPr>
        <w:t>esta clase de medidas o a los alcances interpretativos del artículo 217 de la Ley 1952 de 2019.</w:t>
      </w:r>
    </w:p>
    <w:p w:rsidR="00943A9A" w:rsidRPr="00DB625B" w:rsidRDefault="00943A9A" w:rsidP="00DB625B">
      <w:pPr>
        <w:pStyle w:val="Prrafodelista"/>
        <w:tabs>
          <w:tab w:val="left" w:pos="0"/>
        </w:tabs>
        <w:spacing w:after="0" w:line="240" w:lineRule="auto"/>
        <w:ind w:left="0"/>
        <w:jc w:val="both"/>
        <w:rPr>
          <w:rFonts w:ascii="Times New Roman" w:eastAsia="Times New Roman" w:hAnsi="Times New Roman" w:cs="Times New Roman"/>
          <w:bCs/>
          <w:spacing w:val="4"/>
          <w:sz w:val="28"/>
          <w:szCs w:val="28"/>
          <w:lang w:eastAsia="es-ES"/>
        </w:rPr>
      </w:pPr>
    </w:p>
    <w:p w:rsidR="00943A9A" w:rsidRPr="00DB625B" w:rsidRDefault="001223A1" w:rsidP="00DB625B">
      <w:pPr>
        <w:pStyle w:val="Prrafodelista"/>
        <w:tabs>
          <w:tab w:val="left" w:pos="0"/>
        </w:tabs>
        <w:spacing w:after="0" w:line="240" w:lineRule="auto"/>
        <w:ind w:left="0"/>
        <w:jc w:val="both"/>
        <w:rPr>
          <w:rFonts w:ascii="Times New Roman" w:eastAsia="Times New Roman" w:hAnsi="Times New Roman" w:cs="Times New Roman"/>
          <w:bCs/>
          <w:spacing w:val="4"/>
          <w:sz w:val="28"/>
          <w:szCs w:val="28"/>
          <w:lang w:eastAsia="es-ES"/>
        </w:rPr>
      </w:pPr>
      <w:r w:rsidRPr="00DB625B">
        <w:rPr>
          <w:rFonts w:ascii="Times New Roman" w:eastAsia="Times New Roman" w:hAnsi="Times New Roman" w:cs="Times New Roman"/>
          <w:bCs/>
          <w:spacing w:val="4"/>
          <w:sz w:val="28"/>
          <w:szCs w:val="28"/>
          <w:lang w:eastAsia="es-ES"/>
        </w:rPr>
        <w:t>E</w:t>
      </w:r>
      <w:r w:rsidR="00943A9A" w:rsidRPr="00DB625B">
        <w:rPr>
          <w:rFonts w:ascii="Times New Roman" w:eastAsia="Times New Roman" w:hAnsi="Times New Roman" w:cs="Times New Roman"/>
          <w:bCs/>
          <w:spacing w:val="4"/>
          <w:sz w:val="28"/>
          <w:szCs w:val="28"/>
          <w:lang w:eastAsia="es-ES"/>
        </w:rPr>
        <w:t>sta Corporación considera que la demanda cumple con el requisito de suficiencia, pues existe una duda mínima en torno a la posible reserva legal en materia de las sanciones y medidas provisionales sobre servidores públicos elegidos popularmente en el contexto disciplinario, en especial, cuando esta Corporación ha sostenido que estos servidores públicos son titulares al derecho fundamental a ser elegidos y que este derecho se encuentra afectado -proporcionalmente-, en los casos en que la autoridad disciplinaria lo suspende, lo destituye y lo inhabilita</w:t>
      </w:r>
      <w:r w:rsidR="00943A9A" w:rsidRPr="00DB625B">
        <w:rPr>
          <w:rStyle w:val="Refdenotaalpie"/>
          <w:rFonts w:ascii="Times New Roman" w:eastAsia="Times New Roman" w:hAnsi="Times New Roman" w:cs="Times New Roman"/>
          <w:bCs/>
          <w:spacing w:val="4"/>
          <w:sz w:val="28"/>
          <w:szCs w:val="28"/>
          <w:lang w:eastAsia="es-ES"/>
        </w:rPr>
        <w:footnoteReference w:id="28"/>
      </w:r>
      <w:r w:rsidR="00943A9A" w:rsidRPr="00DB625B">
        <w:rPr>
          <w:rFonts w:ascii="Times New Roman" w:eastAsia="Times New Roman" w:hAnsi="Times New Roman" w:cs="Times New Roman"/>
          <w:bCs/>
          <w:spacing w:val="4"/>
          <w:sz w:val="28"/>
          <w:szCs w:val="28"/>
          <w:lang w:eastAsia="es-ES"/>
        </w:rPr>
        <w:t xml:space="preserve">. </w:t>
      </w:r>
    </w:p>
    <w:p w:rsidR="00943A9A" w:rsidRPr="00DB625B" w:rsidRDefault="00943A9A" w:rsidP="00DB625B">
      <w:pPr>
        <w:pStyle w:val="Prrafodelista"/>
        <w:tabs>
          <w:tab w:val="left" w:pos="0"/>
        </w:tabs>
        <w:spacing w:after="0" w:line="240" w:lineRule="auto"/>
        <w:ind w:left="0"/>
        <w:jc w:val="both"/>
        <w:rPr>
          <w:rFonts w:ascii="Times New Roman" w:eastAsia="Times New Roman" w:hAnsi="Times New Roman" w:cs="Times New Roman"/>
          <w:bCs/>
          <w:spacing w:val="4"/>
          <w:sz w:val="28"/>
          <w:szCs w:val="28"/>
          <w:lang w:eastAsia="es-ES"/>
        </w:rPr>
      </w:pPr>
    </w:p>
    <w:p w:rsidR="00170FDF" w:rsidRPr="00DB625B" w:rsidRDefault="00170FDF" w:rsidP="00DB625B">
      <w:pPr>
        <w:pStyle w:val="Prrafodelista"/>
        <w:tabs>
          <w:tab w:val="left" w:pos="0"/>
        </w:tabs>
        <w:spacing w:after="0" w:line="240" w:lineRule="auto"/>
        <w:ind w:left="0"/>
        <w:jc w:val="both"/>
        <w:rPr>
          <w:rFonts w:ascii="Times New Roman" w:eastAsia="Times New Roman" w:hAnsi="Times New Roman" w:cs="Times New Roman"/>
          <w:bCs/>
          <w:spacing w:val="4"/>
          <w:sz w:val="28"/>
          <w:szCs w:val="28"/>
          <w:lang w:eastAsia="es-ES"/>
        </w:rPr>
      </w:pPr>
      <w:r w:rsidRPr="00DB625B">
        <w:rPr>
          <w:rFonts w:ascii="Times New Roman" w:eastAsia="Times New Roman" w:hAnsi="Times New Roman" w:cs="Times New Roman"/>
          <w:bCs/>
          <w:spacing w:val="4"/>
          <w:sz w:val="28"/>
          <w:szCs w:val="28"/>
          <w:lang w:eastAsia="es-ES"/>
        </w:rPr>
        <w:t xml:space="preserve">Por consiguiente, la Corte estudiará de fondo la demanda presentada contra </w:t>
      </w:r>
      <w:r w:rsidR="000533C4" w:rsidRPr="00DB625B">
        <w:rPr>
          <w:rFonts w:ascii="Times New Roman" w:eastAsia="Times New Roman" w:hAnsi="Times New Roman" w:cs="Times New Roman"/>
          <w:bCs/>
          <w:spacing w:val="4"/>
          <w:sz w:val="28"/>
          <w:szCs w:val="28"/>
          <w:lang w:eastAsia="es-ES"/>
        </w:rPr>
        <w:t>el artículo 217 de la Ley 1952 de 2019</w:t>
      </w:r>
      <w:r w:rsidRPr="00DB625B">
        <w:rPr>
          <w:rFonts w:ascii="Times New Roman" w:eastAsia="Times New Roman" w:hAnsi="Times New Roman" w:cs="Times New Roman"/>
          <w:bCs/>
          <w:spacing w:val="4"/>
          <w:sz w:val="28"/>
          <w:szCs w:val="28"/>
          <w:lang w:eastAsia="es-ES"/>
        </w:rPr>
        <w:t>, en tanto el cargo cumple con las exigencias requeridas para iniciar un control de constitucionalidad sobre</w:t>
      </w:r>
      <w:r w:rsidR="001223A1" w:rsidRPr="00DB625B">
        <w:rPr>
          <w:rFonts w:ascii="Times New Roman" w:eastAsia="Times New Roman" w:hAnsi="Times New Roman" w:cs="Times New Roman"/>
          <w:bCs/>
          <w:spacing w:val="4"/>
          <w:sz w:val="28"/>
          <w:szCs w:val="28"/>
          <w:lang w:eastAsia="es-ES"/>
        </w:rPr>
        <w:t xml:space="preserve"> una norma de rango legal</w:t>
      </w:r>
      <w:r w:rsidRPr="00DB625B">
        <w:rPr>
          <w:rFonts w:ascii="Times New Roman" w:eastAsia="Times New Roman" w:hAnsi="Times New Roman" w:cs="Times New Roman"/>
          <w:bCs/>
          <w:spacing w:val="4"/>
          <w:sz w:val="28"/>
          <w:szCs w:val="28"/>
          <w:lang w:val="es-ES_tradnl" w:eastAsia="es-ES"/>
        </w:rPr>
        <w:t xml:space="preserve">. </w:t>
      </w:r>
    </w:p>
    <w:p w:rsidR="00170FDF" w:rsidRPr="00DB625B" w:rsidRDefault="00170FDF" w:rsidP="00DB625B">
      <w:pPr>
        <w:pStyle w:val="Prrafodelista"/>
        <w:tabs>
          <w:tab w:val="left" w:pos="0"/>
        </w:tabs>
        <w:spacing w:after="0" w:line="240" w:lineRule="auto"/>
        <w:ind w:left="0"/>
        <w:jc w:val="both"/>
        <w:rPr>
          <w:rFonts w:ascii="Times New Roman" w:eastAsia="Times New Roman" w:hAnsi="Times New Roman" w:cs="Times New Roman"/>
          <w:b/>
          <w:bCs/>
          <w:spacing w:val="4"/>
          <w:sz w:val="28"/>
          <w:szCs w:val="28"/>
          <w:lang w:val="es-ES_tradnl" w:eastAsia="es-ES"/>
        </w:rPr>
      </w:pPr>
    </w:p>
    <w:p w:rsidR="00170FDF" w:rsidRPr="00DB625B" w:rsidRDefault="00170FDF" w:rsidP="00DB625B">
      <w:pPr>
        <w:tabs>
          <w:tab w:val="left" w:pos="0"/>
        </w:tabs>
        <w:spacing w:after="0" w:line="240" w:lineRule="auto"/>
        <w:jc w:val="both"/>
        <w:rPr>
          <w:rFonts w:ascii="Times New Roman" w:eastAsia="Times New Roman" w:hAnsi="Times New Roman" w:cs="Times New Roman"/>
          <w:b/>
          <w:bCs/>
          <w:spacing w:val="4"/>
          <w:sz w:val="28"/>
          <w:szCs w:val="28"/>
          <w:lang w:val="es-ES_tradnl" w:eastAsia="es-ES"/>
        </w:rPr>
      </w:pPr>
      <w:r w:rsidRPr="00DB625B">
        <w:rPr>
          <w:rFonts w:ascii="Times New Roman" w:eastAsia="Times New Roman" w:hAnsi="Times New Roman" w:cs="Times New Roman"/>
          <w:b/>
          <w:bCs/>
          <w:spacing w:val="4"/>
          <w:sz w:val="28"/>
          <w:szCs w:val="28"/>
          <w:lang w:val="es-ES_tradnl" w:eastAsia="es-ES"/>
        </w:rPr>
        <w:t xml:space="preserve">Problema jurídico </w:t>
      </w:r>
    </w:p>
    <w:p w:rsidR="00170FDF" w:rsidRPr="00DB625B" w:rsidRDefault="00170FDF" w:rsidP="00DB625B">
      <w:pPr>
        <w:tabs>
          <w:tab w:val="left" w:pos="0"/>
        </w:tabs>
        <w:spacing w:after="0" w:line="240" w:lineRule="auto"/>
        <w:jc w:val="both"/>
        <w:rPr>
          <w:rFonts w:ascii="Times New Roman" w:eastAsia="Times New Roman" w:hAnsi="Times New Roman" w:cs="Times New Roman"/>
          <w:b/>
          <w:bCs/>
          <w:spacing w:val="4"/>
          <w:sz w:val="28"/>
          <w:szCs w:val="28"/>
          <w:lang w:val="es-ES_tradnl" w:eastAsia="es-ES"/>
        </w:rPr>
      </w:pPr>
    </w:p>
    <w:p w:rsidR="00170FDF" w:rsidRPr="00DB625B" w:rsidRDefault="00170FDF" w:rsidP="00DB625B">
      <w:pPr>
        <w:pStyle w:val="Prrafodelista"/>
        <w:numPr>
          <w:ilvl w:val="0"/>
          <w:numId w:val="24"/>
        </w:numPr>
        <w:tabs>
          <w:tab w:val="left" w:pos="0"/>
        </w:tabs>
        <w:spacing w:after="0" w:line="240" w:lineRule="auto"/>
        <w:ind w:left="0" w:firstLine="0"/>
        <w:jc w:val="both"/>
        <w:rPr>
          <w:rFonts w:ascii="Times New Roman" w:eastAsia="Times New Roman" w:hAnsi="Times New Roman" w:cs="Times New Roman"/>
          <w:b/>
          <w:bCs/>
          <w:spacing w:val="4"/>
          <w:sz w:val="28"/>
          <w:szCs w:val="28"/>
          <w:lang w:val="es-ES_tradnl" w:eastAsia="es-ES"/>
        </w:rPr>
      </w:pPr>
      <w:r w:rsidRPr="00DB625B">
        <w:rPr>
          <w:rFonts w:ascii="Times New Roman" w:eastAsia="Times New Roman" w:hAnsi="Times New Roman" w:cs="Times New Roman"/>
          <w:sz w:val="28"/>
          <w:szCs w:val="28"/>
          <w:lang w:val="es-ES" w:eastAsia="es-ES"/>
        </w:rPr>
        <w:lastRenderedPageBreak/>
        <w:t xml:space="preserve">De conformidad con el debate planteado por los demandantes y los intervinientes en este juicio, corresponde a la Corte resolver el siguiente problema jurídico: </w:t>
      </w:r>
      <w:r w:rsidR="00407330" w:rsidRPr="00DB625B">
        <w:rPr>
          <w:rFonts w:ascii="Times New Roman" w:eastAsia="Times New Roman" w:hAnsi="Times New Roman" w:cs="Times New Roman"/>
          <w:sz w:val="28"/>
          <w:szCs w:val="28"/>
          <w:lang w:val="es-ES" w:eastAsia="es-ES"/>
        </w:rPr>
        <w:t>¿El artículo</w:t>
      </w:r>
      <w:r w:rsidR="00EA3CB7" w:rsidRPr="00DB625B">
        <w:rPr>
          <w:rFonts w:ascii="Times New Roman" w:eastAsia="Times New Roman" w:hAnsi="Times New Roman" w:cs="Times New Roman"/>
          <w:sz w:val="28"/>
          <w:szCs w:val="28"/>
          <w:lang w:val="es-ES" w:eastAsia="es-ES"/>
        </w:rPr>
        <w:t xml:space="preserve"> </w:t>
      </w:r>
      <w:r w:rsidR="00407330" w:rsidRPr="00DB625B">
        <w:rPr>
          <w:rFonts w:ascii="Times New Roman" w:eastAsia="Times New Roman" w:hAnsi="Times New Roman" w:cs="Times New Roman"/>
          <w:sz w:val="28"/>
          <w:szCs w:val="28"/>
          <w:lang w:val="es-ES" w:eastAsia="es-ES"/>
        </w:rPr>
        <w:t xml:space="preserve">217 </w:t>
      </w:r>
      <w:r w:rsidR="00B2489F" w:rsidRPr="00DB625B">
        <w:rPr>
          <w:rFonts w:ascii="Times New Roman" w:eastAsia="Times New Roman" w:hAnsi="Times New Roman" w:cs="Times New Roman"/>
          <w:sz w:val="28"/>
          <w:szCs w:val="28"/>
          <w:lang w:val="es-ES" w:eastAsia="es-ES"/>
        </w:rPr>
        <w:t>de la  Ley 1952 de 2019</w:t>
      </w:r>
      <w:r w:rsidR="00EA3CB7" w:rsidRPr="00DB625B">
        <w:rPr>
          <w:rFonts w:ascii="Times New Roman" w:eastAsia="Times New Roman" w:hAnsi="Times New Roman" w:cs="Times New Roman"/>
          <w:sz w:val="28"/>
          <w:szCs w:val="28"/>
          <w:lang w:val="es-ES" w:eastAsia="es-ES"/>
        </w:rPr>
        <w:t xml:space="preserve"> </w:t>
      </w:r>
      <w:r w:rsidR="00B2489F" w:rsidRPr="00DB625B">
        <w:rPr>
          <w:rFonts w:ascii="Times New Roman" w:eastAsia="Times New Roman" w:hAnsi="Times New Roman" w:cs="Times New Roman"/>
          <w:sz w:val="28"/>
          <w:szCs w:val="28"/>
          <w:lang w:val="es-ES" w:eastAsia="es-ES"/>
        </w:rPr>
        <w:t>desconoció</w:t>
      </w:r>
      <w:r w:rsidR="00D83911" w:rsidRPr="00DB625B">
        <w:rPr>
          <w:rFonts w:ascii="Times New Roman" w:eastAsia="Times New Roman" w:hAnsi="Times New Roman" w:cs="Times New Roman"/>
          <w:sz w:val="28"/>
          <w:szCs w:val="28"/>
          <w:lang w:val="es-ES" w:eastAsia="es-ES"/>
        </w:rPr>
        <w:t xml:space="preserve"> los artículos 152 y 153</w:t>
      </w:r>
      <w:r w:rsidR="00EA3CB7" w:rsidRPr="00DB625B">
        <w:rPr>
          <w:rFonts w:ascii="Times New Roman" w:eastAsia="Times New Roman" w:hAnsi="Times New Roman" w:cs="Times New Roman"/>
          <w:sz w:val="28"/>
          <w:szCs w:val="28"/>
          <w:lang w:val="es-ES" w:eastAsia="es-ES"/>
        </w:rPr>
        <w:t>, al</w:t>
      </w:r>
      <w:r w:rsidR="00B2489F" w:rsidRPr="00DB625B">
        <w:rPr>
          <w:rFonts w:ascii="Times New Roman" w:eastAsia="Times New Roman" w:hAnsi="Times New Roman" w:cs="Times New Roman"/>
          <w:sz w:val="28"/>
          <w:szCs w:val="28"/>
          <w:lang w:val="es-ES" w:eastAsia="es-ES"/>
        </w:rPr>
        <w:t xml:space="preserve"> permitir que una autoridad administrativa suspenda provisionalmente a los empleados p</w:t>
      </w:r>
      <w:r w:rsidR="009F54E2" w:rsidRPr="00DB625B">
        <w:rPr>
          <w:rFonts w:ascii="Times New Roman" w:eastAsia="Times New Roman" w:hAnsi="Times New Roman" w:cs="Times New Roman"/>
          <w:sz w:val="28"/>
          <w:szCs w:val="28"/>
          <w:lang w:val="es-ES" w:eastAsia="es-ES"/>
        </w:rPr>
        <w:t>úblicos elegidos popularmente</w:t>
      </w:r>
      <w:r w:rsidR="00EA3CB7" w:rsidRPr="00DB625B">
        <w:rPr>
          <w:rFonts w:ascii="Times New Roman" w:eastAsia="Times New Roman" w:hAnsi="Times New Roman" w:cs="Times New Roman"/>
          <w:sz w:val="28"/>
          <w:szCs w:val="28"/>
          <w:lang w:val="es-ES" w:eastAsia="es-ES"/>
        </w:rPr>
        <w:t xml:space="preserve">, </w:t>
      </w:r>
      <w:r w:rsidR="009F54E2" w:rsidRPr="00DB625B">
        <w:rPr>
          <w:rFonts w:ascii="Times New Roman" w:eastAsia="Times New Roman" w:hAnsi="Times New Roman" w:cs="Times New Roman"/>
          <w:sz w:val="28"/>
          <w:szCs w:val="28"/>
          <w:lang w:val="es-ES" w:eastAsia="es-ES"/>
        </w:rPr>
        <w:t xml:space="preserve">disposición que, según las demandantes, tiene </w:t>
      </w:r>
      <w:r w:rsidR="00EA3CB7" w:rsidRPr="00DB625B">
        <w:rPr>
          <w:rFonts w:ascii="Times New Roman" w:eastAsia="Times New Roman" w:hAnsi="Times New Roman" w:cs="Times New Roman"/>
          <w:sz w:val="28"/>
          <w:szCs w:val="28"/>
          <w:lang w:val="es-ES" w:eastAsia="es-ES"/>
        </w:rPr>
        <w:t>reserva de ley estatu</w:t>
      </w:r>
      <w:r w:rsidR="009F54E2" w:rsidRPr="00DB625B">
        <w:rPr>
          <w:rFonts w:ascii="Times New Roman" w:eastAsia="Times New Roman" w:hAnsi="Times New Roman" w:cs="Times New Roman"/>
          <w:sz w:val="28"/>
          <w:szCs w:val="28"/>
          <w:lang w:val="es-ES" w:eastAsia="es-ES"/>
        </w:rPr>
        <w:t>taria, debido a que interfiere de manera desproporcionada</w:t>
      </w:r>
      <w:r w:rsidR="00FC5311" w:rsidRPr="00DB625B">
        <w:rPr>
          <w:rFonts w:ascii="Times New Roman" w:eastAsia="Times New Roman" w:hAnsi="Times New Roman" w:cs="Times New Roman"/>
          <w:sz w:val="28"/>
          <w:szCs w:val="28"/>
          <w:lang w:val="es-ES" w:eastAsia="es-ES"/>
        </w:rPr>
        <w:t xml:space="preserve"> </w:t>
      </w:r>
      <w:r w:rsidR="009F54E2" w:rsidRPr="00DB625B">
        <w:rPr>
          <w:rFonts w:ascii="Times New Roman" w:eastAsia="Times New Roman" w:hAnsi="Times New Roman" w:cs="Times New Roman"/>
          <w:sz w:val="28"/>
          <w:szCs w:val="28"/>
          <w:lang w:val="es-ES" w:eastAsia="es-ES"/>
        </w:rPr>
        <w:t>e</w:t>
      </w:r>
      <w:r w:rsidR="00EA3CB7" w:rsidRPr="00DB625B">
        <w:rPr>
          <w:rFonts w:ascii="Times New Roman" w:eastAsia="Times New Roman" w:hAnsi="Times New Roman" w:cs="Times New Roman"/>
          <w:sz w:val="28"/>
          <w:szCs w:val="28"/>
          <w:lang w:val="es-ES" w:eastAsia="es-ES"/>
        </w:rPr>
        <w:t>l</w:t>
      </w:r>
      <w:r w:rsidR="009F54E2" w:rsidRPr="00DB625B">
        <w:rPr>
          <w:rFonts w:ascii="Times New Roman" w:eastAsia="Times New Roman" w:hAnsi="Times New Roman" w:cs="Times New Roman"/>
          <w:sz w:val="28"/>
          <w:szCs w:val="28"/>
          <w:lang w:val="es-ES" w:eastAsia="es-ES"/>
        </w:rPr>
        <w:t xml:space="preserve"> núcleo del</w:t>
      </w:r>
      <w:r w:rsidR="00EA3CB7" w:rsidRPr="00DB625B">
        <w:rPr>
          <w:rFonts w:ascii="Times New Roman" w:eastAsia="Times New Roman" w:hAnsi="Times New Roman" w:cs="Times New Roman"/>
          <w:sz w:val="28"/>
          <w:szCs w:val="28"/>
          <w:lang w:val="es-ES" w:eastAsia="es-ES"/>
        </w:rPr>
        <w:t xml:space="preserve"> derecho fundament</w:t>
      </w:r>
      <w:r w:rsidR="009F54E2" w:rsidRPr="00DB625B">
        <w:rPr>
          <w:rFonts w:ascii="Times New Roman" w:eastAsia="Times New Roman" w:hAnsi="Times New Roman" w:cs="Times New Roman"/>
          <w:sz w:val="28"/>
          <w:szCs w:val="28"/>
          <w:lang w:val="es-ES" w:eastAsia="es-ES"/>
        </w:rPr>
        <w:t>al a ejercer el derecho</w:t>
      </w:r>
      <w:r w:rsidR="00B2489F" w:rsidRPr="00DB625B">
        <w:rPr>
          <w:rFonts w:ascii="Times New Roman" w:eastAsia="Times New Roman" w:hAnsi="Times New Roman" w:cs="Times New Roman"/>
          <w:sz w:val="28"/>
          <w:szCs w:val="28"/>
          <w:lang w:val="es-ES" w:eastAsia="es-ES"/>
        </w:rPr>
        <w:t xml:space="preserve"> pol</w:t>
      </w:r>
      <w:r w:rsidR="009F54E2" w:rsidRPr="00DB625B">
        <w:rPr>
          <w:rFonts w:ascii="Times New Roman" w:eastAsia="Times New Roman" w:hAnsi="Times New Roman" w:cs="Times New Roman"/>
          <w:sz w:val="28"/>
          <w:szCs w:val="28"/>
          <w:lang w:val="es-ES" w:eastAsia="es-ES"/>
        </w:rPr>
        <w:t>ítico a</w:t>
      </w:r>
      <w:r w:rsidR="00FC5311" w:rsidRPr="00DB625B">
        <w:rPr>
          <w:rFonts w:ascii="Times New Roman" w:eastAsia="Times New Roman" w:hAnsi="Times New Roman" w:cs="Times New Roman"/>
          <w:sz w:val="28"/>
          <w:szCs w:val="28"/>
          <w:lang w:val="es-ES" w:eastAsia="es-ES"/>
        </w:rPr>
        <w:t xml:space="preserve"> ocupar cargos públicos</w:t>
      </w:r>
      <w:r w:rsidR="00EA3CB7" w:rsidRPr="00DB625B">
        <w:rPr>
          <w:rFonts w:ascii="Times New Roman" w:eastAsia="Times New Roman" w:hAnsi="Times New Roman" w:cs="Times New Roman"/>
          <w:sz w:val="28"/>
          <w:szCs w:val="28"/>
          <w:lang w:val="es-ES" w:eastAsia="es-ES"/>
        </w:rPr>
        <w:t>?</w:t>
      </w:r>
    </w:p>
    <w:p w:rsidR="00EA3CB7" w:rsidRPr="00DB625B" w:rsidRDefault="00EA3CB7" w:rsidP="00DB625B">
      <w:pPr>
        <w:pStyle w:val="Prrafodelista"/>
        <w:tabs>
          <w:tab w:val="left" w:pos="0"/>
        </w:tabs>
        <w:spacing w:after="0" w:line="240" w:lineRule="auto"/>
        <w:ind w:left="0"/>
        <w:jc w:val="both"/>
        <w:rPr>
          <w:rFonts w:ascii="Times New Roman" w:eastAsia="Times New Roman" w:hAnsi="Times New Roman" w:cs="Times New Roman"/>
          <w:b/>
          <w:bCs/>
          <w:spacing w:val="4"/>
          <w:sz w:val="28"/>
          <w:szCs w:val="28"/>
          <w:lang w:val="es-ES_tradnl" w:eastAsia="es-ES"/>
        </w:rPr>
      </w:pPr>
    </w:p>
    <w:p w:rsidR="00170FDF" w:rsidRPr="00DB625B" w:rsidRDefault="00170FDF" w:rsidP="00DB625B">
      <w:pPr>
        <w:pStyle w:val="Prrafodelista"/>
        <w:numPr>
          <w:ilvl w:val="0"/>
          <w:numId w:val="24"/>
        </w:numPr>
        <w:tabs>
          <w:tab w:val="left" w:pos="0"/>
        </w:tabs>
        <w:spacing w:after="0" w:line="240" w:lineRule="auto"/>
        <w:ind w:left="0" w:firstLine="0"/>
        <w:jc w:val="both"/>
        <w:rPr>
          <w:rFonts w:ascii="Times New Roman" w:eastAsia="Times New Roman" w:hAnsi="Times New Roman" w:cs="Times New Roman"/>
          <w:b/>
          <w:bCs/>
          <w:spacing w:val="4"/>
          <w:sz w:val="28"/>
          <w:szCs w:val="28"/>
          <w:lang w:val="es-ES_tradnl" w:eastAsia="es-ES"/>
        </w:rPr>
      </w:pPr>
      <w:r w:rsidRPr="00DB625B">
        <w:rPr>
          <w:rFonts w:ascii="Times New Roman" w:eastAsia="Times New Roman" w:hAnsi="Times New Roman" w:cs="Times New Roman"/>
          <w:bCs/>
          <w:spacing w:val="4"/>
          <w:sz w:val="28"/>
          <w:szCs w:val="28"/>
          <w:lang w:val="es-ES_tradnl" w:eastAsia="es-ES"/>
        </w:rPr>
        <w:t xml:space="preserve">Para resolver ese interrogante de derecho, la Sala adoptará la </w:t>
      </w:r>
      <w:r w:rsidR="00EA3CB7" w:rsidRPr="00DB625B">
        <w:rPr>
          <w:rFonts w:ascii="Times New Roman" w:eastAsia="Times New Roman" w:hAnsi="Times New Roman" w:cs="Times New Roman"/>
          <w:bCs/>
          <w:spacing w:val="4"/>
          <w:sz w:val="28"/>
          <w:szCs w:val="28"/>
          <w:lang w:val="es-ES_tradnl" w:eastAsia="es-ES"/>
        </w:rPr>
        <w:t xml:space="preserve">siguiente metodología: </w:t>
      </w:r>
      <w:r w:rsidR="00EA3CB7" w:rsidRPr="00DB625B">
        <w:rPr>
          <w:rFonts w:ascii="Times New Roman" w:hAnsi="Times New Roman" w:cs="Times New Roman"/>
          <w:color w:val="000000"/>
          <w:sz w:val="28"/>
          <w:szCs w:val="28"/>
          <w:shd w:val="clear" w:color="auto" w:fill="FFFFFF"/>
        </w:rPr>
        <w:t>i) reseñará en forma breve la jurisprudencia que explica cuando un derecho fundamental debe ser regulado por ley estatutaria, en especial en el derecho político a ocupar cargos públicos</w:t>
      </w:r>
      <w:r w:rsidR="00EA3CB7" w:rsidRPr="00DB625B">
        <w:rPr>
          <w:rFonts w:ascii="Times New Roman" w:eastAsia="Times New Roman" w:hAnsi="Times New Roman" w:cs="Times New Roman"/>
          <w:bCs/>
          <w:spacing w:val="4"/>
          <w:sz w:val="28"/>
          <w:szCs w:val="28"/>
          <w:lang w:val="es-ES_tradnl" w:eastAsia="es-ES"/>
        </w:rPr>
        <w:t>; y (ii</w:t>
      </w:r>
      <w:r w:rsidRPr="00DB625B">
        <w:rPr>
          <w:rFonts w:ascii="Times New Roman" w:eastAsia="Times New Roman" w:hAnsi="Times New Roman" w:cs="Times New Roman"/>
          <w:bCs/>
          <w:spacing w:val="4"/>
          <w:sz w:val="28"/>
          <w:szCs w:val="28"/>
          <w:lang w:val="es-ES_tradnl" w:eastAsia="es-ES"/>
        </w:rPr>
        <w:t xml:space="preserve">) </w:t>
      </w:r>
      <w:r w:rsidR="008B0732" w:rsidRPr="00DB625B">
        <w:rPr>
          <w:rFonts w:ascii="Times New Roman" w:eastAsia="Times New Roman" w:hAnsi="Times New Roman" w:cs="Times New Roman"/>
          <w:bCs/>
          <w:spacing w:val="4"/>
          <w:sz w:val="28"/>
          <w:szCs w:val="28"/>
          <w:lang w:val="es-ES_tradnl" w:eastAsia="es-ES"/>
        </w:rPr>
        <w:t xml:space="preserve">los derechos políticos en el ordenamiento jurídico colombiano; y iii) </w:t>
      </w:r>
      <w:r w:rsidRPr="00DB625B">
        <w:rPr>
          <w:rFonts w:ascii="Times New Roman" w:eastAsia="Times New Roman" w:hAnsi="Times New Roman" w:cs="Times New Roman"/>
          <w:bCs/>
          <w:spacing w:val="4"/>
          <w:sz w:val="28"/>
          <w:szCs w:val="28"/>
          <w:lang w:val="es-ES_tradnl" w:eastAsia="es-ES"/>
        </w:rPr>
        <w:t>resolverá el cargo de la demanda.</w:t>
      </w:r>
    </w:p>
    <w:p w:rsidR="00E02B69" w:rsidRPr="00DB625B" w:rsidRDefault="00E02B69" w:rsidP="00DB625B">
      <w:pPr>
        <w:autoSpaceDE w:val="0"/>
        <w:autoSpaceDN w:val="0"/>
        <w:spacing w:after="0" w:line="240" w:lineRule="auto"/>
        <w:jc w:val="both"/>
        <w:rPr>
          <w:rFonts w:ascii="Times New Roman" w:eastAsia="Times New Roman" w:hAnsi="Times New Roman" w:cs="Times New Roman"/>
          <w:b/>
          <w:bCs/>
          <w:sz w:val="28"/>
          <w:szCs w:val="28"/>
          <w:lang w:eastAsia="es-ES"/>
        </w:rPr>
      </w:pPr>
    </w:p>
    <w:p w:rsidR="00F72BCE" w:rsidRPr="00DB625B" w:rsidRDefault="00F72BCE" w:rsidP="00DB625B">
      <w:pPr>
        <w:autoSpaceDE w:val="0"/>
        <w:autoSpaceDN w:val="0"/>
        <w:spacing w:after="0" w:line="240" w:lineRule="auto"/>
        <w:jc w:val="both"/>
        <w:rPr>
          <w:rFonts w:ascii="Times New Roman" w:eastAsia="Times New Roman" w:hAnsi="Times New Roman" w:cs="Times New Roman"/>
          <w:b/>
          <w:color w:val="000000"/>
          <w:sz w:val="28"/>
          <w:szCs w:val="28"/>
          <w:lang w:val="es-ES" w:eastAsia="es-ES"/>
        </w:rPr>
      </w:pPr>
      <w:r w:rsidRPr="00DB625B">
        <w:rPr>
          <w:rFonts w:ascii="Times New Roman" w:eastAsia="Times New Roman" w:hAnsi="Times New Roman" w:cs="Times New Roman"/>
          <w:b/>
          <w:color w:val="000000"/>
          <w:sz w:val="28"/>
          <w:szCs w:val="28"/>
          <w:lang w:val="es-ES" w:eastAsia="es-ES"/>
        </w:rPr>
        <w:t>La reserva de ley estatutaria</w:t>
      </w:r>
      <w:r w:rsidR="00D442E5" w:rsidRPr="00DB625B">
        <w:rPr>
          <w:rFonts w:ascii="Times New Roman" w:eastAsia="Times New Roman" w:hAnsi="Times New Roman" w:cs="Times New Roman"/>
          <w:b/>
          <w:color w:val="000000"/>
          <w:sz w:val="28"/>
          <w:szCs w:val="28"/>
          <w:lang w:val="es-ES" w:eastAsia="es-ES"/>
        </w:rPr>
        <w:t xml:space="preserve"> en materia de regulación de derechos fundamentales y sus mecanismos de protección</w:t>
      </w:r>
    </w:p>
    <w:p w:rsidR="00F72BCE" w:rsidRPr="00DB625B" w:rsidRDefault="00F72BCE" w:rsidP="00DB625B">
      <w:pPr>
        <w:autoSpaceDE w:val="0"/>
        <w:autoSpaceDN w:val="0"/>
        <w:spacing w:after="0" w:line="240" w:lineRule="auto"/>
        <w:jc w:val="both"/>
        <w:rPr>
          <w:rFonts w:ascii="Times New Roman" w:eastAsia="Times New Roman" w:hAnsi="Times New Roman" w:cs="Times New Roman"/>
          <w:b/>
          <w:bCs/>
          <w:sz w:val="28"/>
          <w:szCs w:val="28"/>
          <w:lang w:eastAsia="es-ES"/>
        </w:rPr>
      </w:pPr>
    </w:p>
    <w:p w:rsidR="008120E7" w:rsidRPr="00DB625B" w:rsidRDefault="008120E7" w:rsidP="00DB625B">
      <w:pPr>
        <w:pStyle w:val="Prrafodelista"/>
        <w:numPr>
          <w:ilvl w:val="0"/>
          <w:numId w:val="24"/>
        </w:numPr>
        <w:tabs>
          <w:tab w:val="left" w:pos="284"/>
        </w:tabs>
        <w:autoSpaceDE w:val="0"/>
        <w:autoSpaceDN w:val="0"/>
        <w:spacing w:after="0" w:line="240" w:lineRule="auto"/>
        <w:ind w:left="0" w:firstLine="0"/>
        <w:jc w:val="both"/>
        <w:rPr>
          <w:rFonts w:ascii="Times New Roman" w:eastAsia="Times New Roman" w:hAnsi="Times New Roman" w:cs="Times New Roman"/>
          <w:b/>
          <w:bCs/>
          <w:sz w:val="28"/>
          <w:szCs w:val="28"/>
          <w:lang w:eastAsia="es-ES"/>
        </w:rPr>
      </w:pPr>
      <w:r w:rsidRPr="00DB625B">
        <w:rPr>
          <w:rFonts w:ascii="Times New Roman" w:eastAsia="Times New Roman" w:hAnsi="Times New Roman" w:cs="Times New Roman"/>
          <w:b/>
          <w:bCs/>
          <w:sz w:val="28"/>
          <w:szCs w:val="28"/>
          <w:lang w:eastAsia="es-ES"/>
        </w:rPr>
        <w:t xml:space="preserve"> </w:t>
      </w:r>
      <w:r w:rsidRPr="00DB625B">
        <w:rPr>
          <w:rFonts w:ascii="Times New Roman" w:eastAsia="Times New Roman" w:hAnsi="Times New Roman" w:cs="Times New Roman"/>
          <w:bCs/>
          <w:sz w:val="28"/>
          <w:szCs w:val="28"/>
          <w:lang w:val="es-ES" w:eastAsia="es-ES"/>
        </w:rPr>
        <w:t>Para la Corte Constitucional, la reserva de ley estatutaria procura someter a mayor discusión democrática y control la regulación de ciertas materias que cuentan con un trámite legislativo cualificado, debido a su importancia para el Estado Social de Derecho, por ejemplo los derechos</w:t>
      </w:r>
      <w:r w:rsidR="00D80EC8" w:rsidRPr="00DB625B">
        <w:rPr>
          <w:rFonts w:ascii="Times New Roman" w:eastAsia="Times New Roman" w:hAnsi="Times New Roman" w:cs="Times New Roman"/>
          <w:bCs/>
          <w:sz w:val="28"/>
          <w:szCs w:val="28"/>
          <w:lang w:val="es-ES" w:eastAsia="es-ES"/>
        </w:rPr>
        <w:t xml:space="preserve"> fundamentales y sus garantías. </w:t>
      </w:r>
      <w:r w:rsidR="001A59D5" w:rsidRPr="00DB625B">
        <w:rPr>
          <w:rFonts w:ascii="Times New Roman" w:eastAsia="Times New Roman" w:hAnsi="Times New Roman" w:cs="Times New Roman"/>
          <w:bCs/>
          <w:sz w:val="28"/>
          <w:szCs w:val="28"/>
          <w:lang w:val="es-ES" w:eastAsia="es-ES"/>
        </w:rPr>
        <w:t>En ese contexto, l</w:t>
      </w:r>
      <w:r w:rsidR="00126301" w:rsidRPr="00DB625B">
        <w:rPr>
          <w:rFonts w:ascii="Times New Roman" w:eastAsia="Times New Roman" w:hAnsi="Times New Roman" w:cs="Times New Roman"/>
          <w:bCs/>
          <w:sz w:val="28"/>
          <w:szCs w:val="28"/>
          <w:lang w:val="es-ES" w:eastAsia="es-ES"/>
        </w:rPr>
        <w:t>a jurisprudencia ha defendido</w:t>
      </w:r>
      <w:r w:rsidR="001A59D5" w:rsidRPr="00DB625B">
        <w:rPr>
          <w:rFonts w:ascii="Times New Roman" w:eastAsia="Times New Roman" w:hAnsi="Times New Roman" w:cs="Times New Roman"/>
          <w:bCs/>
          <w:sz w:val="28"/>
          <w:szCs w:val="28"/>
          <w:lang w:val="es-ES" w:eastAsia="es-ES"/>
        </w:rPr>
        <w:t xml:space="preserve"> un</w:t>
      </w:r>
      <w:r w:rsidR="00126301" w:rsidRPr="00DB625B">
        <w:rPr>
          <w:rFonts w:ascii="Times New Roman" w:eastAsia="Times New Roman" w:hAnsi="Times New Roman" w:cs="Times New Roman"/>
          <w:bCs/>
          <w:sz w:val="28"/>
          <w:szCs w:val="28"/>
          <w:lang w:val="es-ES" w:eastAsia="es-ES"/>
        </w:rPr>
        <w:t xml:space="preserve"> criterio</w:t>
      </w:r>
      <w:r w:rsidRPr="00DB625B">
        <w:rPr>
          <w:rFonts w:ascii="Times New Roman" w:eastAsia="Times New Roman" w:hAnsi="Times New Roman" w:cs="Times New Roman"/>
          <w:bCs/>
          <w:sz w:val="28"/>
          <w:szCs w:val="28"/>
          <w:lang w:val="es-ES" w:eastAsia="es-ES"/>
        </w:rPr>
        <w:t xml:space="preserve"> de interpretación</w:t>
      </w:r>
      <w:r w:rsidR="00126301" w:rsidRPr="00DB625B">
        <w:rPr>
          <w:rFonts w:ascii="Times New Roman" w:eastAsia="Times New Roman" w:hAnsi="Times New Roman" w:cs="Times New Roman"/>
          <w:bCs/>
          <w:sz w:val="28"/>
          <w:szCs w:val="28"/>
          <w:lang w:val="es-ES" w:eastAsia="es-ES"/>
        </w:rPr>
        <w:t xml:space="preserve"> restrictiva</w:t>
      </w:r>
      <w:r w:rsidR="001A59D5" w:rsidRPr="00DB625B">
        <w:rPr>
          <w:rFonts w:ascii="Times New Roman" w:eastAsia="Times New Roman" w:hAnsi="Times New Roman" w:cs="Times New Roman"/>
          <w:bCs/>
          <w:sz w:val="28"/>
          <w:szCs w:val="28"/>
          <w:lang w:val="es-ES" w:eastAsia="es-ES"/>
        </w:rPr>
        <w:t xml:space="preserve"> y otro material</w:t>
      </w:r>
      <w:r w:rsidR="00126301" w:rsidRPr="00DB625B">
        <w:rPr>
          <w:rFonts w:ascii="Times New Roman" w:eastAsia="Times New Roman" w:hAnsi="Times New Roman" w:cs="Times New Roman"/>
          <w:bCs/>
          <w:sz w:val="28"/>
          <w:szCs w:val="28"/>
          <w:lang w:val="es-ES" w:eastAsia="es-ES"/>
        </w:rPr>
        <w:t xml:space="preserve"> en cuanto a</w:t>
      </w:r>
      <w:r w:rsidR="001A59D5" w:rsidRPr="00DB625B">
        <w:rPr>
          <w:rFonts w:ascii="Times New Roman" w:eastAsia="Times New Roman" w:hAnsi="Times New Roman" w:cs="Times New Roman"/>
          <w:bCs/>
          <w:sz w:val="28"/>
          <w:szCs w:val="28"/>
          <w:lang w:val="es-ES" w:eastAsia="es-ES"/>
        </w:rPr>
        <w:t xml:space="preserve"> la procedencia de los asuntos que deben ser sometidos al trámite de ley estatutaria</w:t>
      </w:r>
      <w:r w:rsidRPr="00DB625B">
        <w:rPr>
          <w:rFonts w:ascii="Times New Roman" w:eastAsia="Times New Roman" w:hAnsi="Times New Roman" w:cs="Times New Roman"/>
          <w:bCs/>
          <w:sz w:val="28"/>
          <w:szCs w:val="28"/>
          <w:lang w:val="es-ES" w:eastAsia="es-ES"/>
        </w:rPr>
        <w:t xml:space="preserve">. Además, </w:t>
      </w:r>
      <w:r w:rsidR="001A59D5" w:rsidRPr="00DB625B">
        <w:rPr>
          <w:rFonts w:ascii="Times New Roman" w:eastAsia="Times New Roman" w:hAnsi="Times New Roman" w:cs="Times New Roman"/>
          <w:bCs/>
          <w:sz w:val="28"/>
          <w:szCs w:val="28"/>
          <w:lang w:val="es-ES" w:eastAsia="es-ES"/>
        </w:rPr>
        <w:t>ha construido</w:t>
      </w:r>
      <w:r w:rsidRPr="00DB625B">
        <w:rPr>
          <w:rFonts w:ascii="Times New Roman" w:eastAsia="Times New Roman" w:hAnsi="Times New Roman" w:cs="Times New Roman"/>
          <w:bCs/>
          <w:sz w:val="28"/>
          <w:szCs w:val="28"/>
          <w:lang w:val="es-ES" w:eastAsia="es-ES"/>
        </w:rPr>
        <w:t xml:space="preserve"> varias reglas que permiten identificar cuando una regulación de dere</w:t>
      </w:r>
      <w:r w:rsidR="00FE3F4D" w:rsidRPr="00DB625B">
        <w:rPr>
          <w:rFonts w:ascii="Times New Roman" w:eastAsia="Times New Roman" w:hAnsi="Times New Roman" w:cs="Times New Roman"/>
          <w:bCs/>
          <w:sz w:val="28"/>
          <w:szCs w:val="28"/>
          <w:lang w:val="es-ES" w:eastAsia="es-ES"/>
        </w:rPr>
        <w:t>chos fundamentales está obligada a surtir el procedimiento de los artículos 152 y 153 de la Constitución</w:t>
      </w:r>
      <w:r w:rsidRPr="00DB625B">
        <w:rPr>
          <w:rFonts w:ascii="Times New Roman" w:eastAsia="Times New Roman" w:hAnsi="Times New Roman" w:cs="Times New Roman"/>
          <w:b/>
          <w:bCs/>
          <w:sz w:val="28"/>
          <w:szCs w:val="28"/>
          <w:lang w:val="es-ES" w:eastAsia="es-ES"/>
        </w:rPr>
        <w:t xml:space="preserve">. </w:t>
      </w:r>
    </w:p>
    <w:p w:rsidR="008120E7" w:rsidRPr="00DB625B" w:rsidRDefault="008120E7" w:rsidP="00DB625B">
      <w:pPr>
        <w:autoSpaceDE w:val="0"/>
        <w:autoSpaceDN w:val="0"/>
        <w:spacing w:after="0" w:line="240" w:lineRule="auto"/>
        <w:jc w:val="both"/>
        <w:rPr>
          <w:rFonts w:ascii="Times New Roman" w:eastAsia="Times New Roman" w:hAnsi="Times New Roman" w:cs="Times New Roman"/>
          <w:b/>
          <w:bCs/>
          <w:sz w:val="28"/>
          <w:szCs w:val="28"/>
          <w:lang w:eastAsia="es-ES"/>
        </w:rPr>
      </w:pPr>
    </w:p>
    <w:p w:rsidR="00F72BCE" w:rsidRPr="00DB625B" w:rsidRDefault="008120E7" w:rsidP="00DB625B">
      <w:pPr>
        <w:autoSpaceDE w:val="0"/>
        <w:autoSpaceDN w:val="0"/>
        <w:spacing w:after="0" w:line="240" w:lineRule="auto"/>
        <w:jc w:val="both"/>
        <w:rPr>
          <w:rFonts w:ascii="Times New Roman" w:eastAsia="Times New Roman" w:hAnsi="Times New Roman" w:cs="Times New Roman"/>
          <w:sz w:val="28"/>
          <w:szCs w:val="28"/>
          <w:lang w:eastAsia="es-ES"/>
        </w:rPr>
      </w:pPr>
      <w:r w:rsidRPr="00DB625B">
        <w:rPr>
          <w:rFonts w:ascii="Times New Roman" w:eastAsia="Times New Roman" w:hAnsi="Times New Roman" w:cs="Times New Roman"/>
          <w:b/>
          <w:bCs/>
          <w:sz w:val="28"/>
          <w:szCs w:val="28"/>
          <w:lang w:eastAsia="es-ES"/>
        </w:rPr>
        <w:t xml:space="preserve">7.1. </w:t>
      </w:r>
      <w:r w:rsidR="00F72BCE" w:rsidRPr="00DB625B">
        <w:rPr>
          <w:rFonts w:ascii="Times New Roman" w:eastAsia="Times New Roman" w:hAnsi="Times New Roman" w:cs="Times New Roman"/>
          <w:sz w:val="28"/>
          <w:szCs w:val="28"/>
          <w:lang w:eastAsia="es-ES"/>
        </w:rPr>
        <w:t>Las leyes estatutarias fueron entendidas por la Asamblea Nacional Constituyente como “</w:t>
      </w:r>
      <w:r w:rsidR="00F72BCE" w:rsidRPr="00DB625B">
        <w:rPr>
          <w:rFonts w:ascii="Times New Roman" w:eastAsia="Times New Roman" w:hAnsi="Times New Roman" w:cs="Times New Roman"/>
          <w:i/>
          <w:iCs/>
          <w:sz w:val="28"/>
          <w:szCs w:val="28"/>
          <w:lang w:eastAsia="es-ES"/>
        </w:rPr>
        <w:t>una prolongación de la Constitución, que organizan la República, que dan normas estables que no pueden cambiarse caprichosamente, como no se cambia la Constitución</w:t>
      </w:r>
      <w:r w:rsidR="00F72BCE" w:rsidRPr="00DB625B">
        <w:rPr>
          <w:rFonts w:ascii="Times New Roman" w:eastAsia="Times New Roman" w:hAnsi="Times New Roman" w:cs="Times New Roman"/>
          <w:sz w:val="28"/>
          <w:szCs w:val="28"/>
          <w:lang w:eastAsia="es-ES"/>
        </w:rPr>
        <w:t>”</w:t>
      </w:r>
      <w:r w:rsidR="00F72BCE" w:rsidRPr="00DB625B">
        <w:rPr>
          <w:rStyle w:val="Refdenotaalpie"/>
          <w:rFonts w:ascii="Times New Roman" w:eastAsia="Times New Roman" w:hAnsi="Times New Roman" w:cs="Times New Roman"/>
          <w:sz w:val="28"/>
          <w:szCs w:val="28"/>
          <w:lang w:eastAsia="es-ES"/>
        </w:rPr>
        <w:footnoteReference w:id="29"/>
      </w:r>
      <w:r w:rsidR="00F72BCE" w:rsidRPr="00DB625B">
        <w:rPr>
          <w:rFonts w:ascii="Times New Roman" w:eastAsia="Times New Roman" w:hAnsi="Times New Roman" w:cs="Times New Roman"/>
          <w:sz w:val="28"/>
          <w:szCs w:val="28"/>
          <w:lang w:eastAsia="es-ES"/>
        </w:rPr>
        <w:t xml:space="preserve">. </w:t>
      </w:r>
      <w:r w:rsidR="00C801CF" w:rsidRPr="00DB625B">
        <w:rPr>
          <w:rFonts w:ascii="Times New Roman" w:eastAsia="Times New Roman" w:hAnsi="Times New Roman" w:cs="Times New Roman"/>
          <w:sz w:val="28"/>
          <w:szCs w:val="28"/>
          <w:lang w:eastAsia="es-ES"/>
        </w:rPr>
        <w:t>A su vez, las</w:t>
      </w:r>
      <w:r w:rsidR="00F72BCE" w:rsidRPr="00DB625B">
        <w:rPr>
          <w:rFonts w:ascii="Times New Roman" w:eastAsia="Times New Roman" w:hAnsi="Times New Roman" w:cs="Times New Roman"/>
          <w:sz w:val="28"/>
          <w:szCs w:val="28"/>
          <w:lang w:eastAsia="es-ES"/>
        </w:rPr>
        <w:t xml:space="preserve"> leyes</w:t>
      </w:r>
      <w:r w:rsidR="00C801CF" w:rsidRPr="00DB625B">
        <w:rPr>
          <w:rFonts w:ascii="Times New Roman" w:eastAsia="Times New Roman" w:hAnsi="Times New Roman" w:cs="Times New Roman"/>
          <w:sz w:val="28"/>
          <w:szCs w:val="28"/>
          <w:lang w:eastAsia="es-ES"/>
        </w:rPr>
        <w:t xml:space="preserve"> mencionadas</w:t>
      </w:r>
      <w:r w:rsidR="00F72BCE" w:rsidRPr="00DB625B">
        <w:rPr>
          <w:rFonts w:ascii="Times New Roman" w:eastAsia="Times New Roman" w:hAnsi="Times New Roman" w:cs="Times New Roman"/>
          <w:sz w:val="28"/>
          <w:szCs w:val="28"/>
          <w:lang w:eastAsia="es-ES"/>
        </w:rPr>
        <w:t xml:space="preserve"> tienen como función principal liberar el texto constitucional de la regulación detalla</w:t>
      </w:r>
      <w:r w:rsidR="00D80EC8" w:rsidRPr="00DB625B">
        <w:rPr>
          <w:rFonts w:ascii="Times New Roman" w:eastAsia="Times New Roman" w:hAnsi="Times New Roman" w:cs="Times New Roman"/>
          <w:sz w:val="28"/>
          <w:szCs w:val="28"/>
          <w:lang w:eastAsia="es-ES"/>
        </w:rPr>
        <w:t>da</w:t>
      </w:r>
      <w:r w:rsidR="00F72BCE" w:rsidRPr="00DB625B">
        <w:rPr>
          <w:rFonts w:ascii="Times New Roman" w:eastAsia="Times New Roman" w:hAnsi="Times New Roman" w:cs="Times New Roman"/>
          <w:sz w:val="28"/>
          <w:szCs w:val="28"/>
          <w:lang w:eastAsia="es-ES"/>
        </w:rPr>
        <w:t xml:space="preserve"> de ciertos asuntos importantes para la Constitución</w:t>
      </w:r>
      <w:r w:rsidR="00F72BCE" w:rsidRPr="00DB625B">
        <w:rPr>
          <w:rStyle w:val="Refdenotaalpie"/>
          <w:rFonts w:ascii="Times New Roman" w:eastAsia="Times New Roman" w:hAnsi="Times New Roman" w:cs="Times New Roman"/>
          <w:sz w:val="28"/>
          <w:szCs w:val="28"/>
          <w:lang w:eastAsia="es-ES"/>
        </w:rPr>
        <w:footnoteReference w:id="30"/>
      </w:r>
      <w:r w:rsidR="00F72BCE" w:rsidRPr="00DB625B">
        <w:rPr>
          <w:rFonts w:ascii="Times New Roman" w:eastAsia="Times New Roman" w:hAnsi="Times New Roman" w:cs="Times New Roman"/>
          <w:sz w:val="28"/>
          <w:szCs w:val="28"/>
          <w:lang w:eastAsia="es-ES"/>
        </w:rPr>
        <w:t xml:space="preserve"> y delegarla en el Congreso de la República. </w:t>
      </w:r>
    </w:p>
    <w:p w:rsidR="00F72BCE" w:rsidRPr="00DB625B" w:rsidRDefault="00F72BCE" w:rsidP="00DB625B">
      <w:pPr>
        <w:autoSpaceDE w:val="0"/>
        <w:autoSpaceDN w:val="0"/>
        <w:spacing w:after="0" w:line="240" w:lineRule="auto"/>
        <w:jc w:val="both"/>
        <w:rPr>
          <w:rFonts w:ascii="Times New Roman" w:eastAsia="Times New Roman" w:hAnsi="Times New Roman" w:cs="Times New Roman"/>
          <w:sz w:val="28"/>
          <w:szCs w:val="28"/>
          <w:lang w:eastAsia="es-ES"/>
        </w:rPr>
      </w:pPr>
    </w:p>
    <w:p w:rsidR="003D1C08" w:rsidRPr="00DB625B" w:rsidRDefault="00C801CF" w:rsidP="00DB625B">
      <w:pPr>
        <w:autoSpaceDE w:val="0"/>
        <w:autoSpaceDN w:val="0"/>
        <w:spacing w:after="0" w:line="240" w:lineRule="auto"/>
        <w:jc w:val="both"/>
        <w:rPr>
          <w:rFonts w:ascii="Times New Roman" w:eastAsia="Times New Roman" w:hAnsi="Times New Roman" w:cs="Times New Roman"/>
          <w:sz w:val="28"/>
          <w:szCs w:val="28"/>
          <w:lang w:eastAsia="es-ES"/>
        </w:rPr>
      </w:pPr>
      <w:r w:rsidRPr="00DB625B">
        <w:rPr>
          <w:rFonts w:ascii="Times New Roman" w:eastAsia="Times New Roman" w:hAnsi="Times New Roman" w:cs="Times New Roman"/>
          <w:sz w:val="28"/>
          <w:szCs w:val="28"/>
          <w:lang w:eastAsia="es-ES"/>
        </w:rPr>
        <w:t>Dicha autorización se encuentra sujeta a varias</w:t>
      </w:r>
      <w:r w:rsidR="00F72BCE" w:rsidRPr="00DB625B">
        <w:rPr>
          <w:rFonts w:ascii="Times New Roman" w:eastAsia="Times New Roman" w:hAnsi="Times New Roman" w:cs="Times New Roman"/>
          <w:sz w:val="28"/>
          <w:szCs w:val="28"/>
          <w:lang w:eastAsia="es-ES"/>
        </w:rPr>
        <w:t xml:space="preserve"> condiciones especiales</w:t>
      </w:r>
      <w:r w:rsidRPr="00DB625B">
        <w:rPr>
          <w:rFonts w:ascii="Times New Roman" w:eastAsia="Times New Roman" w:hAnsi="Times New Roman" w:cs="Times New Roman"/>
          <w:sz w:val="28"/>
          <w:szCs w:val="28"/>
          <w:lang w:eastAsia="es-ES"/>
        </w:rPr>
        <w:t xml:space="preserve"> de orden superior</w:t>
      </w:r>
      <w:r w:rsidR="00F72BCE" w:rsidRPr="00DB625B">
        <w:rPr>
          <w:rFonts w:ascii="Times New Roman" w:eastAsia="Times New Roman" w:hAnsi="Times New Roman" w:cs="Times New Roman"/>
          <w:sz w:val="28"/>
          <w:szCs w:val="28"/>
          <w:lang w:eastAsia="es-ES"/>
        </w:rPr>
        <w:t xml:space="preserve">. La primera, y quizá fundamental, consiste en que </w:t>
      </w:r>
      <w:r w:rsidR="003D1C08" w:rsidRPr="00DB625B">
        <w:rPr>
          <w:rFonts w:ascii="Times New Roman" w:eastAsia="Times New Roman" w:hAnsi="Times New Roman" w:cs="Times New Roman"/>
          <w:sz w:val="28"/>
          <w:szCs w:val="28"/>
          <w:lang w:eastAsia="es-ES"/>
        </w:rPr>
        <w:t xml:space="preserve">solo tienen reserva de </w:t>
      </w:r>
      <w:r w:rsidR="00F72BCE" w:rsidRPr="00DB625B">
        <w:rPr>
          <w:rFonts w:ascii="Times New Roman" w:eastAsia="Times New Roman" w:hAnsi="Times New Roman" w:cs="Times New Roman"/>
          <w:sz w:val="28"/>
          <w:szCs w:val="28"/>
          <w:lang w:eastAsia="es-ES"/>
        </w:rPr>
        <w:t xml:space="preserve">ley estatutaria </w:t>
      </w:r>
      <w:r w:rsidR="003D1C08" w:rsidRPr="00DB625B">
        <w:rPr>
          <w:rFonts w:ascii="Times New Roman" w:eastAsia="Times New Roman" w:hAnsi="Times New Roman" w:cs="Times New Roman"/>
          <w:sz w:val="28"/>
          <w:szCs w:val="28"/>
          <w:lang w:eastAsia="es-ES"/>
        </w:rPr>
        <w:t xml:space="preserve">algunas materias específicas, a saber: a) los derechos y deberes fundamentales de las personas y los procedimientos y recursos para su protección; b) la administración de justicia; c) la organización y el régimen de los partidos y movimientos políticos, así como el estatuto de la oposición y las funciones electorales; d) las instituciones y mecanismos de participación ciudadana; e) los estados de excepción y; f) la igualdad electoral entre los candidatos a la Presidencia de la República que reúnan los requisitos que determine la ley. </w:t>
      </w:r>
      <w:r w:rsidR="00F069A7" w:rsidRPr="00DB625B">
        <w:rPr>
          <w:rFonts w:ascii="Times New Roman" w:eastAsia="Times New Roman" w:hAnsi="Times New Roman" w:cs="Times New Roman"/>
          <w:sz w:val="28"/>
          <w:szCs w:val="28"/>
          <w:lang w:eastAsia="es-ES"/>
        </w:rPr>
        <w:t xml:space="preserve">Cabe acotar que esa clase de normas </w:t>
      </w:r>
      <w:r w:rsidR="003D1C08" w:rsidRPr="00DB625B">
        <w:rPr>
          <w:rFonts w:ascii="Times New Roman" w:eastAsia="Times New Roman" w:hAnsi="Times New Roman" w:cs="Times New Roman"/>
          <w:sz w:val="28"/>
          <w:szCs w:val="28"/>
          <w:lang w:eastAsia="es-ES"/>
        </w:rPr>
        <w:t>gozan de</w:t>
      </w:r>
      <w:r w:rsidR="00F72BCE" w:rsidRPr="00DB625B">
        <w:rPr>
          <w:rFonts w:ascii="Times New Roman" w:eastAsia="Times New Roman" w:hAnsi="Times New Roman" w:cs="Times New Roman"/>
          <w:sz w:val="28"/>
          <w:szCs w:val="28"/>
          <w:lang w:eastAsia="es-ES"/>
        </w:rPr>
        <w:t xml:space="preserve"> un rango superior a la ley ordinaria</w:t>
      </w:r>
      <w:r w:rsidR="00F069A7" w:rsidRPr="00DB625B">
        <w:rPr>
          <w:rFonts w:ascii="Times New Roman" w:eastAsia="Times New Roman" w:hAnsi="Times New Roman" w:cs="Times New Roman"/>
          <w:sz w:val="28"/>
          <w:szCs w:val="28"/>
          <w:lang w:eastAsia="es-ES"/>
        </w:rPr>
        <w:t xml:space="preserve"> por las materias que desarrollan</w:t>
      </w:r>
      <w:r w:rsidR="00F72BCE" w:rsidRPr="00DB625B">
        <w:rPr>
          <w:rStyle w:val="Refdenotaalpie"/>
          <w:rFonts w:ascii="Times New Roman" w:eastAsia="Times New Roman" w:hAnsi="Times New Roman" w:cs="Times New Roman"/>
          <w:sz w:val="28"/>
          <w:szCs w:val="28"/>
          <w:lang w:eastAsia="es-ES"/>
        </w:rPr>
        <w:footnoteReference w:id="31"/>
      </w:r>
      <w:r w:rsidR="003D1C08" w:rsidRPr="00DB625B">
        <w:rPr>
          <w:rFonts w:ascii="Times New Roman" w:eastAsia="Times New Roman" w:hAnsi="Times New Roman" w:cs="Times New Roman"/>
          <w:sz w:val="28"/>
          <w:szCs w:val="28"/>
          <w:lang w:eastAsia="es-ES"/>
        </w:rPr>
        <w:t xml:space="preserve">. </w:t>
      </w:r>
    </w:p>
    <w:p w:rsidR="003D1C08" w:rsidRPr="00DB625B" w:rsidRDefault="003D1C08" w:rsidP="00DB625B">
      <w:pPr>
        <w:autoSpaceDE w:val="0"/>
        <w:autoSpaceDN w:val="0"/>
        <w:spacing w:after="0" w:line="240" w:lineRule="auto"/>
        <w:jc w:val="both"/>
        <w:rPr>
          <w:rFonts w:ascii="Times New Roman" w:eastAsia="Times New Roman" w:hAnsi="Times New Roman" w:cs="Times New Roman"/>
          <w:sz w:val="28"/>
          <w:szCs w:val="28"/>
          <w:lang w:eastAsia="es-ES"/>
        </w:rPr>
      </w:pPr>
    </w:p>
    <w:p w:rsidR="00F069A7" w:rsidRPr="00DB625B" w:rsidRDefault="003D1C08" w:rsidP="00DB625B">
      <w:pPr>
        <w:autoSpaceDE w:val="0"/>
        <w:autoSpaceDN w:val="0"/>
        <w:spacing w:after="0" w:line="240" w:lineRule="auto"/>
        <w:jc w:val="both"/>
        <w:rPr>
          <w:rFonts w:ascii="Times New Roman" w:eastAsia="Times New Roman" w:hAnsi="Times New Roman" w:cs="Times New Roman"/>
          <w:sz w:val="28"/>
          <w:szCs w:val="28"/>
          <w:lang w:eastAsia="es-ES"/>
        </w:rPr>
      </w:pPr>
      <w:r w:rsidRPr="00DB625B">
        <w:rPr>
          <w:rFonts w:ascii="Times New Roman" w:eastAsia="Times New Roman" w:hAnsi="Times New Roman" w:cs="Times New Roman"/>
          <w:sz w:val="28"/>
          <w:szCs w:val="28"/>
          <w:lang w:eastAsia="es-ES"/>
        </w:rPr>
        <w:t>L</w:t>
      </w:r>
      <w:r w:rsidR="00F72BCE" w:rsidRPr="00DB625B">
        <w:rPr>
          <w:rFonts w:ascii="Times New Roman" w:eastAsia="Times New Roman" w:hAnsi="Times New Roman" w:cs="Times New Roman"/>
          <w:sz w:val="28"/>
          <w:szCs w:val="28"/>
          <w:lang w:eastAsia="es-ES"/>
        </w:rPr>
        <w:t>a segunda condición hace referencia a que este tipo de ley</w:t>
      </w:r>
      <w:r w:rsidR="00F069A7" w:rsidRPr="00DB625B">
        <w:rPr>
          <w:rFonts w:ascii="Times New Roman" w:eastAsia="Times New Roman" w:hAnsi="Times New Roman" w:cs="Times New Roman"/>
          <w:sz w:val="28"/>
          <w:szCs w:val="28"/>
          <w:lang w:eastAsia="es-ES"/>
        </w:rPr>
        <w:t>es</w:t>
      </w:r>
      <w:r w:rsidR="00F72BCE" w:rsidRPr="00DB625B">
        <w:rPr>
          <w:rFonts w:ascii="Times New Roman" w:eastAsia="Times New Roman" w:hAnsi="Times New Roman" w:cs="Times New Roman"/>
          <w:sz w:val="28"/>
          <w:szCs w:val="28"/>
          <w:lang w:eastAsia="es-ES"/>
        </w:rPr>
        <w:t xml:space="preserve"> cuenta con un procedimiento especial</w:t>
      </w:r>
      <w:r w:rsidR="00F069A7" w:rsidRPr="00DB625B">
        <w:rPr>
          <w:rFonts w:ascii="Times New Roman" w:eastAsia="Times New Roman" w:hAnsi="Times New Roman" w:cs="Times New Roman"/>
          <w:sz w:val="28"/>
          <w:szCs w:val="28"/>
          <w:lang w:eastAsia="es-ES"/>
        </w:rPr>
        <w:t xml:space="preserve"> cualificado</w:t>
      </w:r>
      <w:r w:rsidR="00F72BCE" w:rsidRPr="00DB625B">
        <w:rPr>
          <w:rStyle w:val="Refdenotaalpie"/>
          <w:rFonts w:ascii="Times New Roman" w:eastAsia="Times New Roman" w:hAnsi="Times New Roman" w:cs="Times New Roman"/>
          <w:sz w:val="28"/>
          <w:szCs w:val="28"/>
          <w:lang w:eastAsia="es-ES"/>
        </w:rPr>
        <w:footnoteReference w:id="32"/>
      </w:r>
      <w:r w:rsidR="00F069A7" w:rsidRPr="00DB625B">
        <w:rPr>
          <w:rFonts w:ascii="Times New Roman" w:eastAsia="Times New Roman" w:hAnsi="Times New Roman" w:cs="Times New Roman"/>
          <w:sz w:val="28"/>
          <w:szCs w:val="28"/>
          <w:lang w:eastAsia="es-ES"/>
        </w:rPr>
        <w:t>. El artículo 153, inciso 1, de la Constitución Política de Colombia establece que las leyes estatutarias deberán aprobarse en una sola legislatura y exigirán la mayoría absoluta.</w:t>
      </w:r>
    </w:p>
    <w:p w:rsidR="00F069A7" w:rsidRPr="00DB625B" w:rsidRDefault="00F069A7" w:rsidP="00DB625B">
      <w:pPr>
        <w:autoSpaceDE w:val="0"/>
        <w:autoSpaceDN w:val="0"/>
        <w:spacing w:after="0" w:line="240" w:lineRule="auto"/>
        <w:jc w:val="both"/>
        <w:rPr>
          <w:rFonts w:ascii="Times New Roman" w:eastAsia="Times New Roman" w:hAnsi="Times New Roman" w:cs="Times New Roman"/>
          <w:sz w:val="28"/>
          <w:szCs w:val="28"/>
          <w:lang w:eastAsia="es-ES"/>
        </w:rPr>
      </w:pPr>
    </w:p>
    <w:p w:rsidR="00F069A7" w:rsidRPr="00DB625B" w:rsidRDefault="00F069A7" w:rsidP="00DB625B">
      <w:pPr>
        <w:autoSpaceDE w:val="0"/>
        <w:autoSpaceDN w:val="0"/>
        <w:spacing w:after="0" w:line="240" w:lineRule="auto"/>
        <w:jc w:val="both"/>
        <w:rPr>
          <w:rFonts w:ascii="Times New Roman" w:eastAsia="Times New Roman" w:hAnsi="Times New Roman" w:cs="Times New Roman"/>
          <w:sz w:val="28"/>
          <w:szCs w:val="28"/>
          <w:lang w:eastAsia="es-ES"/>
        </w:rPr>
      </w:pPr>
      <w:r w:rsidRPr="00DB625B">
        <w:rPr>
          <w:rFonts w:ascii="Times New Roman" w:eastAsia="Times New Roman" w:hAnsi="Times New Roman" w:cs="Times New Roman"/>
          <w:sz w:val="28"/>
          <w:szCs w:val="28"/>
          <w:lang w:eastAsia="es-ES"/>
        </w:rPr>
        <w:t>L</w:t>
      </w:r>
      <w:r w:rsidR="00F72BCE" w:rsidRPr="00DB625B">
        <w:rPr>
          <w:rFonts w:ascii="Times New Roman" w:eastAsia="Times New Roman" w:hAnsi="Times New Roman" w:cs="Times New Roman"/>
          <w:sz w:val="28"/>
          <w:szCs w:val="28"/>
          <w:lang w:eastAsia="es-ES"/>
        </w:rPr>
        <w:t xml:space="preserve">a tercera característica </w:t>
      </w:r>
      <w:r w:rsidR="00C801CF" w:rsidRPr="00DB625B">
        <w:rPr>
          <w:rFonts w:ascii="Times New Roman" w:eastAsia="Times New Roman" w:hAnsi="Times New Roman" w:cs="Times New Roman"/>
          <w:sz w:val="28"/>
          <w:szCs w:val="28"/>
          <w:lang w:eastAsia="es-ES"/>
        </w:rPr>
        <w:t xml:space="preserve">corresponde con el requisito de </w:t>
      </w:r>
      <w:r w:rsidR="00F72BCE" w:rsidRPr="00DB625B">
        <w:rPr>
          <w:rFonts w:ascii="Times New Roman" w:eastAsia="Times New Roman" w:hAnsi="Times New Roman" w:cs="Times New Roman"/>
          <w:sz w:val="28"/>
          <w:szCs w:val="28"/>
          <w:lang w:eastAsia="es-ES"/>
        </w:rPr>
        <w:t>que los proyectos de ley estatutaria deben someterse a control previo de constitucionalidad</w:t>
      </w:r>
      <w:r w:rsidR="00F72BCE" w:rsidRPr="00DB625B">
        <w:rPr>
          <w:rStyle w:val="Refdenotaalpie"/>
          <w:rFonts w:ascii="Times New Roman" w:eastAsia="Times New Roman" w:hAnsi="Times New Roman" w:cs="Times New Roman"/>
          <w:sz w:val="28"/>
          <w:szCs w:val="28"/>
          <w:lang w:eastAsia="es-ES"/>
        </w:rPr>
        <w:footnoteReference w:id="33"/>
      </w:r>
      <w:r w:rsidRPr="00DB625B">
        <w:rPr>
          <w:rFonts w:ascii="Times New Roman" w:eastAsia="Times New Roman" w:hAnsi="Times New Roman" w:cs="Times New Roman"/>
          <w:sz w:val="28"/>
          <w:szCs w:val="28"/>
          <w:lang w:eastAsia="es-ES"/>
        </w:rPr>
        <w:t>, de acuerdo con el artículo 153,  inciso 2, en concordancia con el artículo 241, numeral 8, de la Constitución.</w:t>
      </w:r>
    </w:p>
    <w:p w:rsidR="00F72BCE" w:rsidRPr="00DB625B" w:rsidRDefault="00F72BCE" w:rsidP="00DB625B">
      <w:pPr>
        <w:autoSpaceDE w:val="0"/>
        <w:autoSpaceDN w:val="0"/>
        <w:spacing w:after="0" w:line="240" w:lineRule="auto"/>
        <w:jc w:val="both"/>
        <w:rPr>
          <w:rFonts w:ascii="Times New Roman" w:eastAsia="Times New Roman" w:hAnsi="Times New Roman" w:cs="Times New Roman"/>
          <w:sz w:val="28"/>
          <w:szCs w:val="28"/>
          <w:lang w:eastAsia="es-ES"/>
        </w:rPr>
      </w:pPr>
    </w:p>
    <w:p w:rsidR="008C68D7" w:rsidRPr="00DB625B" w:rsidRDefault="00F069A7" w:rsidP="00DB625B">
      <w:pPr>
        <w:autoSpaceDE w:val="0"/>
        <w:autoSpaceDN w:val="0"/>
        <w:spacing w:after="0" w:line="240" w:lineRule="auto"/>
        <w:jc w:val="both"/>
        <w:rPr>
          <w:rFonts w:ascii="Times New Roman" w:eastAsia="Times New Roman" w:hAnsi="Times New Roman" w:cs="Times New Roman"/>
          <w:sz w:val="28"/>
          <w:szCs w:val="28"/>
          <w:lang w:eastAsia="es-ES"/>
        </w:rPr>
      </w:pPr>
      <w:r w:rsidRPr="00DB625B">
        <w:rPr>
          <w:rFonts w:ascii="Times New Roman" w:eastAsia="Times New Roman" w:hAnsi="Times New Roman" w:cs="Times New Roman"/>
          <w:b/>
          <w:sz w:val="28"/>
          <w:szCs w:val="28"/>
          <w:lang w:eastAsia="es-ES"/>
        </w:rPr>
        <w:t xml:space="preserve">7.2. </w:t>
      </w:r>
      <w:r w:rsidRPr="00DB625B">
        <w:rPr>
          <w:rFonts w:ascii="Times New Roman" w:eastAsia="Times New Roman" w:hAnsi="Times New Roman" w:cs="Times New Roman"/>
          <w:sz w:val="28"/>
          <w:szCs w:val="28"/>
          <w:lang w:eastAsia="es-ES"/>
        </w:rPr>
        <w:t>E</w:t>
      </w:r>
      <w:r w:rsidR="00C801CF" w:rsidRPr="00DB625B">
        <w:rPr>
          <w:rFonts w:ascii="Times New Roman" w:eastAsia="Times New Roman" w:hAnsi="Times New Roman" w:cs="Times New Roman"/>
          <w:sz w:val="28"/>
          <w:szCs w:val="28"/>
          <w:lang w:eastAsia="es-ES"/>
        </w:rPr>
        <w:t>n ese contexto, e</w:t>
      </w:r>
      <w:r w:rsidRPr="00DB625B">
        <w:rPr>
          <w:rFonts w:ascii="Times New Roman" w:eastAsia="Times New Roman" w:hAnsi="Times New Roman" w:cs="Times New Roman"/>
          <w:sz w:val="28"/>
          <w:szCs w:val="28"/>
          <w:lang w:eastAsia="es-ES"/>
        </w:rPr>
        <w:t xml:space="preserve">l legislador a la hora de expedir esa clase de leyes y el juez constitucional </w:t>
      </w:r>
      <w:r w:rsidR="008C68D7" w:rsidRPr="00DB625B">
        <w:rPr>
          <w:rFonts w:ascii="Times New Roman" w:eastAsia="Times New Roman" w:hAnsi="Times New Roman" w:cs="Times New Roman"/>
          <w:sz w:val="28"/>
          <w:szCs w:val="28"/>
          <w:lang w:eastAsia="es-ES"/>
        </w:rPr>
        <w:t>al momento de</w:t>
      </w:r>
      <w:r w:rsidRPr="00DB625B">
        <w:rPr>
          <w:rFonts w:ascii="Times New Roman" w:eastAsia="Times New Roman" w:hAnsi="Times New Roman" w:cs="Times New Roman"/>
          <w:sz w:val="28"/>
          <w:szCs w:val="28"/>
          <w:lang w:eastAsia="es-ES"/>
        </w:rPr>
        <w:t xml:space="preserve"> realiza</w:t>
      </w:r>
      <w:r w:rsidR="008C68D7" w:rsidRPr="00DB625B">
        <w:rPr>
          <w:rFonts w:ascii="Times New Roman" w:eastAsia="Times New Roman" w:hAnsi="Times New Roman" w:cs="Times New Roman"/>
          <w:sz w:val="28"/>
          <w:szCs w:val="28"/>
          <w:lang w:eastAsia="es-ES"/>
        </w:rPr>
        <w:t>r</w:t>
      </w:r>
      <w:r w:rsidRPr="00DB625B">
        <w:rPr>
          <w:rFonts w:ascii="Times New Roman" w:eastAsia="Times New Roman" w:hAnsi="Times New Roman" w:cs="Times New Roman"/>
          <w:sz w:val="28"/>
          <w:szCs w:val="28"/>
          <w:lang w:eastAsia="es-ES"/>
        </w:rPr>
        <w:t xml:space="preserve"> el control </w:t>
      </w:r>
      <w:r w:rsidR="008C68D7" w:rsidRPr="00DB625B">
        <w:rPr>
          <w:rFonts w:ascii="Times New Roman" w:eastAsia="Times New Roman" w:hAnsi="Times New Roman" w:cs="Times New Roman"/>
          <w:sz w:val="28"/>
          <w:szCs w:val="28"/>
          <w:lang w:eastAsia="es-ES"/>
        </w:rPr>
        <w:t xml:space="preserve">constitucional </w:t>
      </w:r>
      <w:r w:rsidRPr="00DB625B">
        <w:rPr>
          <w:rFonts w:ascii="Times New Roman" w:eastAsia="Times New Roman" w:hAnsi="Times New Roman" w:cs="Times New Roman"/>
          <w:sz w:val="28"/>
          <w:szCs w:val="28"/>
          <w:lang w:eastAsia="es-ES"/>
        </w:rPr>
        <w:t>de ese tipo de proyectos normativos</w:t>
      </w:r>
      <w:r w:rsidR="008C68D7" w:rsidRPr="00DB625B">
        <w:rPr>
          <w:rFonts w:ascii="Times New Roman" w:eastAsia="Times New Roman" w:hAnsi="Times New Roman" w:cs="Times New Roman"/>
          <w:sz w:val="28"/>
          <w:szCs w:val="28"/>
          <w:lang w:eastAsia="es-ES"/>
        </w:rPr>
        <w:t xml:space="preserve"> se ha</w:t>
      </w:r>
      <w:r w:rsidR="00C801CF" w:rsidRPr="00DB625B">
        <w:rPr>
          <w:rFonts w:ascii="Times New Roman" w:eastAsia="Times New Roman" w:hAnsi="Times New Roman" w:cs="Times New Roman"/>
          <w:sz w:val="28"/>
          <w:szCs w:val="28"/>
          <w:lang w:eastAsia="es-ES"/>
        </w:rPr>
        <w:t>n</w:t>
      </w:r>
      <w:r w:rsidR="008C68D7" w:rsidRPr="00DB625B">
        <w:rPr>
          <w:rFonts w:ascii="Times New Roman" w:eastAsia="Times New Roman" w:hAnsi="Times New Roman" w:cs="Times New Roman"/>
          <w:sz w:val="28"/>
          <w:szCs w:val="28"/>
          <w:lang w:eastAsia="es-ES"/>
        </w:rPr>
        <w:t xml:space="preserve"> enfrentado a</w:t>
      </w:r>
      <w:r w:rsidRPr="00DB625B">
        <w:rPr>
          <w:rFonts w:ascii="Times New Roman" w:eastAsia="Times New Roman" w:hAnsi="Times New Roman" w:cs="Times New Roman"/>
          <w:sz w:val="28"/>
          <w:szCs w:val="28"/>
          <w:lang w:eastAsia="es-ES"/>
        </w:rPr>
        <w:t xml:space="preserve"> la siguiente pregunta: ¿C</w:t>
      </w:r>
      <w:r w:rsidR="00F72BCE" w:rsidRPr="00DB625B">
        <w:rPr>
          <w:rFonts w:ascii="Times New Roman" w:eastAsia="Times New Roman" w:hAnsi="Times New Roman" w:cs="Times New Roman"/>
          <w:sz w:val="28"/>
          <w:szCs w:val="28"/>
          <w:lang w:eastAsia="es-ES"/>
        </w:rPr>
        <w:t>uáles son los asuntos que</w:t>
      </w:r>
      <w:r w:rsidR="00D442E5" w:rsidRPr="00DB625B">
        <w:rPr>
          <w:rFonts w:ascii="Times New Roman" w:eastAsia="Times New Roman" w:hAnsi="Times New Roman" w:cs="Times New Roman"/>
          <w:sz w:val="28"/>
          <w:szCs w:val="28"/>
          <w:lang w:eastAsia="es-ES"/>
        </w:rPr>
        <w:t xml:space="preserve"> interfieran derechos fundamentales o sus garantías</w:t>
      </w:r>
      <w:r w:rsidR="00F72BCE" w:rsidRPr="00DB625B">
        <w:rPr>
          <w:rFonts w:ascii="Times New Roman" w:eastAsia="Times New Roman" w:hAnsi="Times New Roman" w:cs="Times New Roman"/>
          <w:sz w:val="28"/>
          <w:szCs w:val="28"/>
          <w:lang w:eastAsia="es-ES"/>
        </w:rPr>
        <w:t>, en concreto, deben ser tramitados mediante ley estatutari</w:t>
      </w:r>
      <w:r w:rsidRPr="00DB625B">
        <w:rPr>
          <w:rFonts w:ascii="Times New Roman" w:eastAsia="Times New Roman" w:hAnsi="Times New Roman" w:cs="Times New Roman"/>
          <w:sz w:val="28"/>
          <w:szCs w:val="28"/>
          <w:lang w:eastAsia="es-ES"/>
        </w:rPr>
        <w:t>a?</w:t>
      </w:r>
      <w:r w:rsidR="00F72BCE" w:rsidRPr="00DB625B">
        <w:rPr>
          <w:rFonts w:ascii="Times New Roman" w:eastAsia="Times New Roman" w:hAnsi="Times New Roman" w:cs="Times New Roman"/>
          <w:sz w:val="28"/>
          <w:szCs w:val="28"/>
          <w:lang w:eastAsia="es-ES"/>
        </w:rPr>
        <w:t xml:space="preserve"> </w:t>
      </w:r>
    </w:p>
    <w:p w:rsidR="008C68D7" w:rsidRPr="00DB625B" w:rsidRDefault="008C68D7" w:rsidP="00DB625B">
      <w:pPr>
        <w:autoSpaceDE w:val="0"/>
        <w:autoSpaceDN w:val="0"/>
        <w:spacing w:after="0" w:line="240" w:lineRule="auto"/>
        <w:jc w:val="both"/>
        <w:rPr>
          <w:rFonts w:ascii="Times New Roman" w:eastAsia="Times New Roman" w:hAnsi="Times New Roman" w:cs="Times New Roman"/>
          <w:sz w:val="28"/>
          <w:szCs w:val="28"/>
          <w:lang w:eastAsia="es-ES"/>
        </w:rPr>
      </w:pPr>
    </w:p>
    <w:p w:rsidR="00F72BCE" w:rsidRPr="00DB625B" w:rsidRDefault="008C68D7" w:rsidP="00DB625B">
      <w:pPr>
        <w:autoSpaceDE w:val="0"/>
        <w:autoSpaceDN w:val="0"/>
        <w:spacing w:after="0" w:line="240" w:lineRule="auto"/>
        <w:jc w:val="both"/>
        <w:rPr>
          <w:rFonts w:ascii="Times New Roman" w:eastAsia="Times New Roman" w:hAnsi="Times New Roman" w:cs="Times New Roman"/>
          <w:sz w:val="28"/>
          <w:szCs w:val="28"/>
          <w:lang w:eastAsia="es-ES"/>
        </w:rPr>
      </w:pPr>
      <w:r w:rsidRPr="00DB625B">
        <w:rPr>
          <w:rFonts w:ascii="Times New Roman" w:eastAsia="Times New Roman" w:hAnsi="Times New Roman" w:cs="Times New Roman"/>
          <w:sz w:val="28"/>
          <w:szCs w:val="28"/>
          <w:lang w:eastAsia="es-ES"/>
        </w:rPr>
        <w:t>Ante ese cuestionamiento, l</w:t>
      </w:r>
      <w:r w:rsidR="00F72BCE" w:rsidRPr="00DB625B">
        <w:rPr>
          <w:rFonts w:ascii="Times New Roman" w:eastAsia="Times New Roman" w:hAnsi="Times New Roman" w:cs="Times New Roman"/>
          <w:sz w:val="28"/>
          <w:szCs w:val="28"/>
          <w:lang w:eastAsia="es-ES"/>
        </w:rPr>
        <w:t>a Corte Constitucional ha sostenido que, en general, todas las leyes afectan eventualmente un derecho fundamental</w:t>
      </w:r>
      <w:r w:rsidR="00F72BCE" w:rsidRPr="00DB625B">
        <w:rPr>
          <w:rStyle w:val="Refdenotaalpie"/>
          <w:rFonts w:ascii="Times New Roman" w:eastAsia="Times New Roman" w:hAnsi="Times New Roman" w:cs="Times New Roman"/>
          <w:sz w:val="28"/>
          <w:szCs w:val="28"/>
          <w:lang w:eastAsia="es-ES"/>
        </w:rPr>
        <w:footnoteReference w:id="34"/>
      </w:r>
      <w:r w:rsidR="00F72BCE" w:rsidRPr="00DB625B">
        <w:rPr>
          <w:rFonts w:ascii="Times New Roman" w:eastAsia="Times New Roman" w:hAnsi="Times New Roman" w:cs="Times New Roman"/>
          <w:sz w:val="28"/>
          <w:szCs w:val="28"/>
          <w:lang w:eastAsia="es-ES"/>
        </w:rPr>
        <w:t xml:space="preserve">, bien porque establecen un límite sobre éste o desarrollan alguno de sus elementos. Sin embargo, esto no significa que, </w:t>
      </w:r>
      <w:r w:rsidR="00F72BCE" w:rsidRPr="00DB625B">
        <w:rPr>
          <w:rFonts w:ascii="Times New Roman" w:eastAsia="Times New Roman" w:hAnsi="Times New Roman" w:cs="Times New Roman"/>
          <w:i/>
          <w:iCs/>
          <w:sz w:val="28"/>
          <w:szCs w:val="28"/>
          <w:lang w:eastAsia="es-ES"/>
        </w:rPr>
        <w:t>per se</w:t>
      </w:r>
      <w:r w:rsidR="00F72BCE" w:rsidRPr="00DB625B">
        <w:rPr>
          <w:rFonts w:ascii="Times New Roman" w:eastAsia="Times New Roman" w:hAnsi="Times New Roman" w:cs="Times New Roman"/>
          <w:sz w:val="28"/>
          <w:szCs w:val="28"/>
          <w:lang w:eastAsia="es-ES"/>
        </w:rPr>
        <w:t>, toda ley deba ser en consecuencia estatutaria</w:t>
      </w:r>
      <w:r w:rsidRPr="00DB625B">
        <w:rPr>
          <w:rFonts w:ascii="Times New Roman" w:eastAsia="Times New Roman" w:hAnsi="Times New Roman" w:cs="Times New Roman"/>
          <w:sz w:val="28"/>
          <w:szCs w:val="28"/>
          <w:lang w:eastAsia="es-ES"/>
        </w:rPr>
        <w:t>,</w:t>
      </w:r>
      <w:r w:rsidR="00F72BCE" w:rsidRPr="00DB625B">
        <w:rPr>
          <w:rFonts w:ascii="Times New Roman" w:eastAsia="Times New Roman" w:hAnsi="Times New Roman" w:cs="Times New Roman"/>
          <w:sz w:val="28"/>
          <w:szCs w:val="28"/>
          <w:lang w:eastAsia="es-ES"/>
        </w:rPr>
        <w:t xml:space="preserve"> pues, aplicar este criterio amplio implicaría vaciar de contenido las distinciones hechas por </w:t>
      </w:r>
      <w:r w:rsidR="00F72BCE" w:rsidRPr="00DB625B">
        <w:rPr>
          <w:rFonts w:ascii="Times New Roman" w:eastAsia="Times New Roman" w:hAnsi="Times New Roman" w:cs="Times New Roman"/>
          <w:sz w:val="28"/>
          <w:szCs w:val="28"/>
          <w:lang w:eastAsia="es-ES"/>
        </w:rPr>
        <w:lastRenderedPageBreak/>
        <w:t>la Constitución en materia de clasificación de las leyes, así como anular la competencia del legislador ordinario</w:t>
      </w:r>
      <w:r w:rsidR="00F72BCE" w:rsidRPr="00DB625B">
        <w:rPr>
          <w:rStyle w:val="Refdenotaalpie"/>
          <w:rFonts w:ascii="Times New Roman" w:eastAsia="Times New Roman" w:hAnsi="Times New Roman" w:cs="Times New Roman"/>
          <w:sz w:val="28"/>
          <w:szCs w:val="28"/>
          <w:lang w:eastAsia="es-ES"/>
        </w:rPr>
        <w:footnoteReference w:id="35"/>
      </w:r>
      <w:r w:rsidR="00F72BCE" w:rsidRPr="00DB625B">
        <w:rPr>
          <w:rFonts w:ascii="Times New Roman" w:eastAsia="Times New Roman" w:hAnsi="Times New Roman" w:cs="Times New Roman"/>
          <w:sz w:val="28"/>
          <w:szCs w:val="28"/>
          <w:lang w:eastAsia="es-ES"/>
        </w:rPr>
        <w:t>.</w:t>
      </w:r>
    </w:p>
    <w:p w:rsidR="00F72BCE" w:rsidRPr="00DB625B" w:rsidRDefault="00F72BCE" w:rsidP="00DB625B">
      <w:pPr>
        <w:autoSpaceDE w:val="0"/>
        <w:autoSpaceDN w:val="0"/>
        <w:spacing w:after="0" w:line="240" w:lineRule="auto"/>
        <w:jc w:val="both"/>
        <w:rPr>
          <w:rFonts w:ascii="Times New Roman" w:eastAsia="Times New Roman" w:hAnsi="Times New Roman" w:cs="Times New Roman"/>
          <w:sz w:val="28"/>
          <w:szCs w:val="28"/>
          <w:lang w:eastAsia="es-ES"/>
        </w:rPr>
      </w:pPr>
    </w:p>
    <w:p w:rsidR="008C68D7" w:rsidRPr="00DB625B" w:rsidRDefault="00C801CF" w:rsidP="00DB625B">
      <w:pPr>
        <w:autoSpaceDE w:val="0"/>
        <w:autoSpaceDN w:val="0"/>
        <w:spacing w:after="0" w:line="240" w:lineRule="auto"/>
        <w:jc w:val="both"/>
        <w:rPr>
          <w:rFonts w:ascii="Times New Roman" w:eastAsia="Times New Roman" w:hAnsi="Times New Roman" w:cs="Times New Roman"/>
          <w:sz w:val="28"/>
          <w:szCs w:val="28"/>
          <w:lang w:eastAsia="es-ES"/>
        </w:rPr>
      </w:pPr>
      <w:r w:rsidRPr="00DB625B">
        <w:rPr>
          <w:rFonts w:ascii="Times New Roman" w:eastAsia="Times New Roman" w:hAnsi="Times New Roman" w:cs="Times New Roman"/>
          <w:sz w:val="28"/>
          <w:szCs w:val="28"/>
          <w:lang w:eastAsia="es-ES"/>
        </w:rPr>
        <w:t>Por ello,</w:t>
      </w:r>
      <w:r w:rsidR="00F72BCE" w:rsidRPr="00DB625B">
        <w:rPr>
          <w:rFonts w:ascii="Times New Roman" w:eastAsia="Times New Roman" w:hAnsi="Times New Roman" w:cs="Times New Roman"/>
          <w:sz w:val="28"/>
          <w:szCs w:val="28"/>
          <w:lang w:eastAsia="es-ES"/>
        </w:rPr>
        <w:t xml:space="preserve"> ha manifestado que el artículo 152 de la Constitución debe interpretarse </w:t>
      </w:r>
      <w:r w:rsidR="008C68D7" w:rsidRPr="00DB625B">
        <w:rPr>
          <w:rFonts w:ascii="Times New Roman" w:eastAsia="Times New Roman" w:hAnsi="Times New Roman" w:cs="Times New Roman"/>
          <w:sz w:val="28"/>
          <w:szCs w:val="28"/>
          <w:lang w:eastAsia="es-ES"/>
        </w:rPr>
        <w:t>de forma restrictiva</w:t>
      </w:r>
      <w:r w:rsidR="00F72BCE" w:rsidRPr="00DB625B">
        <w:rPr>
          <w:rStyle w:val="Refdenotaalpie"/>
          <w:rFonts w:ascii="Times New Roman" w:eastAsia="Times New Roman" w:hAnsi="Times New Roman" w:cs="Times New Roman"/>
          <w:sz w:val="28"/>
          <w:szCs w:val="28"/>
          <w:lang w:eastAsia="es-ES"/>
        </w:rPr>
        <w:footnoteReference w:id="36"/>
      </w:r>
      <w:r w:rsidR="00F72BCE" w:rsidRPr="00DB625B">
        <w:rPr>
          <w:rFonts w:ascii="Times New Roman" w:eastAsia="Times New Roman" w:hAnsi="Times New Roman" w:cs="Times New Roman"/>
          <w:sz w:val="28"/>
          <w:szCs w:val="28"/>
          <w:lang w:eastAsia="es-ES"/>
        </w:rPr>
        <w:t>, es decir, que su aplicación procede en unos casos concretos. En especial, debe determinarse el grado de afectación</w:t>
      </w:r>
      <w:r w:rsidR="008C68D7" w:rsidRPr="00DB625B">
        <w:rPr>
          <w:rFonts w:ascii="Times New Roman" w:eastAsia="Times New Roman" w:hAnsi="Times New Roman" w:cs="Times New Roman"/>
          <w:sz w:val="28"/>
          <w:szCs w:val="28"/>
          <w:lang w:eastAsia="es-ES"/>
        </w:rPr>
        <w:t xml:space="preserve"> y de regulación</w:t>
      </w:r>
      <w:r w:rsidR="00F72BCE" w:rsidRPr="00DB625B">
        <w:rPr>
          <w:rFonts w:ascii="Times New Roman" w:eastAsia="Times New Roman" w:hAnsi="Times New Roman" w:cs="Times New Roman"/>
          <w:sz w:val="28"/>
          <w:szCs w:val="28"/>
          <w:lang w:eastAsia="es-ES"/>
        </w:rPr>
        <w:t xml:space="preserve"> del derecho fundamental.</w:t>
      </w:r>
      <w:r w:rsidR="00C908BC" w:rsidRPr="00DB625B">
        <w:rPr>
          <w:rFonts w:ascii="Times New Roman" w:eastAsia="Times New Roman" w:hAnsi="Times New Roman" w:cs="Times New Roman"/>
          <w:sz w:val="28"/>
          <w:szCs w:val="28"/>
          <w:lang w:eastAsia="es-ES"/>
        </w:rPr>
        <w:t xml:space="preserve"> Así mismo</w:t>
      </w:r>
      <w:r w:rsidR="004844B3" w:rsidRPr="00DB625B">
        <w:rPr>
          <w:rFonts w:ascii="Times New Roman" w:eastAsia="Times New Roman" w:hAnsi="Times New Roman" w:cs="Times New Roman"/>
          <w:sz w:val="28"/>
          <w:szCs w:val="28"/>
          <w:lang w:eastAsia="es-ES"/>
        </w:rPr>
        <w:t>,</w:t>
      </w:r>
      <w:r w:rsidR="00C908BC" w:rsidRPr="00DB625B">
        <w:rPr>
          <w:rFonts w:ascii="Times New Roman" w:eastAsia="Times New Roman" w:hAnsi="Times New Roman" w:cs="Times New Roman"/>
          <w:sz w:val="28"/>
          <w:szCs w:val="28"/>
          <w:lang w:eastAsia="es-ES"/>
        </w:rPr>
        <w:t xml:space="preserve"> ha precisado que el análisis </w:t>
      </w:r>
      <w:r w:rsidR="00003C6E" w:rsidRPr="00DB625B">
        <w:rPr>
          <w:rFonts w:ascii="Times New Roman" w:eastAsia="Times New Roman" w:hAnsi="Times New Roman" w:cs="Times New Roman"/>
          <w:sz w:val="28"/>
          <w:szCs w:val="28"/>
          <w:lang w:eastAsia="es-ES"/>
        </w:rPr>
        <w:t>debe tener en cuenta el contenido material de la ley</w:t>
      </w:r>
      <w:r w:rsidR="00003C6E" w:rsidRPr="00DB625B">
        <w:rPr>
          <w:rStyle w:val="Refdenotaalpie"/>
          <w:rFonts w:ascii="Times New Roman" w:eastAsia="Times New Roman" w:hAnsi="Times New Roman" w:cs="Times New Roman"/>
          <w:sz w:val="28"/>
          <w:szCs w:val="28"/>
          <w:lang w:eastAsia="es-ES"/>
        </w:rPr>
        <w:footnoteReference w:id="37"/>
      </w:r>
      <w:r w:rsidR="00D442E5" w:rsidRPr="00DB625B">
        <w:rPr>
          <w:rFonts w:ascii="Times New Roman" w:eastAsia="Times New Roman" w:hAnsi="Times New Roman" w:cs="Times New Roman"/>
          <w:sz w:val="28"/>
          <w:szCs w:val="28"/>
          <w:lang w:eastAsia="es-ES"/>
        </w:rPr>
        <w:t xml:space="preserve">, </w:t>
      </w:r>
      <w:r w:rsidR="00D442E5" w:rsidRPr="00DB625B">
        <w:rPr>
          <w:rFonts w:ascii="Times New Roman" w:eastAsia="Times New Roman" w:hAnsi="Times New Roman" w:cs="Times New Roman"/>
          <w:bCs/>
          <w:sz w:val="28"/>
          <w:szCs w:val="28"/>
          <w:lang w:eastAsia="es-ES"/>
        </w:rPr>
        <w:t>de modo que la denominación de una norma es indiferente para la protección de la reserva de ley estatutaria</w:t>
      </w:r>
      <w:r w:rsidR="00D442E5" w:rsidRPr="00DB625B">
        <w:rPr>
          <w:rFonts w:ascii="Times New Roman" w:eastAsia="Times New Roman" w:hAnsi="Times New Roman" w:cs="Times New Roman"/>
          <w:bCs/>
          <w:sz w:val="28"/>
          <w:szCs w:val="28"/>
          <w:vertAlign w:val="superscript"/>
          <w:lang w:eastAsia="es-ES"/>
        </w:rPr>
        <w:footnoteReference w:id="38"/>
      </w:r>
      <w:r w:rsidR="00D442E5" w:rsidRPr="00DB625B">
        <w:rPr>
          <w:rFonts w:ascii="Times New Roman" w:eastAsia="Times New Roman" w:hAnsi="Times New Roman" w:cs="Times New Roman"/>
          <w:bCs/>
          <w:sz w:val="28"/>
          <w:szCs w:val="28"/>
          <w:lang w:eastAsia="es-ES"/>
        </w:rPr>
        <w:t>.</w:t>
      </w:r>
      <w:r w:rsidR="004844B3" w:rsidRPr="00DB625B">
        <w:rPr>
          <w:rFonts w:ascii="Times New Roman" w:eastAsia="Times New Roman" w:hAnsi="Times New Roman" w:cs="Times New Roman"/>
          <w:sz w:val="28"/>
          <w:szCs w:val="28"/>
          <w:lang w:eastAsia="es-ES"/>
        </w:rPr>
        <w:t xml:space="preserve"> </w:t>
      </w:r>
    </w:p>
    <w:p w:rsidR="00F72BCE" w:rsidRPr="00DB625B" w:rsidRDefault="00E70F73" w:rsidP="00DB625B">
      <w:pPr>
        <w:autoSpaceDE w:val="0"/>
        <w:autoSpaceDN w:val="0"/>
        <w:spacing w:after="0" w:line="240" w:lineRule="auto"/>
        <w:jc w:val="both"/>
        <w:rPr>
          <w:rFonts w:ascii="Times New Roman" w:eastAsia="Times New Roman" w:hAnsi="Times New Roman" w:cs="Times New Roman"/>
          <w:sz w:val="28"/>
          <w:szCs w:val="28"/>
          <w:lang w:eastAsia="es-ES"/>
        </w:rPr>
      </w:pPr>
      <w:r w:rsidRPr="00DB625B">
        <w:rPr>
          <w:rFonts w:ascii="Times New Roman" w:eastAsia="Times New Roman" w:hAnsi="Times New Roman" w:cs="Times New Roman"/>
          <w:sz w:val="28"/>
          <w:szCs w:val="28"/>
          <w:lang w:eastAsia="es-ES"/>
        </w:rPr>
        <w:t xml:space="preserve"> </w:t>
      </w:r>
    </w:p>
    <w:p w:rsidR="006A1374" w:rsidRPr="00DB625B" w:rsidRDefault="005C6746" w:rsidP="00DB625B">
      <w:pPr>
        <w:autoSpaceDE w:val="0"/>
        <w:autoSpaceDN w:val="0"/>
        <w:spacing w:after="0" w:line="240" w:lineRule="auto"/>
        <w:jc w:val="both"/>
        <w:rPr>
          <w:rFonts w:ascii="Times New Roman" w:eastAsia="Times New Roman" w:hAnsi="Times New Roman" w:cs="Times New Roman"/>
          <w:sz w:val="28"/>
          <w:szCs w:val="28"/>
          <w:lang w:eastAsia="es-ES"/>
        </w:rPr>
      </w:pPr>
      <w:r w:rsidRPr="00DB625B">
        <w:rPr>
          <w:rFonts w:ascii="Times New Roman" w:eastAsia="Times New Roman" w:hAnsi="Times New Roman" w:cs="Times New Roman"/>
          <w:sz w:val="28"/>
          <w:szCs w:val="28"/>
          <w:lang w:eastAsia="es-ES"/>
        </w:rPr>
        <w:t xml:space="preserve">Con base en ese método de estudio, </w:t>
      </w:r>
      <w:r w:rsidR="00E7187F" w:rsidRPr="00DB625B">
        <w:rPr>
          <w:rFonts w:ascii="Times New Roman" w:eastAsia="Times New Roman" w:hAnsi="Times New Roman" w:cs="Times New Roman"/>
          <w:sz w:val="28"/>
          <w:szCs w:val="28"/>
          <w:lang w:eastAsia="es-ES"/>
        </w:rPr>
        <w:t>las Sentencias C-204 de 2019 y C-370 de 2019 reiteraron los</w:t>
      </w:r>
      <w:r w:rsidR="0032518B" w:rsidRPr="00DB625B">
        <w:rPr>
          <w:rFonts w:ascii="Times New Roman" w:eastAsia="Times New Roman" w:hAnsi="Times New Roman" w:cs="Times New Roman"/>
          <w:sz w:val="28"/>
          <w:szCs w:val="28"/>
          <w:lang w:eastAsia="es-ES"/>
        </w:rPr>
        <w:t xml:space="preserve"> criterios con lo</w:t>
      </w:r>
      <w:r w:rsidR="00A11A68" w:rsidRPr="00DB625B">
        <w:rPr>
          <w:rFonts w:ascii="Times New Roman" w:eastAsia="Times New Roman" w:hAnsi="Times New Roman" w:cs="Times New Roman"/>
          <w:sz w:val="28"/>
          <w:szCs w:val="28"/>
          <w:lang w:eastAsia="es-ES"/>
        </w:rPr>
        <w:t>s</w:t>
      </w:r>
      <w:r w:rsidR="0032518B" w:rsidRPr="00DB625B">
        <w:rPr>
          <w:rFonts w:ascii="Times New Roman" w:eastAsia="Times New Roman" w:hAnsi="Times New Roman" w:cs="Times New Roman"/>
          <w:sz w:val="28"/>
          <w:szCs w:val="28"/>
          <w:lang w:eastAsia="es-ES"/>
        </w:rPr>
        <w:t xml:space="preserve"> cuales es posible determinar si una regulación debió someterse al trámite cualificado de las leyes estatuarias</w:t>
      </w:r>
      <w:r w:rsidR="00500D92" w:rsidRPr="00DB625B">
        <w:rPr>
          <w:rStyle w:val="Refdenotaalpie"/>
          <w:rFonts w:ascii="Times New Roman" w:eastAsia="Times New Roman" w:hAnsi="Times New Roman" w:cs="Times New Roman"/>
          <w:sz w:val="28"/>
          <w:szCs w:val="28"/>
          <w:lang w:eastAsia="es-ES"/>
        </w:rPr>
        <w:footnoteReference w:id="39"/>
      </w:r>
      <w:r w:rsidR="002F2B92" w:rsidRPr="00DB625B">
        <w:rPr>
          <w:rFonts w:ascii="Times New Roman" w:eastAsia="Times New Roman" w:hAnsi="Times New Roman" w:cs="Times New Roman"/>
          <w:sz w:val="28"/>
          <w:szCs w:val="28"/>
          <w:lang w:eastAsia="es-ES"/>
        </w:rPr>
        <w:t>, estos son</w:t>
      </w:r>
      <w:r w:rsidR="0032518B" w:rsidRPr="00DB625B">
        <w:rPr>
          <w:rFonts w:ascii="Times New Roman" w:eastAsia="Times New Roman" w:hAnsi="Times New Roman" w:cs="Times New Roman"/>
          <w:sz w:val="28"/>
          <w:szCs w:val="28"/>
          <w:lang w:eastAsia="es-ES"/>
        </w:rPr>
        <w:t>: (i) que efectivamente se trate de derechos y deberes de carácter fundamental</w:t>
      </w:r>
      <w:r w:rsidR="0032518B" w:rsidRPr="00DB625B">
        <w:rPr>
          <w:rStyle w:val="Refdenotaalpie"/>
          <w:rFonts w:ascii="Times New Roman" w:eastAsia="Times New Roman" w:hAnsi="Times New Roman" w:cs="Times New Roman"/>
          <w:sz w:val="28"/>
          <w:szCs w:val="28"/>
          <w:lang w:eastAsia="es-ES"/>
        </w:rPr>
        <w:footnoteReference w:id="40"/>
      </w:r>
      <w:r w:rsidR="0032518B" w:rsidRPr="00DB625B">
        <w:rPr>
          <w:rFonts w:ascii="Times New Roman" w:eastAsia="Times New Roman" w:hAnsi="Times New Roman" w:cs="Times New Roman"/>
          <w:sz w:val="28"/>
          <w:szCs w:val="28"/>
          <w:lang w:eastAsia="es-ES"/>
        </w:rPr>
        <w:t>; (ii) que el objeto directo de la regulación sea el desarrollo del régimen de derechos fundamentales o un derecho fundamental en sí mismo</w:t>
      </w:r>
      <w:r w:rsidR="001721C2" w:rsidRPr="00DB625B">
        <w:rPr>
          <w:rStyle w:val="Refdenotaalpie"/>
          <w:rFonts w:ascii="Times New Roman" w:eastAsia="Times New Roman" w:hAnsi="Times New Roman" w:cs="Times New Roman"/>
          <w:sz w:val="28"/>
          <w:szCs w:val="28"/>
          <w:lang w:eastAsia="es-ES"/>
        </w:rPr>
        <w:footnoteReference w:id="41"/>
      </w:r>
      <w:r w:rsidR="0032518B" w:rsidRPr="00DB625B">
        <w:rPr>
          <w:rFonts w:ascii="Times New Roman" w:eastAsia="Times New Roman" w:hAnsi="Times New Roman" w:cs="Times New Roman"/>
          <w:sz w:val="28"/>
          <w:szCs w:val="28"/>
          <w:lang w:eastAsia="es-ES"/>
        </w:rPr>
        <w:t>; (iii) que la normativa pretenda regular, de manera integral, estructural y completa, un derecho fundamental</w:t>
      </w:r>
      <w:r w:rsidR="001721C2" w:rsidRPr="00DB625B">
        <w:rPr>
          <w:rStyle w:val="Refdenotaalpie"/>
          <w:rFonts w:ascii="Times New Roman" w:eastAsia="Times New Roman" w:hAnsi="Times New Roman" w:cs="Times New Roman"/>
          <w:sz w:val="28"/>
          <w:szCs w:val="28"/>
          <w:lang w:eastAsia="es-ES"/>
        </w:rPr>
        <w:footnoteReference w:id="42"/>
      </w:r>
      <w:r w:rsidR="0032518B" w:rsidRPr="00DB625B">
        <w:rPr>
          <w:rFonts w:ascii="Times New Roman" w:eastAsia="Times New Roman" w:hAnsi="Times New Roman" w:cs="Times New Roman"/>
          <w:sz w:val="28"/>
          <w:szCs w:val="28"/>
          <w:lang w:eastAsia="es-ES"/>
        </w:rPr>
        <w:t>; o (iv) que verse sobre el núcleo esencial</w:t>
      </w:r>
      <w:r w:rsidR="001D14F9" w:rsidRPr="00DB625B">
        <w:rPr>
          <w:rStyle w:val="Refdenotaalpie"/>
          <w:rFonts w:ascii="Times New Roman" w:eastAsia="Times New Roman" w:hAnsi="Times New Roman" w:cs="Times New Roman"/>
          <w:sz w:val="28"/>
          <w:szCs w:val="28"/>
          <w:lang w:eastAsia="es-ES"/>
        </w:rPr>
        <w:footnoteReference w:id="43"/>
      </w:r>
      <w:r w:rsidR="0032518B" w:rsidRPr="00DB625B">
        <w:rPr>
          <w:rFonts w:ascii="Times New Roman" w:eastAsia="Times New Roman" w:hAnsi="Times New Roman" w:cs="Times New Roman"/>
          <w:sz w:val="28"/>
          <w:szCs w:val="28"/>
          <w:lang w:eastAsia="es-ES"/>
        </w:rPr>
        <w:t xml:space="preserve"> y los principios básicos del derecho o deber, es decir, que regule los aspectos </w:t>
      </w:r>
      <w:r w:rsidR="0032518B" w:rsidRPr="00DB625B">
        <w:rPr>
          <w:rFonts w:ascii="Times New Roman" w:eastAsia="Times New Roman" w:hAnsi="Times New Roman" w:cs="Times New Roman"/>
          <w:sz w:val="28"/>
          <w:szCs w:val="28"/>
          <w:lang w:eastAsia="es-ES"/>
        </w:rPr>
        <w:lastRenderedPageBreak/>
        <w:t>inherentes al ejercicio del derecho</w:t>
      </w:r>
      <w:r w:rsidR="001D14F9" w:rsidRPr="00DB625B">
        <w:rPr>
          <w:rStyle w:val="Refdenotaalpie"/>
          <w:rFonts w:ascii="Times New Roman" w:eastAsia="Times New Roman" w:hAnsi="Times New Roman" w:cs="Times New Roman"/>
          <w:sz w:val="28"/>
          <w:szCs w:val="28"/>
          <w:lang w:eastAsia="es-ES"/>
        </w:rPr>
        <w:footnoteReference w:id="44"/>
      </w:r>
      <w:r w:rsidR="0032518B" w:rsidRPr="00DB625B">
        <w:rPr>
          <w:rFonts w:ascii="Times New Roman" w:eastAsia="Times New Roman" w:hAnsi="Times New Roman" w:cs="Times New Roman"/>
          <w:sz w:val="28"/>
          <w:szCs w:val="28"/>
          <w:lang w:eastAsia="es-ES"/>
        </w:rPr>
        <w:t>; y (v) que se refiera a la afectación o el desarrollo de los elementos estructurales del derecho, esto es, que consagre límites, restricciones, excepciones y prohibiciones que afecten la estructura general del derecho, como elementos cercanos a su núcleo esencial</w:t>
      </w:r>
      <w:r w:rsidR="00F72BCE" w:rsidRPr="00DB625B">
        <w:rPr>
          <w:rFonts w:ascii="Times New Roman" w:eastAsia="Times New Roman" w:hAnsi="Times New Roman" w:cs="Times New Roman"/>
          <w:sz w:val="28"/>
          <w:szCs w:val="28"/>
          <w:vertAlign w:val="superscript"/>
          <w:lang w:eastAsia="es-ES"/>
        </w:rPr>
        <w:footnoteReference w:id="45"/>
      </w:r>
      <w:r w:rsidR="00F72BCE" w:rsidRPr="00DB625B">
        <w:rPr>
          <w:rFonts w:ascii="Times New Roman" w:eastAsia="Times New Roman" w:hAnsi="Times New Roman" w:cs="Times New Roman"/>
          <w:sz w:val="28"/>
          <w:szCs w:val="28"/>
          <w:lang w:eastAsia="es-ES"/>
        </w:rPr>
        <w:t>.</w:t>
      </w:r>
      <w:r w:rsidR="00500D92" w:rsidRPr="00DB625B">
        <w:rPr>
          <w:rFonts w:ascii="Times New Roman" w:eastAsia="Times New Roman" w:hAnsi="Times New Roman" w:cs="Times New Roman"/>
          <w:sz w:val="28"/>
          <w:szCs w:val="28"/>
          <w:lang w:eastAsia="es-ES"/>
        </w:rPr>
        <w:t xml:space="preserve"> </w:t>
      </w:r>
    </w:p>
    <w:p w:rsidR="006A1374" w:rsidRPr="00DB625B" w:rsidRDefault="006A1374" w:rsidP="00DB625B">
      <w:pPr>
        <w:autoSpaceDE w:val="0"/>
        <w:autoSpaceDN w:val="0"/>
        <w:spacing w:after="0" w:line="240" w:lineRule="auto"/>
        <w:jc w:val="both"/>
        <w:rPr>
          <w:rFonts w:ascii="Times New Roman" w:eastAsia="Times New Roman" w:hAnsi="Times New Roman" w:cs="Times New Roman"/>
          <w:sz w:val="28"/>
          <w:szCs w:val="28"/>
          <w:lang w:eastAsia="es-ES"/>
        </w:rPr>
      </w:pPr>
    </w:p>
    <w:p w:rsidR="00F72BCE" w:rsidRPr="00DB625B" w:rsidRDefault="006A1374" w:rsidP="00DB625B">
      <w:pPr>
        <w:autoSpaceDE w:val="0"/>
        <w:autoSpaceDN w:val="0"/>
        <w:spacing w:after="0" w:line="240" w:lineRule="auto"/>
        <w:jc w:val="both"/>
        <w:rPr>
          <w:rFonts w:ascii="Times New Roman" w:eastAsia="Times New Roman" w:hAnsi="Times New Roman" w:cs="Times New Roman"/>
          <w:b/>
          <w:bCs/>
          <w:sz w:val="28"/>
          <w:szCs w:val="28"/>
          <w:lang w:eastAsia="es-ES"/>
        </w:rPr>
      </w:pPr>
      <w:r w:rsidRPr="00DB625B">
        <w:rPr>
          <w:rFonts w:ascii="Times New Roman" w:eastAsia="Times New Roman" w:hAnsi="Times New Roman" w:cs="Times New Roman"/>
          <w:b/>
          <w:sz w:val="28"/>
          <w:szCs w:val="28"/>
          <w:lang w:eastAsia="es-ES"/>
        </w:rPr>
        <w:t xml:space="preserve">7.3. </w:t>
      </w:r>
      <w:r w:rsidRPr="00DB625B">
        <w:rPr>
          <w:rFonts w:ascii="Times New Roman" w:eastAsia="Times New Roman" w:hAnsi="Times New Roman" w:cs="Times New Roman"/>
          <w:sz w:val="28"/>
          <w:szCs w:val="28"/>
          <w:lang w:eastAsia="es-ES"/>
        </w:rPr>
        <w:t>Ahora bien</w:t>
      </w:r>
      <w:r w:rsidR="00500D92" w:rsidRPr="00DB625B">
        <w:rPr>
          <w:rFonts w:ascii="Times New Roman" w:eastAsia="Times New Roman" w:hAnsi="Times New Roman" w:cs="Times New Roman"/>
          <w:sz w:val="28"/>
          <w:szCs w:val="28"/>
          <w:lang w:eastAsia="es-ES"/>
        </w:rPr>
        <w:t>,</w:t>
      </w:r>
      <w:r w:rsidRPr="00DB625B">
        <w:rPr>
          <w:rFonts w:ascii="Times New Roman" w:eastAsia="Times New Roman" w:hAnsi="Times New Roman" w:cs="Times New Roman"/>
          <w:sz w:val="28"/>
          <w:szCs w:val="28"/>
          <w:lang w:eastAsia="es-ES"/>
        </w:rPr>
        <w:t xml:space="preserve"> la Corte Constitucional</w:t>
      </w:r>
      <w:r w:rsidR="00500D92" w:rsidRPr="00DB625B">
        <w:rPr>
          <w:rFonts w:ascii="Times New Roman" w:eastAsia="Times New Roman" w:hAnsi="Times New Roman" w:cs="Times New Roman"/>
          <w:sz w:val="28"/>
          <w:szCs w:val="28"/>
          <w:lang w:eastAsia="es-ES"/>
        </w:rPr>
        <w:t xml:space="preserve"> ha sido enfática en considerar</w:t>
      </w:r>
      <w:r w:rsidRPr="00DB625B">
        <w:rPr>
          <w:rFonts w:ascii="Times New Roman" w:eastAsia="Times New Roman" w:hAnsi="Times New Roman" w:cs="Times New Roman"/>
          <w:sz w:val="28"/>
          <w:szCs w:val="28"/>
          <w:lang w:eastAsia="es-ES"/>
        </w:rPr>
        <w:t xml:space="preserve"> que las leyes de procedimiento</w:t>
      </w:r>
      <w:r w:rsidR="00500D92" w:rsidRPr="00DB625B">
        <w:rPr>
          <w:rFonts w:ascii="Times New Roman" w:eastAsia="Times New Roman" w:hAnsi="Times New Roman" w:cs="Times New Roman"/>
          <w:sz w:val="28"/>
          <w:szCs w:val="28"/>
          <w:lang w:eastAsia="es-ES"/>
        </w:rPr>
        <w:t xml:space="preserve"> que se relacionan con el ejercicio </w:t>
      </w:r>
      <w:r w:rsidR="003F0E79" w:rsidRPr="00DB625B">
        <w:rPr>
          <w:rFonts w:ascii="Times New Roman" w:eastAsia="Times New Roman" w:hAnsi="Times New Roman" w:cs="Times New Roman"/>
          <w:sz w:val="28"/>
          <w:szCs w:val="28"/>
          <w:lang w:eastAsia="es-ES"/>
        </w:rPr>
        <w:t xml:space="preserve">de </w:t>
      </w:r>
      <w:r w:rsidR="00500D92" w:rsidRPr="00DB625B">
        <w:rPr>
          <w:rFonts w:ascii="Times New Roman" w:eastAsia="Times New Roman" w:hAnsi="Times New Roman" w:cs="Times New Roman"/>
          <w:sz w:val="28"/>
          <w:szCs w:val="28"/>
          <w:lang w:eastAsia="es-ES"/>
        </w:rPr>
        <w:t>derechos fundamentales deben ser tramitadas a través de leyes ordinarias</w:t>
      </w:r>
      <w:r w:rsidR="00C3589F" w:rsidRPr="00DB625B">
        <w:rPr>
          <w:rStyle w:val="Refdenotaalpie"/>
          <w:rFonts w:ascii="Times New Roman" w:eastAsia="Times New Roman" w:hAnsi="Times New Roman" w:cs="Times New Roman"/>
          <w:sz w:val="28"/>
          <w:szCs w:val="28"/>
          <w:lang w:eastAsia="es-ES"/>
        </w:rPr>
        <w:footnoteReference w:id="46"/>
      </w:r>
      <w:r w:rsidR="00500D92" w:rsidRPr="00DB625B">
        <w:rPr>
          <w:rFonts w:ascii="Times New Roman" w:eastAsia="Times New Roman" w:hAnsi="Times New Roman" w:cs="Times New Roman"/>
          <w:sz w:val="28"/>
          <w:szCs w:val="28"/>
          <w:lang w:eastAsia="es-ES"/>
        </w:rPr>
        <w:t>.</w:t>
      </w:r>
      <w:r w:rsidR="003F0E79" w:rsidRPr="00DB625B">
        <w:rPr>
          <w:rFonts w:ascii="Times New Roman" w:eastAsia="Times New Roman" w:hAnsi="Times New Roman" w:cs="Times New Roman"/>
          <w:sz w:val="28"/>
          <w:szCs w:val="28"/>
          <w:lang w:eastAsia="es-ES"/>
        </w:rPr>
        <w:t xml:space="preserve"> Sin embargo, tendrán reserva de ley estatutaria las disposiciones</w:t>
      </w:r>
      <w:r w:rsidR="00E7187F" w:rsidRPr="00DB625B">
        <w:rPr>
          <w:rFonts w:ascii="Times New Roman" w:eastAsia="Times New Roman" w:hAnsi="Times New Roman" w:cs="Times New Roman"/>
          <w:sz w:val="28"/>
          <w:szCs w:val="28"/>
          <w:lang w:eastAsia="es-ES"/>
        </w:rPr>
        <w:t xml:space="preserve"> procesales</w:t>
      </w:r>
      <w:r w:rsidR="003F0E79" w:rsidRPr="00DB625B">
        <w:rPr>
          <w:rFonts w:ascii="Times New Roman" w:eastAsia="Times New Roman" w:hAnsi="Times New Roman" w:cs="Times New Roman"/>
          <w:sz w:val="28"/>
          <w:szCs w:val="28"/>
          <w:lang w:eastAsia="es-ES"/>
        </w:rPr>
        <w:t xml:space="preserve"> que establezcan una regulación integral, sistemática y completa o una que tenga la función de restringir, limitar o proteger derechos fundamentales</w:t>
      </w:r>
      <w:r w:rsidR="00A56185" w:rsidRPr="00DB625B">
        <w:rPr>
          <w:rFonts w:ascii="Times New Roman" w:eastAsia="Times New Roman" w:hAnsi="Times New Roman" w:cs="Times New Roman"/>
          <w:sz w:val="28"/>
          <w:szCs w:val="28"/>
          <w:lang w:eastAsia="es-ES"/>
        </w:rPr>
        <w:t xml:space="preserve">, como sucedió con </w:t>
      </w:r>
      <w:r w:rsidR="004E1628" w:rsidRPr="00DB625B">
        <w:rPr>
          <w:rFonts w:ascii="Times New Roman" w:eastAsia="Times New Roman" w:hAnsi="Times New Roman" w:cs="Times New Roman"/>
          <w:sz w:val="28"/>
          <w:szCs w:val="28"/>
          <w:lang w:eastAsia="es-ES"/>
        </w:rPr>
        <w:t>la reglamentación d</w:t>
      </w:r>
      <w:r w:rsidR="00A56185" w:rsidRPr="00DB625B">
        <w:rPr>
          <w:rFonts w:ascii="Times New Roman" w:eastAsia="Times New Roman" w:hAnsi="Times New Roman" w:cs="Times New Roman"/>
          <w:sz w:val="28"/>
          <w:szCs w:val="28"/>
          <w:lang w:eastAsia="es-ES"/>
        </w:rPr>
        <w:t>el habeas corpus en el Código Penal</w:t>
      </w:r>
      <w:r w:rsidR="00ED5967" w:rsidRPr="00DB625B">
        <w:rPr>
          <w:rStyle w:val="Refdenotaalpie"/>
          <w:rFonts w:ascii="Times New Roman" w:eastAsia="Times New Roman" w:hAnsi="Times New Roman" w:cs="Times New Roman"/>
          <w:sz w:val="28"/>
          <w:szCs w:val="28"/>
          <w:lang w:eastAsia="es-ES"/>
        </w:rPr>
        <w:footnoteReference w:id="47"/>
      </w:r>
      <w:r w:rsidR="00A56185" w:rsidRPr="00DB625B">
        <w:rPr>
          <w:rFonts w:ascii="Times New Roman" w:eastAsia="Times New Roman" w:hAnsi="Times New Roman" w:cs="Times New Roman"/>
          <w:sz w:val="28"/>
          <w:szCs w:val="28"/>
          <w:lang w:eastAsia="es-ES"/>
        </w:rPr>
        <w:t xml:space="preserve">, </w:t>
      </w:r>
      <w:r w:rsidR="00E7187F" w:rsidRPr="00DB625B">
        <w:rPr>
          <w:rFonts w:ascii="Times New Roman" w:eastAsia="Times New Roman" w:hAnsi="Times New Roman" w:cs="Times New Roman"/>
          <w:sz w:val="28"/>
          <w:szCs w:val="28"/>
          <w:lang w:eastAsia="es-ES"/>
        </w:rPr>
        <w:t>de las peticiones del artículo 23 de la Constitución</w:t>
      </w:r>
      <w:r w:rsidR="00A56185" w:rsidRPr="00DB625B">
        <w:rPr>
          <w:rFonts w:ascii="Times New Roman" w:eastAsia="Times New Roman" w:hAnsi="Times New Roman" w:cs="Times New Roman"/>
          <w:sz w:val="28"/>
          <w:szCs w:val="28"/>
          <w:lang w:eastAsia="es-ES"/>
        </w:rPr>
        <w:t xml:space="preserve"> en el C</w:t>
      </w:r>
      <w:r w:rsidR="00ED5967" w:rsidRPr="00DB625B">
        <w:rPr>
          <w:rFonts w:ascii="Times New Roman" w:eastAsia="Times New Roman" w:hAnsi="Times New Roman" w:cs="Times New Roman"/>
          <w:sz w:val="28"/>
          <w:szCs w:val="28"/>
          <w:lang w:eastAsia="es-ES"/>
        </w:rPr>
        <w:t>ódigo de Procedimiento y de lo Contencioso Administrativo</w:t>
      </w:r>
      <w:r w:rsidR="00ED5967" w:rsidRPr="00DB625B">
        <w:rPr>
          <w:rStyle w:val="Refdenotaalpie"/>
          <w:rFonts w:ascii="Times New Roman" w:eastAsia="Times New Roman" w:hAnsi="Times New Roman" w:cs="Times New Roman"/>
          <w:sz w:val="28"/>
          <w:szCs w:val="28"/>
          <w:lang w:eastAsia="es-ES"/>
        </w:rPr>
        <w:footnoteReference w:id="48"/>
      </w:r>
      <w:r w:rsidR="00ED5967" w:rsidRPr="00DB625B">
        <w:rPr>
          <w:rFonts w:ascii="Times New Roman" w:eastAsia="Times New Roman" w:hAnsi="Times New Roman" w:cs="Times New Roman"/>
          <w:sz w:val="28"/>
          <w:szCs w:val="28"/>
          <w:lang w:eastAsia="es-ES"/>
        </w:rPr>
        <w:t xml:space="preserve">, las medidas cautelares en </w:t>
      </w:r>
      <w:r w:rsidR="00E7187F" w:rsidRPr="00DB625B">
        <w:rPr>
          <w:rFonts w:ascii="Times New Roman" w:eastAsia="Times New Roman" w:hAnsi="Times New Roman" w:cs="Times New Roman"/>
          <w:sz w:val="28"/>
          <w:szCs w:val="28"/>
          <w:lang w:eastAsia="es-ES"/>
        </w:rPr>
        <w:t xml:space="preserve">procesos de </w:t>
      </w:r>
      <w:r w:rsidR="00ED5967" w:rsidRPr="00DB625B">
        <w:rPr>
          <w:rFonts w:ascii="Times New Roman" w:eastAsia="Times New Roman" w:hAnsi="Times New Roman" w:cs="Times New Roman"/>
          <w:sz w:val="28"/>
          <w:szCs w:val="28"/>
          <w:lang w:eastAsia="es-ES"/>
        </w:rPr>
        <w:lastRenderedPageBreak/>
        <w:t>tutela en ese mismo compendio normativo</w:t>
      </w:r>
      <w:r w:rsidR="00ED5967" w:rsidRPr="00DB625B">
        <w:rPr>
          <w:rStyle w:val="Refdenotaalpie"/>
          <w:rFonts w:ascii="Times New Roman" w:eastAsia="Times New Roman" w:hAnsi="Times New Roman" w:cs="Times New Roman"/>
          <w:sz w:val="28"/>
          <w:szCs w:val="28"/>
          <w:lang w:eastAsia="es-ES"/>
        </w:rPr>
        <w:footnoteReference w:id="49"/>
      </w:r>
      <w:r w:rsidR="004E1628" w:rsidRPr="00DB625B">
        <w:rPr>
          <w:rFonts w:ascii="Times New Roman" w:eastAsia="Times New Roman" w:hAnsi="Times New Roman" w:cs="Times New Roman"/>
          <w:sz w:val="28"/>
          <w:szCs w:val="28"/>
          <w:lang w:eastAsia="es-ES"/>
        </w:rPr>
        <w:t xml:space="preserve"> y</w:t>
      </w:r>
      <w:r w:rsidR="00E7187F" w:rsidRPr="00DB625B">
        <w:rPr>
          <w:rFonts w:ascii="Times New Roman" w:eastAsia="Times New Roman" w:hAnsi="Times New Roman" w:cs="Times New Roman"/>
          <w:sz w:val="28"/>
          <w:szCs w:val="28"/>
          <w:lang w:eastAsia="es-ES"/>
        </w:rPr>
        <w:t xml:space="preserve"> el ejercicio de la</w:t>
      </w:r>
      <w:r w:rsidR="00ED5967" w:rsidRPr="00DB625B">
        <w:rPr>
          <w:rFonts w:ascii="Times New Roman" w:eastAsia="Times New Roman" w:hAnsi="Times New Roman" w:cs="Times New Roman"/>
          <w:sz w:val="28"/>
          <w:szCs w:val="28"/>
          <w:lang w:eastAsia="es-ES"/>
        </w:rPr>
        <w:t xml:space="preserve"> protesta en el Código Nacional de Policía</w:t>
      </w:r>
      <w:r w:rsidR="00ED5967" w:rsidRPr="00DB625B">
        <w:rPr>
          <w:rStyle w:val="Refdenotaalpie"/>
          <w:rFonts w:ascii="Times New Roman" w:eastAsia="Times New Roman" w:hAnsi="Times New Roman" w:cs="Times New Roman"/>
          <w:sz w:val="28"/>
          <w:szCs w:val="28"/>
          <w:lang w:eastAsia="es-ES"/>
        </w:rPr>
        <w:footnoteReference w:id="50"/>
      </w:r>
      <w:r w:rsidR="00ED5967" w:rsidRPr="00DB625B">
        <w:rPr>
          <w:rFonts w:ascii="Times New Roman" w:eastAsia="Times New Roman" w:hAnsi="Times New Roman" w:cs="Times New Roman"/>
          <w:sz w:val="28"/>
          <w:szCs w:val="28"/>
          <w:lang w:eastAsia="es-ES"/>
        </w:rPr>
        <w:t xml:space="preserve">.  </w:t>
      </w:r>
    </w:p>
    <w:p w:rsidR="00F72BCE" w:rsidRPr="00DB625B" w:rsidRDefault="00F72BCE" w:rsidP="00DB625B">
      <w:pPr>
        <w:autoSpaceDE w:val="0"/>
        <w:autoSpaceDN w:val="0"/>
        <w:spacing w:after="0" w:line="240" w:lineRule="auto"/>
        <w:jc w:val="both"/>
        <w:rPr>
          <w:rFonts w:ascii="Times New Roman" w:eastAsia="Times New Roman" w:hAnsi="Times New Roman" w:cs="Times New Roman"/>
          <w:sz w:val="28"/>
          <w:szCs w:val="28"/>
          <w:lang w:eastAsia="es-ES"/>
        </w:rPr>
      </w:pPr>
    </w:p>
    <w:p w:rsidR="00F72BCE" w:rsidRPr="00DB625B" w:rsidRDefault="00F72BCE" w:rsidP="00DB625B">
      <w:pPr>
        <w:autoSpaceDE w:val="0"/>
        <w:autoSpaceDN w:val="0"/>
        <w:spacing w:after="0" w:line="240" w:lineRule="auto"/>
        <w:jc w:val="both"/>
        <w:rPr>
          <w:rFonts w:ascii="Times New Roman" w:eastAsia="Times New Roman" w:hAnsi="Times New Roman" w:cs="Times New Roman"/>
          <w:sz w:val="28"/>
          <w:szCs w:val="28"/>
          <w:lang w:eastAsia="es-ES"/>
        </w:rPr>
      </w:pPr>
      <w:r w:rsidRPr="00DB625B">
        <w:rPr>
          <w:rFonts w:ascii="Times New Roman" w:eastAsia="Times New Roman" w:hAnsi="Times New Roman" w:cs="Times New Roman"/>
          <w:sz w:val="28"/>
          <w:szCs w:val="28"/>
          <w:lang w:eastAsia="es-ES"/>
        </w:rPr>
        <w:t>En materia de sufragio pasivo, la Corte Constitucional ha sostenido que la reserva estatutaria debe interpretarse restrictivamente y, en consecuencia, el criterio general será la regulación de este derecho mediante la ley ordinaria, salvo que se afecte el ámbito irreductible -o intangible- del derecho fundamental</w:t>
      </w:r>
      <w:r w:rsidRPr="00DB625B">
        <w:rPr>
          <w:rStyle w:val="Refdenotaalpie"/>
          <w:rFonts w:ascii="Times New Roman" w:eastAsia="Times New Roman" w:hAnsi="Times New Roman" w:cs="Times New Roman"/>
          <w:sz w:val="28"/>
          <w:szCs w:val="28"/>
          <w:lang w:eastAsia="es-ES"/>
        </w:rPr>
        <w:footnoteReference w:id="51"/>
      </w:r>
      <w:r w:rsidRPr="00DB625B">
        <w:rPr>
          <w:rFonts w:ascii="Times New Roman" w:eastAsia="Times New Roman" w:hAnsi="Times New Roman" w:cs="Times New Roman"/>
          <w:sz w:val="28"/>
          <w:szCs w:val="28"/>
          <w:lang w:eastAsia="es-ES"/>
        </w:rPr>
        <w:t>. Por ello esta Corporación ha sostenido que los asuntos relacionados con el régimen de inhabilidades</w:t>
      </w:r>
      <w:r w:rsidR="00205007" w:rsidRPr="00DB625B">
        <w:rPr>
          <w:rStyle w:val="Refdenotaalpie"/>
          <w:rFonts w:ascii="Times New Roman" w:eastAsia="Times New Roman" w:hAnsi="Times New Roman" w:cs="Times New Roman"/>
          <w:sz w:val="28"/>
          <w:szCs w:val="28"/>
          <w:lang w:eastAsia="es-ES"/>
        </w:rPr>
        <w:footnoteReference w:id="52"/>
      </w:r>
      <w:r w:rsidRPr="00DB625B">
        <w:rPr>
          <w:rFonts w:ascii="Times New Roman" w:eastAsia="Times New Roman" w:hAnsi="Times New Roman" w:cs="Times New Roman"/>
          <w:sz w:val="28"/>
          <w:szCs w:val="28"/>
          <w:lang w:eastAsia="es-ES"/>
        </w:rPr>
        <w:t xml:space="preserve"> e incompatibilidades</w:t>
      </w:r>
      <w:r w:rsidRPr="00DB625B">
        <w:rPr>
          <w:rStyle w:val="Refdenotaalpie"/>
          <w:rFonts w:ascii="Times New Roman" w:eastAsia="Times New Roman" w:hAnsi="Times New Roman" w:cs="Times New Roman"/>
          <w:sz w:val="28"/>
          <w:szCs w:val="28"/>
          <w:lang w:eastAsia="es-ES"/>
        </w:rPr>
        <w:footnoteReference w:id="53"/>
      </w:r>
      <w:r w:rsidRPr="00DB625B">
        <w:rPr>
          <w:rFonts w:ascii="Times New Roman" w:eastAsia="Times New Roman" w:hAnsi="Times New Roman" w:cs="Times New Roman"/>
          <w:sz w:val="28"/>
          <w:szCs w:val="28"/>
          <w:lang w:eastAsia="es-ES"/>
        </w:rPr>
        <w:t>, así como las penas accesorias que implican restricción en los derechos políticos</w:t>
      </w:r>
      <w:r w:rsidR="00DF08E6" w:rsidRPr="00DB625B">
        <w:rPr>
          <w:rStyle w:val="Refdenotaalpie"/>
          <w:rFonts w:ascii="Times New Roman" w:eastAsia="Times New Roman" w:hAnsi="Times New Roman" w:cs="Times New Roman"/>
          <w:sz w:val="28"/>
          <w:szCs w:val="28"/>
          <w:lang w:eastAsia="es-ES"/>
        </w:rPr>
        <w:footnoteReference w:id="54"/>
      </w:r>
      <w:r w:rsidRPr="00DB625B">
        <w:rPr>
          <w:rFonts w:ascii="Times New Roman" w:eastAsia="Times New Roman" w:hAnsi="Times New Roman" w:cs="Times New Roman"/>
          <w:sz w:val="28"/>
          <w:szCs w:val="28"/>
          <w:lang w:eastAsia="es-ES"/>
        </w:rPr>
        <w:t xml:space="preserve"> y el boletín de responsables fiscales</w:t>
      </w:r>
      <w:r w:rsidRPr="00DB625B">
        <w:rPr>
          <w:rStyle w:val="Refdenotaalpie"/>
          <w:rFonts w:ascii="Times New Roman" w:eastAsia="Times New Roman" w:hAnsi="Times New Roman" w:cs="Times New Roman"/>
          <w:sz w:val="28"/>
          <w:szCs w:val="28"/>
          <w:lang w:eastAsia="es-ES"/>
        </w:rPr>
        <w:footnoteReference w:id="55"/>
      </w:r>
      <w:r w:rsidRPr="00DB625B">
        <w:rPr>
          <w:rFonts w:ascii="Times New Roman" w:eastAsia="Times New Roman" w:hAnsi="Times New Roman" w:cs="Times New Roman"/>
          <w:sz w:val="28"/>
          <w:szCs w:val="28"/>
          <w:lang w:eastAsia="es-ES"/>
        </w:rPr>
        <w:t>, no requieren del trámite estatutario en principio</w:t>
      </w:r>
      <w:r w:rsidR="00A5271F" w:rsidRPr="00DB625B">
        <w:rPr>
          <w:rFonts w:ascii="Times New Roman" w:eastAsia="Times New Roman" w:hAnsi="Times New Roman" w:cs="Times New Roman"/>
          <w:sz w:val="28"/>
          <w:szCs w:val="28"/>
          <w:lang w:eastAsia="es-ES"/>
        </w:rPr>
        <w:t>.</w:t>
      </w:r>
    </w:p>
    <w:p w:rsidR="00A5271F" w:rsidRPr="00DB625B" w:rsidRDefault="00A5271F" w:rsidP="00DB625B">
      <w:pPr>
        <w:autoSpaceDE w:val="0"/>
        <w:autoSpaceDN w:val="0"/>
        <w:spacing w:after="0" w:line="240" w:lineRule="auto"/>
        <w:jc w:val="both"/>
        <w:rPr>
          <w:rFonts w:ascii="Times New Roman" w:eastAsia="Times New Roman" w:hAnsi="Times New Roman" w:cs="Times New Roman"/>
          <w:sz w:val="28"/>
          <w:szCs w:val="28"/>
          <w:lang w:eastAsia="es-ES"/>
        </w:rPr>
      </w:pPr>
    </w:p>
    <w:p w:rsidR="00A5271F" w:rsidRPr="00DB625B" w:rsidRDefault="003F0E79" w:rsidP="00DB625B">
      <w:pPr>
        <w:autoSpaceDE w:val="0"/>
        <w:autoSpaceDN w:val="0"/>
        <w:spacing w:after="0" w:line="240" w:lineRule="auto"/>
        <w:jc w:val="both"/>
        <w:rPr>
          <w:rFonts w:ascii="Times New Roman" w:hAnsi="Times New Roman" w:cs="Times New Roman"/>
          <w:sz w:val="28"/>
          <w:szCs w:val="28"/>
        </w:rPr>
      </w:pPr>
      <w:r w:rsidRPr="00DB625B">
        <w:rPr>
          <w:rFonts w:ascii="Times New Roman" w:eastAsia="Times New Roman" w:hAnsi="Times New Roman" w:cs="Times New Roman"/>
          <w:b/>
          <w:sz w:val="28"/>
          <w:szCs w:val="28"/>
          <w:lang w:eastAsia="es-ES"/>
        </w:rPr>
        <w:t>7.4</w:t>
      </w:r>
      <w:r w:rsidR="00A5271F" w:rsidRPr="00DB625B">
        <w:rPr>
          <w:rFonts w:ascii="Times New Roman" w:eastAsia="Times New Roman" w:hAnsi="Times New Roman" w:cs="Times New Roman"/>
          <w:b/>
          <w:sz w:val="28"/>
          <w:szCs w:val="28"/>
          <w:lang w:eastAsia="es-ES"/>
        </w:rPr>
        <w:t xml:space="preserve">.  </w:t>
      </w:r>
      <w:r w:rsidR="006A1374" w:rsidRPr="00DB625B">
        <w:rPr>
          <w:rFonts w:ascii="Times New Roman" w:eastAsia="Times New Roman" w:hAnsi="Times New Roman" w:cs="Times New Roman"/>
          <w:sz w:val="28"/>
          <w:szCs w:val="28"/>
          <w:lang w:eastAsia="es-ES"/>
        </w:rPr>
        <w:t>E</w:t>
      </w:r>
      <w:r w:rsidR="000C6CCD" w:rsidRPr="00DB625B">
        <w:rPr>
          <w:rFonts w:ascii="Times New Roman" w:eastAsia="Times New Roman" w:hAnsi="Times New Roman" w:cs="Times New Roman"/>
          <w:sz w:val="28"/>
          <w:szCs w:val="28"/>
          <w:lang w:eastAsia="es-ES"/>
        </w:rPr>
        <w:t>n suma, la normatividad que regula los</w:t>
      </w:r>
      <w:r w:rsidR="006A1374" w:rsidRPr="00DB625B">
        <w:rPr>
          <w:rFonts w:ascii="Times New Roman" w:eastAsia="Times New Roman" w:hAnsi="Times New Roman" w:cs="Times New Roman"/>
          <w:sz w:val="28"/>
          <w:szCs w:val="28"/>
          <w:lang w:eastAsia="es-ES"/>
        </w:rPr>
        <w:t xml:space="preserve"> procedimientos</w:t>
      </w:r>
      <w:r w:rsidR="000C6CCD" w:rsidRPr="00DB625B">
        <w:rPr>
          <w:rFonts w:ascii="Times New Roman" w:eastAsia="Times New Roman" w:hAnsi="Times New Roman" w:cs="Times New Roman"/>
          <w:sz w:val="28"/>
          <w:szCs w:val="28"/>
          <w:lang w:eastAsia="es-ES"/>
        </w:rPr>
        <w:t xml:space="preserve">, </w:t>
      </w:r>
      <w:r w:rsidR="00091D83" w:rsidRPr="00DB625B">
        <w:rPr>
          <w:rFonts w:ascii="Times New Roman" w:eastAsia="Times New Roman" w:hAnsi="Times New Roman" w:cs="Times New Roman"/>
          <w:sz w:val="28"/>
          <w:szCs w:val="28"/>
          <w:lang w:eastAsia="es-ES"/>
        </w:rPr>
        <w:t>por</w:t>
      </w:r>
      <w:r w:rsidR="000C6CCD" w:rsidRPr="00DB625B">
        <w:rPr>
          <w:rFonts w:ascii="Times New Roman" w:eastAsia="Times New Roman" w:hAnsi="Times New Roman" w:cs="Times New Roman"/>
          <w:sz w:val="28"/>
          <w:szCs w:val="28"/>
          <w:lang w:eastAsia="es-ES"/>
        </w:rPr>
        <w:t xml:space="preserve"> regla general,</w:t>
      </w:r>
      <w:r w:rsidR="006A1374" w:rsidRPr="00DB625B">
        <w:rPr>
          <w:rFonts w:ascii="Times New Roman" w:eastAsia="Times New Roman" w:hAnsi="Times New Roman" w:cs="Times New Roman"/>
          <w:sz w:val="28"/>
          <w:szCs w:val="28"/>
          <w:lang w:eastAsia="es-ES"/>
        </w:rPr>
        <w:t xml:space="preserve"> no tiene reserva de ley estatutaria, </w:t>
      </w:r>
      <w:r w:rsidR="000C6CCD" w:rsidRPr="00DB625B">
        <w:rPr>
          <w:rFonts w:ascii="Times New Roman" w:eastAsia="Times New Roman" w:hAnsi="Times New Roman" w:cs="Times New Roman"/>
          <w:sz w:val="28"/>
          <w:szCs w:val="28"/>
          <w:lang w:eastAsia="es-ES"/>
        </w:rPr>
        <w:t xml:space="preserve">pese a que </w:t>
      </w:r>
      <w:r w:rsidR="006A1374" w:rsidRPr="00DB625B">
        <w:rPr>
          <w:rFonts w:ascii="Times New Roman" w:eastAsia="Times New Roman" w:hAnsi="Times New Roman" w:cs="Times New Roman"/>
          <w:sz w:val="28"/>
          <w:szCs w:val="28"/>
          <w:lang w:eastAsia="es-ES"/>
        </w:rPr>
        <w:t>estén relacionados con el ejercicio de der</w:t>
      </w:r>
      <w:r w:rsidR="000C6CCD" w:rsidRPr="00DB625B">
        <w:rPr>
          <w:rFonts w:ascii="Times New Roman" w:eastAsia="Times New Roman" w:hAnsi="Times New Roman" w:cs="Times New Roman"/>
          <w:sz w:val="28"/>
          <w:szCs w:val="28"/>
          <w:lang w:eastAsia="es-ES"/>
        </w:rPr>
        <w:t>echos fundamentales. Sin embargo, la jurisprudencia ha identificado</w:t>
      </w:r>
      <w:r w:rsidR="001F1AC2" w:rsidRPr="00DB625B">
        <w:rPr>
          <w:rFonts w:ascii="Times New Roman" w:eastAsia="Times New Roman" w:hAnsi="Times New Roman" w:cs="Times New Roman"/>
          <w:sz w:val="28"/>
          <w:szCs w:val="28"/>
          <w:lang w:eastAsia="es-ES"/>
        </w:rPr>
        <w:t xml:space="preserve"> algunas </w:t>
      </w:r>
      <w:r w:rsidR="000C6CCD" w:rsidRPr="00DB625B">
        <w:rPr>
          <w:rFonts w:ascii="Times New Roman" w:eastAsia="Times New Roman" w:hAnsi="Times New Roman" w:cs="Times New Roman"/>
          <w:sz w:val="28"/>
          <w:szCs w:val="28"/>
          <w:lang w:eastAsia="es-ES"/>
        </w:rPr>
        <w:t xml:space="preserve"> situaciones en que la reglamentación</w:t>
      </w:r>
      <w:r w:rsidR="006A1374" w:rsidRPr="00DB625B">
        <w:rPr>
          <w:rFonts w:ascii="Times New Roman" w:eastAsia="Times New Roman" w:hAnsi="Times New Roman" w:cs="Times New Roman"/>
          <w:sz w:val="28"/>
          <w:szCs w:val="28"/>
          <w:lang w:eastAsia="es-ES"/>
        </w:rPr>
        <w:t xml:space="preserve"> de un procedimiento </w:t>
      </w:r>
      <w:r w:rsidR="000C6CCD" w:rsidRPr="00DB625B">
        <w:rPr>
          <w:rFonts w:ascii="Times New Roman" w:eastAsia="Times New Roman" w:hAnsi="Times New Roman" w:cs="Times New Roman"/>
          <w:sz w:val="28"/>
          <w:szCs w:val="28"/>
          <w:lang w:eastAsia="es-ES"/>
        </w:rPr>
        <w:t xml:space="preserve">debe ser objeto de los trámites cualificados de las leyes estatutarias, a saber: i) </w:t>
      </w:r>
      <w:r w:rsidR="001F1AC2" w:rsidRPr="00DB625B">
        <w:rPr>
          <w:rFonts w:ascii="Times New Roman" w:eastAsia="Times New Roman" w:hAnsi="Times New Roman" w:cs="Times New Roman"/>
          <w:sz w:val="28"/>
          <w:szCs w:val="28"/>
          <w:lang w:eastAsia="es-ES"/>
        </w:rPr>
        <w:t>la normatividad abarca</w:t>
      </w:r>
      <w:r w:rsidR="000C6CCD" w:rsidRPr="00DB625B">
        <w:rPr>
          <w:rFonts w:ascii="Times New Roman" w:eastAsia="Times New Roman" w:hAnsi="Times New Roman" w:cs="Times New Roman"/>
          <w:sz w:val="28"/>
          <w:szCs w:val="28"/>
          <w:lang w:eastAsia="es-ES"/>
        </w:rPr>
        <w:t xml:space="preserve"> </w:t>
      </w:r>
      <w:r w:rsidR="006A1374" w:rsidRPr="00DB625B">
        <w:rPr>
          <w:rFonts w:ascii="Times New Roman" w:eastAsia="Times New Roman" w:hAnsi="Times New Roman" w:cs="Times New Roman"/>
          <w:sz w:val="28"/>
          <w:szCs w:val="28"/>
          <w:lang w:eastAsia="es-ES"/>
        </w:rPr>
        <w:t>el ejercicio de un derecho fundamental de forma i</w:t>
      </w:r>
      <w:r w:rsidR="001F1AC2" w:rsidRPr="00DB625B">
        <w:rPr>
          <w:rFonts w:ascii="Times New Roman" w:eastAsia="Times New Roman" w:hAnsi="Times New Roman" w:cs="Times New Roman"/>
          <w:sz w:val="28"/>
          <w:szCs w:val="28"/>
          <w:lang w:eastAsia="es-ES"/>
        </w:rPr>
        <w:t>ntegral, sistemática y completa;</w:t>
      </w:r>
      <w:r w:rsidR="006A1374" w:rsidRPr="00DB625B">
        <w:rPr>
          <w:rFonts w:ascii="Times New Roman" w:eastAsia="Times New Roman" w:hAnsi="Times New Roman" w:cs="Times New Roman"/>
          <w:sz w:val="28"/>
          <w:szCs w:val="28"/>
          <w:lang w:eastAsia="es-ES"/>
        </w:rPr>
        <w:t xml:space="preserve"> o</w:t>
      </w:r>
      <w:r w:rsidR="001F1AC2" w:rsidRPr="00DB625B">
        <w:rPr>
          <w:rFonts w:ascii="Times New Roman" w:eastAsia="Times New Roman" w:hAnsi="Times New Roman" w:cs="Times New Roman"/>
          <w:sz w:val="28"/>
          <w:szCs w:val="28"/>
          <w:lang w:eastAsia="es-ES"/>
        </w:rPr>
        <w:t xml:space="preserve"> ii) los enunciados legales</w:t>
      </w:r>
      <w:r w:rsidR="006A1374" w:rsidRPr="00DB625B">
        <w:rPr>
          <w:rFonts w:ascii="Times New Roman" w:eastAsia="Times New Roman" w:hAnsi="Times New Roman" w:cs="Times New Roman"/>
          <w:sz w:val="28"/>
          <w:szCs w:val="28"/>
          <w:lang w:eastAsia="es-ES"/>
        </w:rPr>
        <w:t xml:space="preserve"> tienen la función de restringir, limitar o p</w:t>
      </w:r>
      <w:r w:rsidR="00DF6D61" w:rsidRPr="00DB625B">
        <w:rPr>
          <w:rFonts w:ascii="Times New Roman" w:eastAsia="Times New Roman" w:hAnsi="Times New Roman" w:cs="Times New Roman"/>
          <w:sz w:val="28"/>
          <w:szCs w:val="28"/>
          <w:lang w:eastAsia="es-ES"/>
        </w:rPr>
        <w:t>roteger derechos fundamentales.</w:t>
      </w:r>
    </w:p>
    <w:p w:rsidR="001F1AC2" w:rsidRPr="00DB625B" w:rsidRDefault="001F1AC2" w:rsidP="00DB625B">
      <w:pPr>
        <w:autoSpaceDE w:val="0"/>
        <w:autoSpaceDN w:val="0"/>
        <w:spacing w:after="0" w:line="240" w:lineRule="auto"/>
        <w:jc w:val="both"/>
        <w:rPr>
          <w:rFonts w:ascii="Times New Roman" w:eastAsia="Times New Roman" w:hAnsi="Times New Roman" w:cs="Times New Roman"/>
          <w:b/>
          <w:bCs/>
          <w:sz w:val="28"/>
          <w:szCs w:val="28"/>
          <w:lang w:eastAsia="es-ES"/>
        </w:rPr>
      </w:pPr>
    </w:p>
    <w:p w:rsidR="00E02B69" w:rsidRPr="00DB625B" w:rsidRDefault="00E02B69" w:rsidP="00DB625B">
      <w:pPr>
        <w:autoSpaceDE w:val="0"/>
        <w:autoSpaceDN w:val="0"/>
        <w:spacing w:after="0" w:line="240" w:lineRule="auto"/>
        <w:jc w:val="both"/>
        <w:rPr>
          <w:rFonts w:ascii="Times New Roman" w:eastAsia="Times New Roman" w:hAnsi="Times New Roman" w:cs="Times New Roman"/>
          <w:b/>
          <w:bCs/>
          <w:sz w:val="28"/>
          <w:szCs w:val="28"/>
          <w:lang w:eastAsia="es-ES"/>
        </w:rPr>
      </w:pPr>
      <w:r w:rsidRPr="00DB625B">
        <w:rPr>
          <w:rFonts w:ascii="Times New Roman" w:eastAsia="Times New Roman" w:hAnsi="Times New Roman" w:cs="Times New Roman"/>
          <w:b/>
          <w:bCs/>
          <w:sz w:val="28"/>
          <w:szCs w:val="28"/>
          <w:lang w:eastAsia="es-ES"/>
        </w:rPr>
        <w:t>Los derechos políticos en el ordenamiento jurídico colombiano</w:t>
      </w:r>
    </w:p>
    <w:p w:rsidR="00170FDF" w:rsidRPr="00DB625B" w:rsidRDefault="00170FDF" w:rsidP="00DB625B">
      <w:pPr>
        <w:tabs>
          <w:tab w:val="left" w:pos="0"/>
        </w:tabs>
        <w:spacing w:after="0" w:line="240" w:lineRule="auto"/>
        <w:jc w:val="both"/>
        <w:rPr>
          <w:rFonts w:ascii="Times New Roman" w:eastAsia="Times New Roman" w:hAnsi="Times New Roman" w:cs="Times New Roman"/>
          <w:b/>
          <w:bCs/>
          <w:spacing w:val="4"/>
          <w:sz w:val="28"/>
          <w:szCs w:val="28"/>
          <w:lang w:val="es-ES_tradnl" w:eastAsia="es-ES"/>
        </w:rPr>
      </w:pPr>
    </w:p>
    <w:p w:rsidR="00E02B69" w:rsidRPr="00DB625B" w:rsidRDefault="00E02B69" w:rsidP="00DB625B">
      <w:pPr>
        <w:pStyle w:val="Prrafodelista"/>
        <w:numPr>
          <w:ilvl w:val="0"/>
          <w:numId w:val="24"/>
        </w:numPr>
        <w:tabs>
          <w:tab w:val="left" w:pos="0"/>
        </w:tabs>
        <w:spacing w:after="0" w:line="240" w:lineRule="auto"/>
        <w:ind w:left="0" w:firstLine="0"/>
        <w:jc w:val="both"/>
        <w:rPr>
          <w:rFonts w:ascii="Times New Roman" w:eastAsia="Times New Roman" w:hAnsi="Times New Roman" w:cs="Times New Roman"/>
          <w:spacing w:val="4"/>
          <w:sz w:val="28"/>
          <w:szCs w:val="28"/>
          <w:lang w:val="es-ES_tradnl" w:eastAsia="es-ES"/>
        </w:rPr>
      </w:pPr>
      <w:r w:rsidRPr="00DB625B">
        <w:rPr>
          <w:rFonts w:ascii="Times New Roman" w:eastAsia="Times New Roman" w:hAnsi="Times New Roman" w:cs="Times New Roman"/>
          <w:spacing w:val="4"/>
          <w:sz w:val="28"/>
          <w:szCs w:val="28"/>
          <w:lang w:val="es-ES_tradnl" w:eastAsia="es-ES"/>
        </w:rPr>
        <w:t>Los artículos 40, 98 y 99 de la Constitución Política de Colombia consagran el conjunto de derechos políticos, así como su titularidad, forma de ejercicio y las reglas para su suspensión. El</w:t>
      </w:r>
      <w:r w:rsidR="00787D94" w:rsidRPr="00DB625B">
        <w:rPr>
          <w:rFonts w:ascii="Times New Roman" w:eastAsia="Times New Roman" w:hAnsi="Times New Roman" w:cs="Times New Roman"/>
          <w:spacing w:val="4"/>
          <w:sz w:val="28"/>
          <w:szCs w:val="28"/>
          <w:lang w:val="es-ES_tradnl" w:eastAsia="es-ES"/>
        </w:rPr>
        <w:t xml:space="preserve"> constituyente optó por una enumeración específica de estos derechos, pues esta técnica es propia de la estructura democrática</w:t>
      </w:r>
      <w:r w:rsidR="005651A2" w:rsidRPr="00DB625B">
        <w:rPr>
          <w:rStyle w:val="Refdenotaalpie"/>
          <w:rFonts w:ascii="Times New Roman" w:eastAsia="Times New Roman" w:hAnsi="Times New Roman" w:cs="Times New Roman"/>
          <w:spacing w:val="4"/>
          <w:sz w:val="28"/>
          <w:szCs w:val="28"/>
          <w:lang w:val="es-ES_tradnl" w:eastAsia="es-ES"/>
        </w:rPr>
        <w:footnoteReference w:id="56"/>
      </w:r>
      <w:r w:rsidR="005651A2" w:rsidRPr="00DB625B">
        <w:rPr>
          <w:rFonts w:ascii="Times New Roman" w:eastAsia="Times New Roman" w:hAnsi="Times New Roman" w:cs="Times New Roman"/>
          <w:spacing w:val="4"/>
          <w:sz w:val="28"/>
          <w:szCs w:val="28"/>
          <w:lang w:val="es-ES_tradnl" w:eastAsia="es-ES"/>
        </w:rPr>
        <w:t xml:space="preserve"> y garantiza</w:t>
      </w:r>
      <w:r w:rsidR="00787D94" w:rsidRPr="00DB625B">
        <w:rPr>
          <w:rFonts w:ascii="Times New Roman" w:eastAsia="Times New Roman" w:hAnsi="Times New Roman" w:cs="Times New Roman"/>
          <w:spacing w:val="4"/>
          <w:sz w:val="28"/>
          <w:szCs w:val="28"/>
          <w:lang w:val="es-ES_tradnl" w:eastAsia="es-ES"/>
        </w:rPr>
        <w:t xml:space="preserve"> el deseo de la comunidad política colombiana de abrir paso a una verdadera democracia participativa</w:t>
      </w:r>
      <w:r w:rsidR="00787D94" w:rsidRPr="00DB625B">
        <w:rPr>
          <w:rStyle w:val="Refdenotaalpie"/>
          <w:rFonts w:ascii="Times New Roman" w:eastAsia="Times New Roman" w:hAnsi="Times New Roman" w:cs="Times New Roman"/>
          <w:spacing w:val="4"/>
          <w:sz w:val="28"/>
          <w:szCs w:val="28"/>
          <w:lang w:val="es-ES_tradnl" w:eastAsia="es-ES"/>
        </w:rPr>
        <w:footnoteReference w:id="57"/>
      </w:r>
      <w:r w:rsidR="00787D94" w:rsidRPr="00DB625B">
        <w:rPr>
          <w:rFonts w:ascii="Times New Roman" w:eastAsia="Times New Roman" w:hAnsi="Times New Roman" w:cs="Times New Roman"/>
          <w:spacing w:val="4"/>
          <w:sz w:val="28"/>
          <w:szCs w:val="28"/>
          <w:lang w:val="es-ES_tradnl" w:eastAsia="es-ES"/>
        </w:rPr>
        <w:t xml:space="preserve">. Asimismo, esta Corporación </w:t>
      </w:r>
      <w:r w:rsidR="007076C0" w:rsidRPr="00DB625B">
        <w:rPr>
          <w:rFonts w:ascii="Times New Roman" w:eastAsia="Times New Roman" w:hAnsi="Times New Roman" w:cs="Times New Roman"/>
          <w:spacing w:val="4"/>
          <w:sz w:val="28"/>
          <w:szCs w:val="28"/>
          <w:lang w:val="es-ES_tradnl" w:eastAsia="es-ES"/>
        </w:rPr>
        <w:t xml:space="preserve">ha </w:t>
      </w:r>
      <w:r w:rsidR="00787D94" w:rsidRPr="00DB625B">
        <w:rPr>
          <w:rFonts w:ascii="Times New Roman" w:eastAsia="Times New Roman" w:hAnsi="Times New Roman" w:cs="Times New Roman"/>
          <w:spacing w:val="4"/>
          <w:sz w:val="28"/>
          <w:szCs w:val="28"/>
          <w:lang w:val="es-ES_tradnl" w:eastAsia="es-ES"/>
        </w:rPr>
        <w:t>considera</w:t>
      </w:r>
      <w:r w:rsidR="007076C0" w:rsidRPr="00DB625B">
        <w:rPr>
          <w:rFonts w:ascii="Times New Roman" w:eastAsia="Times New Roman" w:hAnsi="Times New Roman" w:cs="Times New Roman"/>
          <w:spacing w:val="4"/>
          <w:sz w:val="28"/>
          <w:szCs w:val="28"/>
          <w:lang w:val="es-ES_tradnl" w:eastAsia="es-ES"/>
        </w:rPr>
        <w:t>do</w:t>
      </w:r>
      <w:r w:rsidR="00787D94" w:rsidRPr="00DB625B">
        <w:rPr>
          <w:rFonts w:ascii="Times New Roman" w:eastAsia="Times New Roman" w:hAnsi="Times New Roman" w:cs="Times New Roman"/>
          <w:spacing w:val="4"/>
          <w:sz w:val="28"/>
          <w:szCs w:val="28"/>
          <w:lang w:val="es-ES_tradnl" w:eastAsia="es-ES"/>
        </w:rPr>
        <w:t xml:space="preserve"> que la enumeración de estos derechos, así como las reglas que los rigen, a través de los artículos superiores enunciados, permiten comprender algunos elementos comun</w:t>
      </w:r>
      <w:r w:rsidR="0097493D" w:rsidRPr="00DB625B">
        <w:rPr>
          <w:rFonts w:ascii="Times New Roman" w:eastAsia="Times New Roman" w:hAnsi="Times New Roman" w:cs="Times New Roman"/>
          <w:spacing w:val="4"/>
          <w:sz w:val="28"/>
          <w:szCs w:val="28"/>
          <w:lang w:val="es-ES_tradnl" w:eastAsia="es-ES"/>
        </w:rPr>
        <w:t xml:space="preserve">es. Para el presente caso, se mencionan dos: </w:t>
      </w:r>
      <w:r w:rsidR="00787D94" w:rsidRPr="00DB625B">
        <w:rPr>
          <w:rFonts w:ascii="Times New Roman" w:eastAsia="Times New Roman" w:hAnsi="Times New Roman" w:cs="Times New Roman"/>
          <w:spacing w:val="4"/>
          <w:sz w:val="28"/>
          <w:szCs w:val="28"/>
          <w:lang w:val="es-ES_tradnl" w:eastAsia="es-ES"/>
        </w:rPr>
        <w:t>la titularidad y las reglas de suspensión.</w:t>
      </w:r>
    </w:p>
    <w:p w:rsidR="00787D94" w:rsidRPr="00DB625B" w:rsidRDefault="00787D94" w:rsidP="00DB625B">
      <w:pPr>
        <w:tabs>
          <w:tab w:val="left" w:pos="0"/>
        </w:tabs>
        <w:spacing w:after="0" w:line="240" w:lineRule="auto"/>
        <w:jc w:val="both"/>
        <w:rPr>
          <w:rFonts w:ascii="Times New Roman" w:eastAsia="Times New Roman" w:hAnsi="Times New Roman" w:cs="Times New Roman"/>
          <w:spacing w:val="4"/>
          <w:sz w:val="28"/>
          <w:szCs w:val="28"/>
          <w:lang w:val="es-ES_tradnl" w:eastAsia="es-ES"/>
        </w:rPr>
      </w:pPr>
    </w:p>
    <w:p w:rsidR="00522E13" w:rsidRPr="00DB625B" w:rsidRDefault="007076C0" w:rsidP="00DB625B">
      <w:pPr>
        <w:pStyle w:val="Prrafodelista"/>
        <w:numPr>
          <w:ilvl w:val="1"/>
          <w:numId w:val="24"/>
        </w:numPr>
        <w:spacing w:after="0" w:line="240" w:lineRule="auto"/>
        <w:ind w:left="0" w:firstLine="0"/>
        <w:jc w:val="both"/>
        <w:rPr>
          <w:rFonts w:ascii="Times New Roman" w:hAnsi="Times New Roman" w:cs="Times New Roman"/>
          <w:sz w:val="28"/>
          <w:szCs w:val="28"/>
        </w:rPr>
      </w:pPr>
      <w:r w:rsidRPr="00DB625B">
        <w:rPr>
          <w:rFonts w:ascii="Times New Roman" w:eastAsia="Times New Roman" w:hAnsi="Times New Roman" w:cs="Times New Roman"/>
          <w:spacing w:val="4"/>
          <w:sz w:val="28"/>
          <w:szCs w:val="28"/>
          <w:lang w:val="es-ES_tradnl" w:eastAsia="es-ES"/>
        </w:rPr>
        <w:t>En principio,</w:t>
      </w:r>
      <w:r w:rsidR="005651A2" w:rsidRPr="00DB625B">
        <w:rPr>
          <w:rFonts w:ascii="Times New Roman" w:eastAsia="Times New Roman" w:hAnsi="Times New Roman" w:cs="Times New Roman"/>
          <w:spacing w:val="4"/>
          <w:sz w:val="28"/>
          <w:szCs w:val="28"/>
          <w:lang w:val="es-ES_tradnl" w:eastAsia="es-ES"/>
        </w:rPr>
        <w:t xml:space="preserve"> todo ciudadano</w:t>
      </w:r>
      <w:r w:rsidRPr="00DB625B">
        <w:rPr>
          <w:rFonts w:ascii="Times New Roman" w:eastAsia="Times New Roman" w:hAnsi="Times New Roman" w:cs="Times New Roman"/>
          <w:spacing w:val="4"/>
          <w:sz w:val="28"/>
          <w:szCs w:val="28"/>
          <w:lang w:val="es-ES_tradnl" w:eastAsia="es-ES"/>
        </w:rPr>
        <w:t xml:space="preserve"> es titular de derechos políticos</w:t>
      </w:r>
      <w:r w:rsidR="005651A2" w:rsidRPr="00DB625B">
        <w:rPr>
          <w:rFonts w:ascii="Times New Roman" w:eastAsia="Times New Roman" w:hAnsi="Times New Roman" w:cs="Times New Roman"/>
          <w:spacing w:val="4"/>
          <w:sz w:val="28"/>
          <w:szCs w:val="28"/>
          <w:lang w:val="es-ES_tradnl" w:eastAsia="es-ES"/>
        </w:rPr>
        <w:t>, según el artículo 40, inciso 1</w:t>
      </w:r>
      <w:r w:rsidR="0097493D" w:rsidRPr="00DB625B">
        <w:rPr>
          <w:rFonts w:ascii="Times New Roman" w:eastAsia="Times New Roman" w:hAnsi="Times New Roman" w:cs="Times New Roman"/>
          <w:spacing w:val="4"/>
          <w:sz w:val="28"/>
          <w:szCs w:val="28"/>
          <w:lang w:val="es-ES_tradnl" w:eastAsia="es-ES"/>
        </w:rPr>
        <w:t>º</w:t>
      </w:r>
      <w:r w:rsidR="005651A2" w:rsidRPr="00DB625B">
        <w:rPr>
          <w:rFonts w:ascii="Times New Roman" w:eastAsia="Times New Roman" w:hAnsi="Times New Roman" w:cs="Times New Roman"/>
          <w:spacing w:val="4"/>
          <w:sz w:val="28"/>
          <w:szCs w:val="28"/>
          <w:lang w:val="es-ES_tradnl" w:eastAsia="es-ES"/>
        </w:rPr>
        <w:t>, de la Con</w:t>
      </w:r>
      <w:r w:rsidRPr="00DB625B">
        <w:rPr>
          <w:rFonts w:ascii="Times New Roman" w:eastAsia="Times New Roman" w:hAnsi="Times New Roman" w:cs="Times New Roman"/>
          <w:spacing w:val="4"/>
          <w:sz w:val="28"/>
          <w:szCs w:val="28"/>
          <w:lang w:val="es-ES_tradnl" w:eastAsia="es-ES"/>
        </w:rPr>
        <w:t>stitución Política de Colombia, empero ella</w:t>
      </w:r>
      <w:r w:rsidR="00E22AD6" w:rsidRPr="00DB625B">
        <w:rPr>
          <w:rFonts w:ascii="Times New Roman" w:eastAsia="Times New Roman" w:hAnsi="Times New Roman" w:cs="Times New Roman"/>
          <w:spacing w:val="4"/>
          <w:sz w:val="28"/>
          <w:szCs w:val="28"/>
          <w:lang w:val="es-ES_tradnl" w:eastAsia="es-ES"/>
        </w:rPr>
        <w:t xml:space="preserve"> no </w:t>
      </w:r>
      <w:r w:rsidRPr="00DB625B">
        <w:rPr>
          <w:rFonts w:ascii="Times New Roman" w:eastAsia="Times New Roman" w:hAnsi="Times New Roman" w:cs="Times New Roman"/>
          <w:spacing w:val="4"/>
          <w:sz w:val="28"/>
          <w:szCs w:val="28"/>
          <w:lang w:val="es-ES_tradnl" w:eastAsia="es-ES"/>
        </w:rPr>
        <w:t xml:space="preserve">define el concepto de ciudadano. Ese vacío se explica en que </w:t>
      </w:r>
      <w:r w:rsidR="00E22AD6" w:rsidRPr="00DB625B">
        <w:rPr>
          <w:rFonts w:ascii="Times New Roman" w:eastAsia="Times New Roman" w:hAnsi="Times New Roman" w:cs="Times New Roman"/>
          <w:spacing w:val="4"/>
          <w:sz w:val="28"/>
          <w:szCs w:val="28"/>
          <w:lang w:val="es-ES_tradnl" w:eastAsia="es-ES"/>
        </w:rPr>
        <w:t>la Asamblea Naciona</w:t>
      </w:r>
      <w:r w:rsidRPr="00DB625B">
        <w:rPr>
          <w:rFonts w:ascii="Times New Roman" w:eastAsia="Times New Roman" w:hAnsi="Times New Roman" w:cs="Times New Roman"/>
          <w:spacing w:val="4"/>
          <w:sz w:val="28"/>
          <w:szCs w:val="28"/>
          <w:lang w:val="es-ES_tradnl" w:eastAsia="es-ES"/>
        </w:rPr>
        <w:t>l Constituyente se preocupó exclusivamente por</w:t>
      </w:r>
      <w:r w:rsidR="00E22AD6" w:rsidRPr="00DB625B">
        <w:rPr>
          <w:rFonts w:ascii="Times New Roman" w:eastAsia="Times New Roman" w:hAnsi="Times New Roman" w:cs="Times New Roman"/>
          <w:spacing w:val="4"/>
          <w:sz w:val="28"/>
          <w:szCs w:val="28"/>
          <w:lang w:val="es-ES_tradnl" w:eastAsia="es-ES"/>
        </w:rPr>
        <w:t xml:space="preserve"> la edad míni</w:t>
      </w:r>
      <w:r w:rsidRPr="00DB625B">
        <w:rPr>
          <w:rFonts w:ascii="Times New Roman" w:eastAsia="Times New Roman" w:hAnsi="Times New Roman" w:cs="Times New Roman"/>
          <w:spacing w:val="4"/>
          <w:sz w:val="28"/>
          <w:szCs w:val="28"/>
          <w:lang w:val="es-ES_tradnl" w:eastAsia="es-ES"/>
        </w:rPr>
        <w:t>ma para adquirir la ciudadanía, al punto que el ordenamiento superior tiene una deuda</w:t>
      </w:r>
      <w:r w:rsidR="00E22AD6" w:rsidRPr="00DB625B">
        <w:rPr>
          <w:rFonts w:ascii="Times New Roman" w:eastAsia="Times New Roman" w:hAnsi="Times New Roman" w:cs="Times New Roman"/>
          <w:spacing w:val="4"/>
          <w:sz w:val="28"/>
          <w:szCs w:val="28"/>
          <w:lang w:val="es-ES_tradnl" w:eastAsia="es-ES"/>
        </w:rPr>
        <w:t xml:space="preserve"> con las nuevas generaciones en materia de participación política</w:t>
      </w:r>
      <w:r w:rsidR="00E22AD6" w:rsidRPr="00DB625B">
        <w:rPr>
          <w:rStyle w:val="Refdenotaalpie"/>
          <w:rFonts w:ascii="Times New Roman" w:eastAsia="Times New Roman" w:hAnsi="Times New Roman" w:cs="Times New Roman"/>
          <w:spacing w:val="4"/>
          <w:sz w:val="28"/>
          <w:szCs w:val="28"/>
          <w:lang w:val="es-ES_tradnl" w:eastAsia="es-ES"/>
        </w:rPr>
        <w:footnoteReference w:id="58"/>
      </w:r>
      <w:r w:rsidR="00E22AD6" w:rsidRPr="00DB625B">
        <w:rPr>
          <w:rFonts w:ascii="Times New Roman" w:eastAsia="Times New Roman" w:hAnsi="Times New Roman" w:cs="Times New Roman"/>
          <w:spacing w:val="4"/>
          <w:sz w:val="28"/>
          <w:szCs w:val="28"/>
          <w:lang w:val="es-ES_tradnl" w:eastAsia="es-ES"/>
        </w:rPr>
        <w:t>.</w:t>
      </w:r>
      <w:r w:rsidRPr="00DB625B">
        <w:rPr>
          <w:rFonts w:ascii="Times New Roman" w:eastAsia="Times New Roman" w:hAnsi="Times New Roman" w:cs="Times New Roman"/>
          <w:spacing w:val="4"/>
          <w:sz w:val="28"/>
          <w:szCs w:val="28"/>
          <w:lang w:val="es-ES_tradnl" w:eastAsia="es-ES"/>
        </w:rPr>
        <w:t xml:space="preserve"> Sin embargo,</w:t>
      </w:r>
      <w:r w:rsidR="00522E13" w:rsidRPr="00DB625B">
        <w:rPr>
          <w:rFonts w:ascii="Times New Roman" w:eastAsia="Times New Roman" w:hAnsi="Times New Roman" w:cs="Times New Roman"/>
          <w:spacing w:val="4"/>
          <w:sz w:val="28"/>
          <w:szCs w:val="28"/>
          <w:lang w:val="es-ES_tradnl" w:eastAsia="es-ES"/>
        </w:rPr>
        <w:t xml:space="preserve"> l</w:t>
      </w:r>
      <w:r w:rsidR="00522E13" w:rsidRPr="00DB625B">
        <w:rPr>
          <w:rFonts w:ascii="Times New Roman" w:hAnsi="Times New Roman" w:cs="Times New Roman"/>
          <w:sz w:val="28"/>
          <w:szCs w:val="28"/>
        </w:rPr>
        <w:t>a ciudadanía es un estatus constitucional, que deriva de la nacionalidad (mas no por el</w:t>
      </w:r>
      <w:r w:rsidRPr="00DB625B">
        <w:rPr>
          <w:rFonts w:ascii="Times New Roman" w:hAnsi="Times New Roman" w:cs="Times New Roman"/>
          <w:sz w:val="28"/>
          <w:szCs w:val="28"/>
        </w:rPr>
        <w:t xml:space="preserve">lo son conceptos idénticos) y </w:t>
      </w:r>
      <w:r w:rsidR="00522E13" w:rsidRPr="00DB625B">
        <w:rPr>
          <w:rFonts w:ascii="Times New Roman" w:hAnsi="Times New Roman" w:cs="Times New Roman"/>
          <w:sz w:val="28"/>
          <w:szCs w:val="28"/>
        </w:rPr>
        <w:t xml:space="preserve"> permite a la persona el ejercicio de ciertos derechos. </w:t>
      </w:r>
    </w:p>
    <w:p w:rsidR="00522E13" w:rsidRPr="00DB625B" w:rsidRDefault="00522E13" w:rsidP="00DB625B">
      <w:pPr>
        <w:spacing w:after="0" w:line="240" w:lineRule="auto"/>
        <w:jc w:val="both"/>
        <w:rPr>
          <w:rFonts w:ascii="Times New Roman" w:hAnsi="Times New Roman" w:cs="Times New Roman"/>
          <w:sz w:val="28"/>
          <w:szCs w:val="28"/>
        </w:rPr>
      </w:pPr>
    </w:p>
    <w:p w:rsidR="00522E13" w:rsidRPr="00DB625B" w:rsidRDefault="00522E13" w:rsidP="00DB625B">
      <w:pPr>
        <w:spacing w:after="0" w:line="240" w:lineRule="auto"/>
        <w:jc w:val="both"/>
        <w:rPr>
          <w:rFonts w:ascii="Times New Roman" w:hAnsi="Times New Roman" w:cs="Times New Roman"/>
          <w:sz w:val="28"/>
          <w:szCs w:val="28"/>
        </w:rPr>
      </w:pPr>
      <w:r w:rsidRPr="00DB625B">
        <w:rPr>
          <w:rFonts w:ascii="Times New Roman" w:hAnsi="Times New Roman" w:cs="Times New Roman"/>
          <w:sz w:val="28"/>
          <w:szCs w:val="28"/>
        </w:rPr>
        <w:t>Por ejemplo, este estatus</w:t>
      </w:r>
      <w:r w:rsidR="007076C0" w:rsidRPr="00DB625B">
        <w:rPr>
          <w:rFonts w:ascii="Times New Roman" w:hAnsi="Times New Roman" w:cs="Times New Roman"/>
          <w:sz w:val="28"/>
          <w:szCs w:val="28"/>
        </w:rPr>
        <w:t xml:space="preserve"> atribuye al ciudadano derechos políticos y obligaciones derivados de los mismos</w:t>
      </w:r>
      <w:r w:rsidRPr="00DB625B">
        <w:rPr>
          <w:rFonts w:ascii="Times New Roman" w:hAnsi="Times New Roman" w:cs="Times New Roman"/>
          <w:sz w:val="28"/>
          <w:szCs w:val="28"/>
        </w:rPr>
        <w:t>. La Constitución Política de Colombia hace un énfasis especial sobre éste tipo de derechos</w:t>
      </w:r>
      <w:r w:rsidR="007076C0" w:rsidRPr="00DB625B">
        <w:rPr>
          <w:rFonts w:ascii="Times New Roman" w:hAnsi="Times New Roman" w:cs="Times New Roman"/>
          <w:sz w:val="28"/>
          <w:szCs w:val="28"/>
        </w:rPr>
        <w:t xml:space="preserve">.  </w:t>
      </w:r>
      <w:r w:rsidRPr="00DB625B">
        <w:rPr>
          <w:rFonts w:ascii="Times New Roman" w:hAnsi="Times New Roman" w:cs="Times New Roman"/>
          <w:sz w:val="28"/>
          <w:szCs w:val="28"/>
        </w:rPr>
        <w:t>La Asamblea Nacional Constituyente manifestó que la ciudadanía es “</w:t>
      </w:r>
      <w:r w:rsidRPr="00DB625B">
        <w:rPr>
          <w:rFonts w:ascii="Times New Roman" w:hAnsi="Times New Roman" w:cs="Times New Roman"/>
          <w:i/>
          <w:sz w:val="28"/>
          <w:szCs w:val="28"/>
        </w:rPr>
        <w:t>un punto vital para la marcha del Estado</w:t>
      </w:r>
      <w:r w:rsidRPr="00DB625B">
        <w:rPr>
          <w:rFonts w:ascii="Times New Roman" w:hAnsi="Times New Roman" w:cs="Times New Roman"/>
          <w:sz w:val="28"/>
          <w:szCs w:val="28"/>
        </w:rPr>
        <w:t>”</w:t>
      </w:r>
      <w:r w:rsidRPr="00DB625B">
        <w:rPr>
          <w:rStyle w:val="Refdenotaalpie"/>
          <w:rFonts w:ascii="Times New Roman" w:hAnsi="Times New Roman" w:cs="Times New Roman"/>
          <w:sz w:val="28"/>
          <w:szCs w:val="28"/>
        </w:rPr>
        <w:footnoteReference w:id="59"/>
      </w:r>
      <w:r w:rsidRPr="00DB625B">
        <w:rPr>
          <w:rFonts w:ascii="Times New Roman" w:hAnsi="Times New Roman" w:cs="Times New Roman"/>
          <w:sz w:val="28"/>
          <w:szCs w:val="28"/>
        </w:rPr>
        <w:t>, pues constituye un elemento básico para la convivencia política y determinante para la vigencia y efectividad de los derechos políticos</w:t>
      </w:r>
      <w:r w:rsidRPr="00DB625B">
        <w:rPr>
          <w:rStyle w:val="Refdenotaalpie"/>
          <w:rFonts w:ascii="Times New Roman" w:hAnsi="Times New Roman" w:cs="Times New Roman"/>
          <w:sz w:val="28"/>
          <w:szCs w:val="28"/>
        </w:rPr>
        <w:footnoteReference w:id="60"/>
      </w:r>
      <w:r w:rsidRPr="00DB625B">
        <w:rPr>
          <w:rFonts w:ascii="Times New Roman" w:hAnsi="Times New Roman" w:cs="Times New Roman"/>
          <w:sz w:val="28"/>
          <w:szCs w:val="28"/>
        </w:rPr>
        <w:t xml:space="preserve">. </w:t>
      </w:r>
      <w:r w:rsidR="007076C0" w:rsidRPr="00DB625B">
        <w:rPr>
          <w:rFonts w:ascii="Times New Roman" w:hAnsi="Times New Roman" w:cs="Times New Roman"/>
          <w:sz w:val="28"/>
          <w:szCs w:val="28"/>
        </w:rPr>
        <w:t>Además, se consideró</w:t>
      </w:r>
      <w:r w:rsidRPr="00DB625B">
        <w:rPr>
          <w:rFonts w:ascii="Times New Roman" w:hAnsi="Times New Roman" w:cs="Times New Roman"/>
          <w:sz w:val="28"/>
          <w:szCs w:val="28"/>
        </w:rPr>
        <w:t xml:space="preserve"> que la constitucionaliza</w:t>
      </w:r>
      <w:r w:rsidR="007076C0" w:rsidRPr="00DB625B">
        <w:rPr>
          <w:rFonts w:ascii="Times New Roman" w:hAnsi="Times New Roman" w:cs="Times New Roman"/>
          <w:sz w:val="28"/>
          <w:szCs w:val="28"/>
        </w:rPr>
        <w:t>ción de la ciudadanía facultaba</w:t>
      </w:r>
      <w:r w:rsidRPr="00DB625B">
        <w:rPr>
          <w:rFonts w:ascii="Times New Roman" w:hAnsi="Times New Roman" w:cs="Times New Roman"/>
          <w:sz w:val="28"/>
          <w:szCs w:val="28"/>
        </w:rPr>
        <w:t xml:space="preserve"> una mayor participación por parte de colombianos en el proceso político, así como una renovación hacia la democracia participativa</w:t>
      </w:r>
      <w:r w:rsidRPr="00DB625B">
        <w:rPr>
          <w:rStyle w:val="Refdenotaalpie"/>
          <w:rFonts w:ascii="Times New Roman" w:hAnsi="Times New Roman" w:cs="Times New Roman"/>
          <w:sz w:val="28"/>
          <w:szCs w:val="28"/>
        </w:rPr>
        <w:footnoteReference w:id="61"/>
      </w:r>
      <w:r w:rsidRPr="00DB625B">
        <w:rPr>
          <w:rFonts w:ascii="Times New Roman" w:hAnsi="Times New Roman" w:cs="Times New Roman"/>
          <w:sz w:val="28"/>
          <w:szCs w:val="28"/>
        </w:rPr>
        <w:t xml:space="preserve">. </w:t>
      </w:r>
    </w:p>
    <w:p w:rsidR="00787D94" w:rsidRPr="00DB625B" w:rsidRDefault="00787D94" w:rsidP="00DB625B">
      <w:pPr>
        <w:tabs>
          <w:tab w:val="left" w:pos="0"/>
        </w:tabs>
        <w:spacing w:after="0" w:line="240" w:lineRule="auto"/>
        <w:jc w:val="both"/>
        <w:rPr>
          <w:rFonts w:ascii="Times New Roman" w:eastAsia="Times New Roman" w:hAnsi="Times New Roman" w:cs="Times New Roman"/>
          <w:spacing w:val="4"/>
          <w:sz w:val="28"/>
          <w:szCs w:val="28"/>
          <w:lang w:eastAsia="es-ES"/>
        </w:rPr>
      </w:pPr>
    </w:p>
    <w:p w:rsidR="00E22AD6" w:rsidRPr="00DB625B" w:rsidRDefault="007076C0" w:rsidP="00DB625B">
      <w:pPr>
        <w:tabs>
          <w:tab w:val="left" w:pos="0"/>
        </w:tabs>
        <w:spacing w:after="0" w:line="240" w:lineRule="auto"/>
        <w:jc w:val="both"/>
        <w:rPr>
          <w:rFonts w:ascii="Times New Roman" w:eastAsia="Times New Roman" w:hAnsi="Times New Roman" w:cs="Times New Roman"/>
          <w:spacing w:val="4"/>
          <w:sz w:val="28"/>
          <w:szCs w:val="28"/>
          <w:lang w:val="es-ES_tradnl" w:eastAsia="es-ES"/>
        </w:rPr>
      </w:pPr>
      <w:r w:rsidRPr="00DB625B">
        <w:rPr>
          <w:rFonts w:ascii="Times New Roman" w:eastAsia="Times New Roman" w:hAnsi="Times New Roman" w:cs="Times New Roman"/>
          <w:spacing w:val="4"/>
          <w:sz w:val="28"/>
          <w:szCs w:val="28"/>
          <w:lang w:val="es-ES_tradnl" w:eastAsia="es-ES"/>
        </w:rPr>
        <w:t>Con base en esta</w:t>
      </w:r>
      <w:r w:rsidR="00D316F2" w:rsidRPr="00DB625B">
        <w:rPr>
          <w:rFonts w:ascii="Times New Roman" w:eastAsia="Times New Roman" w:hAnsi="Times New Roman" w:cs="Times New Roman"/>
          <w:spacing w:val="4"/>
          <w:sz w:val="28"/>
          <w:szCs w:val="28"/>
          <w:lang w:val="es-ES_tradnl" w:eastAsia="es-ES"/>
        </w:rPr>
        <w:t xml:space="preserve"> definición al igual que en</w:t>
      </w:r>
      <w:r w:rsidR="00522E13" w:rsidRPr="00DB625B">
        <w:rPr>
          <w:rFonts w:ascii="Times New Roman" w:eastAsia="Times New Roman" w:hAnsi="Times New Roman" w:cs="Times New Roman"/>
          <w:spacing w:val="4"/>
          <w:sz w:val="28"/>
          <w:szCs w:val="28"/>
          <w:lang w:val="es-ES_tradnl" w:eastAsia="es-ES"/>
        </w:rPr>
        <w:t xml:space="preserve"> l</w:t>
      </w:r>
      <w:r w:rsidR="00E22AD6" w:rsidRPr="00DB625B">
        <w:rPr>
          <w:rFonts w:ascii="Times New Roman" w:eastAsia="Times New Roman" w:hAnsi="Times New Roman" w:cs="Times New Roman"/>
          <w:spacing w:val="4"/>
          <w:sz w:val="28"/>
          <w:szCs w:val="28"/>
          <w:lang w:val="es-ES_tradnl" w:eastAsia="es-ES"/>
        </w:rPr>
        <w:t>os artículos 98 y 99 de la Constitución Política de Colombia</w:t>
      </w:r>
      <w:r w:rsidR="00522E13" w:rsidRPr="00DB625B">
        <w:rPr>
          <w:rFonts w:ascii="Times New Roman" w:eastAsia="Times New Roman" w:hAnsi="Times New Roman" w:cs="Times New Roman"/>
          <w:spacing w:val="4"/>
          <w:sz w:val="28"/>
          <w:szCs w:val="28"/>
          <w:lang w:val="es-ES_tradnl" w:eastAsia="es-ES"/>
        </w:rPr>
        <w:t>,</w:t>
      </w:r>
      <w:r w:rsidR="00E22AD6" w:rsidRPr="00DB625B">
        <w:rPr>
          <w:rFonts w:ascii="Times New Roman" w:eastAsia="Times New Roman" w:hAnsi="Times New Roman" w:cs="Times New Roman"/>
          <w:spacing w:val="4"/>
          <w:sz w:val="28"/>
          <w:szCs w:val="28"/>
          <w:lang w:val="es-ES_tradnl" w:eastAsia="es-ES"/>
        </w:rPr>
        <w:t xml:space="preserve"> </w:t>
      </w:r>
      <w:r w:rsidR="00380EE1" w:rsidRPr="00DB625B">
        <w:rPr>
          <w:rFonts w:ascii="Times New Roman" w:eastAsia="Times New Roman" w:hAnsi="Times New Roman" w:cs="Times New Roman"/>
          <w:spacing w:val="4"/>
          <w:sz w:val="28"/>
          <w:szCs w:val="28"/>
          <w:lang w:val="es-ES_tradnl" w:eastAsia="es-ES"/>
        </w:rPr>
        <w:t>se identifican</w:t>
      </w:r>
      <w:r w:rsidR="00E22AD6" w:rsidRPr="00DB625B">
        <w:rPr>
          <w:rFonts w:ascii="Times New Roman" w:eastAsia="Times New Roman" w:hAnsi="Times New Roman" w:cs="Times New Roman"/>
          <w:spacing w:val="4"/>
          <w:sz w:val="28"/>
          <w:szCs w:val="28"/>
          <w:lang w:val="es-ES_tradnl" w:eastAsia="es-ES"/>
        </w:rPr>
        <w:t xml:space="preserve"> dos características esen</w:t>
      </w:r>
      <w:r w:rsidR="00D316F2" w:rsidRPr="00DB625B">
        <w:rPr>
          <w:rFonts w:ascii="Times New Roman" w:eastAsia="Times New Roman" w:hAnsi="Times New Roman" w:cs="Times New Roman"/>
          <w:spacing w:val="4"/>
          <w:sz w:val="28"/>
          <w:szCs w:val="28"/>
          <w:lang w:val="es-ES_tradnl" w:eastAsia="es-ES"/>
        </w:rPr>
        <w:t>ciales del estatus de ciudadano, estas son:</w:t>
      </w:r>
      <w:r w:rsidR="00E22AD6" w:rsidRPr="00DB625B">
        <w:rPr>
          <w:rFonts w:ascii="Times New Roman" w:eastAsia="Times New Roman" w:hAnsi="Times New Roman" w:cs="Times New Roman"/>
          <w:spacing w:val="4"/>
          <w:sz w:val="28"/>
          <w:szCs w:val="28"/>
          <w:lang w:val="es-ES_tradnl" w:eastAsia="es-ES"/>
        </w:rPr>
        <w:t xml:space="preserve"> </w:t>
      </w:r>
      <w:r w:rsidR="00D316F2" w:rsidRPr="00DB625B">
        <w:rPr>
          <w:rFonts w:ascii="Times New Roman" w:eastAsia="Times New Roman" w:hAnsi="Times New Roman" w:cs="Times New Roman"/>
          <w:spacing w:val="4"/>
          <w:sz w:val="28"/>
          <w:szCs w:val="28"/>
          <w:lang w:val="es-ES_tradnl" w:eastAsia="es-ES"/>
        </w:rPr>
        <w:t xml:space="preserve">i) </w:t>
      </w:r>
      <w:r w:rsidR="00E22AD6" w:rsidRPr="00DB625B">
        <w:rPr>
          <w:rFonts w:ascii="Times New Roman" w:eastAsia="Times New Roman" w:hAnsi="Times New Roman" w:cs="Times New Roman"/>
          <w:spacing w:val="4"/>
          <w:sz w:val="28"/>
          <w:szCs w:val="28"/>
          <w:lang w:val="es-ES_tradnl" w:eastAsia="es-ES"/>
        </w:rPr>
        <w:t>para ejercer la ciudadanía se requiere cumplir con los dieciocho (18) años</w:t>
      </w:r>
      <w:r w:rsidR="00BD00E5" w:rsidRPr="00DB625B">
        <w:rPr>
          <w:rStyle w:val="Refdenotaalpie"/>
          <w:rFonts w:ascii="Times New Roman" w:eastAsia="Times New Roman" w:hAnsi="Times New Roman" w:cs="Times New Roman"/>
          <w:spacing w:val="4"/>
          <w:sz w:val="28"/>
          <w:szCs w:val="28"/>
          <w:lang w:val="es-ES_tradnl" w:eastAsia="es-ES"/>
        </w:rPr>
        <w:footnoteReference w:id="62"/>
      </w:r>
      <w:r w:rsidR="00DE0B08" w:rsidRPr="00DB625B">
        <w:rPr>
          <w:rFonts w:ascii="Times New Roman" w:eastAsia="Times New Roman" w:hAnsi="Times New Roman" w:cs="Times New Roman"/>
          <w:spacing w:val="4"/>
          <w:sz w:val="28"/>
          <w:szCs w:val="28"/>
          <w:lang w:val="es-ES_tradnl" w:eastAsia="es-ES"/>
        </w:rPr>
        <w:t>, según el artículo 98, parágrafo único, de la Constitución Política de Colombia</w:t>
      </w:r>
      <w:r w:rsidR="00BD00E5" w:rsidRPr="00DB625B">
        <w:rPr>
          <w:rFonts w:ascii="Times New Roman" w:eastAsia="Times New Roman" w:hAnsi="Times New Roman" w:cs="Times New Roman"/>
          <w:spacing w:val="4"/>
          <w:sz w:val="28"/>
          <w:szCs w:val="28"/>
          <w:lang w:val="es-ES_tradnl" w:eastAsia="es-ES"/>
        </w:rPr>
        <w:t xml:space="preserve">; </w:t>
      </w:r>
      <w:r w:rsidR="00D316F2" w:rsidRPr="00DB625B">
        <w:rPr>
          <w:rFonts w:ascii="Times New Roman" w:eastAsia="Times New Roman" w:hAnsi="Times New Roman" w:cs="Times New Roman"/>
          <w:spacing w:val="4"/>
          <w:sz w:val="28"/>
          <w:szCs w:val="28"/>
          <w:lang w:val="es-ES_tradnl" w:eastAsia="es-ES"/>
        </w:rPr>
        <w:t xml:space="preserve">y ii) </w:t>
      </w:r>
      <w:r w:rsidR="00BD00E5" w:rsidRPr="00DB625B">
        <w:rPr>
          <w:rFonts w:ascii="Times New Roman" w:eastAsia="Times New Roman" w:hAnsi="Times New Roman" w:cs="Times New Roman"/>
          <w:spacing w:val="4"/>
          <w:sz w:val="28"/>
          <w:szCs w:val="28"/>
          <w:lang w:val="es-ES_tradnl" w:eastAsia="es-ES"/>
        </w:rPr>
        <w:t>la ciudadanía es indispensable para poder ejercer</w:t>
      </w:r>
      <w:r w:rsidR="00DE0B08" w:rsidRPr="00DB625B">
        <w:rPr>
          <w:rFonts w:ascii="Times New Roman" w:eastAsia="Times New Roman" w:hAnsi="Times New Roman" w:cs="Times New Roman"/>
          <w:spacing w:val="4"/>
          <w:sz w:val="28"/>
          <w:szCs w:val="28"/>
          <w:lang w:val="es-ES_tradnl" w:eastAsia="es-ES"/>
        </w:rPr>
        <w:t xml:space="preserve"> los derechos al sufragio, a ser elegido y a desempeñar cargos públicos que lleven anexa autoridad o jurisdicción, según el artículo 99 de la Constitución. </w:t>
      </w:r>
    </w:p>
    <w:p w:rsidR="00DE0B08" w:rsidRPr="00DB625B" w:rsidRDefault="00DE0B08" w:rsidP="00DB625B">
      <w:pPr>
        <w:tabs>
          <w:tab w:val="left" w:pos="0"/>
        </w:tabs>
        <w:spacing w:after="0" w:line="240" w:lineRule="auto"/>
        <w:jc w:val="both"/>
        <w:rPr>
          <w:rFonts w:ascii="Times New Roman" w:eastAsia="Times New Roman" w:hAnsi="Times New Roman" w:cs="Times New Roman"/>
          <w:spacing w:val="4"/>
          <w:sz w:val="28"/>
          <w:szCs w:val="28"/>
          <w:lang w:val="es-ES_tradnl" w:eastAsia="es-ES"/>
        </w:rPr>
      </w:pPr>
    </w:p>
    <w:p w:rsidR="00572CC6" w:rsidRPr="00DB625B" w:rsidRDefault="00DE0B08" w:rsidP="00DB625B">
      <w:pPr>
        <w:pStyle w:val="Prrafodelista"/>
        <w:numPr>
          <w:ilvl w:val="1"/>
          <w:numId w:val="24"/>
        </w:numPr>
        <w:tabs>
          <w:tab w:val="left" w:pos="0"/>
        </w:tabs>
        <w:spacing w:after="0" w:line="240" w:lineRule="auto"/>
        <w:ind w:left="0" w:firstLine="0"/>
        <w:jc w:val="both"/>
        <w:rPr>
          <w:rFonts w:ascii="Times New Roman" w:eastAsia="Times New Roman" w:hAnsi="Times New Roman" w:cs="Times New Roman"/>
          <w:spacing w:val="4"/>
          <w:sz w:val="28"/>
          <w:szCs w:val="28"/>
          <w:lang w:val="es-ES_tradnl" w:eastAsia="es-ES"/>
        </w:rPr>
      </w:pPr>
      <w:r w:rsidRPr="00DB625B">
        <w:rPr>
          <w:rFonts w:ascii="Times New Roman" w:eastAsia="Times New Roman" w:hAnsi="Times New Roman" w:cs="Times New Roman"/>
          <w:spacing w:val="4"/>
          <w:sz w:val="28"/>
          <w:szCs w:val="28"/>
          <w:lang w:val="es-ES_tradnl" w:eastAsia="es-ES"/>
        </w:rPr>
        <w:t xml:space="preserve">Por otra parte, el artículo 98, inciso 1, de la Constitución Política de Colombia consagra los criterios generales sobre la restricción a la ciudadanía. </w:t>
      </w:r>
      <w:r w:rsidR="0010758D" w:rsidRPr="00DB625B">
        <w:rPr>
          <w:rFonts w:ascii="Times New Roman" w:eastAsia="Times New Roman" w:hAnsi="Times New Roman" w:cs="Times New Roman"/>
          <w:spacing w:val="4"/>
          <w:sz w:val="28"/>
          <w:szCs w:val="28"/>
          <w:lang w:val="es-ES_tradnl" w:eastAsia="es-ES"/>
        </w:rPr>
        <w:t>El primero consiste en que la ciudadanía no puede perderse, salvo que la persona renuncie a la nacionalid</w:t>
      </w:r>
      <w:r w:rsidR="00380EE1" w:rsidRPr="00DB625B">
        <w:rPr>
          <w:rFonts w:ascii="Times New Roman" w:eastAsia="Times New Roman" w:hAnsi="Times New Roman" w:cs="Times New Roman"/>
          <w:spacing w:val="4"/>
          <w:sz w:val="28"/>
          <w:szCs w:val="28"/>
          <w:lang w:val="es-ES_tradnl" w:eastAsia="es-ES"/>
        </w:rPr>
        <w:t xml:space="preserve">ad. El segundo se refiere a que </w:t>
      </w:r>
      <w:r w:rsidR="0010758D" w:rsidRPr="00DB625B">
        <w:rPr>
          <w:rFonts w:ascii="Times New Roman" w:eastAsia="Times New Roman" w:hAnsi="Times New Roman" w:cs="Times New Roman"/>
          <w:spacing w:val="4"/>
          <w:sz w:val="28"/>
          <w:szCs w:val="28"/>
          <w:lang w:val="es-ES_tradnl" w:eastAsia="es-ES"/>
        </w:rPr>
        <w:t xml:space="preserve">la suspensión de los derechos derivados de la ciudadanía solo puede darse bajo dos condiciones, saber: a) que medie una decisión judicial y; b) que la suspensión se dé en los casos previstos por la ley. </w:t>
      </w:r>
    </w:p>
    <w:p w:rsidR="00572CC6" w:rsidRPr="00DB625B" w:rsidRDefault="00572CC6" w:rsidP="00DB625B">
      <w:pPr>
        <w:pStyle w:val="Prrafodelista"/>
        <w:tabs>
          <w:tab w:val="left" w:pos="0"/>
        </w:tabs>
        <w:spacing w:after="0" w:line="240" w:lineRule="auto"/>
        <w:ind w:left="0"/>
        <w:jc w:val="both"/>
        <w:rPr>
          <w:rFonts w:ascii="Times New Roman" w:eastAsia="Times New Roman" w:hAnsi="Times New Roman" w:cs="Times New Roman"/>
          <w:spacing w:val="4"/>
          <w:sz w:val="28"/>
          <w:szCs w:val="28"/>
          <w:lang w:val="es-ES_tradnl" w:eastAsia="es-ES"/>
        </w:rPr>
      </w:pPr>
    </w:p>
    <w:p w:rsidR="00606988" w:rsidRPr="00DB625B" w:rsidRDefault="0010758D" w:rsidP="00DB625B">
      <w:pPr>
        <w:pStyle w:val="Prrafodelista"/>
        <w:numPr>
          <w:ilvl w:val="2"/>
          <w:numId w:val="24"/>
        </w:numPr>
        <w:tabs>
          <w:tab w:val="left" w:pos="0"/>
        </w:tabs>
        <w:spacing w:after="0" w:line="240" w:lineRule="auto"/>
        <w:ind w:left="0" w:firstLine="0"/>
        <w:jc w:val="both"/>
        <w:rPr>
          <w:rFonts w:ascii="Times New Roman" w:eastAsia="Times New Roman" w:hAnsi="Times New Roman" w:cs="Times New Roman"/>
          <w:spacing w:val="4"/>
          <w:sz w:val="28"/>
          <w:szCs w:val="28"/>
          <w:lang w:val="es-ES_tradnl" w:eastAsia="es-ES"/>
        </w:rPr>
      </w:pPr>
      <w:r w:rsidRPr="00DB625B">
        <w:rPr>
          <w:rFonts w:ascii="Times New Roman" w:eastAsia="Times New Roman" w:hAnsi="Times New Roman" w:cs="Times New Roman"/>
          <w:spacing w:val="4"/>
          <w:sz w:val="28"/>
          <w:szCs w:val="28"/>
          <w:lang w:val="es-ES_tradnl" w:eastAsia="es-ES"/>
        </w:rPr>
        <w:t>La jurisprudencia constitucional</w:t>
      </w:r>
      <w:r w:rsidR="00572CC6" w:rsidRPr="00DB625B">
        <w:rPr>
          <w:rFonts w:ascii="Times New Roman" w:eastAsia="Times New Roman" w:hAnsi="Times New Roman" w:cs="Times New Roman"/>
          <w:spacing w:val="4"/>
          <w:sz w:val="28"/>
          <w:szCs w:val="28"/>
          <w:lang w:val="es-ES_tradnl" w:eastAsia="es-ES"/>
        </w:rPr>
        <w:t xml:space="preserve"> ha abordado con</w:t>
      </w:r>
      <w:r w:rsidRPr="00DB625B">
        <w:rPr>
          <w:rFonts w:ascii="Times New Roman" w:eastAsia="Times New Roman" w:hAnsi="Times New Roman" w:cs="Times New Roman"/>
          <w:spacing w:val="4"/>
          <w:sz w:val="28"/>
          <w:szCs w:val="28"/>
          <w:lang w:val="es-ES_tradnl" w:eastAsia="es-ES"/>
        </w:rPr>
        <w:t xml:space="preserve"> suficiencia la condición de reserva judicial en materia de suspensión de derechos políticos (expresión de la ciudadanía)</w:t>
      </w:r>
      <w:r w:rsidR="00C01D0E" w:rsidRPr="00DB625B">
        <w:rPr>
          <w:rFonts w:ascii="Times New Roman" w:eastAsia="Times New Roman" w:hAnsi="Times New Roman" w:cs="Times New Roman"/>
          <w:spacing w:val="4"/>
          <w:sz w:val="28"/>
          <w:szCs w:val="28"/>
          <w:lang w:val="es-ES_tradnl" w:eastAsia="es-ES"/>
        </w:rPr>
        <w:t>, en especial, en relación con el derecho a ser elegido</w:t>
      </w:r>
      <w:r w:rsidR="008F615D" w:rsidRPr="00DB625B">
        <w:rPr>
          <w:rStyle w:val="Refdenotaalpie"/>
          <w:rFonts w:ascii="Times New Roman" w:eastAsia="Times New Roman" w:hAnsi="Times New Roman" w:cs="Times New Roman"/>
          <w:spacing w:val="4"/>
          <w:sz w:val="28"/>
          <w:szCs w:val="28"/>
          <w:lang w:val="es-ES_tradnl" w:eastAsia="es-ES"/>
        </w:rPr>
        <w:footnoteReference w:id="63"/>
      </w:r>
      <w:r w:rsidR="008F615D" w:rsidRPr="00DB625B">
        <w:rPr>
          <w:rFonts w:ascii="Times New Roman" w:eastAsia="Times New Roman" w:hAnsi="Times New Roman" w:cs="Times New Roman"/>
          <w:spacing w:val="4"/>
          <w:sz w:val="28"/>
          <w:szCs w:val="28"/>
          <w:lang w:val="es-ES_tradnl" w:eastAsia="es-ES"/>
        </w:rPr>
        <w:t>.</w:t>
      </w:r>
      <w:r w:rsidR="00522E13" w:rsidRPr="00DB625B">
        <w:rPr>
          <w:rFonts w:ascii="Times New Roman" w:eastAsia="Times New Roman" w:hAnsi="Times New Roman" w:cs="Times New Roman"/>
          <w:spacing w:val="4"/>
          <w:sz w:val="28"/>
          <w:szCs w:val="28"/>
          <w:lang w:val="es-ES_tradnl" w:eastAsia="es-ES"/>
        </w:rPr>
        <w:t xml:space="preserve"> </w:t>
      </w:r>
    </w:p>
    <w:p w:rsidR="00606988" w:rsidRPr="00DB625B" w:rsidRDefault="00606988" w:rsidP="00DB625B">
      <w:pPr>
        <w:pStyle w:val="Prrafodelista"/>
        <w:tabs>
          <w:tab w:val="left" w:pos="0"/>
        </w:tabs>
        <w:spacing w:after="0" w:line="240" w:lineRule="auto"/>
        <w:ind w:left="0"/>
        <w:jc w:val="both"/>
        <w:rPr>
          <w:rFonts w:ascii="Times New Roman" w:eastAsia="Times New Roman" w:hAnsi="Times New Roman" w:cs="Times New Roman"/>
          <w:spacing w:val="4"/>
          <w:sz w:val="28"/>
          <w:szCs w:val="28"/>
          <w:lang w:val="es-ES_tradnl" w:eastAsia="es-ES"/>
        </w:rPr>
      </w:pPr>
    </w:p>
    <w:p w:rsidR="00566CAA" w:rsidRPr="00DB625B" w:rsidRDefault="00606988" w:rsidP="00DB625B">
      <w:pPr>
        <w:pStyle w:val="Prrafodelista"/>
        <w:tabs>
          <w:tab w:val="left" w:pos="0"/>
        </w:tabs>
        <w:spacing w:after="0" w:line="240" w:lineRule="auto"/>
        <w:ind w:left="0"/>
        <w:jc w:val="both"/>
        <w:rPr>
          <w:rFonts w:ascii="Times New Roman" w:eastAsia="Times New Roman" w:hAnsi="Times New Roman" w:cs="Times New Roman"/>
          <w:spacing w:val="4"/>
          <w:sz w:val="28"/>
          <w:szCs w:val="28"/>
          <w:lang w:val="es-ES_tradnl" w:eastAsia="es-ES"/>
        </w:rPr>
      </w:pPr>
      <w:r w:rsidRPr="00DB625B">
        <w:rPr>
          <w:rFonts w:ascii="Times New Roman" w:eastAsia="Times New Roman" w:hAnsi="Times New Roman" w:cs="Times New Roman"/>
          <w:spacing w:val="4"/>
          <w:sz w:val="28"/>
          <w:szCs w:val="28"/>
          <w:lang w:val="es-ES_tradnl" w:eastAsia="es-ES"/>
        </w:rPr>
        <w:t>Aunque, e</w:t>
      </w:r>
      <w:r w:rsidR="00522E13" w:rsidRPr="00DB625B">
        <w:rPr>
          <w:rFonts w:ascii="Times New Roman" w:eastAsia="Times New Roman" w:hAnsi="Times New Roman" w:cs="Times New Roman"/>
          <w:spacing w:val="4"/>
          <w:sz w:val="28"/>
          <w:szCs w:val="28"/>
          <w:lang w:val="es-ES_tradnl" w:eastAsia="es-ES"/>
        </w:rPr>
        <w:t>sta Corporación ha sostenido</w:t>
      </w:r>
      <w:r w:rsidRPr="00DB625B">
        <w:rPr>
          <w:rFonts w:ascii="Times New Roman" w:eastAsia="Times New Roman" w:hAnsi="Times New Roman" w:cs="Times New Roman"/>
          <w:spacing w:val="4"/>
          <w:sz w:val="28"/>
          <w:szCs w:val="28"/>
          <w:lang w:val="es-ES_tradnl" w:eastAsia="es-ES"/>
        </w:rPr>
        <w:t xml:space="preserve"> que el juez no es la </w:t>
      </w:r>
      <w:r w:rsidR="00626C84" w:rsidRPr="00DB625B">
        <w:rPr>
          <w:rFonts w:ascii="Times New Roman" w:eastAsia="Times New Roman" w:hAnsi="Times New Roman" w:cs="Times New Roman"/>
          <w:spacing w:val="4"/>
          <w:sz w:val="28"/>
          <w:szCs w:val="28"/>
          <w:lang w:val="es-ES_tradnl" w:eastAsia="es-ES"/>
        </w:rPr>
        <w:t>única autoridad que tiene</w:t>
      </w:r>
      <w:r w:rsidRPr="00DB625B">
        <w:rPr>
          <w:rFonts w:ascii="Times New Roman" w:eastAsia="Times New Roman" w:hAnsi="Times New Roman" w:cs="Times New Roman"/>
          <w:spacing w:val="4"/>
          <w:sz w:val="28"/>
          <w:szCs w:val="28"/>
          <w:lang w:val="es-ES_tradnl" w:eastAsia="es-ES"/>
        </w:rPr>
        <w:t xml:space="preserve"> la c</w:t>
      </w:r>
      <w:r w:rsidR="00626C84" w:rsidRPr="00DB625B">
        <w:rPr>
          <w:rFonts w:ascii="Times New Roman" w:eastAsia="Times New Roman" w:hAnsi="Times New Roman" w:cs="Times New Roman"/>
          <w:spacing w:val="4"/>
          <w:sz w:val="28"/>
          <w:szCs w:val="28"/>
          <w:lang w:val="es-ES_tradnl" w:eastAsia="es-ES"/>
        </w:rPr>
        <w:t>ompetencia para</w:t>
      </w:r>
      <w:r w:rsidRPr="00DB625B">
        <w:rPr>
          <w:rFonts w:ascii="Times New Roman" w:eastAsia="Times New Roman" w:hAnsi="Times New Roman" w:cs="Times New Roman"/>
          <w:spacing w:val="4"/>
          <w:sz w:val="28"/>
          <w:szCs w:val="28"/>
          <w:lang w:val="es-ES_tradnl" w:eastAsia="es-ES"/>
        </w:rPr>
        <w:t xml:space="preserve"> restringir derechos políticos</w:t>
      </w:r>
      <w:r w:rsidR="00626C84" w:rsidRPr="00DB625B">
        <w:rPr>
          <w:rStyle w:val="Refdenotaalpie"/>
          <w:rFonts w:ascii="Times New Roman" w:eastAsia="Times New Roman" w:hAnsi="Times New Roman" w:cs="Times New Roman"/>
          <w:spacing w:val="4"/>
          <w:sz w:val="28"/>
          <w:szCs w:val="28"/>
          <w:lang w:val="es-ES_tradnl" w:eastAsia="es-ES"/>
        </w:rPr>
        <w:footnoteReference w:id="64"/>
      </w:r>
      <w:r w:rsidRPr="00DB625B">
        <w:rPr>
          <w:rFonts w:ascii="Times New Roman" w:eastAsia="Times New Roman" w:hAnsi="Times New Roman" w:cs="Times New Roman"/>
          <w:spacing w:val="4"/>
          <w:sz w:val="28"/>
          <w:szCs w:val="28"/>
          <w:lang w:val="es-ES_tradnl" w:eastAsia="es-ES"/>
        </w:rPr>
        <w:t>. Con base en la Constitución y la Convención Americana sobre Derechos Humano</w:t>
      </w:r>
      <w:r w:rsidR="00626C84" w:rsidRPr="00DB625B">
        <w:rPr>
          <w:rFonts w:ascii="Times New Roman" w:eastAsia="Times New Roman" w:hAnsi="Times New Roman" w:cs="Times New Roman"/>
          <w:spacing w:val="4"/>
          <w:sz w:val="28"/>
          <w:szCs w:val="28"/>
          <w:lang w:val="es-ES_tradnl" w:eastAsia="es-ES"/>
        </w:rPr>
        <w:t>s</w:t>
      </w:r>
      <w:r w:rsidR="00F26351" w:rsidRPr="00DB625B">
        <w:rPr>
          <w:rFonts w:ascii="Times New Roman" w:eastAsia="Times New Roman" w:hAnsi="Times New Roman" w:cs="Times New Roman"/>
          <w:spacing w:val="4"/>
          <w:sz w:val="28"/>
          <w:szCs w:val="28"/>
          <w:lang w:val="es-ES_tradnl" w:eastAsia="es-ES"/>
        </w:rPr>
        <w:t xml:space="preserve"> -en adelante CADH-</w:t>
      </w:r>
      <w:r w:rsidRPr="00DB625B">
        <w:rPr>
          <w:rFonts w:ascii="Times New Roman" w:eastAsia="Times New Roman" w:hAnsi="Times New Roman" w:cs="Times New Roman"/>
          <w:spacing w:val="4"/>
          <w:sz w:val="28"/>
          <w:szCs w:val="28"/>
          <w:lang w:val="es-ES_tradnl" w:eastAsia="es-ES"/>
        </w:rPr>
        <w:t xml:space="preserve">, ha manifestado que es </w:t>
      </w:r>
      <w:r w:rsidR="00626C84" w:rsidRPr="00DB625B">
        <w:rPr>
          <w:rFonts w:ascii="Times New Roman" w:eastAsia="Times New Roman" w:hAnsi="Times New Roman" w:cs="Times New Roman"/>
          <w:spacing w:val="4"/>
          <w:sz w:val="28"/>
          <w:szCs w:val="28"/>
          <w:lang w:val="es-ES_tradnl" w:eastAsia="es-ES"/>
        </w:rPr>
        <w:t>válido</w:t>
      </w:r>
      <w:r w:rsidRPr="00DB625B">
        <w:rPr>
          <w:rFonts w:ascii="Times New Roman" w:eastAsia="Times New Roman" w:hAnsi="Times New Roman" w:cs="Times New Roman"/>
          <w:spacing w:val="4"/>
          <w:sz w:val="28"/>
          <w:szCs w:val="28"/>
          <w:lang w:val="es-ES_tradnl" w:eastAsia="es-ES"/>
        </w:rPr>
        <w:t xml:space="preserve"> limitar</w:t>
      </w:r>
      <w:r w:rsidR="00626C84" w:rsidRPr="00DB625B">
        <w:rPr>
          <w:rFonts w:ascii="Times New Roman" w:eastAsia="Times New Roman" w:hAnsi="Times New Roman" w:cs="Times New Roman"/>
          <w:spacing w:val="4"/>
          <w:sz w:val="28"/>
          <w:szCs w:val="28"/>
          <w:lang w:val="es-ES_tradnl" w:eastAsia="es-ES"/>
        </w:rPr>
        <w:t xml:space="preserve"> ese tipo de derechos por vía administrativa</w:t>
      </w:r>
      <w:r w:rsidR="00F26351" w:rsidRPr="00DB625B">
        <w:rPr>
          <w:rFonts w:ascii="Times New Roman" w:eastAsia="Times New Roman" w:hAnsi="Times New Roman" w:cs="Times New Roman"/>
          <w:spacing w:val="4"/>
          <w:sz w:val="28"/>
          <w:szCs w:val="28"/>
          <w:lang w:val="es-ES_tradnl" w:eastAsia="es-ES"/>
        </w:rPr>
        <w:t>, bajo ciertas condiciones. En ese contexto, l</w:t>
      </w:r>
      <w:r w:rsidR="00626C84" w:rsidRPr="00DB625B">
        <w:rPr>
          <w:rFonts w:ascii="Times New Roman" w:eastAsia="Times New Roman" w:hAnsi="Times New Roman" w:cs="Times New Roman"/>
          <w:spacing w:val="4"/>
          <w:sz w:val="28"/>
          <w:szCs w:val="28"/>
          <w:lang w:val="es-ES_tradnl" w:eastAsia="es-ES"/>
        </w:rPr>
        <w:t>os</w:t>
      </w:r>
      <w:r w:rsidR="00572CC6" w:rsidRPr="00DB625B">
        <w:rPr>
          <w:rFonts w:ascii="Times New Roman" w:eastAsia="Times New Roman" w:hAnsi="Times New Roman" w:cs="Times New Roman"/>
          <w:spacing w:val="4"/>
          <w:sz w:val="28"/>
          <w:szCs w:val="28"/>
          <w:lang w:val="es-ES_tradnl" w:eastAsia="es-ES"/>
        </w:rPr>
        <w:t xml:space="preserve"> órganos que ejercen</w:t>
      </w:r>
      <w:r w:rsidR="00522E13" w:rsidRPr="00DB625B">
        <w:rPr>
          <w:rFonts w:ascii="Times New Roman" w:eastAsia="Times New Roman" w:hAnsi="Times New Roman" w:cs="Times New Roman"/>
          <w:spacing w:val="4"/>
          <w:sz w:val="28"/>
          <w:szCs w:val="28"/>
          <w:lang w:val="es-ES_tradnl" w:eastAsia="es-ES"/>
        </w:rPr>
        <w:t xml:space="preserve"> funciones discipli</w:t>
      </w:r>
      <w:r w:rsidR="00572CC6" w:rsidRPr="00DB625B">
        <w:rPr>
          <w:rFonts w:ascii="Times New Roman" w:eastAsia="Times New Roman" w:hAnsi="Times New Roman" w:cs="Times New Roman"/>
          <w:spacing w:val="4"/>
          <w:sz w:val="28"/>
          <w:szCs w:val="28"/>
          <w:lang w:val="es-ES_tradnl" w:eastAsia="es-ES"/>
        </w:rPr>
        <w:t>narias</w:t>
      </w:r>
      <w:r w:rsidR="00626C84" w:rsidRPr="00DB625B">
        <w:rPr>
          <w:rFonts w:ascii="Times New Roman" w:eastAsia="Times New Roman" w:hAnsi="Times New Roman" w:cs="Times New Roman"/>
          <w:spacing w:val="4"/>
          <w:sz w:val="28"/>
          <w:szCs w:val="28"/>
          <w:lang w:val="es-ES_tradnl" w:eastAsia="es-ES"/>
        </w:rPr>
        <w:t xml:space="preserve"> pueden tomar decisiones que aparejen la imposición </w:t>
      </w:r>
      <w:r w:rsidR="00626C84" w:rsidRPr="00DB625B">
        <w:rPr>
          <w:rFonts w:ascii="Times New Roman" w:eastAsia="Times New Roman" w:hAnsi="Times New Roman" w:cs="Times New Roman"/>
          <w:spacing w:val="4"/>
          <w:sz w:val="28"/>
          <w:szCs w:val="28"/>
          <w:lang w:eastAsia="es-ES"/>
        </w:rPr>
        <w:t>de sanciones de destitución e inhabilidad general de los servidores públicos</w:t>
      </w:r>
      <w:r w:rsidR="00626C84" w:rsidRPr="00DB625B">
        <w:rPr>
          <w:rFonts w:ascii="Times New Roman" w:eastAsia="Times New Roman" w:hAnsi="Times New Roman" w:cs="Times New Roman"/>
          <w:spacing w:val="4"/>
          <w:sz w:val="28"/>
          <w:szCs w:val="28"/>
          <w:vertAlign w:val="superscript"/>
          <w:lang w:eastAsia="es-ES"/>
        </w:rPr>
        <w:footnoteReference w:id="65"/>
      </w:r>
      <w:r w:rsidR="00572CC6" w:rsidRPr="00DB625B">
        <w:rPr>
          <w:rFonts w:ascii="Times New Roman" w:eastAsia="Times New Roman" w:hAnsi="Times New Roman" w:cs="Times New Roman"/>
          <w:spacing w:val="4"/>
          <w:sz w:val="28"/>
          <w:szCs w:val="28"/>
          <w:lang w:val="es-ES_tradnl" w:eastAsia="es-ES"/>
        </w:rPr>
        <w:t>, siempre y cuando cumplan</w:t>
      </w:r>
      <w:r w:rsidR="00D316F2" w:rsidRPr="00DB625B">
        <w:rPr>
          <w:rFonts w:ascii="Times New Roman" w:eastAsia="Times New Roman" w:hAnsi="Times New Roman" w:cs="Times New Roman"/>
          <w:spacing w:val="4"/>
          <w:sz w:val="28"/>
          <w:szCs w:val="28"/>
          <w:lang w:val="es-ES_tradnl" w:eastAsia="es-ES"/>
        </w:rPr>
        <w:t xml:space="preserve"> con los siguientes requisitos</w:t>
      </w:r>
      <w:r w:rsidR="00C01D0E" w:rsidRPr="00DB625B">
        <w:rPr>
          <w:rStyle w:val="Refdenotaalpie"/>
          <w:rFonts w:ascii="Times New Roman" w:eastAsia="Times New Roman" w:hAnsi="Times New Roman" w:cs="Times New Roman"/>
          <w:spacing w:val="4"/>
          <w:sz w:val="28"/>
          <w:szCs w:val="28"/>
          <w:lang w:val="es-ES_tradnl" w:eastAsia="es-ES"/>
        </w:rPr>
        <w:footnoteReference w:id="66"/>
      </w:r>
      <w:r w:rsidR="00522E13" w:rsidRPr="00DB625B">
        <w:rPr>
          <w:rFonts w:ascii="Times New Roman" w:eastAsia="Times New Roman" w:hAnsi="Times New Roman" w:cs="Times New Roman"/>
          <w:spacing w:val="4"/>
          <w:sz w:val="28"/>
          <w:szCs w:val="28"/>
          <w:lang w:val="es-ES_tradnl" w:eastAsia="es-ES"/>
        </w:rPr>
        <w:t>: a) la autoridad disciplinaria debe ser autónoma e independiente; b)</w:t>
      </w:r>
      <w:r w:rsidR="00572CC6" w:rsidRPr="00DB625B">
        <w:rPr>
          <w:rFonts w:ascii="Times New Roman" w:eastAsia="Times New Roman" w:hAnsi="Times New Roman" w:cs="Times New Roman"/>
          <w:spacing w:val="4"/>
          <w:sz w:val="28"/>
          <w:szCs w:val="28"/>
          <w:lang w:val="es-ES_tradnl" w:eastAsia="es-ES"/>
        </w:rPr>
        <w:t xml:space="preserve"> las decisiones</w:t>
      </w:r>
      <w:r w:rsidR="00522E13" w:rsidRPr="00DB625B">
        <w:rPr>
          <w:rFonts w:ascii="Times New Roman" w:eastAsia="Times New Roman" w:hAnsi="Times New Roman" w:cs="Times New Roman"/>
          <w:spacing w:val="4"/>
          <w:sz w:val="28"/>
          <w:szCs w:val="28"/>
          <w:lang w:val="es-ES_tradnl" w:eastAsia="es-ES"/>
        </w:rPr>
        <w:t xml:space="preserve"> debe</w:t>
      </w:r>
      <w:r w:rsidR="00C01D0E" w:rsidRPr="00DB625B">
        <w:rPr>
          <w:rFonts w:ascii="Times New Roman" w:eastAsia="Times New Roman" w:hAnsi="Times New Roman" w:cs="Times New Roman"/>
          <w:spacing w:val="4"/>
          <w:sz w:val="28"/>
          <w:szCs w:val="28"/>
          <w:lang w:val="es-ES_tradnl" w:eastAsia="es-ES"/>
        </w:rPr>
        <w:t xml:space="preserve">n </w:t>
      </w:r>
      <w:r w:rsidR="00572CC6" w:rsidRPr="00DB625B">
        <w:rPr>
          <w:rFonts w:ascii="Times New Roman" w:eastAsia="Times New Roman" w:hAnsi="Times New Roman" w:cs="Times New Roman"/>
          <w:spacing w:val="4"/>
          <w:sz w:val="28"/>
          <w:szCs w:val="28"/>
          <w:lang w:val="es-ES_tradnl" w:eastAsia="es-ES"/>
        </w:rPr>
        <w:t>expedirse en un procedimiento que respete</w:t>
      </w:r>
      <w:r w:rsidR="00C01D0E" w:rsidRPr="00DB625B">
        <w:rPr>
          <w:rFonts w:ascii="Times New Roman" w:eastAsia="Times New Roman" w:hAnsi="Times New Roman" w:cs="Times New Roman"/>
          <w:spacing w:val="4"/>
          <w:sz w:val="28"/>
          <w:szCs w:val="28"/>
          <w:lang w:val="es-ES_tradnl" w:eastAsia="es-ES"/>
        </w:rPr>
        <w:t xml:space="preserve"> las garantías derivadas del debido proceso y; c) la sanción disciplinaria debe ser objeto de control jurisdiccional.</w:t>
      </w:r>
      <w:r w:rsidR="00566CAA" w:rsidRPr="00DB625B">
        <w:rPr>
          <w:rFonts w:ascii="Times New Roman" w:eastAsia="Times New Roman" w:hAnsi="Times New Roman" w:cs="Times New Roman"/>
          <w:spacing w:val="4"/>
          <w:sz w:val="28"/>
          <w:szCs w:val="28"/>
          <w:lang w:val="es-ES_tradnl" w:eastAsia="es-ES"/>
        </w:rPr>
        <w:t xml:space="preserve"> L</w:t>
      </w:r>
      <w:r w:rsidR="002B6A0B" w:rsidRPr="00DB625B">
        <w:rPr>
          <w:rFonts w:ascii="Times New Roman" w:eastAsia="Times New Roman" w:hAnsi="Times New Roman" w:cs="Times New Roman"/>
          <w:spacing w:val="4"/>
          <w:sz w:val="28"/>
          <w:szCs w:val="28"/>
          <w:lang w:val="es-ES_tradnl" w:eastAsia="es-ES"/>
        </w:rPr>
        <w:t>a competencia mencionada</w:t>
      </w:r>
      <w:r w:rsidR="00566CAA" w:rsidRPr="00DB625B">
        <w:rPr>
          <w:rFonts w:ascii="Times New Roman" w:eastAsia="Times New Roman" w:hAnsi="Times New Roman" w:cs="Times New Roman"/>
          <w:spacing w:val="4"/>
          <w:sz w:val="28"/>
          <w:szCs w:val="28"/>
          <w:lang w:val="es-ES_tradnl" w:eastAsia="es-ES"/>
        </w:rPr>
        <w:t xml:space="preserve"> </w:t>
      </w:r>
      <w:r w:rsidR="002B6A0B" w:rsidRPr="00DB625B">
        <w:rPr>
          <w:rFonts w:ascii="Times New Roman" w:eastAsia="Times New Roman" w:hAnsi="Times New Roman" w:cs="Times New Roman"/>
          <w:spacing w:val="4"/>
          <w:sz w:val="28"/>
          <w:szCs w:val="28"/>
          <w:lang w:val="es-ES_tradnl" w:eastAsia="es-ES"/>
        </w:rPr>
        <w:t>también opera</w:t>
      </w:r>
      <w:r w:rsidR="00566CAA" w:rsidRPr="00DB625B">
        <w:rPr>
          <w:rFonts w:ascii="Times New Roman" w:eastAsia="Times New Roman" w:hAnsi="Times New Roman" w:cs="Times New Roman"/>
          <w:spacing w:val="4"/>
          <w:sz w:val="28"/>
          <w:szCs w:val="28"/>
          <w:lang w:val="es-ES_tradnl" w:eastAsia="es-ES"/>
        </w:rPr>
        <w:t xml:space="preserve"> para los funcionarios de elección popular.</w:t>
      </w:r>
    </w:p>
    <w:p w:rsidR="00566CAA" w:rsidRPr="00DB625B" w:rsidRDefault="00566CAA" w:rsidP="00DB625B">
      <w:pPr>
        <w:tabs>
          <w:tab w:val="left" w:pos="0"/>
        </w:tabs>
        <w:spacing w:after="0" w:line="240" w:lineRule="auto"/>
        <w:jc w:val="both"/>
        <w:rPr>
          <w:rFonts w:ascii="Times New Roman" w:eastAsia="Times New Roman" w:hAnsi="Times New Roman" w:cs="Times New Roman"/>
          <w:spacing w:val="4"/>
          <w:sz w:val="28"/>
          <w:szCs w:val="28"/>
          <w:lang w:val="es-ES_tradnl" w:eastAsia="es-ES"/>
        </w:rPr>
      </w:pPr>
    </w:p>
    <w:p w:rsidR="00C66A90" w:rsidRPr="00DB625B" w:rsidRDefault="00C66A90" w:rsidP="00DB625B">
      <w:pPr>
        <w:tabs>
          <w:tab w:val="left" w:pos="0"/>
        </w:tabs>
        <w:spacing w:after="0" w:line="240" w:lineRule="auto"/>
        <w:jc w:val="both"/>
        <w:rPr>
          <w:rFonts w:ascii="Times New Roman" w:eastAsia="Times New Roman" w:hAnsi="Times New Roman" w:cs="Times New Roman"/>
          <w:spacing w:val="4"/>
          <w:sz w:val="28"/>
          <w:szCs w:val="28"/>
          <w:lang w:val="es-ES_tradnl" w:eastAsia="es-ES"/>
        </w:rPr>
      </w:pPr>
      <w:r w:rsidRPr="00DB625B">
        <w:rPr>
          <w:rFonts w:ascii="Times New Roman" w:eastAsia="Times New Roman" w:hAnsi="Times New Roman" w:cs="Times New Roman"/>
          <w:spacing w:val="4"/>
          <w:sz w:val="28"/>
          <w:szCs w:val="28"/>
          <w:lang w:val="es-ES_tradnl" w:eastAsia="es-ES"/>
        </w:rPr>
        <w:t>Las Sentencias C-086 de 2019</w:t>
      </w:r>
      <w:r w:rsidRPr="00DB625B">
        <w:rPr>
          <w:rStyle w:val="Refdenotaalpie"/>
          <w:rFonts w:ascii="Times New Roman" w:eastAsia="Times New Roman" w:hAnsi="Times New Roman" w:cs="Times New Roman"/>
          <w:spacing w:val="4"/>
          <w:sz w:val="28"/>
          <w:szCs w:val="28"/>
          <w:lang w:val="es-ES_tradnl" w:eastAsia="es-ES"/>
        </w:rPr>
        <w:footnoteReference w:id="67"/>
      </w:r>
      <w:r w:rsidRPr="00DB625B">
        <w:rPr>
          <w:rFonts w:ascii="Times New Roman" w:eastAsia="Times New Roman" w:hAnsi="Times New Roman" w:cs="Times New Roman"/>
          <w:spacing w:val="4"/>
          <w:sz w:val="28"/>
          <w:szCs w:val="28"/>
          <w:lang w:val="es-ES_tradnl" w:eastAsia="es-ES"/>
        </w:rPr>
        <w:t xml:space="preserve"> y C-111 de 2019</w:t>
      </w:r>
      <w:r w:rsidRPr="00DB625B">
        <w:rPr>
          <w:rStyle w:val="Refdenotaalpie"/>
          <w:rFonts w:ascii="Times New Roman" w:eastAsia="Times New Roman" w:hAnsi="Times New Roman" w:cs="Times New Roman"/>
          <w:spacing w:val="4"/>
          <w:sz w:val="28"/>
          <w:szCs w:val="28"/>
          <w:lang w:val="es-ES_tradnl" w:eastAsia="es-ES"/>
        </w:rPr>
        <w:footnoteReference w:id="68"/>
      </w:r>
      <w:r w:rsidRPr="00DB625B">
        <w:rPr>
          <w:rFonts w:ascii="Times New Roman" w:eastAsia="Times New Roman" w:hAnsi="Times New Roman" w:cs="Times New Roman"/>
          <w:spacing w:val="4"/>
          <w:sz w:val="28"/>
          <w:szCs w:val="28"/>
          <w:lang w:val="es-ES_tradnl" w:eastAsia="es-ES"/>
        </w:rPr>
        <w:t xml:space="preserve"> manifestaron que “</w:t>
      </w:r>
      <w:r w:rsidRPr="00DB625B">
        <w:rPr>
          <w:rFonts w:ascii="Times New Roman" w:eastAsia="Times New Roman" w:hAnsi="Times New Roman" w:cs="Times New Roman"/>
          <w:i/>
          <w:spacing w:val="4"/>
          <w:sz w:val="28"/>
          <w:szCs w:val="28"/>
          <w:lang w:val="es-ES_tradnl" w:eastAsia="es-ES"/>
        </w:rPr>
        <w:t>es constitucionalmente válida la competencia de la [Procuraduría General de la Nación –en adelante PGN] para investigar y sancionar disciplinariamente a todos los servidores públicos, incluyendo a los de elección popular –con excepción de todos aquellos que se encuentren amparados por fuero</w:t>
      </w:r>
      <w:r w:rsidRPr="00DB625B">
        <w:rPr>
          <w:rFonts w:ascii="Times New Roman" w:eastAsia="Times New Roman" w:hAnsi="Times New Roman" w:cs="Times New Roman"/>
          <w:spacing w:val="4"/>
          <w:sz w:val="28"/>
          <w:szCs w:val="28"/>
          <w:lang w:val="es-ES_tradnl" w:eastAsia="es-ES"/>
        </w:rPr>
        <w:t>-”. Para la Corte Constitucional, la PGN es un órgano autónomo e independiente, el proceso disciplinario asegura las garantías judiciales previstas por el artículo 29 de la Constitución y el 8 de la CADH, al igual que sus decisiones tienen control judicial pleno.</w:t>
      </w:r>
    </w:p>
    <w:p w:rsidR="00C66A90" w:rsidRPr="00DB625B" w:rsidRDefault="00C66A90" w:rsidP="00DB625B">
      <w:pPr>
        <w:tabs>
          <w:tab w:val="left" w:pos="0"/>
        </w:tabs>
        <w:spacing w:after="0" w:line="240" w:lineRule="auto"/>
        <w:jc w:val="both"/>
        <w:rPr>
          <w:rFonts w:ascii="Times New Roman" w:eastAsia="Times New Roman" w:hAnsi="Times New Roman" w:cs="Times New Roman"/>
          <w:spacing w:val="4"/>
          <w:sz w:val="28"/>
          <w:szCs w:val="28"/>
          <w:lang w:val="es-ES_tradnl" w:eastAsia="es-ES"/>
        </w:rPr>
      </w:pPr>
    </w:p>
    <w:p w:rsidR="00C66A90" w:rsidRPr="00DB625B" w:rsidRDefault="00566CAA" w:rsidP="00DB625B">
      <w:pPr>
        <w:tabs>
          <w:tab w:val="left" w:pos="0"/>
        </w:tabs>
        <w:spacing w:after="0" w:line="240" w:lineRule="auto"/>
        <w:jc w:val="both"/>
        <w:rPr>
          <w:rFonts w:ascii="Times New Roman" w:eastAsia="Times New Roman" w:hAnsi="Times New Roman" w:cs="Times New Roman"/>
          <w:spacing w:val="4"/>
          <w:sz w:val="28"/>
          <w:szCs w:val="28"/>
          <w:lang w:val="es-ES_tradnl" w:eastAsia="es-ES"/>
        </w:rPr>
      </w:pPr>
      <w:r w:rsidRPr="00DB625B">
        <w:rPr>
          <w:rFonts w:ascii="Times New Roman" w:eastAsia="Times New Roman" w:hAnsi="Times New Roman" w:cs="Times New Roman"/>
          <w:spacing w:val="4"/>
          <w:sz w:val="28"/>
          <w:szCs w:val="28"/>
          <w:lang w:val="es-ES_tradnl" w:eastAsia="es-ES"/>
        </w:rPr>
        <w:t xml:space="preserve">Cabe precisar que la suspensión </w:t>
      </w:r>
      <w:r w:rsidR="002B6A0B" w:rsidRPr="00DB625B">
        <w:rPr>
          <w:rFonts w:ascii="Times New Roman" w:eastAsia="Times New Roman" w:hAnsi="Times New Roman" w:cs="Times New Roman"/>
          <w:spacing w:val="4"/>
          <w:sz w:val="28"/>
          <w:szCs w:val="28"/>
          <w:lang w:val="es-ES_tradnl" w:eastAsia="es-ES"/>
        </w:rPr>
        <w:t xml:space="preserve">administrativa </w:t>
      </w:r>
      <w:r w:rsidR="00572CC6" w:rsidRPr="00DB625B">
        <w:rPr>
          <w:rFonts w:ascii="Times New Roman" w:eastAsia="Times New Roman" w:hAnsi="Times New Roman" w:cs="Times New Roman"/>
          <w:spacing w:val="4"/>
          <w:sz w:val="28"/>
          <w:szCs w:val="28"/>
          <w:lang w:val="es-ES_tradnl" w:eastAsia="es-ES"/>
        </w:rPr>
        <w:t xml:space="preserve">de carácter disciplinaria puede ser </w:t>
      </w:r>
      <w:r w:rsidRPr="00DB625B">
        <w:rPr>
          <w:rFonts w:ascii="Times New Roman" w:eastAsia="Times New Roman" w:hAnsi="Times New Roman" w:cs="Times New Roman"/>
          <w:spacing w:val="4"/>
          <w:sz w:val="28"/>
          <w:szCs w:val="28"/>
          <w:lang w:val="es-ES_tradnl" w:eastAsia="es-ES"/>
        </w:rPr>
        <w:t xml:space="preserve">provisional </w:t>
      </w:r>
      <w:r w:rsidR="002B6A0B" w:rsidRPr="00DB625B">
        <w:rPr>
          <w:rFonts w:ascii="Times New Roman" w:eastAsia="Times New Roman" w:hAnsi="Times New Roman" w:cs="Times New Roman"/>
          <w:spacing w:val="4"/>
          <w:sz w:val="28"/>
          <w:szCs w:val="28"/>
          <w:lang w:val="es-ES_tradnl" w:eastAsia="es-ES"/>
        </w:rPr>
        <w:t>o definitiva</w:t>
      </w:r>
      <w:r w:rsidR="00D16F9E" w:rsidRPr="00DB625B">
        <w:rPr>
          <w:rFonts w:ascii="Times New Roman" w:eastAsia="Times New Roman" w:hAnsi="Times New Roman" w:cs="Times New Roman"/>
          <w:spacing w:val="4"/>
          <w:sz w:val="28"/>
          <w:szCs w:val="28"/>
          <w:lang w:val="es-ES_tradnl" w:eastAsia="es-ES"/>
        </w:rPr>
        <w:t>. Las</w:t>
      </w:r>
      <w:r w:rsidR="00572CC6" w:rsidRPr="00DB625B">
        <w:rPr>
          <w:rFonts w:ascii="Times New Roman" w:eastAsia="Times New Roman" w:hAnsi="Times New Roman" w:cs="Times New Roman"/>
          <w:spacing w:val="4"/>
          <w:sz w:val="28"/>
          <w:szCs w:val="28"/>
          <w:lang w:val="es-ES_tradnl" w:eastAsia="es-ES"/>
        </w:rPr>
        <w:t xml:space="preserve"> medida</w:t>
      </w:r>
      <w:r w:rsidR="00D16F9E" w:rsidRPr="00DB625B">
        <w:rPr>
          <w:rFonts w:ascii="Times New Roman" w:eastAsia="Times New Roman" w:hAnsi="Times New Roman" w:cs="Times New Roman"/>
          <w:spacing w:val="4"/>
          <w:sz w:val="28"/>
          <w:szCs w:val="28"/>
          <w:lang w:val="es-ES_tradnl" w:eastAsia="es-ES"/>
        </w:rPr>
        <w:t>s mencionadas</w:t>
      </w:r>
      <w:r w:rsidR="002B6A0B" w:rsidRPr="00DB625B">
        <w:rPr>
          <w:rFonts w:ascii="Times New Roman" w:eastAsia="Times New Roman" w:hAnsi="Times New Roman" w:cs="Times New Roman"/>
          <w:spacing w:val="4"/>
          <w:sz w:val="28"/>
          <w:szCs w:val="28"/>
          <w:lang w:val="es-ES_tradnl" w:eastAsia="es-ES"/>
        </w:rPr>
        <w:t xml:space="preserve"> </w:t>
      </w:r>
      <w:r w:rsidRPr="00DB625B">
        <w:rPr>
          <w:rFonts w:ascii="Times New Roman" w:eastAsia="Times New Roman" w:hAnsi="Times New Roman" w:cs="Times New Roman"/>
          <w:spacing w:val="4"/>
          <w:sz w:val="28"/>
          <w:szCs w:val="28"/>
          <w:lang w:val="es-ES_tradnl" w:eastAsia="es-ES"/>
        </w:rPr>
        <w:lastRenderedPageBreak/>
        <w:t>acarrea</w:t>
      </w:r>
      <w:r w:rsidR="00D16F9E" w:rsidRPr="00DB625B">
        <w:rPr>
          <w:rFonts w:ascii="Times New Roman" w:eastAsia="Times New Roman" w:hAnsi="Times New Roman" w:cs="Times New Roman"/>
          <w:spacing w:val="4"/>
          <w:sz w:val="28"/>
          <w:szCs w:val="28"/>
          <w:lang w:val="es-ES_tradnl" w:eastAsia="es-ES"/>
        </w:rPr>
        <w:t>n</w:t>
      </w:r>
      <w:r w:rsidRPr="00DB625B">
        <w:rPr>
          <w:rFonts w:ascii="Times New Roman" w:eastAsia="Times New Roman" w:hAnsi="Times New Roman" w:cs="Times New Roman"/>
          <w:spacing w:val="4"/>
          <w:sz w:val="28"/>
          <w:szCs w:val="28"/>
          <w:lang w:val="es-ES_tradnl" w:eastAsia="es-ES"/>
        </w:rPr>
        <w:t xml:space="preserve"> una restricción de los derechos políticos, la cual ha sido considerada compatible con la Constitución y dentro del margen de apreciación de la Convenci</w:t>
      </w:r>
      <w:r w:rsidR="00F24CE5" w:rsidRPr="00DB625B">
        <w:rPr>
          <w:rFonts w:ascii="Times New Roman" w:eastAsia="Times New Roman" w:hAnsi="Times New Roman" w:cs="Times New Roman"/>
          <w:spacing w:val="4"/>
          <w:sz w:val="28"/>
          <w:szCs w:val="28"/>
          <w:lang w:val="es-ES_tradnl" w:eastAsia="es-ES"/>
        </w:rPr>
        <w:t>ón Americana de Derechos Humano.</w:t>
      </w:r>
      <w:r w:rsidR="00C66A90" w:rsidRPr="00DB625B">
        <w:rPr>
          <w:rFonts w:ascii="Times New Roman" w:eastAsia="Times New Roman" w:hAnsi="Times New Roman" w:cs="Times New Roman"/>
          <w:spacing w:val="4"/>
          <w:sz w:val="28"/>
          <w:szCs w:val="28"/>
          <w:lang w:val="es-ES_tradnl" w:eastAsia="es-ES"/>
        </w:rPr>
        <w:t xml:space="preserve"> </w:t>
      </w:r>
    </w:p>
    <w:p w:rsidR="00C66A90" w:rsidRPr="00DB625B" w:rsidRDefault="00C66A90" w:rsidP="00DB625B">
      <w:pPr>
        <w:tabs>
          <w:tab w:val="left" w:pos="0"/>
        </w:tabs>
        <w:spacing w:after="0" w:line="240" w:lineRule="auto"/>
        <w:jc w:val="both"/>
        <w:rPr>
          <w:rFonts w:ascii="Times New Roman" w:eastAsia="Times New Roman" w:hAnsi="Times New Roman" w:cs="Times New Roman"/>
          <w:spacing w:val="4"/>
          <w:sz w:val="28"/>
          <w:szCs w:val="28"/>
          <w:lang w:val="es-ES_tradnl" w:eastAsia="es-ES"/>
        </w:rPr>
      </w:pPr>
    </w:p>
    <w:p w:rsidR="00E31415" w:rsidRPr="00DB625B" w:rsidRDefault="00C66A90" w:rsidP="00DB625B">
      <w:pPr>
        <w:tabs>
          <w:tab w:val="left" w:pos="0"/>
        </w:tabs>
        <w:spacing w:after="0" w:line="240" w:lineRule="auto"/>
        <w:jc w:val="both"/>
        <w:rPr>
          <w:rFonts w:ascii="Times New Roman" w:eastAsia="Times New Roman" w:hAnsi="Times New Roman" w:cs="Times New Roman"/>
          <w:spacing w:val="4"/>
          <w:sz w:val="28"/>
          <w:szCs w:val="28"/>
          <w:lang w:val="es-ES_tradnl" w:eastAsia="es-ES"/>
        </w:rPr>
      </w:pPr>
      <w:r w:rsidRPr="00DB625B">
        <w:rPr>
          <w:rFonts w:ascii="Times New Roman" w:eastAsia="Times New Roman" w:hAnsi="Times New Roman" w:cs="Times New Roman"/>
          <w:spacing w:val="4"/>
          <w:sz w:val="28"/>
          <w:szCs w:val="28"/>
          <w:lang w:val="es-ES_tradnl" w:eastAsia="es-ES"/>
        </w:rPr>
        <w:t xml:space="preserve">En Sentencias C-108 de 1995, C-406 de 1995 y C-280 de 1996, la Corte ha indicado que la suspensión provisional es una medida legítima de prudencia para proteger el interés general, pues se fundan en la razonabilidad de la protección de la función pública, al impedir que la falta continúe o vuelva a consumarse. </w:t>
      </w:r>
      <w:r w:rsidR="00E31415" w:rsidRPr="00DB625B">
        <w:rPr>
          <w:rFonts w:ascii="Times New Roman" w:eastAsia="Times New Roman" w:hAnsi="Times New Roman" w:cs="Times New Roman"/>
          <w:spacing w:val="4"/>
          <w:sz w:val="28"/>
          <w:szCs w:val="28"/>
          <w:lang w:val="es-ES_tradnl" w:eastAsia="es-ES"/>
        </w:rPr>
        <w:t>Inclusive, en Sentencia C-028 de 20</w:t>
      </w:r>
      <w:r w:rsidRPr="00DB625B">
        <w:rPr>
          <w:rFonts w:ascii="Times New Roman" w:eastAsia="Times New Roman" w:hAnsi="Times New Roman" w:cs="Times New Roman"/>
          <w:spacing w:val="4"/>
          <w:sz w:val="28"/>
          <w:szCs w:val="28"/>
          <w:lang w:val="es-ES_tradnl" w:eastAsia="es-ES"/>
        </w:rPr>
        <w:t>06,</w:t>
      </w:r>
      <w:r w:rsidR="00E31415" w:rsidRPr="00DB625B">
        <w:rPr>
          <w:rFonts w:ascii="Times New Roman" w:eastAsia="Times New Roman" w:hAnsi="Times New Roman" w:cs="Times New Roman"/>
          <w:spacing w:val="4"/>
          <w:sz w:val="28"/>
          <w:szCs w:val="28"/>
          <w:lang w:val="es-ES_tradnl" w:eastAsia="es-ES"/>
        </w:rPr>
        <w:t xml:space="preserve"> se </w:t>
      </w:r>
      <w:r w:rsidRPr="00DB625B">
        <w:rPr>
          <w:rFonts w:ascii="Times New Roman" w:eastAsia="Times New Roman" w:hAnsi="Times New Roman" w:cs="Times New Roman"/>
          <w:spacing w:val="4"/>
          <w:sz w:val="28"/>
          <w:szCs w:val="28"/>
          <w:lang w:val="es-ES_tradnl" w:eastAsia="es-ES"/>
        </w:rPr>
        <w:t>concluyó</w:t>
      </w:r>
      <w:r w:rsidR="00E31415" w:rsidRPr="00DB625B">
        <w:rPr>
          <w:rFonts w:ascii="Times New Roman" w:eastAsia="Times New Roman" w:hAnsi="Times New Roman" w:cs="Times New Roman"/>
          <w:spacing w:val="4"/>
          <w:sz w:val="28"/>
          <w:szCs w:val="28"/>
          <w:lang w:val="es-ES_tradnl" w:eastAsia="es-ES"/>
        </w:rPr>
        <w:t xml:space="preserve"> que “</w:t>
      </w:r>
      <w:r w:rsidRPr="00DB625B">
        <w:rPr>
          <w:rFonts w:ascii="Times New Roman" w:eastAsia="Times New Roman" w:hAnsi="Times New Roman" w:cs="Times New Roman"/>
          <w:i/>
          <w:spacing w:val="4"/>
          <w:sz w:val="28"/>
          <w:szCs w:val="28"/>
          <w:lang w:val="es-ES_tradnl" w:eastAsia="es-ES"/>
        </w:rPr>
        <w:t>la limitación que conoce el derecho político de acceso a cargos públicos debido a la imposición de una sanción disciplinaria, no resulta ser desproporcionada o irrazonable, por cuanto busca la obtención de fines constitucionalmente válidos, en especial, la salvaguarda de la moralidad pública</w:t>
      </w:r>
      <w:r w:rsidRPr="00DB625B">
        <w:rPr>
          <w:rFonts w:ascii="Times New Roman" w:eastAsia="Times New Roman" w:hAnsi="Times New Roman" w:cs="Times New Roman"/>
          <w:spacing w:val="4"/>
          <w:sz w:val="28"/>
          <w:szCs w:val="28"/>
          <w:lang w:val="es-ES_tradnl" w:eastAsia="es-ES"/>
        </w:rPr>
        <w:t>.</w:t>
      </w:r>
      <w:r w:rsidR="00E31415" w:rsidRPr="00DB625B">
        <w:rPr>
          <w:rFonts w:ascii="Times New Roman" w:eastAsia="Times New Roman" w:hAnsi="Times New Roman" w:cs="Times New Roman"/>
          <w:spacing w:val="4"/>
          <w:sz w:val="28"/>
          <w:szCs w:val="28"/>
          <w:lang w:val="es-ES_tradnl" w:eastAsia="es-ES"/>
        </w:rPr>
        <w:t>”</w:t>
      </w:r>
      <w:r w:rsidRPr="00DB625B">
        <w:rPr>
          <w:rStyle w:val="Refdenotaalpie"/>
          <w:rFonts w:ascii="Times New Roman" w:eastAsia="Times New Roman" w:hAnsi="Times New Roman" w:cs="Times New Roman"/>
          <w:spacing w:val="4"/>
          <w:sz w:val="28"/>
          <w:szCs w:val="28"/>
          <w:lang w:val="es-ES_tradnl" w:eastAsia="es-ES"/>
        </w:rPr>
        <w:footnoteReference w:id="69"/>
      </w:r>
    </w:p>
    <w:p w:rsidR="00C66A90" w:rsidRPr="00DB625B" w:rsidRDefault="00C66A90" w:rsidP="00DB625B">
      <w:pPr>
        <w:tabs>
          <w:tab w:val="left" w:pos="0"/>
        </w:tabs>
        <w:spacing w:after="0" w:line="240" w:lineRule="auto"/>
        <w:jc w:val="both"/>
        <w:rPr>
          <w:rFonts w:ascii="Times New Roman" w:eastAsia="Times New Roman" w:hAnsi="Times New Roman" w:cs="Times New Roman"/>
          <w:spacing w:val="4"/>
          <w:sz w:val="28"/>
          <w:szCs w:val="28"/>
          <w:lang w:val="es-ES_tradnl" w:eastAsia="es-ES"/>
        </w:rPr>
      </w:pPr>
    </w:p>
    <w:p w:rsidR="00064837" w:rsidRPr="00DB625B" w:rsidRDefault="00E31415" w:rsidP="00DB625B">
      <w:pPr>
        <w:tabs>
          <w:tab w:val="left" w:pos="0"/>
        </w:tabs>
        <w:spacing w:after="0" w:line="240" w:lineRule="auto"/>
        <w:jc w:val="both"/>
        <w:rPr>
          <w:rFonts w:ascii="Times New Roman" w:eastAsia="Times New Roman" w:hAnsi="Times New Roman" w:cs="Times New Roman"/>
          <w:spacing w:val="4"/>
          <w:sz w:val="28"/>
          <w:szCs w:val="28"/>
          <w:lang w:val="es-ES_tradnl" w:eastAsia="es-ES"/>
        </w:rPr>
      </w:pPr>
      <w:r w:rsidRPr="00DB625B">
        <w:rPr>
          <w:rFonts w:ascii="Times New Roman" w:eastAsia="Times New Roman" w:hAnsi="Times New Roman" w:cs="Times New Roman"/>
          <w:spacing w:val="4"/>
          <w:sz w:val="28"/>
          <w:szCs w:val="28"/>
          <w:lang w:val="es-ES_tradnl" w:eastAsia="es-ES"/>
        </w:rPr>
        <w:t xml:space="preserve">Así las cosas, la aplicación de las medidas descritas no entraña una afectación desproporcionada a los derechos políticos, dado que posee respaldo Constitucional y legal, al </w:t>
      </w:r>
      <w:r w:rsidR="00C66A90" w:rsidRPr="00DB625B">
        <w:rPr>
          <w:rFonts w:ascii="Times New Roman" w:eastAsia="Times New Roman" w:hAnsi="Times New Roman" w:cs="Times New Roman"/>
          <w:spacing w:val="4"/>
          <w:sz w:val="28"/>
          <w:szCs w:val="28"/>
          <w:lang w:val="es-ES_tradnl" w:eastAsia="es-ES"/>
        </w:rPr>
        <w:t xml:space="preserve">igual que procura </w:t>
      </w:r>
      <w:r w:rsidRPr="00DB625B">
        <w:rPr>
          <w:rFonts w:ascii="Times New Roman" w:eastAsia="Times New Roman" w:hAnsi="Times New Roman" w:cs="Times New Roman"/>
          <w:spacing w:val="4"/>
          <w:sz w:val="28"/>
          <w:szCs w:val="28"/>
          <w:lang w:val="es-ES_tradnl" w:eastAsia="es-ES"/>
        </w:rPr>
        <w:t>garantizar el adecuado ejercicio de la función pública.</w:t>
      </w:r>
      <w:r w:rsidR="00CE5C62" w:rsidRPr="00DB625B">
        <w:rPr>
          <w:rFonts w:ascii="Times New Roman" w:eastAsia="Times New Roman" w:hAnsi="Times New Roman" w:cs="Times New Roman"/>
          <w:spacing w:val="4"/>
          <w:sz w:val="28"/>
          <w:szCs w:val="28"/>
          <w:lang w:val="es-ES_tradnl" w:eastAsia="es-ES"/>
        </w:rPr>
        <w:t xml:space="preserve"> </w:t>
      </w:r>
    </w:p>
    <w:p w:rsidR="00566CAA" w:rsidRPr="00DB625B" w:rsidRDefault="00566CAA" w:rsidP="00DB625B">
      <w:pPr>
        <w:tabs>
          <w:tab w:val="left" w:pos="0"/>
        </w:tabs>
        <w:spacing w:after="0" w:line="240" w:lineRule="auto"/>
        <w:jc w:val="both"/>
        <w:rPr>
          <w:rFonts w:ascii="Times New Roman" w:eastAsia="Times New Roman" w:hAnsi="Times New Roman" w:cs="Times New Roman"/>
          <w:spacing w:val="4"/>
          <w:sz w:val="28"/>
          <w:szCs w:val="28"/>
          <w:lang w:val="es-ES_tradnl" w:eastAsia="es-ES"/>
        </w:rPr>
      </w:pPr>
    </w:p>
    <w:p w:rsidR="00380EE1" w:rsidRPr="00DB625B" w:rsidRDefault="00C01D0E" w:rsidP="00DB625B">
      <w:pPr>
        <w:pStyle w:val="Prrafodelista"/>
        <w:numPr>
          <w:ilvl w:val="2"/>
          <w:numId w:val="24"/>
        </w:numPr>
        <w:tabs>
          <w:tab w:val="left" w:pos="0"/>
        </w:tabs>
        <w:spacing w:after="0" w:line="240" w:lineRule="auto"/>
        <w:ind w:left="0" w:firstLine="0"/>
        <w:jc w:val="both"/>
        <w:rPr>
          <w:rFonts w:ascii="Times New Roman" w:eastAsia="Times New Roman" w:hAnsi="Times New Roman" w:cs="Times New Roman"/>
          <w:spacing w:val="4"/>
          <w:sz w:val="28"/>
          <w:szCs w:val="28"/>
          <w:lang w:val="es-ES_tradnl" w:eastAsia="es-ES"/>
        </w:rPr>
      </w:pPr>
      <w:r w:rsidRPr="00DB625B">
        <w:rPr>
          <w:rFonts w:ascii="Times New Roman" w:eastAsia="Times New Roman" w:hAnsi="Times New Roman" w:cs="Times New Roman"/>
          <w:spacing w:val="4"/>
          <w:sz w:val="28"/>
          <w:szCs w:val="28"/>
          <w:lang w:val="es-ES_tradnl" w:eastAsia="es-ES"/>
        </w:rPr>
        <w:t>En cuanto al requisito de reserva legal</w:t>
      </w:r>
      <w:r w:rsidR="00937BB8" w:rsidRPr="00DB625B">
        <w:rPr>
          <w:rFonts w:ascii="Times New Roman" w:eastAsia="Times New Roman" w:hAnsi="Times New Roman" w:cs="Times New Roman"/>
          <w:spacing w:val="4"/>
          <w:sz w:val="28"/>
          <w:szCs w:val="28"/>
          <w:lang w:val="es-ES_tradnl" w:eastAsia="es-ES"/>
        </w:rPr>
        <w:t xml:space="preserve">, el artículo 98, inciso 1, de la Constitución Política de Colombia consagra que la suspensión de los derechos derivados la ciudadanía solo podrá suspenderse en los casos previstos en la ley. Este enunciado normativo requiere un análisis en dos dimensiones. </w:t>
      </w:r>
    </w:p>
    <w:p w:rsidR="00380EE1" w:rsidRPr="00DB625B" w:rsidRDefault="00380EE1" w:rsidP="00DB625B">
      <w:pPr>
        <w:tabs>
          <w:tab w:val="left" w:pos="0"/>
        </w:tabs>
        <w:spacing w:after="0" w:line="240" w:lineRule="auto"/>
        <w:jc w:val="both"/>
        <w:rPr>
          <w:rFonts w:ascii="Times New Roman" w:eastAsia="Times New Roman" w:hAnsi="Times New Roman" w:cs="Times New Roman"/>
          <w:spacing w:val="4"/>
          <w:sz w:val="28"/>
          <w:szCs w:val="28"/>
          <w:lang w:val="es-ES_tradnl" w:eastAsia="es-ES"/>
        </w:rPr>
      </w:pPr>
    </w:p>
    <w:p w:rsidR="00C01D0E" w:rsidRPr="00DB625B" w:rsidRDefault="00937BB8" w:rsidP="00DB625B">
      <w:pPr>
        <w:tabs>
          <w:tab w:val="left" w:pos="0"/>
        </w:tabs>
        <w:spacing w:after="0" w:line="240" w:lineRule="auto"/>
        <w:jc w:val="both"/>
        <w:rPr>
          <w:rFonts w:ascii="Times New Roman" w:eastAsia="Times New Roman" w:hAnsi="Times New Roman" w:cs="Times New Roman"/>
          <w:spacing w:val="4"/>
          <w:sz w:val="28"/>
          <w:szCs w:val="28"/>
          <w:lang w:val="es-ES_tradnl" w:eastAsia="es-ES"/>
        </w:rPr>
      </w:pPr>
      <w:r w:rsidRPr="00DB625B">
        <w:rPr>
          <w:rFonts w:ascii="Times New Roman" w:eastAsia="Times New Roman" w:hAnsi="Times New Roman" w:cs="Times New Roman"/>
          <w:spacing w:val="4"/>
          <w:sz w:val="28"/>
          <w:szCs w:val="28"/>
          <w:lang w:val="es-ES_tradnl" w:eastAsia="es-ES"/>
        </w:rPr>
        <w:t>La primera hace referencia al contenido de la ley, es decir, al tipo de sanciones que proceden para poder restringir o suspender los derechos políticos. Al respecto ha sostenido la jurisprudencia de esta Corporación que, en principio, la suspensión de los derechos políticos procede como sanción accesoria a una pena</w:t>
      </w:r>
      <w:r w:rsidRPr="00DB625B">
        <w:rPr>
          <w:rStyle w:val="Refdenotaalpie"/>
          <w:rFonts w:ascii="Times New Roman" w:eastAsia="Times New Roman" w:hAnsi="Times New Roman" w:cs="Times New Roman"/>
          <w:spacing w:val="4"/>
          <w:sz w:val="28"/>
          <w:szCs w:val="28"/>
          <w:lang w:val="es-ES_tradnl" w:eastAsia="es-ES"/>
        </w:rPr>
        <w:footnoteReference w:id="70"/>
      </w:r>
      <w:r w:rsidRPr="00DB625B">
        <w:rPr>
          <w:rFonts w:ascii="Times New Roman" w:eastAsia="Times New Roman" w:hAnsi="Times New Roman" w:cs="Times New Roman"/>
          <w:spacing w:val="4"/>
          <w:sz w:val="28"/>
          <w:szCs w:val="28"/>
          <w:lang w:val="es-ES_tradnl" w:eastAsia="es-ES"/>
        </w:rPr>
        <w:t>, como sanción principal en un proceso disciplinario</w:t>
      </w:r>
      <w:r w:rsidR="002A3C37" w:rsidRPr="00DB625B">
        <w:rPr>
          <w:rStyle w:val="Refdenotaalpie"/>
          <w:rFonts w:ascii="Times New Roman" w:eastAsia="Times New Roman" w:hAnsi="Times New Roman" w:cs="Times New Roman"/>
          <w:spacing w:val="4"/>
          <w:sz w:val="28"/>
          <w:szCs w:val="28"/>
          <w:lang w:val="es-ES_tradnl" w:eastAsia="es-ES"/>
        </w:rPr>
        <w:footnoteReference w:id="71"/>
      </w:r>
      <w:r w:rsidR="002A3C37" w:rsidRPr="00DB625B">
        <w:rPr>
          <w:rFonts w:ascii="Times New Roman" w:eastAsia="Times New Roman" w:hAnsi="Times New Roman" w:cs="Times New Roman"/>
          <w:spacing w:val="4"/>
          <w:sz w:val="28"/>
          <w:szCs w:val="28"/>
          <w:lang w:val="es-ES_tradnl" w:eastAsia="es-ES"/>
        </w:rPr>
        <w:t xml:space="preserve"> o como medida provisional en virtud de un proceso penal o disciplinario</w:t>
      </w:r>
      <w:r w:rsidR="002A3C37" w:rsidRPr="00DB625B">
        <w:rPr>
          <w:rStyle w:val="Refdenotaalpie"/>
          <w:rFonts w:ascii="Times New Roman" w:eastAsia="Times New Roman" w:hAnsi="Times New Roman" w:cs="Times New Roman"/>
          <w:spacing w:val="4"/>
          <w:sz w:val="28"/>
          <w:szCs w:val="28"/>
          <w:lang w:val="es-ES_tradnl" w:eastAsia="es-ES"/>
        </w:rPr>
        <w:footnoteReference w:id="72"/>
      </w:r>
      <w:r w:rsidR="002A3C37" w:rsidRPr="00DB625B">
        <w:rPr>
          <w:rFonts w:ascii="Times New Roman" w:eastAsia="Times New Roman" w:hAnsi="Times New Roman" w:cs="Times New Roman"/>
          <w:spacing w:val="4"/>
          <w:sz w:val="28"/>
          <w:szCs w:val="28"/>
          <w:lang w:val="es-ES_tradnl" w:eastAsia="es-ES"/>
        </w:rPr>
        <w:t>.</w:t>
      </w:r>
    </w:p>
    <w:p w:rsidR="002A3C37" w:rsidRPr="00DB625B" w:rsidRDefault="002A3C37" w:rsidP="00DB625B">
      <w:pPr>
        <w:tabs>
          <w:tab w:val="left" w:pos="0"/>
        </w:tabs>
        <w:spacing w:after="0" w:line="240" w:lineRule="auto"/>
        <w:jc w:val="both"/>
        <w:rPr>
          <w:rFonts w:ascii="Times New Roman" w:eastAsia="Times New Roman" w:hAnsi="Times New Roman" w:cs="Times New Roman"/>
          <w:spacing w:val="4"/>
          <w:sz w:val="28"/>
          <w:szCs w:val="28"/>
          <w:lang w:val="es-ES_tradnl" w:eastAsia="es-ES"/>
        </w:rPr>
      </w:pPr>
    </w:p>
    <w:p w:rsidR="0034481C" w:rsidRPr="00DB625B" w:rsidRDefault="002A3C37" w:rsidP="00DB625B">
      <w:pPr>
        <w:tabs>
          <w:tab w:val="left" w:pos="0"/>
        </w:tabs>
        <w:spacing w:after="0" w:line="240" w:lineRule="auto"/>
        <w:jc w:val="both"/>
        <w:rPr>
          <w:rFonts w:ascii="Times New Roman" w:eastAsia="Times New Roman" w:hAnsi="Times New Roman" w:cs="Times New Roman"/>
          <w:spacing w:val="4"/>
          <w:sz w:val="28"/>
          <w:szCs w:val="28"/>
          <w:lang w:val="es-ES_tradnl" w:eastAsia="es-ES"/>
        </w:rPr>
      </w:pPr>
      <w:r w:rsidRPr="00DB625B">
        <w:rPr>
          <w:rFonts w:ascii="Times New Roman" w:eastAsia="Times New Roman" w:hAnsi="Times New Roman" w:cs="Times New Roman"/>
          <w:spacing w:val="4"/>
          <w:sz w:val="28"/>
          <w:szCs w:val="28"/>
          <w:lang w:val="es-ES_tradnl" w:eastAsia="es-ES"/>
        </w:rPr>
        <w:t>La segunda dimensión hace referencia a la competencia legislativa, es decir, a la pregunta por el tipo de ley que debe consagrar una suspensión de los derechos políticos. En es</w:t>
      </w:r>
      <w:r w:rsidR="00D16F9E" w:rsidRPr="00DB625B">
        <w:rPr>
          <w:rFonts w:ascii="Times New Roman" w:eastAsia="Times New Roman" w:hAnsi="Times New Roman" w:cs="Times New Roman"/>
          <w:spacing w:val="4"/>
          <w:sz w:val="28"/>
          <w:szCs w:val="28"/>
          <w:lang w:val="es-ES_tradnl" w:eastAsia="es-ES"/>
        </w:rPr>
        <w:t>pecial, dicho cuestionamiento aborda si es necesario que</w:t>
      </w:r>
      <w:r w:rsidRPr="00DB625B">
        <w:rPr>
          <w:rFonts w:ascii="Times New Roman" w:eastAsia="Times New Roman" w:hAnsi="Times New Roman" w:cs="Times New Roman"/>
          <w:spacing w:val="4"/>
          <w:sz w:val="28"/>
          <w:szCs w:val="28"/>
          <w:lang w:val="es-ES_tradnl" w:eastAsia="es-ES"/>
        </w:rPr>
        <w:t xml:space="preserve"> toda restricción a este tipo de libertades </w:t>
      </w:r>
      <w:r w:rsidR="00064837" w:rsidRPr="00DB625B">
        <w:rPr>
          <w:rFonts w:ascii="Times New Roman" w:eastAsia="Times New Roman" w:hAnsi="Times New Roman" w:cs="Times New Roman"/>
          <w:spacing w:val="4"/>
          <w:sz w:val="28"/>
          <w:szCs w:val="28"/>
          <w:lang w:val="es-ES_tradnl" w:eastAsia="es-ES"/>
        </w:rPr>
        <w:t xml:space="preserve">sea tratada a través </w:t>
      </w:r>
      <w:r w:rsidRPr="00DB625B">
        <w:rPr>
          <w:rFonts w:ascii="Times New Roman" w:eastAsia="Times New Roman" w:hAnsi="Times New Roman" w:cs="Times New Roman"/>
          <w:spacing w:val="4"/>
          <w:sz w:val="28"/>
          <w:szCs w:val="28"/>
          <w:lang w:val="es-ES_tradnl" w:eastAsia="es-ES"/>
        </w:rPr>
        <w:t>ley estatutaria</w:t>
      </w:r>
      <w:r w:rsidR="00E8322C" w:rsidRPr="00DB625B">
        <w:rPr>
          <w:rFonts w:ascii="Times New Roman" w:eastAsia="Times New Roman" w:hAnsi="Times New Roman" w:cs="Times New Roman"/>
          <w:spacing w:val="4"/>
          <w:sz w:val="28"/>
          <w:szCs w:val="28"/>
          <w:lang w:val="es-ES_tradnl" w:eastAsia="es-ES"/>
        </w:rPr>
        <w:t xml:space="preserve"> </w:t>
      </w:r>
      <w:r w:rsidR="00064837" w:rsidRPr="00DB625B">
        <w:rPr>
          <w:rFonts w:ascii="Times New Roman" w:eastAsia="Times New Roman" w:hAnsi="Times New Roman" w:cs="Times New Roman"/>
          <w:spacing w:val="4"/>
          <w:sz w:val="28"/>
          <w:szCs w:val="28"/>
          <w:lang w:val="es-ES_tradnl" w:eastAsia="es-ES"/>
        </w:rPr>
        <w:t>u ordinaria.</w:t>
      </w:r>
      <w:r w:rsidRPr="00DB625B">
        <w:rPr>
          <w:rFonts w:ascii="Times New Roman" w:eastAsia="Times New Roman" w:hAnsi="Times New Roman" w:cs="Times New Roman"/>
          <w:spacing w:val="4"/>
          <w:sz w:val="28"/>
          <w:szCs w:val="28"/>
          <w:lang w:val="es-ES_tradnl" w:eastAsia="es-ES"/>
        </w:rPr>
        <w:t xml:space="preserve"> </w:t>
      </w:r>
    </w:p>
    <w:p w:rsidR="0034481C" w:rsidRPr="00DB625B" w:rsidRDefault="0034481C" w:rsidP="00DB625B">
      <w:pPr>
        <w:tabs>
          <w:tab w:val="left" w:pos="0"/>
        </w:tabs>
        <w:spacing w:after="0" w:line="240" w:lineRule="auto"/>
        <w:jc w:val="both"/>
        <w:rPr>
          <w:rFonts w:ascii="Times New Roman" w:eastAsia="Times New Roman" w:hAnsi="Times New Roman" w:cs="Times New Roman"/>
          <w:spacing w:val="4"/>
          <w:sz w:val="28"/>
          <w:szCs w:val="28"/>
          <w:lang w:val="es-ES_tradnl" w:eastAsia="es-ES"/>
        </w:rPr>
      </w:pPr>
    </w:p>
    <w:p w:rsidR="00E02B69" w:rsidRPr="00DB625B" w:rsidRDefault="00D316F2" w:rsidP="00DB625B">
      <w:pPr>
        <w:tabs>
          <w:tab w:val="left" w:pos="0"/>
        </w:tabs>
        <w:spacing w:after="0" w:line="240" w:lineRule="auto"/>
        <w:jc w:val="both"/>
        <w:rPr>
          <w:rFonts w:ascii="Times New Roman" w:eastAsia="Times New Roman" w:hAnsi="Times New Roman" w:cs="Times New Roman"/>
          <w:spacing w:val="4"/>
          <w:sz w:val="28"/>
          <w:szCs w:val="28"/>
          <w:lang w:val="es-ES_tradnl" w:eastAsia="es-ES"/>
        </w:rPr>
      </w:pPr>
      <w:r w:rsidRPr="00DB625B">
        <w:rPr>
          <w:rFonts w:ascii="Times New Roman" w:eastAsia="Times New Roman" w:hAnsi="Times New Roman" w:cs="Times New Roman"/>
          <w:spacing w:val="4"/>
          <w:sz w:val="28"/>
          <w:szCs w:val="28"/>
          <w:lang w:val="es-ES_tradnl" w:eastAsia="es-ES"/>
        </w:rPr>
        <w:t>C</w:t>
      </w:r>
      <w:r w:rsidR="0034481C" w:rsidRPr="00DB625B">
        <w:rPr>
          <w:rFonts w:ascii="Times New Roman" w:eastAsia="Times New Roman" w:hAnsi="Times New Roman" w:cs="Times New Roman"/>
          <w:spacing w:val="4"/>
          <w:sz w:val="28"/>
          <w:szCs w:val="28"/>
          <w:lang w:val="es-ES_tradnl" w:eastAsia="es-ES"/>
        </w:rPr>
        <w:t>omo se advirtió en el apartado anterior de la presente providencia, la jurisprudencia ha precisado que hace parte de órbita del legislador ordinario fijar restricciones a los derechos políticos, por ejemplo inhabilidad e incompatibilidades para ejercer funciones públicas</w:t>
      </w:r>
      <w:r w:rsidR="0034481C" w:rsidRPr="00DB625B">
        <w:rPr>
          <w:rStyle w:val="Refdenotaalpie"/>
          <w:rFonts w:ascii="Times New Roman" w:eastAsia="Times New Roman" w:hAnsi="Times New Roman" w:cs="Times New Roman"/>
          <w:spacing w:val="4"/>
          <w:sz w:val="28"/>
          <w:szCs w:val="28"/>
          <w:lang w:val="es-ES_tradnl" w:eastAsia="es-ES"/>
        </w:rPr>
        <w:footnoteReference w:id="73"/>
      </w:r>
      <w:r w:rsidR="0034481C" w:rsidRPr="00DB625B">
        <w:rPr>
          <w:rFonts w:ascii="Times New Roman" w:eastAsia="Times New Roman" w:hAnsi="Times New Roman" w:cs="Times New Roman"/>
          <w:spacing w:val="4"/>
          <w:sz w:val="28"/>
          <w:szCs w:val="28"/>
          <w:lang w:val="es-ES_tradnl" w:eastAsia="es-ES"/>
        </w:rPr>
        <w:t xml:space="preserve">. En Sentencia C-176 de 2017, se advirtió </w:t>
      </w:r>
      <w:r w:rsidR="00E8322C" w:rsidRPr="00DB625B">
        <w:rPr>
          <w:rFonts w:ascii="Times New Roman" w:eastAsia="Times New Roman" w:hAnsi="Times New Roman" w:cs="Times New Roman"/>
          <w:spacing w:val="4"/>
          <w:sz w:val="28"/>
          <w:szCs w:val="28"/>
          <w:lang w:val="es-ES_tradnl" w:eastAsia="es-ES"/>
        </w:rPr>
        <w:t>“</w:t>
      </w:r>
      <w:r w:rsidR="00E8322C" w:rsidRPr="00DB625B">
        <w:rPr>
          <w:rFonts w:ascii="Times New Roman" w:eastAsia="Times New Roman" w:hAnsi="Times New Roman" w:cs="Times New Roman"/>
          <w:i/>
          <w:spacing w:val="4"/>
          <w:sz w:val="28"/>
          <w:szCs w:val="28"/>
          <w:lang w:val="es-ES_tradnl" w:eastAsia="es-ES"/>
        </w:rPr>
        <w:t>el legislador cuenta con un amplio margen de configuración normativa con miras a determinar quienes aspiran a la función pública, por lo que la definición de los hechos configuradores de las causales de inhabilidad, así como el tiempo de duración de las mismas, son competencia de aquél y objeto de una potestad discrecional amplia, pero subordinada a los valores, principios y derechos constitucionalmente reconocidos, como lo es precisamente aquel de acceso a cargos públicos</w:t>
      </w:r>
      <w:r w:rsidR="00E8322C" w:rsidRPr="00DB625B">
        <w:rPr>
          <w:rFonts w:ascii="Times New Roman" w:eastAsia="Times New Roman" w:hAnsi="Times New Roman" w:cs="Times New Roman"/>
          <w:spacing w:val="4"/>
          <w:sz w:val="28"/>
          <w:szCs w:val="28"/>
          <w:lang w:val="es-ES_tradnl" w:eastAsia="es-ES"/>
        </w:rPr>
        <w:t>”.</w:t>
      </w:r>
    </w:p>
    <w:p w:rsidR="00E8322C" w:rsidRPr="00DB625B" w:rsidRDefault="00E8322C" w:rsidP="00DB625B">
      <w:pPr>
        <w:tabs>
          <w:tab w:val="left" w:pos="0"/>
        </w:tabs>
        <w:spacing w:after="0" w:line="240" w:lineRule="auto"/>
        <w:jc w:val="both"/>
        <w:rPr>
          <w:rFonts w:ascii="Times New Roman" w:eastAsia="Times New Roman" w:hAnsi="Times New Roman" w:cs="Times New Roman"/>
          <w:spacing w:val="4"/>
          <w:sz w:val="28"/>
          <w:szCs w:val="28"/>
          <w:lang w:val="es-ES_tradnl" w:eastAsia="es-ES"/>
        </w:rPr>
      </w:pPr>
    </w:p>
    <w:p w:rsidR="00E8322C" w:rsidRPr="00DB625B" w:rsidRDefault="00E8322C" w:rsidP="00DB625B">
      <w:pPr>
        <w:tabs>
          <w:tab w:val="left" w:pos="0"/>
        </w:tabs>
        <w:spacing w:after="0" w:line="240" w:lineRule="auto"/>
        <w:jc w:val="both"/>
        <w:rPr>
          <w:rFonts w:ascii="Times New Roman" w:eastAsia="Times New Roman" w:hAnsi="Times New Roman" w:cs="Times New Roman"/>
          <w:spacing w:val="4"/>
          <w:sz w:val="28"/>
          <w:szCs w:val="28"/>
          <w:lang w:val="es-ES_tradnl" w:eastAsia="es-ES"/>
        </w:rPr>
      </w:pPr>
      <w:r w:rsidRPr="00DB625B">
        <w:rPr>
          <w:rFonts w:ascii="Times New Roman" w:eastAsia="Times New Roman" w:hAnsi="Times New Roman" w:cs="Times New Roman"/>
          <w:spacing w:val="4"/>
          <w:sz w:val="28"/>
          <w:szCs w:val="28"/>
          <w:lang w:val="es-ES_tradnl" w:eastAsia="es-ES"/>
        </w:rPr>
        <w:t xml:space="preserve">En igual sentido, </w:t>
      </w:r>
      <w:r w:rsidR="00B00B7F" w:rsidRPr="00DB625B">
        <w:rPr>
          <w:rFonts w:ascii="Times New Roman" w:eastAsia="Times New Roman" w:hAnsi="Times New Roman" w:cs="Times New Roman"/>
          <w:spacing w:val="4"/>
          <w:sz w:val="28"/>
          <w:szCs w:val="28"/>
          <w:lang w:val="es-ES_tradnl" w:eastAsia="es-ES"/>
        </w:rPr>
        <w:t>en la Sentencia C-329 de 2003, se concluyó que el legislador ordinario está facultado para establecer los casos en los que puede aplicarse la pena de inhabilitación para el ejercicio de derechos y funciones públicas, de manera principal o accesori</w:t>
      </w:r>
      <w:r w:rsidR="00B70EB3" w:rsidRPr="00DB625B">
        <w:rPr>
          <w:rFonts w:ascii="Times New Roman" w:eastAsia="Times New Roman" w:hAnsi="Times New Roman" w:cs="Times New Roman"/>
          <w:spacing w:val="4"/>
          <w:sz w:val="28"/>
          <w:szCs w:val="28"/>
          <w:lang w:val="es-ES_tradnl" w:eastAsia="es-ES"/>
        </w:rPr>
        <w:t>a como resultado de la declaratoria de la responsabilidad penal y la imposición de una pena</w:t>
      </w:r>
      <w:r w:rsidR="00B00B7F" w:rsidRPr="00DB625B">
        <w:rPr>
          <w:rFonts w:ascii="Times New Roman" w:eastAsia="Times New Roman" w:hAnsi="Times New Roman" w:cs="Times New Roman"/>
          <w:spacing w:val="4"/>
          <w:sz w:val="28"/>
          <w:szCs w:val="28"/>
          <w:lang w:val="es-ES_tradnl" w:eastAsia="es-ES"/>
        </w:rPr>
        <w:t>, sin que ello pueda considerarse una restricción indebida de los derechos políticos. No se trata de una pena que suponga la muerte política del condenado, dado que sólo suspende la posibilidad del ejercicio de la ciudadanía, con la vocación de desaparecer una vez sea cumplida la pena y se obtenga la rehabilitación.</w:t>
      </w:r>
    </w:p>
    <w:p w:rsidR="0034481C" w:rsidRPr="00DB625B" w:rsidRDefault="0034481C" w:rsidP="00DB625B">
      <w:pPr>
        <w:tabs>
          <w:tab w:val="left" w:pos="0"/>
        </w:tabs>
        <w:spacing w:after="0" w:line="240" w:lineRule="auto"/>
        <w:jc w:val="both"/>
        <w:rPr>
          <w:rFonts w:ascii="Times New Roman" w:eastAsia="Times New Roman" w:hAnsi="Times New Roman" w:cs="Times New Roman"/>
          <w:b/>
          <w:bCs/>
          <w:spacing w:val="4"/>
          <w:sz w:val="28"/>
          <w:szCs w:val="28"/>
          <w:lang w:val="es-ES_tradnl" w:eastAsia="es-ES"/>
        </w:rPr>
      </w:pPr>
    </w:p>
    <w:p w:rsidR="00B00B7F" w:rsidRPr="00DB625B" w:rsidRDefault="00902407" w:rsidP="00DB625B">
      <w:pPr>
        <w:pStyle w:val="Prrafodelista"/>
        <w:numPr>
          <w:ilvl w:val="1"/>
          <w:numId w:val="24"/>
        </w:numPr>
        <w:tabs>
          <w:tab w:val="left" w:pos="0"/>
        </w:tabs>
        <w:spacing w:after="0" w:line="240" w:lineRule="auto"/>
        <w:ind w:left="0" w:firstLine="0"/>
        <w:jc w:val="both"/>
        <w:rPr>
          <w:rFonts w:ascii="Times New Roman" w:eastAsia="Times New Roman" w:hAnsi="Times New Roman" w:cs="Times New Roman"/>
          <w:bCs/>
          <w:spacing w:val="4"/>
          <w:sz w:val="28"/>
          <w:szCs w:val="28"/>
          <w:lang w:val="es-ES_tradnl" w:eastAsia="es-ES"/>
        </w:rPr>
      </w:pPr>
      <w:r w:rsidRPr="00DB625B">
        <w:rPr>
          <w:rFonts w:ascii="Times New Roman" w:eastAsia="Times New Roman" w:hAnsi="Times New Roman" w:cs="Times New Roman"/>
          <w:bCs/>
          <w:spacing w:val="4"/>
          <w:sz w:val="28"/>
          <w:szCs w:val="28"/>
          <w:lang w:val="es-ES_tradnl" w:eastAsia="es-ES"/>
        </w:rPr>
        <w:t>Por consiguiente,</w:t>
      </w:r>
      <w:r w:rsidR="00B26FFE" w:rsidRPr="00DB625B">
        <w:rPr>
          <w:rFonts w:ascii="Times New Roman" w:eastAsia="Times New Roman" w:hAnsi="Times New Roman" w:cs="Times New Roman"/>
          <w:bCs/>
          <w:spacing w:val="4"/>
          <w:sz w:val="28"/>
          <w:szCs w:val="28"/>
          <w:lang w:val="es-ES_tradnl" w:eastAsia="es-ES"/>
        </w:rPr>
        <w:t xml:space="preserve"> esta Corporación ha</w:t>
      </w:r>
      <w:r w:rsidR="003E573F" w:rsidRPr="00DB625B">
        <w:rPr>
          <w:rFonts w:ascii="Times New Roman" w:eastAsia="Times New Roman" w:hAnsi="Times New Roman" w:cs="Times New Roman"/>
          <w:bCs/>
          <w:spacing w:val="4"/>
          <w:sz w:val="28"/>
          <w:szCs w:val="28"/>
          <w:lang w:val="es-ES_tradnl" w:eastAsia="es-ES"/>
        </w:rPr>
        <w:t xml:space="preserve"> precisado que </w:t>
      </w:r>
      <w:r w:rsidR="00B00B7F" w:rsidRPr="00DB625B">
        <w:rPr>
          <w:rFonts w:ascii="Times New Roman" w:eastAsia="Times New Roman" w:hAnsi="Times New Roman" w:cs="Times New Roman"/>
          <w:bCs/>
          <w:spacing w:val="4"/>
          <w:sz w:val="28"/>
          <w:szCs w:val="28"/>
          <w:lang w:val="es-ES_tradnl" w:eastAsia="es-ES"/>
        </w:rPr>
        <w:t>el derecho a la participación política puede limitarse</w:t>
      </w:r>
      <w:r w:rsidR="003E573F" w:rsidRPr="00DB625B">
        <w:rPr>
          <w:rFonts w:ascii="Times New Roman" w:eastAsia="Times New Roman" w:hAnsi="Times New Roman" w:cs="Times New Roman"/>
          <w:bCs/>
          <w:spacing w:val="4"/>
          <w:sz w:val="28"/>
          <w:szCs w:val="28"/>
          <w:lang w:val="es-ES_tradnl" w:eastAsia="es-ES"/>
        </w:rPr>
        <w:t>,</w:t>
      </w:r>
      <w:r w:rsidR="00B00B7F" w:rsidRPr="00DB625B">
        <w:rPr>
          <w:rFonts w:ascii="Times New Roman" w:eastAsia="Times New Roman" w:hAnsi="Times New Roman" w:cs="Times New Roman"/>
          <w:bCs/>
          <w:spacing w:val="4"/>
          <w:sz w:val="28"/>
          <w:szCs w:val="28"/>
          <w:lang w:val="es-ES_tradnl" w:eastAsia="es-ES"/>
        </w:rPr>
        <w:t xml:space="preserve"> siempre que no se afecte </w:t>
      </w:r>
      <w:r w:rsidR="003E573F" w:rsidRPr="00DB625B">
        <w:rPr>
          <w:rFonts w:ascii="Times New Roman" w:eastAsia="Times New Roman" w:hAnsi="Times New Roman" w:cs="Times New Roman"/>
          <w:bCs/>
          <w:spacing w:val="4"/>
          <w:sz w:val="28"/>
          <w:szCs w:val="28"/>
          <w:lang w:val="es-ES_tradnl" w:eastAsia="es-ES"/>
        </w:rPr>
        <w:t xml:space="preserve">su núcleo esencial. </w:t>
      </w:r>
      <w:r w:rsidR="00B26FFE" w:rsidRPr="00DB625B">
        <w:rPr>
          <w:rFonts w:ascii="Times New Roman" w:eastAsia="Times New Roman" w:hAnsi="Times New Roman" w:cs="Times New Roman"/>
          <w:bCs/>
          <w:spacing w:val="4"/>
          <w:sz w:val="28"/>
          <w:szCs w:val="28"/>
          <w:lang w:val="es-ES_tradnl" w:eastAsia="es-ES"/>
        </w:rPr>
        <w:t>Inclusive, l</w:t>
      </w:r>
      <w:r w:rsidR="00B00B7F" w:rsidRPr="00DB625B">
        <w:rPr>
          <w:rFonts w:ascii="Times New Roman" w:eastAsia="Times New Roman" w:hAnsi="Times New Roman" w:cs="Times New Roman"/>
          <w:bCs/>
          <w:spacing w:val="4"/>
          <w:sz w:val="28"/>
          <w:szCs w:val="28"/>
          <w:lang w:val="es-ES_tradnl" w:eastAsia="es-ES"/>
        </w:rPr>
        <w:t>a propia Constitución lo hace, al señalar que se requiere de la ciudadanía para e</w:t>
      </w:r>
      <w:r w:rsidR="00B26FFE" w:rsidRPr="00DB625B">
        <w:rPr>
          <w:rFonts w:ascii="Times New Roman" w:eastAsia="Times New Roman" w:hAnsi="Times New Roman" w:cs="Times New Roman"/>
          <w:bCs/>
          <w:spacing w:val="4"/>
          <w:sz w:val="28"/>
          <w:szCs w:val="28"/>
          <w:lang w:val="es-ES_tradnl" w:eastAsia="es-ES"/>
        </w:rPr>
        <w:t>jercer estos derechos. A su vez, la norma superior ha previsto</w:t>
      </w:r>
      <w:r w:rsidR="00B00B7F" w:rsidRPr="00DB625B">
        <w:rPr>
          <w:rFonts w:ascii="Times New Roman" w:eastAsia="Times New Roman" w:hAnsi="Times New Roman" w:cs="Times New Roman"/>
          <w:bCs/>
          <w:spacing w:val="4"/>
          <w:sz w:val="28"/>
          <w:szCs w:val="28"/>
          <w:lang w:val="es-ES_tradnl" w:eastAsia="es-ES"/>
        </w:rPr>
        <w:t xml:space="preserve"> que en los casos determinados por el le</w:t>
      </w:r>
      <w:r w:rsidR="00B26FFE" w:rsidRPr="00DB625B">
        <w:rPr>
          <w:rFonts w:ascii="Times New Roman" w:eastAsia="Times New Roman" w:hAnsi="Times New Roman" w:cs="Times New Roman"/>
          <w:bCs/>
          <w:spacing w:val="4"/>
          <w:sz w:val="28"/>
          <w:szCs w:val="28"/>
          <w:lang w:val="es-ES_tradnl" w:eastAsia="es-ES"/>
        </w:rPr>
        <w:t>gislador es posible suspender</w:t>
      </w:r>
      <w:r w:rsidR="00B00B7F" w:rsidRPr="00DB625B">
        <w:rPr>
          <w:rFonts w:ascii="Times New Roman" w:eastAsia="Times New Roman" w:hAnsi="Times New Roman" w:cs="Times New Roman"/>
          <w:bCs/>
          <w:spacing w:val="4"/>
          <w:sz w:val="28"/>
          <w:szCs w:val="28"/>
          <w:lang w:val="es-ES_tradnl" w:eastAsia="es-ES"/>
        </w:rPr>
        <w:t xml:space="preserve"> </w:t>
      </w:r>
      <w:r w:rsidR="00B26FFE" w:rsidRPr="00DB625B">
        <w:rPr>
          <w:rFonts w:ascii="Times New Roman" w:eastAsia="Times New Roman" w:hAnsi="Times New Roman" w:cs="Times New Roman"/>
          <w:bCs/>
          <w:spacing w:val="4"/>
          <w:sz w:val="28"/>
          <w:szCs w:val="28"/>
          <w:lang w:val="es-ES_tradnl" w:eastAsia="es-ES"/>
        </w:rPr>
        <w:t>los derechos políticos, ya sea mediante</w:t>
      </w:r>
      <w:r w:rsidR="00B00B7F" w:rsidRPr="00DB625B">
        <w:rPr>
          <w:rFonts w:ascii="Times New Roman" w:eastAsia="Times New Roman" w:hAnsi="Times New Roman" w:cs="Times New Roman"/>
          <w:bCs/>
          <w:spacing w:val="4"/>
          <w:sz w:val="28"/>
          <w:szCs w:val="28"/>
          <w:lang w:val="es-ES_tradnl" w:eastAsia="es-ES"/>
        </w:rPr>
        <w:t xml:space="preserve"> sentencia judicial</w:t>
      </w:r>
      <w:r w:rsidRPr="00DB625B">
        <w:rPr>
          <w:rFonts w:ascii="Times New Roman" w:eastAsia="Times New Roman" w:hAnsi="Times New Roman" w:cs="Times New Roman"/>
          <w:bCs/>
          <w:spacing w:val="4"/>
          <w:sz w:val="28"/>
          <w:szCs w:val="28"/>
          <w:lang w:val="es-ES_tradnl" w:eastAsia="es-ES"/>
        </w:rPr>
        <w:t>,</w:t>
      </w:r>
      <w:r w:rsidR="00B26FFE" w:rsidRPr="00DB625B">
        <w:rPr>
          <w:rFonts w:ascii="Times New Roman" w:eastAsia="Times New Roman" w:hAnsi="Times New Roman" w:cs="Times New Roman"/>
          <w:bCs/>
          <w:spacing w:val="4"/>
          <w:sz w:val="28"/>
          <w:szCs w:val="28"/>
          <w:lang w:val="es-ES_tradnl" w:eastAsia="es-ES"/>
        </w:rPr>
        <w:t xml:space="preserve"> fallo disciplinario o de responsabilidad fiscal</w:t>
      </w:r>
      <w:r w:rsidR="00B00B7F" w:rsidRPr="00DB625B">
        <w:rPr>
          <w:rFonts w:ascii="Times New Roman" w:eastAsia="Times New Roman" w:hAnsi="Times New Roman" w:cs="Times New Roman"/>
          <w:bCs/>
          <w:spacing w:val="4"/>
          <w:sz w:val="28"/>
          <w:szCs w:val="28"/>
          <w:lang w:val="es-ES_tradnl" w:eastAsia="es-ES"/>
        </w:rPr>
        <w:t>. Esta potestad de configur</w:t>
      </w:r>
      <w:r w:rsidR="00B26FFE" w:rsidRPr="00DB625B">
        <w:rPr>
          <w:rFonts w:ascii="Times New Roman" w:eastAsia="Times New Roman" w:hAnsi="Times New Roman" w:cs="Times New Roman"/>
          <w:bCs/>
          <w:spacing w:val="4"/>
          <w:sz w:val="28"/>
          <w:szCs w:val="28"/>
          <w:lang w:val="es-ES_tradnl" w:eastAsia="es-ES"/>
        </w:rPr>
        <w:t>ación es amplia en</w:t>
      </w:r>
      <w:r w:rsidRPr="00DB625B">
        <w:rPr>
          <w:rFonts w:ascii="Times New Roman" w:eastAsia="Times New Roman" w:hAnsi="Times New Roman" w:cs="Times New Roman"/>
          <w:bCs/>
          <w:spacing w:val="4"/>
          <w:sz w:val="28"/>
          <w:szCs w:val="28"/>
          <w:lang w:val="es-ES_tradnl" w:eastAsia="es-ES"/>
        </w:rPr>
        <w:t xml:space="preserve"> esas</w:t>
      </w:r>
      <w:r w:rsidR="00B26FFE" w:rsidRPr="00DB625B">
        <w:rPr>
          <w:rFonts w:ascii="Times New Roman" w:eastAsia="Times New Roman" w:hAnsi="Times New Roman" w:cs="Times New Roman"/>
          <w:bCs/>
          <w:spacing w:val="4"/>
          <w:sz w:val="28"/>
          <w:szCs w:val="28"/>
          <w:lang w:val="es-ES_tradnl" w:eastAsia="es-ES"/>
        </w:rPr>
        <w:t xml:space="preserve"> materia</w:t>
      </w:r>
      <w:r w:rsidRPr="00DB625B">
        <w:rPr>
          <w:rFonts w:ascii="Times New Roman" w:eastAsia="Times New Roman" w:hAnsi="Times New Roman" w:cs="Times New Roman"/>
          <w:bCs/>
          <w:spacing w:val="4"/>
          <w:sz w:val="28"/>
          <w:szCs w:val="28"/>
          <w:lang w:val="es-ES_tradnl" w:eastAsia="es-ES"/>
        </w:rPr>
        <w:t>s</w:t>
      </w:r>
      <w:r w:rsidR="00B00B7F" w:rsidRPr="00DB625B">
        <w:rPr>
          <w:rFonts w:ascii="Times New Roman" w:eastAsia="Times New Roman" w:hAnsi="Times New Roman" w:cs="Times New Roman"/>
          <w:bCs/>
          <w:spacing w:val="4"/>
          <w:sz w:val="28"/>
          <w:szCs w:val="28"/>
          <w:lang w:val="es-ES_tradnl" w:eastAsia="es-ES"/>
        </w:rPr>
        <w:t xml:space="preserve">, </w:t>
      </w:r>
      <w:r w:rsidR="00B26FFE" w:rsidRPr="00DB625B">
        <w:rPr>
          <w:rFonts w:ascii="Times New Roman" w:eastAsia="Times New Roman" w:hAnsi="Times New Roman" w:cs="Times New Roman"/>
          <w:bCs/>
          <w:spacing w:val="4"/>
          <w:sz w:val="28"/>
          <w:szCs w:val="28"/>
          <w:lang w:val="es-ES_tradnl" w:eastAsia="es-ES"/>
        </w:rPr>
        <w:t>empero se encuentra</w:t>
      </w:r>
      <w:r w:rsidR="00B00B7F" w:rsidRPr="00DB625B">
        <w:rPr>
          <w:rFonts w:ascii="Times New Roman" w:eastAsia="Times New Roman" w:hAnsi="Times New Roman" w:cs="Times New Roman"/>
          <w:bCs/>
          <w:spacing w:val="4"/>
          <w:sz w:val="28"/>
          <w:szCs w:val="28"/>
          <w:lang w:val="es-ES_tradnl" w:eastAsia="es-ES"/>
        </w:rPr>
        <w:t xml:space="preserve"> limitada por los principios constitucionales, las gara</w:t>
      </w:r>
      <w:r w:rsidRPr="00DB625B">
        <w:rPr>
          <w:rFonts w:ascii="Times New Roman" w:eastAsia="Times New Roman" w:hAnsi="Times New Roman" w:cs="Times New Roman"/>
          <w:bCs/>
          <w:spacing w:val="4"/>
          <w:sz w:val="28"/>
          <w:szCs w:val="28"/>
          <w:lang w:val="es-ES_tradnl" w:eastAsia="es-ES"/>
        </w:rPr>
        <w:t>ntías procesales, al igual que por los mandatos</w:t>
      </w:r>
      <w:r w:rsidR="00B00B7F" w:rsidRPr="00DB625B">
        <w:rPr>
          <w:rFonts w:ascii="Times New Roman" w:eastAsia="Times New Roman" w:hAnsi="Times New Roman" w:cs="Times New Roman"/>
          <w:bCs/>
          <w:spacing w:val="4"/>
          <w:sz w:val="28"/>
          <w:szCs w:val="28"/>
          <w:lang w:val="es-ES_tradnl" w:eastAsia="es-ES"/>
        </w:rPr>
        <w:t xml:space="preserve"> de racionalidad y </w:t>
      </w:r>
      <w:r w:rsidR="00B00B7F" w:rsidRPr="00DB625B">
        <w:rPr>
          <w:rFonts w:ascii="Times New Roman" w:eastAsia="Times New Roman" w:hAnsi="Times New Roman" w:cs="Times New Roman"/>
          <w:bCs/>
          <w:spacing w:val="4"/>
          <w:sz w:val="28"/>
          <w:szCs w:val="28"/>
          <w:lang w:val="es-ES_tradnl" w:eastAsia="es-ES"/>
        </w:rPr>
        <w:lastRenderedPageBreak/>
        <w:t>proporcionalidad de las sanciones, y por las obligaciones contraídas en los tratados internacionales de derechos humanos que forman parte del bloque de constitucionalidad</w:t>
      </w:r>
    </w:p>
    <w:p w:rsidR="00B00B7F" w:rsidRPr="00DB625B" w:rsidRDefault="00B00B7F" w:rsidP="00DB625B">
      <w:pPr>
        <w:tabs>
          <w:tab w:val="left" w:pos="0"/>
        </w:tabs>
        <w:spacing w:after="0" w:line="240" w:lineRule="auto"/>
        <w:jc w:val="both"/>
        <w:rPr>
          <w:rFonts w:ascii="Times New Roman" w:eastAsia="Times New Roman" w:hAnsi="Times New Roman" w:cs="Times New Roman"/>
          <w:b/>
          <w:bCs/>
          <w:spacing w:val="4"/>
          <w:sz w:val="28"/>
          <w:szCs w:val="28"/>
          <w:lang w:val="es-ES_tradnl" w:eastAsia="es-ES"/>
        </w:rPr>
      </w:pPr>
    </w:p>
    <w:p w:rsidR="00EA3CB7" w:rsidRPr="00DB625B" w:rsidRDefault="00C66A90" w:rsidP="00DB625B">
      <w:pPr>
        <w:autoSpaceDE w:val="0"/>
        <w:autoSpaceDN w:val="0"/>
        <w:spacing w:after="0" w:line="240" w:lineRule="auto"/>
        <w:jc w:val="both"/>
        <w:rPr>
          <w:rFonts w:ascii="Times New Roman" w:eastAsia="Times New Roman" w:hAnsi="Times New Roman" w:cs="Times New Roman"/>
          <w:sz w:val="28"/>
          <w:szCs w:val="28"/>
          <w:lang w:eastAsia="es-ES"/>
        </w:rPr>
      </w:pPr>
      <w:r w:rsidRPr="00DB625B">
        <w:rPr>
          <w:rFonts w:ascii="Times New Roman" w:eastAsia="Times New Roman" w:hAnsi="Times New Roman" w:cs="Times New Roman"/>
          <w:sz w:val="28"/>
          <w:szCs w:val="28"/>
          <w:lang w:eastAsia="es-ES"/>
        </w:rPr>
        <w:t>Además</w:t>
      </w:r>
      <w:r w:rsidR="00731F5F" w:rsidRPr="00DB625B">
        <w:rPr>
          <w:rFonts w:ascii="Times New Roman" w:eastAsia="Times New Roman" w:hAnsi="Times New Roman" w:cs="Times New Roman"/>
          <w:sz w:val="28"/>
          <w:szCs w:val="28"/>
          <w:lang w:eastAsia="es-ES"/>
        </w:rPr>
        <w:t>, ha estimado que la suspensión provisional y/o definitiva</w:t>
      </w:r>
      <w:r w:rsidR="0053427B" w:rsidRPr="00DB625B">
        <w:rPr>
          <w:rFonts w:ascii="Times New Roman" w:eastAsia="Times New Roman" w:hAnsi="Times New Roman" w:cs="Times New Roman"/>
          <w:sz w:val="28"/>
          <w:szCs w:val="28"/>
          <w:lang w:eastAsia="es-ES"/>
        </w:rPr>
        <w:t xml:space="preserve"> de </w:t>
      </w:r>
      <w:r w:rsidR="00731F5F" w:rsidRPr="00DB625B">
        <w:rPr>
          <w:rFonts w:ascii="Times New Roman" w:eastAsia="Times New Roman" w:hAnsi="Times New Roman" w:cs="Times New Roman"/>
          <w:sz w:val="28"/>
          <w:szCs w:val="28"/>
          <w:lang w:eastAsia="es-ES"/>
        </w:rPr>
        <w:t xml:space="preserve">los </w:t>
      </w:r>
      <w:r w:rsidR="0053427B" w:rsidRPr="00DB625B">
        <w:rPr>
          <w:rFonts w:ascii="Times New Roman" w:eastAsia="Times New Roman" w:hAnsi="Times New Roman" w:cs="Times New Roman"/>
          <w:sz w:val="28"/>
          <w:szCs w:val="28"/>
          <w:lang w:eastAsia="es-ES"/>
        </w:rPr>
        <w:t xml:space="preserve">derechos políticos de los funcionarios públicos, entre ellos de elección popular, </w:t>
      </w:r>
      <w:r w:rsidR="00731F5F" w:rsidRPr="00DB625B">
        <w:rPr>
          <w:rFonts w:ascii="Times New Roman" w:eastAsia="Times New Roman" w:hAnsi="Times New Roman" w:cs="Times New Roman"/>
          <w:sz w:val="28"/>
          <w:szCs w:val="28"/>
          <w:lang w:eastAsia="es-ES"/>
        </w:rPr>
        <w:t xml:space="preserve">es una decisión que no interfiere el núcleo de los mismos ni implica una interferencia desproporcionada e irrazonable, por lo que la regulación de esas materias hace parte de la competencia del </w:t>
      </w:r>
      <w:r w:rsidR="0053427B" w:rsidRPr="00DB625B">
        <w:rPr>
          <w:rFonts w:ascii="Times New Roman" w:eastAsia="Times New Roman" w:hAnsi="Times New Roman" w:cs="Times New Roman"/>
          <w:sz w:val="28"/>
          <w:szCs w:val="28"/>
          <w:lang w:eastAsia="es-ES"/>
        </w:rPr>
        <w:t>legislador ordinario su regulaci</w:t>
      </w:r>
      <w:r w:rsidR="00902407" w:rsidRPr="00DB625B">
        <w:rPr>
          <w:rFonts w:ascii="Times New Roman" w:eastAsia="Times New Roman" w:hAnsi="Times New Roman" w:cs="Times New Roman"/>
          <w:sz w:val="28"/>
          <w:szCs w:val="28"/>
          <w:lang w:eastAsia="es-ES"/>
        </w:rPr>
        <w:t>ón.</w:t>
      </w:r>
    </w:p>
    <w:p w:rsidR="0048539C" w:rsidRPr="00DB625B" w:rsidRDefault="0048539C" w:rsidP="00DB625B">
      <w:pPr>
        <w:autoSpaceDE w:val="0"/>
        <w:autoSpaceDN w:val="0"/>
        <w:spacing w:after="0" w:line="240" w:lineRule="auto"/>
        <w:jc w:val="both"/>
        <w:rPr>
          <w:rFonts w:ascii="Times New Roman" w:eastAsia="Times New Roman" w:hAnsi="Times New Roman" w:cs="Times New Roman"/>
          <w:b/>
          <w:sz w:val="28"/>
          <w:szCs w:val="28"/>
          <w:lang w:eastAsia="es-ES"/>
        </w:rPr>
      </w:pPr>
    </w:p>
    <w:p w:rsidR="00400E07" w:rsidRPr="00DB625B" w:rsidRDefault="00400E07" w:rsidP="00DB625B">
      <w:pPr>
        <w:pStyle w:val="Prrafodelista"/>
        <w:tabs>
          <w:tab w:val="left" w:pos="0"/>
        </w:tabs>
        <w:spacing w:after="0" w:line="240" w:lineRule="auto"/>
        <w:ind w:left="360"/>
        <w:rPr>
          <w:rFonts w:ascii="Times New Roman" w:eastAsia="Times New Roman" w:hAnsi="Times New Roman" w:cs="Times New Roman"/>
          <w:b/>
          <w:bCs/>
          <w:spacing w:val="4"/>
          <w:sz w:val="28"/>
          <w:szCs w:val="28"/>
          <w:lang w:eastAsia="es-ES"/>
        </w:rPr>
      </w:pPr>
      <w:r w:rsidRPr="00DB625B">
        <w:rPr>
          <w:rFonts w:ascii="Times New Roman" w:eastAsia="Times New Roman" w:hAnsi="Times New Roman" w:cs="Times New Roman"/>
          <w:b/>
          <w:bCs/>
          <w:spacing w:val="4"/>
          <w:sz w:val="28"/>
          <w:szCs w:val="28"/>
          <w:lang w:eastAsia="es-ES"/>
        </w:rPr>
        <w:t>VII.</w:t>
      </w:r>
      <w:r w:rsidRPr="00DB625B">
        <w:rPr>
          <w:rFonts w:ascii="Times New Roman" w:eastAsia="Times New Roman" w:hAnsi="Times New Roman" w:cs="Times New Roman"/>
          <w:b/>
          <w:bCs/>
          <w:spacing w:val="4"/>
          <w:sz w:val="28"/>
          <w:szCs w:val="28"/>
          <w:lang w:eastAsia="es-ES"/>
        </w:rPr>
        <w:tab/>
        <w:t>CASO CONCRETO</w:t>
      </w:r>
    </w:p>
    <w:p w:rsidR="00400E07" w:rsidRPr="00DB625B" w:rsidRDefault="00400E07" w:rsidP="00DB625B">
      <w:pPr>
        <w:pStyle w:val="Prrafodelista"/>
        <w:tabs>
          <w:tab w:val="left" w:pos="0"/>
        </w:tabs>
        <w:spacing w:after="0" w:line="240" w:lineRule="auto"/>
        <w:ind w:left="360"/>
        <w:rPr>
          <w:rFonts w:ascii="Times New Roman" w:eastAsia="Times New Roman" w:hAnsi="Times New Roman" w:cs="Times New Roman"/>
          <w:b/>
          <w:bCs/>
          <w:spacing w:val="4"/>
          <w:sz w:val="28"/>
          <w:szCs w:val="28"/>
          <w:lang w:eastAsia="es-ES"/>
        </w:rPr>
      </w:pPr>
    </w:p>
    <w:p w:rsidR="00400E07" w:rsidRPr="00DB625B" w:rsidRDefault="00731F5F" w:rsidP="00DB625B">
      <w:pPr>
        <w:pStyle w:val="Prrafodelista"/>
        <w:numPr>
          <w:ilvl w:val="0"/>
          <w:numId w:val="24"/>
        </w:numPr>
        <w:tabs>
          <w:tab w:val="left" w:pos="0"/>
        </w:tabs>
        <w:spacing w:after="0" w:line="240" w:lineRule="auto"/>
        <w:ind w:left="0" w:firstLine="0"/>
        <w:jc w:val="both"/>
        <w:rPr>
          <w:rFonts w:ascii="Times New Roman" w:eastAsia="Times New Roman" w:hAnsi="Times New Roman" w:cs="Times New Roman"/>
          <w:bCs/>
          <w:spacing w:val="4"/>
          <w:sz w:val="28"/>
          <w:szCs w:val="28"/>
          <w:lang w:eastAsia="es-ES"/>
        </w:rPr>
      </w:pPr>
      <w:r w:rsidRPr="00DB625B">
        <w:rPr>
          <w:rFonts w:ascii="Times New Roman" w:eastAsia="Times New Roman" w:hAnsi="Times New Roman" w:cs="Times New Roman"/>
          <w:bCs/>
          <w:spacing w:val="4"/>
          <w:sz w:val="28"/>
          <w:szCs w:val="28"/>
          <w:lang w:eastAsia="es-ES"/>
        </w:rPr>
        <w:t>Las ciudadanas</w:t>
      </w:r>
      <w:r w:rsidR="00400E07" w:rsidRPr="00DB625B">
        <w:rPr>
          <w:rFonts w:ascii="Times New Roman" w:eastAsia="Times New Roman" w:hAnsi="Times New Roman" w:cs="Times New Roman"/>
          <w:bCs/>
          <w:spacing w:val="4"/>
          <w:sz w:val="28"/>
          <w:szCs w:val="28"/>
          <w:lang w:eastAsia="es-ES"/>
        </w:rPr>
        <w:t xml:space="preserve"> </w:t>
      </w:r>
      <w:r w:rsidRPr="00DB625B">
        <w:rPr>
          <w:rFonts w:ascii="Times New Roman" w:eastAsia="Times New Roman" w:hAnsi="Times New Roman" w:cs="Times New Roman"/>
          <w:sz w:val="28"/>
          <w:szCs w:val="28"/>
          <w:lang w:val="es-ES_tradnl" w:eastAsia="es-ES"/>
        </w:rPr>
        <w:t xml:space="preserve">Yohana Reyes Medina y Liliana Patricia Ruíz Urrea </w:t>
      </w:r>
      <w:r w:rsidRPr="00DB625B">
        <w:rPr>
          <w:rFonts w:ascii="Times New Roman" w:eastAsia="Times New Roman" w:hAnsi="Times New Roman" w:cs="Times New Roman"/>
          <w:bCs/>
          <w:spacing w:val="4"/>
          <w:sz w:val="28"/>
          <w:szCs w:val="28"/>
          <w:lang w:eastAsia="es-ES"/>
        </w:rPr>
        <w:t>consideraron que el artículo 217</w:t>
      </w:r>
      <w:r w:rsidR="00400E07" w:rsidRPr="00DB625B">
        <w:rPr>
          <w:rFonts w:ascii="Times New Roman" w:eastAsia="Times New Roman" w:hAnsi="Times New Roman" w:cs="Times New Roman"/>
          <w:bCs/>
          <w:spacing w:val="4"/>
          <w:sz w:val="28"/>
          <w:szCs w:val="28"/>
          <w:lang w:eastAsia="es-ES"/>
        </w:rPr>
        <w:t xml:space="preserve"> de la Ley 1952 de</w:t>
      </w:r>
      <w:r w:rsidRPr="00DB625B">
        <w:rPr>
          <w:rFonts w:ascii="Times New Roman" w:eastAsia="Times New Roman" w:hAnsi="Times New Roman" w:cs="Times New Roman"/>
          <w:bCs/>
          <w:spacing w:val="4"/>
          <w:sz w:val="28"/>
          <w:szCs w:val="28"/>
          <w:lang w:eastAsia="es-ES"/>
        </w:rPr>
        <w:t xml:space="preserve"> 2019 quebrantaba los artículos 152 y 153</w:t>
      </w:r>
      <w:r w:rsidR="00400E07" w:rsidRPr="00DB625B">
        <w:rPr>
          <w:rFonts w:ascii="Times New Roman" w:eastAsia="Times New Roman" w:hAnsi="Times New Roman" w:cs="Times New Roman"/>
          <w:bCs/>
          <w:spacing w:val="4"/>
          <w:sz w:val="28"/>
          <w:szCs w:val="28"/>
          <w:lang w:eastAsia="es-ES"/>
        </w:rPr>
        <w:t xml:space="preserve"> </w:t>
      </w:r>
      <w:r w:rsidRPr="00DB625B">
        <w:rPr>
          <w:rFonts w:ascii="Times New Roman" w:eastAsia="Times New Roman" w:hAnsi="Times New Roman" w:cs="Times New Roman"/>
          <w:bCs/>
          <w:spacing w:val="4"/>
          <w:sz w:val="28"/>
          <w:szCs w:val="28"/>
          <w:lang w:eastAsia="es-ES"/>
        </w:rPr>
        <w:t>superiores</w:t>
      </w:r>
      <w:r w:rsidR="00400E07" w:rsidRPr="00DB625B">
        <w:rPr>
          <w:rFonts w:ascii="Times New Roman" w:eastAsia="Times New Roman" w:hAnsi="Times New Roman" w:cs="Times New Roman"/>
          <w:bCs/>
          <w:spacing w:val="4"/>
          <w:sz w:val="28"/>
          <w:szCs w:val="28"/>
          <w:lang w:eastAsia="es-ES"/>
        </w:rPr>
        <w:t>, dado que</w:t>
      </w:r>
      <w:r w:rsidRPr="00DB625B">
        <w:rPr>
          <w:rFonts w:ascii="Times New Roman" w:eastAsia="Times New Roman" w:hAnsi="Times New Roman" w:cs="Times New Roman"/>
          <w:bCs/>
          <w:spacing w:val="4"/>
          <w:sz w:val="28"/>
          <w:szCs w:val="28"/>
          <w:lang w:eastAsia="es-ES"/>
        </w:rPr>
        <w:t xml:space="preserve"> desconoce la reserva de ley estatutaria que tiene la regulación de los derechos políticos. Indicó </w:t>
      </w:r>
      <w:r w:rsidR="00E05E86" w:rsidRPr="00DB625B">
        <w:rPr>
          <w:rFonts w:ascii="Times New Roman" w:eastAsia="Times New Roman" w:hAnsi="Times New Roman" w:cs="Times New Roman"/>
          <w:bCs/>
          <w:spacing w:val="4"/>
          <w:sz w:val="28"/>
          <w:szCs w:val="28"/>
          <w:lang w:eastAsia="es-ES"/>
        </w:rPr>
        <w:t>que</w:t>
      </w:r>
      <w:r w:rsidRPr="00DB625B">
        <w:rPr>
          <w:rFonts w:ascii="Times New Roman" w:eastAsia="Times New Roman" w:hAnsi="Times New Roman" w:cs="Times New Roman"/>
          <w:bCs/>
          <w:spacing w:val="4"/>
          <w:sz w:val="28"/>
          <w:szCs w:val="28"/>
          <w:lang w:eastAsia="es-ES"/>
        </w:rPr>
        <w:t xml:space="preserve"> la</w:t>
      </w:r>
      <w:r w:rsidR="00E05E86" w:rsidRPr="00DB625B">
        <w:rPr>
          <w:rFonts w:ascii="Times New Roman" w:eastAsia="Times New Roman" w:hAnsi="Times New Roman" w:cs="Times New Roman"/>
          <w:bCs/>
          <w:spacing w:val="4"/>
          <w:sz w:val="28"/>
          <w:szCs w:val="28"/>
          <w:lang w:eastAsia="es-ES"/>
        </w:rPr>
        <w:t xml:space="preserve"> norma accionada establece la</w:t>
      </w:r>
      <w:r w:rsidRPr="00DB625B">
        <w:rPr>
          <w:rFonts w:ascii="Times New Roman" w:eastAsia="Times New Roman" w:hAnsi="Times New Roman" w:cs="Times New Roman"/>
          <w:bCs/>
          <w:spacing w:val="4"/>
          <w:sz w:val="28"/>
          <w:szCs w:val="28"/>
          <w:lang w:eastAsia="es-ES"/>
        </w:rPr>
        <w:t xml:space="preserve"> suspensión provisional de los funcionarios de elecci</w:t>
      </w:r>
      <w:r w:rsidR="00E05E86" w:rsidRPr="00DB625B">
        <w:rPr>
          <w:rFonts w:ascii="Times New Roman" w:eastAsia="Times New Roman" w:hAnsi="Times New Roman" w:cs="Times New Roman"/>
          <w:bCs/>
          <w:spacing w:val="4"/>
          <w:sz w:val="28"/>
          <w:szCs w:val="28"/>
          <w:lang w:eastAsia="es-ES"/>
        </w:rPr>
        <w:t>ón popular, previsión que afecta</w:t>
      </w:r>
      <w:r w:rsidR="00D83911" w:rsidRPr="00DB625B">
        <w:rPr>
          <w:rFonts w:ascii="Times New Roman" w:eastAsia="Times New Roman" w:hAnsi="Times New Roman" w:cs="Times New Roman"/>
          <w:bCs/>
          <w:spacing w:val="4"/>
          <w:sz w:val="28"/>
          <w:szCs w:val="28"/>
          <w:lang w:eastAsia="es-ES"/>
        </w:rPr>
        <w:t xml:space="preserve"> de manera desproporcionada</w:t>
      </w:r>
      <w:r w:rsidR="00E05E86" w:rsidRPr="00DB625B">
        <w:rPr>
          <w:rFonts w:ascii="Times New Roman" w:eastAsia="Times New Roman" w:hAnsi="Times New Roman" w:cs="Times New Roman"/>
          <w:bCs/>
          <w:spacing w:val="4"/>
          <w:sz w:val="28"/>
          <w:szCs w:val="28"/>
          <w:lang w:eastAsia="es-ES"/>
        </w:rPr>
        <w:t xml:space="preserve"> los derechos consagrados en el artículo 40 Superior</w:t>
      </w:r>
      <w:r w:rsidR="00400E07" w:rsidRPr="00DB625B">
        <w:rPr>
          <w:rFonts w:ascii="Times New Roman" w:eastAsia="Times New Roman" w:hAnsi="Times New Roman" w:cs="Times New Roman"/>
          <w:bCs/>
          <w:spacing w:val="4"/>
          <w:sz w:val="28"/>
          <w:szCs w:val="28"/>
          <w:lang w:eastAsia="es-ES"/>
        </w:rPr>
        <w:t>.</w:t>
      </w:r>
    </w:p>
    <w:p w:rsidR="00400E07" w:rsidRPr="00DB625B" w:rsidRDefault="00400E07" w:rsidP="00DB625B">
      <w:pPr>
        <w:pStyle w:val="Prrafodelista"/>
        <w:tabs>
          <w:tab w:val="left" w:pos="0"/>
        </w:tabs>
        <w:spacing w:after="0" w:line="240" w:lineRule="auto"/>
        <w:ind w:left="0"/>
        <w:jc w:val="both"/>
        <w:rPr>
          <w:rFonts w:ascii="Times New Roman" w:eastAsia="Times New Roman" w:hAnsi="Times New Roman" w:cs="Times New Roman"/>
          <w:bCs/>
          <w:spacing w:val="4"/>
          <w:sz w:val="28"/>
          <w:szCs w:val="28"/>
          <w:lang w:eastAsia="es-ES"/>
        </w:rPr>
      </w:pPr>
    </w:p>
    <w:p w:rsidR="00400E07" w:rsidRPr="00DB625B" w:rsidRDefault="00E05E86" w:rsidP="00DB625B">
      <w:pPr>
        <w:pStyle w:val="Prrafodelista"/>
        <w:numPr>
          <w:ilvl w:val="1"/>
          <w:numId w:val="24"/>
        </w:numPr>
        <w:tabs>
          <w:tab w:val="left" w:pos="0"/>
        </w:tabs>
        <w:spacing w:after="0" w:line="240" w:lineRule="auto"/>
        <w:ind w:left="0" w:firstLine="0"/>
        <w:jc w:val="both"/>
        <w:rPr>
          <w:rFonts w:ascii="Times New Roman" w:eastAsia="Times New Roman" w:hAnsi="Times New Roman" w:cs="Times New Roman"/>
          <w:bCs/>
          <w:spacing w:val="4"/>
          <w:sz w:val="28"/>
          <w:szCs w:val="28"/>
          <w:lang w:eastAsia="es-ES"/>
        </w:rPr>
      </w:pPr>
      <w:r w:rsidRPr="00DB625B">
        <w:rPr>
          <w:rFonts w:ascii="Times New Roman" w:eastAsia="Times New Roman" w:hAnsi="Times New Roman" w:cs="Times New Roman"/>
          <w:bCs/>
          <w:spacing w:val="4"/>
          <w:sz w:val="28"/>
          <w:szCs w:val="28"/>
          <w:lang w:eastAsia="es-ES"/>
        </w:rPr>
        <w:t>En contraste</w:t>
      </w:r>
      <w:r w:rsidR="00400E07" w:rsidRPr="00DB625B">
        <w:rPr>
          <w:rFonts w:ascii="Times New Roman" w:eastAsia="Times New Roman" w:hAnsi="Times New Roman" w:cs="Times New Roman"/>
          <w:bCs/>
          <w:spacing w:val="4"/>
          <w:sz w:val="28"/>
          <w:szCs w:val="28"/>
          <w:lang w:eastAsia="es-ES"/>
        </w:rPr>
        <w:t>,</w:t>
      </w:r>
      <w:r w:rsidRPr="00DB625B">
        <w:rPr>
          <w:rFonts w:ascii="Times New Roman" w:eastAsia="Times New Roman" w:hAnsi="Times New Roman" w:cs="Times New Roman"/>
          <w:bCs/>
          <w:spacing w:val="4"/>
          <w:sz w:val="28"/>
          <w:szCs w:val="28"/>
          <w:lang w:eastAsia="es-ES"/>
        </w:rPr>
        <w:t xml:space="preserve"> el Ministerio del Interior, el Departamento Administrativo de la Función Pública, la Universidad Externado de Colombia y la Vista Fiscal  </w:t>
      </w:r>
      <w:r w:rsidR="00400E07" w:rsidRPr="00DB625B">
        <w:rPr>
          <w:rFonts w:ascii="Times New Roman" w:eastAsia="Times New Roman" w:hAnsi="Times New Roman" w:cs="Times New Roman"/>
          <w:bCs/>
          <w:spacing w:val="4"/>
          <w:sz w:val="28"/>
          <w:szCs w:val="28"/>
          <w:lang w:eastAsia="es-ES"/>
        </w:rPr>
        <w:t>solicitaron la exequibilidad de la norma, en tanto</w:t>
      </w:r>
      <w:r w:rsidRPr="00DB625B">
        <w:rPr>
          <w:rFonts w:ascii="Times New Roman" w:eastAsia="Times New Roman" w:hAnsi="Times New Roman" w:cs="Times New Roman"/>
          <w:bCs/>
          <w:spacing w:val="4"/>
          <w:sz w:val="28"/>
          <w:szCs w:val="28"/>
          <w:lang w:eastAsia="es-ES"/>
        </w:rPr>
        <w:t xml:space="preserve"> la suspensión provisional de funcionarios públicos, incluidos de elección popular, no es materia de reserva de ley estatutaria, dado que salvaguarda el principio de interés general y se encuentra respaldad</w:t>
      </w:r>
      <w:r w:rsidR="001B5028" w:rsidRPr="00DB625B">
        <w:rPr>
          <w:rFonts w:ascii="Times New Roman" w:eastAsia="Times New Roman" w:hAnsi="Times New Roman" w:cs="Times New Roman"/>
          <w:bCs/>
          <w:spacing w:val="4"/>
          <w:sz w:val="28"/>
          <w:szCs w:val="28"/>
          <w:lang w:eastAsia="es-ES"/>
        </w:rPr>
        <w:t>a</w:t>
      </w:r>
      <w:r w:rsidRPr="00DB625B">
        <w:rPr>
          <w:rFonts w:ascii="Times New Roman" w:eastAsia="Times New Roman" w:hAnsi="Times New Roman" w:cs="Times New Roman"/>
          <w:bCs/>
          <w:spacing w:val="4"/>
          <w:sz w:val="28"/>
          <w:szCs w:val="28"/>
          <w:lang w:eastAsia="es-ES"/>
        </w:rPr>
        <w:t xml:space="preserve"> en la jurisprudencia de la Corte</w:t>
      </w:r>
      <w:r w:rsidR="001B5028" w:rsidRPr="00DB625B">
        <w:rPr>
          <w:rFonts w:ascii="Times New Roman" w:eastAsia="Times New Roman" w:hAnsi="Times New Roman" w:cs="Times New Roman"/>
          <w:bCs/>
          <w:spacing w:val="4"/>
          <w:sz w:val="28"/>
          <w:szCs w:val="28"/>
          <w:lang w:eastAsia="es-ES"/>
        </w:rPr>
        <w:t xml:space="preserve"> de control abstracto</w:t>
      </w:r>
      <w:r w:rsidR="00400E07" w:rsidRPr="00DB625B">
        <w:rPr>
          <w:rFonts w:ascii="Times New Roman" w:eastAsia="Times New Roman" w:hAnsi="Times New Roman" w:cs="Times New Roman"/>
          <w:bCs/>
          <w:spacing w:val="4"/>
          <w:sz w:val="28"/>
          <w:szCs w:val="28"/>
          <w:lang w:eastAsia="es-ES"/>
        </w:rPr>
        <w:t>.</w:t>
      </w:r>
    </w:p>
    <w:p w:rsidR="00400E07" w:rsidRPr="00DB625B" w:rsidRDefault="00400E07" w:rsidP="00DB625B">
      <w:pPr>
        <w:pStyle w:val="Prrafodelista"/>
        <w:tabs>
          <w:tab w:val="left" w:pos="0"/>
        </w:tabs>
        <w:spacing w:after="0" w:line="240" w:lineRule="auto"/>
        <w:ind w:left="360"/>
        <w:jc w:val="both"/>
        <w:rPr>
          <w:rFonts w:ascii="Times New Roman" w:eastAsia="Times New Roman" w:hAnsi="Times New Roman" w:cs="Times New Roman"/>
          <w:bCs/>
          <w:spacing w:val="4"/>
          <w:sz w:val="28"/>
          <w:szCs w:val="28"/>
          <w:lang w:val="es-ES_tradnl" w:eastAsia="es-ES"/>
        </w:rPr>
      </w:pPr>
    </w:p>
    <w:p w:rsidR="00E5792F" w:rsidRPr="00DB625B" w:rsidRDefault="00400E07" w:rsidP="00DB625B">
      <w:pPr>
        <w:tabs>
          <w:tab w:val="left" w:pos="0"/>
        </w:tabs>
        <w:spacing w:after="0" w:line="240" w:lineRule="auto"/>
        <w:jc w:val="both"/>
        <w:rPr>
          <w:rFonts w:ascii="Times New Roman" w:eastAsia="Times New Roman" w:hAnsi="Times New Roman" w:cs="Times New Roman"/>
          <w:bCs/>
          <w:spacing w:val="4"/>
          <w:sz w:val="28"/>
          <w:szCs w:val="28"/>
          <w:lang w:val="es-ES_tradnl" w:eastAsia="es-ES"/>
        </w:rPr>
      </w:pPr>
      <w:r w:rsidRPr="00DB625B">
        <w:rPr>
          <w:rFonts w:ascii="Times New Roman" w:eastAsia="Times New Roman" w:hAnsi="Times New Roman" w:cs="Times New Roman"/>
          <w:bCs/>
          <w:spacing w:val="4"/>
          <w:sz w:val="28"/>
          <w:szCs w:val="28"/>
          <w:lang w:val="es-ES_tradnl" w:eastAsia="es-ES"/>
        </w:rPr>
        <w:t>Esta Corporación recuerda que debe determinar</w:t>
      </w:r>
      <w:r w:rsidR="003C3D07" w:rsidRPr="00DB625B">
        <w:rPr>
          <w:rFonts w:ascii="Times New Roman" w:eastAsia="Times New Roman" w:hAnsi="Times New Roman" w:cs="Times New Roman"/>
          <w:bCs/>
          <w:spacing w:val="4"/>
          <w:sz w:val="28"/>
          <w:szCs w:val="28"/>
          <w:lang w:val="es-ES_tradnl" w:eastAsia="es-ES"/>
        </w:rPr>
        <w:t xml:space="preserve"> si</w:t>
      </w:r>
      <w:r w:rsidR="00E5792F" w:rsidRPr="00DB625B">
        <w:rPr>
          <w:rFonts w:ascii="Times New Roman" w:eastAsia="Times New Roman" w:hAnsi="Times New Roman" w:cs="Times New Roman"/>
          <w:bCs/>
          <w:spacing w:val="4"/>
          <w:sz w:val="28"/>
          <w:szCs w:val="28"/>
          <w:lang w:val="es-ES_tradnl" w:eastAsia="es-ES"/>
        </w:rPr>
        <w:t xml:space="preserve">: </w:t>
      </w:r>
      <w:r w:rsidR="00E5792F" w:rsidRPr="00DB625B">
        <w:rPr>
          <w:rFonts w:ascii="Times New Roman" w:eastAsia="Times New Roman" w:hAnsi="Times New Roman" w:cs="Times New Roman"/>
          <w:sz w:val="28"/>
          <w:szCs w:val="28"/>
          <w:lang w:val="es-ES" w:eastAsia="es-ES"/>
        </w:rPr>
        <w:t>¿El artículo 217 de la</w:t>
      </w:r>
      <w:r w:rsidR="00D83911" w:rsidRPr="00DB625B">
        <w:rPr>
          <w:rFonts w:ascii="Times New Roman" w:eastAsia="Times New Roman" w:hAnsi="Times New Roman" w:cs="Times New Roman"/>
          <w:sz w:val="28"/>
          <w:szCs w:val="28"/>
          <w:lang w:val="es-ES" w:eastAsia="es-ES"/>
        </w:rPr>
        <w:t xml:space="preserve">  Ley 1952 de 2019 desconoció los</w:t>
      </w:r>
      <w:r w:rsidR="00E5792F" w:rsidRPr="00DB625B">
        <w:rPr>
          <w:rFonts w:ascii="Times New Roman" w:eastAsia="Times New Roman" w:hAnsi="Times New Roman" w:cs="Times New Roman"/>
          <w:sz w:val="28"/>
          <w:szCs w:val="28"/>
          <w:lang w:val="es-ES" w:eastAsia="es-ES"/>
        </w:rPr>
        <w:t xml:space="preserve"> artículo</w:t>
      </w:r>
      <w:r w:rsidR="00D83911" w:rsidRPr="00DB625B">
        <w:rPr>
          <w:rFonts w:ascii="Times New Roman" w:eastAsia="Times New Roman" w:hAnsi="Times New Roman" w:cs="Times New Roman"/>
          <w:sz w:val="28"/>
          <w:szCs w:val="28"/>
          <w:lang w:val="es-ES" w:eastAsia="es-ES"/>
        </w:rPr>
        <w:t>s</w:t>
      </w:r>
      <w:r w:rsidR="00E5792F" w:rsidRPr="00DB625B">
        <w:rPr>
          <w:rFonts w:ascii="Times New Roman" w:eastAsia="Times New Roman" w:hAnsi="Times New Roman" w:cs="Times New Roman"/>
          <w:sz w:val="28"/>
          <w:szCs w:val="28"/>
          <w:lang w:val="es-ES" w:eastAsia="es-ES"/>
        </w:rPr>
        <w:t xml:space="preserve"> 152</w:t>
      </w:r>
      <w:r w:rsidR="00D83911" w:rsidRPr="00DB625B">
        <w:rPr>
          <w:rFonts w:ascii="Times New Roman" w:eastAsia="Times New Roman" w:hAnsi="Times New Roman" w:cs="Times New Roman"/>
          <w:sz w:val="28"/>
          <w:szCs w:val="28"/>
          <w:lang w:val="es-ES" w:eastAsia="es-ES"/>
        </w:rPr>
        <w:t xml:space="preserve"> y 153</w:t>
      </w:r>
      <w:r w:rsidR="00E5792F" w:rsidRPr="00DB625B">
        <w:rPr>
          <w:rFonts w:ascii="Times New Roman" w:eastAsia="Times New Roman" w:hAnsi="Times New Roman" w:cs="Times New Roman"/>
          <w:sz w:val="28"/>
          <w:szCs w:val="28"/>
          <w:lang w:val="es-ES" w:eastAsia="es-ES"/>
        </w:rPr>
        <w:t xml:space="preserve"> de la Constitución, al permitir que una autoridad administrativa suspenda provisionalmente a los empleados públicos elegidos popularmente, disposición que, según las demandantes, tiene reserva de ley estatutaria, debido a que interfiere de manera desproporcionada el núcleo del derecho fundamental a ejercer el derecho político a ocupar cargos públicos?</w:t>
      </w:r>
    </w:p>
    <w:p w:rsidR="00E5792F" w:rsidRPr="00DB625B" w:rsidRDefault="00E5792F" w:rsidP="00DB625B">
      <w:pPr>
        <w:pStyle w:val="Prrafodelista"/>
        <w:tabs>
          <w:tab w:val="left" w:pos="0"/>
        </w:tabs>
        <w:spacing w:after="0" w:line="240" w:lineRule="auto"/>
        <w:ind w:left="0"/>
        <w:jc w:val="both"/>
        <w:rPr>
          <w:rFonts w:ascii="Times New Roman" w:eastAsia="Times New Roman" w:hAnsi="Times New Roman" w:cs="Times New Roman"/>
          <w:bCs/>
          <w:spacing w:val="4"/>
          <w:sz w:val="28"/>
          <w:szCs w:val="28"/>
          <w:lang w:val="es-ES_tradnl" w:eastAsia="es-ES"/>
        </w:rPr>
      </w:pPr>
    </w:p>
    <w:p w:rsidR="00400E07" w:rsidRPr="00DB625B" w:rsidRDefault="00E5792F" w:rsidP="00DB625B">
      <w:pPr>
        <w:pStyle w:val="Prrafodelista"/>
        <w:tabs>
          <w:tab w:val="left" w:pos="0"/>
        </w:tabs>
        <w:spacing w:after="0" w:line="240" w:lineRule="auto"/>
        <w:ind w:left="0"/>
        <w:jc w:val="both"/>
        <w:rPr>
          <w:rFonts w:ascii="Times New Roman" w:eastAsia="Times New Roman" w:hAnsi="Times New Roman" w:cs="Times New Roman"/>
          <w:bCs/>
          <w:spacing w:val="4"/>
          <w:sz w:val="28"/>
          <w:szCs w:val="28"/>
          <w:lang w:eastAsia="es-ES"/>
        </w:rPr>
      </w:pPr>
      <w:r w:rsidRPr="00DB625B">
        <w:rPr>
          <w:rFonts w:ascii="Times New Roman" w:eastAsia="Times New Roman" w:hAnsi="Times New Roman" w:cs="Times New Roman"/>
          <w:sz w:val="28"/>
          <w:szCs w:val="28"/>
          <w:lang w:val="es-ES" w:eastAsia="es-ES"/>
        </w:rPr>
        <w:t>Antes de la resolución del cargo, la Sala realizará algunas precisiones relacionadas con la</w:t>
      </w:r>
      <w:r w:rsidR="00FC1AB7" w:rsidRPr="00DB625B">
        <w:rPr>
          <w:rFonts w:ascii="Times New Roman" w:eastAsia="Times New Roman" w:hAnsi="Times New Roman" w:cs="Times New Roman"/>
          <w:sz w:val="28"/>
          <w:szCs w:val="28"/>
          <w:lang w:val="es-ES" w:eastAsia="es-ES"/>
        </w:rPr>
        <w:t xml:space="preserve"> suspensión provisional dictada en el marco de</w:t>
      </w:r>
      <w:r w:rsidRPr="00DB625B">
        <w:rPr>
          <w:rFonts w:ascii="Times New Roman" w:eastAsia="Times New Roman" w:hAnsi="Times New Roman" w:cs="Times New Roman"/>
          <w:sz w:val="28"/>
          <w:szCs w:val="28"/>
          <w:lang w:val="es-ES" w:eastAsia="es-ES"/>
        </w:rPr>
        <w:t xml:space="preserve"> los procesos disciplinarios. Para ello, reiterará la descripción </w:t>
      </w:r>
      <w:r w:rsidR="003C3D07" w:rsidRPr="00DB625B">
        <w:rPr>
          <w:rFonts w:ascii="Times New Roman" w:eastAsia="Times New Roman" w:hAnsi="Times New Roman" w:cs="Times New Roman"/>
          <w:sz w:val="28"/>
          <w:szCs w:val="28"/>
          <w:lang w:val="es-ES" w:eastAsia="es-ES"/>
        </w:rPr>
        <w:t xml:space="preserve">normativa </w:t>
      </w:r>
      <w:r w:rsidRPr="00DB625B">
        <w:rPr>
          <w:rFonts w:ascii="Times New Roman" w:eastAsia="Times New Roman" w:hAnsi="Times New Roman" w:cs="Times New Roman"/>
          <w:sz w:val="28"/>
          <w:szCs w:val="28"/>
          <w:lang w:val="es-ES" w:eastAsia="es-ES"/>
        </w:rPr>
        <w:t>realizada en la Sentencia C-086 de 2019.</w:t>
      </w:r>
    </w:p>
    <w:p w:rsidR="00E5792F" w:rsidRPr="00DB625B" w:rsidRDefault="00E5792F" w:rsidP="00DB625B">
      <w:pPr>
        <w:pStyle w:val="Prrafodelista"/>
        <w:tabs>
          <w:tab w:val="left" w:pos="0"/>
        </w:tabs>
        <w:spacing w:after="0" w:line="240" w:lineRule="auto"/>
        <w:ind w:left="0"/>
        <w:jc w:val="both"/>
        <w:rPr>
          <w:rFonts w:ascii="Times New Roman" w:eastAsia="Times New Roman" w:hAnsi="Times New Roman" w:cs="Times New Roman"/>
          <w:bCs/>
          <w:spacing w:val="4"/>
          <w:sz w:val="28"/>
          <w:szCs w:val="28"/>
          <w:lang w:eastAsia="es-ES"/>
        </w:rPr>
      </w:pPr>
    </w:p>
    <w:p w:rsidR="005D57FA" w:rsidRPr="00DB625B" w:rsidRDefault="005D57FA" w:rsidP="00DB625B">
      <w:pPr>
        <w:pStyle w:val="Prrafodelista"/>
        <w:tabs>
          <w:tab w:val="left" w:pos="0"/>
        </w:tabs>
        <w:spacing w:after="0" w:line="240" w:lineRule="auto"/>
        <w:ind w:left="0"/>
        <w:jc w:val="both"/>
        <w:rPr>
          <w:rFonts w:ascii="Times New Roman" w:eastAsia="Times New Roman" w:hAnsi="Times New Roman" w:cs="Times New Roman"/>
          <w:bCs/>
          <w:spacing w:val="4"/>
          <w:sz w:val="28"/>
          <w:szCs w:val="28"/>
          <w:lang w:eastAsia="es-ES"/>
        </w:rPr>
      </w:pPr>
      <w:r w:rsidRPr="00DB625B">
        <w:rPr>
          <w:rFonts w:ascii="Times New Roman" w:eastAsia="Times New Roman" w:hAnsi="Times New Roman" w:cs="Times New Roman"/>
          <w:bCs/>
          <w:spacing w:val="4"/>
          <w:sz w:val="28"/>
          <w:szCs w:val="28"/>
          <w:lang w:eastAsia="es-ES"/>
        </w:rPr>
        <w:t xml:space="preserve">El artículo 217 de la Ley 1952 de 2019 recoge la institución de la suspensión provisional de funcionarios públicos, la cual pretende garantizar la prevalencia del interés </w:t>
      </w:r>
      <w:r w:rsidR="00F5771B" w:rsidRPr="00DB625B">
        <w:rPr>
          <w:rFonts w:ascii="Times New Roman" w:eastAsia="Times New Roman" w:hAnsi="Times New Roman" w:cs="Times New Roman"/>
          <w:bCs/>
          <w:spacing w:val="4"/>
          <w:sz w:val="28"/>
          <w:szCs w:val="28"/>
          <w:lang w:eastAsia="es-ES"/>
        </w:rPr>
        <w:t xml:space="preserve">general, porque procura evitar que </w:t>
      </w:r>
      <w:r w:rsidR="00397329" w:rsidRPr="00DB625B">
        <w:rPr>
          <w:rFonts w:ascii="Times New Roman" w:eastAsia="Times New Roman" w:hAnsi="Times New Roman" w:cs="Times New Roman"/>
          <w:bCs/>
          <w:spacing w:val="4"/>
          <w:sz w:val="28"/>
          <w:szCs w:val="28"/>
          <w:lang w:eastAsia="es-ES"/>
        </w:rPr>
        <w:t xml:space="preserve">el </w:t>
      </w:r>
      <w:r w:rsidR="00F5771B" w:rsidRPr="00DB625B">
        <w:rPr>
          <w:rFonts w:ascii="Times New Roman" w:eastAsia="Times New Roman" w:hAnsi="Times New Roman" w:cs="Times New Roman"/>
          <w:bCs/>
          <w:spacing w:val="4"/>
          <w:sz w:val="28"/>
          <w:szCs w:val="28"/>
          <w:lang w:eastAsia="es-ES"/>
        </w:rPr>
        <w:t>proceso disciplinario</w:t>
      </w:r>
      <w:r w:rsidR="00397329" w:rsidRPr="00DB625B">
        <w:rPr>
          <w:rFonts w:ascii="Times New Roman" w:eastAsia="Times New Roman" w:hAnsi="Times New Roman" w:cs="Times New Roman"/>
          <w:bCs/>
          <w:spacing w:val="4"/>
          <w:sz w:val="28"/>
          <w:szCs w:val="28"/>
          <w:lang w:eastAsia="es-ES"/>
        </w:rPr>
        <w:t xml:space="preserve"> que se inició por la supuesta ocurrencia de faltas disciplinaria gravísimas o graves</w:t>
      </w:r>
      <w:r w:rsidR="00F5771B" w:rsidRPr="00DB625B">
        <w:rPr>
          <w:rFonts w:ascii="Times New Roman" w:eastAsia="Times New Roman" w:hAnsi="Times New Roman" w:cs="Times New Roman"/>
          <w:bCs/>
          <w:spacing w:val="4"/>
          <w:sz w:val="28"/>
          <w:szCs w:val="28"/>
          <w:lang w:eastAsia="es-ES"/>
        </w:rPr>
        <w:t xml:space="preserve"> sufra injerencias del procesado, la comisi</w:t>
      </w:r>
      <w:r w:rsidR="00397329" w:rsidRPr="00DB625B">
        <w:rPr>
          <w:rFonts w:ascii="Times New Roman" w:eastAsia="Times New Roman" w:hAnsi="Times New Roman" w:cs="Times New Roman"/>
          <w:bCs/>
          <w:spacing w:val="4"/>
          <w:sz w:val="28"/>
          <w:szCs w:val="28"/>
          <w:lang w:eastAsia="es-ES"/>
        </w:rPr>
        <w:t>ón permanente de los hecho</w:t>
      </w:r>
      <w:r w:rsidR="00FC1AB7" w:rsidRPr="00DB625B">
        <w:rPr>
          <w:rFonts w:ascii="Times New Roman" w:eastAsia="Times New Roman" w:hAnsi="Times New Roman" w:cs="Times New Roman"/>
          <w:bCs/>
          <w:spacing w:val="4"/>
          <w:sz w:val="28"/>
          <w:szCs w:val="28"/>
          <w:lang w:eastAsia="es-ES"/>
        </w:rPr>
        <w:t>s</w:t>
      </w:r>
      <w:r w:rsidR="00397329" w:rsidRPr="00DB625B">
        <w:rPr>
          <w:rFonts w:ascii="Times New Roman" w:eastAsia="Times New Roman" w:hAnsi="Times New Roman" w:cs="Times New Roman"/>
          <w:bCs/>
          <w:spacing w:val="4"/>
          <w:sz w:val="28"/>
          <w:szCs w:val="28"/>
          <w:lang w:eastAsia="es-ES"/>
        </w:rPr>
        <w:t xml:space="preserve"> sancionables</w:t>
      </w:r>
      <w:r w:rsidR="00F5771B" w:rsidRPr="00DB625B">
        <w:rPr>
          <w:rFonts w:ascii="Times New Roman" w:eastAsia="Times New Roman" w:hAnsi="Times New Roman" w:cs="Times New Roman"/>
          <w:bCs/>
          <w:spacing w:val="4"/>
          <w:sz w:val="28"/>
          <w:szCs w:val="28"/>
          <w:lang w:eastAsia="es-ES"/>
        </w:rPr>
        <w:t xml:space="preserve"> o</w:t>
      </w:r>
      <w:r w:rsidR="00FC1AB7" w:rsidRPr="00DB625B">
        <w:rPr>
          <w:rFonts w:ascii="Times New Roman" w:eastAsia="Times New Roman" w:hAnsi="Times New Roman" w:cs="Times New Roman"/>
          <w:bCs/>
          <w:spacing w:val="4"/>
          <w:sz w:val="28"/>
          <w:szCs w:val="28"/>
          <w:lang w:eastAsia="es-ES"/>
        </w:rPr>
        <w:t xml:space="preserve"> se presente una</w:t>
      </w:r>
      <w:r w:rsidR="00F5771B" w:rsidRPr="00DB625B">
        <w:rPr>
          <w:rFonts w:ascii="Times New Roman" w:eastAsia="Times New Roman" w:hAnsi="Times New Roman" w:cs="Times New Roman"/>
          <w:bCs/>
          <w:spacing w:val="4"/>
          <w:sz w:val="28"/>
          <w:szCs w:val="28"/>
          <w:lang w:eastAsia="es-ES"/>
        </w:rPr>
        <w:t xml:space="preserve"> nueva consumación</w:t>
      </w:r>
      <w:r w:rsidR="00FC1AB7" w:rsidRPr="00DB625B">
        <w:rPr>
          <w:rFonts w:ascii="Times New Roman" w:eastAsia="Times New Roman" w:hAnsi="Times New Roman" w:cs="Times New Roman"/>
          <w:bCs/>
          <w:spacing w:val="4"/>
          <w:sz w:val="28"/>
          <w:szCs w:val="28"/>
          <w:lang w:eastAsia="es-ES"/>
        </w:rPr>
        <w:t xml:space="preserve"> de la falta</w:t>
      </w:r>
      <w:r w:rsidR="00F5771B" w:rsidRPr="00DB625B">
        <w:rPr>
          <w:rFonts w:ascii="Times New Roman" w:eastAsia="Times New Roman" w:hAnsi="Times New Roman" w:cs="Times New Roman"/>
          <w:bCs/>
          <w:spacing w:val="4"/>
          <w:sz w:val="28"/>
          <w:szCs w:val="28"/>
          <w:lang w:eastAsia="es-ES"/>
        </w:rPr>
        <w:t xml:space="preserve">. Así mismo, </w:t>
      </w:r>
      <w:r w:rsidR="00FC1AB7" w:rsidRPr="00DB625B">
        <w:rPr>
          <w:rFonts w:ascii="Times New Roman" w:eastAsia="Times New Roman" w:hAnsi="Times New Roman" w:cs="Times New Roman"/>
          <w:bCs/>
          <w:spacing w:val="4"/>
          <w:sz w:val="28"/>
          <w:szCs w:val="28"/>
          <w:lang w:eastAsia="es-ES"/>
        </w:rPr>
        <w:t xml:space="preserve">la suspensión provisional </w:t>
      </w:r>
      <w:r w:rsidR="00397329" w:rsidRPr="00DB625B">
        <w:rPr>
          <w:rFonts w:ascii="Times New Roman" w:eastAsia="Times New Roman" w:hAnsi="Times New Roman" w:cs="Times New Roman"/>
          <w:bCs/>
          <w:spacing w:val="4"/>
          <w:sz w:val="28"/>
          <w:szCs w:val="28"/>
          <w:lang w:eastAsia="es-ES"/>
        </w:rPr>
        <w:t>no apareja la decisión de responsabilidad del proceso, ni puede considerarse como una sanción. En realidad, la suspensión provisional es</w:t>
      </w:r>
      <w:r w:rsidR="00FC1AB7" w:rsidRPr="00DB625B">
        <w:rPr>
          <w:rFonts w:ascii="Times New Roman" w:eastAsia="Times New Roman" w:hAnsi="Times New Roman" w:cs="Times New Roman"/>
          <w:bCs/>
          <w:spacing w:val="4"/>
          <w:sz w:val="28"/>
          <w:szCs w:val="28"/>
          <w:lang w:eastAsia="es-ES"/>
        </w:rPr>
        <w:t xml:space="preserve"> una</w:t>
      </w:r>
      <w:r w:rsidR="00397329" w:rsidRPr="00DB625B">
        <w:rPr>
          <w:rFonts w:ascii="Times New Roman" w:eastAsia="Times New Roman" w:hAnsi="Times New Roman" w:cs="Times New Roman"/>
          <w:bCs/>
          <w:spacing w:val="4"/>
          <w:sz w:val="28"/>
          <w:szCs w:val="28"/>
          <w:lang w:eastAsia="es-ES"/>
        </w:rPr>
        <w:t xml:space="preserve"> alternativa de prudencia y garantía de la adecuada función pública.</w:t>
      </w:r>
    </w:p>
    <w:p w:rsidR="005D57FA" w:rsidRPr="00DB625B" w:rsidRDefault="005D57FA" w:rsidP="00DB625B">
      <w:pPr>
        <w:pStyle w:val="Prrafodelista"/>
        <w:tabs>
          <w:tab w:val="left" w:pos="0"/>
        </w:tabs>
        <w:spacing w:after="0" w:line="240" w:lineRule="auto"/>
        <w:ind w:left="0"/>
        <w:jc w:val="both"/>
        <w:rPr>
          <w:rFonts w:ascii="Times New Roman" w:eastAsia="Times New Roman" w:hAnsi="Times New Roman" w:cs="Times New Roman"/>
          <w:bCs/>
          <w:spacing w:val="4"/>
          <w:sz w:val="28"/>
          <w:szCs w:val="28"/>
          <w:lang w:eastAsia="es-ES"/>
        </w:rPr>
      </w:pPr>
    </w:p>
    <w:p w:rsidR="00E5792F" w:rsidRPr="00DB625B" w:rsidRDefault="00F5771B" w:rsidP="00DB625B">
      <w:pPr>
        <w:pStyle w:val="Prrafodelista"/>
        <w:tabs>
          <w:tab w:val="left" w:pos="0"/>
        </w:tabs>
        <w:spacing w:after="0" w:line="240" w:lineRule="auto"/>
        <w:ind w:left="0"/>
        <w:jc w:val="both"/>
        <w:rPr>
          <w:rFonts w:ascii="Times New Roman" w:eastAsia="Times New Roman" w:hAnsi="Times New Roman" w:cs="Times New Roman"/>
          <w:bCs/>
          <w:spacing w:val="4"/>
          <w:sz w:val="28"/>
          <w:szCs w:val="28"/>
          <w:lang w:eastAsia="es-ES"/>
        </w:rPr>
      </w:pPr>
      <w:r w:rsidRPr="00DB625B">
        <w:rPr>
          <w:rFonts w:ascii="Times New Roman" w:eastAsia="Times New Roman" w:hAnsi="Times New Roman" w:cs="Times New Roman"/>
          <w:bCs/>
          <w:spacing w:val="4"/>
          <w:sz w:val="28"/>
          <w:szCs w:val="28"/>
          <w:lang w:eastAsia="es-ES"/>
        </w:rPr>
        <w:t>L</w:t>
      </w:r>
      <w:r w:rsidR="00397329" w:rsidRPr="00DB625B">
        <w:rPr>
          <w:rFonts w:ascii="Times New Roman" w:eastAsia="Times New Roman" w:hAnsi="Times New Roman" w:cs="Times New Roman"/>
          <w:bCs/>
          <w:spacing w:val="4"/>
          <w:sz w:val="28"/>
          <w:szCs w:val="28"/>
          <w:lang w:eastAsia="es-ES"/>
        </w:rPr>
        <w:t>a medida mencionada</w:t>
      </w:r>
      <w:r w:rsidRPr="00DB625B">
        <w:rPr>
          <w:rFonts w:ascii="Times New Roman" w:eastAsia="Times New Roman" w:hAnsi="Times New Roman" w:cs="Times New Roman"/>
          <w:bCs/>
          <w:spacing w:val="4"/>
          <w:sz w:val="28"/>
          <w:szCs w:val="28"/>
          <w:lang w:eastAsia="es-ES"/>
        </w:rPr>
        <w:t xml:space="preserve"> recae sobre los servidores públicos que no han sido retirados del servicio e implica la separaci</w:t>
      </w:r>
      <w:r w:rsidR="00FC1AB7" w:rsidRPr="00DB625B">
        <w:rPr>
          <w:rFonts w:ascii="Times New Roman" w:eastAsia="Times New Roman" w:hAnsi="Times New Roman" w:cs="Times New Roman"/>
          <w:bCs/>
          <w:spacing w:val="4"/>
          <w:sz w:val="28"/>
          <w:szCs w:val="28"/>
          <w:lang w:eastAsia="es-ES"/>
        </w:rPr>
        <w:t>ón del empleo por 3 meses,</w:t>
      </w:r>
      <w:r w:rsidRPr="00DB625B">
        <w:rPr>
          <w:rFonts w:ascii="Times New Roman" w:eastAsia="Times New Roman" w:hAnsi="Times New Roman" w:cs="Times New Roman"/>
          <w:bCs/>
          <w:spacing w:val="4"/>
          <w:sz w:val="28"/>
          <w:szCs w:val="28"/>
          <w:lang w:eastAsia="es-ES"/>
        </w:rPr>
        <w:t xml:space="preserve"> con posibilidad de prórroga. Aquí están comprendidos los funcionarios </w:t>
      </w:r>
      <w:r w:rsidR="005D57FA" w:rsidRPr="00DB625B">
        <w:rPr>
          <w:rFonts w:ascii="Times New Roman" w:eastAsia="Times New Roman" w:hAnsi="Times New Roman" w:cs="Times New Roman"/>
          <w:bCs/>
          <w:spacing w:val="4"/>
          <w:sz w:val="28"/>
          <w:szCs w:val="28"/>
          <w:lang w:eastAsia="es-ES"/>
        </w:rPr>
        <w:t>de elección popular</w:t>
      </w:r>
      <w:r w:rsidRPr="00DB625B">
        <w:rPr>
          <w:rFonts w:ascii="Times New Roman" w:eastAsia="Times New Roman" w:hAnsi="Times New Roman" w:cs="Times New Roman"/>
          <w:bCs/>
          <w:spacing w:val="4"/>
          <w:sz w:val="28"/>
          <w:szCs w:val="28"/>
          <w:lang w:eastAsia="es-ES"/>
        </w:rPr>
        <w:t>.</w:t>
      </w:r>
    </w:p>
    <w:p w:rsidR="00E5792F" w:rsidRPr="00DB625B" w:rsidRDefault="00E5792F" w:rsidP="00DB625B">
      <w:pPr>
        <w:pStyle w:val="Prrafodelista"/>
        <w:tabs>
          <w:tab w:val="left" w:pos="0"/>
        </w:tabs>
        <w:spacing w:after="0" w:line="240" w:lineRule="auto"/>
        <w:ind w:left="0"/>
        <w:jc w:val="both"/>
        <w:rPr>
          <w:rFonts w:ascii="Times New Roman" w:eastAsia="Times New Roman" w:hAnsi="Times New Roman" w:cs="Times New Roman"/>
          <w:bCs/>
          <w:spacing w:val="4"/>
          <w:sz w:val="28"/>
          <w:szCs w:val="28"/>
          <w:lang w:eastAsia="es-ES"/>
        </w:rPr>
      </w:pPr>
    </w:p>
    <w:p w:rsidR="00397329" w:rsidRPr="00DB625B" w:rsidRDefault="00397329" w:rsidP="00DB625B">
      <w:pPr>
        <w:pStyle w:val="Prrafodelista"/>
        <w:tabs>
          <w:tab w:val="left" w:pos="0"/>
        </w:tabs>
        <w:spacing w:after="0" w:line="240" w:lineRule="auto"/>
        <w:ind w:left="0"/>
        <w:jc w:val="both"/>
        <w:rPr>
          <w:rFonts w:ascii="Times New Roman" w:eastAsia="Times New Roman" w:hAnsi="Times New Roman" w:cs="Times New Roman"/>
          <w:bCs/>
          <w:spacing w:val="4"/>
          <w:sz w:val="28"/>
          <w:szCs w:val="28"/>
          <w:lang w:eastAsia="es-ES"/>
        </w:rPr>
      </w:pPr>
      <w:r w:rsidRPr="00DB625B">
        <w:rPr>
          <w:rFonts w:ascii="Times New Roman" w:eastAsia="Times New Roman" w:hAnsi="Times New Roman" w:cs="Times New Roman"/>
          <w:bCs/>
          <w:spacing w:val="4"/>
          <w:sz w:val="28"/>
          <w:szCs w:val="28"/>
          <w:lang w:eastAsia="es-ES"/>
        </w:rPr>
        <w:t>La imposición de la suspensión provisional requiere motivación, puesto que debe fundarse en serios elementos juicio</w:t>
      </w:r>
      <w:r w:rsidR="0051138E" w:rsidRPr="00DB625B">
        <w:rPr>
          <w:rFonts w:ascii="Times New Roman" w:eastAsia="Times New Roman" w:hAnsi="Times New Roman" w:cs="Times New Roman"/>
          <w:bCs/>
          <w:spacing w:val="4"/>
          <w:sz w:val="28"/>
          <w:szCs w:val="28"/>
          <w:lang w:eastAsia="es-ES"/>
        </w:rPr>
        <w:t>, entre los que se encuentran su necesidad</w:t>
      </w:r>
      <w:r w:rsidRPr="00DB625B">
        <w:rPr>
          <w:rFonts w:ascii="Times New Roman" w:eastAsia="Times New Roman" w:hAnsi="Times New Roman" w:cs="Times New Roman"/>
          <w:bCs/>
          <w:spacing w:val="4"/>
          <w:sz w:val="28"/>
          <w:szCs w:val="28"/>
          <w:lang w:eastAsia="es-ES"/>
        </w:rPr>
        <w:t>. A su vez, el ordenamiento jurídico prevé la posibilidad de revocar la medida en caso de que desaparezcan los presupuesto</w:t>
      </w:r>
      <w:r w:rsidR="0051138E" w:rsidRPr="00DB625B">
        <w:rPr>
          <w:rFonts w:ascii="Times New Roman" w:eastAsia="Times New Roman" w:hAnsi="Times New Roman" w:cs="Times New Roman"/>
          <w:bCs/>
          <w:spacing w:val="4"/>
          <w:sz w:val="28"/>
          <w:szCs w:val="28"/>
          <w:lang w:eastAsia="es-ES"/>
        </w:rPr>
        <w:t>s</w:t>
      </w:r>
      <w:r w:rsidR="008A7F3D" w:rsidRPr="00DB625B">
        <w:rPr>
          <w:rFonts w:ascii="Times New Roman" w:eastAsia="Times New Roman" w:hAnsi="Times New Roman" w:cs="Times New Roman"/>
          <w:bCs/>
          <w:spacing w:val="4"/>
          <w:sz w:val="28"/>
          <w:szCs w:val="28"/>
          <w:lang w:eastAsia="es-ES"/>
        </w:rPr>
        <w:t xml:space="preserve"> que obligaron</w:t>
      </w:r>
      <w:r w:rsidRPr="00DB625B">
        <w:rPr>
          <w:rFonts w:ascii="Times New Roman" w:eastAsia="Times New Roman" w:hAnsi="Times New Roman" w:cs="Times New Roman"/>
          <w:bCs/>
          <w:spacing w:val="4"/>
          <w:sz w:val="28"/>
          <w:szCs w:val="28"/>
          <w:lang w:eastAsia="es-ES"/>
        </w:rPr>
        <w:t xml:space="preserve"> su decreto. </w:t>
      </w:r>
      <w:r w:rsidR="0051138E" w:rsidRPr="00DB625B">
        <w:rPr>
          <w:rFonts w:ascii="Times New Roman" w:eastAsia="Times New Roman" w:hAnsi="Times New Roman" w:cs="Times New Roman"/>
          <w:bCs/>
          <w:spacing w:val="4"/>
          <w:sz w:val="28"/>
          <w:szCs w:val="28"/>
          <w:lang w:eastAsia="es-ES"/>
        </w:rPr>
        <w:t>Para ello, establece que las condicione</w:t>
      </w:r>
      <w:r w:rsidR="008A7F3D" w:rsidRPr="00DB625B">
        <w:rPr>
          <w:rFonts w:ascii="Times New Roman" w:eastAsia="Times New Roman" w:hAnsi="Times New Roman" w:cs="Times New Roman"/>
          <w:bCs/>
          <w:spacing w:val="4"/>
          <w:sz w:val="28"/>
          <w:szCs w:val="28"/>
          <w:lang w:eastAsia="es-ES"/>
        </w:rPr>
        <w:t xml:space="preserve">s objetivas y el respeto de </w:t>
      </w:r>
      <w:r w:rsidR="0051138E" w:rsidRPr="00DB625B">
        <w:rPr>
          <w:rFonts w:ascii="Times New Roman" w:eastAsia="Times New Roman" w:hAnsi="Times New Roman" w:cs="Times New Roman"/>
          <w:bCs/>
          <w:spacing w:val="4"/>
          <w:sz w:val="28"/>
          <w:szCs w:val="28"/>
          <w:lang w:eastAsia="es-ES"/>
        </w:rPr>
        <w:t>las garantías del derecho al debido proceso deben ser verificadas por parte de las autoridade</w:t>
      </w:r>
      <w:r w:rsidR="008A7F3D" w:rsidRPr="00DB625B">
        <w:rPr>
          <w:rFonts w:ascii="Times New Roman" w:eastAsia="Times New Roman" w:hAnsi="Times New Roman" w:cs="Times New Roman"/>
          <w:bCs/>
          <w:spacing w:val="4"/>
          <w:sz w:val="28"/>
          <w:szCs w:val="28"/>
          <w:lang w:eastAsia="es-ES"/>
        </w:rPr>
        <w:t>s disciplinas</w:t>
      </w:r>
      <w:r w:rsidR="0051138E" w:rsidRPr="00DB625B">
        <w:rPr>
          <w:rFonts w:ascii="Times New Roman" w:eastAsia="Times New Roman" w:hAnsi="Times New Roman" w:cs="Times New Roman"/>
          <w:bCs/>
          <w:spacing w:val="4"/>
          <w:sz w:val="28"/>
          <w:szCs w:val="28"/>
          <w:lang w:eastAsia="es-ES"/>
        </w:rPr>
        <w:t xml:space="preserve">, a través de recurso de reposición o el procedimiento de consulta, y las autoridades judiciales, en uso de la acción de tutela.  </w:t>
      </w:r>
    </w:p>
    <w:p w:rsidR="00E5792F" w:rsidRPr="00DB625B" w:rsidRDefault="00E5792F" w:rsidP="00DB625B">
      <w:pPr>
        <w:pStyle w:val="Prrafodelista"/>
        <w:tabs>
          <w:tab w:val="left" w:pos="0"/>
        </w:tabs>
        <w:spacing w:after="0" w:line="240" w:lineRule="auto"/>
        <w:ind w:left="0"/>
        <w:jc w:val="both"/>
        <w:rPr>
          <w:rFonts w:ascii="Times New Roman" w:eastAsia="Times New Roman" w:hAnsi="Times New Roman" w:cs="Times New Roman"/>
          <w:bCs/>
          <w:spacing w:val="4"/>
          <w:sz w:val="28"/>
          <w:szCs w:val="28"/>
          <w:lang w:eastAsia="es-ES"/>
        </w:rPr>
      </w:pPr>
    </w:p>
    <w:p w:rsidR="009862C0" w:rsidRPr="00DB625B" w:rsidRDefault="009862C0" w:rsidP="00DB625B">
      <w:pPr>
        <w:pStyle w:val="Prrafodelista"/>
        <w:numPr>
          <w:ilvl w:val="1"/>
          <w:numId w:val="24"/>
        </w:numPr>
        <w:tabs>
          <w:tab w:val="left" w:pos="0"/>
        </w:tabs>
        <w:spacing w:after="0" w:line="240" w:lineRule="auto"/>
        <w:ind w:left="0" w:firstLine="0"/>
        <w:jc w:val="both"/>
        <w:rPr>
          <w:rFonts w:ascii="Times New Roman" w:eastAsia="Times New Roman" w:hAnsi="Times New Roman" w:cs="Times New Roman"/>
          <w:bCs/>
          <w:spacing w:val="4"/>
          <w:sz w:val="28"/>
          <w:szCs w:val="28"/>
          <w:lang w:eastAsia="es-ES"/>
        </w:rPr>
      </w:pPr>
      <w:r w:rsidRPr="00DB625B">
        <w:rPr>
          <w:rFonts w:ascii="Times New Roman" w:eastAsia="Times New Roman" w:hAnsi="Times New Roman" w:cs="Times New Roman"/>
          <w:bCs/>
          <w:spacing w:val="4"/>
          <w:sz w:val="28"/>
          <w:szCs w:val="28"/>
          <w:lang w:eastAsia="es-ES"/>
        </w:rPr>
        <w:t>Para resolver el problema jurídico reseñado, se acudirá a la metodología explicada en la supra 7,2, debido a que se trata de un cargo que denuncia un presunto desconocimiento de los artículos 152 y 153 de la Constitución.</w:t>
      </w:r>
    </w:p>
    <w:p w:rsidR="009862C0" w:rsidRPr="00DB625B" w:rsidRDefault="009862C0" w:rsidP="00DB625B">
      <w:pPr>
        <w:pStyle w:val="Prrafodelista"/>
        <w:tabs>
          <w:tab w:val="left" w:pos="0"/>
        </w:tabs>
        <w:spacing w:after="0" w:line="240" w:lineRule="auto"/>
        <w:ind w:left="0"/>
        <w:jc w:val="both"/>
        <w:rPr>
          <w:rFonts w:ascii="Times New Roman" w:eastAsia="Times New Roman" w:hAnsi="Times New Roman" w:cs="Times New Roman"/>
          <w:sz w:val="28"/>
          <w:szCs w:val="28"/>
          <w:lang w:eastAsia="es-ES"/>
        </w:rPr>
      </w:pPr>
    </w:p>
    <w:p w:rsidR="009862C0" w:rsidRPr="00DB625B" w:rsidRDefault="009862C0" w:rsidP="00DB625B">
      <w:pPr>
        <w:pStyle w:val="Prrafodelista"/>
        <w:numPr>
          <w:ilvl w:val="2"/>
          <w:numId w:val="24"/>
        </w:numPr>
        <w:tabs>
          <w:tab w:val="left" w:pos="0"/>
        </w:tabs>
        <w:spacing w:after="0" w:line="240" w:lineRule="auto"/>
        <w:ind w:left="0" w:firstLine="0"/>
        <w:jc w:val="both"/>
        <w:rPr>
          <w:rFonts w:ascii="Times New Roman" w:eastAsia="Times New Roman" w:hAnsi="Times New Roman" w:cs="Times New Roman"/>
          <w:bCs/>
          <w:spacing w:val="4"/>
          <w:sz w:val="28"/>
          <w:szCs w:val="28"/>
          <w:lang w:val="es-ES_tradnl" w:eastAsia="es-ES"/>
        </w:rPr>
      </w:pPr>
      <w:r w:rsidRPr="00DB625B">
        <w:rPr>
          <w:rFonts w:ascii="Times New Roman" w:eastAsia="Times New Roman" w:hAnsi="Times New Roman" w:cs="Times New Roman"/>
          <w:bCs/>
          <w:i/>
          <w:spacing w:val="4"/>
          <w:sz w:val="28"/>
          <w:szCs w:val="28"/>
          <w:lang w:val="es-ES_tradnl" w:eastAsia="es-ES"/>
        </w:rPr>
        <w:t>Qu</w:t>
      </w:r>
      <w:r w:rsidR="00314579" w:rsidRPr="00DB625B">
        <w:rPr>
          <w:rFonts w:ascii="Times New Roman" w:eastAsia="Times New Roman" w:hAnsi="Times New Roman" w:cs="Times New Roman"/>
          <w:bCs/>
          <w:i/>
          <w:spacing w:val="4"/>
          <w:sz w:val="28"/>
          <w:szCs w:val="28"/>
          <w:lang w:val="es-ES_tradnl" w:eastAsia="es-ES"/>
        </w:rPr>
        <w:t xml:space="preserve">e se trate de derechos y deberes de carácter fundamental: </w:t>
      </w:r>
      <w:r w:rsidR="00314579" w:rsidRPr="00DB625B">
        <w:rPr>
          <w:rFonts w:ascii="Times New Roman" w:eastAsia="Times New Roman" w:hAnsi="Times New Roman" w:cs="Times New Roman"/>
          <w:bCs/>
          <w:spacing w:val="4"/>
          <w:sz w:val="28"/>
          <w:szCs w:val="28"/>
          <w:lang w:val="es-ES_tradnl" w:eastAsia="es-ES"/>
        </w:rPr>
        <w:t>La Corte consta</w:t>
      </w:r>
      <w:r w:rsidR="008A7F3D" w:rsidRPr="00DB625B">
        <w:rPr>
          <w:rFonts w:ascii="Times New Roman" w:eastAsia="Times New Roman" w:hAnsi="Times New Roman" w:cs="Times New Roman"/>
          <w:bCs/>
          <w:spacing w:val="4"/>
          <w:sz w:val="28"/>
          <w:szCs w:val="28"/>
          <w:lang w:val="es-ES_tradnl" w:eastAsia="es-ES"/>
        </w:rPr>
        <w:t>ta</w:t>
      </w:r>
      <w:r w:rsidR="00314579" w:rsidRPr="00DB625B">
        <w:rPr>
          <w:rFonts w:ascii="Times New Roman" w:eastAsia="Times New Roman" w:hAnsi="Times New Roman" w:cs="Times New Roman"/>
          <w:bCs/>
          <w:spacing w:val="4"/>
          <w:sz w:val="28"/>
          <w:szCs w:val="28"/>
          <w:lang w:val="es-ES_tradnl" w:eastAsia="es-ES"/>
        </w:rPr>
        <w:t xml:space="preserve"> que los derechos políticos han sido reconocidos</w:t>
      </w:r>
      <w:r w:rsidR="008A7F3D" w:rsidRPr="00DB625B">
        <w:rPr>
          <w:rFonts w:ascii="Times New Roman" w:eastAsia="Times New Roman" w:hAnsi="Times New Roman" w:cs="Times New Roman"/>
          <w:bCs/>
          <w:spacing w:val="4"/>
          <w:sz w:val="28"/>
          <w:szCs w:val="28"/>
          <w:lang w:val="es-ES_tradnl" w:eastAsia="es-ES"/>
        </w:rPr>
        <w:t xml:space="preserve"> como fundamentales en</w:t>
      </w:r>
      <w:r w:rsidR="00314579" w:rsidRPr="00DB625B">
        <w:rPr>
          <w:rFonts w:ascii="Times New Roman" w:eastAsia="Times New Roman" w:hAnsi="Times New Roman" w:cs="Times New Roman"/>
          <w:bCs/>
          <w:spacing w:val="4"/>
          <w:sz w:val="28"/>
          <w:szCs w:val="28"/>
          <w:lang w:val="es-ES_tradnl" w:eastAsia="es-ES"/>
        </w:rPr>
        <w:t xml:space="preserve"> la Constitución (artículo 40 Superior) y </w:t>
      </w:r>
      <w:r w:rsidR="008A7F3D" w:rsidRPr="00DB625B">
        <w:rPr>
          <w:rFonts w:ascii="Times New Roman" w:eastAsia="Times New Roman" w:hAnsi="Times New Roman" w:cs="Times New Roman"/>
          <w:bCs/>
          <w:spacing w:val="4"/>
          <w:sz w:val="28"/>
          <w:szCs w:val="28"/>
          <w:lang w:val="es-ES_tradnl" w:eastAsia="es-ES"/>
        </w:rPr>
        <w:t xml:space="preserve">en </w:t>
      </w:r>
      <w:r w:rsidR="00314579" w:rsidRPr="00DB625B">
        <w:rPr>
          <w:rFonts w:ascii="Times New Roman" w:eastAsia="Times New Roman" w:hAnsi="Times New Roman" w:cs="Times New Roman"/>
          <w:bCs/>
          <w:spacing w:val="4"/>
          <w:sz w:val="28"/>
          <w:szCs w:val="28"/>
          <w:lang w:val="es-ES_tradnl" w:eastAsia="es-ES"/>
        </w:rPr>
        <w:t>la jurisprudencia</w:t>
      </w:r>
      <w:r w:rsidR="00314579" w:rsidRPr="00DB625B">
        <w:rPr>
          <w:rStyle w:val="Refdenotaalpie"/>
          <w:rFonts w:ascii="Times New Roman" w:eastAsia="Times New Roman" w:hAnsi="Times New Roman" w:cs="Times New Roman"/>
          <w:bCs/>
          <w:spacing w:val="4"/>
          <w:sz w:val="28"/>
          <w:szCs w:val="28"/>
          <w:lang w:val="es-ES_tradnl" w:eastAsia="es-ES"/>
        </w:rPr>
        <w:footnoteReference w:id="74"/>
      </w:r>
      <w:r w:rsidR="00314579" w:rsidRPr="00DB625B">
        <w:rPr>
          <w:rFonts w:ascii="Times New Roman" w:eastAsia="Times New Roman" w:hAnsi="Times New Roman" w:cs="Times New Roman"/>
          <w:bCs/>
          <w:spacing w:val="4"/>
          <w:sz w:val="28"/>
          <w:szCs w:val="28"/>
          <w:lang w:val="es-ES_tradnl" w:eastAsia="es-ES"/>
        </w:rPr>
        <w:t>. Es más</w:t>
      </w:r>
      <w:r w:rsidR="00246C35" w:rsidRPr="00DB625B">
        <w:rPr>
          <w:rFonts w:ascii="Times New Roman" w:eastAsia="Times New Roman" w:hAnsi="Times New Roman" w:cs="Times New Roman"/>
          <w:bCs/>
          <w:spacing w:val="4"/>
          <w:sz w:val="28"/>
          <w:szCs w:val="28"/>
          <w:lang w:val="es-ES_tradnl" w:eastAsia="es-ES"/>
        </w:rPr>
        <w:t>, el hecho de</w:t>
      </w:r>
      <w:r w:rsidR="00314579" w:rsidRPr="00DB625B">
        <w:rPr>
          <w:rFonts w:ascii="Times New Roman" w:eastAsia="Times New Roman" w:hAnsi="Times New Roman" w:cs="Times New Roman"/>
          <w:bCs/>
          <w:spacing w:val="4"/>
          <w:sz w:val="28"/>
          <w:szCs w:val="28"/>
          <w:lang w:val="es-ES_tradnl" w:eastAsia="es-ES"/>
        </w:rPr>
        <w:t xml:space="preserve"> ocupar</w:t>
      </w:r>
      <w:r w:rsidR="00246C35" w:rsidRPr="00DB625B">
        <w:rPr>
          <w:rFonts w:ascii="Times New Roman" w:eastAsia="Times New Roman" w:hAnsi="Times New Roman" w:cs="Times New Roman"/>
          <w:bCs/>
          <w:spacing w:val="4"/>
          <w:sz w:val="28"/>
          <w:szCs w:val="28"/>
          <w:lang w:val="es-ES_tradnl" w:eastAsia="es-ES"/>
        </w:rPr>
        <w:t xml:space="preserve"> y desempeñar un empleo público es una de la</w:t>
      </w:r>
      <w:r w:rsidR="00314579" w:rsidRPr="00DB625B">
        <w:rPr>
          <w:rFonts w:ascii="Times New Roman" w:eastAsia="Times New Roman" w:hAnsi="Times New Roman" w:cs="Times New Roman"/>
          <w:bCs/>
          <w:spacing w:val="4"/>
          <w:sz w:val="28"/>
          <w:szCs w:val="28"/>
          <w:lang w:val="es-ES_tradnl" w:eastAsia="es-ES"/>
        </w:rPr>
        <w:t xml:space="preserve">s manifestaciones de los derechos políticos. Basta referenciar el carácter democrático y participativo de la Carta de Política de 1991 </w:t>
      </w:r>
      <w:r w:rsidR="00F17A02" w:rsidRPr="00DB625B">
        <w:rPr>
          <w:rFonts w:ascii="Times New Roman" w:eastAsia="Times New Roman" w:hAnsi="Times New Roman" w:cs="Times New Roman"/>
          <w:bCs/>
          <w:spacing w:val="4"/>
          <w:sz w:val="28"/>
          <w:szCs w:val="28"/>
          <w:lang w:val="es-ES_tradnl" w:eastAsia="es-ES"/>
        </w:rPr>
        <w:t xml:space="preserve">para advertir que </w:t>
      </w:r>
      <w:r w:rsidR="00246C35" w:rsidRPr="00DB625B">
        <w:rPr>
          <w:rFonts w:ascii="Times New Roman" w:eastAsia="Times New Roman" w:hAnsi="Times New Roman" w:cs="Times New Roman"/>
          <w:bCs/>
          <w:spacing w:val="4"/>
          <w:sz w:val="28"/>
          <w:szCs w:val="28"/>
          <w:lang w:val="es-ES_tradnl" w:eastAsia="es-ES"/>
        </w:rPr>
        <w:t>los derechos de ciudadanía poseen</w:t>
      </w:r>
      <w:r w:rsidR="00F17A02" w:rsidRPr="00DB625B">
        <w:rPr>
          <w:rFonts w:ascii="Times New Roman" w:eastAsia="Times New Roman" w:hAnsi="Times New Roman" w:cs="Times New Roman"/>
          <w:bCs/>
          <w:spacing w:val="4"/>
          <w:sz w:val="28"/>
          <w:szCs w:val="28"/>
          <w:lang w:val="es-ES_tradnl" w:eastAsia="es-ES"/>
        </w:rPr>
        <w:t xml:space="preserve"> un </w:t>
      </w:r>
      <w:r w:rsidR="00F17A02" w:rsidRPr="00DB625B">
        <w:rPr>
          <w:rFonts w:ascii="Times New Roman" w:eastAsia="Times New Roman" w:hAnsi="Times New Roman" w:cs="Times New Roman"/>
          <w:bCs/>
          <w:spacing w:val="4"/>
          <w:sz w:val="28"/>
          <w:szCs w:val="28"/>
          <w:lang w:val="es-ES_tradnl" w:eastAsia="es-ES"/>
        </w:rPr>
        <w:lastRenderedPageBreak/>
        <w:t xml:space="preserve">rol central en el sistema jurídico colombiano. </w:t>
      </w:r>
      <w:r w:rsidR="00314579" w:rsidRPr="00DB625B">
        <w:rPr>
          <w:rFonts w:ascii="Times New Roman" w:eastAsia="Times New Roman" w:hAnsi="Times New Roman" w:cs="Times New Roman"/>
          <w:bCs/>
          <w:spacing w:val="4"/>
          <w:sz w:val="28"/>
          <w:szCs w:val="28"/>
          <w:lang w:val="es-ES_tradnl" w:eastAsia="es-ES"/>
        </w:rPr>
        <w:t>Así mismo,</w:t>
      </w:r>
      <w:r w:rsidR="00246C35" w:rsidRPr="00DB625B">
        <w:rPr>
          <w:rFonts w:ascii="Times New Roman" w:eastAsia="Times New Roman" w:hAnsi="Times New Roman" w:cs="Times New Roman"/>
          <w:bCs/>
          <w:spacing w:val="4"/>
          <w:sz w:val="28"/>
          <w:szCs w:val="28"/>
          <w:lang w:val="es-ES_tradnl" w:eastAsia="es-ES"/>
        </w:rPr>
        <w:t xml:space="preserve"> se recuerda </w:t>
      </w:r>
      <w:r w:rsidR="00314579" w:rsidRPr="00DB625B">
        <w:rPr>
          <w:rFonts w:ascii="Times New Roman" w:eastAsia="Times New Roman" w:hAnsi="Times New Roman" w:cs="Times New Roman"/>
          <w:bCs/>
          <w:spacing w:val="4"/>
          <w:sz w:val="28"/>
          <w:szCs w:val="28"/>
          <w:lang w:val="es-ES_tradnl" w:eastAsia="es-ES"/>
        </w:rPr>
        <w:t xml:space="preserve"> que la aplicación de la norma demandada, eso es, la suspensión provisional de funcionarios públicos, entre ellos los de elección, ap</w:t>
      </w:r>
      <w:r w:rsidR="008D4F90" w:rsidRPr="00DB625B">
        <w:rPr>
          <w:rFonts w:ascii="Times New Roman" w:eastAsia="Times New Roman" w:hAnsi="Times New Roman" w:cs="Times New Roman"/>
          <w:bCs/>
          <w:spacing w:val="4"/>
          <w:sz w:val="28"/>
          <w:szCs w:val="28"/>
          <w:lang w:val="es-ES_tradnl" w:eastAsia="es-ES"/>
        </w:rPr>
        <w:t>arej</w:t>
      </w:r>
      <w:r w:rsidR="00314579" w:rsidRPr="00DB625B">
        <w:rPr>
          <w:rFonts w:ascii="Times New Roman" w:eastAsia="Times New Roman" w:hAnsi="Times New Roman" w:cs="Times New Roman"/>
          <w:bCs/>
          <w:spacing w:val="4"/>
          <w:sz w:val="28"/>
          <w:szCs w:val="28"/>
          <w:lang w:val="es-ES_tradnl" w:eastAsia="es-ES"/>
        </w:rPr>
        <w:t>a una interferencia de esos derechos políticos</w:t>
      </w:r>
      <w:r w:rsidR="00C5194B" w:rsidRPr="00DB625B">
        <w:rPr>
          <w:rStyle w:val="Refdenotaalpie"/>
          <w:rFonts w:ascii="Times New Roman" w:eastAsia="Times New Roman" w:hAnsi="Times New Roman" w:cs="Times New Roman"/>
          <w:bCs/>
          <w:spacing w:val="4"/>
          <w:sz w:val="28"/>
          <w:szCs w:val="28"/>
          <w:lang w:val="es-ES_tradnl" w:eastAsia="es-ES"/>
        </w:rPr>
        <w:footnoteReference w:id="75"/>
      </w:r>
      <w:r w:rsidR="00314579" w:rsidRPr="00DB625B">
        <w:rPr>
          <w:rFonts w:ascii="Times New Roman" w:eastAsia="Times New Roman" w:hAnsi="Times New Roman" w:cs="Times New Roman"/>
          <w:bCs/>
          <w:spacing w:val="4"/>
          <w:sz w:val="28"/>
          <w:szCs w:val="28"/>
          <w:lang w:val="es-ES_tradnl" w:eastAsia="es-ES"/>
        </w:rPr>
        <w:t xml:space="preserve">. </w:t>
      </w:r>
    </w:p>
    <w:p w:rsidR="00BF63B6" w:rsidRPr="00DB625B" w:rsidRDefault="00BF63B6" w:rsidP="00DB625B">
      <w:pPr>
        <w:pStyle w:val="Prrafodelista"/>
        <w:tabs>
          <w:tab w:val="left" w:pos="0"/>
        </w:tabs>
        <w:spacing w:after="0" w:line="240" w:lineRule="auto"/>
        <w:ind w:left="0"/>
        <w:jc w:val="both"/>
        <w:rPr>
          <w:rFonts w:ascii="Times New Roman" w:eastAsia="Times New Roman" w:hAnsi="Times New Roman" w:cs="Times New Roman"/>
          <w:bCs/>
          <w:spacing w:val="4"/>
          <w:sz w:val="28"/>
          <w:szCs w:val="28"/>
          <w:lang w:val="es-ES_tradnl" w:eastAsia="es-ES"/>
        </w:rPr>
      </w:pPr>
    </w:p>
    <w:p w:rsidR="002E74AB" w:rsidRPr="00DB625B" w:rsidRDefault="008D4F90" w:rsidP="00DB625B">
      <w:pPr>
        <w:pStyle w:val="Prrafodelista"/>
        <w:numPr>
          <w:ilvl w:val="2"/>
          <w:numId w:val="24"/>
        </w:numPr>
        <w:tabs>
          <w:tab w:val="left" w:pos="0"/>
        </w:tabs>
        <w:spacing w:after="0" w:line="240" w:lineRule="auto"/>
        <w:ind w:left="0" w:firstLine="0"/>
        <w:jc w:val="both"/>
        <w:rPr>
          <w:rFonts w:ascii="Times New Roman" w:eastAsia="Times New Roman" w:hAnsi="Times New Roman" w:cs="Times New Roman"/>
          <w:bCs/>
          <w:iCs/>
          <w:sz w:val="28"/>
          <w:szCs w:val="28"/>
          <w:lang w:eastAsia="es-ES"/>
        </w:rPr>
      </w:pPr>
      <w:r w:rsidRPr="00DB625B">
        <w:rPr>
          <w:rFonts w:ascii="Times New Roman" w:eastAsia="Times New Roman" w:hAnsi="Times New Roman" w:cs="Times New Roman"/>
          <w:i/>
          <w:sz w:val="28"/>
          <w:szCs w:val="28"/>
          <w:lang w:eastAsia="es-ES"/>
        </w:rPr>
        <w:t xml:space="preserve">Que el objeto directo de la regulación sea el desarrollo del régimen de derechos fundamentales o un derecho fundamental en sí mismo: </w:t>
      </w:r>
      <w:r w:rsidR="002E74AB" w:rsidRPr="00DB625B">
        <w:rPr>
          <w:rFonts w:ascii="Times New Roman" w:eastAsia="Times New Roman" w:hAnsi="Times New Roman" w:cs="Times New Roman"/>
          <w:bCs/>
          <w:spacing w:val="4"/>
          <w:sz w:val="28"/>
          <w:szCs w:val="28"/>
          <w:lang w:eastAsia="es-ES"/>
        </w:rPr>
        <w:t>En la parte motiva de esta decisión, la Sala Plena precisó que,</w:t>
      </w:r>
      <w:r w:rsidR="002E74AB" w:rsidRPr="00DB625B">
        <w:rPr>
          <w:rFonts w:ascii="Times New Roman" w:eastAsia="Times New Roman" w:hAnsi="Times New Roman" w:cs="Times New Roman"/>
          <w:sz w:val="28"/>
          <w:szCs w:val="28"/>
          <w:lang w:eastAsia="es-ES"/>
        </w:rPr>
        <w:t xml:space="preserve"> por regla general, la normatividad que regula los procedimientos, entre ellos los disciplinarios, no tiene reserva de ley estatutaria, pese a que estén relacionados con el ejercicio de derechos fundamentales. Sin embargo, la jurisprudencia ha identificado algunas situaciones en que la reglamentación de un procedimiento debe ser objeto de los trámites cualificados de las leyes estatutarias, a saber: i) la normatividad abarca el ejercicio de un derecho fundamental de forma integral, sistemática y completa; o ii) los enunciados legales tienen la función de restringir, limitar o proteger derechos fundamentales.</w:t>
      </w:r>
    </w:p>
    <w:p w:rsidR="002E74AB" w:rsidRPr="00DB625B" w:rsidRDefault="002E74AB" w:rsidP="00DB625B">
      <w:pPr>
        <w:spacing w:after="0" w:line="240" w:lineRule="auto"/>
        <w:rPr>
          <w:rFonts w:ascii="Times New Roman" w:eastAsia="Times New Roman" w:hAnsi="Times New Roman" w:cs="Times New Roman"/>
          <w:bCs/>
          <w:iCs/>
          <w:sz w:val="28"/>
          <w:szCs w:val="28"/>
          <w:lang w:eastAsia="es-ES"/>
        </w:rPr>
      </w:pPr>
    </w:p>
    <w:p w:rsidR="002E74AB" w:rsidRPr="00DB625B" w:rsidRDefault="002E74AB" w:rsidP="00DB625B">
      <w:pPr>
        <w:pStyle w:val="Prrafodelista"/>
        <w:tabs>
          <w:tab w:val="left" w:pos="0"/>
        </w:tabs>
        <w:spacing w:after="0" w:line="240" w:lineRule="auto"/>
        <w:ind w:left="0"/>
        <w:jc w:val="both"/>
        <w:rPr>
          <w:rFonts w:ascii="Times New Roman" w:eastAsia="Times New Roman" w:hAnsi="Times New Roman" w:cs="Times New Roman"/>
          <w:bCs/>
          <w:iCs/>
          <w:sz w:val="28"/>
          <w:szCs w:val="28"/>
          <w:lang w:eastAsia="es-ES"/>
        </w:rPr>
      </w:pPr>
      <w:r w:rsidRPr="00DB625B">
        <w:rPr>
          <w:rFonts w:ascii="Times New Roman" w:eastAsia="Times New Roman" w:hAnsi="Times New Roman" w:cs="Times New Roman"/>
          <w:sz w:val="28"/>
          <w:szCs w:val="28"/>
          <w:lang w:eastAsia="es-ES"/>
        </w:rPr>
        <w:t>Se advierte que la medida de suspensión provisiona</w:t>
      </w:r>
      <w:r w:rsidR="00DB443A" w:rsidRPr="00DB625B">
        <w:rPr>
          <w:rFonts w:ascii="Times New Roman" w:eastAsia="Times New Roman" w:hAnsi="Times New Roman" w:cs="Times New Roman"/>
          <w:sz w:val="28"/>
          <w:szCs w:val="28"/>
          <w:lang w:eastAsia="es-ES"/>
        </w:rPr>
        <w:t>l de los funcionarios de elección popular se encuentra consagrado</w:t>
      </w:r>
      <w:r w:rsidRPr="00DB625B">
        <w:rPr>
          <w:rFonts w:ascii="Times New Roman" w:eastAsia="Times New Roman" w:hAnsi="Times New Roman" w:cs="Times New Roman"/>
          <w:sz w:val="28"/>
          <w:szCs w:val="28"/>
          <w:lang w:eastAsia="es-ES"/>
        </w:rPr>
        <w:t xml:space="preserve"> en el artículo 217  Ley 1952 de 2017, Cód</w:t>
      </w:r>
      <w:r w:rsidR="00DB443A" w:rsidRPr="00DB625B">
        <w:rPr>
          <w:rFonts w:ascii="Times New Roman" w:eastAsia="Times New Roman" w:hAnsi="Times New Roman" w:cs="Times New Roman"/>
          <w:sz w:val="28"/>
          <w:szCs w:val="28"/>
          <w:lang w:eastAsia="es-ES"/>
        </w:rPr>
        <w:t>igo Disciplinario Único. Dicho enunciado legal</w:t>
      </w:r>
      <w:r w:rsidRPr="00DB625B">
        <w:rPr>
          <w:rFonts w:ascii="Times New Roman" w:eastAsia="Times New Roman" w:hAnsi="Times New Roman" w:cs="Times New Roman"/>
          <w:sz w:val="28"/>
          <w:szCs w:val="28"/>
          <w:lang w:eastAsia="es-ES"/>
        </w:rPr>
        <w:t xml:space="preserve"> no tiene la intensión de regular de manera específica los derechos políticos. En realidad tiene la finalidad de fijar el </w:t>
      </w:r>
      <w:r w:rsidRPr="00DB625B">
        <w:rPr>
          <w:rFonts w:ascii="Times New Roman" w:eastAsia="Times New Roman" w:hAnsi="Times New Roman" w:cs="Times New Roman"/>
          <w:i/>
          <w:sz w:val="28"/>
          <w:szCs w:val="28"/>
          <w:lang w:eastAsia="es-ES"/>
        </w:rPr>
        <w:t>“</w:t>
      </w:r>
      <w:r w:rsidRPr="00DB625B">
        <w:rPr>
          <w:rFonts w:ascii="Times New Roman" w:eastAsia="Times New Roman" w:hAnsi="Times New Roman" w:cs="Times New Roman"/>
          <w:bCs/>
          <w:i/>
          <w:iCs/>
          <w:sz w:val="28"/>
          <w:szCs w:val="28"/>
          <w:lang w:eastAsia="es-ES"/>
        </w:rPr>
        <w:t>el conjunto de normas sustanciales y procesales, con las que el legislador pretende asegurar la obediencia, la disciplina, la eficiencia y el adecuado comportamiento de los servidores públicos en el ejercicio de sus cargos</w:t>
      </w:r>
      <w:r w:rsidRPr="00DB625B">
        <w:rPr>
          <w:rFonts w:ascii="Times New Roman" w:eastAsia="Times New Roman" w:hAnsi="Times New Roman" w:cs="Times New Roman"/>
          <w:sz w:val="28"/>
          <w:szCs w:val="28"/>
          <w:lang w:eastAsia="es-ES"/>
        </w:rPr>
        <w:t>”</w:t>
      </w:r>
      <w:r w:rsidRPr="00DB625B">
        <w:rPr>
          <w:rStyle w:val="Refdenotaalpie"/>
          <w:rFonts w:ascii="Times New Roman" w:eastAsia="Times New Roman" w:hAnsi="Times New Roman" w:cs="Times New Roman"/>
          <w:sz w:val="28"/>
          <w:szCs w:val="28"/>
          <w:lang w:eastAsia="es-ES"/>
        </w:rPr>
        <w:footnoteReference w:id="76"/>
      </w:r>
      <w:r w:rsidRPr="00DB625B">
        <w:rPr>
          <w:rFonts w:ascii="Times New Roman" w:eastAsia="Times New Roman" w:hAnsi="Times New Roman" w:cs="Times New Roman"/>
          <w:sz w:val="28"/>
          <w:szCs w:val="28"/>
          <w:lang w:eastAsia="es-ES"/>
        </w:rPr>
        <w:t>. Entonces, pese a que el mencionado compendio sancionatorio puede estar relacionado con el ejercicio de</w:t>
      </w:r>
      <w:r w:rsidR="00DB443A" w:rsidRPr="00DB625B">
        <w:rPr>
          <w:rFonts w:ascii="Times New Roman" w:eastAsia="Times New Roman" w:hAnsi="Times New Roman" w:cs="Times New Roman"/>
          <w:sz w:val="28"/>
          <w:szCs w:val="28"/>
          <w:lang w:eastAsia="es-ES"/>
        </w:rPr>
        <w:t xml:space="preserve"> derechos políticos, no tiene el</w:t>
      </w:r>
      <w:r w:rsidRPr="00DB625B">
        <w:rPr>
          <w:rFonts w:ascii="Times New Roman" w:eastAsia="Times New Roman" w:hAnsi="Times New Roman" w:cs="Times New Roman"/>
          <w:sz w:val="28"/>
          <w:szCs w:val="28"/>
          <w:lang w:eastAsia="es-ES"/>
        </w:rPr>
        <w:t xml:space="preserve"> objeto de directo </w:t>
      </w:r>
      <w:r w:rsidR="00DB443A" w:rsidRPr="00DB625B">
        <w:rPr>
          <w:rFonts w:ascii="Times New Roman" w:eastAsia="Times New Roman" w:hAnsi="Times New Roman" w:cs="Times New Roman"/>
          <w:sz w:val="28"/>
          <w:szCs w:val="28"/>
          <w:lang w:eastAsia="es-ES"/>
        </w:rPr>
        <w:t xml:space="preserve">de </w:t>
      </w:r>
      <w:r w:rsidRPr="00DB625B">
        <w:rPr>
          <w:rFonts w:ascii="Times New Roman" w:eastAsia="Times New Roman" w:hAnsi="Times New Roman" w:cs="Times New Roman"/>
          <w:sz w:val="28"/>
          <w:szCs w:val="28"/>
          <w:lang w:eastAsia="es-ES"/>
        </w:rPr>
        <w:t xml:space="preserve">regular esos derechos, por lo que la interpretación restrictiva de la reserva de Ley Estatutaria conduce a concluir que se incumple este requisito.  </w:t>
      </w:r>
    </w:p>
    <w:p w:rsidR="002E74AB" w:rsidRPr="00DB625B" w:rsidRDefault="002E74AB" w:rsidP="00DB625B">
      <w:pPr>
        <w:spacing w:after="0" w:line="240" w:lineRule="auto"/>
        <w:rPr>
          <w:rFonts w:ascii="Times New Roman" w:eastAsia="Times New Roman" w:hAnsi="Times New Roman" w:cs="Times New Roman"/>
          <w:bCs/>
          <w:iCs/>
          <w:sz w:val="28"/>
          <w:szCs w:val="28"/>
          <w:lang w:eastAsia="es-ES"/>
        </w:rPr>
      </w:pPr>
    </w:p>
    <w:p w:rsidR="002E74AB" w:rsidRPr="00DB625B" w:rsidRDefault="002E74AB" w:rsidP="00DB625B">
      <w:pPr>
        <w:pStyle w:val="Prrafodelista"/>
        <w:numPr>
          <w:ilvl w:val="2"/>
          <w:numId w:val="24"/>
        </w:numPr>
        <w:tabs>
          <w:tab w:val="left" w:pos="0"/>
        </w:tabs>
        <w:spacing w:after="0" w:line="240" w:lineRule="auto"/>
        <w:ind w:left="0" w:firstLine="0"/>
        <w:jc w:val="both"/>
        <w:rPr>
          <w:rFonts w:ascii="Times New Roman" w:eastAsia="Times New Roman" w:hAnsi="Times New Roman" w:cs="Times New Roman"/>
          <w:bCs/>
          <w:iCs/>
          <w:sz w:val="28"/>
          <w:szCs w:val="28"/>
          <w:lang w:eastAsia="es-ES"/>
        </w:rPr>
      </w:pPr>
      <w:r w:rsidRPr="00DB625B">
        <w:rPr>
          <w:rFonts w:ascii="Times New Roman" w:eastAsia="Times New Roman" w:hAnsi="Times New Roman" w:cs="Times New Roman"/>
          <w:sz w:val="28"/>
          <w:szCs w:val="28"/>
          <w:lang w:eastAsia="es-ES"/>
        </w:rPr>
        <w:t>“</w:t>
      </w:r>
      <w:r w:rsidRPr="00DB625B">
        <w:rPr>
          <w:rFonts w:ascii="Times New Roman" w:eastAsia="Times New Roman" w:hAnsi="Times New Roman" w:cs="Times New Roman"/>
          <w:i/>
          <w:sz w:val="28"/>
          <w:szCs w:val="28"/>
          <w:lang w:eastAsia="es-ES"/>
        </w:rPr>
        <w:t xml:space="preserve">Que la normativa pretenda regular, de manera integral, estructural y completa, un derecho fundamental”: </w:t>
      </w:r>
      <w:r w:rsidRPr="00DB625B">
        <w:rPr>
          <w:rFonts w:ascii="Times New Roman" w:eastAsia="Times New Roman" w:hAnsi="Times New Roman" w:cs="Times New Roman"/>
          <w:sz w:val="28"/>
          <w:szCs w:val="28"/>
          <w:lang w:eastAsia="es-ES"/>
        </w:rPr>
        <w:t xml:space="preserve">Aunado a lo anterior y en aplicación del criterio restrictivo, la Sala Plena estima que </w:t>
      </w:r>
      <w:r w:rsidR="0013287A" w:rsidRPr="00DB625B">
        <w:rPr>
          <w:rFonts w:ascii="Times New Roman" w:eastAsia="Times New Roman" w:hAnsi="Times New Roman" w:cs="Times New Roman"/>
          <w:sz w:val="28"/>
          <w:szCs w:val="28"/>
          <w:lang w:eastAsia="es-ES"/>
        </w:rPr>
        <w:t>la Ley 1952 de 2019 y su artículo 217 jamás pretende regular de manera integral, estructural y completa</w:t>
      </w:r>
      <w:r w:rsidR="00DB443A" w:rsidRPr="00DB625B">
        <w:rPr>
          <w:rFonts w:ascii="Times New Roman" w:eastAsia="Times New Roman" w:hAnsi="Times New Roman" w:cs="Times New Roman"/>
          <w:sz w:val="28"/>
          <w:szCs w:val="28"/>
          <w:lang w:eastAsia="es-ES"/>
        </w:rPr>
        <w:t xml:space="preserve"> el derecho político a ocupar cargos públicos</w:t>
      </w:r>
      <w:r w:rsidR="0013287A" w:rsidRPr="00DB625B">
        <w:rPr>
          <w:rFonts w:ascii="Times New Roman" w:eastAsia="Times New Roman" w:hAnsi="Times New Roman" w:cs="Times New Roman"/>
          <w:sz w:val="28"/>
          <w:szCs w:val="28"/>
          <w:lang w:eastAsia="es-ES"/>
        </w:rPr>
        <w:t xml:space="preserve">. </w:t>
      </w:r>
    </w:p>
    <w:p w:rsidR="009862C0" w:rsidRPr="00DB625B" w:rsidRDefault="009862C0" w:rsidP="00DB625B">
      <w:pPr>
        <w:pStyle w:val="Prrafodelista"/>
        <w:tabs>
          <w:tab w:val="left" w:pos="0"/>
        </w:tabs>
        <w:spacing w:after="0" w:line="240" w:lineRule="auto"/>
        <w:ind w:left="0"/>
        <w:jc w:val="both"/>
        <w:rPr>
          <w:rFonts w:ascii="Times New Roman" w:eastAsia="Times New Roman" w:hAnsi="Times New Roman" w:cs="Times New Roman"/>
          <w:bCs/>
          <w:spacing w:val="4"/>
          <w:sz w:val="28"/>
          <w:szCs w:val="28"/>
          <w:lang w:val="es-ES_tradnl" w:eastAsia="es-ES"/>
        </w:rPr>
      </w:pPr>
    </w:p>
    <w:p w:rsidR="004E5D22" w:rsidRPr="00DB625B" w:rsidRDefault="00D42245" w:rsidP="00DB625B">
      <w:pPr>
        <w:pStyle w:val="Prrafodelista"/>
        <w:tabs>
          <w:tab w:val="left" w:pos="0"/>
        </w:tabs>
        <w:spacing w:after="0" w:line="240" w:lineRule="auto"/>
        <w:ind w:left="0"/>
        <w:jc w:val="both"/>
        <w:rPr>
          <w:rFonts w:ascii="Times New Roman" w:eastAsia="Times New Roman" w:hAnsi="Times New Roman" w:cs="Times New Roman"/>
          <w:bCs/>
          <w:spacing w:val="4"/>
          <w:sz w:val="28"/>
          <w:szCs w:val="28"/>
          <w:lang w:val="es-ES_tradnl" w:eastAsia="es-ES"/>
        </w:rPr>
      </w:pPr>
      <w:r w:rsidRPr="00DB625B">
        <w:rPr>
          <w:rFonts w:ascii="Times New Roman" w:eastAsia="Times New Roman" w:hAnsi="Times New Roman" w:cs="Times New Roman"/>
          <w:bCs/>
          <w:spacing w:val="4"/>
          <w:sz w:val="28"/>
          <w:szCs w:val="28"/>
          <w:lang w:val="es-ES_tradnl" w:eastAsia="es-ES"/>
        </w:rPr>
        <w:lastRenderedPageBreak/>
        <w:t>Al respecto debe precisarse que la disposición cuestionada no p</w:t>
      </w:r>
      <w:r w:rsidR="00DB443A" w:rsidRPr="00DB625B">
        <w:rPr>
          <w:rFonts w:ascii="Times New Roman" w:eastAsia="Times New Roman" w:hAnsi="Times New Roman" w:cs="Times New Roman"/>
          <w:bCs/>
          <w:spacing w:val="4"/>
          <w:sz w:val="28"/>
          <w:szCs w:val="28"/>
          <w:lang w:val="es-ES_tradnl" w:eastAsia="es-ES"/>
        </w:rPr>
        <w:t xml:space="preserve">retende regular elementos </w:t>
      </w:r>
      <w:r w:rsidRPr="00DB625B">
        <w:rPr>
          <w:rFonts w:ascii="Times New Roman" w:eastAsia="Times New Roman" w:hAnsi="Times New Roman" w:cs="Times New Roman"/>
          <w:bCs/>
          <w:spacing w:val="4"/>
          <w:sz w:val="28"/>
          <w:szCs w:val="28"/>
          <w:lang w:val="es-ES_tradnl" w:eastAsia="es-ES"/>
        </w:rPr>
        <w:t>estructura</w:t>
      </w:r>
      <w:r w:rsidR="00DB443A" w:rsidRPr="00DB625B">
        <w:rPr>
          <w:rFonts w:ascii="Times New Roman" w:eastAsia="Times New Roman" w:hAnsi="Times New Roman" w:cs="Times New Roman"/>
          <w:bCs/>
          <w:spacing w:val="4"/>
          <w:sz w:val="28"/>
          <w:szCs w:val="28"/>
          <w:lang w:val="es-ES_tradnl" w:eastAsia="es-ES"/>
        </w:rPr>
        <w:t>les</w:t>
      </w:r>
      <w:r w:rsidRPr="00DB625B">
        <w:rPr>
          <w:rFonts w:ascii="Times New Roman" w:eastAsia="Times New Roman" w:hAnsi="Times New Roman" w:cs="Times New Roman"/>
          <w:bCs/>
          <w:spacing w:val="4"/>
          <w:sz w:val="28"/>
          <w:szCs w:val="28"/>
          <w:lang w:val="es-ES_tradnl" w:eastAsia="es-ES"/>
        </w:rPr>
        <w:t xml:space="preserve"> del derecho político a ejercer cargos p</w:t>
      </w:r>
      <w:r w:rsidR="004E5D22" w:rsidRPr="00DB625B">
        <w:rPr>
          <w:rFonts w:ascii="Times New Roman" w:eastAsia="Times New Roman" w:hAnsi="Times New Roman" w:cs="Times New Roman"/>
          <w:bCs/>
          <w:spacing w:val="4"/>
          <w:sz w:val="28"/>
          <w:szCs w:val="28"/>
          <w:lang w:val="es-ES_tradnl" w:eastAsia="es-ES"/>
        </w:rPr>
        <w:t>úblicos. La norma no versa sobre componentes mínimos que no admiten ser objeto de intervención por parte de las autoridades públicas, puesto que nunca pretende regular</w:t>
      </w:r>
      <w:r w:rsidR="00192F6B" w:rsidRPr="00DB625B">
        <w:rPr>
          <w:rFonts w:ascii="Times New Roman" w:eastAsia="Times New Roman" w:hAnsi="Times New Roman" w:cs="Times New Roman"/>
          <w:bCs/>
          <w:spacing w:val="4"/>
          <w:sz w:val="28"/>
          <w:szCs w:val="28"/>
          <w:lang w:val="es-ES_tradnl" w:eastAsia="es-ES"/>
        </w:rPr>
        <w:t xml:space="preserve"> la posibilidad de postularse y ejercer un cargo, así como</w:t>
      </w:r>
      <w:r w:rsidR="004E5D22" w:rsidRPr="00DB625B">
        <w:rPr>
          <w:rFonts w:ascii="Times New Roman" w:eastAsia="Times New Roman" w:hAnsi="Times New Roman" w:cs="Times New Roman"/>
          <w:bCs/>
          <w:spacing w:val="4"/>
          <w:sz w:val="28"/>
          <w:szCs w:val="28"/>
          <w:lang w:val="es-ES_tradnl" w:eastAsia="es-ES"/>
        </w:rPr>
        <w:t xml:space="preserve"> los titulares del derecho o sus componentes. Inclusive, la Constitución y la jurisprudencia permite regular mediante ley la figura de suspensión de derechos políticos. </w:t>
      </w:r>
    </w:p>
    <w:p w:rsidR="004E5D22" w:rsidRPr="00DB625B" w:rsidRDefault="004E5D22" w:rsidP="00DB625B">
      <w:pPr>
        <w:pStyle w:val="Prrafodelista"/>
        <w:tabs>
          <w:tab w:val="left" w:pos="0"/>
        </w:tabs>
        <w:spacing w:after="0" w:line="240" w:lineRule="auto"/>
        <w:ind w:left="0"/>
        <w:jc w:val="both"/>
        <w:rPr>
          <w:rFonts w:ascii="Times New Roman" w:eastAsia="Times New Roman" w:hAnsi="Times New Roman" w:cs="Times New Roman"/>
          <w:bCs/>
          <w:spacing w:val="4"/>
          <w:sz w:val="28"/>
          <w:szCs w:val="28"/>
          <w:lang w:val="es-ES_tradnl" w:eastAsia="es-ES"/>
        </w:rPr>
      </w:pPr>
    </w:p>
    <w:p w:rsidR="00F75C8A" w:rsidRPr="00DB625B" w:rsidRDefault="00D42245" w:rsidP="00DB625B">
      <w:pPr>
        <w:pStyle w:val="Prrafodelista"/>
        <w:tabs>
          <w:tab w:val="left" w:pos="0"/>
        </w:tabs>
        <w:spacing w:after="0" w:line="240" w:lineRule="auto"/>
        <w:ind w:left="0"/>
        <w:jc w:val="both"/>
        <w:rPr>
          <w:rFonts w:ascii="Times New Roman" w:eastAsia="Times New Roman" w:hAnsi="Times New Roman" w:cs="Times New Roman"/>
          <w:sz w:val="28"/>
          <w:szCs w:val="28"/>
          <w:lang w:eastAsia="es-ES"/>
        </w:rPr>
      </w:pPr>
      <w:r w:rsidRPr="00DB625B">
        <w:rPr>
          <w:rFonts w:ascii="Times New Roman" w:eastAsia="Times New Roman" w:hAnsi="Times New Roman" w:cs="Times New Roman"/>
          <w:bCs/>
          <w:spacing w:val="4"/>
          <w:sz w:val="28"/>
          <w:szCs w:val="28"/>
          <w:lang w:val="es-ES_tradnl" w:eastAsia="es-ES"/>
        </w:rPr>
        <w:t>En la parte motiva de esta decisión, la Sala</w:t>
      </w:r>
      <w:r w:rsidR="005B5144" w:rsidRPr="00DB625B">
        <w:rPr>
          <w:rFonts w:ascii="Times New Roman" w:eastAsia="Times New Roman" w:hAnsi="Times New Roman" w:cs="Times New Roman"/>
          <w:sz w:val="28"/>
          <w:szCs w:val="28"/>
          <w:lang w:eastAsia="es-ES"/>
        </w:rPr>
        <w:t xml:space="preserve"> enfatizó que la suspe</w:t>
      </w:r>
      <w:r w:rsidR="00DB443A" w:rsidRPr="00DB625B">
        <w:rPr>
          <w:rFonts w:ascii="Times New Roman" w:eastAsia="Times New Roman" w:hAnsi="Times New Roman" w:cs="Times New Roman"/>
          <w:sz w:val="28"/>
          <w:szCs w:val="28"/>
          <w:lang w:eastAsia="es-ES"/>
        </w:rPr>
        <w:t>nsión provisional</w:t>
      </w:r>
      <w:r w:rsidR="005B5144" w:rsidRPr="00DB625B">
        <w:rPr>
          <w:rFonts w:ascii="Times New Roman" w:eastAsia="Times New Roman" w:hAnsi="Times New Roman" w:cs="Times New Roman"/>
          <w:sz w:val="28"/>
          <w:szCs w:val="28"/>
          <w:lang w:eastAsia="es-ES"/>
        </w:rPr>
        <w:t xml:space="preserve"> de los derechos políticos de los funcionarios públicos, entre ellos de elección popular, es una decisión que no interfiere el núcleo de los mismos, ni implica una interferencia desproporcionada e irrazonable, por lo que la regulación de esas materias hace parte de la competencia del legislador ordinario su regulación.</w:t>
      </w:r>
      <w:r w:rsidR="00F75C8A" w:rsidRPr="00DB625B">
        <w:rPr>
          <w:rFonts w:ascii="Times New Roman" w:eastAsia="Times New Roman" w:hAnsi="Times New Roman" w:cs="Times New Roman"/>
          <w:sz w:val="28"/>
          <w:szCs w:val="28"/>
          <w:lang w:eastAsia="es-ES"/>
        </w:rPr>
        <w:t xml:space="preserve"> </w:t>
      </w:r>
    </w:p>
    <w:p w:rsidR="00F75C8A" w:rsidRPr="00DB625B" w:rsidRDefault="00F75C8A" w:rsidP="00DB625B">
      <w:pPr>
        <w:pStyle w:val="Prrafodelista"/>
        <w:tabs>
          <w:tab w:val="left" w:pos="0"/>
        </w:tabs>
        <w:spacing w:after="0" w:line="240" w:lineRule="auto"/>
        <w:ind w:left="0"/>
        <w:jc w:val="both"/>
        <w:rPr>
          <w:rFonts w:ascii="Times New Roman" w:eastAsia="Times New Roman" w:hAnsi="Times New Roman" w:cs="Times New Roman"/>
          <w:sz w:val="28"/>
          <w:szCs w:val="28"/>
          <w:lang w:eastAsia="es-ES"/>
        </w:rPr>
      </w:pPr>
    </w:p>
    <w:p w:rsidR="005B5144" w:rsidRPr="00DB625B" w:rsidRDefault="00F75C8A" w:rsidP="00DB625B">
      <w:pPr>
        <w:pStyle w:val="Prrafodelista"/>
        <w:tabs>
          <w:tab w:val="left" w:pos="0"/>
        </w:tabs>
        <w:spacing w:after="0" w:line="240" w:lineRule="auto"/>
        <w:ind w:left="0"/>
        <w:jc w:val="both"/>
        <w:rPr>
          <w:rFonts w:ascii="Times New Roman" w:eastAsia="Times New Roman" w:hAnsi="Times New Roman" w:cs="Times New Roman"/>
          <w:sz w:val="28"/>
          <w:szCs w:val="28"/>
          <w:lang w:eastAsia="es-ES"/>
        </w:rPr>
      </w:pPr>
      <w:r w:rsidRPr="00DB625B">
        <w:rPr>
          <w:rFonts w:ascii="Times New Roman" w:eastAsia="Times New Roman" w:hAnsi="Times New Roman" w:cs="Times New Roman"/>
          <w:sz w:val="28"/>
          <w:szCs w:val="28"/>
          <w:lang w:eastAsia="es-ES"/>
        </w:rPr>
        <w:t>Con base en las Sentencias C-108, de 1995, C-406 de 1995, C-280 de 199</w:t>
      </w:r>
      <w:r w:rsidR="00DC542A" w:rsidRPr="00DB625B">
        <w:rPr>
          <w:rFonts w:ascii="Times New Roman" w:eastAsia="Times New Roman" w:hAnsi="Times New Roman" w:cs="Times New Roman"/>
          <w:sz w:val="28"/>
          <w:szCs w:val="28"/>
          <w:lang w:eastAsia="es-ES"/>
        </w:rPr>
        <w:t>6, C-028 de 2006 y C-086 de 2019</w:t>
      </w:r>
      <w:r w:rsidRPr="00DB625B">
        <w:rPr>
          <w:rFonts w:ascii="Times New Roman" w:eastAsia="Times New Roman" w:hAnsi="Times New Roman" w:cs="Times New Roman"/>
          <w:sz w:val="28"/>
          <w:szCs w:val="28"/>
          <w:lang w:eastAsia="es-ES"/>
        </w:rPr>
        <w:t xml:space="preserve">, </w:t>
      </w:r>
      <w:r w:rsidR="008E114C" w:rsidRPr="00DB625B">
        <w:rPr>
          <w:rFonts w:ascii="Times New Roman" w:eastAsia="Times New Roman" w:hAnsi="Times New Roman" w:cs="Times New Roman"/>
          <w:sz w:val="28"/>
          <w:szCs w:val="28"/>
          <w:lang w:eastAsia="es-ES"/>
        </w:rPr>
        <w:t>la Sala estima que la suspensión provisional es una medida que restringe el derecho político a cargos públicos, empero es un</w:t>
      </w:r>
      <w:r w:rsidR="00984695" w:rsidRPr="00DB625B">
        <w:rPr>
          <w:rFonts w:ascii="Times New Roman" w:eastAsia="Times New Roman" w:hAnsi="Times New Roman" w:cs="Times New Roman"/>
          <w:sz w:val="28"/>
          <w:szCs w:val="28"/>
          <w:lang w:eastAsia="es-ES"/>
        </w:rPr>
        <w:t xml:space="preserve">a alternativa proporcionada y </w:t>
      </w:r>
      <w:r w:rsidR="008E114C" w:rsidRPr="00DB625B">
        <w:rPr>
          <w:rFonts w:ascii="Times New Roman" w:eastAsia="Times New Roman" w:hAnsi="Times New Roman" w:cs="Times New Roman"/>
          <w:sz w:val="28"/>
          <w:szCs w:val="28"/>
          <w:lang w:eastAsia="es-ES"/>
        </w:rPr>
        <w:t>razonable que busca garantizar fines constitucionales válidos, como la moralidad pública.</w:t>
      </w:r>
      <w:r w:rsidR="004E5D22" w:rsidRPr="00DB625B">
        <w:rPr>
          <w:rFonts w:ascii="Times New Roman" w:eastAsia="Times New Roman" w:hAnsi="Times New Roman" w:cs="Times New Roman"/>
          <w:sz w:val="28"/>
          <w:szCs w:val="28"/>
          <w:lang w:eastAsia="es-ES"/>
        </w:rPr>
        <w:t xml:space="preserve"> La interferenc</w:t>
      </w:r>
      <w:r w:rsidR="003311CA" w:rsidRPr="00DB625B">
        <w:rPr>
          <w:rFonts w:ascii="Times New Roman" w:eastAsia="Times New Roman" w:hAnsi="Times New Roman" w:cs="Times New Roman"/>
          <w:sz w:val="28"/>
          <w:szCs w:val="28"/>
          <w:lang w:eastAsia="es-ES"/>
        </w:rPr>
        <w:t>ia a los derechos políticos y la</w:t>
      </w:r>
      <w:r w:rsidR="004E5D22" w:rsidRPr="00DB625B">
        <w:rPr>
          <w:rFonts w:ascii="Times New Roman" w:eastAsia="Times New Roman" w:hAnsi="Times New Roman" w:cs="Times New Roman"/>
          <w:sz w:val="28"/>
          <w:szCs w:val="28"/>
          <w:lang w:eastAsia="es-ES"/>
        </w:rPr>
        <w:t xml:space="preserve"> ausencia de afectación al núcleo esencial </w:t>
      </w:r>
      <w:r w:rsidR="003311CA" w:rsidRPr="00DB625B">
        <w:rPr>
          <w:rFonts w:ascii="Times New Roman" w:eastAsia="Times New Roman" w:hAnsi="Times New Roman" w:cs="Times New Roman"/>
          <w:sz w:val="28"/>
          <w:szCs w:val="28"/>
          <w:lang w:eastAsia="es-ES"/>
        </w:rPr>
        <w:t xml:space="preserve">de esa garantía </w:t>
      </w:r>
      <w:r w:rsidR="004E5D22" w:rsidRPr="00DB625B">
        <w:rPr>
          <w:rFonts w:ascii="Times New Roman" w:eastAsia="Times New Roman" w:hAnsi="Times New Roman" w:cs="Times New Roman"/>
          <w:sz w:val="28"/>
          <w:szCs w:val="28"/>
          <w:lang w:eastAsia="es-ES"/>
        </w:rPr>
        <w:t>aumenta si se tienen en cuenta que la suspensión provisional jamás implica decidir sobre la responsabilidad del procesado, ni puede considerarse  como una sanción</w:t>
      </w:r>
      <w:r w:rsidR="003311CA" w:rsidRPr="00DB625B">
        <w:rPr>
          <w:rFonts w:ascii="Times New Roman" w:eastAsia="Times New Roman" w:hAnsi="Times New Roman" w:cs="Times New Roman"/>
          <w:sz w:val="28"/>
          <w:szCs w:val="28"/>
          <w:lang w:eastAsia="es-ES"/>
        </w:rPr>
        <w:t>, y es una medida temporal</w:t>
      </w:r>
      <w:r w:rsidR="004E5D22" w:rsidRPr="00DB625B">
        <w:rPr>
          <w:rFonts w:ascii="Times New Roman" w:eastAsia="Times New Roman" w:hAnsi="Times New Roman" w:cs="Times New Roman"/>
          <w:sz w:val="28"/>
          <w:szCs w:val="28"/>
          <w:lang w:eastAsia="es-ES"/>
        </w:rPr>
        <w:t xml:space="preserve">. </w:t>
      </w:r>
    </w:p>
    <w:p w:rsidR="008E114C" w:rsidRPr="00DB625B" w:rsidRDefault="008E114C" w:rsidP="00DB625B">
      <w:pPr>
        <w:pStyle w:val="Prrafodelista"/>
        <w:tabs>
          <w:tab w:val="left" w:pos="0"/>
        </w:tabs>
        <w:spacing w:after="0" w:line="240" w:lineRule="auto"/>
        <w:ind w:left="0"/>
        <w:jc w:val="both"/>
        <w:rPr>
          <w:rFonts w:ascii="Times New Roman" w:eastAsia="Times New Roman" w:hAnsi="Times New Roman" w:cs="Times New Roman"/>
          <w:sz w:val="28"/>
          <w:szCs w:val="28"/>
          <w:lang w:eastAsia="es-ES"/>
        </w:rPr>
      </w:pPr>
    </w:p>
    <w:p w:rsidR="008E114C" w:rsidRPr="00DB625B" w:rsidRDefault="008E114C" w:rsidP="00DB625B">
      <w:pPr>
        <w:pStyle w:val="Prrafodelista"/>
        <w:tabs>
          <w:tab w:val="left" w:pos="0"/>
        </w:tabs>
        <w:spacing w:after="0" w:line="240" w:lineRule="auto"/>
        <w:ind w:left="0"/>
        <w:jc w:val="both"/>
        <w:rPr>
          <w:rFonts w:ascii="Times New Roman" w:eastAsia="Times New Roman" w:hAnsi="Times New Roman" w:cs="Times New Roman"/>
          <w:sz w:val="28"/>
          <w:szCs w:val="28"/>
          <w:lang w:eastAsia="es-ES"/>
        </w:rPr>
      </w:pPr>
      <w:r w:rsidRPr="00DB625B">
        <w:rPr>
          <w:rFonts w:ascii="Times New Roman" w:eastAsia="Times New Roman" w:hAnsi="Times New Roman" w:cs="Times New Roman"/>
          <w:sz w:val="28"/>
          <w:szCs w:val="28"/>
          <w:lang w:eastAsia="es-ES"/>
        </w:rPr>
        <w:t xml:space="preserve">De igual manera, el precedente mencionado así como las Sentencias C-329 de 2003 y 176 de 2017, son parámetros normativos suficientes para concluir que </w:t>
      </w:r>
      <w:r w:rsidR="003311CA" w:rsidRPr="00DB625B">
        <w:rPr>
          <w:rFonts w:ascii="Times New Roman" w:eastAsia="Times New Roman" w:hAnsi="Times New Roman" w:cs="Times New Roman"/>
          <w:sz w:val="28"/>
          <w:szCs w:val="28"/>
          <w:lang w:eastAsia="es-ES"/>
        </w:rPr>
        <w:t>la suspensión provisional hace</w:t>
      </w:r>
      <w:r w:rsidRPr="00DB625B">
        <w:rPr>
          <w:rFonts w:ascii="Times New Roman" w:eastAsia="Times New Roman" w:hAnsi="Times New Roman" w:cs="Times New Roman"/>
          <w:sz w:val="28"/>
          <w:szCs w:val="28"/>
          <w:lang w:eastAsia="es-ES"/>
        </w:rPr>
        <w:t xml:space="preserve"> parte de la órbita del legislador ordinario</w:t>
      </w:r>
      <w:r w:rsidR="003311CA" w:rsidRPr="00DB625B">
        <w:rPr>
          <w:rFonts w:ascii="Times New Roman" w:eastAsia="Times New Roman" w:hAnsi="Times New Roman" w:cs="Times New Roman"/>
          <w:sz w:val="28"/>
          <w:szCs w:val="28"/>
          <w:lang w:eastAsia="es-ES"/>
        </w:rPr>
        <w:t>, como sucede con</w:t>
      </w:r>
      <w:r w:rsidRPr="00DB625B">
        <w:rPr>
          <w:rFonts w:ascii="Times New Roman" w:eastAsia="Times New Roman" w:hAnsi="Times New Roman" w:cs="Times New Roman"/>
          <w:sz w:val="28"/>
          <w:szCs w:val="28"/>
          <w:lang w:eastAsia="es-ES"/>
        </w:rPr>
        <w:t xml:space="preserve"> las disposiciones que establecen la inhabilitación para el ejercicio de derechos y función públicas, producto de condiciones de acceso al empleo, de sanciones de suspensió</w:t>
      </w:r>
      <w:r w:rsidR="003311CA" w:rsidRPr="00DB625B">
        <w:rPr>
          <w:rFonts w:ascii="Times New Roman" w:eastAsia="Times New Roman" w:hAnsi="Times New Roman" w:cs="Times New Roman"/>
          <w:sz w:val="28"/>
          <w:szCs w:val="28"/>
          <w:lang w:eastAsia="es-ES"/>
        </w:rPr>
        <w:t xml:space="preserve">n de derechos políticos u otra </w:t>
      </w:r>
      <w:r w:rsidRPr="00DB625B">
        <w:rPr>
          <w:rFonts w:ascii="Times New Roman" w:eastAsia="Times New Roman" w:hAnsi="Times New Roman" w:cs="Times New Roman"/>
          <w:sz w:val="28"/>
          <w:szCs w:val="28"/>
          <w:lang w:eastAsia="es-ES"/>
        </w:rPr>
        <w:t>medida que conduzca la misma consecuencia jurídica.</w:t>
      </w:r>
    </w:p>
    <w:p w:rsidR="005B5144" w:rsidRPr="00DB625B" w:rsidRDefault="005B5144" w:rsidP="00DB625B">
      <w:pPr>
        <w:pStyle w:val="Prrafodelista"/>
        <w:tabs>
          <w:tab w:val="left" w:pos="284"/>
        </w:tabs>
        <w:autoSpaceDE w:val="0"/>
        <w:autoSpaceDN w:val="0"/>
        <w:spacing w:after="0" w:line="240" w:lineRule="auto"/>
        <w:ind w:left="0"/>
        <w:jc w:val="both"/>
        <w:rPr>
          <w:rFonts w:ascii="Times New Roman" w:eastAsia="Times New Roman" w:hAnsi="Times New Roman" w:cs="Times New Roman"/>
          <w:bCs/>
          <w:spacing w:val="4"/>
          <w:sz w:val="28"/>
          <w:szCs w:val="28"/>
          <w:lang w:eastAsia="es-ES"/>
        </w:rPr>
      </w:pPr>
    </w:p>
    <w:p w:rsidR="00400E07" w:rsidRPr="00DB625B" w:rsidRDefault="00400E07" w:rsidP="00DB625B">
      <w:pPr>
        <w:pStyle w:val="Prrafodelista"/>
        <w:numPr>
          <w:ilvl w:val="1"/>
          <w:numId w:val="24"/>
        </w:numPr>
        <w:autoSpaceDE w:val="0"/>
        <w:autoSpaceDN w:val="0"/>
        <w:spacing w:after="0" w:line="240" w:lineRule="auto"/>
        <w:ind w:left="0" w:firstLine="0"/>
        <w:jc w:val="both"/>
        <w:rPr>
          <w:rFonts w:ascii="Times New Roman" w:eastAsia="Times New Roman" w:hAnsi="Times New Roman" w:cs="Times New Roman"/>
          <w:bCs/>
          <w:spacing w:val="4"/>
          <w:sz w:val="28"/>
          <w:szCs w:val="28"/>
          <w:lang w:eastAsia="es-ES"/>
        </w:rPr>
      </w:pPr>
      <w:r w:rsidRPr="00DB625B">
        <w:rPr>
          <w:rFonts w:ascii="Times New Roman" w:eastAsia="Times New Roman" w:hAnsi="Times New Roman" w:cs="Times New Roman"/>
          <w:bCs/>
          <w:sz w:val="28"/>
          <w:szCs w:val="28"/>
          <w:lang w:eastAsia="es-ES"/>
        </w:rPr>
        <w:t>Por</w:t>
      </w:r>
      <w:r w:rsidRPr="00DB625B">
        <w:rPr>
          <w:rFonts w:ascii="Times New Roman" w:eastAsia="Times New Roman" w:hAnsi="Times New Roman" w:cs="Times New Roman"/>
          <w:bCs/>
          <w:spacing w:val="4"/>
          <w:sz w:val="28"/>
          <w:szCs w:val="28"/>
          <w:lang w:eastAsia="es-ES"/>
        </w:rPr>
        <w:t xml:space="preserve"> co</w:t>
      </w:r>
      <w:r w:rsidR="00DC542A" w:rsidRPr="00DB625B">
        <w:rPr>
          <w:rFonts w:ascii="Times New Roman" w:eastAsia="Times New Roman" w:hAnsi="Times New Roman" w:cs="Times New Roman"/>
          <w:bCs/>
          <w:spacing w:val="4"/>
          <w:sz w:val="28"/>
          <w:szCs w:val="28"/>
          <w:lang w:eastAsia="es-ES"/>
        </w:rPr>
        <w:t>nsiguiente, la Sala Plena sintetiza</w:t>
      </w:r>
      <w:r w:rsidRPr="00DB625B">
        <w:rPr>
          <w:rFonts w:ascii="Times New Roman" w:eastAsia="Times New Roman" w:hAnsi="Times New Roman" w:cs="Times New Roman"/>
          <w:bCs/>
          <w:spacing w:val="4"/>
          <w:sz w:val="28"/>
          <w:szCs w:val="28"/>
          <w:lang w:eastAsia="es-ES"/>
        </w:rPr>
        <w:t xml:space="preserve"> que</w:t>
      </w:r>
      <w:r w:rsidR="00DC542A" w:rsidRPr="00DB625B">
        <w:rPr>
          <w:rFonts w:ascii="Times New Roman" w:eastAsia="Times New Roman" w:hAnsi="Times New Roman" w:cs="Times New Roman"/>
          <w:bCs/>
          <w:spacing w:val="4"/>
          <w:sz w:val="28"/>
          <w:szCs w:val="28"/>
          <w:lang w:eastAsia="es-ES"/>
        </w:rPr>
        <w:t xml:space="preserve"> la suspensión provisional de los funcionarios de elección popular carece de reserva de ley estatutaria, por cuanto en aplicación del criterio restrictivo de la procedencia de trámite se constata que no tiene por objeto directo regular el derecho político de acceso a cargos públicos. Así mismo, no es una regulación </w:t>
      </w:r>
      <w:r w:rsidR="00940827" w:rsidRPr="00DB625B">
        <w:rPr>
          <w:rFonts w:ascii="Times New Roman" w:eastAsia="Times New Roman" w:hAnsi="Times New Roman" w:cs="Times New Roman"/>
          <w:bCs/>
          <w:spacing w:val="4"/>
          <w:sz w:val="28"/>
          <w:szCs w:val="28"/>
          <w:lang w:eastAsia="es-ES"/>
        </w:rPr>
        <w:t>sistemática, integral y estructural</w:t>
      </w:r>
      <w:r w:rsidR="00DC542A" w:rsidRPr="00DB625B">
        <w:rPr>
          <w:rFonts w:ascii="Times New Roman" w:eastAsia="Times New Roman" w:hAnsi="Times New Roman" w:cs="Times New Roman"/>
          <w:bCs/>
          <w:spacing w:val="4"/>
          <w:sz w:val="28"/>
          <w:szCs w:val="28"/>
          <w:lang w:eastAsia="es-ES"/>
        </w:rPr>
        <w:t xml:space="preserve"> de la garantía </w:t>
      </w:r>
      <w:r w:rsidR="00DC542A" w:rsidRPr="00DB625B">
        <w:rPr>
          <w:rFonts w:ascii="Times New Roman" w:eastAsia="Times New Roman" w:hAnsi="Times New Roman" w:cs="Times New Roman"/>
          <w:bCs/>
          <w:spacing w:val="4"/>
          <w:sz w:val="28"/>
          <w:szCs w:val="28"/>
          <w:lang w:eastAsia="es-ES"/>
        </w:rPr>
        <w:lastRenderedPageBreak/>
        <w:t>mencionada</w:t>
      </w:r>
      <w:r w:rsidR="003311CA" w:rsidRPr="00DB625B">
        <w:rPr>
          <w:rFonts w:ascii="Times New Roman" w:eastAsia="Times New Roman" w:hAnsi="Times New Roman" w:cs="Times New Roman"/>
          <w:bCs/>
          <w:spacing w:val="4"/>
          <w:sz w:val="28"/>
          <w:szCs w:val="28"/>
          <w:lang w:eastAsia="es-ES"/>
        </w:rPr>
        <w:t>, dado que jamás señala características</w:t>
      </w:r>
      <w:r w:rsidR="00940827" w:rsidRPr="00DB625B">
        <w:rPr>
          <w:rFonts w:ascii="Times New Roman" w:eastAsia="Times New Roman" w:hAnsi="Times New Roman" w:cs="Times New Roman"/>
          <w:bCs/>
          <w:spacing w:val="4"/>
          <w:sz w:val="28"/>
          <w:szCs w:val="28"/>
          <w:lang w:eastAsia="es-ES"/>
        </w:rPr>
        <w:t xml:space="preserve"> de la misma</w:t>
      </w:r>
      <w:r w:rsidR="00DC542A" w:rsidRPr="00DB625B">
        <w:rPr>
          <w:rFonts w:ascii="Times New Roman" w:eastAsia="Times New Roman" w:hAnsi="Times New Roman" w:cs="Times New Roman"/>
          <w:bCs/>
          <w:spacing w:val="4"/>
          <w:sz w:val="28"/>
          <w:szCs w:val="28"/>
          <w:lang w:eastAsia="es-ES"/>
        </w:rPr>
        <w:t>. Tampoco afecta el núcleo esencia</w:t>
      </w:r>
      <w:r w:rsidR="003311CA" w:rsidRPr="00DB625B">
        <w:rPr>
          <w:rFonts w:ascii="Times New Roman" w:eastAsia="Times New Roman" w:hAnsi="Times New Roman" w:cs="Times New Roman"/>
          <w:bCs/>
          <w:spacing w:val="4"/>
          <w:sz w:val="28"/>
          <w:szCs w:val="28"/>
          <w:lang w:eastAsia="es-ES"/>
        </w:rPr>
        <w:t>l</w:t>
      </w:r>
      <w:r w:rsidR="00DC542A" w:rsidRPr="00DB625B">
        <w:rPr>
          <w:rFonts w:ascii="Times New Roman" w:eastAsia="Times New Roman" w:hAnsi="Times New Roman" w:cs="Times New Roman"/>
          <w:bCs/>
          <w:spacing w:val="4"/>
          <w:sz w:val="28"/>
          <w:szCs w:val="28"/>
          <w:lang w:eastAsia="es-ES"/>
        </w:rPr>
        <w:t xml:space="preserve"> de ese derecho político, ni apareja una interferencia desproporcionada, como advierten las Sentencias </w:t>
      </w:r>
      <w:r w:rsidR="00DC542A" w:rsidRPr="00DB625B">
        <w:rPr>
          <w:rFonts w:ascii="Times New Roman" w:eastAsia="Times New Roman" w:hAnsi="Times New Roman" w:cs="Times New Roman"/>
          <w:sz w:val="28"/>
          <w:szCs w:val="28"/>
          <w:lang w:eastAsia="es-ES"/>
        </w:rPr>
        <w:t>C-108, de 1995, C-406 de 1995, C-280 de 1996, C-028 de 2006, C-086 de 2019</w:t>
      </w:r>
      <w:r w:rsidR="00DC542A" w:rsidRPr="00DB625B">
        <w:rPr>
          <w:rFonts w:ascii="Times New Roman" w:eastAsia="Times New Roman" w:hAnsi="Times New Roman" w:cs="Times New Roman"/>
          <w:bCs/>
          <w:spacing w:val="4"/>
          <w:sz w:val="28"/>
          <w:szCs w:val="28"/>
          <w:lang w:eastAsia="es-ES"/>
        </w:rPr>
        <w:t xml:space="preserve"> y C-111 de 2019</w:t>
      </w:r>
      <w:r w:rsidRPr="00DB625B">
        <w:rPr>
          <w:rFonts w:ascii="Times New Roman" w:eastAsia="Times New Roman" w:hAnsi="Times New Roman" w:cs="Times New Roman"/>
          <w:bCs/>
          <w:spacing w:val="4"/>
          <w:sz w:val="28"/>
          <w:szCs w:val="28"/>
          <w:lang w:eastAsia="es-ES"/>
        </w:rPr>
        <w:t>.</w:t>
      </w:r>
      <w:r w:rsidR="00DC542A" w:rsidRPr="00DB625B">
        <w:rPr>
          <w:rFonts w:ascii="Times New Roman" w:eastAsia="Times New Roman" w:hAnsi="Times New Roman" w:cs="Times New Roman"/>
          <w:bCs/>
          <w:spacing w:val="4"/>
          <w:sz w:val="28"/>
          <w:szCs w:val="28"/>
          <w:lang w:eastAsia="es-ES"/>
        </w:rPr>
        <w:t xml:space="preserve"> En realidad, la materia estudiada hace parte de la órbita del legislador ordinario</w:t>
      </w:r>
      <w:r w:rsidR="00940827" w:rsidRPr="00DB625B">
        <w:rPr>
          <w:rFonts w:ascii="Times New Roman" w:eastAsia="Times New Roman" w:hAnsi="Times New Roman" w:cs="Times New Roman"/>
          <w:bCs/>
          <w:spacing w:val="4"/>
          <w:sz w:val="28"/>
          <w:szCs w:val="28"/>
          <w:lang w:eastAsia="es-ES"/>
        </w:rPr>
        <w:t>, como se puede extraer de las</w:t>
      </w:r>
      <w:r w:rsidR="003311CA" w:rsidRPr="00DB625B">
        <w:rPr>
          <w:rFonts w:ascii="Times New Roman" w:eastAsia="Times New Roman" w:hAnsi="Times New Roman" w:cs="Times New Roman"/>
          <w:bCs/>
          <w:spacing w:val="4"/>
          <w:sz w:val="28"/>
          <w:szCs w:val="28"/>
          <w:lang w:eastAsia="es-ES"/>
        </w:rPr>
        <w:t xml:space="preserve"> Sentencias</w:t>
      </w:r>
      <w:r w:rsidR="00940827" w:rsidRPr="00DB625B">
        <w:rPr>
          <w:rFonts w:ascii="Times New Roman" w:eastAsia="Times New Roman" w:hAnsi="Times New Roman" w:cs="Times New Roman"/>
          <w:bCs/>
          <w:spacing w:val="4"/>
          <w:sz w:val="28"/>
          <w:szCs w:val="28"/>
          <w:lang w:eastAsia="es-ES"/>
        </w:rPr>
        <w:t xml:space="preserve"> </w:t>
      </w:r>
      <w:r w:rsidR="00940827" w:rsidRPr="00DB625B">
        <w:rPr>
          <w:rFonts w:ascii="Times New Roman" w:eastAsia="Times New Roman" w:hAnsi="Times New Roman" w:cs="Times New Roman"/>
          <w:sz w:val="28"/>
          <w:szCs w:val="28"/>
          <w:lang w:eastAsia="es-ES"/>
        </w:rPr>
        <w:t>C-329 de 2003 y C-176 de 2017.</w:t>
      </w:r>
    </w:p>
    <w:p w:rsidR="0048539C" w:rsidRPr="00DB625B" w:rsidRDefault="0048539C" w:rsidP="00DB625B">
      <w:pPr>
        <w:tabs>
          <w:tab w:val="left" w:pos="0"/>
        </w:tabs>
        <w:spacing w:after="0" w:line="240" w:lineRule="auto"/>
        <w:rPr>
          <w:rFonts w:ascii="Times New Roman" w:eastAsia="Times New Roman" w:hAnsi="Times New Roman" w:cs="Times New Roman"/>
          <w:b/>
          <w:bCs/>
          <w:spacing w:val="4"/>
          <w:sz w:val="28"/>
          <w:szCs w:val="28"/>
          <w:lang w:eastAsia="es-ES"/>
        </w:rPr>
      </w:pPr>
    </w:p>
    <w:p w:rsidR="00400E07" w:rsidRPr="00DB625B" w:rsidRDefault="00400E07" w:rsidP="00DB625B">
      <w:pPr>
        <w:pStyle w:val="Prrafodelista"/>
        <w:tabs>
          <w:tab w:val="left" w:pos="0"/>
        </w:tabs>
        <w:spacing w:after="0" w:line="240" w:lineRule="auto"/>
        <w:ind w:left="360"/>
        <w:jc w:val="both"/>
        <w:rPr>
          <w:rFonts w:ascii="Times New Roman" w:eastAsia="Times New Roman" w:hAnsi="Times New Roman" w:cs="Times New Roman"/>
          <w:b/>
          <w:bCs/>
          <w:spacing w:val="4"/>
          <w:sz w:val="28"/>
          <w:szCs w:val="28"/>
          <w:lang w:eastAsia="es-ES"/>
        </w:rPr>
      </w:pPr>
      <w:r w:rsidRPr="00DB625B">
        <w:rPr>
          <w:rFonts w:ascii="Times New Roman" w:eastAsia="Times New Roman" w:hAnsi="Times New Roman" w:cs="Times New Roman"/>
          <w:b/>
          <w:bCs/>
          <w:spacing w:val="4"/>
          <w:sz w:val="28"/>
          <w:szCs w:val="28"/>
          <w:lang w:eastAsia="es-ES"/>
        </w:rPr>
        <w:t>VIII.</w:t>
      </w:r>
      <w:r w:rsidRPr="00DB625B">
        <w:rPr>
          <w:rFonts w:ascii="Times New Roman" w:eastAsia="Times New Roman" w:hAnsi="Times New Roman" w:cs="Times New Roman"/>
          <w:b/>
          <w:bCs/>
          <w:spacing w:val="4"/>
          <w:sz w:val="28"/>
          <w:szCs w:val="28"/>
          <w:lang w:eastAsia="es-ES"/>
        </w:rPr>
        <w:tab/>
        <w:t>SÍNTESIS</w:t>
      </w:r>
    </w:p>
    <w:p w:rsidR="00400E07" w:rsidRPr="00DB625B" w:rsidRDefault="00400E07" w:rsidP="00DB625B">
      <w:pPr>
        <w:pStyle w:val="Prrafodelista"/>
        <w:tabs>
          <w:tab w:val="left" w:pos="0"/>
        </w:tabs>
        <w:spacing w:after="0" w:line="240" w:lineRule="auto"/>
        <w:ind w:left="360"/>
        <w:jc w:val="both"/>
        <w:rPr>
          <w:rFonts w:ascii="Times New Roman" w:eastAsia="Times New Roman" w:hAnsi="Times New Roman" w:cs="Times New Roman"/>
          <w:b/>
          <w:bCs/>
          <w:spacing w:val="4"/>
          <w:sz w:val="28"/>
          <w:szCs w:val="28"/>
          <w:lang w:eastAsia="es-ES"/>
        </w:rPr>
      </w:pPr>
    </w:p>
    <w:p w:rsidR="00400E07" w:rsidRPr="00DB625B" w:rsidRDefault="00400E07" w:rsidP="00DB625B">
      <w:pPr>
        <w:pStyle w:val="Prrafodelista"/>
        <w:numPr>
          <w:ilvl w:val="0"/>
          <w:numId w:val="24"/>
        </w:numPr>
        <w:tabs>
          <w:tab w:val="left" w:pos="284"/>
        </w:tabs>
        <w:autoSpaceDE w:val="0"/>
        <w:autoSpaceDN w:val="0"/>
        <w:spacing w:after="0" w:line="240" w:lineRule="auto"/>
        <w:ind w:left="0" w:firstLine="0"/>
        <w:jc w:val="both"/>
        <w:rPr>
          <w:rFonts w:ascii="Times New Roman" w:eastAsia="Times New Roman" w:hAnsi="Times New Roman" w:cs="Times New Roman"/>
          <w:bCs/>
          <w:spacing w:val="4"/>
          <w:sz w:val="28"/>
          <w:szCs w:val="28"/>
          <w:lang w:eastAsia="es-ES"/>
        </w:rPr>
      </w:pPr>
      <w:r w:rsidRPr="00DB625B">
        <w:rPr>
          <w:rFonts w:ascii="Times New Roman" w:eastAsia="Times New Roman" w:hAnsi="Times New Roman" w:cs="Times New Roman"/>
          <w:bCs/>
          <w:spacing w:val="4"/>
          <w:sz w:val="28"/>
          <w:szCs w:val="28"/>
          <w:lang w:eastAsia="es-ES"/>
        </w:rPr>
        <w:t>En el presente caso, la Corte Constitucional estudia una demanda de inconst</w:t>
      </w:r>
      <w:r w:rsidR="003311CA" w:rsidRPr="00DB625B">
        <w:rPr>
          <w:rFonts w:ascii="Times New Roman" w:eastAsia="Times New Roman" w:hAnsi="Times New Roman" w:cs="Times New Roman"/>
          <w:bCs/>
          <w:spacing w:val="4"/>
          <w:sz w:val="28"/>
          <w:szCs w:val="28"/>
          <w:lang w:eastAsia="es-ES"/>
        </w:rPr>
        <w:t>itucionalidad contra</w:t>
      </w:r>
      <w:r w:rsidRPr="00DB625B">
        <w:rPr>
          <w:rFonts w:ascii="Times New Roman" w:eastAsia="Times New Roman" w:hAnsi="Times New Roman" w:cs="Times New Roman"/>
          <w:bCs/>
          <w:spacing w:val="4"/>
          <w:sz w:val="28"/>
          <w:szCs w:val="28"/>
          <w:lang w:eastAsia="es-ES"/>
        </w:rPr>
        <w:t xml:space="preserve"> </w:t>
      </w:r>
      <w:r w:rsidR="00AC4E53" w:rsidRPr="00DB625B">
        <w:rPr>
          <w:rFonts w:ascii="Times New Roman" w:eastAsia="Times New Roman" w:hAnsi="Times New Roman" w:cs="Times New Roman"/>
          <w:bCs/>
          <w:spacing w:val="4"/>
          <w:sz w:val="28"/>
          <w:szCs w:val="28"/>
          <w:lang w:eastAsia="es-ES"/>
        </w:rPr>
        <w:t>el artículo 217</w:t>
      </w:r>
      <w:r w:rsidRPr="00DB625B">
        <w:rPr>
          <w:rFonts w:ascii="Times New Roman" w:eastAsia="Times New Roman" w:hAnsi="Times New Roman" w:cs="Times New Roman"/>
          <w:bCs/>
          <w:spacing w:val="4"/>
          <w:sz w:val="28"/>
          <w:szCs w:val="28"/>
          <w:lang w:eastAsia="es-ES"/>
        </w:rPr>
        <w:t xml:space="preserve"> de la Ley 1952 de 2019, de acuerdo con el cual</w:t>
      </w:r>
      <w:r w:rsidR="00AC4E53" w:rsidRPr="00DB625B">
        <w:rPr>
          <w:rFonts w:ascii="Times New Roman" w:eastAsia="Times New Roman" w:hAnsi="Times New Roman" w:cs="Times New Roman"/>
          <w:bCs/>
          <w:spacing w:val="4"/>
          <w:sz w:val="28"/>
          <w:szCs w:val="28"/>
          <w:lang w:eastAsia="es-ES"/>
        </w:rPr>
        <w:t xml:space="preserve"> es posible suspender </w:t>
      </w:r>
      <w:r w:rsidR="00474E2C" w:rsidRPr="00DB625B">
        <w:rPr>
          <w:rFonts w:ascii="Times New Roman" w:eastAsia="Times New Roman" w:hAnsi="Times New Roman" w:cs="Times New Roman"/>
          <w:bCs/>
          <w:spacing w:val="4"/>
          <w:sz w:val="28"/>
          <w:szCs w:val="28"/>
          <w:lang w:eastAsia="es-ES"/>
        </w:rPr>
        <w:t>provisionalmente del ejercicio del cargo a los funcionarios de elección popular, situación que según las actoras, apareja una interferencia desproporciona</w:t>
      </w:r>
      <w:r w:rsidR="003311CA" w:rsidRPr="00DB625B">
        <w:rPr>
          <w:rFonts w:ascii="Times New Roman" w:eastAsia="Times New Roman" w:hAnsi="Times New Roman" w:cs="Times New Roman"/>
          <w:bCs/>
          <w:spacing w:val="4"/>
          <w:sz w:val="28"/>
          <w:szCs w:val="28"/>
          <w:lang w:eastAsia="es-ES"/>
        </w:rPr>
        <w:t>da</w:t>
      </w:r>
      <w:r w:rsidR="00474E2C" w:rsidRPr="00DB625B">
        <w:rPr>
          <w:rFonts w:ascii="Times New Roman" w:eastAsia="Times New Roman" w:hAnsi="Times New Roman" w:cs="Times New Roman"/>
          <w:bCs/>
          <w:spacing w:val="4"/>
          <w:sz w:val="28"/>
          <w:szCs w:val="28"/>
          <w:lang w:eastAsia="es-ES"/>
        </w:rPr>
        <w:t xml:space="preserve"> de </w:t>
      </w:r>
      <w:r w:rsidR="00AC4E53" w:rsidRPr="00DB625B">
        <w:rPr>
          <w:rFonts w:ascii="Times New Roman" w:eastAsia="Times New Roman" w:hAnsi="Times New Roman" w:cs="Times New Roman"/>
          <w:bCs/>
          <w:spacing w:val="4"/>
          <w:sz w:val="28"/>
          <w:szCs w:val="28"/>
          <w:lang w:eastAsia="es-ES"/>
        </w:rPr>
        <w:t>los derechos pol</w:t>
      </w:r>
      <w:r w:rsidR="00474E2C" w:rsidRPr="00DB625B">
        <w:rPr>
          <w:rFonts w:ascii="Times New Roman" w:eastAsia="Times New Roman" w:hAnsi="Times New Roman" w:cs="Times New Roman"/>
          <w:bCs/>
          <w:spacing w:val="4"/>
          <w:sz w:val="28"/>
          <w:szCs w:val="28"/>
          <w:lang w:eastAsia="es-ES"/>
        </w:rPr>
        <w:t>íticos. Las</w:t>
      </w:r>
      <w:r w:rsidRPr="00DB625B">
        <w:rPr>
          <w:rFonts w:ascii="Times New Roman" w:eastAsia="Times New Roman" w:hAnsi="Times New Roman" w:cs="Times New Roman"/>
          <w:bCs/>
          <w:spacing w:val="4"/>
          <w:sz w:val="28"/>
          <w:szCs w:val="28"/>
          <w:lang w:eastAsia="es-ES"/>
        </w:rPr>
        <w:t xml:space="preserve"> d</w:t>
      </w:r>
      <w:r w:rsidR="00474E2C" w:rsidRPr="00DB625B">
        <w:rPr>
          <w:rFonts w:ascii="Times New Roman" w:eastAsia="Times New Roman" w:hAnsi="Times New Roman" w:cs="Times New Roman"/>
          <w:bCs/>
          <w:spacing w:val="4"/>
          <w:sz w:val="28"/>
          <w:szCs w:val="28"/>
          <w:lang w:eastAsia="es-ES"/>
        </w:rPr>
        <w:t>emandantes argumentaron</w:t>
      </w:r>
      <w:r w:rsidRPr="00DB625B">
        <w:rPr>
          <w:rFonts w:ascii="Times New Roman" w:eastAsia="Times New Roman" w:hAnsi="Times New Roman" w:cs="Times New Roman"/>
          <w:bCs/>
          <w:spacing w:val="4"/>
          <w:sz w:val="28"/>
          <w:szCs w:val="28"/>
          <w:lang w:eastAsia="es-ES"/>
        </w:rPr>
        <w:t xml:space="preserve"> que esta disposición</w:t>
      </w:r>
      <w:r w:rsidR="00474E2C" w:rsidRPr="00DB625B">
        <w:rPr>
          <w:rFonts w:ascii="Times New Roman" w:eastAsia="Times New Roman" w:hAnsi="Times New Roman" w:cs="Times New Roman"/>
          <w:bCs/>
          <w:spacing w:val="4"/>
          <w:sz w:val="28"/>
          <w:szCs w:val="28"/>
          <w:lang w:eastAsia="es-ES"/>
        </w:rPr>
        <w:t xml:space="preserve"> tenía reserva de Ley Estatutaria, al punto que debió expedirse bajo el trámite de los artículos 152 y 153 Superiores</w:t>
      </w:r>
      <w:r w:rsidRPr="00DB625B">
        <w:rPr>
          <w:rFonts w:ascii="Times New Roman" w:eastAsia="Times New Roman" w:hAnsi="Times New Roman" w:cs="Times New Roman"/>
          <w:bCs/>
          <w:spacing w:val="4"/>
          <w:sz w:val="28"/>
          <w:szCs w:val="28"/>
          <w:lang w:eastAsia="es-ES"/>
        </w:rPr>
        <w:t xml:space="preserve">. </w:t>
      </w:r>
    </w:p>
    <w:p w:rsidR="00400E07" w:rsidRPr="00DB625B" w:rsidRDefault="00400E07" w:rsidP="00DB625B">
      <w:pPr>
        <w:pStyle w:val="Prrafodelista"/>
        <w:tabs>
          <w:tab w:val="left" w:pos="0"/>
        </w:tabs>
        <w:spacing w:after="0" w:line="240" w:lineRule="auto"/>
        <w:ind w:left="360"/>
        <w:jc w:val="both"/>
        <w:rPr>
          <w:rFonts w:ascii="Times New Roman" w:eastAsia="Times New Roman" w:hAnsi="Times New Roman" w:cs="Times New Roman"/>
          <w:bCs/>
          <w:spacing w:val="4"/>
          <w:sz w:val="28"/>
          <w:szCs w:val="28"/>
          <w:lang w:eastAsia="es-ES"/>
        </w:rPr>
      </w:pPr>
    </w:p>
    <w:p w:rsidR="00400E07" w:rsidRPr="00DB625B" w:rsidRDefault="00400E07" w:rsidP="00DB625B">
      <w:pPr>
        <w:pStyle w:val="Prrafodelista"/>
        <w:numPr>
          <w:ilvl w:val="1"/>
          <w:numId w:val="24"/>
        </w:numPr>
        <w:tabs>
          <w:tab w:val="left" w:pos="142"/>
        </w:tabs>
        <w:autoSpaceDE w:val="0"/>
        <w:autoSpaceDN w:val="0"/>
        <w:spacing w:after="0" w:line="240" w:lineRule="auto"/>
        <w:ind w:left="0" w:firstLine="0"/>
        <w:jc w:val="both"/>
        <w:rPr>
          <w:rFonts w:ascii="Times New Roman" w:eastAsia="Times New Roman" w:hAnsi="Times New Roman" w:cs="Times New Roman"/>
          <w:bCs/>
          <w:spacing w:val="4"/>
          <w:sz w:val="28"/>
          <w:szCs w:val="28"/>
          <w:lang w:eastAsia="es-ES"/>
        </w:rPr>
      </w:pPr>
      <w:r w:rsidRPr="00DB625B">
        <w:rPr>
          <w:rFonts w:ascii="Times New Roman" w:eastAsia="Times New Roman" w:hAnsi="Times New Roman" w:cs="Times New Roman"/>
          <w:bCs/>
          <w:spacing w:val="4"/>
          <w:sz w:val="28"/>
          <w:szCs w:val="28"/>
          <w:lang w:eastAsia="es-ES"/>
        </w:rPr>
        <w:t>Previo al análisis de mérito, se procede a estudiar tres cuestiones formales relevantes para la decisión, a saber:</w:t>
      </w:r>
    </w:p>
    <w:p w:rsidR="00400E07" w:rsidRPr="00DB625B" w:rsidRDefault="00400E07" w:rsidP="00DB625B">
      <w:pPr>
        <w:pStyle w:val="Prrafodelista"/>
        <w:tabs>
          <w:tab w:val="left" w:pos="0"/>
        </w:tabs>
        <w:spacing w:after="0" w:line="240" w:lineRule="auto"/>
        <w:ind w:left="360"/>
        <w:jc w:val="both"/>
        <w:rPr>
          <w:rFonts w:ascii="Times New Roman" w:eastAsia="Times New Roman" w:hAnsi="Times New Roman" w:cs="Times New Roman"/>
          <w:bCs/>
          <w:spacing w:val="4"/>
          <w:sz w:val="28"/>
          <w:szCs w:val="28"/>
          <w:lang w:eastAsia="es-ES"/>
        </w:rPr>
      </w:pPr>
    </w:p>
    <w:p w:rsidR="00400E07" w:rsidRPr="00DB625B" w:rsidRDefault="00400E07" w:rsidP="00DB625B">
      <w:pPr>
        <w:pStyle w:val="Prrafodelista"/>
        <w:tabs>
          <w:tab w:val="left" w:pos="0"/>
        </w:tabs>
        <w:spacing w:after="0" w:line="240" w:lineRule="auto"/>
        <w:ind w:left="0"/>
        <w:jc w:val="both"/>
        <w:rPr>
          <w:rFonts w:ascii="Times New Roman" w:eastAsia="Times New Roman" w:hAnsi="Times New Roman" w:cs="Times New Roman"/>
          <w:bCs/>
          <w:spacing w:val="4"/>
          <w:sz w:val="28"/>
          <w:szCs w:val="28"/>
          <w:lang w:eastAsia="es-ES"/>
        </w:rPr>
      </w:pPr>
      <w:r w:rsidRPr="00DB625B">
        <w:rPr>
          <w:rFonts w:ascii="Times New Roman" w:eastAsia="Times New Roman" w:hAnsi="Times New Roman" w:cs="Times New Roman"/>
          <w:bCs/>
          <w:spacing w:val="4"/>
          <w:sz w:val="28"/>
          <w:szCs w:val="28"/>
          <w:lang w:eastAsia="es-ES"/>
        </w:rPr>
        <w:t xml:space="preserve"> i) teniendo en cuenta </w:t>
      </w:r>
      <w:r w:rsidR="00474E2C" w:rsidRPr="00DB625B">
        <w:rPr>
          <w:rFonts w:ascii="Times New Roman" w:eastAsia="Times New Roman" w:hAnsi="Times New Roman" w:cs="Times New Roman"/>
          <w:bCs/>
          <w:spacing w:val="4"/>
          <w:sz w:val="28"/>
          <w:szCs w:val="28"/>
          <w:lang w:eastAsia="es-ES"/>
        </w:rPr>
        <w:t xml:space="preserve">que el </w:t>
      </w:r>
      <w:r w:rsidRPr="00DB625B">
        <w:rPr>
          <w:rFonts w:ascii="Times New Roman" w:eastAsia="Times New Roman" w:hAnsi="Times New Roman" w:cs="Times New Roman"/>
          <w:bCs/>
          <w:spacing w:val="4"/>
          <w:sz w:val="28"/>
          <w:szCs w:val="28"/>
          <w:lang w:eastAsia="es-ES"/>
        </w:rPr>
        <w:t>P</w:t>
      </w:r>
      <w:r w:rsidR="00474E2C" w:rsidRPr="00DB625B">
        <w:rPr>
          <w:rFonts w:ascii="Times New Roman" w:eastAsia="Times New Roman" w:hAnsi="Times New Roman" w:cs="Times New Roman"/>
          <w:bCs/>
          <w:spacing w:val="4"/>
          <w:sz w:val="28"/>
          <w:szCs w:val="28"/>
          <w:lang w:eastAsia="es-ES"/>
        </w:rPr>
        <w:t xml:space="preserve">rocurador General de la Nación </w:t>
      </w:r>
      <w:r w:rsidRPr="00DB625B">
        <w:rPr>
          <w:rFonts w:ascii="Times New Roman" w:eastAsia="Times New Roman" w:hAnsi="Times New Roman" w:cs="Times New Roman"/>
          <w:bCs/>
          <w:spacing w:val="4"/>
          <w:sz w:val="28"/>
          <w:szCs w:val="28"/>
          <w:lang w:eastAsia="es-ES"/>
        </w:rPr>
        <w:t xml:space="preserve">pidió a esta Corporación inhibirse de fallar la presente demanda de inconstitucionalidad por la ausencia de vigencia de la </w:t>
      </w:r>
      <w:r w:rsidR="00474E2C" w:rsidRPr="00DB625B">
        <w:rPr>
          <w:rFonts w:ascii="Times New Roman" w:eastAsia="Times New Roman" w:hAnsi="Times New Roman" w:cs="Times New Roman"/>
          <w:bCs/>
          <w:spacing w:val="4"/>
          <w:sz w:val="28"/>
          <w:szCs w:val="28"/>
          <w:lang w:eastAsia="es-ES"/>
        </w:rPr>
        <w:t>Ley 1952 de 2019, la Sala concluye</w:t>
      </w:r>
      <w:r w:rsidRPr="00DB625B">
        <w:rPr>
          <w:rFonts w:ascii="Times New Roman" w:eastAsia="Times New Roman" w:hAnsi="Times New Roman" w:cs="Times New Roman"/>
          <w:bCs/>
          <w:spacing w:val="4"/>
          <w:sz w:val="28"/>
          <w:szCs w:val="28"/>
          <w:lang w:eastAsia="es-ES"/>
        </w:rPr>
        <w:t xml:space="preserve"> que tiene competencia para estudiar el libelo, porque el criterio determinante para realizar un juicio de valide</w:t>
      </w:r>
      <w:r w:rsidR="0055178C" w:rsidRPr="00DB625B">
        <w:rPr>
          <w:rFonts w:ascii="Times New Roman" w:eastAsia="Times New Roman" w:hAnsi="Times New Roman" w:cs="Times New Roman"/>
          <w:bCs/>
          <w:spacing w:val="4"/>
          <w:sz w:val="28"/>
          <w:szCs w:val="28"/>
          <w:lang w:eastAsia="es-ES"/>
        </w:rPr>
        <w:t>z sobre una ley es su promulgación</w:t>
      </w:r>
      <w:r w:rsidRPr="00DB625B">
        <w:rPr>
          <w:rFonts w:ascii="Times New Roman" w:eastAsia="Times New Roman" w:hAnsi="Times New Roman" w:cs="Times New Roman"/>
          <w:bCs/>
          <w:spacing w:val="4"/>
          <w:sz w:val="28"/>
          <w:szCs w:val="28"/>
          <w:lang w:eastAsia="es-ES"/>
        </w:rPr>
        <w:t xml:space="preserve"> y no su vigor. De ahí que, la competencia de esta Corporación no se ve afectada por el hecho de que la ley 1952 de 2019 entre a</w:t>
      </w:r>
      <w:r w:rsidR="00424E23" w:rsidRPr="00DB625B">
        <w:rPr>
          <w:rFonts w:ascii="Times New Roman" w:eastAsia="Times New Roman" w:hAnsi="Times New Roman" w:cs="Times New Roman"/>
          <w:bCs/>
          <w:spacing w:val="4"/>
          <w:sz w:val="28"/>
          <w:szCs w:val="28"/>
          <w:lang w:eastAsia="es-ES"/>
        </w:rPr>
        <w:t xml:space="preserve"> regir en el año 2021</w:t>
      </w:r>
      <w:r w:rsidR="0055178C" w:rsidRPr="00DB625B">
        <w:rPr>
          <w:rFonts w:ascii="Times New Roman" w:eastAsia="Times New Roman" w:hAnsi="Times New Roman" w:cs="Times New Roman"/>
          <w:bCs/>
          <w:spacing w:val="4"/>
          <w:sz w:val="28"/>
          <w:szCs w:val="28"/>
          <w:lang w:eastAsia="es-ES"/>
        </w:rPr>
        <w:t>. Así mismo, recordó que, en varias oportunidades</w:t>
      </w:r>
      <w:r w:rsidR="0055178C" w:rsidRPr="00DB625B">
        <w:rPr>
          <w:rStyle w:val="Refdenotaalpie"/>
          <w:rFonts w:ascii="Times New Roman" w:eastAsia="Times New Roman" w:hAnsi="Times New Roman" w:cs="Times New Roman"/>
          <w:bCs/>
          <w:spacing w:val="4"/>
          <w:sz w:val="28"/>
          <w:szCs w:val="28"/>
          <w:lang w:eastAsia="es-ES"/>
        </w:rPr>
        <w:footnoteReference w:id="77"/>
      </w:r>
      <w:r w:rsidR="0055178C" w:rsidRPr="00DB625B">
        <w:rPr>
          <w:rFonts w:ascii="Times New Roman" w:eastAsia="Times New Roman" w:hAnsi="Times New Roman" w:cs="Times New Roman"/>
          <w:bCs/>
          <w:spacing w:val="4"/>
          <w:sz w:val="28"/>
          <w:szCs w:val="28"/>
          <w:lang w:eastAsia="es-ES"/>
        </w:rPr>
        <w:t>, la Corte ha aceptado estudiar la constitucionalidad de normas que fueron promulgadas y</w:t>
      </w:r>
      <w:r w:rsidR="003E6C4C" w:rsidRPr="00DB625B">
        <w:rPr>
          <w:rFonts w:ascii="Times New Roman" w:eastAsia="Times New Roman" w:hAnsi="Times New Roman" w:cs="Times New Roman"/>
          <w:bCs/>
          <w:spacing w:val="4"/>
          <w:sz w:val="28"/>
          <w:szCs w:val="28"/>
          <w:lang w:eastAsia="es-ES"/>
        </w:rPr>
        <w:t xml:space="preserve"> que su vigencia se encuentra latente</w:t>
      </w:r>
      <w:r w:rsidR="00424E23" w:rsidRPr="00DB625B">
        <w:rPr>
          <w:rFonts w:ascii="Times New Roman" w:eastAsia="Times New Roman" w:hAnsi="Times New Roman" w:cs="Times New Roman"/>
          <w:bCs/>
          <w:spacing w:val="4"/>
          <w:sz w:val="28"/>
          <w:szCs w:val="28"/>
          <w:lang w:eastAsia="es-ES"/>
        </w:rPr>
        <w:t xml:space="preserve"> </w:t>
      </w:r>
      <w:r w:rsidR="003E6C4C" w:rsidRPr="00DB625B">
        <w:rPr>
          <w:rFonts w:ascii="Times New Roman" w:eastAsia="Times New Roman" w:hAnsi="Times New Roman" w:cs="Times New Roman"/>
          <w:bCs/>
          <w:spacing w:val="4"/>
          <w:sz w:val="28"/>
          <w:szCs w:val="28"/>
          <w:lang w:eastAsia="es-ES"/>
        </w:rPr>
        <w:t xml:space="preserve">mientras transcurre el tiempo </w:t>
      </w:r>
      <w:r w:rsidR="00424E23" w:rsidRPr="00DB625B">
        <w:rPr>
          <w:rFonts w:ascii="Times New Roman" w:eastAsia="Times New Roman" w:hAnsi="Times New Roman" w:cs="Times New Roman"/>
          <w:bCs/>
          <w:spacing w:val="4"/>
          <w:sz w:val="28"/>
          <w:szCs w:val="28"/>
          <w:lang w:eastAsia="es-ES"/>
        </w:rPr>
        <w:t>(Supra 3.2</w:t>
      </w:r>
      <w:r w:rsidRPr="00DB625B">
        <w:rPr>
          <w:rFonts w:ascii="Times New Roman" w:eastAsia="Times New Roman" w:hAnsi="Times New Roman" w:cs="Times New Roman"/>
          <w:bCs/>
          <w:spacing w:val="4"/>
          <w:sz w:val="28"/>
          <w:szCs w:val="28"/>
          <w:lang w:eastAsia="es-ES"/>
        </w:rPr>
        <w:t xml:space="preserve">) </w:t>
      </w:r>
    </w:p>
    <w:p w:rsidR="00400E07" w:rsidRPr="00DB625B" w:rsidRDefault="00400E07" w:rsidP="00DB625B">
      <w:pPr>
        <w:pStyle w:val="Prrafodelista"/>
        <w:tabs>
          <w:tab w:val="left" w:pos="0"/>
        </w:tabs>
        <w:spacing w:after="0" w:line="240" w:lineRule="auto"/>
        <w:ind w:left="360"/>
        <w:jc w:val="both"/>
        <w:rPr>
          <w:rFonts w:ascii="Times New Roman" w:eastAsia="Times New Roman" w:hAnsi="Times New Roman" w:cs="Times New Roman"/>
          <w:bCs/>
          <w:spacing w:val="4"/>
          <w:sz w:val="28"/>
          <w:szCs w:val="28"/>
          <w:lang w:eastAsia="es-ES"/>
        </w:rPr>
      </w:pPr>
    </w:p>
    <w:p w:rsidR="00400E07" w:rsidRPr="00DB625B" w:rsidRDefault="00400E07" w:rsidP="00DB625B">
      <w:pPr>
        <w:pStyle w:val="Prrafodelista"/>
        <w:tabs>
          <w:tab w:val="left" w:pos="0"/>
        </w:tabs>
        <w:spacing w:after="0" w:line="240" w:lineRule="auto"/>
        <w:ind w:left="0"/>
        <w:jc w:val="both"/>
        <w:rPr>
          <w:rFonts w:ascii="Times New Roman" w:eastAsia="Times New Roman" w:hAnsi="Times New Roman" w:cs="Times New Roman"/>
          <w:bCs/>
          <w:spacing w:val="4"/>
          <w:sz w:val="28"/>
          <w:szCs w:val="28"/>
          <w:lang w:eastAsia="es-ES"/>
        </w:rPr>
      </w:pPr>
      <w:r w:rsidRPr="00DB625B">
        <w:rPr>
          <w:rFonts w:ascii="Times New Roman" w:eastAsia="Times New Roman" w:hAnsi="Times New Roman" w:cs="Times New Roman"/>
          <w:bCs/>
          <w:spacing w:val="4"/>
          <w:sz w:val="28"/>
          <w:szCs w:val="28"/>
          <w:lang w:eastAsia="es-ES"/>
        </w:rPr>
        <w:t>ii)</w:t>
      </w:r>
      <w:r w:rsidR="00424E23" w:rsidRPr="00DB625B">
        <w:rPr>
          <w:rFonts w:ascii="Times New Roman" w:eastAsia="Times New Roman" w:hAnsi="Times New Roman" w:cs="Times New Roman"/>
          <w:bCs/>
          <w:spacing w:val="4"/>
          <w:sz w:val="28"/>
          <w:szCs w:val="28"/>
          <w:lang w:eastAsia="es-ES"/>
        </w:rPr>
        <w:t xml:space="preserve"> como resultado de la solicitud elevada por el Ministerio del Interior de declar</w:t>
      </w:r>
      <w:r w:rsidR="003311CA" w:rsidRPr="00DB625B">
        <w:rPr>
          <w:rFonts w:ascii="Times New Roman" w:eastAsia="Times New Roman" w:hAnsi="Times New Roman" w:cs="Times New Roman"/>
          <w:bCs/>
          <w:spacing w:val="4"/>
          <w:sz w:val="28"/>
          <w:szCs w:val="28"/>
          <w:lang w:eastAsia="es-ES"/>
        </w:rPr>
        <w:t>atoria de</w:t>
      </w:r>
      <w:r w:rsidR="00424E23" w:rsidRPr="00DB625B">
        <w:rPr>
          <w:rFonts w:ascii="Times New Roman" w:eastAsia="Times New Roman" w:hAnsi="Times New Roman" w:cs="Times New Roman"/>
          <w:bCs/>
          <w:spacing w:val="4"/>
          <w:sz w:val="28"/>
          <w:szCs w:val="28"/>
          <w:lang w:eastAsia="es-ES"/>
        </w:rPr>
        <w:t xml:space="preserve"> cosa juzgada</w:t>
      </w:r>
      <w:r w:rsidR="00854871" w:rsidRPr="00DB625B">
        <w:rPr>
          <w:rFonts w:ascii="Times New Roman" w:eastAsia="Times New Roman" w:hAnsi="Times New Roman" w:cs="Times New Roman"/>
          <w:bCs/>
          <w:spacing w:val="4"/>
          <w:sz w:val="28"/>
          <w:szCs w:val="28"/>
          <w:lang w:eastAsia="es-ES"/>
        </w:rPr>
        <w:t xml:space="preserve"> derivada</w:t>
      </w:r>
      <w:r w:rsidR="00424E23" w:rsidRPr="00DB625B">
        <w:rPr>
          <w:rFonts w:ascii="Times New Roman" w:eastAsia="Times New Roman" w:hAnsi="Times New Roman" w:cs="Times New Roman"/>
          <w:bCs/>
          <w:spacing w:val="4"/>
          <w:sz w:val="28"/>
          <w:szCs w:val="28"/>
          <w:lang w:eastAsia="es-ES"/>
        </w:rPr>
        <w:t xml:space="preserve"> de la decisión de constitucionalidad contenida en la Sentencia C-086 de 2019, esta corte encuentra que</w:t>
      </w:r>
      <w:r w:rsidR="00854871" w:rsidRPr="00DB625B">
        <w:rPr>
          <w:rFonts w:ascii="Times New Roman" w:eastAsia="Times New Roman" w:hAnsi="Times New Roman" w:cs="Times New Roman"/>
          <w:bCs/>
          <w:spacing w:val="4"/>
          <w:sz w:val="28"/>
          <w:szCs w:val="28"/>
          <w:lang w:eastAsia="es-ES"/>
        </w:rPr>
        <w:t xml:space="preserve"> tiene la competencia para pronunciarse sobre la validez constitucional del artículo 217 de la Ley 1952 de 2019 respecto del </w:t>
      </w:r>
      <w:r w:rsidR="00854871" w:rsidRPr="00DB625B">
        <w:rPr>
          <w:rFonts w:ascii="Times New Roman" w:eastAsia="Times New Roman" w:hAnsi="Times New Roman" w:cs="Times New Roman"/>
          <w:bCs/>
          <w:spacing w:val="4"/>
          <w:sz w:val="28"/>
          <w:szCs w:val="28"/>
          <w:lang w:eastAsia="es-ES"/>
        </w:rPr>
        <w:lastRenderedPageBreak/>
        <w:t>cargo de la posible co</w:t>
      </w:r>
      <w:r w:rsidR="00983DB0" w:rsidRPr="00DB625B">
        <w:rPr>
          <w:rFonts w:ascii="Times New Roman" w:eastAsia="Times New Roman" w:hAnsi="Times New Roman" w:cs="Times New Roman"/>
          <w:bCs/>
          <w:spacing w:val="4"/>
          <w:sz w:val="28"/>
          <w:szCs w:val="28"/>
          <w:lang w:eastAsia="es-ES"/>
        </w:rPr>
        <w:t>nculcación de los</w:t>
      </w:r>
      <w:r w:rsidR="00854871" w:rsidRPr="00DB625B">
        <w:rPr>
          <w:rFonts w:ascii="Times New Roman" w:eastAsia="Times New Roman" w:hAnsi="Times New Roman" w:cs="Times New Roman"/>
          <w:bCs/>
          <w:spacing w:val="4"/>
          <w:sz w:val="28"/>
          <w:szCs w:val="28"/>
          <w:lang w:eastAsia="es-ES"/>
        </w:rPr>
        <w:t xml:space="preserve"> artículo</w:t>
      </w:r>
      <w:r w:rsidR="00983DB0" w:rsidRPr="00DB625B">
        <w:rPr>
          <w:rFonts w:ascii="Times New Roman" w:eastAsia="Times New Roman" w:hAnsi="Times New Roman" w:cs="Times New Roman"/>
          <w:bCs/>
          <w:spacing w:val="4"/>
          <w:sz w:val="28"/>
          <w:szCs w:val="28"/>
          <w:lang w:eastAsia="es-ES"/>
        </w:rPr>
        <w:t>s</w:t>
      </w:r>
      <w:r w:rsidR="00854871" w:rsidRPr="00DB625B">
        <w:rPr>
          <w:rFonts w:ascii="Times New Roman" w:eastAsia="Times New Roman" w:hAnsi="Times New Roman" w:cs="Times New Roman"/>
          <w:bCs/>
          <w:spacing w:val="4"/>
          <w:sz w:val="28"/>
          <w:szCs w:val="28"/>
          <w:lang w:eastAsia="es-ES"/>
        </w:rPr>
        <w:t xml:space="preserve"> 152 y 153 Superiores, dado que nunca ha estudiado la constitucionalidad de esa proposición jurídica frente a dicha disposición de la Carta Política</w:t>
      </w:r>
      <w:r w:rsidR="00424E23" w:rsidRPr="00DB625B">
        <w:rPr>
          <w:rFonts w:ascii="Times New Roman" w:eastAsia="Times New Roman" w:hAnsi="Times New Roman" w:cs="Times New Roman"/>
          <w:bCs/>
          <w:spacing w:val="4"/>
          <w:sz w:val="28"/>
          <w:szCs w:val="28"/>
          <w:lang w:eastAsia="es-ES"/>
        </w:rPr>
        <w:t xml:space="preserve"> </w:t>
      </w:r>
      <w:r w:rsidR="00854871" w:rsidRPr="00DB625B">
        <w:rPr>
          <w:rFonts w:ascii="Times New Roman" w:eastAsia="Times New Roman" w:hAnsi="Times New Roman" w:cs="Times New Roman"/>
          <w:bCs/>
          <w:spacing w:val="4"/>
          <w:sz w:val="28"/>
          <w:szCs w:val="28"/>
          <w:lang w:eastAsia="es-ES"/>
        </w:rPr>
        <w:t>(Supra 4</w:t>
      </w:r>
      <w:r w:rsidR="003311CA" w:rsidRPr="00DB625B">
        <w:rPr>
          <w:rFonts w:ascii="Times New Roman" w:eastAsia="Times New Roman" w:hAnsi="Times New Roman" w:cs="Times New Roman"/>
          <w:bCs/>
          <w:spacing w:val="4"/>
          <w:sz w:val="28"/>
          <w:szCs w:val="28"/>
          <w:lang w:eastAsia="es-ES"/>
        </w:rPr>
        <w:t>.3</w:t>
      </w:r>
      <w:r w:rsidR="00424E23" w:rsidRPr="00DB625B">
        <w:rPr>
          <w:rFonts w:ascii="Times New Roman" w:eastAsia="Times New Roman" w:hAnsi="Times New Roman" w:cs="Times New Roman"/>
          <w:bCs/>
          <w:spacing w:val="4"/>
          <w:sz w:val="28"/>
          <w:szCs w:val="28"/>
          <w:lang w:eastAsia="es-ES"/>
        </w:rPr>
        <w:t>).</w:t>
      </w:r>
      <w:r w:rsidR="00983DB0" w:rsidRPr="00DB625B">
        <w:rPr>
          <w:rFonts w:ascii="Times New Roman" w:eastAsia="Times New Roman" w:hAnsi="Times New Roman" w:cs="Times New Roman"/>
          <w:bCs/>
          <w:spacing w:val="4"/>
          <w:sz w:val="28"/>
          <w:szCs w:val="28"/>
          <w:lang w:eastAsia="es-ES"/>
        </w:rPr>
        <w:t xml:space="preserve"> E</w:t>
      </w:r>
      <w:r w:rsidR="00854871" w:rsidRPr="00DB625B">
        <w:rPr>
          <w:rFonts w:ascii="Times New Roman" w:eastAsia="Times New Roman" w:hAnsi="Times New Roman" w:cs="Times New Roman"/>
          <w:bCs/>
          <w:spacing w:val="4"/>
          <w:sz w:val="28"/>
          <w:szCs w:val="28"/>
          <w:lang w:eastAsia="es-ES"/>
        </w:rPr>
        <w:t>n Sentencia C-086 de 2019</w:t>
      </w:r>
      <w:r w:rsidR="00424E23" w:rsidRPr="00DB625B">
        <w:rPr>
          <w:rFonts w:ascii="Times New Roman" w:eastAsia="Times New Roman" w:hAnsi="Times New Roman" w:cs="Times New Roman"/>
          <w:bCs/>
          <w:spacing w:val="4"/>
          <w:sz w:val="28"/>
          <w:szCs w:val="28"/>
          <w:lang w:eastAsia="es-ES"/>
        </w:rPr>
        <w:t xml:space="preserve">, la Sala estudió </w:t>
      </w:r>
      <w:r w:rsidR="00854871" w:rsidRPr="00DB625B">
        <w:rPr>
          <w:rFonts w:ascii="Times New Roman" w:eastAsia="Times New Roman" w:hAnsi="Times New Roman" w:cs="Times New Roman"/>
          <w:bCs/>
          <w:spacing w:val="4"/>
          <w:sz w:val="28"/>
          <w:szCs w:val="28"/>
          <w:lang w:eastAsia="es-ES"/>
        </w:rPr>
        <w:t xml:space="preserve">la norma demandada </w:t>
      </w:r>
      <w:r w:rsidR="00424E23" w:rsidRPr="00DB625B">
        <w:rPr>
          <w:rFonts w:ascii="Times New Roman" w:eastAsia="Times New Roman" w:hAnsi="Times New Roman" w:cs="Times New Roman"/>
          <w:bCs/>
          <w:spacing w:val="4"/>
          <w:sz w:val="28"/>
          <w:szCs w:val="28"/>
          <w:lang w:eastAsia="es-ES"/>
        </w:rPr>
        <w:t>por</w:t>
      </w:r>
      <w:r w:rsidR="00854871" w:rsidRPr="00DB625B">
        <w:rPr>
          <w:rFonts w:ascii="Times New Roman" w:eastAsia="Times New Roman" w:hAnsi="Times New Roman" w:cs="Times New Roman"/>
          <w:bCs/>
          <w:spacing w:val="4"/>
          <w:sz w:val="28"/>
          <w:szCs w:val="28"/>
          <w:lang w:eastAsia="es-ES"/>
        </w:rPr>
        <w:t xml:space="preserve"> </w:t>
      </w:r>
      <w:r w:rsidR="00EF3EBB" w:rsidRPr="00DB625B">
        <w:rPr>
          <w:rFonts w:ascii="Times New Roman" w:eastAsia="Times New Roman" w:hAnsi="Times New Roman" w:cs="Times New Roman"/>
          <w:bCs/>
          <w:spacing w:val="4"/>
          <w:sz w:val="28"/>
          <w:szCs w:val="28"/>
          <w:lang w:eastAsia="es-ES"/>
        </w:rPr>
        <w:t>pres</w:t>
      </w:r>
      <w:r w:rsidR="00854871" w:rsidRPr="00DB625B">
        <w:rPr>
          <w:rFonts w:ascii="Times New Roman" w:eastAsia="Times New Roman" w:hAnsi="Times New Roman" w:cs="Times New Roman"/>
          <w:bCs/>
          <w:spacing w:val="4"/>
          <w:sz w:val="28"/>
          <w:szCs w:val="28"/>
          <w:lang w:eastAsia="es-ES"/>
        </w:rPr>
        <w:t>unto desconocimiento del artículo 23 de la Convención Americana sobre Derechos Humanos</w:t>
      </w:r>
      <w:r w:rsidR="00983DB0" w:rsidRPr="00DB625B">
        <w:rPr>
          <w:rFonts w:ascii="Times New Roman" w:eastAsia="Times New Roman" w:hAnsi="Times New Roman" w:cs="Times New Roman"/>
          <w:bCs/>
          <w:spacing w:val="4"/>
          <w:sz w:val="28"/>
          <w:szCs w:val="28"/>
          <w:lang w:eastAsia="es-ES"/>
        </w:rPr>
        <w:t>;</w:t>
      </w:r>
      <w:r w:rsidR="00854871" w:rsidRPr="00DB625B">
        <w:rPr>
          <w:rFonts w:ascii="Times New Roman" w:eastAsia="Times New Roman" w:hAnsi="Times New Roman" w:cs="Times New Roman"/>
          <w:bCs/>
          <w:spacing w:val="4"/>
          <w:sz w:val="28"/>
          <w:szCs w:val="28"/>
          <w:lang w:eastAsia="es-ES"/>
        </w:rPr>
        <w:t xml:space="preserve"> </w:t>
      </w:r>
      <w:r w:rsidR="00983DB0" w:rsidRPr="00DB625B">
        <w:rPr>
          <w:rFonts w:ascii="Times New Roman" w:eastAsia="Times New Roman" w:hAnsi="Times New Roman" w:cs="Times New Roman"/>
          <w:spacing w:val="4"/>
          <w:sz w:val="28"/>
          <w:szCs w:val="28"/>
          <w:lang w:eastAsia="es-ES"/>
        </w:rPr>
        <w:t xml:space="preserve">mientras </w:t>
      </w:r>
      <w:r w:rsidR="0097645C" w:rsidRPr="00DB625B">
        <w:rPr>
          <w:rFonts w:ascii="Times New Roman" w:eastAsia="Times New Roman" w:hAnsi="Times New Roman" w:cs="Times New Roman"/>
          <w:spacing w:val="4"/>
          <w:sz w:val="28"/>
          <w:szCs w:val="28"/>
          <w:lang w:eastAsia="es-ES"/>
        </w:rPr>
        <w:t xml:space="preserve">que, </w:t>
      </w:r>
      <w:r w:rsidR="00983DB0" w:rsidRPr="00DB625B">
        <w:rPr>
          <w:rFonts w:ascii="Times New Roman" w:eastAsia="Times New Roman" w:hAnsi="Times New Roman" w:cs="Times New Roman"/>
          <w:spacing w:val="4"/>
          <w:sz w:val="28"/>
          <w:szCs w:val="28"/>
          <w:lang w:eastAsia="es-ES"/>
        </w:rPr>
        <w:t>en el presente proceso</w:t>
      </w:r>
      <w:r w:rsidR="0097645C" w:rsidRPr="00DB625B">
        <w:rPr>
          <w:rFonts w:ascii="Times New Roman" w:eastAsia="Times New Roman" w:hAnsi="Times New Roman" w:cs="Times New Roman"/>
          <w:spacing w:val="4"/>
          <w:sz w:val="28"/>
          <w:szCs w:val="28"/>
          <w:lang w:eastAsia="es-ES"/>
        </w:rPr>
        <w:t>,</w:t>
      </w:r>
      <w:r w:rsidR="00983DB0" w:rsidRPr="00DB625B">
        <w:rPr>
          <w:rFonts w:ascii="Times New Roman" w:eastAsia="Times New Roman" w:hAnsi="Times New Roman" w:cs="Times New Roman"/>
          <w:spacing w:val="4"/>
          <w:sz w:val="28"/>
          <w:szCs w:val="28"/>
          <w:lang w:eastAsia="es-ES"/>
        </w:rPr>
        <w:t xml:space="preserve"> las</w:t>
      </w:r>
      <w:r w:rsidR="00854871" w:rsidRPr="00DB625B">
        <w:rPr>
          <w:rFonts w:ascii="Times New Roman" w:eastAsia="Times New Roman" w:hAnsi="Times New Roman" w:cs="Times New Roman"/>
          <w:spacing w:val="4"/>
          <w:sz w:val="28"/>
          <w:szCs w:val="28"/>
          <w:lang w:eastAsia="es-ES"/>
        </w:rPr>
        <w:t xml:space="preserve"> </w:t>
      </w:r>
      <w:r w:rsidR="00983DB0" w:rsidRPr="00DB625B">
        <w:rPr>
          <w:rFonts w:ascii="Times New Roman" w:eastAsia="Times New Roman" w:hAnsi="Times New Roman" w:cs="Times New Roman"/>
          <w:spacing w:val="4"/>
          <w:sz w:val="28"/>
          <w:szCs w:val="28"/>
          <w:lang w:eastAsia="es-ES"/>
        </w:rPr>
        <w:t>ciudadana</w:t>
      </w:r>
      <w:r w:rsidR="00854871" w:rsidRPr="00DB625B">
        <w:rPr>
          <w:rFonts w:ascii="Times New Roman" w:eastAsia="Times New Roman" w:hAnsi="Times New Roman" w:cs="Times New Roman"/>
          <w:spacing w:val="4"/>
          <w:sz w:val="28"/>
          <w:szCs w:val="28"/>
          <w:lang w:eastAsia="es-ES"/>
        </w:rPr>
        <w:t>s atacan la norma por invadir la órbita del legislador estatutario, sin que se hubiese surtid</w:t>
      </w:r>
      <w:r w:rsidR="00983DB0" w:rsidRPr="00DB625B">
        <w:rPr>
          <w:rFonts w:ascii="Times New Roman" w:eastAsia="Times New Roman" w:hAnsi="Times New Roman" w:cs="Times New Roman"/>
          <w:spacing w:val="4"/>
          <w:sz w:val="28"/>
          <w:szCs w:val="28"/>
          <w:lang w:eastAsia="es-ES"/>
        </w:rPr>
        <w:t>o el trámite pertinente. Por ende, se trata de cargos de constitucionalidad distintos</w:t>
      </w:r>
      <w:r w:rsidR="00854871" w:rsidRPr="00DB625B">
        <w:rPr>
          <w:rFonts w:ascii="Times New Roman" w:eastAsia="Times New Roman" w:hAnsi="Times New Roman" w:cs="Times New Roman"/>
          <w:bCs/>
          <w:spacing w:val="4"/>
          <w:sz w:val="28"/>
          <w:szCs w:val="28"/>
          <w:lang w:eastAsia="es-ES"/>
        </w:rPr>
        <w:t xml:space="preserve">; </w:t>
      </w:r>
      <w:r w:rsidRPr="00DB625B">
        <w:rPr>
          <w:rFonts w:ascii="Times New Roman" w:eastAsia="Times New Roman" w:hAnsi="Times New Roman" w:cs="Times New Roman"/>
          <w:bCs/>
          <w:spacing w:val="4"/>
          <w:sz w:val="28"/>
          <w:szCs w:val="28"/>
          <w:lang w:eastAsia="es-ES"/>
        </w:rPr>
        <w:t xml:space="preserve">y </w:t>
      </w:r>
    </w:p>
    <w:p w:rsidR="00400E07" w:rsidRPr="00DB625B" w:rsidRDefault="00400E07" w:rsidP="00DB625B">
      <w:pPr>
        <w:pStyle w:val="Prrafodelista"/>
        <w:tabs>
          <w:tab w:val="left" w:pos="0"/>
        </w:tabs>
        <w:spacing w:after="0" w:line="240" w:lineRule="auto"/>
        <w:ind w:left="360"/>
        <w:jc w:val="both"/>
        <w:rPr>
          <w:rFonts w:ascii="Times New Roman" w:eastAsia="Times New Roman" w:hAnsi="Times New Roman" w:cs="Times New Roman"/>
          <w:bCs/>
          <w:spacing w:val="4"/>
          <w:sz w:val="28"/>
          <w:szCs w:val="28"/>
          <w:lang w:eastAsia="es-ES"/>
        </w:rPr>
      </w:pPr>
    </w:p>
    <w:p w:rsidR="00400E07" w:rsidRPr="00DB625B" w:rsidRDefault="00400E07" w:rsidP="00DB625B">
      <w:pPr>
        <w:pStyle w:val="Prrafodelista"/>
        <w:tabs>
          <w:tab w:val="left" w:pos="0"/>
        </w:tabs>
        <w:spacing w:after="0" w:line="240" w:lineRule="auto"/>
        <w:ind w:left="0"/>
        <w:jc w:val="both"/>
        <w:rPr>
          <w:rFonts w:ascii="Times New Roman" w:eastAsia="Times New Roman" w:hAnsi="Times New Roman" w:cs="Times New Roman"/>
          <w:bCs/>
          <w:spacing w:val="4"/>
          <w:sz w:val="28"/>
          <w:szCs w:val="28"/>
          <w:lang w:eastAsia="es-ES"/>
        </w:rPr>
      </w:pPr>
      <w:r w:rsidRPr="00DB625B">
        <w:rPr>
          <w:rFonts w:ascii="Times New Roman" w:eastAsia="Times New Roman" w:hAnsi="Times New Roman" w:cs="Times New Roman"/>
          <w:bCs/>
          <w:spacing w:val="4"/>
          <w:sz w:val="28"/>
          <w:szCs w:val="28"/>
          <w:lang w:eastAsia="es-ES"/>
        </w:rPr>
        <w:t xml:space="preserve">iii) </w:t>
      </w:r>
      <w:r w:rsidR="00424E23" w:rsidRPr="00DB625B">
        <w:rPr>
          <w:rFonts w:ascii="Times New Roman" w:eastAsia="Times New Roman" w:hAnsi="Times New Roman" w:cs="Times New Roman"/>
          <w:bCs/>
          <w:spacing w:val="4"/>
          <w:sz w:val="28"/>
          <w:szCs w:val="28"/>
          <w:lang w:eastAsia="es-ES"/>
        </w:rPr>
        <w:t xml:space="preserve">pese a los cuestionamientos de ineptitud sustantiva de la demanda por parte de la Cámara de Representantes, la Sala concluye que la censura propuesta por las ciudadanas </w:t>
      </w:r>
      <w:r w:rsidR="00424E23" w:rsidRPr="00DB625B">
        <w:rPr>
          <w:rFonts w:ascii="Times New Roman" w:eastAsia="Times New Roman" w:hAnsi="Times New Roman" w:cs="Times New Roman"/>
          <w:sz w:val="28"/>
          <w:szCs w:val="28"/>
          <w:lang w:val="es-ES_tradnl" w:eastAsia="es-ES"/>
        </w:rPr>
        <w:t>Martha Yohana Reyes Medina y Liliana Patricia Ruíz Urrea</w:t>
      </w:r>
      <w:r w:rsidR="00424E23" w:rsidRPr="00DB625B">
        <w:rPr>
          <w:rFonts w:ascii="Times New Roman" w:eastAsia="Times New Roman" w:hAnsi="Times New Roman" w:cs="Times New Roman"/>
          <w:bCs/>
          <w:spacing w:val="4"/>
          <w:sz w:val="28"/>
          <w:szCs w:val="28"/>
          <w:lang w:eastAsia="es-ES"/>
        </w:rPr>
        <w:t xml:space="preserve"> observó los requisitos p</w:t>
      </w:r>
      <w:r w:rsidR="0097645C" w:rsidRPr="00DB625B">
        <w:rPr>
          <w:rFonts w:ascii="Times New Roman" w:eastAsia="Times New Roman" w:hAnsi="Times New Roman" w:cs="Times New Roman"/>
          <w:bCs/>
          <w:spacing w:val="4"/>
          <w:sz w:val="28"/>
          <w:szCs w:val="28"/>
          <w:lang w:eastAsia="es-ES"/>
        </w:rPr>
        <w:t>ara proferir una decisión de mérito</w:t>
      </w:r>
      <w:r w:rsidR="00424E23" w:rsidRPr="00DB625B">
        <w:rPr>
          <w:rFonts w:ascii="Times New Roman" w:eastAsia="Times New Roman" w:hAnsi="Times New Roman" w:cs="Times New Roman"/>
          <w:bCs/>
          <w:spacing w:val="4"/>
          <w:sz w:val="28"/>
          <w:szCs w:val="28"/>
          <w:lang w:eastAsia="es-ES"/>
        </w:rPr>
        <w:t>, por cuanto lo</w:t>
      </w:r>
      <w:r w:rsidR="00EF3EBB" w:rsidRPr="00DB625B">
        <w:rPr>
          <w:rFonts w:ascii="Times New Roman" w:eastAsia="Times New Roman" w:hAnsi="Times New Roman" w:cs="Times New Roman"/>
          <w:bCs/>
          <w:spacing w:val="4"/>
          <w:sz w:val="28"/>
          <w:szCs w:val="28"/>
          <w:lang w:eastAsia="es-ES"/>
        </w:rPr>
        <w:t>s cargos son claros, ciertos</w:t>
      </w:r>
      <w:r w:rsidR="00424E23" w:rsidRPr="00DB625B">
        <w:rPr>
          <w:rFonts w:ascii="Times New Roman" w:eastAsia="Times New Roman" w:hAnsi="Times New Roman" w:cs="Times New Roman"/>
          <w:bCs/>
          <w:spacing w:val="4"/>
          <w:sz w:val="28"/>
          <w:szCs w:val="28"/>
          <w:lang w:eastAsia="es-ES"/>
        </w:rPr>
        <w:t>, específicos, pertinentes y suficientes, al cuestionar la medida de suspensión provisional por haber sido tramitada en el mar</w:t>
      </w:r>
      <w:r w:rsidR="0097645C" w:rsidRPr="00DB625B">
        <w:rPr>
          <w:rFonts w:ascii="Times New Roman" w:eastAsia="Times New Roman" w:hAnsi="Times New Roman" w:cs="Times New Roman"/>
          <w:bCs/>
          <w:spacing w:val="4"/>
          <w:sz w:val="28"/>
          <w:szCs w:val="28"/>
          <w:lang w:eastAsia="es-ES"/>
        </w:rPr>
        <w:t xml:space="preserve">co del procedimiento ordinario y por medio </w:t>
      </w:r>
      <w:r w:rsidR="00424E23" w:rsidRPr="00DB625B">
        <w:rPr>
          <w:rFonts w:ascii="Times New Roman" w:eastAsia="Times New Roman" w:hAnsi="Times New Roman" w:cs="Times New Roman"/>
          <w:bCs/>
          <w:spacing w:val="4"/>
          <w:sz w:val="28"/>
          <w:szCs w:val="28"/>
          <w:lang w:eastAsia="es-ES"/>
        </w:rPr>
        <w:t xml:space="preserve">de ley estatutaria </w:t>
      </w:r>
      <w:r w:rsidR="00983DB0" w:rsidRPr="00DB625B">
        <w:rPr>
          <w:rFonts w:ascii="Times New Roman" w:eastAsia="Times New Roman" w:hAnsi="Times New Roman" w:cs="Times New Roman"/>
          <w:bCs/>
          <w:spacing w:val="4"/>
          <w:sz w:val="28"/>
          <w:szCs w:val="28"/>
          <w:lang w:eastAsia="es-ES"/>
        </w:rPr>
        <w:t>(Supra 5</w:t>
      </w:r>
      <w:r w:rsidR="0097645C" w:rsidRPr="00DB625B">
        <w:rPr>
          <w:rFonts w:ascii="Times New Roman" w:eastAsia="Times New Roman" w:hAnsi="Times New Roman" w:cs="Times New Roman"/>
          <w:bCs/>
          <w:spacing w:val="4"/>
          <w:sz w:val="28"/>
          <w:szCs w:val="28"/>
          <w:lang w:eastAsia="es-ES"/>
        </w:rPr>
        <w:t>.4</w:t>
      </w:r>
      <w:r w:rsidR="00424E23" w:rsidRPr="00DB625B">
        <w:rPr>
          <w:rFonts w:ascii="Times New Roman" w:eastAsia="Times New Roman" w:hAnsi="Times New Roman" w:cs="Times New Roman"/>
          <w:bCs/>
          <w:spacing w:val="4"/>
          <w:sz w:val="28"/>
          <w:szCs w:val="28"/>
          <w:lang w:eastAsia="es-ES"/>
        </w:rPr>
        <w:t xml:space="preserve">)  </w:t>
      </w:r>
    </w:p>
    <w:p w:rsidR="00400E07" w:rsidRPr="00DB625B" w:rsidRDefault="00400E07" w:rsidP="00DB625B">
      <w:pPr>
        <w:pStyle w:val="Prrafodelista"/>
        <w:tabs>
          <w:tab w:val="left" w:pos="0"/>
        </w:tabs>
        <w:spacing w:after="0" w:line="240" w:lineRule="auto"/>
        <w:ind w:left="360"/>
        <w:jc w:val="both"/>
        <w:rPr>
          <w:rFonts w:ascii="Times New Roman" w:eastAsia="Times New Roman" w:hAnsi="Times New Roman" w:cs="Times New Roman"/>
          <w:bCs/>
          <w:spacing w:val="4"/>
          <w:sz w:val="28"/>
          <w:szCs w:val="28"/>
          <w:lang w:eastAsia="es-ES"/>
        </w:rPr>
      </w:pPr>
    </w:p>
    <w:p w:rsidR="00400E07" w:rsidRPr="00DB625B" w:rsidRDefault="00400E07" w:rsidP="00DB625B">
      <w:pPr>
        <w:tabs>
          <w:tab w:val="left" w:pos="0"/>
        </w:tabs>
        <w:spacing w:after="0" w:line="240" w:lineRule="auto"/>
        <w:jc w:val="both"/>
        <w:rPr>
          <w:rFonts w:ascii="Times New Roman" w:eastAsia="Times New Roman" w:hAnsi="Times New Roman" w:cs="Times New Roman"/>
          <w:bCs/>
          <w:spacing w:val="4"/>
          <w:sz w:val="28"/>
          <w:szCs w:val="28"/>
          <w:lang w:eastAsia="es-ES"/>
        </w:rPr>
      </w:pPr>
      <w:r w:rsidRPr="00DB625B">
        <w:rPr>
          <w:rFonts w:ascii="Times New Roman" w:eastAsia="Times New Roman" w:hAnsi="Times New Roman" w:cs="Times New Roman"/>
          <w:bCs/>
          <w:spacing w:val="4"/>
          <w:sz w:val="28"/>
          <w:szCs w:val="28"/>
          <w:lang w:eastAsia="es-ES"/>
        </w:rPr>
        <w:t>En ese contexto, e</w:t>
      </w:r>
      <w:r w:rsidR="0097645C" w:rsidRPr="00DB625B">
        <w:rPr>
          <w:rFonts w:ascii="Times New Roman" w:eastAsia="Times New Roman" w:hAnsi="Times New Roman" w:cs="Times New Roman"/>
          <w:bCs/>
          <w:spacing w:val="4"/>
          <w:sz w:val="28"/>
          <w:szCs w:val="28"/>
          <w:lang w:eastAsia="es-ES"/>
        </w:rPr>
        <w:t>l problema</w:t>
      </w:r>
      <w:r w:rsidRPr="00DB625B">
        <w:rPr>
          <w:rFonts w:ascii="Times New Roman" w:eastAsia="Times New Roman" w:hAnsi="Times New Roman" w:cs="Times New Roman"/>
          <w:bCs/>
          <w:spacing w:val="4"/>
          <w:sz w:val="28"/>
          <w:szCs w:val="28"/>
          <w:lang w:eastAsia="es-ES"/>
        </w:rPr>
        <w:t xml:space="preserve"> que debe resolver la Sala Plena consiste en determinar </w:t>
      </w:r>
      <w:r w:rsidR="00983DB0" w:rsidRPr="00DB625B">
        <w:rPr>
          <w:rFonts w:ascii="Times New Roman" w:eastAsia="Times New Roman" w:hAnsi="Times New Roman" w:cs="Times New Roman"/>
          <w:sz w:val="28"/>
          <w:szCs w:val="28"/>
          <w:lang w:val="es-ES" w:eastAsia="es-ES"/>
        </w:rPr>
        <w:t>¿el artículo 217 de la  Ley 1952 de 2019 desconoció los  artículos 152 y 153 de la Constitución, al permitir que una autoridad administrativa suspenda provisionalmente a los empleados públicos elegidos popularmente, disposición que, según las demandantes, tiene reserva de ley estatutaria, debido a que interfiere de manera desproporcionada el núcleo del derecho fundamental a ejercer el derecho político a ocupar cargos públicos?</w:t>
      </w:r>
    </w:p>
    <w:p w:rsidR="00400E07" w:rsidRPr="00DB625B" w:rsidRDefault="00400E07" w:rsidP="00DB625B">
      <w:pPr>
        <w:pStyle w:val="Prrafodelista"/>
        <w:spacing w:after="0" w:line="240" w:lineRule="auto"/>
        <w:ind w:left="360"/>
        <w:jc w:val="both"/>
        <w:rPr>
          <w:rFonts w:ascii="Times New Roman" w:eastAsia="Times New Roman" w:hAnsi="Times New Roman" w:cs="Times New Roman"/>
          <w:bCs/>
          <w:spacing w:val="4"/>
          <w:sz w:val="28"/>
          <w:szCs w:val="28"/>
          <w:lang w:eastAsia="es-ES"/>
        </w:rPr>
      </w:pPr>
    </w:p>
    <w:p w:rsidR="00983DB0" w:rsidRPr="00DB625B" w:rsidRDefault="00400E07" w:rsidP="00DB625B">
      <w:pPr>
        <w:pStyle w:val="Prrafodelista"/>
        <w:numPr>
          <w:ilvl w:val="1"/>
          <w:numId w:val="24"/>
        </w:numPr>
        <w:tabs>
          <w:tab w:val="left" w:pos="0"/>
        </w:tabs>
        <w:spacing w:after="0" w:line="240" w:lineRule="auto"/>
        <w:ind w:left="0" w:firstLine="0"/>
        <w:jc w:val="both"/>
        <w:rPr>
          <w:rFonts w:ascii="Times New Roman" w:eastAsia="Times New Roman" w:hAnsi="Times New Roman" w:cs="Times New Roman"/>
          <w:bCs/>
          <w:iCs/>
          <w:sz w:val="28"/>
          <w:szCs w:val="28"/>
          <w:lang w:eastAsia="es-ES"/>
        </w:rPr>
      </w:pPr>
      <w:r w:rsidRPr="00DB625B">
        <w:rPr>
          <w:rFonts w:ascii="Times New Roman" w:eastAsia="Times New Roman" w:hAnsi="Times New Roman" w:cs="Times New Roman"/>
          <w:bCs/>
          <w:spacing w:val="4"/>
          <w:sz w:val="28"/>
          <w:szCs w:val="28"/>
          <w:lang w:eastAsia="es-ES"/>
        </w:rPr>
        <w:t xml:space="preserve">Ante esa incógnita, </w:t>
      </w:r>
      <w:r w:rsidR="00D83911" w:rsidRPr="00DB625B">
        <w:rPr>
          <w:rFonts w:ascii="Times New Roman" w:eastAsia="Times New Roman" w:hAnsi="Times New Roman" w:cs="Times New Roman"/>
          <w:bCs/>
          <w:spacing w:val="4"/>
          <w:sz w:val="28"/>
          <w:szCs w:val="28"/>
          <w:lang w:eastAsia="es-ES"/>
        </w:rPr>
        <w:t xml:space="preserve">la Corte </w:t>
      </w:r>
      <w:r w:rsidRPr="00DB625B">
        <w:rPr>
          <w:rFonts w:ascii="Times New Roman" w:eastAsia="Times New Roman" w:hAnsi="Times New Roman" w:cs="Times New Roman"/>
          <w:bCs/>
          <w:spacing w:val="4"/>
          <w:sz w:val="28"/>
          <w:szCs w:val="28"/>
          <w:lang w:eastAsia="es-ES"/>
        </w:rPr>
        <w:t>recordó que</w:t>
      </w:r>
      <w:r w:rsidR="00983DB0" w:rsidRPr="00DB625B">
        <w:rPr>
          <w:rFonts w:ascii="Times New Roman" w:eastAsia="Times New Roman" w:hAnsi="Times New Roman" w:cs="Times New Roman"/>
          <w:bCs/>
          <w:spacing w:val="4"/>
          <w:sz w:val="28"/>
          <w:szCs w:val="28"/>
          <w:lang w:eastAsia="es-ES"/>
        </w:rPr>
        <w:t>,</w:t>
      </w:r>
      <w:r w:rsidR="00983DB0" w:rsidRPr="00DB625B">
        <w:rPr>
          <w:rFonts w:ascii="Times New Roman" w:eastAsia="Times New Roman" w:hAnsi="Times New Roman" w:cs="Times New Roman"/>
          <w:sz w:val="28"/>
          <w:szCs w:val="28"/>
          <w:lang w:eastAsia="es-ES"/>
        </w:rPr>
        <w:t xml:space="preserve"> por regla general, la normatividad que regula los procedimientos, entre ellos los disciplinarios, no tiene reserva de ley estatutaria, pese a que estén relacionados con el ejercicio de der</w:t>
      </w:r>
      <w:r w:rsidR="00EF3EBB" w:rsidRPr="00DB625B">
        <w:rPr>
          <w:rFonts w:ascii="Times New Roman" w:eastAsia="Times New Roman" w:hAnsi="Times New Roman" w:cs="Times New Roman"/>
          <w:sz w:val="28"/>
          <w:szCs w:val="28"/>
          <w:lang w:eastAsia="es-ES"/>
        </w:rPr>
        <w:t>echos fundamentales. No obstante lo cual</w:t>
      </w:r>
      <w:r w:rsidR="00983DB0" w:rsidRPr="00DB625B">
        <w:rPr>
          <w:rFonts w:ascii="Times New Roman" w:eastAsia="Times New Roman" w:hAnsi="Times New Roman" w:cs="Times New Roman"/>
          <w:sz w:val="28"/>
          <w:szCs w:val="28"/>
          <w:lang w:eastAsia="es-ES"/>
        </w:rPr>
        <w:t>, la jurisprudencia ha identificado algunas situaciones en que la reglamentación de un procedimiento debe ser objeto de los trámites cualificados de las leyes estatutarias, a saber: i) la normatividad abarca el ejercicio de un derecho fundamental de forma integral, sistemática y completa; o ii) los enunciados legales tienen la función de restringir, limitar o proteger derechos fundamentales.</w:t>
      </w:r>
    </w:p>
    <w:p w:rsidR="00400E07" w:rsidRPr="00DB625B" w:rsidRDefault="00400E07" w:rsidP="00DB625B">
      <w:pPr>
        <w:pStyle w:val="Prrafodelista"/>
        <w:tabs>
          <w:tab w:val="left" w:pos="142"/>
        </w:tabs>
        <w:autoSpaceDE w:val="0"/>
        <w:autoSpaceDN w:val="0"/>
        <w:spacing w:after="0" w:line="240" w:lineRule="auto"/>
        <w:ind w:left="0"/>
        <w:jc w:val="both"/>
        <w:rPr>
          <w:rFonts w:ascii="Times New Roman" w:eastAsia="Times New Roman" w:hAnsi="Times New Roman" w:cs="Times New Roman"/>
          <w:bCs/>
          <w:spacing w:val="4"/>
          <w:sz w:val="28"/>
          <w:szCs w:val="28"/>
          <w:lang w:eastAsia="es-ES"/>
        </w:rPr>
      </w:pPr>
    </w:p>
    <w:p w:rsidR="00D83911" w:rsidRPr="00DB625B" w:rsidRDefault="00D83911" w:rsidP="00DB625B">
      <w:pPr>
        <w:pStyle w:val="Prrafodelista"/>
        <w:tabs>
          <w:tab w:val="left" w:pos="0"/>
        </w:tabs>
        <w:spacing w:after="0" w:line="240" w:lineRule="auto"/>
        <w:ind w:left="0"/>
        <w:jc w:val="both"/>
        <w:rPr>
          <w:rFonts w:ascii="Times New Roman" w:eastAsia="Times New Roman" w:hAnsi="Times New Roman" w:cs="Times New Roman"/>
          <w:sz w:val="28"/>
          <w:szCs w:val="28"/>
          <w:lang w:eastAsia="es-ES"/>
        </w:rPr>
      </w:pPr>
      <w:r w:rsidRPr="00DB625B">
        <w:rPr>
          <w:rFonts w:ascii="Times New Roman" w:eastAsia="Times New Roman" w:hAnsi="Times New Roman" w:cs="Times New Roman"/>
          <w:bCs/>
          <w:spacing w:val="4"/>
          <w:sz w:val="28"/>
          <w:szCs w:val="28"/>
          <w:lang w:val="es-ES_tradnl" w:eastAsia="es-ES"/>
        </w:rPr>
        <w:t>También</w:t>
      </w:r>
      <w:r w:rsidRPr="00DB625B">
        <w:rPr>
          <w:rFonts w:ascii="Times New Roman" w:eastAsia="Times New Roman" w:hAnsi="Times New Roman" w:cs="Times New Roman"/>
          <w:sz w:val="28"/>
          <w:szCs w:val="28"/>
          <w:lang w:eastAsia="es-ES"/>
        </w:rPr>
        <w:t xml:space="preserve"> enfatizó que la suspe</w:t>
      </w:r>
      <w:r w:rsidR="0097645C" w:rsidRPr="00DB625B">
        <w:rPr>
          <w:rFonts w:ascii="Times New Roman" w:eastAsia="Times New Roman" w:hAnsi="Times New Roman" w:cs="Times New Roman"/>
          <w:sz w:val="28"/>
          <w:szCs w:val="28"/>
          <w:lang w:eastAsia="es-ES"/>
        </w:rPr>
        <w:t>nsión provisional</w:t>
      </w:r>
      <w:r w:rsidRPr="00DB625B">
        <w:rPr>
          <w:rFonts w:ascii="Times New Roman" w:eastAsia="Times New Roman" w:hAnsi="Times New Roman" w:cs="Times New Roman"/>
          <w:sz w:val="28"/>
          <w:szCs w:val="28"/>
          <w:lang w:eastAsia="es-ES"/>
        </w:rPr>
        <w:t xml:space="preserve"> de los derechos políticos de los funcionarios públicos, entre ellos de elección popular, es una decisión que no interfiere el núcleo de los mismos, ni implica una interferencia desproporcionada e irrazonable, por lo que la regulación </w:t>
      </w:r>
      <w:r w:rsidRPr="00DB625B">
        <w:rPr>
          <w:rFonts w:ascii="Times New Roman" w:eastAsia="Times New Roman" w:hAnsi="Times New Roman" w:cs="Times New Roman"/>
          <w:sz w:val="28"/>
          <w:szCs w:val="28"/>
          <w:lang w:eastAsia="es-ES"/>
        </w:rPr>
        <w:lastRenderedPageBreak/>
        <w:t xml:space="preserve">de esas materias hace parte de la competencia del legislador ordinario su regulación. </w:t>
      </w:r>
    </w:p>
    <w:p w:rsidR="00400E07" w:rsidRPr="00DB625B" w:rsidRDefault="00400E07" w:rsidP="00DB625B">
      <w:pPr>
        <w:tabs>
          <w:tab w:val="left" w:pos="0"/>
        </w:tabs>
        <w:spacing w:after="0" w:line="240" w:lineRule="auto"/>
        <w:jc w:val="both"/>
        <w:rPr>
          <w:rFonts w:ascii="Times New Roman" w:eastAsia="Times New Roman" w:hAnsi="Times New Roman" w:cs="Times New Roman"/>
          <w:bCs/>
          <w:spacing w:val="4"/>
          <w:sz w:val="28"/>
          <w:szCs w:val="28"/>
          <w:lang w:eastAsia="es-ES"/>
        </w:rPr>
      </w:pPr>
    </w:p>
    <w:p w:rsidR="0048539C" w:rsidRPr="00DB625B" w:rsidRDefault="00EF3EBB" w:rsidP="00DB625B">
      <w:pPr>
        <w:pStyle w:val="Prrafodelista"/>
        <w:numPr>
          <w:ilvl w:val="1"/>
          <w:numId w:val="24"/>
        </w:numPr>
        <w:tabs>
          <w:tab w:val="left" w:pos="142"/>
        </w:tabs>
        <w:autoSpaceDE w:val="0"/>
        <w:autoSpaceDN w:val="0"/>
        <w:spacing w:after="0" w:line="240" w:lineRule="auto"/>
        <w:ind w:left="0" w:firstLine="0"/>
        <w:jc w:val="both"/>
        <w:rPr>
          <w:rFonts w:ascii="Times New Roman" w:eastAsia="Times New Roman" w:hAnsi="Times New Roman" w:cs="Times New Roman"/>
          <w:bCs/>
          <w:spacing w:val="4"/>
          <w:sz w:val="28"/>
          <w:szCs w:val="28"/>
          <w:lang w:eastAsia="es-ES"/>
        </w:rPr>
      </w:pPr>
      <w:r w:rsidRPr="00DB625B">
        <w:rPr>
          <w:rFonts w:ascii="Times New Roman" w:eastAsia="Times New Roman" w:hAnsi="Times New Roman" w:cs="Times New Roman"/>
          <w:bCs/>
          <w:spacing w:val="4"/>
          <w:sz w:val="28"/>
          <w:szCs w:val="28"/>
          <w:lang w:eastAsia="es-ES"/>
        </w:rPr>
        <w:t>En definitiva, l</w:t>
      </w:r>
      <w:r w:rsidR="00D83911" w:rsidRPr="00DB625B">
        <w:rPr>
          <w:rFonts w:ascii="Times New Roman" w:eastAsia="Times New Roman" w:hAnsi="Times New Roman" w:cs="Times New Roman"/>
          <w:bCs/>
          <w:spacing w:val="4"/>
          <w:sz w:val="28"/>
          <w:szCs w:val="28"/>
          <w:lang w:eastAsia="es-ES"/>
        </w:rPr>
        <w:t>a Sala Plena concluyó</w:t>
      </w:r>
      <w:r w:rsidR="00400E07" w:rsidRPr="00DB625B">
        <w:rPr>
          <w:rFonts w:ascii="Times New Roman" w:eastAsia="Times New Roman" w:hAnsi="Times New Roman" w:cs="Times New Roman"/>
          <w:bCs/>
          <w:spacing w:val="4"/>
          <w:sz w:val="28"/>
          <w:szCs w:val="28"/>
          <w:lang w:eastAsia="es-ES"/>
        </w:rPr>
        <w:t xml:space="preserve"> que</w:t>
      </w:r>
      <w:r w:rsidR="00D83911" w:rsidRPr="00DB625B">
        <w:rPr>
          <w:rFonts w:ascii="Times New Roman" w:eastAsia="Times New Roman" w:hAnsi="Times New Roman" w:cs="Times New Roman"/>
          <w:bCs/>
          <w:spacing w:val="4"/>
          <w:sz w:val="28"/>
          <w:szCs w:val="28"/>
          <w:lang w:eastAsia="es-ES"/>
        </w:rPr>
        <w:t xml:space="preserve"> la suspensión provisional de los funcionarios de elección popular carece de reserva de ley estatutaria, por cuanto, en aplicación del criterio restrictivo de la procedencia de trámite cualificado, se constata que no tiene por objeto directo regular el derecho político de acceso a cargos públicos. Así mismo, no es una regulación sistemática, integral y estructural de la garantía mencionada, dado que no señala las características de la misma. Tampoco afecta el núcleo esencial de ese derecho político, ni apareja una interferencia desproporcionada, como advierten las Sentencias </w:t>
      </w:r>
      <w:r w:rsidR="00D83911" w:rsidRPr="00DB625B">
        <w:rPr>
          <w:rFonts w:ascii="Times New Roman" w:eastAsia="Times New Roman" w:hAnsi="Times New Roman" w:cs="Times New Roman"/>
          <w:sz w:val="28"/>
          <w:szCs w:val="28"/>
          <w:lang w:eastAsia="es-ES"/>
        </w:rPr>
        <w:t>C-108, de 1995, C-406 de 1995, C-280 de 1996, C-028 de 2006, C-086 de 2019</w:t>
      </w:r>
      <w:r w:rsidR="00D83911" w:rsidRPr="00DB625B">
        <w:rPr>
          <w:rFonts w:ascii="Times New Roman" w:eastAsia="Times New Roman" w:hAnsi="Times New Roman" w:cs="Times New Roman"/>
          <w:bCs/>
          <w:spacing w:val="4"/>
          <w:sz w:val="28"/>
          <w:szCs w:val="28"/>
          <w:lang w:eastAsia="es-ES"/>
        </w:rPr>
        <w:t xml:space="preserve"> y C-111 de 2019. En realidad, la materia estudiada hace parte de la órbita</w:t>
      </w:r>
      <w:r w:rsidRPr="00DB625B">
        <w:rPr>
          <w:rFonts w:ascii="Times New Roman" w:eastAsia="Times New Roman" w:hAnsi="Times New Roman" w:cs="Times New Roman"/>
          <w:bCs/>
          <w:spacing w:val="4"/>
          <w:sz w:val="28"/>
          <w:szCs w:val="28"/>
          <w:lang w:eastAsia="es-ES"/>
        </w:rPr>
        <w:t xml:space="preserve"> de competencia</w:t>
      </w:r>
      <w:r w:rsidR="00D83911" w:rsidRPr="00DB625B">
        <w:rPr>
          <w:rFonts w:ascii="Times New Roman" w:eastAsia="Times New Roman" w:hAnsi="Times New Roman" w:cs="Times New Roman"/>
          <w:bCs/>
          <w:spacing w:val="4"/>
          <w:sz w:val="28"/>
          <w:szCs w:val="28"/>
          <w:lang w:eastAsia="es-ES"/>
        </w:rPr>
        <w:t xml:space="preserve"> del legislador ordinario</w:t>
      </w:r>
      <w:r w:rsidR="00400E07" w:rsidRPr="00DB625B">
        <w:rPr>
          <w:rFonts w:ascii="Times New Roman" w:eastAsia="Times New Roman" w:hAnsi="Times New Roman" w:cs="Times New Roman"/>
          <w:b/>
          <w:bCs/>
          <w:spacing w:val="4"/>
          <w:sz w:val="28"/>
          <w:szCs w:val="28"/>
          <w:lang w:eastAsia="es-ES"/>
        </w:rPr>
        <w:t xml:space="preserve">. </w:t>
      </w:r>
    </w:p>
    <w:p w:rsidR="0048539C" w:rsidRPr="00DB625B" w:rsidRDefault="0048539C" w:rsidP="00DB625B">
      <w:pPr>
        <w:spacing w:after="0" w:line="240" w:lineRule="auto"/>
        <w:rPr>
          <w:rFonts w:ascii="Times New Roman" w:eastAsia="Times New Roman" w:hAnsi="Times New Roman" w:cs="Times New Roman"/>
          <w:b/>
          <w:sz w:val="28"/>
          <w:szCs w:val="28"/>
          <w:lang w:val="es-ES" w:eastAsia="es-ES"/>
        </w:rPr>
      </w:pPr>
    </w:p>
    <w:p w:rsidR="00170FDF" w:rsidRPr="00DB625B" w:rsidRDefault="00170FDF" w:rsidP="00DB625B">
      <w:pPr>
        <w:spacing w:after="0" w:line="240" w:lineRule="auto"/>
        <w:jc w:val="center"/>
        <w:rPr>
          <w:rFonts w:ascii="Times New Roman" w:eastAsia="Times New Roman" w:hAnsi="Times New Roman" w:cs="Times New Roman"/>
          <w:b/>
          <w:sz w:val="28"/>
          <w:szCs w:val="28"/>
          <w:lang w:val="es-ES" w:eastAsia="es-ES"/>
        </w:rPr>
      </w:pPr>
      <w:r w:rsidRPr="00DB625B">
        <w:rPr>
          <w:rFonts w:ascii="Times New Roman" w:eastAsia="Times New Roman" w:hAnsi="Times New Roman" w:cs="Times New Roman"/>
          <w:b/>
          <w:sz w:val="28"/>
          <w:szCs w:val="28"/>
          <w:lang w:val="es-ES" w:eastAsia="es-ES"/>
        </w:rPr>
        <w:t>VII.-  DECISIÓN</w:t>
      </w:r>
    </w:p>
    <w:p w:rsidR="00170FDF" w:rsidRPr="00DB625B" w:rsidRDefault="00170FDF" w:rsidP="00DB625B">
      <w:pPr>
        <w:spacing w:after="0" w:line="240" w:lineRule="auto"/>
        <w:jc w:val="both"/>
        <w:rPr>
          <w:rFonts w:ascii="Times New Roman" w:eastAsia="Times New Roman" w:hAnsi="Times New Roman" w:cs="Times New Roman"/>
          <w:b/>
          <w:sz w:val="28"/>
          <w:szCs w:val="28"/>
          <w:lang w:val="es-ES" w:eastAsia="es-ES"/>
        </w:rPr>
      </w:pPr>
    </w:p>
    <w:p w:rsidR="00170FDF" w:rsidRPr="00DB625B" w:rsidRDefault="00170FDF" w:rsidP="00DB625B">
      <w:pPr>
        <w:spacing w:after="0" w:line="240" w:lineRule="auto"/>
        <w:jc w:val="both"/>
        <w:rPr>
          <w:rFonts w:ascii="Times New Roman" w:eastAsia="Times New Roman" w:hAnsi="Times New Roman" w:cs="Times New Roman"/>
          <w:sz w:val="28"/>
          <w:szCs w:val="28"/>
          <w:lang w:val="es-ES" w:eastAsia="es-ES"/>
        </w:rPr>
      </w:pPr>
      <w:r w:rsidRPr="00DB625B">
        <w:rPr>
          <w:rFonts w:ascii="Times New Roman" w:eastAsia="Times New Roman" w:hAnsi="Times New Roman" w:cs="Times New Roman"/>
          <w:sz w:val="28"/>
          <w:szCs w:val="28"/>
          <w:lang w:val="es-ES" w:eastAsia="es-ES"/>
        </w:rPr>
        <w:t>En mérito de lo expuesto, la Sala Plena de la Corte Constitucional, administrando justicia en nombre del pueblo y por mandato de la Constitución,</w:t>
      </w:r>
    </w:p>
    <w:p w:rsidR="0048539C" w:rsidRPr="00DB625B" w:rsidRDefault="0048539C" w:rsidP="00DB625B">
      <w:pPr>
        <w:spacing w:after="0" w:line="240" w:lineRule="auto"/>
        <w:rPr>
          <w:rFonts w:ascii="Times New Roman" w:eastAsia="Times New Roman" w:hAnsi="Times New Roman" w:cs="Times New Roman"/>
          <w:b/>
          <w:sz w:val="28"/>
          <w:szCs w:val="28"/>
          <w:lang w:val="es-ES" w:eastAsia="es-ES"/>
        </w:rPr>
      </w:pPr>
    </w:p>
    <w:p w:rsidR="00170FDF" w:rsidRPr="00DB625B" w:rsidRDefault="00170FDF" w:rsidP="00DB625B">
      <w:pPr>
        <w:spacing w:after="0" w:line="240" w:lineRule="auto"/>
        <w:jc w:val="center"/>
        <w:rPr>
          <w:rFonts w:ascii="Times New Roman" w:eastAsia="Times New Roman" w:hAnsi="Times New Roman" w:cs="Times New Roman"/>
          <w:b/>
          <w:sz w:val="28"/>
          <w:szCs w:val="28"/>
          <w:lang w:val="es-ES" w:eastAsia="es-ES"/>
        </w:rPr>
      </w:pPr>
      <w:r w:rsidRPr="00DB625B">
        <w:rPr>
          <w:rFonts w:ascii="Times New Roman" w:eastAsia="Times New Roman" w:hAnsi="Times New Roman" w:cs="Times New Roman"/>
          <w:b/>
          <w:sz w:val="28"/>
          <w:szCs w:val="28"/>
          <w:lang w:val="es-ES" w:eastAsia="es-ES"/>
        </w:rPr>
        <w:t>RESUELVE</w:t>
      </w:r>
    </w:p>
    <w:p w:rsidR="00B2489F" w:rsidRDefault="00B2489F" w:rsidP="00DB625B">
      <w:pPr>
        <w:pStyle w:val="Prrafodelista"/>
        <w:tabs>
          <w:tab w:val="left" w:pos="0"/>
        </w:tabs>
        <w:spacing w:after="0" w:line="240" w:lineRule="auto"/>
        <w:ind w:left="0"/>
        <w:jc w:val="both"/>
        <w:rPr>
          <w:rFonts w:ascii="Times New Roman" w:eastAsia="Times New Roman" w:hAnsi="Times New Roman" w:cs="Times New Roman"/>
          <w:b/>
          <w:sz w:val="28"/>
          <w:szCs w:val="28"/>
          <w:lang w:val="es-ES" w:eastAsia="es-ES"/>
        </w:rPr>
      </w:pPr>
    </w:p>
    <w:p w:rsidR="00DB625B" w:rsidRPr="00DB625B" w:rsidRDefault="00DB625B" w:rsidP="00DB625B">
      <w:pPr>
        <w:pStyle w:val="Prrafodelista"/>
        <w:tabs>
          <w:tab w:val="left" w:pos="0"/>
        </w:tabs>
        <w:spacing w:after="0" w:line="240" w:lineRule="auto"/>
        <w:ind w:left="0"/>
        <w:jc w:val="both"/>
        <w:rPr>
          <w:rFonts w:ascii="Times New Roman" w:eastAsia="Times New Roman" w:hAnsi="Times New Roman" w:cs="Times New Roman"/>
          <w:b/>
          <w:sz w:val="28"/>
          <w:szCs w:val="28"/>
          <w:lang w:val="es-ES" w:eastAsia="es-ES"/>
        </w:rPr>
      </w:pPr>
    </w:p>
    <w:p w:rsidR="00170FDF" w:rsidRPr="00DB625B" w:rsidRDefault="00B2489F" w:rsidP="00DB625B">
      <w:pPr>
        <w:pStyle w:val="Prrafodelista"/>
        <w:tabs>
          <w:tab w:val="left" w:pos="0"/>
        </w:tabs>
        <w:spacing w:after="0" w:line="240" w:lineRule="auto"/>
        <w:ind w:left="0"/>
        <w:jc w:val="both"/>
        <w:rPr>
          <w:rFonts w:ascii="Times New Roman" w:eastAsia="Times New Roman" w:hAnsi="Times New Roman" w:cs="Times New Roman"/>
          <w:bCs/>
          <w:spacing w:val="4"/>
          <w:sz w:val="28"/>
          <w:szCs w:val="28"/>
          <w:lang w:val="es-ES_tradnl" w:eastAsia="es-ES"/>
        </w:rPr>
      </w:pPr>
      <w:r w:rsidRPr="00DB625B">
        <w:rPr>
          <w:rFonts w:ascii="Times New Roman" w:hAnsi="Times New Roman" w:cs="Times New Roman"/>
          <w:b/>
          <w:sz w:val="28"/>
          <w:szCs w:val="28"/>
        </w:rPr>
        <w:t xml:space="preserve"> </w:t>
      </w:r>
      <w:r w:rsidRPr="00DB625B">
        <w:rPr>
          <w:rFonts w:ascii="Times New Roman" w:eastAsia="Times New Roman" w:hAnsi="Times New Roman" w:cs="Times New Roman"/>
          <w:spacing w:val="4"/>
          <w:sz w:val="28"/>
          <w:szCs w:val="28"/>
          <w:lang w:val="es-ES_tradnl" w:eastAsia="es-ES"/>
        </w:rPr>
        <w:t xml:space="preserve">Declarar la </w:t>
      </w:r>
      <w:r w:rsidRPr="00DB625B">
        <w:rPr>
          <w:rFonts w:ascii="Times New Roman" w:eastAsia="Times New Roman" w:hAnsi="Times New Roman" w:cs="Times New Roman"/>
          <w:b/>
          <w:spacing w:val="4"/>
          <w:sz w:val="28"/>
          <w:szCs w:val="28"/>
          <w:lang w:val="es-ES_tradnl" w:eastAsia="es-ES"/>
        </w:rPr>
        <w:t>EXEQUIBILIDAD</w:t>
      </w:r>
      <w:r w:rsidRPr="00DB625B">
        <w:rPr>
          <w:rFonts w:ascii="Times New Roman" w:eastAsia="Times New Roman" w:hAnsi="Times New Roman" w:cs="Times New Roman"/>
          <w:spacing w:val="4"/>
          <w:sz w:val="28"/>
          <w:szCs w:val="28"/>
          <w:lang w:val="es-ES_tradnl" w:eastAsia="es-ES"/>
        </w:rPr>
        <w:t xml:space="preserve"> del</w:t>
      </w:r>
      <w:r w:rsidRPr="00DB625B">
        <w:rPr>
          <w:rFonts w:ascii="Times New Roman" w:eastAsia="Times New Roman" w:hAnsi="Times New Roman" w:cs="Times New Roman"/>
          <w:i/>
          <w:spacing w:val="-2"/>
          <w:sz w:val="28"/>
          <w:szCs w:val="28"/>
          <w:lang w:eastAsia="es-ES"/>
        </w:rPr>
        <w:t xml:space="preserve"> </w:t>
      </w:r>
      <w:r w:rsidRPr="00DB625B">
        <w:rPr>
          <w:rFonts w:ascii="Times New Roman" w:eastAsia="Times New Roman" w:hAnsi="Times New Roman" w:cs="Times New Roman"/>
          <w:bCs/>
          <w:sz w:val="28"/>
          <w:szCs w:val="28"/>
          <w:lang w:eastAsia="es-ES"/>
        </w:rPr>
        <w:t xml:space="preserve">artículo 217 de la Ley 1952 de 2019, </w:t>
      </w:r>
      <w:r w:rsidR="00983DB0" w:rsidRPr="00DB625B">
        <w:rPr>
          <w:rFonts w:ascii="Times New Roman" w:eastAsia="Times New Roman" w:hAnsi="Times New Roman" w:cs="Times New Roman"/>
          <w:spacing w:val="4"/>
          <w:sz w:val="28"/>
          <w:szCs w:val="28"/>
          <w:lang w:val="es-ES_tradnl" w:eastAsia="es-ES"/>
        </w:rPr>
        <w:t>por el cargo analizado</w:t>
      </w:r>
      <w:r w:rsidRPr="00DB625B">
        <w:rPr>
          <w:rFonts w:ascii="Times New Roman" w:eastAsia="Times New Roman" w:hAnsi="Times New Roman" w:cs="Times New Roman"/>
          <w:spacing w:val="4"/>
          <w:sz w:val="28"/>
          <w:szCs w:val="28"/>
          <w:lang w:val="es-ES_tradnl" w:eastAsia="es-ES"/>
        </w:rPr>
        <w:t xml:space="preserve"> de reserva de ley estatutaria</w:t>
      </w:r>
      <w:r w:rsidR="00170FDF" w:rsidRPr="00DB625B">
        <w:rPr>
          <w:rFonts w:ascii="Times New Roman" w:eastAsia="Times New Roman" w:hAnsi="Times New Roman" w:cs="Times New Roman"/>
          <w:bCs/>
          <w:spacing w:val="4"/>
          <w:sz w:val="28"/>
          <w:szCs w:val="28"/>
          <w:lang w:val="es-ES_tradnl" w:eastAsia="es-ES"/>
        </w:rPr>
        <w:t>.</w:t>
      </w:r>
    </w:p>
    <w:p w:rsidR="00170FDF" w:rsidRPr="00DB625B" w:rsidRDefault="00170FDF" w:rsidP="00DB625B">
      <w:pPr>
        <w:spacing w:after="0" w:line="240" w:lineRule="auto"/>
        <w:jc w:val="both"/>
        <w:rPr>
          <w:rFonts w:ascii="Times New Roman" w:hAnsi="Times New Roman" w:cs="Times New Roman"/>
          <w:sz w:val="28"/>
          <w:szCs w:val="28"/>
        </w:rPr>
      </w:pPr>
    </w:p>
    <w:p w:rsidR="00170FDF" w:rsidRPr="00DB625B" w:rsidRDefault="00170FDF" w:rsidP="00DB625B">
      <w:pPr>
        <w:spacing w:after="0" w:line="240" w:lineRule="auto"/>
        <w:jc w:val="both"/>
        <w:rPr>
          <w:rFonts w:ascii="Times New Roman" w:eastAsia="Times New Roman" w:hAnsi="Times New Roman" w:cs="Times New Roman"/>
          <w:b/>
          <w:sz w:val="28"/>
          <w:szCs w:val="28"/>
          <w:lang w:val="es-ES" w:eastAsia="es-ES"/>
        </w:rPr>
      </w:pPr>
      <w:r w:rsidRPr="00DB625B">
        <w:rPr>
          <w:rFonts w:ascii="Times New Roman" w:eastAsia="Times New Roman" w:hAnsi="Times New Roman" w:cs="Times New Roman"/>
          <w:sz w:val="28"/>
          <w:szCs w:val="28"/>
          <w:lang w:val="es-ES" w:eastAsia="es-ES"/>
        </w:rPr>
        <w:t>Cópiese, notifíquese, comuníquese, publíquese en la Gaceta de la Corte Constitucional, cúmplase y archívese el expediente</w:t>
      </w:r>
      <w:r w:rsidRPr="00DB625B">
        <w:rPr>
          <w:rFonts w:ascii="Times New Roman" w:eastAsia="Times New Roman" w:hAnsi="Times New Roman" w:cs="Times New Roman"/>
          <w:b/>
          <w:sz w:val="28"/>
          <w:szCs w:val="28"/>
          <w:lang w:val="es-ES" w:eastAsia="es-ES"/>
        </w:rPr>
        <w:t>.</w:t>
      </w:r>
    </w:p>
    <w:p w:rsidR="0048539C" w:rsidRPr="00DB625B" w:rsidRDefault="0048539C" w:rsidP="00DB625B">
      <w:pPr>
        <w:spacing w:after="0" w:line="240" w:lineRule="auto"/>
        <w:jc w:val="center"/>
        <w:rPr>
          <w:rFonts w:ascii="Times New Roman" w:eastAsia="Times New Roman" w:hAnsi="Times New Roman" w:cs="Times New Roman"/>
          <w:i/>
          <w:sz w:val="28"/>
          <w:szCs w:val="28"/>
          <w:lang w:val="es-ES_tradnl" w:eastAsia="es-ES"/>
        </w:rPr>
      </w:pPr>
    </w:p>
    <w:p w:rsidR="00C815F1" w:rsidRPr="00DB625B" w:rsidRDefault="00C815F1" w:rsidP="00DB625B">
      <w:pPr>
        <w:spacing w:after="0" w:line="240" w:lineRule="auto"/>
        <w:jc w:val="center"/>
        <w:rPr>
          <w:rFonts w:ascii="Times New Roman" w:eastAsia="Times New Roman" w:hAnsi="Times New Roman" w:cs="Times New Roman"/>
          <w:sz w:val="28"/>
          <w:szCs w:val="28"/>
          <w:lang w:val="es-ES_tradnl" w:eastAsia="es-ES"/>
        </w:rPr>
      </w:pPr>
    </w:p>
    <w:p w:rsidR="0048539C" w:rsidRPr="00DB625B" w:rsidRDefault="0048539C" w:rsidP="00DB625B">
      <w:pPr>
        <w:spacing w:after="0" w:line="240" w:lineRule="auto"/>
        <w:jc w:val="center"/>
        <w:rPr>
          <w:rFonts w:ascii="Times New Roman" w:eastAsia="Times New Roman" w:hAnsi="Times New Roman" w:cs="Times New Roman"/>
          <w:sz w:val="28"/>
          <w:szCs w:val="28"/>
          <w:lang w:val="es-ES_tradnl" w:eastAsia="es-ES"/>
        </w:rPr>
      </w:pPr>
    </w:p>
    <w:p w:rsidR="00400E07" w:rsidRPr="00DB625B" w:rsidRDefault="00C815F1" w:rsidP="00DB625B">
      <w:pPr>
        <w:spacing w:after="0" w:line="240" w:lineRule="auto"/>
        <w:jc w:val="center"/>
        <w:rPr>
          <w:rFonts w:ascii="Times New Roman" w:hAnsi="Times New Roman" w:cs="Times New Roman"/>
          <w:sz w:val="28"/>
          <w:szCs w:val="28"/>
        </w:rPr>
      </w:pPr>
      <w:r w:rsidRPr="00DB625B">
        <w:rPr>
          <w:rFonts w:ascii="Times New Roman" w:hAnsi="Times New Roman" w:cs="Times New Roman"/>
          <w:sz w:val="28"/>
          <w:szCs w:val="28"/>
        </w:rPr>
        <w:t>G</w:t>
      </w:r>
      <w:r w:rsidR="00400E07" w:rsidRPr="00DB625B">
        <w:rPr>
          <w:rFonts w:ascii="Times New Roman" w:hAnsi="Times New Roman" w:cs="Times New Roman"/>
          <w:sz w:val="28"/>
          <w:szCs w:val="28"/>
        </w:rPr>
        <w:t>LORIA STELLA ORTIZ DELGADO</w:t>
      </w:r>
    </w:p>
    <w:p w:rsidR="00400E07" w:rsidRPr="00DB625B" w:rsidRDefault="00400E07" w:rsidP="00DB625B">
      <w:pPr>
        <w:spacing w:after="0" w:line="240" w:lineRule="auto"/>
        <w:jc w:val="center"/>
        <w:rPr>
          <w:rFonts w:ascii="Times New Roman" w:hAnsi="Times New Roman" w:cs="Times New Roman"/>
          <w:sz w:val="28"/>
          <w:szCs w:val="28"/>
        </w:rPr>
      </w:pPr>
      <w:r w:rsidRPr="00DB625B">
        <w:rPr>
          <w:rFonts w:ascii="Times New Roman" w:hAnsi="Times New Roman" w:cs="Times New Roman"/>
          <w:sz w:val="28"/>
          <w:szCs w:val="28"/>
        </w:rPr>
        <w:t>Presidenta</w:t>
      </w:r>
    </w:p>
    <w:p w:rsidR="00400E07" w:rsidRPr="00DB625B" w:rsidRDefault="00400E07" w:rsidP="00DB625B">
      <w:pPr>
        <w:spacing w:after="0" w:line="240" w:lineRule="auto"/>
        <w:jc w:val="center"/>
        <w:rPr>
          <w:rFonts w:ascii="Times New Roman" w:hAnsi="Times New Roman" w:cs="Times New Roman"/>
          <w:i/>
          <w:sz w:val="28"/>
          <w:szCs w:val="28"/>
        </w:rPr>
      </w:pPr>
    </w:p>
    <w:p w:rsidR="00400E07" w:rsidRPr="00DB625B" w:rsidRDefault="00400E07" w:rsidP="00DB625B">
      <w:pPr>
        <w:spacing w:after="0" w:line="240" w:lineRule="auto"/>
        <w:jc w:val="center"/>
        <w:rPr>
          <w:rFonts w:ascii="Times New Roman" w:hAnsi="Times New Roman" w:cs="Times New Roman"/>
          <w:sz w:val="28"/>
          <w:szCs w:val="28"/>
        </w:rPr>
      </w:pPr>
    </w:p>
    <w:p w:rsidR="0097645C" w:rsidRPr="00DB625B" w:rsidRDefault="0097645C" w:rsidP="00DB625B">
      <w:pPr>
        <w:spacing w:after="0" w:line="240" w:lineRule="auto"/>
        <w:jc w:val="center"/>
        <w:rPr>
          <w:rFonts w:ascii="Times New Roman" w:hAnsi="Times New Roman" w:cs="Times New Roman"/>
          <w:sz w:val="28"/>
          <w:szCs w:val="28"/>
        </w:rPr>
      </w:pPr>
    </w:p>
    <w:p w:rsidR="00400E07" w:rsidRPr="00DB625B" w:rsidRDefault="00400E07" w:rsidP="00DB625B">
      <w:pPr>
        <w:spacing w:after="0" w:line="240" w:lineRule="auto"/>
        <w:jc w:val="center"/>
        <w:rPr>
          <w:rFonts w:ascii="Times New Roman" w:hAnsi="Times New Roman" w:cs="Times New Roman"/>
          <w:sz w:val="28"/>
          <w:szCs w:val="28"/>
        </w:rPr>
      </w:pPr>
      <w:r w:rsidRPr="00DB625B">
        <w:rPr>
          <w:rFonts w:ascii="Times New Roman" w:hAnsi="Times New Roman" w:cs="Times New Roman"/>
          <w:sz w:val="28"/>
          <w:szCs w:val="28"/>
        </w:rPr>
        <w:t>CARLOS BERNAL PULIDO</w:t>
      </w:r>
    </w:p>
    <w:p w:rsidR="00400E07" w:rsidRPr="00DB625B" w:rsidRDefault="00400E07" w:rsidP="00DB625B">
      <w:pPr>
        <w:spacing w:after="0" w:line="240" w:lineRule="auto"/>
        <w:jc w:val="center"/>
        <w:rPr>
          <w:rFonts w:ascii="Times New Roman" w:hAnsi="Times New Roman" w:cs="Times New Roman"/>
          <w:sz w:val="28"/>
          <w:szCs w:val="28"/>
        </w:rPr>
      </w:pPr>
      <w:r w:rsidRPr="00DB625B">
        <w:rPr>
          <w:rFonts w:ascii="Times New Roman" w:hAnsi="Times New Roman" w:cs="Times New Roman"/>
          <w:sz w:val="28"/>
          <w:szCs w:val="28"/>
        </w:rPr>
        <w:t>Magistrado</w:t>
      </w:r>
    </w:p>
    <w:p w:rsidR="00400E07" w:rsidRPr="00DB625B" w:rsidRDefault="00400E07" w:rsidP="00DB625B">
      <w:pPr>
        <w:spacing w:after="0" w:line="240" w:lineRule="auto"/>
        <w:jc w:val="center"/>
        <w:rPr>
          <w:rFonts w:ascii="Times New Roman" w:hAnsi="Times New Roman" w:cs="Times New Roman"/>
          <w:sz w:val="28"/>
          <w:szCs w:val="28"/>
        </w:rPr>
      </w:pPr>
    </w:p>
    <w:p w:rsidR="00400E07" w:rsidRPr="00DB625B" w:rsidRDefault="00400E07" w:rsidP="00DB625B">
      <w:pPr>
        <w:spacing w:after="0" w:line="240" w:lineRule="auto"/>
        <w:jc w:val="center"/>
        <w:rPr>
          <w:rFonts w:ascii="Times New Roman" w:hAnsi="Times New Roman" w:cs="Times New Roman"/>
          <w:sz w:val="28"/>
          <w:szCs w:val="28"/>
        </w:rPr>
      </w:pPr>
    </w:p>
    <w:p w:rsidR="00400E07" w:rsidRPr="00DB625B" w:rsidRDefault="00400E07" w:rsidP="00DB625B">
      <w:pPr>
        <w:spacing w:after="0" w:line="240" w:lineRule="auto"/>
        <w:jc w:val="center"/>
        <w:rPr>
          <w:rFonts w:ascii="Times New Roman" w:hAnsi="Times New Roman" w:cs="Times New Roman"/>
          <w:sz w:val="28"/>
          <w:szCs w:val="28"/>
        </w:rPr>
      </w:pPr>
    </w:p>
    <w:p w:rsidR="00400E07" w:rsidRPr="00DB625B" w:rsidRDefault="00400E07" w:rsidP="00DB625B">
      <w:pPr>
        <w:spacing w:after="0" w:line="240" w:lineRule="auto"/>
        <w:jc w:val="center"/>
        <w:rPr>
          <w:rFonts w:ascii="Times New Roman" w:hAnsi="Times New Roman" w:cs="Times New Roman"/>
          <w:sz w:val="28"/>
          <w:szCs w:val="28"/>
        </w:rPr>
      </w:pPr>
      <w:r w:rsidRPr="00DB625B">
        <w:rPr>
          <w:rFonts w:ascii="Times New Roman" w:hAnsi="Times New Roman" w:cs="Times New Roman"/>
          <w:sz w:val="28"/>
          <w:szCs w:val="28"/>
        </w:rPr>
        <w:t>DIANA FAJARDO RIVERA</w:t>
      </w:r>
    </w:p>
    <w:p w:rsidR="00400E07" w:rsidRPr="00DB625B" w:rsidRDefault="00400E07" w:rsidP="00DB625B">
      <w:pPr>
        <w:spacing w:after="0" w:line="240" w:lineRule="auto"/>
        <w:jc w:val="center"/>
        <w:rPr>
          <w:rFonts w:ascii="Times New Roman" w:hAnsi="Times New Roman" w:cs="Times New Roman"/>
          <w:sz w:val="28"/>
          <w:szCs w:val="28"/>
        </w:rPr>
      </w:pPr>
      <w:r w:rsidRPr="00DB625B">
        <w:rPr>
          <w:rFonts w:ascii="Times New Roman" w:hAnsi="Times New Roman" w:cs="Times New Roman"/>
          <w:sz w:val="28"/>
          <w:szCs w:val="28"/>
        </w:rPr>
        <w:t>Magistrada</w:t>
      </w:r>
    </w:p>
    <w:p w:rsidR="00400E07" w:rsidRPr="00DB625B" w:rsidRDefault="00400E07" w:rsidP="00DB625B">
      <w:pPr>
        <w:spacing w:after="0" w:line="240" w:lineRule="auto"/>
        <w:jc w:val="center"/>
        <w:rPr>
          <w:rFonts w:ascii="Times New Roman" w:hAnsi="Times New Roman" w:cs="Times New Roman"/>
          <w:sz w:val="28"/>
          <w:szCs w:val="28"/>
        </w:rPr>
      </w:pPr>
    </w:p>
    <w:p w:rsidR="00400E07" w:rsidRPr="00DB625B" w:rsidRDefault="00400E07" w:rsidP="00DB625B">
      <w:pPr>
        <w:spacing w:after="0" w:line="240" w:lineRule="auto"/>
        <w:jc w:val="center"/>
        <w:rPr>
          <w:rFonts w:ascii="Times New Roman" w:hAnsi="Times New Roman" w:cs="Times New Roman"/>
          <w:sz w:val="28"/>
          <w:szCs w:val="28"/>
        </w:rPr>
      </w:pPr>
    </w:p>
    <w:p w:rsidR="0048539C" w:rsidRPr="00DB625B" w:rsidRDefault="0048539C" w:rsidP="00DB625B">
      <w:pPr>
        <w:spacing w:after="0" w:line="240" w:lineRule="auto"/>
        <w:jc w:val="center"/>
        <w:rPr>
          <w:rFonts w:ascii="Times New Roman" w:hAnsi="Times New Roman" w:cs="Times New Roman"/>
          <w:sz w:val="28"/>
          <w:szCs w:val="28"/>
        </w:rPr>
      </w:pPr>
    </w:p>
    <w:p w:rsidR="00400E07" w:rsidRPr="00DB625B" w:rsidRDefault="00400E07" w:rsidP="00DB625B">
      <w:pPr>
        <w:spacing w:after="0" w:line="240" w:lineRule="auto"/>
        <w:jc w:val="center"/>
        <w:rPr>
          <w:rFonts w:ascii="Times New Roman" w:hAnsi="Times New Roman" w:cs="Times New Roman"/>
          <w:sz w:val="28"/>
          <w:szCs w:val="28"/>
        </w:rPr>
      </w:pPr>
      <w:r w:rsidRPr="00DB625B">
        <w:rPr>
          <w:rFonts w:ascii="Times New Roman" w:hAnsi="Times New Roman" w:cs="Times New Roman"/>
          <w:sz w:val="28"/>
          <w:szCs w:val="28"/>
        </w:rPr>
        <w:t>LUIS GUILLERMO GUERRERO PÉREZ</w:t>
      </w:r>
    </w:p>
    <w:p w:rsidR="00400E07" w:rsidRPr="00DB625B" w:rsidRDefault="00400E07" w:rsidP="00DB625B">
      <w:pPr>
        <w:spacing w:after="0" w:line="240" w:lineRule="auto"/>
        <w:jc w:val="center"/>
        <w:rPr>
          <w:rFonts w:ascii="Times New Roman" w:hAnsi="Times New Roman" w:cs="Times New Roman"/>
          <w:sz w:val="28"/>
          <w:szCs w:val="28"/>
        </w:rPr>
      </w:pPr>
      <w:r w:rsidRPr="00DB625B">
        <w:rPr>
          <w:rFonts w:ascii="Times New Roman" w:hAnsi="Times New Roman" w:cs="Times New Roman"/>
          <w:sz w:val="28"/>
          <w:szCs w:val="28"/>
        </w:rPr>
        <w:t>Magistrado</w:t>
      </w:r>
    </w:p>
    <w:p w:rsidR="00400E07" w:rsidRPr="00DB625B" w:rsidRDefault="00400E07" w:rsidP="00DB625B">
      <w:pPr>
        <w:spacing w:after="0" w:line="240" w:lineRule="auto"/>
        <w:jc w:val="center"/>
        <w:rPr>
          <w:rFonts w:ascii="Times New Roman" w:hAnsi="Times New Roman" w:cs="Times New Roman"/>
          <w:sz w:val="28"/>
          <w:szCs w:val="28"/>
        </w:rPr>
      </w:pPr>
    </w:p>
    <w:p w:rsidR="00400E07" w:rsidRPr="00DB625B" w:rsidRDefault="00400E07" w:rsidP="00DB625B">
      <w:pPr>
        <w:spacing w:after="0" w:line="240" w:lineRule="auto"/>
        <w:jc w:val="center"/>
        <w:rPr>
          <w:rFonts w:ascii="Times New Roman" w:hAnsi="Times New Roman" w:cs="Times New Roman"/>
          <w:sz w:val="28"/>
          <w:szCs w:val="28"/>
        </w:rPr>
      </w:pPr>
    </w:p>
    <w:p w:rsidR="00400E07" w:rsidRPr="00DB625B" w:rsidRDefault="00400E07" w:rsidP="00DB625B">
      <w:pPr>
        <w:spacing w:after="0" w:line="240" w:lineRule="auto"/>
        <w:jc w:val="center"/>
        <w:rPr>
          <w:rFonts w:ascii="Times New Roman" w:hAnsi="Times New Roman" w:cs="Times New Roman"/>
          <w:sz w:val="28"/>
          <w:szCs w:val="28"/>
        </w:rPr>
      </w:pPr>
    </w:p>
    <w:p w:rsidR="00400E07" w:rsidRPr="00DB625B" w:rsidRDefault="00400E07" w:rsidP="00DB625B">
      <w:pPr>
        <w:spacing w:after="0" w:line="240" w:lineRule="auto"/>
        <w:jc w:val="center"/>
        <w:rPr>
          <w:rFonts w:ascii="Times New Roman" w:hAnsi="Times New Roman" w:cs="Times New Roman"/>
          <w:sz w:val="28"/>
          <w:szCs w:val="28"/>
        </w:rPr>
      </w:pPr>
      <w:r w:rsidRPr="00DB625B">
        <w:rPr>
          <w:rFonts w:ascii="Times New Roman" w:hAnsi="Times New Roman" w:cs="Times New Roman"/>
          <w:sz w:val="28"/>
          <w:szCs w:val="28"/>
        </w:rPr>
        <w:t>ALEJANDRO LINARES CANTILLO</w:t>
      </w:r>
    </w:p>
    <w:p w:rsidR="00400E07" w:rsidRPr="00DB625B" w:rsidRDefault="00400E07" w:rsidP="00DB625B">
      <w:pPr>
        <w:spacing w:after="0" w:line="240" w:lineRule="auto"/>
        <w:jc w:val="center"/>
        <w:rPr>
          <w:rFonts w:ascii="Times New Roman" w:hAnsi="Times New Roman" w:cs="Times New Roman"/>
          <w:sz w:val="28"/>
          <w:szCs w:val="28"/>
        </w:rPr>
      </w:pPr>
      <w:r w:rsidRPr="00DB625B">
        <w:rPr>
          <w:rFonts w:ascii="Times New Roman" w:hAnsi="Times New Roman" w:cs="Times New Roman"/>
          <w:sz w:val="28"/>
          <w:szCs w:val="28"/>
        </w:rPr>
        <w:t>Magistrado</w:t>
      </w:r>
    </w:p>
    <w:p w:rsidR="00400E07" w:rsidRPr="00DB625B" w:rsidRDefault="00400E07" w:rsidP="00DB625B">
      <w:pPr>
        <w:spacing w:after="0" w:line="240" w:lineRule="auto"/>
        <w:jc w:val="center"/>
        <w:rPr>
          <w:rFonts w:ascii="Times New Roman" w:hAnsi="Times New Roman" w:cs="Times New Roman"/>
          <w:sz w:val="28"/>
          <w:szCs w:val="28"/>
        </w:rPr>
      </w:pPr>
    </w:p>
    <w:p w:rsidR="0097645C" w:rsidRPr="00DB625B" w:rsidRDefault="0097645C" w:rsidP="00DB625B">
      <w:pPr>
        <w:spacing w:after="0" w:line="240" w:lineRule="auto"/>
        <w:jc w:val="center"/>
        <w:rPr>
          <w:rFonts w:ascii="Times New Roman" w:hAnsi="Times New Roman" w:cs="Times New Roman"/>
          <w:sz w:val="28"/>
          <w:szCs w:val="28"/>
        </w:rPr>
      </w:pPr>
    </w:p>
    <w:p w:rsidR="0048539C" w:rsidRPr="00DB625B" w:rsidRDefault="0048539C" w:rsidP="00DB625B">
      <w:pPr>
        <w:spacing w:after="0" w:line="240" w:lineRule="auto"/>
        <w:jc w:val="center"/>
        <w:rPr>
          <w:rFonts w:ascii="Times New Roman" w:hAnsi="Times New Roman" w:cs="Times New Roman"/>
          <w:sz w:val="28"/>
          <w:szCs w:val="28"/>
        </w:rPr>
      </w:pPr>
    </w:p>
    <w:p w:rsidR="00400E07" w:rsidRPr="00DB625B" w:rsidRDefault="00400E07" w:rsidP="00DB625B">
      <w:pPr>
        <w:spacing w:after="0" w:line="240" w:lineRule="auto"/>
        <w:jc w:val="center"/>
        <w:rPr>
          <w:rFonts w:ascii="Times New Roman" w:hAnsi="Times New Roman" w:cs="Times New Roman"/>
          <w:sz w:val="28"/>
          <w:szCs w:val="28"/>
        </w:rPr>
      </w:pPr>
      <w:r w:rsidRPr="00DB625B">
        <w:rPr>
          <w:rFonts w:ascii="Times New Roman" w:hAnsi="Times New Roman" w:cs="Times New Roman"/>
          <w:sz w:val="28"/>
          <w:szCs w:val="28"/>
        </w:rPr>
        <w:t>ANTONIO JOSÉ LIZARAZO CAMPO</w:t>
      </w:r>
    </w:p>
    <w:p w:rsidR="00400E07" w:rsidRPr="00DB625B" w:rsidRDefault="00400E07" w:rsidP="00DB625B">
      <w:pPr>
        <w:spacing w:after="0" w:line="240" w:lineRule="auto"/>
        <w:jc w:val="center"/>
        <w:rPr>
          <w:rFonts w:ascii="Times New Roman" w:hAnsi="Times New Roman" w:cs="Times New Roman"/>
          <w:sz w:val="28"/>
          <w:szCs w:val="28"/>
        </w:rPr>
      </w:pPr>
      <w:r w:rsidRPr="00DB625B">
        <w:rPr>
          <w:rFonts w:ascii="Times New Roman" w:hAnsi="Times New Roman" w:cs="Times New Roman"/>
          <w:sz w:val="28"/>
          <w:szCs w:val="28"/>
        </w:rPr>
        <w:t>Magistrado</w:t>
      </w:r>
    </w:p>
    <w:p w:rsidR="00400E07" w:rsidRPr="00DB625B" w:rsidRDefault="00DB625B" w:rsidP="00DB625B">
      <w:pPr>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Con aclaración de voto</w:t>
      </w:r>
    </w:p>
    <w:p w:rsidR="00400E07" w:rsidRPr="00DB625B" w:rsidRDefault="00400E07" w:rsidP="00DB625B">
      <w:pPr>
        <w:spacing w:after="0" w:line="240" w:lineRule="auto"/>
        <w:jc w:val="center"/>
        <w:rPr>
          <w:rFonts w:ascii="Times New Roman" w:hAnsi="Times New Roman" w:cs="Times New Roman"/>
          <w:sz w:val="28"/>
          <w:szCs w:val="28"/>
        </w:rPr>
      </w:pPr>
    </w:p>
    <w:p w:rsidR="00400E07" w:rsidRPr="00DB625B" w:rsidRDefault="00400E07" w:rsidP="00DB625B">
      <w:pPr>
        <w:spacing w:after="0" w:line="240" w:lineRule="auto"/>
        <w:jc w:val="center"/>
        <w:rPr>
          <w:rFonts w:ascii="Times New Roman" w:hAnsi="Times New Roman" w:cs="Times New Roman"/>
          <w:sz w:val="28"/>
          <w:szCs w:val="28"/>
        </w:rPr>
      </w:pPr>
    </w:p>
    <w:p w:rsidR="00400E07" w:rsidRPr="00DB625B" w:rsidRDefault="00400E07" w:rsidP="00DB625B">
      <w:pPr>
        <w:spacing w:after="0" w:line="240" w:lineRule="auto"/>
        <w:jc w:val="center"/>
        <w:rPr>
          <w:rFonts w:ascii="Times New Roman" w:hAnsi="Times New Roman" w:cs="Times New Roman"/>
          <w:sz w:val="28"/>
          <w:szCs w:val="28"/>
        </w:rPr>
      </w:pPr>
    </w:p>
    <w:p w:rsidR="00400E07" w:rsidRPr="00DB625B" w:rsidRDefault="00400E07" w:rsidP="00DB625B">
      <w:pPr>
        <w:spacing w:after="0" w:line="240" w:lineRule="auto"/>
        <w:jc w:val="center"/>
        <w:rPr>
          <w:rFonts w:ascii="Times New Roman" w:hAnsi="Times New Roman" w:cs="Times New Roman"/>
          <w:sz w:val="28"/>
          <w:szCs w:val="28"/>
        </w:rPr>
      </w:pPr>
      <w:r w:rsidRPr="00DB625B">
        <w:rPr>
          <w:rFonts w:ascii="Times New Roman" w:hAnsi="Times New Roman" w:cs="Times New Roman"/>
          <w:sz w:val="28"/>
          <w:szCs w:val="28"/>
        </w:rPr>
        <w:t>CRISTINA PARDO SCHLESINGER</w:t>
      </w:r>
    </w:p>
    <w:p w:rsidR="00400E07" w:rsidRPr="00DB625B" w:rsidRDefault="00400E07" w:rsidP="00DB625B">
      <w:pPr>
        <w:spacing w:after="0" w:line="240" w:lineRule="auto"/>
        <w:jc w:val="center"/>
        <w:rPr>
          <w:rFonts w:ascii="Times New Roman" w:hAnsi="Times New Roman" w:cs="Times New Roman"/>
          <w:sz w:val="28"/>
          <w:szCs w:val="28"/>
        </w:rPr>
      </w:pPr>
      <w:r w:rsidRPr="00DB625B">
        <w:rPr>
          <w:rFonts w:ascii="Times New Roman" w:hAnsi="Times New Roman" w:cs="Times New Roman"/>
          <w:sz w:val="28"/>
          <w:szCs w:val="28"/>
        </w:rPr>
        <w:t>Magistrada</w:t>
      </w:r>
    </w:p>
    <w:p w:rsidR="00400E07" w:rsidRPr="00DB625B" w:rsidRDefault="0048539C" w:rsidP="00DB625B">
      <w:pPr>
        <w:spacing w:after="0" w:line="240" w:lineRule="auto"/>
        <w:jc w:val="center"/>
        <w:rPr>
          <w:rFonts w:ascii="Times New Roman" w:hAnsi="Times New Roman" w:cs="Times New Roman"/>
          <w:i/>
          <w:sz w:val="28"/>
          <w:szCs w:val="28"/>
        </w:rPr>
      </w:pPr>
      <w:r w:rsidRPr="00DB625B">
        <w:rPr>
          <w:rFonts w:ascii="Times New Roman" w:hAnsi="Times New Roman" w:cs="Times New Roman"/>
          <w:i/>
          <w:sz w:val="28"/>
          <w:szCs w:val="28"/>
        </w:rPr>
        <w:t>(con impedimento aceptado)</w:t>
      </w:r>
    </w:p>
    <w:p w:rsidR="003311CA" w:rsidRPr="00DB625B" w:rsidRDefault="003311CA" w:rsidP="00DB625B">
      <w:pPr>
        <w:spacing w:after="0" w:line="240" w:lineRule="auto"/>
        <w:jc w:val="center"/>
        <w:rPr>
          <w:rFonts w:ascii="Times New Roman" w:hAnsi="Times New Roman" w:cs="Times New Roman"/>
          <w:sz w:val="28"/>
          <w:szCs w:val="28"/>
        </w:rPr>
      </w:pPr>
    </w:p>
    <w:p w:rsidR="003311CA" w:rsidRPr="00DB625B" w:rsidRDefault="003311CA" w:rsidP="00DB625B">
      <w:pPr>
        <w:spacing w:after="0" w:line="240" w:lineRule="auto"/>
        <w:jc w:val="center"/>
        <w:rPr>
          <w:rFonts w:ascii="Times New Roman" w:hAnsi="Times New Roman" w:cs="Times New Roman"/>
          <w:sz w:val="28"/>
          <w:szCs w:val="28"/>
        </w:rPr>
      </w:pPr>
    </w:p>
    <w:p w:rsidR="0097645C" w:rsidRPr="00DB625B" w:rsidRDefault="0097645C" w:rsidP="00DB625B">
      <w:pPr>
        <w:spacing w:after="0" w:line="240" w:lineRule="auto"/>
        <w:jc w:val="center"/>
        <w:rPr>
          <w:rFonts w:ascii="Times New Roman" w:hAnsi="Times New Roman" w:cs="Times New Roman"/>
          <w:sz w:val="28"/>
          <w:szCs w:val="28"/>
        </w:rPr>
      </w:pPr>
    </w:p>
    <w:p w:rsidR="00400E07" w:rsidRPr="00DB625B" w:rsidRDefault="00400E07" w:rsidP="00DB625B">
      <w:pPr>
        <w:spacing w:after="0" w:line="240" w:lineRule="auto"/>
        <w:jc w:val="center"/>
        <w:rPr>
          <w:rFonts w:ascii="Times New Roman" w:hAnsi="Times New Roman" w:cs="Times New Roman"/>
          <w:sz w:val="28"/>
          <w:szCs w:val="28"/>
        </w:rPr>
      </w:pPr>
      <w:r w:rsidRPr="00DB625B">
        <w:rPr>
          <w:rFonts w:ascii="Times New Roman" w:hAnsi="Times New Roman" w:cs="Times New Roman"/>
          <w:sz w:val="28"/>
          <w:szCs w:val="28"/>
        </w:rPr>
        <w:t>JOSÉ FERNANDO REYES CUARTAS</w:t>
      </w:r>
    </w:p>
    <w:p w:rsidR="00400E07" w:rsidRPr="00DB625B" w:rsidRDefault="00400E07" w:rsidP="00DB625B">
      <w:pPr>
        <w:spacing w:after="0" w:line="240" w:lineRule="auto"/>
        <w:jc w:val="center"/>
        <w:rPr>
          <w:rFonts w:ascii="Times New Roman" w:hAnsi="Times New Roman" w:cs="Times New Roman"/>
          <w:sz w:val="28"/>
          <w:szCs w:val="28"/>
        </w:rPr>
      </w:pPr>
      <w:r w:rsidRPr="00DB625B">
        <w:rPr>
          <w:rFonts w:ascii="Times New Roman" w:hAnsi="Times New Roman" w:cs="Times New Roman"/>
          <w:sz w:val="28"/>
          <w:szCs w:val="28"/>
        </w:rPr>
        <w:t>Magistrado</w:t>
      </w:r>
    </w:p>
    <w:p w:rsidR="00400E07" w:rsidRPr="00DB625B" w:rsidRDefault="00400E07" w:rsidP="00DB625B">
      <w:pPr>
        <w:spacing w:after="0" w:line="240" w:lineRule="auto"/>
        <w:jc w:val="center"/>
        <w:rPr>
          <w:rFonts w:ascii="Times New Roman" w:hAnsi="Times New Roman" w:cs="Times New Roman"/>
          <w:sz w:val="28"/>
          <w:szCs w:val="28"/>
        </w:rPr>
      </w:pPr>
    </w:p>
    <w:p w:rsidR="00400E07" w:rsidRPr="00DB625B" w:rsidRDefault="00400E07" w:rsidP="00DB625B">
      <w:pPr>
        <w:spacing w:after="0" w:line="240" w:lineRule="auto"/>
        <w:jc w:val="center"/>
        <w:rPr>
          <w:rFonts w:ascii="Times New Roman" w:hAnsi="Times New Roman" w:cs="Times New Roman"/>
          <w:sz w:val="28"/>
          <w:szCs w:val="28"/>
        </w:rPr>
      </w:pPr>
    </w:p>
    <w:p w:rsidR="00400E07" w:rsidRPr="00DB625B" w:rsidRDefault="00400E07" w:rsidP="00DB625B">
      <w:pPr>
        <w:spacing w:after="0" w:line="240" w:lineRule="auto"/>
        <w:jc w:val="center"/>
        <w:rPr>
          <w:rFonts w:ascii="Times New Roman" w:hAnsi="Times New Roman" w:cs="Times New Roman"/>
          <w:sz w:val="28"/>
          <w:szCs w:val="28"/>
        </w:rPr>
      </w:pPr>
    </w:p>
    <w:p w:rsidR="00400E07" w:rsidRPr="00DB625B" w:rsidRDefault="00400E07" w:rsidP="00DB625B">
      <w:pPr>
        <w:spacing w:after="0" w:line="240" w:lineRule="auto"/>
        <w:jc w:val="center"/>
        <w:rPr>
          <w:rFonts w:ascii="Times New Roman" w:hAnsi="Times New Roman" w:cs="Times New Roman"/>
          <w:sz w:val="28"/>
          <w:szCs w:val="28"/>
        </w:rPr>
      </w:pPr>
      <w:r w:rsidRPr="00DB625B">
        <w:rPr>
          <w:rFonts w:ascii="Times New Roman" w:hAnsi="Times New Roman" w:cs="Times New Roman"/>
          <w:sz w:val="28"/>
          <w:szCs w:val="28"/>
        </w:rPr>
        <w:t>ALBERTO ROJAS RÍOS</w:t>
      </w:r>
    </w:p>
    <w:p w:rsidR="00400E07" w:rsidRPr="00DB625B" w:rsidRDefault="00400E07" w:rsidP="00DB625B">
      <w:pPr>
        <w:spacing w:after="0" w:line="240" w:lineRule="auto"/>
        <w:jc w:val="center"/>
        <w:rPr>
          <w:rFonts w:ascii="Times New Roman" w:hAnsi="Times New Roman" w:cs="Times New Roman"/>
          <w:sz w:val="28"/>
          <w:szCs w:val="28"/>
        </w:rPr>
      </w:pPr>
      <w:r w:rsidRPr="00DB625B">
        <w:rPr>
          <w:rFonts w:ascii="Times New Roman" w:hAnsi="Times New Roman" w:cs="Times New Roman"/>
          <w:sz w:val="28"/>
          <w:szCs w:val="28"/>
        </w:rPr>
        <w:t>Magistrado</w:t>
      </w:r>
    </w:p>
    <w:p w:rsidR="00400E07" w:rsidRPr="00DB625B" w:rsidRDefault="00400E07" w:rsidP="00DB625B">
      <w:pPr>
        <w:spacing w:after="0" w:line="240" w:lineRule="auto"/>
        <w:jc w:val="center"/>
        <w:rPr>
          <w:rFonts w:ascii="Times New Roman" w:hAnsi="Times New Roman" w:cs="Times New Roman"/>
          <w:sz w:val="28"/>
          <w:szCs w:val="28"/>
        </w:rPr>
      </w:pPr>
    </w:p>
    <w:p w:rsidR="00400E07" w:rsidRPr="00DB625B" w:rsidRDefault="00400E07" w:rsidP="00DB625B">
      <w:pPr>
        <w:spacing w:after="0" w:line="240" w:lineRule="auto"/>
        <w:jc w:val="center"/>
        <w:rPr>
          <w:rFonts w:ascii="Times New Roman" w:hAnsi="Times New Roman" w:cs="Times New Roman"/>
          <w:sz w:val="28"/>
          <w:szCs w:val="28"/>
        </w:rPr>
      </w:pPr>
    </w:p>
    <w:p w:rsidR="00400E07" w:rsidRPr="00DB625B" w:rsidRDefault="00400E07" w:rsidP="00DB625B">
      <w:pPr>
        <w:spacing w:after="0" w:line="240" w:lineRule="auto"/>
        <w:jc w:val="center"/>
        <w:rPr>
          <w:rFonts w:ascii="Times New Roman" w:hAnsi="Times New Roman" w:cs="Times New Roman"/>
          <w:sz w:val="28"/>
          <w:szCs w:val="28"/>
        </w:rPr>
      </w:pPr>
    </w:p>
    <w:p w:rsidR="00400E07" w:rsidRPr="00DB625B" w:rsidRDefault="00400E07" w:rsidP="00DB625B">
      <w:pPr>
        <w:spacing w:after="0" w:line="240" w:lineRule="auto"/>
        <w:jc w:val="center"/>
        <w:rPr>
          <w:rFonts w:ascii="Times New Roman" w:hAnsi="Times New Roman" w:cs="Times New Roman"/>
          <w:sz w:val="28"/>
          <w:szCs w:val="28"/>
        </w:rPr>
      </w:pPr>
      <w:r w:rsidRPr="00DB625B">
        <w:rPr>
          <w:rFonts w:ascii="Times New Roman" w:hAnsi="Times New Roman" w:cs="Times New Roman"/>
          <w:sz w:val="28"/>
          <w:szCs w:val="28"/>
        </w:rPr>
        <w:t>MARTHA VICTORIA SÁCHICA MÉNDEZ</w:t>
      </w:r>
    </w:p>
    <w:p w:rsidR="00082121" w:rsidRDefault="00400E07" w:rsidP="00DB625B">
      <w:pPr>
        <w:spacing w:after="0" w:line="240" w:lineRule="auto"/>
        <w:jc w:val="center"/>
        <w:rPr>
          <w:rFonts w:ascii="Times New Roman" w:hAnsi="Times New Roman" w:cs="Times New Roman"/>
          <w:sz w:val="28"/>
          <w:szCs w:val="28"/>
        </w:rPr>
      </w:pPr>
      <w:r w:rsidRPr="00DB625B">
        <w:rPr>
          <w:rFonts w:ascii="Times New Roman" w:hAnsi="Times New Roman" w:cs="Times New Roman"/>
          <w:sz w:val="28"/>
          <w:szCs w:val="28"/>
        </w:rPr>
        <w:t>Secretaria General</w:t>
      </w:r>
    </w:p>
    <w:p w:rsidR="00DB14DD" w:rsidRDefault="00DB14DD" w:rsidP="00DB625B">
      <w:pPr>
        <w:spacing w:after="0" w:line="240" w:lineRule="auto"/>
        <w:jc w:val="center"/>
        <w:rPr>
          <w:rFonts w:ascii="Times New Roman" w:hAnsi="Times New Roman" w:cs="Times New Roman"/>
          <w:bCs/>
          <w:sz w:val="28"/>
          <w:szCs w:val="28"/>
        </w:rPr>
      </w:pPr>
    </w:p>
    <w:p w:rsidR="00DB14DD" w:rsidRPr="00DB625B" w:rsidRDefault="00DB14DD" w:rsidP="00DB625B">
      <w:pPr>
        <w:spacing w:after="0" w:line="240" w:lineRule="auto"/>
        <w:jc w:val="center"/>
        <w:rPr>
          <w:rFonts w:ascii="Times New Roman" w:hAnsi="Times New Roman" w:cs="Times New Roman"/>
          <w:bCs/>
          <w:sz w:val="28"/>
          <w:szCs w:val="28"/>
        </w:rPr>
      </w:pPr>
    </w:p>
    <w:sectPr w:rsidR="00DB14DD" w:rsidRPr="00DB625B" w:rsidSect="00170FDF">
      <w:footerReference w:type="even" r:id="rId8"/>
      <w:pgSz w:w="12242" w:h="18722" w:code="14"/>
      <w:pgMar w:top="2211" w:right="1644" w:bottom="2211" w:left="2211" w:header="1134" w:footer="1531" w:gutter="0"/>
      <w:paperSrc w:first="15" w:other="15"/>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141F" w:rsidRDefault="0070141F" w:rsidP="00170FDF">
      <w:pPr>
        <w:spacing w:after="0" w:line="240" w:lineRule="auto"/>
      </w:pPr>
      <w:r>
        <w:separator/>
      </w:r>
    </w:p>
  </w:endnote>
  <w:endnote w:type="continuationSeparator" w:id="0">
    <w:p w:rsidR="0070141F" w:rsidRDefault="0070141F" w:rsidP="00170F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6C84" w:rsidRDefault="00626C84" w:rsidP="00170FD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626C84" w:rsidRDefault="00626C84" w:rsidP="00170FDF">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141F" w:rsidRDefault="0070141F" w:rsidP="00170FDF">
      <w:pPr>
        <w:spacing w:after="0" w:line="240" w:lineRule="auto"/>
      </w:pPr>
      <w:r>
        <w:separator/>
      </w:r>
    </w:p>
  </w:footnote>
  <w:footnote w:type="continuationSeparator" w:id="0">
    <w:p w:rsidR="0070141F" w:rsidRDefault="0070141F" w:rsidP="00170FDF">
      <w:pPr>
        <w:spacing w:after="0" w:line="240" w:lineRule="auto"/>
      </w:pPr>
      <w:r>
        <w:continuationSeparator/>
      </w:r>
    </w:p>
  </w:footnote>
  <w:footnote w:id="1">
    <w:p w:rsidR="00626C84" w:rsidRPr="00C854C2" w:rsidRDefault="00626C84" w:rsidP="00F24CE5">
      <w:pPr>
        <w:pStyle w:val="Textonotapie"/>
        <w:jc w:val="both"/>
        <w:rPr>
          <w:sz w:val="18"/>
          <w:szCs w:val="18"/>
        </w:rPr>
      </w:pPr>
      <w:r w:rsidRPr="00C854C2">
        <w:rPr>
          <w:rStyle w:val="Refdenotaalpie"/>
          <w:sz w:val="18"/>
          <w:szCs w:val="18"/>
        </w:rPr>
        <w:footnoteRef/>
      </w:r>
      <w:r w:rsidRPr="00C854C2">
        <w:rPr>
          <w:sz w:val="18"/>
          <w:szCs w:val="18"/>
        </w:rPr>
        <w:t xml:space="preserve"> Constitución Política, artículo 124</w:t>
      </w:r>
    </w:p>
  </w:footnote>
  <w:footnote w:id="2">
    <w:p w:rsidR="00626C84" w:rsidRPr="00C854C2" w:rsidRDefault="00626C84" w:rsidP="00F24CE5">
      <w:pPr>
        <w:pStyle w:val="Textonotapie"/>
        <w:jc w:val="both"/>
        <w:rPr>
          <w:sz w:val="18"/>
          <w:szCs w:val="18"/>
        </w:rPr>
      </w:pPr>
      <w:r w:rsidRPr="00C854C2">
        <w:rPr>
          <w:rStyle w:val="Refdenotaalpie"/>
          <w:sz w:val="18"/>
          <w:szCs w:val="18"/>
        </w:rPr>
        <w:footnoteRef/>
      </w:r>
      <w:r w:rsidRPr="00C854C2">
        <w:rPr>
          <w:sz w:val="18"/>
          <w:szCs w:val="18"/>
        </w:rPr>
        <w:t xml:space="preserve"> Folio 45</w:t>
      </w:r>
    </w:p>
  </w:footnote>
  <w:footnote w:id="3">
    <w:p w:rsidR="00626C84" w:rsidRPr="00C854C2" w:rsidRDefault="00626C84" w:rsidP="00F24CE5">
      <w:pPr>
        <w:pStyle w:val="Textonotapie"/>
        <w:jc w:val="both"/>
        <w:rPr>
          <w:sz w:val="18"/>
          <w:szCs w:val="18"/>
        </w:rPr>
      </w:pPr>
      <w:r w:rsidRPr="00C854C2">
        <w:rPr>
          <w:rStyle w:val="Refdenotaalpie"/>
          <w:sz w:val="18"/>
          <w:szCs w:val="18"/>
        </w:rPr>
        <w:footnoteRef/>
      </w:r>
      <w:r w:rsidRPr="00C854C2">
        <w:rPr>
          <w:sz w:val="18"/>
          <w:szCs w:val="18"/>
        </w:rPr>
        <w:t xml:space="preserve"> S</w:t>
      </w:r>
      <w:r>
        <w:rPr>
          <w:sz w:val="18"/>
          <w:szCs w:val="18"/>
        </w:rPr>
        <w:t>entencia C-2</w:t>
      </w:r>
      <w:r w:rsidRPr="00C854C2">
        <w:rPr>
          <w:sz w:val="18"/>
          <w:szCs w:val="18"/>
        </w:rPr>
        <w:t>80 de 1996</w:t>
      </w:r>
    </w:p>
  </w:footnote>
  <w:footnote w:id="4">
    <w:p w:rsidR="00626C84" w:rsidRPr="00C854C2" w:rsidRDefault="00626C84" w:rsidP="00F24CE5">
      <w:pPr>
        <w:pStyle w:val="Textonotapie"/>
        <w:jc w:val="both"/>
        <w:rPr>
          <w:sz w:val="18"/>
          <w:szCs w:val="18"/>
        </w:rPr>
      </w:pPr>
      <w:r w:rsidRPr="00C854C2">
        <w:rPr>
          <w:rStyle w:val="Refdenotaalpie"/>
          <w:sz w:val="18"/>
          <w:szCs w:val="18"/>
        </w:rPr>
        <w:footnoteRef/>
      </w:r>
      <w:r w:rsidRPr="00C854C2">
        <w:rPr>
          <w:sz w:val="18"/>
          <w:szCs w:val="18"/>
        </w:rPr>
        <w:t xml:space="preserve"> Artículo 118</w:t>
      </w:r>
    </w:p>
  </w:footnote>
  <w:footnote w:id="5">
    <w:p w:rsidR="00626C84" w:rsidRPr="00C854C2" w:rsidRDefault="00626C84" w:rsidP="00F24CE5">
      <w:pPr>
        <w:pStyle w:val="Textonotapie"/>
        <w:jc w:val="both"/>
        <w:rPr>
          <w:sz w:val="18"/>
          <w:szCs w:val="18"/>
          <w:lang w:val="es-ES"/>
        </w:rPr>
      </w:pPr>
      <w:r w:rsidRPr="00C854C2">
        <w:rPr>
          <w:rStyle w:val="Refdenotaalpie"/>
          <w:sz w:val="18"/>
          <w:szCs w:val="18"/>
        </w:rPr>
        <w:footnoteRef/>
      </w:r>
      <w:r w:rsidRPr="00C854C2">
        <w:rPr>
          <w:sz w:val="18"/>
          <w:szCs w:val="18"/>
        </w:rPr>
        <w:t xml:space="preserve"> Demanda contra varios artículos de la Ley 734 de 2002, que sanciona faltas gravísimas con destitución e inhabilidad general para ejercer funciones públicas, aquí los demandantes refieren que la inhabilidad para acceder al ejercicio de la función pública desconocía el artículo 23 de la Convención Americana, al considerar que la restricción de derechos políticos solo estaban a cargo de un juez de la república en el reglamento de un proceso penal, lo que no es aplicable a través de actuaciones administrativas que adelante la Procuraduría General de la Nación.</w:t>
      </w:r>
    </w:p>
  </w:footnote>
  <w:footnote w:id="6">
    <w:p w:rsidR="00626C84" w:rsidRPr="00C854C2" w:rsidRDefault="00626C84" w:rsidP="00F24CE5">
      <w:pPr>
        <w:pStyle w:val="Textonotapie"/>
        <w:jc w:val="both"/>
        <w:rPr>
          <w:sz w:val="18"/>
          <w:szCs w:val="18"/>
        </w:rPr>
      </w:pPr>
      <w:r w:rsidRPr="00C854C2">
        <w:rPr>
          <w:rStyle w:val="Refdenotaalpie"/>
          <w:sz w:val="18"/>
          <w:szCs w:val="18"/>
        </w:rPr>
        <w:footnoteRef/>
      </w:r>
      <w:r w:rsidRPr="00C854C2">
        <w:rPr>
          <w:sz w:val="18"/>
          <w:szCs w:val="18"/>
        </w:rPr>
        <w:t xml:space="preserve"> Folio 48</w:t>
      </w:r>
    </w:p>
  </w:footnote>
  <w:footnote w:id="7">
    <w:p w:rsidR="00626C84" w:rsidRPr="00C854C2" w:rsidRDefault="00626C84" w:rsidP="00F24CE5">
      <w:pPr>
        <w:pStyle w:val="Textonotapie"/>
        <w:jc w:val="both"/>
        <w:rPr>
          <w:sz w:val="18"/>
          <w:szCs w:val="18"/>
        </w:rPr>
      </w:pPr>
      <w:r w:rsidRPr="00C854C2">
        <w:rPr>
          <w:rStyle w:val="Refdenotaalpie"/>
          <w:sz w:val="18"/>
          <w:szCs w:val="18"/>
        </w:rPr>
        <w:footnoteRef/>
      </w:r>
      <w:r w:rsidRPr="00C854C2">
        <w:rPr>
          <w:sz w:val="18"/>
          <w:szCs w:val="18"/>
        </w:rPr>
        <w:t xml:space="preserve"> Folio 48</w:t>
      </w:r>
    </w:p>
  </w:footnote>
  <w:footnote w:id="8">
    <w:p w:rsidR="00626C84" w:rsidRPr="00C854C2" w:rsidRDefault="00626C84" w:rsidP="00F24CE5">
      <w:pPr>
        <w:pStyle w:val="Textonotapie"/>
        <w:jc w:val="both"/>
        <w:rPr>
          <w:sz w:val="18"/>
          <w:szCs w:val="18"/>
        </w:rPr>
      </w:pPr>
      <w:r w:rsidRPr="00C854C2">
        <w:rPr>
          <w:rStyle w:val="Refdenotaalpie"/>
          <w:sz w:val="18"/>
          <w:szCs w:val="18"/>
        </w:rPr>
        <w:footnoteRef/>
      </w:r>
      <w:r w:rsidRPr="00C854C2">
        <w:rPr>
          <w:sz w:val="18"/>
          <w:szCs w:val="18"/>
        </w:rPr>
        <w:t xml:space="preserve"> Constitución Política, artículo 244 </w:t>
      </w:r>
    </w:p>
  </w:footnote>
  <w:footnote w:id="9">
    <w:p w:rsidR="00626C84" w:rsidRPr="00C854C2" w:rsidRDefault="00626C84" w:rsidP="00F24CE5">
      <w:pPr>
        <w:pStyle w:val="Textonotapie"/>
        <w:jc w:val="both"/>
        <w:rPr>
          <w:sz w:val="18"/>
          <w:szCs w:val="18"/>
        </w:rPr>
      </w:pPr>
      <w:r w:rsidRPr="00C854C2">
        <w:rPr>
          <w:rStyle w:val="Refdenotaalpie"/>
          <w:sz w:val="18"/>
          <w:szCs w:val="18"/>
        </w:rPr>
        <w:footnoteRef/>
      </w:r>
      <w:r w:rsidRPr="00C854C2">
        <w:rPr>
          <w:sz w:val="18"/>
          <w:szCs w:val="18"/>
        </w:rPr>
        <w:t xml:space="preserve"> Folio 85</w:t>
      </w:r>
    </w:p>
  </w:footnote>
  <w:footnote w:id="10">
    <w:p w:rsidR="00626C84" w:rsidRPr="00C854C2" w:rsidRDefault="00626C84" w:rsidP="00F24CE5">
      <w:pPr>
        <w:pStyle w:val="Textonotapie"/>
        <w:jc w:val="both"/>
        <w:rPr>
          <w:sz w:val="18"/>
          <w:szCs w:val="18"/>
        </w:rPr>
      </w:pPr>
      <w:r w:rsidRPr="00C854C2">
        <w:rPr>
          <w:rStyle w:val="Refdenotaalpie"/>
          <w:sz w:val="18"/>
          <w:szCs w:val="18"/>
        </w:rPr>
        <w:footnoteRef/>
      </w:r>
      <w:r w:rsidRPr="00C854C2">
        <w:rPr>
          <w:sz w:val="18"/>
          <w:szCs w:val="18"/>
        </w:rPr>
        <w:t xml:space="preserve"> Sentencia C-028 de 2006, SU-71 de 2013, C-500 de 2014 y C-086 de 2019</w:t>
      </w:r>
    </w:p>
  </w:footnote>
  <w:footnote w:id="11">
    <w:p w:rsidR="00626C84" w:rsidRPr="00C854C2" w:rsidRDefault="00626C84" w:rsidP="00F24CE5">
      <w:pPr>
        <w:pStyle w:val="Textonotapie"/>
        <w:jc w:val="both"/>
        <w:rPr>
          <w:sz w:val="18"/>
          <w:szCs w:val="18"/>
        </w:rPr>
      </w:pPr>
      <w:r w:rsidRPr="00C854C2">
        <w:rPr>
          <w:rStyle w:val="Refdenotaalpie"/>
          <w:sz w:val="18"/>
          <w:szCs w:val="18"/>
        </w:rPr>
        <w:footnoteRef/>
      </w:r>
      <w:r w:rsidRPr="00C854C2">
        <w:rPr>
          <w:sz w:val="18"/>
          <w:szCs w:val="18"/>
        </w:rPr>
        <w:t xml:space="preserve"> Folio 85</w:t>
      </w:r>
    </w:p>
  </w:footnote>
  <w:footnote w:id="12">
    <w:p w:rsidR="00626C84" w:rsidRDefault="00626C84" w:rsidP="00F24CE5">
      <w:pPr>
        <w:pStyle w:val="Textonotapie"/>
        <w:jc w:val="both"/>
      </w:pPr>
      <w:r>
        <w:rPr>
          <w:rStyle w:val="Refdenotaalpie"/>
        </w:rPr>
        <w:footnoteRef/>
      </w:r>
      <w:r>
        <w:t xml:space="preserve"> En este acápite se reiterarán las consideraciones de la Sentencia C-536 de 2019</w:t>
      </w:r>
    </w:p>
  </w:footnote>
  <w:footnote w:id="13">
    <w:p w:rsidR="00626C84" w:rsidRDefault="00626C84" w:rsidP="00F24CE5">
      <w:pPr>
        <w:pStyle w:val="Textonotapie"/>
        <w:jc w:val="both"/>
      </w:pPr>
      <w:r>
        <w:rPr>
          <w:rStyle w:val="Refdenotaalpie"/>
        </w:rPr>
        <w:footnoteRef/>
      </w:r>
      <w:r>
        <w:t xml:space="preserve"> Sentencia C-302 de 2012.</w:t>
      </w:r>
    </w:p>
  </w:footnote>
  <w:footnote w:id="14">
    <w:p w:rsidR="00626C84" w:rsidRDefault="00626C84" w:rsidP="00F24CE5">
      <w:pPr>
        <w:pStyle w:val="Textonotapie"/>
        <w:jc w:val="both"/>
      </w:pPr>
      <w:r>
        <w:rPr>
          <w:rStyle w:val="Refdenotaalpie"/>
        </w:rPr>
        <w:footnoteRef/>
      </w:r>
      <w:r>
        <w:t xml:space="preserve"> Sentencias C-200 de 2019, C-044 de 2018, C-348 de 2017 y C-516 de 2016.</w:t>
      </w:r>
    </w:p>
  </w:footnote>
  <w:footnote w:id="15">
    <w:p w:rsidR="00626C84" w:rsidRPr="00DA60D9" w:rsidRDefault="00626C84" w:rsidP="00F24CE5">
      <w:pPr>
        <w:pStyle w:val="Textonotapie"/>
        <w:jc w:val="both"/>
      </w:pPr>
      <w:r w:rsidRPr="00DA60D9">
        <w:rPr>
          <w:rStyle w:val="Refdenotaalpie"/>
        </w:rPr>
        <w:footnoteRef/>
      </w:r>
      <w:r w:rsidRPr="00DA60D9">
        <w:t xml:space="preserve"> Serrano José Luis, Validez y Vigencia, la aportación garantista a la teoría de la norma jurídica, Editorial Trotta, Madrid, 1999, pp 23 y  74.</w:t>
      </w:r>
    </w:p>
  </w:footnote>
  <w:footnote w:id="16">
    <w:p w:rsidR="00626C84" w:rsidRDefault="00626C84" w:rsidP="00F24CE5">
      <w:pPr>
        <w:pStyle w:val="Textonotapie"/>
        <w:jc w:val="both"/>
      </w:pPr>
      <w:r>
        <w:rPr>
          <w:rStyle w:val="Refdenotaalpie"/>
        </w:rPr>
        <w:footnoteRef/>
      </w:r>
      <w:r>
        <w:t xml:space="preserve">  Sentencias C-200 de 2019, C-044 de 2018 y C-516 de 2016.</w:t>
      </w:r>
    </w:p>
  </w:footnote>
  <w:footnote w:id="17">
    <w:p w:rsidR="00626C84" w:rsidRDefault="00626C84" w:rsidP="00F24CE5">
      <w:pPr>
        <w:pStyle w:val="Textonotapie"/>
        <w:jc w:val="both"/>
      </w:pPr>
      <w:r>
        <w:rPr>
          <w:rStyle w:val="Refdenotaalpie"/>
        </w:rPr>
        <w:footnoteRef/>
      </w:r>
      <w:r>
        <w:t xml:space="preserve"> Sentencias C-818 de 2011, C-634 de 2011 y C-302 de 2012.</w:t>
      </w:r>
    </w:p>
  </w:footnote>
  <w:footnote w:id="18">
    <w:p w:rsidR="00626C84" w:rsidRDefault="00626C84" w:rsidP="00F24CE5">
      <w:pPr>
        <w:pStyle w:val="Textonotapie"/>
        <w:jc w:val="both"/>
      </w:pPr>
      <w:r>
        <w:rPr>
          <w:rStyle w:val="Refdenotaalpie"/>
        </w:rPr>
        <w:footnoteRef/>
      </w:r>
      <w:r>
        <w:t xml:space="preserve"> Sentencias C-392 de 2019</w:t>
      </w:r>
      <w:r w:rsidRPr="00C771D6">
        <w:t>, C-495 de 2019,</w:t>
      </w:r>
      <w:r>
        <w:t xml:space="preserve"> C-536 de 2019, </w:t>
      </w:r>
    </w:p>
  </w:footnote>
  <w:footnote w:id="19">
    <w:p w:rsidR="00626C84" w:rsidRDefault="00626C84" w:rsidP="00F24CE5">
      <w:pPr>
        <w:pStyle w:val="Textonotapie"/>
        <w:jc w:val="both"/>
      </w:pPr>
      <w:r>
        <w:rPr>
          <w:rStyle w:val="Refdenotaalpie"/>
        </w:rPr>
        <w:footnoteRef/>
      </w:r>
      <w:r>
        <w:t xml:space="preserve"> Sentencia C-212 de 2017</w:t>
      </w:r>
    </w:p>
  </w:footnote>
  <w:footnote w:id="20">
    <w:p w:rsidR="00626C84" w:rsidRDefault="00626C84" w:rsidP="00F24CE5">
      <w:pPr>
        <w:pStyle w:val="Textonotapie"/>
        <w:jc w:val="both"/>
      </w:pPr>
      <w:r>
        <w:rPr>
          <w:rStyle w:val="Refdenotaalpie"/>
        </w:rPr>
        <w:footnoteRef/>
      </w:r>
      <w:r>
        <w:t xml:space="preserve"> Ver </w:t>
      </w:r>
      <w:r w:rsidRPr="00D402BC">
        <w:t>Diario Oficial No. 50.850 de 28 de enero de 2019</w:t>
      </w:r>
    </w:p>
  </w:footnote>
  <w:footnote w:id="21">
    <w:p w:rsidR="00626C84" w:rsidRDefault="00626C84" w:rsidP="00F24CE5">
      <w:pPr>
        <w:pStyle w:val="Textonotapie"/>
        <w:jc w:val="both"/>
      </w:pPr>
      <w:r>
        <w:rPr>
          <w:rStyle w:val="Refdenotaalpie"/>
        </w:rPr>
        <w:footnoteRef/>
      </w:r>
      <w:r>
        <w:t xml:space="preserve"> </w:t>
      </w:r>
      <w:r w:rsidRPr="00DA60D9">
        <w:t xml:space="preserve">En este acápite, se reiterará las consideraciones expuestas en las Sentencias </w:t>
      </w:r>
      <w:r>
        <w:t xml:space="preserve">C-200 de 2019, C-096 de 2017, C-516 de 2016. </w:t>
      </w:r>
      <w:r w:rsidRPr="00DA60D9">
        <w:t xml:space="preserve">C-007 de 2016, C- </w:t>
      </w:r>
      <w:r>
        <w:t>674 de 2015, C-164 de 2005, C-572 de 2014, C-554 de 2014, C-287 de 2014, C-255 de 2014, C-178 de 2014, C-538 de 2012.</w:t>
      </w:r>
    </w:p>
  </w:footnote>
  <w:footnote w:id="22">
    <w:p w:rsidR="00626C84" w:rsidRPr="00C854C2" w:rsidRDefault="00626C84" w:rsidP="00F24CE5">
      <w:pPr>
        <w:pStyle w:val="Textonotapie"/>
        <w:jc w:val="both"/>
        <w:rPr>
          <w:sz w:val="18"/>
          <w:szCs w:val="18"/>
        </w:rPr>
      </w:pPr>
      <w:r w:rsidRPr="00C854C2">
        <w:rPr>
          <w:rStyle w:val="Refdenotaalpie"/>
          <w:sz w:val="18"/>
          <w:szCs w:val="18"/>
        </w:rPr>
        <w:footnoteRef/>
      </w:r>
      <w:r w:rsidR="00A961C1">
        <w:rPr>
          <w:sz w:val="18"/>
          <w:szCs w:val="18"/>
        </w:rPr>
        <w:t xml:space="preserve"> Folio 4 Concepto del Procurador General de la Nación</w:t>
      </w:r>
    </w:p>
  </w:footnote>
  <w:footnote w:id="23">
    <w:p w:rsidR="00626C84" w:rsidRPr="00C854C2" w:rsidRDefault="00626C84" w:rsidP="00F24CE5">
      <w:pPr>
        <w:pStyle w:val="Textonotapie"/>
        <w:jc w:val="both"/>
        <w:rPr>
          <w:sz w:val="18"/>
          <w:szCs w:val="18"/>
        </w:rPr>
      </w:pPr>
      <w:r w:rsidRPr="00C854C2">
        <w:rPr>
          <w:rStyle w:val="Refdenotaalpie"/>
          <w:sz w:val="18"/>
          <w:szCs w:val="18"/>
        </w:rPr>
        <w:footnoteRef/>
      </w:r>
      <w:r w:rsidR="00A961C1">
        <w:rPr>
          <w:sz w:val="18"/>
          <w:szCs w:val="18"/>
        </w:rPr>
        <w:t xml:space="preserve"> Folio 5</w:t>
      </w:r>
      <w:r w:rsidRPr="00C854C2">
        <w:rPr>
          <w:sz w:val="18"/>
          <w:szCs w:val="18"/>
        </w:rPr>
        <w:t>.</w:t>
      </w:r>
      <w:r w:rsidR="00A961C1">
        <w:rPr>
          <w:sz w:val="18"/>
          <w:szCs w:val="18"/>
        </w:rPr>
        <w:t xml:space="preserve"> Concepto del Procurador General de la Nación</w:t>
      </w:r>
    </w:p>
  </w:footnote>
  <w:footnote w:id="24">
    <w:p w:rsidR="00626C84" w:rsidRPr="00C854C2" w:rsidRDefault="00626C84" w:rsidP="00F24CE5">
      <w:pPr>
        <w:pStyle w:val="Textonotapie"/>
        <w:jc w:val="both"/>
        <w:rPr>
          <w:sz w:val="18"/>
          <w:szCs w:val="18"/>
        </w:rPr>
      </w:pPr>
      <w:r w:rsidRPr="00C854C2">
        <w:rPr>
          <w:rStyle w:val="Refdenotaalpie"/>
          <w:sz w:val="18"/>
          <w:szCs w:val="18"/>
        </w:rPr>
        <w:footnoteRef/>
      </w:r>
      <w:r w:rsidRPr="00C854C2">
        <w:rPr>
          <w:sz w:val="18"/>
          <w:szCs w:val="18"/>
        </w:rPr>
        <w:t xml:space="preserve"> C. Const., sentencias de constitucionalidad C- 259 de 2015, C- 096 de 2019, C- 187 de 2019</w:t>
      </w:r>
    </w:p>
  </w:footnote>
  <w:footnote w:id="25">
    <w:p w:rsidR="00626C84" w:rsidRPr="00DA60D9" w:rsidRDefault="00626C84" w:rsidP="00F24CE5">
      <w:pPr>
        <w:pStyle w:val="Textonotapie"/>
        <w:jc w:val="both"/>
      </w:pPr>
      <w:r w:rsidRPr="00DA60D9">
        <w:rPr>
          <w:rStyle w:val="Refdenotaalpie"/>
        </w:rPr>
        <w:footnoteRef/>
      </w:r>
      <w:r w:rsidRPr="00DA60D9">
        <w:t xml:space="preserve"> En Sentencias C-259 de 2008 y C-211 de 2003, la Corte al recordar la sentencia C-310 de 2002, precisó que el efecto de la cosa juzgada material depende de si la norma es declarada inexequible o exequible. </w:t>
      </w:r>
    </w:p>
  </w:footnote>
  <w:footnote w:id="26">
    <w:p w:rsidR="00626C84" w:rsidRPr="00DA60D9" w:rsidRDefault="00626C84" w:rsidP="00F24CE5">
      <w:pPr>
        <w:pStyle w:val="Textonotapie"/>
        <w:jc w:val="both"/>
      </w:pPr>
      <w:r w:rsidRPr="00DA60D9">
        <w:rPr>
          <w:rStyle w:val="Refdenotaalpie"/>
        </w:rPr>
        <w:footnoteRef/>
      </w:r>
      <w:r w:rsidRPr="00DA60D9">
        <w:t>Al respecto se pueden ver la sentencia C-245 de 2009, fallo que indicó que: “</w:t>
      </w:r>
      <w:r w:rsidRPr="00DA60D9">
        <w:rPr>
          <w:i/>
          <w:shd w:val="clear" w:color="auto" w:fill="FFFFFF"/>
        </w:rPr>
        <w:t>la Sala resaltar que el principio de cosa juzgada constitucional absoluta cobra mayor relevancia cuando se trata de decisiones de inexequibilidad, por cuanto en estos casos las normas analizadas y encontradas contrarias a la Carta Política son expulsadas del ordenamiento jurídico, no pudiendo sobre ellas volver a presentarse demanda de inconstitucionalidad o ser objeto de nueva discusión o debate. Lo anterior, máxime si se trata de una declaración de inexequibilidad de la totalidad del precepto demandado o de la totalidad de los preceptos contenidos en una ley. En tales casos, independientemente de los cargos, razones y motivos que hayan llevado a su declaración de inconstitucionalidad, no</w:t>
      </w:r>
      <w:r w:rsidRPr="00DA60D9">
        <w:rPr>
          <w:shd w:val="clear" w:color="auto" w:fill="FFFFFF"/>
        </w:rPr>
        <w:t xml:space="preserve"> es posible emprender un nuevo análisis por cuanto tales normas han dejado de existir en el mundo jurídico.” En esa misma dirección se encuentra, por ejemplo, las sentencias C-255 de 2014 y C-007 de 2016.  </w:t>
      </w:r>
      <w:r w:rsidRPr="00DA60D9">
        <w:t xml:space="preserve">  </w:t>
      </w:r>
    </w:p>
  </w:footnote>
  <w:footnote w:id="27">
    <w:p w:rsidR="00626C84" w:rsidRDefault="00626C84" w:rsidP="00F24CE5">
      <w:pPr>
        <w:pStyle w:val="Textonotapie"/>
        <w:jc w:val="both"/>
      </w:pPr>
      <w:r>
        <w:rPr>
          <w:rStyle w:val="Refdenotaalpie"/>
        </w:rPr>
        <w:footnoteRef/>
      </w:r>
      <w:r>
        <w:t xml:space="preserve"> Sentencia C-200 de 2019</w:t>
      </w:r>
    </w:p>
  </w:footnote>
  <w:footnote w:id="28">
    <w:p w:rsidR="00626C84" w:rsidRPr="00C854C2" w:rsidRDefault="00626C84" w:rsidP="00F24CE5">
      <w:pPr>
        <w:pStyle w:val="Textonotapie"/>
        <w:jc w:val="both"/>
        <w:rPr>
          <w:sz w:val="18"/>
          <w:szCs w:val="18"/>
        </w:rPr>
      </w:pPr>
      <w:r w:rsidRPr="00C854C2">
        <w:rPr>
          <w:rStyle w:val="Refdenotaalpie"/>
          <w:sz w:val="18"/>
          <w:szCs w:val="18"/>
        </w:rPr>
        <w:footnoteRef/>
      </w:r>
      <w:r w:rsidRPr="00C854C2">
        <w:rPr>
          <w:sz w:val="18"/>
          <w:szCs w:val="18"/>
        </w:rPr>
        <w:t xml:space="preserve"> Para ello, véase, C. Const., sentencias de constitucionalidad C- 028 de 2006, C- 500 de 2014, C- 086 de 2019 y C- 111 de 2019; sentencia de unificación SU- 712 de 2013.</w:t>
      </w:r>
    </w:p>
  </w:footnote>
  <w:footnote w:id="29">
    <w:p w:rsidR="00626C84" w:rsidRPr="00C854C2" w:rsidRDefault="00626C84" w:rsidP="00F24CE5">
      <w:pPr>
        <w:pStyle w:val="Textonotapie"/>
        <w:jc w:val="both"/>
        <w:rPr>
          <w:sz w:val="18"/>
          <w:szCs w:val="18"/>
        </w:rPr>
      </w:pPr>
      <w:r w:rsidRPr="00C854C2">
        <w:rPr>
          <w:rStyle w:val="Refdenotaalpie"/>
          <w:sz w:val="18"/>
          <w:szCs w:val="18"/>
        </w:rPr>
        <w:footnoteRef/>
      </w:r>
      <w:r w:rsidRPr="00C854C2">
        <w:rPr>
          <w:sz w:val="18"/>
          <w:szCs w:val="18"/>
        </w:rPr>
        <w:t xml:space="preserve"> Echeverri U., et al., Rama Legislativa del Poder Público, en Gaceta Constitucional, núm. 79, 1991, p. 13.</w:t>
      </w:r>
    </w:p>
  </w:footnote>
  <w:footnote w:id="30">
    <w:p w:rsidR="00626C84" w:rsidRPr="00C854C2" w:rsidRDefault="00626C84" w:rsidP="00F24CE5">
      <w:pPr>
        <w:pStyle w:val="Textonotapie"/>
        <w:jc w:val="both"/>
        <w:rPr>
          <w:sz w:val="18"/>
          <w:szCs w:val="18"/>
        </w:rPr>
      </w:pPr>
      <w:r w:rsidRPr="00C854C2">
        <w:rPr>
          <w:rStyle w:val="Refdenotaalpie"/>
          <w:sz w:val="18"/>
          <w:szCs w:val="18"/>
        </w:rPr>
        <w:footnoteRef/>
      </w:r>
      <w:r w:rsidRPr="00C854C2">
        <w:rPr>
          <w:sz w:val="18"/>
          <w:szCs w:val="18"/>
        </w:rPr>
        <w:t xml:space="preserve"> Echeverri U., et al., 1991, op. Cit., p. 13.</w:t>
      </w:r>
    </w:p>
  </w:footnote>
  <w:footnote w:id="31">
    <w:p w:rsidR="00626C84" w:rsidRPr="00C854C2" w:rsidRDefault="00626C84" w:rsidP="00F24CE5">
      <w:pPr>
        <w:pStyle w:val="Textonotapie"/>
        <w:jc w:val="both"/>
        <w:rPr>
          <w:sz w:val="18"/>
          <w:szCs w:val="18"/>
        </w:rPr>
      </w:pPr>
      <w:r w:rsidRPr="00C854C2">
        <w:rPr>
          <w:rStyle w:val="Refdenotaalpie"/>
          <w:sz w:val="18"/>
          <w:szCs w:val="18"/>
        </w:rPr>
        <w:footnoteRef/>
      </w:r>
      <w:r w:rsidRPr="00C854C2">
        <w:rPr>
          <w:sz w:val="18"/>
          <w:szCs w:val="18"/>
        </w:rPr>
        <w:t xml:space="preserve"> Echeverri U., et al., 1991, op. Cit., p. 13.</w:t>
      </w:r>
    </w:p>
  </w:footnote>
  <w:footnote w:id="32">
    <w:p w:rsidR="00626C84" w:rsidRPr="00C854C2" w:rsidRDefault="00626C84" w:rsidP="00F24CE5">
      <w:pPr>
        <w:pStyle w:val="Textonotapie"/>
        <w:jc w:val="both"/>
        <w:rPr>
          <w:sz w:val="18"/>
          <w:szCs w:val="18"/>
        </w:rPr>
      </w:pPr>
      <w:r w:rsidRPr="00C854C2">
        <w:rPr>
          <w:rStyle w:val="Refdenotaalpie"/>
          <w:sz w:val="18"/>
          <w:szCs w:val="18"/>
        </w:rPr>
        <w:footnoteRef/>
      </w:r>
      <w:r w:rsidRPr="00C854C2">
        <w:rPr>
          <w:sz w:val="18"/>
          <w:szCs w:val="18"/>
        </w:rPr>
        <w:t xml:space="preserve"> </w:t>
      </w:r>
      <w:r>
        <w:rPr>
          <w:sz w:val="18"/>
          <w:szCs w:val="18"/>
        </w:rPr>
        <w:t>Ibídem</w:t>
      </w:r>
    </w:p>
  </w:footnote>
  <w:footnote w:id="33">
    <w:p w:rsidR="00626C84" w:rsidRPr="00C854C2" w:rsidRDefault="00626C84" w:rsidP="00F24CE5">
      <w:pPr>
        <w:pStyle w:val="Textonotapie"/>
        <w:jc w:val="both"/>
        <w:rPr>
          <w:sz w:val="18"/>
          <w:szCs w:val="18"/>
        </w:rPr>
      </w:pPr>
      <w:r w:rsidRPr="00C854C2">
        <w:rPr>
          <w:rStyle w:val="Refdenotaalpie"/>
          <w:sz w:val="18"/>
          <w:szCs w:val="18"/>
        </w:rPr>
        <w:footnoteRef/>
      </w:r>
      <w:r>
        <w:rPr>
          <w:sz w:val="18"/>
          <w:szCs w:val="18"/>
        </w:rPr>
        <w:t xml:space="preserve"> Ibídem</w:t>
      </w:r>
    </w:p>
  </w:footnote>
  <w:footnote w:id="34">
    <w:p w:rsidR="00626C84" w:rsidRPr="00C854C2" w:rsidRDefault="00626C84" w:rsidP="00F24CE5">
      <w:pPr>
        <w:pStyle w:val="Textonotapie"/>
        <w:jc w:val="both"/>
        <w:rPr>
          <w:sz w:val="18"/>
          <w:szCs w:val="18"/>
        </w:rPr>
      </w:pPr>
      <w:r w:rsidRPr="00C854C2">
        <w:rPr>
          <w:rStyle w:val="Refdenotaalpie"/>
          <w:sz w:val="18"/>
          <w:szCs w:val="18"/>
        </w:rPr>
        <w:footnoteRef/>
      </w:r>
      <w:r>
        <w:rPr>
          <w:sz w:val="18"/>
          <w:szCs w:val="18"/>
        </w:rPr>
        <w:t xml:space="preserve"> Sentencia</w:t>
      </w:r>
      <w:r w:rsidRPr="00C854C2">
        <w:rPr>
          <w:sz w:val="18"/>
          <w:szCs w:val="18"/>
        </w:rPr>
        <w:t xml:space="preserve"> C- 053 de 2019.</w:t>
      </w:r>
    </w:p>
  </w:footnote>
  <w:footnote w:id="35">
    <w:p w:rsidR="00626C84" w:rsidRPr="00C854C2" w:rsidRDefault="00626C84" w:rsidP="00F24CE5">
      <w:pPr>
        <w:pStyle w:val="Textonotapie"/>
        <w:jc w:val="both"/>
        <w:rPr>
          <w:sz w:val="18"/>
          <w:szCs w:val="18"/>
        </w:rPr>
      </w:pPr>
      <w:r w:rsidRPr="00C854C2">
        <w:rPr>
          <w:rStyle w:val="Refdenotaalpie"/>
          <w:sz w:val="18"/>
          <w:szCs w:val="18"/>
        </w:rPr>
        <w:footnoteRef/>
      </w:r>
      <w:r>
        <w:rPr>
          <w:sz w:val="18"/>
          <w:szCs w:val="18"/>
        </w:rPr>
        <w:t xml:space="preserve"> Ibídem</w:t>
      </w:r>
      <w:r w:rsidRPr="00C854C2">
        <w:rPr>
          <w:sz w:val="18"/>
          <w:szCs w:val="18"/>
        </w:rPr>
        <w:t>.</w:t>
      </w:r>
    </w:p>
  </w:footnote>
  <w:footnote w:id="36">
    <w:p w:rsidR="00626C84" w:rsidRPr="00C854C2" w:rsidRDefault="00626C84" w:rsidP="00F24CE5">
      <w:pPr>
        <w:pStyle w:val="Textonotapie"/>
        <w:jc w:val="both"/>
        <w:rPr>
          <w:sz w:val="18"/>
          <w:szCs w:val="18"/>
        </w:rPr>
      </w:pPr>
      <w:r w:rsidRPr="00C854C2">
        <w:rPr>
          <w:rStyle w:val="Refdenotaalpie"/>
          <w:sz w:val="18"/>
          <w:szCs w:val="18"/>
        </w:rPr>
        <w:footnoteRef/>
      </w:r>
      <w:r>
        <w:rPr>
          <w:sz w:val="18"/>
          <w:szCs w:val="18"/>
        </w:rPr>
        <w:t xml:space="preserve"> Sentencia</w:t>
      </w:r>
      <w:r w:rsidRPr="00C854C2">
        <w:rPr>
          <w:sz w:val="18"/>
          <w:szCs w:val="18"/>
        </w:rPr>
        <w:t xml:space="preserve"> C- 373 de 1995, C- 643 de 2011, C- 811 de 2011, C- 053 de 2019</w:t>
      </w:r>
      <w:r>
        <w:rPr>
          <w:sz w:val="18"/>
          <w:szCs w:val="18"/>
        </w:rPr>
        <w:t>, C.204 de 2019 y C-370 de 2019</w:t>
      </w:r>
      <w:r w:rsidRPr="00C854C2">
        <w:rPr>
          <w:sz w:val="18"/>
          <w:szCs w:val="18"/>
        </w:rPr>
        <w:t>.</w:t>
      </w:r>
    </w:p>
  </w:footnote>
  <w:footnote w:id="37">
    <w:p w:rsidR="00626C84" w:rsidRDefault="00626C84" w:rsidP="00F24CE5">
      <w:pPr>
        <w:pStyle w:val="Textonotapie"/>
      </w:pPr>
      <w:r>
        <w:rPr>
          <w:rStyle w:val="Refdenotaalpie"/>
        </w:rPr>
        <w:footnoteRef/>
      </w:r>
      <w:r>
        <w:t xml:space="preserve"> Sentencia C-204 de 2019.</w:t>
      </w:r>
    </w:p>
  </w:footnote>
  <w:footnote w:id="38">
    <w:p w:rsidR="00626C84" w:rsidRPr="00C854C2" w:rsidRDefault="00626C84" w:rsidP="00F24CE5">
      <w:pPr>
        <w:pStyle w:val="Textonotapie"/>
        <w:jc w:val="both"/>
        <w:rPr>
          <w:sz w:val="18"/>
          <w:szCs w:val="18"/>
        </w:rPr>
      </w:pPr>
      <w:r w:rsidRPr="00C854C2">
        <w:rPr>
          <w:rStyle w:val="Refdenotaalpie"/>
          <w:sz w:val="18"/>
          <w:szCs w:val="18"/>
        </w:rPr>
        <w:footnoteRef/>
      </w:r>
      <w:r w:rsidRPr="00C854C2">
        <w:rPr>
          <w:sz w:val="18"/>
          <w:szCs w:val="18"/>
        </w:rPr>
        <w:t>Sentencia</w:t>
      </w:r>
      <w:r>
        <w:rPr>
          <w:sz w:val="18"/>
          <w:szCs w:val="18"/>
        </w:rPr>
        <w:t xml:space="preserve">s C-646 de 2001 y </w:t>
      </w:r>
      <w:r w:rsidRPr="00C854C2">
        <w:rPr>
          <w:sz w:val="18"/>
          <w:szCs w:val="18"/>
        </w:rPr>
        <w:t>C-818 de 2011</w:t>
      </w:r>
      <w:r>
        <w:rPr>
          <w:sz w:val="18"/>
          <w:szCs w:val="18"/>
        </w:rPr>
        <w:t xml:space="preserve">. </w:t>
      </w:r>
      <w:r w:rsidRPr="004204B0">
        <w:rPr>
          <w:i/>
          <w:sz w:val="18"/>
          <w:szCs w:val="18"/>
        </w:rPr>
        <w:t>.</w:t>
      </w:r>
    </w:p>
  </w:footnote>
  <w:footnote w:id="39">
    <w:p w:rsidR="00626C84" w:rsidRDefault="00626C84" w:rsidP="00F24CE5">
      <w:pPr>
        <w:pStyle w:val="Textonotapie"/>
      </w:pPr>
      <w:r>
        <w:rPr>
          <w:rStyle w:val="Refdenotaalpie"/>
        </w:rPr>
        <w:footnoteRef/>
      </w:r>
      <w:r>
        <w:t xml:space="preserve"> Sentencia C-370 de 2019</w:t>
      </w:r>
    </w:p>
  </w:footnote>
  <w:footnote w:id="40">
    <w:p w:rsidR="00626C84" w:rsidRDefault="00626C84" w:rsidP="00F24CE5">
      <w:pPr>
        <w:pStyle w:val="Textonotapie"/>
        <w:jc w:val="both"/>
      </w:pPr>
      <w:r>
        <w:rPr>
          <w:rStyle w:val="Refdenotaalpie"/>
        </w:rPr>
        <w:footnoteRef/>
      </w:r>
      <w:r>
        <w:t xml:space="preserve"> </w:t>
      </w:r>
      <w:r w:rsidRPr="0032518B">
        <w:t xml:space="preserve">En la sentencia C-646 de 2001, este Tribunal </w:t>
      </w:r>
      <w:r>
        <w:t>había sistematizado</w:t>
      </w:r>
      <w:r w:rsidRPr="0032518B">
        <w:t xml:space="preserve"> los criterios que permiten identificar cuando una ley debió adoptar el trámite estatutario, que consisten en que </w:t>
      </w:r>
      <w:r w:rsidRPr="001721C2">
        <w:rPr>
          <w:i/>
        </w:rPr>
        <w:t>“(i) se trate de uno de los asuntos expresa y taxativamente incluidos en el artículo 152 de la Carta; (ii) Se trate de un derecho fundamental, no de un derecho constitucional de otra naturaleza; (iii) [se] desarrollen y complementen derechos fundamentales; (iv) la regulación de que se trate afecte el núcleo esencial de derechos fundamentales; (v) La regulación que se haga de las materias sometidas a reserva de ley estatutaria sea integral . (vi) [se] regule de manera integral un mecanismo de protección de derechos fundamentales; (vii) se trate de un mecanismo constitucional necesario e indispensable para la defensa y protección de un derecho fundamental</w:t>
      </w:r>
      <w:r w:rsidRPr="0032518B">
        <w:t>”.</w:t>
      </w:r>
    </w:p>
  </w:footnote>
  <w:footnote w:id="41">
    <w:p w:rsidR="00626C84" w:rsidRDefault="00626C84" w:rsidP="00F24CE5">
      <w:pPr>
        <w:pStyle w:val="Textonotapie"/>
        <w:jc w:val="both"/>
      </w:pPr>
      <w:r>
        <w:rPr>
          <w:rStyle w:val="Refdenotaalpie"/>
        </w:rPr>
        <w:footnoteRef/>
      </w:r>
      <w:r>
        <w:t xml:space="preserve"> </w:t>
      </w:r>
      <w:r>
        <w:rPr>
          <w:sz w:val="18"/>
          <w:szCs w:val="18"/>
        </w:rPr>
        <w:t>En la Sentencia C-385 de 2015, se precisó que e</w:t>
      </w:r>
      <w:r w:rsidRPr="004204B0">
        <w:rPr>
          <w:sz w:val="18"/>
          <w:szCs w:val="18"/>
        </w:rPr>
        <w:t>l objeto directo: hace referencia a la intención de la ley de regular de manera clara el derecho fundamental. De ahí que “</w:t>
      </w:r>
      <w:r w:rsidRPr="004204B0">
        <w:rPr>
          <w:i/>
          <w:sz w:val="18"/>
          <w:szCs w:val="18"/>
        </w:rPr>
        <w:t>si el objeto de la ley es regular materias relacionadas con un derecho fundamental, pero no el derecho fundamental en sí mismo, el trámite de ley estatutaria no es requerido</w:t>
      </w:r>
      <w:r>
        <w:rPr>
          <w:i/>
          <w:sz w:val="18"/>
          <w:szCs w:val="18"/>
        </w:rPr>
        <w:t>” (Sentencia C-818 de 2011);</w:t>
      </w:r>
    </w:p>
  </w:footnote>
  <w:footnote w:id="42">
    <w:p w:rsidR="00626C84" w:rsidRPr="006A1374" w:rsidRDefault="00626C84" w:rsidP="00F24CE5">
      <w:pPr>
        <w:pStyle w:val="Textonotapie"/>
        <w:jc w:val="both"/>
      </w:pPr>
      <w:r>
        <w:rPr>
          <w:rStyle w:val="Refdenotaalpie"/>
        </w:rPr>
        <w:footnoteRef/>
      </w:r>
      <w:r>
        <w:t xml:space="preserve"> .En Sentencias C-818 de 2011 y C-385 de 2015, se advirtió que la integralidad</w:t>
      </w:r>
      <w:r w:rsidRPr="001721C2">
        <w:t xml:space="preserve"> advierte que una norma que desarrolla un derecho fundamental debe ser tramitada por el referido procedimiento cualificado, siempre que regule de forma integral y sistemática esa garantía. La integralidad también aplica para el mecanismo de protección del derecho fundamental</w:t>
      </w:r>
      <w:r>
        <w:t xml:space="preserve">. Por su parte, </w:t>
      </w:r>
      <w:r w:rsidRPr="001721C2">
        <w:rPr>
          <w:sz w:val="18"/>
          <w:szCs w:val="18"/>
        </w:rPr>
        <w:t xml:space="preserve">la regulación estructural: obliga a que el desarrollo y afectación de los elementos estructurales que hacen parte del núcleo esencial del derecho tienen reserva de ley estatutaria. Sobre el particular, la Corte ha precisado que serán tramitados por una ley cualificada </w:t>
      </w:r>
      <w:r w:rsidRPr="004204B0">
        <w:rPr>
          <w:i/>
          <w:sz w:val="18"/>
          <w:szCs w:val="18"/>
        </w:rPr>
        <w:t>“los elementos que se encuentran próximos y alrededor del contenido esencial de un derecho fundamental”</w:t>
      </w:r>
      <w:r>
        <w:rPr>
          <w:i/>
          <w:sz w:val="18"/>
          <w:szCs w:val="18"/>
        </w:rPr>
        <w:t xml:space="preserve"> </w:t>
      </w:r>
      <w:r w:rsidRPr="00C854C2">
        <w:rPr>
          <w:sz w:val="18"/>
          <w:szCs w:val="18"/>
        </w:rPr>
        <w:t>Sentencia C-981 de 2005</w:t>
      </w:r>
      <w:r w:rsidRPr="004204B0">
        <w:rPr>
          <w:i/>
          <w:sz w:val="18"/>
          <w:szCs w:val="18"/>
        </w:rPr>
        <w:t xml:space="preserve">. </w:t>
      </w:r>
      <w:r w:rsidRPr="001721C2">
        <w:rPr>
          <w:sz w:val="18"/>
          <w:szCs w:val="18"/>
        </w:rPr>
        <w:t>Al regular esa clase de principios, el legislador no puede desconocer los contenidos normativos que el constituyente estableció en la Carta Política, así como la observancia de las condiciones de proporcionalidad y razonabilidad</w:t>
      </w:r>
      <w:r>
        <w:rPr>
          <w:sz w:val="18"/>
          <w:szCs w:val="18"/>
        </w:rPr>
        <w:t xml:space="preserve">. </w:t>
      </w:r>
    </w:p>
  </w:footnote>
  <w:footnote w:id="43">
    <w:p w:rsidR="00626C84" w:rsidRDefault="00626C84" w:rsidP="00F24CE5">
      <w:pPr>
        <w:pStyle w:val="Textonotapie"/>
        <w:jc w:val="both"/>
      </w:pPr>
      <w:r>
        <w:rPr>
          <w:rStyle w:val="Refdenotaalpie"/>
        </w:rPr>
        <w:footnoteRef/>
      </w:r>
      <w:r>
        <w:t xml:space="preserve"> </w:t>
      </w:r>
      <w:r>
        <w:rPr>
          <w:color w:val="2D2D2D"/>
          <w:shd w:val="clear" w:color="auto" w:fill="FFFFFF"/>
        </w:rPr>
        <w:t xml:space="preserve">La jurisprudencia constitucional ha definido el núcleo esencial como </w:t>
      </w:r>
      <w:r>
        <w:rPr>
          <w:i/>
          <w:iCs/>
          <w:color w:val="2D2D2D"/>
          <w:shd w:val="clear" w:color="auto" w:fill="FFFFFF"/>
        </w:rPr>
        <w:t>el mínimo de contenido que el legislador debe respetar, es esa parte del derecho que lo identifica, que permite diferenciarlo de otros y que otorga un necesario grado de inmunidad respecto de la intervención de las autoridades públicas. Y, en sentido negativo debe entenderse “el núcleo esencial de un derecho fundamental como aquel sin el cual un derecho deja de ser lo que es o lo convierte en otro derecho diferente o lo que caracteriza o tipifica al derecho fundamental y sin lo cual se le quita su esencia fundamental”</w:t>
      </w:r>
      <w:r>
        <w:rPr>
          <w:color w:val="2D2D2D"/>
          <w:shd w:val="clear" w:color="auto" w:fill="FFFFFF"/>
        </w:rPr>
        <w:t>: Sentencia </w:t>
      </w:r>
      <w:r w:rsidRPr="001721C2">
        <w:rPr>
          <w:color w:val="2D2D2D"/>
          <w:shd w:val="clear" w:color="auto" w:fill="FFFFFF"/>
        </w:rPr>
        <w:t>C-756 de 2008</w:t>
      </w:r>
      <w:r w:rsidRPr="001721C2">
        <w:rPr>
          <w:iCs/>
          <w:color w:val="2D2D2D"/>
          <w:shd w:val="clear" w:color="auto" w:fill="FFFFFF"/>
        </w:rPr>
        <w:t xml:space="preserve"> y C-204 de 2019</w:t>
      </w:r>
      <w:r>
        <w:rPr>
          <w:color w:val="2D2D2D"/>
          <w:shd w:val="clear" w:color="auto" w:fill="FFFFFF"/>
        </w:rPr>
        <w:t>. En la Sentencia C-993 de 2004</w:t>
      </w:r>
      <w:r w:rsidRPr="001D14F9">
        <w:rPr>
          <w:color w:val="2D2D2D"/>
          <w:shd w:val="clear" w:color="auto" w:fill="FFFFFF"/>
        </w:rPr>
        <w:t>, la Corte declaró inexequible la norma de la Ley 863 de 2003 que establecía la posibilidad de que la Dirección de Impuestos y Aduanas Nacionales (DIAN) reportara a las centrales de riesgo información sobre cumplimiento y mora de obligaciones tributarias por desarrollar aspectos inherentes al núcleo esencial del derecho como “límites, restricciones, excepciones y prohibiciones</w:t>
      </w:r>
    </w:p>
  </w:footnote>
  <w:footnote w:id="44">
    <w:p w:rsidR="00626C84" w:rsidRDefault="00626C84" w:rsidP="00F24CE5">
      <w:pPr>
        <w:pStyle w:val="Textonotapie"/>
        <w:jc w:val="both"/>
      </w:pPr>
      <w:r>
        <w:rPr>
          <w:rStyle w:val="Refdenotaalpie"/>
        </w:rPr>
        <w:footnoteRef/>
      </w:r>
      <w:r>
        <w:rPr>
          <w:color w:val="2D2D2D"/>
          <w:shd w:val="clear" w:color="auto" w:fill="FFFFFF"/>
        </w:rPr>
        <w:t>En la </w:t>
      </w:r>
      <w:r w:rsidRPr="00E7187F">
        <w:rPr>
          <w:bCs/>
          <w:color w:val="2D2D2D"/>
          <w:shd w:val="clear" w:color="auto" w:fill="FFFFFF"/>
        </w:rPr>
        <w:t>Sentencia C-1338 de 2000</w:t>
      </w:r>
      <w:r>
        <w:rPr>
          <w:color w:val="2D2D2D"/>
          <w:shd w:val="clear" w:color="auto" w:fill="FFFFFF"/>
        </w:rPr>
        <w:t>, la Corte declaró la inexequibilidad de toda la Ley 563 de 2000 por haber reglamentado integralmente las veedurías ciudadanas. </w:t>
      </w:r>
    </w:p>
  </w:footnote>
  <w:footnote w:id="45">
    <w:p w:rsidR="00626C84" w:rsidRPr="00C854C2" w:rsidRDefault="00626C84" w:rsidP="00F24CE5">
      <w:pPr>
        <w:pStyle w:val="Textonotapie"/>
        <w:jc w:val="both"/>
        <w:rPr>
          <w:sz w:val="18"/>
          <w:szCs w:val="18"/>
        </w:rPr>
      </w:pPr>
      <w:r w:rsidRPr="00C854C2">
        <w:rPr>
          <w:sz w:val="18"/>
          <w:szCs w:val="18"/>
          <w:vertAlign w:val="superscript"/>
        </w:rPr>
        <w:footnoteRef/>
      </w:r>
      <w:r>
        <w:rPr>
          <w:sz w:val="18"/>
          <w:szCs w:val="18"/>
        </w:rPr>
        <w:t xml:space="preserve">  En la Sentencia C-818 de 2011, </w:t>
      </w:r>
      <w:r w:rsidRPr="004E1628">
        <w:rPr>
          <w:sz w:val="18"/>
          <w:szCs w:val="18"/>
        </w:rPr>
        <w:t xml:space="preserve">la Sala precisó que la norma elaborada deberá someterse al trámite cualificado, siempre que desarrolle los elementos estructurales del derecho, como son </w:t>
      </w:r>
      <w:r w:rsidRPr="004E1628">
        <w:rPr>
          <w:i/>
          <w:sz w:val="18"/>
          <w:szCs w:val="18"/>
        </w:rPr>
        <w:t>“(i) las prerrogativas que se derivan del derecho y que se convierten en obligaciones para los sujetos pasivos, (ii) los principios que guían su ejercicio –cuando haya lugar, y (iii) a las excepciones a su régimen de protección y otras limitaciones de orden general</w:t>
      </w:r>
      <w:r w:rsidRPr="004E1628">
        <w:rPr>
          <w:sz w:val="18"/>
          <w:szCs w:val="18"/>
        </w:rPr>
        <w:t>”</w:t>
      </w:r>
      <w:r>
        <w:rPr>
          <w:sz w:val="18"/>
          <w:szCs w:val="18"/>
        </w:rPr>
        <w:t xml:space="preserve">. </w:t>
      </w:r>
      <w:r w:rsidRPr="00C854C2">
        <w:rPr>
          <w:sz w:val="18"/>
          <w:szCs w:val="18"/>
        </w:rPr>
        <w:t xml:space="preserve">Las limitaciones generales son diferentes a las que surgen en el caso concreto a partir de ejercicios de ponderación cuando existe colisión entre derechos o entre derechos y otros principios constitucionales, y que en consecuencia solamente son aplicables al caso específico. </w:t>
      </w:r>
    </w:p>
  </w:footnote>
  <w:footnote w:id="46">
    <w:p w:rsidR="00626C84" w:rsidRDefault="00626C84" w:rsidP="00F24CE5">
      <w:pPr>
        <w:pStyle w:val="Textonotapie"/>
        <w:jc w:val="both"/>
      </w:pPr>
      <w:r>
        <w:rPr>
          <w:rStyle w:val="Refdenotaalpie"/>
        </w:rPr>
        <w:footnoteRef/>
      </w:r>
      <w:r>
        <w:t xml:space="preserve"> En la Sentencia C-007 de 2017, esta Corporación estimó que no tenía reserva de ley estatutaria establecer </w:t>
      </w:r>
      <w:r w:rsidRPr="00C801CF">
        <w:t>los recursos en sede administrativa y los requisitos para demandar e</w:t>
      </w:r>
      <w:r>
        <w:t xml:space="preserve">n sede judicial administrativa, porque regulan las actuaciones administrativas que desarrollan especificidades e una rama del derecho, empero jamás procuran definir el derecho de petición en general.   </w:t>
      </w:r>
    </w:p>
  </w:footnote>
  <w:footnote w:id="47">
    <w:p w:rsidR="00626C84" w:rsidRDefault="00626C84" w:rsidP="00F24CE5">
      <w:pPr>
        <w:pStyle w:val="Textonotapie"/>
        <w:jc w:val="both"/>
      </w:pPr>
      <w:r>
        <w:rPr>
          <w:rStyle w:val="Refdenotaalpie"/>
        </w:rPr>
        <w:footnoteRef/>
      </w:r>
      <w:r>
        <w:t xml:space="preserve"> </w:t>
      </w:r>
      <w:r>
        <w:rPr>
          <w:shd w:val="clear" w:color="auto" w:fill="FFFFFF"/>
        </w:rPr>
        <w:t>E</w:t>
      </w:r>
      <w:r w:rsidRPr="00500D92">
        <w:rPr>
          <w:shd w:val="clear" w:color="auto" w:fill="FFFFFF"/>
        </w:rPr>
        <w:t>n la </w:t>
      </w:r>
      <w:r w:rsidRPr="00500D92">
        <w:rPr>
          <w:bCs/>
          <w:shd w:val="clear" w:color="auto" w:fill="FFFFFF"/>
        </w:rPr>
        <w:t>Sentencia C-620 de 2001</w:t>
      </w:r>
      <w:r w:rsidRPr="00500D92">
        <w:rPr>
          <w:shd w:val="clear" w:color="auto" w:fill="FFFFFF"/>
        </w:rPr>
        <w:t>, la Corte declaró inexequibl</w:t>
      </w:r>
      <w:r>
        <w:rPr>
          <w:shd w:val="clear" w:color="auto" w:fill="FFFFFF"/>
        </w:rPr>
        <w:t xml:space="preserve">es los artículos 382 a 389, que </w:t>
      </w:r>
      <w:r w:rsidRPr="00500D92">
        <w:rPr>
          <w:shd w:val="clear" w:color="auto" w:fill="FFFFFF"/>
        </w:rPr>
        <w:t>desarrollaban lo relativo al derecho de </w:t>
      </w:r>
      <w:r w:rsidRPr="00500D92">
        <w:rPr>
          <w:i/>
          <w:iCs/>
          <w:shd w:val="clear" w:color="auto" w:fill="FFFFFF"/>
        </w:rPr>
        <w:t>habeas corpus</w:t>
      </w:r>
      <w:r w:rsidRPr="00500D92">
        <w:rPr>
          <w:shd w:val="clear" w:color="auto" w:fill="FFFFFF"/>
        </w:rPr>
        <w:t> de la Ley 600 de 2000, pues regulaban el derecho fundamental de forma </w:t>
      </w:r>
      <w:r w:rsidRPr="00500D92">
        <w:rPr>
          <w:i/>
          <w:iCs/>
          <w:shd w:val="clear" w:color="auto" w:fill="FFFFFF"/>
        </w:rPr>
        <w:t>“exhaustiva, íntegra y completa</w:t>
      </w:r>
      <w:r>
        <w:rPr>
          <w:i/>
          <w:iCs/>
          <w:color w:val="2D2D2D"/>
          <w:shd w:val="clear" w:color="auto" w:fill="FFFFFF"/>
        </w:rPr>
        <w:t>”.</w:t>
      </w:r>
    </w:p>
  </w:footnote>
  <w:footnote w:id="48">
    <w:p w:rsidR="00626C84" w:rsidRDefault="00626C84" w:rsidP="00F24CE5">
      <w:pPr>
        <w:pStyle w:val="Textonotapie"/>
        <w:jc w:val="both"/>
      </w:pPr>
      <w:r>
        <w:rPr>
          <w:rStyle w:val="Refdenotaalpie"/>
        </w:rPr>
        <w:footnoteRef/>
      </w:r>
      <w:r>
        <w:t xml:space="preserve"> L</w:t>
      </w:r>
      <w:r w:rsidRPr="00ED5967">
        <w:t>a Se</w:t>
      </w:r>
      <w:r>
        <w:t xml:space="preserve">ntencia C-818 de 2011 </w:t>
      </w:r>
      <w:r w:rsidRPr="00ED5967">
        <w:t>estableció que los artículos 13 a 33 del Código de Procedimiento Administrativo y de lo Contencioso Administrativo violaban la reserva de ley estatutaria al regular de forma integral el derecho de petición</w:t>
      </w:r>
      <w:r>
        <w:t xml:space="preserve">,  por lo que excluyó del ordenamiento jurídico esas disposiciones. </w:t>
      </w:r>
    </w:p>
  </w:footnote>
  <w:footnote w:id="49">
    <w:p w:rsidR="00626C84" w:rsidRDefault="00626C84" w:rsidP="00F24CE5">
      <w:pPr>
        <w:pStyle w:val="Textonotapie"/>
        <w:jc w:val="both"/>
      </w:pPr>
      <w:r>
        <w:rPr>
          <w:rStyle w:val="Refdenotaalpie"/>
        </w:rPr>
        <w:footnoteRef/>
      </w:r>
      <w:r>
        <w:t xml:space="preserve"> En la Sentencia C-284 de 2014, la Sala Plena d</w:t>
      </w:r>
      <w:r w:rsidRPr="00ED5967">
        <w:t xml:space="preserve">eclaró inexequible la expresión </w:t>
      </w:r>
      <w:r w:rsidRPr="00ED5967">
        <w:rPr>
          <w:i/>
        </w:rPr>
        <w:t>“y en los procesos de tutela</w:t>
      </w:r>
      <w:r w:rsidRPr="00ED5967">
        <w:t>” y reiteró que los asuntos de competencia del juez de tutela estaban reservados al trámite mediante ley estatutaria</w:t>
      </w:r>
      <w:r>
        <w:t>, toda vez que “</w:t>
      </w:r>
      <w:r w:rsidRPr="00ED5967">
        <w:rPr>
          <w:i/>
        </w:rPr>
        <w:t>una regulación que se refiere a recursos o medios de impugnación, como la aquí prevista contra medidas cautelares, en tanto podría tener como función la protección precisamente de derechos fundamentales, está sujeta también a la reserva de ley estatutaria</w:t>
      </w:r>
      <w:r>
        <w:t>”</w:t>
      </w:r>
    </w:p>
  </w:footnote>
  <w:footnote w:id="50">
    <w:p w:rsidR="00626C84" w:rsidRDefault="00626C84" w:rsidP="00F24CE5">
      <w:pPr>
        <w:pStyle w:val="Textonotapie"/>
        <w:jc w:val="both"/>
      </w:pPr>
      <w:r>
        <w:rPr>
          <w:rStyle w:val="Refdenotaalpie"/>
        </w:rPr>
        <w:footnoteRef/>
      </w:r>
      <w:r>
        <w:t xml:space="preserve"> La Sentencia C-223 de 2017 estimó que la regulación del Código Nacional de Policía sobre las reuniones y manifestaciones públicas desconocía la reserva de ley estatutaria pues reglamentaba de manera integral, sistemática y completa los derechos a la protesta, a la liberta de expresión y al ejercicio de derechos políticos. Al respecto, constató los siguientes requisitos “</w:t>
      </w:r>
      <w:r w:rsidRPr="000C6CCD">
        <w:rPr>
          <w:i/>
        </w:rPr>
        <w:t>ii) el objeto de las normas era regular directamente el ejercicio de los derechos fundamentales de reunión y manifestación pública;  (iii) se trataba de una normativa integral, estructural y completa al definir, clasificar y reglamentar el derecho, contener un desarrollo minucioso de los aspectos “favorables y desfavorables a las reuniones, eventos y espectáculos”, por lo cual se establecían las condiciones de modo, tiempo y lugar de ejercicio del derecho y la respuesta que debía dar la Policía; (iv) se refería al núcleo esencial, los elementos estructurales y los principios básicos del derecho; y (v) finalmente, establecía límites, restricciones, excepciones y prohibiciones que afectaban la estructura y los principios del derecho. Por lo anterior, declaró la inconstitucionalidad de las normas referidas. No obstante, difirió los efectos de dicha declaración hasta el 20 de junio de 2019 para que el Congreso tuviera la oportunidad de tramitar la normativa mediante ley estatutaria</w:t>
      </w:r>
      <w:r w:rsidRPr="000C6CCD">
        <w:t>.</w:t>
      </w:r>
      <w:r>
        <w:t>” En Sentencia C-370 de 2019</w:t>
      </w:r>
    </w:p>
  </w:footnote>
  <w:footnote w:id="51">
    <w:p w:rsidR="00626C84" w:rsidRPr="00C854C2" w:rsidRDefault="00626C84" w:rsidP="00F24CE5">
      <w:pPr>
        <w:pStyle w:val="Textonotapie"/>
        <w:jc w:val="both"/>
        <w:rPr>
          <w:sz w:val="18"/>
          <w:szCs w:val="18"/>
        </w:rPr>
      </w:pPr>
      <w:r w:rsidRPr="00C854C2">
        <w:rPr>
          <w:rStyle w:val="Refdenotaalpie"/>
          <w:sz w:val="18"/>
          <w:szCs w:val="18"/>
        </w:rPr>
        <w:footnoteRef/>
      </w:r>
      <w:r>
        <w:rPr>
          <w:sz w:val="18"/>
          <w:szCs w:val="18"/>
        </w:rPr>
        <w:t xml:space="preserve"> Sentencia</w:t>
      </w:r>
      <w:r w:rsidRPr="00C854C2">
        <w:rPr>
          <w:sz w:val="18"/>
          <w:szCs w:val="18"/>
        </w:rPr>
        <w:t xml:space="preserve"> C- 373 de 1995.</w:t>
      </w:r>
    </w:p>
  </w:footnote>
  <w:footnote w:id="52">
    <w:p w:rsidR="00626C84" w:rsidRDefault="00626C84" w:rsidP="00F24CE5">
      <w:pPr>
        <w:pStyle w:val="Textonotapie"/>
        <w:jc w:val="both"/>
      </w:pPr>
      <w:r>
        <w:rPr>
          <w:rStyle w:val="Refdenotaalpie"/>
        </w:rPr>
        <w:footnoteRef/>
      </w:r>
      <w:r>
        <w:t xml:space="preserve"> En Sentencia C-106 de 2018, la Corte Constitucional estimó que no era reserva de ley estatutaria la regulación </w:t>
      </w:r>
      <w:r w:rsidRPr="00F71FD0">
        <w:t>la inhabilidad de los parientes dentro del cuarto grado de consanguinidad de los gobernadores, diputados, alcaldes municipales y distritales, concejales municipales y distritales para ser contratistas de la respectiva entidad territorial o de</w:t>
      </w:r>
      <w:r>
        <w:t xml:space="preserve"> sus entidades descentralizadas, por cuanto no corresponde con algún criterio de aplicación de las materias de reserva de ley estatutaria, como es afectar el núcleo esencia del derecho fundamental o sus componentes intangibles o su estructura.    </w:t>
      </w:r>
    </w:p>
  </w:footnote>
  <w:footnote w:id="53">
    <w:p w:rsidR="00626C84" w:rsidRPr="00C854C2" w:rsidRDefault="00626C84" w:rsidP="00F24CE5">
      <w:pPr>
        <w:pStyle w:val="Textonotapie"/>
        <w:jc w:val="both"/>
        <w:rPr>
          <w:sz w:val="18"/>
          <w:szCs w:val="18"/>
        </w:rPr>
      </w:pPr>
      <w:r w:rsidRPr="00C854C2">
        <w:rPr>
          <w:rStyle w:val="Refdenotaalpie"/>
          <w:sz w:val="18"/>
          <w:szCs w:val="18"/>
        </w:rPr>
        <w:footnoteRef/>
      </w:r>
      <w:r>
        <w:rPr>
          <w:sz w:val="18"/>
          <w:szCs w:val="18"/>
        </w:rPr>
        <w:t xml:space="preserve"> Sentencia</w:t>
      </w:r>
      <w:r w:rsidRPr="00C854C2">
        <w:rPr>
          <w:sz w:val="18"/>
          <w:szCs w:val="18"/>
        </w:rPr>
        <w:t xml:space="preserve"> C- 373 de 1995</w:t>
      </w:r>
      <w:r>
        <w:rPr>
          <w:sz w:val="18"/>
          <w:szCs w:val="18"/>
        </w:rPr>
        <w:t xml:space="preserve">, C-381 de 1995 y C-151 de 1997. En dicho precedente, la Corte Constitucional precisó que </w:t>
      </w:r>
      <w:r w:rsidRPr="00046DC3">
        <w:rPr>
          <w:szCs w:val="28"/>
        </w:rPr>
        <w:t>la determinación legal de inhabilidades para el ejercicio de funciones públicas, para celebrar contratos o para prestar servicios públicos, no requiere ser incluida en una ley estatutaria</w:t>
      </w:r>
      <w:r>
        <w:rPr>
          <w:szCs w:val="28"/>
        </w:rPr>
        <w:t xml:space="preserve">. </w:t>
      </w:r>
      <w:r w:rsidRPr="001E57A7">
        <w:t>En la sentencia C-373 de 1995, la Corte declaró la constitucionalidad del artículo 95 de la Ley 136 de 1994, que contempla inhabilidades para ser concejal y alcalde.</w:t>
      </w:r>
      <w:r>
        <w:t xml:space="preserve"> Así mismo, </w:t>
      </w:r>
      <w:r>
        <w:rPr>
          <w:bCs/>
        </w:rPr>
        <w:t>en la S</w:t>
      </w:r>
      <w:r w:rsidRPr="001E57A7">
        <w:rPr>
          <w:bCs/>
        </w:rPr>
        <w:t xml:space="preserve">entencia C-381 de 1995, </w:t>
      </w:r>
      <w:r w:rsidRPr="001E57A7">
        <w:t>la Corte declaró la constitucionalidad del artículo 43 de la Ley 136 de 1994, que contempla inhabilidades para ser concejal.</w:t>
      </w:r>
      <w:r>
        <w:t xml:space="preserve"> </w:t>
      </w:r>
    </w:p>
  </w:footnote>
  <w:footnote w:id="54">
    <w:p w:rsidR="00626C84" w:rsidRDefault="00626C84" w:rsidP="00F24CE5">
      <w:pPr>
        <w:pStyle w:val="Textonotapie"/>
        <w:jc w:val="both"/>
      </w:pPr>
      <w:r>
        <w:rPr>
          <w:rStyle w:val="Refdenotaalpie"/>
        </w:rPr>
        <w:footnoteRef/>
      </w:r>
      <w:r>
        <w:t xml:space="preserve"> En la </w:t>
      </w:r>
      <w:r>
        <w:rPr>
          <w:sz w:val="18"/>
          <w:szCs w:val="18"/>
        </w:rPr>
        <w:t xml:space="preserve">Sentencias C-329 de 2003, </w:t>
      </w:r>
      <w:r>
        <w:t>l</w:t>
      </w:r>
      <w:r w:rsidRPr="00E61A5F">
        <w:t>a Corte declaró exequible el artículo del Código Penal, Ley 599 de 2000, que consagraba la pérdida de derechos políticos y el ejercicio de funciones públicas como pena que siempre accedía a la pena de prisión</w:t>
      </w:r>
    </w:p>
  </w:footnote>
  <w:footnote w:id="55">
    <w:p w:rsidR="00626C84" w:rsidRPr="00C854C2" w:rsidRDefault="00626C84" w:rsidP="00F24CE5">
      <w:pPr>
        <w:pStyle w:val="Textonotapie"/>
        <w:jc w:val="both"/>
        <w:rPr>
          <w:sz w:val="18"/>
          <w:szCs w:val="18"/>
        </w:rPr>
      </w:pPr>
      <w:r w:rsidRPr="00C854C2">
        <w:rPr>
          <w:rStyle w:val="Refdenotaalpie"/>
          <w:sz w:val="18"/>
          <w:szCs w:val="18"/>
        </w:rPr>
        <w:footnoteRef/>
      </w:r>
      <w:r>
        <w:rPr>
          <w:sz w:val="18"/>
          <w:szCs w:val="18"/>
        </w:rPr>
        <w:t xml:space="preserve"> Sentencias </w:t>
      </w:r>
      <w:r w:rsidRPr="00C854C2">
        <w:rPr>
          <w:sz w:val="18"/>
          <w:szCs w:val="18"/>
        </w:rPr>
        <w:t xml:space="preserve"> C- 877 de 2005.</w:t>
      </w:r>
      <w:r>
        <w:rPr>
          <w:sz w:val="18"/>
          <w:szCs w:val="18"/>
        </w:rPr>
        <w:t xml:space="preserve"> En dicha oportunidad, la Corte Constitucional consideró que no tenía reserva de ley estatutaria la creación del</w:t>
      </w:r>
      <w:r w:rsidRPr="00F24CE5">
        <w:rPr>
          <w:sz w:val="18"/>
          <w:szCs w:val="18"/>
        </w:rPr>
        <w:t xml:space="preserve"> boletín de deudores morosos del Estado a cargo de la Contaduría General de la Nación, en el cual se relacionarán las personas que tengan acreencias pendientes de pago con las entidades estatales, las cuales suministrarán esa información de manera semestral y que superen un plazo de seis meses y una cuantía mayor a cinco salarios mínimos legales vigentes.</w:t>
      </w:r>
      <w:r>
        <w:rPr>
          <w:sz w:val="18"/>
          <w:szCs w:val="18"/>
        </w:rPr>
        <w:t xml:space="preserve"> Lo anterior, en razón de que no afectaba el núcleo esencial del derecho al habeas data, toda vez que </w:t>
      </w:r>
      <w:r w:rsidRPr="00F24CE5">
        <w:rPr>
          <w:sz w:val="18"/>
          <w:szCs w:val="18"/>
        </w:rPr>
        <w:t>no regula el derecho a conocer, actualizar y rectificar la información, y menos se ocupa de la caducidad de los datos, pues el simple acopio y almacenamiento en un boletín, por parte de entidades estatales, de información que reposa en entidades también del Estado, no compromete por sí mismo dicho derecho.</w:t>
      </w:r>
    </w:p>
  </w:footnote>
  <w:footnote w:id="56">
    <w:p w:rsidR="00626C84" w:rsidRPr="00C854C2" w:rsidRDefault="00626C84" w:rsidP="00F24CE5">
      <w:pPr>
        <w:pStyle w:val="Textonotapie"/>
        <w:jc w:val="both"/>
        <w:rPr>
          <w:sz w:val="18"/>
          <w:szCs w:val="18"/>
        </w:rPr>
      </w:pPr>
      <w:r w:rsidRPr="00C854C2">
        <w:rPr>
          <w:rStyle w:val="Refdenotaalpie"/>
          <w:sz w:val="18"/>
          <w:szCs w:val="18"/>
        </w:rPr>
        <w:footnoteRef/>
      </w:r>
      <w:r w:rsidRPr="00C854C2">
        <w:rPr>
          <w:sz w:val="18"/>
          <w:szCs w:val="18"/>
        </w:rPr>
        <w:t xml:space="preserve"> Uribe V., Diego, Ponencia: carta de derechos, deberes y libertades presentada por la Comisión I de la Asamblea Nacional Constituyente, en Gaceta Constitucional, núm. 128, 1991, p. 18.</w:t>
      </w:r>
    </w:p>
  </w:footnote>
  <w:footnote w:id="57">
    <w:p w:rsidR="00626C84" w:rsidRPr="00C854C2" w:rsidRDefault="00626C84" w:rsidP="00F24CE5">
      <w:pPr>
        <w:pStyle w:val="Textonotapie"/>
        <w:jc w:val="both"/>
        <w:rPr>
          <w:sz w:val="18"/>
          <w:szCs w:val="18"/>
        </w:rPr>
      </w:pPr>
      <w:r w:rsidRPr="00C854C2">
        <w:rPr>
          <w:rStyle w:val="Refdenotaalpie"/>
          <w:sz w:val="18"/>
          <w:szCs w:val="18"/>
        </w:rPr>
        <w:footnoteRef/>
      </w:r>
      <w:r w:rsidRPr="00C854C2">
        <w:rPr>
          <w:sz w:val="18"/>
          <w:szCs w:val="18"/>
        </w:rPr>
        <w:t xml:space="preserve"> Uribe V., Diego, Informe-ponencia para primer debate en plenaria: carta de derechos, deberes, garantías y libertades, en Gaceta Constitucional, núm. 82, 1991, p. 12.</w:t>
      </w:r>
    </w:p>
  </w:footnote>
  <w:footnote w:id="58">
    <w:p w:rsidR="00626C84" w:rsidRPr="00C854C2" w:rsidRDefault="00626C84" w:rsidP="00F24CE5">
      <w:pPr>
        <w:pStyle w:val="Textonotapie"/>
        <w:jc w:val="both"/>
        <w:rPr>
          <w:sz w:val="18"/>
          <w:szCs w:val="18"/>
        </w:rPr>
      </w:pPr>
      <w:r w:rsidRPr="00C854C2">
        <w:rPr>
          <w:rStyle w:val="Refdenotaalpie"/>
          <w:sz w:val="18"/>
          <w:szCs w:val="18"/>
        </w:rPr>
        <w:footnoteRef/>
      </w:r>
      <w:r w:rsidRPr="00C854C2">
        <w:rPr>
          <w:sz w:val="18"/>
          <w:szCs w:val="18"/>
        </w:rPr>
        <w:t xml:space="preserve"> Carrillo F., Fernando, Proyecto de acto constituyente de vigencia inmediata sobre la ciudadanía y las elecciones, en Gaceta Constitucional, núm. 141, 1991, p. 34.</w:t>
      </w:r>
    </w:p>
  </w:footnote>
  <w:footnote w:id="59">
    <w:p w:rsidR="00626C84" w:rsidRPr="00C854C2" w:rsidRDefault="00626C84" w:rsidP="00F24CE5">
      <w:pPr>
        <w:pStyle w:val="Textonotapie"/>
        <w:jc w:val="both"/>
        <w:rPr>
          <w:sz w:val="18"/>
          <w:szCs w:val="18"/>
          <w:lang w:val="es-ES"/>
        </w:rPr>
      </w:pPr>
      <w:r w:rsidRPr="00C854C2">
        <w:rPr>
          <w:rStyle w:val="Refdenotaalpie"/>
          <w:sz w:val="18"/>
          <w:szCs w:val="18"/>
        </w:rPr>
        <w:footnoteRef/>
      </w:r>
      <w:r w:rsidRPr="00C854C2">
        <w:rPr>
          <w:sz w:val="18"/>
          <w:szCs w:val="18"/>
        </w:rPr>
        <w:t xml:space="preserve"> </w:t>
      </w:r>
      <w:r w:rsidRPr="00C854C2">
        <w:rPr>
          <w:sz w:val="18"/>
          <w:szCs w:val="18"/>
          <w:lang w:val="es-ES"/>
        </w:rPr>
        <w:t>Carillo, Fernando, Proyecto de Acto Constituyente de vigencia inmediata sobre la ciudadanía y las elecciones, en Gaceta Constitucional, No. 141, p. 34.</w:t>
      </w:r>
    </w:p>
  </w:footnote>
  <w:footnote w:id="60">
    <w:p w:rsidR="00626C84" w:rsidRPr="00C854C2" w:rsidRDefault="00626C84" w:rsidP="00F24CE5">
      <w:pPr>
        <w:pStyle w:val="Textonotapie"/>
        <w:jc w:val="both"/>
        <w:rPr>
          <w:sz w:val="18"/>
          <w:szCs w:val="18"/>
          <w:lang w:val="es-ES"/>
        </w:rPr>
      </w:pPr>
      <w:r w:rsidRPr="00C854C2">
        <w:rPr>
          <w:rStyle w:val="Refdenotaalpie"/>
          <w:sz w:val="18"/>
          <w:szCs w:val="18"/>
        </w:rPr>
        <w:footnoteRef/>
      </w:r>
      <w:r w:rsidRPr="00C854C2">
        <w:rPr>
          <w:sz w:val="18"/>
          <w:szCs w:val="18"/>
        </w:rPr>
        <w:t xml:space="preserve"> </w:t>
      </w:r>
      <w:r w:rsidRPr="00C854C2">
        <w:rPr>
          <w:sz w:val="18"/>
          <w:szCs w:val="18"/>
          <w:lang w:val="es-ES"/>
        </w:rPr>
        <w:t>Carillo, Fernando, Proyecto de Acto Constituyente de vigencia inmediata sobre la ciudadanía y las elecciones, en Gaceta Constitucional, No. 141, p. 34.</w:t>
      </w:r>
    </w:p>
  </w:footnote>
  <w:footnote w:id="61">
    <w:p w:rsidR="00626C84" w:rsidRPr="00C854C2" w:rsidRDefault="00626C84" w:rsidP="00F24CE5">
      <w:pPr>
        <w:pStyle w:val="Textonotapie"/>
        <w:jc w:val="both"/>
        <w:rPr>
          <w:sz w:val="18"/>
          <w:szCs w:val="18"/>
          <w:lang w:val="es-ES"/>
        </w:rPr>
      </w:pPr>
      <w:r w:rsidRPr="00C854C2">
        <w:rPr>
          <w:rStyle w:val="Refdenotaalpie"/>
          <w:sz w:val="18"/>
          <w:szCs w:val="18"/>
        </w:rPr>
        <w:footnoteRef/>
      </w:r>
      <w:r w:rsidRPr="00C854C2">
        <w:rPr>
          <w:sz w:val="18"/>
          <w:szCs w:val="18"/>
        </w:rPr>
        <w:t xml:space="preserve"> </w:t>
      </w:r>
      <w:r w:rsidRPr="00C854C2">
        <w:rPr>
          <w:sz w:val="18"/>
          <w:szCs w:val="18"/>
          <w:lang w:val="es-ES"/>
        </w:rPr>
        <w:t>Carillo, Fernando, Proyecto de Acto Constituyente de vigencia inmediata sobre la ciudadanía y las elecciones, en Gaceta Constitucional, No. 141, p. 34.</w:t>
      </w:r>
    </w:p>
  </w:footnote>
  <w:footnote w:id="62">
    <w:p w:rsidR="00626C84" w:rsidRPr="00C854C2" w:rsidRDefault="00626C84" w:rsidP="00F24CE5">
      <w:pPr>
        <w:pStyle w:val="Textonotapie"/>
        <w:jc w:val="both"/>
        <w:rPr>
          <w:sz w:val="18"/>
          <w:szCs w:val="18"/>
        </w:rPr>
      </w:pPr>
      <w:r w:rsidRPr="00C854C2">
        <w:rPr>
          <w:rStyle w:val="Refdenotaalpie"/>
          <w:sz w:val="18"/>
          <w:szCs w:val="18"/>
        </w:rPr>
        <w:footnoteRef/>
      </w:r>
      <w:r w:rsidRPr="00C854C2">
        <w:rPr>
          <w:sz w:val="18"/>
          <w:szCs w:val="18"/>
        </w:rPr>
        <w:t xml:space="preserve"> </w:t>
      </w:r>
      <w:r>
        <w:rPr>
          <w:sz w:val="18"/>
          <w:szCs w:val="18"/>
        </w:rPr>
        <w:t>Al respecto, Sentencia</w:t>
      </w:r>
      <w:r w:rsidRPr="00C854C2">
        <w:rPr>
          <w:sz w:val="18"/>
          <w:szCs w:val="18"/>
        </w:rPr>
        <w:t xml:space="preserve"> C- 591 de 2012.</w:t>
      </w:r>
    </w:p>
  </w:footnote>
  <w:footnote w:id="63">
    <w:p w:rsidR="00626C84" w:rsidRPr="00C854C2" w:rsidRDefault="00626C84" w:rsidP="00F24CE5">
      <w:pPr>
        <w:pStyle w:val="Textonotapie"/>
        <w:jc w:val="both"/>
        <w:rPr>
          <w:sz w:val="18"/>
          <w:szCs w:val="18"/>
        </w:rPr>
      </w:pPr>
      <w:r w:rsidRPr="00C854C2">
        <w:rPr>
          <w:rStyle w:val="Refdenotaalpie"/>
          <w:sz w:val="18"/>
          <w:szCs w:val="18"/>
        </w:rPr>
        <w:footnoteRef/>
      </w:r>
      <w:r w:rsidRPr="00C854C2">
        <w:rPr>
          <w:sz w:val="18"/>
          <w:szCs w:val="18"/>
        </w:rPr>
        <w:t xml:space="preserve"> Esta postura estaría fundamentada en los casos López Mendoza v. Venezuela, consideraciones 107ss. y Castañeda Gutman v. México, consideraciones 143ss., así como en el C. Es., Sala Plena de lo Contencioso Administrativo, sentencia del 15.11.2017 (1131-2014), Consejero Ponente: César Palomino Cortés.</w:t>
      </w:r>
      <w:r>
        <w:rPr>
          <w:sz w:val="18"/>
          <w:szCs w:val="18"/>
        </w:rPr>
        <w:t xml:space="preserve"> Así mismo, la Constitución de Colombia permite que un juez distinto al penal suspenda los derechos políticos en los siguientes eventos: </w:t>
      </w:r>
      <w:r w:rsidRPr="000D08CE">
        <w:rPr>
          <w:sz w:val="18"/>
          <w:szCs w:val="18"/>
        </w:rPr>
        <w:t>(i) la</w:t>
      </w:r>
      <w:r>
        <w:rPr>
          <w:sz w:val="18"/>
          <w:szCs w:val="18"/>
        </w:rPr>
        <w:t xml:space="preserve"> inhabilidad especial como resultado</w:t>
      </w:r>
      <w:r w:rsidRPr="000D08CE">
        <w:rPr>
          <w:sz w:val="18"/>
          <w:szCs w:val="18"/>
        </w:rPr>
        <w:t xml:space="preserve"> de la pérdida de investidura decretada por el Consejo de Estado (artículos.183, 184 y 237.5); (ii) la inhabilidad general a quien ha dado lugar a que el Estado sea condenado a una reparación patrimonial (artículo 122); </w:t>
      </w:r>
      <w:r>
        <w:rPr>
          <w:sz w:val="18"/>
          <w:szCs w:val="18"/>
        </w:rPr>
        <w:t xml:space="preserve">y </w:t>
      </w:r>
      <w:r w:rsidRPr="000D08CE">
        <w:rPr>
          <w:sz w:val="18"/>
          <w:szCs w:val="18"/>
        </w:rPr>
        <w:t>(iii) el control disciplinario interno ejercido por la propia administración (artículo 209); (v) el control fiscal asignado a la Contraloría General de la República (artículo 267).</w:t>
      </w:r>
    </w:p>
  </w:footnote>
  <w:footnote w:id="64">
    <w:p w:rsidR="00626C84" w:rsidRDefault="00626C84">
      <w:pPr>
        <w:pStyle w:val="Textonotapie"/>
      </w:pPr>
      <w:r>
        <w:rPr>
          <w:rStyle w:val="Refdenotaalpie"/>
        </w:rPr>
        <w:footnoteRef/>
      </w:r>
      <w:r>
        <w:t xml:space="preserve"> Sentencia C-028 de 2006</w:t>
      </w:r>
    </w:p>
  </w:footnote>
  <w:footnote w:id="65">
    <w:p w:rsidR="00626C84" w:rsidRPr="00A65A5D" w:rsidRDefault="00626C84" w:rsidP="00626C84">
      <w:pPr>
        <w:pStyle w:val="Textonotapie"/>
      </w:pPr>
      <w:r w:rsidRPr="00A65A5D">
        <w:rPr>
          <w:rStyle w:val="Refdenotaalpie"/>
        </w:rPr>
        <w:footnoteRef/>
      </w:r>
      <w:r w:rsidRPr="00A65A5D">
        <w:t xml:space="preserve"> Sentencias C-124 de 2003 y C-500 de 2014.</w:t>
      </w:r>
    </w:p>
  </w:footnote>
  <w:footnote w:id="66">
    <w:p w:rsidR="00626C84" w:rsidRPr="00C854C2" w:rsidRDefault="00626C84" w:rsidP="00F24CE5">
      <w:pPr>
        <w:pStyle w:val="Textonotapie"/>
        <w:jc w:val="both"/>
        <w:rPr>
          <w:sz w:val="18"/>
          <w:szCs w:val="18"/>
        </w:rPr>
      </w:pPr>
      <w:r w:rsidRPr="00C854C2">
        <w:rPr>
          <w:rStyle w:val="Refdenotaalpie"/>
          <w:sz w:val="18"/>
          <w:szCs w:val="18"/>
        </w:rPr>
        <w:footnoteRef/>
      </w:r>
      <w:r>
        <w:rPr>
          <w:sz w:val="18"/>
          <w:szCs w:val="18"/>
        </w:rPr>
        <w:t xml:space="preserve"> Sentencia </w:t>
      </w:r>
      <w:r w:rsidRPr="00C854C2">
        <w:rPr>
          <w:sz w:val="18"/>
          <w:szCs w:val="18"/>
        </w:rPr>
        <w:t xml:space="preserve"> C- 111 de 2019. Esta decisión sintetiza la línea jurisprudencial fijada en las sentencias: C- 028 de 2006, SU- 712 de 2013 y C- 500 de 2014, entre otras.</w:t>
      </w:r>
    </w:p>
  </w:footnote>
  <w:footnote w:id="67">
    <w:p w:rsidR="00626C84" w:rsidRDefault="00626C84" w:rsidP="00C66A90">
      <w:pPr>
        <w:pStyle w:val="Textonotapie"/>
        <w:jc w:val="both"/>
      </w:pPr>
      <w:r>
        <w:rPr>
          <w:rStyle w:val="Refdenotaalpie"/>
        </w:rPr>
        <w:footnoteRef/>
      </w:r>
      <w:r>
        <w:t xml:space="preserve"> La Corte concluyó que era compatible con el artículo 23 de la CADH facultar al operador disciplinario a suspender provisionalmente a los servidores públicos, entre ellos los de elección popular.</w:t>
      </w:r>
    </w:p>
  </w:footnote>
  <w:footnote w:id="68">
    <w:p w:rsidR="00626C84" w:rsidRDefault="00626C84" w:rsidP="00C66A90">
      <w:pPr>
        <w:pStyle w:val="Textonotapie"/>
        <w:jc w:val="both"/>
      </w:pPr>
      <w:r>
        <w:rPr>
          <w:rStyle w:val="Refdenotaalpie"/>
        </w:rPr>
        <w:footnoteRef/>
      </w:r>
      <w:r>
        <w:t xml:space="preserve"> En esta decisión, la Sala Plena manifestó que la CADH debe interpretarse en armonía con las Constitución, por lo que la competencia de la procuraduría general de la nación tiene la competencia para limitar los derechos políticos, entre ellos los de elección popular, siempre y cuando se garanticen los derechos al debido proceso.</w:t>
      </w:r>
    </w:p>
  </w:footnote>
  <w:footnote w:id="69">
    <w:p w:rsidR="00626C84" w:rsidRDefault="00626C84">
      <w:pPr>
        <w:pStyle w:val="Textonotapie"/>
      </w:pPr>
      <w:r>
        <w:rPr>
          <w:rStyle w:val="Refdenotaalpie"/>
        </w:rPr>
        <w:footnoteRef/>
      </w:r>
      <w:r>
        <w:t xml:space="preserve"> En la Sentencia C-028 de 2018, la Corte </w:t>
      </w:r>
      <w:r w:rsidRPr="00765B20">
        <w:rPr>
          <w:bCs/>
          <w:iCs/>
          <w:szCs w:val="28"/>
        </w:rPr>
        <w:t xml:space="preserve">se </w:t>
      </w:r>
      <w:r>
        <w:rPr>
          <w:bCs/>
          <w:iCs/>
          <w:szCs w:val="28"/>
        </w:rPr>
        <w:t xml:space="preserve">analizó </w:t>
      </w:r>
      <w:r w:rsidRPr="00765B20">
        <w:rPr>
          <w:bCs/>
          <w:iCs/>
          <w:szCs w:val="28"/>
        </w:rPr>
        <w:t>una demanda c</w:t>
      </w:r>
      <w:r>
        <w:rPr>
          <w:bCs/>
          <w:iCs/>
          <w:szCs w:val="28"/>
        </w:rPr>
        <w:t>ontra las normas legales del Código Disciplinario Único</w:t>
      </w:r>
      <w:r w:rsidRPr="00765B20">
        <w:rPr>
          <w:bCs/>
          <w:iCs/>
          <w:szCs w:val="28"/>
        </w:rPr>
        <w:t xml:space="preserve"> que regula</w:t>
      </w:r>
      <w:r>
        <w:rPr>
          <w:bCs/>
          <w:iCs/>
          <w:szCs w:val="28"/>
        </w:rPr>
        <w:t>ba</w:t>
      </w:r>
      <w:r w:rsidRPr="00765B20">
        <w:rPr>
          <w:bCs/>
          <w:iCs/>
          <w:szCs w:val="28"/>
        </w:rPr>
        <w:t>n la sanción de inhabilidad general, sus implicaciones y su duración</w:t>
      </w:r>
      <w:r>
        <w:rPr>
          <w:bCs/>
          <w:iCs/>
          <w:szCs w:val="28"/>
        </w:rPr>
        <w:t>.</w:t>
      </w:r>
    </w:p>
  </w:footnote>
  <w:footnote w:id="70">
    <w:p w:rsidR="00626C84" w:rsidRPr="00C854C2" w:rsidRDefault="00626C84" w:rsidP="00F24CE5">
      <w:pPr>
        <w:pStyle w:val="Textonotapie"/>
        <w:jc w:val="both"/>
        <w:rPr>
          <w:sz w:val="18"/>
          <w:szCs w:val="18"/>
        </w:rPr>
      </w:pPr>
      <w:r w:rsidRPr="00C854C2">
        <w:rPr>
          <w:rStyle w:val="Refdenotaalpie"/>
          <w:sz w:val="18"/>
          <w:szCs w:val="18"/>
        </w:rPr>
        <w:footnoteRef/>
      </w:r>
      <w:r>
        <w:rPr>
          <w:sz w:val="18"/>
          <w:szCs w:val="18"/>
        </w:rPr>
        <w:t xml:space="preserve"> Sentencia </w:t>
      </w:r>
      <w:r w:rsidRPr="00C854C2">
        <w:rPr>
          <w:sz w:val="18"/>
          <w:szCs w:val="18"/>
        </w:rPr>
        <w:t xml:space="preserve"> C- 536 de 1998; </w:t>
      </w:r>
      <w:r>
        <w:rPr>
          <w:sz w:val="18"/>
          <w:szCs w:val="18"/>
        </w:rPr>
        <w:t>Así mismo ver S</w:t>
      </w:r>
      <w:r w:rsidRPr="00C854C2">
        <w:rPr>
          <w:sz w:val="18"/>
          <w:szCs w:val="18"/>
        </w:rPr>
        <w:t>entencias de tutela T- 362 de 2015 y T- 366 de 2015.</w:t>
      </w:r>
    </w:p>
  </w:footnote>
  <w:footnote w:id="71">
    <w:p w:rsidR="00626C84" w:rsidRPr="00C854C2" w:rsidRDefault="00626C84" w:rsidP="00F24CE5">
      <w:pPr>
        <w:pStyle w:val="Textonotapie"/>
        <w:jc w:val="both"/>
        <w:rPr>
          <w:sz w:val="18"/>
          <w:szCs w:val="18"/>
        </w:rPr>
      </w:pPr>
      <w:r w:rsidRPr="00C854C2">
        <w:rPr>
          <w:rStyle w:val="Refdenotaalpie"/>
          <w:sz w:val="18"/>
          <w:szCs w:val="18"/>
        </w:rPr>
        <w:footnoteRef/>
      </w:r>
      <w:r>
        <w:rPr>
          <w:sz w:val="18"/>
          <w:szCs w:val="18"/>
        </w:rPr>
        <w:t xml:space="preserve"> Sentencia de</w:t>
      </w:r>
      <w:r w:rsidRPr="00C854C2">
        <w:rPr>
          <w:sz w:val="18"/>
          <w:szCs w:val="18"/>
        </w:rPr>
        <w:t xml:space="preserve"> C- 111 de 2019.</w:t>
      </w:r>
    </w:p>
  </w:footnote>
  <w:footnote w:id="72">
    <w:p w:rsidR="00626C84" w:rsidRPr="00C854C2" w:rsidRDefault="00626C84" w:rsidP="00902407">
      <w:pPr>
        <w:pStyle w:val="Textonotapie"/>
        <w:jc w:val="both"/>
        <w:rPr>
          <w:sz w:val="18"/>
          <w:szCs w:val="18"/>
        </w:rPr>
      </w:pPr>
      <w:r w:rsidRPr="00C854C2">
        <w:rPr>
          <w:rStyle w:val="Refdenotaalpie"/>
          <w:sz w:val="18"/>
          <w:szCs w:val="18"/>
        </w:rPr>
        <w:footnoteRef/>
      </w:r>
      <w:r>
        <w:rPr>
          <w:sz w:val="18"/>
          <w:szCs w:val="18"/>
        </w:rPr>
        <w:t xml:space="preserve"> Sentencia </w:t>
      </w:r>
      <w:r w:rsidRPr="00C854C2">
        <w:rPr>
          <w:sz w:val="18"/>
          <w:szCs w:val="18"/>
        </w:rPr>
        <w:t xml:space="preserve"> C- 086 de 2019.</w:t>
      </w:r>
      <w:r>
        <w:rPr>
          <w:sz w:val="18"/>
          <w:szCs w:val="18"/>
        </w:rPr>
        <w:t xml:space="preserve"> En esa ocasión se afirmó que “</w:t>
      </w:r>
      <w:r w:rsidRPr="00902407">
        <w:rPr>
          <w:i/>
          <w:sz w:val="18"/>
          <w:szCs w:val="18"/>
        </w:rPr>
        <w:t>la competencia para suspender provisionalmente a un servidor público, incluso de elección popular, se funda en la competencia del operador disciplinario para investigar y sancionar disciplinariamente a los servidores públicos, conforme al antedicho precedente, debe concluirse que la norma demandada es compatible con las normas previstas en el artículo 23 de la CADH y en el artículo 40 de la Constitución</w:t>
      </w:r>
      <w:r>
        <w:rPr>
          <w:i/>
          <w:sz w:val="18"/>
          <w:szCs w:val="18"/>
        </w:rPr>
        <w:t>”</w:t>
      </w:r>
      <w:r>
        <w:rPr>
          <w:sz w:val="18"/>
          <w:szCs w:val="18"/>
        </w:rPr>
        <w:t xml:space="preserve"> (…) “</w:t>
      </w:r>
      <w:r w:rsidRPr="00902407">
        <w:rPr>
          <w:i/>
          <w:sz w:val="18"/>
          <w:szCs w:val="18"/>
        </w:rPr>
        <w:t>Todo esto permite, en síntesis, afirmar que si una restricción a los derechos políticos está constitucionalmente justificada, observa criterios de proporcionalidad y garantiza el debido proceso, se encuentra dentro del margen nacional de apreciación del Estado colombiano, así no figure de manera explícita en la lista de restricciones válidas a los derechos políticos prevista en el artículo 23 convencional</w:t>
      </w:r>
      <w:r>
        <w:rPr>
          <w:sz w:val="18"/>
          <w:szCs w:val="18"/>
        </w:rPr>
        <w:t>!</w:t>
      </w:r>
      <w:r w:rsidRPr="00902407">
        <w:rPr>
          <w:sz w:val="18"/>
          <w:szCs w:val="18"/>
        </w:rPr>
        <w:t>.</w:t>
      </w:r>
    </w:p>
  </w:footnote>
  <w:footnote w:id="73">
    <w:p w:rsidR="00626C84" w:rsidRDefault="00626C84" w:rsidP="00F24CE5">
      <w:pPr>
        <w:pStyle w:val="Textonotapie"/>
      </w:pPr>
      <w:r>
        <w:rPr>
          <w:rStyle w:val="Refdenotaalpie"/>
        </w:rPr>
        <w:footnoteRef/>
      </w:r>
      <w:r>
        <w:t xml:space="preserve"> Sentencia C-106 de 2018.</w:t>
      </w:r>
    </w:p>
  </w:footnote>
  <w:footnote w:id="74">
    <w:p w:rsidR="00626C84" w:rsidRDefault="00626C84">
      <w:pPr>
        <w:pStyle w:val="Textonotapie"/>
      </w:pPr>
      <w:r>
        <w:rPr>
          <w:rStyle w:val="Refdenotaalpie"/>
        </w:rPr>
        <w:footnoteRef/>
      </w:r>
      <w:r>
        <w:t xml:space="preserve"> Sentencias T-439 de 1992, T-469 de 1992, C-084 de 1994, SU-168 de 1999, C-329 de 2003, T-487 de 2003, T-603 de 2005, T-201 de 2006, T-123 de 2007,  T-232 de 2014, T-066 de 2015, T-117 de 2016, C-101 de 2018 y SU-115 de 2019, entre otros.</w:t>
      </w:r>
    </w:p>
  </w:footnote>
  <w:footnote w:id="75">
    <w:p w:rsidR="00626C84" w:rsidRDefault="00626C84">
      <w:pPr>
        <w:pStyle w:val="Textonotapie"/>
      </w:pPr>
      <w:r>
        <w:rPr>
          <w:rStyle w:val="Refdenotaalpie"/>
        </w:rPr>
        <w:footnoteRef/>
      </w:r>
      <w:r>
        <w:t xml:space="preserve"> Sentencia C-028 de 2006, C-500 de 2014, C-106 de 2018, C-086 de 2019 y C-111 de 2019.</w:t>
      </w:r>
    </w:p>
  </w:footnote>
  <w:footnote w:id="76">
    <w:p w:rsidR="00626C84" w:rsidRDefault="00626C84" w:rsidP="002E74AB">
      <w:pPr>
        <w:pStyle w:val="Textonotapie"/>
      </w:pPr>
      <w:r>
        <w:rPr>
          <w:rStyle w:val="Refdenotaalpie"/>
        </w:rPr>
        <w:footnoteRef/>
      </w:r>
      <w:r>
        <w:t xml:space="preserve"> Sentencia C-450 de 2003. Reiterado por la Sentencia C-086 de 2019.</w:t>
      </w:r>
    </w:p>
  </w:footnote>
  <w:footnote w:id="77">
    <w:p w:rsidR="00626C84" w:rsidRDefault="00626C84" w:rsidP="00160211">
      <w:pPr>
        <w:pStyle w:val="Textonotapie"/>
        <w:jc w:val="both"/>
      </w:pPr>
      <w:r>
        <w:rPr>
          <w:rStyle w:val="Refdenotaalpie"/>
        </w:rPr>
        <w:footnoteRef/>
      </w:r>
      <w:r>
        <w:t xml:space="preserve"> En este punto</w:t>
      </w:r>
      <w:r w:rsidRPr="00C771D6">
        <w:t>, se referenciaron las decisiones de la Ley 1437 de 2011 (Sentencias C-818 de 2011, C-634 de 2011 y C-302 de 2012.) y la Ley 1952 de 2019 (Ver Sentencias C-392 de 2019, C-495 de 2019, C-536 de 2019)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639CE"/>
    <w:multiLevelType w:val="multilevel"/>
    <w:tmpl w:val="2856BCF6"/>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4741610"/>
    <w:multiLevelType w:val="hybridMultilevel"/>
    <w:tmpl w:val="F82E856E"/>
    <w:lvl w:ilvl="0" w:tplc="5A1418B4">
      <w:start w:val="1"/>
      <w:numFmt w:val="decimal"/>
      <w:lvlText w:val="%1."/>
      <w:lvlJc w:val="left"/>
      <w:pPr>
        <w:ind w:left="1068" w:hanging="360"/>
      </w:pPr>
      <w:rPr>
        <w:rFonts w:hint="default"/>
        <w:b w:val="0"/>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 w15:restartNumberingAfterBreak="0">
    <w:nsid w:val="096B07BC"/>
    <w:multiLevelType w:val="multilevel"/>
    <w:tmpl w:val="E62A813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A174E32"/>
    <w:multiLevelType w:val="hybridMultilevel"/>
    <w:tmpl w:val="6602BE02"/>
    <w:lvl w:ilvl="0" w:tplc="4D66D100">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B4F7F16"/>
    <w:multiLevelType w:val="multilevel"/>
    <w:tmpl w:val="0C6A8990"/>
    <w:lvl w:ilvl="0">
      <w:start w:val="1"/>
      <w:numFmt w:val="decimal"/>
      <w:lvlText w:val="%1."/>
      <w:lvlJc w:val="left"/>
      <w:pPr>
        <w:ind w:left="720" w:hanging="360"/>
      </w:pPr>
      <w:rPr>
        <w:rFonts w:ascii="Times New Roman" w:hAnsi="Times New Roman" w:cs="Times New Roman" w:hint="default"/>
        <w:b/>
        <w:sz w:val="28"/>
        <w:szCs w:val="28"/>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5" w15:restartNumberingAfterBreak="0">
    <w:nsid w:val="0C083C62"/>
    <w:multiLevelType w:val="hybridMultilevel"/>
    <w:tmpl w:val="4072D33E"/>
    <w:lvl w:ilvl="0" w:tplc="245C56A4">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CBC36E4"/>
    <w:multiLevelType w:val="hybridMultilevel"/>
    <w:tmpl w:val="1A302A38"/>
    <w:lvl w:ilvl="0" w:tplc="3FD059F8">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DE94684"/>
    <w:multiLevelType w:val="hybridMultilevel"/>
    <w:tmpl w:val="520E40DC"/>
    <w:lvl w:ilvl="0" w:tplc="8760CF30">
      <w:start w:val="1"/>
      <w:numFmt w:val="lowerRoman"/>
      <w:lvlText w:val="%1."/>
      <w:lvlJc w:val="righ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AD47F26"/>
    <w:multiLevelType w:val="hybridMultilevel"/>
    <w:tmpl w:val="2F6EF3AA"/>
    <w:lvl w:ilvl="0" w:tplc="240A001B">
      <w:start w:val="1"/>
      <w:numFmt w:val="lowerRoman"/>
      <w:lvlText w:val="%1."/>
      <w:lvlJc w:val="righ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EAB438F"/>
    <w:multiLevelType w:val="multilevel"/>
    <w:tmpl w:val="5CD01D50"/>
    <w:lvl w:ilvl="0">
      <w:start w:val="2"/>
      <w:numFmt w:val="decimal"/>
      <w:lvlText w:val="%1."/>
      <w:lvlJc w:val="left"/>
      <w:pPr>
        <w:ind w:left="450" w:hanging="450"/>
      </w:pPr>
      <w:rPr>
        <w:rFonts w:cs="Times New Roman" w:hint="default"/>
        <w:b/>
      </w:rPr>
    </w:lvl>
    <w:lvl w:ilvl="1">
      <w:start w:val="3"/>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0" w15:restartNumberingAfterBreak="0">
    <w:nsid w:val="20981FAA"/>
    <w:multiLevelType w:val="multilevel"/>
    <w:tmpl w:val="21F87B3C"/>
    <w:lvl w:ilvl="0">
      <w:start w:val="6"/>
      <w:numFmt w:val="decimal"/>
      <w:lvlText w:val="%1."/>
      <w:lvlJc w:val="left"/>
      <w:pPr>
        <w:ind w:left="450" w:hanging="450"/>
      </w:pPr>
      <w:rPr>
        <w:rFonts w:cs="Times New Roman" w:hint="default"/>
        <w:b/>
      </w:rPr>
    </w:lvl>
    <w:lvl w:ilvl="1">
      <w:start w:val="1"/>
      <w:numFmt w:val="decimal"/>
      <w:lvlText w:val="%1.%2."/>
      <w:lvlJc w:val="left"/>
      <w:pPr>
        <w:ind w:left="1724" w:hanging="720"/>
      </w:pPr>
      <w:rPr>
        <w:rFonts w:cs="Times New Roman" w:hint="default"/>
        <w:b/>
      </w:rPr>
    </w:lvl>
    <w:lvl w:ilvl="2">
      <w:start w:val="1"/>
      <w:numFmt w:val="decimal"/>
      <w:lvlText w:val="%1.%2.%3."/>
      <w:lvlJc w:val="left"/>
      <w:pPr>
        <w:ind w:left="2728" w:hanging="720"/>
      </w:pPr>
      <w:rPr>
        <w:rFonts w:cs="Times New Roman" w:hint="default"/>
        <w:b w:val="0"/>
      </w:rPr>
    </w:lvl>
    <w:lvl w:ilvl="3">
      <w:start w:val="1"/>
      <w:numFmt w:val="decimal"/>
      <w:lvlText w:val="%1.%2.%3.%4."/>
      <w:lvlJc w:val="left"/>
      <w:pPr>
        <w:ind w:left="4092" w:hanging="1080"/>
      </w:pPr>
      <w:rPr>
        <w:rFonts w:cs="Times New Roman" w:hint="default"/>
        <w:b w:val="0"/>
      </w:rPr>
    </w:lvl>
    <w:lvl w:ilvl="4">
      <w:start w:val="1"/>
      <w:numFmt w:val="decimal"/>
      <w:lvlText w:val="%1.%2.%3.%4.%5."/>
      <w:lvlJc w:val="left"/>
      <w:pPr>
        <w:ind w:left="5096" w:hanging="1080"/>
      </w:pPr>
      <w:rPr>
        <w:rFonts w:cs="Times New Roman" w:hint="default"/>
        <w:b w:val="0"/>
      </w:rPr>
    </w:lvl>
    <w:lvl w:ilvl="5">
      <w:start w:val="1"/>
      <w:numFmt w:val="decimal"/>
      <w:lvlText w:val="%1.%2.%3.%4.%5.%6."/>
      <w:lvlJc w:val="left"/>
      <w:pPr>
        <w:ind w:left="6460" w:hanging="1440"/>
      </w:pPr>
      <w:rPr>
        <w:rFonts w:cs="Times New Roman" w:hint="default"/>
        <w:b w:val="0"/>
      </w:rPr>
    </w:lvl>
    <w:lvl w:ilvl="6">
      <w:start w:val="1"/>
      <w:numFmt w:val="decimal"/>
      <w:lvlText w:val="%1.%2.%3.%4.%5.%6.%7."/>
      <w:lvlJc w:val="left"/>
      <w:pPr>
        <w:ind w:left="7824" w:hanging="1800"/>
      </w:pPr>
      <w:rPr>
        <w:rFonts w:cs="Times New Roman" w:hint="default"/>
        <w:b w:val="0"/>
      </w:rPr>
    </w:lvl>
    <w:lvl w:ilvl="7">
      <w:start w:val="1"/>
      <w:numFmt w:val="decimal"/>
      <w:lvlText w:val="%1.%2.%3.%4.%5.%6.%7.%8."/>
      <w:lvlJc w:val="left"/>
      <w:pPr>
        <w:ind w:left="8828" w:hanging="1800"/>
      </w:pPr>
      <w:rPr>
        <w:rFonts w:cs="Times New Roman" w:hint="default"/>
        <w:b w:val="0"/>
      </w:rPr>
    </w:lvl>
    <w:lvl w:ilvl="8">
      <w:start w:val="1"/>
      <w:numFmt w:val="decimal"/>
      <w:lvlText w:val="%1.%2.%3.%4.%5.%6.%7.%8.%9."/>
      <w:lvlJc w:val="left"/>
      <w:pPr>
        <w:ind w:left="10192" w:hanging="2160"/>
      </w:pPr>
      <w:rPr>
        <w:rFonts w:cs="Times New Roman" w:hint="default"/>
        <w:b w:val="0"/>
      </w:rPr>
    </w:lvl>
  </w:abstractNum>
  <w:abstractNum w:abstractNumId="11" w15:restartNumberingAfterBreak="0">
    <w:nsid w:val="239A07D0"/>
    <w:multiLevelType w:val="hybridMultilevel"/>
    <w:tmpl w:val="1D34B978"/>
    <w:lvl w:ilvl="0" w:tplc="AF7CD98A">
      <w:start w:val="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4E93297"/>
    <w:multiLevelType w:val="hybridMultilevel"/>
    <w:tmpl w:val="256C0426"/>
    <w:lvl w:ilvl="0" w:tplc="0AAE189A">
      <w:start w:val="1"/>
      <w:numFmt w:val="lowerRoman"/>
      <w:lvlText w:val="%1)"/>
      <w:lvlJc w:val="left"/>
      <w:pPr>
        <w:ind w:left="3272" w:hanging="720"/>
      </w:pPr>
      <w:rPr>
        <w:rFonts w:hint="default"/>
      </w:rPr>
    </w:lvl>
    <w:lvl w:ilvl="1" w:tplc="240A0019" w:tentative="1">
      <w:start w:val="1"/>
      <w:numFmt w:val="lowerLetter"/>
      <w:lvlText w:val="%2."/>
      <w:lvlJc w:val="left"/>
      <w:pPr>
        <w:ind w:left="3632" w:hanging="360"/>
      </w:pPr>
    </w:lvl>
    <w:lvl w:ilvl="2" w:tplc="240A001B" w:tentative="1">
      <w:start w:val="1"/>
      <w:numFmt w:val="lowerRoman"/>
      <w:lvlText w:val="%3."/>
      <w:lvlJc w:val="right"/>
      <w:pPr>
        <w:ind w:left="4352" w:hanging="180"/>
      </w:pPr>
    </w:lvl>
    <w:lvl w:ilvl="3" w:tplc="240A000F" w:tentative="1">
      <w:start w:val="1"/>
      <w:numFmt w:val="decimal"/>
      <w:lvlText w:val="%4."/>
      <w:lvlJc w:val="left"/>
      <w:pPr>
        <w:ind w:left="5072" w:hanging="360"/>
      </w:pPr>
    </w:lvl>
    <w:lvl w:ilvl="4" w:tplc="240A0019" w:tentative="1">
      <w:start w:val="1"/>
      <w:numFmt w:val="lowerLetter"/>
      <w:lvlText w:val="%5."/>
      <w:lvlJc w:val="left"/>
      <w:pPr>
        <w:ind w:left="5792" w:hanging="360"/>
      </w:pPr>
    </w:lvl>
    <w:lvl w:ilvl="5" w:tplc="240A001B" w:tentative="1">
      <w:start w:val="1"/>
      <w:numFmt w:val="lowerRoman"/>
      <w:lvlText w:val="%6."/>
      <w:lvlJc w:val="right"/>
      <w:pPr>
        <w:ind w:left="6512" w:hanging="180"/>
      </w:pPr>
    </w:lvl>
    <w:lvl w:ilvl="6" w:tplc="240A000F" w:tentative="1">
      <w:start w:val="1"/>
      <w:numFmt w:val="decimal"/>
      <w:lvlText w:val="%7."/>
      <w:lvlJc w:val="left"/>
      <w:pPr>
        <w:ind w:left="7232" w:hanging="360"/>
      </w:pPr>
    </w:lvl>
    <w:lvl w:ilvl="7" w:tplc="240A0019" w:tentative="1">
      <w:start w:val="1"/>
      <w:numFmt w:val="lowerLetter"/>
      <w:lvlText w:val="%8."/>
      <w:lvlJc w:val="left"/>
      <w:pPr>
        <w:ind w:left="7952" w:hanging="360"/>
      </w:pPr>
    </w:lvl>
    <w:lvl w:ilvl="8" w:tplc="240A001B" w:tentative="1">
      <w:start w:val="1"/>
      <w:numFmt w:val="lowerRoman"/>
      <w:lvlText w:val="%9."/>
      <w:lvlJc w:val="right"/>
      <w:pPr>
        <w:ind w:left="8672" w:hanging="180"/>
      </w:pPr>
    </w:lvl>
  </w:abstractNum>
  <w:abstractNum w:abstractNumId="13" w15:restartNumberingAfterBreak="0">
    <w:nsid w:val="29C64DD9"/>
    <w:multiLevelType w:val="hybridMultilevel"/>
    <w:tmpl w:val="87507C3A"/>
    <w:lvl w:ilvl="0" w:tplc="BBF672C2">
      <w:start w:val="1"/>
      <w:numFmt w:val="decimal"/>
      <w:lvlText w:val="%1.1."/>
      <w:lvlJc w:val="left"/>
      <w:pPr>
        <w:ind w:left="1080" w:hanging="360"/>
      </w:pPr>
      <w:rPr>
        <w:rFonts w:hint="default"/>
      </w:rPr>
    </w:lvl>
    <w:lvl w:ilvl="1" w:tplc="240A0019">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4" w15:restartNumberingAfterBreak="0">
    <w:nsid w:val="2ADA2E9E"/>
    <w:multiLevelType w:val="multilevel"/>
    <w:tmpl w:val="0C0A001F"/>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B035199"/>
    <w:multiLevelType w:val="hybridMultilevel"/>
    <w:tmpl w:val="743236B8"/>
    <w:lvl w:ilvl="0" w:tplc="9C0ABEFC">
      <w:start w:val="1"/>
      <w:numFmt w:val="lowerRoman"/>
      <w:lvlText w:val="%1."/>
      <w:lvlJc w:val="right"/>
      <w:pPr>
        <w:ind w:left="720" w:hanging="360"/>
      </w:pPr>
      <w:rPr>
        <w:b/>
      </w:rPr>
    </w:lvl>
    <w:lvl w:ilvl="1" w:tplc="B16ABE26">
      <w:start w:val="1"/>
      <w:numFmt w:val="lowerRoman"/>
      <w:lvlText w:val="(%2)"/>
      <w:lvlJc w:val="left"/>
      <w:pPr>
        <w:ind w:left="1800" w:hanging="720"/>
      </w:pPr>
      <w:rPr>
        <w:rFonts w:hint="default"/>
        <w:b/>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2BAB0A04"/>
    <w:multiLevelType w:val="multilevel"/>
    <w:tmpl w:val="23909A9E"/>
    <w:lvl w:ilvl="0">
      <w:start w:val="1"/>
      <w:numFmt w:val="decimal"/>
      <w:lvlText w:val="%1."/>
      <w:lvlJc w:val="left"/>
      <w:pPr>
        <w:ind w:left="360" w:hanging="360"/>
      </w:pPr>
      <w:rPr>
        <w:rFonts w:cs="Times New Roman" w:hint="default"/>
        <w:b/>
      </w:rPr>
    </w:lvl>
    <w:lvl w:ilvl="1">
      <w:start w:val="1"/>
      <w:numFmt w:val="decimal"/>
      <w:lvlText w:val="%1.%2."/>
      <w:lvlJc w:val="left"/>
      <w:pPr>
        <w:ind w:left="432" w:hanging="432"/>
      </w:pPr>
      <w:rPr>
        <w:rFonts w:cs="Times New Roman" w:hint="default"/>
        <w:b/>
      </w:rPr>
    </w:lvl>
    <w:lvl w:ilvl="2">
      <w:start w:val="1"/>
      <w:numFmt w:val="decimal"/>
      <w:lvlText w:val="%1.%2.%3."/>
      <w:lvlJc w:val="left"/>
      <w:pPr>
        <w:ind w:left="1224" w:hanging="504"/>
      </w:pPr>
      <w:rPr>
        <w:rFonts w:ascii="Times New Roman" w:hAnsi="Times New Roman" w:cs="Times New Roman" w:hint="default"/>
        <w:b/>
        <w:i w:val="0"/>
        <w:sz w:val="28"/>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15:restartNumberingAfterBreak="0">
    <w:nsid w:val="36504CC3"/>
    <w:multiLevelType w:val="multilevel"/>
    <w:tmpl w:val="3880F016"/>
    <w:lvl w:ilvl="0">
      <w:start w:val="1"/>
      <w:numFmt w:val="decimal"/>
      <w:lvlText w:val="2.%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3A5F0215"/>
    <w:multiLevelType w:val="hybridMultilevel"/>
    <w:tmpl w:val="10C24186"/>
    <w:lvl w:ilvl="0" w:tplc="67E4EBF8">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3C6D74E9"/>
    <w:multiLevelType w:val="hybridMultilevel"/>
    <w:tmpl w:val="F8E6289A"/>
    <w:lvl w:ilvl="0" w:tplc="120CDE64">
      <w:start w:val="1"/>
      <w:numFmt w:val="lowerRoman"/>
      <w:lvlText w:val="%1."/>
      <w:lvlJc w:val="righ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3C7E62CF"/>
    <w:multiLevelType w:val="hybridMultilevel"/>
    <w:tmpl w:val="96024624"/>
    <w:lvl w:ilvl="0" w:tplc="2304DC6C">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4104E1C"/>
    <w:multiLevelType w:val="hybridMultilevel"/>
    <w:tmpl w:val="34224C38"/>
    <w:lvl w:ilvl="0" w:tplc="91969598">
      <w:start w:val="1"/>
      <w:numFmt w:val="lowerRoman"/>
      <w:lvlText w:val="%1.)"/>
      <w:lvlJc w:val="left"/>
      <w:pPr>
        <w:ind w:left="1080" w:hanging="720"/>
      </w:pPr>
      <w:rPr>
        <w:rFonts w:hint="default"/>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46835BF0"/>
    <w:multiLevelType w:val="hybridMultilevel"/>
    <w:tmpl w:val="71AAF832"/>
    <w:lvl w:ilvl="0" w:tplc="22903408">
      <w:start w:val="3"/>
      <w:numFmt w:val="bullet"/>
      <w:lvlText w:val="-"/>
      <w:lvlJc w:val="left"/>
      <w:pPr>
        <w:ind w:left="72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BC86D28"/>
    <w:multiLevelType w:val="multilevel"/>
    <w:tmpl w:val="A68E25E4"/>
    <w:lvl w:ilvl="0">
      <w:start w:val="1"/>
      <w:numFmt w:val="decimal"/>
      <w:lvlText w:val="%1.1."/>
      <w:lvlJc w:val="left"/>
      <w:pPr>
        <w:ind w:left="720" w:hanging="360"/>
      </w:pPr>
      <w:rPr>
        <w:rFonts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15:restartNumberingAfterBreak="0">
    <w:nsid w:val="4C633AA4"/>
    <w:multiLevelType w:val="multilevel"/>
    <w:tmpl w:val="BBB6B032"/>
    <w:lvl w:ilvl="0">
      <w:start w:val="1"/>
      <w:numFmt w:val="upperRoman"/>
      <w:lvlText w:val="%1."/>
      <w:lvlJc w:val="right"/>
      <w:pPr>
        <w:ind w:left="501" w:hanging="360"/>
      </w:pPr>
      <w:rPr>
        <w:rFonts w:cs="Times New Roman" w:hint="default"/>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b/>
      </w:rPr>
    </w:lvl>
    <w:lvl w:ilvl="3">
      <w:start w:val="1"/>
      <w:numFmt w:val="decimal"/>
      <w:lvlText w:val="%1.%2.%3.%4."/>
      <w:lvlJc w:val="left"/>
      <w:pPr>
        <w:ind w:left="1728" w:hanging="648"/>
      </w:pPr>
      <w:rPr>
        <w:rFonts w:cs="Times New Roman"/>
        <w:b/>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 w15:restartNumberingAfterBreak="0">
    <w:nsid w:val="4F622FEB"/>
    <w:multiLevelType w:val="multilevel"/>
    <w:tmpl w:val="22A2106A"/>
    <w:lvl w:ilvl="0">
      <w:start w:val="1"/>
      <w:numFmt w:val="decimal"/>
      <w:lvlText w:val="%1."/>
      <w:lvlJc w:val="left"/>
      <w:pPr>
        <w:ind w:left="360" w:hanging="360"/>
      </w:pPr>
      <w:rPr>
        <w:rFonts w:hint="default"/>
        <w:b/>
      </w:rPr>
    </w:lvl>
    <w:lvl w:ilvl="1">
      <w:start w:val="1"/>
      <w:numFmt w:val="decimal"/>
      <w:lvlText w:val="%1.%2."/>
      <w:lvlJc w:val="left"/>
      <w:pPr>
        <w:ind w:left="574" w:hanging="432"/>
      </w:pPr>
      <w:rPr>
        <w:b/>
        <w:i w:val="0"/>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1CD75A5"/>
    <w:multiLevelType w:val="multilevel"/>
    <w:tmpl w:val="805E37B8"/>
    <w:lvl w:ilvl="0">
      <w:start w:val="1"/>
      <w:numFmt w:val="decimal"/>
      <w:lvlText w:val="%1."/>
      <w:lvlJc w:val="left"/>
      <w:pPr>
        <w:ind w:left="360" w:hanging="360"/>
      </w:pPr>
      <w:rPr>
        <w:rFonts w:hint="default"/>
        <w:b/>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4521D49"/>
    <w:multiLevelType w:val="hybridMultilevel"/>
    <w:tmpl w:val="0B727DFC"/>
    <w:lvl w:ilvl="0" w:tplc="A83A2DBC">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54824F0D"/>
    <w:multiLevelType w:val="multilevel"/>
    <w:tmpl w:val="A68E25E4"/>
    <w:lvl w:ilvl="0">
      <w:start w:val="1"/>
      <w:numFmt w:val="decimal"/>
      <w:lvlText w:val="%1.1."/>
      <w:lvlJc w:val="left"/>
      <w:pPr>
        <w:ind w:left="720" w:hanging="360"/>
      </w:pPr>
      <w:rPr>
        <w:rFonts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15:restartNumberingAfterBreak="0">
    <w:nsid w:val="55EC76BB"/>
    <w:multiLevelType w:val="multilevel"/>
    <w:tmpl w:val="59E288C0"/>
    <w:lvl w:ilvl="0">
      <w:start w:val="1"/>
      <w:numFmt w:val="decimal"/>
      <w:lvlText w:val="%1."/>
      <w:lvlJc w:val="left"/>
      <w:pPr>
        <w:tabs>
          <w:tab w:val="num" w:pos="360"/>
        </w:tabs>
        <w:ind w:left="360" w:hanging="360"/>
      </w:pPr>
      <w:rPr>
        <w:rFonts w:ascii="Times New Roman" w:hAnsi="Times New Roman" w:cs="Times New Roman" w:hint="default"/>
        <w:b w:val="0"/>
        <w:i w:val="0"/>
        <w:sz w:val="28"/>
      </w:rPr>
    </w:lvl>
    <w:lvl w:ilvl="1">
      <w:start w:val="1"/>
      <w:numFmt w:val="decimal"/>
      <w:lvlText w:val="%1.%2."/>
      <w:lvlJc w:val="left"/>
      <w:pPr>
        <w:tabs>
          <w:tab w:val="num" w:pos="792"/>
        </w:tabs>
        <w:ind w:left="792" w:hanging="432"/>
      </w:pPr>
      <w:rPr>
        <w:rFonts w:ascii="Times New Roman" w:hAnsi="Times New Roman" w:cs="Times New Roman" w:hint="default"/>
        <w:i w:val="0"/>
        <w:sz w:val="28"/>
      </w:rPr>
    </w:lvl>
    <w:lvl w:ilvl="2">
      <w:start w:val="1"/>
      <w:numFmt w:val="decimal"/>
      <w:lvlText w:val="%1.%2.%3."/>
      <w:lvlJc w:val="left"/>
      <w:pPr>
        <w:tabs>
          <w:tab w:val="num" w:pos="720"/>
        </w:tabs>
        <w:ind w:left="504" w:hanging="504"/>
      </w:pPr>
      <w:rPr>
        <w:rFonts w:ascii="Times New Roman" w:hAnsi="Times New Roman" w:cs="Times New Roman" w:hint="default"/>
        <w:i w:val="0"/>
      </w:rPr>
    </w:lvl>
    <w:lvl w:ilvl="3">
      <w:start w:val="1"/>
      <w:numFmt w:val="decimal"/>
      <w:lvlText w:val="%1.%2.%3.%4."/>
      <w:lvlJc w:val="left"/>
      <w:pPr>
        <w:tabs>
          <w:tab w:val="num" w:pos="1080"/>
        </w:tabs>
        <w:ind w:left="648" w:hanging="648"/>
      </w:pPr>
      <w:rPr>
        <w:rFonts w:ascii="Times New Roman" w:hAnsi="Times New Roman" w:cs="Times New Roman" w:hint="default"/>
        <w:i w:val="0"/>
      </w:rPr>
    </w:lvl>
    <w:lvl w:ilvl="4">
      <w:start w:val="1"/>
      <w:numFmt w:val="decimal"/>
      <w:lvlText w:val="%1.%2.%3.%4.%5."/>
      <w:lvlJc w:val="left"/>
      <w:pPr>
        <w:tabs>
          <w:tab w:val="num" w:pos="2520"/>
        </w:tabs>
        <w:ind w:left="2232" w:hanging="792"/>
      </w:pPr>
      <w:rPr>
        <w:i w:val="0"/>
      </w:r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0" w15:restartNumberingAfterBreak="0">
    <w:nsid w:val="561C257C"/>
    <w:multiLevelType w:val="multilevel"/>
    <w:tmpl w:val="1BD8A0AE"/>
    <w:lvl w:ilvl="0">
      <w:start w:val="1"/>
      <w:numFmt w:val="decimal"/>
      <w:lvlText w:val="%1."/>
      <w:lvlJc w:val="left"/>
      <w:pPr>
        <w:ind w:left="349" w:hanging="360"/>
      </w:pPr>
      <w:rPr>
        <w:rFonts w:hint="default"/>
        <w:b/>
        <w:color w:val="auto"/>
      </w:rPr>
    </w:lvl>
    <w:lvl w:ilvl="1">
      <w:start w:val="1"/>
      <w:numFmt w:val="decimal"/>
      <w:isLgl/>
      <w:lvlText w:val="%1.%2."/>
      <w:lvlJc w:val="left"/>
      <w:pPr>
        <w:ind w:left="720" w:hanging="720"/>
      </w:pPr>
      <w:rPr>
        <w:rFonts w:hint="default"/>
        <w:b/>
        <w:color w:val="auto"/>
      </w:rPr>
    </w:lvl>
    <w:lvl w:ilvl="2">
      <w:start w:val="1"/>
      <w:numFmt w:val="decimal"/>
      <w:isLgl/>
      <w:lvlText w:val="%1.%2.%3."/>
      <w:lvlJc w:val="left"/>
      <w:pPr>
        <w:ind w:left="731" w:hanging="720"/>
      </w:pPr>
      <w:rPr>
        <w:rFonts w:hint="default"/>
        <w:b/>
        <w:color w:val="auto"/>
      </w:rPr>
    </w:lvl>
    <w:lvl w:ilvl="3">
      <w:start w:val="1"/>
      <w:numFmt w:val="decimal"/>
      <w:isLgl/>
      <w:lvlText w:val="%1.%2.%3.%4."/>
      <w:lvlJc w:val="left"/>
      <w:pPr>
        <w:ind w:left="1102" w:hanging="1080"/>
      </w:pPr>
      <w:rPr>
        <w:rFonts w:hint="default"/>
        <w:color w:val="auto"/>
      </w:rPr>
    </w:lvl>
    <w:lvl w:ilvl="4">
      <w:start w:val="1"/>
      <w:numFmt w:val="decimal"/>
      <w:isLgl/>
      <w:lvlText w:val="%1.%2.%3.%4.%5."/>
      <w:lvlJc w:val="left"/>
      <w:pPr>
        <w:ind w:left="1113" w:hanging="1080"/>
      </w:pPr>
      <w:rPr>
        <w:rFonts w:hint="default"/>
        <w:color w:val="auto"/>
      </w:rPr>
    </w:lvl>
    <w:lvl w:ilvl="5">
      <w:start w:val="1"/>
      <w:numFmt w:val="decimal"/>
      <w:isLgl/>
      <w:lvlText w:val="%1.%2.%3.%4.%5.%6."/>
      <w:lvlJc w:val="left"/>
      <w:pPr>
        <w:ind w:left="1484" w:hanging="1440"/>
      </w:pPr>
      <w:rPr>
        <w:rFonts w:hint="default"/>
        <w:color w:val="auto"/>
      </w:rPr>
    </w:lvl>
    <w:lvl w:ilvl="6">
      <w:start w:val="1"/>
      <w:numFmt w:val="decimal"/>
      <w:isLgl/>
      <w:lvlText w:val="%1.%2.%3.%4.%5.%6.%7."/>
      <w:lvlJc w:val="left"/>
      <w:pPr>
        <w:ind w:left="1855" w:hanging="1800"/>
      </w:pPr>
      <w:rPr>
        <w:rFonts w:hint="default"/>
        <w:color w:val="auto"/>
      </w:rPr>
    </w:lvl>
    <w:lvl w:ilvl="7">
      <w:start w:val="1"/>
      <w:numFmt w:val="decimal"/>
      <w:isLgl/>
      <w:lvlText w:val="%1.%2.%3.%4.%5.%6.%7.%8."/>
      <w:lvlJc w:val="left"/>
      <w:pPr>
        <w:ind w:left="1866" w:hanging="1800"/>
      </w:pPr>
      <w:rPr>
        <w:rFonts w:hint="default"/>
        <w:color w:val="auto"/>
      </w:rPr>
    </w:lvl>
    <w:lvl w:ilvl="8">
      <w:start w:val="1"/>
      <w:numFmt w:val="decimal"/>
      <w:isLgl/>
      <w:lvlText w:val="%1.%2.%3.%4.%5.%6.%7.%8.%9."/>
      <w:lvlJc w:val="left"/>
      <w:pPr>
        <w:ind w:left="2237" w:hanging="2160"/>
      </w:pPr>
      <w:rPr>
        <w:rFonts w:hint="default"/>
        <w:color w:val="auto"/>
      </w:rPr>
    </w:lvl>
  </w:abstractNum>
  <w:abstractNum w:abstractNumId="31" w15:restartNumberingAfterBreak="0">
    <w:nsid w:val="56717C05"/>
    <w:multiLevelType w:val="multilevel"/>
    <w:tmpl w:val="64B62ED2"/>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50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9683613"/>
    <w:multiLevelType w:val="hybridMultilevel"/>
    <w:tmpl w:val="49801AD0"/>
    <w:lvl w:ilvl="0" w:tplc="0E78542A">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5A6477C7"/>
    <w:multiLevelType w:val="multilevel"/>
    <w:tmpl w:val="64EC45EE"/>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09"/>
        </w:tabs>
        <w:ind w:left="709" w:hanging="720"/>
      </w:pPr>
      <w:rPr>
        <w:rFonts w:hint="default"/>
        <w:b/>
      </w:rPr>
    </w:lvl>
    <w:lvl w:ilvl="2">
      <w:start w:val="1"/>
      <w:numFmt w:val="decimal"/>
      <w:lvlText w:val="%1.%2.%3."/>
      <w:lvlJc w:val="left"/>
      <w:pPr>
        <w:tabs>
          <w:tab w:val="num" w:pos="862"/>
        </w:tabs>
        <w:ind w:left="862" w:hanging="720"/>
      </w:pPr>
      <w:rPr>
        <w:rFonts w:hint="default"/>
        <w:b/>
      </w:rPr>
    </w:lvl>
    <w:lvl w:ilvl="3">
      <w:start w:val="1"/>
      <w:numFmt w:val="decimal"/>
      <w:lvlText w:val="%1.%2.%3.%4."/>
      <w:lvlJc w:val="left"/>
      <w:pPr>
        <w:tabs>
          <w:tab w:val="num" w:pos="1047"/>
        </w:tabs>
        <w:ind w:left="1047" w:hanging="1080"/>
      </w:pPr>
      <w:rPr>
        <w:rFonts w:hint="default"/>
      </w:rPr>
    </w:lvl>
    <w:lvl w:ilvl="4">
      <w:start w:val="1"/>
      <w:numFmt w:val="decimal"/>
      <w:lvlText w:val="%1.%2.%3.%4.%5."/>
      <w:lvlJc w:val="left"/>
      <w:pPr>
        <w:tabs>
          <w:tab w:val="num" w:pos="1036"/>
        </w:tabs>
        <w:ind w:left="1036" w:hanging="1080"/>
      </w:pPr>
      <w:rPr>
        <w:rFonts w:hint="default"/>
      </w:rPr>
    </w:lvl>
    <w:lvl w:ilvl="5">
      <w:start w:val="1"/>
      <w:numFmt w:val="decimal"/>
      <w:lvlText w:val="%1.%2.%3.%4.%5.%6."/>
      <w:lvlJc w:val="left"/>
      <w:pPr>
        <w:tabs>
          <w:tab w:val="num" w:pos="1385"/>
        </w:tabs>
        <w:ind w:left="1385" w:hanging="1440"/>
      </w:pPr>
      <w:rPr>
        <w:rFonts w:hint="default"/>
      </w:rPr>
    </w:lvl>
    <w:lvl w:ilvl="6">
      <w:start w:val="1"/>
      <w:numFmt w:val="decimal"/>
      <w:lvlText w:val="%1.%2.%3.%4.%5.%6.%7."/>
      <w:lvlJc w:val="left"/>
      <w:pPr>
        <w:tabs>
          <w:tab w:val="num" w:pos="1734"/>
        </w:tabs>
        <w:ind w:left="1734" w:hanging="1800"/>
      </w:pPr>
      <w:rPr>
        <w:rFonts w:hint="default"/>
      </w:rPr>
    </w:lvl>
    <w:lvl w:ilvl="7">
      <w:start w:val="1"/>
      <w:numFmt w:val="decimal"/>
      <w:lvlText w:val="%1.%2.%3.%4.%5.%6.%7.%8."/>
      <w:lvlJc w:val="left"/>
      <w:pPr>
        <w:tabs>
          <w:tab w:val="num" w:pos="1723"/>
        </w:tabs>
        <w:ind w:left="1723" w:hanging="1800"/>
      </w:pPr>
      <w:rPr>
        <w:rFonts w:hint="default"/>
      </w:rPr>
    </w:lvl>
    <w:lvl w:ilvl="8">
      <w:start w:val="1"/>
      <w:numFmt w:val="decimal"/>
      <w:lvlText w:val="%1.%2.%3.%4.%5.%6.%7.%8.%9."/>
      <w:lvlJc w:val="left"/>
      <w:pPr>
        <w:tabs>
          <w:tab w:val="num" w:pos="2072"/>
        </w:tabs>
        <w:ind w:left="2072" w:hanging="2160"/>
      </w:pPr>
      <w:rPr>
        <w:rFonts w:hint="default"/>
      </w:rPr>
    </w:lvl>
  </w:abstractNum>
  <w:abstractNum w:abstractNumId="34" w15:restartNumberingAfterBreak="0">
    <w:nsid w:val="5E33232D"/>
    <w:multiLevelType w:val="multilevel"/>
    <w:tmpl w:val="1B8AFF9C"/>
    <w:lvl w:ilvl="0">
      <w:start w:val="2"/>
      <w:numFmt w:val="upperRoman"/>
      <w:lvlText w:val="%1."/>
      <w:lvlJc w:val="left"/>
      <w:pPr>
        <w:ind w:left="861" w:hanging="720"/>
      </w:pPr>
      <w:rPr>
        <w:rFonts w:hint="default"/>
      </w:rPr>
    </w:lvl>
    <w:lvl w:ilvl="1">
      <w:start w:val="1"/>
      <w:numFmt w:val="decimal"/>
      <w:isLgl/>
      <w:lvlText w:val="%1.%2."/>
      <w:lvlJc w:val="left"/>
      <w:pPr>
        <w:ind w:left="861" w:hanging="720"/>
      </w:pPr>
      <w:rPr>
        <w:rFonts w:hint="default"/>
      </w:rPr>
    </w:lvl>
    <w:lvl w:ilvl="2">
      <w:start w:val="1"/>
      <w:numFmt w:val="decimal"/>
      <w:isLgl/>
      <w:lvlText w:val="%1.%2.%3."/>
      <w:lvlJc w:val="left"/>
      <w:pPr>
        <w:ind w:left="861" w:hanging="720"/>
      </w:pPr>
      <w:rPr>
        <w:rFonts w:hint="default"/>
      </w:rPr>
    </w:lvl>
    <w:lvl w:ilvl="3">
      <w:start w:val="1"/>
      <w:numFmt w:val="decimal"/>
      <w:isLgl/>
      <w:lvlText w:val="%1.%2.%3.%4."/>
      <w:lvlJc w:val="left"/>
      <w:pPr>
        <w:ind w:left="1221" w:hanging="1080"/>
      </w:pPr>
      <w:rPr>
        <w:rFonts w:hint="default"/>
      </w:rPr>
    </w:lvl>
    <w:lvl w:ilvl="4">
      <w:start w:val="1"/>
      <w:numFmt w:val="decimal"/>
      <w:isLgl/>
      <w:lvlText w:val="%1.%2.%3.%4.%5."/>
      <w:lvlJc w:val="left"/>
      <w:pPr>
        <w:ind w:left="1581" w:hanging="1440"/>
      </w:pPr>
      <w:rPr>
        <w:rFonts w:hint="default"/>
      </w:rPr>
    </w:lvl>
    <w:lvl w:ilvl="5">
      <w:start w:val="1"/>
      <w:numFmt w:val="decimal"/>
      <w:isLgl/>
      <w:lvlText w:val="%1.%2.%3.%4.%5.%6."/>
      <w:lvlJc w:val="left"/>
      <w:pPr>
        <w:ind w:left="1581" w:hanging="1440"/>
      </w:pPr>
      <w:rPr>
        <w:rFonts w:hint="default"/>
      </w:rPr>
    </w:lvl>
    <w:lvl w:ilvl="6">
      <w:start w:val="1"/>
      <w:numFmt w:val="decimal"/>
      <w:isLgl/>
      <w:lvlText w:val="%1.%2.%3.%4.%5.%6.%7."/>
      <w:lvlJc w:val="left"/>
      <w:pPr>
        <w:ind w:left="1941" w:hanging="1800"/>
      </w:pPr>
      <w:rPr>
        <w:rFonts w:hint="default"/>
      </w:rPr>
    </w:lvl>
    <w:lvl w:ilvl="7">
      <w:start w:val="1"/>
      <w:numFmt w:val="decimal"/>
      <w:isLgl/>
      <w:lvlText w:val="%1.%2.%3.%4.%5.%6.%7.%8."/>
      <w:lvlJc w:val="left"/>
      <w:pPr>
        <w:ind w:left="1941" w:hanging="1800"/>
      </w:pPr>
      <w:rPr>
        <w:rFonts w:hint="default"/>
      </w:rPr>
    </w:lvl>
    <w:lvl w:ilvl="8">
      <w:start w:val="1"/>
      <w:numFmt w:val="decimal"/>
      <w:isLgl/>
      <w:lvlText w:val="%1.%2.%3.%4.%5.%6.%7.%8.%9."/>
      <w:lvlJc w:val="left"/>
      <w:pPr>
        <w:ind w:left="2301" w:hanging="2160"/>
      </w:pPr>
      <w:rPr>
        <w:rFonts w:hint="default"/>
      </w:rPr>
    </w:lvl>
  </w:abstractNum>
  <w:abstractNum w:abstractNumId="35" w15:restartNumberingAfterBreak="0">
    <w:nsid w:val="5E3D19CE"/>
    <w:multiLevelType w:val="multilevel"/>
    <w:tmpl w:val="20582E9E"/>
    <w:lvl w:ilvl="0">
      <w:start w:val="8"/>
      <w:numFmt w:val="decimal"/>
      <w:lvlText w:val="%1."/>
      <w:lvlJc w:val="left"/>
      <w:pPr>
        <w:ind w:left="450" w:hanging="450"/>
      </w:pPr>
      <w:rPr>
        <w:rFonts w:hint="default"/>
        <w:b/>
        <w:color w:val="000000"/>
      </w:rPr>
    </w:lvl>
    <w:lvl w:ilvl="1">
      <w:start w:val="1"/>
      <w:numFmt w:val="decimal"/>
      <w:lvlText w:val="%1.%2."/>
      <w:lvlJc w:val="left"/>
      <w:pPr>
        <w:ind w:left="862" w:hanging="720"/>
      </w:pPr>
      <w:rPr>
        <w:rFonts w:hint="default"/>
        <w:b/>
        <w:i w:val="0"/>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36" w15:restartNumberingAfterBreak="0">
    <w:nsid w:val="616E778A"/>
    <w:multiLevelType w:val="multilevel"/>
    <w:tmpl w:val="04CA3856"/>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2231A08"/>
    <w:multiLevelType w:val="hybridMultilevel"/>
    <w:tmpl w:val="64E077C8"/>
    <w:lvl w:ilvl="0" w:tplc="0C0A0015">
      <w:start w:val="1"/>
      <w:numFmt w:val="upperLetter"/>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64833B66"/>
    <w:multiLevelType w:val="hybridMultilevel"/>
    <w:tmpl w:val="F35C970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673D6BCA"/>
    <w:multiLevelType w:val="hybridMultilevel"/>
    <w:tmpl w:val="D488FB44"/>
    <w:lvl w:ilvl="0" w:tplc="240A0013">
      <w:start w:val="1"/>
      <w:numFmt w:val="upperRoman"/>
      <w:lvlText w:val="%1."/>
      <w:lvlJc w:val="right"/>
      <w:pPr>
        <w:ind w:left="720" w:hanging="360"/>
      </w:pPr>
    </w:lvl>
    <w:lvl w:ilvl="1" w:tplc="0A443FEA">
      <w:start w:val="1"/>
      <w:numFmt w:val="lowerRoman"/>
      <w:lvlText w:val="%2)"/>
      <w:lvlJc w:val="left"/>
      <w:pPr>
        <w:ind w:left="1800" w:hanging="720"/>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6961712E"/>
    <w:multiLevelType w:val="hybridMultilevel"/>
    <w:tmpl w:val="5F386E74"/>
    <w:lvl w:ilvl="0" w:tplc="B39E3B2C">
      <w:start w:val="1"/>
      <w:numFmt w:val="lowerRoman"/>
      <w:lvlText w:val="%1."/>
      <w:lvlJc w:val="right"/>
      <w:pPr>
        <w:ind w:left="720" w:hanging="360"/>
      </w:pPr>
      <w:rPr>
        <w:b/>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6CEC74C1"/>
    <w:multiLevelType w:val="hybridMultilevel"/>
    <w:tmpl w:val="1DFA64AC"/>
    <w:lvl w:ilvl="0" w:tplc="240A001B">
      <w:start w:val="1"/>
      <w:numFmt w:val="low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15:restartNumberingAfterBreak="0">
    <w:nsid w:val="6D1518A3"/>
    <w:multiLevelType w:val="hybridMultilevel"/>
    <w:tmpl w:val="662AAF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15:restartNumberingAfterBreak="0">
    <w:nsid w:val="70DA2E88"/>
    <w:multiLevelType w:val="hybridMultilevel"/>
    <w:tmpl w:val="99B2E46E"/>
    <w:lvl w:ilvl="0" w:tplc="36C219AE">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15:restartNumberingAfterBreak="0">
    <w:nsid w:val="78B45A11"/>
    <w:multiLevelType w:val="hybridMultilevel"/>
    <w:tmpl w:val="4A5AB69E"/>
    <w:lvl w:ilvl="0" w:tplc="CC0EDBAE">
      <w:start w:val="1"/>
      <w:numFmt w:val="bullet"/>
      <w:lvlText w:val="-"/>
      <w:lvlJc w:val="left"/>
      <w:pPr>
        <w:ind w:left="1080" w:hanging="360"/>
      </w:pPr>
      <w:rPr>
        <w:rFonts w:ascii="Times New Roman" w:eastAsia="Times New Roman" w:hAnsi="Times New Roman" w:cs="Times New Roman"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45" w15:restartNumberingAfterBreak="0">
    <w:nsid w:val="7B536506"/>
    <w:multiLevelType w:val="hybridMultilevel"/>
    <w:tmpl w:val="D7F458BA"/>
    <w:lvl w:ilvl="0" w:tplc="63FA0AFC">
      <w:numFmt w:val="bullet"/>
      <w:lvlText w:val="-"/>
      <w:lvlJc w:val="left"/>
      <w:pPr>
        <w:ind w:left="72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6" w15:restartNumberingAfterBreak="0">
    <w:nsid w:val="7C441889"/>
    <w:multiLevelType w:val="hybridMultilevel"/>
    <w:tmpl w:val="5A0AA65E"/>
    <w:lvl w:ilvl="0" w:tplc="40380EC8">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7" w15:restartNumberingAfterBreak="0">
    <w:nsid w:val="7DC712B3"/>
    <w:multiLevelType w:val="hybridMultilevel"/>
    <w:tmpl w:val="71F670C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8" w15:restartNumberingAfterBreak="0">
    <w:nsid w:val="7DDB189A"/>
    <w:multiLevelType w:val="multilevel"/>
    <w:tmpl w:val="22A2106A"/>
    <w:lvl w:ilvl="0">
      <w:start w:val="1"/>
      <w:numFmt w:val="decimal"/>
      <w:lvlText w:val="%1."/>
      <w:lvlJc w:val="left"/>
      <w:pPr>
        <w:ind w:left="360" w:hanging="360"/>
      </w:pPr>
      <w:rPr>
        <w:rFonts w:hint="default"/>
        <w:b/>
      </w:rPr>
    </w:lvl>
    <w:lvl w:ilvl="1">
      <w:start w:val="1"/>
      <w:numFmt w:val="decimal"/>
      <w:lvlText w:val="%1.%2."/>
      <w:lvlJc w:val="left"/>
      <w:pPr>
        <w:ind w:left="574" w:hanging="432"/>
      </w:pPr>
      <w:rPr>
        <w:b/>
        <w:i w:val="0"/>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7DDC26E2"/>
    <w:multiLevelType w:val="hybridMultilevel"/>
    <w:tmpl w:val="469A172A"/>
    <w:lvl w:ilvl="0" w:tplc="7472DCC0">
      <w:start w:val="3"/>
      <w:numFmt w:val="bullet"/>
      <w:lvlText w:val="-"/>
      <w:lvlJc w:val="left"/>
      <w:pPr>
        <w:ind w:left="1080" w:hanging="360"/>
      </w:pPr>
      <w:rPr>
        <w:rFonts w:ascii="Times New Roman" w:eastAsia="Times New Roman" w:hAnsi="Times New Roman" w:cs="Times New Roman"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num w:numId="1">
    <w:abstractNumId w:val="31"/>
  </w:num>
  <w:num w:numId="2">
    <w:abstractNumId w:val="25"/>
  </w:num>
  <w:num w:numId="3">
    <w:abstractNumId w:val="43"/>
  </w:num>
  <w:num w:numId="4">
    <w:abstractNumId w:val="46"/>
  </w:num>
  <w:num w:numId="5">
    <w:abstractNumId w:val="0"/>
  </w:num>
  <w:num w:numId="6">
    <w:abstractNumId w:val="24"/>
  </w:num>
  <w:num w:numId="7">
    <w:abstractNumId w:val="34"/>
  </w:num>
  <w:num w:numId="8">
    <w:abstractNumId w:val="42"/>
  </w:num>
  <w:num w:numId="9">
    <w:abstractNumId w:val="27"/>
  </w:num>
  <w:num w:numId="10">
    <w:abstractNumId w:val="33"/>
  </w:num>
  <w:num w:numId="11">
    <w:abstractNumId w:val="26"/>
  </w:num>
  <w:num w:numId="12">
    <w:abstractNumId w:val="6"/>
  </w:num>
  <w:num w:numId="13">
    <w:abstractNumId w:val="5"/>
  </w:num>
  <w:num w:numId="14">
    <w:abstractNumId w:val="32"/>
  </w:num>
  <w:num w:numId="15">
    <w:abstractNumId w:val="30"/>
  </w:num>
  <w:num w:numId="16">
    <w:abstractNumId w:val="21"/>
  </w:num>
  <w:num w:numId="17">
    <w:abstractNumId w:val="29"/>
  </w:num>
  <w:num w:numId="18">
    <w:abstractNumId w:val="18"/>
  </w:num>
  <w:num w:numId="19">
    <w:abstractNumId w:val="38"/>
  </w:num>
  <w:num w:numId="20">
    <w:abstractNumId w:val="47"/>
  </w:num>
  <w:num w:numId="21">
    <w:abstractNumId w:val="36"/>
  </w:num>
  <w:num w:numId="22">
    <w:abstractNumId w:val="9"/>
  </w:num>
  <w:num w:numId="23">
    <w:abstractNumId w:val="10"/>
  </w:num>
  <w:num w:numId="24">
    <w:abstractNumId w:val="16"/>
  </w:num>
  <w:num w:numId="25">
    <w:abstractNumId w:val="14"/>
  </w:num>
  <w:num w:numId="26">
    <w:abstractNumId w:val="39"/>
  </w:num>
  <w:num w:numId="27">
    <w:abstractNumId w:val="3"/>
  </w:num>
  <w:num w:numId="28">
    <w:abstractNumId w:val="45"/>
  </w:num>
  <w:num w:numId="29">
    <w:abstractNumId w:val="23"/>
  </w:num>
  <w:num w:numId="30">
    <w:abstractNumId w:val="13"/>
  </w:num>
  <w:num w:numId="31">
    <w:abstractNumId w:val="17"/>
  </w:num>
  <w:num w:numId="32">
    <w:abstractNumId w:val="28"/>
  </w:num>
  <w:num w:numId="33">
    <w:abstractNumId w:val="40"/>
  </w:num>
  <w:num w:numId="34">
    <w:abstractNumId w:val="22"/>
  </w:num>
  <w:num w:numId="35">
    <w:abstractNumId w:val="19"/>
  </w:num>
  <w:num w:numId="36">
    <w:abstractNumId w:val="49"/>
  </w:num>
  <w:num w:numId="37">
    <w:abstractNumId w:val="41"/>
  </w:num>
  <w:num w:numId="38">
    <w:abstractNumId w:val="15"/>
  </w:num>
  <w:num w:numId="39">
    <w:abstractNumId w:val="44"/>
  </w:num>
  <w:num w:numId="40">
    <w:abstractNumId w:val="8"/>
  </w:num>
  <w:num w:numId="41">
    <w:abstractNumId w:val="7"/>
  </w:num>
  <w:num w:numId="42">
    <w:abstractNumId w:val="11"/>
  </w:num>
  <w:num w:numId="43">
    <w:abstractNumId w:val="12"/>
  </w:num>
  <w:num w:numId="44">
    <w:abstractNumId w:val="35"/>
  </w:num>
  <w:num w:numId="45">
    <w:abstractNumId w:val="4"/>
  </w:num>
  <w:num w:numId="46">
    <w:abstractNumId w:val="37"/>
  </w:num>
  <w:num w:numId="47">
    <w:abstractNumId w:val="1"/>
  </w:num>
  <w:num w:numId="48">
    <w:abstractNumId w:val="48"/>
  </w:num>
  <w:num w:numId="49">
    <w:abstractNumId w:val="20"/>
  </w:num>
  <w:num w:numId="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FDF"/>
    <w:rsid w:val="00003C6E"/>
    <w:rsid w:val="00016CBE"/>
    <w:rsid w:val="00037AC5"/>
    <w:rsid w:val="000426A8"/>
    <w:rsid w:val="000533C4"/>
    <w:rsid w:val="00064837"/>
    <w:rsid w:val="00082121"/>
    <w:rsid w:val="00091D83"/>
    <w:rsid w:val="000A29B6"/>
    <w:rsid w:val="000C05E1"/>
    <w:rsid w:val="000C3E22"/>
    <w:rsid w:val="000C6CCD"/>
    <w:rsid w:val="000C73B6"/>
    <w:rsid w:val="000D08CE"/>
    <w:rsid w:val="000E46CC"/>
    <w:rsid w:val="00105794"/>
    <w:rsid w:val="0010758D"/>
    <w:rsid w:val="001223A1"/>
    <w:rsid w:val="00126301"/>
    <w:rsid w:val="001276DF"/>
    <w:rsid w:val="0013287A"/>
    <w:rsid w:val="00160211"/>
    <w:rsid w:val="0016022F"/>
    <w:rsid w:val="00170FDF"/>
    <w:rsid w:val="001721C2"/>
    <w:rsid w:val="00182526"/>
    <w:rsid w:val="00190FDE"/>
    <w:rsid w:val="00192F6B"/>
    <w:rsid w:val="001A391A"/>
    <w:rsid w:val="001A59D5"/>
    <w:rsid w:val="001B22C8"/>
    <w:rsid w:val="001B4F65"/>
    <w:rsid w:val="001B5028"/>
    <w:rsid w:val="001C6583"/>
    <w:rsid w:val="001D14F9"/>
    <w:rsid w:val="001D7CE8"/>
    <w:rsid w:val="001E1534"/>
    <w:rsid w:val="001E59C1"/>
    <w:rsid w:val="001F1AC2"/>
    <w:rsid w:val="00202137"/>
    <w:rsid w:val="00203628"/>
    <w:rsid w:val="00203D76"/>
    <w:rsid w:val="00205007"/>
    <w:rsid w:val="002115F7"/>
    <w:rsid w:val="00216E10"/>
    <w:rsid w:val="00234477"/>
    <w:rsid w:val="00246C35"/>
    <w:rsid w:val="00251267"/>
    <w:rsid w:val="00255D5C"/>
    <w:rsid w:val="002574BB"/>
    <w:rsid w:val="00287014"/>
    <w:rsid w:val="002A3C37"/>
    <w:rsid w:val="002A5F2A"/>
    <w:rsid w:val="002B27D1"/>
    <w:rsid w:val="002B6A0B"/>
    <w:rsid w:val="002D53F7"/>
    <w:rsid w:val="002E7438"/>
    <w:rsid w:val="002E74AB"/>
    <w:rsid w:val="002F2B92"/>
    <w:rsid w:val="00314579"/>
    <w:rsid w:val="00317F9A"/>
    <w:rsid w:val="0032518B"/>
    <w:rsid w:val="003311CA"/>
    <w:rsid w:val="0034481C"/>
    <w:rsid w:val="0035269D"/>
    <w:rsid w:val="00362F85"/>
    <w:rsid w:val="00380EE1"/>
    <w:rsid w:val="00395B45"/>
    <w:rsid w:val="00397329"/>
    <w:rsid w:val="003A4791"/>
    <w:rsid w:val="003A6DA4"/>
    <w:rsid w:val="003B1E62"/>
    <w:rsid w:val="003B5D5D"/>
    <w:rsid w:val="003C3D07"/>
    <w:rsid w:val="003D1BD6"/>
    <w:rsid w:val="003D1C08"/>
    <w:rsid w:val="003E573F"/>
    <w:rsid w:val="003E6C4C"/>
    <w:rsid w:val="003F0E79"/>
    <w:rsid w:val="00400E07"/>
    <w:rsid w:val="00407330"/>
    <w:rsid w:val="004204B0"/>
    <w:rsid w:val="00424E23"/>
    <w:rsid w:val="00427353"/>
    <w:rsid w:val="00474E2C"/>
    <w:rsid w:val="004844B3"/>
    <w:rsid w:val="00484ECC"/>
    <w:rsid w:val="0048539C"/>
    <w:rsid w:val="004B0B57"/>
    <w:rsid w:val="004B1143"/>
    <w:rsid w:val="004B4129"/>
    <w:rsid w:val="004B6284"/>
    <w:rsid w:val="004D0C19"/>
    <w:rsid w:val="004E1628"/>
    <w:rsid w:val="004E4CF9"/>
    <w:rsid w:val="004E5D22"/>
    <w:rsid w:val="00500D92"/>
    <w:rsid w:val="0051138E"/>
    <w:rsid w:val="00522E13"/>
    <w:rsid w:val="0052720E"/>
    <w:rsid w:val="0053427B"/>
    <w:rsid w:val="0055178C"/>
    <w:rsid w:val="005651A2"/>
    <w:rsid w:val="00566CAA"/>
    <w:rsid w:val="00572CC6"/>
    <w:rsid w:val="005A4EE7"/>
    <w:rsid w:val="005B5144"/>
    <w:rsid w:val="005B7314"/>
    <w:rsid w:val="005C2E52"/>
    <w:rsid w:val="005C6746"/>
    <w:rsid w:val="005D3037"/>
    <w:rsid w:val="005D57FA"/>
    <w:rsid w:val="005E5575"/>
    <w:rsid w:val="0060604E"/>
    <w:rsid w:val="006061AD"/>
    <w:rsid w:val="00606988"/>
    <w:rsid w:val="00612279"/>
    <w:rsid w:val="00615F3E"/>
    <w:rsid w:val="006250C4"/>
    <w:rsid w:val="00626C84"/>
    <w:rsid w:val="00687CCF"/>
    <w:rsid w:val="0069602C"/>
    <w:rsid w:val="00696BA3"/>
    <w:rsid w:val="006A1374"/>
    <w:rsid w:val="006A6F47"/>
    <w:rsid w:val="006C2BCC"/>
    <w:rsid w:val="006E4DD5"/>
    <w:rsid w:val="006E5706"/>
    <w:rsid w:val="0070141F"/>
    <w:rsid w:val="0070236E"/>
    <w:rsid w:val="007076C0"/>
    <w:rsid w:val="00712E51"/>
    <w:rsid w:val="00731F5F"/>
    <w:rsid w:val="00737E80"/>
    <w:rsid w:val="007431E5"/>
    <w:rsid w:val="00746C29"/>
    <w:rsid w:val="00751906"/>
    <w:rsid w:val="00766D0F"/>
    <w:rsid w:val="00787D94"/>
    <w:rsid w:val="007A6C6F"/>
    <w:rsid w:val="007C430C"/>
    <w:rsid w:val="007E07D7"/>
    <w:rsid w:val="007E5AD1"/>
    <w:rsid w:val="007F0CC8"/>
    <w:rsid w:val="008120E7"/>
    <w:rsid w:val="0081246C"/>
    <w:rsid w:val="00830DEF"/>
    <w:rsid w:val="008375FA"/>
    <w:rsid w:val="00854871"/>
    <w:rsid w:val="008A283A"/>
    <w:rsid w:val="008A4ECB"/>
    <w:rsid w:val="008A7F3D"/>
    <w:rsid w:val="008B0732"/>
    <w:rsid w:val="008C1308"/>
    <w:rsid w:val="008C68D7"/>
    <w:rsid w:val="008D4F90"/>
    <w:rsid w:val="008E114C"/>
    <w:rsid w:val="008E7E75"/>
    <w:rsid w:val="008F615D"/>
    <w:rsid w:val="00902407"/>
    <w:rsid w:val="009077E2"/>
    <w:rsid w:val="009356EF"/>
    <w:rsid w:val="00937BB8"/>
    <w:rsid w:val="00940827"/>
    <w:rsid w:val="009435A4"/>
    <w:rsid w:val="00943A9A"/>
    <w:rsid w:val="00946554"/>
    <w:rsid w:val="00957270"/>
    <w:rsid w:val="0097140E"/>
    <w:rsid w:val="0097493D"/>
    <w:rsid w:val="0097645C"/>
    <w:rsid w:val="00983DB0"/>
    <w:rsid w:val="00984695"/>
    <w:rsid w:val="009862C0"/>
    <w:rsid w:val="009B5991"/>
    <w:rsid w:val="009D31D0"/>
    <w:rsid w:val="009D61E9"/>
    <w:rsid w:val="009D72CB"/>
    <w:rsid w:val="009F54E2"/>
    <w:rsid w:val="00A01C65"/>
    <w:rsid w:val="00A11A68"/>
    <w:rsid w:val="00A159A8"/>
    <w:rsid w:val="00A5271F"/>
    <w:rsid w:val="00A56185"/>
    <w:rsid w:val="00A62A9B"/>
    <w:rsid w:val="00A961C1"/>
    <w:rsid w:val="00A97C89"/>
    <w:rsid w:val="00AA7B54"/>
    <w:rsid w:val="00AB1324"/>
    <w:rsid w:val="00AC0BE8"/>
    <w:rsid w:val="00AC4E53"/>
    <w:rsid w:val="00AD51DD"/>
    <w:rsid w:val="00B00B7F"/>
    <w:rsid w:val="00B1062F"/>
    <w:rsid w:val="00B2489F"/>
    <w:rsid w:val="00B26C95"/>
    <w:rsid w:val="00B26FFE"/>
    <w:rsid w:val="00B51295"/>
    <w:rsid w:val="00B70EB3"/>
    <w:rsid w:val="00B742BF"/>
    <w:rsid w:val="00B96D15"/>
    <w:rsid w:val="00BA72E1"/>
    <w:rsid w:val="00BD00E5"/>
    <w:rsid w:val="00BD1E34"/>
    <w:rsid w:val="00BD5D01"/>
    <w:rsid w:val="00BF63B6"/>
    <w:rsid w:val="00C01D0E"/>
    <w:rsid w:val="00C052BB"/>
    <w:rsid w:val="00C068FC"/>
    <w:rsid w:val="00C22C8A"/>
    <w:rsid w:val="00C3589F"/>
    <w:rsid w:val="00C5194B"/>
    <w:rsid w:val="00C529B2"/>
    <w:rsid w:val="00C66A90"/>
    <w:rsid w:val="00C70EE9"/>
    <w:rsid w:val="00C771D6"/>
    <w:rsid w:val="00C801CF"/>
    <w:rsid w:val="00C815F1"/>
    <w:rsid w:val="00C854C2"/>
    <w:rsid w:val="00C908BC"/>
    <w:rsid w:val="00C9430B"/>
    <w:rsid w:val="00CA65AE"/>
    <w:rsid w:val="00CB5BD5"/>
    <w:rsid w:val="00CB728B"/>
    <w:rsid w:val="00CC0FDF"/>
    <w:rsid w:val="00CC6C04"/>
    <w:rsid w:val="00CE5C62"/>
    <w:rsid w:val="00D16F9E"/>
    <w:rsid w:val="00D270B0"/>
    <w:rsid w:val="00D316F2"/>
    <w:rsid w:val="00D42245"/>
    <w:rsid w:val="00D442E5"/>
    <w:rsid w:val="00D80EC8"/>
    <w:rsid w:val="00D83911"/>
    <w:rsid w:val="00DA2320"/>
    <w:rsid w:val="00DB14DD"/>
    <w:rsid w:val="00DB443A"/>
    <w:rsid w:val="00DB625B"/>
    <w:rsid w:val="00DC542A"/>
    <w:rsid w:val="00DC5EF7"/>
    <w:rsid w:val="00DE0B08"/>
    <w:rsid w:val="00DE3465"/>
    <w:rsid w:val="00DF08E6"/>
    <w:rsid w:val="00DF3198"/>
    <w:rsid w:val="00DF6D61"/>
    <w:rsid w:val="00E02B69"/>
    <w:rsid w:val="00E05E86"/>
    <w:rsid w:val="00E22AD6"/>
    <w:rsid w:val="00E25FBB"/>
    <w:rsid w:val="00E31415"/>
    <w:rsid w:val="00E3576B"/>
    <w:rsid w:val="00E5792F"/>
    <w:rsid w:val="00E70F73"/>
    <w:rsid w:val="00E7187F"/>
    <w:rsid w:val="00E8322C"/>
    <w:rsid w:val="00EA3CB7"/>
    <w:rsid w:val="00EB0DAF"/>
    <w:rsid w:val="00ED5967"/>
    <w:rsid w:val="00ED5D10"/>
    <w:rsid w:val="00EE5499"/>
    <w:rsid w:val="00EF3EBB"/>
    <w:rsid w:val="00EF573C"/>
    <w:rsid w:val="00F069A7"/>
    <w:rsid w:val="00F11E8C"/>
    <w:rsid w:val="00F17A02"/>
    <w:rsid w:val="00F24CE5"/>
    <w:rsid w:val="00F26351"/>
    <w:rsid w:val="00F54743"/>
    <w:rsid w:val="00F5771B"/>
    <w:rsid w:val="00F71FD0"/>
    <w:rsid w:val="00F72BCE"/>
    <w:rsid w:val="00F7475B"/>
    <w:rsid w:val="00F75C8A"/>
    <w:rsid w:val="00FC1AB7"/>
    <w:rsid w:val="00FC5311"/>
    <w:rsid w:val="00FE3F4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B6C43318-90BF-47AF-856B-B3C999EEE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0FDF"/>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70F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70FDF"/>
  </w:style>
  <w:style w:type="paragraph" w:styleId="Piedepgina">
    <w:name w:val="footer"/>
    <w:basedOn w:val="Normal"/>
    <w:link w:val="PiedepginaCar"/>
    <w:uiPriority w:val="99"/>
    <w:unhideWhenUsed/>
    <w:rsid w:val="00170F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70FDF"/>
  </w:style>
  <w:style w:type="paragraph" w:styleId="Sangradetextonormal">
    <w:name w:val="Body Text Indent"/>
    <w:basedOn w:val="Normal"/>
    <w:link w:val="SangradetextonormalCar"/>
    <w:uiPriority w:val="99"/>
    <w:semiHidden/>
    <w:unhideWhenUsed/>
    <w:rsid w:val="00170FDF"/>
    <w:pPr>
      <w:spacing w:after="120"/>
      <w:ind w:left="283"/>
    </w:pPr>
  </w:style>
  <w:style w:type="character" w:customStyle="1" w:styleId="SangradetextonormalCar">
    <w:name w:val="Sangría de texto normal Car"/>
    <w:basedOn w:val="Fuentedeprrafopredeter"/>
    <w:link w:val="Sangradetextonormal"/>
    <w:uiPriority w:val="99"/>
    <w:semiHidden/>
    <w:rsid w:val="00170FDF"/>
  </w:style>
  <w:style w:type="character" w:styleId="Refdenotaalpie">
    <w:name w:val="footnote reference"/>
    <w:aliases w:val="referencia nota al pie,Appel note de bas de page,Texto de nota al pie,Footnotes refss,Footnote number,BVI fnr,Ref. de nota al pie 2,Fago Fußnotenzeichen,4_G,16 Point,Superscript 6 Point,Texto nota al pie,Footnote Reference Char3,FC,R"/>
    <w:link w:val="Piedepagina"/>
    <w:uiPriority w:val="99"/>
    <w:qFormat/>
    <w:rsid w:val="00170FDF"/>
    <w:rPr>
      <w:vertAlign w:val="superscript"/>
    </w:rPr>
  </w:style>
  <w:style w:type="paragraph" w:styleId="Textonotapie">
    <w:name w:val="footnote text"/>
    <w:aliases w:val="Footnote Text Char Char Char Char Char,Footnote Text Char Char Char Char,Ref. de nota al pie1,FA Fu,Footnote Text Char Char Char Char Char Char Char Char,Footnote Text Char Char Char Char Char Char1,Footnote reference,Footnote Text Char,f"/>
    <w:basedOn w:val="Normal"/>
    <w:link w:val="TextonotapieCar"/>
    <w:uiPriority w:val="99"/>
    <w:qFormat/>
    <w:rsid w:val="00170FDF"/>
    <w:pPr>
      <w:spacing w:after="0" w:line="240" w:lineRule="auto"/>
    </w:pPr>
    <w:rPr>
      <w:rFonts w:ascii="Times New Roman" w:eastAsia="Times New Roman" w:hAnsi="Times New Roman" w:cs="Times New Roman"/>
      <w:sz w:val="20"/>
      <w:szCs w:val="20"/>
      <w:lang w:eastAsia="es-ES"/>
    </w:rPr>
  </w:style>
  <w:style w:type="character" w:customStyle="1" w:styleId="TextonotapieCar">
    <w:name w:val="Texto nota pie Car"/>
    <w:aliases w:val="Footnote Text Char Char Char Char Char Car,Footnote Text Char Char Char Char Car,Ref. de nota al pie1 Car,FA Fu Car,Footnote Text Char Char Char Char Char Char Char Char Car,Footnote Text Char Char Char Char Char Char1 Car,f Car"/>
    <w:basedOn w:val="Fuentedeprrafopredeter"/>
    <w:link w:val="Textonotapie"/>
    <w:uiPriority w:val="99"/>
    <w:rsid w:val="00170FDF"/>
    <w:rPr>
      <w:rFonts w:ascii="Times New Roman" w:eastAsia="Times New Roman" w:hAnsi="Times New Roman" w:cs="Times New Roman"/>
      <w:sz w:val="20"/>
      <w:szCs w:val="20"/>
      <w:lang w:eastAsia="es-ES"/>
    </w:rPr>
  </w:style>
  <w:style w:type="character" w:styleId="Nmerodepgina">
    <w:name w:val="page number"/>
    <w:basedOn w:val="Fuentedeprrafopredeter"/>
    <w:rsid w:val="00170FDF"/>
  </w:style>
  <w:style w:type="character" w:styleId="Hipervnculo">
    <w:name w:val="Hyperlink"/>
    <w:basedOn w:val="Fuentedeprrafopredeter"/>
    <w:uiPriority w:val="99"/>
    <w:unhideWhenUsed/>
    <w:rsid w:val="00170FDF"/>
    <w:rPr>
      <w:color w:val="0563C1" w:themeColor="hyperlink"/>
      <w:u w:val="single"/>
    </w:rPr>
  </w:style>
  <w:style w:type="character" w:customStyle="1" w:styleId="TextodegloboCar">
    <w:name w:val="Texto de globo Car"/>
    <w:basedOn w:val="Fuentedeprrafopredeter"/>
    <w:link w:val="Textodeglobo"/>
    <w:uiPriority w:val="99"/>
    <w:semiHidden/>
    <w:rsid w:val="00170FDF"/>
    <w:rPr>
      <w:rFonts w:ascii="Tahoma" w:hAnsi="Tahoma" w:cs="Tahoma"/>
      <w:sz w:val="16"/>
      <w:szCs w:val="16"/>
    </w:rPr>
  </w:style>
  <w:style w:type="paragraph" w:styleId="Textodeglobo">
    <w:name w:val="Balloon Text"/>
    <w:basedOn w:val="Normal"/>
    <w:link w:val="TextodegloboCar"/>
    <w:uiPriority w:val="99"/>
    <w:semiHidden/>
    <w:unhideWhenUsed/>
    <w:rsid w:val="00170FDF"/>
    <w:pPr>
      <w:spacing w:after="0" w:line="240" w:lineRule="auto"/>
    </w:pPr>
    <w:rPr>
      <w:rFonts w:ascii="Tahoma" w:hAnsi="Tahoma" w:cs="Tahoma"/>
      <w:sz w:val="16"/>
      <w:szCs w:val="16"/>
    </w:rPr>
  </w:style>
  <w:style w:type="paragraph" w:styleId="Textoindependiente">
    <w:name w:val="Body Text"/>
    <w:basedOn w:val="Normal"/>
    <w:link w:val="TextoindependienteCar"/>
    <w:uiPriority w:val="99"/>
    <w:unhideWhenUsed/>
    <w:rsid w:val="00170FDF"/>
    <w:pPr>
      <w:spacing w:after="120"/>
    </w:pPr>
  </w:style>
  <w:style w:type="character" w:customStyle="1" w:styleId="TextoindependienteCar">
    <w:name w:val="Texto independiente Car"/>
    <w:basedOn w:val="Fuentedeprrafopredeter"/>
    <w:link w:val="Textoindependiente"/>
    <w:uiPriority w:val="99"/>
    <w:rsid w:val="00170FDF"/>
  </w:style>
  <w:style w:type="character" w:customStyle="1" w:styleId="Textoindependiente3Car">
    <w:name w:val="Texto independiente 3 Car"/>
    <w:basedOn w:val="Fuentedeprrafopredeter"/>
    <w:link w:val="Textoindependiente3"/>
    <w:uiPriority w:val="99"/>
    <w:semiHidden/>
    <w:rsid w:val="00170FDF"/>
    <w:rPr>
      <w:sz w:val="16"/>
      <w:szCs w:val="16"/>
    </w:rPr>
  </w:style>
  <w:style w:type="paragraph" w:styleId="Textoindependiente3">
    <w:name w:val="Body Text 3"/>
    <w:basedOn w:val="Normal"/>
    <w:link w:val="Textoindependiente3Car"/>
    <w:uiPriority w:val="99"/>
    <w:semiHidden/>
    <w:unhideWhenUsed/>
    <w:rsid w:val="00170FDF"/>
    <w:pPr>
      <w:spacing w:after="120"/>
    </w:pPr>
    <w:rPr>
      <w:sz w:val="16"/>
      <w:szCs w:val="16"/>
    </w:rPr>
  </w:style>
  <w:style w:type="paragraph" w:styleId="Prrafodelista">
    <w:name w:val="List Paragraph"/>
    <w:basedOn w:val="Normal"/>
    <w:uiPriority w:val="34"/>
    <w:qFormat/>
    <w:rsid w:val="00170FDF"/>
    <w:pPr>
      <w:ind w:left="720"/>
      <w:contextualSpacing/>
    </w:pPr>
  </w:style>
  <w:style w:type="character" w:styleId="Textoennegrita">
    <w:name w:val="Strong"/>
    <w:basedOn w:val="Fuentedeprrafopredeter"/>
    <w:uiPriority w:val="22"/>
    <w:qFormat/>
    <w:rsid w:val="00170FDF"/>
    <w:rPr>
      <w:b/>
      <w:bCs/>
    </w:rPr>
  </w:style>
  <w:style w:type="character" w:customStyle="1" w:styleId="Textoindependiente2Car">
    <w:name w:val="Texto independiente 2 Car"/>
    <w:basedOn w:val="Fuentedeprrafopredeter"/>
    <w:link w:val="Textoindependiente2"/>
    <w:uiPriority w:val="99"/>
    <w:semiHidden/>
    <w:rsid w:val="00170FDF"/>
  </w:style>
  <w:style w:type="paragraph" w:styleId="Textoindependiente2">
    <w:name w:val="Body Text 2"/>
    <w:basedOn w:val="Normal"/>
    <w:link w:val="Textoindependiente2Car"/>
    <w:uiPriority w:val="99"/>
    <w:semiHidden/>
    <w:unhideWhenUsed/>
    <w:rsid w:val="00170FDF"/>
    <w:pPr>
      <w:spacing w:after="120" w:line="480" w:lineRule="auto"/>
    </w:pPr>
  </w:style>
  <w:style w:type="paragraph" w:customStyle="1" w:styleId="Sangradetindependiente">
    <w:name w:val="Sangría de t. independiente"/>
    <w:basedOn w:val="Normal"/>
    <w:rsid w:val="00170FDF"/>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sz w:val="28"/>
      <w:szCs w:val="28"/>
      <w:lang w:val="es-ES_tradnl" w:eastAsia="es-ES"/>
    </w:rPr>
  </w:style>
  <w:style w:type="paragraph" w:customStyle="1" w:styleId="Car">
    <w:name w:val="Car"/>
    <w:basedOn w:val="Normal"/>
    <w:rsid w:val="00170FDF"/>
    <w:pPr>
      <w:spacing w:after="160" w:line="240" w:lineRule="exact"/>
    </w:pPr>
    <w:rPr>
      <w:rFonts w:ascii="Times New Roman" w:eastAsia="Times New Roman" w:hAnsi="Times New Roman" w:cs="Times New Roman"/>
      <w:noProof/>
      <w:color w:val="000000"/>
      <w:sz w:val="20"/>
      <w:szCs w:val="20"/>
      <w:lang w:eastAsia="es-ES"/>
    </w:rPr>
  </w:style>
  <w:style w:type="paragraph" w:customStyle="1" w:styleId="msonormalcxspmiddle">
    <w:name w:val="msonormalcxspmiddle"/>
    <w:basedOn w:val="Normal"/>
    <w:rsid w:val="00170FDF"/>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TextocomentarioCar">
    <w:name w:val="Texto comentario Car"/>
    <w:basedOn w:val="Fuentedeprrafopredeter"/>
    <w:link w:val="Textocomentario"/>
    <w:uiPriority w:val="99"/>
    <w:semiHidden/>
    <w:rsid w:val="00170FDF"/>
    <w:rPr>
      <w:rFonts w:ascii="Times New Roman" w:eastAsia="Times New Roman" w:hAnsi="Times New Roman" w:cs="Times New Roman"/>
      <w:sz w:val="20"/>
      <w:szCs w:val="20"/>
      <w:lang w:val="es-ES"/>
    </w:rPr>
  </w:style>
  <w:style w:type="paragraph" w:styleId="Textocomentario">
    <w:name w:val="annotation text"/>
    <w:basedOn w:val="Normal"/>
    <w:link w:val="TextocomentarioCar"/>
    <w:uiPriority w:val="99"/>
    <w:semiHidden/>
    <w:unhideWhenUsed/>
    <w:rsid w:val="00170FDF"/>
    <w:pPr>
      <w:spacing w:after="160" w:line="259" w:lineRule="auto"/>
    </w:pPr>
    <w:rPr>
      <w:rFonts w:ascii="Times New Roman" w:eastAsia="Times New Roman" w:hAnsi="Times New Roman" w:cs="Times New Roman"/>
      <w:sz w:val="20"/>
      <w:szCs w:val="20"/>
      <w:lang w:val="es-ES"/>
    </w:rPr>
  </w:style>
  <w:style w:type="character" w:customStyle="1" w:styleId="apple-converted-space">
    <w:name w:val="apple-converted-space"/>
    <w:rsid w:val="00170FDF"/>
  </w:style>
  <w:style w:type="paragraph" w:customStyle="1" w:styleId="Estilo">
    <w:name w:val="Estilo"/>
    <w:basedOn w:val="Normal"/>
    <w:rsid w:val="00170FDF"/>
    <w:pPr>
      <w:spacing w:after="160" w:line="240" w:lineRule="exact"/>
    </w:pPr>
    <w:rPr>
      <w:rFonts w:ascii="Times New Roman" w:eastAsia="Times New Roman" w:hAnsi="Times New Roman" w:cs="Times New Roman"/>
      <w:noProof/>
      <w:color w:val="000000"/>
      <w:sz w:val="20"/>
      <w:szCs w:val="20"/>
      <w:lang w:eastAsia="es-ES"/>
    </w:rPr>
  </w:style>
  <w:style w:type="paragraph" w:styleId="NormalWeb">
    <w:name w:val="Normal (Web)"/>
    <w:basedOn w:val="Normal"/>
    <w:uiPriority w:val="99"/>
    <w:unhideWhenUsed/>
    <w:rsid w:val="00170FDF"/>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centrado">
    <w:name w:val="centrado"/>
    <w:basedOn w:val="Normal"/>
    <w:rsid w:val="00170FDF"/>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baj">
    <w:name w:val="b_aj"/>
    <w:basedOn w:val="Fuentedeprrafopredeter"/>
    <w:rsid w:val="00170FDF"/>
  </w:style>
  <w:style w:type="paragraph" w:customStyle="1" w:styleId="CarCar1CarCarCarCarCarCarCarCarCarCar">
    <w:name w:val="Car Car1 Car Car Car Car Car Car Car Car Car Car"/>
    <w:basedOn w:val="Normal"/>
    <w:rsid w:val="00170FDF"/>
    <w:pPr>
      <w:spacing w:after="160" w:line="240" w:lineRule="exact"/>
    </w:pPr>
    <w:rPr>
      <w:rFonts w:ascii="Calibri" w:eastAsia="Times New Roman" w:hAnsi="Calibri" w:cs="Times New Roman"/>
      <w:noProof/>
      <w:color w:val="000000"/>
      <w:sz w:val="20"/>
      <w:szCs w:val="20"/>
      <w:lang w:val="es-ES" w:eastAsia="es-ES"/>
    </w:rPr>
  </w:style>
  <w:style w:type="paragraph" w:customStyle="1" w:styleId="Style3">
    <w:name w:val="Style3"/>
    <w:basedOn w:val="Normal"/>
    <w:uiPriority w:val="99"/>
    <w:rsid w:val="00170FDF"/>
    <w:pPr>
      <w:widowControl w:val="0"/>
      <w:autoSpaceDE w:val="0"/>
      <w:autoSpaceDN w:val="0"/>
      <w:adjustRightInd w:val="0"/>
      <w:spacing w:after="0" w:line="322" w:lineRule="exact"/>
      <w:jc w:val="both"/>
    </w:pPr>
    <w:rPr>
      <w:rFonts w:ascii="Times New Roman" w:eastAsiaTheme="minorEastAsia" w:hAnsi="Times New Roman" w:cs="Times New Roman"/>
      <w:sz w:val="24"/>
      <w:szCs w:val="24"/>
      <w:lang w:eastAsia="es-CO"/>
    </w:rPr>
  </w:style>
  <w:style w:type="character" w:customStyle="1" w:styleId="FontStyle34">
    <w:name w:val="Font Style34"/>
    <w:basedOn w:val="Fuentedeprrafopredeter"/>
    <w:uiPriority w:val="99"/>
    <w:rsid w:val="00170FDF"/>
    <w:rPr>
      <w:rFonts w:ascii="Times New Roman" w:hAnsi="Times New Roman" w:cs="Times New Roman"/>
      <w:sz w:val="24"/>
      <w:szCs w:val="24"/>
    </w:rPr>
  </w:style>
  <w:style w:type="paragraph" w:customStyle="1" w:styleId="Style4">
    <w:name w:val="Style4"/>
    <w:basedOn w:val="Normal"/>
    <w:uiPriority w:val="99"/>
    <w:rsid w:val="00170FDF"/>
    <w:pPr>
      <w:widowControl w:val="0"/>
      <w:autoSpaceDE w:val="0"/>
      <w:autoSpaceDN w:val="0"/>
      <w:adjustRightInd w:val="0"/>
      <w:spacing w:after="0" w:line="324" w:lineRule="exact"/>
      <w:jc w:val="both"/>
    </w:pPr>
    <w:rPr>
      <w:rFonts w:ascii="Times New Roman" w:eastAsiaTheme="minorEastAsia" w:hAnsi="Times New Roman" w:cs="Times New Roman"/>
      <w:sz w:val="24"/>
      <w:szCs w:val="24"/>
      <w:lang w:eastAsia="es-CO"/>
    </w:rPr>
  </w:style>
  <w:style w:type="paragraph" w:customStyle="1" w:styleId="Style7">
    <w:name w:val="Style7"/>
    <w:basedOn w:val="Normal"/>
    <w:uiPriority w:val="99"/>
    <w:rsid w:val="00170FDF"/>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es-CO"/>
    </w:rPr>
  </w:style>
  <w:style w:type="character" w:customStyle="1" w:styleId="FontStyle35">
    <w:name w:val="Font Style35"/>
    <w:basedOn w:val="Fuentedeprrafopredeter"/>
    <w:uiPriority w:val="99"/>
    <w:rsid w:val="00170FDF"/>
    <w:rPr>
      <w:rFonts w:ascii="Times New Roman" w:hAnsi="Times New Roman" w:cs="Times New Roman"/>
      <w:i/>
      <w:iCs/>
      <w:sz w:val="24"/>
      <w:szCs w:val="24"/>
    </w:rPr>
  </w:style>
  <w:style w:type="character" w:customStyle="1" w:styleId="FontStyle41">
    <w:name w:val="Font Style41"/>
    <w:basedOn w:val="Fuentedeprrafopredeter"/>
    <w:uiPriority w:val="99"/>
    <w:rsid w:val="00170FDF"/>
    <w:rPr>
      <w:rFonts w:ascii="Times New Roman" w:hAnsi="Times New Roman" w:cs="Times New Roman"/>
      <w:sz w:val="18"/>
      <w:szCs w:val="18"/>
    </w:rPr>
  </w:style>
  <w:style w:type="paragraph" w:customStyle="1" w:styleId="Piedepagina">
    <w:name w:val="Pie de pagina"/>
    <w:aliases w:val="Ref. de nota al pie2"/>
    <w:basedOn w:val="Normal"/>
    <w:link w:val="Refdenotaalpie"/>
    <w:uiPriority w:val="99"/>
    <w:rsid w:val="00FC5311"/>
    <w:pPr>
      <w:spacing w:after="160" w:line="240" w:lineRule="exact"/>
    </w:pPr>
    <w:rPr>
      <w:vertAlign w:val="superscript"/>
    </w:rPr>
  </w:style>
  <w:style w:type="table" w:styleId="Tablaconcuadrcula">
    <w:name w:val="Table Grid"/>
    <w:basedOn w:val="Tablanormal"/>
    <w:uiPriority w:val="59"/>
    <w:rsid w:val="000426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2344314">
      <w:bodyDiv w:val="1"/>
      <w:marLeft w:val="0"/>
      <w:marRight w:val="0"/>
      <w:marTop w:val="0"/>
      <w:marBottom w:val="0"/>
      <w:divBdr>
        <w:top w:val="none" w:sz="0" w:space="0" w:color="auto"/>
        <w:left w:val="none" w:sz="0" w:space="0" w:color="auto"/>
        <w:bottom w:val="none" w:sz="0" w:space="0" w:color="auto"/>
        <w:right w:val="none" w:sz="0" w:space="0" w:color="auto"/>
      </w:divBdr>
    </w:div>
    <w:div w:id="1415324685">
      <w:bodyDiv w:val="1"/>
      <w:marLeft w:val="0"/>
      <w:marRight w:val="0"/>
      <w:marTop w:val="0"/>
      <w:marBottom w:val="0"/>
      <w:divBdr>
        <w:top w:val="none" w:sz="0" w:space="0" w:color="auto"/>
        <w:left w:val="none" w:sz="0" w:space="0" w:color="auto"/>
        <w:bottom w:val="none" w:sz="0" w:space="0" w:color="auto"/>
        <w:right w:val="none" w:sz="0" w:space="0" w:color="auto"/>
      </w:divBdr>
    </w:div>
    <w:div w:id="1440683574">
      <w:bodyDiv w:val="1"/>
      <w:marLeft w:val="0"/>
      <w:marRight w:val="0"/>
      <w:marTop w:val="0"/>
      <w:marBottom w:val="0"/>
      <w:divBdr>
        <w:top w:val="none" w:sz="0" w:space="0" w:color="auto"/>
        <w:left w:val="none" w:sz="0" w:space="0" w:color="auto"/>
        <w:bottom w:val="none" w:sz="0" w:space="0" w:color="auto"/>
        <w:right w:val="none" w:sz="0" w:space="0" w:color="auto"/>
      </w:divBdr>
      <w:divsChild>
        <w:div w:id="2013029322">
          <w:marLeft w:val="0"/>
          <w:marRight w:val="0"/>
          <w:marTop w:val="0"/>
          <w:marBottom w:val="0"/>
          <w:divBdr>
            <w:top w:val="single" w:sz="12" w:space="0" w:color="DDDDDD"/>
            <w:left w:val="single" w:sz="12" w:space="8" w:color="DDDDDD"/>
            <w:bottom w:val="single" w:sz="12" w:space="0" w:color="DDDDDD"/>
            <w:right w:val="single" w:sz="12" w:space="8" w:color="DDDDDD"/>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BE5335-27F5-4118-91D9-195625041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10028</Words>
  <Characters>55157</Characters>
  <Application>Microsoft Office Word</Application>
  <DocSecurity>4</DocSecurity>
  <Lines>459</Lines>
  <Paragraphs>130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Cristian Leonardo Céspedes Pérez</dc:creator>
  <cp:lastModifiedBy>Grupo de Relatoria</cp:lastModifiedBy>
  <cp:revision>2</cp:revision>
  <cp:lastPrinted>2020-02-20T01:33:00Z</cp:lastPrinted>
  <dcterms:created xsi:type="dcterms:W3CDTF">2020-03-05T14:06:00Z</dcterms:created>
  <dcterms:modified xsi:type="dcterms:W3CDTF">2020-03-05T14:06:00Z</dcterms:modified>
</cp:coreProperties>
</file>