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766FB" w14:textId="634230F3" w:rsidR="002E4477" w:rsidRPr="007C6F2A" w:rsidRDefault="002E4477" w:rsidP="004832B6">
      <w:pPr>
        <w:rPr>
          <w:b/>
          <w:bCs/>
          <w:szCs w:val="28"/>
          <w:lang w:val="es-ES_tradnl"/>
        </w:rPr>
      </w:pPr>
      <w:bookmarkStart w:id="0" w:name="_GoBack"/>
      <w:bookmarkEnd w:id="0"/>
      <w:r w:rsidRPr="00AE1B4A">
        <w:rPr>
          <w:b/>
          <w:bCs/>
          <w:szCs w:val="28"/>
          <w:lang w:val="es-ES_tradnl"/>
        </w:rPr>
        <w:t>S</w:t>
      </w:r>
      <w:r w:rsidR="004832B6" w:rsidRPr="00AE1B4A">
        <w:rPr>
          <w:b/>
          <w:bCs/>
          <w:szCs w:val="28"/>
          <w:lang w:val="es-ES_tradnl"/>
        </w:rPr>
        <w:t>entencia</w:t>
      </w:r>
      <w:r w:rsidR="00D4673D" w:rsidRPr="00AE1B4A">
        <w:rPr>
          <w:b/>
          <w:bCs/>
          <w:szCs w:val="28"/>
          <w:lang w:val="es-ES_tradnl"/>
        </w:rPr>
        <w:t xml:space="preserve"> SU355</w:t>
      </w:r>
      <w:r w:rsidR="004832B6">
        <w:rPr>
          <w:b/>
          <w:bCs/>
          <w:szCs w:val="28"/>
          <w:lang w:val="es-ES_tradnl"/>
        </w:rPr>
        <w:t>/</w:t>
      </w:r>
      <w:r w:rsidRPr="00AE1B4A">
        <w:rPr>
          <w:b/>
          <w:bCs/>
          <w:szCs w:val="28"/>
          <w:lang w:val="es-ES_tradnl"/>
        </w:rPr>
        <w:t>20</w:t>
      </w:r>
    </w:p>
    <w:p w14:paraId="5F665A63" w14:textId="7D5CB7A2" w:rsidR="00084250" w:rsidRDefault="00084250" w:rsidP="00102313">
      <w:pPr>
        <w:widowControl w:val="0"/>
        <w:autoSpaceDE w:val="0"/>
        <w:autoSpaceDN w:val="0"/>
        <w:adjustRightInd w:val="0"/>
        <w:ind w:right="49"/>
        <w:jc w:val="both"/>
        <w:outlineLvl w:val="0"/>
        <w:rPr>
          <w:b/>
          <w:szCs w:val="28"/>
          <w:lang w:val="es-ES_tradnl"/>
        </w:rPr>
      </w:pPr>
    </w:p>
    <w:p w14:paraId="68FDCE7D" w14:textId="77777777" w:rsidR="004832B6" w:rsidRPr="007C6F2A" w:rsidRDefault="004832B6" w:rsidP="00102313">
      <w:pPr>
        <w:widowControl w:val="0"/>
        <w:autoSpaceDE w:val="0"/>
        <w:autoSpaceDN w:val="0"/>
        <w:adjustRightInd w:val="0"/>
        <w:ind w:right="49"/>
        <w:jc w:val="both"/>
        <w:outlineLvl w:val="0"/>
        <w:rPr>
          <w:b/>
          <w:szCs w:val="28"/>
          <w:lang w:val="es-ES_tradnl"/>
        </w:rPr>
      </w:pPr>
    </w:p>
    <w:p w14:paraId="74A6726F" w14:textId="77777777" w:rsidR="008A105A" w:rsidRPr="004832B6" w:rsidRDefault="008A105A" w:rsidP="00102313">
      <w:pPr>
        <w:widowControl w:val="0"/>
        <w:autoSpaceDE w:val="0"/>
        <w:autoSpaceDN w:val="0"/>
        <w:adjustRightInd w:val="0"/>
        <w:ind w:left="3686" w:right="49"/>
        <w:jc w:val="both"/>
        <w:outlineLvl w:val="0"/>
        <w:rPr>
          <w:bCs/>
          <w:szCs w:val="28"/>
          <w:lang w:val="es-ES_tradnl"/>
        </w:rPr>
      </w:pPr>
      <w:r w:rsidRPr="004832B6">
        <w:rPr>
          <w:bCs/>
          <w:szCs w:val="28"/>
          <w:lang w:val="es-ES_tradnl"/>
        </w:rPr>
        <w:t>Referencia: Expediente</w:t>
      </w:r>
      <w:r w:rsidR="00E22805" w:rsidRPr="004832B6">
        <w:rPr>
          <w:bCs/>
          <w:szCs w:val="28"/>
          <w:lang w:val="es-ES_tradnl"/>
        </w:rPr>
        <w:t xml:space="preserve"> </w:t>
      </w:r>
      <w:r w:rsidR="00936804" w:rsidRPr="004832B6">
        <w:rPr>
          <w:bCs/>
          <w:szCs w:val="28"/>
          <w:lang w:val="es-ES_tradnl"/>
        </w:rPr>
        <w:t>T-</w:t>
      </w:r>
      <w:r w:rsidR="00E22805" w:rsidRPr="004832B6">
        <w:rPr>
          <w:bCs/>
          <w:szCs w:val="28"/>
          <w:lang w:val="es-ES_tradnl"/>
        </w:rPr>
        <w:t>7.494.532</w:t>
      </w:r>
    </w:p>
    <w:p w14:paraId="308110CC" w14:textId="77777777" w:rsidR="008A105A" w:rsidRPr="004832B6" w:rsidRDefault="008A105A" w:rsidP="00102313">
      <w:pPr>
        <w:widowControl w:val="0"/>
        <w:autoSpaceDE w:val="0"/>
        <w:autoSpaceDN w:val="0"/>
        <w:adjustRightInd w:val="0"/>
        <w:ind w:left="3686" w:right="49"/>
        <w:jc w:val="both"/>
        <w:outlineLvl w:val="0"/>
        <w:rPr>
          <w:bCs/>
          <w:szCs w:val="28"/>
          <w:lang w:val="es-ES_tradnl"/>
        </w:rPr>
      </w:pPr>
    </w:p>
    <w:p w14:paraId="626E4157" w14:textId="77777777" w:rsidR="008A105A" w:rsidRPr="004832B6" w:rsidRDefault="00E22805" w:rsidP="00102313">
      <w:pPr>
        <w:ind w:left="3686" w:right="51"/>
        <w:jc w:val="both"/>
        <w:rPr>
          <w:bCs/>
          <w:szCs w:val="28"/>
          <w:lang w:val="es-ES_tradnl"/>
        </w:rPr>
      </w:pPr>
      <w:r w:rsidRPr="004832B6">
        <w:rPr>
          <w:bCs/>
          <w:szCs w:val="28"/>
          <w:lang w:val="es-ES_tradnl"/>
        </w:rPr>
        <w:t>Acción de tutela presentada por el Consejo Superior de la Judicatura en contra de la Sala Plena de lo Contencioso Administrativo</w:t>
      </w:r>
      <w:r w:rsidR="003A71BA" w:rsidRPr="004832B6">
        <w:rPr>
          <w:bCs/>
          <w:szCs w:val="28"/>
          <w:lang w:val="es-ES_tradnl"/>
        </w:rPr>
        <w:t xml:space="preserve"> </w:t>
      </w:r>
      <w:r w:rsidRPr="004832B6">
        <w:rPr>
          <w:bCs/>
          <w:szCs w:val="28"/>
          <w:lang w:val="es-ES_tradnl"/>
        </w:rPr>
        <w:t>del Consejo de Estado.</w:t>
      </w:r>
    </w:p>
    <w:p w14:paraId="3ACDA1A3" w14:textId="77777777" w:rsidR="008C2B41" w:rsidRPr="004832B6" w:rsidRDefault="008C2B41" w:rsidP="00102313">
      <w:pPr>
        <w:ind w:left="3686" w:right="51"/>
        <w:jc w:val="both"/>
        <w:rPr>
          <w:bCs/>
          <w:szCs w:val="28"/>
          <w:lang w:val="es-ES_tradnl"/>
        </w:rPr>
      </w:pPr>
    </w:p>
    <w:p w14:paraId="7DBECDCB" w14:textId="77777777" w:rsidR="008C2B41" w:rsidRPr="004832B6" w:rsidRDefault="008C2B41" w:rsidP="00102313">
      <w:pPr>
        <w:ind w:left="3686" w:right="51"/>
        <w:jc w:val="both"/>
        <w:rPr>
          <w:bCs/>
          <w:szCs w:val="28"/>
          <w:lang w:val="es-ES_tradnl"/>
        </w:rPr>
      </w:pPr>
      <w:r w:rsidRPr="004832B6">
        <w:rPr>
          <w:bCs/>
          <w:szCs w:val="28"/>
          <w:lang w:val="es-ES_tradnl"/>
        </w:rPr>
        <w:t>Procedencia: Sección Cuarta de la Sala de lo Contencioso Administrativo</w:t>
      </w:r>
      <w:r w:rsidR="00BD6EB3" w:rsidRPr="004832B6">
        <w:rPr>
          <w:bCs/>
          <w:szCs w:val="28"/>
          <w:lang w:val="es-ES_tradnl"/>
        </w:rPr>
        <w:t>,</w:t>
      </w:r>
      <w:r w:rsidRPr="004832B6">
        <w:rPr>
          <w:bCs/>
          <w:szCs w:val="28"/>
          <w:lang w:val="es-ES_tradnl"/>
        </w:rPr>
        <w:t xml:space="preserve"> del Consejo de Estado.</w:t>
      </w:r>
    </w:p>
    <w:p w14:paraId="1BE9CDF3" w14:textId="77777777" w:rsidR="008C2B41" w:rsidRPr="004832B6" w:rsidRDefault="008C2B41" w:rsidP="00102313">
      <w:pPr>
        <w:ind w:left="3686" w:right="51"/>
        <w:jc w:val="both"/>
        <w:rPr>
          <w:bCs/>
          <w:szCs w:val="28"/>
          <w:lang w:val="es-ES_tradnl"/>
        </w:rPr>
      </w:pPr>
    </w:p>
    <w:p w14:paraId="738E97A6" w14:textId="77777777" w:rsidR="008C2B41" w:rsidRPr="004832B6" w:rsidRDefault="008C2B41" w:rsidP="00102313">
      <w:pPr>
        <w:tabs>
          <w:tab w:val="left" w:pos="4820"/>
        </w:tabs>
        <w:ind w:left="3686" w:right="51"/>
        <w:jc w:val="both"/>
        <w:rPr>
          <w:bCs/>
          <w:szCs w:val="28"/>
          <w:lang w:val="es-ES_tradnl"/>
        </w:rPr>
      </w:pPr>
      <w:r w:rsidRPr="004832B6">
        <w:rPr>
          <w:bCs/>
          <w:szCs w:val="28"/>
          <w:lang w:val="es-ES_tradnl"/>
        </w:rPr>
        <w:t xml:space="preserve">Asunto: Control abstracto de constitucionalidad ejercido por el Consejo </w:t>
      </w:r>
      <w:proofErr w:type="gramStart"/>
      <w:r w:rsidRPr="004832B6">
        <w:rPr>
          <w:bCs/>
          <w:szCs w:val="28"/>
          <w:lang w:val="es-ES_tradnl"/>
        </w:rPr>
        <w:t>de</w:t>
      </w:r>
      <w:proofErr w:type="gramEnd"/>
      <w:r w:rsidRPr="004832B6">
        <w:rPr>
          <w:bCs/>
          <w:szCs w:val="28"/>
          <w:lang w:val="es-ES_tradnl"/>
        </w:rPr>
        <w:t xml:space="preserve"> Estado.</w:t>
      </w:r>
    </w:p>
    <w:p w14:paraId="405CBA3C" w14:textId="77777777" w:rsidR="008C2B41" w:rsidRPr="004832B6" w:rsidRDefault="008C2B41" w:rsidP="00102313">
      <w:pPr>
        <w:ind w:left="3686" w:right="51"/>
        <w:jc w:val="both"/>
        <w:rPr>
          <w:bCs/>
          <w:szCs w:val="28"/>
          <w:lang w:val="es-ES_tradnl"/>
        </w:rPr>
      </w:pPr>
    </w:p>
    <w:p w14:paraId="40615E3F" w14:textId="77777777" w:rsidR="008A105A" w:rsidRPr="004832B6" w:rsidRDefault="008A105A" w:rsidP="00102313">
      <w:pPr>
        <w:ind w:left="3686" w:right="49"/>
        <w:jc w:val="both"/>
        <w:rPr>
          <w:bCs/>
          <w:szCs w:val="28"/>
          <w:lang w:val="es-ES_tradnl"/>
        </w:rPr>
      </w:pPr>
      <w:r w:rsidRPr="004832B6">
        <w:rPr>
          <w:bCs/>
          <w:szCs w:val="28"/>
          <w:lang w:val="es-ES_tradnl"/>
        </w:rPr>
        <w:t xml:space="preserve">Magistrada </w:t>
      </w:r>
      <w:r w:rsidR="00B15C32" w:rsidRPr="004832B6">
        <w:rPr>
          <w:bCs/>
          <w:szCs w:val="28"/>
          <w:lang w:val="es-ES_tradnl"/>
        </w:rPr>
        <w:t>Ponente</w:t>
      </w:r>
      <w:r w:rsidRPr="004832B6">
        <w:rPr>
          <w:bCs/>
          <w:szCs w:val="28"/>
          <w:lang w:val="es-ES_tradnl"/>
        </w:rPr>
        <w:t xml:space="preserve">: </w:t>
      </w:r>
    </w:p>
    <w:p w14:paraId="7269778B" w14:textId="77777777" w:rsidR="000870C8" w:rsidRPr="004832B6" w:rsidRDefault="008A105A" w:rsidP="00102313">
      <w:pPr>
        <w:widowControl w:val="0"/>
        <w:tabs>
          <w:tab w:val="left" w:pos="8100"/>
        </w:tabs>
        <w:autoSpaceDE w:val="0"/>
        <w:autoSpaceDN w:val="0"/>
        <w:adjustRightInd w:val="0"/>
        <w:ind w:left="3686" w:right="49"/>
        <w:jc w:val="both"/>
        <w:rPr>
          <w:bCs/>
          <w:szCs w:val="28"/>
          <w:lang w:val="es-ES_tradnl"/>
        </w:rPr>
      </w:pPr>
      <w:r w:rsidRPr="004832B6">
        <w:rPr>
          <w:bCs/>
          <w:szCs w:val="28"/>
          <w:lang w:val="es-ES_tradnl"/>
        </w:rPr>
        <w:t>GLORIA STELLA ORTIZ DELGADO</w:t>
      </w:r>
    </w:p>
    <w:p w14:paraId="531BF579" w14:textId="15662A5E" w:rsidR="00084250" w:rsidRDefault="00084250" w:rsidP="00102313">
      <w:pPr>
        <w:rPr>
          <w:szCs w:val="28"/>
        </w:rPr>
      </w:pPr>
    </w:p>
    <w:p w14:paraId="0B7409E8" w14:textId="77777777" w:rsidR="004832B6" w:rsidRPr="007C6F2A" w:rsidRDefault="004832B6" w:rsidP="00102313">
      <w:pPr>
        <w:rPr>
          <w:szCs w:val="28"/>
        </w:rPr>
      </w:pPr>
    </w:p>
    <w:p w14:paraId="72A50509" w14:textId="77777777" w:rsidR="00AE1B4A" w:rsidRPr="002E4477" w:rsidRDefault="00AE1B4A" w:rsidP="00AE1B4A">
      <w:pPr>
        <w:rPr>
          <w:szCs w:val="28"/>
        </w:rPr>
      </w:pPr>
      <w:r w:rsidRPr="002534B3">
        <w:rPr>
          <w:szCs w:val="28"/>
        </w:rPr>
        <w:t>Bogotá D.C., veintisiete (27) de agosto</w:t>
      </w:r>
      <w:r>
        <w:rPr>
          <w:szCs w:val="28"/>
        </w:rPr>
        <w:t xml:space="preserve"> </w:t>
      </w:r>
      <w:r w:rsidRPr="002E4477">
        <w:rPr>
          <w:szCs w:val="28"/>
        </w:rPr>
        <w:t>de dos mil veinte (2020)</w:t>
      </w:r>
    </w:p>
    <w:p w14:paraId="3FBF218E" w14:textId="7DACADC5" w:rsidR="00AE1B4A" w:rsidRDefault="00AE1B4A" w:rsidP="00AE1B4A">
      <w:pPr>
        <w:rPr>
          <w:szCs w:val="28"/>
        </w:rPr>
      </w:pPr>
    </w:p>
    <w:p w14:paraId="64934A03" w14:textId="77777777" w:rsidR="004832B6" w:rsidRPr="002E4477" w:rsidRDefault="004832B6" w:rsidP="00AE1B4A">
      <w:pPr>
        <w:rPr>
          <w:szCs w:val="28"/>
        </w:rPr>
      </w:pPr>
    </w:p>
    <w:p w14:paraId="22772505" w14:textId="77777777" w:rsidR="00AE1B4A" w:rsidRPr="007C6F2A" w:rsidRDefault="00AE1B4A" w:rsidP="00AE1B4A">
      <w:pPr>
        <w:jc w:val="both"/>
        <w:rPr>
          <w:rFonts w:eastAsia="SimSun"/>
          <w:szCs w:val="28"/>
          <w:lang w:val="es-ES_tradnl" w:eastAsia="es-CO"/>
        </w:rPr>
      </w:pPr>
      <w:r w:rsidRPr="002E4477">
        <w:rPr>
          <w:rFonts w:eastAsia="SimSun"/>
          <w:szCs w:val="28"/>
          <w:lang w:val="es-ES_tradnl" w:eastAsia="es-CO"/>
        </w:rPr>
        <w:t>La Sala Plena de la Corte Constitucional, integrada por el Magistrado Alberto Rojas Ríos, quien la preside, y los Magistrados</w:t>
      </w:r>
      <w:r>
        <w:rPr>
          <w:rFonts w:eastAsia="SimSun"/>
          <w:szCs w:val="28"/>
          <w:lang w:val="es-ES_tradnl" w:eastAsia="es-CO"/>
        </w:rPr>
        <w:t xml:space="preserve"> </w:t>
      </w:r>
      <w:r w:rsidRPr="002534B3">
        <w:rPr>
          <w:rStyle w:val="Textoennegrita"/>
          <w:b w:val="0"/>
          <w:bCs w:val="0"/>
        </w:rPr>
        <w:t>Richard Steve Ramírez Grisales (E)</w:t>
      </w:r>
      <w:r w:rsidRPr="002534B3">
        <w:rPr>
          <w:rFonts w:eastAsia="SimSun"/>
          <w:szCs w:val="28"/>
          <w:lang w:val="es-ES_tradnl" w:eastAsia="es-CO"/>
        </w:rPr>
        <w:t>, Diana Fajardo Rivera, Luis Guillermo Guerrero Pérez, Alejandro Linares Cantillo, Antonio José Lizarazo Ocampo, Glo</w:t>
      </w:r>
      <w:r w:rsidRPr="002E4477">
        <w:rPr>
          <w:rFonts w:eastAsia="SimSun"/>
          <w:szCs w:val="28"/>
          <w:lang w:val="es-ES_tradnl" w:eastAsia="es-CO"/>
        </w:rPr>
        <w:t>ria Stella Ortiz Delgado, Cristina Pardo Schlesinger y José Fernando Reyes Cuartas, en ejercicio de sus competencias constitucionales y legales, ha proferido la siguiente</w:t>
      </w:r>
    </w:p>
    <w:p w14:paraId="4FD401E3" w14:textId="77777777" w:rsidR="00AE1B4A" w:rsidRPr="007C6F2A" w:rsidRDefault="00AE1B4A" w:rsidP="00AE1B4A">
      <w:pPr>
        <w:widowControl w:val="0"/>
        <w:jc w:val="center"/>
        <w:rPr>
          <w:b/>
          <w:szCs w:val="28"/>
        </w:rPr>
      </w:pPr>
    </w:p>
    <w:p w14:paraId="13594FD6" w14:textId="77777777" w:rsidR="00AE1B4A" w:rsidRPr="007C6F2A" w:rsidRDefault="00AE1B4A" w:rsidP="00AE1B4A">
      <w:pPr>
        <w:widowControl w:val="0"/>
        <w:jc w:val="center"/>
        <w:rPr>
          <w:b/>
          <w:szCs w:val="28"/>
        </w:rPr>
      </w:pPr>
      <w:r w:rsidRPr="007C6F2A">
        <w:rPr>
          <w:b/>
          <w:szCs w:val="28"/>
        </w:rPr>
        <w:t>SENTENCIA</w:t>
      </w:r>
    </w:p>
    <w:p w14:paraId="64588D92" w14:textId="77777777" w:rsidR="00AE1B4A" w:rsidRPr="007C6F2A" w:rsidRDefault="00AE1B4A" w:rsidP="00AE1B4A">
      <w:pPr>
        <w:jc w:val="both"/>
        <w:rPr>
          <w:b/>
          <w:szCs w:val="28"/>
        </w:rPr>
      </w:pPr>
    </w:p>
    <w:p w14:paraId="343C0929" w14:textId="77777777" w:rsidR="00AE1B4A" w:rsidRPr="007C6F2A" w:rsidRDefault="00AE1B4A" w:rsidP="00AE1B4A">
      <w:pPr>
        <w:pStyle w:val="Textoindependiente3"/>
        <w:spacing w:after="0"/>
        <w:jc w:val="both"/>
        <w:rPr>
          <w:sz w:val="28"/>
          <w:szCs w:val="28"/>
        </w:rPr>
      </w:pPr>
      <w:r w:rsidRPr="007C6F2A">
        <w:rPr>
          <w:sz w:val="28"/>
          <w:szCs w:val="28"/>
        </w:rPr>
        <w:t>En el trámite de revisión del fallo de segunda instancia, dictado por la Sección Cuarta de la Sala Plena de lo Contencioso Administrativo del Consejo de Estado, el 30 de mayo de 2019, que confirmó la providencia de la Sección Segunda, Subsección B, de la misma Corporación del 5 de julio de 2018, en el proceso de tutela promovido por el Consejo Superior de la Judicatura en contra de la decisión de la Sala Plena de lo Contencioso Admini</w:t>
      </w:r>
      <w:r>
        <w:rPr>
          <w:sz w:val="28"/>
          <w:szCs w:val="28"/>
        </w:rPr>
        <w:t xml:space="preserve">strativo del Consejo de Estado, </w:t>
      </w:r>
      <w:r w:rsidRPr="007C6F2A">
        <w:rPr>
          <w:sz w:val="28"/>
          <w:szCs w:val="28"/>
        </w:rPr>
        <w:t>del 6 de febrero d</w:t>
      </w:r>
      <w:r w:rsidRPr="00633F3A">
        <w:rPr>
          <w:sz w:val="28"/>
          <w:szCs w:val="28"/>
        </w:rPr>
        <w:t>e 2018.</w:t>
      </w:r>
    </w:p>
    <w:p w14:paraId="7E382BAE" w14:textId="77777777" w:rsidR="00AE1B4A" w:rsidRPr="007C6F2A" w:rsidRDefault="00AE1B4A" w:rsidP="00AE1B4A">
      <w:pPr>
        <w:pStyle w:val="Textoindependiente3"/>
        <w:spacing w:after="0"/>
        <w:jc w:val="both"/>
        <w:rPr>
          <w:sz w:val="28"/>
          <w:szCs w:val="28"/>
        </w:rPr>
      </w:pPr>
    </w:p>
    <w:p w14:paraId="4BF09E7B" w14:textId="77777777" w:rsidR="00AE1B4A" w:rsidRPr="007C6F2A" w:rsidRDefault="00AE1B4A" w:rsidP="00AE1B4A">
      <w:pPr>
        <w:jc w:val="both"/>
        <w:rPr>
          <w:szCs w:val="28"/>
          <w:lang w:val="es-ES_tradnl"/>
        </w:rPr>
      </w:pPr>
      <w:r w:rsidRPr="007C6F2A">
        <w:rPr>
          <w:szCs w:val="28"/>
          <w:lang w:val="es-ES_tradnl"/>
        </w:rPr>
        <w:t xml:space="preserve">El 20 de agosto de 2019, de acuerdo con lo dispuesto en los artículos 86 de la Constitución Política y 33 del Decreto 2591 de 1991, la Sala de Selección Número Ocho de la Corte Constitucional escogió el expediente de la referencia para su revisión y lo repartió </w:t>
      </w:r>
      <w:r>
        <w:rPr>
          <w:szCs w:val="28"/>
          <w:lang w:val="es-ES_tradnl"/>
        </w:rPr>
        <w:t>a</w:t>
      </w:r>
      <w:r w:rsidRPr="007C6F2A">
        <w:rPr>
          <w:szCs w:val="28"/>
          <w:lang w:val="es-ES_tradnl"/>
        </w:rPr>
        <w:t xml:space="preserve"> la Magistrada Ponente</w:t>
      </w:r>
      <w:r>
        <w:rPr>
          <w:szCs w:val="28"/>
          <w:lang w:val="es-ES_tradnl"/>
        </w:rPr>
        <w:t xml:space="preserve">, </w:t>
      </w:r>
      <w:r w:rsidRPr="002534B3">
        <w:rPr>
          <w:szCs w:val="28"/>
          <w:lang w:val="es-ES_tradnl"/>
        </w:rPr>
        <w:t>el 4 de septiembre del 2019.</w:t>
      </w:r>
    </w:p>
    <w:p w14:paraId="68FCC0A7" w14:textId="77777777" w:rsidR="00AE1B4A" w:rsidRPr="007C6F2A" w:rsidRDefault="00AE1B4A" w:rsidP="00AE1B4A">
      <w:pPr>
        <w:jc w:val="both"/>
        <w:rPr>
          <w:szCs w:val="28"/>
          <w:lang w:val="es-ES_tradnl"/>
        </w:rPr>
      </w:pPr>
    </w:p>
    <w:p w14:paraId="4377BD0E" w14:textId="77777777" w:rsidR="00AE1B4A" w:rsidRPr="007C6F2A" w:rsidRDefault="00AE1B4A" w:rsidP="00AE1B4A">
      <w:pPr>
        <w:jc w:val="both"/>
        <w:rPr>
          <w:szCs w:val="28"/>
          <w:lang w:val="es-ES_tradnl"/>
        </w:rPr>
      </w:pPr>
      <w:r w:rsidRPr="007C6F2A">
        <w:rPr>
          <w:szCs w:val="28"/>
          <w:lang w:val="es-ES_tradnl"/>
        </w:rPr>
        <w:t xml:space="preserve">El </w:t>
      </w:r>
      <w:r w:rsidRPr="007C6F2A">
        <w:rPr>
          <w:szCs w:val="28"/>
        </w:rPr>
        <w:t xml:space="preserve">9 de octubre de 2019, </w:t>
      </w:r>
      <w:smartTag w:uri="urn:schemas-microsoft-com:office:smarttags" w:element="PersonName">
        <w:smartTagPr>
          <w:attr w:name="ProductID" w:val="la Sala Plena"/>
        </w:smartTagPr>
        <w:r w:rsidRPr="007C6F2A">
          <w:rPr>
            <w:szCs w:val="28"/>
          </w:rPr>
          <w:t>la Sala Plena</w:t>
        </w:r>
      </w:smartTag>
      <w:r w:rsidRPr="007C6F2A">
        <w:rPr>
          <w:szCs w:val="28"/>
        </w:rPr>
        <w:t xml:space="preserve"> de la Corte Constitucional decidió asumir el conocimiento </w:t>
      </w:r>
      <w:r w:rsidRPr="00633F3A">
        <w:rPr>
          <w:szCs w:val="28"/>
        </w:rPr>
        <w:t>de este asunto, con fundamento en los artículos 59 y 61 del Reglamento Interno de la Corte Constitucional</w:t>
      </w:r>
      <w:r w:rsidRPr="007C6F2A">
        <w:rPr>
          <w:szCs w:val="28"/>
        </w:rPr>
        <w:t>.</w:t>
      </w:r>
    </w:p>
    <w:p w14:paraId="639C9BA0" w14:textId="77777777" w:rsidR="00AE1B4A" w:rsidRPr="007C6F2A" w:rsidRDefault="00AE1B4A" w:rsidP="00AE1B4A">
      <w:pPr>
        <w:jc w:val="both"/>
        <w:rPr>
          <w:szCs w:val="28"/>
          <w:lang w:val="es-ES_tradnl"/>
        </w:rPr>
      </w:pPr>
    </w:p>
    <w:p w14:paraId="0A0B254A" w14:textId="77777777" w:rsidR="00AE1B4A" w:rsidRPr="007C6F2A" w:rsidRDefault="00AE1B4A" w:rsidP="00AE1B4A">
      <w:pPr>
        <w:jc w:val="both"/>
        <w:rPr>
          <w:szCs w:val="28"/>
          <w:lang w:val="es-ES_tradnl"/>
        </w:rPr>
      </w:pPr>
      <w:r w:rsidRPr="007C6F2A">
        <w:rPr>
          <w:szCs w:val="28"/>
          <w:lang w:val="es-ES_tradnl"/>
        </w:rPr>
        <w:t>De acuerdo con el artículo 34 del Decreto 2591 de 1991, la Sala Plena procede entonces a dictar la sentencia correspondiente, con fundamento en los siguientes</w:t>
      </w:r>
    </w:p>
    <w:p w14:paraId="68A24B64" w14:textId="77777777" w:rsidR="00AE1B4A" w:rsidRPr="007C6F2A" w:rsidRDefault="00AE1B4A" w:rsidP="00AE1B4A">
      <w:pPr>
        <w:widowControl w:val="0"/>
        <w:rPr>
          <w:b/>
          <w:szCs w:val="28"/>
        </w:rPr>
      </w:pPr>
    </w:p>
    <w:p w14:paraId="35332E6B" w14:textId="77777777" w:rsidR="00AE1B4A" w:rsidRPr="007C6F2A" w:rsidRDefault="00AE1B4A" w:rsidP="00AE1B4A">
      <w:pPr>
        <w:widowControl w:val="0"/>
        <w:numPr>
          <w:ilvl w:val="0"/>
          <w:numId w:val="1"/>
        </w:numPr>
        <w:ind w:left="426" w:hanging="426"/>
        <w:rPr>
          <w:b/>
          <w:szCs w:val="28"/>
        </w:rPr>
      </w:pPr>
      <w:r w:rsidRPr="007C6F2A">
        <w:rPr>
          <w:b/>
          <w:szCs w:val="28"/>
        </w:rPr>
        <w:t>ANTECEDENTES</w:t>
      </w:r>
    </w:p>
    <w:p w14:paraId="078898B7" w14:textId="77777777" w:rsidR="00AE1B4A" w:rsidRPr="007C6F2A" w:rsidRDefault="00AE1B4A" w:rsidP="00AE1B4A">
      <w:pPr>
        <w:jc w:val="both"/>
        <w:rPr>
          <w:szCs w:val="28"/>
        </w:rPr>
      </w:pPr>
    </w:p>
    <w:p w14:paraId="1E574FCB" w14:textId="77777777" w:rsidR="00AE1B4A" w:rsidRPr="002541D5" w:rsidRDefault="00AE1B4A" w:rsidP="00AE1B4A">
      <w:pPr>
        <w:jc w:val="both"/>
        <w:rPr>
          <w:szCs w:val="28"/>
        </w:rPr>
      </w:pPr>
      <w:r w:rsidRPr="002541D5">
        <w:rPr>
          <w:bCs/>
          <w:szCs w:val="28"/>
        </w:rPr>
        <w:t xml:space="preserve">El </w:t>
      </w:r>
      <w:r w:rsidRPr="002541D5">
        <w:rPr>
          <w:szCs w:val="28"/>
          <w:lang w:val="es-ES_tradnl"/>
        </w:rPr>
        <w:t>1° de junio de 2018, el Consejo Superior de la Judicatura</w:t>
      </w:r>
      <w:r w:rsidRPr="002541D5">
        <w:rPr>
          <w:rStyle w:val="Refdenotaalpie"/>
          <w:szCs w:val="28"/>
          <w:lang w:val="es-ES_tradnl"/>
        </w:rPr>
        <w:footnoteReference w:id="1"/>
      </w:r>
      <w:r w:rsidRPr="002541D5">
        <w:rPr>
          <w:szCs w:val="28"/>
          <w:lang w:val="es-ES_tradnl"/>
        </w:rPr>
        <w:t xml:space="preserve"> presentó acción de tutela en contra de la sentencia del 6 de febrero de 2018</w:t>
      </w:r>
      <w:r w:rsidRPr="002541D5">
        <w:rPr>
          <w:rStyle w:val="Refdenotaalpie"/>
          <w:szCs w:val="28"/>
          <w:lang w:val="es-ES_tradnl"/>
        </w:rPr>
        <w:footnoteReference w:id="2"/>
      </w:r>
      <w:r w:rsidRPr="002541D5">
        <w:rPr>
          <w:szCs w:val="28"/>
          <w:lang w:val="es-ES_tradnl"/>
        </w:rPr>
        <w:t xml:space="preserve">, dictada por la Sala Plena de lo Contencioso Administrativo del Consejo de Estado, por considerar que la decisión proferida por esa Corporación vulneró sus derechos al debido proceso, a la defensa y a la administración de justicia. Para la Corporación accionante, la providencia en mención incurrió en un defecto por </w:t>
      </w:r>
      <w:r w:rsidRPr="002541D5">
        <w:rPr>
          <w:i/>
          <w:iCs/>
          <w:szCs w:val="28"/>
          <w:lang w:val="es-ES_tradnl"/>
        </w:rPr>
        <w:t>violación directa de la Constitución</w:t>
      </w:r>
      <w:r w:rsidRPr="002541D5">
        <w:rPr>
          <w:szCs w:val="28"/>
          <w:lang w:val="es-ES_tradnl"/>
        </w:rPr>
        <w:t xml:space="preserve"> y por </w:t>
      </w:r>
      <w:r w:rsidRPr="002541D5">
        <w:rPr>
          <w:i/>
          <w:iCs/>
          <w:szCs w:val="28"/>
          <w:lang w:val="es-ES_tradnl"/>
        </w:rPr>
        <w:t>desconocimiento del precedente constitucional</w:t>
      </w:r>
      <w:r w:rsidRPr="002541D5">
        <w:rPr>
          <w:szCs w:val="28"/>
          <w:lang w:val="es-ES_tradnl"/>
        </w:rPr>
        <w:t xml:space="preserve">, al contradecir lo </w:t>
      </w:r>
      <w:r w:rsidRPr="002541D5">
        <w:rPr>
          <w:rFonts w:eastAsia="SimSun"/>
          <w:szCs w:val="28"/>
          <w:lang w:val="es-ES_tradnl" w:eastAsia="es-CO"/>
        </w:rPr>
        <w:t xml:space="preserve">establecido en la Sentencia </w:t>
      </w:r>
      <w:r w:rsidRPr="002541D5">
        <w:rPr>
          <w:rFonts w:eastAsia="SimSun"/>
          <w:b/>
          <w:szCs w:val="28"/>
          <w:lang w:val="es-ES_tradnl" w:eastAsia="es-CO"/>
        </w:rPr>
        <w:t>C-285 de 2016</w:t>
      </w:r>
      <w:r w:rsidRPr="002541D5">
        <w:rPr>
          <w:rStyle w:val="Refdenotaalpie"/>
          <w:rFonts w:eastAsia="SimSun"/>
          <w:szCs w:val="28"/>
          <w:lang w:val="es-ES_tradnl" w:eastAsia="es-CO"/>
        </w:rPr>
        <w:footnoteReference w:id="3"/>
      </w:r>
      <w:r w:rsidRPr="002541D5">
        <w:rPr>
          <w:rFonts w:eastAsia="SimSun"/>
          <w:szCs w:val="28"/>
          <w:lang w:val="es-ES_tradnl" w:eastAsia="es-CO"/>
        </w:rPr>
        <w:t xml:space="preserve">. </w:t>
      </w:r>
      <w:r w:rsidRPr="002541D5">
        <w:rPr>
          <w:bCs/>
          <w:szCs w:val="28"/>
          <w:lang w:val="es-ES_tradnl"/>
        </w:rPr>
        <w:t xml:space="preserve">También alegó </w:t>
      </w:r>
      <w:r w:rsidRPr="002541D5">
        <w:rPr>
          <w:szCs w:val="28"/>
          <w:lang w:val="es-ES_tradnl"/>
        </w:rPr>
        <w:t>un</w:t>
      </w:r>
      <w:r w:rsidRPr="002541D5">
        <w:rPr>
          <w:szCs w:val="28"/>
        </w:rPr>
        <w:t xml:space="preserve"> </w:t>
      </w:r>
      <w:r w:rsidRPr="002541D5">
        <w:rPr>
          <w:i/>
          <w:iCs/>
          <w:szCs w:val="28"/>
        </w:rPr>
        <w:t>defecto orgánico</w:t>
      </w:r>
      <w:r w:rsidRPr="002541D5">
        <w:rPr>
          <w:bCs/>
          <w:szCs w:val="28"/>
        </w:rPr>
        <w:t>,</w:t>
      </w:r>
      <w:r w:rsidRPr="002541D5">
        <w:rPr>
          <w:b/>
          <w:bCs/>
          <w:szCs w:val="28"/>
        </w:rPr>
        <w:t xml:space="preserve"> </w:t>
      </w:r>
      <w:r w:rsidRPr="002541D5">
        <w:rPr>
          <w:szCs w:val="28"/>
        </w:rPr>
        <w:t xml:space="preserve">dado que la decisión asignó al </w:t>
      </w:r>
      <w:r w:rsidRPr="002541D5">
        <w:rPr>
          <w:rFonts w:eastAsia="SimSun"/>
          <w:szCs w:val="28"/>
          <w:lang w:val="es-ES_tradnl" w:eastAsia="es-CO"/>
        </w:rPr>
        <w:t>Congreso, en virtud de su interpretación particular, una competencia que la Constitución no le atribuyó, tendiente a exigir la expedición de una ley destinada a la regulación de la convocatoria pública orientada a la selección de los candidatos para integrar la Comisión Nacional de Disciplina Judicial</w:t>
      </w:r>
      <w:r w:rsidRPr="002541D5">
        <w:rPr>
          <w:rStyle w:val="Refdenotaalpie"/>
          <w:szCs w:val="28"/>
          <w:lang w:val="es-ES_tradnl"/>
        </w:rPr>
        <w:footnoteReference w:id="4"/>
      </w:r>
      <w:r w:rsidRPr="002541D5">
        <w:rPr>
          <w:rFonts w:eastAsia="SimSun"/>
          <w:szCs w:val="28"/>
          <w:lang w:val="es-ES_tradnl" w:eastAsia="es-CO"/>
        </w:rPr>
        <w:t xml:space="preserve">. A continuación, se precisan los fundamentos jurídicos del amparo constitucional presentado. </w:t>
      </w:r>
    </w:p>
    <w:p w14:paraId="169CD1C6" w14:textId="77777777" w:rsidR="00AE1B4A" w:rsidRPr="00B247CE" w:rsidRDefault="00AE1B4A" w:rsidP="00AE1B4A">
      <w:pPr>
        <w:jc w:val="both"/>
        <w:rPr>
          <w:szCs w:val="28"/>
          <w:lang w:val="es-ES_tradnl"/>
        </w:rPr>
      </w:pPr>
      <w:r w:rsidRPr="00633F3A">
        <w:rPr>
          <w:szCs w:val="28"/>
          <w:lang w:val="es-ES_tradnl"/>
        </w:rPr>
        <w:t xml:space="preserve"> </w:t>
      </w:r>
    </w:p>
    <w:p w14:paraId="19286728" w14:textId="77777777" w:rsidR="00AE1B4A" w:rsidRPr="007C6F2A" w:rsidRDefault="00AE1B4A" w:rsidP="00AE1B4A">
      <w:pPr>
        <w:jc w:val="both"/>
        <w:rPr>
          <w:rFonts w:eastAsia="SimSun"/>
          <w:b/>
          <w:bCs/>
          <w:sz w:val="30"/>
          <w:szCs w:val="30"/>
          <w:lang w:val="es-ES_tradnl" w:eastAsia="es-CO"/>
        </w:rPr>
      </w:pPr>
      <w:r w:rsidRPr="007C6F2A">
        <w:rPr>
          <w:rFonts w:eastAsia="SimSun"/>
          <w:b/>
          <w:bCs/>
          <w:sz w:val="30"/>
          <w:szCs w:val="30"/>
          <w:lang w:val="es-ES_tradnl" w:eastAsia="es-CO"/>
        </w:rPr>
        <w:t xml:space="preserve">A. Hechos y pretensiones </w:t>
      </w:r>
    </w:p>
    <w:p w14:paraId="3E0A3549" w14:textId="77777777" w:rsidR="00AE1B4A" w:rsidRPr="007C6F2A" w:rsidRDefault="00AE1B4A" w:rsidP="00AE1B4A">
      <w:pPr>
        <w:jc w:val="both"/>
        <w:rPr>
          <w:sz w:val="30"/>
          <w:szCs w:val="30"/>
        </w:rPr>
      </w:pPr>
    </w:p>
    <w:p w14:paraId="28AAFD80" w14:textId="77777777" w:rsidR="00AE1B4A" w:rsidRPr="007C6F2A" w:rsidRDefault="00AE1B4A" w:rsidP="00AE1B4A">
      <w:pPr>
        <w:jc w:val="both"/>
        <w:rPr>
          <w:b/>
          <w:sz w:val="30"/>
          <w:szCs w:val="30"/>
        </w:rPr>
      </w:pPr>
      <w:r w:rsidRPr="007C6F2A">
        <w:rPr>
          <w:b/>
          <w:sz w:val="30"/>
          <w:szCs w:val="30"/>
        </w:rPr>
        <w:t xml:space="preserve">Antecedentes constitucionales previos </w:t>
      </w:r>
    </w:p>
    <w:p w14:paraId="42CBD205" w14:textId="77777777" w:rsidR="00AE1B4A" w:rsidRPr="007C6F2A" w:rsidRDefault="00AE1B4A" w:rsidP="00AE1B4A">
      <w:pPr>
        <w:jc w:val="both"/>
        <w:rPr>
          <w:szCs w:val="28"/>
        </w:rPr>
      </w:pPr>
    </w:p>
    <w:p w14:paraId="2044DE56" w14:textId="77777777" w:rsidR="00AE1B4A" w:rsidRPr="002541D5" w:rsidRDefault="00AE1B4A" w:rsidP="00AE1B4A">
      <w:pPr>
        <w:numPr>
          <w:ilvl w:val="0"/>
          <w:numId w:val="2"/>
        </w:numPr>
        <w:jc w:val="both"/>
        <w:rPr>
          <w:szCs w:val="28"/>
        </w:rPr>
      </w:pPr>
      <w:r w:rsidRPr="002541D5">
        <w:rPr>
          <w:szCs w:val="28"/>
          <w:lang w:val="es-ES_tradnl"/>
        </w:rPr>
        <w:t>A través del Acto Legislativo 02 de 2015</w:t>
      </w:r>
      <w:r w:rsidRPr="002541D5">
        <w:rPr>
          <w:rStyle w:val="Refdenotaalpie"/>
          <w:szCs w:val="28"/>
          <w:lang w:val="es-ES_tradnl"/>
        </w:rPr>
        <w:footnoteReference w:id="5"/>
      </w:r>
      <w:r w:rsidRPr="002541D5">
        <w:rPr>
          <w:szCs w:val="28"/>
          <w:lang w:val="es-ES_tradnl"/>
        </w:rPr>
        <w:t>, el Congreso de la República introdujo una serie de modificaciones constitucionales a las funciones atribuidas a las Altas Cortes para la designación y elección de los servidores públicos, y propuso un nuevo esquema de gobierno y administración de la Rama Judicial. Una de tales</w:t>
      </w:r>
      <w:r w:rsidRPr="007C6F2A">
        <w:rPr>
          <w:szCs w:val="28"/>
          <w:lang w:val="es-ES_tradnl"/>
        </w:rPr>
        <w:t xml:space="preserve"> transformaciones, entre muchas otras, fue la </w:t>
      </w:r>
      <w:r w:rsidRPr="002541D5">
        <w:rPr>
          <w:szCs w:val="28"/>
          <w:lang w:val="es-ES_tradnl"/>
        </w:rPr>
        <w:t xml:space="preserve">eliminación del Consejo Superior de la Judicatura, que se sustituyó por tres </w:t>
      </w:r>
      <w:r w:rsidRPr="002541D5">
        <w:rPr>
          <w:szCs w:val="28"/>
          <w:lang w:val="es-ES_tradnl"/>
        </w:rPr>
        <w:lastRenderedPageBreak/>
        <w:t>instituciones concretas: el Consejo de Gobierno Judicial, la Gerencia de la Rama Judicial y la Comisión Nacional de Disciplina Judicial.</w:t>
      </w:r>
    </w:p>
    <w:p w14:paraId="0D125EE3" w14:textId="77777777" w:rsidR="00AE1B4A" w:rsidRPr="002541D5" w:rsidRDefault="00AE1B4A" w:rsidP="00AE1B4A">
      <w:pPr>
        <w:jc w:val="both"/>
        <w:rPr>
          <w:szCs w:val="28"/>
        </w:rPr>
      </w:pPr>
    </w:p>
    <w:p w14:paraId="14CEF58C" w14:textId="77777777" w:rsidR="00AE1B4A" w:rsidRPr="002541D5" w:rsidRDefault="00AE1B4A" w:rsidP="00AE1B4A">
      <w:pPr>
        <w:pStyle w:val="Prrafodelista"/>
        <w:shd w:val="clear" w:color="auto" w:fill="FFFFFF"/>
        <w:ind w:left="0"/>
        <w:jc w:val="both"/>
        <w:textAlignment w:val="baseline"/>
        <w:rPr>
          <w:szCs w:val="28"/>
          <w:lang w:val="es-ES_tradnl"/>
        </w:rPr>
      </w:pPr>
      <w:r w:rsidRPr="002541D5">
        <w:rPr>
          <w:szCs w:val="28"/>
        </w:rPr>
        <w:t>E</w:t>
      </w:r>
      <w:r w:rsidRPr="002541D5">
        <w:rPr>
          <w:szCs w:val="28"/>
          <w:lang w:val="es-ES_tradnl"/>
        </w:rPr>
        <w:t xml:space="preserve">ste nuevo modelo de gobierno y administración judicial fue demandado ante la Corte Constitucional por suprimir dos principios esenciales que orientan la organización del Estado y la configuración de la Rama Judicial: </w:t>
      </w:r>
      <w:r w:rsidRPr="002541D5">
        <w:rPr>
          <w:i/>
          <w:iCs/>
          <w:szCs w:val="28"/>
          <w:lang w:val="es-ES_tradnl"/>
        </w:rPr>
        <w:t>los principios de</w:t>
      </w:r>
      <w:r w:rsidRPr="002541D5">
        <w:rPr>
          <w:szCs w:val="28"/>
          <w:lang w:val="es-ES_tradnl"/>
        </w:rPr>
        <w:t xml:space="preserve"> </w:t>
      </w:r>
      <w:r w:rsidRPr="002541D5">
        <w:rPr>
          <w:i/>
          <w:szCs w:val="28"/>
          <w:lang w:val="es-ES_tradnl"/>
        </w:rPr>
        <w:t xml:space="preserve">independencia y autonomía judicial. </w:t>
      </w:r>
      <w:r w:rsidRPr="002541D5">
        <w:rPr>
          <w:iCs/>
          <w:szCs w:val="28"/>
          <w:lang w:val="es-ES_tradnl"/>
        </w:rPr>
        <w:t>A</w:t>
      </w:r>
      <w:r w:rsidRPr="002541D5">
        <w:rPr>
          <w:i/>
          <w:szCs w:val="28"/>
          <w:lang w:val="es-ES_tradnl"/>
        </w:rPr>
        <w:t xml:space="preserve"> </w:t>
      </w:r>
      <w:r w:rsidRPr="002541D5">
        <w:rPr>
          <w:iCs/>
          <w:szCs w:val="28"/>
          <w:lang w:val="es-ES_tradnl"/>
        </w:rPr>
        <w:t>juicio del demandante,</w:t>
      </w:r>
      <w:r w:rsidRPr="002541D5">
        <w:rPr>
          <w:i/>
          <w:szCs w:val="28"/>
          <w:lang w:val="es-ES_tradnl"/>
        </w:rPr>
        <w:t xml:space="preserve"> </w:t>
      </w:r>
      <w:r w:rsidRPr="002541D5">
        <w:rPr>
          <w:szCs w:val="28"/>
          <w:lang w:val="es-ES_tradnl"/>
        </w:rPr>
        <w:t>las modificaciones realizadas mediante el Acto Legislativo 02 de 2015 trastocaron estos principios que, al ser elementos definitorios del ordenamiento superior, no podían ser sustituidos o eliminados por el Congreso por ser fundamento de la organización del Estado, de las relaciones entre los poderes públicos, y ejes centrales de la organización de la Rama Judicial.</w:t>
      </w:r>
    </w:p>
    <w:p w14:paraId="62AEAF7C" w14:textId="77777777" w:rsidR="00AE1B4A" w:rsidRPr="002541D5" w:rsidRDefault="00AE1B4A" w:rsidP="00AE1B4A">
      <w:pPr>
        <w:pStyle w:val="Prrafodelista"/>
        <w:shd w:val="clear" w:color="auto" w:fill="FFFFFF"/>
        <w:tabs>
          <w:tab w:val="left" w:pos="426"/>
        </w:tabs>
        <w:ind w:left="0" w:right="474"/>
        <w:jc w:val="both"/>
        <w:textAlignment w:val="baseline"/>
        <w:rPr>
          <w:szCs w:val="28"/>
          <w:lang w:val="es-ES_tradnl"/>
        </w:rPr>
      </w:pPr>
    </w:p>
    <w:p w14:paraId="628F07A7" w14:textId="77777777" w:rsidR="00AE1B4A" w:rsidRPr="002541D5" w:rsidRDefault="00AE1B4A" w:rsidP="00AE1B4A">
      <w:pPr>
        <w:pStyle w:val="Prrafodelista"/>
        <w:numPr>
          <w:ilvl w:val="0"/>
          <w:numId w:val="2"/>
        </w:numPr>
        <w:shd w:val="clear" w:color="auto" w:fill="FFFFFF"/>
        <w:jc w:val="both"/>
        <w:textAlignment w:val="baseline"/>
        <w:rPr>
          <w:szCs w:val="28"/>
          <w:lang w:val="es-ES_tradnl"/>
        </w:rPr>
      </w:pPr>
      <w:r w:rsidRPr="002541D5">
        <w:rPr>
          <w:szCs w:val="28"/>
          <w:lang w:val="es-ES_tradnl"/>
        </w:rPr>
        <w:t xml:space="preserve"> En la </w:t>
      </w:r>
      <w:r w:rsidRPr="002541D5">
        <w:rPr>
          <w:b/>
          <w:szCs w:val="28"/>
          <w:lang w:val="es-ES_tradnl"/>
        </w:rPr>
        <w:t>Sentencia C-285 de 2016</w:t>
      </w:r>
      <w:r w:rsidRPr="002541D5">
        <w:rPr>
          <w:szCs w:val="28"/>
          <w:vertAlign w:val="superscript"/>
          <w:lang w:val="es-ES_tradnl"/>
        </w:rPr>
        <w:footnoteReference w:id="6"/>
      </w:r>
      <w:r w:rsidRPr="002541D5">
        <w:rPr>
          <w:szCs w:val="28"/>
          <w:lang w:val="es-ES_tradnl"/>
        </w:rPr>
        <w:t>, la Corte Constitucional dio respuesta a las acusaciones indicadas. En dicha providencia esta Corporación acogió varios de los argumentos presentados por el actor, y declaró la inexequibilidad de los artículos 15 (parcial)</w:t>
      </w:r>
      <w:r w:rsidRPr="002541D5">
        <w:rPr>
          <w:szCs w:val="28"/>
          <w:vertAlign w:val="superscript"/>
          <w:lang w:val="es-ES_tradnl"/>
        </w:rPr>
        <w:footnoteReference w:id="7"/>
      </w:r>
      <w:r w:rsidRPr="002541D5">
        <w:rPr>
          <w:szCs w:val="28"/>
          <w:lang w:val="es-ES_tradnl"/>
        </w:rPr>
        <w:t>, 16</w:t>
      </w:r>
      <w:r w:rsidRPr="002541D5">
        <w:rPr>
          <w:rStyle w:val="Refdenotaalpie"/>
          <w:szCs w:val="28"/>
          <w:lang w:val="es-ES_tradnl"/>
        </w:rPr>
        <w:footnoteReference w:id="8"/>
      </w:r>
      <w:r w:rsidRPr="002541D5">
        <w:rPr>
          <w:szCs w:val="28"/>
          <w:lang w:val="es-ES_tradnl"/>
        </w:rPr>
        <w:t>, 17 (parcial)</w:t>
      </w:r>
      <w:r w:rsidRPr="002541D5">
        <w:rPr>
          <w:szCs w:val="28"/>
          <w:vertAlign w:val="superscript"/>
          <w:lang w:val="es-ES_tradnl"/>
        </w:rPr>
        <w:footnoteReference w:id="9"/>
      </w:r>
      <w:r w:rsidRPr="002541D5">
        <w:rPr>
          <w:szCs w:val="28"/>
          <w:lang w:val="es-ES_tradnl"/>
        </w:rPr>
        <w:t>, 18</w:t>
      </w:r>
      <w:r w:rsidRPr="002541D5">
        <w:rPr>
          <w:szCs w:val="28"/>
          <w:vertAlign w:val="superscript"/>
          <w:lang w:val="es-ES_tradnl"/>
        </w:rPr>
        <w:footnoteReference w:id="10"/>
      </w:r>
      <w:r w:rsidRPr="002541D5">
        <w:rPr>
          <w:szCs w:val="28"/>
          <w:lang w:val="es-ES_tradnl"/>
        </w:rPr>
        <w:t xml:space="preserve"> transitorio</w:t>
      </w:r>
      <w:r w:rsidRPr="006B21EA">
        <w:rPr>
          <w:szCs w:val="28"/>
          <w:lang w:val="es-ES_tradnl"/>
        </w:rPr>
        <w:t xml:space="preserve"> (parcial) y </w:t>
      </w:r>
      <w:r w:rsidRPr="006B21EA">
        <w:rPr>
          <w:szCs w:val="28"/>
          <w:lang w:val="es-ES_tradnl"/>
        </w:rPr>
        <w:lastRenderedPageBreak/>
        <w:t>algunos apartes de artículo 26</w:t>
      </w:r>
      <w:r w:rsidRPr="006B21EA">
        <w:rPr>
          <w:szCs w:val="28"/>
          <w:vertAlign w:val="superscript"/>
          <w:lang w:val="es-ES_tradnl"/>
        </w:rPr>
        <w:footnoteReference w:id="11"/>
      </w:r>
      <w:r w:rsidRPr="006B21EA">
        <w:rPr>
          <w:szCs w:val="28"/>
          <w:lang w:val="es-ES_tradnl"/>
        </w:rPr>
        <w:t xml:space="preserve"> del Acto Legislativo 02 de </w:t>
      </w:r>
      <w:r w:rsidRPr="002541D5">
        <w:rPr>
          <w:szCs w:val="28"/>
          <w:lang w:val="es-ES_tradnl"/>
        </w:rPr>
        <w:t xml:space="preserve">2015 (en adelante, A.L. de 2015), por estimar que el esquema introducido por la reforma constitucional </w:t>
      </w:r>
      <w:r>
        <w:rPr>
          <w:szCs w:val="28"/>
          <w:lang w:val="es-ES_tradnl"/>
        </w:rPr>
        <w:t>suprimió</w:t>
      </w:r>
      <w:r w:rsidRPr="002541D5">
        <w:rPr>
          <w:szCs w:val="28"/>
          <w:lang w:val="es-ES_tradnl"/>
        </w:rPr>
        <w:t xml:space="preserve"> el autogobierno judicial, en contraposición a los principios de separación de poderes e independencia judicial.</w:t>
      </w:r>
    </w:p>
    <w:p w14:paraId="2425892E" w14:textId="77777777" w:rsidR="00AE1B4A" w:rsidRPr="002541D5" w:rsidRDefault="00AE1B4A" w:rsidP="00AE1B4A">
      <w:pPr>
        <w:pStyle w:val="Prrafodelista"/>
        <w:shd w:val="clear" w:color="auto" w:fill="FFFFFF"/>
        <w:ind w:left="0"/>
        <w:jc w:val="both"/>
        <w:textAlignment w:val="baseline"/>
        <w:rPr>
          <w:szCs w:val="28"/>
          <w:lang w:val="es-ES_tradnl"/>
        </w:rPr>
      </w:pPr>
    </w:p>
    <w:p w14:paraId="4F0C78AF" w14:textId="77777777" w:rsidR="00AE1B4A" w:rsidRPr="002541D5" w:rsidRDefault="00AE1B4A" w:rsidP="00AE1B4A">
      <w:pPr>
        <w:numPr>
          <w:ilvl w:val="1"/>
          <w:numId w:val="2"/>
        </w:numPr>
        <w:jc w:val="both"/>
        <w:rPr>
          <w:szCs w:val="28"/>
          <w:shd w:val="clear" w:color="auto" w:fill="FFFFFF"/>
        </w:rPr>
      </w:pPr>
      <w:r w:rsidRPr="002541D5">
        <w:rPr>
          <w:szCs w:val="28"/>
          <w:lang w:val="es-ES_tradnl" w:eastAsia="es-CO"/>
        </w:rPr>
        <w:t>L</w:t>
      </w:r>
      <w:r w:rsidRPr="002541D5">
        <w:rPr>
          <w:szCs w:val="28"/>
          <w:lang w:val="es-CO" w:eastAsia="es-CO"/>
        </w:rPr>
        <w:t xml:space="preserve">a providencia </w:t>
      </w:r>
      <w:r w:rsidRPr="002541D5">
        <w:rPr>
          <w:szCs w:val="28"/>
          <w:bdr w:val="none" w:sz="0" w:space="0" w:color="auto" w:frame="1"/>
          <w:lang w:val="es-CO" w:eastAsia="es-CO"/>
        </w:rPr>
        <w:t xml:space="preserve">evaluó las normas acusadas bajo la existencia de </w:t>
      </w:r>
      <w:r w:rsidRPr="002541D5">
        <w:rPr>
          <w:szCs w:val="28"/>
          <w:shd w:val="clear" w:color="auto" w:fill="FFFFFF"/>
        </w:rPr>
        <w:t>vicios de orden competencial</w:t>
      </w:r>
      <w:r w:rsidRPr="002541D5">
        <w:rPr>
          <w:rStyle w:val="Refdenotaalpie"/>
          <w:szCs w:val="28"/>
          <w:shd w:val="clear" w:color="auto" w:fill="FFFFFF"/>
        </w:rPr>
        <w:footnoteReference w:id="12"/>
      </w:r>
      <w:r w:rsidRPr="002541D5">
        <w:rPr>
          <w:szCs w:val="28"/>
          <w:bdr w:val="none" w:sz="0" w:space="0" w:color="auto" w:frame="1"/>
          <w:lang w:val="es-CO" w:eastAsia="es-CO"/>
        </w:rPr>
        <w:t xml:space="preserve"> y </w:t>
      </w:r>
      <w:r w:rsidRPr="002541D5">
        <w:rPr>
          <w:szCs w:val="28"/>
          <w:lang w:val="es-CO" w:eastAsia="es-CO"/>
        </w:rPr>
        <w:t xml:space="preserve">consideró que </w:t>
      </w:r>
      <w:r w:rsidRPr="002541D5">
        <w:rPr>
          <w:szCs w:val="28"/>
          <w:shd w:val="clear" w:color="auto" w:fill="FFFFFF"/>
        </w:rPr>
        <w:t xml:space="preserve">el </w:t>
      </w:r>
      <w:r w:rsidRPr="002541D5">
        <w:rPr>
          <w:i/>
          <w:szCs w:val="28"/>
          <w:shd w:val="clear" w:color="auto" w:fill="FFFFFF"/>
        </w:rPr>
        <w:t>autogobierno judicial</w:t>
      </w:r>
      <w:r w:rsidRPr="002541D5">
        <w:rPr>
          <w:szCs w:val="28"/>
          <w:shd w:val="clear" w:color="auto" w:fill="FFFFFF"/>
        </w:rPr>
        <w:t xml:space="preserve">, entendido como la capacidad de la Rama Judicial para gestionarse y conducirse a sí misma sin la dependencia e interferencia de otros poderes y órganos del Estado, es un </w:t>
      </w:r>
      <w:r w:rsidRPr="002541D5">
        <w:rPr>
          <w:bCs/>
          <w:szCs w:val="28"/>
          <w:bdr w:val="none" w:sz="0" w:space="0" w:color="auto" w:frame="1"/>
        </w:rPr>
        <w:t>eje definitorio de la Constitución</w:t>
      </w:r>
      <w:r w:rsidRPr="002541D5">
        <w:rPr>
          <w:szCs w:val="28"/>
          <w:shd w:val="clear" w:color="auto" w:fill="FFFFFF"/>
        </w:rPr>
        <w:t xml:space="preserve">. En esa medida, como el mencionado autogobierno materializa los principios de independencia y autonomía judicial, la Sala Plena concluyó que </w:t>
      </w:r>
      <w:r w:rsidRPr="002541D5">
        <w:rPr>
          <w:szCs w:val="28"/>
          <w:lang w:val="es-CO" w:eastAsia="es-CO"/>
        </w:rPr>
        <w:t xml:space="preserve">el nuevo esquema de gobierno y de administración judicial sustituía la Constitución, en la medida en que: </w:t>
      </w:r>
      <w:r w:rsidRPr="002541D5">
        <w:rPr>
          <w:b/>
          <w:szCs w:val="28"/>
          <w:lang w:val="es-CO" w:eastAsia="es-CO"/>
        </w:rPr>
        <w:t>(i)</w:t>
      </w:r>
      <w:r w:rsidRPr="002541D5">
        <w:rPr>
          <w:szCs w:val="28"/>
          <w:lang w:val="es-CO" w:eastAsia="en-US"/>
        </w:rPr>
        <w:t xml:space="preserve"> su estructuración desconoció tanto la prohibición de concentración de funciones como el equilibrio de poderes; </w:t>
      </w:r>
      <w:r w:rsidRPr="002541D5">
        <w:rPr>
          <w:b/>
          <w:szCs w:val="28"/>
          <w:lang w:val="es-CO" w:eastAsia="en-US"/>
        </w:rPr>
        <w:t>(ii)</w:t>
      </w:r>
      <w:r w:rsidRPr="002541D5">
        <w:rPr>
          <w:szCs w:val="28"/>
          <w:lang w:val="es-CO" w:eastAsia="en-US"/>
        </w:rPr>
        <w:t xml:space="preserve"> se edificó en oposición a los principios de neutralidad e imparcialidad de la Rama Judicial, al permitir que el órgano de gobierno estuviera integrado por los mismos destinatarios de la administración de justicia; </w:t>
      </w:r>
      <w:r w:rsidRPr="002541D5">
        <w:rPr>
          <w:b/>
          <w:szCs w:val="28"/>
          <w:lang w:val="es-CO" w:eastAsia="en-US"/>
        </w:rPr>
        <w:t>(iii)</w:t>
      </w:r>
      <w:r w:rsidRPr="002541D5">
        <w:rPr>
          <w:szCs w:val="28"/>
          <w:lang w:val="es-CO" w:eastAsia="en-US"/>
        </w:rPr>
        <w:t xml:space="preserve"> sustrajo a los órganos de gobierno y administración de la Rama Judicial de las herramientas para conducir el poder judicial</w:t>
      </w:r>
      <w:r w:rsidRPr="002541D5">
        <w:rPr>
          <w:rStyle w:val="Refdenotaalpie"/>
          <w:szCs w:val="28"/>
          <w:lang w:val="es-CO" w:eastAsia="en-US"/>
        </w:rPr>
        <w:footnoteReference w:id="13"/>
      </w:r>
      <w:r w:rsidRPr="002541D5">
        <w:rPr>
          <w:szCs w:val="28"/>
          <w:lang w:val="es-CO" w:eastAsia="en-US"/>
        </w:rPr>
        <w:t xml:space="preserve"> y finalmente, en ese contexto de debilidad institucional originado por la reforma, </w:t>
      </w:r>
      <w:r w:rsidRPr="002541D5">
        <w:rPr>
          <w:b/>
          <w:szCs w:val="28"/>
          <w:lang w:val="es-CO" w:eastAsia="en-US"/>
        </w:rPr>
        <w:t>(iv)</w:t>
      </w:r>
      <w:r w:rsidRPr="002541D5">
        <w:rPr>
          <w:szCs w:val="28"/>
          <w:lang w:val="es-CO" w:eastAsia="en-US"/>
        </w:rPr>
        <w:t xml:space="preserve"> institucionalizó un sistema de interferencias en la administración del poder judicial por parte de actores externos a la Rama Judicial, incluidas instancias gubernamentales. </w:t>
      </w:r>
    </w:p>
    <w:p w14:paraId="2C7EBCA6" w14:textId="77777777" w:rsidR="00AE1B4A" w:rsidRPr="006B21EA" w:rsidRDefault="00AE1B4A" w:rsidP="00AE1B4A">
      <w:pPr>
        <w:jc w:val="both"/>
        <w:rPr>
          <w:szCs w:val="28"/>
          <w:bdr w:val="none" w:sz="0" w:space="0" w:color="auto" w:frame="1"/>
          <w:lang w:val="es-CO" w:eastAsia="es-CO"/>
        </w:rPr>
      </w:pPr>
    </w:p>
    <w:p w14:paraId="1517F570" w14:textId="77777777" w:rsidR="00AE1B4A" w:rsidRPr="0059429E" w:rsidRDefault="00AE1B4A" w:rsidP="00AE1B4A">
      <w:pPr>
        <w:numPr>
          <w:ilvl w:val="1"/>
          <w:numId w:val="2"/>
        </w:numPr>
        <w:jc w:val="both"/>
        <w:rPr>
          <w:szCs w:val="28"/>
          <w:bdr w:val="none" w:sz="0" w:space="0" w:color="auto" w:frame="1"/>
          <w:lang w:val="es-CO" w:eastAsia="es-CO"/>
        </w:rPr>
      </w:pPr>
      <w:r w:rsidRPr="002541D5">
        <w:rPr>
          <w:szCs w:val="28"/>
          <w:lang w:val="es-ES_tradnl"/>
        </w:rPr>
        <w:t xml:space="preserve">La sentencia de constitucionalidad determinó entonces la </w:t>
      </w:r>
      <w:r w:rsidRPr="002541D5">
        <w:rPr>
          <w:szCs w:val="28"/>
          <w:shd w:val="clear" w:color="auto" w:fill="FFFFFF"/>
          <w:lang w:val="es-CO"/>
        </w:rPr>
        <w:t>eliminación</w:t>
      </w:r>
      <w:r w:rsidRPr="002541D5">
        <w:rPr>
          <w:szCs w:val="28"/>
          <w:lang w:val="es-ES_tradnl"/>
        </w:rPr>
        <w:t xml:space="preserve"> del Consejo de Gobierno Judicial y de la Gerencia de la Rama Judicial, preservó la Comisión Nacional de Disciplina Judicial –dada la </w:t>
      </w:r>
      <w:r>
        <w:rPr>
          <w:szCs w:val="28"/>
          <w:lang w:val="es-ES_tradnl"/>
        </w:rPr>
        <w:t>ineptitud</w:t>
      </w:r>
      <w:r w:rsidRPr="002541D5">
        <w:rPr>
          <w:szCs w:val="28"/>
          <w:lang w:val="es-ES_tradnl"/>
        </w:rPr>
        <w:t xml:space="preserve"> de los cargos de la demanda</w:t>
      </w:r>
      <w:r w:rsidRPr="002541D5">
        <w:rPr>
          <w:rStyle w:val="Refdenotaalpie"/>
          <w:szCs w:val="28"/>
          <w:lang w:val="es-ES_tradnl"/>
        </w:rPr>
        <w:footnoteReference w:id="14"/>
      </w:r>
      <w:r w:rsidRPr="002541D5">
        <w:rPr>
          <w:szCs w:val="28"/>
          <w:lang w:val="es-ES_tradnl"/>
        </w:rPr>
        <w:t>–, y decretó</w:t>
      </w:r>
      <w:r w:rsidRPr="006B21EA">
        <w:rPr>
          <w:szCs w:val="28"/>
          <w:lang w:val="es-ES_tradnl"/>
        </w:rPr>
        <w:t xml:space="preserve"> que </w:t>
      </w:r>
      <w:r w:rsidRPr="006B21EA">
        <w:rPr>
          <w:szCs w:val="28"/>
          <w:bdr w:val="none" w:sz="0" w:space="0" w:color="auto" w:frame="1"/>
          <w:shd w:val="clear" w:color="auto" w:fill="FFFFFF"/>
          <w:lang w:val="es-CO"/>
        </w:rPr>
        <w:t>la expresión </w:t>
      </w:r>
      <w:r w:rsidRPr="006B21EA">
        <w:rPr>
          <w:i/>
          <w:iCs/>
          <w:szCs w:val="28"/>
          <w:bdr w:val="none" w:sz="0" w:space="0" w:color="auto" w:frame="1"/>
          <w:lang w:val="es-CO"/>
        </w:rPr>
        <w:t xml:space="preserve">“Consejo de Gobierno </w:t>
      </w:r>
      <w:r w:rsidRPr="00355CF1">
        <w:rPr>
          <w:i/>
          <w:iCs/>
          <w:szCs w:val="28"/>
          <w:bdr w:val="none" w:sz="0" w:space="0" w:color="auto" w:frame="1"/>
          <w:lang w:val="es-CO"/>
        </w:rPr>
        <w:lastRenderedPageBreak/>
        <w:t>Judicial”</w:t>
      </w:r>
      <w:r w:rsidRPr="00355CF1">
        <w:rPr>
          <w:szCs w:val="28"/>
          <w:bdr w:val="none" w:sz="0" w:space="0" w:color="auto" w:frame="1"/>
          <w:shd w:val="clear" w:color="auto" w:fill="FFFFFF"/>
          <w:lang w:val="es-CO"/>
        </w:rPr>
        <w:t xml:space="preserve"> fuera sustituida por la de </w:t>
      </w:r>
      <w:r w:rsidRPr="00355CF1">
        <w:rPr>
          <w:i/>
          <w:iCs/>
          <w:szCs w:val="28"/>
          <w:bdr w:val="none" w:sz="0" w:space="0" w:color="auto" w:frame="1"/>
          <w:lang w:val="es-CO"/>
        </w:rPr>
        <w:t>“Consejo Superior de la Judicatura”</w:t>
      </w:r>
      <w:r w:rsidRPr="00355CF1">
        <w:rPr>
          <w:szCs w:val="28"/>
          <w:bdr w:val="none" w:sz="0" w:space="0" w:color="auto" w:frame="1"/>
          <w:shd w:val="clear" w:color="auto" w:fill="FFFFFF"/>
          <w:lang w:val="es-CO"/>
        </w:rPr>
        <w:t xml:space="preserve"> en los artículos 8º , 11 y 19 del acto legislativo, con el propósito de </w:t>
      </w:r>
      <w:r w:rsidRPr="00355CF1">
        <w:rPr>
          <w:szCs w:val="28"/>
          <w:lang w:val="es-ES_tradnl"/>
        </w:rPr>
        <w:t>mantener vigente la operatividad de los órganos y las funciones existentes en la Constitución. Además, con el ánimo de evitar dificultades en la articulación del texto constitucional, la providencia sostuvo, en lo que compete a la interpretación y configuración de los artículos constitucionales mencionados, las precisiones que siguen:</w:t>
      </w:r>
      <w:r w:rsidRPr="0059429E">
        <w:rPr>
          <w:szCs w:val="28"/>
          <w:lang w:val="es-ES_tradnl"/>
        </w:rPr>
        <w:t xml:space="preserve">   </w:t>
      </w:r>
    </w:p>
    <w:p w14:paraId="532F87F4" w14:textId="77777777" w:rsidR="00AE1B4A" w:rsidRPr="007C6F2A" w:rsidRDefault="00AE1B4A" w:rsidP="00AE1B4A">
      <w:pPr>
        <w:pStyle w:val="Prrafodelista"/>
        <w:ind w:left="0"/>
        <w:rPr>
          <w:szCs w:val="28"/>
          <w:lang w:val="es-ES_tradnl"/>
        </w:rPr>
      </w:pPr>
    </w:p>
    <w:p w14:paraId="617F734E" w14:textId="77777777" w:rsidR="00AE1B4A" w:rsidRPr="006B21EA" w:rsidRDefault="00AE1B4A" w:rsidP="00AE1B4A">
      <w:pPr>
        <w:pStyle w:val="Prrafodelista"/>
        <w:ind w:left="284" w:right="49"/>
        <w:jc w:val="both"/>
        <w:rPr>
          <w:i/>
          <w:iCs/>
          <w:sz w:val="26"/>
          <w:szCs w:val="26"/>
          <w:lang w:val="es-ES_tradnl"/>
        </w:rPr>
      </w:pPr>
      <w:r w:rsidRPr="006B21EA">
        <w:rPr>
          <w:i/>
          <w:iCs/>
          <w:sz w:val="26"/>
          <w:szCs w:val="26"/>
          <w:lang w:val="es-ES_tradnl"/>
        </w:rPr>
        <w:t>“[L]a Sala advierte que, de la conjunción del anterior conjunto de</w:t>
      </w:r>
      <w:r w:rsidRPr="006B21EA">
        <w:rPr>
          <w:i/>
          <w:iCs/>
          <w:szCs w:val="28"/>
          <w:lang w:val="es-ES_tradnl"/>
        </w:rPr>
        <w:t xml:space="preserve"> </w:t>
      </w:r>
      <w:r w:rsidRPr="006B21EA">
        <w:rPr>
          <w:i/>
          <w:iCs/>
          <w:sz w:val="26"/>
          <w:szCs w:val="26"/>
          <w:lang w:val="es-ES_tradnl"/>
        </w:rPr>
        <w:t xml:space="preserve">decisiones, sin ninguna consideración adicional, </w:t>
      </w:r>
      <w:r w:rsidRPr="006B21EA">
        <w:rPr>
          <w:i/>
          <w:iCs/>
          <w:sz w:val="26"/>
          <w:szCs w:val="26"/>
          <w:u w:val="single"/>
          <w:lang w:val="es-ES_tradnl"/>
        </w:rPr>
        <w:t>se desprendería un desajuste en la armonía del texto constitucional, como quiera que la reviviscencia de algunas disposiciones originales de la Carta y la permanencia de otras introducidas por la reforma, tendría como consecuencia que surjan: (i) incoherencias en la redacción de la norma fundamental, (ii) vacíos aparentes en la distribución de las competencias de los órganos constituidos, y (iii) duplicidades en la numeración de los artículos superiores</w:t>
      </w:r>
      <w:r w:rsidRPr="006B21EA">
        <w:rPr>
          <w:i/>
          <w:iCs/>
          <w:sz w:val="26"/>
          <w:szCs w:val="26"/>
          <w:lang w:val="es-ES_tradnl"/>
        </w:rPr>
        <w:t>.</w:t>
      </w:r>
    </w:p>
    <w:p w14:paraId="7177651A" w14:textId="77777777" w:rsidR="00AE1B4A" w:rsidRPr="006B21EA" w:rsidRDefault="00AE1B4A" w:rsidP="00AE1B4A">
      <w:pPr>
        <w:pStyle w:val="Prrafodelista"/>
        <w:ind w:left="284" w:right="49"/>
        <w:jc w:val="both"/>
        <w:rPr>
          <w:i/>
          <w:iCs/>
          <w:sz w:val="26"/>
          <w:szCs w:val="26"/>
          <w:lang w:val="es-ES_tradnl"/>
        </w:rPr>
      </w:pPr>
    </w:p>
    <w:p w14:paraId="0C6E9A9F" w14:textId="77777777" w:rsidR="00AE1B4A" w:rsidRPr="006B21EA" w:rsidRDefault="00AE1B4A" w:rsidP="00AE1B4A">
      <w:pPr>
        <w:pStyle w:val="Prrafodelista"/>
        <w:ind w:left="284" w:right="49"/>
        <w:jc w:val="both"/>
        <w:rPr>
          <w:i/>
          <w:iCs/>
          <w:sz w:val="26"/>
          <w:szCs w:val="26"/>
          <w:lang w:val="es-ES_tradnl"/>
        </w:rPr>
      </w:pPr>
      <w:r w:rsidRPr="006B21EA">
        <w:rPr>
          <w:i/>
          <w:iCs/>
          <w:sz w:val="26"/>
          <w:szCs w:val="26"/>
          <w:lang w:val="es-ES_tradnl"/>
        </w:rPr>
        <w:t xml:space="preserve">En ese sentido, este Tribunal </w:t>
      </w:r>
      <w:r w:rsidRPr="006B21EA">
        <w:rPr>
          <w:i/>
          <w:iCs/>
          <w:sz w:val="26"/>
          <w:szCs w:val="26"/>
          <w:u w:val="single"/>
          <w:lang w:val="es-ES_tradnl"/>
        </w:rPr>
        <w:t>con el fin de cumplir con su función de guardar la integridad de la Constitución (artículo 241 superior), estima pertinente adoptar una serie de medidas para impedir que la decisión de inexequibilidad parcial del Acto Legislativo 02 de 2015, produzca los aludidos efectos en el texto constitucional y sea factor de inseguridad jurídica, o incluso, de bloqueo constitucional.</w:t>
      </w:r>
      <w:r w:rsidRPr="006B21EA">
        <w:rPr>
          <w:i/>
          <w:iCs/>
          <w:sz w:val="26"/>
          <w:szCs w:val="26"/>
          <w:lang w:val="es-ES_tradnl"/>
        </w:rPr>
        <w:t xml:space="preserve"> </w:t>
      </w:r>
      <w:r w:rsidRPr="006B21EA">
        <w:rPr>
          <w:i/>
          <w:iCs/>
          <w:sz w:val="26"/>
          <w:szCs w:val="26"/>
          <w:u w:val="single"/>
          <w:lang w:val="es-ES_tradnl"/>
        </w:rPr>
        <w:t>Para el efecto, la Corte examinará, en cada uno de los artículos demandados, los efectos de las decisiones a adoptar y determinará las medidas pertinentes para evitar incoherencias de redacción, aparentes lagunas o duplicidades en la numeración de los artículos</w:t>
      </w:r>
      <w:r w:rsidRPr="006B21EA">
        <w:rPr>
          <w:i/>
          <w:iCs/>
          <w:sz w:val="26"/>
          <w:szCs w:val="26"/>
          <w:lang w:val="es-ES_tradnl"/>
        </w:rPr>
        <w:t>.</w:t>
      </w:r>
    </w:p>
    <w:p w14:paraId="0A2E8920" w14:textId="77777777" w:rsidR="00AE1B4A" w:rsidRPr="006B21EA" w:rsidRDefault="00AE1B4A" w:rsidP="00AE1B4A">
      <w:pPr>
        <w:pStyle w:val="Prrafodelista"/>
        <w:ind w:left="284" w:right="49"/>
        <w:jc w:val="both"/>
        <w:rPr>
          <w:i/>
          <w:iCs/>
          <w:sz w:val="26"/>
          <w:szCs w:val="26"/>
          <w:lang w:val="es-ES_tradnl"/>
        </w:rPr>
      </w:pPr>
    </w:p>
    <w:p w14:paraId="364F4F6A" w14:textId="77777777" w:rsidR="00AE1B4A" w:rsidRPr="006B21EA" w:rsidRDefault="00AE1B4A" w:rsidP="00AE1B4A">
      <w:pPr>
        <w:pStyle w:val="Prrafodelista"/>
        <w:ind w:left="284" w:right="49"/>
        <w:rPr>
          <w:i/>
          <w:iCs/>
          <w:sz w:val="26"/>
          <w:szCs w:val="26"/>
          <w:lang w:val="es-ES_tradnl"/>
        </w:rPr>
      </w:pPr>
      <w:r w:rsidRPr="006B21EA">
        <w:rPr>
          <w:i/>
          <w:iCs/>
          <w:sz w:val="26"/>
          <w:szCs w:val="26"/>
          <w:lang w:val="es-ES_tradnl"/>
        </w:rPr>
        <w:t xml:space="preserve">(…) </w:t>
      </w:r>
    </w:p>
    <w:p w14:paraId="1BA67797" w14:textId="77777777" w:rsidR="00AE1B4A" w:rsidRPr="006B21EA" w:rsidRDefault="00AE1B4A" w:rsidP="00AE1B4A">
      <w:pPr>
        <w:numPr>
          <w:ilvl w:val="0"/>
          <w:numId w:val="16"/>
        </w:numPr>
        <w:shd w:val="clear" w:color="auto" w:fill="FFFFFF"/>
        <w:spacing w:before="150" w:after="150"/>
        <w:ind w:left="284" w:right="49" w:firstLine="0"/>
        <w:jc w:val="both"/>
        <w:rPr>
          <w:i/>
          <w:iCs/>
          <w:sz w:val="26"/>
          <w:szCs w:val="26"/>
          <w:lang w:val="es-CO" w:eastAsia="es-CO"/>
        </w:rPr>
      </w:pPr>
      <w:r w:rsidRPr="006B21EA">
        <w:rPr>
          <w:b/>
          <w:bCs/>
          <w:i/>
          <w:iCs/>
          <w:sz w:val="26"/>
          <w:szCs w:val="26"/>
          <w:lang w:val="es-CO" w:eastAsia="es-CO"/>
        </w:rPr>
        <w:t>Remisiones (Artículos 8, 11 y 19 del Acto Legislativo 02 de 2015)</w:t>
      </w:r>
    </w:p>
    <w:p w14:paraId="5C46ACC7" w14:textId="77777777" w:rsidR="00AE1B4A" w:rsidRPr="006B21EA" w:rsidRDefault="00AE1B4A" w:rsidP="00AE1B4A">
      <w:pPr>
        <w:shd w:val="clear" w:color="auto" w:fill="FFFFFF"/>
        <w:ind w:left="284" w:right="49"/>
        <w:jc w:val="both"/>
        <w:rPr>
          <w:i/>
          <w:iCs/>
          <w:sz w:val="26"/>
          <w:szCs w:val="26"/>
          <w:lang w:val="es-CO" w:eastAsia="es-CO"/>
        </w:rPr>
      </w:pPr>
      <w:r w:rsidRPr="006B21EA">
        <w:rPr>
          <w:i/>
          <w:iCs/>
          <w:sz w:val="26"/>
          <w:szCs w:val="26"/>
          <w:lang w:val="es-CO" w:eastAsia="es-CO"/>
        </w:rPr>
        <w:t>La Corte encuentra que en los artículos 8, 11 y 19 del Acto Legislativo 02 de 2015 hacen remisiones al Consejo de Gobierno Judicial y a la Gerencia de la Rama Judicial, las cuales por materializar la sustitución de la Constitución serán declaradas inexequibles</w:t>
      </w:r>
      <w:r w:rsidRPr="006B21EA">
        <w:rPr>
          <w:i/>
          <w:iCs/>
          <w:sz w:val="26"/>
          <w:szCs w:val="26"/>
          <w:u w:val="single"/>
          <w:lang w:val="es-CO" w:eastAsia="es-CO"/>
        </w:rPr>
        <w:t>. Sin embargo, comoquiera que su eliminación del texto constitucional sin consideración alguna generaría incoherencias y vacíos en el mismo, se declarará que en las disposiciones superiores a las que tales artículos aluden, (i) La expresión “Consejo de Gobierno Judicial” se sustituye por “Consejo Superior de la Judicatura” y, (ii) se suprime la expresión “y adelantada por la Gerencia de la Rama Judicial”.</w:t>
      </w:r>
    </w:p>
    <w:p w14:paraId="1E5F2EBA" w14:textId="77777777" w:rsidR="00AE1B4A" w:rsidRPr="006B21EA" w:rsidRDefault="00AE1B4A" w:rsidP="00AE1B4A">
      <w:pPr>
        <w:shd w:val="clear" w:color="auto" w:fill="FFFFFF"/>
        <w:spacing w:before="150" w:after="150"/>
        <w:ind w:left="284" w:right="49"/>
        <w:jc w:val="both"/>
        <w:rPr>
          <w:i/>
          <w:iCs/>
          <w:sz w:val="26"/>
          <w:szCs w:val="26"/>
          <w:lang w:val="es-CO" w:eastAsia="es-CO"/>
        </w:rPr>
      </w:pPr>
      <w:r w:rsidRPr="006B21EA">
        <w:rPr>
          <w:i/>
          <w:iCs/>
          <w:sz w:val="26"/>
          <w:szCs w:val="26"/>
          <w:lang w:val="es-CO" w:eastAsia="es-CO"/>
        </w:rPr>
        <w:t xml:space="preserve">Al respecto, </w:t>
      </w:r>
      <w:r w:rsidRPr="006B21EA">
        <w:rPr>
          <w:i/>
          <w:iCs/>
          <w:sz w:val="26"/>
          <w:szCs w:val="26"/>
          <w:u w:val="single"/>
          <w:lang w:val="es-CO" w:eastAsia="es-CO"/>
        </w:rPr>
        <w:t>la Sala aclara que esta determinación, además de conservar la integridad de la Constitución, pretende salvaguardar el espíritu de las disposiciones de la reforma que no son declaradas inexequibles</w:t>
      </w:r>
      <w:r w:rsidRPr="006B21EA">
        <w:rPr>
          <w:i/>
          <w:iCs/>
          <w:sz w:val="26"/>
          <w:szCs w:val="26"/>
          <w:lang w:val="es-CO" w:eastAsia="es-CO"/>
        </w:rPr>
        <w:t xml:space="preserve">, pues de no hacerse dichas precisiones, </w:t>
      </w:r>
      <w:r w:rsidRPr="006B21EA">
        <w:rPr>
          <w:i/>
          <w:iCs/>
          <w:sz w:val="26"/>
          <w:szCs w:val="26"/>
          <w:u w:val="single"/>
          <w:lang w:val="es-CO" w:eastAsia="es-CO"/>
        </w:rPr>
        <w:t>ante la expulsión del ordenamiento jurídico de los artículos que consagran el Consejo de Gobierno Judicial y la Gerencia de la Rama Judicial, no sería posible</w:t>
      </w:r>
      <w:r w:rsidRPr="006B21EA">
        <w:rPr>
          <w:i/>
          <w:iCs/>
          <w:sz w:val="26"/>
          <w:szCs w:val="26"/>
          <w:lang w:val="es-CO" w:eastAsia="es-CO"/>
        </w:rPr>
        <w:t xml:space="preserve"> (i) adelantar el proceso de convocatoria y elaboración de las listas de elegibles para la conformación de la Comisión de </w:t>
      </w:r>
      <w:r w:rsidRPr="006B21EA">
        <w:rPr>
          <w:i/>
          <w:iCs/>
          <w:sz w:val="26"/>
          <w:szCs w:val="26"/>
          <w:lang w:val="es-CO" w:eastAsia="es-CO"/>
        </w:rPr>
        <w:lastRenderedPageBreak/>
        <w:t>Aforados (Artículo 8 del Acto Legislativo 02 de 2015, el cual adiciona el artículo 178A al texto de la Constitución</w:t>
      </w:r>
      <w:r w:rsidRPr="006B21EA">
        <w:rPr>
          <w:rStyle w:val="Refdenotaalpie"/>
          <w:i/>
          <w:iCs/>
          <w:sz w:val="26"/>
          <w:szCs w:val="26"/>
          <w:lang w:val="es-CO" w:eastAsia="es-CO"/>
        </w:rPr>
        <w:footnoteReference w:id="15"/>
      </w:r>
      <w:r w:rsidRPr="006B21EA">
        <w:rPr>
          <w:i/>
          <w:iCs/>
          <w:sz w:val="26"/>
          <w:szCs w:val="26"/>
          <w:lang w:val="es-CO" w:eastAsia="es-CO"/>
        </w:rPr>
        <w:t>), ni, (ii) Adelantar el proceso de convocatoria y elaboración de las listas de elegibles para la conformación de la Corte Suprema de Justicia y del Consejo de Estado (Artículo 11 del Acto Legislativo 02 de 2015, el cual modifica el artículo 231 superior</w:t>
      </w:r>
      <w:r w:rsidRPr="006B21EA">
        <w:rPr>
          <w:rStyle w:val="Refdenotaalpie"/>
          <w:i/>
          <w:iCs/>
          <w:sz w:val="26"/>
          <w:szCs w:val="26"/>
          <w:lang w:val="es-CO" w:eastAsia="es-CO"/>
        </w:rPr>
        <w:footnoteReference w:id="16"/>
      </w:r>
      <w:r w:rsidRPr="006B21EA">
        <w:rPr>
          <w:i/>
          <w:iCs/>
          <w:sz w:val="26"/>
          <w:szCs w:val="26"/>
          <w:lang w:val="es-CO" w:eastAsia="es-CO"/>
        </w:rPr>
        <w:t xml:space="preserve">), </w:t>
      </w:r>
      <w:r w:rsidRPr="006B21EA">
        <w:rPr>
          <w:b/>
          <w:i/>
          <w:iCs/>
          <w:sz w:val="26"/>
          <w:szCs w:val="26"/>
          <w:lang w:val="es-CO" w:eastAsia="es-CO"/>
        </w:rPr>
        <w:t xml:space="preserve">ni, finalmente, (iii) </w:t>
      </w:r>
      <w:r w:rsidRPr="006B21EA">
        <w:rPr>
          <w:b/>
          <w:bCs/>
          <w:i/>
          <w:iCs/>
          <w:sz w:val="26"/>
          <w:szCs w:val="26"/>
          <w:u w:val="single"/>
          <w:lang w:val="es-CO" w:eastAsia="es-CO"/>
        </w:rPr>
        <w:t>Adelantar el proceso de convocatoria y elaboración de las listas de elegibles para la conformación de la Comisión Nacional de Disciplina Judicial (Artículo 19 del Acto Legislativo 02 de 2015, que adiciona el artículo 257A al texto de la Carta Política</w:t>
      </w:r>
      <w:r w:rsidRPr="006B21EA">
        <w:rPr>
          <w:rStyle w:val="Refdenotaalpie"/>
          <w:b/>
          <w:bCs/>
          <w:i/>
          <w:iCs/>
          <w:sz w:val="26"/>
          <w:szCs w:val="26"/>
          <w:u w:val="single"/>
          <w:lang w:val="es-CO" w:eastAsia="es-CO"/>
        </w:rPr>
        <w:footnoteReference w:id="17"/>
      </w:r>
      <w:r w:rsidRPr="006B21EA">
        <w:rPr>
          <w:b/>
          <w:bCs/>
          <w:i/>
          <w:iCs/>
          <w:sz w:val="26"/>
          <w:szCs w:val="26"/>
          <w:u w:val="single"/>
          <w:lang w:val="es-CO" w:eastAsia="es-CO"/>
        </w:rPr>
        <w:t>).</w:t>
      </w:r>
    </w:p>
    <w:p w14:paraId="449066A5" w14:textId="77777777" w:rsidR="00AE1B4A" w:rsidRPr="006B21EA" w:rsidRDefault="00AE1B4A" w:rsidP="00AE1B4A">
      <w:pPr>
        <w:shd w:val="clear" w:color="auto" w:fill="FFFFFF"/>
        <w:spacing w:before="150" w:after="150"/>
        <w:ind w:left="284" w:right="49"/>
        <w:jc w:val="both"/>
        <w:rPr>
          <w:i/>
          <w:iCs/>
          <w:sz w:val="26"/>
          <w:szCs w:val="26"/>
          <w:lang w:val="es-CO" w:eastAsia="es-CO"/>
        </w:rPr>
      </w:pPr>
      <w:r w:rsidRPr="006B21EA">
        <w:rPr>
          <w:i/>
          <w:iCs/>
          <w:sz w:val="26"/>
          <w:szCs w:val="26"/>
          <w:lang w:val="es-CO" w:eastAsia="es-CO"/>
        </w:rPr>
        <w:t>Además</w:t>
      </w:r>
      <w:r w:rsidRPr="006B21EA">
        <w:rPr>
          <w:i/>
          <w:iCs/>
          <w:sz w:val="26"/>
          <w:szCs w:val="26"/>
          <w:u w:val="single"/>
          <w:lang w:val="es-CO" w:eastAsia="es-CO"/>
        </w:rPr>
        <w:t xml:space="preserve">, la decisión de atribuirle al Consejo Superior de la Judicatura las funciones asignadas </w:t>
      </w:r>
      <w:r w:rsidRPr="006B21EA">
        <w:rPr>
          <w:b/>
          <w:bCs/>
          <w:i/>
          <w:iCs/>
          <w:sz w:val="26"/>
          <w:szCs w:val="26"/>
          <w:u w:val="single"/>
          <w:lang w:val="es-CO" w:eastAsia="es-CO"/>
        </w:rPr>
        <w:t>al Consejo de Gobierno Judicial y a la Gerencia de la Rama Judicial</w:t>
      </w:r>
      <w:r w:rsidRPr="006B21EA">
        <w:rPr>
          <w:i/>
          <w:iCs/>
          <w:sz w:val="26"/>
          <w:szCs w:val="26"/>
          <w:u w:val="single"/>
          <w:lang w:val="es-CO" w:eastAsia="es-CO"/>
        </w:rPr>
        <w:t xml:space="preserve"> en relación con la conformación de las listas de elegibles de la Comisión de Aforados, la Corte Suprema de Justicia, el Consejo de Estado y la Comisión Nacional de Disciplina Judicial, respeta la intención del constituyente derivado de que sea a los órganos de autogobierno judicial a quienes corresponda elaborar las listas para la selección de magistrados</w:t>
      </w:r>
      <w:r w:rsidRPr="006B21EA">
        <w:rPr>
          <w:i/>
          <w:iCs/>
          <w:sz w:val="26"/>
          <w:szCs w:val="26"/>
          <w:lang w:val="es-CO" w:eastAsia="es-CO"/>
        </w:rPr>
        <w:t>, sin perjuicio de que dicha función pueda ser atribuida posteriormente a otros órganos en una eventual reforma constitucional.</w:t>
      </w:r>
    </w:p>
    <w:p w14:paraId="72BE8FF2" w14:textId="77777777" w:rsidR="00AE1B4A" w:rsidRPr="006B21EA" w:rsidRDefault="00AE1B4A" w:rsidP="00AE1B4A">
      <w:pPr>
        <w:shd w:val="clear" w:color="auto" w:fill="FFFFFF"/>
        <w:spacing w:before="150" w:after="150"/>
        <w:ind w:left="284" w:right="49"/>
        <w:jc w:val="both"/>
        <w:rPr>
          <w:i/>
          <w:iCs/>
          <w:sz w:val="26"/>
          <w:szCs w:val="26"/>
          <w:lang w:val="es-CO" w:eastAsia="es-CO"/>
        </w:rPr>
      </w:pPr>
      <w:r w:rsidRPr="006B21EA">
        <w:rPr>
          <w:i/>
          <w:iCs/>
          <w:sz w:val="26"/>
          <w:szCs w:val="26"/>
          <w:lang w:val="es-CO" w:eastAsia="es-CO"/>
        </w:rPr>
        <w:t xml:space="preserve">En ese sentido, se resalta que </w:t>
      </w:r>
      <w:r w:rsidRPr="006B21EA">
        <w:rPr>
          <w:i/>
          <w:iCs/>
          <w:sz w:val="26"/>
          <w:szCs w:val="26"/>
          <w:u w:val="single"/>
          <w:lang w:val="es-CO" w:eastAsia="es-CO"/>
        </w:rPr>
        <w:t>la decisión de la Corte respeta la voluntad de la reforma de que la conformación de las listas esté precedida por una convocatoria pública reglada y de que sea otro órgano distinto al de autogobierno judicial el que decida finalmente la elección de los magistrados, puesto que el Consejo Superior de la Judicatura será el encargado de adelantar el proceso de selección de los candidatos para el respectivo cargo, para que sean el Congreso de la República, la Corte Suprema de Justicia y el Consejo de Estado quienes determinen la persona que ejercerá la magistratura</w:t>
      </w:r>
      <w:r w:rsidRPr="006B21EA">
        <w:rPr>
          <w:i/>
          <w:iCs/>
          <w:sz w:val="26"/>
          <w:szCs w:val="26"/>
          <w:lang w:val="es-CO" w:eastAsia="es-CO"/>
        </w:rPr>
        <w:t>.</w:t>
      </w:r>
    </w:p>
    <w:p w14:paraId="13A5261C" w14:textId="77777777" w:rsidR="00AE1B4A" w:rsidRPr="006B21EA" w:rsidRDefault="00AE1B4A" w:rsidP="00AE1B4A">
      <w:pPr>
        <w:shd w:val="clear" w:color="auto" w:fill="FFFFFF"/>
        <w:spacing w:before="150" w:after="150"/>
        <w:ind w:left="284" w:right="49"/>
        <w:jc w:val="both"/>
        <w:rPr>
          <w:i/>
          <w:iCs/>
          <w:sz w:val="26"/>
          <w:szCs w:val="26"/>
          <w:lang w:val="es-CO" w:eastAsia="es-CO"/>
        </w:rPr>
      </w:pPr>
      <w:r w:rsidRPr="006B21EA">
        <w:rPr>
          <w:i/>
          <w:iCs/>
          <w:sz w:val="26"/>
          <w:szCs w:val="26"/>
          <w:lang w:val="es-CO" w:eastAsia="es-CO"/>
        </w:rPr>
        <w:t>Así las cosas, los artículos 178A, 231 y 257A de la Constitución, en lo que respecta a las anteriores consideraciones, quedarán así: </w:t>
      </w:r>
    </w:p>
    <w:p w14:paraId="41B3C8ED" w14:textId="77777777" w:rsidR="00AE1B4A" w:rsidRPr="006B21EA" w:rsidRDefault="00AE1B4A" w:rsidP="00AE1B4A">
      <w:pPr>
        <w:shd w:val="clear" w:color="auto" w:fill="FFFFFF"/>
        <w:ind w:left="284" w:right="49"/>
        <w:jc w:val="both"/>
        <w:rPr>
          <w:i/>
          <w:iCs/>
          <w:sz w:val="26"/>
          <w:szCs w:val="26"/>
          <w:lang w:val="es-CO" w:eastAsia="es-CO"/>
        </w:rPr>
      </w:pPr>
      <w:r w:rsidRPr="006B21EA">
        <w:rPr>
          <w:i/>
          <w:iCs/>
          <w:sz w:val="26"/>
          <w:szCs w:val="26"/>
          <w:lang w:val="es-CO" w:eastAsia="es-CO"/>
        </w:rPr>
        <w:t>“Artículo 178A: (…) La Comisión estará conformada por cinco miembros, elegidos por el Congreso en Pleno para periodos personales de ocho años, de listas enviadas por el Consejo Superior de la Judicatura y elaboradas mediante convocatoria pública en los términos que disponga la ley (…).”</w:t>
      </w:r>
    </w:p>
    <w:p w14:paraId="29301440" w14:textId="77777777" w:rsidR="00AE1B4A" w:rsidRPr="006B21EA" w:rsidRDefault="00AE1B4A" w:rsidP="00AE1B4A">
      <w:pPr>
        <w:shd w:val="clear" w:color="auto" w:fill="FFFFFF"/>
        <w:ind w:left="284" w:right="49"/>
        <w:jc w:val="both"/>
        <w:rPr>
          <w:i/>
          <w:iCs/>
          <w:sz w:val="26"/>
          <w:szCs w:val="26"/>
          <w:lang w:val="es-CO" w:eastAsia="es-CO"/>
        </w:rPr>
      </w:pPr>
      <w:r w:rsidRPr="006B21EA">
        <w:rPr>
          <w:i/>
          <w:iCs/>
          <w:sz w:val="26"/>
          <w:szCs w:val="26"/>
          <w:lang w:val="es-CO" w:eastAsia="es-CO"/>
        </w:rPr>
        <w:t> </w:t>
      </w:r>
    </w:p>
    <w:p w14:paraId="3485A129" w14:textId="77777777" w:rsidR="00AE1B4A" w:rsidRPr="006B21EA" w:rsidRDefault="00AE1B4A" w:rsidP="00AE1B4A">
      <w:pPr>
        <w:shd w:val="clear" w:color="auto" w:fill="FFFFFF"/>
        <w:ind w:left="284" w:right="49"/>
        <w:jc w:val="both"/>
        <w:rPr>
          <w:i/>
          <w:iCs/>
          <w:sz w:val="26"/>
          <w:szCs w:val="26"/>
          <w:lang w:val="es-CO" w:eastAsia="es-CO"/>
        </w:rPr>
      </w:pPr>
      <w:r w:rsidRPr="006B21EA">
        <w:rPr>
          <w:i/>
          <w:iCs/>
          <w:sz w:val="26"/>
          <w:szCs w:val="26"/>
          <w:lang w:val="es-CO" w:eastAsia="es-CO"/>
        </w:rPr>
        <w:t xml:space="preserve">“Artículo 231. Los Magistrados de la Corte Suprema de Justicia y del Consejo de Estado serán elegidos por la respectiva Corporación, previa audiencia pública, de lista de diez elegibles enviada por el Consejo Superior de la </w:t>
      </w:r>
      <w:r w:rsidRPr="006B21EA">
        <w:rPr>
          <w:i/>
          <w:iCs/>
          <w:sz w:val="26"/>
          <w:szCs w:val="26"/>
          <w:lang w:val="es-CO" w:eastAsia="es-CO"/>
        </w:rPr>
        <w:lastRenderedPageBreak/>
        <w:t>Judicatura tras una convocatoria pública reglada de conformidad con la ley (…).”</w:t>
      </w:r>
    </w:p>
    <w:p w14:paraId="0584676F" w14:textId="77777777" w:rsidR="00AE1B4A" w:rsidRPr="006B21EA" w:rsidRDefault="00AE1B4A" w:rsidP="00AE1B4A">
      <w:pPr>
        <w:shd w:val="clear" w:color="auto" w:fill="FFFFFF"/>
        <w:ind w:left="284" w:right="49"/>
        <w:jc w:val="both"/>
        <w:rPr>
          <w:i/>
          <w:iCs/>
          <w:sz w:val="26"/>
          <w:szCs w:val="26"/>
          <w:lang w:val="es-CO" w:eastAsia="es-CO"/>
        </w:rPr>
      </w:pPr>
      <w:r w:rsidRPr="006B21EA">
        <w:rPr>
          <w:i/>
          <w:iCs/>
          <w:sz w:val="26"/>
          <w:szCs w:val="26"/>
          <w:lang w:val="es-CO" w:eastAsia="es-CO"/>
        </w:rPr>
        <w:t> </w:t>
      </w:r>
    </w:p>
    <w:p w14:paraId="4380B004" w14:textId="77777777" w:rsidR="00AE1B4A" w:rsidRPr="006B21EA" w:rsidRDefault="00AE1B4A" w:rsidP="00AE1B4A">
      <w:pPr>
        <w:shd w:val="clear" w:color="auto" w:fill="FFFFFF"/>
        <w:ind w:left="284" w:right="49"/>
        <w:jc w:val="both"/>
        <w:rPr>
          <w:sz w:val="26"/>
          <w:szCs w:val="26"/>
          <w:lang w:val="es-CO" w:eastAsia="es-CO"/>
        </w:rPr>
      </w:pPr>
      <w:r w:rsidRPr="006B21EA">
        <w:rPr>
          <w:i/>
          <w:iCs/>
          <w:sz w:val="26"/>
          <w:szCs w:val="26"/>
          <w:lang w:val="es-CO" w:eastAsia="es-CO"/>
        </w:rPr>
        <w:t>“Artículo 257A. La Comisión Nacional de Disciplina Judicial ejercerá la función jurisdiccional disciplinaria sobre los funcionarios y empleados de la Rama Judicial. Estará conformada por siete Magistrados, cuatro de los cuales serán elegidos por el Congreso en Pleno de ternas enviadas por el Consejo Superior de la Judicatura previa convocatoria pública reglada, y tres de los cuales serán elegidos por el Congreso en Pleno de ternas enviadas por el Presidente de la República, previa convocatoria pública reglada. Tendrán periodos personales de ocho años, y deberán cumplir con los mismos requisitos exigidos para ser Magistrado de la Corte Suprema de Justicia (…).</w:t>
      </w:r>
      <w:r w:rsidRPr="006B21EA">
        <w:rPr>
          <w:rStyle w:val="Refdenotaalpie"/>
          <w:i/>
          <w:iCs/>
          <w:sz w:val="26"/>
          <w:szCs w:val="26"/>
          <w:lang w:val="es-CO" w:eastAsia="es-CO"/>
        </w:rPr>
        <w:footnoteReference w:id="18"/>
      </w:r>
      <w:r w:rsidRPr="006B21EA">
        <w:rPr>
          <w:i/>
          <w:iCs/>
          <w:sz w:val="26"/>
          <w:szCs w:val="26"/>
          <w:lang w:val="es-CO" w:eastAsia="es-CO"/>
        </w:rPr>
        <w:t xml:space="preserve">” </w:t>
      </w:r>
      <w:r w:rsidRPr="00B92A13">
        <w:rPr>
          <w:iCs/>
          <w:szCs w:val="28"/>
          <w:lang w:val="es-CO" w:eastAsia="es-CO"/>
        </w:rPr>
        <w:t>(Las subrayas y negrillas están fuera del original).</w:t>
      </w:r>
      <w:r w:rsidRPr="006B21EA">
        <w:rPr>
          <w:b/>
          <w:iCs/>
          <w:sz w:val="26"/>
          <w:szCs w:val="26"/>
          <w:lang w:val="es-CO" w:eastAsia="es-CO"/>
        </w:rPr>
        <w:t xml:space="preserve"> </w:t>
      </w:r>
    </w:p>
    <w:p w14:paraId="3AED671D" w14:textId="77777777" w:rsidR="00AE1B4A" w:rsidRPr="007C6F2A" w:rsidRDefault="00AE1B4A" w:rsidP="00AE1B4A">
      <w:pPr>
        <w:jc w:val="both"/>
        <w:rPr>
          <w:szCs w:val="28"/>
          <w:bdr w:val="none" w:sz="0" w:space="0" w:color="auto" w:frame="1"/>
          <w:lang w:val="es-CO" w:eastAsia="es-CO"/>
        </w:rPr>
      </w:pPr>
    </w:p>
    <w:p w14:paraId="40999F53" w14:textId="77777777" w:rsidR="00AE1B4A" w:rsidRPr="007C6F2A" w:rsidRDefault="00AE1B4A" w:rsidP="00AE1B4A">
      <w:pPr>
        <w:numPr>
          <w:ilvl w:val="1"/>
          <w:numId w:val="2"/>
        </w:numPr>
        <w:jc w:val="both"/>
        <w:rPr>
          <w:szCs w:val="28"/>
          <w:bdr w:val="none" w:sz="0" w:space="0" w:color="auto" w:frame="1"/>
          <w:lang w:val="es-CO" w:eastAsia="es-CO"/>
        </w:rPr>
      </w:pPr>
      <w:r w:rsidRPr="007C6F2A">
        <w:rPr>
          <w:szCs w:val="28"/>
          <w:bdr w:val="none" w:sz="0" w:space="0" w:color="auto" w:frame="1"/>
          <w:lang w:val="es-CO" w:eastAsia="es-CO"/>
        </w:rPr>
        <w:t xml:space="preserve">Con fundamento en las consideraciones anteriores, los numerales primero, cuarto y quinto de la </w:t>
      </w:r>
      <w:r w:rsidRPr="007C6F2A">
        <w:rPr>
          <w:b/>
          <w:szCs w:val="28"/>
          <w:bdr w:val="none" w:sz="0" w:space="0" w:color="auto" w:frame="1"/>
          <w:lang w:val="es-CO" w:eastAsia="es-CO"/>
        </w:rPr>
        <w:t>Sentencia C-285 de 2016</w:t>
      </w:r>
      <w:r w:rsidRPr="007C6F2A">
        <w:rPr>
          <w:szCs w:val="28"/>
          <w:bdr w:val="none" w:sz="0" w:space="0" w:color="auto" w:frame="1"/>
          <w:lang w:val="es-CO" w:eastAsia="es-CO"/>
        </w:rPr>
        <w:t xml:space="preserve"> establecieron lo siguiente: </w:t>
      </w:r>
    </w:p>
    <w:p w14:paraId="6081FA2F" w14:textId="77777777" w:rsidR="00AE1B4A" w:rsidRPr="007C6F2A" w:rsidRDefault="00AE1B4A" w:rsidP="00AE1B4A">
      <w:pPr>
        <w:ind w:left="567"/>
        <w:rPr>
          <w:szCs w:val="28"/>
          <w:bdr w:val="none" w:sz="0" w:space="0" w:color="auto" w:frame="1"/>
          <w:lang w:val="es-CO" w:eastAsia="es-CO"/>
        </w:rPr>
      </w:pPr>
    </w:p>
    <w:p w14:paraId="7567BE67" w14:textId="77777777" w:rsidR="00AE1B4A" w:rsidRPr="006B21EA" w:rsidRDefault="00AE1B4A" w:rsidP="00AE1B4A">
      <w:pPr>
        <w:shd w:val="clear" w:color="auto" w:fill="FFFFFF"/>
        <w:ind w:left="284" w:right="49"/>
        <w:jc w:val="both"/>
        <w:textAlignment w:val="baseline"/>
        <w:rPr>
          <w:i/>
          <w:iCs/>
          <w:sz w:val="26"/>
          <w:szCs w:val="26"/>
          <w:lang w:val="es-CO" w:eastAsia="es-CO"/>
        </w:rPr>
      </w:pPr>
      <w:r w:rsidRPr="006B21EA">
        <w:rPr>
          <w:b/>
          <w:bCs/>
          <w:i/>
          <w:iCs/>
          <w:sz w:val="26"/>
          <w:szCs w:val="26"/>
          <w:bdr w:val="none" w:sz="0" w:space="0" w:color="auto" w:frame="1"/>
          <w:lang w:val="es-CO"/>
        </w:rPr>
        <w:t>“</w:t>
      </w:r>
      <w:r w:rsidRPr="006B21EA">
        <w:rPr>
          <w:b/>
          <w:bCs/>
          <w:i/>
          <w:iCs/>
          <w:sz w:val="26"/>
          <w:szCs w:val="26"/>
          <w:bdr w:val="none" w:sz="0" w:space="0" w:color="auto" w:frame="1"/>
          <w:lang w:val="es-CO" w:eastAsia="es-CO"/>
        </w:rPr>
        <w:t>PRIMERO. -</w:t>
      </w:r>
      <w:r w:rsidRPr="006B21EA">
        <w:rPr>
          <w:i/>
          <w:iCs/>
          <w:sz w:val="26"/>
          <w:szCs w:val="26"/>
          <w:bdr w:val="none" w:sz="0" w:space="0" w:color="auto" w:frame="1"/>
          <w:lang w:val="es-CO" w:eastAsia="es-CO"/>
        </w:rPr>
        <w:t> Declarar </w:t>
      </w:r>
      <w:r w:rsidRPr="006B21EA">
        <w:rPr>
          <w:b/>
          <w:bCs/>
          <w:i/>
          <w:iCs/>
          <w:sz w:val="26"/>
          <w:szCs w:val="26"/>
          <w:bdr w:val="none" w:sz="0" w:space="0" w:color="auto" w:frame="1"/>
          <w:lang w:val="es-CO" w:eastAsia="es-CO"/>
        </w:rPr>
        <w:t>INEXEQUIBLE</w:t>
      </w:r>
      <w:r w:rsidRPr="006B21EA">
        <w:rPr>
          <w:i/>
          <w:iCs/>
          <w:sz w:val="26"/>
          <w:szCs w:val="26"/>
          <w:bdr w:val="none" w:sz="0" w:space="0" w:color="auto" w:frame="1"/>
          <w:lang w:val="es-CO" w:eastAsia="es-CO"/>
        </w:rPr>
        <w:t> el artículo 15 del Acto Legislativo 02 de 2015, salvo en lo que tiene que ver con la derogatoria tácita del numeral 2º del artículo 254 de la Constitución, en relación con la cual la Corte se </w:t>
      </w:r>
      <w:r w:rsidRPr="006B21EA">
        <w:rPr>
          <w:b/>
          <w:bCs/>
          <w:i/>
          <w:iCs/>
          <w:sz w:val="26"/>
          <w:szCs w:val="26"/>
          <w:bdr w:val="none" w:sz="0" w:space="0" w:color="auto" w:frame="1"/>
          <w:lang w:val="es-CO" w:eastAsia="es-CO"/>
        </w:rPr>
        <w:t>INHIBE</w:t>
      </w:r>
      <w:r w:rsidRPr="006B21EA">
        <w:rPr>
          <w:i/>
          <w:iCs/>
          <w:sz w:val="26"/>
          <w:szCs w:val="26"/>
          <w:bdr w:val="none" w:sz="0" w:space="0" w:color="auto" w:frame="1"/>
          <w:lang w:val="es-CO" w:eastAsia="es-CO"/>
        </w:rPr>
        <w:t> de pronunciarse de fondo por ineptitud sustantiva de la demanda. En consecuencia, de conformidad con lo expuesto en la parte motiva de esta providencia, el artículo 254 de la Carta Política quedará así: “Artículo 254. El Consejo Superior de la Judicatura estará integrado por seis magistrados elegidos para un período de ocho años, así: dos por la Corte Suprema de Justicia, uno por la Corte Constitucional y tres por el Consejo de Estado.”</w:t>
      </w:r>
    </w:p>
    <w:p w14:paraId="280073C0" w14:textId="77777777" w:rsidR="00AE1B4A" w:rsidRPr="006B21EA" w:rsidRDefault="00AE1B4A" w:rsidP="00AE1B4A">
      <w:pPr>
        <w:shd w:val="clear" w:color="auto" w:fill="FFFFFF"/>
        <w:ind w:left="284" w:right="49"/>
        <w:jc w:val="both"/>
        <w:textAlignment w:val="baseline"/>
        <w:rPr>
          <w:i/>
          <w:iCs/>
          <w:sz w:val="26"/>
          <w:szCs w:val="26"/>
          <w:lang w:val="es-CO" w:eastAsia="es-CO"/>
        </w:rPr>
      </w:pPr>
      <w:r w:rsidRPr="006B21EA">
        <w:rPr>
          <w:i/>
          <w:iCs/>
          <w:sz w:val="26"/>
          <w:szCs w:val="26"/>
          <w:bdr w:val="none" w:sz="0" w:space="0" w:color="auto" w:frame="1"/>
          <w:lang w:val="es-CO" w:eastAsia="es-CO"/>
        </w:rPr>
        <w:t> </w:t>
      </w:r>
    </w:p>
    <w:p w14:paraId="346549D1" w14:textId="77777777" w:rsidR="00AE1B4A" w:rsidRPr="006B21EA" w:rsidRDefault="00AE1B4A" w:rsidP="00AE1B4A">
      <w:pPr>
        <w:shd w:val="clear" w:color="auto" w:fill="FFFFFF"/>
        <w:ind w:left="284" w:right="49"/>
        <w:jc w:val="both"/>
        <w:textAlignment w:val="baseline"/>
        <w:rPr>
          <w:i/>
          <w:iCs/>
          <w:sz w:val="26"/>
          <w:szCs w:val="26"/>
          <w:lang w:val="es-CO" w:eastAsia="es-CO"/>
        </w:rPr>
      </w:pPr>
      <w:r w:rsidRPr="006B21EA">
        <w:rPr>
          <w:b/>
          <w:bCs/>
          <w:i/>
          <w:iCs/>
          <w:sz w:val="26"/>
          <w:szCs w:val="26"/>
          <w:bdr w:val="none" w:sz="0" w:space="0" w:color="auto" w:frame="1"/>
          <w:lang w:val="es-CO" w:eastAsia="es-CO"/>
        </w:rPr>
        <w:t>CUARTO. -</w:t>
      </w:r>
      <w:r w:rsidRPr="006B21EA">
        <w:rPr>
          <w:i/>
          <w:iCs/>
          <w:sz w:val="26"/>
          <w:szCs w:val="26"/>
          <w:bdr w:val="none" w:sz="0" w:space="0" w:color="auto" w:frame="1"/>
          <w:lang w:val="es-CO" w:eastAsia="es-CO"/>
        </w:rPr>
        <w:t> Declarar </w:t>
      </w:r>
      <w:r w:rsidRPr="006B21EA">
        <w:rPr>
          <w:b/>
          <w:bCs/>
          <w:i/>
          <w:iCs/>
          <w:sz w:val="26"/>
          <w:szCs w:val="26"/>
          <w:bdr w:val="none" w:sz="0" w:space="0" w:color="auto" w:frame="1"/>
          <w:lang w:val="es-CO" w:eastAsia="es-CO"/>
        </w:rPr>
        <w:t>INEXEQUIBLE</w:t>
      </w:r>
      <w:r w:rsidRPr="006B21EA">
        <w:rPr>
          <w:i/>
          <w:iCs/>
          <w:sz w:val="26"/>
          <w:szCs w:val="26"/>
          <w:bdr w:val="none" w:sz="0" w:space="0" w:color="auto" w:frame="1"/>
          <w:lang w:val="es-CO" w:eastAsia="es-CO"/>
        </w:rPr>
        <w:t> el artículo 18 transitorio del Acto Legislativo 02 de 2015, con excepción de los siguientes pronunciamientos:</w:t>
      </w:r>
    </w:p>
    <w:p w14:paraId="2CCDB231" w14:textId="77777777" w:rsidR="00AE1B4A" w:rsidRPr="006B21EA" w:rsidRDefault="00AE1B4A" w:rsidP="00AE1B4A">
      <w:pPr>
        <w:shd w:val="clear" w:color="auto" w:fill="FFFFFF"/>
        <w:ind w:left="284" w:right="49"/>
        <w:jc w:val="both"/>
        <w:textAlignment w:val="baseline"/>
        <w:rPr>
          <w:i/>
          <w:iCs/>
          <w:sz w:val="26"/>
          <w:szCs w:val="26"/>
          <w:lang w:val="es-CO" w:eastAsia="es-CO"/>
        </w:rPr>
      </w:pPr>
      <w:r w:rsidRPr="006B21EA">
        <w:rPr>
          <w:i/>
          <w:iCs/>
          <w:sz w:val="26"/>
          <w:szCs w:val="26"/>
          <w:bdr w:val="none" w:sz="0" w:space="0" w:color="auto" w:frame="1"/>
          <w:lang w:val="es-CO" w:eastAsia="es-CO"/>
        </w:rPr>
        <w:t> </w:t>
      </w:r>
    </w:p>
    <w:p w14:paraId="6A39BE6A" w14:textId="77777777" w:rsidR="00AE1B4A" w:rsidRPr="006B21EA" w:rsidRDefault="00AE1B4A" w:rsidP="00AE1B4A">
      <w:pPr>
        <w:shd w:val="clear" w:color="auto" w:fill="FFFFFF"/>
        <w:ind w:left="284" w:right="49"/>
        <w:jc w:val="both"/>
        <w:textAlignment w:val="baseline"/>
        <w:rPr>
          <w:i/>
          <w:iCs/>
          <w:sz w:val="26"/>
          <w:szCs w:val="26"/>
          <w:lang w:val="es-CO" w:eastAsia="es-CO"/>
        </w:rPr>
      </w:pPr>
      <w:r w:rsidRPr="006B21EA">
        <w:rPr>
          <w:b/>
          <w:bCs/>
          <w:i/>
          <w:iCs/>
          <w:sz w:val="26"/>
          <w:szCs w:val="26"/>
          <w:bdr w:val="none" w:sz="0" w:space="0" w:color="auto" w:frame="1"/>
          <w:lang w:val="es-CO" w:eastAsia="es-CO"/>
        </w:rPr>
        <w:t>- </w:t>
      </w:r>
      <w:r w:rsidRPr="006B21EA">
        <w:rPr>
          <w:i/>
          <w:iCs/>
          <w:sz w:val="26"/>
          <w:szCs w:val="26"/>
          <w:bdr w:val="none" w:sz="0" w:space="0" w:color="auto" w:frame="1"/>
          <w:lang w:val="es-CO" w:eastAsia="es-CO"/>
        </w:rPr>
        <w:t>Se declara </w:t>
      </w:r>
      <w:r w:rsidRPr="006B21EA">
        <w:rPr>
          <w:b/>
          <w:bCs/>
          <w:i/>
          <w:iCs/>
          <w:sz w:val="26"/>
          <w:szCs w:val="26"/>
          <w:bdr w:val="none" w:sz="0" w:space="0" w:color="auto" w:frame="1"/>
          <w:lang w:val="es-CO" w:eastAsia="es-CO"/>
        </w:rPr>
        <w:t>EXEQUIBLE</w:t>
      </w:r>
      <w:r w:rsidRPr="006B21EA">
        <w:rPr>
          <w:i/>
          <w:iCs/>
          <w:sz w:val="26"/>
          <w:szCs w:val="26"/>
          <w:bdr w:val="none" w:sz="0" w:space="0" w:color="auto" w:frame="1"/>
          <w:lang w:val="es-CO" w:eastAsia="es-CO"/>
        </w:rPr>
        <w:t> el literal f), del numeral 1º, salvo en lo referente a la expresión “También ejercerán la función prevista en el artículo 85, numeral 18, de la Ley 270 de 1996”, que se declara </w:t>
      </w:r>
      <w:r w:rsidRPr="006B21EA">
        <w:rPr>
          <w:b/>
          <w:bCs/>
          <w:i/>
          <w:iCs/>
          <w:sz w:val="26"/>
          <w:szCs w:val="26"/>
          <w:bdr w:val="none" w:sz="0" w:space="0" w:color="auto" w:frame="1"/>
          <w:lang w:val="es-CO" w:eastAsia="es-CO"/>
        </w:rPr>
        <w:t>INEXEQUIBLE</w:t>
      </w:r>
      <w:r w:rsidRPr="006B21EA">
        <w:rPr>
          <w:i/>
          <w:iCs/>
          <w:sz w:val="26"/>
          <w:szCs w:val="26"/>
          <w:bdr w:val="none" w:sz="0" w:space="0" w:color="auto" w:frame="1"/>
          <w:lang w:val="es-CO" w:eastAsia="es-CO"/>
        </w:rPr>
        <w:t>.</w:t>
      </w:r>
    </w:p>
    <w:p w14:paraId="444AE6B0" w14:textId="77777777" w:rsidR="00AE1B4A" w:rsidRPr="006B21EA" w:rsidRDefault="00AE1B4A" w:rsidP="00AE1B4A">
      <w:pPr>
        <w:shd w:val="clear" w:color="auto" w:fill="FFFFFF"/>
        <w:ind w:left="284" w:right="49"/>
        <w:jc w:val="both"/>
        <w:textAlignment w:val="baseline"/>
        <w:rPr>
          <w:i/>
          <w:iCs/>
          <w:sz w:val="26"/>
          <w:szCs w:val="26"/>
          <w:lang w:val="es-CO" w:eastAsia="es-CO"/>
        </w:rPr>
      </w:pPr>
      <w:r w:rsidRPr="006B21EA">
        <w:rPr>
          <w:i/>
          <w:iCs/>
          <w:sz w:val="26"/>
          <w:szCs w:val="26"/>
          <w:bdr w:val="none" w:sz="0" w:space="0" w:color="auto" w:frame="1"/>
          <w:lang w:val="es-CO" w:eastAsia="es-CO"/>
        </w:rPr>
        <w:t> </w:t>
      </w:r>
    </w:p>
    <w:p w14:paraId="0880C349" w14:textId="77777777" w:rsidR="00AE1B4A" w:rsidRPr="006B21EA" w:rsidRDefault="00AE1B4A" w:rsidP="00AE1B4A">
      <w:pPr>
        <w:shd w:val="clear" w:color="auto" w:fill="FFFFFF"/>
        <w:ind w:left="284" w:right="49"/>
        <w:jc w:val="both"/>
        <w:textAlignment w:val="baseline"/>
        <w:rPr>
          <w:i/>
          <w:iCs/>
          <w:sz w:val="26"/>
          <w:szCs w:val="26"/>
          <w:lang w:val="es-CO" w:eastAsia="es-CO"/>
        </w:rPr>
      </w:pPr>
      <w:r w:rsidRPr="006B21EA">
        <w:rPr>
          <w:b/>
          <w:bCs/>
          <w:i/>
          <w:iCs/>
          <w:sz w:val="26"/>
          <w:szCs w:val="26"/>
          <w:bdr w:val="none" w:sz="0" w:space="0" w:color="auto" w:frame="1"/>
          <w:lang w:val="es-CO" w:eastAsia="es-CO"/>
        </w:rPr>
        <w:t>- </w:t>
      </w:r>
      <w:r w:rsidRPr="006B21EA">
        <w:rPr>
          <w:i/>
          <w:iCs/>
          <w:sz w:val="26"/>
          <w:szCs w:val="26"/>
          <w:bdr w:val="none" w:sz="0" w:space="0" w:color="auto" w:frame="1"/>
          <w:lang w:val="es-CO" w:eastAsia="es-CO"/>
        </w:rPr>
        <w:t>Se declara </w:t>
      </w:r>
      <w:r w:rsidRPr="006B21EA">
        <w:rPr>
          <w:b/>
          <w:bCs/>
          <w:i/>
          <w:iCs/>
          <w:sz w:val="26"/>
          <w:szCs w:val="26"/>
          <w:bdr w:val="none" w:sz="0" w:space="0" w:color="auto" w:frame="1"/>
          <w:lang w:val="es-CO" w:eastAsia="es-CO"/>
        </w:rPr>
        <w:t>EXEQUIBLE </w:t>
      </w:r>
      <w:r w:rsidRPr="006B21EA">
        <w:rPr>
          <w:i/>
          <w:iCs/>
          <w:sz w:val="26"/>
          <w:szCs w:val="26"/>
          <w:bdr w:val="none" w:sz="0" w:space="0" w:color="auto" w:frame="1"/>
          <w:lang w:val="es-CO" w:eastAsia="es-CO"/>
        </w:rPr>
        <w:t>el literal g), del numeral 1º, en su totalidad.</w:t>
      </w:r>
    </w:p>
    <w:p w14:paraId="4ED076B9" w14:textId="77777777" w:rsidR="00AE1B4A" w:rsidRPr="006B21EA" w:rsidRDefault="00AE1B4A" w:rsidP="00AE1B4A">
      <w:pPr>
        <w:shd w:val="clear" w:color="auto" w:fill="FFFFFF"/>
        <w:ind w:left="284" w:right="49"/>
        <w:jc w:val="both"/>
        <w:textAlignment w:val="baseline"/>
        <w:rPr>
          <w:i/>
          <w:iCs/>
          <w:sz w:val="26"/>
          <w:szCs w:val="26"/>
          <w:lang w:val="es-CO" w:eastAsia="es-CO"/>
        </w:rPr>
      </w:pPr>
      <w:r w:rsidRPr="006B21EA">
        <w:rPr>
          <w:i/>
          <w:iCs/>
          <w:sz w:val="26"/>
          <w:szCs w:val="26"/>
          <w:bdr w:val="none" w:sz="0" w:space="0" w:color="auto" w:frame="1"/>
          <w:lang w:val="es-CO" w:eastAsia="es-CO"/>
        </w:rPr>
        <w:t> </w:t>
      </w:r>
    </w:p>
    <w:p w14:paraId="2E6781AE" w14:textId="77777777" w:rsidR="00AE1B4A" w:rsidRPr="006B21EA" w:rsidRDefault="00AE1B4A" w:rsidP="00AE1B4A">
      <w:pPr>
        <w:shd w:val="clear" w:color="auto" w:fill="FFFFFF"/>
        <w:ind w:left="284" w:right="49"/>
        <w:jc w:val="both"/>
        <w:textAlignment w:val="baseline"/>
        <w:rPr>
          <w:i/>
          <w:iCs/>
          <w:sz w:val="26"/>
          <w:szCs w:val="26"/>
          <w:lang w:val="es-CO" w:eastAsia="es-CO"/>
        </w:rPr>
      </w:pPr>
      <w:r w:rsidRPr="006B21EA">
        <w:rPr>
          <w:b/>
          <w:bCs/>
          <w:i/>
          <w:iCs/>
          <w:sz w:val="26"/>
          <w:szCs w:val="26"/>
          <w:bdr w:val="none" w:sz="0" w:space="0" w:color="auto" w:frame="1"/>
          <w:lang w:val="es-CO" w:eastAsia="es-CO"/>
        </w:rPr>
        <w:t>- </w:t>
      </w:r>
      <w:r w:rsidRPr="006B21EA">
        <w:rPr>
          <w:i/>
          <w:iCs/>
          <w:sz w:val="26"/>
          <w:szCs w:val="26"/>
          <w:bdr w:val="none" w:sz="0" w:space="0" w:color="auto" w:frame="1"/>
          <w:lang w:val="es-CO" w:eastAsia="es-CO"/>
        </w:rPr>
        <w:t>En relación con la expresión “La autoridad nominadora para las Comisiones Seccionales de Disciplina Judicial será la Comisión Nacional de Disciplina Judicial”, prevista en el numeral 6, por las razones expuestas en esta providencia, la Corte se </w:t>
      </w:r>
      <w:r w:rsidRPr="006B21EA">
        <w:rPr>
          <w:b/>
          <w:bCs/>
          <w:i/>
          <w:iCs/>
          <w:sz w:val="26"/>
          <w:szCs w:val="26"/>
          <w:bdr w:val="none" w:sz="0" w:space="0" w:color="auto" w:frame="1"/>
          <w:lang w:val="es-CO" w:eastAsia="es-CO"/>
        </w:rPr>
        <w:t>INHIBE</w:t>
      </w:r>
      <w:r w:rsidRPr="006B21EA">
        <w:rPr>
          <w:i/>
          <w:iCs/>
          <w:sz w:val="26"/>
          <w:szCs w:val="26"/>
          <w:bdr w:val="none" w:sz="0" w:space="0" w:color="auto" w:frame="1"/>
          <w:lang w:val="es-CO" w:eastAsia="es-CO"/>
        </w:rPr>
        <w:t> de pronunciarse de fondo por ineptitud sustantiva de la demanda.</w:t>
      </w:r>
    </w:p>
    <w:p w14:paraId="53E6CE52" w14:textId="77777777" w:rsidR="00AE1B4A" w:rsidRPr="006B21EA" w:rsidRDefault="00AE1B4A" w:rsidP="00AE1B4A">
      <w:pPr>
        <w:ind w:left="284" w:right="333"/>
        <w:jc w:val="both"/>
        <w:rPr>
          <w:b/>
          <w:bCs/>
          <w:i/>
          <w:iCs/>
          <w:sz w:val="26"/>
          <w:szCs w:val="26"/>
          <w:bdr w:val="none" w:sz="0" w:space="0" w:color="auto" w:frame="1"/>
          <w:lang w:val="es-CO"/>
        </w:rPr>
      </w:pPr>
    </w:p>
    <w:p w14:paraId="5885FF06" w14:textId="77777777" w:rsidR="00AE1B4A" w:rsidRPr="006B21EA" w:rsidRDefault="00AE1B4A" w:rsidP="00AE1B4A">
      <w:pPr>
        <w:ind w:left="284" w:right="49"/>
        <w:jc w:val="both"/>
        <w:rPr>
          <w:i/>
          <w:iCs/>
          <w:sz w:val="26"/>
          <w:szCs w:val="26"/>
          <w:bdr w:val="none" w:sz="0" w:space="0" w:color="auto" w:frame="1"/>
          <w:lang w:val="es-CO" w:eastAsia="es-CO"/>
        </w:rPr>
      </w:pPr>
      <w:r w:rsidRPr="006B21EA">
        <w:rPr>
          <w:b/>
          <w:bCs/>
          <w:i/>
          <w:iCs/>
          <w:sz w:val="26"/>
          <w:szCs w:val="26"/>
          <w:bdr w:val="none" w:sz="0" w:space="0" w:color="auto" w:frame="1"/>
          <w:lang w:val="es-CO"/>
        </w:rPr>
        <w:t>QUINTO. -</w:t>
      </w:r>
      <w:r w:rsidRPr="006B21EA">
        <w:rPr>
          <w:i/>
          <w:iCs/>
          <w:sz w:val="26"/>
          <w:szCs w:val="26"/>
          <w:bdr w:val="none" w:sz="0" w:space="0" w:color="auto" w:frame="1"/>
          <w:shd w:val="clear" w:color="auto" w:fill="FFFFFF"/>
          <w:lang w:val="es-CO"/>
        </w:rPr>
        <w:t> Declarar </w:t>
      </w:r>
      <w:r w:rsidRPr="006B21EA">
        <w:rPr>
          <w:b/>
          <w:bCs/>
          <w:i/>
          <w:iCs/>
          <w:sz w:val="26"/>
          <w:szCs w:val="26"/>
          <w:bdr w:val="none" w:sz="0" w:space="0" w:color="auto" w:frame="1"/>
          <w:lang w:val="es-CO"/>
        </w:rPr>
        <w:t>INEXEQUIBLES</w:t>
      </w:r>
      <w:r w:rsidRPr="006B21EA">
        <w:rPr>
          <w:i/>
          <w:iCs/>
          <w:sz w:val="26"/>
          <w:szCs w:val="26"/>
          <w:bdr w:val="none" w:sz="0" w:space="0" w:color="auto" w:frame="1"/>
          <w:shd w:val="clear" w:color="auto" w:fill="FFFFFF"/>
          <w:lang w:val="es-CO"/>
        </w:rPr>
        <w:t> las remisiones al Consejo de Gobierno Judicial y a la Gerencia de la Rama Judicial contenidas en los artículos 8, 11 y 19 del Acto Legislativo 02 de 2015. En consecuencia, </w:t>
      </w:r>
      <w:r w:rsidRPr="006B21EA">
        <w:rPr>
          <w:b/>
          <w:bCs/>
          <w:i/>
          <w:iCs/>
          <w:sz w:val="26"/>
          <w:szCs w:val="26"/>
          <w:bdr w:val="none" w:sz="0" w:space="0" w:color="auto" w:frame="1"/>
          <w:lang w:val="es-CO"/>
        </w:rPr>
        <w:t>DECLARAR </w:t>
      </w:r>
      <w:r w:rsidRPr="006B21EA">
        <w:rPr>
          <w:i/>
          <w:iCs/>
          <w:sz w:val="26"/>
          <w:szCs w:val="26"/>
          <w:bdr w:val="none" w:sz="0" w:space="0" w:color="auto" w:frame="1"/>
          <w:shd w:val="clear" w:color="auto" w:fill="FFFFFF"/>
          <w:lang w:val="es-CO"/>
        </w:rPr>
        <w:t>que en las disposiciones constitucionales a las que tales artículos aluden, la expresión </w:t>
      </w:r>
      <w:r w:rsidRPr="006B21EA">
        <w:rPr>
          <w:i/>
          <w:iCs/>
          <w:sz w:val="26"/>
          <w:szCs w:val="26"/>
          <w:bdr w:val="none" w:sz="0" w:space="0" w:color="auto" w:frame="1"/>
          <w:lang w:val="es-CO"/>
        </w:rPr>
        <w:t>“Consejo de Gobierno Judicial”</w:t>
      </w:r>
      <w:r w:rsidRPr="006B21EA">
        <w:rPr>
          <w:i/>
          <w:iCs/>
          <w:sz w:val="26"/>
          <w:szCs w:val="26"/>
          <w:bdr w:val="none" w:sz="0" w:space="0" w:color="auto" w:frame="1"/>
          <w:shd w:val="clear" w:color="auto" w:fill="FFFFFF"/>
          <w:lang w:val="es-CO"/>
        </w:rPr>
        <w:t> se sustituye por </w:t>
      </w:r>
      <w:r w:rsidRPr="006B21EA">
        <w:rPr>
          <w:i/>
          <w:iCs/>
          <w:sz w:val="26"/>
          <w:szCs w:val="26"/>
          <w:bdr w:val="none" w:sz="0" w:space="0" w:color="auto" w:frame="1"/>
          <w:lang w:val="es-CO"/>
        </w:rPr>
        <w:t xml:space="preserve">“Consejo Superior </w:t>
      </w:r>
      <w:r w:rsidRPr="006B21EA">
        <w:rPr>
          <w:i/>
          <w:iCs/>
          <w:sz w:val="26"/>
          <w:szCs w:val="26"/>
          <w:bdr w:val="none" w:sz="0" w:space="0" w:color="auto" w:frame="1"/>
          <w:lang w:val="es-CO"/>
        </w:rPr>
        <w:lastRenderedPageBreak/>
        <w:t>de la Judicatura”</w:t>
      </w:r>
      <w:r w:rsidRPr="006B21EA">
        <w:rPr>
          <w:i/>
          <w:iCs/>
          <w:sz w:val="26"/>
          <w:szCs w:val="26"/>
          <w:bdr w:val="none" w:sz="0" w:space="0" w:color="auto" w:frame="1"/>
          <w:shd w:val="clear" w:color="auto" w:fill="FFFFFF"/>
          <w:lang w:val="es-CO"/>
        </w:rPr>
        <w:t>, y se suprime la expresión </w:t>
      </w:r>
      <w:r w:rsidRPr="006B21EA">
        <w:rPr>
          <w:i/>
          <w:iCs/>
          <w:sz w:val="26"/>
          <w:szCs w:val="26"/>
          <w:bdr w:val="none" w:sz="0" w:space="0" w:color="auto" w:frame="1"/>
          <w:lang w:val="es-CO"/>
        </w:rPr>
        <w:t>“y adelantada por la Gerencia de la Rama Judicial”</w:t>
      </w:r>
      <w:r w:rsidRPr="006B21EA">
        <w:rPr>
          <w:i/>
          <w:iCs/>
          <w:sz w:val="26"/>
          <w:szCs w:val="26"/>
          <w:bdr w:val="none" w:sz="0" w:space="0" w:color="auto" w:frame="1"/>
          <w:shd w:val="clear" w:color="auto" w:fill="FFFFFF"/>
          <w:lang w:val="es-CO"/>
        </w:rPr>
        <w:t>.</w:t>
      </w:r>
    </w:p>
    <w:p w14:paraId="27955DDA" w14:textId="77777777" w:rsidR="00AE1B4A" w:rsidRPr="007C6F2A" w:rsidRDefault="00AE1B4A" w:rsidP="00AE1B4A">
      <w:pPr>
        <w:rPr>
          <w:sz w:val="24"/>
          <w:szCs w:val="24"/>
          <w:bdr w:val="none" w:sz="0" w:space="0" w:color="auto" w:frame="1"/>
          <w:lang w:val="es-CO" w:eastAsia="es-CO"/>
        </w:rPr>
      </w:pPr>
    </w:p>
    <w:p w14:paraId="283E316A" w14:textId="77777777" w:rsidR="00AE1B4A" w:rsidRPr="007C6F2A" w:rsidRDefault="00AE1B4A" w:rsidP="00AE1B4A">
      <w:pPr>
        <w:numPr>
          <w:ilvl w:val="1"/>
          <w:numId w:val="2"/>
        </w:numPr>
        <w:jc w:val="both"/>
        <w:rPr>
          <w:szCs w:val="28"/>
          <w:lang w:val="es-ES_tradnl"/>
        </w:rPr>
      </w:pPr>
      <w:r w:rsidRPr="007C6F2A">
        <w:rPr>
          <w:szCs w:val="28"/>
          <w:lang w:val="es-ES_tradnl"/>
        </w:rPr>
        <w:t xml:space="preserve">Ahora </w:t>
      </w:r>
      <w:r w:rsidRPr="00355CF1">
        <w:rPr>
          <w:szCs w:val="28"/>
          <w:lang w:val="es-ES_tradnl"/>
        </w:rPr>
        <w:t xml:space="preserve">bien, aunque las normas propuestas por el A.L. 02 de 2015 relacionadas con la Comisión Nacional de Disciplina Judicial no fueron evaluadas por la sentencia, ya que se sustrajeron del estudio de constitucionalidad, lo cierto es que tales preceptos sufrieron en alguna medida modificaciones, a pesar de que la sentencia constitucional enunciada se inhibió expresamente de su conocimiento. El motivo principal fue el fenómeno de la integración del Consejo Superior de la Judicatura en el ejercicio de funciones atribuidas inicialmente al Consejo de Gobierno Judicial y a </w:t>
      </w:r>
      <w:r w:rsidRPr="00355CF1">
        <w:rPr>
          <w:szCs w:val="28"/>
          <w:lang w:val="es-CO" w:eastAsia="es-CO"/>
        </w:rPr>
        <w:t xml:space="preserve">la Gerencia de la Rama Judicial, así como </w:t>
      </w:r>
      <w:r w:rsidRPr="00355CF1">
        <w:rPr>
          <w:szCs w:val="28"/>
          <w:lang w:val="es-ES_tradnl"/>
        </w:rPr>
        <w:t>la declaratoria de inexequibilidad del artículo 18 transitorio del A.L. 02 de 2015.</w:t>
      </w:r>
      <w:r w:rsidRPr="007C6F2A">
        <w:rPr>
          <w:szCs w:val="28"/>
          <w:lang w:val="es-ES_tradnl"/>
        </w:rPr>
        <w:t xml:space="preserve"> </w:t>
      </w:r>
    </w:p>
    <w:p w14:paraId="74FA7257" w14:textId="77777777" w:rsidR="00AE1B4A" w:rsidRPr="007C6F2A" w:rsidRDefault="00AE1B4A" w:rsidP="00AE1B4A">
      <w:pPr>
        <w:ind w:right="49"/>
        <w:jc w:val="both"/>
        <w:rPr>
          <w:szCs w:val="28"/>
          <w:bdr w:val="none" w:sz="0" w:space="0" w:color="auto" w:frame="1"/>
          <w:lang w:val="es-CO" w:eastAsia="es-CO"/>
        </w:rPr>
      </w:pPr>
    </w:p>
    <w:p w14:paraId="470174B5" w14:textId="77777777" w:rsidR="00AE1B4A" w:rsidRPr="00355CF1" w:rsidRDefault="00AE1B4A" w:rsidP="00AE1B4A">
      <w:pPr>
        <w:numPr>
          <w:ilvl w:val="1"/>
          <w:numId w:val="2"/>
        </w:numPr>
        <w:ind w:right="49"/>
        <w:jc w:val="both"/>
        <w:rPr>
          <w:szCs w:val="28"/>
          <w:bdr w:val="none" w:sz="0" w:space="0" w:color="auto" w:frame="1"/>
          <w:lang w:val="es-CO" w:eastAsia="es-CO"/>
        </w:rPr>
      </w:pPr>
      <w:r>
        <w:rPr>
          <w:szCs w:val="28"/>
          <w:bdr w:val="none" w:sz="0" w:space="0" w:color="auto" w:frame="1"/>
          <w:lang w:val="es-CO" w:eastAsia="es-CO"/>
        </w:rPr>
        <w:t>En tal virtud</w:t>
      </w:r>
      <w:r w:rsidRPr="00355CF1">
        <w:rPr>
          <w:szCs w:val="28"/>
          <w:bdr w:val="none" w:sz="0" w:space="0" w:color="auto" w:frame="1"/>
          <w:lang w:val="es-CO" w:eastAsia="es-CO"/>
        </w:rPr>
        <w:t xml:space="preserve">, luego de las modificaciones introducidas por el Legislador y la modulación efectuada por la Sentencia </w:t>
      </w:r>
      <w:r w:rsidRPr="00355CF1">
        <w:rPr>
          <w:b/>
          <w:szCs w:val="28"/>
          <w:bdr w:val="none" w:sz="0" w:space="0" w:color="auto" w:frame="1"/>
          <w:lang w:val="es-CO" w:eastAsia="es-CO"/>
        </w:rPr>
        <w:t>C-285 de 2016</w:t>
      </w:r>
      <w:r w:rsidRPr="00355CF1">
        <w:rPr>
          <w:szCs w:val="28"/>
          <w:bdr w:val="none" w:sz="0" w:space="0" w:color="auto" w:frame="1"/>
          <w:lang w:val="es-CO" w:eastAsia="es-CO"/>
        </w:rPr>
        <w:t>, el texto constitucional correspondiente quedó estructurado de la siguiente forma:</w:t>
      </w:r>
    </w:p>
    <w:p w14:paraId="1DE71C65" w14:textId="77777777" w:rsidR="00AE1B4A" w:rsidRPr="007C6F2A" w:rsidRDefault="00AE1B4A" w:rsidP="00AE1B4A">
      <w:pPr>
        <w:ind w:right="284"/>
        <w:jc w:val="both"/>
        <w:rPr>
          <w:i/>
          <w:iCs/>
          <w:szCs w:val="28"/>
          <w:bdr w:val="none" w:sz="0" w:space="0" w:color="auto" w:frame="1"/>
          <w:lang w:val="es-CO" w:eastAsia="es-CO"/>
        </w:rPr>
      </w:pPr>
    </w:p>
    <w:p w14:paraId="463923F6" w14:textId="77777777" w:rsidR="00AE1B4A" w:rsidRPr="00B92A13" w:rsidRDefault="00AE1B4A" w:rsidP="00AE1B4A">
      <w:pPr>
        <w:ind w:left="284" w:right="49"/>
        <w:jc w:val="both"/>
        <w:rPr>
          <w:i/>
          <w:iCs/>
          <w:sz w:val="26"/>
          <w:szCs w:val="26"/>
          <w:bdr w:val="none" w:sz="0" w:space="0" w:color="auto" w:frame="1"/>
          <w:lang w:val="es-CO" w:eastAsia="es-CO"/>
        </w:rPr>
      </w:pPr>
      <w:r w:rsidRPr="00B92A13">
        <w:rPr>
          <w:b/>
          <w:bCs/>
          <w:i/>
          <w:iCs/>
          <w:sz w:val="26"/>
          <w:szCs w:val="26"/>
          <w:bdr w:val="none" w:sz="0" w:space="0" w:color="auto" w:frame="1"/>
          <w:lang w:val="es-CO" w:eastAsia="es-CO"/>
        </w:rPr>
        <w:t>Artículo 257A.</w:t>
      </w:r>
      <w:r w:rsidRPr="00B92A13">
        <w:rPr>
          <w:i/>
          <w:iCs/>
          <w:sz w:val="26"/>
          <w:szCs w:val="26"/>
          <w:bdr w:val="none" w:sz="0" w:space="0" w:color="auto" w:frame="1"/>
          <w:lang w:val="es-CO" w:eastAsia="es-CO"/>
        </w:rPr>
        <w:t xml:space="preserve"> La Comisión Nacional de Disciplina Judicial ejercerá la función jurisdiccional disciplinaria sobre los funcionarios y empleados de la Rama Judicial.</w:t>
      </w:r>
    </w:p>
    <w:p w14:paraId="192562F8" w14:textId="77777777" w:rsidR="00AE1B4A" w:rsidRPr="00B92A13" w:rsidRDefault="00AE1B4A" w:rsidP="00AE1B4A">
      <w:pPr>
        <w:ind w:left="284" w:right="49"/>
        <w:jc w:val="both"/>
        <w:rPr>
          <w:i/>
          <w:iCs/>
          <w:sz w:val="26"/>
          <w:szCs w:val="26"/>
          <w:bdr w:val="none" w:sz="0" w:space="0" w:color="auto" w:frame="1"/>
          <w:lang w:val="es-CO" w:eastAsia="es-CO"/>
        </w:rPr>
      </w:pPr>
    </w:p>
    <w:p w14:paraId="4A528C53" w14:textId="77777777" w:rsidR="00AE1B4A" w:rsidRPr="00B92A13" w:rsidRDefault="00AE1B4A" w:rsidP="00AE1B4A">
      <w:pPr>
        <w:ind w:left="284" w:right="49"/>
        <w:jc w:val="both"/>
        <w:rPr>
          <w:i/>
          <w:iCs/>
          <w:sz w:val="26"/>
          <w:szCs w:val="26"/>
          <w:bdr w:val="none" w:sz="0" w:space="0" w:color="auto" w:frame="1"/>
          <w:lang w:val="es-CO" w:eastAsia="es-CO"/>
        </w:rPr>
      </w:pPr>
      <w:r w:rsidRPr="00B92A13">
        <w:rPr>
          <w:i/>
          <w:iCs/>
          <w:sz w:val="26"/>
          <w:szCs w:val="26"/>
          <w:bdr w:val="none" w:sz="0" w:space="0" w:color="auto" w:frame="1"/>
          <w:lang w:val="es-CO" w:eastAsia="es-CO"/>
        </w:rPr>
        <w:t xml:space="preserve">Estará conformada por siete Magistrados, cuatro de los cuales serán elegidos por el Congreso en Pleno de ternas enviadas por el </w:t>
      </w:r>
      <w:r w:rsidRPr="00B92A13">
        <w:rPr>
          <w:i/>
          <w:iCs/>
          <w:strike/>
          <w:sz w:val="26"/>
          <w:szCs w:val="26"/>
          <w:bdr w:val="none" w:sz="0" w:space="0" w:color="auto" w:frame="1"/>
          <w:lang w:val="es-CO" w:eastAsia="es-CO"/>
        </w:rPr>
        <w:t>Consejo de Gobierno Judicial</w:t>
      </w:r>
      <w:r w:rsidRPr="00B92A13">
        <w:rPr>
          <w:i/>
          <w:iCs/>
          <w:sz w:val="26"/>
          <w:szCs w:val="26"/>
          <w:bdr w:val="none" w:sz="0" w:space="0" w:color="auto" w:frame="1"/>
          <w:lang w:val="es-CO" w:eastAsia="es-CO"/>
        </w:rPr>
        <w:t xml:space="preserve"> [Consejo Superior de la Judicatura] previa convocatoria pública reglada </w:t>
      </w:r>
      <w:r w:rsidRPr="00B92A13">
        <w:rPr>
          <w:i/>
          <w:iCs/>
          <w:strike/>
          <w:sz w:val="26"/>
          <w:szCs w:val="26"/>
          <w:bdr w:val="none" w:sz="0" w:space="0" w:color="auto" w:frame="1"/>
          <w:lang w:val="es-CO" w:eastAsia="es-CO"/>
        </w:rPr>
        <w:t>adelantada por la Gerencia de la Rama Judicial</w:t>
      </w:r>
      <w:r w:rsidRPr="00B92A13">
        <w:rPr>
          <w:i/>
          <w:iCs/>
          <w:sz w:val="26"/>
          <w:szCs w:val="26"/>
          <w:bdr w:val="none" w:sz="0" w:space="0" w:color="auto" w:frame="1"/>
          <w:lang w:val="es-CO" w:eastAsia="es-CO"/>
        </w:rPr>
        <w:t>, y tres de los cuales serán elegidos por el Congreso en Pleno de ternas enviadas por el Presidente de la República, previa convocatoria pública reglada. Tendrán periodos personales de ocho años, y deberán cumplir con los mismos requisitos exigidos para ser Magistrado de la Corte Suprema de Justicia.</w:t>
      </w:r>
    </w:p>
    <w:p w14:paraId="5BDE29E3" w14:textId="77777777" w:rsidR="00AE1B4A" w:rsidRPr="00B92A13" w:rsidRDefault="00AE1B4A" w:rsidP="00AE1B4A">
      <w:pPr>
        <w:ind w:left="284" w:right="49"/>
        <w:jc w:val="both"/>
        <w:rPr>
          <w:i/>
          <w:iCs/>
          <w:sz w:val="26"/>
          <w:szCs w:val="26"/>
          <w:bdr w:val="none" w:sz="0" w:space="0" w:color="auto" w:frame="1"/>
          <w:lang w:val="es-CO" w:eastAsia="es-CO"/>
        </w:rPr>
      </w:pPr>
    </w:p>
    <w:p w14:paraId="74F9CC38" w14:textId="77777777" w:rsidR="00AE1B4A" w:rsidRPr="00B92A13" w:rsidRDefault="00AE1B4A" w:rsidP="00AE1B4A">
      <w:pPr>
        <w:ind w:left="284" w:right="49"/>
        <w:jc w:val="both"/>
        <w:rPr>
          <w:i/>
          <w:iCs/>
          <w:sz w:val="26"/>
          <w:szCs w:val="26"/>
          <w:bdr w:val="none" w:sz="0" w:space="0" w:color="auto" w:frame="1"/>
          <w:lang w:val="es-CO" w:eastAsia="es-CO"/>
        </w:rPr>
      </w:pPr>
      <w:r w:rsidRPr="00B92A13">
        <w:rPr>
          <w:i/>
          <w:iCs/>
          <w:sz w:val="26"/>
          <w:szCs w:val="26"/>
          <w:bdr w:val="none" w:sz="0" w:space="0" w:color="auto" w:frame="1"/>
          <w:lang w:val="es-CO" w:eastAsia="es-CO"/>
        </w:rPr>
        <w:t xml:space="preserve">Los Magistrados de la Comisión Nacional de Disciplina Judicial no podrán ser reelegidos. </w:t>
      </w:r>
    </w:p>
    <w:p w14:paraId="2E1C699F" w14:textId="77777777" w:rsidR="00AE1B4A" w:rsidRPr="00B92A13" w:rsidRDefault="00AE1B4A" w:rsidP="00AE1B4A">
      <w:pPr>
        <w:ind w:left="284" w:right="49"/>
        <w:jc w:val="both"/>
        <w:rPr>
          <w:i/>
          <w:iCs/>
          <w:sz w:val="26"/>
          <w:szCs w:val="26"/>
          <w:bdr w:val="none" w:sz="0" w:space="0" w:color="auto" w:frame="1"/>
          <w:lang w:val="es-CO" w:eastAsia="es-CO"/>
        </w:rPr>
      </w:pPr>
    </w:p>
    <w:p w14:paraId="130CB42F" w14:textId="77777777" w:rsidR="00AE1B4A" w:rsidRPr="00B92A13" w:rsidRDefault="00AE1B4A" w:rsidP="00AE1B4A">
      <w:pPr>
        <w:ind w:left="284" w:right="49"/>
        <w:jc w:val="both"/>
        <w:rPr>
          <w:i/>
          <w:iCs/>
          <w:sz w:val="26"/>
          <w:szCs w:val="26"/>
          <w:bdr w:val="none" w:sz="0" w:space="0" w:color="auto" w:frame="1"/>
          <w:lang w:val="es-CO" w:eastAsia="es-CO"/>
        </w:rPr>
      </w:pPr>
      <w:r w:rsidRPr="00B92A13">
        <w:rPr>
          <w:i/>
          <w:iCs/>
          <w:sz w:val="26"/>
          <w:szCs w:val="26"/>
          <w:bdr w:val="none" w:sz="0" w:space="0" w:color="auto" w:frame="1"/>
          <w:lang w:val="es-CO" w:eastAsia="es-CO"/>
        </w:rPr>
        <w:t>Podrá haber Comisiones Seccionales de Disciplina Judicial integradas como lo señale la ley.</w:t>
      </w:r>
    </w:p>
    <w:p w14:paraId="6969241F" w14:textId="77777777" w:rsidR="00AE1B4A" w:rsidRPr="00B92A13" w:rsidRDefault="00AE1B4A" w:rsidP="00AE1B4A">
      <w:pPr>
        <w:ind w:left="284" w:right="49"/>
        <w:jc w:val="both"/>
        <w:rPr>
          <w:i/>
          <w:iCs/>
          <w:sz w:val="26"/>
          <w:szCs w:val="26"/>
          <w:bdr w:val="none" w:sz="0" w:space="0" w:color="auto" w:frame="1"/>
          <w:lang w:val="es-CO" w:eastAsia="es-CO"/>
        </w:rPr>
      </w:pPr>
    </w:p>
    <w:p w14:paraId="019BAA2F" w14:textId="77777777" w:rsidR="00AE1B4A" w:rsidRPr="00B92A13" w:rsidRDefault="00AE1B4A" w:rsidP="00AE1B4A">
      <w:pPr>
        <w:ind w:left="284" w:right="49"/>
        <w:jc w:val="both"/>
        <w:rPr>
          <w:i/>
          <w:iCs/>
          <w:sz w:val="26"/>
          <w:szCs w:val="26"/>
          <w:bdr w:val="none" w:sz="0" w:space="0" w:color="auto" w:frame="1"/>
          <w:lang w:val="es-CO" w:eastAsia="es-CO"/>
        </w:rPr>
      </w:pPr>
      <w:r w:rsidRPr="00B92A13">
        <w:rPr>
          <w:i/>
          <w:iCs/>
          <w:sz w:val="26"/>
          <w:szCs w:val="26"/>
          <w:bdr w:val="none" w:sz="0" w:space="0" w:color="auto" w:frame="1"/>
          <w:lang w:val="es-CO" w:eastAsia="es-CO"/>
        </w:rPr>
        <w:t>La Comisión Nacional de Disciplina Judicial será la encargada de examinar la conducta y sancionar las faltas de los abogados en ejercicio de su profesión, en la instancia que señale la ley, salvo que esta función se atribuya por la ley a un Colegio de Abogados.</w:t>
      </w:r>
    </w:p>
    <w:p w14:paraId="4BDC7649" w14:textId="77777777" w:rsidR="00AE1B4A" w:rsidRPr="00B92A13" w:rsidRDefault="00AE1B4A" w:rsidP="00AE1B4A">
      <w:pPr>
        <w:ind w:left="284" w:right="49"/>
        <w:jc w:val="both"/>
        <w:rPr>
          <w:i/>
          <w:iCs/>
          <w:sz w:val="26"/>
          <w:szCs w:val="26"/>
          <w:bdr w:val="none" w:sz="0" w:space="0" w:color="auto" w:frame="1"/>
          <w:lang w:val="es-CO" w:eastAsia="es-CO"/>
        </w:rPr>
      </w:pPr>
    </w:p>
    <w:p w14:paraId="63B2A49D" w14:textId="77777777" w:rsidR="00AE1B4A" w:rsidRPr="00B92A13" w:rsidRDefault="00AE1B4A" w:rsidP="00AE1B4A">
      <w:pPr>
        <w:ind w:left="284" w:right="49"/>
        <w:jc w:val="both"/>
        <w:rPr>
          <w:i/>
          <w:iCs/>
          <w:sz w:val="26"/>
          <w:szCs w:val="26"/>
          <w:bdr w:val="none" w:sz="0" w:space="0" w:color="auto" w:frame="1"/>
          <w:lang w:val="es-CO" w:eastAsia="es-CO"/>
        </w:rPr>
      </w:pPr>
      <w:r w:rsidRPr="00B92A13">
        <w:rPr>
          <w:b/>
          <w:bCs/>
          <w:i/>
          <w:iCs/>
          <w:sz w:val="26"/>
          <w:szCs w:val="26"/>
          <w:bdr w:val="none" w:sz="0" w:space="0" w:color="auto" w:frame="1"/>
          <w:lang w:val="es-CO" w:eastAsia="es-CO"/>
        </w:rPr>
        <w:t>Parágrafo.</w:t>
      </w:r>
      <w:r w:rsidRPr="00B92A13">
        <w:rPr>
          <w:i/>
          <w:iCs/>
          <w:sz w:val="26"/>
          <w:szCs w:val="26"/>
          <w:bdr w:val="none" w:sz="0" w:space="0" w:color="auto" w:frame="1"/>
          <w:lang w:val="es-CO" w:eastAsia="es-CO"/>
        </w:rPr>
        <w:t xml:space="preserve"> La Comisión Nacional de Disciplina Judicial y las Comisiones Seccionales de Disciplina Judicial no serán competentes para conocer de acciones de tutela.</w:t>
      </w:r>
    </w:p>
    <w:p w14:paraId="5761F506" w14:textId="77777777" w:rsidR="00AE1B4A" w:rsidRPr="00B92A13" w:rsidRDefault="00AE1B4A" w:rsidP="00AE1B4A">
      <w:pPr>
        <w:ind w:left="284" w:right="49"/>
        <w:jc w:val="both"/>
        <w:rPr>
          <w:i/>
          <w:iCs/>
          <w:sz w:val="26"/>
          <w:szCs w:val="26"/>
          <w:bdr w:val="none" w:sz="0" w:space="0" w:color="auto" w:frame="1"/>
          <w:lang w:val="es-CO" w:eastAsia="es-CO"/>
        </w:rPr>
      </w:pPr>
    </w:p>
    <w:p w14:paraId="6401C6C9" w14:textId="77777777" w:rsidR="00AE1B4A" w:rsidRPr="00B92A13" w:rsidRDefault="00AE1B4A" w:rsidP="00AE1B4A">
      <w:pPr>
        <w:ind w:left="284" w:right="49"/>
        <w:jc w:val="both"/>
        <w:rPr>
          <w:i/>
          <w:iCs/>
          <w:sz w:val="26"/>
          <w:szCs w:val="26"/>
          <w:bdr w:val="none" w:sz="0" w:space="0" w:color="auto" w:frame="1"/>
          <w:lang w:val="es-CO" w:eastAsia="es-CO"/>
        </w:rPr>
      </w:pPr>
      <w:r w:rsidRPr="00B92A13">
        <w:rPr>
          <w:b/>
          <w:bCs/>
          <w:i/>
          <w:iCs/>
          <w:sz w:val="26"/>
          <w:szCs w:val="26"/>
          <w:bdr w:val="none" w:sz="0" w:space="0" w:color="auto" w:frame="1"/>
          <w:lang w:val="es-CO" w:eastAsia="es-CO"/>
        </w:rPr>
        <w:t>Parágrafo transitorio 1°</w:t>
      </w:r>
      <w:r w:rsidRPr="00B92A13">
        <w:rPr>
          <w:i/>
          <w:iCs/>
          <w:sz w:val="26"/>
          <w:szCs w:val="26"/>
          <w:bdr w:val="none" w:sz="0" w:space="0" w:color="auto" w:frame="1"/>
          <w:lang w:val="es-CO" w:eastAsia="es-CO"/>
        </w:rPr>
        <w:t xml:space="preserve">. Los Magistrados de la Comisión Nacional de Disciplina Judicial deberán ser elegidos dentro del año siguiente a la vigencia del presente acto legislativo. Una vez posesionados, la Comisión Nacional de Disciplina Judicial asumirá los procesos disciplinarios de la Sala Jurisdiccional </w:t>
      </w:r>
      <w:r w:rsidRPr="00B92A13">
        <w:rPr>
          <w:i/>
          <w:iCs/>
          <w:sz w:val="26"/>
          <w:szCs w:val="26"/>
          <w:bdr w:val="none" w:sz="0" w:space="0" w:color="auto" w:frame="1"/>
          <w:lang w:val="es-CO" w:eastAsia="es-CO"/>
        </w:rPr>
        <w:lastRenderedPageBreak/>
        <w:t>Disciplinaria del Consejo Superior de la Judicatura. Los actuales Magistrados de la Sala Jurisdiccional Disciplinaria del Consejo Superior de la Judicatura, ejercerán sus funciones hasta el día que se posesionen los miembros de la Comisión Nacional de Disciplina Judicial. Las Salas Disciplinarias de los Consejos Seccionales de la Judicatura serán transformadas en Comisiones Seccionales de Disciplina Judicial. Se garantizarán los derechos de carrera de los Magistrados y empleados de las salas disciplinarias de los Consejos Seccionales de la Judicatura quienes continuarán conociendo de los procesos a su cargo, sin solución de continuidad.</w:t>
      </w:r>
    </w:p>
    <w:p w14:paraId="33340488" w14:textId="77777777" w:rsidR="00AE1B4A" w:rsidRPr="007C6F2A" w:rsidRDefault="00AE1B4A" w:rsidP="00AE1B4A">
      <w:pPr>
        <w:ind w:right="49"/>
        <w:jc w:val="both"/>
        <w:rPr>
          <w:b/>
          <w:iCs/>
          <w:szCs w:val="28"/>
          <w:bdr w:val="none" w:sz="0" w:space="0" w:color="auto" w:frame="1"/>
          <w:lang w:val="es-CO" w:eastAsia="es-CO"/>
        </w:rPr>
      </w:pPr>
    </w:p>
    <w:p w14:paraId="6D9EA461" w14:textId="77777777" w:rsidR="00AE1B4A" w:rsidRPr="00355CF1" w:rsidRDefault="00AE1B4A" w:rsidP="00AE1B4A">
      <w:pPr>
        <w:numPr>
          <w:ilvl w:val="1"/>
          <w:numId w:val="2"/>
        </w:numPr>
        <w:ind w:right="49"/>
        <w:jc w:val="both"/>
        <w:rPr>
          <w:b/>
          <w:iCs/>
          <w:szCs w:val="28"/>
          <w:bdr w:val="none" w:sz="0" w:space="0" w:color="auto" w:frame="1"/>
          <w:lang w:val="es-CO" w:eastAsia="es-CO"/>
        </w:rPr>
      </w:pPr>
      <w:r w:rsidRPr="007C6F2A">
        <w:rPr>
          <w:szCs w:val="28"/>
          <w:bdr w:val="none" w:sz="0" w:space="0" w:color="auto" w:frame="1"/>
          <w:lang w:val="es-CO" w:eastAsia="es-CO"/>
        </w:rPr>
        <w:t>Este es entonces el contenido actual del artículo 257A constitucional</w:t>
      </w:r>
      <w:r>
        <w:rPr>
          <w:szCs w:val="28"/>
          <w:bdr w:val="none" w:sz="0" w:space="0" w:color="auto" w:frame="1"/>
          <w:lang w:val="es-CO" w:eastAsia="es-CO"/>
        </w:rPr>
        <w:t xml:space="preserve">, </w:t>
      </w:r>
      <w:r w:rsidRPr="00355CF1">
        <w:rPr>
          <w:szCs w:val="28"/>
          <w:bdr w:val="none" w:sz="0" w:space="0" w:color="auto" w:frame="1"/>
          <w:lang w:val="es-CO" w:eastAsia="es-CO"/>
        </w:rPr>
        <w:t>relativo a la Comisión Nacional de Disciplina Judicial.</w:t>
      </w:r>
    </w:p>
    <w:p w14:paraId="7A15084F" w14:textId="77777777" w:rsidR="00AE1B4A" w:rsidRPr="007C6F2A" w:rsidRDefault="00AE1B4A" w:rsidP="00AE1B4A">
      <w:pPr>
        <w:spacing w:line="276" w:lineRule="auto"/>
        <w:ind w:right="49"/>
        <w:jc w:val="both"/>
        <w:rPr>
          <w:b/>
          <w:iCs/>
          <w:szCs w:val="28"/>
          <w:bdr w:val="none" w:sz="0" w:space="0" w:color="auto" w:frame="1"/>
          <w:lang w:val="es-CO" w:eastAsia="es-CO"/>
        </w:rPr>
      </w:pPr>
    </w:p>
    <w:p w14:paraId="13ECAE45" w14:textId="77777777" w:rsidR="00AE1B4A" w:rsidRPr="007C6F2A" w:rsidRDefault="00AE1B4A" w:rsidP="00AE1B4A">
      <w:pPr>
        <w:ind w:right="49"/>
        <w:jc w:val="both"/>
        <w:rPr>
          <w:b/>
          <w:iCs/>
          <w:sz w:val="30"/>
          <w:szCs w:val="30"/>
          <w:bdr w:val="none" w:sz="0" w:space="0" w:color="auto" w:frame="1"/>
          <w:lang w:val="es-CO" w:eastAsia="es-CO"/>
        </w:rPr>
      </w:pPr>
      <w:r w:rsidRPr="007C6F2A">
        <w:rPr>
          <w:b/>
          <w:iCs/>
          <w:sz w:val="30"/>
          <w:szCs w:val="30"/>
          <w:bdr w:val="none" w:sz="0" w:space="0" w:color="auto" w:frame="1"/>
          <w:lang w:val="es-CO" w:eastAsia="es-CO"/>
        </w:rPr>
        <w:t xml:space="preserve">Reglamentación de la convocatoria pública para integrar algunas de las ternas necesarias para la conformación de la Comisión Nacional de Disciplina Judicial </w:t>
      </w:r>
    </w:p>
    <w:p w14:paraId="79E6525F" w14:textId="77777777" w:rsidR="00AE1B4A" w:rsidRPr="007C6F2A" w:rsidRDefault="00AE1B4A" w:rsidP="00AE1B4A">
      <w:pPr>
        <w:spacing w:line="276" w:lineRule="auto"/>
        <w:jc w:val="both"/>
        <w:rPr>
          <w:szCs w:val="28"/>
          <w:bdr w:val="none" w:sz="0" w:space="0" w:color="auto" w:frame="1"/>
          <w:lang w:val="es-CO" w:eastAsia="es-CO"/>
        </w:rPr>
      </w:pPr>
    </w:p>
    <w:p w14:paraId="13F30764" w14:textId="77777777" w:rsidR="00AE1B4A" w:rsidRPr="00B92A13" w:rsidRDefault="00AE1B4A" w:rsidP="00AE1B4A">
      <w:pPr>
        <w:numPr>
          <w:ilvl w:val="0"/>
          <w:numId w:val="2"/>
        </w:numPr>
        <w:jc w:val="both"/>
        <w:rPr>
          <w:szCs w:val="28"/>
          <w:bdr w:val="none" w:sz="0" w:space="0" w:color="auto" w:frame="1"/>
          <w:lang w:eastAsia="es-CO"/>
        </w:rPr>
      </w:pPr>
      <w:r w:rsidRPr="007C6F2A">
        <w:rPr>
          <w:szCs w:val="28"/>
          <w:lang w:val="es-ES_tradnl"/>
        </w:rPr>
        <w:t xml:space="preserve">El Consejo Superior de la </w:t>
      </w:r>
      <w:r w:rsidRPr="00B92A13">
        <w:rPr>
          <w:szCs w:val="28"/>
          <w:lang w:val="es-ES_tradnl"/>
        </w:rPr>
        <w:t xml:space="preserve">Judicatura </w:t>
      </w:r>
      <w:r>
        <w:rPr>
          <w:szCs w:val="28"/>
          <w:lang w:val="es-ES_tradnl"/>
        </w:rPr>
        <w:t>(</w:t>
      </w:r>
      <w:r w:rsidRPr="00B92A13">
        <w:rPr>
          <w:szCs w:val="28"/>
          <w:lang w:val="es-ES_tradnl"/>
        </w:rPr>
        <w:t>en adelante CSJ</w:t>
      </w:r>
      <w:r>
        <w:rPr>
          <w:szCs w:val="28"/>
          <w:lang w:val="es-ES_tradnl"/>
        </w:rPr>
        <w:t>)</w:t>
      </w:r>
      <w:r w:rsidRPr="00B92A13">
        <w:rPr>
          <w:szCs w:val="28"/>
          <w:lang w:val="es-ES_tradnl"/>
        </w:rPr>
        <w:t>, expidió l</w:t>
      </w:r>
      <w:r>
        <w:rPr>
          <w:szCs w:val="28"/>
          <w:lang w:val="es-ES_tradnl"/>
        </w:rPr>
        <w:t>o</w:t>
      </w:r>
      <w:r w:rsidRPr="00B92A13">
        <w:rPr>
          <w:szCs w:val="28"/>
          <w:lang w:val="es-ES_tradnl"/>
        </w:rPr>
        <w:t xml:space="preserve">s siguientes </w:t>
      </w:r>
      <w:r>
        <w:rPr>
          <w:szCs w:val="28"/>
          <w:lang w:val="es-ES_tradnl"/>
        </w:rPr>
        <w:t>actos</w:t>
      </w:r>
      <w:r w:rsidRPr="00B92A13">
        <w:rPr>
          <w:szCs w:val="28"/>
          <w:lang w:val="es-ES_tradnl"/>
        </w:rPr>
        <w:t>, con el propósito de conformar las ternas para el nombramiento de los Magistrados de la Comisión Nacional de Disciplina Judicial, así:</w:t>
      </w:r>
    </w:p>
    <w:p w14:paraId="6D6F4AFC" w14:textId="77777777" w:rsidR="00AE1B4A" w:rsidRPr="00B92A13" w:rsidRDefault="00AE1B4A" w:rsidP="00AE1B4A">
      <w:pPr>
        <w:ind w:right="333"/>
        <w:jc w:val="both"/>
        <w:rPr>
          <w:szCs w:val="28"/>
          <w:lang w:val="es-ES_tradnl"/>
        </w:rPr>
      </w:pPr>
    </w:p>
    <w:p w14:paraId="619CA692" w14:textId="77777777" w:rsidR="00AE1B4A" w:rsidRPr="00B92A13" w:rsidRDefault="00AE1B4A" w:rsidP="00AE1B4A">
      <w:pPr>
        <w:ind w:left="567" w:right="49"/>
        <w:jc w:val="both"/>
        <w:rPr>
          <w:szCs w:val="28"/>
          <w:lang w:val="es-ES_tradnl"/>
        </w:rPr>
      </w:pPr>
      <w:r w:rsidRPr="00B92A13">
        <w:rPr>
          <w:b/>
          <w:szCs w:val="28"/>
          <w:lang w:val="es-ES_tradnl"/>
        </w:rPr>
        <w:t>(i)</w:t>
      </w:r>
      <w:r w:rsidRPr="00B92A13">
        <w:rPr>
          <w:szCs w:val="28"/>
          <w:lang w:val="es-ES_tradnl"/>
        </w:rPr>
        <w:t xml:space="preserve"> el </w:t>
      </w:r>
      <w:bookmarkStart w:id="2" w:name="_Hlk23960809"/>
      <w:r w:rsidRPr="00B92A13">
        <w:rPr>
          <w:b/>
          <w:szCs w:val="28"/>
          <w:lang w:val="es-ES_tradnl"/>
        </w:rPr>
        <w:t xml:space="preserve">Acuerdo PSAA16-10548 </w:t>
      </w:r>
      <w:bookmarkEnd w:id="2"/>
      <w:r w:rsidRPr="00B92A13">
        <w:rPr>
          <w:szCs w:val="28"/>
          <w:lang w:val="es-ES_tradnl"/>
        </w:rPr>
        <w:t>de 27 de julio de 2016, “</w:t>
      </w:r>
      <w:r w:rsidRPr="00B92A13">
        <w:rPr>
          <w:i/>
          <w:szCs w:val="28"/>
          <w:lang w:val="es-ES_tradnl"/>
        </w:rPr>
        <w:t xml:space="preserve">Por medio del cual se reglamenta la convocatoria pública para integrar las ternas de candidatos a Magistrados de la Comisión Nacional de Disciplina </w:t>
      </w:r>
      <w:r w:rsidRPr="00355CF1">
        <w:rPr>
          <w:i/>
          <w:szCs w:val="28"/>
          <w:lang w:val="es-ES_tradnl"/>
        </w:rPr>
        <w:t>Judicial</w:t>
      </w:r>
      <w:r w:rsidRPr="00355CF1">
        <w:rPr>
          <w:szCs w:val="28"/>
          <w:lang w:val="es-ES_tradnl"/>
        </w:rPr>
        <w:t>”, y</w:t>
      </w:r>
      <w:r>
        <w:rPr>
          <w:szCs w:val="28"/>
          <w:lang w:val="es-ES_tradnl"/>
        </w:rPr>
        <w:t xml:space="preserve"> </w:t>
      </w:r>
    </w:p>
    <w:p w14:paraId="51AF2726" w14:textId="77777777" w:rsidR="00AE1B4A" w:rsidRPr="00B92A13" w:rsidRDefault="00AE1B4A" w:rsidP="00AE1B4A">
      <w:pPr>
        <w:ind w:left="567" w:right="49"/>
        <w:jc w:val="both"/>
        <w:rPr>
          <w:szCs w:val="28"/>
          <w:lang w:val="es-ES_tradnl"/>
        </w:rPr>
      </w:pPr>
    </w:p>
    <w:p w14:paraId="477DBD2A" w14:textId="77777777" w:rsidR="00AE1B4A" w:rsidRPr="00B92A13" w:rsidRDefault="00AE1B4A" w:rsidP="00AE1B4A">
      <w:pPr>
        <w:ind w:left="567" w:right="49"/>
        <w:jc w:val="both"/>
        <w:rPr>
          <w:szCs w:val="28"/>
          <w:lang w:val="es-ES_tradnl"/>
        </w:rPr>
      </w:pPr>
      <w:r w:rsidRPr="00B92A13">
        <w:rPr>
          <w:b/>
          <w:szCs w:val="28"/>
          <w:lang w:val="es-ES_tradnl"/>
        </w:rPr>
        <w:t>(ii)</w:t>
      </w:r>
      <w:r w:rsidRPr="00B92A13">
        <w:rPr>
          <w:szCs w:val="28"/>
          <w:lang w:val="es-ES_tradnl"/>
        </w:rPr>
        <w:t xml:space="preserve"> el </w:t>
      </w:r>
      <w:r w:rsidRPr="00B92A13">
        <w:rPr>
          <w:b/>
          <w:szCs w:val="28"/>
          <w:lang w:val="es-ES_tradnl"/>
        </w:rPr>
        <w:t xml:space="preserve">Acuerdo PSAA16-10575 </w:t>
      </w:r>
      <w:r w:rsidRPr="00B92A13">
        <w:rPr>
          <w:szCs w:val="28"/>
          <w:lang w:val="es-ES_tradnl"/>
        </w:rPr>
        <w:t>de</w:t>
      </w:r>
      <w:r w:rsidRPr="00B92A13">
        <w:rPr>
          <w:b/>
          <w:szCs w:val="28"/>
          <w:lang w:val="es-ES_tradnl"/>
        </w:rPr>
        <w:t xml:space="preserve"> </w:t>
      </w:r>
      <w:r w:rsidRPr="00B92A13">
        <w:rPr>
          <w:szCs w:val="28"/>
          <w:lang w:val="es-ES_tradnl"/>
        </w:rPr>
        <w:t>21 de septiembre de 2016, “</w:t>
      </w:r>
      <w:r w:rsidRPr="00B92A13">
        <w:rPr>
          <w:i/>
          <w:szCs w:val="28"/>
          <w:lang w:val="es-ES_tradnl"/>
        </w:rPr>
        <w:t>Por el cual se formulan ante el Congreso de la República, ternas para proveer cuatro cargos de Magistrados de la Comisión Nacional de Disciplina Judicial</w:t>
      </w:r>
      <w:r w:rsidRPr="00B92A13">
        <w:rPr>
          <w:szCs w:val="28"/>
          <w:lang w:val="es-ES_tradnl"/>
        </w:rPr>
        <w:t xml:space="preserve">”. </w:t>
      </w:r>
    </w:p>
    <w:p w14:paraId="3DCEBE5D" w14:textId="77777777" w:rsidR="00AE1B4A" w:rsidRPr="00B92A13" w:rsidRDefault="00AE1B4A" w:rsidP="00AE1B4A">
      <w:pPr>
        <w:jc w:val="both"/>
        <w:rPr>
          <w:szCs w:val="28"/>
          <w:bdr w:val="none" w:sz="0" w:space="0" w:color="auto" w:frame="1"/>
          <w:lang w:eastAsia="es-CO"/>
        </w:rPr>
      </w:pPr>
    </w:p>
    <w:p w14:paraId="3F69C1EA" w14:textId="77777777" w:rsidR="00AE1B4A" w:rsidRPr="00355CF1" w:rsidRDefault="00AE1B4A" w:rsidP="00AE1B4A">
      <w:pPr>
        <w:numPr>
          <w:ilvl w:val="0"/>
          <w:numId w:val="2"/>
        </w:numPr>
        <w:jc w:val="both"/>
        <w:rPr>
          <w:szCs w:val="28"/>
          <w:bdr w:val="none" w:sz="0" w:space="0" w:color="auto" w:frame="1"/>
          <w:lang w:eastAsia="es-CO"/>
        </w:rPr>
      </w:pPr>
      <w:r w:rsidRPr="00B92A13">
        <w:rPr>
          <w:rFonts w:eastAsia="Calibri"/>
          <w:szCs w:val="28"/>
          <w:lang w:val="es-CO" w:eastAsia="en-US"/>
        </w:rPr>
        <w:t xml:space="preserve">El </w:t>
      </w:r>
      <w:r w:rsidRPr="00B92A13">
        <w:rPr>
          <w:b/>
          <w:szCs w:val="28"/>
          <w:lang w:val="es-ES_tradnl"/>
        </w:rPr>
        <w:t>Acuerdo PSAA16-10548</w:t>
      </w:r>
      <w:r w:rsidRPr="00B92A13">
        <w:rPr>
          <w:bCs/>
          <w:szCs w:val="28"/>
          <w:lang w:val="es-ES_tradnl"/>
        </w:rPr>
        <w:t>,</w:t>
      </w:r>
      <w:r w:rsidRPr="00B92A13">
        <w:rPr>
          <w:rFonts w:eastAsia="Calibri"/>
          <w:szCs w:val="28"/>
          <w:lang w:val="es-CO" w:eastAsia="en-US"/>
        </w:rPr>
        <w:t xml:space="preserve"> </w:t>
      </w:r>
      <w:r w:rsidRPr="00355CF1">
        <w:rPr>
          <w:rFonts w:eastAsia="Calibri"/>
          <w:szCs w:val="28"/>
          <w:lang w:val="es-CO" w:eastAsia="en-US"/>
        </w:rPr>
        <w:t xml:space="preserve">según su texto literal, se expidió con fundamento en las atribuciones generales del CSJ, y en particular, siguiendo los lineamientos de la </w:t>
      </w:r>
      <w:r w:rsidRPr="00355CF1">
        <w:rPr>
          <w:rFonts w:eastAsia="Calibri"/>
          <w:b/>
          <w:bCs/>
          <w:szCs w:val="28"/>
          <w:lang w:val="es-CO" w:eastAsia="en-US"/>
        </w:rPr>
        <w:t>Sentencia C-285 de 2016</w:t>
      </w:r>
      <w:r w:rsidRPr="00355CF1">
        <w:rPr>
          <w:rStyle w:val="Refdenotaalpie"/>
          <w:rFonts w:eastAsia="Calibri"/>
          <w:b/>
          <w:bCs/>
          <w:szCs w:val="28"/>
          <w:lang w:val="es-CO" w:eastAsia="en-US"/>
        </w:rPr>
        <w:footnoteReference w:id="19"/>
      </w:r>
      <w:r w:rsidRPr="00355CF1">
        <w:rPr>
          <w:rFonts w:eastAsia="Calibri"/>
          <w:szCs w:val="28"/>
          <w:lang w:val="es-CO" w:eastAsia="en-US"/>
        </w:rPr>
        <w:t xml:space="preserve"> de la Corte Constitucional, y lo aprobado en sesión del 27 de julio de 2016 por esa misma institución. El Acto en mención tenía los siguientes objetivos: </w:t>
      </w:r>
    </w:p>
    <w:p w14:paraId="5740F676" w14:textId="77777777" w:rsidR="00AE1B4A" w:rsidRPr="00B92A13" w:rsidRDefault="00AE1B4A" w:rsidP="00AE1B4A">
      <w:pPr>
        <w:jc w:val="both"/>
        <w:rPr>
          <w:rFonts w:eastAsia="Calibri"/>
          <w:szCs w:val="28"/>
          <w:lang w:eastAsia="en-US"/>
        </w:rPr>
      </w:pPr>
    </w:p>
    <w:p w14:paraId="723BFF81" w14:textId="77777777" w:rsidR="00AE1B4A" w:rsidRPr="007C6F2A" w:rsidRDefault="00AE1B4A" w:rsidP="00AE1B4A">
      <w:pPr>
        <w:numPr>
          <w:ilvl w:val="0"/>
          <w:numId w:val="18"/>
        </w:numPr>
        <w:tabs>
          <w:tab w:val="left" w:pos="709"/>
          <w:tab w:val="left" w:pos="993"/>
        </w:tabs>
        <w:ind w:left="567" w:firstLine="0"/>
        <w:jc w:val="both"/>
        <w:rPr>
          <w:rFonts w:eastAsia="Calibri"/>
          <w:szCs w:val="28"/>
          <w:lang w:val="es-CO" w:eastAsia="en-US"/>
        </w:rPr>
      </w:pPr>
      <w:r w:rsidRPr="00B92A13">
        <w:rPr>
          <w:rFonts w:eastAsia="Calibri"/>
          <w:szCs w:val="28"/>
          <w:lang w:val="es-CO" w:eastAsia="en-US"/>
        </w:rPr>
        <w:t>Reglamentar la convocatoria pública</w:t>
      </w:r>
      <w:r w:rsidRPr="007C6F2A">
        <w:rPr>
          <w:rFonts w:eastAsia="Calibri"/>
          <w:szCs w:val="28"/>
          <w:lang w:val="es-CO" w:eastAsia="en-US"/>
        </w:rPr>
        <w:t xml:space="preserve"> para integrar las ternas de candidatos a </w:t>
      </w:r>
      <w:r>
        <w:rPr>
          <w:rFonts w:eastAsia="Calibri"/>
          <w:szCs w:val="28"/>
          <w:lang w:val="es-CO" w:eastAsia="en-US"/>
        </w:rPr>
        <w:t>M</w:t>
      </w:r>
      <w:r w:rsidRPr="007C6F2A">
        <w:rPr>
          <w:rFonts w:eastAsia="Calibri"/>
          <w:szCs w:val="28"/>
          <w:lang w:val="es-CO" w:eastAsia="en-US"/>
        </w:rPr>
        <w:t>agistrados de la Comisión Nacional de Disciplina Judicial (Art. 1)</w:t>
      </w:r>
      <w:r>
        <w:rPr>
          <w:rFonts w:eastAsia="Calibri"/>
          <w:szCs w:val="28"/>
          <w:lang w:val="es-CO" w:eastAsia="en-US"/>
        </w:rPr>
        <w:t>.</w:t>
      </w:r>
    </w:p>
    <w:p w14:paraId="02C5F49F" w14:textId="77777777" w:rsidR="00AE1B4A" w:rsidRPr="007C6F2A" w:rsidRDefault="00AE1B4A" w:rsidP="00AE1B4A">
      <w:pPr>
        <w:tabs>
          <w:tab w:val="left" w:pos="709"/>
          <w:tab w:val="left" w:pos="993"/>
        </w:tabs>
        <w:ind w:left="567"/>
        <w:jc w:val="both"/>
        <w:rPr>
          <w:rFonts w:eastAsia="Calibri"/>
          <w:szCs w:val="28"/>
          <w:lang w:val="es-CO" w:eastAsia="en-US"/>
        </w:rPr>
      </w:pPr>
    </w:p>
    <w:p w14:paraId="7F463BDE" w14:textId="77777777" w:rsidR="00AE1B4A" w:rsidRPr="007C6F2A" w:rsidRDefault="00AE1B4A" w:rsidP="00AE1B4A">
      <w:pPr>
        <w:numPr>
          <w:ilvl w:val="0"/>
          <w:numId w:val="18"/>
        </w:numPr>
        <w:tabs>
          <w:tab w:val="left" w:pos="709"/>
          <w:tab w:val="left" w:pos="993"/>
        </w:tabs>
        <w:ind w:left="567" w:firstLine="0"/>
        <w:jc w:val="both"/>
        <w:rPr>
          <w:szCs w:val="28"/>
          <w:bdr w:val="none" w:sz="0" w:space="0" w:color="auto" w:frame="1"/>
          <w:lang w:eastAsia="es-CO"/>
        </w:rPr>
      </w:pPr>
      <w:r w:rsidRPr="007C6F2A">
        <w:rPr>
          <w:rFonts w:eastAsia="Calibri"/>
          <w:szCs w:val="28"/>
          <w:lang w:val="es-CO" w:eastAsia="en-US"/>
        </w:rPr>
        <w:t>Establecer los principios que deberían regir la convocatoria</w:t>
      </w:r>
      <w:r>
        <w:rPr>
          <w:rFonts w:eastAsia="Calibri"/>
          <w:szCs w:val="28"/>
          <w:lang w:val="es-CO" w:eastAsia="en-US"/>
        </w:rPr>
        <w:t xml:space="preserve">: </w:t>
      </w:r>
      <w:r w:rsidRPr="007C6F2A">
        <w:rPr>
          <w:rFonts w:eastAsia="Calibri"/>
          <w:szCs w:val="28"/>
          <w:lang w:val="es-CO" w:eastAsia="en-US"/>
        </w:rPr>
        <w:t xml:space="preserve">publicidad, transparencia, participación ciudadana, equidad de género, </w:t>
      </w:r>
      <w:r w:rsidRPr="007C6F2A">
        <w:rPr>
          <w:rFonts w:eastAsia="Calibri"/>
          <w:szCs w:val="28"/>
          <w:lang w:val="es-CO" w:eastAsia="en-US"/>
        </w:rPr>
        <w:lastRenderedPageBreak/>
        <w:t xml:space="preserve">mérito y los </w:t>
      </w:r>
      <w:r>
        <w:rPr>
          <w:rFonts w:eastAsia="Calibri"/>
          <w:szCs w:val="28"/>
          <w:lang w:val="es-CO" w:eastAsia="en-US"/>
        </w:rPr>
        <w:t>mandatos</w:t>
      </w:r>
      <w:r w:rsidRPr="007C6F2A">
        <w:rPr>
          <w:rFonts w:eastAsia="Calibri"/>
          <w:szCs w:val="28"/>
          <w:lang w:val="es-CO" w:eastAsia="en-US"/>
        </w:rPr>
        <w:t xml:space="preserve"> establecidos en el artículo 3° del CPACA, en lo pertinente (Art. 2).</w:t>
      </w:r>
      <w:r w:rsidRPr="007C6F2A">
        <w:rPr>
          <w:szCs w:val="28"/>
          <w:bdr w:val="none" w:sz="0" w:space="0" w:color="auto" w:frame="1"/>
          <w:lang w:eastAsia="es-CO"/>
        </w:rPr>
        <w:t xml:space="preserve"> </w:t>
      </w:r>
    </w:p>
    <w:p w14:paraId="4473B820" w14:textId="77777777" w:rsidR="00AE1B4A" w:rsidRPr="007C6F2A" w:rsidRDefault="00AE1B4A" w:rsidP="00AE1B4A">
      <w:pPr>
        <w:tabs>
          <w:tab w:val="left" w:pos="709"/>
          <w:tab w:val="left" w:pos="993"/>
        </w:tabs>
        <w:ind w:left="567"/>
        <w:jc w:val="both"/>
        <w:rPr>
          <w:szCs w:val="28"/>
          <w:bdr w:val="none" w:sz="0" w:space="0" w:color="auto" w:frame="1"/>
          <w:lang w:eastAsia="es-CO"/>
        </w:rPr>
      </w:pPr>
    </w:p>
    <w:p w14:paraId="266B7393" w14:textId="77777777" w:rsidR="00AE1B4A" w:rsidRPr="007C6F2A" w:rsidRDefault="00AE1B4A" w:rsidP="00AE1B4A">
      <w:pPr>
        <w:numPr>
          <w:ilvl w:val="0"/>
          <w:numId w:val="18"/>
        </w:numPr>
        <w:tabs>
          <w:tab w:val="left" w:pos="709"/>
          <w:tab w:val="left" w:pos="993"/>
        </w:tabs>
        <w:ind w:left="567" w:firstLine="0"/>
        <w:jc w:val="both"/>
        <w:rPr>
          <w:rFonts w:eastAsia="Calibri"/>
          <w:szCs w:val="28"/>
          <w:lang w:val="es-CO" w:eastAsia="en-US"/>
        </w:rPr>
      </w:pPr>
      <w:r w:rsidRPr="007C6F2A">
        <w:rPr>
          <w:rFonts w:eastAsia="Calibri"/>
          <w:szCs w:val="28"/>
          <w:lang w:val="es-CO" w:eastAsia="en-US"/>
        </w:rPr>
        <w:t>Fijar los criterios de selección (Art. 4)</w:t>
      </w:r>
      <w:r w:rsidRPr="007C6F2A">
        <w:rPr>
          <w:rFonts w:eastAsia="Calibri"/>
          <w:szCs w:val="28"/>
          <w:vertAlign w:val="superscript"/>
          <w:lang w:val="es-CO" w:eastAsia="en-US"/>
        </w:rPr>
        <w:footnoteReference w:id="20"/>
      </w:r>
      <w:r w:rsidRPr="007C6F2A">
        <w:rPr>
          <w:rFonts w:eastAsia="Calibri"/>
          <w:szCs w:val="28"/>
          <w:lang w:val="es-CO" w:eastAsia="en-US"/>
        </w:rPr>
        <w:t xml:space="preserve">. </w:t>
      </w:r>
    </w:p>
    <w:p w14:paraId="033DA0FA" w14:textId="77777777" w:rsidR="00AE1B4A" w:rsidRPr="007C6F2A" w:rsidRDefault="00AE1B4A" w:rsidP="00AE1B4A">
      <w:pPr>
        <w:tabs>
          <w:tab w:val="left" w:pos="709"/>
          <w:tab w:val="left" w:pos="993"/>
        </w:tabs>
        <w:ind w:left="567"/>
        <w:jc w:val="both"/>
        <w:rPr>
          <w:rFonts w:eastAsia="Calibri"/>
          <w:szCs w:val="28"/>
          <w:lang w:val="es-CO" w:eastAsia="en-US"/>
        </w:rPr>
      </w:pPr>
    </w:p>
    <w:p w14:paraId="6E5550BD" w14:textId="77777777" w:rsidR="00AE1B4A" w:rsidRPr="00355CF1" w:rsidRDefault="00AE1B4A" w:rsidP="00AE1B4A">
      <w:pPr>
        <w:numPr>
          <w:ilvl w:val="0"/>
          <w:numId w:val="18"/>
        </w:numPr>
        <w:tabs>
          <w:tab w:val="left" w:pos="709"/>
          <w:tab w:val="left" w:pos="993"/>
        </w:tabs>
        <w:ind w:left="567" w:firstLine="0"/>
        <w:jc w:val="both"/>
        <w:rPr>
          <w:szCs w:val="28"/>
          <w:bdr w:val="none" w:sz="0" w:space="0" w:color="auto" w:frame="1"/>
          <w:lang w:eastAsia="es-CO"/>
        </w:rPr>
      </w:pPr>
      <w:r w:rsidRPr="00355CF1">
        <w:rPr>
          <w:rFonts w:eastAsia="Calibri"/>
          <w:szCs w:val="28"/>
          <w:lang w:val="es-CO" w:eastAsia="en-US"/>
        </w:rPr>
        <w:t>Determinar las fases de la convocatoria pública</w:t>
      </w:r>
      <w:r w:rsidRPr="00355CF1">
        <w:rPr>
          <w:rFonts w:eastAsia="Calibri"/>
          <w:szCs w:val="28"/>
          <w:vertAlign w:val="superscript"/>
          <w:lang w:val="es-CO" w:eastAsia="en-US"/>
        </w:rPr>
        <w:footnoteReference w:id="21"/>
      </w:r>
      <w:r w:rsidRPr="00355CF1">
        <w:rPr>
          <w:rFonts w:eastAsia="Calibri"/>
          <w:szCs w:val="28"/>
          <w:lang w:val="es-CO" w:eastAsia="en-US"/>
        </w:rPr>
        <w:t>, y</w:t>
      </w:r>
      <w:r w:rsidRPr="00355CF1">
        <w:rPr>
          <w:szCs w:val="28"/>
          <w:bdr w:val="none" w:sz="0" w:space="0" w:color="auto" w:frame="1"/>
          <w:lang w:eastAsia="es-CO"/>
        </w:rPr>
        <w:t xml:space="preserve"> </w:t>
      </w:r>
    </w:p>
    <w:p w14:paraId="5A074C29" w14:textId="77777777" w:rsidR="00AE1B4A" w:rsidRPr="00355CF1" w:rsidRDefault="00AE1B4A" w:rsidP="00AE1B4A">
      <w:pPr>
        <w:tabs>
          <w:tab w:val="left" w:pos="709"/>
          <w:tab w:val="left" w:pos="993"/>
        </w:tabs>
        <w:ind w:left="567"/>
        <w:jc w:val="both"/>
        <w:rPr>
          <w:szCs w:val="28"/>
          <w:bdr w:val="none" w:sz="0" w:space="0" w:color="auto" w:frame="1"/>
          <w:lang w:eastAsia="es-CO"/>
        </w:rPr>
      </w:pPr>
    </w:p>
    <w:p w14:paraId="6501A838" w14:textId="77777777" w:rsidR="00AE1B4A" w:rsidRPr="00355CF1" w:rsidRDefault="00AE1B4A" w:rsidP="00AE1B4A">
      <w:pPr>
        <w:numPr>
          <w:ilvl w:val="0"/>
          <w:numId w:val="18"/>
        </w:numPr>
        <w:tabs>
          <w:tab w:val="left" w:pos="709"/>
          <w:tab w:val="left" w:pos="993"/>
        </w:tabs>
        <w:ind w:left="567" w:firstLine="0"/>
        <w:jc w:val="both"/>
        <w:rPr>
          <w:szCs w:val="28"/>
          <w:bdr w:val="none" w:sz="0" w:space="0" w:color="auto" w:frame="1"/>
          <w:lang w:eastAsia="es-CO"/>
        </w:rPr>
      </w:pPr>
      <w:r w:rsidRPr="00355CF1">
        <w:rPr>
          <w:rFonts w:eastAsia="Calibri"/>
          <w:szCs w:val="28"/>
          <w:lang w:val="es-CO" w:eastAsia="en-US"/>
        </w:rPr>
        <w:t>Precisar las condiciones de la invitación pública</w:t>
      </w:r>
      <w:r w:rsidRPr="00355CF1">
        <w:rPr>
          <w:rFonts w:eastAsia="Calibri"/>
          <w:szCs w:val="28"/>
          <w:vertAlign w:val="superscript"/>
          <w:lang w:val="es-CO" w:eastAsia="en-US"/>
        </w:rPr>
        <w:footnoteReference w:id="22"/>
      </w:r>
      <w:r w:rsidRPr="00355CF1">
        <w:rPr>
          <w:rFonts w:eastAsia="Calibri"/>
          <w:szCs w:val="28"/>
          <w:lang w:val="es-CO" w:eastAsia="en-US"/>
        </w:rPr>
        <w:t xml:space="preserve">, así como señalar la forma de inscripción de la hoja de vida, la publicación de escritos y observaciones, la preselección, la entrevista y la publicación de los seleccionados (Artículos 8 a 11). </w:t>
      </w:r>
    </w:p>
    <w:p w14:paraId="0B9F58B2" w14:textId="77777777" w:rsidR="00AE1B4A" w:rsidRPr="007C6F2A" w:rsidRDefault="00AE1B4A" w:rsidP="00AE1B4A">
      <w:pPr>
        <w:jc w:val="both"/>
        <w:rPr>
          <w:szCs w:val="28"/>
          <w:bdr w:val="none" w:sz="0" w:space="0" w:color="auto" w:frame="1"/>
          <w:lang w:eastAsia="es-CO"/>
        </w:rPr>
      </w:pPr>
    </w:p>
    <w:p w14:paraId="7B1A4ACD" w14:textId="77777777" w:rsidR="00AE1B4A" w:rsidRPr="00355CF1" w:rsidRDefault="00AE1B4A" w:rsidP="00AE1B4A">
      <w:pPr>
        <w:numPr>
          <w:ilvl w:val="0"/>
          <w:numId w:val="2"/>
        </w:numPr>
        <w:jc w:val="both"/>
        <w:rPr>
          <w:szCs w:val="28"/>
          <w:bdr w:val="none" w:sz="0" w:space="0" w:color="auto" w:frame="1"/>
          <w:lang w:eastAsia="es-CO"/>
        </w:rPr>
      </w:pPr>
      <w:r w:rsidRPr="00355CF1">
        <w:rPr>
          <w:szCs w:val="28"/>
          <w:lang w:val="es-ES_tradnl"/>
        </w:rPr>
        <w:t xml:space="preserve">El </w:t>
      </w:r>
      <w:r w:rsidRPr="00355CF1">
        <w:rPr>
          <w:b/>
          <w:szCs w:val="28"/>
          <w:lang w:val="es-ES_tradnl"/>
        </w:rPr>
        <w:t xml:space="preserve">Acuerdo PSAA16-10575 </w:t>
      </w:r>
      <w:r w:rsidRPr="00355CF1">
        <w:rPr>
          <w:szCs w:val="28"/>
          <w:lang w:val="es-ES_tradnl"/>
        </w:rPr>
        <w:t>contenía, a su vez, las designaciones adelantadas por esa Corporación para conformar las ternas que se formulaban al Congreso, con el fin de proveer cuatro cargos de Magistrados de la Comisión Nacional de Disciplina Judicial.</w:t>
      </w:r>
    </w:p>
    <w:p w14:paraId="3AB485C5" w14:textId="77777777" w:rsidR="00AE1B4A" w:rsidRPr="007C6F2A" w:rsidRDefault="00AE1B4A" w:rsidP="00AE1B4A">
      <w:pPr>
        <w:ind w:right="49"/>
        <w:jc w:val="both"/>
        <w:rPr>
          <w:b/>
          <w:iCs/>
          <w:szCs w:val="28"/>
          <w:bdr w:val="none" w:sz="0" w:space="0" w:color="auto" w:frame="1"/>
          <w:lang w:val="es-CO" w:eastAsia="es-CO"/>
        </w:rPr>
      </w:pPr>
    </w:p>
    <w:p w14:paraId="3A7CB49A" w14:textId="77777777" w:rsidR="00AE1B4A" w:rsidRPr="00355CF1" w:rsidRDefault="00AE1B4A" w:rsidP="00AE1B4A">
      <w:pPr>
        <w:numPr>
          <w:ilvl w:val="0"/>
          <w:numId w:val="2"/>
        </w:numPr>
        <w:ind w:right="49"/>
        <w:jc w:val="both"/>
        <w:rPr>
          <w:iCs/>
          <w:szCs w:val="28"/>
          <w:bdr w:val="none" w:sz="0" w:space="0" w:color="auto" w:frame="1"/>
          <w:lang w:val="es-CO" w:eastAsia="es-CO"/>
        </w:rPr>
      </w:pPr>
      <w:r w:rsidRPr="007C6F2A">
        <w:rPr>
          <w:iCs/>
          <w:szCs w:val="28"/>
          <w:bdr w:val="none" w:sz="0" w:space="0" w:color="auto" w:frame="1"/>
          <w:lang w:val="es-CO" w:eastAsia="es-CO"/>
        </w:rPr>
        <w:t xml:space="preserve">El Presidente de la República, </w:t>
      </w:r>
      <w:r w:rsidRPr="00B92A13">
        <w:rPr>
          <w:iCs/>
          <w:szCs w:val="28"/>
          <w:bdr w:val="none" w:sz="0" w:space="0" w:color="auto" w:frame="1"/>
          <w:lang w:val="es-CO" w:eastAsia="es-CO"/>
        </w:rPr>
        <w:t xml:space="preserve">por su parte, mediante </w:t>
      </w:r>
      <w:r w:rsidRPr="00B92A13">
        <w:rPr>
          <w:b/>
          <w:iCs/>
          <w:szCs w:val="28"/>
          <w:bdr w:val="none" w:sz="0" w:space="0" w:color="auto" w:frame="1"/>
          <w:lang w:val="es-CO" w:eastAsia="es-CO"/>
        </w:rPr>
        <w:t>Decreto 1189 de 2016</w:t>
      </w:r>
      <w:r w:rsidRPr="00B92A13">
        <w:rPr>
          <w:iCs/>
          <w:szCs w:val="28"/>
          <w:bdr w:val="none" w:sz="0" w:space="0" w:color="auto" w:frame="1"/>
          <w:lang w:val="es-CO" w:eastAsia="es-CO"/>
        </w:rPr>
        <w:t xml:space="preserve"> reglamentó el trámite de la convocatoria para la integración de tres de las ternas que le correspondía</w:t>
      </w:r>
      <w:r>
        <w:rPr>
          <w:iCs/>
          <w:szCs w:val="28"/>
          <w:bdr w:val="none" w:sz="0" w:space="0" w:color="auto" w:frame="1"/>
          <w:lang w:val="es-CO" w:eastAsia="es-CO"/>
        </w:rPr>
        <w:t xml:space="preserve"> </w:t>
      </w:r>
      <w:r w:rsidRPr="00355CF1">
        <w:rPr>
          <w:iCs/>
          <w:szCs w:val="28"/>
          <w:bdr w:val="none" w:sz="0" w:space="0" w:color="auto" w:frame="1"/>
          <w:lang w:val="es-CO" w:eastAsia="es-CO"/>
        </w:rPr>
        <w:t xml:space="preserve">designar en materia de candidatos a magistrados de la Comisión Nacional de Disciplina Judicial (en adelante CNDJ). </w:t>
      </w:r>
    </w:p>
    <w:p w14:paraId="5D295036" w14:textId="77777777" w:rsidR="00AE1B4A" w:rsidRPr="007C6F2A" w:rsidRDefault="00AE1B4A" w:rsidP="00AE1B4A">
      <w:pPr>
        <w:ind w:right="49"/>
        <w:jc w:val="both"/>
        <w:rPr>
          <w:iCs/>
          <w:szCs w:val="28"/>
          <w:bdr w:val="none" w:sz="0" w:space="0" w:color="auto" w:frame="1"/>
          <w:lang w:val="es-CO" w:eastAsia="es-CO"/>
        </w:rPr>
      </w:pPr>
    </w:p>
    <w:p w14:paraId="14F70069" w14:textId="77777777" w:rsidR="00AE1B4A" w:rsidRPr="007C6F2A" w:rsidRDefault="00AE1B4A" w:rsidP="00AE1B4A">
      <w:pPr>
        <w:ind w:right="49"/>
        <w:jc w:val="both"/>
        <w:rPr>
          <w:iCs/>
          <w:szCs w:val="28"/>
          <w:bdr w:val="none" w:sz="0" w:space="0" w:color="auto" w:frame="1"/>
          <w:lang w:val="es-CO" w:eastAsia="es-CO"/>
        </w:rPr>
      </w:pPr>
      <w:r w:rsidRPr="007C6F2A">
        <w:rPr>
          <w:iCs/>
          <w:szCs w:val="28"/>
          <w:bdr w:val="none" w:sz="0" w:space="0" w:color="auto" w:frame="1"/>
          <w:lang w:val="es-CO" w:eastAsia="es-CO"/>
        </w:rPr>
        <w:t>No obstante, dicho decreto fue declarado nulo por la Sala Plena de lo Contencioso Administrativo del Consejo de Estado</w:t>
      </w:r>
      <w:r w:rsidRPr="007C6F2A">
        <w:rPr>
          <w:rStyle w:val="Refdenotaalpie"/>
          <w:iCs/>
          <w:szCs w:val="28"/>
          <w:bdr w:val="none" w:sz="0" w:space="0" w:color="auto" w:frame="1"/>
          <w:lang w:val="es-CO" w:eastAsia="es-CO"/>
        </w:rPr>
        <w:footnoteReference w:id="23"/>
      </w:r>
      <w:r w:rsidRPr="007C6F2A">
        <w:rPr>
          <w:iCs/>
          <w:szCs w:val="28"/>
          <w:bdr w:val="none" w:sz="0" w:space="0" w:color="auto" w:frame="1"/>
          <w:lang w:val="es-CO" w:eastAsia="es-CO"/>
        </w:rPr>
        <w:t xml:space="preserve">, mediante sentencia del </w:t>
      </w:r>
      <w:r w:rsidRPr="007C6F2A">
        <w:rPr>
          <w:iCs/>
          <w:szCs w:val="28"/>
          <w:bdr w:val="none" w:sz="0" w:space="0" w:color="auto" w:frame="1"/>
          <w:lang w:val="es-CO" w:eastAsia="es-CO"/>
        </w:rPr>
        <w:lastRenderedPageBreak/>
        <w:t>5 de diciembre de 2017, C.P. Rocío Araujo Oñate</w:t>
      </w:r>
      <w:r w:rsidRPr="007C6F2A">
        <w:rPr>
          <w:rStyle w:val="Refdenotaalpie"/>
          <w:iCs/>
          <w:szCs w:val="28"/>
          <w:bdr w:val="none" w:sz="0" w:space="0" w:color="auto" w:frame="1"/>
          <w:lang w:val="es-CO" w:eastAsia="es-CO"/>
        </w:rPr>
        <w:footnoteReference w:id="24"/>
      </w:r>
      <w:r w:rsidRPr="007C6F2A">
        <w:rPr>
          <w:iCs/>
          <w:szCs w:val="28"/>
          <w:bdr w:val="none" w:sz="0" w:space="0" w:color="auto" w:frame="1"/>
          <w:lang w:val="es-CO" w:eastAsia="es-CO"/>
        </w:rPr>
        <w:t xml:space="preserve">. En dicha providencia, que fue anterior a la que es objeto de la acción </w:t>
      </w:r>
      <w:r w:rsidRPr="00355CF1">
        <w:rPr>
          <w:iCs/>
          <w:szCs w:val="28"/>
          <w:bdr w:val="none" w:sz="0" w:space="0" w:color="auto" w:frame="1"/>
          <w:lang w:val="es-CO" w:eastAsia="es-CO"/>
        </w:rPr>
        <w:t>de tutela en esta oportunidad, el Consejo de Estado concluyó lo siguiente sobre el decreto presidencial enunciado:</w:t>
      </w:r>
      <w:r w:rsidRPr="007C6F2A">
        <w:rPr>
          <w:iCs/>
          <w:szCs w:val="28"/>
          <w:bdr w:val="none" w:sz="0" w:space="0" w:color="auto" w:frame="1"/>
          <w:lang w:val="es-CO" w:eastAsia="es-CO"/>
        </w:rPr>
        <w:t xml:space="preserve"> </w:t>
      </w:r>
    </w:p>
    <w:p w14:paraId="62D778FC" w14:textId="77777777" w:rsidR="00AE1B4A" w:rsidRPr="007C6F2A" w:rsidRDefault="00AE1B4A" w:rsidP="00AE1B4A">
      <w:pPr>
        <w:ind w:right="49"/>
        <w:jc w:val="both"/>
        <w:rPr>
          <w:iCs/>
          <w:szCs w:val="28"/>
          <w:bdr w:val="none" w:sz="0" w:space="0" w:color="auto" w:frame="1"/>
          <w:lang w:val="es-CO" w:eastAsia="es-CO"/>
        </w:rPr>
      </w:pPr>
    </w:p>
    <w:p w14:paraId="7F494844" w14:textId="77777777" w:rsidR="00AE1B4A" w:rsidRPr="00B92A13" w:rsidRDefault="00AE1B4A" w:rsidP="00AE1B4A">
      <w:pPr>
        <w:ind w:left="284" w:right="49"/>
        <w:jc w:val="both"/>
        <w:rPr>
          <w:i/>
          <w:iCs/>
          <w:sz w:val="26"/>
          <w:szCs w:val="26"/>
          <w:bdr w:val="none" w:sz="0" w:space="0" w:color="auto" w:frame="1"/>
          <w:lang w:val="es-CO" w:eastAsia="es-CO"/>
        </w:rPr>
      </w:pPr>
      <w:r w:rsidRPr="00B92A13">
        <w:rPr>
          <w:i/>
          <w:sz w:val="26"/>
          <w:szCs w:val="26"/>
          <w:lang w:val="es-CO"/>
        </w:rPr>
        <w:t xml:space="preserve">“La Sala Plena considera que el artículo 257-A de la Constitución Política no habilita al Presidente de la República para dictar un decreto autónomo constitucional que regule la convocatoria pública, cuyo propósito es la conformación de tres ternas a efectos de que sean elegidos por el Congreso de la República, tres de los siete Magistrados de la Comisión Nacional de Disciplina Judicial. Dicho de otra forma, el Decreto 1189 de 2016 no es un decreto autónomo constitucional (…). El Decreto 1189 de 2016 es contrario al artículo 126 de la Constitución Política, puesto que, ante la ausencia de una disposición clara, expresa e inequívoca en el artículo 257-A de la Constitución Nacional, que fije la competencia para expedir el reglamento en cabeza del Presidente de la República, es necesario atender la cláusula general de competencia que le asiste al Congreso de la República para realizar la ley de convocatorias de servidores públicos que no deben acceder a la función pública por concurso, y que deben ser elegidos por una corporación pública, prevista en el artículo 126 </w:t>
      </w:r>
      <w:r w:rsidRPr="00ED6B43">
        <w:rPr>
          <w:i/>
          <w:sz w:val="26"/>
          <w:szCs w:val="26"/>
          <w:lang w:val="es-CO"/>
        </w:rPr>
        <w:t>[superior]”.</w:t>
      </w:r>
      <w:r>
        <w:rPr>
          <w:iCs/>
          <w:sz w:val="26"/>
          <w:szCs w:val="26"/>
          <w:lang w:val="es-CO"/>
        </w:rPr>
        <w:t xml:space="preserve"> </w:t>
      </w:r>
      <w:r w:rsidRPr="005E2A66">
        <w:rPr>
          <w:iCs/>
          <w:sz w:val="26"/>
          <w:szCs w:val="26"/>
          <w:lang w:val="es-CO"/>
        </w:rPr>
        <w:t xml:space="preserve"> </w:t>
      </w:r>
    </w:p>
    <w:p w14:paraId="3966480C" w14:textId="77777777" w:rsidR="00AE1B4A" w:rsidRPr="007C6F2A" w:rsidRDefault="00AE1B4A" w:rsidP="00AE1B4A">
      <w:pPr>
        <w:spacing w:line="276" w:lineRule="auto"/>
        <w:ind w:right="49"/>
        <w:jc w:val="both"/>
        <w:rPr>
          <w:b/>
          <w:iCs/>
          <w:szCs w:val="28"/>
          <w:bdr w:val="none" w:sz="0" w:space="0" w:color="auto" w:frame="1"/>
          <w:lang w:val="es-CO" w:eastAsia="es-CO"/>
        </w:rPr>
      </w:pPr>
    </w:p>
    <w:p w14:paraId="23E6CB34" w14:textId="77777777" w:rsidR="00AE1B4A" w:rsidRPr="007C6F2A" w:rsidRDefault="00AE1B4A" w:rsidP="00AE1B4A">
      <w:pPr>
        <w:ind w:right="49"/>
        <w:jc w:val="both"/>
        <w:rPr>
          <w:b/>
          <w:iCs/>
          <w:sz w:val="30"/>
          <w:szCs w:val="30"/>
          <w:bdr w:val="none" w:sz="0" w:space="0" w:color="auto" w:frame="1"/>
          <w:lang w:val="es-CO" w:eastAsia="es-CO"/>
        </w:rPr>
      </w:pPr>
      <w:r w:rsidRPr="007C6F2A">
        <w:rPr>
          <w:b/>
          <w:iCs/>
          <w:sz w:val="30"/>
          <w:szCs w:val="30"/>
          <w:bdr w:val="none" w:sz="0" w:space="0" w:color="auto" w:frame="1"/>
          <w:lang w:val="es-CO" w:eastAsia="es-CO"/>
        </w:rPr>
        <w:t xml:space="preserve">El proceso </w:t>
      </w:r>
      <w:r>
        <w:rPr>
          <w:b/>
          <w:iCs/>
          <w:sz w:val="30"/>
          <w:szCs w:val="30"/>
          <w:bdr w:val="none" w:sz="0" w:space="0" w:color="auto" w:frame="1"/>
          <w:lang w:val="es-CO" w:eastAsia="es-CO"/>
        </w:rPr>
        <w:t>ante el Consejo de Estado</w:t>
      </w:r>
    </w:p>
    <w:p w14:paraId="680E515F" w14:textId="77777777" w:rsidR="00AE1B4A" w:rsidRPr="007C6F2A" w:rsidRDefault="00AE1B4A" w:rsidP="00AE1B4A">
      <w:pPr>
        <w:ind w:right="49"/>
        <w:jc w:val="both"/>
        <w:rPr>
          <w:b/>
          <w:iCs/>
          <w:sz w:val="30"/>
          <w:szCs w:val="30"/>
          <w:bdr w:val="none" w:sz="0" w:space="0" w:color="auto" w:frame="1"/>
          <w:lang w:val="es-CO" w:eastAsia="es-CO"/>
        </w:rPr>
      </w:pPr>
    </w:p>
    <w:p w14:paraId="08548E4B" w14:textId="77777777" w:rsidR="00AE1B4A" w:rsidRPr="007C6F2A" w:rsidRDefault="00AE1B4A" w:rsidP="00AE1B4A">
      <w:pPr>
        <w:ind w:right="49"/>
        <w:jc w:val="both"/>
        <w:rPr>
          <w:b/>
          <w:iCs/>
          <w:sz w:val="30"/>
          <w:szCs w:val="30"/>
          <w:bdr w:val="none" w:sz="0" w:space="0" w:color="auto" w:frame="1"/>
          <w:lang w:val="es-CO" w:eastAsia="es-CO"/>
        </w:rPr>
      </w:pPr>
      <w:r w:rsidRPr="007C6F2A">
        <w:rPr>
          <w:b/>
          <w:iCs/>
          <w:sz w:val="30"/>
          <w:szCs w:val="30"/>
          <w:bdr w:val="none" w:sz="0" w:space="0" w:color="auto" w:frame="1"/>
          <w:lang w:val="es-CO" w:eastAsia="es-CO"/>
        </w:rPr>
        <w:t>El medio de control de nulidad por inconstitucionalidad contra los Acuerdos proferidos por el Consejo Superior de la Judicatura</w:t>
      </w:r>
    </w:p>
    <w:p w14:paraId="2EE3927D" w14:textId="77777777" w:rsidR="00AE1B4A" w:rsidRPr="007C6F2A" w:rsidRDefault="00AE1B4A" w:rsidP="00AE1B4A">
      <w:pPr>
        <w:ind w:right="49"/>
        <w:jc w:val="both"/>
        <w:rPr>
          <w:b/>
          <w:iCs/>
          <w:szCs w:val="28"/>
          <w:bdr w:val="none" w:sz="0" w:space="0" w:color="auto" w:frame="1"/>
          <w:lang w:val="es-CO" w:eastAsia="es-CO"/>
        </w:rPr>
      </w:pPr>
    </w:p>
    <w:p w14:paraId="6B778493" w14:textId="77777777" w:rsidR="00AE1B4A" w:rsidRPr="00B92A13" w:rsidRDefault="00AE1B4A" w:rsidP="00AE1B4A">
      <w:pPr>
        <w:numPr>
          <w:ilvl w:val="0"/>
          <w:numId w:val="2"/>
        </w:numPr>
        <w:ind w:right="49"/>
        <w:jc w:val="both"/>
        <w:rPr>
          <w:szCs w:val="28"/>
          <w:lang w:val="es-ES_tradnl"/>
        </w:rPr>
      </w:pPr>
      <w:r w:rsidRPr="007C6F2A">
        <w:rPr>
          <w:szCs w:val="28"/>
          <w:lang w:val="es-ES_tradnl"/>
        </w:rPr>
        <w:t>Los ciudadanos Germán Calderón España</w:t>
      </w:r>
      <w:r w:rsidRPr="007C6F2A">
        <w:rPr>
          <w:rStyle w:val="Refdenotaalpie"/>
          <w:szCs w:val="28"/>
          <w:lang w:val="es-ES_tradnl"/>
        </w:rPr>
        <w:footnoteReference w:id="25"/>
      </w:r>
      <w:r w:rsidRPr="007C6F2A">
        <w:rPr>
          <w:szCs w:val="28"/>
          <w:lang w:val="es-ES_tradnl"/>
        </w:rPr>
        <w:t>, Jesús Herney Cifuentes Gómez</w:t>
      </w:r>
      <w:r w:rsidRPr="007C6F2A">
        <w:rPr>
          <w:rStyle w:val="Refdenotaalpie"/>
          <w:szCs w:val="28"/>
          <w:lang w:val="es-ES_tradnl"/>
        </w:rPr>
        <w:footnoteReference w:id="26"/>
      </w:r>
      <w:r w:rsidRPr="007C6F2A">
        <w:rPr>
          <w:szCs w:val="28"/>
          <w:lang w:val="es-ES_tradnl"/>
        </w:rPr>
        <w:t xml:space="preserve"> y Andrea Vargas Aguilera</w:t>
      </w:r>
      <w:r w:rsidRPr="007C6F2A">
        <w:rPr>
          <w:rStyle w:val="Refdenotaalpie"/>
          <w:szCs w:val="28"/>
          <w:lang w:val="es-ES_tradnl"/>
        </w:rPr>
        <w:footnoteReference w:id="27"/>
      </w:r>
      <w:r w:rsidRPr="007C6F2A">
        <w:rPr>
          <w:szCs w:val="28"/>
          <w:lang w:val="es-ES_tradnl"/>
        </w:rPr>
        <w:t xml:space="preserve"> formularon </w:t>
      </w:r>
      <w:r w:rsidRPr="007C6F2A">
        <w:rPr>
          <w:b/>
          <w:szCs w:val="28"/>
          <w:lang w:val="es-ES_tradnl"/>
        </w:rPr>
        <w:t xml:space="preserve">demandas de nulidad por </w:t>
      </w:r>
      <w:r w:rsidRPr="007C6F2A">
        <w:rPr>
          <w:b/>
          <w:szCs w:val="28"/>
          <w:lang w:val="es-ES_tradnl"/>
        </w:rPr>
        <w:lastRenderedPageBreak/>
        <w:t>inconstitucionalidad</w:t>
      </w:r>
      <w:r w:rsidRPr="007C6F2A">
        <w:rPr>
          <w:szCs w:val="28"/>
          <w:lang w:val="es-ES_tradnl"/>
        </w:rPr>
        <w:t xml:space="preserve"> </w:t>
      </w:r>
      <w:r w:rsidRPr="007C6F2A">
        <w:rPr>
          <w:b/>
          <w:szCs w:val="28"/>
          <w:lang w:val="es-ES_tradnl"/>
        </w:rPr>
        <w:t xml:space="preserve">ante el Consejo </w:t>
      </w:r>
      <w:r w:rsidRPr="004956A8">
        <w:rPr>
          <w:b/>
          <w:szCs w:val="28"/>
          <w:lang w:val="es-ES_tradnl"/>
        </w:rPr>
        <w:t>de Estado</w:t>
      </w:r>
      <w:r w:rsidRPr="004956A8">
        <w:rPr>
          <w:rStyle w:val="Refdenotaalpie"/>
          <w:szCs w:val="28"/>
          <w:lang w:val="es-ES_tradnl"/>
        </w:rPr>
        <w:footnoteReference w:id="28"/>
      </w:r>
      <w:r w:rsidRPr="004956A8">
        <w:rPr>
          <w:szCs w:val="28"/>
          <w:lang w:val="es-ES_tradnl"/>
        </w:rPr>
        <w:t xml:space="preserve">, en contra de los Acuerdos enunciados en el acápite anterior y contra la </w:t>
      </w:r>
      <w:r w:rsidRPr="004956A8">
        <w:rPr>
          <w:b/>
          <w:bCs/>
          <w:szCs w:val="28"/>
          <w:lang w:val="es-ES_tradnl"/>
        </w:rPr>
        <w:t>Sentencia C-285 de 2016</w:t>
      </w:r>
      <w:r w:rsidRPr="004956A8">
        <w:rPr>
          <w:szCs w:val="28"/>
          <w:lang w:val="es-ES_tradnl"/>
        </w:rPr>
        <w:t xml:space="preserve"> de la Corte Constitucional. Los cargos formulados por los accionantes en el proceso en mención pueden sintetizarse de la siguiente forma:</w:t>
      </w:r>
    </w:p>
    <w:p w14:paraId="6325D9F6" w14:textId="77777777" w:rsidR="00AE1B4A" w:rsidRPr="00B92A13" w:rsidRDefault="00AE1B4A" w:rsidP="00AE1B4A">
      <w:pPr>
        <w:jc w:val="both"/>
        <w:rPr>
          <w:szCs w:val="28"/>
          <w:lang w:val="es-ES_tradnl"/>
        </w:rPr>
      </w:pPr>
    </w:p>
    <w:p w14:paraId="3E279533" w14:textId="77777777" w:rsidR="00AE1B4A" w:rsidRPr="004956A8" w:rsidRDefault="00AE1B4A" w:rsidP="00AE1B4A">
      <w:pPr>
        <w:jc w:val="both"/>
        <w:rPr>
          <w:szCs w:val="28"/>
          <w:lang w:val="es-ES_tradnl"/>
        </w:rPr>
      </w:pPr>
      <w:r w:rsidRPr="00B92A13">
        <w:rPr>
          <w:b/>
          <w:szCs w:val="28"/>
          <w:lang w:val="es-ES_tradnl"/>
        </w:rPr>
        <w:t>(i)</w:t>
      </w:r>
      <w:r w:rsidRPr="00B92A13">
        <w:rPr>
          <w:szCs w:val="28"/>
          <w:lang w:val="es-ES_tradnl"/>
        </w:rPr>
        <w:t xml:space="preserve"> </w:t>
      </w:r>
      <w:r w:rsidRPr="00B92A13">
        <w:rPr>
          <w:b/>
          <w:bCs/>
          <w:szCs w:val="28"/>
          <w:lang w:val="es-ES_tradnl"/>
        </w:rPr>
        <w:t>Violación de la reserva de ley estatutaria</w:t>
      </w:r>
      <w:r w:rsidRPr="00B92A13">
        <w:rPr>
          <w:rStyle w:val="Refdenotaalpie"/>
          <w:szCs w:val="28"/>
          <w:lang w:val="es-ES_tradnl"/>
        </w:rPr>
        <w:footnoteReference w:id="29"/>
      </w:r>
      <w:r w:rsidRPr="00B92A13">
        <w:rPr>
          <w:szCs w:val="28"/>
          <w:lang w:val="es-ES_tradnl"/>
        </w:rPr>
        <w:t>. A juicio de los actores, la convocatoria pública reglada para conformar la Comisión</w:t>
      </w:r>
      <w:r w:rsidRPr="007C6F2A">
        <w:rPr>
          <w:szCs w:val="28"/>
          <w:lang w:val="es-ES_tradnl"/>
        </w:rPr>
        <w:t xml:space="preserve"> Nacional de Disciplina Judicial debe ser regulada por una norma de rango estatutario, en la medida en que se trata de la </w:t>
      </w:r>
      <w:r w:rsidRPr="004956A8">
        <w:rPr>
          <w:szCs w:val="28"/>
          <w:lang w:val="es-ES_tradnl"/>
        </w:rPr>
        <w:t>elección de miembros y la configuración de un órgano que administra justicia. Los demandantes señalaron que, de conformidad con el artículo 126 superior</w:t>
      </w:r>
      <w:r w:rsidRPr="004956A8">
        <w:rPr>
          <w:rStyle w:val="Refdenotaalpie"/>
          <w:szCs w:val="28"/>
          <w:lang w:val="es-ES_tradnl"/>
        </w:rPr>
        <w:footnoteReference w:id="30"/>
      </w:r>
      <w:r w:rsidRPr="004956A8">
        <w:rPr>
          <w:szCs w:val="28"/>
          <w:lang w:val="es-ES_tradnl"/>
        </w:rPr>
        <w:t>, –modificado por el A.L. 02 de 2015–, y de los artículos 152 y 257 constitucionales, la elección de servidores públicos atribuida a corporaciones públicas debe estar precedida de una convocatoria reglada por la ley, y en este caso en particular, dado el carácter de corporación pública de la CNDJ, la reglamentación de la convocatoria para la selección de magistrados tiene reserva de ley estatutaria. En tal sentido, no puede el Consejo Superior asumir competencias que le corresponden, en principio, al Congreso de la República (Art. 150 superior)</w:t>
      </w:r>
      <w:r w:rsidRPr="004956A8">
        <w:rPr>
          <w:rStyle w:val="Refdenotaalpie"/>
          <w:szCs w:val="28"/>
          <w:lang w:val="es-ES_tradnl"/>
        </w:rPr>
        <w:footnoteReference w:id="31"/>
      </w:r>
      <w:r w:rsidRPr="004956A8">
        <w:rPr>
          <w:szCs w:val="28"/>
          <w:lang w:val="es-ES_tradnl"/>
        </w:rPr>
        <w:t xml:space="preserve">. </w:t>
      </w:r>
    </w:p>
    <w:p w14:paraId="0F938F69" w14:textId="77777777" w:rsidR="00AE1B4A" w:rsidRPr="004956A8" w:rsidRDefault="00AE1B4A" w:rsidP="00AE1B4A">
      <w:pPr>
        <w:tabs>
          <w:tab w:val="left" w:pos="426"/>
        </w:tabs>
        <w:jc w:val="both"/>
        <w:rPr>
          <w:b/>
          <w:szCs w:val="28"/>
          <w:lang w:val="es-ES_tradnl"/>
        </w:rPr>
      </w:pPr>
    </w:p>
    <w:p w14:paraId="2AF1665E" w14:textId="77777777" w:rsidR="00AE1B4A" w:rsidRPr="007C6F2A" w:rsidRDefault="00AE1B4A" w:rsidP="00AE1B4A">
      <w:pPr>
        <w:tabs>
          <w:tab w:val="left" w:pos="426"/>
        </w:tabs>
        <w:jc w:val="both"/>
        <w:rPr>
          <w:szCs w:val="28"/>
          <w:lang w:val="es-ES_tradnl"/>
        </w:rPr>
      </w:pPr>
      <w:r w:rsidRPr="004956A8">
        <w:rPr>
          <w:b/>
          <w:szCs w:val="28"/>
          <w:lang w:val="es-ES_tradnl"/>
        </w:rPr>
        <w:t>(ii)</w:t>
      </w:r>
      <w:r w:rsidRPr="004956A8">
        <w:rPr>
          <w:szCs w:val="28"/>
          <w:lang w:val="es-ES_tradnl"/>
        </w:rPr>
        <w:tab/>
      </w:r>
      <w:r w:rsidRPr="004956A8">
        <w:rPr>
          <w:b/>
          <w:bCs/>
          <w:szCs w:val="28"/>
          <w:lang w:val="es-ES_tradnl"/>
        </w:rPr>
        <w:t>Desconocimiento de la separación de poderes</w:t>
      </w:r>
      <w:r w:rsidRPr="004956A8">
        <w:rPr>
          <w:rStyle w:val="Refdenotaalpie"/>
          <w:szCs w:val="28"/>
          <w:lang w:val="es-ES_tradnl"/>
        </w:rPr>
        <w:footnoteReference w:id="32"/>
      </w:r>
      <w:r w:rsidRPr="004956A8">
        <w:rPr>
          <w:szCs w:val="28"/>
          <w:lang w:val="es-ES_tradnl"/>
        </w:rPr>
        <w:t xml:space="preserve">. Para uno de los actores, además de los cargos anteriores, se viola el principio de separación de poderes, teniendo en cuenta que </w:t>
      </w:r>
      <w:r w:rsidRPr="004956A8">
        <w:rPr>
          <w:i/>
          <w:iCs/>
          <w:szCs w:val="28"/>
          <w:lang w:val="es-ES_tradnl"/>
        </w:rPr>
        <w:t>“la Corte Constitucional se arrogó competencias para reformar la Carta Política que no le fueron atribuidas”</w:t>
      </w:r>
      <w:r w:rsidRPr="004956A8">
        <w:rPr>
          <w:rStyle w:val="Refdenotaalpie"/>
          <w:iCs/>
          <w:szCs w:val="28"/>
          <w:lang w:val="es-ES_tradnl"/>
        </w:rPr>
        <w:footnoteReference w:id="33"/>
      </w:r>
      <w:r w:rsidRPr="004956A8">
        <w:rPr>
          <w:i/>
          <w:iCs/>
          <w:szCs w:val="28"/>
          <w:lang w:val="es-ES_tradnl"/>
        </w:rPr>
        <w:t>.</w:t>
      </w:r>
      <w:r w:rsidRPr="004956A8">
        <w:rPr>
          <w:szCs w:val="28"/>
          <w:lang w:val="es-ES_tradnl"/>
        </w:rPr>
        <w:t xml:space="preserve"> En consecuencia, además de su crítica a los acuerdos proferidos por el Consejo Superior de la Judicatura solicita que se declare la nulidad de uno de los apartes de la </w:t>
      </w:r>
      <w:r w:rsidRPr="004956A8">
        <w:rPr>
          <w:b/>
          <w:szCs w:val="28"/>
          <w:lang w:val="es-ES_tradnl"/>
        </w:rPr>
        <w:t>Sentencia C-285 de 2016</w:t>
      </w:r>
      <w:r w:rsidRPr="004956A8">
        <w:rPr>
          <w:szCs w:val="28"/>
          <w:lang w:val="es-ES_tradnl"/>
        </w:rPr>
        <w:t xml:space="preserve"> que confirió a dicha Corporación</w:t>
      </w:r>
      <w:r>
        <w:rPr>
          <w:szCs w:val="28"/>
          <w:lang w:val="es-ES_tradnl"/>
        </w:rPr>
        <w:t xml:space="preserve"> </w:t>
      </w:r>
      <w:r w:rsidRPr="007C6F2A">
        <w:rPr>
          <w:szCs w:val="28"/>
          <w:lang w:val="es-ES_tradnl"/>
        </w:rPr>
        <w:t xml:space="preserve"> </w:t>
      </w:r>
      <w:r w:rsidRPr="007C6F2A">
        <w:rPr>
          <w:szCs w:val="28"/>
          <w:lang w:val="es-ES_tradnl"/>
        </w:rPr>
        <w:lastRenderedPageBreak/>
        <w:t>la facultad de integrar cuatro de las siete ternas para la elección de los magistrados de la Comisión Nacional de Disciplina Judicial.</w:t>
      </w:r>
    </w:p>
    <w:p w14:paraId="09F0F8F9" w14:textId="77777777" w:rsidR="00AE1B4A" w:rsidRPr="007C6F2A" w:rsidRDefault="00AE1B4A" w:rsidP="00AE1B4A">
      <w:pPr>
        <w:jc w:val="both"/>
        <w:rPr>
          <w:szCs w:val="28"/>
          <w:lang w:val="es-ES_tradnl"/>
        </w:rPr>
      </w:pPr>
    </w:p>
    <w:p w14:paraId="7C8C0D3E" w14:textId="77777777" w:rsidR="00AE1B4A" w:rsidRPr="0089456B" w:rsidRDefault="00AE1B4A" w:rsidP="00AE1B4A">
      <w:pPr>
        <w:tabs>
          <w:tab w:val="left" w:pos="426"/>
        </w:tabs>
        <w:jc w:val="both"/>
        <w:rPr>
          <w:szCs w:val="28"/>
          <w:lang w:val="es-ES_tradnl"/>
        </w:rPr>
      </w:pPr>
      <w:r w:rsidRPr="007C6F2A">
        <w:rPr>
          <w:b/>
          <w:szCs w:val="28"/>
          <w:lang w:val="es-ES_tradnl"/>
        </w:rPr>
        <w:t>(iii)</w:t>
      </w:r>
      <w:r w:rsidRPr="007C6F2A">
        <w:rPr>
          <w:szCs w:val="28"/>
          <w:lang w:val="es-ES_tradnl"/>
        </w:rPr>
        <w:tab/>
        <w:t xml:space="preserve"> </w:t>
      </w:r>
      <w:r w:rsidRPr="007C6F2A">
        <w:rPr>
          <w:b/>
          <w:szCs w:val="28"/>
          <w:lang w:val="es-ES_tradnl"/>
        </w:rPr>
        <w:t>Desconocimiento del artículo 254-2</w:t>
      </w:r>
      <w:r w:rsidRPr="007C6F2A">
        <w:rPr>
          <w:rStyle w:val="Refdenotaalpie"/>
          <w:bCs/>
          <w:szCs w:val="28"/>
          <w:lang w:val="es-ES_tradnl"/>
        </w:rPr>
        <w:footnoteReference w:id="34"/>
      </w:r>
      <w:r w:rsidRPr="007C6F2A">
        <w:rPr>
          <w:b/>
          <w:szCs w:val="28"/>
          <w:lang w:val="es-ES_tradnl"/>
        </w:rPr>
        <w:t xml:space="preserve"> superior. </w:t>
      </w:r>
      <w:r w:rsidRPr="007C6F2A">
        <w:rPr>
          <w:szCs w:val="28"/>
          <w:lang w:val="es-ES_tradnl"/>
        </w:rPr>
        <w:t xml:space="preserve">Para otro de los </w:t>
      </w:r>
      <w:r w:rsidRPr="004956A8">
        <w:rPr>
          <w:szCs w:val="28"/>
          <w:lang w:val="es-ES_tradnl"/>
        </w:rPr>
        <w:t>demandantes, el Acuerdo No. PSAA16-10575 de 2016 desconoce el mencionado artículo constitucional. Según su interpretación, al revivir dicha norma por la Corte Constitucional, el competente para conformar todas las ternas a partir de esa disposición es ahora el Presidente de la República y no el CSJ</w:t>
      </w:r>
      <w:r w:rsidRPr="004956A8">
        <w:rPr>
          <w:rStyle w:val="Refdenotaalpie"/>
          <w:szCs w:val="28"/>
          <w:lang w:val="es-ES_tradnl"/>
        </w:rPr>
        <w:footnoteReference w:id="35"/>
      </w:r>
      <w:r w:rsidRPr="004956A8">
        <w:rPr>
          <w:szCs w:val="28"/>
          <w:lang w:val="es-ES_tradnl"/>
        </w:rPr>
        <w:t>.</w:t>
      </w:r>
      <w:r w:rsidRPr="007C6F2A">
        <w:rPr>
          <w:szCs w:val="28"/>
          <w:lang w:val="es-ES_tradnl"/>
        </w:rPr>
        <w:t xml:space="preserve"> </w:t>
      </w:r>
    </w:p>
    <w:p w14:paraId="23E50AD9" w14:textId="77777777" w:rsidR="00AE1B4A" w:rsidRPr="007C6F2A" w:rsidRDefault="00AE1B4A" w:rsidP="00AE1B4A">
      <w:pPr>
        <w:jc w:val="both"/>
        <w:rPr>
          <w:szCs w:val="28"/>
        </w:rPr>
      </w:pPr>
    </w:p>
    <w:p w14:paraId="24DDDC1C" w14:textId="77777777" w:rsidR="00AE1B4A" w:rsidRPr="004956A8" w:rsidRDefault="00AE1B4A" w:rsidP="00AE1B4A">
      <w:pPr>
        <w:numPr>
          <w:ilvl w:val="0"/>
          <w:numId w:val="2"/>
        </w:numPr>
        <w:jc w:val="both"/>
        <w:rPr>
          <w:szCs w:val="28"/>
          <w:lang w:val="es-ES_tradnl"/>
        </w:rPr>
      </w:pPr>
      <w:r w:rsidRPr="007C6F2A">
        <w:rPr>
          <w:szCs w:val="28"/>
          <w:lang w:val="es-ES_tradnl"/>
        </w:rPr>
        <w:t xml:space="preserve">La </w:t>
      </w:r>
      <w:r w:rsidRPr="007C6F2A">
        <w:rPr>
          <w:b/>
          <w:szCs w:val="28"/>
          <w:lang w:val="es-ES_tradnl"/>
        </w:rPr>
        <w:t>Dirección Ejecutiva de la Administración Judicial</w:t>
      </w:r>
      <w:r w:rsidRPr="007C6F2A">
        <w:rPr>
          <w:szCs w:val="28"/>
          <w:lang w:val="es-ES_tradnl"/>
        </w:rPr>
        <w:t xml:space="preserve"> </w:t>
      </w:r>
      <w:r w:rsidRPr="00B92A13">
        <w:rPr>
          <w:szCs w:val="28"/>
          <w:lang w:val="es-ES_tradnl"/>
        </w:rPr>
        <w:t>contestó la demanda mediante escrito en el que precisó que los Acuerdos acusados fueron proferidos acorde con las precisas facultades reglamentarias que le fueron asignadas al CSJ, por la Constitución y la Ley 270 de 1996. De esta manera, explicó, se adoptaron por vía analógica las “</w:t>
      </w:r>
      <w:r w:rsidRPr="00B92A13">
        <w:rPr>
          <w:i/>
          <w:szCs w:val="28"/>
          <w:lang w:val="es-ES_tradnl"/>
        </w:rPr>
        <w:t>normas vigentes que regulan el procedimiento de la convocatoria pública</w:t>
      </w:r>
      <w:r w:rsidRPr="00B92A13">
        <w:rPr>
          <w:szCs w:val="28"/>
          <w:lang w:val="es-ES_tradnl"/>
        </w:rPr>
        <w:t xml:space="preserve">”, dado que existe un marco general aplicable ante la ausencia concreta de una norma especial. Por ende, </w:t>
      </w:r>
      <w:r w:rsidRPr="004956A8">
        <w:rPr>
          <w:szCs w:val="28"/>
          <w:lang w:val="es-ES_tradnl"/>
        </w:rPr>
        <w:t xml:space="preserve">en lo que corresponde al supuesto desconocimiento del artículo 126 superior, la Dirección Ejecutiva consideró que la tesis de los demandantes olvida que la Ley 270 de 1996 (Estatutaria de la Administración de Justicia) regula el punto de la convocatoria, de una manera satisfactoria. </w:t>
      </w:r>
    </w:p>
    <w:p w14:paraId="6E51D744" w14:textId="77777777" w:rsidR="00AE1B4A" w:rsidRPr="004956A8" w:rsidRDefault="00AE1B4A" w:rsidP="00AE1B4A">
      <w:pPr>
        <w:jc w:val="both"/>
        <w:rPr>
          <w:szCs w:val="28"/>
          <w:lang w:val="es-ES_tradnl"/>
        </w:rPr>
      </w:pPr>
    </w:p>
    <w:p w14:paraId="54BC3547" w14:textId="77777777" w:rsidR="00AE1B4A" w:rsidRPr="00B92A13" w:rsidRDefault="00AE1B4A" w:rsidP="00AE1B4A">
      <w:pPr>
        <w:jc w:val="both"/>
        <w:rPr>
          <w:szCs w:val="28"/>
          <w:lang w:val="es-ES_tradnl"/>
        </w:rPr>
      </w:pPr>
      <w:r w:rsidRPr="004956A8">
        <w:rPr>
          <w:szCs w:val="28"/>
          <w:lang w:val="es-ES_tradnl"/>
        </w:rPr>
        <w:t>En ese sentido, sostuvo que los demandantes omiten el hecho de que el artículo 76 de la Ley Estatutaria 270 de 1996 establece reglas para el nombramiento de los miembros de la actual Sala Jurisdiccional Disciplinaria del Consejo Superior de la Judicatura a cargo del Congreso de la República</w:t>
      </w:r>
      <w:r w:rsidRPr="00B92A13">
        <w:rPr>
          <w:szCs w:val="28"/>
          <w:lang w:val="es-ES_tradnl"/>
        </w:rPr>
        <w:t xml:space="preserve">, de ternas enviadas por el </w:t>
      </w:r>
      <w:r w:rsidRPr="004956A8">
        <w:rPr>
          <w:szCs w:val="28"/>
          <w:lang w:val="es-ES_tradnl"/>
        </w:rPr>
        <w:t>Gobierno Nacional. Disposición que al ser analizada a la luz del A.L. 02 de 2015, que creó la Comisión Nacional de Disciplina Judicial, le confería al CSJ la habilitación indicada. En especial, porque los miembros de la CNDJ debían ser elegidos dentro del año siguiente a la vigencia de dicho acto. Una exigencia de rango constitucional que debía ser cumplida de manera inmediata</w:t>
      </w:r>
      <w:r w:rsidRPr="004956A8">
        <w:rPr>
          <w:rStyle w:val="Refdenotaalpie"/>
          <w:szCs w:val="28"/>
          <w:lang w:val="es-ES_tradnl"/>
        </w:rPr>
        <w:footnoteReference w:id="36"/>
      </w:r>
      <w:r w:rsidRPr="004956A8">
        <w:rPr>
          <w:szCs w:val="28"/>
          <w:lang w:val="es-ES_tradnl"/>
        </w:rPr>
        <w:t>. En ese sentido, como la Ley 270 de 1996 ya tenía previstos los requisitos que rigen para las convocatorias</w:t>
      </w:r>
      <w:r w:rsidRPr="00B92A13">
        <w:rPr>
          <w:szCs w:val="28"/>
          <w:lang w:val="es-ES_tradnl"/>
        </w:rPr>
        <w:t xml:space="preserve"> públicas, se atendió plenamente lo indicado en el artículo 126 superior.  </w:t>
      </w:r>
    </w:p>
    <w:p w14:paraId="5354BC15" w14:textId="77777777" w:rsidR="00AE1B4A" w:rsidRPr="00B92A13" w:rsidRDefault="00AE1B4A" w:rsidP="00AE1B4A">
      <w:pPr>
        <w:jc w:val="both"/>
        <w:rPr>
          <w:szCs w:val="28"/>
          <w:lang w:val="es-ES_tradnl"/>
        </w:rPr>
      </w:pPr>
    </w:p>
    <w:p w14:paraId="74C062EB" w14:textId="77777777" w:rsidR="00AE1B4A" w:rsidRPr="00D24962" w:rsidRDefault="00AE1B4A" w:rsidP="00AE1B4A">
      <w:pPr>
        <w:numPr>
          <w:ilvl w:val="1"/>
          <w:numId w:val="2"/>
        </w:numPr>
        <w:jc w:val="both"/>
        <w:rPr>
          <w:szCs w:val="28"/>
          <w:lang w:val="es-ES_tradnl"/>
        </w:rPr>
      </w:pPr>
      <w:r w:rsidRPr="00B92A13">
        <w:rPr>
          <w:szCs w:val="28"/>
          <w:lang w:val="es-ES_tradnl"/>
        </w:rPr>
        <w:lastRenderedPageBreak/>
        <w:t xml:space="preserve">Resalta adicionalmente la Dirección </w:t>
      </w:r>
      <w:r w:rsidRPr="00D24962">
        <w:rPr>
          <w:szCs w:val="28"/>
          <w:lang w:val="es-ES_tradnl"/>
        </w:rPr>
        <w:t>Ejecutiva de Administración Judicial que el constituyente le atribuyó en su momento al Consejo Superior de la Judicatura, competencias para efectuar convocatorias públicas regladas de manera directa. Se trata de una facultad constitucional autónoma que le permite reglamentar también la que corresponde al Acuerdo en mención, a efectos de elegir cuatro de las siete ternas que deben ser presentadas al Congreso de la República. Tal competencia ha sido reconocida por la Corte Constitucional en las sentencias C-350 de 1997</w:t>
      </w:r>
      <w:r>
        <w:rPr>
          <w:szCs w:val="28"/>
          <w:lang w:val="es-ES_tradnl"/>
        </w:rPr>
        <w:t>,</w:t>
      </w:r>
      <w:r w:rsidRPr="00D24962">
        <w:rPr>
          <w:szCs w:val="28"/>
          <w:lang w:val="es-ES_tradnl"/>
        </w:rPr>
        <w:t xml:space="preserve"> C-851 de 2001</w:t>
      </w:r>
      <w:r>
        <w:rPr>
          <w:szCs w:val="28"/>
          <w:lang w:val="es-ES_tradnl"/>
        </w:rPr>
        <w:t>,</w:t>
      </w:r>
      <w:r w:rsidRPr="00D24962">
        <w:rPr>
          <w:szCs w:val="28"/>
          <w:lang w:val="es-ES_tradnl"/>
        </w:rPr>
        <w:t xml:space="preserve"> C-917 de 2002</w:t>
      </w:r>
      <w:r>
        <w:rPr>
          <w:szCs w:val="28"/>
          <w:lang w:val="es-ES_tradnl"/>
        </w:rPr>
        <w:t>,</w:t>
      </w:r>
      <w:r w:rsidRPr="00D24962">
        <w:rPr>
          <w:szCs w:val="28"/>
          <w:lang w:val="es-ES_tradnl"/>
        </w:rPr>
        <w:t xml:space="preserve"> C-384 de 2003 y C-307 de 2004, así como por la jurisdicción contencioso administrativa en varias de sus providencias</w:t>
      </w:r>
      <w:r w:rsidRPr="00D24962">
        <w:rPr>
          <w:rStyle w:val="Refdenotaalpie"/>
          <w:szCs w:val="28"/>
          <w:lang w:val="es-ES_tradnl"/>
        </w:rPr>
        <w:footnoteReference w:id="37"/>
      </w:r>
      <w:r w:rsidRPr="00D24962">
        <w:rPr>
          <w:szCs w:val="28"/>
          <w:lang w:val="es-ES_tradnl"/>
        </w:rPr>
        <w:t>. Si esa competencia no existiese y se acogiera plenamente la tesis desplegada por los demandantes en el proceso indicado, “</w:t>
      </w:r>
      <w:r w:rsidRPr="00D24962">
        <w:rPr>
          <w:i/>
          <w:szCs w:val="28"/>
          <w:lang w:val="es-ES_tradnl"/>
        </w:rPr>
        <w:t>las elecciones de Procurador, Magistrados de la Corte Constitucional, Corte Suprema de Justicia o Consejo de Estado debe[rían] ser declaradas nulas”</w:t>
      </w:r>
      <w:r w:rsidRPr="00D24962">
        <w:rPr>
          <w:rStyle w:val="Refdenotaalpie"/>
          <w:i/>
          <w:szCs w:val="28"/>
          <w:lang w:val="es-ES_tradnl"/>
        </w:rPr>
        <w:footnoteReference w:id="38"/>
      </w:r>
      <w:r w:rsidRPr="00D24962">
        <w:rPr>
          <w:i/>
          <w:szCs w:val="28"/>
          <w:lang w:val="es-ES_tradnl"/>
        </w:rPr>
        <w:t>.</w:t>
      </w:r>
    </w:p>
    <w:p w14:paraId="139FC3CA" w14:textId="77777777" w:rsidR="00AE1B4A" w:rsidRPr="00D24962" w:rsidRDefault="00AE1B4A" w:rsidP="00AE1B4A">
      <w:pPr>
        <w:jc w:val="both"/>
        <w:rPr>
          <w:szCs w:val="28"/>
          <w:lang w:val="es-ES_tradnl"/>
        </w:rPr>
      </w:pPr>
    </w:p>
    <w:p w14:paraId="7326DDF1" w14:textId="77777777" w:rsidR="00AE1B4A" w:rsidRPr="00530698" w:rsidRDefault="00AE1B4A" w:rsidP="00AE1B4A">
      <w:pPr>
        <w:numPr>
          <w:ilvl w:val="1"/>
          <w:numId w:val="2"/>
        </w:numPr>
        <w:tabs>
          <w:tab w:val="left" w:pos="284"/>
        </w:tabs>
        <w:jc w:val="both"/>
        <w:rPr>
          <w:szCs w:val="28"/>
          <w:lang w:val="es-ES_tradnl"/>
        </w:rPr>
      </w:pPr>
      <w:r w:rsidRPr="00D24962">
        <w:rPr>
          <w:szCs w:val="28"/>
          <w:lang w:val="es-ES_tradnl"/>
        </w:rPr>
        <w:t xml:space="preserve">Por su parte, la </w:t>
      </w:r>
      <w:r w:rsidRPr="00D24962">
        <w:rPr>
          <w:b/>
          <w:szCs w:val="28"/>
          <w:lang w:val="es-ES_tradnl"/>
        </w:rPr>
        <w:t xml:space="preserve">Vicepresidencia </w:t>
      </w:r>
      <w:r w:rsidRPr="00530698">
        <w:rPr>
          <w:b/>
          <w:szCs w:val="28"/>
          <w:lang w:val="es-ES_tradnl"/>
        </w:rPr>
        <w:t>del Consejo Superior</w:t>
      </w:r>
      <w:r w:rsidRPr="00530698">
        <w:rPr>
          <w:rStyle w:val="Refdenotaalpie"/>
          <w:bCs/>
          <w:szCs w:val="28"/>
          <w:lang w:val="es-ES_tradnl"/>
        </w:rPr>
        <w:footnoteReference w:id="39"/>
      </w:r>
      <w:r w:rsidRPr="00530698">
        <w:rPr>
          <w:b/>
          <w:szCs w:val="28"/>
          <w:lang w:val="es-ES_tradnl"/>
        </w:rPr>
        <w:t xml:space="preserve"> de la Judicatura</w:t>
      </w:r>
      <w:r w:rsidRPr="00530698">
        <w:rPr>
          <w:szCs w:val="28"/>
          <w:lang w:val="es-ES_tradnl"/>
        </w:rPr>
        <w:t xml:space="preserve"> </w:t>
      </w:r>
      <w:r w:rsidRPr="00530698">
        <w:rPr>
          <w:b/>
          <w:szCs w:val="28"/>
          <w:lang w:val="es-ES_tradnl"/>
        </w:rPr>
        <w:t>y el ciudadano José Yesid Córdoba</w:t>
      </w:r>
      <w:r w:rsidRPr="00530698">
        <w:rPr>
          <w:szCs w:val="28"/>
          <w:lang w:val="es-ES_tradnl"/>
        </w:rPr>
        <w:t xml:space="preserve">, presentaron en el proceso, argumentos adicionales en favor de los Acuerdos proferidos por el CSJ, como sigue: </w:t>
      </w:r>
    </w:p>
    <w:p w14:paraId="351D6448" w14:textId="77777777" w:rsidR="00AE1B4A" w:rsidRPr="00530698" w:rsidRDefault="00AE1B4A" w:rsidP="00AE1B4A">
      <w:pPr>
        <w:pStyle w:val="Prrafodelista"/>
        <w:tabs>
          <w:tab w:val="left" w:pos="284"/>
          <w:tab w:val="left" w:pos="426"/>
        </w:tabs>
        <w:ind w:left="0"/>
        <w:rPr>
          <w:b/>
          <w:szCs w:val="28"/>
          <w:lang w:val="es-ES_tradnl"/>
        </w:rPr>
      </w:pPr>
    </w:p>
    <w:p w14:paraId="439CF034" w14:textId="77777777" w:rsidR="00AE1B4A" w:rsidRPr="00530698" w:rsidRDefault="00AE1B4A" w:rsidP="00AE1B4A">
      <w:pPr>
        <w:numPr>
          <w:ilvl w:val="0"/>
          <w:numId w:val="15"/>
        </w:numPr>
        <w:tabs>
          <w:tab w:val="left" w:pos="284"/>
          <w:tab w:val="left" w:pos="426"/>
        </w:tabs>
        <w:ind w:left="0" w:firstLine="0"/>
        <w:jc w:val="both"/>
        <w:rPr>
          <w:szCs w:val="28"/>
          <w:lang w:val="es-ES_tradnl"/>
        </w:rPr>
      </w:pPr>
      <w:r w:rsidRPr="00530698">
        <w:rPr>
          <w:szCs w:val="28"/>
          <w:lang w:val="es-ES_tradnl"/>
        </w:rPr>
        <w:t xml:space="preserve"> El artículo 257A de la Carta, fue claro en señalar que la Comisión Nacional de Disciplina Judicial, se conformaría de ternas presentadas al Congreso, de las cuáles cuatro serían integradas por el CSJ </w:t>
      </w:r>
      <w:r w:rsidRPr="00530698">
        <w:rPr>
          <w:i/>
          <w:szCs w:val="28"/>
          <w:lang w:val="es-ES_tradnl"/>
        </w:rPr>
        <w:t>“previa convocatoria pública reglada</w:t>
      </w:r>
      <w:r w:rsidRPr="00530698">
        <w:rPr>
          <w:szCs w:val="28"/>
          <w:lang w:val="es-ES_tradnl"/>
        </w:rPr>
        <w:t xml:space="preserve">”, sin que ello equivalga a que la regulación penda necesariamente de la ley, pues dicha exigencia no fue incluida de manera expresa en la mencionada norma constitucional. </w:t>
      </w:r>
    </w:p>
    <w:p w14:paraId="76B7D0C1" w14:textId="77777777" w:rsidR="00AE1B4A" w:rsidRPr="00530698" w:rsidRDefault="00AE1B4A" w:rsidP="00AE1B4A">
      <w:pPr>
        <w:tabs>
          <w:tab w:val="left" w:pos="284"/>
          <w:tab w:val="left" w:pos="426"/>
        </w:tabs>
        <w:jc w:val="both"/>
        <w:rPr>
          <w:szCs w:val="28"/>
          <w:lang w:val="es-ES_tradnl"/>
        </w:rPr>
      </w:pPr>
    </w:p>
    <w:p w14:paraId="04D08277" w14:textId="77777777" w:rsidR="00AE1B4A" w:rsidRPr="00530698" w:rsidRDefault="00AE1B4A" w:rsidP="00AE1B4A">
      <w:pPr>
        <w:numPr>
          <w:ilvl w:val="0"/>
          <w:numId w:val="15"/>
        </w:numPr>
        <w:tabs>
          <w:tab w:val="left" w:pos="426"/>
        </w:tabs>
        <w:ind w:left="0" w:firstLine="0"/>
        <w:jc w:val="both"/>
        <w:rPr>
          <w:szCs w:val="28"/>
          <w:lang w:val="es-ES_tradnl"/>
        </w:rPr>
      </w:pPr>
      <w:r w:rsidRPr="00530698">
        <w:rPr>
          <w:szCs w:val="28"/>
          <w:lang w:val="es-ES_tradnl"/>
        </w:rPr>
        <w:t xml:space="preserve">Una lectura sistemática de la Carta permite concluir que los Acuerdos no desconocen el artículo 126 superior, porque al analizar el A.L. 02 de 2015 en su conjunto, se ve que algunas de las normas mencionadas, sí exigían regulación de ley y otras no, lo que supone que el artículo 257A constitucional no lo reclamaba necesariamente como requisito. Así, la lectura integral del A.L. 02 de 2015 evidencia que el Presidente de la República y el CSJ tienen competencias directas para efectuar la regulación, lo que se acompasa con el plazo de un año exigido por la Constitución, para la designación de los mencionados Magistrados. </w:t>
      </w:r>
    </w:p>
    <w:p w14:paraId="4E29B691" w14:textId="77777777" w:rsidR="00AE1B4A" w:rsidRPr="009B3568" w:rsidRDefault="00AE1B4A" w:rsidP="00AE1B4A">
      <w:pPr>
        <w:tabs>
          <w:tab w:val="left" w:pos="426"/>
        </w:tabs>
        <w:jc w:val="both"/>
        <w:rPr>
          <w:szCs w:val="28"/>
          <w:lang w:val="es-ES_tradnl"/>
        </w:rPr>
      </w:pPr>
    </w:p>
    <w:p w14:paraId="314DC061" w14:textId="77777777" w:rsidR="00AE1B4A" w:rsidRPr="009B3568" w:rsidRDefault="00AE1B4A" w:rsidP="00AE1B4A">
      <w:pPr>
        <w:numPr>
          <w:ilvl w:val="0"/>
          <w:numId w:val="15"/>
        </w:numPr>
        <w:tabs>
          <w:tab w:val="left" w:pos="426"/>
        </w:tabs>
        <w:ind w:left="0" w:firstLine="0"/>
        <w:jc w:val="both"/>
        <w:rPr>
          <w:szCs w:val="28"/>
          <w:lang w:val="es-ES_tradnl"/>
        </w:rPr>
      </w:pPr>
      <w:r w:rsidRPr="009B3568">
        <w:rPr>
          <w:szCs w:val="28"/>
          <w:lang w:val="es-ES_tradnl"/>
        </w:rPr>
        <w:t xml:space="preserve"> Lo anterior se corrobora, además, con el hecho de que la Constitució</w:t>
      </w:r>
      <w:r>
        <w:rPr>
          <w:szCs w:val="28"/>
          <w:lang w:val="es-ES_tradnl"/>
        </w:rPr>
        <w:t>n</w:t>
      </w:r>
      <w:r w:rsidRPr="009B3568">
        <w:rPr>
          <w:szCs w:val="28"/>
          <w:lang w:val="es-ES_tradnl"/>
        </w:rPr>
        <w:t xml:space="preserve"> le confirió al CSJ facultades reglamentarias, como lo sostiene claramente la sentencia C-350 de 1997 de la Corte Constitucional. </w:t>
      </w:r>
    </w:p>
    <w:p w14:paraId="0EDA0BB4" w14:textId="77777777" w:rsidR="00AE1B4A" w:rsidRPr="009B3568" w:rsidRDefault="00AE1B4A" w:rsidP="00AE1B4A">
      <w:pPr>
        <w:jc w:val="both"/>
        <w:rPr>
          <w:b/>
          <w:szCs w:val="28"/>
          <w:lang w:val="es-ES_tradnl"/>
        </w:rPr>
      </w:pPr>
    </w:p>
    <w:p w14:paraId="5DFFB049" w14:textId="77777777" w:rsidR="00AE1B4A" w:rsidRPr="007C6F2A" w:rsidRDefault="00AE1B4A" w:rsidP="00AE1B4A">
      <w:pPr>
        <w:jc w:val="both"/>
        <w:rPr>
          <w:szCs w:val="28"/>
          <w:lang w:val="es-ES_tradnl"/>
        </w:rPr>
      </w:pPr>
      <w:r w:rsidRPr="009B3568">
        <w:rPr>
          <w:b/>
          <w:szCs w:val="28"/>
          <w:lang w:val="es-ES_tradnl"/>
        </w:rPr>
        <w:t>(iv)</w:t>
      </w:r>
      <w:r w:rsidRPr="009B3568">
        <w:rPr>
          <w:szCs w:val="28"/>
          <w:lang w:val="es-ES_tradnl"/>
        </w:rPr>
        <w:t xml:space="preserve"> En el mismo sentido</w:t>
      </w:r>
      <w:r>
        <w:rPr>
          <w:szCs w:val="28"/>
          <w:lang w:val="es-ES_tradnl"/>
        </w:rPr>
        <w:t>,</w:t>
      </w:r>
      <w:r w:rsidRPr="009B3568">
        <w:rPr>
          <w:szCs w:val="28"/>
          <w:lang w:val="es-ES_tradnl"/>
        </w:rPr>
        <w:t xml:space="preserve"> el Acuerdo demandado tampoco desconoce el literal b) del artículo 152 </w:t>
      </w:r>
      <w:r>
        <w:rPr>
          <w:szCs w:val="28"/>
          <w:lang w:val="es-ES_tradnl"/>
        </w:rPr>
        <w:t>constitucional,</w:t>
      </w:r>
      <w:r w:rsidRPr="009B3568">
        <w:rPr>
          <w:szCs w:val="28"/>
          <w:lang w:val="es-ES_tradnl"/>
        </w:rPr>
        <w:t xml:space="preserve"> por cuanto en el parágrafo transitorio del artículo 257A superior, se reglamentó de manera sustancial cómo debía conformarse, por primera vez y de manera transitoria,</w:t>
      </w:r>
      <w:bookmarkStart w:id="4" w:name="_Hlk24011895"/>
      <w:r w:rsidRPr="009B3568">
        <w:rPr>
          <w:szCs w:val="28"/>
          <w:lang w:val="es-ES_tradnl"/>
        </w:rPr>
        <w:t xml:space="preserve"> la CNDJ</w:t>
      </w:r>
      <w:bookmarkEnd w:id="4"/>
      <w:r w:rsidRPr="009B3568">
        <w:rPr>
          <w:szCs w:val="28"/>
          <w:lang w:val="es-ES_tradnl"/>
        </w:rPr>
        <w:t>, sin necesidad de una ley estatutaria previa. El hecho de que el demandante omitiera pronunciarse sobre el parágrafo transitorio</w:t>
      </w:r>
      <w:r>
        <w:rPr>
          <w:szCs w:val="28"/>
          <w:lang w:val="es-ES_tradnl"/>
        </w:rPr>
        <w:t>,</w:t>
      </w:r>
      <w:r w:rsidRPr="009B3568">
        <w:rPr>
          <w:szCs w:val="28"/>
          <w:lang w:val="es-ES_tradnl"/>
        </w:rPr>
        <w:t xml:space="preserve"> </w:t>
      </w:r>
      <w:r>
        <w:rPr>
          <w:szCs w:val="28"/>
          <w:lang w:val="es-ES_tradnl"/>
        </w:rPr>
        <w:t xml:space="preserve">impidió ver que el </w:t>
      </w:r>
      <w:r w:rsidRPr="007C6F2A">
        <w:rPr>
          <w:szCs w:val="28"/>
          <w:lang w:val="es-ES_tradnl"/>
        </w:rPr>
        <w:t xml:space="preserve">CSJ tiene una facultad directa atribuida por la Constitución, para hacer la primera </w:t>
      </w:r>
      <w:r w:rsidRPr="003E31C8">
        <w:rPr>
          <w:szCs w:val="28"/>
          <w:lang w:val="es-ES_tradnl"/>
        </w:rPr>
        <w:t>designación de cuatro ternas de los magistrados del CNDJ. De no interpretarse así el precepto constitucional, se trataría entonces de una norma inocua, porque sería imposible cumplir el mandato fijado por ella en un año, si se requiriera previamente de la promulgación de una ley estatutaria para la configuración de la primera CNDJ. La interpretación que se propone de la disposición, desde la perspectiva de los intervinientes, se acompasa con la establecida por la Corte Constitucional</w:t>
      </w:r>
      <w:r w:rsidRPr="003E31C8">
        <w:rPr>
          <w:rStyle w:val="Refdenotaalpie"/>
          <w:szCs w:val="28"/>
          <w:lang w:val="es-ES_tradnl"/>
        </w:rPr>
        <w:footnoteReference w:id="40"/>
      </w:r>
      <w:r w:rsidRPr="003E31C8">
        <w:rPr>
          <w:szCs w:val="28"/>
          <w:lang w:val="es-ES_tradnl"/>
        </w:rPr>
        <w:t xml:space="preserve"> en la </w:t>
      </w:r>
      <w:r w:rsidRPr="003E31C8">
        <w:rPr>
          <w:b/>
          <w:bCs/>
          <w:szCs w:val="28"/>
          <w:lang w:val="es-ES_tradnl"/>
        </w:rPr>
        <w:t>Sentencia C-285 de 2016</w:t>
      </w:r>
      <w:r w:rsidRPr="003E31C8">
        <w:rPr>
          <w:szCs w:val="28"/>
          <w:lang w:val="es-ES_tradnl"/>
        </w:rPr>
        <w:t>, de manera tal que el CSJ sí expidió el Acuerdo demandado conforme al mandato previsto en el parágrafo transitorio del artículo 257A de la Carta (artículo 19 del A.L. 02 de 2015), puesto que era la única manera posible de dar cumplimiento a la decisión del constituyente, dentro del año siguiente a la entrada en vigencia del A.L.</w:t>
      </w:r>
      <w:r w:rsidRPr="007C6F2A">
        <w:rPr>
          <w:szCs w:val="28"/>
          <w:lang w:val="es-ES_tradnl"/>
        </w:rPr>
        <w:t xml:space="preserve"> </w:t>
      </w:r>
    </w:p>
    <w:p w14:paraId="351ACDB1" w14:textId="77777777" w:rsidR="00AE1B4A" w:rsidRPr="007C6F2A" w:rsidRDefault="00AE1B4A" w:rsidP="00AE1B4A">
      <w:pPr>
        <w:jc w:val="both"/>
        <w:rPr>
          <w:szCs w:val="28"/>
          <w:lang w:val="es-ES_tradnl"/>
        </w:rPr>
      </w:pPr>
    </w:p>
    <w:p w14:paraId="6051CBBA" w14:textId="77777777" w:rsidR="00AE1B4A" w:rsidRPr="0005595A" w:rsidRDefault="00AE1B4A" w:rsidP="00AE1B4A">
      <w:pPr>
        <w:numPr>
          <w:ilvl w:val="1"/>
          <w:numId w:val="2"/>
        </w:numPr>
        <w:jc w:val="both"/>
        <w:rPr>
          <w:szCs w:val="28"/>
          <w:lang w:val="es-ES_tradnl"/>
        </w:rPr>
      </w:pPr>
      <w:r w:rsidRPr="007C6F2A">
        <w:rPr>
          <w:szCs w:val="28"/>
          <w:lang w:val="es-ES_tradnl"/>
        </w:rPr>
        <w:t xml:space="preserve">El </w:t>
      </w:r>
      <w:r w:rsidRPr="0005595A">
        <w:rPr>
          <w:b/>
          <w:szCs w:val="28"/>
          <w:lang w:val="es-ES_tradnl"/>
        </w:rPr>
        <w:t xml:space="preserve">Ministerio de Justicia y del Derecho </w:t>
      </w:r>
      <w:r w:rsidRPr="0005595A">
        <w:rPr>
          <w:szCs w:val="28"/>
          <w:lang w:val="es-ES_tradnl"/>
        </w:rPr>
        <w:t>coadyuvó lo dicho por el Consejo Superior de la Judicatura. Así que, a los argumentos presentados por esa entidad con anterioridad, agregó una consideración adicional sobre el informe de ponencia para cuarto debate en segunda vuelta, del A.L. 02 del 2015. Según el Ministerio, el informe resalta que la convocatoria debía ser regulada por la ley. Sin embargo, también se dispuso que mientras ella se expedía, la “</w:t>
      </w:r>
      <w:r w:rsidRPr="0005595A">
        <w:rPr>
          <w:i/>
          <w:szCs w:val="28"/>
          <w:lang w:val="es-ES_tradnl"/>
        </w:rPr>
        <w:t>convocatoria podía ser adelantada por la institucionalidad existente</w:t>
      </w:r>
      <w:r w:rsidRPr="0005595A">
        <w:rPr>
          <w:szCs w:val="28"/>
          <w:lang w:val="es-ES_tradnl"/>
        </w:rPr>
        <w:t>”</w:t>
      </w:r>
      <w:r w:rsidRPr="0005595A">
        <w:rPr>
          <w:rStyle w:val="Refdenotaalpie"/>
          <w:szCs w:val="28"/>
          <w:lang w:val="es-ES_tradnl"/>
        </w:rPr>
        <w:footnoteReference w:id="41"/>
      </w:r>
      <w:r w:rsidRPr="0005595A">
        <w:rPr>
          <w:szCs w:val="28"/>
          <w:lang w:val="es-ES_tradnl"/>
        </w:rPr>
        <w:t>. Por lo tanto, aunque el Legislador es quien debe regular en general la convocatoria pública, el constituyente dejó clara su voluntad de entender que, mientras se expide la normativa legal, el órgano que tiene a su cargo realizar esa convocatoria particular es el CSJ, especialmente si conforme con el artículo 257-3 de la Carta, “</w:t>
      </w:r>
      <w:r w:rsidRPr="0005595A">
        <w:rPr>
          <w:i/>
          <w:szCs w:val="28"/>
          <w:lang w:val="es-ES_tradnl"/>
        </w:rPr>
        <w:t>le compete dictar los reglamentos necesarios para el eficaz funcionamiento de la administración de justicia</w:t>
      </w:r>
      <w:r w:rsidRPr="0005595A">
        <w:rPr>
          <w:szCs w:val="28"/>
          <w:lang w:val="es-ES_tradnl"/>
        </w:rPr>
        <w:t>”</w:t>
      </w:r>
      <w:r w:rsidRPr="0005595A">
        <w:rPr>
          <w:rStyle w:val="Refdenotaalpie"/>
          <w:szCs w:val="28"/>
          <w:lang w:val="es-ES_tradnl"/>
        </w:rPr>
        <w:footnoteReference w:id="42"/>
      </w:r>
      <w:r w:rsidRPr="0005595A">
        <w:rPr>
          <w:szCs w:val="28"/>
          <w:lang w:val="es-ES_tradnl"/>
        </w:rPr>
        <w:t xml:space="preserve">.  </w:t>
      </w:r>
    </w:p>
    <w:p w14:paraId="3D0182E6" w14:textId="77777777" w:rsidR="00AE1B4A" w:rsidRPr="009B3568" w:rsidRDefault="00AE1B4A" w:rsidP="00AE1B4A">
      <w:pPr>
        <w:jc w:val="both"/>
        <w:rPr>
          <w:szCs w:val="28"/>
          <w:lang w:val="es-ES_tradnl"/>
        </w:rPr>
      </w:pPr>
    </w:p>
    <w:p w14:paraId="7E0793B5" w14:textId="77777777" w:rsidR="00AE1B4A" w:rsidRPr="007C6F2A" w:rsidRDefault="00AE1B4A" w:rsidP="00AE1B4A">
      <w:pPr>
        <w:numPr>
          <w:ilvl w:val="1"/>
          <w:numId w:val="2"/>
        </w:numPr>
        <w:jc w:val="both"/>
        <w:rPr>
          <w:szCs w:val="28"/>
          <w:lang w:val="es-ES_tradnl"/>
        </w:rPr>
      </w:pPr>
      <w:r w:rsidRPr="009B3568">
        <w:rPr>
          <w:szCs w:val="28"/>
          <w:lang w:val="es-ES_tradnl"/>
        </w:rPr>
        <w:t xml:space="preserve">Para la </w:t>
      </w:r>
      <w:r w:rsidRPr="009B3568">
        <w:rPr>
          <w:b/>
          <w:szCs w:val="28"/>
          <w:lang w:val="es-ES_tradnl"/>
        </w:rPr>
        <w:t>Procuraduría Genera</w:t>
      </w:r>
      <w:r w:rsidRPr="009B3568">
        <w:rPr>
          <w:szCs w:val="28"/>
          <w:lang w:val="es-ES_tradnl"/>
        </w:rPr>
        <w:t xml:space="preserve">l </w:t>
      </w:r>
      <w:r w:rsidRPr="0005595A">
        <w:rPr>
          <w:szCs w:val="28"/>
          <w:lang w:val="es-ES_tradnl"/>
        </w:rPr>
        <w:t>es claro al CSJ co</w:t>
      </w:r>
      <w:r>
        <w:rPr>
          <w:szCs w:val="28"/>
          <w:lang w:val="es-ES_tradnl"/>
        </w:rPr>
        <w:t>rresponde</w:t>
      </w:r>
      <w:r w:rsidRPr="0005595A">
        <w:rPr>
          <w:szCs w:val="28"/>
          <w:lang w:val="es-ES_tradnl"/>
        </w:rPr>
        <w:t xml:space="preserve"> dictar las disposiciones demandadas en virtud de su competencia reglamentaria atribuida por el artículo 257-3 superior. Por lo que desestima que la regulación a la que alude el artículo 257A</w:t>
      </w:r>
      <w:r w:rsidRPr="009B3568">
        <w:rPr>
          <w:szCs w:val="28"/>
          <w:lang w:val="es-ES_tradnl"/>
        </w:rPr>
        <w:t xml:space="preserve"> de la Carta, deba hacerse siempre por ley estatutaria. Además, el artículo 19 del A.L. 02 de 2015 sí entregó de forma directa la competencia reglamentaria al CSJ, por</w:t>
      </w:r>
      <w:r w:rsidRPr="007C6F2A">
        <w:rPr>
          <w:szCs w:val="28"/>
          <w:lang w:val="es-ES_tradnl"/>
        </w:rPr>
        <w:t xml:space="preserve"> lo</w:t>
      </w:r>
      <w:r>
        <w:rPr>
          <w:szCs w:val="28"/>
          <w:lang w:val="es-ES_tradnl"/>
        </w:rPr>
        <w:t xml:space="preserve"> cual</w:t>
      </w:r>
      <w:r w:rsidRPr="007C6F2A">
        <w:rPr>
          <w:szCs w:val="28"/>
          <w:lang w:val="es-ES_tradnl"/>
        </w:rPr>
        <w:t xml:space="preserve">, de no admitirse esa lectura de las normas invocadas, ello significaría aniquilar prácticamente </w:t>
      </w:r>
      <w:r w:rsidRPr="007C6F2A">
        <w:rPr>
          <w:i/>
          <w:szCs w:val="28"/>
          <w:lang w:val="es-ES_tradnl"/>
        </w:rPr>
        <w:t>“el funcionamiento de las instituciones constitucionales, en especial, cuando el numeral 3 del artículo 257 Superior entrega al Consejo Superior de la Judicatura la potestad reglamentaria para garantizar el funcionamiento de la Rama Judicial del Poder Público</w:t>
      </w:r>
      <w:r w:rsidRPr="007C6F2A">
        <w:rPr>
          <w:szCs w:val="28"/>
          <w:lang w:val="es-ES_tradnl"/>
        </w:rPr>
        <w:t>”</w:t>
      </w:r>
      <w:r w:rsidRPr="007C6F2A">
        <w:rPr>
          <w:rStyle w:val="Refdenotaalpie"/>
          <w:szCs w:val="28"/>
          <w:lang w:val="es-ES_tradnl"/>
        </w:rPr>
        <w:footnoteReference w:id="43"/>
      </w:r>
      <w:r w:rsidRPr="007C6F2A">
        <w:rPr>
          <w:szCs w:val="28"/>
          <w:lang w:val="es-ES_tradnl"/>
        </w:rPr>
        <w:t xml:space="preserve">. </w:t>
      </w:r>
    </w:p>
    <w:p w14:paraId="03BA8503" w14:textId="77777777" w:rsidR="00AE1B4A" w:rsidRPr="007C6F2A" w:rsidRDefault="00AE1B4A" w:rsidP="00AE1B4A">
      <w:pPr>
        <w:spacing w:line="276" w:lineRule="auto"/>
        <w:jc w:val="both"/>
        <w:rPr>
          <w:szCs w:val="28"/>
          <w:lang w:val="es-ES_tradnl"/>
        </w:rPr>
      </w:pPr>
    </w:p>
    <w:p w14:paraId="258D7A1D" w14:textId="77777777" w:rsidR="00AE1B4A" w:rsidRPr="007C6F2A" w:rsidRDefault="00AE1B4A" w:rsidP="00AE1B4A">
      <w:pPr>
        <w:jc w:val="both"/>
        <w:rPr>
          <w:b/>
          <w:sz w:val="30"/>
          <w:szCs w:val="30"/>
          <w:lang w:val="es-ES_tradnl"/>
        </w:rPr>
      </w:pPr>
      <w:r w:rsidRPr="007C6F2A">
        <w:rPr>
          <w:b/>
          <w:sz w:val="30"/>
          <w:szCs w:val="30"/>
          <w:lang w:val="es-ES_tradnl"/>
        </w:rPr>
        <w:t>La decisión de la Sala Plena de lo Contencioso Administrativo sobre los Acuerdos proferidos por el Consejo Superior de la Judicatura</w:t>
      </w:r>
    </w:p>
    <w:p w14:paraId="3F9282F3" w14:textId="77777777" w:rsidR="00AE1B4A" w:rsidRPr="007C6F2A" w:rsidRDefault="00AE1B4A" w:rsidP="00AE1B4A">
      <w:pPr>
        <w:spacing w:line="276" w:lineRule="auto"/>
        <w:jc w:val="both"/>
        <w:rPr>
          <w:szCs w:val="28"/>
          <w:lang w:val="es-ES_tradnl"/>
        </w:rPr>
      </w:pPr>
    </w:p>
    <w:p w14:paraId="72B68B00" w14:textId="77777777" w:rsidR="00AE1B4A" w:rsidRPr="007C6F2A" w:rsidRDefault="00AE1B4A" w:rsidP="00AE1B4A">
      <w:pPr>
        <w:numPr>
          <w:ilvl w:val="0"/>
          <w:numId w:val="2"/>
        </w:numPr>
        <w:jc w:val="both"/>
        <w:rPr>
          <w:szCs w:val="28"/>
          <w:lang w:val="es-ES_tradnl"/>
        </w:rPr>
      </w:pPr>
      <w:r w:rsidRPr="007C6F2A">
        <w:rPr>
          <w:szCs w:val="28"/>
          <w:lang w:val="es-ES_tradnl"/>
        </w:rPr>
        <w:t xml:space="preserve">Mediante </w:t>
      </w:r>
      <w:r w:rsidRPr="007C6F2A">
        <w:rPr>
          <w:b/>
          <w:szCs w:val="28"/>
          <w:lang w:val="es-ES_tradnl"/>
        </w:rPr>
        <w:t>Sentencia del 6 de febrero de 2018</w:t>
      </w:r>
      <w:r w:rsidRPr="007C6F2A">
        <w:rPr>
          <w:szCs w:val="28"/>
          <w:vertAlign w:val="superscript"/>
          <w:lang w:val="es-ES_tradnl"/>
        </w:rPr>
        <w:footnoteReference w:id="44"/>
      </w:r>
      <w:r w:rsidRPr="007C6F2A">
        <w:rPr>
          <w:szCs w:val="28"/>
          <w:lang w:val="es-ES_tradnl"/>
        </w:rPr>
        <w:t xml:space="preserve">, la Sala Plena de lo Contencioso Administrativo del Consejo de Estado decidió las demandas acumuladas y declaró la nulidad por inconstitucionalidad del </w:t>
      </w:r>
      <w:r w:rsidRPr="007C6F2A">
        <w:rPr>
          <w:b/>
          <w:szCs w:val="28"/>
          <w:lang w:val="es-ES_tradnl"/>
        </w:rPr>
        <w:t>Acuerdo PSAA16-10548</w:t>
      </w:r>
      <w:r w:rsidRPr="007C6F2A">
        <w:rPr>
          <w:szCs w:val="28"/>
          <w:lang w:val="es-ES_tradnl"/>
        </w:rPr>
        <w:t xml:space="preserve"> de 27 de julio de 2016</w:t>
      </w:r>
      <w:r w:rsidRPr="007C6F2A">
        <w:rPr>
          <w:szCs w:val="28"/>
          <w:vertAlign w:val="superscript"/>
          <w:lang w:val="es-ES_tradnl"/>
        </w:rPr>
        <w:footnoteReference w:id="45"/>
      </w:r>
      <w:r w:rsidRPr="007C6F2A">
        <w:rPr>
          <w:szCs w:val="28"/>
          <w:lang w:val="es-ES_tradnl"/>
        </w:rPr>
        <w:t xml:space="preserve"> relacionado con la reglamentación de la convocatoria pública en mención, por desconocer los artículos 6º, 121, 126, 256 y 257 de la Constitución Política. Aunque la demanda se dirigió contra los dos actos acusados y la sentencia de la Corte Constitucional</w:t>
      </w:r>
      <w:r w:rsidRPr="007C6F2A">
        <w:rPr>
          <w:rStyle w:val="Refdenotaalpie"/>
          <w:szCs w:val="28"/>
          <w:lang w:val="es-ES_tradnl"/>
        </w:rPr>
        <w:footnoteReference w:id="46"/>
      </w:r>
      <w:r w:rsidRPr="007C6F2A">
        <w:rPr>
          <w:szCs w:val="28"/>
          <w:lang w:val="es-ES_tradnl"/>
        </w:rPr>
        <w:t>, la providencia s</w:t>
      </w:r>
      <w:r w:rsidR="00C80E03">
        <w:rPr>
          <w:szCs w:val="28"/>
          <w:lang w:val="es-ES_tradnl"/>
        </w:rPr>
        <w:t>o</w:t>
      </w:r>
      <w:r w:rsidRPr="007C6F2A">
        <w:rPr>
          <w:szCs w:val="28"/>
          <w:lang w:val="es-ES_tradnl"/>
        </w:rPr>
        <w:t>lo se pronunció respecto del Acuerdo 10548 de 2016, “</w:t>
      </w:r>
      <w:r w:rsidRPr="007C6F2A">
        <w:rPr>
          <w:i/>
          <w:szCs w:val="28"/>
          <w:lang w:val="es-ES_tradnl"/>
        </w:rPr>
        <w:t>porque s</w:t>
      </w:r>
      <w:r w:rsidR="00C80E03">
        <w:rPr>
          <w:i/>
          <w:szCs w:val="28"/>
          <w:lang w:val="es-ES_tradnl"/>
        </w:rPr>
        <w:t>o</w:t>
      </w:r>
      <w:r w:rsidRPr="007C6F2A">
        <w:rPr>
          <w:i/>
          <w:szCs w:val="28"/>
          <w:lang w:val="es-ES_tradnl"/>
        </w:rPr>
        <w:t>lo contra ese se configuran las características exigidas para resolver la inconstitucionalidad propuesta</w:t>
      </w:r>
      <w:r w:rsidRPr="007C6F2A">
        <w:rPr>
          <w:szCs w:val="28"/>
          <w:lang w:val="es-ES_tradnl"/>
        </w:rPr>
        <w:t>”</w:t>
      </w:r>
      <w:r w:rsidRPr="007C6F2A">
        <w:rPr>
          <w:rStyle w:val="Refdenotaalpie"/>
          <w:szCs w:val="28"/>
          <w:lang w:val="es-ES_tradnl"/>
        </w:rPr>
        <w:footnoteReference w:id="47"/>
      </w:r>
      <w:r w:rsidRPr="007C6F2A">
        <w:rPr>
          <w:szCs w:val="28"/>
          <w:lang w:val="es-ES_tradnl"/>
        </w:rPr>
        <w:t xml:space="preserve">. </w:t>
      </w:r>
    </w:p>
    <w:p w14:paraId="5FFF8053" w14:textId="77777777" w:rsidR="00AE1B4A" w:rsidRPr="007C6F2A" w:rsidRDefault="00AE1B4A" w:rsidP="00AE1B4A">
      <w:pPr>
        <w:jc w:val="both"/>
        <w:rPr>
          <w:szCs w:val="28"/>
          <w:lang w:val="es-ES_tradnl"/>
        </w:rPr>
      </w:pPr>
    </w:p>
    <w:p w14:paraId="67EADDC5" w14:textId="77777777" w:rsidR="00AE1B4A" w:rsidRPr="0005595A" w:rsidRDefault="00AE1B4A" w:rsidP="00AE1B4A">
      <w:pPr>
        <w:numPr>
          <w:ilvl w:val="0"/>
          <w:numId w:val="2"/>
        </w:numPr>
        <w:jc w:val="both"/>
        <w:rPr>
          <w:szCs w:val="28"/>
          <w:lang w:val="es-ES_tradnl"/>
        </w:rPr>
      </w:pPr>
      <w:r w:rsidRPr="0005595A">
        <w:rPr>
          <w:szCs w:val="28"/>
          <w:lang w:val="es-ES_tradnl"/>
        </w:rPr>
        <w:t xml:space="preserve">Para sustentar esta decisión, el Consejo de Estado reconoció: </w:t>
      </w:r>
      <w:r w:rsidRPr="0005595A">
        <w:rPr>
          <w:b/>
          <w:szCs w:val="28"/>
          <w:lang w:val="es-ES_tradnl"/>
        </w:rPr>
        <w:t>(i)</w:t>
      </w:r>
      <w:r w:rsidRPr="0005595A">
        <w:rPr>
          <w:szCs w:val="28"/>
          <w:lang w:val="es-ES_tradnl"/>
        </w:rPr>
        <w:t xml:space="preserve"> que tiene competencia para realizar el control abstracto de constitucionalidad sobre los actos de carácter general dictados por autoridades del orden nacional cuya revisión no corresponda a la Corte Constitucional, tanto si se trata de aquellos derivados del ejercicio de competencias constitucionales autónomas que no son de naturaleza legal,</w:t>
      </w:r>
      <w:r w:rsidRPr="007C6F2A">
        <w:rPr>
          <w:szCs w:val="28"/>
          <w:lang w:val="es-ES_tradnl"/>
        </w:rPr>
        <w:t xml:space="preserve"> como sobre los actos de contenido general sin fuerza de ley, cuando infrinjan de manera clara y directa la </w:t>
      </w:r>
      <w:r>
        <w:rPr>
          <w:szCs w:val="28"/>
          <w:lang w:val="es-ES_tradnl"/>
        </w:rPr>
        <w:t>C</w:t>
      </w:r>
      <w:r w:rsidRPr="007C6F2A">
        <w:rPr>
          <w:szCs w:val="28"/>
          <w:lang w:val="es-ES_tradnl"/>
        </w:rPr>
        <w:t xml:space="preserve">onstitución. </w:t>
      </w:r>
      <w:r w:rsidRPr="007C6F2A">
        <w:rPr>
          <w:b/>
          <w:szCs w:val="28"/>
          <w:lang w:val="es-ES_tradnl"/>
        </w:rPr>
        <w:t>(ii)</w:t>
      </w:r>
      <w:r w:rsidRPr="007C6F2A">
        <w:rPr>
          <w:szCs w:val="28"/>
          <w:lang w:val="es-ES_tradnl"/>
        </w:rPr>
        <w:t xml:space="preserve"> Recordó, además, que su competencia no se limita a los cargos de la </w:t>
      </w:r>
      <w:r w:rsidRPr="007C6F2A">
        <w:rPr>
          <w:szCs w:val="28"/>
          <w:lang w:val="es-ES_tradnl"/>
        </w:rPr>
        <w:lastRenderedPageBreak/>
        <w:t>demanda, sino que su control es integral, dado que es deber de la institución garantizar y preservar la supremacía constitucional, acorde con la sentencia C-415 de 2012 de la Corte Constitucional.</w:t>
      </w:r>
      <w:r>
        <w:rPr>
          <w:szCs w:val="28"/>
          <w:lang w:val="es-ES_tradnl"/>
        </w:rPr>
        <w:t xml:space="preserve"> </w:t>
      </w:r>
      <w:r w:rsidRPr="007C6F2A">
        <w:rPr>
          <w:b/>
          <w:szCs w:val="28"/>
          <w:lang w:val="es-ES_tradnl"/>
        </w:rPr>
        <w:t>(iii)</w:t>
      </w:r>
      <w:r>
        <w:rPr>
          <w:b/>
          <w:szCs w:val="28"/>
          <w:lang w:val="es-ES_tradnl"/>
        </w:rPr>
        <w:t xml:space="preserve"> </w:t>
      </w:r>
      <w:r w:rsidRPr="007C6F2A">
        <w:rPr>
          <w:szCs w:val="28"/>
          <w:lang w:val="es-ES_tradnl"/>
        </w:rPr>
        <w:t>Consideró</w:t>
      </w:r>
      <w:r>
        <w:rPr>
          <w:szCs w:val="28"/>
          <w:lang w:val="es-ES_tradnl"/>
        </w:rPr>
        <w:t>,</w:t>
      </w:r>
      <w:r w:rsidRPr="007C6F2A">
        <w:rPr>
          <w:szCs w:val="28"/>
          <w:lang w:val="es-ES_tradnl"/>
        </w:rPr>
        <w:t xml:space="preserve"> igualmente, que el </w:t>
      </w:r>
      <w:r w:rsidRPr="0005595A">
        <w:rPr>
          <w:szCs w:val="28"/>
          <w:lang w:val="es-ES_tradnl"/>
        </w:rPr>
        <w:t>Acuerdo acusado del CSJ no es un reglamento propio o autónomo, porque si en algún momento el A.L. 02 de 2015 le confirió al Consejo de Gobierno Judicial facultades transitorias para regular la convocatoria pública a la que se refería el artículo 257 superior, “</w:t>
      </w:r>
      <w:r w:rsidRPr="0005595A">
        <w:rPr>
          <w:i/>
          <w:szCs w:val="28"/>
          <w:lang w:val="es-ES_tradnl"/>
        </w:rPr>
        <w:t>lo cierto es que esa atribución competencial desapareció por razones de inconstitucionalidad, como lo determinó la sentencia C-285 de 2016 en cuanto al artículo 18 transitorio</w:t>
      </w:r>
      <w:r w:rsidRPr="0005595A">
        <w:rPr>
          <w:szCs w:val="28"/>
          <w:lang w:val="es-ES_tradnl"/>
        </w:rPr>
        <w:t>”</w:t>
      </w:r>
      <w:r w:rsidRPr="0005595A">
        <w:rPr>
          <w:rStyle w:val="Refdenotaalpie"/>
          <w:szCs w:val="28"/>
          <w:lang w:val="es-ES_tradnl"/>
        </w:rPr>
        <w:footnoteReference w:id="48"/>
      </w:r>
      <w:r w:rsidRPr="0005595A">
        <w:rPr>
          <w:szCs w:val="28"/>
          <w:lang w:val="es-ES_tradnl"/>
        </w:rPr>
        <w:t xml:space="preserve">. </w:t>
      </w:r>
      <w:r w:rsidRPr="0005595A">
        <w:rPr>
          <w:b/>
          <w:szCs w:val="28"/>
          <w:lang w:val="es-ES_tradnl"/>
        </w:rPr>
        <w:t xml:space="preserve">(iv) </w:t>
      </w:r>
      <w:r w:rsidRPr="0005595A">
        <w:rPr>
          <w:szCs w:val="28"/>
          <w:lang w:val="es-ES_tradnl"/>
        </w:rPr>
        <w:t xml:space="preserve">Adicionalmente, el artículo 257 superior sujeta a la ley las facultades reglamentarias del CSJ, y el artículo 257A faculta al CSJ para enviar ternas al Congreso de la República. No obstante, la norma no permite concluir que se está ante una atribución competencial que habilite al CSJ a expedir reglamentos constitucionales autónomos. De hecho, como el artículo 257 de la Carta se refiere a la ley, dependerá entonces del artículo 152 superior establecer de qué tipo de ley se trata, en el entendido de que corresponde al Legislador estatutario regular todos los aspectos que tienen que ver con la estructura de la administración de justicia. Al respecto dijo ese Tribunal: </w:t>
      </w:r>
    </w:p>
    <w:p w14:paraId="384AC4CE" w14:textId="77777777" w:rsidR="00AE1B4A" w:rsidRPr="0005595A" w:rsidRDefault="00AE1B4A" w:rsidP="00AE1B4A">
      <w:pPr>
        <w:jc w:val="both"/>
        <w:rPr>
          <w:sz w:val="26"/>
          <w:szCs w:val="26"/>
          <w:lang w:val="es-ES_tradnl"/>
        </w:rPr>
      </w:pPr>
    </w:p>
    <w:p w14:paraId="276CDE71" w14:textId="77777777" w:rsidR="00AE1B4A" w:rsidRPr="0005595A" w:rsidRDefault="00AE1B4A" w:rsidP="00AE1B4A">
      <w:pPr>
        <w:ind w:left="567"/>
        <w:jc w:val="both"/>
        <w:rPr>
          <w:rFonts w:eastAsia="Calibri"/>
          <w:i/>
          <w:iCs/>
          <w:sz w:val="26"/>
          <w:szCs w:val="26"/>
          <w:lang w:eastAsia="en-US"/>
        </w:rPr>
      </w:pPr>
      <w:r w:rsidRPr="0005595A">
        <w:rPr>
          <w:rFonts w:eastAsia="Calibri"/>
          <w:i/>
          <w:iCs/>
          <w:sz w:val="26"/>
          <w:szCs w:val="26"/>
          <w:lang w:eastAsia="en-US"/>
        </w:rPr>
        <w:t xml:space="preserve">“Como se ve, las normas citadas no permiten concluir que se está ante una atribución competencial que habilita al Consejo Superior de la Judicatura para expedir reglamentos constitucionales autónomos. El precepto contemplado en el primer inciso del artículo 257 C.P. es claro: se otorgan funciones que habrán de ser ejercidas </w:t>
      </w:r>
      <w:r w:rsidRPr="0005595A">
        <w:rPr>
          <w:rFonts w:eastAsia="Calibri"/>
          <w:b/>
          <w:i/>
          <w:iCs/>
          <w:sz w:val="26"/>
          <w:szCs w:val="26"/>
          <w:u w:val="single"/>
          <w:lang w:eastAsia="en-US"/>
        </w:rPr>
        <w:t>de acuerdo con la ley</w:t>
      </w:r>
      <w:r w:rsidRPr="0005595A">
        <w:rPr>
          <w:rFonts w:eastAsia="Calibri"/>
          <w:i/>
          <w:iCs/>
          <w:sz w:val="26"/>
          <w:szCs w:val="26"/>
          <w:lang w:eastAsia="en-US"/>
        </w:rPr>
        <w:t xml:space="preserve"> –se destaca–. En tal sentido, dependerá de las previsiones del artículo 152 constitucional si se trata de una ley ordinaria o estatutaria, en el entendido que corresponde al legislador estatutario regular todos los aspectos que tienen que ver con la estructura de la administración de justicia. Sobre este extremo la Corte Constitucional ha señalado</w:t>
      </w:r>
      <w:r w:rsidRPr="0005595A">
        <w:rPr>
          <w:rFonts w:eastAsia="Calibri"/>
          <w:i/>
          <w:iCs/>
          <w:sz w:val="26"/>
          <w:szCs w:val="26"/>
          <w:vertAlign w:val="superscript"/>
          <w:lang w:eastAsia="en-US"/>
        </w:rPr>
        <w:footnoteReference w:id="49"/>
      </w:r>
      <w:r w:rsidRPr="0005595A">
        <w:rPr>
          <w:rFonts w:eastAsia="Calibri"/>
          <w:i/>
          <w:iCs/>
          <w:sz w:val="26"/>
          <w:szCs w:val="26"/>
          <w:lang w:eastAsia="en-US"/>
        </w:rPr>
        <w:t xml:space="preserve"> –se destaca; nota a pie de página en el texto citado–:</w:t>
      </w:r>
    </w:p>
    <w:p w14:paraId="169E5318" w14:textId="77777777" w:rsidR="00AE1B4A" w:rsidRPr="0005595A" w:rsidRDefault="00AE1B4A" w:rsidP="00AE1B4A">
      <w:pPr>
        <w:ind w:left="567" w:firstLine="360"/>
        <w:jc w:val="both"/>
        <w:rPr>
          <w:rFonts w:eastAsia="Calibri"/>
          <w:sz w:val="26"/>
          <w:szCs w:val="26"/>
          <w:lang w:eastAsia="en-US"/>
        </w:rPr>
      </w:pPr>
    </w:p>
    <w:p w14:paraId="52E6827B" w14:textId="77777777" w:rsidR="00AE1B4A" w:rsidRPr="0005595A" w:rsidRDefault="00AE1B4A" w:rsidP="00AE1B4A">
      <w:pPr>
        <w:shd w:val="clear" w:color="auto" w:fill="FFFFFF"/>
        <w:ind w:left="567"/>
        <w:jc w:val="both"/>
        <w:rPr>
          <w:rFonts w:eastAsia="Calibri"/>
          <w:i/>
          <w:sz w:val="26"/>
          <w:szCs w:val="26"/>
          <w:lang w:eastAsia="en-US"/>
        </w:rPr>
      </w:pPr>
      <w:r w:rsidRPr="0005595A">
        <w:rPr>
          <w:i/>
          <w:sz w:val="26"/>
          <w:szCs w:val="26"/>
        </w:rPr>
        <w:t>“la jurisprudencia ha optado por una interpretación restrictiva respecto</w:t>
      </w:r>
      <w:r w:rsidRPr="0005595A">
        <w:rPr>
          <w:b/>
          <w:i/>
          <w:sz w:val="26"/>
          <w:szCs w:val="26"/>
        </w:rPr>
        <w:t xml:space="preserve"> </w:t>
      </w:r>
      <w:r w:rsidRPr="0005595A">
        <w:rPr>
          <w:i/>
          <w:sz w:val="26"/>
          <w:szCs w:val="26"/>
        </w:rPr>
        <w:t>del principio de reserva de ley estatutaria en materia de administración de justicia, según la cual dicha reserva no es extensible a asuntos no contemplados en el artículo 152 constitucional por una parte, y adicionalmente que a través de este procedimiento deben reglamentarse los</w:t>
      </w:r>
      <w:r w:rsidRPr="0005595A">
        <w:rPr>
          <w:i/>
          <w:iCs/>
          <w:sz w:val="26"/>
          <w:szCs w:val="26"/>
        </w:rPr>
        <w:t xml:space="preserve"> elementos estructurales esenciales de la  función pública de justicia, la determinación de los principios que informan la administración de justicia, así como los órganos encargados de ejercerla y sus competencias generales</w:t>
      </w:r>
      <w:r w:rsidRPr="0005595A">
        <w:rPr>
          <w:i/>
          <w:iCs/>
          <w:sz w:val="26"/>
          <w:szCs w:val="26"/>
          <w:vertAlign w:val="superscript"/>
        </w:rPr>
        <w:footnoteReference w:id="50"/>
      </w:r>
      <w:r w:rsidRPr="0005595A">
        <w:rPr>
          <w:i/>
          <w:iCs/>
          <w:sz w:val="26"/>
          <w:szCs w:val="26"/>
        </w:rPr>
        <w:t>.</w:t>
      </w:r>
    </w:p>
    <w:p w14:paraId="70287C73" w14:textId="77777777" w:rsidR="00AE1B4A" w:rsidRPr="0005595A" w:rsidRDefault="00AE1B4A" w:rsidP="00AE1B4A">
      <w:pPr>
        <w:shd w:val="clear" w:color="auto" w:fill="FFFFFF"/>
        <w:ind w:left="2235" w:right="731"/>
        <w:jc w:val="both"/>
        <w:rPr>
          <w:rFonts w:eastAsia="Calibri"/>
          <w:i/>
          <w:iCs/>
          <w:sz w:val="26"/>
          <w:szCs w:val="26"/>
          <w:lang w:eastAsia="en-US"/>
        </w:rPr>
      </w:pPr>
    </w:p>
    <w:p w14:paraId="5C3B4AD3" w14:textId="77777777" w:rsidR="00AE1B4A" w:rsidRPr="0005595A" w:rsidRDefault="00AE1B4A" w:rsidP="00AE1B4A">
      <w:pPr>
        <w:ind w:left="567"/>
        <w:jc w:val="both"/>
        <w:rPr>
          <w:rFonts w:eastAsia="Calibri"/>
          <w:i/>
          <w:iCs/>
          <w:sz w:val="26"/>
          <w:szCs w:val="26"/>
          <w:lang w:eastAsia="en-US"/>
        </w:rPr>
      </w:pPr>
      <w:r w:rsidRPr="0005595A">
        <w:rPr>
          <w:rFonts w:eastAsia="Calibri"/>
          <w:i/>
          <w:iCs/>
          <w:sz w:val="26"/>
          <w:szCs w:val="26"/>
          <w:lang w:eastAsia="en-US"/>
        </w:rPr>
        <w:t xml:space="preserve">Adicionalmente, la facultad para enviar al Congreso de la República cuatro de las siete ternas con base en las cuales dicho organismo elegirá los magistrados de la Comisión Nacional de Disciplina Judicial, no puede sino concluirse que se ejerce conforme a la ley. Sin perjuicio de que el artículo 257 </w:t>
      </w:r>
      <w:r w:rsidRPr="0005595A">
        <w:rPr>
          <w:rFonts w:eastAsia="Calibri"/>
          <w:i/>
          <w:iCs/>
          <w:sz w:val="26"/>
          <w:szCs w:val="26"/>
          <w:lang w:eastAsia="en-US"/>
        </w:rPr>
        <w:lastRenderedPageBreak/>
        <w:t>C.P. así lo determina, particularmente, por cuanto la redacción del artículo 126 constitucional resulta a toda luz imperativa”.</w:t>
      </w:r>
    </w:p>
    <w:p w14:paraId="69B27504" w14:textId="77777777" w:rsidR="00AE1B4A" w:rsidRPr="0005595A" w:rsidRDefault="00AE1B4A" w:rsidP="00AE1B4A">
      <w:pPr>
        <w:jc w:val="both"/>
        <w:rPr>
          <w:sz w:val="26"/>
          <w:szCs w:val="26"/>
          <w:lang w:val="es-ES_tradnl"/>
        </w:rPr>
      </w:pPr>
    </w:p>
    <w:p w14:paraId="7E3FF7A9" w14:textId="77777777" w:rsidR="00AE1B4A" w:rsidRPr="0005595A" w:rsidRDefault="00AE1B4A" w:rsidP="00AE1B4A">
      <w:pPr>
        <w:jc w:val="both"/>
        <w:rPr>
          <w:szCs w:val="28"/>
          <w:lang w:val="es-ES_tradnl"/>
        </w:rPr>
      </w:pPr>
      <w:r>
        <w:rPr>
          <w:szCs w:val="28"/>
          <w:lang w:val="es-ES_tradnl"/>
        </w:rPr>
        <w:t>M</w:t>
      </w:r>
      <w:r w:rsidRPr="0005595A">
        <w:rPr>
          <w:szCs w:val="28"/>
          <w:lang w:val="es-ES_tradnl"/>
        </w:rPr>
        <w:t xml:space="preserve">ás adelante, precisó lo siguiente: </w:t>
      </w:r>
    </w:p>
    <w:p w14:paraId="770D0D18" w14:textId="77777777" w:rsidR="00AE1B4A" w:rsidRPr="0005595A" w:rsidRDefault="00AE1B4A" w:rsidP="00AE1B4A">
      <w:pPr>
        <w:jc w:val="both"/>
        <w:rPr>
          <w:sz w:val="26"/>
          <w:szCs w:val="26"/>
          <w:lang w:val="es-ES_tradnl"/>
        </w:rPr>
      </w:pPr>
    </w:p>
    <w:p w14:paraId="4ABC57EA" w14:textId="77777777" w:rsidR="00AE1B4A" w:rsidRPr="0005595A" w:rsidRDefault="00AE1B4A" w:rsidP="00AE1B4A">
      <w:pPr>
        <w:ind w:left="567"/>
        <w:jc w:val="both"/>
        <w:rPr>
          <w:szCs w:val="28"/>
          <w:lang w:val="es-ES_tradnl"/>
        </w:rPr>
      </w:pPr>
      <w:r w:rsidRPr="0005595A">
        <w:rPr>
          <w:bCs/>
          <w:sz w:val="26"/>
          <w:szCs w:val="26"/>
          <w:lang w:val="es-CO"/>
        </w:rPr>
        <w:t>“</w:t>
      </w:r>
      <w:r w:rsidRPr="0005595A">
        <w:rPr>
          <w:rFonts w:eastAsia="Calibri"/>
          <w:bCs/>
          <w:i/>
          <w:iCs/>
          <w:sz w:val="26"/>
          <w:szCs w:val="26"/>
          <w:lang w:eastAsia="en-US"/>
        </w:rPr>
        <w:t xml:space="preserve">Así las cosas, se tiene que el Consejo Superior de la Judicatura no está autorizado por la Constitución para expedir una regulación como la que contiene el Acuerdo demandado. </w:t>
      </w:r>
      <w:r w:rsidRPr="0005595A">
        <w:rPr>
          <w:rFonts w:eastAsia="Calibri"/>
          <w:bCs/>
          <w:i/>
          <w:iCs/>
          <w:sz w:val="26"/>
          <w:szCs w:val="26"/>
          <w:u w:val="single"/>
          <w:lang w:eastAsia="en-US"/>
        </w:rPr>
        <w:t>Nótese que no se trató de un reglamento meramente formal o de un instructivo para indicar cómo debían inscribirse las personas y de qué manera debía surtirse la elección; radicó, más bien, en una regulación con efectos de hondo cal</w:t>
      </w:r>
      <w:r>
        <w:rPr>
          <w:rFonts w:eastAsia="Calibri"/>
          <w:bCs/>
          <w:i/>
          <w:iCs/>
          <w:sz w:val="26"/>
          <w:szCs w:val="26"/>
          <w:u w:val="single"/>
          <w:lang w:eastAsia="en-US"/>
        </w:rPr>
        <w:t>a</w:t>
      </w:r>
      <w:r w:rsidRPr="0005595A">
        <w:rPr>
          <w:rFonts w:eastAsia="Calibri"/>
          <w:bCs/>
          <w:i/>
          <w:iCs/>
          <w:sz w:val="26"/>
          <w:szCs w:val="26"/>
          <w:u w:val="single"/>
          <w:lang w:eastAsia="en-US"/>
        </w:rPr>
        <w:t>do en relación con el ejercicio de los derechos políticos y con la</w:t>
      </w:r>
      <w:r w:rsidRPr="0005595A">
        <w:rPr>
          <w:rFonts w:eastAsia="Calibri"/>
          <w:bCs/>
          <w:i/>
          <w:iCs/>
          <w:sz w:val="26"/>
          <w:szCs w:val="26"/>
          <w:lang w:eastAsia="en-US"/>
        </w:rPr>
        <w:t xml:space="preserve"> </w:t>
      </w:r>
      <w:r w:rsidRPr="0005595A">
        <w:rPr>
          <w:rFonts w:eastAsia="Calibri"/>
          <w:bCs/>
          <w:i/>
          <w:iCs/>
          <w:sz w:val="26"/>
          <w:szCs w:val="26"/>
          <w:u w:val="single"/>
          <w:lang w:eastAsia="en-US"/>
        </w:rPr>
        <w:t>estructura esencial de la administración de justicia</w:t>
      </w:r>
      <w:r w:rsidRPr="0005595A">
        <w:rPr>
          <w:rFonts w:eastAsia="Calibri"/>
          <w:bCs/>
          <w:i/>
          <w:iCs/>
          <w:sz w:val="26"/>
          <w:szCs w:val="26"/>
          <w:lang w:eastAsia="en-US"/>
        </w:rPr>
        <w:t>, competencia de la que –como quedó expuesto– claramente adolece el Consejo Superior de la Judicatura entretanto no se la confiera la Constitución de manera expresa</w:t>
      </w:r>
      <w:r w:rsidRPr="0005595A">
        <w:rPr>
          <w:rFonts w:eastAsia="Calibri"/>
          <w:bCs/>
          <w:sz w:val="26"/>
          <w:szCs w:val="26"/>
          <w:lang w:eastAsia="en-US"/>
        </w:rPr>
        <w:t>”</w:t>
      </w:r>
      <w:r w:rsidRPr="0005595A">
        <w:rPr>
          <w:rStyle w:val="Refdenotaalpie"/>
          <w:rFonts w:eastAsia="Calibri"/>
          <w:bCs/>
          <w:sz w:val="26"/>
          <w:szCs w:val="26"/>
          <w:lang w:eastAsia="en-US"/>
        </w:rPr>
        <w:footnoteReference w:id="51"/>
      </w:r>
      <w:r w:rsidRPr="0005595A">
        <w:rPr>
          <w:rFonts w:eastAsia="Calibri"/>
          <w:bCs/>
          <w:sz w:val="26"/>
          <w:szCs w:val="26"/>
          <w:lang w:eastAsia="en-US"/>
        </w:rPr>
        <w:t xml:space="preserve">. </w:t>
      </w:r>
      <w:r w:rsidRPr="0005595A">
        <w:rPr>
          <w:rFonts w:eastAsia="Calibri"/>
          <w:bCs/>
          <w:szCs w:val="28"/>
          <w:lang w:eastAsia="en-US"/>
        </w:rPr>
        <w:t>(Las subrayas fuera del original).</w:t>
      </w:r>
    </w:p>
    <w:p w14:paraId="36859223" w14:textId="77777777" w:rsidR="00AE1B4A" w:rsidRPr="007C6F2A" w:rsidRDefault="00AE1B4A" w:rsidP="00AE1B4A">
      <w:pPr>
        <w:spacing w:line="276" w:lineRule="auto"/>
        <w:jc w:val="both"/>
        <w:rPr>
          <w:szCs w:val="28"/>
          <w:lang w:val="es-ES_tradnl"/>
        </w:rPr>
      </w:pPr>
    </w:p>
    <w:p w14:paraId="3D44124B" w14:textId="77777777" w:rsidR="00AE1B4A" w:rsidRPr="0005595A" w:rsidRDefault="00AE1B4A" w:rsidP="00AE1B4A">
      <w:pPr>
        <w:numPr>
          <w:ilvl w:val="0"/>
          <w:numId w:val="2"/>
        </w:numPr>
        <w:jc w:val="both"/>
        <w:rPr>
          <w:szCs w:val="28"/>
          <w:lang w:val="es-ES_tradnl"/>
        </w:rPr>
      </w:pPr>
      <w:r w:rsidRPr="007C6F2A">
        <w:rPr>
          <w:szCs w:val="28"/>
          <w:lang w:val="es-ES_tradnl"/>
        </w:rPr>
        <w:t xml:space="preserve">En cuanto al contexto normativo del acto administrativo demandado, esto es, los alcances </w:t>
      </w:r>
      <w:r w:rsidRPr="00DE1D99">
        <w:rPr>
          <w:szCs w:val="28"/>
          <w:lang w:val="es-ES_tradnl"/>
        </w:rPr>
        <w:t xml:space="preserve">del A.L. 02 de 2015 y de la </w:t>
      </w:r>
      <w:r w:rsidRPr="0005595A">
        <w:rPr>
          <w:szCs w:val="28"/>
          <w:lang w:val="es-ES_tradnl"/>
        </w:rPr>
        <w:t xml:space="preserve">Sentencia C-285 de 2016, la providencia acusada destacó la necesidad de considerar la reforma del artículo 126 superior como uno de los aspectos más importantes de la modificación constitucional aludida, al sujetar el nombramiento, la postulación y designación de servidores públicos </w:t>
      </w:r>
      <w:r w:rsidRPr="0005595A">
        <w:rPr>
          <w:bCs/>
          <w:szCs w:val="28"/>
        </w:rPr>
        <w:t>–“</w:t>
      </w:r>
      <w:r w:rsidRPr="0005595A">
        <w:rPr>
          <w:i/>
          <w:szCs w:val="28"/>
          <w:lang w:val="es-ES_tradnl"/>
        </w:rPr>
        <w:t>para frenar el nepotismo y la devolución de favores</w:t>
      </w:r>
      <w:r w:rsidRPr="0005595A">
        <w:rPr>
          <w:szCs w:val="28"/>
          <w:lang w:val="es-ES_tradnl"/>
        </w:rPr>
        <w:t xml:space="preserve">” </w:t>
      </w:r>
      <w:r w:rsidRPr="0005595A">
        <w:rPr>
          <w:bCs/>
          <w:szCs w:val="28"/>
        </w:rPr>
        <w:t>–</w:t>
      </w:r>
      <w:r w:rsidRPr="0005595A">
        <w:rPr>
          <w:szCs w:val="28"/>
          <w:lang w:val="es-ES_tradnl"/>
        </w:rPr>
        <w:t>, a elecciones precedi</w:t>
      </w:r>
      <w:r w:rsidRPr="00DE1D99">
        <w:rPr>
          <w:szCs w:val="28"/>
          <w:lang w:val="es-ES_tradnl"/>
        </w:rPr>
        <w:t xml:space="preserve">das de convocatoria pública </w:t>
      </w:r>
      <w:r w:rsidRPr="00DE1D99">
        <w:rPr>
          <w:szCs w:val="28"/>
          <w:lang w:val="es-ES_tradnl"/>
        </w:rPr>
        <w:lastRenderedPageBreak/>
        <w:t xml:space="preserve">reglada por el Legislador. En ese sentido, si bien el artículo 257A superior sostiene que para la designación de las </w:t>
      </w:r>
      <w:r w:rsidRPr="0005595A">
        <w:rPr>
          <w:szCs w:val="28"/>
          <w:lang w:val="es-ES_tradnl"/>
        </w:rPr>
        <w:t xml:space="preserve">ternas se requiere de una convocatoria pública reglada, lo cierto es que para el Consejo de Estado esa norma guarda silencio sobre el órgano estatal al que le corresponde reglar dicha convocatoria; en especial, porque el tema aparecía complementado por el artículo 18 transitorio del A.L. 02 de 2015, que fue declarado inexequible por la Corte Constitucional.  </w:t>
      </w:r>
    </w:p>
    <w:p w14:paraId="777EAF52" w14:textId="77777777" w:rsidR="00AE1B4A" w:rsidRPr="0005595A" w:rsidRDefault="00AE1B4A" w:rsidP="00AE1B4A">
      <w:pPr>
        <w:jc w:val="both"/>
        <w:rPr>
          <w:szCs w:val="28"/>
          <w:lang w:val="es-ES_tradnl"/>
        </w:rPr>
      </w:pPr>
    </w:p>
    <w:p w14:paraId="5218C217" w14:textId="77777777" w:rsidR="00AE1B4A" w:rsidRPr="0005595A" w:rsidRDefault="00AE1B4A" w:rsidP="00AE1B4A">
      <w:pPr>
        <w:numPr>
          <w:ilvl w:val="0"/>
          <w:numId w:val="2"/>
        </w:numPr>
        <w:jc w:val="both"/>
        <w:rPr>
          <w:szCs w:val="28"/>
          <w:lang w:val="es-ES_tradnl"/>
        </w:rPr>
      </w:pPr>
      <w:r w:rsidRPr="0005595A">
        <w:rPr>
          <w:szCs w:val="28"/>
          <w:lang w:val="es-ES_tradnl"/>
        </w:rPr>
        <w:t>Al reflexionar entonces sobre la Sentencia C-285 de 2016, el Consejo de Estado se mostró en abierta oposición a la existencia del juicio de sustitución aplicado por la Corte Constitucional y a la modulación allí propuesta</w:t>
      </w:r>
      <w:r w:rsidRPr="0005595A">
        <w:rPr>
          <w:i/>
          <w:szCs w:val="28"/>
          <w:lang w:val="es-ES_tradnl"/>
        </w:rPr>
        <w:t>.</w:t>
      </w:r>
      <w:r w:rsidRPr="0005595A">
        <w:rPr>
          <w:szCs w:val="28"/>
          <w:lang w:val="es-ES_tradnl"/>
        </w:rPr>
        <w:t xml:space="preserve"> Sobre esa base,</w:t>
      </w:r>
      <w:r w:rsidRPr="0005595A">
        <w:rPr>
          <w:i/>
          <w:szCs w:val="28"/>
          <w:lang w:val="es-ES_tradnl"/>
        </w:rPr>
        <w:t xml:space="preserve"> </w:t>
      </w:r>
      <w:r w:rsidRPr="0005595A">
        <w:rPr>
          <w:szCs w:val="28"/>
          <w:lang w:val="es-ES_tradnl"/>
        </w:rPr>
        <w:t>insistió en la necesidad de aplicar al caso concreto un “</w:t>
      </w:r>
      <w:r w:rsidRPr="0005595A">
        <w:rPr>
          <w:b/>
          <w:i/>
          <w:szCs w:val="28"/>
          <w:lang w:val="es-ES_tradnl"/>
        </w:rPr>
        <w:t>criterio restrictivo</w:t>
      </w:r>
      <w:r w:rsidRPr="0005595A">
        <w:rPr>
          <w:szCs w:val="28"/>
          <w:lang w:val="es-ES_tradnl"/>
        </w:rPr>
        <w:t xml:space="preserve">” en la interpretación del artículo 257A superior en la forma en que fue modulado por esta Corporación, dado que, a su juicio, el Tribunal Constitucional “desintegró” el acto legislativo sujeto a control. Para justificar esa posición respecto de la lectura del artículo 257A, la sentencia del Consejo de Estado presentó las siguientes razones particulares:  </w:t>
      </w:r>
    </w:p>
    <w:p w14:paraId="1ADADC60" w14:textId="77777777" w:rsidR="00AE1B4A" w:rsidRPr="0005595A" w:rsidRDefault="00AE1B4A" w:rsidP="00AE1B4A">
      <w:pPr>
        <w:pStyle w:val="Prrafodelista"/>
        <w:tabs>
          <w:tab w:val="left" w:pos="426"/>
        </w:tabs>
        <w:ind w:left="0"/>
        <w:rPr>
          <w:b/>
          <w:szCs w:val="28"/>
          <w:lang w:val="es-ES_tradnl"/>
        </w:rPr>
      </w:pPr>
    </w:p>
    <w:p w14:paraId="5945178E" w14:textId="77777777" w:rsidR="00AE1B4A" w:rsidRPr="0005595A" w:rsidRDefault="00AE1B4A" w:rsidP="00AE1B4A">
      <w:pPr>
        <w:numPr>
          <w:ilvl w:val="0"/>
          <w:numId w:val="9"/>
        </w:numPr>
        <w:tabs>
          <w:tab w:val="left" w:pos="426"/>
        </w:tabs>
        <w:ind w:left="0" w:firstLine="0"/>
        <w:jc w:val="both"/>
        <w:rPr>
          <w:szCs w:val="28"/>
          <w:lang w:val="es-ES_tradnl"/>
        </w:rPr>
      </w:pPr>
      <w:r w:rsidRPr="0005595A">
        <w:rPr>
          <w:szCs w:val="28"/>
          <w:lang w:val="es-ES_tradnl"/>
        </w:rPr>
        <w:t xml:space="preserve">Uno de los propósitos principales del A.L. 02 de 2015 era el de eliminar el CSJ y sustituirlo por el Consejo de Gobierno Judicial, a quien se le asignó la función de elaborar cuatro de las siete ternas para la elección de los magistrados de la CNDJ. </w:t>
      </w:r>
    </w:p>
    <w:p w14:paraId="4AA583C5" w14:textId="77777777" w:rsidR="00AE1B4A" w:rsidRPr="0005595A" w:rsidRDefault="00AE1B4A" w:rsidP="00AE1B4A">
      <w:pPr>
        <w:tabs>
          <w:tab w:val="left" w:pos="709"/>
        </w:tabs>
        <w:jc w:val="both"/>
        <w:rPr>
          <w:szCs w:val="28"/>
          <w:lang w:val="es-ES_tradnl"/>
        </w:rPr>
      </w:pPr>
    </w:p>
    <w:p w14:paraId="4ABCE698" w14:textId="77777777" w:rsidR="00AE1B4A" w:rsidRPr="007C6F2A" w:rsidRDefault="00AE1B4A" w:rsidP="00AE1B4A">
      <w:pPr>
        <w:numPr>
          <w:ilvl w:val="0"/>
          <w:numId w:val="9"/>
        </w:numPr>
        <w:tabs>
          <w:tab w:val="left" w:pos="426"/>
          <w:tab w:val="left" w:pos="851"/>
        </w:tabs>
        <w:ind w:left="0" w:firstLine="0"/>
        <w:jc w:val="both"/>
        <w:rPr>
          <w:szCs w:val="28"/>
          <w:lang w:val="es-ES_tradnl"/>
        </w:rPr>
      </w:pPr>
      <w:r w:rsidRPr="0005595A">
        <w:rPr>
          <w:szCs w:val="28"/>
          <w:lang w:val="es-ES_tradnl"/>
        </w:rPr>
        <w:t>La Corte Constitucional consideró en la Sentencia C-285 de 2016 que el gobierno judicial previsto en reemplazo del CSJ violaba la Carta. En consecuencia, si bien la providencia se inhibió de pronunciarse sobre la constitucionalidad de la Comisión Nacional de Disciplina Judicial, finalmente lo hizo, cuando dispuso que la expresión Consejo de Gobierno Judicial debía leerse como CSJ y “</w:t>
      </w:r>
      <w:r w:rsidRPr="0005595A">
        <w:rPr>
          <w:i/>
          <w:szCs w:val="28"/>
          <w:lang w:val="es-ES_tradnl"/>
        </w:rPr>
        <w:t>terminó por asignarle al organismo que el constituyente quiso suprimir, una competencia de la que carecía</w:t>
      </w:r>
      <w:r w:rsidRPr="007C6F2A">
        <w:rPr>
          <w:i/>
          <w:szCs w:val="28"/>
          <w:lang w:val="es-ES_tradnl"/>
        </w:rPr>
        <w:t xml:space="preserve"> antes del Acto Legislativo</w:t>
      </w:r>
      <w:r w:rsidRPr="007C6F2A">
        <w:rPr>
          <w:szCs w:val="28"/>
          <w:lang w:val="es-ES_tradnl"/>
        </w:rPr>
        <w:t>”</w:t>
      </w:r>
      <w:r w:rsidRPr="007C6F2A">
        <w:rPr>
          <w:rStyle w:val="Refdenotaalpie"/>
          <w:szCs w:val="28"/>
          <w:lang w:val="es-ES_tradnl"/>
        </w:rPr>
        <w:footnoteReference w:id="52"/>
      </w:r>
      <w:r w:rsidRPr="007C6F2A">
        <w:rPr>
          <w:szCs w:val="28"/>
          <w:lang w:val="es-ES_tradnl"/>
        </w:rPr>
        <w:t xml:space="preserve">. </w:t>
      </w:r>
    </w:p>
    <w:p w14:paraId="4BE740BE" w14:textId="77777777" w:rsidR="00AE1B4A" w:rsidRPr="007C6F2A" w:rsidRDefault="00AE1B4A" w:rsidP="00AE1B4A">
      <w:pPr>
        <w:tabs>
          <w:tab w:val="left" w:pos="709"/>
        </w:tabs>
        <w:jc w:val="both"/>
        <w:rPr>
          <w:szCs w:val="28"/>
          <w:lang w:val="es-ES_tradnl"/>
        </w:rPr>
      </w:pPr>
    </w:p>
    <w:p w14:paraId="01AB859B" w14:textId="77777777" w:rsidR="00AE1B4A" w:rsidRPr="007C6F2A" w:rsidRDefault="00AE1B4A" w:rsidP="00AE1B4A">
      <w:pPr>
        <w:tabs>
          <w:tab w:val="left" w:pos="709"/>
        </w:tabs>
        <w:jc w:val="both"/>
        <w:rPr>
          <w:szCs w:val="28"/>
          <w:lang w:val="es-ES_tradnl"/>
        </w:rPr>
      </w:pPr>
      <w:r w:rsidRPr="007C6F2A">
        <w:rPr>
          <w:b/>
          <w:szCs w:val="28"/>
          <w:lang w:val="es-ES_tradnl"/>
        </w:rPr>
        <w:t>(iii)</w:t>
      </w:r>
      <w:r w:rsidRPr="007C6F2A">
        <w:rPr>
          <w:szCs w:val="28"/>
          <w:lang w:val="es-ES_tradnl"/>
        </w:rPr>
        <w:t xml:space="preserve"> La decisión de la Corte Constitucional le confirió al control abstracto de constitucionalidad unos efectos que le </w:t>
      </w:r>
      <w:r w:rsidRPr="0005595A">
        <w:rPr>
          <w:szCs w:val="28"/>
          <w:lang w:val="es-ES_tradnl"/>
        </w:rPr>
        <w:t>son ajenos, porque, aunque ese control implica a veces condicionar o modular los efectos de las decisiones para asegurar el principio de conservación del derecho, la Corte no podía modificar el texto constitucional o sustituirlo. En palabras de la providencia del Consejo de Estado:</w:t>
      </w:r>
      <w:r w:rsidRPr="007C6F2A">
        <w:rPr>
          <w:szCs w:val="28"/>
          <w:lang w:val="es-ES_tradnl"/>
        </w:rPr>
        <w:t xml:space="preserve"> </w:t>
      </w:r>
    </w:p>
    <w:p w14:paraId="2C3130D9" w14:textId="77777777" w:rsidR="00AE1B4A" w:rsidRPr="007C6F2A" w:rsidRDefault="00AE1B4A" w:rsidP="00AE1B4A">
      <w:pPr>
        <w:tabs>
          <w:tab w:val="left" w:pos="709"/>
        </w:tabs>
        <w:ind w:left="426" w:right="474"/>
        <w:jc w:val="both"/>
        <w:rPr>
          <w:szCs w:val="28"/>
          <w:lang w:val="es-ES_tradnl"/>
        </w:rPr>
      </w:pPr>
    </w:p>
    <w:p w14:paraId="762BCEBF" w14:textId="77777777" w:rsidR="00AE1B4A" w:rsidRPr="00DE1D99" w:rsidRDefault="00AE1B4A" w:rsidP="00AE1B4A">
      <w:pPr>
        <w:tabs>
          <w:tab w:val="left" w:pos="709"/>
        </w:tabs>
        <w:ind w:left="284" w:right="49"/>
        <w:jc w:val="both"/>
        <w:rPr>
          <w:i/>
          <w:sz w:val="26"/>
          <w:szCs w:val="26"/>
          <w:lang w:val="es-ES_tradnl"/>
        </w:rPr>
      </w:pPr>
      <w:r w:rsidRPr="00DE1D99">
        <w:rPr>
          <w:i/>
          <w:sz w:val="26"/>
          <w:szCs w:val="26"/>
          <w:lang w:val="es-ES_tradnl"/>
        </w:rPr>
        <w:t xml:space="preserve">“[S]i bien a la Corte Constitucional se le confía la guarda de la integridad y supremacía de la Constitución, </w:t>
      </w:r>
      <w:r w:rsidRPr="00DE1D99">
        <w:rPr>
          <w:b/>
          <w:bCs/>
          <w:i/>
          <w:sz w:val="26"/>
          <w:szCs w:val="26"/>
          <w:u w:val="single"/>
          <w:lang w:val="es-ES_tradnl"/>
        </w:rPr>
        <w:t>no así para modificar su texto, esto es sustituirlo</w:t>
      </w:r>
      <w:r w:rsidRPr="00DE1D99">
        <w:rPr>
          <w:b/>
          <w:bCs/>
          <w:i/>
          <w:sz w:val="26"/>
          <w:szCs w:val="26"/>
          <w:lang w:val="es-ES_tradnl"/>
        </w:rPr>
        <w:t xml:space="preserve">. No obstante, </w:t>
      </w:r>
      <w:r w:rsidRPr="00DE1D99">
        <w:rPr>
          <w:b/>
          <w:bCs/>
          <w:i/>
          <w:sz w:val="26"/>
          <w:szCs w:val="26"/>
          <w:u w:val="single"/>
          <w:lang w:val="es-ES_tradnl"/>
        </w:rPr>
        <w:t>en la sentencia C-285 de 2016 la Corte</w:t>
      </w:r>
      <w:r w:rsidRPr="00DE1D99">
        <w:rPr>
          <w:b/>
          <w:bCs/>
          <w:i/>
          <w:sz w:val="26"/>
          <w:szCs w:val="26"/>
          <w:lang w:val="es-ES_tradnl"/>
        </w:rPr>
        <w:t xml:space="preserve"> </w:t>
      </w:r>
      <w:r w:rsidRPr="00DE1D99">
        <w:rPr>
          <w:b/>
          <w:bCs/>
          <w:i/>
          <w:sz w:val="26"/>
          <w:szCs w:val="26"/>
          <w:u w:val="single"/>
          <w:lang w:val="es-ES_tradnl"/>
        </w:rPr>
        <w:t>no sólo desintegró el acto sujeto a control, sino que a la vez lo adicionó</w:t>
      </w:r>
      <w:r w:rsidRPr="00DE1D99">
        <w:rPr>
          <w:i/>
          <w:sz w:val="26"/>
          <w:szCs w:val="26"/>
          <w:lang w:val="es-ES_tradnl"/>
        </w:rPr>
        <w:t xml:space="preserve">: “donde dice Consejo de Gobierno Judicial léase Consejo Superior de la Judicatura”. En pocas palabras, mientras el organismo de elección popular dispuso en un A.L. </w:t>
      </w:r>
      <w:r w:rsidRPr="00DE1D99">
        <w:rPr>
          <w:i/>
          <w:sz w:val="26"/>
          <w:szCs w:val="26"/>
          <w:lang w:val="es-ES_tradnl"/>
        </w:rPr>
        <w:lastRenderedPageBreak/>
        <w:t xml:space="preserve">eliminar el Consejo de la Judicatura, </w:t>
      </w:r>
      <w:r w:rsidRPr="00DE1D99">
        <w:rPr>
          <w:b/>
          <w:bCs/>
          <w:i/>
          <w:sz w:val="26"/>
          <w:szCs w:val="26"/>
          <w:u w:val="single"/>
          <w:lang w:val="es-ES_tradnl"/>
        </w:rPr>
        <w:t>la Corte no solo lo retornó a la vida jurídica, sino que terminó fortaleciéndolo y atribuyéndole una función de la que este organismo carecía</w:t>
      </w:r>
      <w:r w:rsidRPr="00DE1D99">
        <w:rPr>
          <w:i/>
          <w:sz w:val="26"/>
          <w:szCs w:val="26"/>
          <w:lang w:val="es-ES_tradnl"/>
        </w:rPr>
        <w:t>, como es la de integrar 4 de las 7 ternas para que el Congreso de la República elija la Comisión Nacional de Disciplina Judicial”</w:t>
      </w:r>
      <w:r w:rsidRPr="00495196">
        <w:rPr>
          <w:i/>
          <w:sz w:val="26"/>
          <w:szCs w:val="26"/>
          <w:highlight w:val="lightGray"/>
          <w:lang w:val="es-ES_tradnl"/>
        </w:rPr>
        <w:t>.</w:t>
      </w:r>
    </w:p>
    <w:p w14:paraId="09A76509" w14:textId="77777777" w:rsidR="00AE1B4A" w:rsidRPr="00DE1D99" w:rsidRDefault="00AE1B4A" w:rsidP="00AE1B4A">
      <w:pPr>
        <w:tabs>
          <w:tab w:val="left" w:pos="709"/>
        </w:tabs>
        <w:ind w:left="284" w:right="49"/>
        <w:jc w:val="both"/>
        <w:rPr>
          <w:i/>
          <w:sz w:val="26"/>
          <w:szCs w:val="26"/>
          <w:lang w:val="es-ES_tradnl"/>
        </w:rPr>
      </w:pPr>
    </w:p>
    <w:p w14:paraId="75DBB041" w14:textId="77777777" w:rsidR="00AE1B4A" w:rsidRPr="00DE1D99" w:rsidRDefault="00AE1B4A" w:rsidP="00AE1B4A">
      <w:pPr>
        <w:tabs>
          <w:tab w:val="left" w:pos="709"/>
        </w:tabs>
        <w:ind w:left="284" w:right="49"/>
        <w:jc w:val="both"/>
        <w:rPr>
          <w:iCs/>
          <w:szCs w:val="28"/>
          <w:lang w:val="es-ES_tradnl"/>
        </w:rPr>
      </w:pPr>
      <w:r w:rsidRPr="00DE1D99">
        <w:rPr>
          <w:i/>
          <w:sz w:val="26"/>
          <w:szCs w:val="26"/>
          <w:lang w:val="es-ES_tradnl"/>
        </w:rPr>
        <w:t xml:space="preserve">“[S]in perjuicio del respeto que merecen las decisiones judiciales y, en especial, aquellas adoptadas con fuerza de cosa juzgada por la Corte Constitucional, </w:t>
      </w:r>
      <w:r w:rsidRPr="00DE1D99">
        <w:rPr>
          <w:b/>
          <w:bCs/>
          <w:i/>
          <w:sz w:val="26"/>
          <w:szCs w:val="26"/>
          <w:u w:val="single"/>
          <w:lang w:val="es-ES_tradnl"/>
        </w:rPr>
        <w:t>claro está que la competencia otorgada al CSJ no es el resultado de una disposición constitucional, ni legislativa. Es la consecuencia de una sentencia judicial en la que la parte resolutiva se adopta para conferirle operatividad a una reforma constitucional por A.L. que fue declarada parcialmente exequible</w:t>
      </w:r>
      <w:r w:rsidRPr="00DE1D99">
        <w:rPr>
          <w:i/>
          <w:sz w:val="26"/>
          <w:szCs w:val="26"/>
          <w:lang w:val="es-ES_tradnl"/>
        </w:rPr>
        <w:t>”</w:t>
      </w:r>
      <w:r w:rsidRPr="00DE1D99">
        <w:rPr>
          <w:rStyle w:val="Refdenotaalpie"/>
          <w:i/>
          <w:sz w:val="26"/>
          <w:szCs w:val="26"/>
          <w:lang w:val="es-ES_tradnl"/>
        </w:rPr>
        <w:footnoteReference w:id="53"/>
      </w:r>
      <w:r w:rsidRPr="00DE1D99">
        <w:rPr>
          <w:i/>
          <w:sz w:val="26"/>
          <w:szCs w:val="26"/>
          <w:lang w:val="es-ES_tradnl"/>
        </w:rPr>
        <w:t xml:space="preserve">.   </w:t>
      </w:r>
      <w:r w:rsidRPr="00DE1D99">
        <w:rPr>
          <w:iCs/>
          <w:szCs w:val="28"/>
          <w:lang w:val="es-ES_tradnl"/>
        </w:rPr>
        <w:t xml:space="preserve">(Subrayas y negrillas fuera del original) </w:t>
      </w:r>
    </w:p>
    <w:p w14:paraId="0805B157" w14:textId="77777777" w:rsidR="00AE1B4A" w:rsidRPr="007C6F2A" w:rsidRDefault="00AE1B4A" w:rsidP="00AE1B4A">
      <w:pPr>
        <w:pStyle w:val="Prrafodelista"/>
        <w:rPr>
          <w:szCs w:val="28"/>
          <w:lang w:val="es-ES_tradnl"/>
        </w:rPr>
      </w:pPr>
    </w:p>
    <w:p w14:paraId="5D7116AB" w14:textId="77777777" w:rsidR="00AE1B4A" w:rsidRPr="0005595A" w:rsidRDefault="00AE1B4A" w:rsidP="00AE1B4A">
      <w:pPr>
        <w:jc w:val="both"/>
        <w:rPr>
          <w:szCs w:val="28"/>
          <w:lang w:val="es-ES_tradnl"/>
        </w:rPr>
      </w:pPr>
      <w:r w:rsidRPr="007C6F2A">
        <w:rPr>
          <w:szCs w:val="28"/>
          <w:lang w:val="es-ES_tradnl"/>
        </w:rPr>
        <w:t xml:space="preserve">Al </w:t>
      </w:r>
      <w:r w:rsidRPr="0005595A">
        <w:rPr>
          <w:szCs w:val="28"/>
          <w:lang w:val="es-ES_tradnl"/>
        </w:rPr>
        <w:t xml:space="preserve">recordar que el artículo 18 del A.L. 02 de 2015, que fijaba la competencia transitoria del CSJ para regular de manera provisional la convocatoria pública descrita, fue declarado inconstitucional por la sentencia C-285 de 2016 y expulsado del ordenamiento jurídico con efectos </w:t>
      </w:r>
      <w:r w:rsidRPr="0005595A">
        <w:rPr>
          <w:i/>
          <w:szCs w:val="28"/>
          <w:lang w:val="es-ES_tradnl"/>
        </w:rPr>
        <w:t>erga omnes</w:t>
      </w:r>
      <w:r w:rsidRPr="0005595A">
        <w:rPr>
          <w:szCs w:val="28"/>
          <w:lang w:val="es-ES_tradnl"/>
        </w:rPr>
        <w:t>, el Consejo de Estado analizó si la Carta Política establecía o no una regla de competencia que facultara a la entidad demandada para expedir el Acuerdo acusado de manera directa.</w:t>
      </w:r>
    </w:p>
    <w:p w14:paraId="567F8393" w14:textId="77777777" w:rsidR="00AE1B4A" w:rsidRPr="0005595A" w:rsidRDefault="00AE1B4A" w:rsidP="00AE1B4A">
      <w:pPr>
        <w:jc w:val="both"/>
        <w:rPr>
          <w:szCs w:val="28"/>
          <w:lang w:val="es-ES_tradnl"/>
        </w:rPr>
      </w:pPr>
    </w:p>
    <w:p w14:paraId="74E775FE" w14:textId="77777777" w:rsidR="00AE1B4A" w:rsidRPr="0005595A" w:rsidRDefault="00AE1B4A" w:rsidP="00AE1B4A">
      <w:pPr>
        <w:jc w:val="both"/>
        <w:rPr>
          <w:szCs w:val="28"/>
          <w:lang w:val="es-ES_tradnl"/>
        </w:rPr>
      </w:pPr>
      <w:r w:rsidRPr="0005595A">
        <w:rPr>
          <w:szCs w:val="28"/>
          <w:lang w:val="es-ES_tradnl"/>
        </w:rPr>
        <w:t xml:space="preserve">Con el fin de responder a esta inquietud, la providencia consideró que debían valorarse dos escenarios de análisis posibles: de un lado, determinar si el artículo 257A de la Carta es una norma especial que, por sí misma, atribuye competencias reglamentarias directas al CSJ; o, del otro, revisar si el artículo 257A constitucional, es una norma incompleta, dado que guarda silencio sobre el organismo estatal que debe regular la convocatoria pública. Para el fallo en comento, la última respuesta es la correcta, en la medida en que la norma enunciada, en sí misma, no atribuye competencia alguna a dicha entidad. </w:t>
      </w:r>
    </w:p>
    <w:p w14:paraId="6EA67813" w14:textId="77777777" w:rsidR="00AE1B4A" w:rsidRPr="0005595A" w:rsidRDefault="00AE1B4A" w:rsidP="00AE1B4A">
      <w:pPr>
        <w:jc w:val="both"/>
        <w:rPr>
          <w:szCs w:val="28"/>
          <w:lang w:val="es-ES_tradnl"/>
        </w:rPr>
      </w:pPr>
    </w:p>
    <w:p w14:paraId="035952D6" w14:textId="77777777" w:rsidR="00AE1B4A" w:rsidRPr="0005595A" w:rsidRDefault="00AE1B4A" w:rsidP="00AE1B4A">
      <w:pPr>
        <w:jc w:val="both"/>
        <w:rPr>
          <w:szCs w:val="28"/>
          <w:lang w:val="es-ES_tradnl"/>
        </w:rPr>
      </w:pPr>
      <w:r w:rsidRPr="0005595A">
        <w:rPr>
          <w:szCs w:val="28"/>
          <w:lang w:val="es-ES_tradnl"/>
        </w:rPr>
        <w:t xml:space="preserve">Desde esta perspectiva, concluyó la providencia del Consejo de Estado que, a partir del A.L. 02 de 2015, las funciones atribuidas al CSJ –entre ellas la facultad reglamentaria –, tienen que desarrollarse con sujeción a la ley, con fundamento en el análisis normativo integrado de los artículos, 6, 121, 126, 152, 256, 257 y 257A de la Carta. </w:t>
      </w:r>
    </w:p>
    <w:p w14:paraId="14CB9ECE" w14:textId="77777777" w:rsidR="00AE1B4A" w:rsidRPr="0005595A" w:rsidRDefault="00AE1B4A" w:rsidP="00AE1B4A">
      <w:pPr>
        <w:jc w:val="both"/>
        <w:rPr>
          <w:szCs w:val="28"/>
          <w:lang w:val="es-ES_tradnl"/>
        </w:rPr>
      </w:pPr>
    </w:p>
    <w:p w14:paraId="62980E1D" w14:textId="77777777" w:rsidR="00AE1B4A" w:rsidRPr="0005595A" w:rsidRDefault="00AE1B4A" w:rsidP="00AE1B4A">
      <w:pPr>
        <w:numPr>
          <w:ilvl w:val="0"/>
          <w:numId w:val="2"/>
        </w:numPr>
        <w:jc w:val="both"/>
        <w:rPr>
          <w:szCs w:val="28"/>
          <w:lang w:val="es-ES_tradnl"/>
        </w:rPr>
      </w:pPr>
      <w:r w:rsidRPr="0005595A">
        <w:rPr>
          <w:szCs w:val="28"/>
          <w:lang w:val="es-ES_tradnl"/>
        </w:rPr>
        <w:t xml:space="preserve">Para el Consejo de Estado, en atención a la </w:t>
      </w:r>
      <w:r w:rsidRPr="0005595A">
        <w:rPr>
          <w:i/>
          <w:szCs w:val="28"/>
          <w:lang w:val="es-ES_tradnl"/>
        </w:rPr>
        <w:t>separación de poderes</w:t>
      </w:r>
      <w:r w:rsidRPr="0005595A">
        <w:rPr>
          <w:szCs w:val="28"/>
          <w:lang w:val="es-ES_tradnl"/>
        </w:rPr>
        <w:t xml:space="preserve"> y a las competencias asignadas por la Carta, es al Legislador a quien se le confió desarrollar el marco creado por la Constitución y el deber de configurar los poderes públicos. El </w:t>
      </w:r>
      <w:r w:rsidRPr="0005595A">
        <w:rPr>
          <w:i/>
          <w:szCs w:val="28"/>
          <w:lang w:val="es-ES_tradnl"/>
        </w:rPr>
        <w:t>principio de reserva de ley</w:t>
      </w:r>
      <w:r w:rsidRPr="0005595A">
        <w:rPr>
          <w:szCs w:val="28"/>
          <w:lang w:val="es-ES_tradnl"/>
        </w:rPr>
        <w:t xml:space="preserve"> como expresión de legitimidad, restringe el poder del legislativo para delegar sus potestades, y al poder reglamentario, lo limita a regular lo reservado a la ley. En ese sentido, el CSJ tiene autonomía en los términos de ley para ejercer su facultad reglamentaria, pero no para desempeñar una función legislativa. </w:t>
      </w:r>
    </w:p>
    <w:p w14:paraId="7E626119" w14:textId="77777777" w:rsidR="00AE1B4A" w:rsidRPr="00DE1D99" w:rsidRDefault="00AE1B4A" w:rsidP="00AE1B4A">
      <w:pPr>
        <w:jc w:val="both"/>
        <w:rPr>
          <w:szCs w:val="28"/>
          <w:lang w:val="es-ES_tradnl"/>
        </w:rPr>
      </w:pPr>
    </w:p>
    <w:p w14:paraId="1F33F1DF" w14:textId="77777777" w:rsidR="00AE1B4A" w:rsidRPr="0005595A" w:rsidRDefault="00AE1B4A" w:rsidP="00AE1B4A">
      <w:pPr>
        <w:jc w:val="both"/>
        <w:rPr>
          <w:sz w:val="24"/>
          <w:szCs w:val="24"/>
          <w:lang w:val="es-CO" w:eastAsia="es-CO"/>
        </w:rPr>
      </w:pPr>
      <w:r w:rsidRPr="00DE1D99">
        <w:rPr>
          <w:szCs w:val="28"/>
          <w:lang w:val="es-ES_tradnl"/>
        </w:rPr>
        <w:t xml:space="preserve">En consecuencia, el CSJ no puede regular la convocatoria pública en discusión, ya que, en virtud </w:t>
      </w:r>
      <w:r w:rsidRPr="0005595A">
        <w:rPr>
          <w:szCs w:val="28"/>
          <w:lang w:val="es-ES_tradnl"/>
        </w:rPr>
        <w:t>de la cláusula general de competencia, la atribución competencial correspondiente se fundamenta en los artículos 126, 256 y 257 superiores; y pertenece al Legislador. Tampoco es de recibo considerar que el CSJ está habilitado por la Ley 270 de 1996 para el efecto, porque el A.L. 02 de 2015 le imprimió al artículo 126 superior un papel central en la modificación de la Carta, "</w:t>
      </w:r>
      <w:r w:rsidRPr="0005595A">
        <w:rPr>
          <w:i/>
          <w:szCs w:val="28"/>
          <w:lang w:val="es-ES_tradnl"/>
        </w:rPr>
        <w:t>como resultado de las sentencias dictadas por la Sala Plena de lo Contencioso Administrativo del Consejo de Estado</w:t>
      </w:r>
      <w:r w:rsidRPr="0005595A">
        <w:rPr>
          <w:szCs w:val="28"/>
          <w:lang w:val="es-ES_tradnl"/>
        </w:rPr>
        <w:t>"</w:t>
      </w:r>
      <w:r w:rsidRPr="0005595A">
        <w:rPr>
          <w:rStyle w:val="Refdenotaalpie"/>
          <w:szCs w:val="28"/>
          <w:lang w:val="es-ES_tradnl"/>
        </w:rPr>
        <w:footnoteReference w:id="54"/>
      </w:r>
      <w:r w:rsidRPr="0005595A">
        <w:rPr>
          <w:szCs w:val="28"/>
          <w:lang w:val="es-ES_tradnl"/>
        </w:rPr>
        <w:t>. En ese sentido, se trata de una norma constitucional aplicable a todos los procesos de elección de servidores de corporaciones públicas, que en el asunto concreto escapa a la Ley 270 de 1996, en la medida en que:  (i) no abordó el tema de las convocatorias públicas</w:t>
      </w:r>
      <w:r w:rsidRPr="0005595A">
        <w:rPr>
          <w:rStyle w:val="Refdenotaalpie"/>
          <w:szCs w:val="28"/>
          <w:lang w:val="es-ES_tradnl"/>
        </w:rPr>
        <w:footnoteReference w:id="55"/>
      </w:r>
      <w:r w:rsidRPr="0005595A">
        <w:rPr>
          <w:szCs w:val="28"/>
          <w:lang w:val="es-ES_tradnl"/>
        </w:rPr>
        <w:t xml:space="preserve"> y (ii) no tuvo en cuenta las exigencias previstas actualmente por el A.L. 02 de 2015, que reformó el artículo 126 constitucional.  </w:t>
      </w:r>
      <w:r w:rsidRPr="0005595A">
        <w:rPr>
          <w:sz w:val="24"/>
          <w:szCs w:val="24"/>
          <w:lang w:val="es-CO" w:eastAsia="es-CO"/>
        </w:rPr>
        <w:t xml:space="preserve"> </w:t>
      </w:r>
    </w:p>
    <w:p w14:paraId="26D2C02B" w14:textId="77777777" w:rsidR="00AE1B4A" w:rsidRPr="0005595A" w:rsidRDefault="00AE1B4A" w:rsidP="00AE1B4A">
      <w:pPr>
        <w:jc w:val="both"/>
        <w:rPr>
          <w:szCs w:val="28"/>
          <w:lang w:val="es-ES_tradnl"/>
        </w:rPr>
      </w:pPr>
    </w:p>
    <w:p w14:paraId="7E230862" w14:textId="77777777" w:rsidR="00AE1B4A" w:rsidRPr="0005595A" w:rsidRDefault="00AE1B4A" w:rsidP="00AE1B4A">
      <w:pPr>
        <w:numPr>
          <w:ilvl w:val="0"/>
          <w:numId w:val="2"/>
        </w:numPr>
        <w:jc w:val="both"/>
        <w:rPr>
          <w:szCs w:val="28"/>
          <w:lang w:val="es-ES_tradnl"/>
        </w:rPr>
      </w:pPr>
      <w:r w:rsidRPr="0005595A">
        <w:rPr>
          <w:szCs w:val="28"/>
          <w:lang w:val="es-ES_tradnl"/>
        </w:rPr>
        <w:t>Para el fallo del Consejo de Estado, en consecuencia, la modificación del artículo 126 de la Carta contribuye a asegurar que las personas más idóneas y capacitadas asuman la magistratura. El respeto a la reserva legal materializa a su juicio, el principio de independencia judicial, dado que un adecuado proceso de designación contribuye a consolidar el principio constitucional en mención, a fin de lograr una selección pública transparente y basada en el mérito de los candidatos. Con ello se favorece, según la sentencia, que se concrete la relación de pesos y contra pesos entre poderes públicos, a fin de que se excluyan vínculos con otros sectores del poder, se integren a las Altas Cortes profesionales idóneos, y se asegure un ejercicio independiente e imparcial de la judicatura.</w:t>
      </w:r>
    </w:p>
    <w:p w14:paraId="2105A4D8" w14:textId="77777777" w:rsidR="00AE1B4A" w:rsidRPr="0005595A" w:rsidRDefault="00AE1B4A" w:rsidP="00AE1B4A">
      <w:pPr>
        <w:jc w:val="both"/>
        <w:rPr>
          <w:szCs w:val="28"/>
          <w:lang w:val="es-ES_tradnl"/>
        </w:rPr>
      </w:pPr>
    </w:p>
    <w:p w14:paraId="7091B514" w14:textId="77777777" w:rsidR="00AE1B4A" w:rsidRPr="00DE1D99" w:rsidRDefault="00AE1B4A" w:rsidP="00AE1B4A">
      <w:pPr>
        <w:jc w:val="both"/>
        <w:rPr>
          <w:szCs w:val="28"/>
          <w:lang w:val="es-ES_tradnl"/>
        </w:rPr>
      </w:pPr>
      <w:r w:rsidRPr="0005595A">
        <w:rPr>
          <w:szCs w:val="28"/>
          <w:lang w:val="es-ES_tradnl"/>
        </w:rPr>
        <w:t xml:space="preserve">Por lo tanto, para esa entidad no es de recibo considerar que el CSJ resurgió a partir de la sentencia constitucional, con sus potestades originales, y al margen del artículo 126 C.P. que irradia todo el ordenamiento. De hecho, a juicio de ese Tribunal, en la sentencia </w:t>
      </w:r>
      <w:r w:rsidRPr="0005595A">
        <w:rPr>
          <w:b/>
          <w:szCs w:val="28"/>
          <w:lang w:val="es-ES_tradnl"/>
        </w:rPr>
        <w:t>C-037 de 1996</w:t>
      </w:r>
      <w:r w:rsidRPr="00DE1D99">
        <w:rPr>
          <w:szCs w:val="28"/>
          <w:lang w:val="es-ES_tradnl"/>
        </w:rPr>
        <w:t xml:space="preserve">, en lo que respecta al artículo 257-3 de la Carta, la Corte Constitucional señaló previamente que la competencia reglamentaria establecida en la ley estatutaria en favor del CSJ se ejercía con sujeción de la ley, y que no se trataba de reglamentos constitucionales autónomos. </w:t>
      </w:r>
    </w:p>
    <w:p w14:paraId="20DCAC77" w14:textId="77777777" w:rsidR="00AE1B4A" w:rsidRPr="00DE1D99" w:rsidRDefault="00AE1B4A" w:rsidP="00AE1B4A">
      <w:pPr>
        <w:jc w:val="both"/>
        <w:rPr>
          <w:szCs w:val="28"/>
          <w:lang w:val="es-ES_tradnl"/>
        </w:rPr>
      </w:pPr>
    </w:p>
    <w:p w14:paraId="4CD10FCC" w14:textId="77777777" w:rsidR="00AE1B4A" w:rsidRPr="0005595A" w:rsidRDefault="00AE1B4A" w:rsidP="00AE1B4A">
      <w:pPr>
        <w:numPr>
          <w:ilvl w:val="0"/>
          <w:numId w:val="2"/>
        </w:numPr>
        <w:jc w:val="both"/>
        <w:rPr>
          <w:szCs w:val="28"/>
          <w:lang w:val="es-ES_tradnl"/>
        </w:rPr>
      </w:pPr>
      <w:r w:rsidRPr="00DE1D99">
        <w:rPr>
          <w:szCs w:val="28"/>
          <w:lang w:val="es-ES_tradnl"/>
        </w:rPr>
        <w:t xml:space="preserve">En ese sentido, sostiene el fallo acusado que las normas que asignan competencias a las autoridades en Colombia están constitucional y legalmente determinadas, y no pueden ser interpretadas de manera analógica o extensiva. La facultad de expedir reglamentos autónomos la confiere la Constitución, de manera expresa. Por lo tanto, no hay competencias constitucionales propias implícitas, ya que atribuir competencias constitucionales autónomas a </w:t>
      </w:r>
      <w:r w:rsidRPr="00DE1D99">
        <w:rPr>
          <w:szCs w:val="28"/>
          <w:lang w:val="es-ES_tradnl"/>
        </w:rPr>
        <w:lastRenderedPageBreak/>
        <w:t>entidades administrativas resulta ser una posibilidad excepcional, en la medida en que significa restringir el principio democrático. En ese sentido, el CSJ no cuenta con una competencia autónoma otorgada por la Carta, ya que no posee facultades constitucionales expresamente atribuidas para el efecto, y, el artículo 257-</w:t>
      </w:r>
      <w:r w:rsidRPr="0005595A">
        <w:rPr>
          <w:szCs w:val="28"/>
          <w:lang w:val="es-ES_tradnl"/>
        </w:rPr>
        <w:t xml:space="preserve">3 superior exige que las facultades reglamentarias concedidas estén sujetas a la ley.  </w:t>
      </w:r>
    </w:p>
    <w:p w14:paraId="0B57D24A" w14:textId="77777777" w:rsidR="00AE1B4A" w:rsidRPr="0005595A" w:rsidRDefault="00AE1B4A" w:rsidP="00AE1B4A">
      <w:pPr>
        <w:pStyle w:val="Prrafodelista"/>
        <w:rPr>
          <w:szCs w:val="28"/>
          <w:lang w:val="es-ES_tradnl"/>
        </w:rPr>
      </w:pPr>
    </w:p>
    <w:p w14:paraId="432B17CE" w14:textId="77777777" w:rsidR="00AE1B4A" w:rsidRPr="00DE1D99" w:rsidRDefault="00AE1B4A" w:rsidP="00AE1B4A">
      <w:pPr>
        <w:numPr>
          <w:ilvl w:val="0"/>
          <w:numId w:val="2"/>
        </w:numPr>
        <w:jc w:val="both"/>
        <w:rPr>
          <w:szCs w:val="28"/>
          <w:lang w:val="es-ES_tradnl"/>
        </w:rPr>
      </w:pPr>
      <w:r w:rsidRPr="0005595A">
        <w:rPr>
          <w:szCs w:val="28"/>
          <w:lang w:val="es-ES_tradnl"/>
        </w:rPr>
        <w:t>Bajo tales supuestos, conforme a la sentencia el Consejo de Estado no puede haber tampoco discrecionalidad judicial en materia de distribución de competencias en un Estado Social, Democrático y Constitucional de Derecho. Menos aún, cuando en la búsqueda</w:t>
      </w:r>
      <w:r w:rsidRPr="00DE1D99">
        <w:rPr>
          <w:szCs w:val="28"/>
          <w:lang w:val="es-ES_tradnl"/>
        </w:rPr>
        <w:t xml:space="preserve"> del equilibrio de poderes, el A.L 02 de 2015 dispuso explícitamente que la regulación de las convocatorias públicas debía realizarse por ley. De ese modo, ante la declaratoria de inexequibilidad del artículo 18 del A.L. 02 de 2015 por parte de la Corte Constitucional, el artículo 257A superior, “… </w:t>
      </w:r>
      <w:r w:rsidRPr="00DE1D99">
        <w:rPr>
          <w:i/>
          <w:iCs/>
          <w:szCs w:val="28"/>
          <w:lang w:val="es-ES_tradnl"/>
        </w:rPr>
        <w:t>no puede ser leído por el juez constitucional como una habilitación para que, decretada la inexequibilidad del precepto, sea revivida la atribución judicialmente en sede de acción de nulidad por inconstitucionalidad, con apoyo en motivos de conveniencia y oportunidad</w:t>
      </w:r>
      <w:r w:rsidRPr="00DE1D99">
        <w:rPr>
          <w:szCs w:val="28"/>
          <w:lang w:val="es-ES_tradnl"/>
        </w:rPr>
        <w:t>”</w:t>
      </w:r>
      <w:r w:rsidRPr="00DE1D99">
        <w:rPr>
          <w:rStyle w:val="Refdenotaalpie"/>
          <w:szCs w:val="28"/>
          <w:lang w:val="es-ES_tradnl"/>
        </w:rPr>
        <w:footnoteReference w:id="56"/>
      </w:r>
      <w:r w:rsidRPr="00DE1D99">
        <w:rPr>
          <w:szCs w:val="28"/>
          <w:lang w:val="es-ES_tradnl"/>
        </w:rPr>
        <w:t>.</w:t>
      </w:r>
    </w:p>
    <w:p w14:paraId="673D1925" w14:textId="77777777" w:rsidR="00AE1B4A" w:rsidRPr="00DE1D99" w:rsidRDefault="00AE1B4A" w:rsidP="00AE1B4A">
      <w:pPr>
        <w:ind w:left="567" w:right="49"/>
        <w:jc w:val="both"/>
        <w:rPr>
          <w:sz w:val="24"/>
          <w:szCs w:val="24"/>
          <w:lang w:val="es-ES_tradnl"/>
        </w:rPr>
      </w:pPr>
    </w:p>
    <w:p w14:paraId="2DFA7C15" w14:textId="77777777" w:rsidR="00AE1B4A" w:rsidRPr="00DE1D99" w:rsidRDefault="00AE1B4A" w:rsidP="00AE1B4A">
      <w:pPr>
        <w:jc w:val="both"/>
        <w:rPr>
          <w:szCs w:val="28"/>
          <w:lang w:val="es-ES_tradnl"/>
        </w:rPr>
      </w:pPr>
      <w:r w:rsidRPr="00DE1D99">
        <w:rPr>
          <w:szCs w:val="28"/>
          <w:lang w:val="es-ES_tradnl"/>
        </w:rPr>
        <w:t>En materia de competencia, a juicio del fallo, ningún juez tiene poder discrecional ni siquiera con los más altos propósitos institucionales, “</w:t>
      </w:r>
      <w:r w:rsidRPr="00DE1D99">
        <w:rPr>
          <w:i/>
          <w:szCs w:val="28"/>
          <w:lang w:val="es-ES_tradnl"/>
        </w:rPr>
        <w:t>para ser usurpador de las atribuciones competenciales que deben ser definidas constitucional y legalmente</w:t>
      </w:r>
      <w:r w:rsidRPr="00DE1D99">
        <w:rPr>
          <w:szCs w:val="28"/>
          <w:lang w:val="es-ES_tradnl"/>
        </w:rPr>
        <w:t>”</w:t>
      </w:r>
      <w:r w:rsidRPr="00DE1D99">
        <w:rPr>
          <w:rStyle w:val="Refdenotaalpie"/>
          <w:szCs w:val="28"/>
          <w:lang w:val="es-ES_tradnl"/>
        </w:rPr>
        <w:footnoteReference w:id="57"/>
      </w:r>
      <w:r w:rsidRPr="00DE1D99">
        <w:rPr>
          <w:szCs w:val="28"/>
          <w:lang w:val="es-ES_tradnl"/>
        </w:rPr>
        <w:t xml:space="preserve">. </w:t>
      </w:r>
    </w:p>
    <w:p w14:paraId="7D76EAB9" w14:textId="77777777" w:rsidR="00AE1B4A" w:rsidRPr="00DE1D99" w:rsidRDefault="00AE1B4A" w:rsidP="00AE1B4A">
      <w:pPr>
        <w:jc w:val="both"/>
        <w:rPr>
          <w:szCs w:val="28"/>
          <w:lang w:val="es-ES_tradnl"/>
        </w:rPr>
      </w:pPr>
    </w:p>
    <w:p w14:paraId="5617A4C8" w14:textId="77777777" w:rsidR="00AE1B4A" w:rsidRPr="007C6F2A" w:rsidRDefault="00AE1B4A" w:rsidP="00AE1B4A">
      <w:pPr>
        <w:numPr>
          <w:ilvl w:val="0"/>
          <w:numId w:val="2"/>
        </w:numPr>
        <w:jc w:val="both"/>
        <w:rPr>
          <w:szCs w:val="28"/>
          <w:lang w:val="es-ES_tradnl"/>
        </w:rPr>
      </w:pPr>
      <w:r w:rsidRPr="00DE1D99">
        <w:rPr>
          <w:szCs w:val="28"/>
          <w:lang w:val="es-ES_tradnl"/>
        </w:rPr>
        <w:t>La providencia concluyó entonces su posición, con la afirmación de que la convocatoria pública reglada establecida por el artículo 257A de</w:t>
      </w:r>
      <w:r w:rsidRPr="007C6F2A">
        <w:rPr>
          <w:szCs w:val="28"/>
          <w:lang w:val="es-ES_tradnl"/>
        </w:rPr>
        <w:t xml:space="preserve"> la Constitución </w:t>
      </w:r>
      <w:r w:rsidRPr="007C6F2A">
        <w:rPr>
          <w:i/>
          <w:szCs w:val="28"/>
          <w:lang w:val="es-ES_tradnl"/>
        </w:rPr>
        <w:t>“no es un acto de competencia directa del Consejo Superior de la Judicatura y, por el contrario, resulta indispensable, acorde con lo dispuesto por los artículos 256, 257 y 126 C.P., que medie una ley que regule la convocatoria pública previa a la integración de las ternas”</w:t>
      </w:r>
      <w:r w:rsidRPr="007C6F2A">
        <w:rPr>
          <w:rStyle w:val="Refdenotaalpie"/>
          <w:i/>
          <w:szCs w:val="28"/>
          <w:lang w:val="es-ES_tradnl"/>
        </w:rPr>
        <w:footnoteReference w:id="58"/>
      </w:r>
      <w:r w:rsidRPr="007C6F2A">
        <w:rPr>
          <w:szCs w:val="28"/>
          <w:lang w:val="es-ES_tradnl"/>
        </w:rPr>
        <w:t>.</w:t>
      </w:r>
    </w:p>
    <w:p w14:paraId="641963F2" w14:textId="77777777" w:rsidR="00AE1B4A" w:rsidRPr="007C6F2A" w:rsidRDefault="00AE1B4A" w:rsidP="00AE1B4A">
      <w:pPr>
        <w:jc w:val="both"/>
        <w:rPr>
          <w:szCs w:val="28"/>
          <w:lang w:val="es-ES_tradnl"/>
        </w:rPr>
      </w:pPr>
    </w:p>
    <w:p w14:paraId="3D1C2C35" w14:textId="77777777" w:rsidR="00AE1B4A" w:rsidRPr="00CC4C2A" w:rsidRDefault="00AE1B4A" w:rsidP="00AE1B4A">
      <w:pPr>
        <w:numPr>
          <w:ilvl w:val="0"/>
          <w:numId w:val="2"/>
        </w:numPr>
        <w:jc w:val="both"/>
        <w:rPr>
          <w:szCs w:val="28"/>
          <w:lang w:val="es-ES_tradnl"/>
        </w:rPr>
      </w:pPr>
      <w:r w:rsidRPr="007C6F2A">
        <w:rPr>
          <w:szCs w:val="28"/>
          <w:lang w:val="es-ES_tradnl"/>
        </w:rPr>
        <w:t xml:space="preserve">Ahora bien, los consejeros y consejeras Lucy Jeannette Bermúdez Bermúdez, César Palomino Cortés, Carlos Enrique Moreno Rubio, Alberto Yepes Barreiro, María Elizabeth García González, William Hernández Gómez y Marta Nubia Velázquez Rico, presentaron salvamentos de voto frente a la decisión mayoritaria. En su conjunto, las principales razones de inconformidad con la providencia del </w:t>
      </w:r>
      <w:r w:rsidRPr="00CC4C2A">
        <w:rPr>
          <w:szCs w:val="28"/>
          <w:lang w:val="es-ES_tradnl"/>
        </w:rPr>
        <w:t xml:space="preserve">Consejo de Estado enunciada, se describen a continuación: </w:t>
      </w:r>
    </w:p>
    <w:p w14:paraId="7CD8B94E" w14:textId="77777777" w:rsidR="00AE1B4A" w:rsidRPr="00CC4C2A" w:rsidRDefault="00AE1B4A" w:rsidP="00AE1B4A">
      <w:pPr>
        <w:ind w:left="426"/>
        <w:jc w:val="both"/>
        <w:rPr>
          <w:b/>
          <w:szCs w:val="28"/>
          <w:lang w:val="es-ES_tradnl"/>
        </w:rPr>
      </w:pPr>
    </w:p>
    <w:p w14:paraId="2149CD30" w14:textId="77777777" w:rsidR="00AE1B4A" w:rsidRPr="00CC4C2A" w:rsidRDefault="00AE1B4A" w:rsidP="00AE1B4A">
      <w:pPr>
        <w:numPr>
          <w:ilvl w:val="0"/>
          <w:numId w:val="11"/>
        </w:numPr>
        <w:tabs>
          <w:tab w:val="left" w:pos="284"/>
        </w:tabs>
        <w:ind w:left="0" w:firstLine="0"/>
        <w:jc w:val="both"/>
        <w:rPr>
          <w:b/>
          <w:szCs w:val="28"/>
          <w:lang w:val="es-ES_tradnl"/>
        </w:rPr>
      </w:pPr>
      <w:r w:rsidRPr="00CC4C2A">
        <w:rPr>
          <w:szCs w:val="28"/>
          <w:lang w:val="es-ES_tradnl"/>
        </w:rPr>
        <w:t xml:space="preserve">  La decisión de acusar a la Corte Constitucional de “desintegrar” el acto sujeto a control es "irreal" y "acomodaticia"</w:t>
      </w:r>
      <w:r w:rsidRPr="00CC4C2A">
        <w:rPr>
          <w:rStyle w:val="Refdenotaalpie"/>
          <w:szCs w:val="28"/>
          <w:lang w:val="es-ES_tradnl"/>
        </w:rPr>
        <w:footnoteReference w:id="59"/>
      </w:r>
      <w:r w:rsidRPr="00CC4C2A">
        <w:rPr>
          <w:szCs w:val="28"/>
          <w:lang w:val="es-ES_tradnl"/>
        </w:rPr>
        <w:t xml:space="preserve">, dado que lo decidido por el Alto Tribunal no puede ser cuestionado a través del medio de control de la </w:t>
      </w:r>
      <w:r w:rsidRPr="00CC4C2A">
        <w:rPr>
          <w:szCs w:val="28"/>
          <w:lang w:val="es-ES_tradnl"/>
        </w:rPr>
        <w:lastRenderedPageBreak/>
        <w:t>referencia, ya que con ello se desborda el objeto de la acción de nulidad por inconstitucionalidad.</w:t>
      </w:r>
      <w:r w:rsidRPr="00CC4C2A">
        <w:rPr>
          <w:b/>
          <w:szCs w:val="28"/>
          <w:lang w:val="es-ES_tradnl"/>
        </w:rPr>
        <w:t xml:space="preserve"> </w:t>
      </w:r>
    </w:p>
    <w:p w14:paraId="27517AFD" w14:textId="77777777" w:rsidR="00AE1B4A" w:rsidRPr="00CC4C2A" w:rsidRDefault="00AE1B4A" w:rsidP="00AE1B4A">
      <w:pPr>
        <w:tabs>
          <w:tab w:val="left" w:pos="284"/>
        </w:tabs>
        <w:jc w:val="both"/>
        <w:rPr>
          <w:b/>
          <w:szCs w:val="28"/>
          <w:lang w:val="es-ES_tradnl"/>
        </w:rPr>
      </w:pPr>
    </w:p>
    <w:p w14:paraId="7BE7F97F" w14:textId="77777777" w:rsidR="00AE1B4A" w:rsidRPr="00CC4C2A" w:rsidRDefault="00AE1B4A" w:rsidP="00AE1B4A">
      <w:pPr>
        <w:numPr>
          <w:ilvl w:val="0"/>
          <w:numId w:val="11"/>
        </w:numPr>
        <w:tabs>
          <w:tab w:val="left" w:pos="426"/>
        </w:tabs>
        <w:ind w:left="0" w:firstLine="0"/>
        <w:jc w:val="both"/>
        <w:rPr>
          <w:b/>
          <w:szCs w:val="28"/>
          <w:lang w:val="es-ES_tradnl"/>
        </w:rPr>
      </w:pPr>
      <w:r w:rsidRPr="00CC4C2A">
        <w:rPr>
          <w:szCs w:val="28"/>
          <w:lang w:val="es-ES_tradnl"/>
        </w:rPr>
        <w:t xml:space="preserve"> La providencia mayoritaria es incongruente y contradictoria, porque afirma de manera inicial que el Acuerdo acusado no es un reglamento autónomo, para alegar más adelante, que a pesar de que no lo es, sí tiene la competencia para adelantar el medio de control de nulidad por inconstitucionalidad, sin mayores explicaciones sobre su postura.</w:t>
      </w:r>
    </w:p>
    <w:p w14:paraId="0D5B892E" w14:textId="77777777" w:rsidR="00AE1B4A" w:rsidRPr="00CC4C2A" w:rsidRDefault="00AE1B4A" w:rsidP="00AE1B4A">
      <w:pPr>
        <w:tabs>
          <w:tab w:val="left" w:pos="426"/>
        </w:tabs>
        <w:jc w:val="both"/>
        <w:rPr>
          <w:b/>
          <w:szCs w:val="28"/>
          <w:lang w:val="es-ES_tradnl"/>
        </w:rPr>
      </w:pPr>
    </w:p>
    <w:p w14:paraId="0BAA6FEC" w14:textId="77777777" w:rsidR="00AE1B4A" w:rsidRPr="00CC4C2A" w:rsidRDefault="00AE1B4A" w:rsidP="00AE1B4A">
      <w:pPr>
        <w:numPr>
          <w:ilvl w:val="0"/>
          <w:numId w:val="11"/>
        </w:numPr>
        <w:tabs>
          <w:tab w:val="left" w:pos="567"/>
        </w:tabs>
        <w:ind w:left="0" w:firstLine="0"/>
        <w:jc w:val="both"/>
        <w:rPr>
          <w:szCs w:val="28"/>
          <w:lang w:val="es-ES_tradnl"/>
        </w:rPr>
      </w:pPr>
      <w:r w:rsidRPr="00CC4C2A">
        <w:rPr>
          <w:szCs w:val="28"/>
          <w:lang w:val="es-ES_tradnl"/>
        </w:rPr>
        <w:t>El pronunciamiento de la Sala, al darle una aplicación irrestricta al artículo 126 superior, se aparta realmente del espíritu y del querer del constituyente con la reforma del 2015, que buscaba una regulación y designación transitoria de las ternas descritas, por parte del no nacido</w:t>
      </w:r>
      <w:r w:rsidRPr="00CC4C2A">
        <w:t xml:space="preserve"> </w:t>
      </w:r>
      <w:r w:rsidRPr="00CC4C2A">
        <w:rPr>
          <w:szCs w:val="28"/>
          <w:lang w:val="es-ES_tradnl"/>
        </w:rPr>
        <w:t xml:space="preserve">Consejo de Gobierno Judicial. Una entidad a quien expresamente le otorgó facultades reglamentarias transitorias con la misión de viabilizar la elección de las ternas que estaban a su cargo para integrar la primera CNDJ, y cuyas competencias cumple hoy el Consejo Superior de la Judicatura. Por esta razón, apoyar la tesis que acogió el Consejo de Estado, implicaría incumplir una orden constitucional perentoria para integrar el CNDJ y desvirtuar un objetivo previsto por el constituyente, que hoy se encuentra en cabeza del CSJ. </w:t>
      </w:r>
    </w:p>
    <w:p w14:paraId="24946BC8" w14:textId="77777777" w:rsidR="00AE1B4A" w:rsidRPr="00CC4C2A" w:rsidRDefault="00AE1B4A" w:rsidP="00AE1B4A">
      <w:pPr>
        <w:tabs>
          <w:tab w:val="left" w:pos="567"/>
        </w:tabs>
        <w:jc w:val="both"/>
        <w:rPr>
          <w:b/>
          <w:szCs w:val="28"/>
          <w:lang w:val="es-ES_tradnl"/>
        </w:rPr>
      </w:pPr>
    </w:p>
    <w:p w14:paraId="6CF7903A" w14:textId="77777777" w:rsidR="00AE1B4A" w:rsidRPr="00CC4C2A" w:rsidRDefault="00AE1B4A" w:rsidP="00AE1B4A">
      <w:pPr>
        <w:numPr>
          <w:ilvl w:val="0"/>
          <w:numId w:val="11"/>
        </w:numPr>
        <w:tabs>
          <w:tab w:val="left" w:pos="567"/>
        </w:tabs>
        <w:ind w:left="0" w:firstLine="0"/>
        <w:jc w:val="both"/>
        <w:rPr>
          <w:b/>
          <w:szCs w:val="28"/>
          <w:lang w:val="es-ES_tradnl"/>
        </w:rPr>
      </w:pPr>
      <w:r w:rsidRPr="00CC4C2A">
        <w:rPr>
          <w:szCs w:val="28"/>
          <w:lang w:val="es-ES_tradnl"/>
        </w:rPr>
        <w:t xml:space="preserve">Adicionalmente, opinan los disidentes que la sentencia mira con desconfianza el procedimiento de elección concreta de la CNDJ, cuando </w:t>
      </w:r>
      <w:r w:rsidRPr="00CC4C2A">
        <w:rPr>
          <w:i/>
          <w:szCs w:val="28"/>
          <w:lang w:val="es-ES_tradnl"/>
        </w:rPr>
        <w:t>mutatis mutandi,</w:t>
      </w:r>
      <w:r w:rsidRPr="00CC4C2A">
        <w:rPr>
          <w:szCs w:val="28"/>
          <w:lang w:val="es-ES_tradnl"/>
        </w:rPr>
        <w:t xml:space="preserve"> se trata de una convocatoria que se parece al procedimiento existente en la actualidad para la elección de </w:t>
      </w:r>
      <w:r>
        <w:rPr>
          <w:szCs w:val="28"/>
          <w:lang w:val="es-ES_tradnl"/>
        </w:rPr>
        <w:t>m</w:t>
      </w:r>
      <w:r w:rsidRPr="00CC4C2A">
        <w:rPr>
          <w:szCs w:val="28"/>
          <w:lang w:val="es-ES_tradnl"/>
        </w:rPr>
        <w:t>agistrados de las Altas Cortes y de otras autoridades constitucionales.</w:t>
      </w:r>
    </w:p>
    <w:p w14:paraId="7064E03A" w14:textId="77777777" w:rsidR="00AE1B4A" w:rsidRPr="00CC4C2A" w:rsidRDefault="00AE1B4A" w:rsidP="00AE1B4A">
      <w:pPr>
        <w:pStyle w:val="Prrafodelista"/>
        <w:rPr>
          <w:szCs w:val="28"/>
          <w:lang w:val="es-ES_tradnl"/>
        </w:rPr>
      </w:pPr>
    </w:p>
    <w:p w14:paraId="68FB0548" w14:textId="77777777" w:rsidR="00AE1B4A" w:rsidRPr="007C6F2A" w:rsidRDefault="00AE1B4A" w:rsidP="00AE1B4A">
      <w:pPr>
        <w:tabs>
          <w:tab w:val="left" w:pos="567"/>
        </w:tabs>
        <w:jc w:val="both"/>
        <w:rPr>
          <w:b/>
          <w:szCs w:val="28"/>
          <w:lang w:val="es-ES_tradnl"/>
        </w:rPr>
      </w:pPr>
      <w:r w:rsidRPr="00CC4C2A">
        <w:rPr>
          <w:szCs w:val="28"/>
          <w:lang w:val="es-ES_tradnl"/>
        </w:rPr>
        <w:t>Tal argumentación, aplicada extensivamente, exigiría en todas estas designaciones constitucionales existentes, una ley especial, distinta a la Ley 270 de 1996, para definir de manera previa, los pormenores de la convocatoria para la determinación de todas las ternas correspondientes, lo que a la postre desconocería la especialidad de tales designaciones.</w:t>
      </w:r>
      <w:r w:rsidRPr="007C6F2A">
        <w:rPr>
          <w:szCs w:val="28"/>
          <w:lang w:val="es-ES_tradnl"/>
        </w:rPr>
        <w:t xml:space="preserve">   </w:t>
      </w:r>
    </w:p>
    <w:p w14:paraId="010690DF" w14:textId="77777777" w:rsidR="00AE1B4A" w:rsidRPr="007C6F2A" w:rsidRDefault="00AE1B4A" w:rsidP="00AE1B4A">
      <w:pPr>
        <w:tabs>
          <w:tab w:val="left" w:pos="567"/>
        </w:tabs>
        <w:jc w:val="both"/>
        <w:rPr>
          <w:b/>
          <w:szCs w:val="28"/>
          <w:lang w:val="es-ES_tradnl"/>
        </w:rPr>
      </w:pPr>
    </w:p>
    <w:p w14:paraId="73F07C32" w14:textId="77777777" w:rsidR="00AE1B4A" w:rsidRPr="007C6F2A" w:rsidRDefault="00AE1B4A" w:rsidP="00AE1B4A">
      <w:pPr>
        <w:numPr>
          <w:ilvl w:val="0"/>
          <w:numId w:val="11"/>
        </w:numPr>
        <w:tabs>
          <w:tab w:val="left" w:pos="426"/>
        </w:tabs>
        <w:ind w:left="0" w:firstLine="0"/>
        <w:jc w:val="both"/>
        <w:rPr>
          <w:b/>
          <w:szCs w:val="28"/>
          <w:lang w:val="es-ES_tradnl"/>
        </w:rPr>
      </w:pPr>
      <w:r w:rsidRPr="007C6F2A">
        <w:rPr>
          <w:szCs w:val="28"/>
          <w:lang w:val="es-ES_tradnl"/>
        </w:rPr>
        <w:t xml:space="preserve">La interpretación realizada por la sentencia de los artículos constitucionales involucrados, desconoce la situación </w:t>
      </w:r>
      <w:r w:rsidRPr="007C6F2A">
        <w:rPr>
          <w:i/>
          <w:szCs w:val="28"/>
          <w:lang w:val="es-ES_tradnl"/>
        </w:rPr>
        <w:t>sui generis</w:t>
      </w:r>
      <w:r w:rsidRPr="007C6F2A">
        <w:rPr>
          <w:szCs w:val="28"/>
          <w:lang w:val="es-ES_tradnl"/>
        </w:rPr>
        <w:t xml:space="preserve"> que aquí se presenta. Y permite erróneamente, de un lado, autorizar que personas cumplan labores constitucionales por un término mayor al establecido en la Carta, y del otro, que se incumplan términos constitucionales perentorios para la integración de la nueva Comisión, fijados por la Carta. </w:t>
      </w:r>
    </w:p>
    <w:p w14:paraId="6BD98B6A" w14:textId="77777777" w:rsidR="00AE1B4A" w:rsidRPr="007C6F2A" w:rsidRDefault="00AE1B4A" w:rsidP="00AE1B4A">
      <w:pPr>
        <w:tabs>
          <w:tab w:val="left" w:pos="426"/>
        </w:tabs>
        <w:jc w:val="both"/>
        <w:rPr>
          <w:b/>
          <w:szCs w:val="28"/>
          <w:lang w:val="es-ES_tradnl"/>
        </w:rPr>
      </w:pPr>
    </w:p>
    <w:p w14:paraId="13C653A0" w14:textId="77777777" w:rsidR="00AE1B4A" w:rsidRPr="00CC4C2A" w:rsidRDefault="00AE1B4A" w:rsidP="00AE1B4A">
      <w:pPr>
        <w:numPr>
          <w:ilvl w:val="0"/>
          <w:numId w:val="11"/>
        </w:numPr>
        <w:tabs>
          <w:tab w:val="left" w:pos="567"/>
        </w:tabs>
        <w:ind w:left="0" w:firstLine="0"/>
        <w:jc w:val="both"/>
        <w:rPr>
          <w:b/>
          <w:szCs w:val="28"/>
          <w:lang w:val="es-ES_tradnl"/>
        </w:rPr>
      </w:pPr>
      <w:r w:rsidRPr="00CC4C2A">
        <w:rPr>
          <w:szCs w:val="28"/>
          <w:lang w:val="es-ES_tradnl"/>
        </w:rPr>
        <w:t xml:space="preserve">La valoración normativa y sistemática de la Constitución que adelantó la providencia del Consejo de Estado para evaluar la convocatoria planteada, desconoció que la interpretación constitucional actual de estas normas debe reconocer que se está ante una preceptiva híbrida. Esto es, ante una regulación que revivió paralelamente el artículo 257 anterior y que dejó vigente a su vez el artículo 257A introducido por la reforma del 2015. Como el aparente “vacío” que se le endilga al artículo 257A no fue producto de un descuido del </w:t>
      </w:r>
      <w:r w:rsidRPr="0005595A">
        <w:rPr>
          <w:szCs w:val="28"/>
          <w:lang w:val="es-ES_tradnl"/>
        </w:rPr>
        <w:lastRenderedPageBreak/>
        <w:t>constituyente sino el resultado de la modulación que adelantó la Corte Constitucional, el elemento reglado debía ser definido e interpretado a partir del marco jurídico que lo integraba originalmente y que era el establecido por el constituyente para la CNDJ. Por tal razón, el artículo 257A debió ser leído como una norma especial -para algunos</w:t>
      </w:r>
      <w:r w:rsidRPr="00CC4C2A">
        <w:rPr>
          <w:szCs w:val="28"/>
          <w:lang w:val="es-ES_tradnl"/>
        </w:rPr>
        <w:t xml:space="preserve"> de carácter electoral-, que no exigía, además, de manera expresa, que la reglamentación involucrada tuviese que ser adelantada por la ley. </w:t>
      </w:r>
    </w:p>
    <w:p w14:paraId="3A82ED2E" w14:textId="77777777" w:rsidR="00AE1B4A" w:rsidRPr="00CC4C2A" w:rsidRDefault="00AE1B4A" w:rsidP="00AE1B4A">
      <w:pPr>
        <w:tabs>
          <w:tab w:val="left" w:pos="567"/>
        </w:tabs>
        <w:jc w:val="both"/>
        <w:rPr>
          <w:b/>
          <w:szCs w:val="28"/>
          <w:lang w:val="es-ES_tradnl"/>
        </w:rPr>
      </w:pPr>
    </w:p>
    <w:p w14:paraId="4BD1BF33" w14:textId="77777777" w:rsidR="00AE1B4A" w:rsidRPr="00CC4C2A" w:rsidRDefault="00AE1B4A" w:rsidP="00AE1B4A">
      <w:pPr>
        <w:numPr>
          <w:ilvl w:val="0"/>
          <w:numId w:val="11"/>
        </w:numPr>
        <w:tabs>
          <w:tab w:val="left" w:pos="567"/>
        </w:tabs>
        <w:ind w:left="0" w:firstLine="0"/>
        <w:jc w:val="both"/>
        <w:rPr>
          <w:szCs w:val="28"/>
          <w:lang w:val="es-ES_tradnl"/>
        </w:rPr>
      </w:pPr>
      <w:r w:rsidRPr="00CC4C2A">
        <w:rPr>
          <w:szCs w:val="28"/>
          <w:lang w:val="es-ES_tradnl"/>
        </w:rPr>
        <w:t xml:space="preserve">De esta forma, aunque el artículo 126 superior consagra una regla general para convocatorias, lo cierto es que el constituyente, para la reglamentación de las ternas en este caso, propuso desde el principio una excepción transitoria a la regla general, que fue la de conferir al </w:t>
      </w:r>
      <w:r w:rsidRPr="00CC4C2A">
        <w:rPr>
          <w:szCs w:val="28"/>
          <w:lang w:val="es-ES_tradnl" w:eastAsia="es-CO"/>
        </w:rPr>
        <w:t>Consejo de Gobierno Judicial</w:t>
      </w:r>
      <w:r w:rsidRPr="00CC4C2A">
        <w:rPr>
          <w:szCs w:val="28"/>
          <w:lang w:val="es-ES_tradnl"/>
        </w:rPr>
        <w:t xml:space="preserve"> -hoy CSJ-, la competencia para realizar la reglamentación de la convocatoria inicial, que es una determinación que debía ser respetada.</w:t>
      </w:r>
    </w:p>
    <w:p w14:paraId="48A0D7ED" w14:textId="77777777" w:rsidR="00AE1B4A" w:rsidRPr="00CC4C2A" w:rsidRDefault="00AE1B4A" w:rsidP="00AE1B4A">
      <w:pPr>
        <w:tabs>
          <w:tab w:val="left" w:pos="567"/>
        </w:tabs>
        <w:jc w:val="both"/>
        <w:rPr>
          <w:szCs w:val="28"/>
          <w:lang w:val="es-ES_tradnl"/>
        </w:rPr>
      </w:pPr>
    </w:p>
    <w:p w14:paraId="5D88751D" w14:textId="77777777" w:rsidR="00AE1B4A" w:rsidRPr="007C6F2A" w:rsidRDefault="00AE1B4A" w:rsidP="00AE1B4A">
      <w:pPr>
        <w:numPr>
          <w:ilvl w:val="0"/>
          <w:numId w:val="11"/>
        </w:numPr>
        <w:tabs>
          <w:tab w:val="left" w:pos="567"/>
        </w:tabs>
        <w:ind w:left="0" w:firstLine="0"/>
        <w:jc w:val="both"/>
        <w:rPr>
          <w:szCs w:val="28"/>
          <w:lang w:val="es-ES_tradnl"/>
        </w:rPr>
      </w:pPr>
      <w:r w:rsidRPr="00CC4C2A">
        <w:rPr>
          <w:szCs w:val="28"/>
          <w:lang w:val="es-ES_tradnl"/>
        </w:rPr>
        <w:t xml:space="preserve"> Aunado a lo anterior, como se trata de una elección compleja en la que no s</w:t>
      </w:r>
      <w:r w:rsidR="00C80E03">
        <w:rPr>
          <w:szCs w:val="28"/>
          <w:lang w:val="es-ES_tradnl"/>
        </w:rPr>
        <w:t>o</w:t>
      </w:r>
      <w:r w:rsidRPr="00CC4C2A">
        <w:rPr>
          <w:szCs w:val="28"/>
          <w:lang w:val="es-ES_tradnl"/>
        </w:rPr>
        <w:t>lo interviene el Congreso sino también el CSJ, la aplicación irrestricta del artículo 126 no debería prevalecer sobre la interpretación</w:t>
      </w:r>
      <w:r w:rsidRPr="007C6F2A">
        <w:rPr>
          <w:szCs w:val="28"/>
          <w:lang w:val="es-ES_tradnl"/>
        </w:rPr>
        <w:t xml:space="preserve"> teleológica de la norma constitucional señalada, hasta el punto de considerarla inane, por lo menos para el caso del CSJ.</w:t>
      </w:r>
      <w:r w:rsidRPr="007C6F2A">
        <w:rPr>
          <w:b/>
          <w:szCs w:val="28"/>
          <w:lang w:val="es-ES_tradnl"/>
        </w:rPr>
        <w:t xml:space="preserve"> </w:t>
      </w:r>
    </w:p>
    <w:p w14:paraId="5701C774" w14:textId="77777777" w:rsidR="00AE1B4A" w:rsidRPr="007C6F2A" w:rsidRDefault="00AE1B4A" w:rsidP="00AE1B4A">
      <w:pPr>
        <w:tabs>
          <w:tab w:val="left" w:pos="567"/>
        </w:tabs>
        <w:jc w:val="both"/>
        <w:rPr>
          <w:szCs w:val="28"/>
          <w:lang w:val="es-ES_tradnl"/>
        </w:rPr>
      </w:pPr>
    </w:p>
    <w:p w14:paraId="7A4D98E2" w14:textId="77777777" w:rsidR="00AE1B4A" w:rsidRPr="007C6F2A" w:rsidRDefault="00AE1B4A" w:rsidP="00AE1B4A">
      <w:pPr>
        <w:tabs>
          <w:tab w:val="left" w:pos="567"/>
        </w:tabs>
        <w:jc w:val="both"/>
        <w:rPr>
          <w:b/>
          <w:szCs w:val="28"/>
          <w:lang w:val="es-ES_tradnl"/>
        </w:rPr>
      </w:pPr>
      <w:r w:rsidRPr="007C6F2A">
        <w:rPr>
          <w:b/>
          <w:szCs w:val="28"/>
          <w:lang w:val="es-ES_tradnl"/>
        </w:rPr>
        <w:t xml:space="preserve">(ix) </w:t>
      </w:r>
      <w:r w:rsidRPr="007C6F2A">
        <w:rPr>
          <w:szCs w:val="28"/>
          <w:lang w:val="es-ES_tradnl"/>
        </w:rPr>
        <w:t>Como</w:t>
      </w:r>
      <w:r w:rsidRPr="007C6F2A">
        <w:rPr>
          <w:b/>
          <w:szCs w:val="28"/>
          <w:lang w:val="es-ES_tradnl"/>
        </w:rPr>
        <w:t xml:space="preserve"> </w:t>
      </w:r>
      <w:r w:rsidRPr="007C6F2A">
        <w:rPr>
          <w:szCs w:val="28"/>
          <w:lang w:val="es-ES_tradnl"/>
        </w:rPr>
        <w:t xml:space="preserve">la Corte Constitucional, además, mantuvo incólume el nuevo modelo de disciplina judicial incluyendo el sistema de designación de magistrados, la reglamentación podía adelantarse por el CSJ para el primer grupo de candidatos, siguiendo los lineamientos constitucionales indicados, mientras el Legislador regula de manera permanente lo propio. </w:t>
      </w:r>
    </w:p>
    <w:p w14:paraId="0DEF1DF3" w14:textId="77777777" w:rsidR="00AE1B4A" w:rsidRPr="007C6F2A" w:rsidRDefault="00AE1B4A" w:rsidP="00AE1B4A">
      <w:pPr>
        <w:jc w:val="both"/>
        <w:rPr>
          <w:b/>
          <w:szCs w:val="28"/>
          <w:lang w:val="es-ES_tradnl"/>
        </w:rPr>
      </w:pPr>
    </w:p>
    <w:p w14:paraId="295CB2E5" w14:textId="77777777" w:rsidR="00AE1B4A" w:rsidRPr="00CC4C2A" w:rsidRDefault="00AE1B4A" w:rsidP="00AE1B4A">
      <w:pPr>
        <w:numPr>
          <w:ilvl w:val="0"/>
          <w:numId w:val="2"/>
        </w:numPr>
        <w:jc w:val="both"/>
        <w:rPr>
          <w:szCs w:val="28"/>
          <w:lang w:val="es-ES_tradnl"/>
        </w:rPr>
      </w:pPr>
      <w:r w:rsidRPr="007C6F2A">
        <w:rPr>
          <w:szCs w:val="28"/>
          <w:lang w:val="es-ES_tradnl"/>
        </w:rPr>
        <w:t xml:space="preserve">Por estas razones, para quienes salvaron el voto, el CSJ sí estaba facultado constitucionalmente para reglamentar la convocatoria pública para la conformación de las ternas </w:t>
      </w:r>
      <w:r w:rsidRPr="00CC4C2A">
        <w:rPr>
          <w:szCs w:val="28"/>
          <w:lang w:val="es-ES_tradnl"/>
        </w:rPr>
        <w:t xml:space="preserve">de </w:t>
      </w:r>
      <w:r>
        <w:rPr>
          <w:szCs w:val="28"/>
          <w:lang w:val="es-ES_tradnl"/>
        </w:rPr>
        <w:t>m</w:t>
      </w:r>
      <w:r w:rsidRPr="00CC4C2A">
        <w:rPr>
          <w:szCs w:val="28"/>
          <w:lang w:val="es-ES_tradnl"/>
        </w:rPr>
        <w:t xml:space="preserve">agistrados que debían conformar la Comisión Nacional de Disciplina Judicial. De hecho, para algunos de ellos, dicha institución lo hizo debidamente, y sin desconocer además las nuevas exigencias del artículo 126 en lo concerniente a la aplicación de los principios de publicidad, transparencia, participación ciudadana, equidad de género y criterios de mérito, que se tuvieron en cuenta debidamente en las reglas de la convocatoria enunciada. </w:t>
      </w:r>
    </w:p>
    <w:p w14:paraId="6447B6D5" w14:textId="77777777" w:rsidR="00AE1B4A" w:rsidRPr="00CC4C2A" w:rsidRDefault="00AE1B4A" w:rsidP="00AE1B4A">
      <w:pPr>
        <w:spacing w:line="276" w:lineRule="auto"/>
        <w:jc w:val="both"/>
        <w:rPr>
          <w:szCs w:val="28"/>
          <w:lang w:val="es-ES_tradnl"/>
        </w:rPr>
      </w:pPr>
    </w:p>
    <w:p w14:paraId="2E3DF9B3" w14:textId="77777777" w:rsidR="00AE1B4A" w:rsidRPr="00CC4C2A" w:rsidRDefault="00AE1B4A" w:rsidP="00AE1B4A">
      <w:pPr>
        <w:jc w:val="both"/>
        <w:rPr>
          <w:b/>
          <w:sz w:val="30"/>
          <w:szCs w:val="30"/>
          <w:lang w:val="es-ES_tradnl"/>
        </w:rPr>
      </w:pPr>
      <w:r w:rsidRPr="00CC4C2A">
        <w:rPr>
          <w:b/>
          <w:sz w:val="30"/>
          <w:szCs w:val="30"/>
          <w:lang w:val="es-ES_tradnl"/>
        </w:rPr>
        <w:t>La acción de tutela del Consejo Superior de la Judicatura en contra de la providencia del Consejo de Estado del 6 de febrero de 2018</w:t>
      </w:r>
    </w:p>
    <w:p w14:paraId="1AA10638" w14:textId="77777777" w:rsidR="00AE1B4A" w:rsidRPr="00CC4C2A" w:rsidRDefault="00AE1B4A" w:rsidP="00AE1B4A">
      <w:pPr>
        <w:spacing w:line="276" w:lineRule="auto"/>
        <w:jc w:val="both"/>
        <w:rPr>
          <w:szCs w:val="28"/>
          <w:lang w:val="es-ES_tradnl"/>
        </w:rPr>
      </w:pPr>
    </w:p>
    <w:p w14:paraId="2E78630B" w14:textId="77777777" w:rsidR="00AE1B4A" w:rsidRPr="00CC4C2A" w:rsidRDefault="00AE1B4A" w:rsidP="00AE1B4A">
      <w:pPr>
        <w:numPr>
          <w:ilvl w:val="0"/>
          <w:numId w:val="2"/>
        </w:numPr>
        <w:jc w:val="both"/>
        <w:rPr>
          <w:szCs w:val="28"/>
          <w:lang w:val="es-ES_tradnl"/>
        </w:rPr>
      </w:pPr>
      <w:r w:rsidRPr="00CC4C2A">
        <w:rPr>
          <w:szCs w:val="28"/>
          <w:lang w:val="es-ES_tradnl"/>
        </w:rPr>
        <w:t xml:space="preserve">El </w:t>
      </w:r>
      <w:r w:rsidRPr="00CC4C2A">
        <w:rPr>
          <w:b/>
          <w:szCs w:val="28"/>
          <w:lang w:val="es-ES_tradnl"/>
        </w:rPr>
        <w:t>1° de junio de 2018</w:t>
      </w:r>
      <w:r w:rsidRPr="00CC4C2A">
        <w:rPr>
          <w:szCs w:val="28"/>
          <w:lang w:val="es-ES_tradnl"/>
        </w:rPr>
        <w:t>, el Consejo Superior de la Judicatura</w:t>
      </w:r>
      <w:r w:rsidRPr="00CC4C2A">
        <w:rPr>
          <w:rStyle w:val="Refdenotaalpie"/>
          <w:szCs w:val="28"/>
          <w:lang w:val="es-ES_tradnl"/>
        </w:rPr>
        <w:footnoteReference w:id="60"/>
      </w:r>
      <w:r w:rsidRPr="00CC4C2A">
        <w:rPr>
          <w:szCs w:val="28"/>
          <w:lang w:val="es-ES_tradnl"/>
        </w:rPr>
        <w:t xml:space="preserve"> presentó acción de tutela en contra de la sentencia que declaró la nulidad por inconstitucionalidad del </w:t>
      </w:r>
      <w:r w:rsidRPr="00CC4C2A">
        <w:rPr>
          <w:b/>
          <w:szCs w:val="28"/>
          <w:lang w:val="es-ES_tradnl"/>
        </w:rPr>
        <w:t>Acuerdo PSAA16-10548</w:t>
      </w:r>
      <w:r w:rsidRPr="00CC4C2A">
        <w:rPr>
          <w:szCs w:val="28"/>
          <w:lang w:val="es-ES_tradnl"/>
        </w:rPr>
        <w:t xml:space="preserve">. </w:t>
      </w:r>
    </w:p>
    <w:p w14:paraId="5B7C6886" w14:textId="77777777" w:rsidR="00AE1B4A" w:rsidRPr="00CC4C2A" w:rsidRDefault="00AE1B4A" w:rsidP="00AE1B4A">
      <w:pPr>
        <w:jc w:val="both"/>
        <w:rPr>
          <w:szCs w:val="28"/>
          <w:lang w:val="es-ES_tradnl"/>
        </w:rPr>
      </w:pPr>
    </w:p>
    <w:p w14:paraId="4EC2BA1D" w14:textId="77777777" w:rsidR="00AE1B4A" w:rsidRPr="007C6F2A" w:rsidRDefault="00AE1B4A" w:rsidP="00AE1B4A">
      <w:pPr>
        <w:jc w:val="both"/>
        <w:rPr>
          <w:szCs w:val="28"/>
          <w:lang w:val="es-ES_tradnl"/>
        </w:rPr>
      </w:pPr>
      <w:r w:rsidRPr="00CC4C2A">
        <w:rPr>
          <w:szCs w:val="28"/>
          <w:lang w:val="es-ES_tradnl"/>
        </w:rPr>
        <w:lastRenderedPageBreak/>
        <w:t xml:space="preserve">En su escrito, esa entidad aseguró que la acción de tutela satisface los requisitos generales de procedibilidad, toda vez que: </w:t>
      </w:r>
      <w:r w:rsidRPr="00FA6194">
        <w:rPr>
          <w:b/>
          <w:szCs w:val="28"/>
          <w:lang w:val="es-ES_tradnl"/>
        </w:rPr>
        <w:t xml:space="preserve">(i) </w:t>
      </w:r>
      <w:r w:rsidRPr="00FA6194">
        <w:rPr>
          <w:szCs w:val="28"/>
          <w:lang w:val="es-ES_tradnl"/>
        </w:rPr>
        <w:t xml:space="preserve">la cuestión debatida tiene evidente relevancia constitucional, dado que se relaciona con la interpretación, respeto y aplicación del precedente constitucional y con la entrada en funcionamiento de una institución creada directamente por la Constitución Política; </w:t>
      </w:r>
      <w:r w:rsidRPr="00FA6194">
        <w:rPr>
          <w:b/>
          <w:szCs w:val="28"/>
          <w:lang w:val="es-ES_tradnl"/>
        </w:rPr>
        <w:t xml:space="preserve">(ii) </w:t>
      </w:r>
      <w:r w:rsidRPr="00FA6194">
        <w:rPr>
          <w:szCs w:val="28"/>
          <w:lang w:val="es-ES_tradnl"/>
        </w:rPr>
        <w:t xml:space="preserve">la decisión impugnada no es susceptible de ningún recurso. Por lo tanto, están agotados razonablemente los medios de defensa disponibles; </w:t>
      </w:r>
      <w:r w:rsidRPr="00FA6194">
        <w:rPr>
          <w:b/>
          <w:szCs w:val="28"/>
          <w:lang w:val="es-ES_tradnl"/>
        </w:rPr>
        <w:t>(iii)</w:t>
      </w:r>
      <w:r w:rsidRPr="00FA6194">
        <w:rPr>
          <w:szCs w:val="28"/>
          <w:lang w:val="es-ES_tradnl"/>
        </w:rPr>
        <w:t xml:space="preserve"> se cumple con el requisito de inmediatez, en la medida en que la acción de tutela se interpuso aproximadamente cuatro meses después de la notificación de la providencia cuestionada; </w:t>
      </w:r>
      <w:r w:rsidRPr="00FA6194">
        <w:rPr>
          <w:b/>
          <w:szCs w:val="28"/>
          <w:lang w:val="es-ES_tradnl"/>
        </w:rPr>
        <w:t xml:space="preserve">(iv) </w:t>
      </w:r>
      <w:r w:rsidRPr="00FA6194">
        <w:rPr>
          <w:szCs w:val="28"/>
          <w:lang w:val="es-ES_tradnl"/>
        </w:rPr>
        <w:t xml:space="preserve">se identificaron claramente los hechos relevantes y los derechos vulnerados; </w:t>
      </w:r>
      <w:r w:rsidRPr="00FA6194">
        <w:rPr>
          <w:b/>
          <w:szCs w:val="28"/>
          <w:lang w:val="es-ES_tradnl"/>
        </w:rPr>
        <w:t xml:space="preserve">(v) </w:t>
      </w:r>
      <w:r w:rsidRPr="00FA6194">
        <w:rPr>
          <w:szCs w:val="28"/>
          <w:lang w:val="es-ES_tradnl"/>
        </w:rPr>
        <w:t xml:space="preserve">no se alega ninguna irregularidad procesal y </w:t>
      </w:r>
      <w:r w:rsidRPr="00FA6194">
        <w:rPr>
          <w:b/>
          <w:szCs w:val="28"/>
          <w:lang w:val="es-ES_tradnl"/>
        </w:rPr>
        <w:t>(vi)</w:t>
      </w:r>
      <w:r w:rsidRPr="00FA6194">
        <w:rPr>
          <w:szCs w:val="28"/>
          <w:lang w:val="es-ES_tradnl"/>
        </w:rPr>
        <w:t xml:space="preserve"> no se trata de un fallo de tutela.</w:t>
      </w:r>
    </w:p>
    <w:p w14:paraId="1F6AD7C8" w14:textId="77777777" w:rsidR="00AE1B4A" w:rsidRPr="007C6F2A" w:rsidRDefault="00AE1B4A" w:rsidP="00AE1B4A">
      <w:pPr>
        <w:jc w:val="both"/>
        <w:rPr>
          <w:szCs w:val="28"/>
          <w:lang w:val="es-ES_tradnl"/>
        </w:rPr>
      </w:pPr>
    </w:p>
    <w:p w14:paraId="60E4E70D" w14:textId="77777777" w:rsidR="00AE1B4A" w:rsidRPr="00CC4C2A" w:rsidRDefault="00AE1B4A" w:rsidP="00AE1B4A">
      <w:pPr>
        <w:numPr>
          <w:ilvl w:val="0"/>
          <w:numId w:val="2"/>
        </w:numPr>
        <w:jc w:val="both"/>
        <w:rPr>
          <w:szCs w:val="28"/>
          <w:lang w:val="es-ES_tradnl"/>
        </w:rPr>
      </w:pPr>
      <w:r w:rsidRPr="007C6F2A">
        <w:rPr>
          <w:szCs w:val="28"/>
          <w:lang w:val="es-ES_tradnl"/>
        </w:rPr>
        <w:t xml:space="preserve">De igual modo, en cuanto a los requisitos específicos de procedibilidad, el Consejo Superior de la Judicatura alegó que la providencia </w:t>
      </w:r>
      <w:r w:rsidRPr="00CC4C2A">
        <w:rPr>
          <w:szCs w:val="28"/>
          <w:lang w:val="es-ES_tradnl"/>
        </w:rPr>
        <w:t>acusada vulneró su derecho fundamental al debido proceso, por incurrir en los siguientes defectos:</w:t>
      </w:r>
    </w:p>
    <w:p w14:paraId="4880BDEE" w14:textId="77777777" w:rsidR="00AE1B4A" w:rsidRPr="00CC4C2A" w:rsidRDefault="00AE1B4A" w:rsidP="00AE1B4A">
      <w:pPr>
        <w:shd w:val="clear" w:color="auto" w:fill="FFFFFF"/>
        <w:tabs>
          <w:tab w:val="left" w:pos="709"/>
        </w:tabs>
        <w:spacing w:line="276" w:lineRule="auto"/>
        <w:ind w:right="49"/>
        <w:jc w:val="both"/>
        <w:rPr>
          <w:szCs w:val="28"/>
          <w:lang w:val="es-ES_tradnl"/>
        </w:rPr>
      </w:pPr>
    </w:p>
    <w:p w14:paraId="0E0335FF" w14:textId="77777777" w:rsidR="00AE1B4A" w:rsidRPr="00CC4C2A" w:rsidRDefault="00AE1B4A" w:rsidP="00AE1B4A">
      <w:pPr>
        <w:shd w:val="clear" w:color="auto" w:fill="FFFFFF"/>
        <w:tabs>
          <w:tab w:val="left" w:pos="709"/>
        </w:tabs>
        <w:ind w:right="49"/>
        <w:jc w:val="both"/>
        <w:rPr>
          <w:rFonts w:eastAsia="SimSun"/>
          <w:i/>
          <w:szCs w:val="28"/>
          <w:lang w:val="es-ES_tradnl" w:eastAsia="es-CO"/>
        </w:rPr>
      </w:pPr>
      <w:r w:rsidRPr="00CC4C2A">
        <w:rPr>
          <w:rFonts w:eastAsia="SimSun"/>
          <w:b/>
          <w:i/>
          <w:szCs w:val="28"/>
          <w:lang w:val="es-ES_tradnl" w:eastAsia="es-CO"/>
        </w:rPr>
        <w:t>Violación directa de la Constitución, por “desconocimiento del precedente” constitucional</w:t>
      </w:r>
      <w:r w:rsidRPr="00CC4C2A">
        <w:rPr>
          <w:rFonts w:eastAsia="SimSun"/>
          <w:i/>
          <w:szCs w:val="28"/>
          <w:lang w:val="es-ES_tradnl" w:eastAsia="es-CO"/>
        </w:rPr>
        <w:t xml:space="preserve"> </w:t>
      </w:r>
      <w:r w:rsidRPr="00CC4C2A">
        <w:rPr>
          <w:rFonts w:eastAsia="SimSun"/>
          <w:b/>
          <w:i/>
          <w:szCs w:val="28"/>
          <w:lang w:val="es-ES_tradnl" w:eastAsia="es-CO"/>
        </w:rPr>
        <w:t>establecido por la Sentencia C-285 de 2016 y el principio de interpretación única de la Carta</w:t>
      </w:r>
      <w:r w:rsidRPr="00CC4C2A">
        <w:rPr>
          <w:rFonts w:eastAsia="SimSun"/>
          <w:i/>
          <w:szCs w:val="28"/>
          <w:lang w:val="es-ES_tradnl" w:eastAsia="es-CO"/>
        </w:rPr>
        <w:t xml:space="preserve">. </w:t>
      </w:r>
    </w:p>
    <w:p w14:paraId="2C3B25A5" w14:textId="77777777" w:rsidR="00AE1B4A" w:rsidRPr="00CC4C2A" w:rsidRDefault="00AE1B4A" w:rsidP="00AE1B4A">
      <w:pPr>
        <w:shd w:val="clear" w:color="auto" w:fill="FFFFFF"/>
        <w:tabs>
          <w:tab w:val="left" w:pos="284"/>
        </w:tabs>
        <w:spacing w:line="276" w:lineRule="auto"/>
        <w:ind w:right="49"/>
        <w:jc w:val="both"/>
        <w:rPr>
          <w:rFonts w:eastAsia="SimSun"/>
          <w:szCs w:val="28"/>
          <w:lang w:val="es-ES_tradnl" w:eastAsia="es-CO"/>
        </w:rPr>
      </w:pPr>
    </w:p>
    <w:p w14:paraId="741FF2A5" w14:textId="77777777" w:rsidR="00AE1B4A" w:rsidRPr="007C6F2A" w:rsidRDefault="00AE1B4A" w:rsidP="00AE1B4A">
      <w:pPr>
        <w:numPr>
          <w:ilvl w:val="0"/>
          <w:numId w:val="2"/>
        </w:numPr>
        <w:shd w:val="clear" w:color="auto" w:fill="FFFFFF"/>
        <w:tabs>
          <w:tab w:val="left" w:pos="284"/>
        </w:tabs>
        <w:ind w:right="49"/>
        <w:jc w:val="both"/>
        <w:rPr>
          <w:rFonts w:eastAsia="SimSun"/>
          <w:szCs w:val="28"/>
          <w:lang w:val="es-ES_tradnl" w:eastAsia="es-CO"/>
        </w:rPr>
      </w:pPr>
      <w:r w:rsidRPr="00CC4C2A">
        <w:rPr>
          <w:rFonts w:eastAsia="SimSun"/>
          <w:szCs w:val="28"/>
          <w:lang w:val="es-ES_tradnl" w:eastAsia="es-CO"/>
        </w:rPr>
        <w:t xml:space="preserve">A juicio de la entidad accionante, el Consejo de Estado se apartó de las decisiones y conclusiones establecidas por la Corte Constitucional en la </w:t>
      </w:r>
      <w:r w:rsidRPr="00CC4C2A">
        <w:rPr>
          <w:rFonts w:eastAsia="SimSun"/>
          <w:b/>
          <w:szCs w:val="28"/>
          <w:lang w:val="es-ES_tradnl" w:eastAsia="es-CO"/>
        </w:rPr>
        <w:t>Sentencia C-285 de 2016</w:t>
      </w:r>
      <w:r w:rsidRPr="00CC4C2A">
        <w:rPr>
          <w:rFonts w:eastAsia="SimSun"/>
          <w:szCs w:val="28"/>
          <w:lang w:val="es-ES_tradnl" w:eastAsia="es-CO"/>
        </w:rPr>
        <w:t>, que atribuyó al CSJ las funciones antes asignadas al Consejo de Gobierno Judicial, en la conformación de las listas de elegibles para la Comisión Nacional de Disciplina Judicial. En este sentido</w:t>
      </w:r>
      <w:r w:rsidRPr="007C6F2A">
        <w:rPr>
          <w:rFonts w:eastAsia="SimSun"/>
          <w:szCs w:val="28"/>
          <w:lang w:val="es-ES_tradnl" w:eastAsia="es-CO"/>
        </w:rPr>
        <w:t xml:space="preserve">, concluye la corporación demandante que el fallo del Consejo de Estado, </w:t>
      </w:r>
      <w:r w:rsidRPr="007C6F2A">
        <w:rPr>
          <w:rFonts w:eastAsia="SimSun"/>
          <w:i/>
          <w:szCs w:val="28"/>
          <w:lang w:val="es-ES_tradnl" w:eastAsia="es-CO"/>
        </w:rPr>
        <w:t>“riñe abiertamente con lo dispuesto por la Corte Constitucional, al extremo que cuestiona la legitimidad y competencia de ésta, para adoptar la decisión”</w:t>
      </w:r>
      <w:r w:rsidRPr="007C6F2A">
        <w:rPr>
          <w:rStyle w:val="Refdenotaalpie"/>
          <w:rFonts w:eastAsia="SimSun"/>
          <w:i/>
          <w:szCs w:val="28"/>
          <w:lang w:val="es-ES_tradnl" w:eastAsia="es-CO"/>
        </w:rPr>
        <w:footnoteReference w:id="61"/>
      </w:r>
      <w:r w:rsidRPr="007C6F2A">
        <w:rPr>
          <w:rFonts w:eastAsia="SimSun"/>
          <w:szCs w:val="28"/>
          <w:lang w:val="es-ES_tradnl" w:eastAsia="es-CO"/>
        </w:rPr>
        <w:t xml:space="preserve"> que tomó en su momento, frente al A. L. 02 de 2015. A juicio del CSJ, el fallo contencioso administrativo se apartó de las decisiones establecidas por la Corte Constitucional en la sentencia de constitucionalidad indicada, al punto de afirmar que la competencia otorgada a la demandante “</w:t>
      </w:r>
      <w:r w:rsidRPr="007C6F2A">
        <w:rPr>
          <w:rFonts w:eastAsia="SimSun"/>
          <w:i/>
          <w:szCs w:val="28"/>
          <w:lang w:val="es-ES_tradnl" w:eastAsia="es-CO"/>
        </w:rPr>
        <w:t>no es el resultado de una disposición constitucional, ni legislativa, sino consecuencia de una sentencia judicial para conferirle operatividad a una reforma constitucional</w:t>
      </w:r>
      <w:r w:rsidRPr="007C6F2A">
        <w:rPr>
          <w:rFonts w:eastAsia="SimSun"/>
          <w:szCs w:val="28"/>
          <w:lang w:val="es-ES_tradnl" w:eastAsia="es-CO"/>
        </w:rPr>
        <w:t xml:space="preserve">”. </w:t>
      </w:r>
    </w:p>
    <w:p w14:paraId="08AC9DA1" w14:textId="77777777" w:rsidR="00AE1B4A" w:rsidRPr="007C6F2A" w:rsidRDefault="00AE1B4A" w:rsidP="00AE1B4A">
      <w:pPr>
        <w:shd w:val="clear" w:color="auto" w:fill="FFFFFF"/>
        <w:tabs>
          <w:tab w:val="left" w:pos="284"/>
        </w:tabs>
        <w:ind w:right="49"/>
        <w:jc w:val="both"/>
        <w:rPr>
          <w:rFonts w:eastAsia="SimSun"/>
          <w:szCs w:val="28"/>
          <w:lang w:val="es-ES_tradnl" w:eastAsia="es-CO"/>
        </w:rPr>
      </w:pPr>
    </w:p>
    <w:p w14:paraId="6127DC5D" w14:textId="77777777" w:rsidR="00AE1B4A" w:rsidRPr="00CC4C2A" w:rsidRDefault="00AE1B4A" w:rsidP="00AE1B4A">
      <w:pPr>
        <w:shd w:val="clear" w:color="auto" w:fill="FFFFFF"/>
        <w:tabs>
          <w:tab w:val="left" w:pos="284"/>
        </w:tabs>
        <w:ind w:right="49"/>
        <w:jc w:val="both"/>
        <w:rPr>
          <w:rFonts w:eastAsia="SimSun"/>
          <w:szCs w:val="28"/>
          <w:lang w:val="es-ES_tradnl" w:eastAsia="es-CO"/>
        </w:rPr>
      </w:pPr>
      <w:r w:rsidRPr="00CC4C2A">
        <w:rPr>
          <w:rFonts w:eastAsia="SimSun"/>
          <w:szCs w:val="28"/>
          <w:lang w:val="es-ES_tradnl" w:eastAsia="es-CO"/>
        </w:rPr>
        <w:t>Para el CSJ, que un fallador no comparta los argumentos y decisiones de la Corte Constitucional en la sentencia C-285 de 2016, no lo faculta para apartarse de ellos y crear un criterio restrictivo propio para la aplicación e interpretación de un artículo constitucional vigente como es el caso del  artículo 257A superior, “</w:t>
      </w:r>
      <w:r w:rsidRPr="00CC4C2A">
        <w:rPr>
          <w:rFonts w:eastAsia="SimSun"/>
          <w:i/>
          <w:szCs w:val="28"/>
          <w:lang w:val="es-ES_tradnl" w:eastAsia="es-CO"/>
        </w:rPr>
        <w:t>por cuanto ese proceder terminó por afectar no sólo los derechos fundamentales del CSJ</w:t>
      </w:r>
      <w:r w:rsidRPr="00CC4C2A">
        <w:rPr>
          <w:rFonts w:eastAsia="SimSun"/>
          <w:szCs w:val="28"/>
          <w:lang w:val="es-ES_tradnl" w:eastAsia="es-CO"/>
        </w:rPr>
        <w:t xml:space="preserve">” sino que ha tenido como resultado una </w:t>
      </w:r>
      <w:r w:rsidRPr="00CC4C2A">
        <w:rPr>
          <w:rFonts w:eastAsia="SimSun"/>
          <w:szCs w:val="28"/>
          <w:lang w:val="es-ES_tradnl" w:eastAsia="es-CO"/>
        </w:rPr>
        <w:lastRenderedPageBreak/>
        <w:t xml:space="preserve">prórroga indefinida de los periodos de los magistrados de la extinta Sala Disciplinaria.  </w:t>
      </w:r>
    </w:p>
    <w:p w14:paraId="513DC270" w14:textId="77777777" w:rsidR="00AE1B4A" w:rsidRPr="00CC4C2A" w:rsidRDefault="00AE1B4A" w:rsidP="00AE1B4A">
      <w:pPr>
        <w:shd w:val="clear" w:color="auto" w:fill="FFFFFF"/>
        <w:tabs>
          <w:tab w:val="left" w:pos="284"/>
        </w:tabs>
        <w:ind w:right="49"/>
        <w:jc w:val="both"/>
        <w:rPr>
          <w:rFonts w:eastAsia="SimSun"/>
          <w:szCs w:val="28"/>
          <w:lang w:val="es-ES_tradnl" w:eastAsia="es-CO"/>
        </w:rPr>
      </w:pPr>
    </w:p>
    <w:p w14:paraId="495916AF" w14:textId="77777777" w:rsidR="00AE1B4A" w:rsidRPr="00CC4C2A" w:rsidRDefault="00AE1B4A" w:rsidP="00AE1B4A">
      <w:pPr>
        <w:numPr>
          <w:ilvl w:val="0"/>
          <w:numId w:val="2"/>
        </w:numPr>
        <w:shd w:val="clear" w:color="auto" w:fill="FFFFFF"/>
        <w:tabs>
          <w:tab w:val="left" w:pos="284"/>
        </w:tabs>
        <w:ind w:right="49"/>
        <w:jc w:val="both"/>
        <w:rPr>
          <w:rFonts w:eastAsia="SimSun"/>
          <w:szCs w:val="28"/>
          <w:lang w:val="es-ES_tradnl" w:eastAsia="es-CO"/>
        </w:rPr>
      </w:pPr>
      <w:r w:rsidRPr="00CC4C2A">
        <w:rPr>
          <w:rFonts w:eastAsia="SimSun"/>
          <w:szCs w:val="28"/>
          <w:lang w:val="es-ES_tradnl" w:eastAsia="es-CO"/>
        </w:rPr>
        <w:t xml:space="preserve">Frente a este punto, considera que la providencia objeto de tutela, desconoce el principio de </w:t>
      </w:r>
      <w:r w:rsidRPr="00CC4C2A">
        <w:rPr>
          <w:rFonts w:eastAsia="SimSun"/>
          <w:b/>
          <w:szCs w:val="28"/>
          <w:lang w:val="es-ES_tradnl" w:eastAsia="es-CO"/>
        </w:rPr>
        <w:t>interpretación unificada de la Constitución</w:t>
      </w:r>
      <w:r w:rsidRPr="00CC4C2A">
        <w:rPr>
          <w:rFonts w:eastAsia="SimSun"/>
          <w:szCs w:val="28"/>
          <w:lang w:val="es-ES_tradnl" w:eastAsia="es-CO"/>
        </w:rPr>
        <w:t xml:space="preserve"> relacionado con el contenido mismo de la Carta Política, - en atención a lo mencionado, por ejemplo, en la sentencia SU-917 de 2010</w:t>
      </w:r>
      <w:r w:rsidRPr="00CC4C2A">
        <w:rPr>
          <w:rStyle w:val="Refdenotaalpie"/>
          <w:rFonts w:eastAsia="SimSun"/>
          <w:szCs w:val="28"/>
          <w:lang w:val="es-ES_tradnl" w:eastAsia="es-CO"/>
        </w:rPr>
        <w:footnoteReference w:id="62"/>
      </w:r>
      <w:r w:rsidRPr="00CC4C2A">
        <w:rPr>
          <w:rFonts w:eastAsia="SimSun"/>
          <w:szCs w:val="28"/>
          <w:lang w:val="es-ES_tradnl" w:eastAsia="es-CO"/>
        </w:rPr>
        <w:t xml:space="preserve"> -, con lo cual generó para el caso del CSJ la imposibilidad de facilitar la entrada en funcionamiento de la Comisión Nacional de Disciplina Judicial, en lo que le corresponde, y paralelamente el desconocimiento de los lineamientos de la Carta. </w:t>
      </w:r>
    </w:p>
    <w:p w14:paraId="79C802CD" w14:textId="77777777" w:rsidR="00AE1B4A" w:rsidRPr="00CC4C2A" w:rsidRDefault="00AE1B4A" w:rsidP="00AE1B4A">
      <w:pPr>
        <w:shd w:val="clear" w:color="auto" w:fill="FFFFFF"/>
        <w:tabs>
          <w:tab w:val="left" w:pos="284"/>
        </w:tabs>
        <w:spacing w:line="276" w:lineRule="auto"/>
        <w:ind w:right="49"/>
        <w:jc w:val="both"/>
        <w:rPr>
          <w:rFonts w:eastAsia="SimSun"/>
          <w:b/>
          <w:i/>
          <w:szCs w:val="28"/>
          <w:lang w:val="es-ES_tradnl" w:eastAsia="es-CO"/>
        </w:rPr>
      </w:pPr>
    </w:p>
    <w:p w14:paraId="09205A67" w14:textId="77777777" w:rsidR="00AE1B4A" w:rsidRPr="00CC4C2A" w:rsidRDefault="00AE1B4A" w:rsidP="00AE1B4A">
      <w:pPr>
        <w:shd w:val="clear" w:color="auto" w:fill="FFFFFF"/>
        <w:tabs>
          <w:tab w:val="left" w:pos="284"/>
        </w:tabs>
        <w:ind w:right="49"/>
        <w:jc w:val="both"/>
        <w:rPr>
          <w:rFonts w:eastAsia="SimSun"/>
          <w:szCs w:val="28"/>
          <w:lang w:val="es-ES_tradnl" w:eastAsia="es-CO"/>
        </w:rPr>
      </w:pPr>
      <w:bookmarkStart w:id="5" w:name="_Hlk36198175"/>
      <w:r w:rsidRPr="00CC4C2A">
        <w:rPr>
          <w:rFonts w:eastAsia="SimSun"/>
          <w:b/>
          <w:i/>
          <w:szCs w:val="28"/>
          <w:lang w:val="es-ES_tradnl" w:eastAsia="es-CO"/>
        </w:rPr>
        <w:t>Violación directa de la Constitución</w:t>
      </w:r>
      <w:r w:rsidRPr="00CC4C2A">
        <w:rPr>
          <w:rFonts w:eastAsia="SimSun"/>
          <w:i/>
          <w:szCs w:val="28"/>
          <w:lang w:val="es-ES_tradnl" w:eastAsia="es-CO"/>
        </w:rPr>
        <w:t xml:space="preserve">, </w:t>
      </w:r>
      <w:r w:rsidRPr="00CC4C2A">
        <w:rPr>
          <w:rFonts w:eastAsia="SimSun"/>
          <w:b/>
          <w:i/>
          <w:szCs w:val="28"/>
          <w:lang w:val="es-ES_tradnl" w:eastAsia="es-CO"/>
        </w:rPr>
        <w:t>por falta de aplicación o quebrantamiento de los artículos 257A y 257 superiores</w:t>
      </w:r>
    </w:p>
    <w:bookmarkEnd w:id="5"/>
    <w:p w14:paraId="3938D27F" w14:textId="77777777" w:rsidR="00AE1B4A" w:rsidRPr="00CC4C2A" w:rsidRDefault="00AE1B4A" w:rsidP="00AE1B4A">
      <w:pPr>
        <w:shd w:val="clear" w:color="auto" w:fill="FFFFFF"/>
        <w:tabs>
          <w:tab w:val="left" w:pos="284"/>
        </w:tabs>
        <w:spacing w:line="276" w:lineRule="auto"/>
        <w:ind w:right="49"/>
        <w:jc w:val="both"/>
        <w:rPr>
          <w:rFonts w:eastAsia="SimSun"/>
          <w:szCs w:val="28"/>
          <w:lang w:val="es-ES_tradnl" w:eastAsia="es-CO"/>
        </w:rPr>
      </w:pPr>
    </w:p>
    <w:p w14:paraId="53F02B00" w14:textId="77777777" w:rsidR="00AE1B4A" w:rsidRPr="00CC4C2A" w:rsidRDefault="00AE1B4A" w:rsidP="00AE1B4A">
      <w:pPr>
        <w:numPr>
          <w:ilvl w:val="0"/>
          <w:numId w:val="2"/>
        </w:numPr>
        <w:shd w:val="clear" w:color="auto" w:fill="FFFFFF"/>
        <w:tabs>
          <w:tab w:val="left" w:pos="284"/>
        </w:tabs>
        <w:ind w:right="49"/>
        <w:jc w:val="both"/>
        <w:rPr>
          <w:rFonts w:eastAsia="SimSun"/>
          <w:szCs w:val="28"/>
          <w:lang w:val="es-ES_tradnl" w:eastAsia="es-CO"/>
        </w:rPr>
      </w:pPr>
      <w:r w:rsidRPr="00CC4C2A">
        <w:rPr>
          <w:rFonts w:eastAsia="SimSun"/>
          <w:szCs w:val="28"/>
          <w:lang w:val="es-ES_tradnl" w:eastAsia="es-CO"/>
        </w:rPr>
        <w:t xml:space="preserve">La parte actora adujo que el Consejo de Estado vulneró las competencias que el constituyente le asignó al Consejo de Gobierno Judicial y que hoy le corresponden constitucionalmente al Consejo Superior de la Judicatura, al exigir que una norma legal reglamentara la convocatoria pública para la conformación de las ternas de candidatos a la Comisión Nacional de Disciplina Judicial. </w:t>
      </w:r>
    </w:p>
    <w:p w14:paraId="3FAE892C" w14:textId="77777777" w:rsidR="00AE1B4A" w:rsidRPr="007C6F2A" w:rsidRDefault="00AE1B4A" w:rsidP="00AE1B4A">
      <w:pPr>
        <w:shd w:val="clear" w:color="auto" w:fill="FFFFFF"/>
        <w:tabs>
          <w:tab w:val="left" w:pos="284"/>
        </w:tabs>
        <w:ind w:right="49"/>
        <w:jc w:val="both"/>
        <w:rPr>
          <w:rFonts w:eastAsia="SimSun"/>
          <w:szCs w:val="28"/>
          <w:lang w:val="es-ES_tradnl" w:eastAsia="es-CO"/>
        </w:rPr>
      </w:pPr>
    </w:p>
    <w:p w14:paraId="25D14596" w14:textId="77777777" w:rsidR="00AE1B4A" w:rsidRPr="00CC4C2A" w:rsidRDefault="00AE1B4A" w:rsidP="00AE1B4A">
      <w:pPr>
        <w:shd w:val="clear" w:color="auto" w:fill="FFFFFF"/>
        <w:tabs>
          <w:tab w:val="left" w:pos="284"/>
        </w:tabs>
        <w:ind w:right="49"/>
        <w:jc w:val="both"/>
        <w:rPr>
          <w:rFonts w:eastAsia="SimSun"/>
          <w:szCs w:val="28"/>
          <w:lang w:val="es-ES_tradnl" w:eastAsia="es-CO"/>
        </w:rPr>
      </w:pPr>
      <w:r w:rsidRPr="00CC4C2A">
        <w:rPr>
          <w:rFonts w:eastAsia="SimSun"/>
          <w:szCs w:val="28"/>
          <w:lang w:val="es-ES_tradnl" w:eastAsia="es-CO"/>
        </w:rPr>
        <w:t>Consideró entonces que la providencia objeto de la acción de tutela desconoció el sentido sistemático que el constituyente le otorgó al A.L. 02 de 2015, porque si bien los artículos 8, 11, 20 y 23 del A.L. mencionado se referían a una convocatoria pública reglada mediante ley, de manera expresa, el artículo 19 de la citada reforma constitucional (correspondiente al artículo 257A del texto superior) no exigió dicho requisito. Esa consideración, aunada al desconocimiento del parágrafo transitorio del artículo 257A que establece que los magistrados de la Comisión Nacional de Disciplina Judicial deben ser elegidos dentro del año siguiente a la vigencia del acto legislativo, fue un análisis que no fue debidamente valorado por la providencia cuestionada.</w:t>
      </w:r>
    </w:p>
    <w:p w14:paraId="686754D8" w14:textId="77777777" w:rsidR="00AE1B4A" w:rsidRPr="00CC4C2A" w:rsidRDefault="00AE1B4A" w:rsidP="00AE1B4A">
      <w:pPr>
        <w:shd w:val="clear" w:color="auto" w:fill="FFFFFF"/>
        <w:tabs>
          <w:tab w:val="left" w:pos="284"/>
        </w:tabs>
        <w:ind w:right="49"/>
        <w:jc w:val="both"/>
        <w:rPr>
          <w:rFonts w:eastAsia="SimSun"/>
          <w:szCs w:val="28"/>
          <w:lang w:val="es-ES_tradnl" w:eastAsia="es-CO"/>
        </w:rPr>
      </w:pPr>
    </w:p>
    <w:p w14:paraId="5F2EDC00" w14:textId="77777777" w:rsidR="00AE1B4A" w:rsidRPr="00CC4C2A" w:rsidRDefault="00AE1B4A" w:rsidP="00AE1B4A">
      <w:pPr>
        <w:shd w:val="clear" w:color="auto" w:fill="FFFFFF"/>
        <w:tabs>
          <w:tab w:val="left" w:pos="284"/>
        </w:tabs>
        <w:ind w:right="49"/>
        <w:jc w:val="both"/>
        <w:rPr>
          <w:rFonts w:eastAsia="SimSun"/>
          <w:szCs w:val="28"/>
          <w:lang w:val="es-ES_tradnl" w:eastAsia="es-CO"/>
        </w:rPr>
      </w:pPr>
      <w:r w:rsidRPr="00CC4C2A">
        <w:rPr>
          <w:rFonts w:eastAsia="SimSun"/>
          <w:szCs w:val="28"/>
          <w:lang w:val="es-ES_tradnl" w:eastAsia="es-CO"/>
        </w:rPr>
        <w:t xml:space="preserve">El Consejo de Estado, desconoció entonces el principio general de interpretación jurídica según el cual </w:t>
      </w:r>
      <w:r w:rsidRPr="00CC4C2A">
        <w:rPr>
          <w:rFonts w:eastAsia="SimSun"/>
          <w:i/>
          <w:szCs w:val="28"/>
          <w:lang w:val="es-ES_tradnl" w:eastAsia="es-CO"/>
        </w:rPr>
        <w:t>“donde la norma no distingue, no corresponde al intérprete distinguir”</w:t>
      </w:r>
      <w:r w:rsidRPr="00CC4C2A">
        <w:rPr>
          <w:rFonts w:eastAsia="SimSun"/>
          <w:szCs w:val="28"/>
          <w:lang w:val="es-ES_tradnl" w:eastAsia="es-CO"/>
        </w:rPr>
        <w:t>. Lo anterior, por cuanto dicha autoridad judicial estimó equivocadamente que la competencia otorgada al Consejo Superior de la Judicatura por el artículo 257A era una de naturaleza implícita, cuando lo cierto es que se encuentra expresamente establecida por la Carta.</w:t>
      </w:r>
    </w:p>
    <w:p w14:paraId="23BADDAB" w14:textId="77777777" w:rsidR="00AE1B4A" w:rsidRPr="00CC4C2A" w:rsidRDefault="00AE1B4A" w:rsidP="00AE1B4A">
      <w:pPr>
        <w:shd w:val="clear" w:color="auto" w:fill="FFFFFF"/>
        <w:tabs>
          <w:tab w:val="left" w:pos="284"/>
        </w:tabs>
        <w:ind w:right="49"/>
        <w:jc w:val="both"/>
        <w:rPr>
          <w:rFonts w:eastAsia="SimSun"/>
          <w:szCs w:val="28"/>
          <w:lang w:val="es-ES_tradnl" w:eastAsia="es-CO"/>
        </w:rPr>
      </w:pPr>
    </w:p>
    <w:p w14:paraId="52D6B1A7" w14:textId="77777777" w:rsidR="00AE1B4A" w:rsidRPr="00CC4C2A" w:rsidRDefault="00AE1B4A" w:rsidP="00AE1B4A">
      <w:pPr>
        <w:numPr>
          <w:ilvl w:val="0"/>
          <w:numId w:val="2"/>
        </w:numPr>
        <w:shd w:val="clear" w:color="auto" w:fill="FFFFFF"/>
        <w:tabs>
          <w:tab w:val="left" w:pos="284"/>
        </w:tabs>
        <w:ind w:right="49"/>
        <w:jc w:val="both"/>
        <w:rPr>
          <w:rFonts w:eastAsia="SimSun"/>
          <w:szCs w:val="28"/>
          <w:lang w:val="es-ES_tradnl" w:eastAsia="es-CO"/>
        </w:rPr>
      </w:pPr>
      <w:r w:rsidRPr="00CC4C2A">
        <w:rPr>
          <w:rFonts w:eastAsia="SimSun"/>
          <w:szCs w:val="28"/>
          <w:lang w:val="es-ES_tradnl" w:eastAsia="es-CO"/>
        </w:rPr>
        <w:t xml:space="preserve">De otra parte, para el CSJ la decisión reprochada incurre en una </w:t>
      </w:r>
      <w:r w:rsidRPr="00CC4C2A">
        <w:rPr>
          <w:rFonts w:eastAsia="SimSun"/>
          <w:b/>
          <w:szCs w:val="28"/>
          <w:lang w:val="es-ES_tradnl" w:eastAsia="es-CO"/>
        </w:rPr>
        <w:t>violación directa del artículo 257 de la Constitución</w:t>
      </w:r>
      <w:r w:rsidRPr="00CC4C2A">
        <w:rPr>
          <w:rFonts w:eastAsia="SimSun"/>
          <w:szCs w:val="28"/>
          <w:lang w:val="es-ES_tradnl" w:eastAsia="es-CO"/>
        </w:rPr>
        <w:t xml:space="preserve">, teniendo en cuenta que en su numeral tercero, la norma superior indicada le atribuyó al Consejo Superior de la Judicatura la función de </w:t>
      </w:r>
      <w:r w:rsidRPr="00CC4C2A">
        <w:rPr>
          <w:rFonts w:eastAsia="SimSun"/>
          <w:i/>
          <w:szCs w:val="28"/>
          <w:lang w:val="es-ES_tradnl" w:eastAsia="es-CO"/>
        </w:rPr>
        <w:t>“dictar los reglamentos necesarios para el eficaz funcionamiento de la administración de justicia”</w:t>
      </w:r>
      <w:r w:rsidRPr="00CC4C2A">
        <w:rPr>
          <w:rFonts w:eastAsia="SimSun"/>
          <w:szCs w:val="28"/>
          <w:lang w:val="es-ES_tradnl" w:eastAsia="es-CO"/>
        </w:rPr>
        <w:t xml:space="preserve">, lo cual abarca la </w:t>
      </w:r>
      <w:r w:rsidRPr="00CC4C2A">
        <w:rPr>
          <w:rFonts w:eastAsia="SimSun"/>
          <w:szCs w:val="28"/>
          <w:lang w:val="es-ES_tradnl" w:eastAsia="es-CO"/>
        </w:rPr>
        <w:lastRenderedPageBreak/>
        <w:t xml:space="preserve">garantía de independencia y autonomía de la Rama Judicial que, a su turno, incluye la conformación del juez natural para disciplinar a los jueces y abogados. </w:t>
      </w:r>
    </w:p>
    <w:p w14:paraId="116A26EB" w14:textId="77777777" w:rsidR="00AE1B4A" w:rsidRPr="00CC4C2A" w:rsidRDefault="00AE1B4A" w:rsidP="00AE1B4A">
      <w:pPr>
        <w:shd w:val="clear" w:color="auto" w:fill="FFFFFF"/>
        <w:tabs>
          <w:tab w:val="left" w:pos="284"/>
        </w:tabs>
        <w:ind w:right="49"/>
        <w:jc w:val="both"/>
        <w:rPr>
          <w:rFonts w:eastAsia="SimSun"/>
          <w:szCs w:val="28"/>
          <w:lang w:val="es-ES_tradnl" w:eastAsia="es-CO"/>
        </w:rPr>
      </w:pPr>
    </w:p>
    <w:p w14:paraId="3063B148" w14:textId="77777777" w:rsidR="00AE1B4A" w:rsidRPr="00CC4C2A" w:rsidRDefault="00AE1B4A" w:rsidP="00AE1B4A">
      <w:pPr>
        <w:shd w:val="clear" w:color="auto" w:fill="FFFFFF"/>
        <w:tabs>
          <w:tab w:val="left" w:pos="284"/>
        </w:tabs>
        <w:ind w:right="49"/>
        <w:jc w:val="both"/>
        <w:rPr>
          <w:rFonts w:eastAsia="SimSun"/>
          <w:szCs w:val="28"/>
          <w:lang w:val="es-ES_tradnl" w:eastAsia="es-CO"/>
        </w:rPr>
      </w:pPr>
      <w:r w:rsidRPr="00CC4C2A">
        <w:rPr>
          <w:rFonts w:eastAsia="SimSun"/>
          <w:szCs w:val="28"/>
          <w:lang w:val="es-ES_tradnl" w:eastAsia="es-CO"/>
        </w:rPr>
        <w:t>El criterio restrictivo de interpretación aplicado por el Consejo de Estado omitió la existencia de esa disposición constitucional,</w:t>
      </w:r>
      <w:r w:rsidRPr="007C6F2A">
        <w:rPr>
          <w:rFonts w:eastAsia="SimSun"/>
          <w:szCs w:val="28"/>
          <w:lang w:val="es-ES_tradnl" w:eastAsia="es-CO"/>
        </w:rPr>
        <w:t xml:space="preserve"> así como el plazo perentorio que fijó el </w:t>
      </w:r>
      <w:r w:rsidRPr="00CC4C2A">
        <w:rPr>
          <w:rFonts w:eastAsia="SimSun"/>
          <w:szCs w:val="28"/>
          <w:lang w:val="es-ES_tradnl" w:eastAsia="es-CO"/>
        </w:rPr>
        <w:t xml:space="preserve">A.L. 02 de 2015 para poner en funcionamiento la Comisión Nacional de Disciplina Judicial. </w:t>
      </w:r>
    </w:p>
    <w:p w14:paraId="7B94DB90" w14:textId="77777777" w:rsidR="00AE1B4A" w:rsidRDefault="00AE1B4A" w:rsidP="00AE1B4A">
      <w:pPr>
        <w:shd w:val="clear" w:color="auto" w:fill="FFFFFF"/>
        <w:tabs>
          <w:tab w:val="left" w:pos="284"/>
        </w:tabs>
        <w:spacing w:line="276" w:lineRule="auto"/>
        <w:ind w:right="49"/>
        <w:jc w:val="both"/>
        <w:rPr>
          <w:rFonts w:eastAsia="SimSun"/>
          <w:b/>
          <w:bCs/>
          <w:i/>
          <w:iCs/>
          <w:szCs w:val="28"/>
          <w:lang w:val="es-ES_tradnl" w:eastAsia="es-CO"/>
        </w:rPr>
      </w:pPr>
    </w:p>
    <w:p w14:paraId="18B81D4C" w14:textId="77777777" w:rsidR="00AE1B4A" w:rsidRPr="00CC4C2A" w:rsidRDefault="00AE1B4A" w:rsidP="00AE1B4A">
      <w:pPr>
        <w:shd w:val="clear" w:color="auto" w:fill="FFFFFF"/>
        <w:tabs>
          <w:tab w:val="left" w:pos="284"/>
        </w:tabs>
        <w:ind w:right="49"/>
        <w:jc w:val="both"/>
        <w:rPr>
          <w:rFonts w:eastAsia="SimSun"/>
          <w:b/>
          <w:bCs/>
          <w:i/>
          <w:iCs/>
          <w:szCs w:val="28"/>
          <w:lang w:val="es-ES_tradnl" w:eastAsia="es-CO"/>
        </w:rPr>
      </w:pPr>
      <w:r w:rsidRPr="00CC4C2A">
        <w:rPr>
          <w:rFonts w:eastAsia="SimSun"/>
          <w:b/>
          <w:bCs/>
          <w:i/>
          <w:iCs/>
          <w:szCs w:val="28"/>
          <w:lang w:val="es-ES_tradnl" w:eastAsia="es-CO"/>
        </w:rPr>
        <w:t xml:space="preserve">Defecto sustantivo </w:t>
      </w:r>
    </w:p>
    <w:p w14:paraId="6A48BB5B" w14:textId="77777777" w:rsidR="00AE1B4A" w:rsidRPr="00CC4C2A" w:rsidRDefault="00AE1B4A" w:rsidP="00AE1B4A">
      <w:pPr>
        <w:shd w:val="clear" w:color="auto" w:fill="FFFFFF"/>
        <w:tabs>
          <w:tab w:val="left" w:pos="284"/>
        </w:tabs>
        <w:spacing w:line="276" w:lineRule="auto"/>
        <w:ind w:right="49"/>
        <w:jc w:val="both"/>
        <w:rPr>
          <w:rFonts w:eastAsia="SimSun"/>
          <w:szCs w:val="28"/>
          <w:lang w:val="es-ES_tradnl" w:eastAsia="es-CO"/>
        </w:rPr>
      </w:pPr>
    </w:p>
    <w:p w14:paraId="03488E98" w14:textId="77777777" w:rsidR="00AE1B4A" w:rsidRPr="00CC4C2A" w:rsidRDefault="00AE1B4A" w:rsidP="00AE1B4A">
      <w:pPr>
        <w:numPr>
          <w:ilvl w:val="0"/>
          <w:numId w:val="2"/>
        </w:numPr>
        <w:shd w:val="clear" w:color="auto" w:fill="FFFFFF"/>
        <w:tabs>
          <w:tab w:val="left" w:pos="284"/>
        </w:tabs>
        <w:ind w:right="49"/>
        <w:jc w:val="both"/>
        <w:rPr>
          <w:rFonts w:eastAsia="SimSun"/>
          <w:szCs w:val="28"/>
          <w:lang w:val="es-CO" w:eastAsia="es-CO"/>
        </w:rPr>
      </w:pPr>
      <w:r w:rsidRPr="00CC4C2A">
        <w:rPr>
          <w:rFonts w:eastAsia="SimSun"/>
          <w:szCs w:val="28"/>
          <w:lang w:val="es-ES_tradnl" w:eastAsia="es-CO"/>
        </w:rPr>
        <w:t xml:space="preserve">Asimismo, advirtió que la sentencia cuestionada </w:t>
      </w:r>
      <w:r w:rsidRPr="00944C45">
        <w:rPr>
          <w:rFonts w:eastAsia="SimSun"/>
          <w:szCs w:val="28"/>
          <w:lang w:val="es-ES_tradnl" w:eastAsia="es-CO"/>
        </w:rPr>
        <w:t xml:space="preserve">incurrió adicionalmente en un </w:t>
      </w:r>
      <w:r w:rsidRPr="00944C45">
        <w:rPr>
          <w:rFonts w:eastAsia="SimSun"/>
          <w:b/>
          <w:szCs w:val="28"/>
          <w:lang w:val="es-ES_tradnl" w:eastAsia="es-CO"/>
        </w:rPr>
        <w:t>defecto sustantivo</w:t>
      </w:r>
      <w:r w:rsidRPr="00944C45">
        <w:rPr>
          <w:rFonts w:eastAsia="SimSun"/>
          <w:szCs w:val="28"/>
          <w:lang w:val="es-ES_tradnl" w:eastAsia="es-CO"/>
        </w:rPr>
        <w:t>, por cuanto:</w:t>
      </w:r>
      <w:r w:rsidRPr="00944C45">
        <w:rPr>
          <w:rFonts w:eastAsia="SimSun"/>
          <w:i/>
          <w:sz w:val="16"/>
          <w:szCs w:val="16"/>
          <w:lang w:val="es-ES_tradnl" w:eastAsia="es-CO"/>
        </w:rPr>
        <w:t xml:space="preserve"> </w:t>
      </w:r>
      <w:r w:rsidRPr="00944C45">
        <w:rPr>
          <w:rFonts w:eastAsia="SimSun"/>
          <w:i/>
          <w:szCs w:val="28"/>
          <w:lang w:val="es-ES_tradnl" w:eastAsia="es-CO"/>
        </w:rPr>
        <w:t>“(</w:t>
      </w:r>
      <w:r w:rsidRPr="00944C45">
        <w:rPr>
          <w:rFonts w:eastAsia="SimSun"/>
          <w:i/>
          <w:szCs w:val="28"/>
          <w:lang w:val="es-CO" w:eastAsia="es-CO"/>
        </w:rPr>
        <w:t>i) aplicó una norma</w:t>
      </w:r>
      <w:r w:rsidRPr="00CC4C2A">
        <w:rPr>
          <w:rFonts w:eastAsia="SimSun"/>
          <w:i/>
          <w:szCs w:val="28"/>
          <w:lang w:val="es-CO" w:eastAsia="es-CO"/>
        </w:rPr>
        <w:t xml:space="preserve"> que no correspondía, como era la regla general fijada en el artículo 126 CP, cuando existía norma especial: el artículo 257A que regula la convocatoria para la Comisión Nacional de Disciplina Judicial”</w:t>
      </w:r>
      <w:r w:rsidRPr="00CC4C2A">
        <w:rPr>
          <w:rFonts w:eastAsia="SimSun"/>
          <w:szCs w:val="28"/>
          <w:lang w:val="es-ES_tradnl" w:eastAsia="es-CO"/>
        </w:rPr>
        <w:t>. Con lo anterior, se confundió la existencia de un régimen general de elección de servidores públicos que se rige por el artículo 126 superior, con los distintos regímenes especiales de provisión, -entre los que se encuentra el caso de la CNDJ-, establecidos por la Constitución</w:t>
      </w:r>
      <w:r w:rsidRPr="00CC4C2A">
        <w:rPr>
          <w:rFonts w:eastAsia="SimSun"/>
          <w:i/>
          <w:szCs w:val="28"/>
          <w:lang w:val="es-ES_tradnl" w:eastAsia="es-CO"/>
        </w:rPr>
        <w:t xml:space="preserve">. </w:t>
      </w:r>
      <w:r w:rsidRPr="00CC4C2A">
        <w:rPr>
          <w:rFonts w:eastAsia="SimSun"/>
          <w:iCs/>
          <w:szCs w:val="28"/>
          <w:lang w:val="es-ES_tradnl" w:eastAsia="es-CO"/>
        </w:rPr>
        <w:t xml:space="preserve">Además, </w:t>
      </w:r>
      <w:r w:rsidRPr="00CC4C2A">
        <w:rPr>
          <w:rFonts w:eastAsia="SimSun"/>
          <w:i/>
          <w:szCs w:val="28"/>
          <w:lang w:val="es-CO" w:eastAsia="es-CO"/>
        </w:rPr>
        <w:t>“(ii) [A] consecuencia de lo anterior, agregó algo que el artículo 257A no establece, como fue exigir que la convocatoria se reglamentara mediante ley, dándole así reserva legal a dicho reglamento; y (iii) dejó de aplicar la norma especial, esto es, el artículo 257A que expresamente señaló que la convocatoria sería reglada, esto es, que las autoridades públicas encargadas de adelantar las respectivas convocatorias tienen la competencia para reglamentarlas mediante reglamento autónomo constitucional”</w:t>
      </w:r>
      <w:r w:rsidRPr="00CC4C2A">
        <w:rPr>
          <w:rStyle w:val="Refdenotaalpie"/>
          <w:rFonts w:eastAsia="SimSun"/>
          <w:i/>
          <w:szCs w:val="28"/>
          <w:lang w:val="es-CO" w:eastAsia="es-CO"/>
        </w:rPr>
        <w:footnoteReference w:id="63"/>
      </w:r>
      <w:r w:rsidRPr="00CC4C2A">
        <w:rPr>
          <w:rFonts w:eastAsia="SimSun"/>
          <w:szCs w:val="28"/>
          <w:lang w:val="es-CO" w:eastAsia="es-CO"/>
        </w:rPr>
        <w:t>.</w:t>
      </w:r>
    </w:p>
    <w:p w14:paraId="11930C5A" w14:textId="77777777" w:rsidR="00AE1B4A" w:rsidRDefault="00AE1B4A" w:rsidP="00AE1B4A">
      <w:pPr>
        <w:shd w:val="clear" w:color="auto" w:fill="FFFFFF"/>
        <w:tabs>
          <w:tab w:val="left" w:pos="284"/>
        </w:tabs>
        <w:ind w:right="49"/>
        <w:jc w:val="both"/>
        <w:rPr>
          <w:rFonts w:eastAsia="SimSun"/>
          <w:b/>
          <w:i/>
          <w:szCs w:val="28"/>
          <w:lang w:val="es-ES_tradnl" w:eastAsia="es-CO"/>
        </w:rPr>
      </w:pPr>
    </w:p>
    <w:p w14:paraId="514D95D7" w14:textId="77777777" w:rsidR="00AE1B4A" w:rsidRPr="00CC4C2A" w:rsidRDefault="00AE1B4A" w:rsidP="00AE1B4A">
      <w:pPr>
        <w:shd w:val="clear" w:color="auto" w:fill="FFFFFF"/>
        <w:tabs>
          <w:tab w:val="left" w:pos="284"/>
        </w:tabs>
        <w:ind w:right="49"/>
        <w:jc w:val="both"/>
        <w:rPr>
          <w:rFonts w:eastAsia="SimSun"/>
          <w:i/>
          <w:szCs w:val="28"/>
          <w:lang w:val="es-ES_tradnl" w:eastAsia="es-CO"/>
        </w:rPr>
      </w:pPr>
      <w:r w:rsidRPr="00CC4C2A">
        <w:rPr>
          <w:rFonts w:eastAsia="SimSun"/>
          <w:b/>
          <w:i/>
          <w:szCs w:val="28"/>
          <w:lang w:val="es-ES_tradnl" w:eastAsia="es-CO"/>
        </w:rPr>
        <w:t>Defecto orgánico</w:t>
      </w:r>
    </w:p>
    <w:p w14:paraId="287A2BFA" w14:textId="77777777" w:rsidR="00AE1B4A" w:rsidRPr="00CC4C2A" w:rsidRDefault="00AE1B4A" w:rsidP="00AE1B4A">
      <w:pPr>
        <w:shd w:val="clear" w:color="auto" w:fill="FFFFFF"/>
        <w:tabs>
          <w:tab w:val="left" w:pos="284"/>
        </w:tabs>
        <w:spacing w:line="276" w:lineRule="auto"/>
        <w:ind w:right="49"/>
        <w:jc w:val="both"/>
        <w:rPr>
          <w:rFonts w:eastAsia="SimSun"/>
          <w:szCs w:val="28"/>
          <w:lang w:val="es-ES_tradnl" w:eastAsia="es-CO"/>
        </w:rPr>
      </w:pPr>
    </w:p>
    <w:p w14:paraId="71F5EB9C" w14:textId="77777777" w:rsidR="00AE1B4A" w:rsidRPr="00CC4C2A" w:rsidRDefault="00AE1B4A" w:rsidP="00AE1B4A">
      <w:pPr>
        <w:numPr>
          <w:ilvl w:val="0"/>
          <w:numId w:val="2"/>
        </w:numPr>
        <w:shd w:val="clear" w:color="auto" w:fill="FFFFFF"/>
        <w:tabs>
          <w:tab w:val="left" w:pos="284"/>
        </w:tabs>
        <w:ind w:right="49"/>
        <w:jc w:val="both"/>
        <w:rPr>
          <w:rFonts w:eastAsia="SimSun"/>
          <w:szCs w:val="28"/>
          <w:lang w:val="es-ES_tradnl" w:eastAsia="es-CO"/>
        </w:rPr>
      </w:pPr>
      <w:r w:rsidRPr="00CC4C2A">
        <w:rPr>
          <w:rFonts w:eastAsia="SimSun"/>
          <w:szCs w:val="28"/>
          <w:lang w:val="es-ES_tradnl" w:eastAsia="es-CO"/>
        </w:rPr>
        <w:t xml:space="preserve">El Consejo Superior de la Judicatura aseveró también, que la providencia acusada incurrió en un </w:t>
      </w:r>
      <w:r w:rsidRPr="00CC4C2A">
        <w:rPr>
          <w:rFonts w:eastAsia="SimSun"/>
          <w:b/>
          <w:bCs/>
          <w:szCs w:val="28"/>
          <w:lang w:val="es-ES_tradnl" w:eastAsia="es-CO"/>
        </w:rPr>
        <w:t>defecto orgánico</w:t>
      </w:r>
      <w:r w:rsidRPr="00CC4C2A">
        <w:rPr>
          <w:rFonts w:eastAsia="SimSun"/>
          <w:szCs w:val="28"/>
          <w:lang w:val="es-ES_tradnl" w:eastAsia="es-CO"/>
        </w:rPr>
        <w:t xml:space="preserve">, por cuanto la decisión cuestionada asignó al Congreso de la República una competencia que la Constitución no le atribuyó: la expedición del reglamento para la convocatoria pública de los </w:t>
      </w:r>
      <w:r>
        <w:rPr>
          <w:rFonts w:eastAsia="SimSun"/>
          <w:szCs w:val="28"/>
          <w:lang w:val="es-ES_tradnl" w:eastAsia="es-CO"/>
        </w:rPr>
        <w:t>m</w:t>
      </w:r>
      <w:r w:rsidRPr="00CC4C2A">
        <w:rPr>
          <w:rFonts w:eastAsia="SimSun"/>
          <w:szCs w:val="28"/>
          <w:lang w:val="es-ES_tradnl" w:eastAsia="es-CO"/>
        </w:rPr>
        <w:t xml:space="preserve">agistrados de la Comisión Nacional de Disciplina Judicial. A su vez, consideró que la sentencia controvertida incurrió en este defecto, en tanto le asignó carácter de reserva legal a un asunto que no lo tiene, sin atender el plazo perentorio de un año que había establecido el constituyente en la Carta. </w:t>
      </w:r>
    </w:p>
    <w:p w14:paraId="025CBF0E" w14:textId="77777777" w:rsidR="00AE1B4A" w:rsidRPr="00CC4C2A" w:rsidRDefault="00AE1B4A" w:rsidP="00AE1B4A">
      <w:pPr>
        <w:shd w:val="clear" w:color="auto" w:fill="FFFFFF"/>
        <w:tabs>
          <w:tab w:val="left" w:pos="284"/>
        </w:tabs>
        <w:ind w:right="49"/>
        <w:jc w:val="both"/>
        <w:rPr>
          <w:rFonts w:eastAsia="SimSun"/>
          <w:szCs w:val="28"/>
          <w:lang w:val="es-ES_tradnl" w:eastAsia="es-CO"/>
        </w:rPr>
      </w:pPr>
    </w:p>
    <w:p w14:paraId="3B1A2778" w14:textId="77777777" w:rsidR="00AE1B4A" w:rsidRPr="00CC4C2A" w:rsidRDefault="00AE1B4A" w:rsidP="00AE1B4A">
      <w:pPr>
        <w:shd w:val="clear" w:color="auto" w:fill="FFFFFF"/>
        <w:tabs>
          <w:tab w:val="left" w:pos="284"/>
        </w:tabs>
        <w:ind w:right="49"/>
        <w:jc w:val="both"/>
        <w:rPr>
          <w:rFonts w:eastAsia="SimSun"/>
          <w:szCs w:val="28"/>
          <w:lang w:val="es-ES_tradnl" w:eastAsia="es-CO"/>
        </w:rPr>
      </w:pPr>
      <w:r w:rsidRPr="00CC4C2A">
        <w:rPr>
          <w:rFonts w:eastAsia="SimSun"/>
          <w:szCs w:val="28"/>
          <w:lang w:val="es-ES_tradnl" w:eastAsia="es-CO"/>
        </w:rPr>
        <w:t>En ese sentido, advirtió que el Consejo de Estado se arrogó competencias que no tenía, para desconocer y dejar sin efectos los condicionamientos y modulaciones establecidos en la Sentencia C-285 de 2016</w:t>
      </w:r>
      <w:r w:rsidRPr="00CC4C2A">
        <w:rPr>
          <w:rStyle w:val="Refdenotaalpie"/>
          <w:rFonts w:eastAsia="SimSun"/>
          <w:szCs w:val="28"/>
          <w:lang w:val="es-ES_tradnl" w:eastAsia="es-CO"/>
        </w:rPr>
        <w:footnoteReference w:id="64"/>
      </w:r>
      <w:r w:rsidRPr="00CC4C2A">
        <w:rPr>
          <w:rFonts w:eastAsia="SimSun"/>
          <w:szCs w:val="28"/>
          <w:lang w:val="es-ES_tradnl" w:eastAsia="es-CO"/>
        </w:rPr>
        <w:t xml:space="preserve">, al interpretar el </w:t>
      </w:r>
      <w:r w:rsidRPr="00CC4C2A">
        <w:rPr>
          <w:rFonts w:eastAsia="SimSun"/>
          <w:szCs w:val="28"/>
          <w:lang w:val="es-ES_tradnl" w:eastAsia="es-CO"/>
        </w:rPr>
        <w:lastRenderedPageBreak/>
        <w:t>artículo 257A superior por fuera de los parámetros señalados, cuestionando de paso, la labor de la Corte Constitucional.</w:t>
      </w:r>
    </w:p>
    <w:p w14:paraId="756906F3" w14:textId="77777777" w:rsidR="00AE1B4A" w:rsidRPr="00CC4C2A" w:rsidRDefault="00AE1B4A" w:rsidP="00AE1B4A">
      <w:pPr>
        <w:jc w:val="both"/>
        <w:rPr>
          <w:szCs w:val="28"/>
          <w:lang w:val="es-ES_tradnl"/>
        </w:rPr>
      </w:pPr>
    </w:p>
    <w:p w14:paraId="593C9FBF" w14:textId="77777777" w:rsidR="00AE1B4A" w:rsidRDefault="00AE1B4A" w:rsidP="00AE1B4A">
      <w:pPr>
        <w:shd w:val="clear" w:color="auto" w:fill="FFFFFF"/>
        <w:tabs>
          <w:tab w:val="left" w:pos="284"/>
        </w:tabs>
        <w:ind w:right="49"/>
        <w:jc w:val="both"/>
        <w:rPr>
          <w:rFonts w:eastAsia="SimSun"/>
          <w:i/>
          <w:szCs w:val="28"/>
          <w:lang w:val="es-ES_tradnl" w:eastAsia="es-CO"/>
        </w:rPr>
      </w:pPr>
      <w:r w:rsidRPr="00944C45">
        <w:rPr>
          <w:rFonts w:eastAsia="SimSun"/>
          <w:b/>
          <w:i/>
          <w:szCs w:val="28"/>
          <w:lang w:val="es-ES_tradnl" w:eastAsia="es-CO"/>
        </w:rPr>
        <w:t>Solicitud de efectos inter pares</w:t>
      </w:r>
    </w:p>
    <w:p w14:paraId="05C94BD1" w14:textId="77777777" w:rsidR="00AE1B4A" w:rsidRDefault="00AE1B4A" w:rsidP="00AE1B4A">
      <w:pPr>
        <w:jc w:val="both"/>
        <w:rPr>
          <w:szCs w:val="28"/>
          <w:lang w:val="es-ES_tradnl"/>
        </w:rPr>
      </w:pPr>
    </w:p>
    <w:p w14:paraId="166E33D8" w14:textId="77777777" w:rsidR="00AE1B4A" w:rsidRPr="007C6F2A" w:rsidRDefault="00AE1B4A" w:rsidP="00AE1B4A">
      <w:pPr>
        <w:jc w:val="both"/>
        <w:rPr>
          <w:szCs w:val="28"/>
          <w:lang w:val="es-ES_tradnl"/>
        </w:rPr>
      </w:pPr>
      <w:r w:rsidRPr="00CC4C2A">
        <w:rPr>
          <w:szCs w:val="28"/>
          <w:lang w:val="es-ES_tradnl"/>
        </w:rPr>
        <w:t xml:space="preserve">Sobre esa base el Consejo Superior de la Judicatura solicitó además otorgar efectos </w:t>
      </w:r>
      <w:r w:rsidRPr="00CC4C2A">
        <w:rPr>
          <w:i/>
          <w:szCs w:val="28"/>
          <w:lang w:val="es-ES_tradnl"/>
        </w:rPr>
        <w:t>inter</w:t>
      </w:r>
      <w:r>
        <w:rPr>
          <w:i/>
          <w:szCs w:val="28"/>
          <w:lang w:val="es-ES_tradnl"/>
        </w:rPr>
        <w:t xml:space="preserve"> </w:t>
      </w:r>
      <w:r w:rsidRPr="00CC4C2A">
        <w:rPr>
          <w:i/>
          <w:szCs w:val="28"/>
          <w:lang w:val="es-ES_tradnl"/>
        </w:rPr>
        <w:t>pares</w:t>
      </w:r>
      <w:r w:rsidRPr="00CC4C2A">
        <w:rPr>
          <w:szCs w:val="28"/>
          <w:lang w:val="es-ES_tradnl"/>
        </w:rPr>
        <w:t xml:space="preserve"> a la determinación que se tome en materia de tutela, para que se extiendan los efectos del fallo a la decisión del Consejo de Estado que declaró la nulidad por inconstitucionalidad del </w:t>
      </w:r>
      <w:r w:rsidRPr="006B21EA">
        <w:rPr>
          <w:szCs w:val="28"/>
          <w:lang w:val="es-ES_tradnl"/>
        </w:rPr>
        <w:t>A.L. 02 de 2015</w:t>
      </w:r>
      <w:r w:rsidRPr="007C6F2A">
        <w:rPr>
          <w:szCs w:val="28"/>
          <w:lang w:val="es-ES_tradnl"/>
        </w:rPr>
        <w:t xml:space="preserve"> </w:t>
      </w:r>
      <w:r w:rsidRPr="007C6F2A">
        <w:rPr>
          <w:b/>
          <w:szCs w:val="28"/>
          <w:lang w:val="es-ES_tradnl"/>
        </w:rPr>
        <w:t>Decreto 1189 de 2016</w:t>
      </w:r>
      <w:r w:rsidRPr="007C6F2A">
        <w:rPr>
          <w:szCs w:val="28"/>
          <w:lang w:val="es-ES_tradnl"/>
        </w:rPr>
        <w:t xml:space="preserve">, expedido por el Presidente de la República, mediante el que se reglamentó la conformación de las ternas que a dicha autoridad le corresponden en la designación de los miembros de la CNDJ. </w:t>
      </w:r>
    </w:p>
    <w:p w14:paraId="1CC7B1AC" w14:textId="77777777" w:rsidR="00AE1B4A" w:rsidRPr="007C6F2A" w:rsidRDefault="00AE1B4A" w:rsidP="00AE1B4A">
      <w:pPr>
        <w:spacing w:line="276" w:lineRule="auto"/>
        <w:jc w:val="both"/>
        <w:rPr>
          <w:szCs w:val="28"/>
          <w:lang w:val="es-ES_tradnl"/>
        </w:rPr>
      </w:pPr>
    </w:p>
    <w:p w14:paraId="33F7E2E9" w14:textId="77777777" w:rsidR="00AE1B4A" w:rsidRPr="007C6F2A" w:rsidRDefault="00AE1B4A" w:rsidP="00AE1B4A">
      <w:pPr>
        <w:shd w:val="clear" w:color="auto" w:fill="FFFFFF"/>
        <w:tabs>
          <w:tab w:val="left" w:pos="284"/>
        </w:tabs>
        <w:ind w:right="49"/>
        <w:jc w:val="both"/>
        <w:rPr>
          <w:b/>
          <w:bCs/>
          <w:szCs w:val="28"/>
          <w:lang w:val="es-ES_tradnl"/>
        </w:rPr>
      </w:pPr>
      <w:r w:rsidRPr="007C6F2A">
        <w:rPr>
          <w:b/>
          <w:bCs/>
          <w:szCs w:val="28"/>
          <w:lang w:val="es-ES_tradnl"/>
        </w:rPr>
        <w:t>B. Actuación procesal en primera instancia de tutela</w:t>
      </w:r>
    </w:p>
    <w:p w14:paraId="47C8CCCD" w14:textId="77777777" w:rsidR="00AE1B4A" w:rsidRDefault="00AE1B4A" w:rsidP="00AE1B4A">
      <w:pPr>
        <w:spacing w:line="276" w:lineRule="auto"/>
        <w:jc w:val="both"/>
        <w:rPr>
          <w:szCs w:val="28"/>
          <w:lang w:val="es-ES_tradnl"/>
        </w:rPr>
      </w:pPr>
    </w:p>
    <w:p w14:paraId="7D65AB3C" w14:textId="77777777" w:rsidR="00AE1B4A" w:rsidRPr="007C6F2A" w:rsidRDefault="00AE1B4A" w:rsidP="00AE1B4A">
      <w:pPr>
        <w:jc w:val="both"/>
        <w:rPr>
          <w:szCs w:val="28"/>
          <w:lang w:val="es-ES_tradnl"/>
        </w:rPr>
      </w:pPr>
      <w:r w:rsidRPr="007C6F2A">
        <w:rPr>
          <w:szCs w:val="28"/>
          <w:lang w:val="es-ES_tradnl"/>
        </w:rPr>
        <w:t>Mediante auto de 21 de junio de 2018, el conjuez ponente</w:t>
      </w:r>
      <w:r w:rsidRPr="007C6F2A">
        <w:rPr>
          <w:rStyle w:val="Refdenotaalpie"/>
          <w:szCs w:val="28"/>
          <w:lang w:val="es-ES_tradnl"/>
        </w:rPr>
        <w:footnoteReference w:id="65"/>
      </w:r>
      <w:r w:rsidRPr="007C6F2A">
        <w:rPr>
          <w:szCs w:val="28"/>
          <w:lang w:val="es-ES_tradnl"/>
        </w:rPr>
        <w:t xml:space="preserve"> admitió la acción de tutela de la referencia y ordenó notificar, en calidad de terceros interesados, a: (i) los ciudadanos que fungieron como demandantes en el medio de control de nulidad por inconstitucionalidad; (ii) la Presidencia de la República; y (iii) la Corte Constitucional</w:t>
      </w:r>
      <w:r w:rsidRPr="007C6F2A">
        <w:rPr>
          <w:rStyle w:val="Refdenotaalpie"/>
          <w:szCs w:val="28"/>
          <w:lang w:val="es-ES_tradnl"/>
        </w:rPr>
        <w:footnoteReference w:id="66"/>
      </w:r>
      <w:r w:rsidRPr="007C6F2A">
        <w:rPr>
          <w:szCs w:val="28"/>
          <w:lang w:val="es-ES_tradnl"/>
        </w:rPr>
        <w:t>.</w:t>
      </w:r>
    </w:p>
    <w:p w14:paraId="40672A09" w14:textId="77777777" w:rsidR="00AE1B4A" w:rsidRDefault="00AE1B4A" w:rsidP="00AE1B4A">
      <w:pPr>
        <w:jc w:val="both"/>
        <w:rPr>
          <w:b/>
          <w:szCs w:val="28"/>
          <w:lang w:val="es-ES_tradnl"/>
        </w:rPr>
      </w:pPr>
    </w:p>
    <w:p w14:paraId="50C4843E" w14:textId="77777777" w:rsidR="00AE1B4A" w:rsidRPr="007C6F2A" w:rsidRDefault="00AE1B4A" w:rsidP="00AE1B4A">
      <w:pPr>
        <w:jc w:val="both"/>
        <w:rPr>
          <w:szCs w:val="28"/>
          <w:lang w:val="es-ES_tradnl"/>
        </w:rPr>
      </w:pPr>
      <w:r w:rsidRPr="007C6F2A">
        <w:rPr>
          <w:b/>
          <w:szCs w:val="28"/>
          <w:lang w:val="es-ES_tradnl"/>
        </w:rPr>
        <w:t>Respuesta del ciudadano Jesús Herney Cifuentes Gómez</w:t>
      </w:r>
    </w:p>
    <w:p w14:paraId="1E122AB9" w14:textId="77777777" w:rsidR="00AE1B4A" w:rsidRPr="007C6F2A" w:rsidRDefault="00AE1B4A" w:rsidP="00AE1B4A">
      <w:pPr>
        <w:spacing w:line="276" w:lineRule="auto"/>
        <w:jc w:val="both"/>
        <w:rPr>
          <w:szCs w:val="28"/>
          <w:lang w:val="es-ES_tradnl"/>
        </w:rPr>
      </w:pPr>
    </w:p>
    <w:p w14:paraId="39FDB9C6" w14:textId="77777777" w:rsidR="00AE1B4A" w:rsidRPr="007C6F2A" w:rsidRDefault="00AE1B4A" w:rsidP="00AE1B4A">
      <w:pPr>
        <w:jc w:val="both"/>
        <w:rPr>
          <w:szCs w:val="28"/>
          <w:lang w:val="es-ES_tradnl"/>
        </w:rPr>
      </w:pPr>
      <w:r w:rsidRPr="007C6F2A">
        <w:rPr>
          <w:szCs w:val="28"/>
          <w:lang w:val="es-ES_tradnl"/>
        </w:rPr>
        <w:t xml:space="preserve">En su calidad de actor en el proceso de nulidad por inconstitucionalidad, el ciudadano Cifuentes Gómez, manifestó su oposición a la acción de tutela de la referencia. Estimó que el amparo presentado, no puede reemplazar al Congreso de la República. En particular, cuando el Consejo Superior de la Judicatura no tiene facultades para expedir leyes; razón por la cual los acuerdos de convocatoria expedidos para conformar la Comisión Nacional de Disciplina Judicial carecen de legitimidad y legalidad. </w:t>
      </w:r>
    </w:p>
    <w:p w14:paraId="55CCAE1B" w14:textId="77777777" w:rsidR="00AE1B4A" w:rsidRPr="007C6F2A" w:rsidRDefault="00AE1B4A" w:rsidP="00AE1B4A">
      <w:pPr>
        <w:spacing w:line="276" w:lineRule="auto"/>
        <w:jc w:val="both"/>
        <w:rPr>
          <w:b/>
          <w:szCs w:val="28"/>
          <w:lang w:val="es-ES_tradnl"/>
        </w:rPr>
      </w:pPr>
    </w:p>
    <w:p w14:paraId="28401F19" w14:textId="77777777" w:rsidR="00AE1B4A" w:rsidRPr="007C6F2A" w:rsidRDefault="00AE1B4A" w:rsidP="00AE1B4A">
      <w:pPr>
        <w:jc w:val="both"/>
        <w:rPr>
          <w:b/>
          <w:szCs w:val="28"/>
          <w:lang w:val="es-ES_tradnl"/>
        </w:rPr>
      </w:pPr>
      <w:r w:rsidRPr="007C6F2A">
        <w:rPr>
          <w:b/>
          <w:szCs w:val="28"/>
          <w:lang w:val="es-ES_tradnl"/>
        </w:rPr>
        <w:t>Respuesta de la Consejera Ponente Stella Conto Díaz del Castillo</w:t>
      </w:r>
    </w:p>
    <w:p w14:paraId="3EF5BB07" w14:textId="77777777" w:rsidR="00AE1B4A" w:rsidRPr="007C6F2A" w:rsidRDefault="00AE1B4A" w:rsidP="00AE1B4A">
      <w:pPr>
        <w:spacing w:line="276" w:lineRule="auto"/>
        <w:jc w:val="both"/>
        <w:rPr>
          <w:szCs w:val="28"/>
          <w:lang w:val="es-ES_tradnl"/>
        </w:rPr>
      </w:pPr>
    </w:p>
    <w:p w14:paraId="7414D72D" w14:textId="77777777" w:rsidR="00AE1B4A" w:rsidRPr="00CC4C2A" w:rsidRDefault="00AE1B4A" w:rsidP="00AE1B4A">
      <w:pPr>
        <w:ind w:right="49"/>
        <w:jc w:val="both"/>
        <w:rPr>
          <w:szCs w:val="28"/>
          <w:lang w:val="es-ES_tradnl"/>
        </w:rPr>
      </w:pPr>
      <w:r w:rsidRPr="007C6F2A">
        <w:rPr>
          <w:szCs w:val="28"/>
          <w:lang w:val="es-ES_tradnl"/>
        </w:rPr>
        <w:t xml:space="preserve">La </w:t>
      </w:r>
      <w:r>
        <w:rPr>
          <w:szCs w:val="28"/>
          <w:lang w:val="es-ES_tradnl"/>
        </w:rPr>
        <w:t>m</w:t>
      </w:r>
      <w:r w:rsidRPr="007C6F2A">
        <w:rPr>
          <w:szCs w:val="28"/>
          <w:lang w:val="es-ES_tradnl"/>
        </w:rPr>
        <w:t xml:space="preserve">agistrada, quien </w:t>
      </w:r>
      <w:r w:rsidRPr="00CC4C2A">
        <w:rPr>
          <w:szCs w:val="28"/>
          <w:lang w:val="es-ES_tradnl"/>
        </w:rPr>
        <w:t xml:space="preserve">fungió como ponente de la sentencia que se controvierte mediante la acción de tutela, indicó que si bien se satisfacen los requisitos generales de procedibilidad en esta oportunidad, no ocurre lo mismo con los </w:t>
      </w:r>
      <w:r w:rsidRPr="00CC4C2A">
        <w:rPr>
          <w:szCs w:val="28"/>
          <w:lang w:val="es-ES_tradnl"/>
        </w:rPr>
        <w:lastRenderedPageBreak/>
        <w:t xml:space="preserve">defectos específicos que deben concurrir para la procedencia del amparo constitucional en contra de las providencias judiciales. </w:t>
      </w:r>
    </w:p>
    <w:p w14:paraId="5E8FDF2B" w14:textId="77777777" w:rsidR="00AE1B4A" w:rsidRPr="00CC4C2A" w:rsidRDefault="00AE1B4A" w:rsidP="00AE1B4A">
      <w:pPr>
        <w:ind w:right="49"/>
        <w:jc w:val="both"/>
        <w:rPr>
          <w:szCs w:val="28"/>
          <w:lang w:val="es-ES_tradnl"/>
        </w:rPr>
      </w:pPr>
    </w:p>
    <w:p w14:paraId="50715E58" w14:textId="77777777" w:rsidR="00AE1B4A" w:rsidRPr="007C6F2A" w:rsidRDefault="00AE1B4A" w:rsidP="00AE1B4A">
      <w:pPr>
        <w:ind w:right="49"/>
        <w:jc w:val="both"/>
        <w:rPr>
          <w:szCs w:val="28"/>
          <w:lang w:val="es-ES_tradnl"/>
        </w:rPr>
      </w:pPr>
      <w:r w:rsidRPr="00CC4C2A">
        <w:rPr>
          <w:szCs w:val="28"/>
          <w:lang w:val="es-ES_tradnl"/>
        </w:rPr>
        <w:t xml:space="preserve">Sobre el particular, estimó que no se configura una </w:t>
      </w:r>
      <w:r w:rsidRPr="00CC4C2A">
        <w:rPr>
          <w:b/>
          <w:szCs w:val="28"/>
          <w:lang w:val="es-ES_tradnl"/>
        </w:rPr>
        <w:t>violación directa de la Constitución</w:t>
      </w:r>
      <w:r w:rsidRPr="00CC4C2A">
        <w:rPr>
          <w:szCs w:val="28"/>
          <w:lang w:val="es-ES_tradnl"/>
        </w:rPr>
        <w:t xml:space="preserve"> con la sentencia objeto de reproche, pues la Sala Plena de lo Contencioso Administrativo realizó un ejercicio de interpretación sistemática del texto superior para analizar la inconstitucionalidad planteada en las demandas.</w:t>
      </w:r>
      <w:r w:rsidRPr="007C6F2A">
        <w:rPr>
          <w:szCs w:val="28"/>
          <w:lang w:val="es-ES_tradnl"/>
        </w:rPr>
        <w:t xml:space="preserve"> </w:t>
      </w:r>
    </w:p>
    <w:p w14:paraId="283D3B20" w14:textId="77777777" w:rsidR="00AE1B4A" w:rsidRPr="007C6F2A" w:rsidRDefault="00AE1B4A" w:rsidP="00AE1B4A">
      <w:pPr>
        <w:ind w:right="49"/>
        <w:jc w:val="both"/>
        <w:rPr>
          <w:szCs w:val="28"/>
          <w:lang w:val="es-ES_tradnl"/>
        </w:rPr>
      </w:pPr>
    </w:p>
    <w:p w14:paraId="5011F658" w14:textId="77777777" w:rsidR="00AE1B4A" w:rsidRPr="007C6F2A" w:rsidRDefault="00AE1B4A" w:rsidP="00AE1B4A">
      <w:pPr>
        <w:ind w:right="49"/>
        <w:jc w:val="both"/>
        <w:rPr>
          <w:szCs w:val="28"/>
          <w:lang w:val="es-ES_tradnl"/>
        </w:rPr>
      </w:pPr>
      <w:r w:rsidRPr="007C6F2A">
        <w:rPr>
          <w:szCs w:val="28"/>
          <w:lang w:val="es-ES_tradnl"/>
        </w:rPr>
        <w:t xml:space="preserve">Así mismo, sostuvo que no se incurre en </w:t>
      </w:r>
      <w:r w:rsidRPr="007C6F2A">
        <w:rPr>
          <w:b/>
          <w:szCs w:val="28"/>
          <w:lang w:val="es-ES_tradnl"/>
        </w:rPr>
        <w:t>desconocimiento del precedente</w:t>
      </w:r>
      <w:r w:rsidRPr="007C6F2A">
        <w:rPr>
          <w:szCs w:val="28"/>
          <w:lang w:val="es-ES_tradnl"/>
        </w:rPr>
        <w:t xml:space="preserve">, dado que la providencia cuestionada justificó </w:t>
      </w:r>
      <w:r w:rsidRPr="007C6F2A">
        <w:rPr>
          <w:i/>
          <w:szCs w:val="28"/>
          <w:lang w:val="es-ES_tradnl"/>
        </w:rPr>
        <w:t xml:space="preserve">“de manera completa y detallada las razones por las cuales llega a una conclusión distinta en relación </w:t>
      </w:r>
      <w:r w:rsidRPr="007C6F2A">
        <w:rPr>
          <w:i/>
          <w:szCs w:val="28"/>
          <w:u w:val="single"/>
          <w:lang w:val="es-ES_tradnl"/>
        </w:rPr>
        <w:t>con las funciones que la Corte Constitucional otorgó al Consejo Superior de la Judicatura</w:t>
      </w:r>
      <w:r w:rsidRPr="007C6F2A">
        <w:rPr>
          <w:i/>
          <w:szCs w:val="28"/>
          <w:lang w:val="es-ES_tradnl"/>
        </w:rPr>
        <w:t>”</w:t>
      </w:r>
      <w:r w:rsidRPr="007C6F2A">
        <w:rPr>
          <w:rStyle w:val="Refdenotaalpie"/>
          <w:szCs w:val="28"/>
          <w:lang w:val="es-ES_tradnl"/>
        </w:rPr>
        <w:footnoteReference w:id="67"/>
      </w:r>
      <w:r w:rsidRPr="007C6F2A">
        <w:rPr>
          <w:szCs w:val="28"/>
          <w:lang w:val="es-ES_tradnl"/>
        </w:rPr>
        <w:t xml:space="preserve"> (Subraya fuera del original). </w:t>
      </w:r>
    </w:p>
    <w:p w14:paraId="5C245EE4" w14:textId="77777777" w:rsidR="00AE1B4A" w:rsidRPr="007C6F2A" w:rsidRDefault="00AE1B4A" w:rsidP="00AE1B4A">
      <w:pPr>
        <w:ind w:right="49"/>
        <w:jc w:val="both"/>
        <w:rPr>
          <w:szCs w:val="28"/>
          <w:lang w:val="es-ES_tradnl"/>
        </w:rPr>
      </w:pPr>
    </w:p>
    <w:p w14:paraId="7A593142" w14:textId="77777777" w:rsidR="00AE1B4A" w:rsidRPr="007C6F2A" w:rsidRDefault="00AE1B4A" w:rsidP="00AE1B4A">
      <w:pPr>
        <w:ind w:right="49"/>
        <w:jc w:val="both"/>
        <w:rPr>
          <w:szCs w:val="28"/>
          <w:lang w:val="es-ES_tradnl"/>
        </w:rPr>
      </w:pPr>
      <w:r w:rsidRPr="007C6F2A">
        <w:rPr>
          <w:szCs w:val="28"/>
          <w:lang w:val="es-ES_tradnl"/>
        </w:rPr>
        <w:t xml:space="preserve">En tal sentido, descartó que se hubiera contravenido lo previsto por la </w:t>
      </w:r>
      <w:r w:rsidRPr="007C6F2A">
        <w:rPr>
          <w:b/>
          <w:szCs w:val="28"/>
          <w:lang w:val="es-ES_tradnl"/>
        </w:rPr>
        <w:t>Sentencia C-285 de 2016</w:t>
      </w:r>
      <w:r w:rsidRPr="007C6F2A">
        <w:rPr>
          <w:szCs w:val="28"/>
          <w:lang w:val="es-ES_tradnl"/>
        </w:rPr>
        <w:t xml:space="preserve"> y en contraste, sostuvo que el fallo del Consejo de Estado lo que hizo fue advertir: </w:t>
      </w:r>
    </w:p>
    <w:p w14:paraId="4AC3A869" w14:textId="77777777" w:rsidR="00AE1B4A" w:rsidRPr="007C6F2A" w:rsidRDefault="00AE1B4A" w:rsidP="00AE1B4A">
      <w:pPr>
        <w:ind w:left="426" w:right="49"/>
        <w:jc w:val="both"/>
        <w:rPr>
          <w:szCs w:val="28"/>
          <w:lang w:val="es-ES_tradnl"/>
        </w:rPr>
      </w:pPr>
    </w:p>
    <w:p w14:paraId="4F20B2AA" w14:textId="77777777" w:rsidR="00AE1B4A" w:rsidRPr="00CC4C2A" w:rsidRDefault="00AE1B4A" w:rsidP="00AE1B4A">
      <w:pPr>
        <w:ind w:left="284" w:right="49"/>
        <w:jc w:val="both"/>
        <w:rPr>
          <w:i/>
          <w:sz w:val="26"/>
          <w:szCs w:val="26"/>
          <w:lang w:val="es-ES_tradnl"/>
        </w:rPr>
      </w:pPr>
      <w:r w:rsidRPr="00CC4C2A">
        <w:rPr>
          <w:i/>
          <w:sz w:val="26"/>
          <w:szCs w:val="26"/>
          <w:lang w:val="es-ES_tradnl"/>
        </w:rPr>
        <w:t xml:space="preserve">“[Q]ue la competencia otorgada al Consejo Superior de la Judicatura no provenía de disposición constitucional o legal alguna, </w:t>
      </w:r>
      <w:r w:rsidRPr="00CC4C2A">
        <w:rPr>
          <w:i/>
          <w:sz w:val="26"/>
          <w:szCs w:val="26"/>
          <w:u w:val="single"/>
          <w:lang w:val="es-ES_tradnl"/>
        </w:rPr>
        <w:t>sino de una sentencia judicial</w:t>
      </w:r>
      <w:r w:rsidRPr="00CC4C2A">
        <w:rPr>
          <w:i/>
          <w:sz w:val="26"/>
          <w:szCs w:val="26"/>
          <w:lang w:val="es-ES_tradnl"/>
        </w:rPr>
        <w:t xml:space="preserve"> que, con el fin de dar operatividad a una reforma parcialmente exequible (sic), adoptó en su parte resolutiva la decisión de habilitar a un órgano para cumplir una función que no le había sido conferida por el ordenamiento jurídico”</w:t>
      </w:r>
      <w:r w:rsidRPr="00CC4C2A">
        <w:rPr>
          <w:rStyle w:val="Refdenotaalpie"/>
          <w:i/>
          <w:sz w:val="26"/>
          <w:szCs w:val="26"/>
          <w:lang w:val="es-ES_tradnl"/>
        </w:rPr>
        <w:footnoteReference w:id="68"/>
      </w:r>
      <w:r w:rsidRPr="00CC4C2A">
        <w:rPr>
          <w:i/>
          <w:sz w:val="26"/>
          <w:szCs w:val="26"/>
          <w:lang w:val="es-ES_tradnl"/>
        </w:rPr>
        <w:t>. (Subraya fuera del original)</w:t>
      </w:r>
    </w:p>
    <w:p w14:paraId="3472FA87" w14:textId="77777777" w:rsidR="00AE1B4A" w:rsidRPr="007C6F2A" w:rsidRDefault="00AE1B4A" w:rsidP="00AE1B4A">
      <w:pPr>
        <w:ind w:right="49"/>
        <w:jc w:val="both"/>
        <w:rPr>
          <w:szCs w:val="28"/>
          <w:lang w:val="es-ES_tradnl"/>
        </w:rPr>
      </w:pPr>
    </w:p>
    <w:p w14:paraId="3A01CD8F" w14:textId="77777777" w:rsidR="00AE1B4A" w:rsidRPr="007C6F2A" w:rsidRDefault="00AE1B4A" w:rsidP="00AE1B4A">
      <w:pPr>
        <w:ind w:right="49"/>
        <w:jc w:val="both"/>
        <w:rPr>
          <w:szCs w:val="28"/>
          <w:lang w:val="es-ES_tradnl"/>
        </w:rPr>
      </w:pPr>
      <w:r w:rsidRPr="007C6F2A">
        <w:rPr>
          <w:szCs w:val="28"/>
          <w:lang w:val="es-ES_tradnl"/>
        </w:rPr>
        <w:t xml:space="preserve">A juicio de la funcionaria, </w:t>
      </w:r>
      <w:r w:rsidRPr="007C6F2A">
        <w:rPr>
          <w:i/>
          <w:szCs w:val="28"/>
          <w:lang w:val="es-ES_tradnl"/>
        </w:rPr>
        <w:t>“el Pleno no solo no desconoció el contenido de la sentencia que se invoca como contravenida, sino que, luego de un minucioso análisis de la misma, arribó a la conclusión que en derecho correspondía, comoquiera que solo por vía legal o constitucional está permitida la atribución de funciones y competencias, estando proscrito en nuestro ordenamiento otorgarlas por vía judicial</w:t>
      </w:r>
      <w:r w:rsidRPr="007C6F2A">
        <w:rPr>
          <w:rStyle w:val="Refdenotaalpie"/>
          <w:szCs w:val="28"/>
          <w:lang w:val="es-ES_tradnl"/>
        </w:rPr>
        <w:footnoteReference w:id="69"/>
      </w:r>
      <w:r w:rsidRPr="007C6F2A">
        <w:rPr>
          <w:szCs w:val="28"/>
          <w:lang w:val="es-ES_tradnl"/>
        </w:rPr>
        <w:t xml:space="preserve">”. </w:t>
      </w:r>
    </w:p>
    <w:p w14:paraId="7237A97C" w14:textId="77777777" w:rsidR="00AE1B4A" w:rsidRPr="007C6F2A" w:rsidRDefault="00AE1B4A" w:rsidP="00AE1B4A">
      <w:pPr>
        <w:ind w:right="49"/>
        <w:jc w:val="both"/>
        <w:rPr>
          <w:szCs w:val="28"/>
          <w:lang w:val="es-ES_tradnl"/>
        </w:rPr>
      </w:pPr>
    </w:p>
    <w:p w14:paraId="5C6DDF46" w14:textId="77777777" w:rsidR="00AE1B4A" w:rsidRPr="007C6F2A" w:rsidRDefault="00AE1B4A" w:rsidP="00AE1B4A">
      <w:pPr>
        <w:ind w:right="49"/>
        <w:jc w:val="both"/>
        <w:rPr>
          <w:szCs w:val="28"/>
          <w:lang w:val="es-ES_tradnl"/>
        </w:rPr>
      </w:pPr>
      <w:r w:rsidRPr="007C6F2A">
        <w:rPr>
          <w:szCs w:val="28"/>
          <w:lang w:val="es-ES_tradnl"/>
        </w:rPr>
        <w:t xml:space="preserve">Desde su perspectiva, resulta de gran relevancia el considerar que la función de los jueces se enmarca en el principio de autonomía e independencia judicial, por lo que la Carta ha adoptado un modelo que recubre de amplias garantías ese desempeño. Por consiguiente, a su juicio: </w:t>
      </w:r>
    </w:p>
    <w:p w14:paraId="7E1B698D" w14:textId="77777777" w:rsidR="00AE1B4A" w:rsidRPr="007C6F2A" w:rsidRDefault="00AE1B4A" w:rsidP="00AE1B4A">
      <w:pPr>
        <w:ind w:right="49"/>
        <w:jc w:val="both"/>
        <w:rPr>
          <w:szCs w:val="28"/>
          <w:lang w:val="es-ES_tradnl"/>
        </w:rPr>
      </w:pPr>
    </w:p>
    <w:p w14:paraId="7CAD405A" w14:textId="77777777" w:rsidR="00AE1B4A" w:rsidRPr="00CC4C2A" w:rsidRDefault="00AE1B4A" w:rsidP="00AE1B4A">
      <w:pPr>
        <w:ind w:left="284" w:right="49"/>
        <w:jc w:val="both"/>
        <w:rPr>
          <w:i/>
          <w:sz w:val="26"/>
          <w:szCs w:val="26"/>
          <w:lang w:val="es-ES_tradnl"/>
        </w:rPr>
      </w:pPr>
      <w:r w:rsidRPr="00CC4C2A">
        <w:rPr>
          <w:i/>
          <w:sz w:val="26"/>
          <w:szCs w:val="26"/>
          <w:lang w:val="es-ES_tradnl"/>
        </w:rPr>
        <w:t xml:space="preserve"> “[L]as providencias del Consejo de Estado en tanto órgano de cierre de la jurisdicción contencioso administrativa, </w:t>
      </w:r>
      <w:r w:rsidRPr="00CC4C2A">
        <w:rPr>
          <w:i/>
          <w:sz w:val="26"/>
          <w:szCs w:val="26"/>
          <w:u w:val="single"/>
          <w:lang w:val="es-ES_tradnl"/>
        </w:rPr>
        <w:t>están revestidas, así, de la legitimidad propia que se deriva de un ejercicio interpretativo dentro de los márgenes que le impone el ordenamiento, pero que no por eso deja de ser autónomo y se sustrae al control penal y disciplinario o, como ocurre en este caso, constitucional</w:t>
      </w:r>
      <w:r w:rsidRPr="00CC4C2A">
        <w:rPr>
          <w:i/>
          <w:sz w:val="26"/>
          <w:szCs w:val="26"/>
          <w:lang w:val="es-ES_tradnl"/>
        </w:rPr>
        <w:t xml:space="preserve">, siempre y cuando no constituya una decisión arbitraria o irrazonable”. </w:t>
      </w:r>
      <w:r w:rsidRPr="00CC4C2A">
        <w:rPr>
          <w:iCs/>
          <w:szCs w:val="28"/>
          <w:lang w:val="es-ES_tradnl"/>
        </w:rPr>
        <w:t>(Subrayas fuera del original)</w:t>
      </w:r>
    </w:p>
    <w:p w14:paraId="1D8ABFE6" w14:textId="77777777" w:rsidR="00AE1B4A" w:rsidRPr="007C6F2A" w:rsidRDefault="00AE1B4A" w:rsidP="00AE1B4A">
      <w:pPr>
        <w:ind w:left="567" w:right="49"/>
        <w:jc w:val="both"/>
        <w:rPr>
          <w:szCs w:val="28"/>
          <w:lang w:val="es-ES_tradnl"/>
        </w:rPr>
      </w:pPr>
    </w:p>
    <w:p w14:paraId="6EF09020" w14:textId="77777777" w:rsidR="00AE1B4A" w:rsidRPr="00CC4C2A" w:rsidRDefault="00AE1B4A" w:rsidP="00AE1B4A">
      <w:pPr>
        <w:ind w:right="49"/>
        <w:jc w:val="both"/>
        <w:rPr>
          <w:szCs w:val="28"/>
          <w:lang w:val="es-ES_tradnl"/>
        </w:rPr>
      </w:pPr>
      <w:r w:rsidRPr="007C6F2A">
        <w:rPr>
          <w:szCs w:val="28"/>
          <w:lang w:val="es-ES_tradnl"/>
        </w:rPr>
        <w:t xml:space="preserve">Por último, descartó que se hubiera configurado un </w:t>
      </w:r>
      <w:r w:rsidRPr="007C6F2A">
        <w:rPr>
          <w:b/>
          <w:szCs w:val="28"/>
          <w:lang w:val="es-ES_tradnl"/>
        </w:rPr>
        <w:t>defecto orgánico</w:t>
      </w:r>
      <w:r w:rsidRPr="007C6F2A">
        <w:rPr>
          <w:szCs w:val="28"/>
          <w:lang w:val="es-ES_tradnl"/>
        </w:rPr>
        <w:t xml:space="preserve">, en la medida en que el artículo 135 del Código de Procedimiento Administrativo y de lo Contencioso Administrativo que regula el medio de control de nulidad por inconstitucionalidad, atribuye al Consejo de Estado amplias competencias para fundar sus decisiones </w:t>
      </w:r>
      <w:r w:rsidRPr="007C6F2A">
        <w:rPr>
          <w:i/>
          <w:szCs w:val="28"/>
          <w:lang w:val="es-ES_tradnl"/>
        </w:rPr>
        <w:t>“incluso en normas que no hayan sido objeto de demanda, siempre que advierta que contravienen el ordenamiento superior”</w:t>
      </w:r>
      <w:r w:rsidRPr="007C6F2A">
        <w:rPr>
          <w:rStyle w:val="Refdenotaalpie"/>
          <w:szCs w:val="28"/>
          <w:lang w:val="es-ES_tradnl"/>
        </w:rPr>
        <w:footnoteReference w:id="70"/>
      </w:r>
      <w:r w:rsidRPr="007C6F2A">
        <w:rPr>
          <w:szCs w:val="28"/>
          <w:lang w:val="es-ES_tradnl"/>
        </w:rPr>
        <w:t xml:space="preserve">. Por lo tanto, esa Corporación podía fundar la declaración de nulidad en </w:t>
      </w:r>
      <w:r w:rsidRPr="00CC4C2A">
        <w:rPr>
          <w:szCs w:val="28"/>
          <w:lang w:val="es-ES_tradnl"/>
        </w:rPr>
        <w:t xml:space="preserve">cualquier disposición constitucional que fuera pertinente para el análisis, teniendo en consideración las amplias potestades con las que cuenta para evaluar el asunto, incluyendo aspectos no propuestos en la demanda original. </w:t>
      </w:r>
    </w:p>
    <w:p w14:paraId="1DD616F6" w14:textId="77777777" w:rsidR="00AE1B4A" w:rsidRPr="00CC4C2A" w:rsidRDefault="00AE1B4A" w:rsidP="00AE1B4A">
      <w:pPr>
        <w:ind w:right="49"/>
        <w:jc w:val="both"/>
        <w:rPr>
          <w:szCs w:val="28"/>
          <w:lang w:val="es-ES_tradnl"/>
        </w:rPr>
      </w:pPr>
    </w:p>
    <w:p w14:paraId="393B8E3F" w14:textId="77777777" w:rsidR="00AE1B4A" w:rsidRPr="00CC4C2A" w:rsidRDefault="00AE1B4A" w:rsidP="00AE1B4A">
      <w:pPr>
        <w:ind w:right="49"/>
        <w:jc w:val="both"/>
        <w:rPr>
          <w:szCs w:val="28"/>
          <w:lang w:val="es-ES_tradnl"/>
        </w:rPr>
      </w:pPr>
      <w:r w:rsidRPr="00CC4C2A">
        <w:rPr>
          <w:szCs w:val="28"/>
          <w:lang w:val="es-ES_tradnl"/>
        </w:rPr>
        <w:t xml:space="preserve">Estas razones explican por qué a su juicio, la Sala Plena de lo Contencioso Administrativo del Consejo de Estado no incurrió en ningún momento en extralimitación de funciones, ni se arrogó competencias que no le hubiesen sido constitucional y legalmente conferidas, sobre la base de un ejercicio hermenéutico autónomo, frente a los problemas jurídicos planteados en la demanda. </w:t>
      </w:r>
    </w:p>
    <w:p w14:paraId="3CCCC72D" w14:textId="77777777" w:rsidR="00AE1B4A" w:rsidRPr="00CC4C2A" w:rsidRDefault="00AE1B4A" w:rsidP="00AE1B4A">
      <w:pPr>
        <w:spacing w:line="276" w:lineRule="auto"/>
        <w:ind w:right="49"/>
        <w:jc w:val="both"/>
        <w:rPr>
          <w:b/>
          <w:bCs/>
          <w:szCs w:val="28"/>
          <w:lang w:val="es-ES_tradnl"/>
        </w:rPr>
      </w:pPr>
    </w:p>
    <w:p w14:paraId="1701DD58" w14:textId="77777777" w:rsidR="00AE1B4A" w:rsidRPr="00CC4C2A" w:rsidRDefault="00AE1B4A" w:rsidP="00AE1B4A">
      <w:pPr>
        <w:ind w:right="49"/>
        <w:jc w:val="both"/>
        <w:rPr>
          <w:b/>
          <w:bCs/>
          <w:szCs w:val="28"/>
          <w:lang w:val="es-ES_tradnl"/>
        </w:rPr>
      </w:pPr>
      <w:r w:rsidRPr="00CC4C2A">
        <w:rPr>
          <w:b/>
          <w:bCs/>
          <w:szCs w:val="28"/>
          <w:lang w:val="es-ES_tradnl"/>
        </w:rPr>
        <w:t xml:space="preserve">C. Decisiones objeto de revisión </w:t>
      </w:r>
    </w:p>
    <w:p w14:paraId="3D954432" w14:textId="77777777" w:rsidR="00AE1B4A" w:rsidRPr="00CC4C2A" w:rsidRDefault="00AE1B4A" w:rsidP="00AE1B4A">
      <w:pPr>
        <w:spacing w:line="276" w:lineRule="auto"/>
        <w:ind w:right="49"/>
        <w:jc w:val="both"/>
        <w:rPr>
          <w:b/>
          <w:bCs/>
          <w:szCs w:val="28"/>
          <w:lang w:val="es-ES_tradnl"/>
        </w:rPr>
      </w:pPr>
    </w:p>
    <w:p w14:paraId="22661A17" w14:textId="77777777" w:rsidR="00AE1B4A" w:rsidRPr="00CC4C2A" w:rsidRDefault="00AE1B4A" w:rsidP="00AE1B4A">
      <w:pPr>
        <w:ind w:right="49"/>
        <w:jc w:val="both"/>
        <w:rPr>
          <w:szCs w:val="28"/>
          <w:lang w:val="es-ES_tradnl"/>
        </w:rPr>
      </w:pPr>
      <w:r w:rsidRPr="00CC4C2A">
        <w:rPr>
          <w:b/>
          <w:bCs/>
          <w:szCs w:val="28"/>
          <w:lang w:val="es-ES_tradnl"/>
        </w:rPr>
        <w:t xml:space="preserve">Sentencia de primera instancia </w:t>
      </w:r>
    </w:p>
    <w:p w14:paraId="4203BBB9" w14:textId="77777777" w:rsidR="00AE1B4A" w:rsidRPr="00CC4C2A" w:rsidRDefault="00AE1B4A" w:rsidP="00AE1B4A">
      <w:pPr>
        <w:tabs>
          <w:tab w:val="left" w:pos="284"/>
        </w:tabs>
        <w:contextualSpacing/>
        <w:jc w:val="both"/>
        <w:rPr>
          <w:szCs w:val="28"/>
          <w:lang w:val="es-ES_tradnl"/>
        </w:rPr>
      </w:pPr>
    </w:p>
    <w:p w14:paraId="24457A1B" w14:textId="77777777" w:rsidR="00AE1B4A" w:rsidRPr="007C6F2A" w:rsidRDefault="00AE1B4A" w:rsidP="00AE1B4A">
      <w:pPr>
        <w:jc w:val="both"/>
        <w:rPr>
          <w:szCs w:val="28"/>
          <w:lang w:val="es-ES_tradnl"/>
        </w:rPr>
      </w:pPr>
      <w:r w:rsidRPr="00CC4C2A">
        <w:rPr>
          <w:szCs w:val="28"/>
          <w:lang w:val="es-ES_tradnl"/>
        </w:rPr>
        <w:t xml:space="preserve">Mediante sentencia del </w:t>
      </w:r>
      <w:r w:rsidRPr="00CC4C2A">
        <w:rPr>
          <w:b/>
          <w:szCs w:val="28"/>
          <w:lang w:val="es-ES_tradnl"/>
        </w:rPr>
        <w:t>5 de julio de 2018</w:t>
      </w:r>
      <w:r w:rsidRPr="00CC4C2A">
        <w:rPr>
          <w:szCs w:val="28"/>
          <w:vertAlign w:val="superscript"/>
          <w:lang w:val="es-ES_tradnl"/>
        </w:rPr>
        <w:footnoteReference w:id="71"/>
      </w:r>
      <w:r w:rsidRPr="00CC4C2A">
        <w:rPr>
          <w:szCs w:val="28"/>
          <w:lang w:val="es-ES_tradnl"/>
        </w:rPr>
        <w:t>, la Sección Segunda, Subsección B</w:t>
      </w:r>
      <w:r w:rsidRPr="00CC4C2A">
        <w:rPr>
          <w:szCs w:val="28"/>
          <w:vertAlign w:val="superscript"/>
          <w:lang w:val="es-ES_tradnl"/>
        </w:rPr>
        <w:footnoteReference w:id="72"/>
      </w:r>
      <w:r w:rsidRPr="00CC4C2A">
        <w:rPr>
          <w:szCs w:val="28"/>
          <w:lang w:val="es-ES_tradnl"/>
        </w:rPr>
        <w:t xml:space="preserve"> de lo Contencioso Administrativo del Consejo de Estado</w:t>
      </w:r>
      <w:r w:rsidRPr="00CC4C2A">
        <w:rPr>
          <w:i/>
          <w:szCs w:val="28"/>
          <w:lang w:val="es-ES_tradnl"/>
        </w:rPr>
        <w:t xml:space="preserve"> “denegó por improcedente”</w:t>
      </w:r>
      <w:r w:rsidRPr="00CC4C2A">
        <w:rPr>
          <w:szCs w:val="28"/>
          <w:lang w:val="es-ES_tradnl"/>
        </w:rPr>
        <w:t xml:space="preserve"> la acción de tutela de la referencia.</w:t>
      </w:r>
    </w:p>
    <w:p w14:paraId="186A25BE" w14:textId="77777777" w:rsidR="00AE1B4A" w:rsidRPr="007C6F2A" w:rsidRDefault="00AE1B4A" w:rsidP="00AE1B4A">
      <w:pPr>
        <w:jc w:val="both"/>
        <w:rPr>
          <w:szCs w:val="28"/>
          <w:lang w:val="es-ES_tradnl"/>
        </w:rPr>
      </w:pPr>
    </w:p>
    <w:p w14:paraId="3B36ABE3" w14:textId="77777777" w:rsidR="00AE1B4A" w:rsidRPr="007C6F2A" w:rsidRDefault="00AE1B4A" w:rsidP="00AE1B4A">
      <w:pPr>
        <w:jc w:val="both"/>
        <w:rPr>
          <w:i/>
          <w:szCs w:val="28"/>
          <w:lang w:val="es-ES_tradnl"/>
        </w:rPr>
      </w:pPr>
      <w:r w:rsidRPr="007C6F2A">
        <w:rPr>
          <w:szCs w:val="28"/>
          <w:lang w:val="es-ES_tradnl"/>
        </w:rPr>
        <w:t>Para esa instancia, “</w:t>
      </w:r>
      <w:r w:rsidRPr="007C6F2A">
        <w:rPr>
          <w:i/>
          <w:szCs w:val="28"/>
          <w:lang w:val="es-ES_tradnl"/>
        </w:rPr>
        <w:t xml:space="preserve">existe una controversia fundamental alrededor de la interpretación normativa, especialmente de los artículos 257-A y 126 del ordenamiento superior. Al respecto es pertinente anotar, que la interpretación de las normas jurídicas por parte de los jueces (…) es de la mayor importancia, pues la interpretación jurídica es la herramienta fundamental para encontrar el sentido y alcance a las normas y luego si poderlas aplicar, explicar, respaldar, censurar o cumplir (…)”. </w:t>
      </w:r>
    </w:p>
    <w:p w14:paraId="3B6CF058" w14:textId="77777777" w:rsidR="00AE1B4A" w:rsidRPr="007C6F2A" w:rsidRDefault="00AE1B4A" w:rsidP="00AE1B4A">
      <w:pPr>
        <w:jc w:val="both"/>
        <w:rPr>
          <w:szCs w:val="28"/>
          <w:lang w:val="es-ES_tradnl"/>
        </w:rPr>
      </w:pPr>
    </w:p>
    <w:p w14:paraId="5D4D2161" w14:textId="77777777" w:rsidR="00AE1B4A" w:rsidRPr="007C6F2A" w:rsidRDefault="00AE1B4A" w:rsidP="00AE1B4A">
      <w:pPr>
        <w:jc w:val="both"/>
        <w:rPr>
          <w:szCs w:val="28"/>
          <w:lang w:val="es-ES_tradnl"/>
        </w:rPr>
      </w:pPr>
      <w:r w:rsidRPr="007C6F2A">
        <w:rPr>
          <w:szCs w:val="28"/>
          <w:lang w:val="es-ES_tradnl"/>
        </w:rPr>
        <w:t xml:space="preserve">En ese orden de ideas, la interpretación que la parte accionante propone respecto del artículo 257A de la Constitución está basada en el aforismo </w:t>
      </w:r>
      <w:r w:rsidRPr="007C6F2A">
        <w:rPr>
          <w:szCs w:val="28"/>
          <w:lang w:val="es-ES_tradnl"/>
        </w:rPr>
        <w:lastRenderedPageBreak/>
        <w:t xml:space="preserve">romano según el cual </w:t>
      </w:r>
      <w:r w:rsidRPr="007C6F2A">
        <w:rPr>
          <w:i/>
          <w:szCs w:val="28"/>
          <w:lang w:val="es-ES_tradnl"/>
        </w:rPr>
        <w:t>“donde la norma no distingue, no le corresponde al intérprete distinguir”</w:t>
      </w:r>
      <w:r w:rsidRPr="007C6F2A">
        <w:rPr>
          <w:szCs w:val="28"/>
          <w:lang w:val="es-ES_tradnl"/>
        </w:rPr>
        <w:t xml:space="preserve">. Es decir, que el CSJ según su entendimiento, encontró claro el artículo 257A, éste no le generó duda o vacío alguno, por lo que no vio necesario hacer la interpretación sistemática que hoy le censura al Consejo de Estado. </w:t>
      </w:r>
    </w:p>
    <w:p w14:paraId="73067607" w14:textId="77777777" w:rsidR="00AE1B4A" w:rsidRPr="007C6F2A" w:rsidRDefault="00AE1B4A" w:rsidP="00AE1B4A">
      <w:pPr>
        <w:jc w:val="both"/>
        <w:rPr>
          <w:szCs w:val="28"/>
          <w:lang w:val="es-ES_tradnl"/>
        </w:rPr>
      </w:pPr>
    </w:p>
    <w:p w14:paraId="59EAEB0B" w14:textId="77777777" w:rsidR="00AE1B4A" w:rsidRPr="007C6F2A" w:rsidRDefault="00AE1B4A" w:rsidP="00AE1B4A">
      <w:pPr>
        <w:jc w:val="both"/>
        <w:rPr>
          <w:szCs w:val="28"/>
          <w:lang w:val="es-ES_tradnl"/>
        </w:rPr>
      </w:pPr>
      <w:r w:rsidRPr="007C6F2A">
        <w:rPr>
          <w:szCs w:val="28"/>
          <w:lang w:val="es-ES_tradnl"/>
        </w:rPr>
        <w:t xml:space="preserve">Esa lectura, sin embargo, a </w:t>
      </w:r>
      <w:r w:rsidRPr="00E24140">
        <w:rPr>
          <w:szCs w:val="28"/>
          <w:lang w:val="es-ES_tradnl"/>
        </w:rPr>
        <w:t>juicio de la instancia, condujo al CSJ a conclusiones limitadas y erróneas que dieron lugar precisamente a la nulidad por inconstitucionalidad del Acuerdo que fue</w:t>
      </w:r>
      <w:r w:rsidRPr="007C6F2A">
        <w:rPr>
          <w:szCs w:val="28"/>
          <w:lang w:val="es-ES_tradnl"/>
        </w:rPr>
        <w:t xml:space="preserve"> declarada en la sentencia del 6 de febrero de 2018. Porque no s</w:t>
      </w:r>
      <w:r w:rsidR="00C80E03">
        <w:rPr>
          <w:szCs w:val="28"/>
          <w:lang w:val="es-ES_tradnl"/>
        </w:rPr>
        <w:t>o</w:t>
      </w:r>
      <w:r w:rsidRPr="007C6F2A">
        <w:rPr>
          <w:szCs w:val="28"/>
          <w:lang w:val="es-ES_tradnl"/>
        </w:rPr>
        <w:t xml:space="preserve">lo se trata de un criterio hermenéutico en desuso el que propone el CSJ, sino que la interpretación de la norma exige ir más allá de su tenor literal, ya que el intérprete hoy requiere escudriñar y encontrar el verdadero sentido y alcance de una disposición dentro de un contexto normativo. En especial, teniendo en cuenta que, conforme al tenor literal, gramatical y exegético del texto, la norma le atribuye al CSJ la competencia para elaborar las cuatro ternas para conformar la CNDJ, pero no aparece en ella la competencia expresa para la reglamentación de las mismas. </w:t>
      </w:r>
    </w:p>
    <w:p w14:paraId="2447F29E" w14:textId="77777777" w:rsidR="00AE1B4A" w:rsidRPr="007C6F2A" w:rsidRDefault="00AE1B4A" w:rsidP="00AE1B4A">
      <w:pPr>
        <w:jc w:val="both"/>
        <w:rPr>
          <w:szCs w:val="28"/>
          <w:lang w:val="es-ES_tradnl"/>
        </w:rPr>
      </w:pPr>
    </w:p>
    <w:p w14:paraId="77336745" w14:textId="77777777" w:rsidR="00AE1B4A" w:rsidRPr="00E24140" w:rsidRDefault="00AE1B4A" w:rsidP="00AE1B4A">
      <w:pPr>
        <w:jc w:val="both"/>
        <w:rPr>
          <w:szCs w:val="28"/>
          <w:lang w:val="es-ES_tradnl"/>
        </w:rPr>
      </w:pPr>
      <w:r w:rsidRPr="007C6F2A">
        <w:rPr>
          <w:szCs w:val="28"/>
          <w:lang w:val="es-ES_tradnl"/>
        </w:rPr>
        <w:t>En contraste, indicó que la interpretación sistemática del Consejo de Estado, que motivó el fallo objeto de la solicitud d</w:t>
      </w:r>
      <w:r w:rsidRPr="00E24140">
        <w:rPr>
          <w:szCs w:val="28"/>
          <w:lang w:val="es-ES_tradnl"/>
        </w:rPr>
        <w:t>e amparo, resulta más</w:t>
      </w:r>
      <w:r w:rsidRPr="007C6F2A">
        <w:rPr>
          <w:szCs w:val="28"/>
          <w:lang w:val="es-ES_tradnl"/>
        </w:rPr>
        <w:t xml:space="preserve"> adecuada para establecer el verdadero sentido y alcance del </w:t>
      </w:r>
      <w:r w:rsidRPr="00E24140">
        <w:rPr>
          <w:szCs w:val="28"/>
          <w:lang w:val="es-ES_tradnl"/>
        </w:rPr>
        <w:t xml:space="preserve">artículo 257A superior. Al respecto, destacó que no se desconoció la norma constitucional mencionada por el hecho de haberse aplicado ese método interpretativo, y que la reserva legal para la convocatoria se deriva directamente del artículo 126 de la Carta. </w:t>
      </w:r>
    </w:p>
    <w:p w14:paraId="0A0DB409" w14:textId="77777777" w:rsidR="00AE1B4A" w:rsidRPr="00E24140" w:rsidRDefault="00AE1B4A" w:rsidP="00AE1B4A">
      <w:pPr>
        <w:jc w:val="both"/>
        <w:rPr>
          <w:szCs w:val="28"/>
          <w:lang w:val="es-ES_tradnl"/>
        </w:rPr>
      </w:pPr>
    </w:p>
    <w:p w14:paraId="4AC07B62" w14:textId="77777777" w:rsidR="00AE1B4A" w:rsidRPr="00E24140" w:rsidRDefault="00AE1B4A" w:rsidP="00AE1B4A">
      <w:pPr>
        <w:jc w:val="both"/>
        <w:rPr>
          <w:szCs w:val="28"/>
          <w:lang w:val="es-ES_tradnl"/>
        </w:rPr>
      </w:pPr>
      <w:r w:rsidRPr="00E24140">
        <w:rPr>
          <w:szCs w:val="28"/>
          <w:lang w:val="es-ES_tradnl"/>
        </w:rPr>
        <w:t>Además, aseveró que el análisis de la autoridad judicial accionada fue coherente, completo y lógico, por lo que no comporta violación alguna al ordenamiento jurídico.</w:t>
      </w:r>
    </w:p>
    <w:p w14:paraId="554A4EB1" w14:textId="77777777" w:rsidR="00AE1B4A" w:rsidRPr="00E24140" w:rsidRDefault="00AE1B4A" w:rsidP="00AE1B4A">
      <w:pPr>
        <w:jc w:val="both"/>
        <w:rPr>
          <w:szCs w:val="28"/>
          <w:lang w:val="es-ES_tradnl"/>
        </w:rPr>
      </w:pPr>
    </w:p>
    <w:p w14:paraId="1EB9D251" w14:textId="77777777" w:rsidR="00AE1B4A" w:rsidRPr="00E24140" w:rsidRDefault="00AE1B4A" w:rsidP="00AE1B4A">
      <w:pPr>
        <w:jc w:val="both"/>
        <w:rPr>
          <w:szCs w:val="28"/>
          <w:lang w:val="es-ES_tradnl"/>
        </w:rPr>
      </w:pPr>
      <w:r w:rsidRPr="00E24140">
        <w:rPr>
          <w:szCs w:val="28"/>
          <w:lang w:val="es-ES_tradnl"/>
        </w:rPr>
        <w:t xml:space="preserve">Añadió que la asignación de competencias a las autoridades públicas está restringida a la Constitución y a la ley, como lo estableció la providencia objeto de la acción de tutela. Por ende, dicha facultad no podía atribuirse mediante sentencia judicial, aunque fuese proferida por una Alta Corte. </w:t>
      </w:r>
    </w:p>
    <w:p w14:paraId="59C6241F" w14:textId="77777777" w:rsidR="00AE1B4A" w:rsidRPr="00E24140" w:rsidRDefault="00AE1B4A" w:rsidP="00AE1B4A">
      <w:pPr>
        <w:jc w:val="both"/>
        <w:rPr>
          <w:szCs w:val="28"/>
          <w:lang w:val="es-ES_tradnl"/>
        </w:rPr>
      </w:pPr>
    </w:p>
    <w:p w14:paraId="2164AA08" w14:textId="77777777" w:rsidR="00AE1B4A" w:rsidRPr="00E24140" w:rsidRDefault="00AE1B4A" w:rsidP="00AE1B4A">
      <w:pPr>
        <w:jc w:val="both"/>
        <w:rPr>
          <w:szCs w:val="28"/>
          <w:lang w:val="es-ES_tradnl"/>
        </w:rPr>
      </w:pPr>
      <w:r w:rsidRPr="00E24140">
        <w:rPr>
          <w:szCs w:val="28"/>
          <w:lang w:val="es-ES_tradnl"/>
        </w:rPr>
        <w:t xml:space="preserve">En relación con lo anterior, estimó que la Corte Constitucional le asignó al Consejo Superior de la Judicatura </w:t>
      </w:r>
      <w:r w:rsidRPr="00E24140">
        <w:rPr>
          <w:i/>
          <w:szCs w:val="28"/>
          <w:lang w:val="es-ES_tradnl"/>
        </w:rPr>
        <w:t>“una competencia que no tenía, sin tener atribuciones para ello”</w:t>
      </w:r>
      <w:r w:rsidRPr="00E24140">
        <w:rPr>
          <w:rStyle w:val="Refdenotaalpie"/>
          <w:i/>
          <w:szCs w:val="28"/>
          <w:lang w:val="es-ES_tradnl"/>
        </w:rPr>
        <w:footnoteReference w:id="73"/>
      </w:r>
      <w:r w:rsidRPr="00E24140">
        <w:rPr>
          <w:szCs w:val="28"/>
          <w:lang w:val="es-ES_tradnl"/>
        </w:rPr>
        <w:t xml:space="preserve">. </w:t>
      </w:r>
    </w:p>
    <w:p w14:paraId="2DDBB68B" w14:textId="77777777" w:rsidR="00AE1B4A" w:rsidRPr="00E24140" w:rsidRDefault="00AE1B4A" w:rsidP="00AE1B4A">
      <w:pPr>
        <w:jc w:val="both"/>
        <w:rPr>
          <w:szCs w:val="28"/>
          <w:lang w:val="es-ES_tradnl"/>
        </w:rPr>
      </w:pPr>
    </w:p>
    <w:p w14:paraId="60F6D0D4" w14:textId="77777777" w:rsidR="00AE1B4A" w:rsidRPr="00E24140" w:rsidRDefault="00AE1B4A" w:rsidP="00AE1B4A">
      <w:pPr>
        <w:jc w:val="both"/>
        <w:rPr>
          <w:szCs w:val="28"/>
          <w:lang w:val="es-ES_tradnl"/>
        </w:rPr>
      </w:pPr>
      <w:r w:rsidRPr="00E24140">
        <w:rPr>
          <w:szCs w:val="28"/>
          <w:lang w:val="es-ES_tradnl"/>
        </w:rPr>
        <w:t xml:space="preserve">Finalmente, resaltó que si bien el parágrafo transitorio 1° del artículo 257A fijó un término para la elección de los miembros de la Comisión Nacional de Disciplina Judicial, </w:t>
      </w:r>
      <w:r w:rsidRPr="00E24140">
        <w:rPr>
          <w:i/>
          <w:szCs w:val="28"/>
          <w:lang w:val="es-ES_tradnl"/>
        </w:rPr>
        <w:t>“ello no significa que tal elección pudiera cumplirse, haciendo caso omiso de los requisitos previos que el mismo ordenamiento dispone en el artículo 126 [superior]”</w:t>
      </w:r>
      <w:r w:rsidRPr="00E24140">
        <w:rPr>
          <w:rStyle w:val="Refdenotaalpie"/>
          <w:i/>
          <w:szCs w:val="28"/>
          <w:lang w:val="es-ES_tradnl"/>
        </w:rPr>
        <w:footnoteReference w:id="74"/>
      </w:r>
      <w:r w:rsidRPr="00E24140">
        <w:rPr>
          <w:szCs w:val="28"/>
          <w:lang w:val="es-ES_tradnl"/>
        </w:rPr>
        <w:t xml:space="preserve">. </w:t>
      </w:r>
    </w:p>
    <w:p w14:paraId="77B64927" w14:textId="77777777" w:rsidR="00AE1B4A" w:rsidRPr="00E24140" w:rsidRDefault="00AE1B4A" w:rsidP="00AE1B4A">
      <w:pPr>
        <w:jc w:val="both"/>
        <w:rPr>
          <w:szCs w:val="28"/>
          <w:lang w:val="es-ES_tradnl"/>
        </w:rPr>
      </w:pPr>
    </w:p>
    <w:p w14:paraId="27214BD7" w14:textId="77777777" w:rsidR="00AE1B4A" w:rsidRPr="00E24140" w:rsidRDefault="00AE1B4A" w:rsidP="00AE1B4A">
      <w:pPr>
        <w:jc w:val="both"/>
        <w:rPr>
          <w:szCs w:val="28"/>
          <w:lang w:val="es-ES_tradnl"/>
        </w:rPr>
      </w:pPr>
      <w:r w:rsidRPr="00E24140">
        <w:rPr>
          <w:szCs w:val="28"/>
          <w:lang w:val="es-ES_tradnl"/>
        </w:rPr>
        <w:lastRenderedPageBreak/>
        <w:t>Por lo anterior, no se consideró que el fallo reprochado hubiese incurrido en yerros o vulnerado la Constitución al interpretar el artículo 257A de manera sistemática. Tampoco que se hubiese introducido indebidamente una exigencia de reserva legal, cuando se trata de un requerimiento que está determinado por el artículo 126 de la Carta.</w:t>
      </w:r>
    </w:p>
    <w:p w14:paraId="43673585" w14:textId="77777777" w:rsidR="00AE1B4A" w:rsidRPr="00E24140" w:rsidRDefault="00AE1B4A" w:rsidP="00AE1B4A">
      <w:pPr>
        <w:spacing w:line="276" w:lineRule="auto"/>
        <w:jc w:val="both"/>
        <w:rPr>
          <w:szCs w:val="28"/>
          <w:lang w:val="es-ES_tradnl"/>
        </w:rPr>
      </w:pPr>
    </w:p>
    <w:p w14:paraId="697D14EB" w14:textId="77777777" w:rsidR="00AE1B4A" w:rsidRPr="007C6F2A" w:rsidRDefault="00AE1B4A" w:rsidP="00AE1B4A">
      <w:pPr>
        <w:jc w:val="both"/>
        <w:rPr>
          <w:b/>
          <w:szCs w:val="28"/>
          <w:lang w:val="es-ES_tradnl"/>
        </w:rPr>
      </w:pPr>
      <w:r w:rsidRPr="00E24140">
        <w:rPr>
          <w:b/>
          <w:szCs w:val="28"/>
          <w:lang w:val="es-ES_tradnl"/>
        </w:rPr>
        <w:t>Impugnación</w:t>
      </w:r>
    </w:p>
    <w:p w14:paraId="7E9860E5" w14:textId="77777777" w:rsidR="00AE1B4A" w:rsidRPr="007C6F2A" w:rsidRDefault="00AE1B4A" w:rsidP="00AE1B4A">
      <w:pPr>
        <w:spacing w:line="276" w:lineRule="auto"/>
        <w:jc w:val="both"/>
        <w:rPr>
          <w:b/>
          <w:szCs w:val="28"/>
          <w:lang w:val="es-ES_tradnl"/>
        </w:rPr>
      </w:pPr>
    </w:p>
    <w:p w14:paraId="36CA361D" w14:textId="77777777" w:rsidR="00AE1B4A" w:rsidRPr="007C6F2A" w:rsidRDefault="00AE1B4A" w:rsidP="00AE1B4A">
      <w:pPr>
        <w:jc w:val="both"/>
        <w:rPr>
          <w:szCs w:val="28"/>
          <w:lang w:val="es-ES_tradnl"/>
        </w:rPr>
      </w:pPr>
      <w:r w:rsidRPr="007C6F2A">
        <w:rPr>
          <w:szCs w:val="28"/>
          <w:lang w:val="es-ES_tradnl"/>
        </w:rPr>
        <w:t xml:space="preserve">Inconforme con el fallo anterior, el Consejo Superior de la Judicatura impugnó la decisión. Para el efecto, insistió en las razones que esgrimió previamente en la solicitud de amparo. Así mismo, recurrió a las discusiones que precedieron la promulgación del Acto Legislativo 02 de 2015 para explicar que </w:t>
      </w:r>
      <w:r w:rsidRPr="007C6F2A">
        <w:rPr>
          <w:i/>
          <w:szCs w:val="28"/>
          <w:lang w:val="es-ES_tradnl"/>
        </w:rPr>
        <w:t>“es voluntad del Congreso de la República que la mencionada convocatoria la realice el órgano de administración y gobierno judicial”</w:t>
      </w:r>
      <w:r w:rsidRPr="007C6F2A">
        <w:rPr>
          <w:rStyle w:val="Refdenotaalpie"/>
          <w:i/>
          <w:szCs w:val="28"/>
          <w:lang w:val="es-ES_tradnl"/>
        </w:rPr>
        <w:footnoteReference w:id="75"/>
      </w:r>
      <w:r w:rsidRPr="007C6F2A">
        <w:rPr>
          <w:i/>
          <w:szCs w:val="28"/>
          <w:lang w:val="es-ES_tradnl"/>
        </w:rPr>
        <w:t xml:space="preserve"> </w:t>
      </w:r>
      <w:r w:rsidRPr="007C6F2A">
        <w:rPr>
          <w:szCs w:val="28"/>
          <w:lang w:val="es-ES_tradnl"/>
        </w:rPr>
        <w:t>de manera transitoria, por lo que a partir de las consideraciones establecidas por la Corte Constitucional en la Sentencia C</w:t>
      </w:r>
      <w:r w:rsidRPr="007C6F2A">
        <w:rPr>
          <w:szCs w:val="28"/>
          <w:lang w:val="es-ES_tradnl"/>
        </w:rPr>
        <w:noBreakHyphen/>
        <w:t xml:space="preserve">285 de 2016, se trata de una atribución que le corresponde hoy, al Consejo Superior de la Judicatura. </w:t>
      </w:r>
    </w:p>
    <w:p w14:paraId="068AD95F" w14:textId="77777777" w:rsidR="00AE1B4A" w:rsidRPr="007C6F2A" w:rsidRDefault="00AE1B4A" w:rsidP="00AE1B4A">
      <w:pPr>
        <w:spacing w:line="276" w:lineRule="auto"/>
        <w:jc w:val="both"/>
        <w:rPr>
          <w:b/>
          <w:szCs w:val="28"/>
          <w:lang w:val="es-ES_tradnl"/>
        </w:rPr>
      </w:pPr>
    </w:p>
    <w:p w14:paraId="17C1B508" w14:textId="77777777" w:rsidR="00AE1B4A" w:rsidRPr="007C6F2A" w:rsidRDefault="00AE1B4A" w:rsidP="00AE1B4A">
      <w:pPr>
        <w:jc w:val="both"/>
        <w:rPr>
          <w:b/>
          <w:szCs w:val="28"/>
          <w:lang w:val="es-ES_tradnl"/>
        </w:rPr>
      </w:pPr>
      <w:r w:rsidRPr="007C6F2A">
        <w:rPr>
          <w:b/>
          <w:szCs w:val="28"/>
          <w:lang w:val="es-ES_tradnl"/>
        </w:rPr>
        <w:t>Sentencia de segunda instancia</w:t>
      </w:r>
    </w:p>
    <w:p w14:paraId="7D4AAB20" w14:textId="77777777" w:rsidR="00AE1B4A" w:rsidRPr="007C6F2A" w:rsidRDefault="00AE1B4A" w:rsidP="00AE1B4A">
      <w:pPr>
        <w:spacing w:line="276" w:lineRule="auto"/>
        <w:jc w:val="both"/>
        <w:rPr>
          <w:szCs w:val="28"/>
          <w:lang w:val="es-ES_tradnl"/>
        </w:rPr>
      </w:pPr>
    </w:p>
    <w:p w14:paraId="3493E5CF" w14:textId="77777777" w:rsidR="00AE1B4A" w:rsidRPr="007C6F2A" w:rsidRDefault="00AE1B4A" w:rsidP="00AE1B4A">
      <w:pPr>
        <w:jc w:val="both"/>
        <w:rPr>
          <w:szCs w:val="28"/>
          <w:lang w:val="es-ES_tradnl"/>
        </w:rPr>
      </w:pPr>
      <w:r w:rsidRPr="007C6F2A">
        <w:rPr>
          <w:szCs w:val="28"/>
          <w:lang w:val="es-ES_tradnl"/>
        </w:rPr>
        <w:t xml:space="preserve">El </w:t>
      </w:r>
      <w:r w:rsidRPr="007C6F2A">
        <w:rPr>
          <w:b/>
          <w:szCs w:val="28"/>
          <w:lang w:val="es-ES_tradnl"/>
        </w:rPr>
        <w:t>30 de mayo de 2019</w:t>
      </w:r>
      <w:r w:rsidRPr="007C6F2A">
        <w:rPr>
          <w:szCs w:val="28"/>
          <w:lang w:val="es-ES_tradnl"/>
        </w:rPr>
        <w:t>, la Sección Cuarta de la Sala Plena de lo Contencioso Administrativo del Consejo de Estado</w:t>
      </w:r>
      <w:r w:rsidRPr="007C6F2A">
        <w:rPr>
          <w:szCs w:val="28"/>
          <w:vertAlign w:val="superscript"/>
          <w:lang w:val="es-ES_tradnl"/>
        </w:rPr>
        <w:footnoteReference w:id="76"/>
      </w:r>
      <w:r w:rsidRPr="007C6F2A">
        <w:rPr>
          <w:szCs w:val="28"/>
          <w:lang w:val="es-ES_tradnl"/>
        </w:rPr>
        <w:t xml:space="preserve"> -mediante la designación de conjueces-, confirmó la decisión de tutela de primera instancia.</w:t>
      </w:r>
    </w:p>
    <w:p w14:paraId="28E4015B" w14:textId="77777777" w:rsidR="00AE1B4A" w:rsidRPr="007C6F2A" w:rsidRDefault="00AE1B4A" w:rsidP="00AE1B4A">
      <w:pPr>
        <w:jc w:val="both"/>
        <w:rPr>
          <w:szCs w:val="28"/>
          <w:lang w:val="es-ES_tradnl"/>
        </w:rPr>
      </w:pPr>
    </w:p>
    <w:p w14:paraId="4E14BAA7" w14:textId="77777777" w:rsidR="00AE1B4A" w:rsidRPr="007C6F2A" w:rsidRDefault="00AE1B4A" w:rsidP="00AE1B4A">
      <w:pPr>
        <w:jc w:val="both"/>
        <w:rPr>
          <w:szCs w:val="28"/>
          <w:lang w:val="es-ES_tradnl"/>
        </w:rPr>
      </w:pPr>
      <w:r w:rsidRPr="007C6F2A">
        <w:rPr>
          <w:szCs w:val="28"/>
          <w:lang w:val="es-ES_tradnl"/>
        </w:rPr>
        <w:t>Estimó que los defectos que la parte accionante atribuyó a la providencia judicial objeto de controversia no se configuraron. Agregó que el fallo no desconoció el pronunciamiento de la Corte Constitucional tantas veces citado, ni el alcance del artículo 257A de la Carta, sino que,</w:t>
      </w:r>
      <w:r w:rsidRPr="007C6F2A">
        <w:rPr>
          <w:i/>
          <w:iCs/>
          <w:szCs w:val="28"/>
          <w:lang w:val="es-ES_tradnl"/>
        </w:rPr>
        <w:t xml:space="preserve"> “acudió válidamente a otras disposiciones constitucionales para completar la proposición jurídica”</w:t>
      </w:r>
      <w:r w:rsidRPr="007C6F2A">
        <w:rPr>
          <w:rStyle w:val="Refdenotaalpie"/>
          <w:i/>
          <w:iCs/>
          <w:szCs w:val="28"/>
          <w:lang w:val="es-ES_tradnl"/>
        </w:rPr>
        <w:footnoteReference w:id="77"/>
      </w:r>
      <w:r w:rsidRPr="007C6F2A">
        <w:rPr>
          <w:szCs w:val="28"/>
          <w:lang w:val="es-ES_tradnl"/>
        </w:rPr>
        <w:t>, como es el caso del artículo 126 superior inciso 4, ante la inexistencia de la facultad reglamentaria que se arrogó el Consejo Superior de la Judicatura en esta oportunidad.</w:t>
      </w:r>
    </w:p>
    <w:p w14:paraId="0C497429" w14:textId="77777777" w:rsidR="00AE1B4A" w:rsidRPr="007C6F2A" w:rsidRDefault="00AE1B4A" w:rsidP="00AE1B4A">
      <w:pPr>
        <w:jc w:val="both"/>
        <w:rPr>
          <w:szCs w:val="28"/>
          <w:lang w:val="es-ES_tradnl"/>
        </w:rPr>
      </w:pPr>
    </w:p>
    <w:p w14:paraId="78F9F40D" w14:textId="77777777" w:rsidR="00AE1B4A" w:rsidRDefault="00AE1B4A" w:rsidP="00AE1B4A">
      <w:pPr>
        <w:jc w:val="both"/>
        <w:rPr>
          <w:szCs w:val="28"/>
          <w:lang w:val="es-ES_tradnl"/>
        </w:rPr>
      </w:pPr>
      <w:r w:rsidRPr="007C6F2A">
        <w:rPr>
          <w:szCs w:val="28"/>
          <w:lang w:val="es-ES_tradnl"/>
        </w:rPr>
        <w:t xml:space="preserve">Para la Sala, no puede inferirse válidamente que se haya desconocido el contenido de la sentencia C-285 de 2016, pues si bien el Consejo de Estado </w:t>
      </w:r>
      <w:r>
        <w:rPr>
          <w:szCs w:val="28"/>
          <w:lang w:val="es-ES_tradnl"/>
        </w:rPr>
        <w:t xml:space="preserve">manifestó razones de </w:t>
      </w:r>
      <w:r w:rsidRPr="008D0BC8">
        <w:rPr>
          <w:szCs w:val="28"/>
          <w:lang w:val="es-ES_tradnl"/>
        </w:rPr>
        <w:t>disenso frente a esa providencia, no se apartó</w:t>
      </w:r>
      <w:r>
        <w:rPr>
          <w:szCs w:val="28"/>
          <w:lang w:val="es-ES_tradnl"/>
        </w:rPr>
        <w:t xml:space="preserve"> de su contenido. Las consideraciones del CSJ en cuanto a que no se aplicó el artículo constitucional o se respetó la sentencia, son entonces interpretaciones subjetivas de la entidad accionante, que escapan al control de tutela.</w:t>
      </w:r>
    </w:p>
    <w:p w14:paraId="2814888A" w14:textId="77777777" w:rsidR="00AE1B4A" w:rsidRDefault="00AE1B4A" w:rsidP="00AE1B4A">
      <w:pPr>
        <w:jc w:val="both"/>
        <w:rPr>
          <w:szCs w:val="28"/>
          <w:lang w:val="es-ES_tradnl"/>
        </w:rPr>
      </w:pPr>
    </w:p>
    <w:p w14:paraId="36C6ECAD" w14:textId="77777777" w:rsidR="00AE1B4A" w:rsidRDefault="00AE1B4A" w:rsidP="00AE1B4A">
      <w:pPr>
        <w:jc w:val="both"/>
        <w:rPr>
          <w:szCs w:val="28"/>
          <w:lang w:val="es-ES_tradnl"/>
        </w:rPr>
      </w:pPr>
      <w:r>
        <w:rPr>
          <w:szCs w:val="28"/>
          <w:lang w:val="es-ES_tradnl"/>
        </w:rPr>
        <w:lastRenderedPageBreak/>
        <w:t>En el mismo sentido señaló que el Consejo de Estado no excedió los límites legales de su competencia, dado que “</w:t>
      </w:r>
      <w:r w:rsidRPr="00684EA5">
        <w:rPr>
          <w:i/>
          <w:iCs/>
          <w:szCs w:val="28"/>
          <w:lang w:val="es-ES_tradnl"/>
        </w:rPr>
        <w:t>actúo en pleno ejercicio de las competencias que le otorga la Constitución (…) y el Código de Procedimiento Administrativo</w:t>
      </w:r>
      <w:r>
        <w:rPr>
          <w:szCs w:val="28"/>
          <w:lang w:val="es-ES_tradnl"/>
        </w:rPr>
        <w:t>”</w:t>
      </w:r>
      <w:r>
        <w:rPr>
          <w:rStyle w:val="Refdenotaalpie"/>
          <w:szCs w:val="28"/>
          <w:lang w:val="es-ES_tradnl"/>
        </w:rPr>
        <w:footnoteReference w:id="78"/>
      </w:r>
      <w:r>
        <w:rPr>
          <w:szCs w:val="28"/>
          <w:lang w:val="es-ES_tradnl"/>
        </w:rPr>
        <w:t>. Sostuvo que la Sala Plena de lo Contencioso Administrativo en el proceso de nulidad por inconstitucionalidad, aplicó “</w:t>
      </w:r>
      <w:r w:rsidRPr="00684EA5">
        <w:rPr>
          <w:i/>
          <w:iCs/>
          <w:szCs w:val="28"/>
          <w:lang w:val="es-ES_tradnl"/>
        </w:rPr>
        <w:t>una interpretación racional y fundamentada en normas constitucionales</w:t>
      </w:r>
      <w:r>
        <w:rPr>
          <w:szCs w:val="28"/>
          <w:lang w:val="es-ES_tradnl"/>
        </w:rPr>
        <w:t>”</w:t>
      </w:r>
      <w:r>
        <w:rPr>
          <w:rStyle w:val="Refdenotaalpie"/>
          <w:szCs w:val="28"/>
          <w:lang w:val="es-ES_tradnl"/>
        </w:rPr>
        <w:footnoteReference w:id="79"/>
      </w:r>
      <w:r>
        <w:rPr>
          <w:szCs w:val="28"/>
          <w:lang w:val="es-ES_tradnl"/>
        </w:rPr>
        <w:t>, por lo que el juez de tutela no es el llamado a determinar si existe o no un mejor criterio interpretativo que aquel utilizado por el juez natural en el caso.</w:t>
      </w:r>
    </w:p>
    <w:p w14:paraId="08727AD3" w14:textId="77777777" w:rsidR="00AE1B4A" w:rsidRDefault="00AE1B4A" w:rsidP="00AE1B4A">
      <w:pPr>
        <w:jc w:val="both"/>
        <w:rPr>
          <w:szCs w:val="28"/>
          <w:lang w:val="es-ES_tradnl"/>
        </w:rPr>
      </w:pPr>
    </w:p>
    <w:p w14:paraId="2ADE9931" w14:textId="77777777" w:rsidR="00AE1B4A" w:rsidRDefault="00AE1B4A" w:rsidP="00AE1B4A">
      <w:pPr>
        <w:jc w:val="both"/>
        <w:rPr>
          <w:szCs w:val="28"/>
          <w:lang w:val="es-ES_tradnl"/>
        </w:rPr>
      </w:pPr>
      <w:r>
        <w:rPr>
          <w:szCs w:val="28"/>
          <w:lang w:val="es-ES_tradnl"/>
        </w:rPr>
        <w:t>Por último, resaltó que los vacíos de orden constitucional o legal señalados en la decisión objeto de reproche solo podían “</w:t>
      </w:r>
      <w:r w:rsidRPr="00684EA5">
        <w:rPr>
          <w:i/>
          <w:iCs/>
          <w:szCs w:val="28"/>
          <w:lang w:val="es-ES_tradnl"/>
        </w:rPr>
        <w:t>ser suplidos por el legislador y no por el juez</w:t>
      </w:r>
      <w:r>
        <w:rPr>
          <w:szCs w:val="28"/>
          <w:lang w:val="es-ES_tradnl"/>
        </w:rPr>
        <w:t>”</w:t>
      </w:r>
      <w:r>
        <w:rPr>
          <w:rStyle w:val="Refdenotaalpie"/>
          <w:szCs w:val="28"/>
          <w:lang w:val="es-ES_tradnl"/>
        </w:rPr>
        <w:footnoteReference w:id="80"/>
      </w:r>
      <w:r>
        <w:rPr>
          <w:szCs w:val="28"/>
          <w:lang w:val="es-ES_tradnl"/>
        </w:rPr>
        <w:t>, por lo que hizo un llamado al Congreso de la República para expedir las normas tendientes a reglamentar las convocatorias públicas introducidas por el Acto Legislativo 02 de 2015.</w:t>
      </w:r>
    </w:p>
    <w:p w14:paraId="38A7AA8B" w14:textId="77777777" w:rsidR="00AE1B4A" w:rsidRDefault="00AE1B4A" w:rsidP="00AE1B4A">
      <w:pPr>
        <w:spacing w:line="276" w:lineRule="auto"/>
        <w:jc w:val="both"/>
        <w:rPr>
          <w:szCs w:val="28"/>
          <w:lang w:val="es-ES_tradnl"/>
        </w:rPr>
      </w:pPr>
    </w:p>
    <w:p w14:paraId="134663C0" w14:textId="77777777" w:rsidR="00AE1B4A" w:rsidRPr="002E4477" w:rsidRDefault="00AE1B4A" w:rsidP="00AE1B4A">
      <w:pPr>
        <w:jc w:val="both"/>
        <w:rPr>
          <w:sz w:val="30"/>
          <w:szCs w:val="30"/>
        </w:rPr>
      </w:pPr>
      <w:r w:rsidRPr="00026121">
        <w:rPr>
          <w:b/>
          <w:bCs/>
          <w:sz w:val="30"/>
          <w:szCs w:val="30"/>
        </w:rPr>
        <w:t>II. CONSIDERACIONES</w:t>
      </w:r>
    </w:p>
    <w:p w14:paraId="0E6D7AA5" w14:textId="77777777" w:rsidR="00AE1B4A" w:rsidRPr="002E4477" w:rsidRDefault="00AE1B4A" w:rsidP="00AE1B4A">
      <w:pPr>
        <w:pStyle w:val="NormalWeb"/>
        <w:spacing w:before="0" w:beforeAutospacing="0" w:after="0" w:afterAutospacing="0" w:line="276" w:lineRule="auto"/>
        <w:ind w:right="40"/>
        <w:jc w:val="both"/>
        <w:rPr>
          <w:b/>
          <w:bCs/>
          <w:sz w:val="30"/>
          <w:szCs w:val="30"/>
        </w:rPr>
      </w:pPr>
      <w:r w:rsidRPr="002E4477">
        <w:rPr>
          <w:b/>
          <w:bCs/>
          <w:sz w:val="30"/>
          <w:szCs w:val="30"/>
        </w:rPr>
        <w:t xml:space="preserve"> </w:t>
      </w:r>
    </w:p>
    <w:p w14:paraId="1906C0C5" w14:textId="77777777" w:rsidR="00AE1B4A" w:rsidRPr="002E4477" w:rsidRDefault="00AE1B4A" w:rsidP="00AE1B4A">
      <w:pPr>
        <w:pStyle w:val="NormalWeb"/>
        <w:spacing w:before="0" w:beforeAutospacing="0" w:after="0" w:afterAutospacing="0"/>
        <w:ind w:right="40"/>
        <w:jc w:val="both"/>
        <w:rPr>
          <w:b/>
          <w:bCs/>
          <w:sz w:val="30"/>
          <w:szCs w:val="30"/>
        </w:rPr>
      </w:pPr>
      <w:r w:rsidRPr="002E4477">
        <w:rPr>
          <w:b/>
          <w:bCs/>
          <w:sz w:val="30"/>
          <w:szCs w:val="30"/>
        </w:rPr>
        <w:t>Competencia</w:t>
      </w:r>
    </w:p>
    <w:p w14:paraId="331DFB37" w14:textId="77777777" w:rsidR="00AE1B4A" w:rsidRPr="002E4477" w:rsidRDefault="00AE1B4A" w:rsidP="00AE1B4A">
      <w:pPr>
        <w:pStyle w:val="NormalWeb"/>
        <w:spacing w:before="0" w:beforeAutospacing="0" w:after="0" w:afterAutospacing="0" w:line="276" w:lineRule="auto"/>
        <w:ind w:right="40"/>
        <w:jc w:val="both"/>
        <w:rPr>
          <w:b/>
          <w:bCs/>
          <w:sz w:val="28"/>
          <w:szCs w:val="28"/>
        </w:rPr>
      </w:pPr>
    </w:p>
    <w:p w14:paraId="203B48EB" w14:textId="77777777" w:rsidR="00AE1B4A" w:rsidRPr="002E4477" w:rsidRDefault="00AE1B4A" w:rsidP="00AE1B4A">
      <w:pPr>
        <w:numPr>
          <w:ilvl w:val="1"/>
          <w:numId w:val="10"/>
        </w:numPr>
        <w:tabs>
          <w:tab w:val="left" w:pos="284"/>
        </w:tabs>
        <w:jc w:val="both"/>
        <w:rPr>
          <w:szCs w:val="28"/>
        </w:rPr>
      </w:pPr>
      <w:r w:rsidRPr="002E4477">
        <w:rPr>
          <w:bCs/>
          <w:szCs w:val="28"/>
        </w:rPr>
        <w:t>La Sala Plena de la Corte Constitucional es competente para conocer los fallos de tutela proferidos dentro del proceso de la referencia, de conformidad con lo dispuesto en los artículos 86 y 241, numeral 9º, de la Constitución Política, en concordancia con los artículos 31 a 36 del Decreto 2591 de 1991.</w:t>
      </w:r>
    </w:p>
    <w:p w14:paraId="1D693458" w14:textId="77777777" w:rsidR="00AE1B4A" w:rsidRDefault="00AE1B4A" w:rsidP="00AE1B4A">
      <w:pPr>
        <w:tabs>
          <w:tab w:val="left" w:pos="284"/>
        </w:tabs>
        <w:jc w:val="both"/>
        <w:rPr>
          <w:b/>
          <w:bCs/>
          <w:sz w:val="30"/>
          <w:szCs w:val="30"/>
        </w:rPr>
      </w:pPr>
    </w:p>
    <w:p w14:paraId="6809C6B1" w14:textId="77777777" w:rsidR="00AE1B4A" w:rsidRPr="002E4477" w:rsidRDefault="00AE1B4A" w:rsidP="00AE1B4A">
      <w:pPr>
        <w:tabs>
          <w:tab w:val="left" w:pos="284"/>
        </w:tabs>
        <w:jc w:val="both"/>
        <w:rPr>
          <w:b/>
          <w:bCs/>
          <w:sz w:val="30"/>
          <w:szCs w:val="30"/>
        </w:rPr>
      </w:pPr>
      <w:r w:rsidRPr="002E4477">
        <w:rPr>
          <w:b/>
          <w:bCs/>
          <w:sz w:val="30"/>
          <w:szCs w:val="30"/>
        </w:rPr>
        <w:t>Asunto objeto de análisis y los problemas jurídicos a resolver</w:t>
      </w:r>
    </w:p>
    <w:p w14:paraId="5A187361" w14:textId="77777777" w:rsidR="00AE1B4A" w:rsidRPr="002E4477" w:rsidRDefault="00AE1B4A" w:rsidP="00AE1B4A">
      <w:pPr>
        <w:tabs>
          <w:tab w:val="left" w:pos="284"/>
        </w:tabs>
        <w:spacing w:line="276" w:lineRule="auto"/>
        <w:jc w:val="both"/>
        <w:rPr>
          <w:b/>
          <w:bCs/>
          <w:szCs w:val="28"/>
        </w:rPr>
      </w:pPr>
    </w:p>
    <w:p w14:paraId="770F2C79" w14:textId="77777777" w:rsidR="00AE1B4A" w:rsidRPr="00BB0D71" w:rsidRDefault="00AE1B4A" w:rsidP="00AE1B4A">
      <w:pPr>
        <w:numPr>
          <w:ilvl w:val="0"/>
          <w:numId w:val="10"/>
        </w:numPr>
        <w:jc w:val="both"/>
        <w:rPr>
          <w:szCs w:val="28"/>
        </w:rPr>
      </w:pPr>
      <w:r w:rsidRPr="002E4477">
        <w:rPr>
          <w:bCs/>
          <w:szCs w:val="28"/>
        </w:rPr>
        <w:t xml:space="preserve">En el caso objeto de estudio, el CSJ alega la vulneración de los derechos fundamentales al debido proceso, defensa y de acceso a la administración de justicia, con ocasión de la decisión de la Sala Plena de lo Contencioso Administrativo del Consejo de Estado, del 6 de febrero de 2018, que determinó la nulidad del Acuerdo </w:t>
      </w:r>
      <w:r w:rsidRPr="002E4477">
        <w:rPr>
          <w:szCs w:val="28"/>
          <w:lang w:val="es-ES_tradnl"/>
        </w:rPr>
        <w:t>PSAA16-10548 de 2016</w:t>
      </w:r>
      <w:r w:rsidRPr="002E4477">
        <w:rPr>
          <w:bCs/>
          <w:szCs w:val="28"/>
        </w:rPr>
        <w:t xml:space="preserve">. A juicio de la entidad demandante, dicha providencia incurrió en violación directa de la Constitución y en vicios sustantivos y orgánicos en su determinación, que ameritan la </w:t>
      </w:r>
      <w:r>
        <w:rPr>
          <w:bCs/>
          <w:szCs w:val="28"/>
        </w:rPr>
        <w:t>intervención</w:t>
      </w:r>
      <w:r w:rsidRPr="002E4477">
        <w:rPr>
          <w:bCs/>
          <w:szCs w:val="28"/>
        </w:rPr>
        <w:t xml:space="preserve"> del juez de tutela para restablecer </w:t>
      </w:r>
      <w:r>
        <w:rPr>
          <w:bCs/>
          <w:szCs w:val="28"/>
        </w:rPr>
        <w:t>sus</w:t>
      </w:r>
      <w:r w:rsidRPr="002E4477">
        <w:rPr>
          <w:bCs/>
          <w:szCs w:val="28"/>
        </w:rPr>
        <w:t xml:space="preserve"> derechos fundamentales</w:t>
      </w:r>
      <w:r>
        <w:rPr>
          <w:bCs/>
          <w:szCs w:val="28"/>
        </w:rPr>
        <w:t>,</w:t>
      </w:r>
      <w:r w:rsidRPr="002E4477">
        <w:rPr>
          <w:bCs/>
          <w:szCs w:val="28"/>
        </w:rPr>
        <w:t xml:space="preserve"> presuntamente vulnerados</w:t>
      </w:r>
      <w:r w:rsidRPr="00BB0D71">
        <w:rPr>
          <w:rStyle w:val="Refdenotaalpie"/>
          <w:bCs/>
          <w:szCs w:val="28"/>
        </w:rPr>
        <w:footnoteReference w:id="81"/>
      </w:r>
      <w:r w:rsidRPr="00BB0D71">
        <w:rPr>
          <w:bCs/>
          <w:szCs w:val="28"/>
        </w:rPr>
        <w:t>.</w:t>
      </w:r>
    </w:p>
    <w:p w14:paraId="1C2A0ECD" w14:textId="77777777" w:rsidR="00AE1B4A" w:rsidRPr="002E4477" w:rsidRDefault="00AE1B4A" w:rsidP="00AE1B4A">
      <w:pPr>
        <w:jc w:val="both"/>
        <w:rPr>
          <w:szCs w:val="28"/>
        </w:rPr>
      </w:pPr>
    </w:p>
    <w:p w14:paraId="1486973B" w14:textId="77777777" w:rsidR="00AE1B4A" w:rsidRPr="003D1480" w:rsidRDefault="00AE1B4A" w:rsidP="00AE1B4A">
      <w:pPr>
        <w:numPr>
          <w:ilvl w:val="0"/>
          <w:numId w:val="10"/>
        </w:numPr>
        <w:jc w:val="both"/>
        <w:rPr>
          <w:szCs w:val="28"/>
        </w:rPr>
      </w:pPr>
      <w:r w:rsidRPr="003D1480">
        <w:rPr>
          <w:szCs w:val="28"/>
        </w:rPr>
        <w:t xml:space="preserve">Los </w:t>
      </w:r>
      <w:r w:rsidRPr="003D1480">
        <w:rPr>
          <w:bCs/>
          <w:szCs w:val="28"/>
        </w:rPr>
        <w:t>jueces de primera y segunda instancia</w:t>
      </w:r>
      <w:r w:rsidRPr="003D1480">
        <w:rPr>
          <w:szCs w:val="28"/>
        </w:rPr>
        <w:t xml:space="preserve"> en el proceso de tutela consideraron que ante el vacío jurídico aparentemente derivado del artículo 257A de la Constitución, era pertinente una interpretación sistemática como la señalada por el Consejo de Estado, a fin de suplir la ausencia normativa enunciada. Desde esta perspectiva, la acción de tutela no está llamada a prosperar por no ser el mecanismo destinado a controvertir la interpretación realizada por el juez natural, en la medida en que la alusión al artículo 126 superior, a juicio de los falladores, era razonable. </w:t>
      </w:r>
    </w:p>
    <w:p w14:paraId="0A647439" w14:textId="77777777" w:rsidR="00AE1B4A" w:rsidRPr="003D1480" w:rsidRDefault="00AE1B4A" w:rsidP="00AE1B4A">
      <w:pPr>
        <w:jc w:val="both"/>
        <w:rPr>
          <w:szCs w:val="28"/>
        </w:rPr>
      </w:pPr>
    </w:p>
    <w:p w14:paraId="4ACB749D" w14:textId="77777777" w:rsidR="00AE1B4A" w:rsidRPr="003D1480" w:rsidRDefault="00AE1B4A" w:rsidP="00AE1B4A">
      <w:pPr>
        <w:numPr>
          <w:ilvl w:val="0"/>
          <w:numId w:val="10"/>
        </w:numPr>
        <w:jc w:val="both"/>
        <w:rPr>
          <w:bCs/>
          <w:szCs w:val="28"/>
        </w:rPr>
      </w:pPr>
      <w:r w:rsidRPr="003D1480">
        <w:rPr>
          <w:szCs w:val="28"/>
        </w:rPr>
        <w:t xml:space="preserve">Revisadas brevemente las distintas posiciones del debate, </w:t>
      </w:r>
      <w:r w:rsidRPr="003D1480">
        <w:rPr>
          <w:bCs/>
          <w:szCs w:val="28"/>
        </w:rPr>
        <w:t xml:space="preserve">la Sala deberá resolver los siguientes problemas jurídicos: </w:t>
      </w:r>
    </w:p>
    <w:p w14:paraId="7A4596EE" w14:textId="77777777" w:rsidR="00AE1B4A" w:rsidRPr="003D1480" w:rsidRDefault="00AE1B4A" w:rsidP="00AE1B4A">
      <w:pPr>
        <w:jc w:val="both"/>
        <w:rPr>
          <w:bCs/>
          <w:szCs w:val="28"/>
        </w:rPr>
      </w:pPr>
    </w:p>
    <w:p w14:paraId="5ABC17E1" w14:textId="77777777" w:rsidR="00AE1B4A" w:rsidRPr="003D1480" w:rsidRDefault="00AE1B4A" w:rsidP="00AE1B4A">
      <w:pPr>
        <w:pStyle w:val="NormalWeb"/>
        <w:numPr>
          <w:ilvl w:val="0"/>
          <w:numId w:val="19"/>
        </w:numPr>
        <w:tabs>
          <w:tab w:val="left" w:pos="284"/>
        </w:tabs>
        <w:spacing w:before="0" w:beforeAutospacing="0" w:after="0" w:afterAutospacing="0"/>
        <w:ind w:left="567" w:right="40"/>
        <w:jc w:val="both"/>
        <w:rPr>
          <w:bCs/>
          <w:sz w:val="28"/>
          <w:szCs w:val="28"/>
        </w:rPr>
      </w:pPr>
      <w:r w:rsidRPr="003D1480">
        <w:rPr>
          <w:bCs/>
          <w:sz w:val="28"/>
          <w:szCs w:val="28"/>
        </w:rPr>
        <w:t xml:space="preserve">¿Cumple la acción de la referencia con los </w:t>
      </w:r>
      <w:r w:rsidRPr="003D1480">
        <w:rPr>
          <w:b/>
          <w:i/>
          <w:iCs/>
          <w:sz w:val="28"/>
          <w:szCs w:val="28"/>
        </w:rPr>
        <w:t>requisitos generales de procedencia</w:t>
      </w:r>
      <w:r w:rsidRPr="003D1480">
        <w:rPr>
          <w:bCs/>
          <w:sz w:val="28"/>
          <w:szCs w:val="28"/>
        </w:rPr>
        <w:t xml:space="preserve"> formal de la tutela contra providencias judiciales, y en particular, el de procedibilidad del amparo contra sentencias de nulidad por inconstitucionalidad proferidas por el Consejo de Estado?  </w:t>
      </w:r>
    </w:p>
    <w:p w14:paraId="7CECF078" w14:textId="77777777" w:rsidR="00AE1B4A" w:rsidRPr="003D1480" w:rsidRDefault="00AE1B4A" w:rsidP="00AE1B4A">
      <w:pPr>
        <w:pStyle w:val="NormalWeb"/>
        <w:tabs>
          <w:tab w:val="left" w:pos="284"/>
        </w:tabs>
        <w:spacing w:before="0" w:beforeAutospacing="0" w:after="0" w:afterAutospacing="0"/>
        <w:ind w:left="567" w:right="40"/>
        <w:jc w:val="both"/>
        <w:rPr>
          <w:bCs/>
          <w:sz w:val="28"/>
          <w:szCs w:val="28"/>
        </w:rPr>
      </w:pPr>
    </w:p>
    <w:p w14:paraId="28D234B7" w14:textId="77777777" w:rsidR="00AE1B4A" w:rsidRPr="003D1480" w:rsidRDefault="00AE1B4A" w:rsidP="00AE1B4A">
      <w:pPr>
        <w:pStyle w:val="NormalWeb"/>
        <w:numPr>
          <w:ilvl w:val="0"/>
          <w:numId w:val="19"/>
        </w:numPr>
        <w:tabs>
          <w:tab w:val="left" w:pos="284"/>
        </w:tabs>
        <w:spacing w:before="0" w:beforeAutospacing="0" w:after="0" w:afterAutospacing="0"/>
        <w:ind w:left="567" w:right="40"/>
        <w:jc w:val="both"/>
        <w:rPr>
          <w:bCs/>
          <w:sz w:val="28"/>
          <w:szCs w:val="28"/>
        </w:rPr>
      </w:pPr>
      <w:r w:rsidRPr="003D1480">
        <w:rPr>
          <w:bCs/>
          <w:sz w:val="28"/>
          <w:szCs w:val="28"/>
        </w:rPr>
        <w:t xml:space="preserve">¿Vulnera la sentencia del Consejo de Estado los derechos al debido proceso, defensa y acceso a la administración de justicia del Consejo Superior de la Judicatura al incurrir en algunos de los defectos invocados por la entidad accionante, al apartarse de la interpretación que la Corte Constitucional le otorgó al artículo 257A de la Carta en la </w:t>
      </w:r>
      <w:r w:rsidRPr="003D1480">
        <w:rPr>
          <w:b/>
          <w:bCs/>
          <w:sz w:val="28"/>
          <w:szCs w:val="28"/>
        </w:rPr>
        <w:t>Sentencia C-285 de 2016</w:t>
      </w:r>
      <w:r w:rsidRPr="003D1480">
        <w:rPr>
          <w:sz w:val="28"/>
          <w:szCs w:val="28"/>
        </w:rPr>
        <w:t>,</w:t>
      </w:r>
      <w:r w:rsidRPr="003D1480">
        <w:rPr>
          <w:b/>
          <w:bCs/>
          <w:sz w:val="28"/>
          <w:szCs w:val="28"/>
        </w:rPr>
        <w:t xml:space="preserve"> </w:t>
      </w:r>
      <w:r w:rsidRPr="003D1480">
        <w:rPr>
          <w:bCs/>
          <w:sz w:val="28"/>
          <w:szCs w:val="28"/>
        </w:rPr>
        <w:t xml:space="preserve">que podría autorizar al CSJ a regular la convocatoria necesaria para conformar las ternas de la CNDJ? </w:t>
      </w:r>
    </w:p>
    <w:p w14:paraId="233D138B" w14:textId="77777777" w:rsidR="00AE1B4A" w:rsidRPr="003D1480" w:rsidRDefault="00AE1B4A" w:rsidP="00AE1B4A">
      <w:pPr>
        <w:pStyle w:val="Prrafodelista"/>
        <w:rPr>
          <w:bCs/>
          <w:szCs w:val="28"/>
        </w:rPr>
      </w:pPr>
    </w:p>
    <w:p w14:paraId="792384C6" w14:textId="77777777" w:rsidR="00AE1B4A" w:rsidRPr="003D1480" w:rsidRDefault="00AE1B4A" w:rsidP="00AE1B4A">
      <w:pPr>
        <w:pStyle w:val="NormalWeb"/>
        <w:numPr>
          <w:ilvl w:val="0"/>
          <w:numId w:val="19"/>
        </w:numPr>
        <w:tabs>
          <w:tab w:val="left" w:pos="284"/>
        </w:tabs>
        <w:spacing w:before="0" w:beforeAutospacing="0" w:after="0" w:afterAutospacing="0"/>
        <w:ind w:left="567" w:right="40"/>
        <w:jc w:val="both"/>
        <w:rPr>
          <w:bCs/>
          <w:sz w:val="28"/>
          <w:szCs w:val="28"/>
        </w:rPr>
      </w:pPr>
      <w:r w:rsidRPr="003D1480">
        <w:rPr>
          <w:bCs/>
          <w:sz w:val="28"/>
          <w:szCs w:val="28"/>
          <w:lang w:val="es-ES"/>
        </w:rPr>
        <w:t>¿</w:t>
      </w:r>
      <w:r w:rsidRPr="003D1480">
        <w:rPr>
          <w:bCs/>
          <w:sz w:val="28"/>
          <w:szCs w:val="28"/>
        </w:rPr>
        <w:t>La conclusión a la que llega la sentencia objeto de tutela en relación con la aplicación preferente del artículo 126 superior respecto de lo dispuesto en el artículo 257A de la Carta para la convocatoria para configurar las ternas a la CNDJ, vulnera los derechos fundamentales de la entidad accionante?</w:t>
      </w:r>
    </w:p>
    <w:p w14:paraId="62A9927E" w14:textId="77777777" w:rsidR="00AE1B4A" w:rsidRPr="003D1480" w:rsidRDefault="00AE1B4A" w:rsidP="00AE1B4A">
      <w:pPr>
        <w:pStyle w:val="NormalWeb"/>
        <w:tabs>
          <w:tab w:val="left" w:pos="284"/>
        </w:tabs>
        <w:spacing w:before="0" w:beforeAutospacing="0" w:after="0" w:afterAutospacing="0"/>
        <w:ind w:right="40"/>
        <w:jc w:val="both"/>
        <w:rPr>
          <w:bCs/>
          <w:sz w:val="28"/>
          <w:szCs w:val="28"/>
        </w:rPr>
      </w:pPr>
    </w:p>
    <w:p w14:paraId="1E65E1A3" w14:textId="77777777" w:rsidR="00AE1B4A" w:rsidRPr="003D1480" w:rsidRDefault="00AE1B4A" w:rsidP="00AE1B4A">
      <w:pPr>
        <w:pStyle w:val="NormalWeb"/>
        <w:numPr>
          <w:ilvl w:val="0"/>
          <w:numId w:val="10"/>
        </w:numPr>
        <w:tabs>
          <w:tab w:val="left" w:pos="284"/>
          <w:tab w:val="left" w:pos="6804"/>
        </w:tabs>
        <w:spacing w:before="0" w:beforeAutospacing="0" w:after="0" w:afterAutospacing="0"/>
        <w:ind w:right="40"/>
        <w:jc w:val="both"/>
        <w:rPr>
          <w:sz w:val="28"/>
          <w:szCs w:val="28"/>
        </w:rPr>
      </w:pPr>
      <w:r w:rsidRPr="003D1480">
        <w:rPr>
          <w:bCs/>
          <w:sz w:val="28"/>
          <w:szCs w:val="28"/>
        </w:rPr>
        <w:t xml:space="preserve">Si el análisis de procedencia formal de la presente acción de tutela prospera, la Corte resolverá los problemas jurídicos descritos, tomando en consideración los siguientes ejes temáticos: </w:t>
      </w:r>
    </w:p>
    <w:p w14:paraId="458DF957" w14:textId="77777777" w:rsidR="00AE1B4A" w:rsidRPr="002E4477" w:rsidRDefault="00AE1B4A" w:rsidP="00AE1B4A">
      <w:pPr>
        <w:pStyle w:val="NormalWeb"/>
        <w:tabs>
          <w:tab w:val="left" w:pos="284"/>
          <w:tab w:val="left" w:pos="6804"/>
        </w:tabs>
        <w:spacing w:before="0" w:beforeAutospacing="0" w:after="0" w:afterAutospacing="0"/>
        <w:ind w:right="40"/>
        <w:jc w:val="both"/>
        <w:rPr>
          <w:bCs/>
          <w:sz w:val="28"/>
          <w:szCs w:val="28"/>
        </w:rPr>
      </w:pPr>
    </w:p>
    <w:p w14:paraId="72A35140" w14:textId="77777777" w:rsidR="00AE1B4A" w:rsidRPr="003D1480" w:rsidRDefault="00AE1B4A" w:rsidP="00AE1B4A">
      <w:pPr>
        <w:pStyle w:val="NormalWeb"/>
        <w:tabs>
          <w:tab w:val="left" w:pos="284"/>
          <w:tab w:val="left" w:pos="6804"/>
        </w:tabs>
        <w:spacing w:before="0" w:beforeAutospacing="0" w:after="0" w:afterAutospacing="0"/>
        <w:ind w:right="40"/>
        <w:jc w:val="both"/>
        <w:rPr>
          <w:bCs/>
          <w:sz w:val="28"/>
          <w:szCs w:val="28"/>
        </w:rPr>
      </w:pPr>
      <w:r w:rsidRPr="003D1480">
        <w:rPr>
          <w:b/>
          <w:bCs/>
          <w:sz w:val="28"/>
          <w:szCs w:val="28"/>
        </w:rPr>
        <w:t xml:space="preserve">(a) </w:t>
      </w:r>
      <w:r w:rsidRPr="003D1480">
        <w:rPr>
          <w:bCs/>
          <w:sz w:val="28"/>
          <w:szCs w:val="28"/>
        </w:rPr>
        <w:t xml:space="preserve">Bajo el título </w:t>
      </w:r>
      <w:r w:rsidRPr="003D1480">
        <w:rPr>
          <w:b/>
          <w:bCs/>
          <w:sz w:val="28"/>
          <w:szCs w:val="28"/>
        </w:rPr>
        <w:t>“</w:t>
      </w:r>
      <w:r w:rsidRPr="003D1480">
        <w:rPr>
          <w:b/>
          <w:bCs/>
          <w:i/>
          <w:sz w:val="28"/>
          <w:szCs w:val="28"/>
        </w:rPr>
        <w:t>Del control abstracto de la Corte Constitucional</w:t>
      </w:r>
      <w:r w:rsidRPr="003D1480">
        <w:rPr>
          <w:b/>
          <w:bCs/>
          <w:sz w:val="28"/>
          <w:szCs w:val="28"/>
        </w:rPr>
        <w:t>”</w:t>
      </w:r>
      <w:r w:rsidRPr="003D1480">
        <w:rPr>
          <w:bCs/>
          <w:sz w:val="28"/>
          <w:szCs w:val="28"/>
        </w:rPr>
        <w:t xml:space="preserve">, la Sala revisará algunos aspectos generales relacionados con el principio de supremacía de la Constitución y con el papel de esta Corporación en lo que respecta al control de constitucionalidad. En este acápite analizará la figura de la cosa juzgada constitucional, con el propósito de destacar la importancia de las atribuciones y responsabilidades constitucionales que le competen a esta Corte y el alcance de sus sentencias, en estas tareas específicas. </w:t>
      </w:r>
    </w:p>
    <w:p w14:paraId="7E70EB7F" w14:textId="77777777" w:rsidR="00AE1B4A" w:rsidRPr="003D1480" w:rsidRDefault="00AE1B4A" w:rsidP="00AE1B4A">
      <w:pPr>
        <w:pStyle w:val="NormalWeb"/>
        <w:tabs>
          <w:tab w:val="left" w:pos="284"/>
          <w:tab w:val="left" w:pos="6804"/>
        </w:tabs>
        <w:spacing w:before="0" w:beforeAutospacing="0" w:after="0" w:afterAutospacing="0"/>
        <w:ind w:right="40"/>
        <w:jc w:val="both"/>
        <w:rPr>
          <w:bCs/>
          <w:sz w:val="28"/>
          <w:szCs w:val="28"/>
        </w:rPr>
      </w:pPr>
    </w:p>
    <w:p w14:paraId="4D077307" w14:textId="77777777" w:rsidR="00AE1B4A" w:rsidRPr="003D1480" w:rsidRDefault="00AE1B4A" w:rsidP="00AE1B4A">
      <w:pPr>
        <w:pStyle w:val="NormalWeb"/>
        <w:tabs>
          <w:tab w:val="left" w:pos="284"/>
          <w:tab w:val="left" w:pos="6804"/>
        </w:tabs>
        <w:spacing w:before="0" w:beforeAutospacing="0" w:after="0" w:afterAutospacing="0"/>
        <w:ind w:right="40"/>
        <w:jc w:val="both"/>
        <w:rPr>
          <w:sz w:val="28"/>
          <w:szCs w:val="28"/>
        </w:rPr>
      </w:pPr>
      <w:r w:rsidRPr="003D1480">
        <w:rPr>
          <w:bCs/>
          <w:sz w:val="28"/>
          <w:szCs w:val="28"/>
        </w:rPr>
        <w:lastRenderedPageBreak/>
        <w:t xml:space="preserve">Por lo tanto, la Sala se propondrá examinar bajo esta primera descripción temática: </w:t>
      </w:r>
      <w:r w:rsidRPr="003D1480">
        <w:rPr>
          <w:b/>
          <w:bCs/>
          <w:sz w:val="28"/>
          <w:szCs w:val="28"/>
        </w:rPr>
        <w:t xml:space="preserve">(i) </w:t>
      </w:r>
      <w:r w:rsidRPr="003D1480">
        <w:rPr>
          <w:bCs/>
          <w:sz w:val="28"/>
          <w:szCs w:val="28"/>
        </w:rPr>
        <w:t>el principio de supremacía de la Constitución y</w:t>
      </w:r>
      <w:r w:rsidRPr="003D1480">
        <w:rPr>
          <w:b/>
          <w:bCs/>
          <w:sz w:val="28"/>
          <w:szCs w:val="28"/>
        </w:rPr>
        <w:t xml:space="preserve"> </w:t>
      </w:r>
      <w:r w:rsidRPr="003D1480">
        <w:rPr>
          <w:bCs/>
          <w:sz w:val="28"/>
          <w:szCs w:val="28"/>
        </w:rPr>
        <w:t xml:space="preserve">las diferencias que existen entre el control de constitucionalidad que adelanta la Corte Constitucional  y el control abstracto de inconstitucionalidad que realiza el Consejo de Estado; </w:t>
      </w:r>
      <w:r w:rsidRPr="003D1480">
        <w:rPr>
          <w:b/>
          <w:bCs/>
          <w:sz w:val="28"/>
          <w:szCs w:val="28"/>
        </w:rPr>
        <w:t>(ii)</w:t>
      </w:r>
      <w:r w:rsidRPr="003D1480">
        <w:rPr>
          <w:bCs/>
          <w:sz w:val="28"/>
          <w:szCs w:val="28"/>
        </w:rPr>
        <w:t xml:space="preserve"> la figura de la cosa juzgada constitucional, la modulación de los efectos de sus fallos de constitucionalidad y su carácter vinculante; y </w:t>
      </w:r>
      <w:r w:rsidRPr="003D1480">
        <w:rPr>
          <w:b/>
          <w:bCs/>
          <w:sz w:val="28"/>
          <w:szCs w:val="28"/>
        </w:rPr>
        <w:t>(iii)</w:t>
      </w:r>
      <w:r w:rsidRPr="003D1480">
        <w:rPr>
          <w:bCs/>
          <w:sz w:val="28"/>
          <w:szCs w:val="28"/>
        </w:rPr>
        <w:t xml:space="preserve"> el alcance de la doctrina constitucional, en materia de sustitución de la Constitución. </w:t>
      </w:r>
    </w:p>
    <w:p w14:paraId="31D4B22E" w14:textId="77777777" w:rsidR="00AE1B4A" w:rsidRPr="003D1480" w:rsidRDefault="00AE1B4A" w:rsidP="00AE1B4A">
      <w:pPr>
        <w:pStyle w:val="NormalWeb"/>
        <w:tabs>
          <w:tab w:val="left" w:pos="284"/>
        </w:tabs>
        <w:spacing w:before="0" w:beforeAutospacing="0" w:after="0" w:afterAutospacing="0"/>
        <w:ind w:right="40"/>
        <w:jc w:val="both"/>
        <w:rPr>
          <w:sz w:val="28"/>
          <w:szCs w:val="28"/>
        </w:rPr>
      </w:pPr>
    </w:p>
    <w:p w14:paraId="47C451FF" w14:textId="77777777" w:rsidR="00AE1B4A" w:rsidRPr="003D1480" w:rsidRDefault="00AE1B4A" w:rsidP="00AE1B4A">
      <w:pPr>
        <w:pStyle w:val="NormalWeb"/>
        <w:tabs>
          <w:tab w:val="left" w:pos="284"/>
        </w:tabs>
        <w:spacing w:before="0" w:beforeAutospacing="0" w:after="0" w:afterAutospacing="0"/>
        <w:ind w:right="40"/>
        <w:jc w:val="both"/>
        <w:rPr>
          <w:sz w:val="28"/>
          <w:szCs w:val="28"/>
        </w:rPr>
      </w:pPr>
      <w:r w:rsidRPr="003D1480">
        <w:rPr>
          <w:b/>
          <w:sz w:val="28"/>
          <w:szCs w:val="28"/>
        </w:rPr>
        <w:t>(b)</w:t>
      </w:r>
      <w:r w:rsidRPr="003D1480">
        <w:rPr>
          <w:bCs/>
          <w:sz w:val="28"/>
          <w:szCs w:val="28"/>
        </w:rPr>
        <w:t xml:space="preserve"> En un segundo eje temático, referido a la situación particular del CSJ, que se denominará “</w:t>
      </w:r>
      <w:r w:rsidRPr="003D1480">
        <w:rPr>
          <w:b/>
          <w:bCs/>
          <w:i/>
          <w:sz w:val="28"/>
          <w:szCs w:val="28"/>
        </w:rPr>
        <w:t>De las potestades legales y reglamentarias y el Consejo Superior de la Judicatura”</w:t>
      </w:r>
      <w:r w:rsidRPr="003D1480">
        <w:rPr>
          <w:bCs/>
          <w:sz w:val="28"/>
          <w:szCs w:val="28"/>
        </w:rPr>
        <w:t xml:space="preserve"> la Sala reflexionará sobre: </w:t>
      </w:r>
      <w:bookmarkStart w:id="7" w:name="_Hlk25942570"/>
      <w:r w:rsidRPr="003D1480">
        <w:rPr>
          <w:b/>
          <w:bCs/>
          <w:sz w:val="28"/>
          <w:szCs w:val="28"/>
        </w:rPr>
        <w:t>(i)</w:t>
      </w:r>
      <w:r w:rsidRPr="003D1480">
        <w:rPr>
          <w:bCs/>
          <w:sz w:val="28"/>
          <w:szCs w:val="28"/>
        </w:rPr>
        <w:t xml:space="preserve"> la cláusula general de competencia y la reserva de ley; </w:t>
      </w:r>
      <w:r w:rsidRPr="003D1480">
        <w:rPr>
          <w:b/>
          <w:bCs/>
          <w:sz w:val="28"/>
          <w:szCs w:val="28"/>
        </w:rPr>
        <w:t>(ii)</w:t>
      </w:r>
      <w:r w:rsidRPr="003D1480">
        <w:rPr>
          <w:bCs/>
          <w:sz w:val="28"/>
          <w:szCs w:val="28"/>
        </w:rPr>
        <w:t xml:space="preserve"> la facultad reglamentaria y la existencia de los reglamentos autónomos en la Carta; </w:t>
      </w:r>
      <w:r w:rsidRPr="003D1480">
        <w:rPr>
          <w:b/>
          <w:bCs/>
          <w:sz w:val="28"/>
          <w:szCs w:val="28"/>
        </w:rPr>
        <w:t xml:space="preserve">(iii) </w:t>
      </w:r>
      <w:r w:rsidRPr="003D1480">
        <w:rPr>
          <w:bCs/>
          <w:sz w:val="28"/>
          <w:szCs w:val="28"/>
        </w:rPr>
        <w:t xml:space="preserve">la situación actual de Consejo Superior de la Judicatura, de la Sala Disciplinaria del CSJ y de la Comisión Nacional de Disciplina Judicial y </w:t>
      </w:r>
      <w:r w:rsidRPr="003D1480">
        <w:rPr>
          <w:b/>
          <w:bCs/>
          <w:sz w:val="28"/>
          <w:szCs w:val="28"/>
        </w:rPr>
        <w:t>(vi)</w:t>
      </w:r>
      <w:r w:rsidRPr="003D1480">
        <w:rPr>
          <w:bCs/>
          <w:sz w:val="28"/>
          <w:szCs w:val="28"/>
        </w:rPr>
        <w:t xml:space="preserve"> la importancia de la acción de tutela contra providencias judiciales en circunstancias jurídicas complejas, como las que en este caso se plantean. </w:t>
      </w:r>
    </w:p>
    <w:p w14:paraId="518A81D2" w14:textId="77777777" w:rsidR="00AE1B4A" w:rsidRPr="003D1480" w:rsidRDefault="00AE1B4A" w:rsidP="00AE1B4A">
      <w:pPr>
        <w:pStyle w:val="NormalWeb"/>
        <w:tabs>
          <w:tab w:val="left" w:pos="284"/>
        </w:tabs>
        <w:spacing w:before="0" w:beforeAutospacing="0" w:after="0" w:afterAutospacing="0"/>
        <w:ind w:right="40"/>
        <w:jc w:val="both"/>
        <w:rPr>
          <w:sz w:val="28"/>
          <w:szCs w:val="28"/>
        </w:rPr>
      </w:pPr>
    </w:p>
    <w:bookmarkEnd w:id="7"/>
    <w:p w14:paraId="49A33B7E" w14:textId="77777777" w:rsidR="00AE1B4A" w:rsidRPr="003D1480" w:rsidRDefault="00AE1B4A" w:rsidP="00AE1B4A">
      <w:pPr>
        <w:pStyle w:val="NormalWeb"/>
        <w:numPr>
          <w:ilvl w:val="0"/>
          <w:numId w:val="10"/>
        </w:numPr>
        <w:tabs>
          <w:tab w:val="left" w:pos="284"/>
        </w:tabs>
        <w:spacing w:before="0" w:beforeAutospacing="0" w:after="0" w:afterAutospacing="0"/>
        <w:ind w:right="40"/>
        <w:jc w:val="both"/>
        <w:rPr>
          <w:sz w:val="28"/>
          <w:szCs w:val="28"/>
        </w:rPr>
      </w:pPr>
      <w:r w:rsidRPr="003D1480">
        <w:rPr>
          <w:bCs/>
          <w:sz w:val="28"/>
          <w:szCs w:val="28"/>
        </w:rPr>
        <w:t xml:space="preserve">Evaluados los aspectos legales y jurisprudenciales que apoyan la discusión, la Corte </w:t>
      </w:r>
      <w:r w:rsidRPr="003D1480">
        <w:rPr>
          <w:bCs/>
          <w:sz w:val="28"/>
          <w:szCs w:val="28"/>
          <w:lang w:val="es-ES"/>
        </w:rPr>
        <w:t xml:space="preserve">estudiará </w:t>
      </w:r>
      <w:r w:rsidRPr="003D1480">
        <w:rPr>
          <w:bCs/>
          <w:sz w:val="28"/>
          <w:szCs w:val="28"/>
        </w:rPr>
        <w:t xml:space="preserve">el alcance actual del artículo 257A de la Carta conforme a las consideraciones establecidas en la </w:t>
      </w:r>
      <w:r w:rsidRPr="003D1480">
        <w:rPr>
          <w:b/>
          <w:bCs/>
          <w:sz w:val="28"/>
          <w:szCs w:val="28"/>
        </w:rPr>
        <w:t>Sentencia C-285 de 2016</w:t>
      </w:r>
      <w:r w:rsidRPr="003D1480">
        <w:rPr>
          <w:bCs/>
          <w:sz w:val="28"/>
          <w:szCs w:val="28"/>
          <w:lang w:val="es-ES"/>
        </w:rPr>
        <w:t xml:space="preserve"> y los criterios de interpretación que son plausibles en el caso que se analiza, para dar a partir de allí una respuesta constitucionalmente apropiada, a los problemas jurídicos propuestos. </w:t>
      </w:r>
    </w:p>
    <w:p w14:paraId="162E2153" w14:textId="77777777" w:rsidR="00AE1B4A" w:rsidRDefault="00AE1B4A" w:rsidP="00AE1B4A">
      <w:pPr>
        <w:pStyle w:val="NormalWeb"/>
        <w:tabs>
          <w:tab w:val="left" w:pos="284"/>
        </w:tabs>
        <w:spacing w:before="0" w:beforeAutospacing="0" w:after="0" w:afterAutospacing="0" w:line="276" w:lineRule="auto"/>
        <w:ind w:right="40"/>
        <w:jc w:val="both"/>
        <w:rPr>
          <w:b/>
          <w:bCs/>
          <w:sz w:val="30"/>
          <w:szCs w:val="30"/>
        </w:rPr>
      </w:pPr>
    </w:p>
    <w:p w14:paraId="02C12ABF" w14:textId="77777777" w:rsidR="00AE1B4A" w:rsidRDefault="00AE1B4A" w:rsidP="00AE1B4A">
      <w:pPr>
        <w:pStyle w:val="NormalWeb"/>
        <w:tabs>
          <w:tab w:val="left" w:pos="284"/>
        </w:tabs>
        <w:spacing w:before="0" w:beforeAutospacing="0" w:after="0" w:afterAutospacing="0"/>
        <w:ind w:right="40"/>
        <w:jc w:val="both"/>
        <w:rPr>
          <w:b/>
          <w:bCs/>
          <w:sz w:val="30"/>
          <w:szCs w:val="30"/>
        </w:rPr>
      </w:pPr>
      <w:r w:rsidRPr="002E4477">
        <w:rPr>
          <w:b/>
          <w:bCs/>
          <w:sz w:val="30"/>
          <w:szCs w:val="30"/>
        </w:rPr>
        <w:t>Procedencia</w:t>
      </w:r>
      <w:r>
        <w:rPr>
          <w:b/>
          <w:bCs/>
          <w:sz w:val="30"/>
          <w:szCs w:val="30"/>
        </w:rPr>
        <w:t xml:space="preserve"> formal</w:t>
      </w:r>
      <w:r w:rsidRPr="002E4477">
        <w:rPr>
          <w:b/>
          <w:bCs/>
          <w:sz w:val="30"/>
          <w:szCs w:val="30"/>
        </w:rPr>
        <w:t xml:space="preserve"> de la acción de tutela</w:t>
      </w:r>
      <w:r>
        <w:rPr>
          <w:b/>
          <w:bCs/>
          <w:sz w:val="30"/>
          <w:szCs w:val="30"/>
        </w:rPr>
        <w:t xml:space="preserve"> </w:t>
      </w:r>
    </w:p>
    <w:p w14:paraId="4791A0B3" w14:textId="77777777" w:rsidR="00AE1B4A" w:rsidRPr="009A6400" w:rsidRDefault="00AE1B4A" w:rsidP="00AE1B4A">
      <w:pPr>
        <w:pStyle w:val="NormalWeb"/>
        <w:tabs>
          <w:tab w:val="left" w:pos="284"/>
        </w:tabs>
        <w:spacing w:before="0" w:beforeAutospacing="0" w:after="0" w:afterAutospacing="0"/>
        <w:ind w:right="40"/>
        <w:jc w:val="both"/>
        <w:rPr>
          <w:b/>
          <w:bCs/>
          <w:sz w:val="30"/>
          <w:szCs w:val="30"/>
        </w:rPr>
      </w:pPr>
    </w:p>
    <w:p w14:paraId="38CEDF87" w14:textId="77777777" w:rsidR="00AE1B4A" w:rsidRPr="002E4477" w:rsidRDefault="00AE1B4A" w:rsidP="00AE1B4A">
      <w:pPr>
        <w:pStyle w:val="NormalWeb"/>
        <w:spacing w:before="0" w:beforeAutospacing="0" w:after="0" w:afterAutospacing="0"/>
        <w:jc w:val="both"/>
        <w:rPr>
          <w:b/>
          <w:bCs/>
          <w:i/>
          <w:iCs/>
          <w:sz w:val="28"/>
          <w:szCs w:val="28"/>
        </w:rPr>
      </w:pPr>
      <w:r w:rsidRPr="002E4477">
        <w:rPr>
          <w:b/>
          <w:bCs/>
          <w:i/>
          <w:iCs/>
          <w:sz w:val="28"/>
          <w:szCs w:val="28"/>
        </w:rPr>
        <w:t>Legitimación en la causa por activa</w:t>
      </w:r>
      <w:r w:rsidRPr="002E4477">
        <w:rPr>
          <w:rStyle w:val="Refdenotaalpie"/>
          <w:b/>
          <w:bCs/>
          <w:i/>
          <w:iCs/>
          <w:sz w:val="28"/>
          <w:szCs w:val="28"/>
          <w:bdr w:val="none" w:sz="0" w:space="0" w:color="auto" w:frame="1"/>
          <w:lang w:eastAsia="es-ES"/>
        </w:rPr>
        <w:footnoteReference w:id="82"/>
      </w:r>
      <w:r w:rsidRPr="002E4477">
        <w:rPr>
          <w:b/>
          <w:bCs/>
          <w:i/>
          <w:iCs/>
          <w:sz w:val="28"/>
          <w:szCs w:val="28"/>
          <w:bdr w:val="none" w:sz="0" w:space="0" w:color="auto" w:frame="1"/>
          <w:lang w:eastAsia="es-ES"/>
        </w:rPr>
        <w:t xml:space="preserve"> </w:t>
      </w:r>
      <w:r w:rsidRPr="002E4477">
        <w:rPr>
          <w:b/>
          <w:bCs/>
          <w:i/>
          <w:iCs/>
          <w:sz w:val="28"/>
          <w:szCs w:val="28"/>
        </w:rPr>
        <w:t xml:space="preserve"> y por pasiva</w:t>
      </w:r>
    </w:p>
    <w:p w14:paraId="7362091E" w14:textId="77777777" w:rsidR="00AE1B4A" w:rsidRPr="002E4477" w:rsidRDefault="00AE1B4A" w:rsidP="00AE1B4A">
      <w:pPr>
        <w:pStyle w:val="NormalWeb"/>
        <w:tabs>
          <w:tab w:val="left" w:pos="284"/>
        </w:tabs>
        <w:spacing w:before="0" w:beforeAutospacing="0" w:after="0" w:afterAutospacing="0"/>
        <w:ind w:right="40"/>
        <w:jc w:val="both"/>
        <w:rPr>
          <w:sz w:val="28"/>
          <w:szCs w:val="28"/>
        </w:rPr>
      </w:pPr>
    </w:p>
    <w:p w14:paraId="1304C441" w14:textId="77777777" w:rsidR="00AE1B4A" w:rsidRPr="002E4477" w:rsidRDefault="00AE1B4A" w:rsidP="00AE1B4A">
      <w:pPr>
        <w:pStyle w:val="NormalWeb"/>
        <w:numPr>
          <w:ilvl w:val="0"/>
          <w:numId w:val="10"/>
        </w:numPr>
        <w:tabs>
          <w:tab w:val="left" w:pos="284"/>
        </w:tabs>
        <w:spacing w:before="0" w:beforeAutospacing="0" w:after="0" w:afterAutospacing="0"/>
        <w:ind w:right="40"/>
        <w:jc w:val="both"/>
        <w:rPr>
          <w:sz w:val="28"/>
          <w:szCs w:val="28"/>
        </w:rPr>
      </w:pPr>
      <w:r w:rsidRPr="002E4477">
        <w:rPr>
          <w:sz w:val="28"/>
          <w:szCs w:val="28"/>
        </w:rPr>
        <w:t>De acuerdo con el artículo 86 de la Carta Política, toda persona podrá presentar acción de tutela ante los jueces para procurar la protección inmediata de sus derechos constitucionales fundamentales, cuando estos resulten vulnerados o amenazados por la acción u omisión de cualquier autoridad pública o de un particular.</w:t>
      </w:r>
    </w:p>
    <w:p w14:paraId="38E9AAEF" w14:textId="77777777" w:rsidR="00AE1B4A" w:rsidRPr="002E4477" w:rsidRDefault="00AE1B4A" w:rsidP="00AE1B4A">
      <w:pPr>
        <w:pStyle w:val="NormalWeb"/>
        <w:tabs>
          <w:tab w:val="left" w:pos="284"/>
        </w:tabs>
        <w:spacing w:before="0" w:beforeAutospacing="0" w:after="0" w:afterAutospacing="0"/>
        <w:ind w:right="40"/>
        <w:jc w:val="both"/>
        <w:rPr>
          <w:sz w:val="28"/>
          <w:szCs w:val="28"/>
        </w:rPr>
      </w:pPr>
    </w:p>
    <w:p w14:paraId="774F6AF0" w14:textId="77777777" w:rsidR="00AE1B4A" w:rsidRPr="002E4477" w:rsidRDefault="00AE1B4A" w:rsidP="00AE1B4A">
      <w:pPr>
        <w:pStyle w:val="NormalWeb"/>
        <w:numPr>
          <w:ilvl w:val="0"/>
          <w:numId w:val="10"/>
        </w:numPr>
        <w:tabs>
          <w:tab w:val="left" w:pos="284"/>
        </w:tabs>
        <w:spacing w:before="0" w:beforeAutospacing="0" w:after="0" w:afterAutospacing="0"/>
        <w:ind w:right="40"/>
        <w:jc w:val="both"/>
        <w:rPr>
          <w:sz w:val="28"/>
          <w:szCs w:val="28"/>
        </w:rPr>
      </w:pPr>
      <w:r w:rsidRPr="002E4477">
        <w:rPr>
          <w:sz w:val="28"/>
          <w:szCs w:val="28"/>
        </w:rPr>
        <w:t xml:space="preserve">La legitimidad para el ejercicio de esta acción se encuentra regulada por el artículo 10 del Decreto 2591 de 1991, el cual establece que esta puede ser presentada: (i) directamente por el afectado; (ii) a través de su representante legal, (iii) por medio de apoderado judicial, o (iv) por medio de agente oficioso.  </w:t>
      </w:r>
    </w:p>
    <w:p w14:paraId="3CC66A68" w14:textId="77777777" w:rsidR="00AE1B4A" w:rsidRPr="002E4477" w:rsidRDefault="00AE1B4A" w:rsidP="00AE1B4A">
      <w:pPr>
        <w:pStyle w:val="Prrafodelista"/>
        <w:rPr>
          <w:szCs w:val="28"/>
        </w:rPr>
      </w:pPr>
    </w:p>
    <w:p w14:paraId="22ECDCF1" w14:textId="77777777" w:rsidR="00AE1B4A" w:rsidRPr="002E4477" w:rsidRDefault="00AE1B4A" w:rsidP="00AE1B4A">
      <w:pPr>
        <w:pStyle w:val="NormalWeb"/>
        <w:numPr>
          <w:ilvl w:val="0"/>
          <w:numId w:val="10"/>
        </w:numPr>
        <w:tabs>
          <w:tab w:val="left" w:pos="284"/>
        </w:tabs>
        <w:spacing w:before="0" w:beforeAutospacing="0" w:after="0" w:afterAutospacing="0"/>
        <w:ind w:right="40"/>
        <w:jc w:val="both"/>
        <w:rPr>
          <w:sz w:val="28"/>
          <w:szCs w:val="28"/>
        </w:rPr>
      </w:pPr>
      <w:r w:rsidRPr="002E4477">
        <w:rPr>
          <w:sz w:val="28"/>
          <w:szCs w:val="28"/>
        </w:rPr>
        <w:t xml:space="preserve">De esta manera, se encuentra </w:t>
      </w:r>
      <w:r w:rsidRPr="002E4477">
        <w:rPr>
          <w:b/>
          <w:i/>
          <w:sz w:val="28"/>
          <w:szCs w:val="28"/>
        </w:rPr>
        <w:t>legitimado por activa</w:t>
      </w:r>
      <w:r w:rsidRPr="002E4477">
        <w:rPr>
          <w:sz w:val="28"/>
          <w:szCs w:val="28"/>
        </w:rPr>
        <w:t xml:space="preserve"> quien promueva una acción de tutela, siempre que se presenten las siguientes condiciones: (i) que la persona actúe a nombre propio, a través de representante legal, o por medio </w:t>
      </w:r>
      <w:r w:rsidRPr="002E4477">
        <w:rPr>
          <w:sz w:val="28"/>
          <w:szCs w:val="28"/>
        </w:rPr>
        <w:lastRenderedPageBreak/>
        <w:t xml:space="preserve">de apoderado judicial o, incluso, mediante agente oficioso; y (ii) procure la protección inmediata de sus derechos constitucionales fundamentales. </w:t>
      </w:r>
    </w:p>
    <w:p w14:paraId="73E4D620" w14:textId="77777777" w:rsidR="00AE1B4A" w:rsidRPr="002E4477" w:rsidRDefault="00AE1B4A" w:rsidP="00AE1B4A">
      <w:pPr>
        <w:pStyle w:val="Prrafodelista"/>
        <w:rPr>
          <w:szCs w:val="28"/>
        </w:rPr>
      </w:pPr>
    </w:p>
    <w:p w14:paraId="2CF77BE4" w14:textId="77777777" w:rsidR="00AE1B4A" w:rsidRPr="002E4477" w:rsidRDefault="00AE1B4A" w:rsidP="00AE1B4A">
      <w:pPr>
        <w:pStyle w:val="NormalWeb"/>
        <w:numPr>
          <w:ilvl w:val="0"/>
          <w:numId w:val="10"/>
        </w:numPr>
        <w:tabs>
          <w:tab w:val="left" w:pos="284"/>
        </w:tabs>
        <w:spacing w:before="0" w:beforeAutospacing="0" w:after="0" w:afterAutospacing="0"/>
        <w:ind w:right="40"/>
        <w:jc w:val="both"/>
        <w:rPr>
          <w:sz w:val="28"/>
          <w:szCs w:val="28"/>
        </w:rPr>
      </w:pPr>
      <w:r w:rsidRPr="002E4477">
        <w:rPr>
          <w:sz w:val="28"/>
          <w:szCs w:val="28"/>
        </w:rPr>
        <w:t>En el caso objeto de estudio, quien interpone la acción de tutela es el Consejo Superior de la Judicatura, en cabeza de quien ostentaba el cargo de Presidente de la institución en su momento,</w:t>
      </w:r>
      <w:r w:rsidR="007F0C77">
        <w:rPr>
          <w:sz w:val="28"/>
          <w:szCs w:val="28"/>
        </w:rPr>
        <w:t xml:space="preserve"> </w:t>
      </w:r>
      <w:r w:rsidRPr="002E4477">
        <w:rPr>
          <w:sz w:val="28"/>
          <w:szCs w:val="28"/>
        </w:rPr>
        <w:t xml:space="preserve">Édgar Carlos Sanabria Melo. Dado que de conformidad con el </w:t>
      </w:r>
      <w:r w:rsidRPr="002E4477">
        <w:rPr>
          <w:b/>
          <w:sz w:val="28"/>
          <w:szCs w:val="28"/>
        </w:rPr>
        <w:t>Acuerdo No. PSAA16-10556</w:t>
      </w:r>
      <w:r w:rsidRPr="002E4477">
        <w:rPr>
          <w:rStyle w:val="Refdenotaalpie"/>
          <w:bCs/>
          <w:sz w:val="28"/>
          <w:szCs w:val="28"/>
        </w:rPr>
        <w:footnoteReference w:id="83"/>
      </w:r>
      <w:r w:rsidRPr="002E4477">
        <w:rPr>
          <w:sz w:val="28"/>
          <w:szCs w:val="28"/>
        </w:rPr>
        <w:t xml:space="preserve"> del 5 agosto de 2016, corresponde al Presidente de esa Corporación la representación del CSJ ante las autoridades públicas y los particulares (Art. 6), se cumple entonces el requisito de legitimación por activa</w:t>
      </w:r>
      <w:r>
        <w:rPr>
          <w:sz w:val="28"/>
          <w:szCs w:val="28"/>
        </w:rPr>
        <w:t>, en tanto que la tutela fue interpuesta por quien alega la afectación de los derechos fundamentales de la entidad que representa</w:t>
      </w:r>
      <w:r w:rsidRPr="002E4477">
        <w:rPr>
          <w:sz w:val="28"/>
          <w:szCs w:val="28"/>
        </w:rPr>
        <w:t xml:space="preserve">. </w:t>
      </w:r>
    </w:p>
    <w:p w14:paraId="2D58B3D2" w14:textId="77777777" w:rsidR="00AE1B4A" w:rsidRPr="00026121" w:rsidRDefault="00AE1B4A" w:rsidP="00AE1B4A">
      <w:pPr>
        <w:pStyle w:val="Prrafodelista"/>
        <w:rPr>
          <w:szCs w:val="28"/>
          <w:lang w:val="es-CO"/>
        </w:rPr>
      </w:pPr>
    </w:p>
    <w:p w14:paraId="3EF73889" w14:textId="77777777" w:rsidR="00AE1B4A" w:rsidRPr="002E4477" w:rsidRDefault="00AE1B4A" w:rsidP="00AE1B4A">
      <w:pPr>
        <w:pStyle w:val="NormalWeb"/>
        <w:numPr>
          <w:ilvl w:val="0"/>
          <w:numId w:val="10"/>
        </w:numPr>
        <w:tabs>
          <w:tab w:val="left" w:pos="284"/>
        </w:tabs>
        <w:spacing w:before="0" w:beforeAutospacing="0" w:after="0" w:afterAutospacing="0"/>
        <w:ind w:right="40"/>
        <w:jc w:val="both"/>
        <w:rPr>
          <w:sz w:val="28"/>
          <w:szCs w:val="28"/>
        </w:rPr>
      </w:pPr>
      <w:r w:rsidRPr="002E4477">
        <w:rPr>
          <w:sz w:val="28"/>
          <w:szCs w:val="28"/>
        </w:rPr>
        <w:t xml:space="preserve">En lo que concierne a la </w:t>
      </w:r>
      <w:r w:rsidRPr="002E4477">
        <w:rPr>
          <w:b/>
          <w:i/>
          <w:sz w:val="28"/>
          <w:szCs w:val="28"/>
        </w:rPr>
        <w:t>legitimación por pasiva</w:t>
      </w:r>
      <w:r w:rsidRPr="002E4477">
        <w:rPr>
          <w:sz w:val="28"/>
          <w:szCs w:val="28"/>
        </w:rPr>
        <w:t xml:space="preserve">, dicha exigencia se refiere a necesidad de </w:t>
      </w:r>
      <w:r w:rsidRPr="002E4477">
        <w:rPr>
          <w:bCs/>
          <w:iCs/>
          <w:sz w:val="28"/>
          <w:szCs w:val="28"/>
          <w:shd w:val="clear" w:color="auto" w:fill="FFFFFF"/>
        </w:rPr>
        <w:t>identificar de manera adecuada a quien ostenta la calidad de demandado, es decir, a quien por su acción u omisión provoca aparentemente la violación de los derechos fundamentales invocados.</w:t>
      </w:r>
      <w:r w:rsidRPr="002E4477">
        <w:rPr>
          <w:b/>
          <w:bCs/>
          <w:iCs/>
          <w:sz w:val="28"/>
          <w:szCs w:val="28"/>
          <w:shd w:val="clear" w:color="auto" w:fill="FFFFFF"/>
        </w:rPr>
        <w:t xml:space="preserve"> </w:t>
      </w:r>
      <w:r w:rsidRPr="002E4477">
        <w:rPr>
          <w:bCs/>
          <w:iCs/>
          <w:sz w:val="28"/>
          <w:szCs w:val="28"/>
          <w:shd w:val="clear" w:color="auto" w:fill="FFFFFF"/>
        </w:rPr>
        <w:t>L</w:t>
      </w:r>
      <w:r w:rsidRPr="002E4477">
        <w:rPr>
          <w:sz w:val="28"/>
          <w:szCs w:val="28"/>
        </w:rPr>
        <w:t xml:space="preserve">a verificación de la </w:t>
      </w:r>
      <w:r w:rsidRPr="002E4477">
        <w:rPr>
          <w:sz w:val="28"/>
          <w:szCs w:val="28"/>
          <w:bdr w:val="none" w:sz="0" w:space="0" w:color="auto" w:frame="1"/>
        </w:rPr>
        <w:t>capacidad legal del destinatario de la acción de tutela para ser acusado es relevante, pues es quien está llamado a responder por la vulneración o amenaza del derecho fundamental en el evento en que se acredite la misma dentro del proceso</w:t>
      </w:r>
      <w:r w:rsidRPr="002E4477">
        <w:rPr>
          <w:sz w:val="28"/>
          <w:szCs w:val="28"/>
          <w:bdr w:val="none" w:sz="0" w:space="0" w:color="auto" w:frame="1"/>
          <w:vertAlign w:val="superscript"/>
        </w:rPr>
        <w:footnoteReference w:id="84"/>
      </w:r>
      <w:r w:rsidRPr="002E4477">
        <w:rPr>
          <w:sz w:val="28"/>
          <w:szCs w:val="28"/>
          <w:bdr w:val="none" w:sz="0" w:space="0" w:color="auto" w:frame="1"/>
        </w:rPr>
        <w:t xml:space="preserve">. </w:t>
      </w:r>
    </w:p>
    <w:p w14:paraId="2D40B0EB" w14:textId="77777777" w:rsidR="00AE1B4A" w:rsidRPr="002E4477" w:rsidRDefault="00AE1B4A" w:rsidP="00AE1B4A">
      <w:pPr>
        <w:pStyle w:val="Prrafodelista"/>
        <w:rPr>
          <w:szCs w:val="28"/>
          <w:bdr w:val="none" w:sz="0" w:space="0" w:color="auto" w:frame="1"/>
          <w:lang w:val="es-ES_tradnl"/>
        </w:rPr>
      </w:pPr>
    </w:p>
    <w:p w14:paraId="25CFF659" w14:textId="77777777" w:rsidR="00AE1B4A" w:rsidRPr="00026121" w:rsidRDefault="00AE1B4A" w:rsidP="00AE1B4A">
      <w:pPr>
        <w:pStyle w:val="NormalWeb"/>
        <w:numPr>
          <w:ilvl w:val="0"/>
          <w:numId w:val="10"/>
        </w:numPr>
        <w:tabs>
          <w:tab w:val="left" w:pos="284"/>
        </w:tabs>
        <w:spacing w:before="0" w:beforeAutospacing="0" w:after="0" w:afterAutospacing="0"/>
        <w:ind w:right="40"/>
        <w:jc w:val="both"/>
        <w:rPr>
          <w:szCs w:val="28"/>
        </w:rPr>
      </w:pPr>
      <w:r w:rsidRPr="00026121">
        <w:rPr>
          <w:sz w:val="28"/>
          <w:szCs w:val="28"/>
          <w:bdr w:val="none" w:sz="0" w:space="0" w:color="auto" w:frame="1"/>
          <w:lang w:val="es-ES_tradnl"/>
        </w:rPr>
        <w:t>Según el artículo 86 de la Constitución Política y el Decreto 2591 de 1991, la tutela procede contra cualquier autoridad</w:t>
      </w:r>
      <w:r w:rsidR="007F0C77">
        <w:rPr>
          <w:sz w:val="28"/>
          <w:szCs w:val="28"/>
          <w:bdr w:val="none" w:sz="0" w:space="0" w:color="auto" w:frame="1"/>
          <w:lang w:val="es-ES_tradnl"/>
        </w:rPr>
        <w:t xml:space="preserve"> </w:t>
      </w:r>
      <w:r w:rsidRPr="00026121">
        <w:rPr>
          <w:sz w:val="28"/>
          <w:szCs w:val="28"/>
          <w:bdr w:val="none" w:sz="0" w:space="0" w:color="auto" w:frame="1"/>
          <w:lang w:val="es-ES_tradnl"/>
        </w:rPr>
        <w:t>pública y, excepcionalmente, contra particulares</w:t>
      </w:r>
      <w:r>
        <w:rPr>
          <w:sz w:val="28"/>
          <w:szCs w:val="28"/>
          <w:bdr w:val="none" w:sz="0" w:space="0" w:color="auto" w:frame="1"/>
          <w:lang w:val="es-ES_tradnl"/>
        </w:rPr>
        <w:t>.</w:t>
      </w:r>
    </w:p>
    <w:p w14:paraId="362A790B" w14:textId="77777777" w:rsidR="00AE1B4A" w:rsidRPr="00026121" w:rsidRDefault="00AE1B4A" w:rsidP="00AE1B4A">
      <w:pPr>
        <w:pStyle w:val="NormalWeb"/>
        <w:tabs>
          <w:tab w:val="left" w:pos="284"/>
        </w:tabs>
        <w:spacing w:before="0" w:beforeAutospacing="0" w:after="0" w:afterAutospacing="0"/>
        <w:ind w:right="40"/>
        <w:jc w:val="both"/>
        <w:rPr>
          <w:szCs w:val="28"/>
        </w:rPr>
      </w:pPr>
    </w:p>
    <w:p w14:paraId="16726421" w14:textId="77777777" w:rsidR="00AE1B4A" w:rsidRPr="003D1480" w:rsidRDefault="00AE1B4A" w:rsidP="00AE1B4A">
      <w:pPr>
        <w:pStyle w:val="NormalWeb"/>
        <w:numPr>
          <w:ilvl w:val="0"/>
          <w:numId w:val="10"/>
        </w:numPr>
        <w:tabs>
          <w:tab w:val="left" w:pos="284"/>
        </w:tabs>
        <w:spacing w:before="0" w:beforeAutospacing="0" w:after="0" w:afterAutospacing="0"/>
        <w:ind w:right="40"/>
        <w:jc w:val="both"/>
        <w:rPr>
          <w:sz w:val="28"/>
          <w:szCs w:val="28"/>
        </w:rPr>
      </w:pPr>
      <w:r w:rsidRPr="002E4477">
        <w:rPr>
          <w:sz w:val="28"/>
          <w:szCs w:val="28"/>
          <w:bdr w:val="none" w:sz="0" w:space="0" w:color="auto" w:frame="1"/>
          <w:lang w:val="es-ES_tradnl"/>
        </w:rPr>
        <w:t xml:space="preserve">En el asunto de la referencia, como se trata de una tutela contra una providencia judicial y </w:t>
      </w:r>
      <w:r w:rsidRPr="002E4477">
        <w:rPr>
          <w:sz w:val="28"/>
          <w:szCs w:val="28"/>
        </w:rPr>
        <w:t xml:space="preserve">la acción se </w:t>
      </w:r>
      <w:r w:rsidRPr="003D1480">
        <w:rPr>
          <w:sz w:val="28"/>
          <w:szCs w:val="28"/>
        </w:rPr>
        <w:t>dirige contra la sentencia del 6 de febrero de 2018, proferida por una autoridad judicial - en este caso, la Sala Plena de lo Contencioso Administrativo del Consejo de Estado-, se cumple el requisito de legitimación por pasiva correspondiente.</w:t>
      </w:r>
    </w:p>
    <w:p w14:paraId="3D780441" w14:textId="77777777" w:rsidR="00AE1B4A" w:rsidRPr="003D1480" w:rsidRDefault="00AE1B4A" w:rsidP="00AE1B4A">
      <w:pPr>
        <w:pStyle w:val="NormalWeb"/>
        <w:spacing w:before="0" w:beforeAutospacing="0" w:after="0" w:afterAutospacing="0"/>
        <w:jc w:val="both"/>
        <w:rPr>
          <w:b/>
          <w:bCs/>
          <w:i/>
          <w:iCs/>
          <w:sz w:val="28"/>
          <w:szCs w:val="28"/>
        </w:rPr>
      </w:pPr>
    </w:p>
    <w:p w14:paraId="40480948" w14:textId="77777777" w:rsidR="00AE1B4A" w:rsidRPr="003D1480" w:rsidRDefault="00AE1B4A" w:rsidP="00AE1B4A">
      <w:pPr>
        <w:pStyle w:val="NormalWeb"/>
        <w:spacing w:before="0" w:beforeAutospacing="0" w:after="0" w:afterAutospacing="0"/>
        <w:jc w:val="both"/>
        <w:rPr>
          <w:b/>
          <w:bCs/>
          <w:sz w:val="28"/>
          <w:szCs w:val="28"/>
        </w:rPr>
      </w:pPr>
      <w:r w:rsidRPr="003D1480">
        <w:rPr>
          <w:b/>
          <w:bCs/>
          <w:sz w:val="28"/>
          <w:szCs w:val="28"/>
        </w:rPr>
        <w:t xml:space="preserve">Procedencia de la acción de tutela contra providencias judiciales por el cumplimiento de los requisitos generales </w:t>
      </w:r>
    </w:p>
    <w:p w14:paraId="2698D691" w14:textId="77777777" w:rsidR="00AE1B4A" w:rsidRPr="003D1480" w:rsidRDefault="00AE1B4A" w:rsidP="00AE1B4A">
      <w:pPr>
        <w:pStyle w:val="NormalWeb"/>
        <w:spacing w:before="0" w:beforeAutospacing="0" w:after="0" w:afterAutospacing="0"/>
        <w:jc w:val="both"/>
        <w:rPr>
          <w:b/>
          <w:bCs/>
          <w:i/>
          <w:iCs/>
          <w:sz w:val="28"/>
          <w:szCs w:val="28"/>
        </w:rPr>
      </w:pPr>
    </w:p>
    <w:p w14:paraId="506C301F" w14:textId="77777777" w:rsidR="00AE1B4A" w:rsidRPr="003D1480" w:rsidRDefault="00AE1B4A" w:rsidP="00AE1B4A">
      <w:pPr>
        <w:pStyle w:val="Prrafodelista"/>
        <w:numPr>
          <w:ilvl w:val="0"/>
          <w:numId w:val="10"/>
        </w:numPr>
        <w:shd w:val="clear" w:color="auto" w:fill="FFFFFF"/>
        <w:jc w:val="both"/>
        <w:rPr>
          <w:szCs w:val="28"/>
        </w:rPr>
      </w:pPr>
      <w:r w:rsidRPr="003D1480">
        <w:rPr>
          <w:szCs w:val="28"/>
        </w:rPr>
        <w:t>El artículo 86 de la Carta Política habilita</w:t>
      </w:r>
      <w:r w:rsidRPr="002E4477">
        <w:rPr>
          <w:szCs w:val="28"/>
        </w:rPr>
        <w:t xml:space="preserve"> la existencia de la acción de tutela contra providencias judiciales, al admitir la viabilidad del amparo constitucional en contra de autoridades públicas, entre las que se encuentran naturalmente las autoridades judiciales. Sin embargo, la procedencia de la acción también se ha considerado por la jurisprudencia como “excepcional”, debido al reconocimiento que el ordenamiento hace a la importancia de los procesos ordinarios, los cuáles, en sí mismos, contribuyen también a garantizar la protección de los derechos de las personas, el respeto que se </w:t>
      </w:r>
      <w:r w:rsidRPr="003D1480">
        <w:rPr>
          <w:szCs w:val="28"/>
        </w:rPr>
        <w:lastRenderedPageBreak/>
        <w:t>requiere a los principios de seguridad jurídica y cosa juzgada, y la idea de independencia funcional de los jueces</w:t>
      </w:r>
      <w:r w:rsidRPr="003D1480">
        <w:rPr>
          <w:rStyle w:val="Refdenotaalpie"/>
          <w:szCs w:val="28"/>
        </w:rPr>
        <w:footnoteReference w:id="85"/>
      </w:r>
      <w:r w:rsidRPr="003D1480">
        <w:rPr>
          <w:szCs w:val="28"/>
        </w:rPr>
        <w:t xml:space="preserve">. </w:t>
      </w:r>
    </w:p>
    <w:p w14:paraId="617EFEFC" w14:textId="77777777" w:rsidR="00AE1B4A" w:rsidRPr="003D1480" w:rsidRDefault="00AE1B4A" w:rsidP="00AE1B4A">
      <w:pPr>
        <w:pStyle w:val="Prrafodelista"/>
        <w:shd w:val="clear" w:color="auto" w:fill="FFFFFF"/>
        <w:ind w:left="0"/>
        <w:jc w:val="both"/>
        <w:rPr>
          <w:szCs w:val="28"/>
        </w:rPr>
      </w:pPr>
      <w:r w:rsidRPr="003D1480">
        <w:rPr>
          <w:szCs w:val="28"/>
        </w:rPr>
        <w:t> </w:t>
      </w:r>
    </w:p>
    <w:p w14:paraId="6008EEB3" w14:textId="77777777" w:rsidR="00AE1B4A" w:rsidRPr="002E4477" w:rsidRDefault="00AE1B4A" w:rsidP="00AE1B4A">
      <w:pPr>
        <w:pStyle w:val="Prrafodelista"/>
        <w:numPr>
          <w:ilvl w:val="0"/>
          <w:numId w:val="10"/>
        </w:numPr>
        <w:shd w:val="clear" w:color="auto" w:fill="FFFFFF"/>
        <w:jc w:val="both"/>
        <w:rPr>
          <w:szCs w:val="28"/>
        </w:rPr>
      </w:pPr>
      <w:r w:rsidRPr="003D1480">
        <w:rPr>
          <w:szCs w:val="28"/>
        </w:rPr>
        <w:t>En desarrollo de la procedencia excepcional de la tutela contra providencias, la Corte ha identificado requisitos específicos que se deben satisfacer para que se estudie una acción de tutela contra tales actuaciones judiciales. Se trata de requisitos generales de procedencia y de causales especiales de procedibilidad</w:t>
      </w:r>
      <w:r w:rsidRPr="002E4477">
        <w:rPr>
          <w:szCs w:val="28"/>
        </w:rPr>
        <w:t>.</w:t>
      </w:r>
    </w:p>
    <w:p w14:paraId="51BA2B1C" w14:textId="77777777" w:rsidR="00AE1B4A" w:rsidRPr="002E4477" w:rsidRDefault="00AE1B4A" w:rsidP="00AE1B4A">
      <w:pPr>
        <w:pStyle w:val="Prrafodelista"/>
        <w:rPr>
          <w:szCs w:val="28"/>
        </w:rPr>
      </w:pPr>
    </w:p>
    <w:p w14:paraId="6E14A218" w14:textId="77777777" w:rsidR="00AE1B4A" w:rsidRPr="002E4477" w:rsidRDefault="00AE1B4A" w:rsidP="00AE1B4A">
      <w:pPr>
        <w:pStyle w:val="Prrafodelista"/>
        <w:numPr>
          <w:ilvl w:val="0"/>
          <w:numId w:val="10"/>
        </w:numPr>
        <w:shd w:val="clear" w:color="auto" w:fill="FFFFFF"/>
        <w:jc w:val="both"/>
        <w:rPr>
          <w:szCs w:val="28"/>
        </w:rPr>
      </w:pPr>
      <w:r w:rsidRPr="002E4477">
        <w:rPr>
          <w:szCs w:val="28"/>
          <w:lang w:val="es-CO"/>
        </w:rPr>
        <w:t>L</w:t>
      </w:r>
      <w:r w:rsidRPr="002E4477">
        <w:rPr>
          <w:szCs w:val="28"/>
        </w:rPr>
        <w:t>a Corte Constitucional ha destacado de manera reiterada</w:t>
      </w:r>
      <w:r w:rsidRPr="002E4477">
        <w:rPr>
          <w:rStyle w:val="Refdenotaalpie"/>
          <w:szCs w:val="28"/>
        </w:rPr>
        <w:footnoteReference w:id="86"/>
      </w:r>
      <w:r w:rsidRPr="002E4477">
        <w:rPr>
          <w:szCs w:val="28"/>
        </w:rPr>
        <w:t xml:space="preserve">, que son </w:t>
      </w:r>
      <w:r w:rsidRPr="002E4477">
        <w:rPr>
          <w:b/>
          <w:szCs w:val="28"/>
        </w:rPr>
        <w:t xml:space="preserve">requisitos </w:t>
      </w:r>
      <w:r w:rsidRPr="003D1480">
        <w:rPr>
          <w:b/>
          <w:szCs w:val="28"/>
        </w:rPr>
        <w:t>generales</w:t>
      </w:r>
      <w:r w:rsidRPr="003D1480">
        <w:rPr>
          <w:szCs w:val="28"/>
        </w:rPr>
        <w:t xml:space="preserve"> de procedencia</w:t>
      </w:r>
      <w:r w:rsidRPr="002E4477">
        <w:rPr>
          <w:szCs w:val="28"/>
        </w:rPr>
        <w:t xml:space="preserve"> excepcional de la acción de tutela contra providencias judiciales, los siguientes</w:t>
      </w:r>
      <w:r w:rsidRPr="002E4477">
        <w:rPr>
          <w:rStyle w:val="Refdenotaalpie"/>
          <w:szCs w:val="28"/>
        </w:rPr>
        <w:footnoteReference w:id="87"/>
      </w:r>
      <w:r w:rsidRPr="002E4477">
        <w:rPr>
          <w:szCs w:val="28"/>
        </w:rPr>
        <w:t>:</w:t>
      </w:r>
    </w:p>
    <w:p w14:paraId="289B5327" w14:textId="77777777" w:rsidR="00AE1B4A" w:rsidRPr="002E4477" w:rsidRDefault="00AE1B4A" w:rsidP="00AE1B4A">
      <w:pPr>
        <w:pStyle w:val="Prrafodelista"/>
        <w:shd w:val="clear" w:color="auto" w:fill="FFFFFF"/>
        <w:ind w:left="0"/>
        <w:jc w:val="both"/>
        <w:rPr>
          <w:rFonts w:ascii="Calibri" w:hAnsi="Calibri"/>
          <w:szCs w:val="28"/>
        </w:rPr>
      </w:pPr>
    </w:p>
    <w:p w14:paraId="69D1D050" w14:textId="77777777" w:rsidR="00AE1B4A" w:rsidRPr="00026121" w:rsidRDefault="00AE1B4A" w:rsidP="00AE1B4A">
      <w:pPr>
        <w:shd w:val="clear" w:color="auto" w:fill="FFFFFF"/>
        <w:ind w:left="284"/>
        <w:jc w:val="both"/>
        <w:rPr>
          <w:i/>
          <w:iCs/>
          <w:sz w:val="26"/>
          <w:szCs w:val="26"/>
        </w:rPr>
      </w:pPr>
      <w:r w:rsidRPr="00026121">
        <w:rPr>
          <w:i/>
          <w:iCs/>
          <w:sz w:val="26"/>
          <w:szCs w:val="26"/>
        </w:rPr>
        <w:t xml:space="preserve">a. Que la cuestión que se discuta resulte de </w:t>
      </w:r>
      <w:r w:rsidRPr="00026121">
        <w:rPr>
          <w:b/>
          <w:i/>
          <w:iCs/>
          <w:sz w:val="26"/>
          <w:szCs w:val="26"/>
        </w:rPr>
        <w:t>evidente relevancia constitucional</w:t>
      </w:r>
      <w:r w:rsidRPr="00026121">
        <w:rPr>
          <w:i/>
          <w:iCs/>
          <w:sz w:val="26"/>
          <w:szCs w:val="26"/>
        </w:rPr>
        <w:t>. Como ya se mencionó, el juez constitucional no puede entrar a estudiar cuestiones que no tienen una clara y marcada importancia constitucional so pena de involucrarse en asuntos que corresponde definir a otras jurisdicciones</w:t>
      </w:r>
      <w:r w:rsidRPr="00026121">
        <w:rPr>
          <w:rStyle w:val="Refdenotaalpie"/>
          <w:i/>
          <w:iCs/>
          <w:sz w:val="26"/>
          <w:szCs w:val="26"/>
        </w:rPr>
        <w:footnoteReference w:id="88"/>
      </w:r>
      <w:r w:rsidRPr="00026121">
        <w:rPr>
          <w:i/>
          <w:iCs/>
          <w:sz w:val="26"/>
          <w:szCs w:val="26"/>
        </w:rPr>
        <w:t>. En consecuencia, el juez de tutela debe indicar con toda claridad y de forma expresa porqué la cuestión que entra a resolver es genuinamente una cuestión de relevancia constitucional que afecta los derechos fundamentales de las partes.</w:t>
      </w:r>
    </w:p>
    <w:p w14:paraId="31318267" w14:textId="77777777" w:rsidR="00AE1B4A" w:rsidRPr="00026121" w:rsidRDefault="00AE1B4A" w:rsidP="00AE1B4A">
      <w:pPr>
        <w:shd w:val="clear" w:color="auto" w:fill="FFFFFF"/>
        <w:ind w:left="284"/>
        <w:jc w:val="both"/>
        <w:rPr>
          <w:rFonts w:ascii="Calibri" w:hAnsi="Calibri"/>
          <w:i/>
          <w:sz w:val="26"/>
          <w:szCs w:val="26"/>
        </w:rPr>
      </w:pPr>
    </w:p>
    <w:p w14:paraId="53646E20" w14:textId="77777777" w:rsidR="00AE1B4A" w:rsidRPr="00026121" w:rsidRDefault="00AE1B4A" w:rsidP="00AE1B4A">
      <w:pPr>
        <w:shd w:val="clear" w:color="auto" w:fill="FFFFFF"/>
        <w:ind w:left="284"/>
        <w:jc w:val="both"/>
        <w:rPr>
          <w:i/>
          <w:iCs/>
          <w:sz w:val="26"/>
          <w:szCs w:val="26"/>
        </w:rPr>
      </w:pPr>
      <w:r w:rsidRPr="00026121">
        <w:rPr>
          <w:i/>
          <w:iCs/>
          <w:sz w:val="26"/>
          <w:szCs w:val="26"/>
        </w:rPr>
        <w:t xml:space="preserve">b. Que se hayan </w:t>
      </w:r>
      <w:r w:rsidRPr="00026121">
        <w:rPr>
          <w:b/>
          <w:i/>
          <w:iCs/>
          <w:sz w:val="26"/>
          <w:szCs w:val="26"/>
        </w:rPr>
        <w:t>agotado todos los medios -ordinarios y extraordinarios- de defensa judicial</w:t>
      </w:r>
      <w:r w:rsidRPr="00026121">
        <w:rPr>
          <w:i/>
          <w:iCs/>
          <w:sz w:val="26"/>
          <w:szCs w:val="26"/>
        </w:rPr>
        <w:t xml:space="preserve"> al alcance de la persona afectada, salvo que se trate de evitar la consumación de un perjuicio iusfundamental irremediable</w:t>
      </w:r>
      <w:r w:rsidRPr="00026121">
        <w:rPr>
          <w:rStyle w:val="Refdenotaalpie"/>
          <w:i/>
          <w:iCs/>
          <w:sz w:val="26"/>
          <w:szCs w:val="26"/>
        </w:rPr>
        <w:footnoteReference w:id="89"/>
      </w:r>
      <w:r w:rsidRPr="00026121">
        <w:rPr>
          <w:i/>
          <w:iCs/>
          <w:sz w:val="26"/>
          <w:szCs w:val="26"/>
        </w:rPr>
        <w:t>.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w:t>
      </w:r>
    </w:p>
    <w:p w14:paraId="4EE1B11E" w14:textId="77777777" w:rsidR="00AE1B4A" w:rsidRPr="00026121" w:rsidRDefault="00AE1B4A" w:rsidP="00AE1B4A">
      <w:pPr>
        <w:shd w:val="clear" w:color="auto" w:fill="FFFFFF"/>
        <w:ind w:left="284"/>
        <w:jc w:val="both"/>
        <w:rPr>
          <w:rFonts w:ascii="Calibri" w:hAnsi="Calibri"/>
          <w:i/>
          <w:sz w:val="26"/>
          <w:szCs w:val="26"/>
        </w:rPr>
      </w:pPr>
    </w:p>
    <w:p w14:paraId="4354B087" w14:textId="77777777" w:rsidR="00AE1B4A" w:rsidRPr="00026121" w:rsidRDefault="00AE1B4A" w:rsidP="00AE1B4A">
      <w:pPr>
        <w:shd w:val="clear" w:color="auto" w:fill="FFFFFF"/>
        <w:ind w:left="284"/>
        <w:jc w:val="both"/>
        <w:rPr>
          <w:i/>
          <w:iCs/>
          <w:sz w:val="26"/>
          <w:szCs w:val="26"/>
        </w:rPr>
      </w:pPr>
      <w:r w:rsidRPr="00026121">
        <w:rPr>
          <w:i/>
          <w:iCs/>
          <w:sz w:val="26"/>
          <w:szCs w:val="26"/>
        </w:rPr>
        <w:t xml:space="preserve">c. Que se cumpla el </w:t>
      </w:r>
      <w:r w:rsidRPr="00026121">
        <w:rPr>
          <w:b/>
          <w:i/>
          <w:iCs/>
          <w:sz w:val="26"/>
          <w:szCs w:val="26"/>
        </w:rPr>
        <w:t>requisito de la inmediatez</w:t>
      </w:r>
      <w:r w:rsidRPr="00026121">
        <w:rPr>
          <w:i/>
          <w:iCs/>
          <w:sz w:val="26"/>
          <w:szCs w:val="26"/>
        </w:rPr>
        <w:t>, es decir, que la tutela se hubiere interpuesto en un término razonable y proporcionado a partir del hecho que originó la vulneración</w:t>
      </w:r>
      <w:r w:rsidRPr="00026121">
        <w:rPr>
          <w:rStyle w:val="Refdenotaalpie"/>
          <w:i/>
          <w:iCs/>
          <w:sz w:val="26"/>
          <w:szCs w:val="26"/>
        </w:rPr>
        <w:footnoteReference w:id="90"/>
      </w:r>
      <w:r w:rsidRPr="00026121">
        <w:rPr>
          <w:i/>
          <w:iCs/>
          <w:sz w:val="26"/>
          <w:szCs w:val="26"/>
        </w:rPr>
        <w:t>.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14:paraId="230502B6" w14:textId="77777777" w:rsidR="00AE1B4A" w:rsidRPr="00026121" w:rsidRDefault="00AE1B4A" w:rsidP="00AE1B4A">
      <w:pPr>
        <w:shd w:val="clear" w:color="auto" w:fill="FFFFFF"/>
        <w:ind w:left="284"/>
        <w:jc w:val="both"/>
        <w:rPr>
          <w:rFonts w:ascii="Calibri" w:hAnsi="Calibri"/>
          <w:i/>
          <w:sz w:val="26"/>
          <w:szCs w:val="26"/>
        </w:rPr>
      </w:pPr>
    </w:p>
    <w:p w14:paraId="1245C787" w14:textId="77777777" w:rsidR="00AE1B4A" w:rsidRPr="00026121" w:rsidRDefault="00AE1B4A" w:rsidP="00AE1B4A">
      <w:pPr>
        <w:shd w:val="clear" w:color="auto" w:fill="FFFFFF"/>
        <w:ind w:left="284"/>
        <w:jc w:val="both"/>
        <w:rPr>
          <w:i/>
          <w:iCs/>
          <w:sz w:val="26"/>
          <w:szCs w:val="26"/>
        </w:rPr>
      </w:pPr>
      <w:r w:rsidRPr="00026121">
        <w:rPr>
          <w:i/>
          <w:iCs/>
          <w:sz w:val="26"/>
          <w:szCs w:val="26"/>
        </w:rPr>
        <w:t xml:space="preserve">d. Cuando se trate de una </w:t>
      </w:r>
      <w:r w:rsidRPr="00026121">
        <w:rPr>
          <w:b/>
          <w:i/>
          <w:iCs/>
          <w:sz w:val="26"/>
          <w:szCs w:val="26"/>
        </w:rPr>
        <w:t xml:space="preserve">irregularidad procesal, </w:t>
      </w:r>
      <w:r w:rsidRPr="00026121">
        <w:rPr>
          <w:i/>
          <w:iCs/>
          <w:sz w:val="26"/>
          <w:szCs w:val="26"/>
        </w:rPr>
        <w:t xml:space="preserve">debe quedar claro que la misma tiene un efecto decisivo o determinante en la sentencia que se impugna y </w:t>
      </w:r>
      <w:r w:rsidRPr="00026121">
        <w:rPr>
          <w:i/>
          <w:iCs/>
          <w:sz w:val="26"/>
          <w:szCs w:val="26"/>
        </w:rPr>
        <w:lastRenderedPageBreak/>
        <w:t>que afecta los derechos fundamentales de la parte actora</w:t>
      </w:r>
      <w:r w:rsidRPr="00026121">
        <w:rPr>
          <w:rStyle w:val="Refdenotaalpie"/>
          <w:i/>
          <w:iCs/>
          <w:sz w:val="26"/>
          <w:szCs w:val="26"/>
        </w:rPr>
        <w:footnoteReference w:id="91"/>
      </w:r>
      <w:r w:rsidRPr="00026121">
        <w:rPr>
          <w:i/>
          <w:iCs/>
          <w:sz w:val="26"/>
          <w:szCs w:val="26"/>
        </w:rPr>
        <w:t>.  No obstante, de acuerdo con la doctrina fijada en la Sentencia C-591-05, si la irregularidad comporta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14:paraId="1A043D7E" w14:textId="77777777" w:rsidR="00AE1B4A" w:rsidRPr="00026121" w:rsidRDefault="00AE1B4A" w:rsidP="00AE1B4A">
      <w:pPr>
        <w:shd w:val="clear" w:color="auto" w:fill="FFFFFF"/>
        <w:ind w:left="284"/>
        <w:jc w:val="both"/>
        <w:rPr>
          <w:rFonts w:ascii="Calibri" w:hAnsi="Calibri"/>
          <w:i/>
          <w:sz w:val="26"/>
          <w:szCs w:val="26"/>
        </w:rPr>
      </w:pPr>
    </w:p>
    <w:p w14:paraId="2FB7CE23" w14:textId="77777777" w:rsidR="00AE1B4A" w:rsidRPr="00026121" w:rsidRDefault="00AE1B4A" w:rsidP="00AE1B4A">
      <w:pPr>
        <w:shd w:val="clear" w:color="auto" w:fill="FFFFFF"/>
        <w:ind w:left="284"/>
        <w:jc w:val="both"/>
        <w:rPr>
          <w:i/>
          <w:iCs/>
          <w:sz w:val="26"/>
          <w:szCs w:val="26"/>
        </w:rPr>
      </w:pPr>
      <w:r w:rsidRPr="00026121">
        <w:rPr>
          <w:i/>
          <w:iCs/>
          <w:sz w:val="26"/>
          <w:szCs w:val="26"/>
        </w:rPr>
        <w:t xml:space="preserve">e. Que la parte actora </w:t>
      </w:r>
      <w:r w:rsidRPr="00026121">
        <w:rPr>
          <w:b/>
          <w:i/>
          <w:iCs/>
          <w:sz w:val="26"/>
          <w:szCs w:val="26"/>
        </w:rPr>
        <w:t>identifique de manera razonable tanto los hechos que generaron la vulneración como los derechos vulnerados</w:t>
      </w:r>
      <w:r w:rsidRPr="00026121">
        <w:rPr>
          <w:i/>
          <w:iCs/>
          <w:sz w:val="26"/>
          <w:szCs w:val="26"/>
        </w:rPr>
        <w:t xml:space="preserve"> y que hubiere alegado tal vulneración en el proceso judicial siempre que esto hubiere sido posible</w:t>
      </w:r>
      <w:r w:rsidRPr="00026121">
        <w:rPr>
          <w:rStyle w:val="Refdenotaalpie"/>
          <w:i/>
          <w:iCs/>
          <w:sz w:val="26"/>
          <w:szCs w:val="26"/>
        </w:rPr>
        <w:footnoteReference w:id="92"/>
      </w:r>
      <w:r w:rsidRPr="00026121">
        <w:rPr>
          <w:i/>
          <w:iCs/>
          <w:sz w:val="26"/>
          <w:szCs w:val="26"/>
        </w:rPr>
        <w:t>.  Esta exigencia es comprensible pues, sin que la acción de tutela llegue a rodearse de unas exigencias formales contrarias a su naturaleza y no previstas por el constituyente, sí es menester que el actor tenga claridad en cuanto al fundamento de la afectación de derechos que imputa a la decisión judicial, que la haya planteado al interior del proceso y que dé cuenta de todo ello al momento de pretender la protección constitucional de sus derechos.</w:t>
      </w:r>
    </w:p>
    <w:p w14:paraId="396BD381" w14:textId="77777777" w:rsidR="00AE1B4A" w:rsidRPr="00026121" w:rsidRDefault="00AE1B4A" w:rsidP="00AE1B4A">
      <w:pPr>
        <w:shd w:val="clear" w:color="auto" w:fill="FFFFFF"/>
        <w:ind w:left="284"/>
        <w:jc w:val="both"/>
        <w:rPr>
          <w:rFonts w:ascii="Calibri" w:hAnsi="Calibri"/>
          <w:i/>
          <w:sz w:val="26"/>
          <w:szCs w:val="26"/>
        </w:rPr>
      </w:pPr>
    </w:p>
    <w:p w14:paraId="789DDDF1" w14:textId="77777777" w:rsidR="00AE1B4A" w:rsidRPr="00026121" w:rsidRDefault="00AE1B4A" w:rsidP="00AE1B4A">
      <w:pPr>
        <w:shd w:val="clear" w:color="auto" w:fill="FFFFFF"/>
        <w:ind w:left="284"/>
        <w:jc w:val="both"/>
        <w:rPr>
          <w:rFonts w:ascii="Calibri" w:hAnsi="Calibri"/>
          <w:i/>
          <w:sz w:val="26"/>
          <w:szCs w:val="26"/>
        </w:rPr>
      </w:pPr>
      <w:r w:rsidRPr="00026121">
        <w:rPr>
          <w:i/>
          <w:iCs/>
          <w:sz w:val="26"/>
          <w:szCs w:val="26"/>
        </w:rPr>
        <w:t xml:space="preserve">f. </w:t>
      </w:r>
      <w:r w:rsidRPr="00026121">
        <w:rPr>
          <w:b/>
          <w:i/>
          <w:iCs/>
          <w:sz w:val="26"/>
          <w:szCs w:val="26"/>
        </w:rPr>
        <w:t>Que no se trate de sentencias de tutela</w:t>
      </w:r>
      <w:r w:rsidRPr="00026121">
        <w:rPr>
          <w:rStyle w:val="Refdenotaalpie"/>
          <w:i/>
          <w:iCs/>
          <w:sz w:val="26"/>
          <w:szCs w:val="26"/>
        </w:rPr>
        <w:footnoteReference w:id="93"/>
      </w:r>
      <w:r w:rsidRPr="00026121">
        <w:rPr>
          <w:i/>
          <w:iCs/>
          <w:sz w:val="26"/>
          <w:szCs w:val="26"/>
        </w:rPr>
        <w:t>.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w:t>
      </w:r>
      <w:r w:rsidRPr="00026121">
        <w:rPr>
          <w:rStyle w:val="Refdenotaalpie"/>
          <w:i/>
          <w:iCs/>
          <w:sz w:val="26"/>
          <w:szCs w:val="26"/>
        </w:rPr>
        <w:footnoteReference w:id="94"/>
      </w:r>
      <w:r w:rsidRPr="00026121">
        <w:rPr>
          <w:i/>
          <w:iCs/>
          <w:sz w:val="26"/>
          <w:szCs w:val="26"/>
        </w:rPr>
        <w:t> </w:t>
      </w:r>
    </w:p>
    <w:p w14:paraId="5B585DD6" w14:textId="77777777" w:rsidR="00AE1B4A" w:rsidRPr="002E4477" w:rsidRDefault="00AE1B4A" w:rsidP="00AE1B4A">
      <w:pPr>
        <w:pStyle w:val="Prrafodelista"/>
        <w:shd w:val="clear" w:color="auto" w:fill="FFFFFF"/>
        <w:ind w:left="0"/>
        <w:jc w:val="both"/>
        <w:rPr>
          <w:rFonts w:ascii="Calibri" w:hAnsi="Calibri"/>
          <w:szCs w:val="28"/>
        </w:rPr>
      </w:pPr>
    </w:p>
    <w:p w14:paraId="6814BB2C" w14:textId="77777777" w:rsidR="00AE1B4A" w:rsidRPr="002E4477" w:rsidRDefault="00AE1B4A" w:rsidP="00AE1B4A">
      <w:pPr>
        <w:pStyle w:val="Prrafodelista"/>
        <w:numPr>
          <w:ilvl w:val="0"/>
          <w:numId w:val="10"/>
        </w:numPr>
        <w:shd w:val="clear" w:color="auto" w:fill="FFFFFF"/>
        <w:jc w:val="both"/>
        <w:rPr>
          <w:rFonts w:ascii="Calibri" w:hAnsi="Calibri"/>
          <w:szCs w:val="28"/>
        </w:rPr>
      </w:pPr>
      <w:r w:rsidRPr="002E4477">
        <w:rPr>
          <w:szCs w:val="28"/>
        </w:rPr>
        <w:t xml:space="preserve">En consecuencia, corresponde a la Sala verificar cada una de estas exigencias para el caso de la referencia. </w:t>
      </w:r>
    </w:p>
    <w:p w14:paraId="7E5D7E6B" w14:textId="77777777" w:rsidR="00AE1B4A" w:rsidRPr="002E4477" w:rsidRDefault="00AE1B4A" w:rsidP="00AE1B4A">
      <w:pPr>
        <w:pStyle w:val="Prrafodelista"/>
        <w:shd w:val="clear" w:color="auto" w:fill="FFFFFF"/>
        <w:ind w:left="0"/>
        <w:jc w:val="both"/>
        <w:rPr>
          <w:rFonts w:ascii="Calibri" w:hAnsi="Calibri"/>
          <w:szCs w:val="28"/>
        </w:rPr>
      </w:pPr>
    </w:p>
    <w:p w14:paraId="63C7BD3D" w14:textId="77777777" w:rsidR="003537E0" w:rsidRDefault="003537E0" w:rsidP="0099084B">
      <w:pPr>
        <w:pStyle w:val="Prrafodelista"/>
        <w:shd w:val="clear" w:color="auto" w:fill="FFFFFF"/>
        <w:ind w:left="0"/>
        <w:jc w:val="both"/>
        <w:rPr>
          <w:b/>
          <w:i/>
          <w:szCs w:val="28"/>
        </w:rPr>
      </w:pPr>
      <w:r w:rsidRPr="0029709C">
        <w:rPr>
          <w:b/>
          <w:i/>
          <w:szCs w:val="28"/>
        </w:rPr>
        <w:t>Relevancia constitucional</w:t>
      </w:r>
    </w:p>
    <w:p w14:paraId="00B3BC6F" w14:textId="77777777" w:rsidR="0099084B" w:rsidRPr="002E4477" w:rsidRDefault="0099084B" w:rsidP="0099084B">
      <w:pPr>
        <w:pStyle w:val="Prrafodelista"/>
        <w:shd w:val="clear" w:color="auto" w:fill="FFFFFF"/>
        <w:spacing w:line="276" w:lineRule="auto"/>
        <w:ind w:left="0"/>
        <w:jc w:val="both"/>
        <w:rPr>
          <w:b/>
          <w:i/>
          <w:szCs w:val="28"/>
        </w:rPr>
      </w:pPr>
    </w:p>
    <w:p w14:paraId="0A5097B0" w14:textId="77777777" w:rsidR="00F12F0A" w:rsidRPr="002E4477" w:rsidRDefault="0061030D" w:rsidP="0099084B">
      <w:pPr>
        <w:pStyle w:val="NormalWeb"/>
        <w:numPr>
          <w:ilvl w:val="0"/>
          <w:numId w:val="10"/>
        </w:numPr>
        <w:tabs>
          <w:tab w:val="left" w:pos="284"/>
        </w:tabs>
        <w:spacing w:before="0" w:beforeAutospacing="0" w:after="0" w:afterAutospacing="0"/>
        <w:jc w:val="both"/>
        <w:rPr>
          <w:sz w:val="28"/>
          <w:szCs w:val="28"/>
        </w:rPr>
      </w:pPr>
      <w:r w:rsidRPr="002E4477">
        <w:rPr>
          <w:sz w:val="28"/>
          <w:szCs w:val="28"/>
        </w:rPr>
        <w:t>El presente asunto reviste</w:t>
      </w:r>
      <w:r w:rsidR="000B0EA7" w:rsidRPr="002E4477">
        <w:rPr>
          <w:sz w:val="28"/>
          <w:szCs w:val="28"/>
        </w:rPr>
        <w:t xml:space="preserve"> una considerable</w:t>
      </w:r>
      <w:r w:rsidRPr="002E4477">
        <w:rPr>
          <w:sz w:val="28"/>
          <w:szCs w:val="28"/>
        </w:rPr>
        <w:t xml:space="preserve"> relevancia constitucional</w:t>
      </w:r>
      <w:r w:rsidR="000B0EA7" w:rsidRPr="002E4477">
        <w:rPr>
          <w:sz w:val="28"/>
          <w:szCs w:val="28"/>
        </w:rPr>
        <w:t>,</w:t>
      </w:r>
      <w:r w:rsidR="009B5C57" w:rsidRPr="002E4477">
        <w:rPr>
          <w:sz w:val="28"/>
          <w:szCs w:val="28"/>
        </w:rPr>
        <w:t xml:space="preserve"> por </w:t>
      </w:r>
      <w:r w:rsidR="00F11620" w:rsidRPr="002E4477">
        <w:rPr>
          <w:sz w:val="28"/>
          <w:szCs w:val="28"/>
        </w:rPr>
        <w:t xml:space="preserve">razones muy variadas. En </w:t>
      </w:r>
      <w:r w:rsidR="00F11620" w:rsidRPr="002E4477">
        <w:rPr>
          <w:i/>
          <w:iCs/>
          <w:sz w:val="28"/>
          <w:szCs w:val="28"/>
        </w:rPr>
        <w:t>primer lugar</w:t>
      </w:r>
      <w:r w:rsidR="00F11620" w:rsidRPr="002E4477">
        <w:rPr>
          <w:sz w:val="28"/>
          <w:szCs w:val="28"/>
        </w:rPr>
        <w:t xml:space="preserve">, </w:t>
      </w:r>
      <w:r w:rsidR="00412AE7" w:rsidRPr="002E4477">
        <w:rPr>
          <w:sz w:val="28"/>
          <w:szCs w:val="28"/>
        </w:rPr>
        <w:t xml:space="preserve">se trata de un caso que permite ratificar la importancia que para las </w:t>
      </w:r>
      <w:r w:rsidR="00683F38" w:rsidRPr="002E4477">
        <w:rPr>
          <w:sz w:val="28"/>
          <w:szCs w:val="28"/>
        </w:rPr>
        <w:t xml:space="preserve">entidades </w:t>
      </w:r>
      <w:r w:rsidR="000A3427" w:rsidRPr="002E4477">
        <w:rPr>
          <w:sz w:val="28"/>
          <w:szCs w:val="28"/>
        </w:rPr>
        <w:t>de derecho público</w:t>
      </w:r>
      <w:r w:rsidR="00683F38" w:rsidRPr="002E4477">
        <w:rPr>
          <w:sz w:val="28"/>
          <w:szCs w:val="28"/>
        </w:rPr>
        <w:t xml:space="preserve"> </w:t>
      </w:r>
      <w:r w:rsidR="00412AE7" w:rsidRPr="002E4477">
        <w:rPr>
          <w:sz w:val="28"/>
          <w:szCs w:val="28"/>
        </w:rPr>
        <w:t>tiene la defensa de sus derechos fundamentales</w:t>
      </w:r>
      <w:r w:rsidR="000A3427" w:rsidRPr="002E4477">
        <w:rPr>
          <w:sz w:val="28"/>
          <w:szCs w:val="28"/>
        </w:rPr>
        <w:t>,</w:t>
      </w:r>
      <w:r w:rsidR="00412AE7" w:rsidRPr="002E4477">
        <w:rPr>
          <w:sz w:val="28"/>
          <w:szCs w:val="28"/>
        </w:rPr>
        <w:t xml:space="preserve"> a través de la acción de tutela</w:t>
      </w:r>
      <w:r w:rsidR="00681259" w:rsidRPr="002E4477">
        <w:rPr>
          <w:sz w:val="28"/>
          <w:szCs w:val="28"/>
        </w:rPr>
        <w:t xml:space="preserve">. </w:t>
      </w:r>
    </w:p>
    <w:p w14:paraId="50D7F89B" w14:textId="77777777" w:rsidR="00D72F54" w:rsidRPr="002E4477" w:rsidRDefault="00B85406" w:rsidP="00F12F0A">
      <w:pPr>
        <w:pStyle w:val="NormalWeb"/>
        <w:tabs>
          <w:tab w:val="left" w:pos="284"/>
        </w:tabs>
        <w:jc w:val="both"/>
        <w:rPr>
          <w:sz w:val="28"/>
          <w:szCs w:val="28"/>
        </w:rPr>
      </w:pPr>
      <w:r w:rsidRPr="002E4477">
        <w:rPr>
          <w:sz w:val="28"/>
          <w:szCs w:val="28"/>
        </w:rPr>
        <w:t xml:space="preserve">En </w:t>
      </w:r>
      <w:r w:rsidR="008F19FC" w:rsidRPr="002E4477">
        <w:rPr>
          <w:sz w:val="28"/>
          <w:szCs w:val="28"/>
        </w:rPr>
        <w:t>ese sentido</w:t>
      </w:r>
      <w:r w:rsidR="002E6DAE" w:rsidRPr="002E4477">
        <w:rPr>
          <w:sz w:val="28"/>
          <w:szCs w:val="28"/>
        </w:rPr>
        <w:t xml:space="preserve"> </w:t>
      </w:r>
      <w:r w:rsidR="00D72F54" w:rsidRPr="002E4477">
        <w:rPr>
          <w:sz w:val="28"/>
          <w:szCs w:val="28"/>
        </w:rPr>
        <w:t>es importante recordar</w:t>
      </w:r>
      <w:r w:rsidR="008F19FC" w:rsidRPr="002E4477">
        <w:rPr>
          <w:sz w:val="28"/>
          <w:szCs w:val="28"/>
        </w:rPr>
        <w:t>,</w:t>
      </w:r>
      <w:r w:rsidR="00D72F54" w:rsidRPr="002E4477">
        <w:rPr>
          <w:sz w:val="28"/>
          <w:szCs w:val="28"/>
        </w:rPr>
        <w:t xml:space="preserve"> que la jurisprudencia </w:t>
      </w:r>
      <w:r w:rsidR="00E4664B" w:rsidRPr="002E4477">
        <w:rPr>
          <w:sz w:val="28"/>
          <w:szCs w:val="28"/>
        </w:rPr>
        <w:t xml:space="preserve">de </w:t>
      </w:r>
      <w:r w:rsidR="00D72F54" w:rsidRPr="002E4477">
        <w:rPr>
          <w:sz w:val="28"/>
          <w:szCs w:val="28"/>
        </w:rPr>
        <w:t xml:space="preserve">la Corte Constitucional ha sido </w:t>
      </w:r>
      <w:r w:rsidR="00B84BD0">
        <w:rPr>
          <w:sz w:val="28"/>
          <w:szCs w:val="28"/>
        </w:rPr>
        <w:t>enfática</w:t>
      </w:r>
      <w:r w:rsidR="00D72F54" w:rsidRPr="002E4477">
        <w:rPr>
          <w:sz w:val="28"/>
          <w:szCs w:val="28"/>
        </w:rPr>
        <w:t xml:space="preserve"> en afirmar que “</w:t>
      </w:r>
      <w:r w:rsidR="00D72F54" w:rsidRPr="002E4477">
        <w:rPr>
          <w:i/>
          <w:iCs/>
          <w:sz w:val="28"/>
          <w:szCs w:val="28"/>
        </w:rPr>
        <w:t>las personas jurídicas, aún las de derecho público, están legitimadas para ejercer la acción de tutela debido a que son titulares de derechos constitucionales fundamentales</w:t>
      </w:r>
      <w:r w:rsidR="00D72F54" w:rsidRPr="002E4477">
        <w:rPr>
          <w:sz w:val="28"/>
          <w:szCs w:val="28"/>
        </w:rPr>
        <w:t>”</w:t>
      </w:r>
      <w:r w:rsidR="00D72F54" w:rsidRPr="002E4477">
        <w:rPr>
          <w:rStyle w:val="Refdenotaalpie"/>
          <w:sz w:val="28"/>
          <w:szCs w:val="28"/>
        </w:rPr>
        <w:footnoteReference w:id="95"/>
      </w:r>
      <w:r w:rsidR="00D72F54" w:rsidRPr="002E4477">
        <w:rPr>
          <w:sz w:val="28"/>
          <w:szCs w:val="28"/>
        </w:rPr>
        <w:t xml:space="preserve">. Lo anterior, sobre la base de que tales entidades pueden reclamar dentro del Estado Social de Derecho </w:t>
      </w:r>
      <w:r w:rsidR="00C0526A" w:rsidRPr="002E4477">
        <w:rPr>
          <w:sz w:val="28"/>
          <w:szCs w:val="28"/>
        </w:rPr>
        <w:t xml:space="preserve">por esta vía constitucional, </w:t>
      </w:r>
      <w:r w:rsidR="00D72F54" w:rsidRPr="002E4477">
        <w:rPr>
          <w:sz w:val="28"/>
          <w:szCs w:val="28"/>
        </w:rPr>
        <w:t xml:space="preserve">la protección de </w:t>
      </w:r>
      <w:r w:rsidRPr="002E4477">
        <w:rPr>
          <w:sz w:val="28"/>
          <w:szCs w:val="28"/>
        </w:rPr>
        <w:t xml:space="preserve">los </w:t>
      </w:r>
      <w:r w:rsidR="00D72F54" w:rsidRPr="002E4477">
        <w:rPr>
          <w:sz w:val="28"/>
          <w:szCs w:val="28"/>
        </w:rPr>
        <w:lastRenderedPageBreak/>
        <w:t xml:space="preserve">derechos ligados </w:t>
      </w:r>
      <w:r w:rsidR="001E2951" w:rsidRPr="002E4477">
        <w:rPr>
          <w:sz w:val="28"/>
          <w:szCs w:val="28"/>
        </w:rPr>
        <w:t>“</w:t>
      </w:r>
      <w:r w:rsidR="00D72F54" w:rsidRPr="002E4477">
        <w:rPr>
          <w:i/>
          <w:iCs/>
          <w:sz w:val="28"/>
          <w:szCs w:val="28"/>
        </w:rPr>
        <w:t>estrechamente a su existencia, a su actividad y al núcleo de las garantías que el orden jurídico les ofrece</w:t>
      </w:r>
      <w:r w:rsidR="001E2951" w:rsidRPr="002E4477">
        <w:rPr>
          <w:sz w:val="28"/>
          <w:szCs w:val="28"/>
        </w:rPr>
        <w:t>”</w:t>
      </w:r>
      <w:r w:rsidR="00D72F54" w:rsidRPr="002E4477">
        <w:rPr>
          <w:rStyle w:val="Refdenotaalpie"/>
          <w:sz w:val="28"/>
          <w:szCs w:val="28"/>
        </w:rPr>
        <w:footnoteReference w:id="96"/>
      </w:r>
      <w:r w:rsidR="00C0526A" w:rsidRPr="002E4477">
        <w:rPr>
          <w:sz w:val="28"/>
          <w:szCs w:val="28"/>
        </w:rPr>
        <w:t>.</w:t>
      </w:r>
    </w:p>
    <w:p w14:paraId="08692419" w14:textId="77777777" w:rsidR="00D72F54" w:rsidRPr="002E4477" w:rsidRDefault="0087077E" w:rsidP="00C0526A">
      <w:pPr>
        <w:pStyle w:val="NormalWeb"/>
        <w:tabs>
          <w:tab w:val="left" w:pos="284"/>
        </w:tabs>
        <w:jc w:val="both"/>
        <w:rPr>
          <w:sz w:val="28"/>
          <w:szCs w:val="28"/>
        </w:rPr>
      </w:pPr>
      <w:r w:rsidRPr="002E4477">
        <w:rPr>
          <w:sz w:val="28"/>
          <w:szCs w:val="28"/>
        </w:rPr>
        <w:t>En consecuencia, d</w:t>
      </w:r>
      <w:r w:rsidR="00D72F54" w:rsidRPr="002E4477">
        <w:rPr>
          <w:sz w:val="28"/>
          <w:szCs w:val="28"/>
        </w:rPr>
        <w:t>esde sus primeros años</w:t>
      </w:r>
      <w:r w:rsidR="00C0526A" w:rsidRPr="002E4477">
        <w:rPr>
          <w:sz w:val="28"/>
          <w:szCs w:val="28"/>
        </w:rPr>
        <w:t>,</w:t>
      </w:r>
      <w:r w:rsidR="008F780B" w:rsidRPr="002E4477">
        <w:rPr>
          <w:sz w:val="28"/>
          <w:szCs w:val="28"/>
        </w:rPr>
        <w:t xml:space="preserve"> </w:t>
      </w:r>
      <w:r w:rsidR="0046766E" w:rsidRPr="002E4477">
        <w:rPr>
          <w:sz w:val="28"/>
          <w:szCs w:val="28"/>
        </w:rPr>
        <w:t>esta Corporación</w:t>
      </w:r>
      <w:r w:rsidR="00D72F54" w:rsidRPr="002E4477">
        <w:rPr>
          <w:sz w:val="28"/>
          <w:szCs w:val="28"/>
        </w:rPr>
        <w:t xml:space="preserve"> ha sostenido </w:t>
      </w:r>
      <w:r w:rsidR="0029709C">
        <w:rPr>
          <w:sz w:val="28"/>
          <w:szCs w:val="28"/>
        </w:rPr>
        <w:t xml:space="preserve">invariablemente </w:t>
      </w:r>
      <w:r w:rsidR="00D72F54" w:rsidRPr="002E4477">
        <w:rPr>
          <w:sz w:val="28"/>
          <w:szCs w:val="28"/>
        </w:rPr>
        <w:t xml:space="preserve">que las personas jurídicas tienen derecho a la protección de </w:t>
      </w:r>
      <w:r w:rsidR="002E6DAE" w:rsidRPr="002E4477">
        <w:rPr>
          <w:sz w:val="28"/>
          <w:szCs w:val="28"/>
        </w:rPr>
        <w:t xml:space="preserve">las garantías </w:t>
      </w:r>
      <w:r w:rsidR="00D72F54" w:rsidRPr="002E4477">
        <w:rPr>
          <w:sz w:val="28"/>
          <w:szCs w:val="28"/>
        </w:rPr>
        <w:t>fundamentales que les corresponden de acuerdo a su naturaleza,</w:t>
      </w:r>
      <w:r w:rsidR="002E6DAE" w:rsidRPr="002E4477">
        <w:rPr>
          <w:sz w:val="28"/>
          <w:szCs w:val="28"/>
        </w:rPr>
        <w:t xml:space="preserve"> </w:t>
      </w:r>
      <w:r w:rsidR="00D72F54" w:rsidRPr="002E4477">
        <w:rPr>
          <w:sz w:val="28"/>
          <w:szCs w:val="28"/>
        </w:rPr>
        <w:t>entre</w:t>
      </w:r>
      <w:r w:rsidR="002E6DAE" w:rsidRPr="002E4477">
        <w:rPr>
          <w:sz w:val="28"/>
          <w:szCs w:val="28"/>
        </w:rPr>
        <w:t xml:space="preserve"> las que se encuentran los derechos al</w:t>
      </w:r>
      <w:r w:rsidR="00D72F54" w:rsidRPr="002E4477">
        <w:rPr>
          <w:sz w:val="28"/>
          <w:szCs w:val="28"/>
        </w:rPr>
        <w:t xml:space="preserve"> debido proceso, </w:t>
      </w:r>
      <w:r w:rsidR="001E2951" w:rsidRPr="002E4477">
        <w:rPr>
          <w:sz w:val="28"/>
          <w:szCs w:val="28"/>
        </w:rPr>
        <w:t xml:space="preserve">a </w:t>
      </w:r>
      <w:r w:rsidR="00D72F54" w:rsidRPr="002E4477">
        <w:rPr>
          <w:sz w:val="28"/>
          <w:szCs w:val="28"/>
        </w:rPr>
        <w:t xml:space="preserve">la igualdad, </w:t>
      </w:r>
      <w:r w:rsidR="001E2951" w:rsidRPr="002E4477">
        <w:rPr>
          <w:sz w:val="28"/>
          <w:szCs w:val="28"/>
        </w:rPr>
        <w:t xml:space="preserve">a </w:t>
      </w:r>
      <w:r w:rsidR="00D72F54" w:rsidRPr="002E4477">
        <w:rPr>
          <w:sz w:val="28"/>
          <w:szCs w:val="28"/>
        </w:rPr>
        <w:t>la inviolabilidad de domicilio</w:t>
      </w:r>
      <w:r w:rsidR="001E2951" w:rsidRPr="002E4477">
        <w:rPr>
          <w:sz w:val="28"/>
          <w:szCs w:val="28"/>
        </w:rPr>
        <w:t xml:space="preserve"> y</w:t>
      </w:r>
      <w:r w:rsidR="00C0526A" w:rsidRPr="002E4477">
        <w:rPr>
          <w:sz w:val="28"/>
          <w:szCs w:val="28"/>
        </w:rPr>
        <w:t xml:space="preserve"> </w:t>
      </w:r>
      <w:r w:rsidR="00D72F54" w:rsidRPr="002E4477">
        <w:rPr>
          <w:sz w:val="28"/>
          <w:szCs w:val="28"/>
        </w:rPr>
        <w:t xml:space="preserve">de correspondencia, </w:t>
      </w:r>
      <w:r w:rsidR="001E2951" w:rsidRPr="002E4477">
        <w:rPr>
          <w:sz w:val="28"/>
          <w:szCs w:val="28"/>
        </w:rPr>
        <w:t xml:space="preserve">a </w:t>
      </w:r>
      <w:r w:rsidR="00D72F54" w:rsidRPr="002E4477">
        <w:rPr>
          <w:sz w:val="28"/>
          <w:szCs w:val="28"/>
        </w:rPr>
        <w:t xml:space="preserve">la libertad de asociación, </w:t>
      </w:r>
      <w:r w:rsidR="001E2951" w:rsidRPr="002E4477">
        <w:rPr>
          <w:sz w:val="28"/>
          <w:szCs w:val="28"/>
        </w:rPr>
        <w:t xml:space="preserve">a </w:t>
      </w:r>
      <w:r w:rsidR="00D72F54" w:rsidRPr="002E4477">
        <w:rPr>
          <w:sz w:val="28"/>
          <w:szCs w:val="28"/>
        </w:rPr>
        <w:t xml:space="preserve">la inviolabilidad de los documentos y papeles privados, </w:t>
      </w:r>
      <w:r w:rsidR="00026121">
        <w:rPr>
          <w:sz w:val="28"/>
          <w:szCs w:val="28"/>
        </w:rPr>
        <w:t>de</w:t>
      </w:r>
      <w:r w:rsidR="00D72F54" w:rsidRPr="002E4477">
        <w:rPr>
          <w:sz w:val="28"/>
          <w:szCs w:val="28"/>
        </w:rPr>
        <w:t xml:space="preserve"> acceso a la administración de justicia, </w:t>
      </w:r>
      <w:r w:rsidR="008C76A5" w:rsidRPr="002E4477">
        <w:rPr>
          <w:sz w:val="28"/>
          <w:szCs w:val="28"/>
        </w:rPr>
        <w:t>a la defensa</w:t>
      </w:r>
      <w:r w:rsidR="0029709C">
        <w:rPr>
          <w:sz w:val="28"/>
          <w:szCs w:val="28"/>
        </w:rPr>
        <w:t xml:space="preserve"> y</w:t>
      </w:r>
      <w:r w:rsidR="008C76A5" w:rsidRPr="002E4477">
        <w:rPr>
          <w:sz w:val="28"/>
          <w:szCs w:val="28"/>
        </w:rPr>
        <w:t xml:space="preserve"> </w:t>
      </w:r>
      <w:r w:rsidR="001E2951" w:rsidRPr="002E4477">
        <w:rPr>
          <w:sz w:val="28"/>
          <w:szCs w:val="28"/>
        </w:rPr>
        <w:t>a</w:t>
      </w:r>
      <w:r w:rsidR="00D72F54" w:rsidRPr="002E4477">
        <w:rPr>
          <w:sz w:val="28"/>
          <w:szCs w:val="28"/>
        </w:rPr>
        <w:t>l derecho a la información, entre otros.</w:t>
      </w:r>
      <w:r w:rsidR="00C0526A" w:rsidRPr="002E4477">
        <w:rPr>
          <w:sz w:val="28"/>
          <w:szCs w:val="28"/>
        </w:rPr>
        <w:t xml:space="preserve"> </w:t>
      </w:r>
      <w:r w:rsidR="00716C39" w:rsidRPr="002E4477">
        <w:rPr>
          <w:sz w:val="28"/>
          <w:szCs w:val="28"/>
        </w:rPr>
        <w:t xml:space="preserve">La </w:t>
      </w:r>
      <w:r w:rsidR="00B65613" w:rsidRPr="002E4477">
        <w:rPr>
          <w:sz w:val="28"/>
          <w:szCs w:val="28"/>
        </w:rPr>
        <w:t xml:space="preserve">protección </w:t>
      </w:r>
      <w:r w:rsidR="00716C39" w:rsidRPr="002E4477">
        <w:rPr>
          <w:sz w:val="28"/>
          <w:szCs w:val="28"/>
        </w:rPr>
        <w:t xml:space="preserve">de tales derechos </w:t>
      </w:r>
      <w:r w:rsidR="00B65613" w:rsidRPr="002E4477">
        <w:rPr>
          <w:sz w:val="28"/>
          <w:szCs w:val="28"/>
        </w:rPr>
        <w:t xml:space="preserve">se asegura </w:t>
      </w:r>
      <w:r w:rsidR="00C0526A" w:rsidRPr="002E4477">
        <w:rPr>
          <w:sz w:val="28"/>
          <w:szCs w:val="28"/>
        </w:rPr>
        <w:t xml:space="preserve">a través de los </w:t>
      </w:r>
      <w:r w:rsidR="00D72F54" w:rsidRPr="002E4477">
        <w:rPr>
          <w:sz w:val="28"/>
          <w:szCs w:val="28"/>
        </w:rPr>
        <w:t xml:space="preserve">mecanismos que el orden jurídico consagra, entre </w:t>
      </w:r>
      <w:r w:rsidR="001E2951" w:rsidRPr="002E4477">
        <w:rPr>
          <w:sz w:val="28"/>
          <w:szCs w:val="28"/>
        </w:rPr>
        <w:t>los que se encuentra</w:t>
      </w:r>
      <w:r w:rsidR="00D72F54" w:rsidRPr="002E4477">
        <w:rPr>
          <w:sz w:val="28"/>
          <w:szCs w:val="28"/>
        </w:rPr>
        <w:t xml:space="preserve"> la acción de tutela, </w:t>
      </w:r>
      <w:r w:rsidR="001E2951" w:rsidRPr="002E4477">
        <w:rPr>
          <w:sz w:val="28"/>
          <w:szCs w:val="28"/>
        </w:rPr>
        <w:t xml:space="preserve">cuyo </w:t>
      </w:r>
      <w:r w:rsidR="00543931" w:rsidRPr="002E4477">
        <w:rPr>
          <w:sz w:val="28"/>
          <w:szCs w:val="28"/>
        </w:rPr>
        <w:t>propósito</w:t>
      </w:r>
      <w:r w:rsidR="001E2951" w:rsidRPr="002E4477">
        <w:rPr>
          <w:sz w:val="28"/>
          <w:szCs w:val="28"/>
        </w:rPr>
        <w:t xml:space="preserve"> es el</w:t>
      </w:r>
      <w:r w:rsidR="00543931" w:rsidRPr="002E4477">
        <w:rPr>
          <w:sz w:val="28"/>
          <w:szCs w:val="28"/>
        </w:rPr>
        <w:t xml:space="preserve"> de </w:t>
      </w:r>
      <w:r w:rsidR="00E77CF1" w:rsidRPr="002E4477">
        <w:rPr>
          <w:sz w:val="28"/>
          <w:szCs w:val="28"/>
        </w:rPr>
        <w:t>afirmar</w:t>
      </w:r>
      <w:r w:rsidR="00543931" w:rsidRPr="002E4477">
        <w:rPr>
          <w:sz w:val="28"/>
          <w:szCs w:val="28"/>
        </w:rPr>
        <w:t xml:space="preserve"> </w:t>
      </w:r>
      <w:r w:rsidR="00E4664B" w:rsidRPr="002E4477">
        <w:rPr>
          <w:sz w:val="28"/>
          <w:szCs w:val="28"/>
        </w:rPr>
        <w:t>la efectividad y garantía de tales derechos</w:t>
      </w:r>
      <w:r w:rsidR="00543931" w:rsidRPr="002E4477">
        <w:rPr>
          <w:sz w:val="28"/>
          <w:szCs w:val="28"/>
        </w:rPr>
        <w:t xml:space="preserve"> </w:t>
      </w:r>
      <w:r w:rsidR="00D72F54" w:rsidRPr="002E4477">
        <w:rPr>
          <w:sz w:val="28"/>
          <w:szCs w:val="28"/>
        </w:rPr>
        <w:t>cuando</w:t>
      </w:r>
      <w:r w:rsidR="00543931" w:rsidRPr="002E4477">
        <w:rPr>
          <w:sz w:val="28"/>
          <w:szCs w:val="28"/>
        </w:rPr>
        <w:t xml:space="preserve"> </w:t>
      </w:r>
      <w:r w:rsidR="00E4664B" w:rsidRPr="002E4477">
        <w:rPr>
          <w:sz w:val="28"/>
          <w:szCs w:val="28"/>
        </w:rPr>
        <w:t>estos</w:t>
      </w:r>
      <w:r w:rsidR="00D72F54" w:rsidRPr="002E4477">
        <w:rPr>
          <w:sz w:val="28"/>
          <w:szCs w:val="28"/>
        </w:rPr>
        <w:t xml:space="preserve"> s</w:t>
      </w:r>
      <w:r w:rsidR="008C76A5" w:rsidRPr="002E4477">
        <w:rPr>
          <w:sz w:val="28"/>
          <w:szCs w:val="28"/>
        </w:rPr>
        <w:t>on</w:t>
      </w:r>
      <w:r w:rsidR="00D72F54" w:rsidRPr="002E4477">
        <w:rPr>
          <w:sz w:val="28"/>
          <w:szCs w:val="28"/>
        </w:rPr>
        <w:t xml:space="preserve"> conculcados o amenazados por la acción u omisión de autoridad</w:t>
      </w:r>
      <w:r w:rsidR="00543931" w:rsidRPr="002E4477">
        <w:rPr>
          <w:sz w:val="28"/>
          <w:szCs w:val="28"/>
        </w:rPr>
        <w:t>es</w:t>
      </w:r>
      <w:r w:rsidR="00D72F54" w:rsidRPr="002E4477">
        <w:rPr>
          <w:sz w:val="28"/>
          <w:szCs w:val="28"/>
        </w:rPr>
        <w:t xml:space="preserve"> pública</w:t>
      </w:r>
      <w:r w:rsidR="00543931" w:rsidRPr="002E4477">
        <w:rPr>
          <w:sz w:val="28"/>
          <w:szCs w:val="28"/>
        </w:rPr>
        <w:t>s</w:t>
      </w:r>
      <w:r w:rsidR="00D72F54" w:rsidRPr="002E4477">
        <w:rPr>
          <w:sz w:val="28"/>
          <w:szCs w:val="28"/>
        </w:rPr>
        <w:t xml:space="preserve"> o de </w:t>
      </w:r>
      <w:r w:rsidR="00E77CF1" w:rsidRPr="002E4477">
        <w:rPr>
          <w:sz w:val="28"/>
          <w:szCs w:val="28"/>
        </w:rPr>
        <w:t xml:space="preserve">los </w:t>
      </w:r>
      <w:r w:rsidR="00D72F54" w:rsidRPr="002E4477">
        <w:rPr>
          <w:sz w:val="28"/>
          <w:szCs w:val="28"/>
        </w:rPr>
        <w:t>particular</w:t>
      </w:r>
      <w:r w:rsidR="00543931" w:rsidRPr="002E4477">
        <w:rPr>
          <w:sz w:val="28"/>
          <w:szCs w:val="28"/>
        </w:rPr>
        <w:t>es.</w:t>
      </w:r>
    </w:p>
    <w:p w14:paraId="449A7D57" w14:textId="77777777" w:rsidR="001C5BA9" w:rsidRPr="002E4477" w:rsidRDefault="00543931" w:rsidP="00B85406">
      <w:pPr>
        <w:pStyle w:val="NormalWeb"/>
        <w:numPr>
          <w:ilvl w:val="0"/>
          <w:numId w:val="10"/>
        </w:numPr>
        <w:tabs>
          <w:tab w:val="left" w:pos="284"/>
        </w:tabs>
        <w:spacing w:before="0" w:beforeAutospacing="0" w:after="0" w:afterAutospacing="0"/>
        <w:jc w:val="both"/>
        <w:rPr>
          <w:sz w:val="28"/>
          <w:szCs w:val="28"/>
        </w:rPr>
      </w:pPr>
      <w:r w:rsidRPr="002E4477">
        <w:rPr>
          <w:sz w:val="28"/>
          <w:szCs w:val="28"/>
        </w:rPr>
        <w:t>En esta oportunidad, l</w:t>
      </w:r>
      <w:r w:rsidR="002E6DAE" w:rsidRPr="002E4477">
        <w:rPr>
          <w:sz w:val="28"/>
          <w:szCs w:val="28"/>
        </w:rPr>
        <w:t xml:space="preserve">as </w:t>
      </w:r>
      <w:r w:rsidR="00CC0059" w:rsidRPr="002E4477">
        <w:rPr>
          <w:sz w:val="28"/>
          <w:szCs w:val="28"/>
        </w:rPr>
        <w:t xml:space="preserve">circunstancias </w:t>
      </w:r>
      <w:r w:rsidR="008F780B" w:rsidRPr="002E4477">
        <w:rPr>
          <w:sz w:val="28"/>
          <w:szCs w:val="28"/>
        </w:rPr>
        <w:t>d</w:t>
      </w:r>
      <w:r w:rsidR="00B65613" w:rsidRPr="002E4477">
        <w:rPr>
          <w:sz w:val="28"/>
          <w:szCs w:val="28"/>
        </w:rPr>
        <w:t>e</w:t>
      </w:r>
      <w:r w:rsidR="00E77CF1" w:rsidRPr="002E4477">
        <w:rPr>
          <w:sz w:val="28"/>
          <w:szCs w:val="28"/>
        </w:rPr>
        <w:t>l</w:t>
      </w:r>
      <w:r w:rsidR="00B65613" w:rsidRPr="002E4477">
        <w:rPr>
          <w:sz w:val="28"/>
          <w:szCs w:val="28"/>
        </w:rPr>
        <w:t xml:space="preserve"> caso</w:t>
      </w:r>
      <w:r w:rsidRPr="002E4477">
        <w:rPr>
          <w:sz w:val="28"/>
          <w:szCs w:val="28"/>
        </w:rPr>
        <w:t xml:space="preserve"> </w:t>
      </w:r>
      <w:r w:rsidR="00CC0059" w:rsidRPr="002E4477">
        <w:rPr>
          <w:sz w:val="28"/>
          <w:szCs w:val="28"/>
        </w:rPr>
        <w:t>no s</w:t>
      </w:r>
      <w:r w:rsidR="00C80E03">
        <w:rPr>
          <w:sz w:val="28"/>
          <w:szCs w:val="28"/>
        </w:rPr>
        <w:t>o</w:t>
      </w:r>
      <w:r w:rsidR="00CC0059" w:rsidRPr="002E4477">
        <w:rPr>
          <w:sz w:val="28"/>
          <w:szCs w:val="28"/>
        </w:rPr>
        <w:t xml:space="preserve">lo dan cuenta de la </w:t>
      </w:r>
      <w:r w:rsidR="009578F3" w:rsidRPr="002E4477">
        <w:rPr>
          <w:sz w:val="28"/>
          <w:szCs w:val="28"/>
        </w:rPr>
        <w:t>búsqueda de protección de</w:t>
      </w:r>
      <w:r w:rsidR="00B85406" w:rsidRPr="002E4477">
        <w:rPr>
          <w:sz w:val="28"/>
          <w:szCs w:val="28"/>
        </w:rPr>
        <w:t xml:space="preserve"> </w:t>
      </w:r>
      <w:r w:rsidR="008C76A5" w:rsidRPr="002E4477">
        <w:rPr>
          <w:sz w:val="28"/>
          <w:szCs w:val="28"/>
        </w:rPr>
        <w:t>varios derechos</w:t>
      </w:r>
      <w:r w:rsidR="001D1FDB" w:rsidRPr="002E4477">
        <w:rPr>
          <w:sz w:val="28"/>
          <w:szCs w:val="28"/>
        </w:rPr>
        <w:t xml:space="preserve"> fundamentales </w:t>
      </w:r>
      <w:r w:rsidRPr="002E4477">
        <w:rPr>
          <w:sz w:val="28"/>
          <w:szCs w:val="28"/>
        </w:rPr>
        <w:t xml:space="preserve">de una de </w:t>
      </w:r>
      <w:r w:rsidR="009578F3" w:rsidRPr="002E4477">
        <w:rPr>
          <w:sz w:val="28"/>
          <w:szCs w:val="28"/>
        </w:rPr>
        <w:t xml:space="preserve">estas </w:t>
      </w:r>
      <w:r w:rsidR="001D1FDB" w:rsidRPr="002E4477">
        <w:rPr>
          <w:sz w:val="28"/>
          <w:szCs w:val="28"/>
        </w:rPr>
        <w:t>entidades</w:t>
      </w:r>
      <w:r w:rsidR="00412AE7" w:rsidRPr="002E4477">
        <w:rPr>
          <w:sz w:val="28"/>
          <w:szCs w:val="28"/>
        </w:rPr>
        <w:t xml:space="preserve"> </w:t>
      </w:r>
      <w:r w:rsidR="0096539E" w:rsidRPr="002E4477">
        <w:rPr>
          <w:sz w:val="28"/>
          <w:szCs w:val="28"/>
        </w:rPr>
        <w:t xml:space="preserve">a través de </w:t>
      </w:r>
      <w:r w:rsidRPr="002E4477">
        <w:rPr>
          <w:sz w:val="28"/>
          <w:szCs w:val="28"/>
        </w:rPr>
        <w:t xml:space="preserve">la vía </w:t>
      </w:r>
      <w:r w:rsidR="009578F3" w:rsidRPr="002E4477">
        <w:rPr>
          <w:sz w:val="28"/>
          <w:szCs w:val="28"/>
        </w:rPr>
        <w:t>judicial</w:t>
      </w:r>
      <w:r w:rsidRPr="002E4477">
        <w:rPr>
          <w:sz w:val="28"/>
          <w:szCs w:val="28"/>
        </w:rPr>
        <w:t xml:space="preserve"> del amparo</w:t>
      </w:r>
      <w:r w:rsidR="00412AE7" w:rsidRPr="002E4477">
        <w:rPr>
          <w:sz w:val="28"/>
          <w:szCs w:val="28"/>
        </w:rPr>
        <w:t xml:space="preserve">, sino </w:t>
      </w:r>
      <w:r w:rsidR="009578F3" w:rsidRPr="002E4477">
        <w:rPr>
          <w:sz w:val="28"/>
          <w:szCs w:val="28"/>
        </w:rPr>
        <w:t xml:space="preserve">que demuestran </w:t>
      </w:r>
      <w:r w:rsidR="00412AE7" w:rsidRPr="002E4477">
        <w:rPr>
          <w:sz w:val="28"/>
          <w:szCs w:val="28"/>
        </w:rPr>
        <w:t xml:space="preserve">la pertinencia </w:t>
      </w:r>
      <w:r w:rsidRPr="002E4477">
        <w:rPr>
          <w:sz w:val="28"/>
          <w:szCs w:val="28"/>
        </w:rPr>
        <w:t xml:space="preserve">de la tutela </w:t>
      </w:r>
      <w:r w:rsidR="00412AE7" w:rsidRPr="002E4477">
        <w:rPr>
          <w:sz w:val="28"/>
          <w:szCs w:val="28"/>
        </w:rPr>
        <w:t xml:space="preserve">en </w:t>
      </w:r>
      <w:r w:rsidR="008F780B" w:rsidRPr="002E4477">
        <w:rPr>
          <w:sz w:val="28"/>
          <w:szCs w:val="28"/>
        </w:rPr>
        <w:t>situaciones</w:t>
      </w:r>
      <w:r w:rsidR="00412AE7" w:rsidRPr="002E4477">
        <w:rPr>
          <w:sz w:val="28"/>
          <w:szCs w:val="28"/>
        </w:rPr>
        <w:t xml:space="preserve"> en las que </w:t>
      </w:r>
      <w:r w:rsidR="001D1FDB" w:rsidRPr="002E4477">
        <w:rPr>
          <w:sz w:val="28"/>
          <w:szCs w:val="28"/>
        </w:rPr>
        <w:t xml:space="preserve">el objetivo de </w:t>
      </w:r>
      <w:r w:rsidR="00284952" w:rsidRPr="002E4477">
        <w:rPr>
          <w:sz w:val="28"/>
          <w:szCs w:val="28"/>
        </w:rPr>
        <w:t>dicha</w:t>
      </w:r>
      <w:r w:rsidR="001D1FDB" w:rsidRPr="002E4477">
        <w:rPr>
          <w:sz w:val="28"/>
          <w:szCs w:val="28"/>
        </w:rPr>
        <w:t xml:space="preserve"> entidad </w:t>
      </w:r>
      <w:r w:rsidR="00412AE7" w:rsidRPr="002E4477">
        <w:rPr>
          <w:sz w:val="28"/>
          <w:szCs w:val="28"/>
        </w:rPr>
        <w:t xml:space="preserve">es </w:t>
      </w:r>
      <w:r w:rsidR="00DD077C" w:rsidRPr="002E4477">
        <w:rPr>
          <w:sz w:val="28"/>
          <w:szCs w:val="28"/>
        </w:rPr>
        <w:t>recuperar</w:t>
      </w:r>
      <w:r w:rsidR="0029709C">
        <w:rPr>
          <w:sz w:val="28"/>
          <w:szCs w:val="28"/>
        </w:rPr>
        <w:t xml:space="preserve"> </w:t>
      </w:r>
      <w:r w:rsidR="00412AE7" w:rsidRPr="002E4477">
        <w:rPr>
          <w:sz w:val="28"/>
          <w:szCs w:val="28"/>
        </w:rPr>
        <w:t xml:space="preserve">el ejercicio mismo de competencias presuntamente asignadas por </w:t>
      </w:r>
      <w:r w:rsidR="00D72F54" w:rsidRPr="002E4477">
        <w:rPr>
          <w:sz w:val="28"/>
          <w:szCs w:val="28"/>
        </w:rPr>
        <w:t>la Carta</w:t>
      </w:r>
      <w:r w:rsidR="00412AE7" w:rsidRPr="002E4477">
        <w:rPr>
          <w:sz w:val="28"/>
          <w:szCs w:val="28"/>
        </w:rPr>
        <w:t xml:space="preserve">. Lo anterior, </w:t>
      </w:r>
      <w:r w:rsidR="00D72F54" w:rsidRPr="002E4477">
        <w:rPr>
          <w:sz w:val="28"/>
          <w:szCs w:val="28"/>
        </w:rPr>
        <w:t xml:space="preserve">en consideración a que </w:t>
      </w:r>
      <w:r w:rsidR="00412AE7" w:rsidRPr="002E4477">
        <w:rPr>
          <w:sz w:val="28"/>
          <w:szCs w:val="28"/>
        </w:rPr>
        <w:t>el CSJ aspira</w:t>
      </w:r>
      <w:r w:rsidR="0096539E" w:rsidRPr="002E4477">
        <w:rPr>
          <w:sz w:val="28"/>
          <w:szCs w:val="28"/>
        </w:rPr>
        <w:t xml:space="preserve"> </w:t>
      </w:r>
      <w:r w:rsidR="00E77CF1" w:rsidRPr="002E4477">
        <w:rPr>
          <w:sz w:val="28"/>
          <w:szCs w:val="28"/>
        </w:rPr>
        <w:t xml:space="preserve">lograr a </w:t>
      </w:r>
      <w:r w:rsidR="00D72F54" w:rsidRPr="002E4477">
        <w:rPr>
          <w:sz w:val="28"/>
          <w:szCs w:val="28"/>
        </w:rPr>
        <w:t>través de</w:t>
      </w:r>
      <w:r w:rsidR="00273F5E" w:rsidRPr="002E4477">
        <w:rPr>
          <w:sz w:val="28"/>
          <w:szCs w:val="28"/>
        </w:rPr>
        <w:t xml:space="preserve"> </w:t>
      </w:r>
      <w:r w:rsidR="0029709C">
        <w:rPr>
          <w:sz w:val="28"/>
          <w:szCs w:val="28"/>
        </w:rPr>
        <w:t>este medio constitucional</w:t>
      </w:r>
      <w:r w:rsidR="00284952" w:rsidRPr="002E4477">
        <w:rPr>
          <w:sz w:val="28"/>
          <w:szCs w:val="28"/>
        </w:rPr>
        <w:t xml:space="preserve"> </w:t>
      </w:r>
      <w:r w:rsidR="00D72F54" w:rsidRPr="002E4477">
        <w:rPr>
          <w:sz w:val="28"/>
          <w:szCs w:val="28"/>
        </w:rPr>
        <w:t xml:space="preserve">la protección de su derecho </w:t>
      </w:r>
      <w:r w:rsidR="00E4664B" w:rsidRPr="002E4477">
        <w:rPr>
          <w:sz w:val="28"/>
          <w:szCs w:val="28"/>
        </w:rPr>
        <w:t>al debido proceso</w:t>
      </w:r>
      <w:r w:rsidR="002E6DAE" w:rsidRPr="002E4477">
        <w:rPr>
          <w:sz w:val="28"/>
          <w:szCs w:val="28"/>
        </w:rPr>
        <w:t>,</w:t>
      </w:r>
      <w:r w:rsidR="00D72F54" w:rsidRPr="002E4477">
        <w:rPr>
          <w:sz w:val="28"/>
          <w:szCs w:val="28"/>
        </w:rPr>
        <w:t xml:space="preserve"> </w:t>
      </w:r>
      <w:r w:rsidR="00026121">
        <w:rPr>
          <w:sz w:val="28"/>
          <w:szCs w:val="28"/>
        </w:rPr>
        <w:t>de</w:t>
      </w:r>
      <w:r w:rsidR="008C76A5" w:rsidRPr="002E4477">
        <w:rPr>
          <w:sz w:val="28"/>
          <w:szCs w:val="28"/>
        </w:rPr>
        <w:t xml:space="preserve"> acceso a la administración de justicia y su derecho a la defensa, </w:t>
      </w:r>
      <w:r w:rsidR="00D72F54" w:rsidRPr="002E4477">
        <w:rPr>
          <w:sz w:val="28"/>
          <w:szCs w:val="28"/>
        </w:rPr>
        <w:t xml:space="preserve">con el objetivo de </w:t>
      </w:r>
      <w:r w:rsidR="00046547" w:rsidRPr="002E4477">
        <w:rPr>
          <w:sz w:val="28"/>
          <w:szCs w:val="28"/>
        </w:rPr>
        <w:t>recobrar</w:t>
      </w:r>
      <w:r w:rsidR="00412AE7" w:rsidRPr="002E4477">
        <w:rPr>
          <w:sz w:val="28"/>
          <w:szCs w:val="28"/>
        </w:rPr>
        <w:t xml:space="preserve"> una aparente competencia constitucional</w:t>
      </w:r>
      <w:r w:rsidR="00284952" w:rsidRPr="002E4477">
        <w:rPr>
          <w:sz w:val="28"/>
          <w:szCs w:val="28"/>
        </w:rPr>
        <w:t>,</w:t>
      </w:r>
      <w:r w:rsidR="00412AE7" w:rsidRPr="002E4477">
        <w:rPr>
          <w:sz w:val="28"/>
          <w:szCs w:val="28"/>
        </w:rPr>
        <w:t xml:space="preserve"> cuestionada</w:t>
      </w:r>
      <w:r w:rsidR="0096539E" w:rsidRPr="002E4477">
        <w:rPr>
          <w:sz w:val="28"/>
          <w:szCs w:val="28"/>
        </w:rPr>
        <w:t xml:space="preserve"> por el Consejo de Estado.</w:t>
      </w:r>
      <w:r w:rsidR="001C5BA9" w:rsidRPr="002E4477">
        <w:rPr>
          <w:sz w:val="28"/>
          <w:szCs w:val="28"/>
        </w:rPr>
        <w:t xml:space="preserve"> </w:t>
      </w:r>
    </w:p>
    <w:p w14:paraId="75C75D86" w14:textId="77777777" w:rsidR="001C5BA9" w:rsidRPr="002E4477" w:rsidRDefault="001C5BA9" w:rsidP="001C5BA9">
      <w:pPr>
        <w:pStyle w:val="NormalWeb"/>
        <w:tabs>
          <w:tab w:val="left" w:pos="284"/>
        </w:tabs>
        <w:spacing w:before="0" w:beforeAutospacing="0" w:after="0" w:afterAutospacing="0"/>
        <w:jc w:val="both"/>
        <w:rPr>
          <w:sz w:val="28"/>
          <w:szCs w:val="28"/>
        </w:rPr>
      </w:pPr>
    </w:p>
    <w:p w14:paraId="7C5BE599" w14:textId="77777777" w:rsidR="00E77CF1" w:rsidRPr="002E4477" w:rsidRDefault="001C5BA9" w:rsidP="001C5BA9">
      <w:pPr>
        <w:pStyle w:val="NormalWeb"/>
        <w:tabs>
          <w:tab w:val="left" w:pos="284"/>
        </w:tabs>
        <w:spacing w:before="0" w:beforeAutospacing="0" w:after="0" w:afterAutospacing="0"/>
        <w:jc w:val="both"/>
        <w:rPr>
          <w:sz w:val="28"/>
          <w:szCs w:val="28"/>
        </w:rPr>
      </w:pPr>
      <w:r w:rsidRPr="002E4477">
        <w:rPr>
          <w:sz w:val="28"/>
          <w:szCs w:val="28"/>
        </w:rPr>
        <w:t>S</w:t>
      </w:r>
      <w:r w:rsidR="00E4664B" w:rsidRPr="002E4477">
        <w:rPr>
          <w:sz w:val="28"/>
          <w:szCs w:val="28"/>
        </w:rPr>
        <w:t xml:space="preserve">e trata </w:t>
      </w:r>
      <w:r w:rsidR="00B65613" w:rsidRPr="002E4477">
        <w:rPr>
          <w:sz w:val="28"/>
          <w:szCs w:val="28"/>
        </w:rPr>
        <w:t xml:space="preserve">entonces de una situación que </w:t>
      </w:r>
      <w:r w:rsidR="00B85406" w:rsidRPr="002E4477">
        <w:rPr>
          <w:sz w:val="28"/>
          <w:szCs w:val="28"/>
        </w:rPr>
        <w:t>denota una singular relevancia</w:t>
      </w:r>
      <w:r w:rsidR="004633DA" w:rsidRPr="002E4477">
        <w:rPr>
          <w:sz w:val="28"/>
          <w:szCs w:val="28"/>
        </w:rPr>
        <w:t xml:space="preserve"> en materia constitucional</w:t>
      </w:r>
      <w:r w:rsidR="00B85406" w:rsidRPr="002E4477">
        <w:rPr>
          <w:sz w:val="28"/>
          <w:szCs w:val="28"/>
        </w:rPr>
        <w:t>, no s</w:t>
      </w:r>
      <w:r w:rsidR="00C80E03">
        <w:rPr>
          <w:sz w:val="28"/>
          <w:szCs w:val="28"/>
        </w:rPr>
        <w:t>o</w:t>
      </w:r>
      <w:r w:rsidR="00B85406" w:rsidRPr="002E4477">
        <w:rPr>
          <w:sz w:val="28"/>
          <w:szCs w:val="28"/>
        </w:rPr>
        <w:t xml:space="preserve">lo </w:t>
      </w:r>
      <w:r w:rsidR="008C76A5" w:rsidRPr="002E4477">
        <w:rPr>
          <w:sz w:val="28"/>
          <w:szCs w:val="28"/>
        </w:rPr>
        <w:t xml:space="preserve">debido a la </w:t>
      </w:r>
      <w:r w:rsidR="00B85406" w:rsidRPr="002E4477">
        <w:rPr>
          <w:sz w:val="28"/>
          <w:szCs w:val="28"/>
        </w:rPr>
        <w:t xml:space="preserve">solicitud </w:t>
      </w:r>
      <w:r w:rsidR="00DD077C" w:rsidRPr="002E4477">
        <w:rPr>
          <w:sz w:val="28"/>
          <w:szCs w:val="28"/>
        </w:rPr>
        <w:t xml:space="preserve">misma </w:t>
      </w:r>
      <w:r w:rsidR="00B85406" w:rsidRPr="002E4477">
        <w:rPr>
          <w:sz w:val="28"/>
          <w:szCs w:val="28"/>
        </w:rPr>
        <w:t>de protección de</w:t>
      </w:r>
      <w:r w:rsidR="008C76A5" w:rsidRPr="002E4477">
        <w:rPr>
          <w:sz w:val="28"/>
          <w:szCs w:val="28"/>
        </w:rPr>
        <w:t xml:space="preserve"> los</w:t>
      </w:r>
      <w:r w:rsidR="00B85406" w:rsidRPr="002E4477">
        <w:rPr>
          <w:sz w:val="28"/>
          <w:szCs w:val="28"/>
        </w:rPr>
        <w:t xml:space="preserve"> derecho</w:t>
      </w:r>
      <w:r w:rsidR="008C76A5" w:rsidRPr="002E4477">
        <w:rPr>
          <w:sz w:val="28"/>
          <w:szCs w:val="28"/>
        </w:rPr>
        <w:t>s</w:t>
      </w:r>
      <w:r w:rsidR="00B85406" w:rsidRPr="002E4477">
        <w:rPr>
          <w:sz w:val="28"/>
          <w:szCs w:val="28"/>
        </w:rPr>
        <w:t xml:space="preserve"> </w:t>
      </w:r>
      <w:r w:rsidR="008C76A5" w:rsidRPr="002E4477">
        <w:rPr>
          <w:sz w:val="28"/>
          <w:szCs w:val="28"/>
        </w:rPr>
        <w:t>presuntamente conculcados</w:t>
      </w:r>
      <w:r w:rsidR="00284952" w:rsidRPr="002E4477">
        <w:rPr>
          <w:sz w:val="28"/>
          <w:szCs w:val="28"/>
        </w:rPr>
        <w:t xml:space="preserve"> al CSJ</w:t>
      </w:r>
      <w:r w:rsidR="0029709C">
        <w:rPr>
          <w:sz w:val="28"/>
          <w:szCs w:val="28"/>
        </w:rPr>
        <w:t xml:space="preserve"> (</w:t>
      </w:r>
      <w:r w:rsidR="004633DA" w:rsidRPr="002E4477">
        <w:rPr>
          <w:sz w:val="28"/>
          <w:szCs w:val="28"/>
        </w:rPr>
        <w:t xml:space="preserve">en </w:t>
      </w:r>
      <w:r w:rsidR="00DD077C" w:rsidRPr="002E4477">
        <w:rPr>
          <w:sz w:val="28"/>
          <w:szCs w:val="28"/>
        </w:rPr>
        <w:t>un</w:t>
      </w:r>
      <w:r w:rsidR="008C76A5" w:rsidRPr="002E4477">
        <w:rPr>
          <w:sz w:val="28"/>
          <w:szCs w:val="28"/>
        </w:rPr>
        <w:t xml:space="preserve"> marco jurídico nacional de garantía y respeto a </w:t>
      </w:r>
      <w:r w:rsidR="004633DA" w:rsidRPr="002E4477">
        <w:rPr>
          <w:sz w:val="28"/>
          <w:szCs w:val="28"/>
        </w:rPr>
        <w:t>l</w:t>
      </w:r>
      <w:r w:rsidR="008C76A5" w:rsidRPr="002E4477">
        <w:rPr>
          <w:sz w:val="28"/>
          <w:szCs w:val="28"/>
        </w:rPr>
        <w:t>os derechos fundamentales</w:t>
      </w:r>
      <w:r w:rsidR="0029709C">
        <w:rPr>
          <w:sz w:val="28"/>
          <w:szCs w:val="28"/>
        </w:rPr>
        <w:t>)</w:t>
      </w:r>
      <w:r w:rsidR="008C76A5" w:rsidRPr="002E4477">
        <w:rPr>
          <w:sz w:val="28"/>
          <w:szCs w:val="28"/>
        </w:rPr>
        <w:t xml:space="preserve">, </w:t>
      </w:r>
      <w:r w:rsidR="009C3989" w:rsidRPr="002E4477">
        <w:rPr>
          <w:sz w:val="28"/>
          <w:szCs w:val="28"/>
        </w:rPr>
        <w:t xml:space="preserve">sino </w:t>
      </w:r>
      <w:r w:rsidRPr="002E4477">
        <w:rPr>
          <w:sz w:val="28"/>
          <w:szCs w:val="28"/>
        </w:rPr>
        <w:t xml:space="preserve">porque </w:t>
      </w:r>
      <w:r w:rsidR="008C76A5" w:rsidRPr="002E4477">
        <w:rPr>
          <w:sz w:val="28"/>
          <w:szCs w:val="28"/>
        </w:rPr>
        <w:t xml:space="preserve">se </w:t>
      </w:r>
      <w:r w:rsidR="00B85406" w:rsidRPr="002E4477">
        <w:rPr>
          <w:sz w:val="28"/>
          <w:szCs w:val="28"/>
        </w:rPr>
        <w:t xml:space="preserve">pretende a la par, </w:t>
      </w:r>
      <w:r w:rsidR="008C76A5" w:rsidRPr="002E4477">
        <w:rPr>
          <w:sz w:val="28"/>
          <w:szCs w:val="28"/>
        </w:rPr>
        <w:t>a través de esta vía</w:t>
      </w:r>
      <w:r w:rsidR="00046547" w:rsidRPr="002E4477">
        <w:rPr>
          <w:sz w:val="28"/>
          <w:szCs w:val="28"/>
        </w:rPr>
        <w:t xml:space="preserve"> expedita</w:t>
      </w:r>
      <w:r w:rsidR="008C76A5" w:rsidRPr="002E4477">
        <w:rPr>
          <w:sz w:val="28"/>
          <w:szCs w:val="28"/>
        </w:rPr>
        <w:t xml:space="preserve">, </w:t>
      </w:r>
      <w:r w:rsidR="00B65613" w:rsidRPr="002E4477">
        <w:rPr>
          <w:sz w:val="28"/>
          <w:szCs w:val="28"/>
        </w:rPr>
        <w:t>asegurar</w:t>
      </w:r>
      <w:r w:rsidRPr="002E4477">
        <w:rPr>
          <w:sz w:val="28"/>
          <w:szCs w:val="28"/>
        </w:rPr>
        <w:t xml:space="preserve"> </w:t>
      </w:r>
      <w:r w:rsidR="00046547" w:rsidRPr="002E4477">
        <w:rPr>
          <w:sz w:val="28"/>
          <w:szCs w:val="28"/>
        </w:rPr>
        <w:t xml:space="preserve">la vigencia de </w:t>
      </w:r>
      <w:r w:rsidRPr="002E4477">
        <w:rPr>
          <w:sz w:val="28"/>
          <w:szCs w:val="28"/>
        </w:rPr>
        <w:t>una competencia</w:t>
      </w:r>
      <w:r w:rsidR="00273F5E" w:rsidRPr="002E4477">
        <w:rPr>
          <w:sz w:val="28"/>
          <w:szCs w:val="28"/>
        </w:rPr>
        <w:t xml:space="preserve"> constitucional</w:t>
      </w:r>
      <w:r w:rsidRPr="002E4477">
        <w:rPr>
          <w:sz w:val="28"/>
          <w:szCs w:val="28"/>
        </w:rPr>
        <w:t xml:space="preserve"> que</w:t>
      </w:r>
      <w:r w:rsidR="00B85406" w:rsidRPr="002E4477">
        <w:rPr>
          <w:sz w:val="28"/>
          <w:szCs w:val="28"/>
        </w:rPr>
        <w:t xml:space="preserve"> </w:t>
      </w:r>
      <w:r w:rsidR="00284952" w:rsidRPr="002E4477">
        <w:rPr>
          <w:sz w:val="28"/>
          <w:szCs w:val="28"/>
        </w:rPr>
        <w:t xml:space="preserve">el organismo demandante </w:t>
      </w:r>
      <w:r w:rsidR="00B85406" w:rsidRPr="002E4477">
        <w:rPr>
          <w:sz w:val="28"/>
          <w:szCs w:val="28"/>
        </w:rPr>
        <w:t>cree que</w:t>
      </w:r>
      <w:r w:rsidRPr="002E4477">
        <w:rPr>
          <w:sz w:val="28"/>
          <w:szCs w:val="28"/>
        </w:rPr>
        <w:t xml:space="preserve"> le pertenece</w:t>
      </w:r>
      <w:r w:rsidR="00B85406" w:rsidRPr="002E4477">
        <w:rPr>
          <w:sz w:val="28"/>
          <w:szCs w:val="28"/>
        </w:rPr>
        <w:t xml:space="preserve">, </w:t>
      </w:r>
      <w:r w:rsidR="004633DA" w:rsidRPr="002E4477">
        <w:rPr>
          <w:sz w:val="28"/>
          <w:szCs w:val="28"/>
        </w:rPr>
        <w:t xml:space="preserve">a partir </w:t>
      </w:r>
      <w:r w:rsidRPr="002E4477">
        <w:rPr>
          <w:sz w:val="28"/>
          <w:szCs w:val="28"/>
        </w:rPr>
        <w:t xml:space="preserve">de una </w:t>
      </w:r>
      <w:r w:rsidR="009C3989" w:rsidRPr="002E4477">
        <w:rPr>
          <w:sz w:val="28"/>
          <w:szCs w:val="28"/>
        </w:rPr>
        <w:t>interpretación</w:t>
      </w:r>
      <w:r w:rsidR="00046547" w:rsidRPr="002E4477">
        <w:rPr>
          <w:sz w:val="28"/>
          <w:szCs w:val="28"/>
        </w:rPr>
        <w:t xml:space="preserve"> </w:t>
      </w:r>
      <w:r w:rsidR="00003E40" w:rsidRPr="002E4477">
        <w:rPr>
          <w:sz w:val="28"/>
          <w:szCs w:val="28"/>
        </w:rPr>
        <w:t>concreta</w:t>
      </w:r>
      <w:r w:rsidRPr="002E4477">
        <w:rPr>
          <w:sz w:val="28"/>
          <w:szCs w:val="28"/>
        </w:rPr>
        <w:t xml:space="preserve"> de</w:t>
      </w:r>
      <w:r w:rsidR="009C3989" w:rsidRPr="002E4477">
        <w:rPr>
          <w:sz w:val="28"/>
          <w:szCs w:val="28"/>
        </w:rPr>
        <w:t xml:space="preserve"> la Carta</w:t>
      </w:r>
      <w:r w:rsidRPr="002E4477">
        <w:rPr>
          <w:sz w:val="28"/>
          <w:szCs w:val="28"/>
        </w:rPr>
        <w:t xml:space="preserve">. </w:t>
      </w:r>
    </w:p>
    <w:p w14:paraId="6C840B9A" w14:textId="77777777" w:rsidR="00E77CF1" w:rsidRPr="002E4477" w:rsidRDefault="00E77CF1" w:rsidP="00E77CF1">
      <w:pPr>
        <w:pStyle w:val="NormalWeb"/>
        <w:tabs>
          <w:tab w:val="left" w:pos="284"/>
        </w:tabs>
        <w:spacing w:before="0" w:beforeAutospacing="0" w:after="0" w:afterAutospacing="0"/>
        <w:jc w:val="both"/>
        <w:rPr>
          <w:sz w:val="16"/>
          <w:szCs w:val="16"/>
        </w:rPr>
      </w:pPr>
    </w:p>
    <w:p w14:paraId="20BDF7E0" w14:textId="77777777" w:rsidR="00A579DD" w:rsidRPr="002E4477" w:rsidRDefault="008C76A5" w:rsidP="00E77CF1">
      <w:pPr>
        <w:pStyle w:val="NormalWeb"/>
        <w:numPr>
          <w:ilvl w:val="0"/>
          <w:numId w:val="10"/>
        </w:numPr>
        <w:tabs>
          <w:tab w:val="left" w:pos="284"/>
        </w:tabs>
        <w:spacing w:before="0" w:beforeAutospacing="0" w:after="0" w:afterAutospacing="0"/>
        <w:jc w:val="both"/>
        <w:rPr>
          <w:sz w:val="28"/>
          <w:szCs w:val="28"/>
        </w:rPr>
      </w:pPr>
      <w:r w:rsidRPr="002E4477">
        <w:rPr>
          <w:sz w:val="28"/>
          <w:szCs w:val="28"/>
        </w:rPr>
        <w:t>E</w:t>
      </w:r>
      <w:r w:rsidR="002E6DAE" w:rsidRPr="002E4477">
        <w:rPr>
          <w:sz w:val="28"/>
          <w:szCs w:val="28"/>
        </w:rPr>
        <w:t xml:space="preserve">n </w:t>
      </w:r>
      <w:r w:rsidR="002E6DAE" w:rsidRPr="002E4477">
        <w:rPr>
          <w:i/>
          <w:iCs/>
          <w:sz w:val="28"/>
          <w:szCs w:val="28"/>
        </w:rPr>
        <w:t>segundo lugar</w:t>
      </w:r>
      <w:r w:rsidR="002E6DAE" w:rsidRPr="002E4477">
        <w:rPr>
          <w:sz w:val="28"/>
          <w:szCs w:val="28"/>
        </w:rPr>
        <w:t xml:space="preserve">, </w:t>
      </w:r>
      <w:r w:rsidRPr="002E4477">
        <w:rPr>
          <w:sz w:val="28"/>
          <w:szCs w:val="28"/>
        </w:rPr>
        <w:t xml:space="preserve">el caso </w:t>
      </w:r>
      <w:r w:rsidR="000A3427" w:rsidRPr="002E4477">
        <w:rPr>
          <w:sz w:val="28"/>
          <w:szCs w:val="28"/>
        </w:rPr>
        <w:t>tiene además relevancia constitucional</w:t>
      </w:r>
      <w:r w:rsidR="008F780B" w:rsidRPr="002E4477">
        <w:rPr>
          <w:sz w:val="28"/>
          <w:szCs w:val="28"/>
        </w:rPr>
        <w:t>,</w:t>
      </w:r>
      <w:r w:rsidR="000A3427" w:rsidRPr="002E4477">
        <w:rPr>
          <w:sz w:val="28"/>
          <w:szCs w:val="28"/>
        </w:rPr>
        <w:t xml:space="preserve"> porque algunos de los aspectos que se cuestionan</w:t>
      </w:r>
      <w:r w:rsidR="00284952" w:rsidRPr="002E4477">
        <w:rPr>
          <w:sz w:val="28"/>
          <w:szCs w:val="28"/>
        </w:rPr>
        <w:t xml:space="preserve"> las partes</w:t>
      </w:r>
      <w:r w:rsidR="000A3427" w:rsidRPr="002E4477">
        <w:rPr>
          <w:sz w:val="28"/>
          <w:szCs w:val="28"/>
        </w:rPr>
        <w:t>,</w:t>
      </w:r>
      <w:r w:rsidR="008F780B" w:rsidRPr="002E4477">
        <w:rPr>
          <w:sz w:val="28"/>
          <w:szCs w:val="28"/>
        </w:rPr>
        <w:t xml:space="preserve"> </w:t>
      </w:r>
      <w:r w:rsidR="009B5C57" w:rsidRPr="002E4477">
        <w:rPr>
          <w:sz w:val="28"/>
          <w:szCs w:val="28"/>
        </w:rPr>
        <w:t xml:space="preserve">repercuten directamente en la labor </w:t>
      </w:r>
      <w:r w:rsidR="000B0EA7" w:rsidRPr="002E4477">
        <w:rPr>
          <w:sz w:val="28"/>
          <w:szCs w:val="28"/>
        </w:rPr>
        <w:t xml:space="preserve">que realiza esta Corporación en materia de control constitucional. </w:t>
      </w:r>
    </w:p>
    <w:p w14:paraId="32DB19A1" w14:textId="77777777" w:rsidR="00851985" w:rsidRPr="002E4477" w:rsidRDefault="00851985" w:rsidP="00273F5E">
      <w:pPr>
        <w:pStyle w:val="NormalWeb"/>
        <w:tabs>
          <w:tab w:val="left" w:pos="284"/>
        </w:tabs>
        <w:spacing w:before="0" w:beforeAutospacing="0" w:after="0" w:afterAutospacing="0"/>
        <w:ind w:right="40"/>
        <w:jc w:val="both"/>
        <w:rPr>
          <w:sz w:val="28"/>
          <w:szCs w:val="28"/>
        </w:rPr>
      </w:pPr>
    </w:p>
    <w:p w14:paraId="1A72F362" w14:textId="77777777" w:rsidR="00190269" w:rsidRPr="002E4477" w:rsidRDefault="00851985" w:rsidP="00273F5E">
      <w:pPr>
        <w:pStyle w:val="NormalWeb"/>
        <w:tabs>
          <w:tab w:val="left" w:pos="284"/>
        </w:tabs>
        <w:spacing w:before="0" w:beforeAutospacing="0" w:after="0" w:afterAutospacing="0"/>
        <w:ind w:right="40"/>
        <w:jc w:val="both"/>
        <w:rPr>
          <w:sz w:val="28"/>
          <w:szCs w:val="28"/>
        </w:rPr>
      </w:pPr>
      <w:r w:rsidRPr="002E4477">
        <w:rPr>
          <w:sz w:val="28"/>
          <w:szCs w:val="28"/>
        </w:rPr>
        <w:t>De hecho</w:t>
      </w:r>
      <w:r w:rsidR="00273F5E" w:rsidRPr="002E4477">
        <w:rPr>
          <w:sz w:val="28"/>
          <w:szCs w:val="28"/>
        </w:rPr>
        <w:t xml:space="preserve">, los </w:t>
      </w:r>
      <w:r w:rsidR="00DD077C" w:rsidRPr="002E4477">
        <w:rPr>
          <w:sz w:val="28"/>
          <w:szCs w:val="28"/>
        </w:rPr>
        <w:t xml:space="preserve">fallos de tutela y </w:t>
      </w:r>
      <w:r w:rsidR="00273F5E" w:rsidRPr="002E4477">
        <w:rPr>
          <w:sz w:val="28"/>
          <w:szCs w:val="28"/>
        </w:rPr>
        <w:t>la</w:t>
      </w:r>
      <w:r w:rsidR="000B0EA7" w:rsidRPr="002E4477">
        <w:rPr>
          <w:sz w:val="28"/>
          <w:szCs w:val="28"/>
        </w:rPr>
        <w:t xml:space="preserve"> providencia del Consejo de Estado</w:t>
      </w:r>
      <w:r w:rsidR="00EB47F8" w:rsidRPr="002E4477">
        <w:rPr>
          <w:sz w:val="28"/>
          <w:szCs w:val="28"/>
        </w:rPr>
        <w:t xml:space="preserve"> que</w:t>
      </w:r>
      <w:r w:rsidR="00284952" w:rsidRPr="002E4477">
        <w:rPr>
          <w:sz w:val="28"/>
          <w:szCs w:val="28"/>
        </w:rPr>
        <w:t xml:space="preserve"> son objeto de debate en el amparo</w:t>
      </w:r>
      <w:r w:rsidR="00EB47F8" w:rsidRPr="002E4477">
        <w:rPr>
          <w:sz w:val="28"/>
          <w:szCs w:val="28"/>
        </w:rPr>
        <w:t xml:space="preserve">, </w:t>
      </w:r>
      <w:r w:rsidR="00A579DD" w:rsidRPr="002E4477">
        <w:rPr>
          <w:sz w:val="28"/>
          <w:szCs w:val="28"/>
        </w:rPr>
        <w:t>reprocha</w:t>
      </w:r>
      <w:r w:rsidR="00DD077C" w:rsidRPr="002E4477">
        <w:rPr>
          <w:sz w:val="28"/>
          <w:szCs w:val="28"/>
        </w:rPr>
        <w:t>n</w:t>
      </w:r>
      <w:r w:rsidR="00EB47F8" w:rsidRPr="002E4477">
        <w:rPr>
          <w:sz w:val="28"/>
          <w:szCs w:val="28"/>
        </w:rPr>
        <w:t xml:space="preserve"> de manera directa y </w:t>
      </w:r>
      <w:r w:rsidR="00041ED3" w:rsidRPr="002E4477">
        <w:rPr>
          <w:sz w:val="28"/>
          <w:szCs w:val="28"/>
        </w:rPr>
        <w:t>a partir de</w:t>
      </w:r>
      <w:r w:rsidR="00EB47F8" w:rsidRPr="002E4477">
        <w:rPr>
          <w:sz w:val="28"/>
          <w:szCs w:val="28"/>
        </w:rPr>
        <w:t xml:space="preserve"> una posición propia y distante de la de esta Corporación</w:t>
      </w:r>
      <w:r w:rsidR="00CF3801" w:rsidRPr="002E4477">
        <w:rPr>
          <w:sz w:val="28"/>
          <w:szCs w:val="28"/>
        </w:rPr>
        <w:t xml:space="preserve">, </w:t>
      </w:r>
      <w:r w:rsidR="000B0EA7" w:rsidRPr="002E4477">
        <w:rPr>
          <w:sz w:val="28"/>
          <w:szCs w:val="28"/>
        </w:rPr>
        <w:t xml:space="preserve">la competencia de </w:t>
      </w:r>
      <w:r w:rsidR="00875DA7" w:rsidRPr="002E4477">
        <w:rPr>
          <w:sz w:val="28"/>
          <w:szCs w:val="28"/>
        </w:rPr>
        <w:t>l</w:t>
      </w:r>
      <w:r w:rsidRPr="002E4477">
        <w:rPr>
          <w:sz w:val="28"/>
          <w:szCs w:val="28"/>
        </w:rPr>
        <w:t>a</w:t>
      </w:r>
      <w:r w:rsidR="000B0EA7" w:rsidRPr="002E4477">
        <w:rPr>
          <w:sz w:val="28"/>
          <w:szCs w:val="28"/>
        </w:rPr>
        <w:t xml:space="preserve"> Corte </w:t>
      </w:r>
      <w:r w:rsidR="00EB47F8" w:rsidRPr="002E4477">
        <w:rPr>
          <w:sz w:val="28"/>
          <w:szCs w:val="28"/>
        </w:rPr>
        <w:t xml:space="preserve">para realizar el control </w:t>
      </w:r>
      <w:r w:rsidR="00190269" w:rsidRPr="002E4477">
        <w:rPr>
          <w:sz w:val="28"/>
          <w:szCs w:val="28"/>
        </w:rPr>
        <w:t xml:space="preserve">constitucional </w:t>
      </w:r>
      <w:r w:rsidR="00EB47F8" w:rsidRPr="002E4477">
        <w:rPr>
          <w:sz w:val="28"/>
          <w:szCs w:val="28"/>
        </w:rPr>
        <w:t xml:space="preserve">de </w:t>
      </w:r>
      <w:r w:rsidR="00CF3801" w:rsidRPr="002E4477">
        <w:rPr>
          <w:sz w:val="28"/>
          <w:szCs w:val="28"/>
        </w:rPr>
        <w:t>A</w:t>
      </w:r>
      <w:r w:rsidR="00EB47F8" w:rsidRPr="002E4477">
        <w:rPr>
          <w:sz w:val="28"/>
          <w:szCs w:val="28"/>
        </w:rPr>
        <w:t xml:space="preserve">ctos </w:t>
      </w:r>
      <w:r w:rsidR="00CF3801" w:rsidRPr="002E4477">
        <w:rPr>
          <w:sz w:val="28"/>
          <w:szCs w:val="28"/>
        </w:rPr>
        <w:t>L</w:t>
      </w:r>
      <w:r w:rsidR="00EB47F8" w:rsidRPr="002E4477">
        <w:rPr>
          <w:sz w:val="28"/>
          <w:szCs w:val="28"/>
        </w:rPr>
        <w:t xml:space="preserve">egislativos a través de sentencias moduladas, pues para </w:t>
      </w:r>
      <w:r w:rsidR="00190269" w:rsidRPr="002E4477">
        <w:rPr>
          <w:sz w:val="28"/>
          <w:szCs w:val="28"/>
        </w:rPr>
        <w:t>tal</w:t>
      </w:r>
      <w:r w:rsidR="00EB47F8" w:rsidRPr="002E4477">
        <w:rPr>
          <w:sz w:val="28"/>
          <w:szCs w:val="28"/>
        </w:rPr>
        <w:t xml:space="preserve"> cuerpo colegiado ello significa la </w:t>
      </w:r>
      <w:r w:rsidR="00EB47F8" w:rsidRPr="002E4477">
        <w:rPr>
          <w:sz w:val="28"/>
          <w:szCs w:val="28"/>
        </w:rPr>
        <w:lastRenderedPageBreak/>
        <w:t>asunción de competencias que s</w:t>
      </w:r>
      <w:r w:rsidR="00E066A5">
        <w:rPr>
          <w:sz w:val="28"/>
          <w:szCs w:val="28"/>
        </w:rPr>
        <w:t>o</w:t>
      </w:r>
      <w:r w:rsidR="00EB47F8" w:rsidRPr="002E4477">
        <w:rPr>
          <w:sz w:val="28"/>
          <w:szCs w:val="28"/>
        </w:rPr>
        <w:t xml:space="preserve">lo el </w:t>
      </w:r>
      <w:r w:rsidR="00190269" w:rsidRPr="002E4477">
        <w:rPr>
          <w:sz w:val="28"/>
          <w:szCs w:val="28"/>
        </w:rPr>
        <w:t>c</w:t>
      </w:r>
      <w:r w:rsidR="00EB47F8" w:rsidRPr="002E4477">
        <w:rPr>
          <w:sz w:val="28"/>
          <w:szCs w:val="28"/>
        </w:rPr>
        <w:t xml:space="preserve">onstituyente </w:t>
      </w:r>
      <w:r w:rsidRPr="002E4477">
        <w:rPr>
          <w:sz w:val="28"/>
          <w:szCs w:val="28"/>
        </w:rPr>
        <w:t>posee</w:t>
      </w:r>
      <w:r w:rsidR="00190269" w:rsidRPr="002E4477">
        <w:rPr>
          <w:sz w:val="28"/>
          <w:szCs w:val="28"/>
        </w:rPr>
        <w:t>,</w:t>
      </w:r>
      <w:r w:rsidR="00EB47F8" w:rsidRPr="002E4477">
        <w:rPr>
          <w:sz w:val="28"/>
          <w:szCs w:val="28"/>
        </w:rPr>
        <w:t xml:space="preserve"> </w:t>
      </w:r>
      <w:r w:rsidR="00BD3DB5" w:rsidRPr="002E4477">
        <w:rPr>
          <w:sz w:val="28"/>
          <w:szCs w:val="28"/>
        </w:rPr>
        <w:t xml:space="preserve">y </w:t>
      </w:r>
      <w:r w:rsidR="00EB47F8" w:rsidRPr="002E4477">
        <w:rPr>
          <w:sz w:val="28"/>
          <w:szCs w:val="28"/>
        </w:rPr>
        <w:t>que los jueces</w:t>
      </w:r>
      <w:r w:rsidRPr="002E4477">
        <w:rPr>
          <w:sz w:val="28"/>
          <w:szCs w:val="28"/>
        </w:rPr>
        <w:t xml:space="preserve"> no tienen</w:t>
      </w:r>
      <w:r w:rsidR="00BD3DB5" w:rsidRPr="002E4477">
        <w:rPr>
          <w:sz w:val="28"/>
          <w:szCs w:val="28"/>
        </w:rPr>
        <w:t>.</w:t>
      </w:r>
    </w:p>
    <w:p w14:paraId="46EFAB6D" w14:textId="77777777" w:rsidR="00190269" w:rsidRPr="002E4477" w:rsidRDefault="00190269" w:rsidP="00273F5E">
      <w:pPr>
        <w:pStyle w:val="NormalWeb"/>
        <w:tabs>
          <w:tab w:val="left" w:pos="284"/>
        </w:tabs>
        <w:spacing w:before="0" w:beforeAutospacing="0" w:after="0" w:afterAutospacing="0"/>
        <w:ind w:right="40"/>
        <w:jc w:val="both"/>
        <w:rPr>
          <w:sz w:val="28"/>
          <w:szCs w:val="28"/>
        </w:rPr>
      </w:pPr>
    </w:p>
    <w:p w14:paraId="7390509B" w14:textId="77777777" w:rsidR="00F86581" w:rsidRPr="002E4477" w:rsidRDefault="00BD3DB5" w:rsidP="00273F5E">
      <w:pPr>
        <w:pStyle w:val="NormalWeb"/>
        <w:tabs>
          <w:tab w:val="left" w:pos="284"/>
        </w:tabs>
        <w:spacing w:before="0" w:beforeAutospacing="0" w:after="0" w:afterAutospacing="0"/>
        <w:ind w:right="40"/>
        <w:jc w:val="both"/>
        <w:rPr>
          <w:sz w:val="28"/>
          <w:szCs w:val="28"/>
        </w:rPr>
      </w:pPr>
      <w:r w:rsidRPr="002E4477">
        <w:rPr>
          <w:sz w:val="28"/>
          <w:szCs w:val="28"/>
        </w:rPr>
        <w:t>Por ende, a</w:t>
      </w:r>
      <w:r w:rsidR="00EB47F8" w:rsidRPr="002E4477">
        <w:rPr>
          <w:sz w:val="28"/>
          <w:szCs w:val="28"/>
        </w:rPr>
        <w:t xml:space="preserve"> juicio</w:t>
      </w:r>
      <w:r w:rsidR="00026121">
        <w:rPr>
          <w:sz w:val="28"/>
          <w:szCs w:val="28"/>
        </w:rPr>
        <w:t xml:space="preserve"> de la mayoría del Consejo de Estado</w:t>
      </w:r>
      <w:r w:rsidR="00EB47F8" w:rsidRPr="002E4477">
        <w:rPr>
          <w:sz w:val="28"/>
          <w:szCs w:val="28"/>
        </w:rPr>
        <w:t xml:space="preserve">, la Corte </w:t>
      </w:r>
      <w:r w:rsidR="00190269" w:rsidRPr="002E4477">
        <w:rPr>
          <w:sz w:val="28"/>
          <w:szCs w:val="28"/>
        </w:rPr>
        <w:t xml:space="preserve">Constitucional </w:t>
      </w:r>
      <w:r w:rsidR="00EB47F8" w:rsidRPr="002E4477">
        <w:rPr>
          <w:sz w:val="28"/>
          <w:szCs w:val="28"/>
        </w:rPr>
        <w:t>en tales casos “sustitu</w:t>
      </w:r>
      <w:r w:rsidR="00CF3801" w:rsidRPr="002E4477">
        <w:rPr>
          <w:sz w:val="28"/>
          <w:szCs w:val="28"/>
        </w:rPr>
        <w:t>ye</w:t>
      </w:r>
      <w:r w:rsidR="00EB47F8" w:rsidRPr="002E4477">
        <w:rPr>
          <w:sz w:val="28"/>
          <w:szCs w:val="28"/>
        </w:rPr>
        <w:t>”</w:t>
      </w:r>
      <w:r w:rsidR="00CF3801" w:rsidRPr="002E4477">
        <w:rPr>
          <w:sz w:val="28"/>
          <w:szCs w:val="28"/>
        </w:rPr>
        <w:t xml:space="preserve"> </w:t>
      </w:r>
      <w:r w:rsidR="00EB47F8" w:rsidRPr="002E4477">
        <w:rPr>
          <w:sz w:val="28"/>
          <w:szCs w:val="28"/>
        </w:rPr>
        <w:t>la C</w:t>
      </w:r>
      <w:r w:rsidR="00190269" w:rsidRPr="002E4477">
        <w:rPr>
          <w:sz w:val="28"/>
          <w:szCs w:val="28"/>
        </w:rPr>
        <w:t>arta</w:t>
      </w:r>
      <w:r w:rsidR="00CF3801" w:rsidRPr="002E4477">
        <w:rPr>
          <w:sz w:val="28"/>
          <w:szCs w:val="28"/>
        </w:rPr>
        <w:t xml:space="preserve"> y se arroga competencias que no le han sido asignadas</w:t>
      </w:r>
      <w:r w:rsidR="00E26717" w:rsidRPr="002E4477">
        <w:rPr>
          <w:sz w:val="28"/>
          <w:szCs w:val="28"/>
        </w:rPr>
        <w:t xml:space="preserve"> en el ordenamiento</w:t>
      </w:r>
      <w:r w:rsidR="00E066A5">
        <w:rPr>
          <w:sz w:val="28"/>
          <w:szCs w:val="28"/>
        </w:rPr>
        <w:t xml:space="preserve"> jurídico colombiano</w:t>
      </w:r>
      <w:r w:rsidR="00CF3801" w:rsidRPr="002E4477">
        <w:rPr>
          <w:sz w:val="28"/>
          <w:szCs w:val="28"/>
        </w:rPr>
        <w:t>.</w:t>
      </w:r>
      <w:r w:rsidR="00190269" w:rsidRPr="002E4477">
        <w:rPr>
          <w:sz w:val="28"/>
          <w:szCs w:val="28"/>
        </w:rPr>
        <w:t xml:space="preserve"> </w:t>
      </w:r>
      <w:r w:rsidR="00851985" w:rsidRPr="002E4477">
        <w:rPr>
          <w:sz w:val="28"/>
          <w:szCs w:val="28"/>
        </w:rPr>
        <w:t>Una aproximación al asunto</w:t>
      </w:r>
      <w:r w:rsidR="00AF2C6A" w:rsidRPr="002E4477">
        <w:rPr>
          <w:sz w:val="28"/>
          <w:szCs w:val="28"/>
        </w:rPr>
        <w:t>,</w:t>
      </w:r>
      <w:r w:rsidR="00851985" w:rsidRPr="002E4477">
        <w:rPr>
          <w:sz w:val="28"/>
          <w:szCs w:val="28"/>
        </w:rPr>
        <w:t xml:space="preserve"> que </w:t>
      </w:r>
      <w:r w:rsidR="00B86E71" w:rsidRPr="002E4477">
        <w:rPr>
          <w:sz w:val="28"/>
          <w:szCs w:val="28"/>
        </w:rPr>
        <w:t xml:space="preserve">induce </w:t>
      </w:r>
      <w:r w:rsidR="00D40A8E" w:rsidRPr="002E4477">
        <w:rPr>
          <w:sz w:val="28"/>
          <w:szCs w:val="28"/>
        </w:rPr>
        <w:t xml:space="preserve">aparentemente </w:t>
      </w:r>
      <w:r w:rsidR="00AF2C6A" w:rsidRPr="002E4477">
        <w:rPr>
          <w:sz w:val="28"/>
          <w:szCs w:val="28"/>
        </w:rPr>
        <w:t>a</w:t>
      </w:r>
      <w:r w:rsidR="00B86E71" w:rsidRPr="002E4477">
        <w:rPr>
          <w:sz w:val="28"/>
          <w:szCs w:val="28"/>
        </w:rPr>
        <w:t xml:space="preserve"> estos falladores </w:t>
      </w:r>
      <w:r w:rsidRPr="002E4477">
        <w:rPr>
          <w:sz w:val="28"/>
          <w:szCs w:val="28"/>
        </w:rPr>
        <w:t>a desconocer</w:t>
      </w:r>
      <w:r w:rsidR="00AF2C6A" w:rsidRPr="002E4477">
        <w:rPr>
          <w:sz w:val="28"/>
          <w:szCs w:val="28"/>
        </w:rPr>
        <w:t xml:space="preserve"> </w:t>
      </w:r>
      <w:r w:rsidR="00CF3801" w:rsidRPr="002E4477">
        <w:rPr>
          <w:sz w:val="28"/>
          <w:szCs w:val="28"/>
        </w:rPr>
        <w:t xml:space="preserve">el valor interpretativo </w:t>
      </w:r>
      <w:r w:rsidR="00A579DD" w:rsidRPr="002E4477">
        <w:rPr>
          <w:sz w:val="28"/>
          <w:szCs w:val="28"/>
        </w:rPr>
        <w:t>que tales</w:t>
      </w:r>
      <w:r w:rsidR="00CF3801" w:rsidRPr="002E4477">
        <w:rPr>
          <w:sz w:val="28"/>
          <w:szCs w:val="28"/>
        </w:rPr>
        <w:t xml:space="preserve"> sentencias moduladas </w:t>
      </w:r>
      <w:r w:rsidR="00851985" w:rsidRPr="002E4477">
        <w:rPr>
          <w:sz w:val="28"/>
          <w:szCs w:val="28"/>
        </w:rPr>
        <w:t xml:space="preserve">tienen </w:t>
      </w:r>
      <w:r w:rsidR="00CF3801" w:rsidRPr="002E4477">
        <w:rPr>
          <w:sz w:val="28"/>
          <w:szCs w:val="28"/>
        </w:rPr>
        <w:t>cuando recaen en artículos constitucionales</w:t>
      </w:r>
      <w:r w:rsidR="00A579DD" w:rsidRPr="002E4477">
        <w:rPr>
          <w:sz w:val="28"/>
          <w:szCs w:val="28"/>
        </w:rPr>
        <w:t xml:space="preserve"> modificados por el </w:t>
      </w:r>
      <w:r w:rsidR="00190269" w:rsidRPr="002E4477">
        <w:rPr>
          <w:sz w:val="28"/>
          <w:szCs w:val="28"/>
        </w:rPr>
        <w:t>c</w:t>
      </w:r>
      <w:r w:rsidR="00A579DD" w:rsidRPr="002E4477">
        <w:rPr>
          <w:sz w:val="28"/>
          <w:szCs w:val="28"/>
        </w:rPr>
        <w:t>onstituyente</w:t>
      </w:r>
      <w:r w:rsidR="00041ED3" w:rsidRPr="002E4477">
        <w:rPr>
          <w:sz w:val="28"/>
          <w:szCs w:val="28"/>
        </w:rPr>
        <w:t xml:space="preserve"> y</w:t>
      </w:r>
      <w:r w:rsidR="00CF3801" w:rsidRPr="002E4477">
        <w:rPr>
          <w:sz w:val="28"/>
          <w:szCs w:val="28"/>
        </w:rPr>
        <w:t xml:space="preserve"> </w:t>
      </w:r>
      <w:r w:rsidR="00851985" w:rsidRPr="002E4477">
        <w:rPr>
          <w:sz w:val="28"/>
          <w:szCs w:val="28"/>
        </w:rPr>
        <w:t>que las lleva a</w:t>
      </w:r>
      <w:r w:rsidR="00190269" w:rsidRPr="002E4477">
        <w:rPr>
          <w:sz w:val="28"/>
          <w:szCs w:val="28"/>
        </w:rPr>
        <w:t xml:space="preserve"> desvirtuar</w:t>
      </w:r>
      <w:r w:rsidR="00CF3801" w:rsidRPr="002E4477">
        <w:rPr>
          <w:sz w:val="28"/>
          <w:szCs w:val="28"/>
        </w:rPr>
        <w:t xml:space="preserve"> </w:t>
      </w:r>
      <w:r w:rsidR="00AF2C6A" w:rsidRPr="002E4477">
        <w:rPr>
          <w:sz w:val="28"/>
          <w:szCs w:val="28"/>
        </w:rPr>
        <w:t xml:space="preserve">paralelamente </w:t>
      </w:r>
      <w:r w:rsidR="00CF3801" w:rsidRPr="002E4477">
        <w:rPr>
          <w:sz w:val="28"/>
          <w:szCs w:val="28"/>
        </w:rPr>
        <w:t xml:space="preserve">el valor de las normas </w:t>
      </w:r>
      <w:r w:rsidR="00D40A8E" w:rsidRPr="002E4477">
        <w:rPr>
          <w:sz w:val="28"/>
          <w:szCs w:val="28"/>
        </w:rPr>
        <w:t xml:space="preserve">superiores que son </w:t>
      </w:r>
      <w:r w:rsidR="00CF3801" w:rsidRPr="002E4477">
        <w:rPr>
          <w:sz w:val="28"/>
          <w:szCs w:val="28"/>
        </w:rPr>
        <w:t>revisadas por el juez constitucional</w:t>
      </w:r>
      <w:r w:rsidR="00190269" w:rsidRPr="002E4477">
        <w:rPr>
          <w:sz w:val="28"/>
          <w:szCs w:val="28"/>
        </w:rPr>
        <w:t>, así como su</w:t>
      </w:r>
      <w:r w:rsidR="00D40A8E" w:rsidRPr="002E4477">
        <w:rPr>
          <w:sz w:val="28"/>
          <w:szCs w:val="28"/>
        </w:rPr>
        <w:t xml:space="preserve"> legitimidad dentro del ordenamiento jurídico</w:t>
      </w:r>
      <w:r w:rsidR="00CF3801" w:rsidRPr="002E4477">
        <w:rPr>
          <w:sz w:val="28"/>
          <w:szCs w:val="28"/>
        </w:rPr>
        <w:t xml:space="preserve">. </w:t>
      </w:r>
    </w:p>
    <w:p w14:paraId="02714C9D" w14:textId="77777777" w:rsidR="002A2D00" w:rsidRPr="002E4477" w:rsidRDefault="002A2D00" w:rsidP="002A2D00">
      <w:pPr>
        <w:pStyle w:val="Prrafodelista"/>
        <w:rPr>
          <w:i/>
          <w:szCs w:val="28"/>
        </w:rPr>
      </w:pPr>
    </w:p>
    <w:p w14:paraId="4F94D1B7" w14:textId="77777777" w:rsidR="002A2D00" w:rsidRPr="002E4477" w:rsidRDefault="00851985" w:rsidP="00851985">
      <w:pPr>
        <w:pStyle w:val="NormalWeb"/>
        <w:numPr>
          <w:ilvl w:val="0"/>
          <w:numId w:val="10"/>
        </w:numPr>
        <w:tabs>
          <w:tab w:val="left" w:pos="284"/>
        </w:tabs>
        <w:spacing w:before="0" w:beforeAutospacing="0" w:after="0" w:afterAutospacing="0"/>
        <w:ind w:right="40"/>
        <w:jc w:val="both"/>
        <w:rPr>
          <w:i/>
          <w:sz w:val="28"/>
          <w:szCs w:val="28"/>
        </w:rPr>
      </w:pPr>
      <w:r w:rsidRPr="002E4477">
        <w:rPr>
          <w:sz w:val="28"/>
          <w:szCs w:val="28"/>
        </w:rPr>
        <w:t>Bajo este supuesto, es</w:t>
      </w:r>
      <w:r w:rsidR="00AF2C6A" w:rsidRPr="002E4477">
        <w:rPr>
          <w:sz w:val="28"/>
          <w:szCs w:val="28"/>
        </w:rPr>
        <w:t xml:space="preserve"> evidente</w:t>
      </w:r>
      <w:r w:rsidRPr="002E4477">
        <w:rPr>
          <w:sz w:val="28"/>
          <w:szCs w:val="28"/>
        </w:rPr>
        <w:t xml:space="preserve"> que</w:t>
      </w:r>
      <w:r w:rsidR="00AF2C6A" w:rsidRPr="002E4477">
        <w:rPr>
          <w:sz w:val="28"/>
          <w:szCs w:val="28"/>
        </w:rPr>
        <w:t xml:space="preserve"> el</w:t>
      </w:r>
      <w:r w:rsidRPr="002E4477">
        <w:rPr>
          <w:sz w:val="28"/>
          <w:szCs w:val="28"/>
        </w:rPr>
        <w:t xml:space="preserve"> debate que aquí se propone es de la </w:t>
      </w:r>
      <w:r w:rsidR="00CF3801" w:rsidRPr="002E4477">
        <w:rPr>
          <w:sz w:val="28"/>
          <w:szCs w:val="28"/>
        </w:rPr>
        <w:t xml:space="preserve">máxima relevancia para el </w:t>
      </w:r>
      <w:r w:rsidR="00A579DD" w:rsidRPr="002E4477">
        <w:rPr>
          <w:sz w:val="28"/>
          <w:szCs w:val="28"/>
        </w:rPr>
        <w:t>juez</w:t>
      </w:r>
      <w:r w:rsidR="00CF3801" w:rsidRPr="002E4477">
        <w:rPr>
          <w:sz w:val="28"/>
          <w:szCs w:val="28"/>
        </w:rPr>
        <w:t xml:space="preserve"> </w:t>
      </w:r>
      <w:r w:rsidR="00A579DD" w:rsidRPr="002E4477">
        <w:rPr>
          <w:sz w:val="28"/>
          <w:szCs w:val="28"/>
        </w:rPr>
        <w:t>c</w:t>
      </w:r>
      <w:r w:rsidR="00CF3801" w:rsidRPr="002E4477">
        <w:rPr>
          <w:sz w:val="28"/>
          <w:szCs w:val="28"/>
        </w:rPr>
        <w:t>onstitucional, en la medida en que</w:t>
      </w:r>
      <w:r w:rsidR="00041ED3" w:rsidRPr="002E4477">
        <w:rPr>
          <w:sz w:val="28"/>
          <w:szCs w:val="28"/>
        </w:rPr>
        <w:t>,</w:t>
      </w:r>
      <w:r w:rsidR="00CF3801" w:rsidRPr="002E4477">
        <w:rPr>
          <w:sz w:val="28"/>
          <w:szCs w:val="28"/>
        </w:rPr>
        <w:t xml:space="preserve"> </w:t>
      </w:r>
      <w:r w:rsidR="00F86581" w:rsidRPr="002E4477">
        <w:rPr>
          <w:sz w:val="28"/>
          <w:szCs w:val="28"/>
        </w:rPr>
        <w:t>más allá de las d</w:t>
      </w:r>
      <w:r w:rsidR="00026121">
        <w:rPr>
          <w:sz w:val="28"/>
          <w:szCs w:val="28"/>
        </w:rPr>
        <w:t>iferencias</w:t>
      </w:r>
      <w:r w:rsidR="00F86581" w:rsidRPr="002E4477">
        <w:rPr>
          <w:sz w:val="28"/>
          <w:szCs w:val="28"/>
        </w:rPr>
        <w:t xml:space="preserve"> que puedan suscitarse entre autoridades judiciales sobre la interpretación normativa</w:t>
      </w:r>
      <w:r w:rsidR="00875DA7" w:rsidRPr="002E4477">
        <w:rPr>
          <w:sz w:val="28"/>
          <w:szCs w:val="28"/>
        </w:rPr>
        <w:t xml:space="preserve"> acorde a sus especialidades</w:t>
      </w:r>
      <w:r w:rsidR="00F86581" w:rsidRPr="002E4477">
        <w:rPr>
          <w:sz w:val="28"/>
          <w:szCs w:val="28"/>
        </w:rPr>
        <w:t>, esta postura significa</w:t>
      </w:r>
      <w:r w:rsidR="00921340" w:rsidRPr="002E4477">
        <w:rPr>
          <w:sz w:val="28"/>
          <w:szCs w:val="28"/>
        </w:rPr>
        <w:t xml:space="preserve"> en la práctica</w:t>
      </w:r>
      <w:r w:rsidR="00CF3801" w:rsidRPr="002E4477">
        <w:rPr>
          <w:sz w:val="28"/>
          <w:szCs w:val="28"/>
        </w:rPr>
        <w:t>:</w:t>
      </w:r>
      <w:r w:rsidR="00A36F73" w:rsidRPr="002E4477">
        <w:rPr>
          <w:sz w:val="28"/>
          <w:szCs w:val="28"/>
        </w:rPr>
        <w:t xml:space="preserve"> </w:t>
      </w:r>
      <w:r w:rsidR="00CF3801" w:rsidRPr="002E4477">
        <w:rPr>
          <w:b/>
          <w:sz w:val="28"/>
          <w:szCs w:val="28"/>
        </w:rPr>
        <w:t>(i)</w:t>
      </w:r>
      <w:r w:rsidR="00F86581" w:rsidRPr="002E4477">
        <w:rPr>
          <w:sz w:val="28"/>
          <w:szCs w:val="28"/>
        </w:rPr>
        <w:t xml:space="preserve"> </w:t>
      </w:r>
      <w:r w:rsidR="00D40A8E" w:rsidRPr="002E4477">
        <w:rPr>
          <w:sz w:val="28"/>
          <w:szCs w:val="28"/>
        </w:rPr>
        <w:t>un</w:t>
      </w:r>
      <w:r w:rsidR="00A36F73" w:rsidRPr="002E4477">
        <w:rPr>
          <w:sz w:val="28"/>
          <w:szCs w:val="28"/>
        </w:rPr>
        <w:t xml:space="preserve"> cuestionamiento </w:t>
      </w:r>
      <w:r w:rsidR="00BC43A8" w:rsidRPr="002E4477">
        <w:rPr>
          <w:sz w:val="28"/>
          <w:szCs w:val="28"/>
        </w:rPr>
        <w:t>y oposición</w:t>
      </w:r>
      <w:r w:rsidR="00A36F73" w:rsidRPr="002E4477">
        <w:rPr>
          <w:sz w:val="28"/>
          <w:szCs w:val="28"/>
        </w:rPr>
        <w:t xml:space="preserve"> a las competencias de </w:t>
      </w:r>
      <w:r w:rsidR="00875DA7" w:rsidRPr="002E4477">
        <w:rPr>
          <w:sz w:val="28"/>
          <w:szCs w:val="28"/>
        </w:rPr>
        <w:t>esta</w:t>
      </w:r>
      <w:r w:rsidR="00A36F73" w:rsidRPr="002E4477">
        <w:rPr>
          <w:sz w:val="28"/>
          <w:szCs w:val="28"/>
        </w:rPr>
        <w:t xml:space="preserve"> Corte en materia de control constitucional</w:t>
      </w:r>
      <w:r w:rsidR="00041ED3" w:rsidRPr="002E4477">
        <w:rPr>
          <w:sz w:val="28"/>
          <w:szCs w:val="28"/>
        </w:rPr>
        <w:t>,</w:t>
      </w:r>
      <w:r w:rsidR="00A36F73" w:rsidRPr="002E4477">
        <w:rPr>
          <w:sz w:val="28"/>
          <w:szCs w:val="28"/>
        </w:rPr>
        <w:t xml:space="preserve"> y en particular</w:t>
      </w:r>
      <w:r w:rsidR="00041ED3" w:rsidRPr="002E4477">
        <w:rPr>
          <w:sz w:val="28"/>
          <w:szCs w:val="28"/>
        </w:rPr>
        <w:t>,</w:t>
      </w:r>
      <w:r w:rsidR="00A36F73" w:rsidRPr="002E4477">
        <w:rPr>
          <w:sz w:val="28"/>
          <w:szCs w:val="28"/>
        </w:rPr>
        <w:t xml:space="preserve"> a los efectos del control sobre actos legislativos por razones competenciales</w:t>
      </w:r>
      <w:r w:rsidR="00041ED3" w:rsidRPr="002E4477">
        <w:rPr>
          <w:sz w:val="28"/>
          <w:szCs w:val="28"/>
        </w:rPr>
        <w:t xml:space="preserve">; </w:t>
      </w:r>
      <w:r w:rsidR="00A36F73" w:rsidRPr="002E4477">
        <w:rPr>
          <w:b/>
          <w:sz w:val="28"/>
          <w:szCs w:val="28"/>
        </w:rPr>
        <w:t>(ii)</w:t>
      </w:r>
      <w:r w:rsidR="00D40A8E" w:rsidRPr="002E4477">
        <w:rPr>
          <w:sz w:val="28"/>
          <w:szCs w:val="28"/>
        </w:rPr>
        <w:t xml:space="preserve"> </w:t>
      </w:r>
      <w:r w:rsidR="00041ED3" w:rsidRPr="002E4477">
        <w:rPr>
          <w:sz w:val="28"/>
          <w:szCs w:val="28"/>
        </w:rPr>
        <w:t>e</w:t>
      </w:r>
      <w:r w:rsidR="006602B3" w:rsidRPr="002E4477">
        <w:rPr>
          <w:sz w:val="28"/>
          <w:szCs w:val="28"/>
        </w:rPr>
        <w:t xml:space="preserve">l </w:t>
      </w:r>
      <w:r w:rsidR="00D40A8E" w:rsidRPr="002E4477">
        <w:rPr>
          <w:sz w:val="28"/>
          <w:szCs w:val="28"/>
        </w:rPr>
        <w:t xml:space="preserve">posible desconocimiento </w:t>
      </w:r>
      <w:r w:rsidR="00E066A5">
        <w:rPr>
          <w:sz w:val="28"/>
          <w:szCs w:val="28"/>
        </w:rPr>
        <w:t>expreso</w:t>
      </w:r>
      <w:r w:rsidR="00D40A8E" w:rsidRPr="002E4477">
        <w:rPr>
          <w:sz w:val="28"/>
          <w:szCs w:val="28"/>
        </w:rPr>
        <w:t xml:space="preserve"> por parte de los jueces del </w:t>
      </w:r>
      <w:r w:rsidR="00E666AB" w:rsidRPr="002E4477">
        <w:rPr>
          <w:sz w:val="28"/>
          <w:szCs w:val="28"/>
        </w:rPr>
        <w:t>t</w:t>
      </w:r>
      <w:r w:rsidR="00D40A8E" w:rsidRPr="002E4477">
        <w:rPr>
          <w:sz w:val="28"/>
          <w:szCs w:val="28"/>
        </w:rPr>
        <w:t xml:space="preserve">exto </w:t>
      </w:r>
      <w:r w:rsidR="00E666AB" w:rsidRPr="002E4477">
        <w:rPr>
          <w:sz w:val="28"/>
          <w:szCs w:val="28"/>
        </w:rPr>
        <w:t>s</w:t>
      </w:r>
      <w:r w:rsidR="00D40A8E" w:rsidRPr="002E4477">
        <w:rPr>
          <w:sz w:val="28"/>
          <w:szCs w:val="28"/>
        </w:rPr>
        <w:t>uperior</w:t>
      </w:r>
      <w:r w:rsidR="00D42686" w:rsidRPr="002E4477">
        <w:rPr>
          <w:sz w:val="28"/>
          <w:szCs w:val="28"/>
        </w:rPr>
        <w:t>,</w:t>
      </w:r>
      <w:r w:rsidR="00D40A8E" w:rsidRPr="002E4477">
        <w:rPr>
          <w:sz w:val="28"/>
          <w:szCs w:val="28"/>
        </w:rPr>
        <w:t xml:space="preserve"> </w:t>
      </w:r>
      <w:r w:rsidR="00041ED3" w:rsidRPr="002E4477">
        <w:rPr>
          <w:sz w:val="28"/>
          <w:szCs w:val="28"/>
        </w:rPr>
        <w:t xml:space="preserve">cuando </w:t>
      </w:r>
      <w:r w:rsidR="00D40A8E" w:rsidRPr="002E4477">
        <w:rPr>
          <w:sz w:val="28"/>
          <w:szCs w:val="28"/>
        </w:rPr>
        <w:t>resulte valorado y</w:t>
      </w:r>
      <w:r w:rsidR="00BC43A8" w:rsidRPr="002E4477">
        <w:rPr>
          <w:sz w:val="28"/>
          <w:szCs w:val="28"/>
        </w:rPr>
        <w:t>/o</w:t>
      </w:r>
      <w:r w:rsidR="00D40A8E" w:rsidRPr="002E4477">
        <w:rPr>
          <w:sz w:val="28"/>
          <w:szCs w:val="28"/>
        </w:rPr>
        <w:t xml:space="preserve"> modulado por el juez constitucional</w:t>
      </w:r>
      <w:r w:rsidR="00F86581" w:rsidRPr="002E4477">
        <w:rPr>
          <w:sz w:val="28"/>
          <w:szCs w:val="28"/>
        </w:rPr>
        <w:t xml:space="preserve"> en tales casos;</w:t>
      </w:r>
      <w:r w:rsidR="00D40A8E" w:rsidRPr="002E4477">
        <w:rPr>
          <w:sz w:val="28"/>
          <w:szCs w:val="28"/>
        </w:rPr>
        <w:t xml:space="preserve"> </w:t>
      </w:r>
      <w:r w:rsidR="00D40A8E" w:rsidRPr="002E4477">
        <w:rPr>
          <w:b/>
          <w:sz w:val="28"/>
          <w:szCs w:val="28"/>
        </w:rPr>
        <w:t>(i</w:t>
      </w:r>
      <w:r w:rsidR="00A36F73" w:rsidRPr="002E4477">
        <w:rPr>
          <w:b/>
          <w:sz w:val="28"/>
          <w:szCs w:val="28"/>
        </w:rPr>
        <w:t>i</w:t>
      </w:r>
      <w:r w:rsidR="00D40A8E" w:rsidRPr="002E4477">
        <w:rPr>
          <w:b/>
          <w:sz w:val="28"/>
          <w:szCs w:val="28"/>
        </w:rPr>
        <w:t xml:space="preserve">i) </w:t>
      </w:r>
      <w:r w:rsidR="00CF3801" w:rsidRPr="002E4477">
        <w:rPr>
          <w:sz w:val="28"/>
          <w:szCs w:val="28"/>
        </w:rPr>
        <w:t>una desconexión</w:t>
      </w:r>
      <w:r w:rsidR="00D40A8E" w:rsidRPr="002E4477">
        <w:rPr>
          <w:sz w:val="28"/>
          <w:szCs w:val="28"/>
        </w:rPr>
        <w:t xml:space="preserve"> </w:t>
      </w:r>
      <w:r w:rsidR="00A579DD" w:rsidRPr="002E4477">
        <w:rPr>
          <w:sz w:val="28"/>
          <w:szCs w:val="28"/>
        </w:rPr>
        <w:t>práctica</w:t>
      </w:r>
      <w:r w:rsidR="00CF3801" w:rsidRPr="002E4477">
        <w:rPr>
          <w:sz w:val="28"/>
          <w:szCs w:val="28"/>
        </w:rPr>
        <w:t xml:space="preserve"> entre la labor de</w:t>
      </w:r>
      <w:r w:rsidR="00A579DD" w:rsidRPr="002E4477">
        <w:rPr>
          <w:sz w:val="28"/>
          <w:szCs w:val="28"/>
        </w:rPr>
        <w:t>l</w:t>
      </w:r>
      <w:r w:rsidR="00CF3801" w:rsidRPr="002E4477">
        <w:rPr>
          <w:sz w:val="28"/>
          <w:szCs w:val="28"/>
        </w:rPr>
        <w:t xml:space="preserve"> Tribunal</w:t>
      </w:r>
      <w:r w:rsidR="00F86581" w:rsidRPr="002E4477">
        <w:rPr>
          <w:sz w:val="28"/>
          <w:szCs w:val="28"/>
        </w:rPr>
        <w:t xml:space="preserve"> Constitucional</w:t>
      </w:r>
      <w:r w:rsidR="00CF3801" w:rsidRPr="002E4477">
        <w:rPr>
          <w:sz w:val="28"/>
          <w:szCs w:val="28"/>
        </w:rPr>
        <w:t xml:space="preserve"> en estos temas y la </w:t>
      </w:r>
      <w:r w:rsidR="006602B3" w:rsidRPr="002E4477">
        <w:rPr>
          <w:sz w:val="28"/>
          <w:szCs w:val="28"/>
        </w:rPr>
        <w:t xml:space="preserve">de </w:t>
      </w:r>
      <w:r w:rsidR="00CF3801" w:rsidRPr="002E4477">
        <w:rPr>
          <w:sz w:val="28"/>
          <w:szCs w:val="28"/>
        </w:rPr>
        <w:t xml:space="preserve">los jueces </w:t>
      </w:r>
      <w:r w:rsidR="00E666AB" w:rsidRPr="002E4477">
        <w:rPr>
          <w:sz w:val="28"/>
          <w:szCs w:val="28"/>
        </w:rPr>
        <w:t>cuando ejercen una función constitucional</w:t>
      </w:r>
      <w:r w:rsidR="00A36F73" w:rsidRPr="002E4477">
        <w:rPr>
          <w:sz w:val="28"/>
          <w:szCs w:val="28"/>
        </w:rPr>
        <w:t>,</w:t>
      </w:r>
      <w:r w:rsidR="00A579DD" w:rsidRPr="002E4477">
        <w:rPr>
          <w:sz w:val="28"/>
          <w:szCs w:val="28"/>
        </w:rPr>
        <w:t xml:space="preserve"> ante </w:t>
      </w:r>
      <w:r w:rsidR="00F86581" w:rsidRPr="002E4477">
        <w:rPr>
          <w:sz w:val="28"/>
          <w:szCs w:val="28"/>
        </w:rPr>
        <w:t>normas</w:t>
      </w:r>
      <w:r w:rsidR="0057602A" w:rsidRPr="002E4477">
        <w:rPr>
          <w:sz w:val="28"/>
          <w:szCs w:val="28"/>
        </w:rPr>
        <w:t xml:space="preserve"> superiores </w:t>
      </w:r>
      <w:r w:rsidR="00F86581" w:rsidRPr="002E4477">
        <w:rPr>
          <w:sz w:val="28"/>
          <w:szCs w:val="28"/>
        </w:rPr>
        <w:t>involucradas, en desmedro de</w:t>
      </w:r>
      <w:r w:rsidR="00E666AB" w:rsidRPr="002E4477">
        <w:rPr>
          <w:sz w:val="28"/>
          <w:szCs w:val="28"/>
        </w:rPr>
        <w:t xml:space="preserve"> la coherencia y seguridad del </w:t>
      </w:r>
      <w:r w:rsidR="00A579DD" w:rsidRPr="002E4477">
        <w:rPr>
          <w:sz w:val="28"/>
          <w:szCs w:val="28"/>
        </w:rPr>
        <w:t>ordenamiento</w:t>
      </w:r>
      <w:r w:rsidR="00C30BB9" w:rsidRPr="002E4477">
        <w:rPr>
          <w:sz w:val="28"/>
          <w:szCs w:val="28"/>
        </w:rPr>
        <w:t xml:space="preserve"> jurídico en su conjunto</w:t>
      </w:r>
      <w:r w:rsidR="00A579DD" w:rsidRPr="002E4477">
        <w:rPr>
          <w:sz w:val="28"/>
          <w:szCs w:val="28"/>
        </w:rPr>
        <w:t xml:space="preserve"> </w:t>
      </w:r>
      <w:r w:rsidR="006602B3" w:rsidRPr="002E4477">
        <w:rPr>
          <w:sz w:val="28"/>
          <w:szCs w:val="28"/>
        </w:rPr>
        <w:t xml:space="preserve">y </w:t>
      </w:r>
      <w:r w:rsidR="00A579DD" w:rsidRPr="002E4477">
        <w:rPr>
          <w:sz w:val="28"/>
          <w:szCs w:val="28"/>
        </w:rPr>
        <w:t>de</w:t>
      </w:r>
      <w:r w:rsidR="00F86581" w:rsidRPr="002E4477">
        <w:rPr>
          <w:sz w:val="28"/>
          <w:szCs w:val="28"/>
        </w:rPr>
        <w:t xml:space="preserve"> los ciudadanos</w:t>
      </w:r>
      <w:r w:rsidR="00A36F73" w:rsidRPr="002E4477">
        <w:rPr>
          <w:sz w:val="28"/>
          <w:szCs w:val="28"/>
        </w:rPr>
        <w:t xml:space="preserve">; </w:t>
      </w:r>
      <w:r w:rsidR="00A36F73" w:rsidRPr="002E4477">
        <w:rPr>
          <w:b/>
          <w:sz w:val="28"/>
          <w:szCs w:val="28"/>
        </w:rPr>
        <w:t>(iv)</w:t>
      </w:r>
      <w:r w:rsidR="00A36F73" w:rsidRPr="002E4477">
        <w:rPr>
          <w:sz w:val="28"/>
          <w:szCs w:val="28"/>
        </w:rPr>
        <w:t xml:space="preserve"> un posible desconocimiento del alcance real de la cosa juzgada constitucional en esos casos</w:t>
      </w:r>
      <w:r w:rsidR="00041ED3" w:rsidRPr="002E4477">
        <w:rPr>
          <w:sz w:val="28"/>
          <w:szCs w:val="28"/>
        </w:rPr>
        <w:t xml:space="preserve">; </w:t>
      </w:r>
      <w:r w:rsidR="00F86581" w:rsidRPr="002E4477">
        <w:rPr>
          <w:sz w:val="28"/>
          <w:szCs w:val="28"/>
        </w:rPr>
        <w:t>y</w:t>
      </w:r>
      <w:r w:rsidR="006602B3" w:rsidRPr="002E4477">
        <w:rPr>
          <w:sz w:val="28"/>
          <w:szCs w:val="28"/>
        </w:rPr>
        <w:t xml:space="preserve"> </w:t>
      </w:r>
      <w:r w:rsidR="00F86581" w:rsidRPr="002E4477">
        <w:rPr>
          <w:b/>
          <w:sz w:val="28"/>
          <w:szCs w:val="28"/>
        </w:rPr>
        <w:t>(</w:t>
      </w:r>
      <w:r w:rsidR="00026121">
        <w:rPr>
          <w:b/>
          <w:sz w:val="28"/>
          <w:szCs w:val="28"/>
        </w:rPr>
        <w:t>v</w:t>
      </w:r>
      <w:r w:rsidR="00F86581" w:rsidRPr="002E4477">
        <w:rPr>
          <w:b/>
          <w:sz w:val="28"/>
          <w:szCs w:val="28"/>
        </w:rPr>
        <w:t>)</w:t>
      </w:r>
      <w:r w:rsidR="00F86581" w:rsidRPr="002E4477">
        <w:rPr>
          <w:sz w:val="28"/>
          <w:szCs w:val="28"/>
        </w:rPr>
        <w:t xml:space="preserve"> </w:t>
      </w:r>
      <w:r w:rsidR="00A579DD" w:rsidRPr="002E4477">
        <w:rPr>
          <w:sz w:val="28"/>
          <w:szCs w:val="28"/>
        </w:rPr>
        <w:t xml:space="preserve">finalmente, </w:t>
      </w:r>
      <w:r w:rsidR="00F86581" w:rsidRPr="002E4477">
        <w:rPr>
          <w:sz w:val="28"/>
          <w:szCs w:val="28"/>
        </w:rPr>
        <w:t>una desarticulación global del</w:t>
      </w:r>
      <w:r w:rsidR="00E666AB" w:rsidRPr="002E4477">
        <w:rPr>
          <w:sz w:val="28"/>
          <w:szCs w:val="28"/>
        </w:rPr>
        <w:t xml:space="preserve"> </w:t>
      </w:r>
      <w:r w:rsidR="00D42686" w:rsidRPr="002E4477">
        <w:rPr>
          <w:sz w:val="28"/>
          <w:szCs w:val="28"/>
        </w:rPr>
        <w:t>t</w:t>
      </w:r>
      <w:r w:rsidR="00F86581" w:rsidRPr="002E4477">
        <w:rPr>
          <w:sz w:val="28"/>
          <w:szCs w:val="28"/>
        </w:rPr>
        <w:t xml:space="preserve">exto </w:t>
      </w:r>
      <w:r w:rsidR="00D42686" w:rsidRPr="002E4477">
        <w:rPr>
          <w:sz w:val="28"/>
          <w:szCs w:val="28"/>
        </w:rPr>
        <w:t>c</w:t>
      </w:r>
      <w:r w:rsidR="00F86581" w:rsidRPr="002E4477">
        <w:rPr>
          <w:sz w:val="28"/>
          <w:szCs w:val="28"/>
        </w:rPr>
        <w:t>onstitucional</w:t>
      </w:r>
      <w:r w:rsidR="00A36F73" w:rsidRPr="002E4477">
        <w:rPr>
          <w:sz w:val="28"/>
          <w:szCs w:val="28"/>
        </w:rPr>
        <w:t xml:space="preserve">, </w:t>
      </w:r>
      <w:r w:rsidR="00A579DD" w:rsidRPr="002E4477">
        <w:rPr>
          <w:sz w:val="28"/>
          <w:szCs w:val="28"/>
        </w:rPr>
        <w:t xml:space="preserve">que empieza a ser </w:t>
      </w:r>
      <w:r w:rsidR="00D42686" w:rsidRPr="002E4477">
        <w:rPr>
          <w:sz w:val="28"/>
          <w:szCs w:val="28"/>
        </w:rPr>
        <w:t>percibido</w:t>
      </w:r>
      <w:r w:rsidR="00A579DD" w:rsidRPr="002E4477">
        <w:rPr>
          <w:sz w:val="28"/>
          <w:szCs w:val="28"/>
        </w:rPr>
        <w:t xml:space="preserve"> no como un todo</w:t>
      </w:r>
      <w:r w:rsidR="00C30BB9" w:rsidRPr="002E4477">
        <w:rPr>
          <w:sz w:val="28"/>
          <w:szCs w:val="28"/>
        </w:rPr>
        <w:t xml:space="preserve"> sistemático</w:t>
      </w:r>
      <w:r w:rsidR="00A36F73" w:rsidRPr="002E4477">
        <w:rPr>
          <w:sz w:val="28"/>
          <w:szCs w:val="28"/>
        </w:rPr>
        <w:t xml:space="preserve">, </w:t>
      </w:r>
      <w:r w:rsidR="00A579DD" w:rsidRPr="002E4477">
        <w:rPr>
          <w:sz w:val="28"/>
          <w:szCs w:val="28"/>
        </w:rPr>
        <w:t xml:space="preserve">sino </w:t>
      </w:r>
      <w:r w:rsidR="00921340" w:rsidRPr="002E4477">
        <w:rPr>
          <w:sz w:val="28"/>
          <w:szCs w:val="28"/>
        </w:rPr>
        <w:t xml:space="preserve">como un conjunto normativo que puede ser dividido entre normas que ostentan “relevancia” y “respeto” constitucional, y otras que son </w:t>
      </w:r>
      <w:r w:rsidR="00026121">
        <w:rPr>
          <w:sz w:val="28"/>
          <w:szCs w:val="28"/>
        </w:rPr>
        <w:t>interpretadas con desconfianza</w:t>
      </w:r>
      <w:r w:rsidR="00921340" w:rsidRPr="002E4477">
        <w:rPr>
          <w:sz w:val="28"/>
          <w:szCs w:val="28"/>
        </w:rPr>
        <w:t xml:space="preserve"> </w:t>
      </w:r>
      <w:r w:rsidR="00E066A5">
        <w:rPr>
          <w:sz w:val="28"/>
          <w:szCs w:val="28"/>
        </w:rPr>
        <w:t>(</w:t>
      </w:r>
      <w:r w:rsidR="00921340" w:rsidRPr="002E4477">
        <w:rPr>
          <w:sz w:val="28"/>
          <w:szCs w:val="28"/>
        </w:rPr>
        <w:t>en especial aquellas que han sido valoradas y moduladas en su momento por el Tribunal Constitucional</w:t>
      </w:r>
      <w:r w:rsidR="00E066A5">
        <w:rPr>
          <w:sz w:val="28"/>
          <w:szCs w:val="28"/>
        </w:rPr>
        <w:t>)</w:t>
      </w:r>
      <w:r w:rsidR="00921340" w:rsidRPr="002E4477">
        <w:rPr>
          <w:sz w:val="28"/>
          <w:szCs w:val="28"/>
        </w:rPr>
        <w:t xml:space="preserve">, al </w:t>
      </w:r>
      <w:r w:rsidR="004472F2" w:rsidRPr="002E4477">
        <w:rPr>
          <w:sz w:val="28"/>
          <w:szCs w:val="28"/>
        </w:rPr>
        <w:t>proponer</w:t>
      </w:r>
      <w:r w:rsidR="00921340" w:rsidRPr="002E4477">
        <w:rPr>
          <w:sz w:val="28"/>
          <w:szCs w:val="28"/>
        </w:rPr>
        <w:t xml:space="preserve"> que los jueces, </w:t>
      </w:r>
      <w:r w:rsidR="00BC43A8" w:rsidRPr="002E4477">
        <w:rPr>
          <w:sz w:val="28"/>
          <w:szCs w:val="28"/>
        </w:rPr>
        <w:t xml:space="preserve">acorde a su </w:t>
      </w:r>
      <w:r w:rsidR="00E22F48" w:rsidRPr="002E4477">
        <w:rPr>
          <w:sz w:val="28"/>
          <w:szCs w:val="28"/>
        </w:rPr>
        <w:t>propia opini</w:t>
      </w:r>
      <w:r w:rsidR="00921340" w:rsidRPr="002E4477">
        <w:rPr>
          <w:sz w:val="28"/>
          <w:szCs w:val="28"/>
        </w:rPr>
        <w:t xml:space="preserve">ón, decidan </w:t>
      </w:r>
      <w:r w:rsidR="00B86E71" w:rsidRPr="002E4477">
        <w:rPr>
          <w:sz w:val="28"/>
          <w:szCs w:val="28"/>
        </w:rPr>
        <w:t xml:space="preserve">si deben </w:t>
      </w:r>
      <w:r w:rsidR="00921340" w:rsidRPr="002E4477">
        <w:rPr>
          <w:sz w:val="28"/>
          <w:szCs w:val="28"/>
        </w:rPr>
        <w:t>aplicar o no una norma superior</w:t>
      </w:r>
      <w:r w:rsidR="00B86E71" w:rsidRPr="002E4477">
        <w:rPr>
          <w:sz w:val="28"/>
          <w:szCs w:val="28"/>
        </w:rPr>
        <w:t xml:space="preserve"> cuando ella </w:t>
      </w:r>
      <w:r w:rsidR="00921340" w:rsidRPr="002E4477">
        <w:rPr>
          <w:sz w:val="28"/>
          <w:szCs w:val="28"/>
        </w:rPr>
        <w:t xml:space="preserve">ha sido objeto de modulación </w:t>
      </w:r>
      <w:r w:rsidR="004472F2" w:rsidRPr="002E4477">
        <w:rPr>
          <w:sz w:val="28"/>
          <w:szCs w:val="28"/>
        </w:rPr>
        <w:t xml:space="preserve">por </w:t>
      </w:r>
      <w:r w:rsidR="00D42686" w:rsidRPr="002E4477">
        <w:rPr>
          <w:sz w:val="28"/>
          <w:szCs w:val="28"/>
        </w:rPr>
        <w:t xml:space="preserve">parte de </w:t>
      </w:r>
      <w:r w:rsidR="004472F2" w:rsidRPr="00E066A5">
        <w:rPr>
          <w:sz w:val="28"/>
          <w:szCs w:val="28"/>
        </w:rPr>
        <w:t>esta Corporación</w:t>
      </w:r>
      <w:r w:rsidR="00921340" w:rsidRPr="00E066A5">
        <w:rPr>
          <w:sz w:val="28"/>
          <w:szCs w:val="28"/>
        </w:rPr>
        <w:t>.</w:t>
      </w:r>
      <w:r w:rsidR="00875DA7" w:rsidRPr="00E066A5">
        <w:rPr>
          <w:sz w:val="28"/>
          <w:szCs w:val="28"/>
        </w:rPr>
        <w:t xml:space="preserve"> </w:t>
      </w:r>
      <w:r w:rsidR="00C30BB9" w:rsidRPr="00E066A5">
        <w:rPr>
          <w:sz w:val="28"/>
          <w:szCs w:val="28"/>
        </w:rPr>
        <w:t>Una</w:t>
      </w:r>
      <w:r w:rsidR="00C30BB9" w:rsidRPr="002E4477">
        <w:rPr>
          <w:sz w:val="28"/>
          <w:szCs w:val="28"/>
        </w:rPr>
        <w:t xml:space="preserve"> situación</w:t>
      </w:r>
      <w:r w:rsidR="004472F2" w:rsidRPr="002E4477">
        <w:rPr>
          <w:sz w:val="28"/>
          <w:szCs w:val="28"/>
        </w:rPr>
        <w:t xml:space="preserve"> </w:t>
      </w:r>
      <w:r w:rsidR="002C4FA3" w:rsidRPr="002E4477">
        <w:rPr>
          <w:sz w:val="28"/>
          <w:szCs w:val="28"/>
        </w:rPr>
        <w:t>que</w:t>
      </w:r>
      <w:r w:rsidR="00BD3DB5" w:rsidRPr="002E4477">
        <w:rPr>
          <w:sz w:val="28"/>
          <w:szCs w:val="28"/>
        </w:rPr>
        <w:t xml:space="preserve"> a simple vista</w:t>
      </w:r>
      <w:r w:rsidR="00E066A5">
        <w:rPr>
          <w:sz w:val="28"/>
          <w:szCs w:val="28"/>
        </w:rPr>
        <w:t xml:space="preserve"> muestra el grado de complejidad que tiene</w:t>
      </w:r>
      <w:r w:rsidR="00C30BB9" w:rsidRPr="002E4477">
        <w:rPr>
          <w:sz w:val="28"/>
          <w:szCs w:val="28"/>
        </w:rPr>
        <w:t xml:space="preserve"> para el ordenamiento jurídico</w:t>
      </w:r>
      <w:r w:rsidR="0087077E" w:rsidRPr="002E4477">
        <w:rPr>
          <w:sz w:val="28"/>
          <w:szCs w:val="28"/>
        </w:rPr>
        <w:t xml:space="preserve"> en general</w:t>
      </w:r>
      <w:r w:rsidR="00D42686" w:rsidRPr="002E4477">
        <w:rPr>
          <w:sz w:val="28"/>
          <w:szCs w:val="28"/>
        </w:rPr>
        <w:t xml:space="preserve"> y </w:t>
      </w:r>
      <w:r w:rsidR="004472F2" w:rsidRPr="002E4477">
        <w:rPr>
          <w:sz w:val="28"/>
          <w:szCs w:val="28"/>
        </w:rPr>
        <w:t xml:space="preserve">que amerita un </w:t>
      </w:r>
      <w:r w:rsidR="004747CA" w:rsidRPr="002E4477">
        <w:rPr>
          <w:sz w:val="28"/>
          <w:szCs w:val="28"/>
        </w:rPr>
        <w:t>análisis</w:t>
      </w:r>
      <w:r w:rsidR="00C30BB9" w:rsidRPr="002E4477">
        <w:rPr>
          <w:sz w:val="28"/>
          <w:szCs w:val="28"/>
        </w:rPr>
        <w:t xml:space="preserve"> </w:t>
      </w:r>
      <w:r w:rsidR="00B86E71" w:rsidRPr="002E4477">
        <w:rPr>
          <w:sz w:val="28"/>
          <w:szCs w:val="28"/>
        </w:rPr>
        <w:t>detenido</w:t>
      </w:r>
      <w:r w:rsidR="00BD3DB5" w:rsidRPr="002E4477">
        <w:rPr>
          <w:sz w:val="28"/>
          <w:szCs w:val="28"/>
        </w:rPr>
        <w:t xml:space="preserve"> </w:t>
      </w:r>
      <w:r w:rsidR="00D42686" w:rsidRPr="002E4477">
        <w:rPr>
          <w:sz w:val="28"/>
          <w:szCs w:val="28"/>
        </w:rPr>
        <w:t xml:space="preserve">de la Sala. </w:t>
      </w:r>
    </w:p>
    <w:p w14:paraId="1B3E398B" w14:textId="77777777" w:rsidR="002A2D00" w:rsidRPr="002E4477" w:rsidRDefault="002A2D00" w:rsidP="002A2D00">
      <w:pPr>
        <w:pStyle w:val="NormalWeb"/>
        <w:tabs>
          <w:tab w:val="left" w:pos="284"/>
        </w:tabs>
        <w:spacing w:before="0" w:beforeAutospacing="0" w:after="0" w:afterAutospacing="0"/>
        <w:ind w:right="40"/>
        <w:jc w:val="both"/>
        <w:rPr>
          <w:i/>
          <w:sz w:val="28"/>
          <w:szCs w:val="28"/>
        </w:rPr>
      </w:pPr>
    </w:p>
    <w:p w14:paraId="3D324EBB" w14:textId="77777777" w:rsidR="002A2D00" w:rsidRPr="003A28CD" w:rsidRDefault="004472F2" w:rsidP="000B0EA7">
      <w:pPr>
        <w:pStyle w:val="NormalWeb"/>
        <w:numPr>
          <w:ilvl w:val="0"/>
          <w:numId w:val="10"/>
        </w:numPr>
        <w:tabs>
          <w:tab w:val="left" w:pos="284"/>
        </w:tabs>
        <w:spacing w:before="0" w:beforeAutospacing="0" w:after="0" w:afterAutospacing="0"/>
        <w:ind w:right="40"/>
        <w:jc w:val="both"/>
        <w:rPr>
          <w:i/>
          <w:sz w:val="28"/>
          <w:szCs w:val="28"/>
        </w:rPr>
      </w:pPr>
      <w:r w:rsidRPr="002E4477">
        <w:rPr>
          <w:sz w:val="28"/>
          <w:szCs w:val="28"/>
        </w:rPr>
        <w:t xml:space="preserve">En </w:t>
      </w:r>
      <w:r w:rsidRPr="002E4477">
        <w:rPr>
          <w:i/>
          <w:iCs/>
          <w:sz w:val="28"/>
          <w:szCs w:val="28"/>
        </w:rPr>
        <w:t>tercer lugar</w:t>
      </w:r>
      <w:r w:rsidR="00C30BB9" w:rsidRPr="002E4477">
        <w:rPr>
          <w:sz w:val="28"/>
          <w:szCs w:val="28"/>
        </w:rPr>
        <w:t>,</w:t>
      </w:r>
      <w:r w:rsidR="004747CA" w:rsidRPr="002E4477">
        <w:rPr>
          <w:sz w:val="28"/>
          <w:szCs w:val="28"/>
        </w:rPr>
        <w:t xml:space="preserve"> las circunstancias </w:t>
      </w:r>
      <w:r w:rsidR="001977EC" w:rsidRPr="002E4477">
        <w:rPr>
          <w:sz w:val="28"/>
          <w:szCs w:val="28"/>
        </w:rPr>
        <w:t xml:space="preserve">que se derivan </w:t>
      </w:r>
      <w:r w:rsidR="004747CA" w:rsidRPr="002E4477">
        <w:rPr>
          <w:sz w:val="28"/>
          <w:szCs w:val="28"/>
        </w:rPr>
        <w:t>d</w:t>
      </w:r>
      <w:r w:rsidR="00C30BB9" w:rsidRPr="002E4477">
        <w:rPr>
          <w:sz w:val="28"/>
          <w:szCs w:val="28"/>
        </w:rPr>
        <w:t>el caso concreto</w:t>
      </w:r>
      <w:r w:rsidR="00523570" w:rsidRPr="002E4477">
        <w:rPr>
          <w:sz w:val="28"/>
          <w:szCs w:val="28"/>
        </w:rPr>
        <w:t>,</w:t>
      </w:r>
      <w:r w:rsidR="00C30BB9" w:rsidRPr="002E4477">
        <w:rPr>
          <w:sz w:val="28"/>
          <w:szCs w:val="28"/>
        </w:rPr>
        <w:t xml:space="preserve"> relacionad</w:t>
      </w:r>
      <w:r w:rsidRPr="002E4477">
        <w:rPr>
          <w:sz w:val="28"/>
          <w:szCs w:val="28"/>
        </w:rPr>
        <w:t>as</w:t>
      </w:r>
      <w:r w:rsidR="00C30BB9" w:rsidRPr="002E4477">
        <w:rPr>
          <w:sz w:val="28"/>
          <w:szCs w:val="28"/>
        </w:rPr>
        <w:t xml:space="preserve"> con la</w:t>
      </w:r>
      <w:r w:rsidR="004747CA" w:rsidRPr="002E4477">
        <w:rPr>
          <w:sz w:val="28"/>
          <w:szCs w:val="28"/>
        </w:rPr>
        <w:t xml:space="preserve"> discutida pérdida de</w:t>
      </w:r>
      <w:r w:rsidR="00C30BB9" w:rsidRPr="002E4477">
        <w:rPr>
          <w:sz w:val="28"/>
          <w:szCs w:val="28"/>
        </w:rPr>
        <w:t xml:space="preserve"> competencias del CSJ </w:t>
      </w:r>
      <w:r w:rsidR="004747CA" w:rsidRPr="002E4477">
        <w:rPr>
          <w:sz w:val="28"/>
          <w:szCs w:val="28"/>
        </w:rPr>
        <w:t xml:space="preserve">en el proceso de selección de los miembros de la CNDJ </w:t>
      </w:r>
      <w:r w:rsidR="00C30BB9" w:rsidRPr="002E4477">
        <w:rPr>
          <w:sz w:val="28"/>
          <w:szCs w:val="28"/>
        </w:rPr>
        <w:t>satisface</w:t>
      </w:r>
      <w:r w:rsidR="001977EC" w:rsidRPr="002E4477">
        <w:rPr>
          <w:sz w:val="28"/>
          <w:szCs w:val="28"/>
        </w:rPr>
        <w:t>n</w:t>
      </w:r>
      <w:r w:rsidR="00C30BB9" w:rsidRPr="002E4477">
        <w:rPr>
          <w:sz w:val="28"/>
          <w:szCs w:val="28"/>
        </w:rPr>
        <w:t xml:space="preserve"> igualmente este requisito genérico de procedibilidad, </w:t>
      </w:r>
      <w:r w:rsidR="004747CA" w:rsidRPr="002E4477">
        <w:rPr>
          <w:sz w:val="28"/>
          <w:szCs w:val="28"/>
        </w:rPr>
        <w:t xml:space="preserve">teniendo en cuenta que </w:t>
      </w:r>
      <w:r w:rsidR="00C30BB9" w:rsidRPr="002E4477">
        <w:rPr>
          <w:sz w:val="28"/>
          <w:szCs w:val="28"/>
        </w:rPr>
        <w:t>la cuestión debatida tiene que ver</w:t>
      </w:r>
      <w:r w:rsidR="004747CA" w:rsidRPr="002E4477">
        <w:rPr>
          <w:sz w:val="28"/>
          <w:szCs w:val="28"/>
        </w:rPr>
        <w:t>,</w:t>
      </w:r>
      <w:r w:rsidR="00C30BB9" w:rsidRPr="002E4477">
        <w:rPr>
          <w:sz w:val="28"/>
          <w:szCs w:val="28"/>
        </w:rPr>
        <w:t xml:space="preserve"> </w:t>
      </w:r>
      <w:r w:rsidR="004747CA" w:rsidRPr="002E4477">
        <w:rPr>
          <w:b/>
          <w:sz w:val="28"/>
          <w:szCs w:val="28"/>
        </w:rPr>
        <w:t>(i)</w:t>
      </w:r>
      <w:r w:rsidR="004747CA" w:rsidRPr="002E4477">
        <w:rPr>
          <w:sz w:val="28"/>
          <w:szCs w:val="28"/>
        </w:rPr>
        <w:t xml:space="preserve"> con </w:t>
      </w:r>
      <w:r w:rsidR="00C30BB9" w:rsidRPr="002E4477">
        <w:rPr>
          <w:sz w:val="28"/>
          <w:szCs w:val="28"/>
        </w:rPr>
        <w:t>la interpretación, respeto y aplicación de las sentencias que hacen tránsito a cosa juzgada constitucional</w:t>
      </w:r>
      <w:r w:rsidR="000127C8" w:rsidRPr="002E4477">
        <w:rPr>
          <w:sz w:val="28"/>
          <w:szCs w:val="28"/>
        </w:rPr>
        <w:t xml:space="preserve">, así como </w:t>
      </w:r>
      <w:r w:rsidR="004747CA" w:rsidRPr="002E4477">
        <w:rPr>
          <w:sz w:val="28"/>
          <w:szCs w:val="28"/>
        </w:rPr>
        <w:t xml:space="preserve">con </w:t>
      </w:r>
      <w:r w:rsidR="002A2D00" w:rsidRPr="002E4477">
        <w:rPr>
          <w:b/>
          <w:sz w:val="28"/>
          <w:szCs w:val="28"/>
        </w:rPr>
        <w:t>(ii)</w:t>
      </w:r>
      <w:r w:rsidR="002A2D00" w:rsidRPr="002E4477">
        <w:rPr>
          <w:sz w:val="28"/>
          <w:szCs w:val="28"/>
        </w:rPr>
        <w:t xml:space="preserve"> </w:t>
      </w:r>
      <w:r w:rsidR="004747CA" w:rsidRPr="002E4477">
        <w:rPr>
          <w:sz w:val="28"/>
          <w:szCs w:val="28"/>
        </w:rPr>
        <w:t>la</w:t>
      </w:r>
      <w:r w:rsidR="00E22F48" w:rsidRPr="002E4477">
        <w:rPr>
          <w:sz w:val="28"/>
          <w:szCs w:val="28"/>
        </w:rPr>
        <w:t xml:space="preserve"> pérdida</w:t>
      </w:r>
      <w:r w:rsidR="00523570" w:rsidRPr="002E4477">
        <w:rPr>
          <w:sz w:val="28"/>
          <w:szCs w:val="28"/>
        </w:rPr>
        <w:t xml:space="preserve"> eventual</w:t>
      </w:r>
      <w:r w:rsidR="00E22F48" w:rsidRPr="002E4477">
        <w:rPr>
          <w:sz w:val="28"/>
          <w:szCs w:val="28"/>
        </w:rPr>
        <w:t xml:space="preserve"> de </w:t>
      </w:r>
      <w:r w:rsidR="004747CA" w:rsidRPr="002E4477">
        <w:rPr>
          <w:sz w:val="28"/>
          <w:szCs w:val="28"/>
        </w:rPr>
        <w:t>competencias constitucionales de</w:t>
      </w:r>
      <w:r w:rsidR="009525B1" w:rsidRPr="002E4477">
        <w:rPr>
          <w:sz w:val="28"/>
          <w:szCs w:val="28"/>
        </w:rPr>
        <w:t>l</w:t>
      </w:r>
      <w:r w:rsidR="004747CA" w:rsidRPr="002E4477">
        <w:rPr>
          <w:sz w:val="28"/>
          <w:szCs w:val="28"/>
        </w:rPr>
        <w:t xml:space="preserve"> CSJ y </w:t>
      </w:r>
      <w:r w:rsidR="004747CA" w:rsidRPr="002E4477">
        <w:rPr>
          <w:b/>
          <w:sz w:val="28"/>
          <w:szCs w:val="28"/>
        </w:rPr>
        <w:t>(iii)</w:t>
      </w:r>
      <w:r w:rsidR="004747CA" w:rsidRPr="002E4477">
        <w:rPr>
          <w:sz w:val="28"/>
          <w:szCs w:val="28"/>
        </w:rPr>
        <w:t xml:space="preserve"> con la entrada en </w:t>
      </w:r>
      <w:r w:rsidR="004747CA" w:rsidRPr="002E4477">
        <w:rPr>
          <w:sz w:val="28"/>
          <w:szCs w:val="28"/>
        </w:rPr>
        <w:lastRenderedPageBreak/>
        <w:t>funcionamiento de</w:t>
      </w:r>
      <w:r w:rsidR="00E066A5">
        <w:rPr>
          <w:sz w:val="28"/>
          <w:szCs w:val="28"/>
        </w:rPr>
        <w:t xml:space="preserve"> </w:t>
      </w:r>
      <w:r w:rsidR="009525B1" w:rsidRPr="002E4477">
        <w:rPr>
          <w:sz w:val="28"/>
          <w:szCs w:val="28"/>
        </w:rPr>
        <w:t>l</w:t>
      </w:r>
      <w:r w:rsidR="00E066A5">
        <w:rPr>
          <w:sz w:val="28"/>
          <w:szCs w:val="28"/>
        </w:rPr>
        <w:t>a</w:t>
      </w:r>
      <w:r w:rsidR="009525B1" w:rsidRPr="002E4477">
        <w:rPr>
          <w:sz w:val="28"/>
          <w:szCs w:val="28"/>
        </w:rPr>
        <w:t xml:space="preserve"> </w:t>
      </w:r>
      <w:r w:rsidR="004747CA" w:rsidRPr="002E4477">
        <w:rPr>
          <w:sz w:val="28"/>
          <w:szCs w:val="28"/>
        </w:rPr>
        <w:t>CNDJ</w:t>
      </w:r>
      <w:r w:rsidR="009525B1" w:rsidRPr="002E4477">
        <w:rPr>
          <w:sz w:val="28"/>
          <w:szCs w:val="28"/>
        </w:rPr>
        <w:t>,</w:t>
      </w:r>
      <w:r w:rsidR="004747CA" w:rsidRPr="002E4477">
        <w:rPr>
          <w:sz w:val="28"/>
          <w:szCs w:val="28"/>
        </w:rPr>
        <w:t xml:space="preserve"> en los términos establecidos </w:t>
      </w:r>
      <w:r w:rsidR="009525B1" w:rsidRPr="002E4477">
        <w:rPr>
          <w:sz w:val="28"/>
          <w:szCs w:val="28"/>
        </w:rPr>
        <w:t xml:space="preserve">inicialmente </w:t>
      </w:r>
      <w:r w:rsidR="004747CA" w:rsidRPr="002E4477">
        <w:rPr>
          <w:sz w:val="28"/>
          <w:szCs w:val="28"/>
        </w:rPr>
        <w:t xml:space="preserve">por el </w:t>
      </w:r>
      <w:r w:rsidR="00BD168F" w:rsidRPr="003A28CD">
        <w:rPr>
          <w:sz w:val="28"/>
          <w:szCs w:val="28"/>
        </w:rPr>
        <w:t>c</w:t>
      </w:r>
      <w:r w:rsidR="004747CA" w:rsidRPr="003A28CD">
        <w:rPr>
          <w:sz w:val="28"/>
          <w:szCs w:val="28"/>
        </w:rPr>
        <w:t xml:space="preserve">onstituyente. </w:t>
      </w:r>
    </w:p>
    <w:p w14:paraId="4E032F7A" w14:textId="77777777" w:rsidR="002A2D00" w:rsidRPr="003A28CD" w:rsidRDefault="002A2D00" w:rsidP="002A2D00">
      <w:pPr>
        <w:pStyle w:val="Prrafodelista"/>
        <w:rPr>
          <w:szCs w:val="28"/>
          <w:lang w:val="es-CO"/>
        </w:rPr>
      </w:pPr>
    </w:p>
    <w:p w14:paraId="6B414976" w14:textId="77777777" w:rsidR="00097037" w:rsidRPr="003A28CD" w:rsidRDefault="00E22F48" w:rsidP="009525B1">
      <w:pPr>
        <w:pStyle w:val="NormalWeb"/>
        <w:numPr>
          <w:ilvl w:val="0"/>
          <w:numId w:val="10"/>
        </w:numPr>
        <w:tabs>
          <w:tab w:val="left" w:pos="284"/>
        </w:tabs>
        <w:spacing w:before="0" w:beforeAutospacing="0" w:after="0" w:afterAutospacing="0"/>
        <w:ind w:right="40"/>
        <w:jc w:val="both"/>
        <w:rPr>
          <w:sz w:val="28"/>
          <w:szCs w:val="28"/>
        </w:rPr>
      </w:pPr>
      <w:r w:rsidRPr="003A28CD">
        <w:rPr>
          <w:sz w:val="28"/>
          <w:szCs w:val="28"/>
        </w:rPr>
        <w:t>Por último,</w:t>
      </w:r>
      <w:r w:rsidR="00C4587B" w:rsidRPr="003A28CD">
        <w:rPr>
          <w:sz w:val="28"/>
          <w:szCs w:val="28"/>
        </w:rPr>
        <w:t xml:space="preserve"> </w:t>
      </w:r>
      <w:r w:rsidR="001977EC" w:rsidRPr="003A28CD">
        <w:rPr>
          <w:sz w:val="28"/>
          <w:szCs w:val="28"/>
        </w:rPr>
        <w:t xml:space="preserve">en </w:t>
      </w:r>
      <w:r w:rsidR="001977EC" w:rsidRPr="003A28CD">
        <w:rPr>
          <w:i/>
          <w:iCs/>
          <w:sz w:val="28"/>
          <w:szCs w:val="28"/>
        </w:rPr>
        <w:t>cuarto lugar</w:t>
      </w:r>
      <w:r w:rsidR="001977EC" w:rsidRPr="003A28CD">
        <w:rPr>
          <w:sz w:val="28"/>
          <w:szCs w:val="28"/>
        </w:rPr>
        <w:t xml:space="preserve">, </w:t>
      </w:r>
      <w:r w:rsidR="002A2D00" w:rsidRPr="003A28CD">
        <w:rPr>
          <w:sz w:val="28"/>
          <w:szCs w:val="28"/>
        </w:rPr>
        <w:t xml:space="preserve">el asunto </w:t>
      </w:r>
      <w:r w:rsidRPr="003A28CD">
        <w:rPr>
          <w:sz w:val="28"/>
          <w:szCs w:val="28"/>
        </w:rPr>
        <w:t>involucra</w:t>
      </w:r>
      <w:r w:rsidR="002A2D00" w:rsidRPr="003A28CD">
        <w:rPr>
          <w:sz w:val="28"/>
          <w:szCs w:val="28"/>
        </w:rPr>
        <w:t xml:space="preserve"> además una reflexión tendiente a determinar si la interpretación adelantada por el Consejo de Estado en la providencia </w:t>
      </w:r>
      <w:r w:rsidRPr="003A28CD">
        <w:rPr>
          <w:sz w:val="28"/>
          <w:szCs w:val="28"/>
        </w:rPr>
        <w:t>reprochada</w:t>
      </w:r>
      <w:r w:rsidR="002A2D00" w:rsidRPr="003A28CD">
        <w:rPr>
          <w:sz w:val="28"/>
          <w:szCs w:val="28"/>
        </w:rPr>
        <w:t xml:space="preserve"> es </w:t>
      </w:r>
      <w:r w:rsidR="00097037" w:rsidRPr="003A28CD">
        <w:rPr>
          <w:sz w:val="28"/>
          <w:szCs w:val="28"/>
        </w:rPr>
        <w:t>pertinente</w:t>
      </w:r>
      <w:r w:rsidR="002A2D00" w:rsidRPr="003A28CD">
        <w:rPr>
          <w:sz w:val="28"/>
          <w:szCs w:val="28"/>
        </w:rPr>
        <w:t xml:space="preserve"> para hacer extensiva</w:t>
      </w:r>
      <w:r w:rsidR="009525B1" w:rsidRPr="003A28CD">
        <w:rPr>
          <w:sz w:val="28"/>
          <w:szCs w:val="28"/>
        </w:rPr>
        <w:t xml:space="preserve"> la regla general del artículo 126 superior</w:t>
      </w:r>
      <w:r w:rsidR="00C22873" w:rsidRPr="003A28CD">
        <w:rPr>
          <w:sz w:val="28"/>
          <w:szCs w:val="28"/>
        </w:rPr>
        <w:t>,</w:t>
      </w:r>
      <w:r w:rsidR="009525B1" w:rsidRPr="003A28CD">
        <w:rPr>
          <w:sz w:val="28"/>
          <w:szCs w:val="28"/>
        </w:rPr>
        <w:t xml:space="preserve"> a</w:t>
      </w:r>
      <w:r w:rsidR="0081463C" w:rsidRPr="003A28CD">
        <w:rPr>
          <w:sz w:val="28"/>
          <w:szCs w:val="28"/>
        </w:rPr>
        <w:t>l proceso de selección</w:t>
      </w:r>
      <w:r w:rsidR="003A28CD">
        <w:rPr>
          <w:sz w:val="28"/>
          <w:szCs w:val="28"/>
        </w:rPr>
        <w:t xml:space="preserve"> dispuesto</w:t>
      </w:r>
      <w:r w:rsidR="0081463C" w:rsidRPr="003A28CD">
        <w:rPr>
          <w:sz w:val="28"/>
          <w:szCs w:val="28"/>
        </w:rPr>
        <w:t xml:space="preserve"> por el artículo 257A superior</w:t>
      </w:r>
      <w:r w:rsidR="00C22873" w:rsidRPr="003A28CD">
        <w:rPr>
          <w:sz w:val="28"/>
          <w:szCs w:val="28"/>
        </w:rPr>
        <w:t>,</w:t>
      </w:r>
      <w:r w:rsidR="002A2D00" w:rsidRPr="003A28CD">
        <w:rPr>
          <w:sz w:val="28"/>
          <w:szCs w:val="28"/>
        </w:rPr>
        <w:t xml:space="preserve"> </w:t>
      </w:r>
      <w:r w:rsidR="0081463C" w:rsidRPr="003A28CD">
        <w:rPr>
          <w:sz w:val="28"/>
          <w:szCs w:val="28"/>
        </w:rPr>
        <w:t xml:space="preserve">en cuanto a la convocatoria de las ternas necesarias para integrar a la </w:t>
      </w:r>
      <w:r w:rsidR="002A2D00" w:rsidRPr="003A28CD">
        <w:rPr>
          <w:sz w:val="28"/>
          <w:szCs w:val="28"/>
        </w:rPr>
        <w:t xml:space="preserve">CNDJ, como lo advierte el CSJ. </w:t>
      </w:r>
      <w:r w:rsidR="00DA7B50" w:rsidRPr="003A28CD">
        <w:rPr>
          <w:sz w:val="28"/>
          <w:szCs w:val="28"/>
        </w:rPr>
        <w:t>S</w:t>
      </w:r>
      <w:r w:rsidR="006E628C" w:rsidRPr="003A28CD">
        <w:rPr>
          <w:sz w:val="28"/>
          <w:szCs w:val="28"/>
        </w:rPr>
        <w:t>e trata entonces de un</w:t>
      </w:r>
      <w:r w:rsidR="00C4587B" w:rsidRPr="003A28CD">
        <w:rPr>
          <w:sz w:val="28"/>
          <w:szCs w:val="28"/>
        </w:rPr>
        <w:t xml:space="preserve"> análisis constitucionalmente relevante</w:t>
      </w:r>
      <w:r w:rsidR="006E628C" w:rsidRPr="003A28CD">
        <w:rPr>
          <w:sz w:val="28"/>
          <w:szCs w:val="28"/>
        </w:rPr>
        <w:t xml:space="preserve">, en la medida en que el alcance </w:t>
      </w:r>
      <w:r w:rsidR="00097037" w:rsidRPr="003A28CD">
        <w:rPr>
          <w:sz w:val="28"/>
          <w:szCs w:val="28"/>
        </w:rPr>
        <w:t>de lo establecido por el Consejo de Estado ante la exigencia indefectible de ley para la regulación de las convocatorias</w:t>
      </w:r>
      <w:r w:rsidRPr="003A28CD">
        <w:rPr>
          <w:sz w:val="28"/>
          <w:szCs w:val="28"/>
        </w:rPr>
        <w:t xml:space="preserve"> en este caso</w:t>
      </w:r>
      <w:r w:rsidR="00097037" w:rsidRPr="003A28CD">
        <w:rPr>
          <w:sz w:val="28"/>
          <w:szCs w:val="28"/>
        </w:rPr>
        <w:t xml:space="preserve">, puede afectar negativamente procesos de selección de </w:t>
      </w:r>
      <w:r w:rsidR="003A28CD">
        <w:rPr>
          <w:sz w:val="28"/>
          <w:szCs w:val="28"/>
        </w:rPr>
        <w:t>los integrantes de la CNDJ</w:t>
      </w:r>
      <w:r w:rsidR="00097037" w:rsidRPr="003A28CD">
        <w:rPr>
          <w:sz w:val="28"/>
          <w:szCs w:val="28"/>
        </w:rPr>
        <w:t xml:space="preserve"> o poner en riesgo vinculaciones futuras</w:t>
      </w:r>
      <w:r w:rsidR="003A28CD">
        <w:rPr>
          <w:sz w:val="28"/>
          <w:szCs w:val="28"/>
        </w:rPr>
        <w:t xml:space="preserve"> de otros servidores públicos</w:t>
      </w:r>
      <w:r w:rsidR="005614E7" w:rsidRPr="003A28CD">
        <w:rPr>
          <w:sz w:val="28"/>
          <w:szCs w:val="28"/>
        </w:rPr>
        <w:t>,</w:t>
      </w:r>
      <w:r w:rsidR="00097037" w:rsidRPr="003A28CD">
        <w:rPr>
          <w:sz w:val="28"/>
          <w:szCs w:val="28"/>
        </w:rPr>
        <w:t xml:space="preserve"> lo que dentro de la arquitectura constitucional actual</w:t>
      </w:r>
      <w:r w:rsidR="002429C4" w:rsidRPr="003A28CD">
        <w:rPr>
          <w:sz w:val="28"/>
          <w:szCs w:val="28"/>
        </w:rPr>
        <w:t>,</w:t>
      </w:r>
      <w:r w:rsidR="00097037" w:rsidRPr="003A28CD">
        <w:rPr>
          <w:sz w:val="28"/>
          <w:szCs w:val="28"/>
        </w:rPr>
        <w:t xml:space="preserve"> resulta ser de la máxima importancia para </w:t>
      </w:r>
      <w:r w:rsidR="00C4587B" w:rsidRPr="003A28CD">
        <w:rPr>
          <w:sz w:val="28"/>
          <w:szCs w:val="28"/>
        </w:rPr>
        <w:t xml:space="preserve">el </w:t>
      </w:r>
      <w:r w:rsidR="002429C4" w:rsidRPr="003A28CD">
        <w:rPr>
          <w:sz w:val="28"/>
          <w:szCs w:val="28"/>
        </w:rPr>
        <w:t xml:space="preserve">ejercicio </w:t>
      </w:r>
      <w:r w:rsidR="00C4587B" w:rsidRPr="003A28CD">
        <w:rPr>
          <w:sz w:val="28"/>
          <w:szCs w:val="28"/>
        </w:rPr>
        <w:t xml:space="preserve">de las funciones constitucionales </w:t>
      </w:r>
      <w:r w:rsidR="002429C4" w:rsidRPr="003A28CD">
        <w:rPr>
          <w:sz w:val="28"/>
          <w:szCs w:val="28"/>
        </w:rPr>
        <w:t xml:space="preserve"> atribuidas a las</w:t>
      </w:r>
      <w:r w:rsidR="007E6A06" w:rsidRPr="003A28CD">
        <w:rPr>
          <w:sz w:val="28"/>
          <w:szCs w:val="28"/>
        </w:rPr>
        <w:t xml:space="preserve"> distintas</w:t>
      </w:r>
      <w:r w:rsidR="002429C4" w:rsidRPr="003A28CD">
        <w:rPr>
          <w:sz w:val="28"/>
          <w:szCs w:val="28"/>
        </w:rPr>
        <w:t xml:space="preserve"> ramas del poder público </w:t>
      </w:r>
      <w:r w:rsidR="007E6A06" w:rsidRPr="003A28CD">
        <w:rPr>
          <w:sz w:val="28"/>
          <w:szCs w:val="28"/>
        </w:rPr>
        <w:t xml:space="preserve">en materia de las </w:t>
      </w:r>
      <w:r w:rsidR="00097037" w:rsidRPr="003A28CD">
        <w:rPr>
          <w:sz w:val="28"/>
          <w:szCs w:val="28"/>
        </w:rPr>
        <w:t>competencias</w:t>
      </w:r>
      <w:r w:rsidR="007E6A06" w:rsidRPr="003A28CD">
        <w:rPr>
          <w:sz w:val="28"/>
          <w:szCs w:val="28"/>
        </w:rPr>
        <w:t xml:space="preserve"> que tienen establecidas</w:t>
      </w:r>
      <w:r w:rsidR="005614E7" w:rsidRPr="003A28CD">
        <w:rPr>
          <w:sz w:val="28"/>
          <w:szCs w:val="28"/>
        </w:rPr>
        <w:t xml:space="preserve">, </w:t>
      </w:r>
      <w:r w:rsidR="007E6A06" w:rsidRPr="003A28CD">
        <w:rPr>
          <w:sz w:val="28"/>
          <w:szCs w:val="28"/>
        </w:rPr>
        <w:t xml:space="preserve">acorde con </w:t>
      </w:r>
      <w:r w:rsidR="005614E7" w:rsidRPr="003A28CD">
        <w:rPr>
          <w:sz w:val="28"/>
          <w:szCs w:val="28"/>
        </w:rPr>
        <w:t>la Carta Política.</w:t>
      </w:r>
    </w:p>
    <w:p w14:paraId="42AC3485" w14:textId="77777777" w:rsidR="00097037" w:rsidRPr="003A28CD" w:rsidRDefault="00097037" w:rsidP="00097037">
      <w:pPr>
        <w:pStyle w:val="NormalWeb"/>
        <w:tabs>
          <w:tab w:val="left" w:pos="284"/>
        </w:tabs>
        <w:spacing w:before="0" w:beforeAutospacing="0" w:after="0" w:afterAutospacing="0"/>
        <w:ind w:right="40"/>
        <w:jc w:val="both"/>
        <w:rPr>
          <w:sz w:val="28"/>
          <w:szCs w:val="28"/>
        </w:rPr>
      </w:pPr>
    </w:p>
    <w:p w14:paraId="6367A782" w14:textId="77777777" w:rsidR="00097037" w:rsidRPr="003A28CD" w:rsidRDefault="002A2D00" w:rsidP="00097037">
      <w:pPr>
        <w:pStyle w:val="NormalWeb"/>
        <w:numPr>
          <w:ilvl w:val="0"/>
          <w:numId w:val="10"/>
        </w:numPr>
        <w:tabs>
          <w:tab w:val="left" w:pos="284"/>
        </w:tabs>
        <w:spacing w:before="0" w:beforeAutospacing="0" w:after="0" w:afterAutospacing="0"/>
        <w:ind w:right="40"/>
        <w:jc w:val="both"/>
        <w:rPr>
          <w:i/>
          <w:sz w:val="28"/>
          <w:szCs w:val="28"/>
        </w:rPr>
      </w:pPr>
      <w:r w:rsidRPr="003A28CD">
        <w:rPr>
          <w:sz w:val="28"/>
          <w:szCs w:val="28"/>
        </w:rPr>
        <w:t xml:space="preserve"> </w:t>
      </w:r>
      <w:r w:rsidR="00097037" w:rsidRPr="003A28CD">
        <w:rPr>
          <w:sz w:val="28"/>
          <w:szCs w:val="28"/>
        </w:rPr>
        <w:t xml:space="preserve">Por todo lo anterior, considera la Sala que se cumple plenamente la exigencia de </w:t>
      </w:r>
      <w:r w:rsidR="00097037" w:rsidRPr="003A28CD">
        <w:rPr>
          <w:i/>
          <w:sz w:val="28"/>
          <w:szCs w:val="28"/>
        </w:rPr>
        <w:t>relevancia constitucional</w:t>
      </w:r>
      <w:r w:rsidR="00097037" w:rsidRPr="003A28CD">
        <w:rPr>
          <w:sz w:val="28"/>
          <w:szCs w:val="28"/>
        </w:rPr>
        <w:t xml:space="preserve"> como criterio de procedibilidad general de la tutela en el caso de la referencia. </w:t>
      </w:r>
    </w:p>
    <w:p w14:paraId="1A921439" w14:textId="77777777" w:rsidR="00097037" w:rsidRPr="002E4477" w:rsidRDefault="00097037" w:rsidP="0099084B">
      <w:pPr>
        <w:pStyle w:val="NormalWeb"/>
        <w:spacing w:before="0" w:beforeAutospacing="0" w:after="0" w:afterAutospacing="0" w:line="276" w:lineRule="auto"/>
        <w:jc w:val="both"/>
        <w:rPr>
          <w:b/>
          <w:bCs/>
          <w:i/>
          <w:iCs/>
          <w:sz w:val="28"/>
          <w:szCs w:val="28"/>
        </w:rPr>
      </w:pPr>
    </w:p>
    <w:p w14:paraId="711E9B0E" w14:textId="77777777" w:rsidR="00097037" w:rsidRPr="002E4477" w:rsidRDefault="00097037" w:rsidP="00097037">
      <w:pPr>
        <w:pStyle w:val="NormalWeb"/>
        <w:spacing w:before="0" w:beforeAutospacing="0" w:after="0" w:afterAutospacing="0"/>
        <w:jc w:val="both"/>
        <w:rPr>
          <w:b/>
          <w:bCs/>
          <w:i/>
          <w:iCs/>
          <w:sz w:val="28"/>
          <w:szCs w:val="28"/>
        </w:rPr>
      </w:pPr>
      <w:r w:rsidRPr="002E4477">
        <w:rPr>
          <w:b/>
          <w:bCs/>
          <w:i/>
          <w:iCs/>
          <w:sz w:val="28"/>
          <w:szCs w:val="28"/>
        </w:rPr>
        <w:t>Subsidiariedad</w:t>
      </w:r>
    </w:p>
    <w:p w14:paraId="3E2F6BCF" w14:textId="77777777" w:rsidR="00097037" w:rsidRPr="002E4477" w:rsidRDefault="00097037" w:rsidP="0099084B">
      <w:pPr>
        <w:pStyle w:val="Prrafodelista"/>
        <w:spacing w:line="276" w:lineRule="auto"/>
        <w:rPr>
          <w:i/>
          <w:szCs w:val="28"/>
        </w:rPr>
      </w:pPr>
    </w:p>
    <w:p w14:paraId="3C47CAA0" w14:textId="77777777" w:rsidR="00097037" w:rsidRPr="003A28CD" w:rsidRDefault="00097037" w:rsidP="00AF7F8A">
      <w:pPr>
        <w:pStyle w:val="NormalWeb"/>
        <w:numPr>
          <w:ilvl w:val="0"/>
          <w:numId w:val="10"/>
        </w:numPr>
        <w:tabs>
          <w:tab w:val="left" w:pos="284"/>
        </w:tabs>
        <w:spacing w:before="0" w:beforeAutospacing="0" w:after="0" w:afterAutospacing="0"/>
        <w:ind w:right="40"/>
        <w:jc w:val="both"/>
        <w:rPr>
          <w:sz w:val="28"/>
          <w:szCs w:val="28"/>
        </w:rPr>
      </w:pPr>
      <w:r w:rsidRPr="002E4477">
        <w:rPr>
          <w:bCs/>
          <w:iCs/>
          <w:sz w:val="28"/>
          <w:szCs w:val="28"/>
          <w:lang w:val="es-ES"/>
        </w:rPr>
        <w:t xml:space="preserve">El principio de subsidiariedad es una exigencia procesal </w:t>
      </w:r>
      <w:r w:rsidR="00026121">
        <w:rPr>
          <w:bCs/>
          <w:iCs/>
          <w:sz w:val="28"/>
          <w:szCs w:val="28"/>
          <w:lang w:val="es-ES"/>
        </w:rPr>
        <w:t>para exigir</w:t>
      </w:r>
      <w:r w:rsidRPr="002E4477">
        <w:rPr>
          <w:bCs/>
          <w:iCs/>
          <w:sz w:val="28"/>
          <w:szCs w:val="28"/>
          <w:lang w:val="es-ES"/>
        </w:rPr>
        <w:t xml:space="preserve"> que la acción de tutela solo proceda cuando el afectado no disponga de otro medio de defensa judicial</w:t>
      </w:r>
      <w:r w:rsidR="00A349ED" w:rsidRPr="002E4477">
        <w:rPr>
          <w:bCs/>
          <w:iCs/>
          <w:sz w:val="28"/>
          <w:szCs w:val="28"/>
          <w:lang w:val="es-ES"/>
        </w:rPr>
        <w:t xml:space="preserve"> efectivo</w:t>
      </w:r>
      <w:r w:rsidRPr="002E4477">
        <w:rPr>
          <w:bCs/>
          <w:iCs/>
          <w:sz w:val="28"/>
          <w:szCs w:val="28"/>
          <w:lang w:val="es-ES"/>
        </w:rPr>
        <w:t>, salvo que se utilice como mecanismo transitorio para evitar un perjuicio irremediable</w:t>
      </w:r>
      <w:r w:rsidR="00A349ED" w:rsidRPr="002E4477">
        <w:rPr>
          <w:rStyle w:val="Refdenotaalpie"/>
          <w:bCs/>
          <w:iCs/>
          <w:sz w:val="28"/>
          <w:szCs w:val="28"/>
          <w:lang w:val="es-ES"/>
        </w:rPr>
        <w:footnoteReference w:id="97"/>
      </w:r>
      <w:r w:rsidRPr="002E4477">
        <w:rPr>
          <w:bCs/>
          <w:iCs/>
          <w:sz w:val="28"/>
          <w:szCs w:val="28"/>
          <w:lang w:val="es-ES"/>
        </w:rPr>
        <w:t xml:space="preserve">. En otras palabras, las personas deben hacer uso de todos los recursos </w:t>
      </w:r>
      <w:r w:rsidR="00A349ED" w:rsidRPr="002E4477">
        <w:rPr>
          <w:bCs/>
          <w:iCs/>
          <w:sz w:val="28"/>
          <w:szCs w:val="28"/>
          <w:lang w:val="es-ES"/>
        </w:rPr>
        <w:t>que ofrece el sistema jurídico</w:t>
      </w:r>
      <w:r w:rsidR="00A349ED" w:rsidRPr="002E4477">
        <w:rPr>
          <w:rStyle w:val="Refdenotaalpie"/>
          <w:bCs/>
          <w:iCs/>
          <w:sz w:val="28"/>
          <w:szCs w:val="28"/>
          <w:lang w:val="es-ES"/>
        </w:rPr>
        <w:footnoteReference w:id="98"/>
      </w:r>
      <w:r w:rsidR="00A349ED" w:rsidRPr="002E4477">
        <w:rPr>
          <w:bCs/>
          <w:iCs/>
          <w:sz w:val="28"/>
          <w:szCs w:val="28"/>
          <w:lang w:val="es-ES"/>
        </w:rPr>
        <w:t xml:space="preserve">, </w:t>
      </w:r>
      <w:r w:rsidRPr="002E4477">
        <w:rPr>
          <w:bCs/>
          <w:iCs/>
          <w:sz w:val="28"/>
          <w:szCs w:val="28"/>
          <w:lang w:val="es-ES"/>
        </w:rPr>
        <w:t xml:space="preserve">para conjurar la situación </w:t>
      </w:r>
      <w:r w:rsidR="00AF7F8A" w:rsidRPr="002E4477">
        <w:rPr>
          <w:bCs/>
          <w:iCs/>
          <w:sz w:val="28"/>
          <w:szCs w:val="28"/>
          <w:lang w:val="es-ES"/>
        </w:rPr>
        <w:t xml:space="preserve">de </w:t>
      </w:r>
      <w:r w:rsidRPr="002E4477">
        <w:rPr>
          <w:bCs/>
          <w:iCs/>
          <w:sz w:val="28"/>
          <w:szCs w:val="28"/>
          <w:lang w:val="es-ES"/>
        </w:rPr>
        <w:t>amenaza o lesi</w:t>
      </w:r>
      <w:r w:rsidR="00A349ED" w:rsidRPr="002E4477">
        <w:rPr>
          <w:bCs/>
          <w:iCs/>
          <w:sz w:val="28"/>
          <w:szCs w:val="28"/>
          <w:lang w:val="es-ES"/>
        </w:rPr>
        <w:t>ón a</w:t>
      </w:r>
      <w:r w:rsidRPr="002E4477">
        <w:rPr>
          <w:bCs/>
          <w:iCs/>
          <w:sz w:val="28"/>
          <w:szCs w:val="28"/>
          <w:lang w:val="es-ES"/>
        </w:rPr>
        <w:t xml:space="preserve"> </w:t>
      </w:r>
      <w:r w:rsidR="00A57E5D" w:rsidRPr="002E4477">
        <w:rPr>
          <w:bCs/>
          <w:iCs/>
          <w:sz w:val="28"/>
          <w:szCs w:val="28"/>
          <w:lang w:val="es-ES"/>
        </w:rPr>
        <w:t>sus</w:t>
      </w:r>
      <w:r w:rsidRPr="002E4477">
        <w:rPr>
          <w:bCs/>
          <w:iCs/>
          <w:sz w:val="28"/>
          <w:szCs w:val="28"/>
          <w:lang w:val="es-ES"/>
        </w:rPr>
        <w:t xml:space="preserve"> derechos fundamentales, de forma tal que se impida el uso indebido de este mecanismo constitucional</w:t>
      </w:r>
      <w:r w:rsidR="00A57E5D" w:rsidRPr="002E4477">
        <w:rPr>
          <w:bCs/>
          <w:iCs/>
          <w:sz w:val="28"/>
          <w:szCs w:val="28"/>
          <w:lang w:val="es-ES"/>
        </w:rPr>
        <w:t xml:space="preserve">. Porque desconocer el carácter </w:t>
      </w:r>
      <w:r w:rsidR="00A57E5D" w:rsidRPr="003A28CD">
        <w:rPr>
          <w:bCs/>
          <w:iCs/>
          <w:sz w:val="28"/>
          <w:szCs w:val="28"/>
          <w:lang w:val="es-ES"/>
        </w:rPr>
        <w:t>subsidiario de la acción de tutela vaciaría de contenido los otros mecanismos de defensa judicial que han sido previstos en las normas constitucionales y legales para proteger los derechos invocados</w:t>
      </w:r>
      <w:r w:rsidR="00A57E5D" w:rsidRPr="003A28CD">
        <w:rPr>
          <w:bCs/>
          <w:iCs/>
          <w:sz w:val="28"/>
          <w:szCs w:val="28"/>
          <w:vertAlign w:val="superscript"/>
          <w:lang w:val="es-ES"/>
        </w:rPr>
        <w:footnoteReference w:id="99"/>
      </w:r>
      <w:r w:rsidR="00A57E5D" w:rsidRPr="003A28CD">
        <w:rPr>
          <w:bCs/>
          <w:iCs/>
          <w:sz w:val="28"/>
          <w:szCs w:val="28"/>
          <w:lang w:val="es-ES"/>
        </w:rPr>
        <w:t xml:space="preserve"> y permitiría utilizar indebidamente la acción de tutela como instancia preferente o adicional</w:t>
      </w:r>
      <w:r w:rsidRPr="003A28CD">
        <w:rPr>
          <w:bCs/>
          <w:iCs/>
          <w:sz w:val="28"/>
          <w:szCs w:val="28"/>
          <w:lang w:val="es-ES"/>
        </w:rPr>
        <w:t xml:space="preserve"> de protección.</w:t>
      </w:r>
      <w:r w:rsidR="00AF7F8A" w:rsidRPr="003A28CD">
        <w:rPr>
          <w:bCs/>
          <w:iCs/>
          <w:sz w:val="28"/>
          <w:szCs w:val="28"/>
          <w:lang w:val="es-ES"/>
        </w:rPr>
        <w:t xml:space="preserve"> </w:t>
      </w:r>
    </w:p>
    <w:p w14:paraId="29354194" w14:textId="77777777" w:rsidR="00A349ED" w:rsidRPr="002E4477" w:rsidRDefault="00A349ED" w:rsidP="00A349ED">
      <w:pPr>
        <w:pStyle w:val="NormalWeb"/>
        <w:tabs>
          <w:tab w:val="left" w:pos="284"/>
        </w:tabs>
        <w:spacing w:before="0" w:beforeAutospacing="0" w:after="0" w:afterAutospacing="0"/>
        <w:ind w:right="40"/>
        <w:jc w:val="both"/>
        <w:rPr>
          <w:i/>
          <w:sz w:val="28"/>
          <w:szCs w:val="28"/>
        </w:rPr>
      </w:pPr>
    </w:p>
    <w:p w14:paraId="7B21A25A" w14:textId="77777777" w:rsidR="00AF7F8A" w:rsidRPr="002E4477" w:rsidRDefault="007E6A06" w:rsidP="00090294">
      <w:pPr>
        <w:pStyle w:val="NormalWeb"/>
        <w:numPr>
          <w:ilvl w:val="0"/>
          <w:numId w:val="10"/>
        </w:numPr>
        <w:tabs>
          <w:tab w:val="left" w:pos="284"/>
        </w:tabs>
        <w:spacing w:before="0" w:beforeAutospacing="0" w:after="0" w:afterAutospacing="0"/>
        <w:ind w:right="40"/>
        <w:jc w:val="both"/>
        <w:rPr>
          <w:i/>
          <w:sz w:val="28"/>
          <w:szCs w:val="28"/>
        </w:rPr>
      </w:pPr>
      <w:r w:rsidRPr="002E4477">
        <w:rPr>
          <w:sz w:val="28"/>
          <w:szCs w:val="28"/>
        </w:rPr>
        <w:t>L</w:t>
      </w:r>
      <w:r w:rsidR="00AF7F8A" w:rsidRPr="002E4477">
        <w:rPr>
          <w:sz w:val="28"/>
          <w:szCs w:val="28"/>
        </w:rPr>
        <w:t xml:space="preserve">a </w:t>
      </w:r>
      <w:r w:rsidR="00A349ED" w:rsidRPr="002E4477">
        <w:rPr>
          <w:sz w:val="28"/>
          <w:szCs w:val="28"/>
        </w:rPr>
        <w:t>Corte ha advertido</w:t>
      </w:r>
      <w:r w:rsidRPr="002E4477">
        <w:rPr>
          <w:sz w:val="28"/>
          <w:szCs w:val="28"/>
        </w:rPr>
        <w:t>, sin embargo,</w:t>
      </w:r>
      <w:r w:rsidR="00A349ED" w:rsidRPr="002E4477">
        <w:rPr>
          <w:sz w:val="28"/>
          <w:szCs w:val="28"/>
        </w:rPr>
        <w:t xml:space="preserve"> que el estudio de la subsidiariedad de la acción de tutela no consiste en una simple verificación formal de la existencia de otros mecanismos judiciales o administrativos</w:t>
      </w:r>
      <w:r w:rsidR="00A349ED" w:rsidRPr="002E4477">
        <w:rPr>
          <w:rStyle w:val="Refdenotaalpie"/>
          <w:sz w:val="28"/>
          <w:szCs w:val="28"/>
        </w:rPr>
        <w:footnoteReference w:id="100"/>
      </w:r>
      <w:r w:rsidR="00A349ED" w:rsidRPr="002E4477">
        <w:rPr>
          <w:sz w:val="28"/>
          <w:szCs w:val="28"/>
        </w:rPr>
        <w:t xml:space="preserve">, </w:t>
      </w:r>
      <w:r w:rsidR="00090294" w:rsidRPr="002E4477">
        <w:rPr>
          <w:sz w:val="28"/>
          <w:szCs w:val="28"/>
        </w:rPr>
        <w:t xml:space="preserve">sino en </w:t>
      </w:r>
      <w:r w:rsidR="00090294" w:rsidRPr="002E4477">
        <w:rPr>
          <w:sz w:val="28"/>
          <w:szCs w:val="28"/>
        </w:rPr>
        <w:lastRenderedPageBreak/>
        <w:t xml:space="preserve">evaluar si los medios de </w:t>
      </w:r>
      <w:r w:rsidR="00090294" w:rsidRPr="002E4477">
        <w:rPr>
          <w:sz w:val="28"/>
          <w:szCs w:val="28"/>
          <w:bdr w:val="none" w:sz="0" w:space="0" w:color="auto" w:frame="1"/>
          <w:shd w:val="clear" w:color="auto" w:fill="FFFFFF"/>
        </w:rPr>
        <w:t>defensa judiciales disponibles</w:t>
      </w:r>
      <w:r w:rsidRPr="002E4477">
        <w:rPr>
          <w:sz w:val="28"/>
          <w:szCs w:val="28"/>
          <w:bdr w:val="none" w:sz="0" w:space="0" w:color="auto" w:frame="1"/>
          <w:shd w:val="clear" w:color="auto" w:fill="FFFFFF"/>
        </w:rPr>
        <w:t>,</w:t>
      </w:r>
      <w:r w:rsidR="00090294" w:rsidRPr="002E4477">
        <w:rPr>
          <w:sz w:val="28"/>
          <w:szCs w:val="28"/>
          <w:bdr w:val="none" w:sz="0" w:space="0" w:color="auto" w:frame="1"/>
          <w:shd w:val="clear" w:color="auto" w:fill="FFFFFF"/>
        </w:rPr>
        <w:t xml:space="preserve"> le otorgan una protección eficaz y completa a quien acude a la acción tutela</w:t>
      </w:r>
      <w:r w:rsidR="00090294" w:rsidRPr="002E4477">
        <w:rPr>
          <w:sz w:val="28"/>
          <w:szCs w:val="28"/>
        </w:rPr>
        <w:t xml:space="preserve">. </w:t>
      </w:r>
      <w:r w:rsidR="00A57E5D" w:rsidRPr="002E4477">
        <w:rPr>
          <w:sz w:val="28"/>
          <w:szCs w:val="28"/>
          <w:bdr w:val="none" w:sz="0" w:space="0" w:color="auto" w:frame="1"/>
          <w:shd w:val="clear" w:color="auto" w:fill="FFFFFF"/>
          <w:lang w:val="es-US"/>
        </w:rPr>
        <w:t>L</w:t>
      </w:r>
      <w:r w:rsidR="00090294" w:rsidRPr="002E4477">
        <w:rPr>
          <w:sz w:val="28"/>
          <w:szCs w:val="28"/>
          <w:bdr w:val="none" w:sz="0" w:space="0" w:color="auto" w:frame="1"/>
          <w:shd w:val="clear" w:color="auto" w:fill="FFFFFF"/>
          <w:lang w:val="es-US"/>
        </w:rPr>
        <w:t xml:space="preserve">a existencia de otras vías </w:t>
      </w:r>
      <w:r w:rsidR="00AF7F8A" w:rsidRPr="002E4477">
        <w:rPr>
          <w:sz w:val="28"/>
          <w:szCs w:val="28"/>
          <w:bdr w:val="none" w:sz="0" w:space="0" w:color="auto" w:frame="1"/>
          <w:shd w:val="clear" w:color="auto" w:fill="FFFFFF"/>
          <w:lang w:val="es-US"/>
        </w:rPr>
        <w:t xml:space="preserve">de defensa </w:t>
      </w:r>
      <w:r w:rsidR="00090294" w:rsidRPr="002E4477">
        <w:rPr>
          <w:sz w:val="28"/>
          <w:szCs w:val="28"/>
          <w:bdr w:val="none" w:sz="0" w:space="0" w:color="auto" w:frame="1"/>
          <w:shd w:val="clear" w:color="auto" w:fill="FFFFFF"/>
          <w:lang w:val="es-US"/>
        </w:rPr>
        <w:t>judicial</w:t>
      </w:r>
      <w:r w:rsidR="00AF7F8A" w:rsidRPr="002E4477">
        <w:rPr>
          <w:sz w:val="28"/>
          <w:szCs w:val="28"/>
          <w:bdr w:val="none" w:sz="0" w:space="0" w:color="auto" w:frame="1"/>
          <w:shd w:val="clear" w:color="auto" w:fill="FFFFFF"/>
          <w:lang w:val="es-US"/>
        </w:rPr>
        <w:t xml:space="preserve"> </w:t>
      </w:r>
      <w:r w:rsidR="00090294" w:rsidRPr="002E4477">
        <w:rPr>
          <w:sz w:val="28"/>
          <w:szCs w:val="28"/>
          <w:bdr w:val="none" w:sz="0" w:space="0" w:color="auto" w:frame="1"/>
          <w:shd w:val="clear" w:color="auto" w:fill="FFFFFF"/>
          <w:lang w:val="es-US"/>
        </w:rPr>
        <w:t>debe ser analizada en cada caso</w:t>
      </w:r>
      <w:r w:rsidR="00AF7F8A" w:rsidRPr="002E4477">
        <w:rPr>
          <w:sz w:val="28"/>
          <w:szCs w:val="28"/>
          <w:bdr w:val="none" w:sz="0" w:space="0" w:color="auto" w:frame="1"/>
          <w:shd w:val="clear" w:color="auto" w:fill="FFFFFF"/>
          <w:lang w:val="es-US"/>
        </w:rPr>
        <w:t xml:space="preserve">, de forma tal </w:t>
      </w:r>
      <w:r w:rsidR="007156B9" w:rsidRPr="002E4477">
        <w:rPr>
          <w:sz w:val="28"/>
          <w:szCs w:val="28"/>
          <w:bdr w:val="none" w:sz="0" w:space="0" w:color="auto" w:frame="1"/>
          <w:shd w:val="clear" w:color="auto" w:fill="FFFFFF"/>
          <w:lang w:val="es-US"/>
        </w:rPr>
        <w:t>que</w:t>
      </w:r>
      <w:r w:rsidR="00AF7F8A" w:rsidRPr="002E4477">
        <w:rPr>
          <w:sz w:val="28"/>
          <w:szCs w:val="28"/>
          <w:bdr w:val="none" w:sz="0" w:space="0" w:color="auto" w:frame="1"/>
          <w:shd w:val="clear" w:color="auto" w:fill="FFFFFF"/>
          <w:lang w:val="es-US"/>
        </w:rPr>
        <w:t xml:space="preserve"> si los mecanismos prescritos son eficaces, la tutela será improcedente, a menos que se compruebe el perjuicio irremediable. Pero si no lo son</w:t>
      </w:r>
      <w:r w:rsidR="00A57E5D" w:rsidRPr="002E4477">
        <w:rPr>
          <w:sz w:val="28"/>
          <w:szCs w:val="28"/>
          <w:bdr w:val="none" w:sz="0" w:space="0" w:color="auto" w:frame="1"/>
          <w:shd w:val="clear" w:color="auto" w:fill="FFFFFF"/>
          <w:lang w:val="es-US"/>
        </w:rPr>
        <w:t xml:space="preserve">, </w:t>
      </w:r>
      <w:r w:rsidRPr="002E4477">
        <w:rPr>
          <w:sz w:val="28"/>
          <w:szCs w:val="28"/>
          <w:bdr w:val="none" w:sz="0" w:space="0" w:color="auto" w:frame="1"/>
          <w:shd w:val="clear" w:color="auto" w:fill="FFFFFF"/>
          <w:lang w:val="es-US"/>
        </w:rPr>
        <w:t xml:space="preserve">o </w:t>
      </w:r>
      <w:r w:rsidR="00090294" w:rsidRPr="002E4477">
        <w:rPr>
          <w:sz w:val="28"/>
          <w:szCs w:val="28"/>
          <w:bdr w:val="none" w:sz="0" w:space="0" w:color="auto" w:frame="1"/>
          <w:shd w:val="clear" w:color="auto" w:fill="FFFFFF"/>
        </w:rPr>
        <w:t xml:space="preserve">no </w:t>
      </w:r>
      <w:r w:rsidR="00AF7F8A" w:rsidRPr="002E4477">
        <w:rPr>
          <w:sz w:val="28"/>
          <w:szCs w:val="28"/>
          <w:bdr w:val="none" w:sz="0" w:space="0" w:color="auto" w:frame="1"/>
          <w:shd w:val="clear" w:color="auto" w:fill="FFFFFF"/>
        </w:rPr>
        <w:t>resuelven</w:t>
      </w:r>
      <w:r w:rsidR="00090294" w:rsidRPr="002E4477">
        <w:rPr>
          <w:sz w:val="28"/>
          <w:szCs w:val="28"/>
          <w:bdr w:val="none" w:sz="0" w:space="0" w:color="auto" w:frame="1"/>
          <w:shd w:val="clear" w:color="auto" w:fill="FFFFFF"/>
        </w:rPr>
        <w:t xml:space="preserve"> el conflicto</w:t>
      </w:r>
      <w:r w:rsidR="009A6C5B" w:rsidRPr="002E4477">
        <w:rPr>
          <w:sz w:val="28"/>
          <w:szCs w:val="28"/>
          <w:bdr w:val="none" w:sz="0" w:space="0" w:color="auto" w:frame="1"/>
          <w:shd w:val="clear" w:color="auto" w:fill="FFFFFF"/>
        </w:rPr>
        <w:t>,</w:t>
      </w:r>
      <w:r w:rsidR="00AF7F8A" w:rsidRPr="002E4477">
        <w:rPr>
          <w:sz w:val="28"/>
          <w:szCs w:val="28"/>
          <w:bdr w:val="none" w:sz="0" w:space="0" w:color="auto" w:frame="1"/>
          <w:shd w:val="clear" w:color="auto" w:fill="FFFFFF"/>
        </w:rPr>
        <w:t xml:space="preserve"> o </w:t>
      </w:r>
      <w:r w:rsidR="00090294" w:rsidRPr="002E4477">
        <w:rPr>
          <w:sz w:val="28"/>
          <w:szCs w:val="28"/>
          <w:bdr w:val="none" w:sz="0" w:space="0" w:color="auto" w:frame="1"/>
          <w:shd w:val="clear" w:color="auto" w:fill="FFFFFF"/>
        </w:rPr>
        <w:t>no ofrecen una solución integral para el derecho comprometido,</w:t>
      </w:r>
      <w:r w:rsidR="00090294" w:rsidRPr="002E4477">
        <w:rPr>
          <w:rStyle w:val="apple-converted-space"/>
          <w:sz w:val="28"/>
          <w:szCs w:val="28"/>
          <w:bdr w:val="none" w:sz="0" w:space="0" w:color="auto" w:frame="1"/>
          <w:shd w:val="clear" w:color="auto" w:fill="FFFFFF"/>
        </w:rPr>
        <w:t> </w:t>
      </w:r>
      <w:r w:rsidR="00AF7F8A" w:rsidRPr="002E4477">
        <w:rPr>
          <w:sz w:val="28"/>
          <w:szCs w:val="28"/>
          <w:bdr w:val="none" w:sz="0" w:space="0" w:color="auto" w:frame="1"/>
          <w:shd w:val="clear" w:color="auto" w:fill="FFFFFF"/>
        </w:rPr>
        <w:t>será</w:t>
      </w:r>
      <w:r w:rsidR="00090294" w:rsidRPr="002E4477">
        <w:rPr>
          <w:sz w:val="28"/>
          <w:szCs w:val="28"/>
          <w:bdr w:val="none" w:sz="0" w:space="0" w:color="auto" w:frame="1"/>
          <w:shd w:val="clear" w:color="auto" w:fill="FFFFFF"/>
        </w:rPr>
        <w:t xml:space="preserve"> procedente</w:t>
      </w:r>
      <w:r w:rsidR="0081463C">
        <w:rPr>
          <w:sz w:val="28"/>
          <w:szCs w:val="28"/>
          <w:bdr w:val="none" w:sz="0" w:space="0" w:color="auto" w:frame="1"/>
          <w:shd w:val="clear" w:color="auto" w:fill="FFFFFF"/>
        </w:rPr>
        <w:t xml:space="preserve"> entonces</w:t>
      </w:r>
      <w:r w:rsidR="00090294" w:rsidRPr="002E4477">
        <w:rPr>
          <w:sz w:val="28"/>
          <w:szCs w:val="28"/>
          <w:bdr w:val="none" w:sz="0" w:space="0" w:color="auto" w:frame="1"/>
          <w:shd w:val="clear" w:color="auto" w:fill="FFFFFF"/>
        </w:rPr>
        <w:t xml:space="preserve"> la acción de tutela como mecanismo de</w:t>
      </w:r>
      <w:r w:rsidR="00AF7F8A" w:rsidRPr="002E4477">
        <w:rPr>
          <w:sz w:val="28"/>
          <w:szCs w:val="28"/>
          <w:bdr w:val="none" w:sz="0" w:space="0" w:color="auto" w:frame="1"/>
          <w:shd w:val="clear" w:color="auto" w:fill="FFFFFF"/>
        </w:rPr>
        <w:t xml:space="preserve"> protección</w:t>
      </w:r>
      <w:r w:rsidR="00090294" w:rsidRPr="002E4477">
        <w:rPr>
          <w:sz w:val="28"/>
          <w:szCs w:val="28"/>
          <w:bdr w:val="none" w:sz="0" w:space="0" w:color="auto" w:frame="1"/>
          <w:shd w:val="clear" w:color="auto" w:fill="FFFFFF"/>
        </w:rPr>
        <w:t xml:space="preserve"> definitivo de los derechos fundamentales</w:t>
      </w:r>
      <w:r w:rsidR="00AF7F8A" w:rsidRPr="002E4477">
        <w:rPr>
          <w:sz w:val="28"/>
          <w:szCs w:val="28"/>
          <w:bdr w:val="none" w:sz="0" w:space="0" w:color="auto" w:frame="1"/>
          <w:shd w:val="clear" w:color="auto" w:fill="FFFFFF"/>
        </w:rPr>
        <w:t>.</w:t>
      </w:r>
    </w:p>
    <w:p w14:paraId="545E63DC" w14:textId="77777777" w:rsidR="00AF7F8A" w:rsidRPr="002E4477" w:rsidRDefault="00AF7F8A" w:rsidP="00AF7F8A">
      <w:pPr>
        <w:pStyle w:val="Prrafodelista"/>
        <w:rPr>
          <w:szCs w:val="28"/>
          <w:bdr w:val="none" w:sz="0" w:space="0" w:color="auto" w:frame="1"/>
          <w:shd w:val="clear" w:color="auto" w:fill="FFFFFF"/>
        </w:rPr>
      </w:pPr>
    </w:p>
    <w:p w14:paraId="4429D0DA" w14:textId="77777777" w:rsidR="00A037C5" w:rsidRPr="002E4477" w:rsidRDefault="00A57E5D" w:rsidP="00A037C5">
      <w:pPr>
        <w:pStyle w:val="NormalWeb"/>
        <w:numPr>
          <w:ilvl w:val="0"/>
          <w:numId w:val="10"/>
        </w:numPr>
        <w:tabs>
          <w:tab w:val="left" w:pos="426"/>
        </w:tabs>
        <w:spacing w:before="0" w:beforeAutospacing="0" w:after="0" w:afterAutospacing="0"/>
        <w:ind w:right="40"/>
        <w:jc w:val="both"/>
        <w:rPr>
          <w:bCs/>
          <w:iCs/>
          <w:sz w:val="28"/>
          <w:szCs w:val="28"/>
          <w:lang w:val="es-ES_tradnl"/>
        </w:rPr>
      </w:pPr>
      <w:r w:rsidRPr="002E4477">
        <w:rPr>
          <w:bCs/>
          <w:iCs/>
          <w:sz w:val="28"/>
          <w:szCs w:val="28"/>
          <w:lang w:val="es-ES"/>
        </w:rPr>
        <w:t>De acuerdo con lo expuesto</w:t>
      </w:r>
      <w:r w:rsidRPr="002E4477">
        <w:rPr>
          <w:bCs/>
          <w:iCs/>
          <w:sz w:val="28"/>
          <w:szCs w:val="28"/>
          <w:lang w:val="es-ES_tradnl"/>
        </w:rPr>
        <w:t xml:space="preserve">, en el caso de la acción de tutela contra providencias judiciales es procedente el amparo constitucional, cuando el actor no cuenta con otros mecanismos de protección dentro del proceso o con otras instancias adicionales de consideración, como ocurre en el marco de la situación que aquí se presenta. </w:t>
      </w:r>
      <w:r w:rsidR="00A037C5" w:rsidRPr="002E4477">
        <w:rPr>
          <w:sz w:val="28"/>
          <w:szCs w:val="28"/>
          <w:bdr w:val="none" w:sz="0" w:space="0" w:color="auto" w:frame="1"/>
          <w:shd w:val="clear" w:color="auto" w:fill="FFFFFF"/>
        </w:rPr>
        <w:t>La decisión impugnada por el CSJ no es susceptible de ningún recurso, por lo que se encuentran agotados los medios de defensa judicial</w:t>
      </w:r>
      <w:r w:rsidR="007E6A06" w:rsidRPr="002E4477">
        <w:rPr>
          <w:sz w:val="28"/>
          <w:szCs w:val="28"/>
          <w:bdr w:val="none" w:sz="0" w:space="0" w:color="auto" w:frame="1"/>
          <w:shd w:val="clear" w:color="auto" w:fill="FFFFFF"/>
        </w:rPr>
        <w:t>es pertinentes</w:t>
      </w:r>
      <w:r w:rsidR="00A037C5" w:rsidRPr="002E4477">
        <w:rPr>
          <w:sz w:val="28"/>
          <w:szCs w:val="28"/>
          <w:bdr w:val="none" w:sz="0" w:space="0" w:color="auto" w:frame="1"/>
          <w:shd w:val="clear" w:color="auto" w:fill="FFFFFF"/>
        </w:rPr>
        <w:t xml:space="preserve"> y</w:t>
      </w:r>
      <w:r w:rsidR="002429C4" w:rsidRPr="002E4477">
        <w:rPr>
          <w:sz w:val="28"/>
          <w:szCs w:val="28"/>
          <w:bdr w:val="none" w:sz="0" w:space="0" w:color="auto" w:frame="1"/>
          <w:shd w:val="clear" w:color="auto" w:fill="FFFFFF"/>
        </w:rPr>
        <w:t>,</w:t>
      </w:r>
      <w:r w:rsidR="00A037C5" w:rsidRPr="002E4477">
        <w:rPr>
          <w:sz w:val="28"/>
          <w:szCs w:val="28"/>
          <w:bdr w:val="none" w:sz="0" w:space="0" w:color="auto" w:frame="1"/>
          <w:shd w:val="clear" w:color="auto" w:fill="FFFFFF"/>
        </w:rPr>
        <w:t xml:space="preserve"> en consecuencia</w:t>
      </w:r>
      <w:r w:rsidR="002429C4" w:rsidRPr="002E4477">
        <w:rPr>
          <w:sz w:val="28"/>
          <w:szCs w:val="28"/>
          <w:bdr w:val="none" w:sz="0" w:space="0" w:color="auto" w:frame="1"/>
          <w:shd w:val="clear" w:color="auto" w:fill="FFFFFF"/>
        </w:rPr>
        <w:t>,</w:t>
      </w:r>
      <w:r w:rsidR="00A037C5" w:rsidRPr="002E4477">
        <w:rPr>
          <w:sz w:val="28"/>
          <w:szCs w:val="28"/>
          <w:bdr w:val="none" w:sz="0" w:space="0" w:color="auto" w:frame="1"/>
          <w:shd w:val="clear" w:color="auto" w:fill="FFFFFF"/>
        </w:rPr>
        <w:t xml:space="preserve"> se cumple con el requisito general de procedencia correspondiente. </w:t>
      </w:r>
    </w:p>
    <w:p w14:paraId="133E248C" w14:textId="77777777" w:rsidR="00547EA7" w:rsidRPr="002E4477" w:rsidRDefault="00547EA7" w:rsidP="0099084B">
      <w:pPr>
        <w:pStyle w:val="Prrafodelista"/>
        <w:shd w:val="clear" w:color="auto" w:fill="FFFFFF"/>
        <w:spacing w:line="276" w:lineRule="auto"/>
        <w:ind w:left="0"/>
        <w:jc w:val="both"/>
        <w:rPr>
          <w:b/>
          <w:i/>
          <w:szCs w:val="28"/>
        </w:rPr>
      </w:pPr>
    </w:p>
    <w:p w14:paraId="520CD12C" w14:textId="77777777" w:rsidR="00A037C5" w:rsidRPr="002E4477" w:rsidRDefault="00A037C5" w:rsidP="00A037C5">
      <w:pPr>
        <w:pStyle w:val="Prrafodelista"/>
        <w:shd w:val="clear" w:color="auto" w:fill="FFFFFF"/>
        <w:ind w:left="0"/>
        <w:jc w:val="both"/>
        <w:rPr>
          <w:b/>
          <w:i/>
          <w:szCs w:val="28"/>
        </w:rPr>
      </w:pPr>
      <w:r w:rsidRPr="002E4477">
        <w:rPr>
          <w:b/>
          <w:i/>
          <w:szCs w:val="28"/>
        </w:rPr>
        <w:t>Inmediatez</w:t>
      </w:r>
    </w:p>
    <w:p w14:paraId="50C1554F" w14:textId="77777777" w:rsidR="00A037C5" w:rsidRPr="002E4477" w:rsidRDefault="00A037C5" w:rsidP="0099084B">
      <w:pPr>
        <w:pStyle w:val="NormalWeb"/>
        <w:tabs>
          <w:tab w:val="left" w:pos="426"/>
        </w:tabs>
        <w:spacing w:before="0" w:beforeAutospacing="0" w:after="0" w:afterAutospacing="0" w:line="276" w:lineRule="auto"/>
        <w:ind w:right="40"/>
        <w:jc w:val="both"/>
        <w:rPr>
          <w:bCs/>
          <w:iCs/>
          <w:sz w:val="28"/>
          <w:szCs w:val="28"/>
          <w:lang w:val="es-ES_tradnl"/>
        </w:rPr>
      </w:pPr>
    </w:p>
    <w:p w14:paraId="23F286C0" w14:textId="77777777" w:rsidR="008121CD" w:rsidRPr="002E4477" w:rsidRDefault="00A037C5" w:rsidP="00662BDC">
      <w:pPr>
        <w:pStyle w:val="NormalWeb"/>
        <w:numPr>
          <w:ilvl w:val="0"/>
          <w:numId w:val="10"/>
        </w:numPr>
        <w:tabs>
          <w:tab w:val="left" w:pos="284"/>
          <w:tab w:val="left" w:pos="426"/>
        </w:tabs>
        <w:spacing w:before="0" w:beforeAutospacing="0" w:after="0" w:afterAutospacing="0"/>
        <w:ind w:right="40"/>
        <w:jc w:val="both"/>
        <w:rPr>
          <w:rFonts w:ascii="Calibri" w:hAnsi="Calibri" w:cs="Calibri"/>
          <w:sz w:val="22"/>
          <w:szCs w:val="22"/>
        </w:rPr>
      </w:pPr>
      <w:r w:rsidRPr="002E4477">
        <w:rPr>
          <w:sz w:val="28"/>
          <w:szCs w:val="28"/>
        </w:rPr>
        <w:t xml:space="preserve"> </w:t>
      </w:r>
      <w:r w:rsidR="00BC43A8" w:rsidRPr="002E4477">
        <w:rPr>
          <w:sz w:val="28"/>
          <w:szCs w:val="28"/>
        </w:rPr>
        <w:t xml:space="preserve">La jurisprudencia constitucional </w:t>
      </w:r>
      <w:r w:rsidR="00BC43A8" w:rsidRPr="003A28CD">
        <w:rPr>
          <w:sz w:val="28"/>
          <w:szCs w:val="28"/>
        </w:rPr>
        <w:t>ha</w:t>
      </w:r>
      <w:r w:rsidR="00B34978" w:rsidRPr="003A28CD">
        <w:rPr>
          <w:sz w:val="28"/>
          <w:szCs w:val="28"/>
        </w:rPr>
        <w:t xml:space="preserve"> sostenido que si bien no existe un término de caducidad</w:t>
      </w:r>
      <w:r w:rsidR="008121CD" w:rsidRPr="003A28CD">
        <w:rPr>
          <w:rStyle w:val="Refdenotaalpie"/>
          <w:sz w:val="28"/>
          <w:szCs w:val="28"/>
        </w:rPr>
        <w:footnoteReference w:id="101"/>
      </w:r>
      <w:r w:rsidR="00B34978" w:rsidRPr="003A28CD">
        <w:rPr>
          <w:sz w:val="28"/>
          <w:szCs w:val="28"/>
        </w:rPr>
        <w:t xml:space="preserve"> para</w:t>
      </w:r>
      <w:r w:rsidR="007156B9" w:rsidRPr="003A28CD">
        <w:rPr>
          <w:sz w:val="28"/>
          <w:szCs w:val="28"/>
        </w:rPr>
        <w:t xml:space="preserve"> </w:t>
      </w:r>
      <w:r w:rsidR="00B34978" w:rsidRPr="003A28CD">
        <w:rPr>
          <w:sz w:val="28"/>
          <w:szCs w:val="28"/>
        </w:rPr>
        <w:t>la presentación de</w:t>
      </w:r>
      <w:r w:rsidR="007156B9" w:rsidRPr="003A28CD">
        <w:rPr>
          <w:sz w:val="28"/>
          <w:szCs w:val="28"/>
        </w:rPr>
        <w:t>l amparo</w:t>
      </w:r>
      <w:r w:rsidR="00B34978" w:rsidRPr="003A28CD">
        <w:rPr>
          <w:sz w:val="28"/>
          <w:szCs w:val="28"/>
        </w:rPr>
        <w:t xml:space="preserve"> constitucional </w:t>
      </w:r>
      <w:r w:rsidR="007156B9" w:rsidRPr="003A28CD">
        <w:rPr>
          <w:sz w:val="28"/>
          <w:szCs w:val="28"/>
        </w:rPr>
        <w:t xml:space="preserve">conforme al </w:t>
      </w:r>
      <w:r w:rsidR="008121CD" w:rsidRPr="003A28CD">
        <w:rPr>
          <w:sz w:val="28"/>
          <w:szCs w:val="28"/>
        </w:rPr>
        <w:t>artículo 86 superior,</w:t>
      </w:r>
      <w:r w:rsidR="00BC43A8" w:rsidRPr="003A28CD">
        <w:rPr>
          <w:sz w:val="28"/>
          <w:szCs w:val="28"/>
        </w:rPr>
        <w:t xml:space="preserve"> la acción de tutela</w:t>
      </w:r>
      <w:r w:rsidR="008121CD" w:rsidRPr="003A28CD">
        <w:rPr>
          <w:sz w:val="28"/>
          <w:szCs w:val="28"/>
        </w:rPr>
        <w:t xml:space="preserve"> sí</w:t>
      </w:r>
      <w:r w:rsidR="00BC43A8" w:rsidRPr="003A28CD">
        <w:rPr>
          <w:sz w:val="28"/>
          <w:szCs w:val="28"/>
        </w:rPr>
        <w:t xml:space="preserve"> debe presentarse en un término razonable</w:t>
      </w:r>
      <w:r w:rsidR="0081463C" w:rsidRPr="003A28CD">
        <w:rPr>
          <w:sz w:val="28"/>
          <w:szCs w:val="28"/>
        </w:rPr>
        <w:t xml:space="preserve"> debido a su naturaleza urgente y prevalente</w:t>
      </w:r>
      <w:r w:rsidR="007156B9" w:rsidRPr="003A28CD">
        <w:rPr>
          <w:sz w:val="28"/>
          <w:szCs w:val="28"/>
        </w:rPr>
        <w:t xml:space="preserve">, </w:t>
      </w:r>
      <w:r w:rsidR="00BC43A8" w:rsidRPr="003A28CD">
        <w:rPr>
          <w:sz w:val="28"/>
          <w:szCs w:val="28"/>
        </w:rPr>
        <w:t>a</w:t>
      </w:r>
      <w:r w:rsidR="00BC43A8" w:rsidRPr="002E4477">
        <w:rPr>
          <w:sz w:val="28"/>
          <w:szCs w:val="28"/>
        </w:rPr>
        <w:t xml:space="preserve"> partir del hecho que generó la presunta vulneración de los derechos fundamentales</w:t>
      </w:r>
      <w:r w:rsidR="00CE4DE7" w:rsidRPr="002E4477">
        <w:rPr>
          <w:rStyle w:val="Refdenotaalpie"/>
          <w:sz w:val="28"/>
          <w:szCs w:val="28"/>
        </w:rPr>
        <w:footnoteReference w:id="102"/>
      </w:r>
      <w:r w:rsidRPr="002E4477">
        <w:rPr>
          <w:sz w:val="28"/>
          <w:szCs w:val="28"/>
        </w:rPr>
        <w:t>.</w:t>
      </w:r>
      <w:r w:rsidRPr="002E4477">
        <w:rPr>
          <w:sz w:val="28"/>
          <w:szCs w:val="28"/>
          <w:lang w:val="es-ES_tradnl"/>
        </w:rPr>
        <w:t xml:space="preserve"> </w:t>
      </w:r>
    </w:p>
    <w:p w14:paraId="2A283F6E" w14:textId="77777777" w:rsidR="008121CD" w:rsidRPr="002E4477" w:rsidRDefault="008121CD" w:rsidP="008121CD">
      <w:pPr>
        <w:pStyle w:val="NormalWeb"/>
        <w:tabs>
          <w:tab w:val="left" w:pos="284"/>
          <w:tab w:val="left" w:pos="426"/>
        </w:tabs>
        <w:spacing w:before="0" w:beforeAutospacing="0" w:after="0" w:afterAutospacing="0"/>
        <w:ind w:right="40"/>
        <w:jc w:val="both"/>
        <w:rPr>
          <w:rFonts w:ascii="Calibri" w:hAnsi="Calibri" w:cs="Calibri"/>
          <w:sz w:val="22"/>
          <w:szCs w:val="22"/>
        </w:rPr>
      </w:pPr>
    </w:p>
    <w:p w14:paraId="651623F8" w14:textId="77777777" w:rsidR="00CE4DE7" w:rsidRPr="002E4477" w:rsidRDefault="007156B9" w:rsidP="008121CD">
      <w:pPr>
        <w:pStyle w:val="NormalWeb"/>
        <w:numPr>
          <w:ilvl w:val="0"/>
          <w:numId w:val="10"/>
        </w:numPr>
        <w:tabs>
          <w:tab w:val="left" w:pos="284"/>
          <w:tab w:val="left" w:pos="426"/>
        </w:tabs>
        <w:spacing w:before="0" w:beforeAutospacing="0" w:after="0" w:afterAutospacing="0"/>
        <w:ind w:right="40"/>
        <w:jc w:val="both"/>
        <w:rPr>
          <w:rFonts w:ascii="Calibri" w:hAnsi="Calibri" w:cs="Calibri"/>
          <w:sz w:val="22"/>
          <w:szCs w:val="22"/>
        </w:rPr>
      </w:pPr>
      <w:r w:rsidRPr="002E4477">
        <w:rPr>
          <w:sz w:val="28"/>
          <w:szCs w:val="28"/>
          <w:lang w:val="es-ES_tradnl"/>
        </w:rPr>
        <w:t xml:space="preserve">En ese sentido </w:t>
      </w:r>
      <w:r w:rsidR="00CE4DE7" w:rsidRPr="002E4477">
        <w:rPr>
          <w:sz w:val="28"/>
          <w:szCs w:val="28"/>
          <w:shd w:val="clear" w:color="auto" w:fill="FFFFFF"/>
          <w:lang w:val="es-ES" w:eastAsia="es-ES" w:bidi="ar-SA"/>
        </w:rPr>
        <w:t>esta Corte ha sostenido que para que se cumpla con el presupuesto de inmediatez, “</w:t>
      </w:r>
      <w:r w:rsidR="00CE4DE7" w:rsidRPr="002E4477">
        <w:rPr>
          <w:i/>
          <w:iCs/>
          <w:sz w:val="28"/>
          <w:szCs w:val="28"/>
          <w:shd w:val="clear" w:color="auto" w:fill="FFFFFF"/>
          <w:lang w:val="es-ES" w:eastAsia="es-ES" w:bidi="ar-SA"/>
        </w:rPr>
        <w:t>la acción de tutela debe ser utilizada en un término prudencial, esto es, con cierta proximidad y consecuencia a la ocurrencia de los hechos que se dicen violatorios y/o amenazantes de derechos fundamentales, pues es claro que la solicitud de amparo pierde su sentido y su razón de ser como mecanismo excepcional y expedito de protección, si el paso del tiempo, lejos de ser razonable, desvirtúa la inminencia y necesidad de protección constitucional</w:t>
      </w:r>
      <w:r w:rsidR="00CE4DE7" w:rsidRPr="002E4477">
        <w:rPr>
          <w:sz w:val="28"/>
          <w:szCs w:val="28"/>
          <w:shd w:val="clear" w:color="auto" w:fill="FFFFFF"/>
          <w:lang w:val="es-ES" w:eastAsia="es-ES" w:bidi="ar-SA"/>
        </w:rPr>
        <w:t>”</w:t>
      </w:r>
      <w:r w:rsidR="00CE4DE7" w:rsidRPr="002E4477">
        <w:rPr>
          <w:rStyle w:val="Refdenotaalpie"/>
          <w:sz w:val="28"/>
          <w:szCs w:val="28"/>
          <w:shd w:val="clear" w:color="auto" w:fill="FFFFFF"/>
          <w:lang w:val="es-ES" w:eastAsia="es-ES" w:bidi="ar-SA"/>
        </w:rPr>
        <w:footnoteReference w:id="103"/>
      </w:r>
      <w:r w:rsidR="00CE4DE7" w:rsidRPr="002E4477">
        <w:rPr>
          <w:sz w:val="28"/>
          <w:szCs w:val="28"/>
          <w:shd w:val="clear" w:color="auto" w:fill="FFFFFF"/>
          <w:lang w:val="es-ES" w:eastAsia="es-ES" w:bidi="ar-SA"/>
        </w:rPr>
        <w:t>.</w:t>
      </w:r>
    </w:p>
    <w:p w14:paraId="1D6EC619" w14:textId="77777777" w:rsidR="00CE4DE7" w:rsidRPr="002E4477" w:rsidRDefault="00CE4DE7" w:rsidP="00CE4DE7">
      <w:pPr>
        <w:pStyle w:val="NormalWeb"/>
        <w:tabs>
          <w:tab w:val="left" w:pos="284"/>
          <w:tab w:val="left" w:pos="426"/>
        </w:tabs>
        <w:spacing w:before="0" w:beforeAutospacing="0" w:after="0" w:afterAutospacing="0"/>
        <w:ind w:right="40"/>
        <w:jc w:val="both"/>
        <w:rPr>
          <w:rFonts w:ascii="Calibri" w:hAnsi="Calibri" w:cs="Calibri"/>
          <w:sz w:val="22"/>
          <w:szCs w:val="22"/>
        </w:rPr>
      </w:pPr>
    </w:p>
    <w:p w14:paraId="3DB2813A" w14:textId="77777777" w:rsidR="00CE4DE7" w:rsidRPr="002E4477" w:rsidRDefault="00CE4DE7" w:rsidP="00CE4DE7">
      <w:pPr>
        <w:pStyle w:val="NormalWeb"/>
        <w:numPr>
          <w:ilvl w:val="0"/>
          <w:numId w:val="10"/>
        </w:numPr>
        <w:tabs>
          <w:tab w:val="left" w:pos="284"/>
          <w:tab w:val="left" w:pos="426"/>
        </w:tabs>
        <w:spacing w:before="0" w:beforeAutospacing="0" w:after="0" w:afterAutospacing="0"/>
        <w:ind w:right="40"/>
        <w:jc w:val="both"/>
        <w:rPr>
          <w:rFonts w:ascii="Calibri" w:hAnsi="Calibri" w:cs="Calibri"/>
          <w:sz w:val="22"/>
          <w:szCs w:val="22"/>
        </w:rPr>
      </w:pPr>
      <w:r w:rsidRPr="002E4477">
        <w:rPr>
          <w:sz w:val="28"/>
          <w:szCs w:val="28"/>
          <w:lang w:val="es-ES_tradnl"/>
        </w:rPr>
        <w:t>En lo que respecta a la acción de tutela contra providencias judiciales, el elemento de la inmediatez como criterio general de procedencia resulta particularmente relevante, ya que se trata de una exigencia</w:t>
      </w:r>
      <w:r w:rsidRPr="002E4477">
        <w:rPr>
          <w:rStyle w:val="Refdenotaalpie"/>
          <w:sz w:val="28"/>
          <w:szCs w:val="28"/>
          <w:lang w:val="es-ES_tradnl"/>
        </w:rPr>
        <w:footnoteReference w:id="104"/>
      </w:r>
      <w:r w:rsidRPr="002E4477">
        <w:rPr>
          <w:sz w:val="28"/>
          <w:szCs w:val="28"/>
          <w:lang w:val="es-ES_tradnl"/>
        </w:rPr>
        <w:t xml:space="preserve"> que contribuye a garantizar la esencia misma de la cosa juzgada al interior del ordenamiento jurídico</w:t>
      </w:r>
      <w:r w:rsidR="007156B9" w:rsidRPr="002E4477">
        <w:rPr>
          <w:sz w:val="28"/>
          <w:szCs w:val="28"/>
          <w:lang w:val="es-ES_tradnl"/>
        </w:rPr>
        <w:t xml:space="preserve"> y de los principios antes invocados</w:t>
      </w:r>
      <w:r w:rsidRPr="002E4477">
        <w:rPr>
          <w:sz w:val="28"/>
          <w:szCs w:val="28"/>
          <w:lang w:val="es-ES_tradnl"/>
        </w:rPr>
        <w:t>.</w:t>
      </w:r>
      <w:r w:rsidR="007156B9" w:rsidRPr="002E4477">
        <w:rPr>
          <w:sz w:val="28"/>
          <w:szCs w:val="28"/>
          <w:lang w:val="es-ES_tradnl"/>
        </w:rPr>
        <w:t xml:space="preserve"> </w:t>
      </w:r>
      <w:r w:rsidRPr="002E4477">
        <w:rPr>
          <w:sz w:val="28"/>
          <w:szCs w:val="28"/>
          <w:lang w:val="es-ES_tradnl"/>
        </w:rPr>
        <w:t>Con todo,</w:t>
      </w:r>
      <w:r w:rsidR="008121CD" w:rsidRPr="002E4477">
        <w:rPr>
          <w:sz w:val="28"/>
          <w:szCs w:val="28"/>
          <w:lang w:val="es-ES_tradnl"/>
        </w:rPr>
        <w:t xml:space="preserve"> </w:t>
      </w:r>
      <w:r w:rsidRPr="002E4477">
        <w:rPr>
          <w:sz w:val="28"/>
          <w:szCs w:val="28"/>
          <w:bdr w:val="none" w:sz="0" w:space="0" w:color="auto" w:frame="1"/>
          <w:shd w:val="clear" w:color="auto" w:fill="FFFFFF"/>
          <w:lang w:val="es-ES_tradnl"/>
        </w:rPr>
        <w:t xml:space="preserve">la jurisprudencia constitucional no ha establecido un término específico para </w:t>
      </w:r>
      <w:r w:rsidRPr="002E4477">
        <w:rPr>
          <w:sz w:val="28"/>
          <w:szCs w:val="28"/>
          <w:bdr w:val="none" w:sz="0" w:space="0" w:color="auto" w:frame="1"/>
          <w:shd w:val="clear" w:color="auto" w:fill="FFFFFF"/>
          <w:lang w:val="es-ES_tradnl"/>
        </w:rPr>
        <w:lastRenderedPageBreak/>
        <w:t>dar cumplimiento al requisito de la inmediatez</w:t>
      </w:r>
      <w:r w:rsidR="002429C4" w:rsidRPr="002E4477">
        <w:rPr>
          <w:sz w:val="28"/>
          <w:szCs w:val="28"/>
          <w:bdr w:val="none" w:sz="0" w:space="0" w:color="auto" w:frame="1"/>
          <w:shd w:val="clear" w:color="auto" w:fill="FFFFFF"/>
          <w:lang w:val="es-ES_tradnl"/>
        </w:rPr>
        <w:t xml:space="preserve"> en este tipo de acciones de tutela,</w:t>
      </w:r>
      <w:r w:rsidRPr="002E4477">
        <w:rPr>
          <w:sz w:val="28"/>
          <w:szCs w:val="28"/>
          <w:bdr w:val="none" w:sz="0" w:space="0" w:color="auto" w:frame="1"/>
          <w:shd w:val="clear" w:color="auto" w:fill="FFFFFF"/>
          <w:lang w:val="es-ES_tradnl"/>
        </w:rPr>
        <w:t xml:space="preserve"> </w:t>
      </w:r>
      <w:r w:rsidR="008121CD" w:rsidRPr="002E4477">
        <w:rPr>
          <w:sz w:val="28"/>
          <w:szCs w:val="28"/>
          <w:bdr w:val="none" w:sz="0" w:space="0" w:color="auto" w:frame="1"/>
          <w:shd w:val="clear" w:color="auto" w:fill="FFFFFF"/>
          <w:lang w:val="es-ES_tradnl"/>
        </w:rPr>
        <w:t>por lo que</w:t>
      </w:r>
      <w:r w:rsidRPr="002E4477">
        <w:rPr>
          <w:sz w:val="28"/>
          <w:szCs w:val="28"/>
          <w:bdr w:val="none" w:sz="0" w:space="0" w:color="auto" w:frame="1"/>
          <w:shd w:val="clear" w:color="auto" w:fill="FFFFFF"/>
          <w:lang w:val="es-ES_tradnl"/>
        </w:rPr>
        <w:t xml:space="preserve"> lo pertinente es que </w:t>
      </w:r>
      <w:r w:rsidR="008121CD" w:rsidRPr="002E4477">
        <w:rPr>
          <w:sz w:val="28"/>
          <w:szCs w:val="28"/>
          <w:bdr w:val="none" w:sz="0" w:space="0" w:color="auto" w:frame="1"/>
          <w:shd w:val="clear" w:color="auto" w:fill="FFFFFF"/>
          <w:lang w:val="es-ES_tradnl"/>
        </w:rPr>
        <w:t xml:space="preserve">el requisito </w:t>
      </w:r>
      <w:r w:rsidRPr="002E4477">
        <w:rPr>
          <w:sz w:val="28"/>
          <w:szCs w:val="28"/>
          <w:bdr w:val="none" w:sz="0" w:space="0" w:color="auto" w:frame="1"/>
          <w:shd w:val="clear" w:color="auto" w:fill="FFFFFF"/>
          <w:lang w:val="es-ES_tradnl"/>
        </w:rPr>
        <w:t>sea valorad</w:t>
      </w:r>
      <w:r w:rsidR="007156B9" w:rsidRPr="002E4477">
        <w:rPr>
          <w:sz w:val="28"/>
          <w:szCs w:val="28"/>
          <w:bdr w:val="none" w:sz="0" w:space="0" w:color="auto" w:frame="1"/>
          <w:shd w:val="clear" w:color="auto" w:fill="FFFFFF"/>
          <w:lang w:val="es-ES_tradnl"/>
        </w:rPr>
        <w:t>o</w:t>
      </w:r>
      <w:r w:rsidRPr="002E4477">
        <w:rPr>
          <w:sz w:val="28"/>
          <w:szCs w:val="28"/>
          <w:bdr w:val="none" w:sz="0" w:space="0" w:color="auto" w:frame="1"/>
          <w:shd w:val="clear" w:color="auto" w:fill="FFFFFF"/>
          <w:lang w:val="es-ES_tradnl"/>
        </w:rPr>
        <w:t xml:space="preserve"> por el juez constitucional, teniendo en cuenta las particularidades de cada caso concreto</w:t>
      </w:r>
      <w:r w:rsidRPr="002E4477">
        <w:rPr>
          <w:sz w:val="28"/>
          <w:szCs w:val="28"/>
          <w:bdr w:val="none" w:sz="0" w:space="0" w:color="auto" w:frame="1"/>
          <w:shd w:val="clear" w:color="auto" w:fill="FFFFFF"/>
        </w:rPr>
        <w:t xml:space="preserve">. </w:t>
      </w:r>
    </w:p>
    <w:p w14:paraId="0414673D" w14:textId="77777777" w:rsidR="00CE4DE7" w:rsidRPr="002E4477" w:rsidRDefault="00CE4DE7" w:rsidP="00CE4DE7">
      <w:pPr>
        <w:pStyle w:val="Prrafodelista"/>
        <w:rPr>
          <w:szCs w:val="28"/>
          <w:lang w:val="es-ES_tradnl"/>
        </w:rPr>
      </w:pPr>
    </w:p>
    <w:p w14:paraId="1DC9487C" w14:textId="77777777" w:rsidR="00547EA7" w:rsidRPr="002E4477" w:rsidRDefault="00CE4DE7" w:rsidP="00662BDC">
      <w:pPr>
        <w:pStyle w:val="NormalWeb"/>
        <w:numPr>
          <w:ilvl w:val="0"/>
          <w:numId w:val="10"/>
        </w:numPr>
        <w:tabs>
          <w:tab w:val="left" w:pos="284"/>
          <w:tab w:val="left" w:pos="426"/>
        </w:tabs>
        <w:spacing w:before="0" w:beforeAutospacing="0" w:after="0" w:afterAutospacing="0"/>
        <w:ind w:right="40"/>
        <w:jc w:val="both"/>
        <w:rPr>
          <w:sz w:val="28"/>
          <w:szCs w:val="28"/>
          <w:lang w:val="es-ES_tradnl"/>
        </w:rPr>
      </w:pPr>
      <w:r w:rsidRPr="002E4477">
        <w:rPr>
          <w:sz w:val="28"/>
          <w:szCs w:val="28"/>
          <w:lang w:val="es-ES_tradnl"/>
        </w:rPr>
        <w:t xml:space="preserve">En el caso </w:t>
      </w:r>
      <w:r w:rsidRPr="002E4477">
        <w:rPr>
          <w:i/>
          <w:sz w:val="28"/>
          <w:szCs w:val="28"/>
          <w:lang w:val="es-ES_tradnl"/>
        </w:rPr>
        <w:t>sub examine</w:t>
      </w:r>
      <w:r w:rsidRPr="002E4477">
        <w:rPr>
          <w:sz w:val="28"/>
          <w:szCs w:val="28"/>
          <w:lang w:val="es-ES_tradnl"/>
        </w:rPr>
        <w:t xml:space="preserve">, la Sala </w:t>
      </w:r>
      <w:r w:rsidR="008121CD" w:rsidRPr="002E4477">
        <w:rPr>
          <w:sz w:val="28"/>
          <w:szCs w:val="28"/>
          <w:lang w:val="es-ES_tradnl"/>
        </w:rPr>
        <w:t>considera que se ha dado cumplimiento al requisito de inmediatez</w:t>
      </w:r>
      <w:r w:rsidR="004538A0" w:rsidRPr="002E4477">
        <w:rPr>
          <w:sz w:val="28"/>
          <w:szCs w:val="28"/>
          <w:lang w:val="es-ES_tradnl"/>
        </w:rPr>
        <w:t xml:space="preserve">, en la medida en que </w:t>
      </w:r>
      <w:r w:rsidR="00947E88" w:rsidRPr="002E4477">
        <w:rPr>
          <w:sz w:val="28"/>
          <w:szCs w:val="28"/>
          <w:lang w:val="es-ES_tradnl"/>
        </w:rPr>
        <w:t xml:space="preserve">la </w:t>
      </w:r>
      <w:r w:rsidR="008F2B42" w:rsidRPr="002E4477">
        <w:rPr>
          <w:sz w:val="28"/>
          <w:szCs w:val="28"/>
          <w:lang w:val="es-ES_tradnl"/>
        </w:rPr>
        <w:t>sentencia del Consejo de Estado que resolvió e</w:t>
      </w:r>
      <w:r w:rsidR="008121CD" w:rsidRPr="002E4477">
        <w:rPr>
          <w:sz w:val="28"/>
          <w:szCs w:val="28"/>
          <w:lang w:val="es-ES_tradnl"/>
        </w:rPr>
        <w:t>l</w:t>
      </w:r>
      <w:r w:rsidR="008F2B42" w:rsidRPr="002E4477">
        <w:rPr>
          <w:sz w:val="28"/>
          <w:szCs w:val="28"/>
          <w:lang w:val="es-ES_tradnl"/>
        </w:rPr>
        <w:t xml:space="preserve"> medio de control de nulidad por inconstitucionalidad </w:t>
      </w:r>
      <w:r w:rsidR="007E6A06" w:rsidRPr="002E4477">
        <w:rPr>
          <w:sz w:val="28"/>
          <w:szCs w:val="28"/>
          <w:lang w:val="es-ES_tradnl"/>
        </w:rPr>
        <w:t xml:space="preserve">se profirió </w:t>
      </w:r>
      <w:r w:rsidR="008F2B42" w:rsidRPr="002E4477">
        <w:rPr>
          <w:sz w:val="28"/>
          <w:szCs w:val="28"/>
          <w:lang w:val="es-ES_tradnl"/>
        </w:rPr>
        <w:t>el 6 de febrero de 2018</w:t>
      </w:r>
      <w:r w:rsidR="008F2B42" w:rsidRPr="002E4477">
        <w:rPr>
          <w:sz w:val="28"/>
          <w:szCs w:val="28"/>
          <w:vertAlign w:val="superscript"/>
          <w:lang w:val="es-ES_tradnl"/>
        </w:rPr>
        <w:footnoteReference w:id="105"/>
      </w:r>
      <w:r w:rsidR="008121CD" w:rsidRPr="002E4477">
        <w:rPr>
          <w:sz w:val="28"/>
          <w:szCs w:val="28"/>
          <w:lang w:val="es-ES_tradnl"/>
        </w:rPr>
        <w:t xml:space="preserve"> y </w:t>
      </w:r>
      <w:r w:rsidR="00947E88" w:rsidRPr="002E4477">
        <w:rPr>
          <w:sz w:val="28"/>
          <w:szCs w:val="28"/>
          <w:lang w:val="es-ES_tradnl"/>
        </w:rPr>
        <w:t xml:space="preserve">la </w:t>
      </w:r>
      <w:r w:rsidR="008F2B42" w:rsidRPr="002E4477">
        <w:rPr>
          <w:sz w:val="28"/>
          <w:szCs w:val="28"/>
          <w:lang w:val="es-ES_tradnl"/>
        </w:rPr>
        <w:t>tutela f</w:t>
      </w:r>
      <w:r w:rsidR="00947E88" w:rsidRPr="002E4477">
        <w:rPr>
          <w:sz w:val="28"/>
          <w:szCs w:val="28"/>
          <w:lang w:val="es-ES_tradnl"/>
        </w:rPr>
        <w:t xml:space="preserve">ue presentada </w:t>
      </w:r>
      <w:r w:rsidR="00DD71F6" w:rsidRPr="002E4477">
        <w:rPr>
          <w:sz w:val="28"/>
          <w:szCs w:val="28"/>
          <w:lang w:val="es-ES_tradnl"/>
        </w:rPr>
        <w:t>por el CSJ</w:t>
      </w:r>
      <w:r w:rsidR="008F2B42" w:rsidRPr="002E4477">
        <w:rPr>
          <w:sz w:val="28"/>
          <w:szCs w:val="28"/>
          <w:lang w:val="es-ES_tradnl"/>
        </w:rPr>
        <w:t xml:space="preserve"> </w:t>
      </w:r>
      <w:r w:rsidR="00947E88" w:rsidRPr="002E4477">
        <w:rPr>
          <w:sz w:val="28"/>
          <w:szCs w:val="28"/>
          <w:lang w:val="es-ES_tradnl"/>
        </w:rPr>
        <w:t xml:space="preserve">el </w:t>
      </w:r>
      <w:r w:rsidR="004538A0" w:rsidRPr="002E4477">
        <w:rPr>
          <w:sz w:val="28"/>
          <w:szCs w:val="28"/>
          <w:lang w:val="es-ES_tradnl"/>
        </w:rPr>
        <w:t>1</w:t>
      </w:r>
      <w:r w:rsidR="00052690" w:rsidRPr="002E4477">
        <w:rPr>
          <w:sz w:val="28"/>
          <w:szCs w:val="28"/>
          <w:vertAlign w:val="superscript"/>
          <w:lang w:val="es-ES_tradnl"/>
        </w:rPr>
        <w:t>o</w:t>
      </w:r>
      <w:r w:rsidR="004538A0" w:rsidRPr="002E4477">
        <w:rPr>
          <w:sz w:val="28"/>
          <w:szCs w:val="28"/>
          <w:lang w:val="es-ES_tradnl"/>
        </w:rPr>
        <w:t xml:space="preserve"> de junio de 2</w:t>
      </w:r>
      <w:r w:rsidR="00DD71F6" w:rsidRPr="002E4477">
        <w:rPr>
          <w:sz w:val="28"/>
          <w:szCs w:val="28"/>
          <w:lang w:val="es-ES_tradnl"/>
        </w:rPr>
        <w:t>018</w:t>
      </w:r>
      <w:r w:rsidR="008121CD" w:rsidRPr="002E4477">
        <w:rPr>
          <w:sz w:val="28"/>
          <w:szCs w:val="28"/>
          <w:lang w:val="es-ES_tradnl"/>
        </w:rPr>
        <w:t xml:space="preserve">. De esta forma, el </w:t>
      </w:r>
      <w:r w:rsidR="00DD71F6" w:rsidRPr="002E4477">
        <w:rPr>
          <w:sz w:val="28"/>
          <w:szCs w:val="28"/>
          <w:lang w:val="es-ES_tradnl"/>
        </w:rPr>
        <w:t>amparo</w:t>
      </w:r>
      <w:r w:rsidR="008121CD" w:rsidRPr="002E4477">
        <w:rPr>
          <w:sz w:val="28"/>
          <w:szCs w:val="28"/>
          <w:lang w:val="es-ES_tradnl"/>
        </w:rPr>
        <w:t xml:space="preserve"> constitucional</w:t>
      </w:r>
      <w:r w:rsidR="00DD71F6" w:rsidRPr="002E4477">
        <w:rPr>
          <w:sz w:val="28"/>
          <w:szCs w:val="28"/>
          <w:lang w:val="es-ES_tradnl"/>
        </w:rPr>
        <w:t xml:space="preserve"> se </w:t>
      </w:r>
      <w:r w:rsidR="00052690" w:rsidRPr="002E4477">
        <w:rPr>
          <w:sz w:val="28"/>
          <w:szCs w:val="28"/>
          <w:lang w:val="es-ES_tradnl"/>
        </w:rPr>
        <w:t xml:space="preserve">solicitó </w:t>
      </w:r>
      <w:r w:rsidRPr="002E4477">
        <w:rPr>
          <w:sz w:val="28"/>
          <w:szCs w:val="28"/>
          <w:lang w:val="es-ES_tradnl"/>
        </w:rPr>
        <w:t xml:space="preserve">por la entidad demandante </w:t>
      </w:r>
      <w:r w:rsidR="008121CD" w:rsidRPr="002E4477">
        <w:rPr>
          <w:sz w:val="28"/>
          <w:szCs w:val="28"/>
          <w:lang w:val="es-ES_tradnl"/>
        </w:rPr>
        <w:t xml:space="preserve">dentro de </w:t>
      </w:r>
      <w:r w:rsidR="00DD71F6" w:rsidRPr="002E4477">
        <w:rPr>
          <w:sz w:val="28"/>
          <w:szCs w:val="28"/>
          <w:lang w:val="es-ES_tradnl"/>
        </w:rPr>
        <w:t>los</w:t>
      </w:r>
      <w:r w:rsidR="004538A0" w:rsidRPr="002E4477">
        <w:rPr>
          <w:sz w:val="28"/>
          <w:szCs w:val="28"/>
          <w:lang w:val="es-ES_tradnl"/>
        </w:rPr>
        <w:t xml:space="preserve"> 4 meses siguientes al fallo</w:t>
      </w:r>
      <w:r w:rsidR="00DD71F6" w:rsidRPr="002E4477">
        <w:rPr>
          <w:sz w:val="28"/>
          <w:szCs w:val="28"/>
          <w:lang w:val="es-ES_tradnl"/>
        </w:rPr>
        <w:t xml:space="preserve"> </w:t>
      </w:r>
      <w:r w:rsidR="008121CD" w:rsidRPr="002E4477">
        <w:rPr>
          <w:sz w:val="28"/>
          <w:szCs w:val="28"/>
          <w:lang w:val="es-ES_tradnl"/>
        </w:rPr>
        <w:t xml:space="preserve">que se advierte como violatorio de los derechos fundamentales, lo </w:t>
      </w:r>
      <w:r w:rsidR="007156B9" w:rsidRPr="002E4477">
        <w:rPr>
          <w:sz w:val="28"/>
          <w:szCs w:val="28"/>
          <w:lang w:val="es-ES_tradnl"/>
        </w:rPr>
        <w:t xml:space="preserve">que resulta ser un </w:t>
      </w:r>
      <w:r w:rsidR="004538A0" w:rsidRPr="002E4477">
        <w:rPr>
          <w:sz w:val="28"/>
          <w:szCs w:val="28"/>
          <w:lang w:val="es-ES_tradnl"/>
        </w:rPr>
        <w:t xml:space="preserve">término </w:t>
      </w:r>
      <w:r w:rsidRPr="002E4477">
        <w:rPr>
          <w:sz w:val="28"/>
          <w:szCs w:val="28"/>
          <w:lang w:val="es-ES_tradnl"/>
        </w:rPr>
        <w:t xml:space="preserve">próximo y </w:t>
      </w:r>
      <w:r w:rsidR="004538A0" w:rsidRPr="002E4477">
        <w:rPr>
          <w:sz w:val="28"/>
          <w:szCs w:val="28"/>
          <w:lang w:val="es-ES_tradnl"/>
        </w:rPr>
        <w:t>razonable para la interposici</w:t>
      </w:r>
      <w:r w:rsidR="00DD71F6" w:rsidRPr="002E4477">
        <w:rPr>
          <w:sz w:val="28"/>
          <w:szCs w:val="28"/>
          <w:lang w:val="es-ES_tradnl"/>
        </w:rPr>
        <w:t>ón de</w:t>
      </w:r>
      <w:r w:rsidR="008121CD" w:rsidRPr="002E4477">
        <w:rPr>
          <w:sz w:val="28"/>
          <w:szCs w:val="28"/>
          <w:lang w:val="es-ES_tradnl"/>
        </w:rPr>
        <w:t xml:space="preserve"> la mencionada acción constitucional</w:t>
      </w:r>
      <w:r w:rsidR="007156B9" w:rsidRPr="002E4477">
        <w:rPr>
          <w:sz w:val="28"/>
          <w:szCs w:val="28"/>
          <w:lang w:val="es-ES_tradnl"/>
        </w:rPr>
        <w:t>.</w:t>
      </w:r>
    </w:p>
    <w:p w14:paraId="4DEE6ECC" w14:textId="77777777" w:rsidR="007156B9" w:rsidRPr="002E4477" w:rsidRDefault="007156B9" w:rsidP="007156B9">
      <w:pPr>
        <w:pStyle w:val="Prrafodelista"/>
        <w:rPr>
          <w:szCs w:val="28"/>
          <w:lang w:val="es-ES_tradnl"/>
        </w:rPr>
      </w:pPr>
    </w:p>
    <w:p w14:paraId="4F1D7953" w14:textId="77777777" w:rsidR="00FA5FE5" w:rsidRPr="003A28CD" w:rsidRDefault="007156B9" w:rsidP="001D5D8D">
      <w:pPr>
        <w:pStyle w:val="NormalWeb"/>
        <w:numPr>
          <w:ilvl w:val="0"/>
          <w:numId w:val="10"/>
        </w:numPr>
        <w:tabs>
          <w:tab w:val="left" w:pos="284"/>
          <w:tab w:val="left" w:pos="426"/>
        </w:tabs>
        <w:spacing w:before="0" w:beforeAutospacing="0" w:after="0" w:afterAutospacing="0"/>
        <w:ind w:right="40"/>
        <w:jc w:val="both"/>
        <w:rPr>
          <w:b/>
          <w:bCs/>
          <w:i/>
          <w:iCs/>
          <w:sz w:val="28"/>
          <w:szCs w:val="28"/>
        </w:rPr>
      </w:pPr>
      <w:r w:rsidRPr="00B24C29">
        <w:rPr>
          <w:sz w:val="28"/>
          <w:szCs w:val="28"/>
          <w:lang w:val="es-ES_tradnl"/>
        </w:rPr>
        <w:t>Por lo tanto</w:t>
      </w:r>
      <w:r w:rsidR="00052690" w:rsidRPr="00B24C29">
        <w:rPr>
          <w:sz w:val="28"/>
          <w:szCs w:val="28"/>
          <w:lang w:val="es-ES_tradnl"/>
        </w:rPr>
        <w:t>, el</w:t>
      </w:r>
      <w:r w:rsidR="002429C4" w:rsidRPr="00B24C29">
        <w:rPr>
          <w:sz w:val="28"/>
          <w:szCs w:val="28"/>
          <w:lang w:val="es-ES_tradnl"/>
        </w:rPr>
        <w:t xml:space="preserve"> hecho de</w:t>
      </w:r>
      <w:r w:rsidR="00052690" w:rsidRPr="00B24C29">
        <w:rPr>
          <w:sz w:val="28"/>
          <w:szCs w:val="28"/>
          <w:lang w:val="es-ES_tradnl"/>
        </w:rPr>
        <w:t xml:space="preserve"> que </w:t>
      </w:r>
      <w:r w:rsidR="008F2B42" w:rsidRPr="00B24C29">
        <w:rPr>
          <w:sz w:val="28"/>
          <w:szCs w:val="28"/>
          <w:lang w:val="es-ES_tradnl"/>
        </w:rPr>
        <w:t>la C</w:t>
      </w:r>
      <w:r w:rsidR="00947E88" w:rsidRPr="00B24C29">
        <w:rPr>
          <w:sz w:val="28"/>
          <w:szCs w:val="28"/>
          <w:lang w:val="es-ES_tradnl"/>
        </w:rPr>
        <w:t>orte C</w:t>
      </w:r>
      <w:r w:rsidR="004538A0" w:rsidRPr="00B24C29">
        <w:rPr>
          <w:sz w:val="28"/>
          <w:szCs w:val="28"/>
          <w:lang w:val="es-ES_tradnl"/>
        </w:rPr>
        <w:t>onstitucional revise la</w:t>
      </w:r>
      <w:r w:rsidR="00947E88" w:rsidRPr="00B24C29">
        <w:rPr>
          <w:sz w:val="28"/>
          <w:szCs w:val="28"/>
          <w:lang w:val="es-ES_tradnl"/>
        </w:rPr>
        <w:t xml:space="preserve"> decisión</w:t>
      </w:r>
      <w:r w:rsidR="002429C4" w:rsidRPr="00B24C29">
        <w:rPr>
          <w:sz w:val="28"/>
          <w:szCs w:val="28"/>
          <w:lang w:val="es-ES_tradnl"/>
        </w:rPr>
        <w:t xml:space="preserve"> proferida por</w:t>
      </w:r>
      <w:r w:rsidR="00947E88" w:rsidRPr="00B24C29">
        <w:rPr>
          <w:sz w:val="28"/>
          <w:szCs w:val="28"/>
          <w:lang w:val="es-ES_tradnl"/>
        </w:rPr>
        <w:t xml:space="preserve"> </w:t>
      </w:r>
      <w:r w:rsidR="004538A0" w:rsidRPr="00B24C29">
        <w:rPr>
          <w:sz w:val="28"/>
          <w:szCs w:val="28"/>
          <w:lang w:val="es-ES_tradnl"/>
        </w:rPr>
        <w:t>el Consejo de Estado</w:t>
      </w:r>
      <w:r w:rsidR="00DD71F6" w:rsidRPr="00B24C29">
        <w:rPr>
          <w:sz w:val="28"/>
          <w:szCs w:val="28"/>
          <w:lang w:val="es-ES_tradnl"/>
        </w:rPr>
        <w:t xml:space="preserve"> del 2018</w:t>
      </w:r>
      <w:r w:rsidR="004538A0" w:rsidRPr="00B24C29">
        <w:rPr>
          <w:sz w:val="28"/>
          <w:szCs w:val="28"/>
          <w:lang w:val="es-ES_tradnl"/>
        </w:rPr>
        <w:t xml:space="preserve">, </w:t>
      </w:r>
      <w:r w:rsidR="00026121" w:rsidRPr="00B24C29">
        <w:rPr>
          <w:sz w:val="28"/>
          <w:szCs w:val="28"/>
          <w:lang w:val="es-ES_tradnl"/>
        </w:rPr>
        <w:t>en el año 2020</w:t>
      </w:r>
      <w:r w:rsidR="008F2B42" w:rsidRPr="00B24C29">
        <w:rPr>
          <w:sz w:val="28"/>
          <w:szCs w:val="28"/>
          <w:lang w:val="es-ES_tradnl"/>
        </w:rPr>
        <w:t xml:space="preserve">, </w:t>
      </w:r>
      <w:r w:rsidR="00052690" w:rsidRPr="00B24C29">
        <w:rPr>
          <w:sz w:val="28"/>
          <w:szCs w:val="28"/>
          <w:lang w:val="es-ES_tradnl"/>
        </w:rPr>
        <w:t xml:space="preserve">no es </w:t>
      </w:r>
      <w:r w:rsidRPr="00B24C29">
        <w:rPr>
          <w:sz w:val="28"/>
          <w:szCs w:val="28"/>
          <w:lang w:val="es-ES_tradnl"/>
        </w:rPr>
        <w:t>un hecho</w:t>
      </w:r>
      <w:r w:rsidR="00052690" w:rsidRPr="00B24C29">
        <w:rPr>
          <w:sz w:val="28"/>
          <w:szCs w:val="28"/>
          <w:lang w:val="es-ES_tradnl"/>
        </w:rPr>
        <w:t xml:space="preserve"> imputable al CSJ, sino que </w:t>
      </w:r>
      <w:r w:rsidR="00547EA7" w:rsidRPr="00B24C29">
        <w:rPr>
          <w:sz w:val="28"/>
          <w:szCs w:val="28"/>
          <w:lang w:val="es-ES_tradnl"/>
        </w:rPr>
        <w:t xml:space="preserve">tiene que ver con </w:t>
      </w:r>
      <w:r w:rsidR="004538A0" w:rsidRPr="00B24C29">
        <w:rPr>
          <w:sz w:val="28"/>
          <w:szCs w:val="28"/>
          <w:lang w:val="es-ES_tradnl"/>
        </w:rPr>
        <w:t xml:space="preserve">que la </w:t>
      </w:r>
      <w:r w:rsidR="00947E88" w:rsidRPr="00B24C29">
        <w:rPr>
          <w:sz w:val="28"/>
          <w:szCs w:val="28"/>
          <w:lang w:val="es-ES_tradnl"/>
        </w:rPr>
        <w:t xml:space="preserve">tutela </w:t>
      </w:r>
      <w:r w:rsidR="002B6091" w:rsidRPr="00B24C29">
        <w:rPr>
          <w:sz w:val="28"/>
          <w:szCs w:val="28"/>
          <w:lang w:val="es-ES_tradnl"/>
        </w:rPr>
        <w:t xml:space="preserve">en segunda </w:t>
      </w:r>
      <w:r w:rsidR="00547EA7" w:rsidRPr="00B24C29">
        <w:rPr>
          <w:sz w:val="28"/>
          <w:szCs w:val="28"/>
          <w:lang w:val="es-ES_tradnl"/>
        </w:rPr>
        <w:t>instancia</w:t>
      </w:r>
      <w:r w:rsidR="002B6091" w:rsidRPr="00B24C29">
        <w:rPr>
          <w:sz w:val="28"/>
          <w:szCs w:val="28"/>
          <w:lang w:val="es-ES_tradnl"/>
        </w:rPr>
        <w:t xml:space="preserve"> </w:t>
      </w:r>
      <w:r w:rsidR="00052690" w:rsidRPr="00B24C29">
        <w:rPr>
          <w:sz w:val="28"/>
          <w:szCs w:val="28"/>
          <w:lang w:val="es-ES_tradnl"/>
        </w:rPr>
        <w:t>s</w:t>
      </w:r>
      <w:r w:rsidR="00C80E03">
        <w:rPr>
          <w:sz w:val="28"/>
          <w:szCs w:val="28"/>
          <w:lang w:val="es-ES_tradnl"/>
        </w:rPr>
        <w:t>o</w:t>
      </w:r>
      <w:r w:rsidR="00052690" w:rsidRPr="00B24C29">
        <w:rPr>
          <w:sz w:val="28"/>
          <w:szCs w:val="28"/>
          <w:lang w:val="es-ES_tradnl"/>
        </w:rPr>
        <w:t xml:space="preserve">lo </w:t>
      </w:r>
      <w:r w:rsidR="00547EA7" w:rsidRPr="00B24C29">
        <w:rPr>
          <w:sz w:val="28"/>
          <w:szCs w:val="28"/>
          <w:lang w:val="es-ES_tradnl"/>
        </w:rPr>
        <w:t xml:space="preserve">fue resuelta </w:t>
      </w:r>
      <w:r w:rsidR="002B6091" w:rsidRPr="00B24C29">
        <w:rPr>
          <w:sz w:val="28"/>
          <w:szCs w:val="28"/>
          <w:lang w:val="es-ES_tradnl"/>
        </w:rPr>
        <w:t xml:space="preserve">hasta el 30 de mayo </w:t>
      </w:r>
      <w:r w:rsidR="00947E88" w:rsidRPr="00B24C29">
        <w:rPr>
          <w:sz w:val="28"/>
          <w:szCs w:val="28"/>
          <w:lang w:val="es-ES_tradnl"/>
        </w:rPr>
        <w:t>de 2019</w:t>
      </w:r>
      <w:r w:rsidR="00026121" w:rsidRPr="00B24C29">
        <w:rPr>
          <w:sz w:val="28"/>
          <w:szCs w:val="28"/>
          <w:lang w:val="es-ES_tradnl"/>
        </w:rPr>
        <w:t xml:space="preserve"> y a las múltiples dificultades suscitadas con ocasión del impedimento presentado por la magistrada ponente, que no fue aceptado por la Sala Plena de la Corte, y por la suspensión de términos producida por las medidas de emergencia sanitaria </w:t>
      </w:r>
      <w:r w:rsidR="00026121" w:rsidRPr="003A28CD">
        <w:rPr>
          <w:sz w:val="28"/>
          <w:szCs w:val="28"/>
          <w:lang w:val="es-ES_tradnl"/>
        </w:rPr>
        <w:t>ocasionadas por el</w:t>
      </w:r>
      <w:r w:rsidR="00B24C29" w:rsidRPr="003A28CD">
        <w:rPr>
          <w:sz w:val="28"/>
          <w:szCs w:val="28"/>
          <w:lang w:val="es-ES_tradnl"/>
        </w:rPr>
        <w:t xml:space="preserve"> COVID-19</w:t>
      </w:r>
      <w:r w:rsidR="00947E88" w:rsidRPr="003A28CD">
        <w:rPr>
          <w:sz w:val="28"/>
          <w:szCs w:val="28"/>
          <w:lang w:val="es-ES_tradnl"/>
        </w:rPr>
        <w:t xml:space="preserve">. </w:t>
      </w:r>
    </w:p>
    <w:p w14:paraId="38C4509A" w14:textId="77777777" w:rsidR="00281182" w:rsidRPr="003A28CD" w:rsidRDefault="00281182" w:rsidP="0099084B">
      <w:pPr>
        <w:pStyle w:val="NormalWeb"/>
        <w:tabs>
          <w:tab w:val="left" w:pos="284"/>
          <w:tab w:val="left" w:pos="426"/>
        </w:tabs>
        <w:spacing w:before="0" w:beforeAutospacing="0" w:after="0" w:afterAutospacing="0" w:line="276" w:lineRule="auto"/>
        <w:ind w:right="40"/>
        <w:jc w:val="both"/>
        <w:rPr>
          <w:b/>
          <w:bCs/>
          <w:i/>
          <w:iCs/>
          <w:sz w:val="28"/>
          <w:szCs w:val="28"/>
        </w:rPr>
      </w:pPr>
    </w:p>
    <w:p w14:paraId="5E54E98D" w14:textId="77777777" w:rsidR="00281182" w:rsidRPr="003A28CD" w:rsidRDefault="00281182" w:rsidP="00CF6A36">
      <w:pPr>
        <w:pStyle w:val="NormalWeb"/>
        <w:tabs>
          <w:tab w:val="left" w:pos="284"/>
          <w:tab w:val="left" w:pos="426"/>
        </w:tabs>
        <w:spacing w:before="0" w:beforeAutospacing="0" w:after="0" w:afterAutospacing="0"/>
        <w:ind w:right="40"/>
        <w:jc w:val="both"/>
        <w:rPr>
          <w:b/>
          <w:bCs/>
          <w:i/>
          <w:iCs/>
          <w:sz w:val="28"/>
          <w:szCs w:val="28"/>
        </w:rPr>
      </w:pPr>
      <w:r w:rsidRPr="003A28CD">
        <w:rPr>
          <w:b/>
          <w:bCs/>
          <w:i/>
          <w:iCs/>
          <w:sz w:val="28"/>
          <w:szCs w:val="28"/>
        </w:rPr>
        <w:t>Identificación razonable de los hechos y constatación de que no se trata de un</w:t>
      </w:r>
      <w:r w:rsidR="001A4B7E" w:rsidRPr="003A28CD">
        <w:rPr>
          <w:b/>
          <w:bCs/>
          <w:i/>
          <w:iCs/>
          <w:sz w:val="28"/>
          <w:szCs w:val="28"/>
        </w:rPr>
        <w:t>a solicitud de</w:t>
      </w:r>
      <w:r w:rsidR="00D7126F" w:rsidRPr="003A28CD">
        <w:rPr>
          <w:b/>
          <w:bCs/>
          <w:i/>
          <w:iCs/>
          <w:sz w:val="28"/>
          <w:szCs w:val="28"/>
        </w:rPr>
        <w:t xml:space="preserve"> amparo</w:t>
      </w:r>
      <w:r w:rsidRPr="003A28CD">
        <w:rPr>
          <w:b/>
          <w:bCs/>
          <w:i/>
          <w:iCs/>
          <w:sz w:val="28"/>
          <w:szCs w:val="28"/>
        </w:rPr>
        <w:t xml:space="preserve"> contra </w:t>
      </w:r>
      <w:r w:rsidR="00271E4B" w:rsidRPr="003A28CD">
        <w:rPr>
          <w:b/>
          <w:bCs/>
          <w:i/>
          <w:iCs/>
          <w:sz w:val="28"/>
          <w:szCs w:val="28"/>
        </w:rPr>
        <w:t>una</w:t>
      </w:r>
      <w:r w:rsidRPr="003A28CD">
        <w:rPr>
          <w:b/>
          <w:bCs/>
          <w:i/>
          <w:iCs/>
          <w:sz w:val="28"/>
          <w:szCs w:val="28"/>
        </w:rPr>
        <w:t xml:space="preserve"> sentencia de tutela</w:t>
      </w:r>
    </w:p>
    <w:p w14:paraId="7A90BC9B" w14:textId="77777777" w:rsidR="00281182" w:rsidRPr="003A28CD" w:rsidRDefault="00281182" w:rsidP="0099084B">
      <w:pPr>
        <w:pStyle w:val="Prrafodelista"/>
        <w:spacing w:line="276" w:lineRule="auto"/>
        <w:ind w:left="0"/>
        <w:rPr>
          <w:b/>
          <w:bCs/>
          <w:i/>
          <w:iCs/>
          <w:szCs w:val="28"/>
        </w:rPr>
      </w:pPr>
    </w:p>
    <w:p w14:paraId="1DA08637" w14:textId="77777777" w:rsidR="00D33DE5" w:rsidRPr="003A28CD" w:rsidRDefault="00281182" w:rsidP="008067A6">
      <w:pPr>
        <w:pStyle w:val="NormalWeb"/>
        <w:numPr>
          <w:ilvl w:val="0"/>
          <w:numId w:val="10"/>
        </w:numPr>
        <w:shd w:val="clear" w:color="auto" w:fill="FFFFFF"/>
        <w:tabs>
          <w:tab w:val="left" w:pos="284"/>
          <w:tab w:val="left" w:pos="426"/>
        </w:tabs>
        <w:spacing w:before="0" w:beforeAutospacing="0" w:after="0" w:afterAutospacing="0"/>
        <w:ind w:right="40"/>
        <w:jc w:val="both"/>
        <w:rPr>
          <w:rFonts w:ascii="Calibri" w:hAnsi="Calibri"/>
          <w:i/>
          <w:sz w:val="28"/>
          <w:szCs w:val="28"/>
        </w:rPr>
      </w:pPr>
      <w:r w:rsidRPr="003A28CD">
        <w:rPr>
          <w:sz w:val="28"/>
          <w:szCs w:val="28"/>
        </w:rPr>
        <w:t xml:space="preserve">Como se mencionó con anterioridad, </w:t>
      </w:r>
      <w:r w:rsidR="00EC0E2F" w:rsidRPr="003A28CD">
        <w:rPr>
          <w:sz w:val="28"/>
          <w:szCs w:val="28"/>
        </w:rPr>
        <w:t xml:space="preserve">otro de los requisitos </w:t>
      </w:r>
      <w:r w:rsidR="00CF6A36" w:rsidRPr="003A28CD">
        <w:rPr>
          <w:sz w:val="28"/>
          <w:szCs w:val="28"/>
        </w:rPr>
        <w:t xml:space="preserve">generales de procedibilidad </w:t>
      </w:r>
      <w:r w:rsidR="00EC0E2F" w:rsidRPr="003A28CD">
        <w:rPr>
          <w:sz w:val="28"/>
          <w:szCs w:val="28"/>
        </w:rPr>
        <w:t xml:space="preserve">exigibles en estos casos es que la </w:t>
      </w:r>
      <w:r w:rsidR="003A28CD">
        <w:rPr>
          <w:sz w:val="28"/>
          <w:szCs w:val="28"/>
        </w:rPr>
        <w:t>accionante</w:t>
      </w:r>
      <w:r w:rsidR="00D33DE5" w:rsidRPr="003A28CD">
        <w:rPr>
          <w:i/>
          <w:iCs/>
          <w:sz w:val="28"/>
          <w:szCs w:val="28"/>
        </w:rPr>
        <w:t xml:space="preserve"> </w:t>
      </w:r>
      <w:r w:rsidR="00EC0E2F" w:rsidRPr="003A28CD">
        <w:rPr>
          <w:i/>
          <w:iCs/>
          <w:sz w:val="28"/>
          <w:szCs w:val="28"/>
        </w:rPr>
        <w:t>“</w:t>
      </w:r>
      <w:r w:rsidR="00D33DE5" w:rsidRPr="003A28CD">
        <w:rPr>
          <w:bCs/>
          <w:i/>
          <w:iCs/>
          <w:sz w:val="28"/>
          <w:szCs w:val="28"/>
        </w:rPr>
        <w:t xml:space="preserve">identifique de manera razonable </w:t>
      </w:r>
      <w:r w:rsidR="00C22371" w:rsidRPr="003A28CD">
        <w:rPr>
          <w:bCs/>
          <w:i/>
          <w:iCs/>
          <w:sz w:val="28"/>
          <w:szCs w:val="28"/>
        </w:rPr>
        <w:t>[…]</w:t>
      </w:r>
      <w:r w:rsidR="00D33DE5" w:rsidRPr="003A28CD">
        <w:rPr>
          <w:bCs/>
          <w:i/>
          <w:iCs/>
          <w:sz w:val="28"/>
          <w:szCs w:val="28"/>
        </w:rPr>
        <w:t xml:space="preserve"> los hechos que generaron la vulneración como los derechos vulnerados y que hubiere alegado tal vulneración en el proceso judicial siempre que esto hubiere sido posible</w:t>
      </w:r>
      <w:r w:rsidR="00CF6A36" w:rsidRPr="003A28CD">
        <w:rPr>
          <w:bCs/>
          <w:i/>
          <w:iCs/>
          <w:sz w:val="28"/>
          <w:szCs w:val="28"/>
        </w:rPr>
        <w:t>”</w:t>
      </w:r>
      <w:r w:rsidR="00D33DE5" w:rsidRPr="003A28CD">
        <w:rPr>
          <w:rStyle w:val="Refdenotaalpie"/>
          <w:i/>
          <w:iCs/>
          <w:sz w:val="28"/>
          <w:szCs w:val="28"/>
        </w:rPr>
        <w:footnoteReference w:id="106"/>
      </w:r>
      <w:r w:rsidR="00C22371" w:rsidRPr="003A28CD">
        <w:rPr>
          <w:i/>
          <w:iCs/>
          <w:sz w:val="28"/>
          <w:szCs w:val="28"/>
        </w:rPr>
        <w:t xml:space="preserve">, </w:t>
      </w:r>
      <w:r w:rsidR="00CF6A36" w:rsidRPr="003A28CD">
        <w:rPr>
          <w:sz w:val="28"/>
          <w:szCs w:val="28"/>
        </w:rPr>
        <w:t>con el fin de favorecer el debate sobre los motivos del reproche</w:t>
      </w:r>
      <w:r w:rsidR="003A28CD">
        <w:rPr>
          <w:sz w:val="28"/>
          <w:szCs w:val="28"/>
        </w:rPr>
        <w:t xml:space="preserve"> y definir los problemas jurídicos que centrarán el análisis</w:t>
      </w:r>
      <w:r w:rsidR="00EB2282" w:rsidRPr="003A28CD">
        <w:rPr>
          <w:sz w:val="28"/>
          <w:szCs w:val="28"/>
        </w:rPr>
        <w:t xml:space="preserve"> </w:t>
      </w:r>
      <w:r w:rsidR="003A28CD">
        <w:rPr>
          <w:sz w:val="28"/>
          <w:szCs w:val="28"/>
        </w:rPr>
        <w:t xml:space="preserve">jurídico </w:t>
      </w:r>
      <w:r w:rsidR="00D33DE5" w:rsidRPr="003A28CD">
        <w:rPr>
          <w:sz w:val="28"/>
          <w:szCs w:val="28"/>
        </w:rPr>
        <w:t>al interior del proceso</w:t>
      </w:r>
      <w:r w:rsidR="00CF6A36" w:rsidRPr="003A28CD">
        <w:rPr>
          <w:sz w:val="28"/>
          <w:szCs w:val="28"/>
        </w:rPr>
        <w:t xml:space="preserve"> correspondiente.</w:t>
      </w:r>
    </w:p>
    <w:p w14:paraId="3249A1DB" w14:textId="77777777" w:rsidR="00CF6A36" w:rsidRPr="003A28CD" w:rsidRDefault="00CF6A36" w:rsidP="008067A6">
      <w:pPr>
        <w:pStyle w:val="NormalWeb"/>
        <w:shd w:val="clear" w:color="auto" w:fill="FFFFFF"/>
        <w:tabs>
          <w:tab w:val="left" w:pos="284"/>
          <w:tab w:val="left" w:pos="426"/>
        </w:tabs>
        <w:spacing w:before="0" w:beforeAutospacing="0" w:after="0" w:afterAutospacing="0"/>
        <w:ind w:right="40"/>
        <w:jc w:val="both"/>
        <w:rPr>
          <w:rFonts w:ascii="Calibri" w:hAnsi="Calibri"/>
          <w:i/>
          <w:sz w:val="28"/>
          <w:szCs w:val="28"/>
        </w:rPr>
      </w:pPr>
    </w:p>
    <w:p w14:paraId="4DD31909" w14:textId="77777777" w:rsidR="00CF6A36" w:rsidRPr="003A28CD" w:rsidRDefault="00CF6A36" w:rsidP="008067A6">
      <w:pPr>
        <w:pStyle w:val="NormalWeb"/>
        <w:numPr>
          <w:ilvl w:val="0"/>
          <w:numId w:val="10"/>
        </w:numPr>
        <w:shd w:val="clear" w:color="auto" w:fill="FFFFFF"/>
        <w:tabs>
          <w:tab w:val="left" w:pos="284"/>
          <w:tab w:val="left" w:pos="426"/>
        </w:tabs>
        <w:spacing w:before="0" w:beforeAutospacing="0" w:after="0" w:afterAutospacing="0"/>
        <w:ind w:right="40"/>
        <w:jc w:val="both"/>
        <w:rPr>
          <w:rFonts w:ascii="Calibri" w:hAnsi="Calibri"/>
          <w:i/>
          <w:sz w:val="28"/>
          <w:szCs w:val="28"/>
        </w:rPr>
      </w:pPr>
      <w:r w:rsidRPr="003A28CD">
        <w:rPr>
          <w:sz w:val="28"/>
          <w:szCs w:val="28"/>
          <w:lang w:val="es-ES_tradnl"/>
        </w:rPr>
        <w:t xml:space="preserve">En el caso </w:t>
      </w:r>
      <w:r w:rsidRPr="003A28CD">
        <w:rPr>
          <w:i/>
          <w:sz w:val="28"/>
          <w:szCs w:val="28"/>
          <w:lang w:val="es-ES_tradnl"/>
        </w:rPr>
        <w:t>sub examine</w:t>
      </w:r>
      <w:r w:rsidRPr="003A28CD">
        <w:rPr>
          <w:sz w:val="28"/>
          <w:szCs w:val="28"/>
          <w:lang w:val="es-ES_tradnl"/>
        </w:rPr>
        <w:t>, la Sala entiende que el cuestionamiento</w:t>
      </w:r>
      <w:r w:rsidR="008067A6" w:rsidRPr="003A28CD">
        <w:rPr>
          <w:sz w:val="28"/>
          <w:szCs w:val="28"/>
          <w:lang w:val="es-ES_tradnl"/>
        </w:rPr>
        <w:t xml:space="preserve"> propuesto en la tutela</w:t>
      </w:r>
      <w:r w:rsidRPr="003A28CD">
        <w:rPr>
          <w:sz w:val="28"/>
          <w:szCs w:val="28"/>
          <w:lang w:val="es-ES_tradnl"/>
        </w:rPr>
        <w:t xml:space="preserve"> sobre el alcance del artículo 257A de la Carta</w:t>
      </w:r>
      <w:r w:rsidR="003A28CD">
        <w:rPr>
          <w:sz w:val="28"/>
          <w:szCs w:val="28"/>
          <w:lang w:val="es-ES_tradnl"/>
        </w:rPr>
        <w:t>, la posible aplicación del artículo 126 superior en este asunto</w:t>
      </w:r>
      <w:r w:rsidRPr="003A28CD">
        <w:rPr>
          <w:sz w:val="28"/>
          <w:szCs w:val="28"/>
          <w:lang w:val="es-ES_tradnl"/>
        </w:rPr>
        <w:t xml:space="preserve"> y</w:t>
      </w:r>
      <w:r w:rsidR="00EB2282" w:rsidRPr="003A28CD">
        <w:rPr>
          <w:sz w:val="28"/>
          <w:szCs w:val="28"/>
          <w:lang w:val="es-ES_tradnl"/>
        </w:rPr>
        <w:t xml:space="preserve"> sobre</w:t>
      </w:r>
      <w:r w:rsidRPr="003A28CD">
        <w:rPr>
          <w:sz w:val="28"/>
          <w:szCs w:val="28"/>
          <w:lang w:val="es-ES_tradnl"/>
        </w:rPr>
        <w:t xml:space="preserve"> las presuntas competencias asignadas por la Constitución al CSJ en materia de la regulación de la convocatoria pública necesaria</w:t>
      </w:r>
      <w:r w:rsidR="00D30F19" w:rsidRPr="003A28CD">
        <w:rPr>
          <w:sz w:val="28"/>
          <w:szCs w:val="28"/>
          <w:lang w:val="es-ES_tradnl"/>
        </w:rPr>
        <w:t xml:space="preserve"> para configurar la CNDJ, son hechos que se discutieron y que fueron objeto del debate a través del medio de control de nulidad por inconstitucionalidad</w:t>
      </w:r>
      <w:r w:rsidR="008067A6" w:rsidRPr="003A28CD">
        <w:rPr>
          <w:sz w:val="28"/>
          <w:szCs w:val="28"/>
          <w:lang w:val="es-ES_tradnl"/>
        </w:rPr>
        <w:t xml:space="preserve">. Por lo tanto, </w:t>
      </w:r>
      <w:r w:rsidR="008067A6" w:rsidRPr="003A28CD">
        <w:rPr>
          <w:bCs/>
          <w:sz w:val="28"/>
          <w:szCs w:val="28"/>
        </w:rPr>
        <w:t xml:space="preserve">las circunstancias </w:t>
      </w:r>
      <w:r w:rsidRPr="003A28CD">
        <w:rPr>
          <w:bCs/>
          <w:sz w:val="28"/>
          <w:szCs w:val="28"/>
        </w:rPr>
        <w:t>que generaron la</w:t>
      </w:r>
      <w:r w:rsidR="008067A6" w:rsidRPr="003A28CD">
        <w:rPr>
          <w:bCs/>
          <w:sz w:val="28"/>
          <w:szCs w:val="28"/>
        </w:rPr>
        <w:t xml:space="preserve"> supuesta</w:t>
      </w:r>
      <w:r w:rsidRPr="003A28CD">
        <w:rPr>
          <w:bCs/>
          <w:sz w:val="28"/>
          <w:szCs w:val="28"/>
        </w:rPr>
        <w:t xml:space="preserve"> vulneración </w:t>
      </w:r>
      <w:r w:rsidR="008067A6" w:rsidRPr="003A28CD">
        <w:rPr>
          <w:bCs/>
          <w:sz w:val="28"/>
          <w:szCs w:val="28"/>
        </w:rPr>
        <w:t xml:space="preserve">de los derechos del CSJ y su discusión en el proceso correspondiente, son exigencias que se cumplen en el caso de la referencia. </w:t>
      </w:r>
    </w:p>
    <w:p w14:paraId="36745D3D" w14:textId="77777777" w:rsidR="008067A6" w:rsidRPr="003A28CD" w:rsidRDefault="008067A6" w:rsidP="008067A6">
      <w:pPr>
        <w:pStyle w:val="Prrafodelista"/>
        <w:rPr>
          <w:rFonts w:ascii="Calibri" w:hAnsi="Calibri"/>
          <w:i/>
          <w:sz w:val="26"/>
          <w:szCs w:val="26"/>
        </w:rPr>
      </w:pPr>
    </w:p>
    <w:p w14:paraId="2929C760" w14:textId="77777777" w:rsidR="008067A6" w:rsidRPr="003A28CD" w:rsidRDefault="00946FAB" w:rsidP="001B4443">
      <w:pPr>
        <w:pStyle w:val="NormalWeb"/>
        <w:numPr>
          <w:ilvl w:val="0"/>
          <w:numId w:val="10"/>
        </w:numPr>
        <w:shd w:val="clear" w:color="auto" w:fill="FFFFFF"/>
        <w:tabs>
          <w:tab w:val="left" w:pos="426"/>
        </w:tabs>
        <w:spacing w:before="0" w:beforeAutospacing="0" w:after="0" w:afterAutospacing="0"/>
        <w:ind w:right="40"/>
        <w:jc w:val="both"/>
        <w:rPr>
          <w:i/>
          <w:sz w:val="28"/>
          <w:szCs w:val="28"/>
        </w:rPr>
      </w:pPr>
      <w:r w:rsidRPr="003A28CD">
        <w:rPr>
          <w:iCs/>
          <w:sz w:val="28"/>
          <w:szCs w:val="28"/>
        </w:rPr>
        <w:t xml:space="preserve">Aunado a lo anterior, la </w:t>
      </w:r>
      <w:r w:rsidR="00D036B7" w:rsidRPr="003A28CD">
        <w:rPr>
          <w:iCs/>
          <w:sz w:val="28"/>
          <w:szCs w:val="28"/>
        </w:rPr>
        <w:t>providencia</w:t>
      </w:r>
      <w:r w:rsidRPr="003A28CD">
        <w:rPr>
          <w:iCs/>
          <w:sz w:val="28"/>
          <w:szCs w:val="28"/>
        </w:rPr>
        <w:t xml:space="preserve"> objeto d</w:t>
      </w:r>
      <w:r w:rsidR="00D7126F" w:rsidRPr="003A28CD">
        <w:rPr>
          <w:iCs/>
          <w:sz w:val="28"/>
          <w:szCs w:val="28"/>
        </w:rPr>
        <w:t xml:space="preserve">e análisis no </w:t>
      </w:r>
      <w:r w:rsidR="008853E0" w:rsidRPr="003A28CD">
        <w:rPr>
          <w:iCs/>
          <w:sz w:val="28"/>
          <w:szCs w:val="28"/>
        </w:rPr>
        <w:t xml:space="preserve">es </w:t>
      </w:r>
      <w:r w:rsidR="00D036B7" w:rsidRPr="003A28CD">
        <w:rPr>
          <w:iCs/>
          <w:sz w:val="28"/>
          <w:szCs w:val="28"/>
        </w:rPr>
        <w:t xml:space="preserve">tampoco </w:t>
      </w:r>
      <w:r w:rsidR="00D7126F" w:rsidRPr="003A28CD">
        <w:rPr>
          <w:iCs/>
          <w:sz w:val="28"/>
          <w:szCs w:val="28"/>
        </w:rPr>
        <w:t xml:space="preserve">una sentencia de tutela, </w:t>
      </w:r>
      <w:r w:rsidR="00D036B7" w:rsidRPr="003A28CD">
        <w:rPr>
          <w:iCs/>
          <w:sz w:val="28"/>
          <w:szCs w:val="28"/>
        </w:rPr>
        <w:t xml:space="preserve">por lo que </w:t>
      </w:r>
      <w:r w:rsidR="00D7126F" w:rsidRPr="003A28CD">
        <w:rPr>
          <w:iCs/>
          <w:sz w:val="28"/>
          <w:szCs w:val="28"/>
        </w:rPr>
        <w:t xml:space="preserve">se cumple a su vez, </w:t>
      </w:r>
      <w:r w:rsidR="00D036B7" w:rsidRPr="003A28CD">
        <w:rPr>
          <w:iCs/>
          <w:sz w:val="28"/>
          <w:szCs w:val="28"/>
        </w:rPr>
        <w:t xml:space="preserve">con esa </w:t>
      </w:r>
      <w:r w:rsidR="008853E0" w:rsidRPr="003A28CD">
        <w:rPr>
          <w:iCs/>
          <w:sz w:val="28"/>
          <w:szCs w:val="28"/>
        </w:rPr>
        <w:t xml:space="preserve">última </w:t>
      </w:r>
      <w:r w:rsidR="00D7126F" w:rsidRPr="003A28CD">
        <w:rPr>
          <w:iCs/>
          <w:sz w:val="28"/>
          <w:szCs w:val="28"/>
        </w:rPr>
        <w:t xml:space="preserve">exigencia de procedibilidad general. </w:t>
      </w:r>
      <w:r w:rsidRPr="003A28CD">
        <w:rPr>
          <w:iCs/>
          <w:sz w:val="28"/>
          <w:szCs w:val="28"/>
        </w:rPr>
        <w:t xml:space="preserve"> </w:t>
      </w:r>
    </w:p>
    <w:p w14:paraId="42D27C06" w14:textId="77777777" w:rsidR="00D33DE5" w:rsidRPr="003A28CD" w:rsidRDefault="00D33DE5" w:rsidP="0099084B">
      <w:pPr>
        <w:pStyle w:val="NormalWeb"/>
        <w:tabs>
          <w:tab w:val="left" w:pos="284"/>
          <w:tab w:val="left" w:pos="426"/>
        </w:tabs>
        <w:spacing w:before="0" w:beforeAutospacing="0" w:after="0" w:afterAutospacing="0" w:line="276" w:lineRule="auto"/>
        <w:ind w:right="40"/>
        <w:jc w:val="both"/>
        <w:rPr>
          <w:b/>
          <w:bCs/>
          <w:i/>
          <w:iCs/>
          <w:sz w:val="28"/>
          <w:szCs w:val="28"/>
        </w:rPr>
      </w:pPr>
    </w:p>
    <w:p w14:paraId="1FECDD54" w14:textId="77777777" w:rsidR="002960FF" w:rsidRPr="003A28CD" w:rsidRDefault="002960FF" w:rsidP="00102313">
      <w:pPr>
        <w:pStyle w:val="NormalWeb"/>
        <w:tabs>
          <w:tab w:val="left" w:pos="426"/>
        </w:tabs>
        <w:spacing w:before="0" w:beforeAutospacing="0" w:after="0" w:afterAutospacing="0"/>
        <w:ind w:right="40"/>
        <w:jc w:val="both"/>
        <w:rPr>
          <w:b/>
          <w:bCs/>
          <w:sz w:val="28"/>
          <w:szCs w:val="28"/>
          <w:lang w:val="es-ES_tradnl"/>
        </w:rPr>
      </w:pPr>
      <w:r w:rsidRPr="003A28CD">
        <w:rPr>
          <w:b/>
          <w:bCs/>
          <w:sz w:val="28"/>
          <w:szCs w:val="28"/>
          <w:lang w:val="es-ES_tradnl"/>
        </w:rPr>
        <w:t xml:space="preserve">Consideraciones </w:t>
      </w:r>
      <w:r w:rsidR="008853E0" w:rsidRPr="003A28CD">
        <w:rPr>
          <w:b/>
          <w:bCs/>
          <w:sz w:val="28"/>
          <w:szCs w:val="28"/>
          <w:lang w:val="es-ES_tradnl"/>
        </w:rPr>
        <w:t>particulares</w:t>
      </w:r>
      <w:r w:rsidRPr="003A28CD">
        <w:rPr>
          <w:b/>
          <w:bCs/>
          <w:sz w:val="28"/>
          <w:szCs w:val="28"/>
          <w:lang w:val="es-ES_tradnl"/>
        </w:rPr>
        <w:t xml:space="preserve"> de</w:t>
      </w:r>
      <w:r w:rsidR="00694DFD" w:rsidRPr="003A28CD">
        <w:rPr>
          <w:b/>
          <w:bCs/>
          <w:sz w:val="28"/>
          <w:szCs w:val="28"/>
          <w:lang w:val="es-ES_tradnl"/>
        </w:rPr>
        <w:t xml:space="preserve"> </w:t>
      </w:r>
      <w:r w:rsidRPr="003A28CD">
        <w:rPr>
          <w:b/>
          <w:bCs/>
          <w:sz w:val="28"/>
          <w:szCs w:val="28"/>
          <w:lang w:val="es-ES_tradnl"/>
        </w:rPr>
        <w:t>procedencia</w:t>
      </w:r>
      <w:r w:rsidR="004E448F" w:rsidRPr="003A28CD">
        <w:rPr>
          <w:b/>
          <w:bCs/>
          <w:sz w:val="28"/>
          <w:szCs w:val="28"/>
          <w:lang w:val="es-ES_tradnl"/>
        </w:rPr>
        <w:t xml:space="preserve"> de la tutela contra sentencias de nulidad por inconstitucionalidad</w:t>
      </w:r>
    </w:p>
    <w:p w14:paraId="5CF3AF9D" w14:textId="77777777" w:rsidR="002960FF" w:rsidRPr="003A28CD" w:rsidRDefault="002960FF" w:rsidP="0099084B">
      <w:pPr>
        <w:pStyle w:val="NormalWeb"/>
        <w:tabs>
          <w:tab w:val="left" w:pos="426"/>
        </w:tabs>
        <w:spacing w:before="0" w:beforeAutospacing="0" w:after="0" w:afterAutospacing="0" w:line="276" w:lineRule="auto"/>
        <w:ind w:right="40"/>
        <w:jc w:val="both"/>
        <w:rPr>
          <w:b/>
          <w:bCs/>
          <w:sz w:val="28"/>
          <w:szCs w:val="28"/>
        </w:rPr>
      </w:pPr>
    </w:p>
    <w:p w14:paraId="0BA4FA8C" w14:textId="77777777" w:rsidR="002960FF" w:rsidRPr="002E4477" w:rsidRDefault="009B1A8E" w:rsidP="00102313">
      <w:pPr>
        <w:pStyle w:val="NormalWeb"/>
        <w:tabs>
          <w:tab w:val="left" w:pos="426"/>
        </w:tabs>
        <w:spacing w:before="0" w:beforeAutospacing="0" w:after="0" w:afterAutospacing="0"/>
        <w:ind w:right="40"/>
        <w:jc w:val="both"/>
        <w:rPr>
          <w:b/>
          <w:bCs/>
          <w:i/>
          <w:sz w:val="28"/>
          <w:szCs w:val="28"/>
        </w:rPr>
      </w:pPr>
      <w:r w:rsidRPr="003A28CD">
        <w:rPr>
          <w:b/>
          <w:bCs/>
          <w:i/>
          <w:sz w:val="28"/>
          <w:szCs w:val="28"/>
        </w:rPr>
        <w:t>L</w:t>
      </w:r>
      <w:r w:rsidR="00440099" w:rsidRPr="003A28CD">
        <w:rPr>
          <w:b/>
          <w:bCs/>
          <w:i/>
          <w:sz w:val="28"/>
          <w:szCs w:val="28"/>
        </w:rPr>
        <w:t>a</w:t>
      </w:r>
      <w:r w:rsidRPr="003A28CD">
        <w:rPr>
          <w:b/>
          <w:bCs/>
          <w:i/>
          <w:sz w:val="28"/>
          <w:szCs w:val="28"/>
        </w:rPr>
        <w:t xml:space="preserve"> acción de tutela es</w:t>
      </w:r>
      <w:r w:rsidR="00440099" w:rsidRPr="003A28CD">
        <w:rPr>
          <w:b/>
          <w:bCs/>
          <w:i/>
          <w:sz w:val="28"/>
          <w:szCs w:val="28"/>
        </w:rPr>
        <w:t xml:space="preserve"> </w:t>
      </w:r>
      <w:r w:rsidR="00B34978" w:rsidRPr="003A28CD">
        <w:rPr>
          <w:b/>
          <w:bCs/>
          <w:i/>
          <w:sz w:val="28"/>
          <w:szCs w:val="28"/>
        </w:rPr>
        <w:t>im</w:t>
      </w:r>
      <w:r w:rsidR="00440099" w:rsidRPr="003A28CD">
        <w:rPr>
          <w:b/>
          <w:bCs/>
          <w:i/>
          <w:sz w:val="28"/>
          <w:szCs w:val="28"/>
        </w:rPr>
        <w:t>proceden</w:t>
      </w:r>
      <w:r w:rsidRPr="003A28CD">
        <w:rPr>
          <w:b/>
          <w:bCs/>
          <w:i/>
          <w:sz w:val="28"/>
          <w:szCs w:val="28"/>
        </w:rPr>
        <w:t>te por regla</w:t>
      </w:r>
      <w:r w:rsidR="00251489" w:rsidRPr="003A28CD">
        <w:rPr>
          <w:b/>
          <w:bCs/>
          <w:i/>
          <w:sz w:val="28"/>
          <w:szCs w:val="28"/>
        </w:rPr>
        <w:t xml:space="preserve"> general</w:t>
      </w:r>
      <w:r w:rsidR="00440099" w:rsidRPr="003A28CD">
        <w:rPr>
          <w:b/>
          <w:bCs/>
          <w:i/>
          <w:sz w:val="28"/>
          <w:szCs w:val="28"/>
        </w:rPr>
        <w:t xml:space="preserve"> </w:t>
      </w:r>
      <w:r w:rsidRPr="003A28CD">
        <w:rPr>
          <w:b/>
          <w:bCs/>
          <w:i/>
          <w:sz w:val="28"/>
          <w:szCs w:val="28"/>
        </w:rPr>
        <w:t xml:space="preserve">para controvertir sentencias proferidas por el Consejo de Estado en ejercicio del control de </w:t>
      </w:r>
      <w:r w:rsidR="00440099" w:rsidRPr="003A28CD">
        <w:rPr>
          <w:b/>
          <w:bCs/>
          <w:i/>
          <w:sz w:val="28"/>
          <w:szCs w:val="28"/>
        </w:rPr>
        <w:t>nulidad por inconstitucionalidad</w:t>
      </w:r>
      <w:r w:rsidR="008853E0" w:rsidRPr="003A28CD">
        <w:rPr>
          <w:b/>
          <w:bCs/>
          <w:i/>
          <w:sz w:val="28"/>
          <w:szCs w:val="28"/>
        </w:rPr>
        <w:t xml:space="preserve">, salvo </w:t>
      </w:r>
      <w:r w:rsidRPr="003A28CD">
        <w:rPr>
          <w:b/>
          <w:bCs/>
          <w:i/>
          <w:sz w:val="28"/>
          <w:szCs w:val="28"/>
        </w:rPr>
        <w:t>cuando el fallo dictado</w:t>
      </w:r>
      <w:r w:rsidR="00694DFD" w:rsidRPr="003A28CD">
        <w:rPr>
          <w:b/>
          <w:bCs/>
          <w:i/>
          <w:sz w:val="28"/>
          <w:szCs w:val="28"/>
        </w:rPr>
        <w:t xml:space="preserve"> por esa </w:t>
      </w:r>
      <w:r w:rsidR="003A28CD">
        <w:rPr>
          <w:b/>
          <w:bCs/>
          <w:i/>
          <w:sz w:val="28"/>
          <w:szCs w:val="28"/>
        </w:rPr>
        <w:t>C</w:t>
      </w:r>
      <w:r w:rsidR="00694DFD" w:rsidRPr="003A28CD">
        <w:rPr>
          <w:b/>
          <w:bCs/>
          <w:i/>
          <w:sz w:val="28"/>
          <w:szCs w:val="28"/>
        </w:rPr>
        <w:t xml:space="preserve">orporación </w:t>
      </w:r>
      <w:r w:rsidR="008853E0" w:rsidRPr="003A28CD">
        <w:rPr>
          <w:b/>
          <w:bCs/>
          <w:i/>
          <w:sz w:val="28"/>
          <w:szCs w:val="28"/>
        </w:rPr>
        <w:t>(i)</w:t>
      </w:r>
      <w:r w:rsidRPr="003A28CD">
        <w:rPr>
          <w:b/>
          <w:bCs/>
          <w:i/>
          <w:sz w:val="28"/>
          <w:szCs w:val="28"/>
        </w:rPr>
        <w:t xml:space="preserve"> </w:t>
      </w:r>
      <w:r w:rsidR="0099084B" w:rsidRPr="003A28CD">
        <w:rPr>
          <w:b/>
          <w:bCs/>
          <w:i/>
          <w:sz w:val="28"/>
          <w:szCs w:val="28"/>
        </w:rPr>
        <w:t>desconoce</w:t>
      </w:r>
      <w:r w:rsidR="008853E0" w:rsidRPr="003A28CD">
        <w:rPr>
          <w:b/>
          <w:bCs/>
          <w:i/>
          <w:sz w:val="28"/>
          <w:szCs w:val="28"/>
        </w:rPr>
        <w:t xml:space="preserve"> la cosa juzgada constitucional</w:t>
      </w:r>
      <w:r w:rsidRPr="003A28CD">
        <w:rPr>
          <w:b/>
          <w:bCs/>
          <w:i/>
          <w:sz w:val="28"/>
          <w:szCs w:val="28"/>
        </w:rPr>
        <w:t>;</w:t>
      </w:r>
      <w:r w:rsidR="008853E0" w:rsidRPr="003A28CD">
        <w:rPr>
          <w:b/>
          <w:bCs/>
          <w:i/>
          <w:sz w:val="28"/>
          <w:szCs w:val="28"/>
        </w:rPr>
        <w:t xml:space="preserve"> </w:t>
      </w:r>
      <w:r w:rsidRPr="003A28CD">
        <w:rPr>
          <w:b/>
          <w:bCs/>
          <w:i/>
          <w:sz w:val="28"/>
          <w:szCs w:val="28"/>
        </w:rPr>
        <w:t>o</w:t>
      </w:r>
      <w:r w:rsidR="008853E0" w:rsidRPr="003A28CD">
        <w:rPr>
          <w:b/>
          <w:bCs/>
          <w:i/>
          <w:sz w:val="28"/>
          <w:szCs w:val="28"/>
        </w:rPr>
        <w:t xml:space="preserve"> (ii) </w:t>
      </w:r>
      <w:r w:rsidRPr="003A28CD">
        <w:rPr>
          <w:b/>
          <w:bCs/>
          <w:i/>
          <w:sz w:val="28"/>
          <w:szCs w:val="28"/>
        </w:rPr>
        <w:t>su interpretación gener</w:t>
      </w:r>
      <w:r w:rsidR="00E16CFE" w:rsidRPr="003A28CD">
        <w:rPr>
          <w:b/>
          <w:bCs/>
          <w:i/>
          <w:sz w:val="28"/>
          <w:szCs w:val="28"/>
        </w:rPr>
        <w:t>a</w:t>
      </w:r>
      <w:r w:rsidRPr="003A28CD">
        <w:rPr>
          <w:b/>
          <w:bCs/>
          <w:i/>
          <w:sz w:val="28"/>
          <w:szCs w:val="28"/>
        </w:rPr>
        <w:t xml:space="preserve"> un</w:t>
      </w:r>
      <w:r w:rsidR="008853E0" w:rsidRPr="003A28CD">
        <w:rPr>
          <w:b/>
          <w:bCs/>
          <w:i/>
          <w:sz w:val="28"/>
          <w:szCs w:val="28"/>
        </w:rPr>
        <w:t xml:space="preserve"> bloqueo institucional </w:t>
      </w:r>
      <w:r w:rsidR="00A45F6D">
        <w:rPr>
          <w:b/>
          <w:bCs/>
          <w:i/>
          <w:sz w:val="28"/>
          <w:szCs w:val="28"/>
        </w:rPr>
        <w:t>in</w:t>
      </w:r>
      <w:r w:rsidR="008853E0" w:rsidRPr="003A28CD">
        <w:rPr>
          <w:b/>
          <w:bCs/>
          <w:i/>
          <w:sz w:val="28"/>
          <w:szCs w:val="28"/>
        </w:rPr>
        <w:t>constitucional</w:t>
      </w:r>
      <w:r w:rsidR="007D442B" w:rsidRPr="003A28CD">
        <w:rPr>
          <w:b/>
          <w:bCs/>
          <w:i/>
          <w:sz w:val="28"/>
          <w:szCs w:val="28"/>
        </w:rPr>
        <w:t>, como ocurre en este caso</w:t>
      </w:r>
    </w:p>
    <w:p w14:paraId="532C7E89" w14:textId="77777777" w:rsidR="00C3342E" w:rsidRPr="002E4477" w:rsidRDefault="00C3342E" w:rsidP="0099084B">
      <w:pPr>
        <w:pStyle w:val="NormalWeb"/>
        <w:tabs>
          <w:tab w:val="left" w:pos="426"/>
        </w:tabs>
        <w:spacing w:before="0" w:beforeAutospacing="0" w:after="0" w:afterAutospacing="0" w:line="276" w:lineRule="auto"/>
        <w:ind w:right="40"/>
        <w:jc w:val="both"/>
        <w:rPr>
          <w:b/>
          <w:bCs/>
          <w:i/>
          <w:iCs/>
          <w:sz w:val="28"/>
          <w:szCs w:val="28"/>
          <w:lang w:val="es-ES_tradnl"/>
        </w:rPr>
      </w:pPr>
    </w:p>
    <w:p w14:paraId="6CFF3804" w14:textId="77777777" w:rsidR="00A07B58" w:rsidRPr="002E4477" w:rsidRDefault="00AA2CE8" w:rsidP="00662BDC">
      <w:pPr>
        <w:pStyle w:val="NormalWeb"/>
        <w:numPr>
          <w:ilvl w:val="0"/>
          <w:numId w:val="10"/>
        </w:numPr>
        <w:tabs>
          <w:tab w:val="left" w:pos="284"/>
        </w:tabs>
        <w:spacing w:before="0" w:beforeAutospacing="0" w:after="0" w:afterAutospacing="0"/>
        <w:ind w:right="40"/>
        <w:jc w:val="both"/>
        <w:rPr>
          <w:sz w:val="28"/>
          <w:szCs w:val="28"/>
        </w:rPr>
      </w:pPr>
      <w:r w:rsidRPr="002E4477">
        <w:rPr>
          <w:sz w:val="28"/>
          <w:szCs w:val="28"/>
        </w:rPr>
        <w:t xml:space="preserve">La Corte Constitucional en la </w:t>
      </w:r>
      <w:r w:rsidR="002429C4" w:rsidRPr="002E4477">
        <w:rPr>
          <w:b/>
          <w:sz w:val="28"/>
          <w:szCs w:val="28"/>
        </w:rPr>
        <w:t>S</w:t>
      </w:r>
      <w:r w:rsidRPr="002E4477">
        <w:rPr>
          <w:b/>
          <w:sz w:val="28"/>
          <w:szCs w:val="28"/>
        </w:rPr>
        <w:t>entencia SU-391 de 2016</w:t>
      </w:r>
      <w:r w:rsidR="00B34978" w:rsidRPr="002E4477">
        <w:rPr>
          <w:rStyle w:val="Refdenotaalpie"/>
          <w:b/>
          <w:sz w:val="28"/>
          <w:szCs w:val="28"/>
        </w:rPr>
        <w:footnoteReference w:id="107"/>
      </w:r>
      <w:r w:rsidRPr="002E4477">
        <w:rPr>
          <w:sz w:val="28"/>
          <w:szCs w:val="28"/>
        </w:rPr>
        <w:t xml:space="preserve">, </w:t>
      </w:r>
      <w:r w:rsidR="00D2224B" w:rsidRPr="002E4477">
        <w:rPr>
          <w:sz w:val="28"/>
          <w:szCs w:val="28"/>
        </w:rPr>
        <w:t xml:space="preserve">analizó una acción de tutela </w:t>
      </w:r>
      <w:r w:rsidR="005A6965" w:rsidRPr="002E4477">
        <w:rPr>
          <w:sz w:val="28"/>
          <w:szCs w:val="28"/>
        </w:rPr>
        <w:t xml:space="preserve">relacionada con un </w:t>
      </w:r>
      <w:r w:rsidR="00D2224B" w:rsidRPr="002E4477">
        <w:rPr>
          <w:sz w:val="28"/>
          <w:szCs w:val="28"/>
        </w:rPr>
        <w:t>ciudadano que había detentado el cargo de magistrado del Consejo de Estado,</w:t>
      </w:r>
      <w:r w:rsidR="005A6965" w:rsidRPr="002E4477">
        <w:rPr>
          <w:sz w:val="28"/>
          <w:szCs w:val="28"/>
        </w:rPr>
        <w:t xml:space="preserve"> quien</w:t>
      </w:r>
      <w:r w:rsidR="00D2224B" w:rsidRPr="002E4477">
        <w:rPr>
          <w:sz w:val="28"/>
          <w:szCs w:val="28"/>
        </w:rPr>
        <w:t xml:space="preserve"> alegaba </w:t>
      </w:r>
      <w:r w:rsidR="00D2224B" w:rsidRPr="002E4477">
        <w:rPr>
          <w:sz w:val="28"/>
          <w:szCs w:val="28"/>
          <w:shd w:val="clear" w:color="auto" w:fill="FFFFFF"/>
        </w:rPr>
        <w:t xml:space="preserve">la violación de </w:t>
      </w:r>
      <w:r w:rsidR="003A28CD">
        <w:rPr>
          <w:sz w:val="28"/>
          <w:szCs w:val="28"/>
          <w:shd w:val="clear" w:color="auto" w:fill="FFFFFF"/>
        </w:rPr>
        <w:t>sus</w:t>
      </w:r>
      <w:r w:rsidR="00D2224B" w:rsidRPr="002E4477">
        <w:rPr>
          <w:sz w:val="28"/>
          <w:szCs w:val="28"/>
          <w:shd w:val="clear" w:color="auto" w:fill="FFFFFF"/>
        </w:rPr>
        <w:t xml:space="preserve"> derechos al debido proceso y al ejercicio de funciones públicas </w:t>
      </w:r>
      <w:r w:rsidR="00FE32A0" w:rsidRPr="002E4477">
        <w:rPr>
          <w:sz w:val="28"/>
          <w:szCs w:val="28"/>
          <w:shd w:val="clear" w:color="auto" w:fill="FFFFFF"/>
        </w:rPr>
        <w:t xml:space="preserve">debido a la </w:t>
      </w:r>
      <w:r w:rsidR="005614E7" w:rsidRPr="002E4477">
        <w:rPr>
          <w:sz w:val="28"/>
          <w:szCs w:val="28"/>
          <w:shd w:val="clear" w:color="auto" w:fill="FFFFFF"/>
        </w:rPr>
        <w:t xml:space="preserve">aplicación </w:t>
      </w:r>
      <w:r w:rsidR="005A6965" w:rsidRPr="002E4477">
        <w:rPr>
          <w:sz w:val="28"/>
          <w:szCs w:val="28"/>
          <w:shd w:val="clear" w:color="auto" w:fill="FFFFFF"/>
        </w:rPr>
        <w:t xml:space="preserve">del </w:t>
      </w:r>
      <w:r w:rsidR="00D2224B" w:rsidRPr="002E4477">
        <w:rPr>
          <w:sz w:val="28"/>
          <w:szCs w:val="28"/>
          <w:shd w:val="clear" w:color="auto" w:fill="FFFFFF"/>
        </w:rPr>
        <w:t>criterio de edad de 65 años para el retiro forzoso</w:t>
      </w:r>
      <w:r w:rsidR="00F014DD" w:rsidRPr="002E4477">
        <w:rPr>
          <w:sz w:val="28"/>
          <w:szCs w:val="28"/>
          <w:shd w:val="clear" w:color="auto" w:fill="FFFFFF"/>
        </w:rPr>
        <w:t>,</w:t>
      </w:r>
      <w:r w:rsidR="00D2224B" w:rsidRPr="002E4477">
        <w:rPr>
          <w:sz w:val="28"/>
          <w:szCs w:val="28"/>
          <w:shd w:val="clear" w:color="auto" w:fill="FFFFFF"/>
        </w:rPr>
        <w:t xml:space="preserve"> porque según el actor</w:t>
      </w:r>
      <w:r w:rsidR="005A6965" w:rsidRPr="002E4477">
        <w:rPr>
          <w:sz w:val="28"/>
          <w:szCs w:val="28"/>
          <w:shd w:val="clear" w:color="auto" w:fill="FFFFFF"/>
        </w:rPr>
        <w:t>,</w:t>
      </w:r>
      <w:r w:rsidR="00D2224B" w:rsidRPr="002E4477">
        <w:rPr>
          <w:sz w:val="28"/>
          <w:szCs w:val="28"/>
          <w:shd w:val="clear" w:color="auto" w:fill="FFFFFF"/>
        </w:rPr>
        <w:t xml:space="preserve"> </w:t>
      </w:r>
      <w:r w:rsidR="005A6965" w:rsidRPr="002E4477">
        <w:rPr>
          <w:sz w:val="28"/>
          <w:szCs w:val="28"/>
          <w:shd w:val="clear" w:color="auto" w:fill="FFFFFF"/>
        </w:rPr>
        <w:t>ante</w:t>
      </w:r>
      <w:r w:rsidR="00D2224B" w:rsidRPr="002E4477">
        <w:rPr>
          <w:sz w:val="28"/>
          <w:szCs w:val="28"/>
          <w:shd w:val="clear" w:color="auto" w:fill="FFFFFF"/>
        </w:rPr>
        <w:t xml:space="preserve"> un fallido intento de acto legislativo</w:t>
      </w:r>
      <w:r w:rsidR="00FE32A0" w:rsidRPr="002E4477">
        <w:rPr>
          <w:sz w:val="28"/>
          <w:szCs w:val="28"/>
          <w:shd w:val="clear" w:color="auto" w:fill="FFFFFF"/>
        </w:rPr>
        <w:t xml:space="preserve"> para extender</w:t>
      </w:r>
      <w:r w:rsidR="00D2224B" w:rsidRPr="002E4477">
        <w:rPr>
          <w:sz w:val="28"/>
          <w:szCs w:val="28"/>
          <w:shd w:val="clear" w:color="auto" w:fill="FFFFFF"/>
        </w:rPr>
        <w:t xml:space="preserve"> el término laboral a 70 años, acciones </w:t>
      </w:r>
      <w:r w:rsidR="005A6965" w:rsidRPr="002E4477">
        <w:rPr>
          <w:sz w:val="28"/>
          <w:szCs w:val="28"/>
          <w:shd w:val="clear" w:color="auto" w:fill="FFFFFF"/>
        </w:rPr>
        <w:t>“</w:t>
      </w:r>
      <w:r w:rsidR="00D2224B" w:rsidRPr="002E4477">
        <w:rPr>
          <w:sz w:val="28"/>
          <w:szCs w:val="28"/>
          <w:shd w:val="clear" w:color="auto" w:fill="FFFFFF"/>
        </w:rPr>
        <w:t>ilegales</w:t>
      </w:r>
      <w:r w:rsidR="005A6965" w:rsidRPr="002E4477">
        <w:rPr>
          <w:sz w:val="28"/>
          <w:szCs w:val="28"/>
          <w:shd w:val="clear" w:color="auto" w:fill="FFFFFF"/>
        </w:rPr>
        <w:t>”</w:t>
      </w:r>
      <w:r w:rsidR="00D2224B" w:rsidRPr="002E4477">
        <w:rPr>
          <w:sz w:val="28"/>
          <w:szCs w:val="28"/>
          <w:shd w:val="clear" w:color="auto" w:fill="FFFFFF"/>
        </w:rPr>
        <w:t xml:space="preserve"> del Presidente de la República y del Congreso había</w:t>
      </w:r>
      <w:r w:rsidR="005A6965" w:rsidRPr="002E4477">
        <w:rPr>
          <w:sz w:val="28"/>
          <w:szCs w:val="28"/>
          <w:shd w:val="clear" w:color="auto" w:fill="FFFFFF"/>
        </w:rPr>
        <w:t>n</w:t>
      </w:r>
      <w:r w:rsidR="00D2224B" w:rsidRPr="002E4477">
        <w:rPr>
          <w:sz w:val="28"/>
          <w:szCs w:val="28"/>
          <w:shd w:val="clear" w:color="auto" w:fill="FFFFFF"/>
        </w:rPr>
        <w:t xml:space="preserve"> </w:t>
      </w:r>
      <w:r w:rsidR="00FE32A0" w:rsidRPr="002E4477">
        <w:rPr>
          <w:sz w:val="28"/>
          <w:szCs w:val="28"/>
          <w:shd w:val="clear" w:color="auto" w:fill="FFFFFF"/>
        </w:rPr>
        <w:t xml:space="preserve">facilitado </w:t>
      </w:r>
      <w:r w:rsidR="00D2224B" w:rsidRPr="002E4477">
        <w:rPr>
          <w:sz w:val="28"/>
          <w:szCs w:val="28"/>
          <w:shd w:val="clear" w:color="auto" w:fill="FFFFFF"/>
        </w:rPr>
        <w:t>el archivo de</w:t>
      </w:r>
      <w:r w:rsidR="00FE32A0" w:rsidRPr="002E4477">
        <w:rPr>
          <w:sz w:val="28"/>
          <w:szCs w:val="28"/>
          <w:shd w:val="clear" w:color="auto" w:fill="FFFFFF"/>
        </w:rPr>
        <w:t xml:space="preserve">l </w:t>
      </w:r>
      <w:r w:rsidR="00D2224B" w:rsidRPr="002E4477">
        <w:rPr>
          <w:sz w:val="28"/>
          <w:szCs w:val="28"/>
          <w:shd w:val="clear" w:color="auto" w:fill="FFFFFF"/>
        </w:rPr>
        <w:t>proyecto</w:t>
      </w:r>
      <w:r w:rsidR="002C3D42">
        <w:rPr>
          <w:sz w:val="28"/>
          <w:szCs w:val="28"/>
          <w:shd w:val="clear" w:color="auto" w:fill="FFFFFF"/>
        </w:rPr>
        <w:t xml:space="preserve"> </w:t>
      </w:r>
      <w:r w:rsidR="005A6965" w:rsidRPr="002E4477">
        <w:rPr>
          <w:sz w:val="28"/>
          <w:szCs w:val="28"/>
          <w:shd w:val="clear" w:color="auto" w:fill="FFFFFF"/>
        </w:rPr>
        <w:t>que lo favorecía.</w:t>
      </w:r>
      <w:r w:rsidR="00E463D1" w:rsidRPr="002E4477">
        <w:rPr>
          <w:sz w:val="28"/>
          <w:szCs w:val="28"/>
          <w:shd w:val="clear" w:color="auto" w:fill="FFFFFF"/>
        </w:rPr>
        <w:t xml:space="preserve"> De hecho</w:t>
      </w:r>
      <w:r w:rsidR="005A6965" w:rsidRPr="002E4477">
        <w:rPr>
          <w:sz w:val="28"/>
          <w:szCs w:val="28"/>
          <w:shd w:val="clear" w:color="auto" w:fill="FFFFFF"/>
        </w:rPr>
        <w:t xml:space="preserve">, mediante el </w:t>
      </w:r>
      <w:r w:rsidR="00D2224B" w:rsidRPr="002E4477">
        <w:rPr>
          <w:sz w:val="28"/>
          <w:szCs w:val="28"/>
          <w:shd w:val="clear" w:color="auto" w:fill="FFFFFF"/>
        </w:rPr>
        <w:t>Decreto 1351 de 2012</w:t>
      </w:r>
      <w:r w:rsidR="002429C4" w:rsidRPr="002E4477">
        <w:rPr>
          <w:sz w:val="28"/>
          <w:szCs w:val="28"/>
          <w:shd w:val="clear" w:color="auto" w:fill="FFFFFF"/>
        </w:rPr>
        <w:t>,</w:t>
      </w:r>
      <w:r w:rsidR="00D2224B" w:rsidRPr="002E4477">
        <w:rPr>
          <w:sz w:val="28"/>
          <w:szCs w:val="28"/>
          <w:shd w:val="clear" w:color="auto" w:fill="FFFFFF"/>
        </w:rPr>
        <w:t xml:space="preserve"> </w:t>
      </w:r>
      <w:r w:rsidR="005A6965" w:rsidRPr="002E4477">
        <w:rPr>
          <w:sz w:val="28"/>
          <w:szCs w:val="28"/>
          <w:shd w:val="clear" w:color="auto" w:fill="FFFFFF"/>
        </w:rPr>
        <w:t xml:space="preserve">el Presidente de la República había convocado al Congreso a sesiones extraordinarias para </w:t>
      </w:r>
      <w:bookmarkStart w:id="9" w:name="_Ref455616466"/>
      <w:r w:rsidR="005A6965" w:rsidRPr="002E4477">
        <w:rPr>
          <w:sz w:val="28"/>
          <w:szCs w:val="28"/>
          <w:shd w:val="clear" w:color="auto" w:fill="FFFFFF"/>
        </w:rPr>
        <w:t>considerar las objeciones gubernamentales al proyecto de acto legislativo</w:t>
      </w:r>
      <w:bookmarkEnd w:id="9"/>
      <w:r w:rsidR="005A6965" w:rsidRPr="002E4477">
        <w:rPr>
          <w:sz w:val="28"/>
          <w:szCs w:val="28"/>
          <w:shd w:val="clear" w:color="auto" w:fill="FFFFFF"/>
        </w:rPr>
        <w:t>, pero</w:t>
      </w:r>
      <w:r w:rsidR="00E463D1" w:rsidRPr="002E4477">
        <w:rPr>
          <w:sz w:val="28"/>
          <w:szCs w:val="28"/>
          <w:shd w:val="clear" w:color="auto" w:fill="FFFFFF"/>
        </w:rPr>
        <w:t xml:space="preserve"> ese decreto </w:t>
      </w:r>
      <w:r w:rsidR="005A6965" w:rsidRPr="002E4477">
        <w:rPr>
          <w:sz w:val="28"/>
          <w:szCs w:val="28"/>
          <w:shd w:val="clear" w:color="auto" w:fill="FFFFFF"/>
        </w:rPr>
        <w:t xml:space="preserve">fue demandado y declarado nulo por el Consejo de Estado </w:t>
      </w:r>
      <w:r w:rsidR="00FE32A0" w:rsidRPr="002E4477">
        <w:rPr>
          <w:sz w:val="28"/>
          <w:szCs w:val="28"/>
          <w:shd w:val="clear" w:color="auto" w:fill="FFFFFF"/>
        </w:rPr>
        <w:t>a través d</w:t>
      </w:r>
      <w:r w:rsidR="005A6965" w:rsidRPr="002E4477">
        <w:rPr>
          <w:sz w:val="28"/>
          <w:szCs w:val="28"/>
          <w:shd w:val="clear" w:color="auto" w:fill="FFFFFF"/>
        </w:rPr>
        <w:t xml:space="preserve">el medio de control de nulidad por inconstitucionalidad, </w:t>
      </w:r>
      <w:r w:rsidR="00E463D1" w:rsidRPr="002E4477">
        <w:rPr>
          <w:sz w:val="28"/>
          <w:szCs w:val="28"/>
          <w:shd w:val="clear" w:color="auto" w:fill="FFFFFF"/>
        </w:rPr>
        <w:t>sobre la base de que las</w:t>
      </w:r>
      <w:r w:rsidR="005A6965" w:rsidRPr="002E4477">
        <w:rPr>
          <w:sz w:val="28"/>
          <w:szCs w:val="28"/>
          <w:shd w:val="clear" w:color="auto" w:fill="FFFFFF"/>
        </w:rPr>
        <w:t xml:space="preserve"> sesiones extraordinarias del Congreso no pueden ser convocadas para tramitar reformas constitucionales. Con fundamento en estas y otras consideraciones, el actor propuso </w:t>
      </w:r>
      <w:r w:rsidR="00E463D1" w:rsidRPr="002E4477">
        <w:rPr>
          <w:sz w:val="28"/>
          <w:szCs w:val="28"/>
          <w:shd w:val="clear" w:color="auto" w:fill="FFFFFF"/>
        </w:rPr>
        <w:t xml:space="preserve">en esa oportunidad, </w:t>
      </w:r>
      <w:r w:rsidR="005A6965" w:rsidRPr="002E4477">
        <w:rPr>
          <w:sz w:val="28"/>
          <w:szCs w:val="28"/>
          <w:shd w:val="clear" w:color="auto" w:fill="FFFFFF"/>
        </w:rPr>
        <w:t xml:space="preserve">acción de tutela en contra de la decisión mencionada. </w:t>
      </w:r>
    </w:p>
    <w:p w14:paraId="1614E106" w14:textId="77777777" w:rsidR="005A6965" w:rsidRPr="002E4477" w:rsidRDefault="005A6965" w:rsidP="005A6965">
      <w:pPr>
        <w:pStyle w:val="NormalWeb"/>
        <w:tabs>
          <w:tab w:val="left" w:pos="284"/>
        </w:tabs>
        <w:spacing w:before="0" w:beforeAutospacing="0" w:after="0" w:afterAutospacing="0"/>
        <w:ind w:right="40"/>
        <w:jc w:val="both"/>
        <w:rPr>
          <w:sz w:val="28"/>
          <w:szCs w:val="28"/>
        </w:rPr>
      </w:pPr>
    </w:p>
    <w:p w14:paraId="3A09687D" w14:textId="77777777" w:rsidR="00337F13" w:rsidRPr="002E4477" w:rsidRDefault="00E463D1" w:rsidP="00337F13">
      <w:pPr>
        <w:pStyle w:val="NormalWeb"/>
        <w:numPr>
          <w:ilvl w:val="0"/>
          <w:numId w:val="10"/>
        </w:numPr>
        <w:tabs>
          <w:tab w:val="left" w:pos="284"/>
        </w:tabs>
        <w:spacing w:before="0" w:beforeAutospacing="0" w:after="0" w:afterAutospacing="0"/>
        <w:ind w:right="40"/>
        <w:jc w:val="both"/>
        <w:rPr>
          <w:sz w:val="28"/>
          <w:szCs w:val="28"/>
        </w:rPr>
      </w:pPr>
      <w:r w:rsidRPr="002E4477">
        <w:rPr>
          <w:sz w:val="28"/>
          <w:szCs w:val="28"/>
        </w:rPr>
        <w:t>La</w:t>
      </w:r>
      <w:r w:rsidR="005A6965" w:rsidRPr="002E4477">
        <w:rPr>
          <w:sz w:val="28"/>
          <w:szCs w:val="28"/>
        </w:rPr>
        <w:t xml:space="preserve"> Corte Constitucional recordó</w:t>
      </w:r>
      <w:r w:rsidRPr="002E4477">
        <w:rPr>
          <w:sz w:val="28"/>
          <w:szCs w:val="28"/>
        </w:rPr>
        <w:t xml:space="preserve"> en esa providencia,</w:t>
      </w:r>
      <w:r w:rsidR="005A6965" w:rsidRPr="002E4477">
        <w:rPr>
          <w:sz w:val="28"/>
          <w:szCs w:val="28"/>
        </w:rPr>
        <w:t xml:space="preserve"> que en </w:t>
      </w:r>
      <w:r w:rsidR="0077364A" w:rsidRPr="002E4477">
        <w:rPr>
          <w:sz w:val="28"/>
          <w:szCs w:val="28"/>
        </w:rPr>
        <w:t xml:space="preserve">la </w:t>
      </w:r>
      <w:r w:rsidR="002429C4" w:rsidRPr="002E4477">
        <w:rPr>
          <w:b/>
          <w:sz w:val="28"/>
          <w:szCs w:val="28"/>
        </w:rPr>
        <w:t>S</w:t>
      </w:r>
      <w:r w:rsidR="0077364A" w:rsidRPr="002E4477">
        <w:rPr>
          <w:b/>
          <w:sz w:val="28"/>
          <w:szCs w:val="28"/>
        </w:rPr>
        <w:t>entencia</w:t>
      </w:r>
      <w:r w:rsidR="0077364A" w:rsidRPr="002E4477">
        <w:rPr>
          <w:sz w:val="28"/>
          <w:szCs w:val="28"/>
        </w:rPr>
        <w:t xml:space="preserve"> </w:t>
      </w:r>
      <w:r w:rsidR="0077364A" w:rsidRPr="002E4477">
        <w:rPr>
          <w:b/>
          <w:sz w:val="28"/>
          <w:szCs w:val="28"/>
        </w:rPr>
        <w:t>T-282 de 1996</w:t>
      </w:r>
      <w:r w:rsidR="00337F13" w:rsidRPr="002E4477">
        <w:rPr>
          <w:rStyle w:val="Refdenotaalpie"/>
          <w:b/>
          <w:sz w:val="28"/>
          <w:szCs w:val="28"/>
        </w:rPr>
        <w:footnoteReference w:id="108"/>
      </w:r>
      <w:r w:rsidR="0077364A" w:rsidRPr="002E4477">
        <w:rPr>
          <w:sz w:val="28"/>
          <w:szCs w:val="28"/>
        </w:rPr>
        <w:t xml:space="preserve"> </w:t>
      </w:r>
      <w:r w:rsidR="002429C4" w:rsidRPr="002E4477">
        <w:rPr>
          <w:sz w:val="28"/>
          <w:szCs w:val="28"/>
        </w:rPr>
        <w:t xml:space="preserve">esta Corporación </w:t>
      </w:r>
      <w:r w:rsidR="00464449" w:rsidRPr="002E4477">
        <w:rPr>
          <w:sz w:val="28"/>
          <w:szCs w:val="28"/>
        </w:rPr>
        <w:t>consideró improcedente la</w:t>
      </w:r>
      <w:r w:rsidR="0077364A" w:rsidRPr="002E4477">
        <w:rPr>
          <w:sz w:val="28"/>
          <w:szCs w:val="28"/>
        </w:rPr>
        <w:t xml:space="preserve"> acción de tutela contra </w:t>
      </w:r>
      <w:r w:rsidR="005A6965" w:rsidRPr="003A28CD">
        <w:rPr>
          <w:sz w:val="28"/>
          <w:szCs w:val="28"/>
        </w:rPr>
        <w:t>fall</w:t>
      </w:r>
      <w:r w:rsidR="003735E2" w:rsidRPr="003A28CD">
        <w:rPr>
          <w:sz w:val="28"/>
          <w:szCs w:val="28"/>
        </w:rPr>
        <w:t>o</w:t>
      </w:r>
      <w:r w:rsidR="002C3D42" w:rsidRPr="003A28CD">
        <w:rPr>
          <w:sz w:val="28"/>
          <w:szCs w:val="28"/>
        </w:rPr>
        <w:t>s</w:t>
      </w:r>
      <w:r w:rsidR="001D12F7" w:rsidRPr="003A28CD">
        <w:rPr>
          <w:sz w:val="28"/>
          <w:szCs w:val="28"/>
        </w:rPr>
        <w:t xml:space="preserve"> </w:t>
      </w:r>
      <w:r w:rsidR="0077364A" w:rsidRPr="003A28CD">
        <w:rPr>
          <w:sz w:val="28"/>
          <w:szCs w:val="28"/>
        </w:rPr>
        <w:t xml:space="preserve">de constitucionalidad </w:t>
      </w:r>
      <w:r w:rsidR="00E40F9D" w:rsidRPr="003A28CD">
        <w:rPr>
          <w:sz w:val="28"/>
          <w:szCs w:val="28"/>
        </w:rPr>
        <w:t>emitid</w:t>
      </w:r>
      <w:r w:rsidR="003735E2" w:rsidRPr="003A28CD">
        <w:rPr>
          <w:sz w:val="28"/>
          <w:szCs w:val="28"/>
        </w:rPr>
        <w:t>o</w:t>
      </w:r>
      <w:r w:rsidR="002C3D42" w:rsidRPr="003A28CD">
        <w:rPr>
          <w:sz w:val="28"/>
          <w:szCs w:val="28"/>
        </w:rPr>
        <w:t>s</w:t>
      </w:r>
      <w:r w:rsidR="00E40F9D" w:rsidRPr="003A28CD">
        <w:rPr>
          <w:sz w:val="28"/>
          <w:szCs w:val="28"/>
        </w:rPr>
        <w:t xml:space="preserve"> </w:t>
      </w:r>
      <w:r w:rsidR="0077364A" w:rsidRPr="003A28CD">
        <w:rPr>
          <w:sz w:val="28"/>
          <w:szCs w:val="28"/>
        </w:rPr>
        <w:t>por</w:t>
      </w:r>
      <w:r w:rsidR="003735E2" w:rsidRPr="003A28CD">
        <w:rPr>
          <w:sz w:val="28"/>
          <w:szCs w:val="28"/>
        </w:rPr>
        <w:t xml:space="preserve"> la misma Corte</w:t>
      </w:r>
      <w:r w:rsidR="00464449" w:rsidRPr="003A28CD">
        <w:rPr>
          <w:sz w:val="28"/>
          <w:szCs w:val="28"/>
        </w:rPr>
        <w:t xml:space="preserve">, </w:t>
      </w:r>
      <w:r w:rsidR="00E40F9D" w:rsidRPr="003A28CD">
        <w:rPr>
          <w:sz w:val="28"/>
          <w:szCs w:val="28"/>
        </w:rPr>
        <w:t>al</w:t>
      </w:r>
      <w:r w:rsidR="00464449" w:rsidRPr="003A28CD">
        <w:rPr>
          <w:sz w:val="28"/>
          <w:szCs w:val="28"/>
        </w:rPr>
        <w:t xml:space="preserve"> estimar que</w:t>
      </w:r>
      <w:r w:rsidR="00E40F9D" w:rsidRPr="003A28CD">
        <w:rPr>
          <w:sz w:val="28"/>
          <w:szCs w:val="28"/>
        </w:rPr>
        <w:t>:</w:t>
      </w:r>
      <w:r w:rsidR="00464449" w:rsidRPr="003A28CD">
        <w:rPr>
          <w:sz w:val="28"/>
          <w:szCs w:val="28"/>
        </w:rPr>
        <w:t xml:space="preserve"> </w:t>
      </w:r>
      <w:r w:rsidR="00502A7B" w:rsidRPr="003A28CD">
        <w:rPr>
          <w:b/>
          <w:sz w:val="28"/>
          <w:szCs w:val="28"/>
        </w:rPr>
        <w:t>(a)</w:t>
      </w:r>
      <w:r w:rsidR="00502A7B" w:rsidRPr="003A28CD">
        <w:rPr>
          <w:sz w:val="28"/>
          <w:szCs w:val="28"/>
        </w:rPr>
        <w:t xml:space="preserve"> el artículo 243 de la C</w:t>
      </w:r>
      <w:r w:rsidR="001D12F7" w:rsidRPr="003A28CD">
        <w:rPr>
          <w:sz w:val="28"/>
          <w:szCs w:val="28"/>
        </w:rPr>
        <w:t>arta</w:t>
      </w:r>
      <w:r w:rsidR="00502A7B" w:rsidRPr="003A28CD">
        <w:rPr>
          <w:sz w:val="28"/>
          <w:szCs w:val="28"/>
        </w:rPr>
        <w:t xml:space="preserve"> </w:t>
      </w:r>
      <w:r w:rsidR="008F2A9A" w:rsidRPr="003A28CD">
        <w:rPr>
          <w:sz w:val="28"/>
          <w:szCs w:val="28"/>
        </w:rPr>
        <w:t>precisa</w:t>
      </w:r>
      <w:r w:rsidR="00502A7B" w:rsidRPr="003A28CD">
        <w:rPr>
          <w:sz w:val="28"/>
          <w:szCs w:val="28"/>
        </w:rPr>
        <w:t xml:space="preserve"> que l</w:t>
      </w:r>
      <w:r w:rsidR="001D64B3" w:rsidRPr="003A28CD">
        <w:rPr>
          <w:sz w:val="28"/>
          <w:szCs w:val="28"/>
        </w:rPr>
        <w:t>as decisiones</w:t>
      </w:r>
      <w:r w:rsidR="00502A7B" w:rsidRPr="002E4477">
        <w:rPr>
          <w:sz w:val="28"/>
          <w:szCs w:val="28"/>
        </w:rPr>
        <w:t xml:space="preserve"> de la Corte Constitucional hacen tránsito</w:t>
      </w:r>
      <w:r w:rsidR="00E40F9D" w:rsidRPr="002E4477">
        <w:rPr>
          <w:sz w:val="28"/>
          <w:szCs w:val="28"/>
        </w:rPr>
        <w:t xml:space="preserve"> a cosa juzgada constitucional</w:t>
      </w:r>
      <w:r w:rsidR="00A07B58" w:rsidRPr="002E4477">
        <w:rPr>
          <w:sz w:val="28"/>
          <w:szCs w:val="28"/>
        </w:rPr>
        <w:t>,</w:t>
      </w:r>
      <w:r w:rsidR="00E40F9D" w:rsidRPr="002E4477">
        <w:rPr>
          <w:sz w:val="28"/>
          <w:szCs w:val="28"/>
        </w:rPr>
        <w:t xml:space="preserve"> por lo </w:t>
      </w:r>
      <w:r w:rsidR="00502A7B" w:rsidRPr="002E4477">
        <w:rPr>
          <w:sz w:val="28"/>
          <w:szCs w:val="28"/>
        </w:rPr>
        <w:t xml:space="preserve">que </w:t>
      </w:r>
      <w:r w:rsidR="00E40F9D" w:rsidRPr="002E4477">
        <w:rPr>
          <w:sz w:val="28"/>
          <w:szCs w:val="28"/>
        </w:rPr>
        <w:t xml:space="preserve">una vez proferidas, </w:t>
      </w:r>
      <w:r w:rsidR="00502A7B" w:rsidRPr="002E4477">
        <w:rPr>
          <w:sz w:val="28"/>
          <w:szCs w:val="28"/>
        </w:rPr>
        <w:t>son inmodificables</w:t>
      </w:r>
      <w:r w:rsidR="00E40F9D" w:rsidRPr="002E4477">
        <w:rPr>
          <w:sz w:val="28"/>
          <w:szCs w:val="28"/>
        </w:rPr>
        <w:t>;</w:t>
      </w:r>
      <w:r w:rsidR="00502A7B" w:rsidRPr="002E4477">
        <w:rPr>
          <w:sz w:val="28"/>
          <w:szCs w:val="28"/>
        </w:rPr>
        <w:t xml:space="preserve"> y </w:t>
      </w:r>
      <w:r w:rsidR="00502A7B" w:rsidRPr="002E4477">
        <w:rPr>
          <w:b/>
          <w:sz w:val="28"/>
          <w:szCs w:val="28"/>
        </w:rPr>
        <w:t>(b)</w:t>
      </w:r>
      <w:r w:rsidR="00502A7B" w:rsidRPr="002E4477">
        <w:rPr>
          <w:sz w:val="28"/>
          <w:szCs w:val="28"/>
        </w:rPr>
        <w:t xml:space="preserve"> </w:t>
      </w:r>
      <w:r w:rsidR="00E40F9D" w:rsidRPr="002E4477">
        <w:rPr>
          <w:sz w:val="28"/>
          <w:szCs w:val="28"/>
        </w:rPr>
        <w:t>se trata de</w:t>
      </w:r>
      <w:r w:rsidR="00502A7B" w:rsidRPr="002E4477">
        <w:rPr>
          <w:sz w:val="28"/>
          <w:szCs w:val="28"/>
        </w:rPr>
        <w:t xml:space="preserve"> </w:t>
      </w:r>
      <w:r w:rsidR="00464449" w:rsidRPr="002E4477">
        <w:rPr>
          <w:sz w:val="28"/>
          <w:szCs w:val="28"/>
        </w:rPr>
        <w:t xml:space="preserve">providencias </w:t>
      </w:r>
      <w:r w:rsidR="00502A7B" w:rsidRPr="002E4477">
        <w:rPr>
          <w:sz w:val="28"/>
          <w:szCs w:val="28"/>
        </w:rPr>
        <w:t xml:space="preserve">con </w:t>
      </w:r>
      <w:r w:rsidR="0077364A" w:rsidRPr="002E4477">
        <w:rPr>
          <w:sz w:val="28"/>
          <w:szCs w:val="28"/>
        </w:rPr>
        <w:t xml:space="preserve">efectos </w:t>
      </w:r>
      <w:r w:rsidR="0077364A" w:rsidRPr="002E4477">
        <w:rPr>
          <w:i/>
          <w:sz w:val="28"/>
          <w:szCs w:val="28"/>
        </w:rPr>
        <w:t>erga omnes</w:t>
      </w:r>
      <w:r w:rsidR="0077364A" w:rsidRPr="002E4477">
        <w:rPr>
          <w:sz w:val="28"/>
          <w:szCs w:val="28"/>
        </w:rPr>
        <w:t xml:space="preserve">, </w:t>
      </w:r>
      <w:r w:rsidR="00464449" w:rsidRPr="002E4477">
        <w:rPr>
          <w:sz w:val="28"/>
          <w:szCs w:val="28"/>
        </w:rPr>
        <w:t xml:space="preserve">que </w:t>
      </w:r>
      <w:r w:rsidR="00502A7B" w:rsidRPr="002E4477">
        <w:rPr>
          <w:sz w:val="28"/>
          <w:szCs w:val="28"/>
        </w:rPr>
        <w:t>e</w:t>
      </w:r>
      <w:r w:rsidR="00E40F9D" w:rsidRPr="002E4477">
        <w:rPr>
          <w:sz w:val="28"/>
          <w:szCs w:val="28"/>
        </w:rPr>
        <w:t>ncajan</w:t>
      </w:r>
      <w:r w:rsidR="00464449" w:rsidRPr="002E4477">
        <w:rPr>
          <w:sz w:val="28"/>
          <w:szCs w:val="28"/>
        </w:rPr>
        <w:t xml:space="preserve"> de alg</w:t>
      </w:r>
      <w:r w:rsidR="00502A7B" w:rsidRPr="002E4477">
        <w:rPr>
          <w:sz w:val="28"/>
          <w:szCs w:val="28"/>
        </w:rPr>
        <w:t>ún modo</w:t>
      </w:r>
      <w:r w:rsidR="0077364A" w:rsidRPr="002E4477">
        <w:rPr>
          <w:sz w:val="28"/>
          <w:szCs w:val="28"/>
        </w:rPr>
        <w:t xml:space="preserve"> </w:t>
      </w:r>
      <w:r w:rsidR="00502A7B" w:rsidRPr="002E4477">
        <w:rPr>
          <w:sz w:val="28"/>
          <w:szCs w:val="28"/>
        </w:rPr>
        <w:t xml:space="preserve">entre </w:t>
      </w:r>
      <w:r w:rsidR="0077364A" w:rsidRPr="002E4477">
        <w:rPr>
          <w:sz w:val="28"/>
          <w:szCs w:val="28"/>
        </w:rPr>
        <w:t>las causales de improc</w:t>
      </w:r>
      <w:r w:rsidR="00464449" w:rsidRPr="002E4477">
        <w:rPr>
          <w:sz w:val="28"/>
          <w:szCs w:val="28"/>
        </w:rPr>
        <w:t>edencia de la acción de tutela</w:t>
      </w:r>
      <w:r w:rsidR="00502A7B" w:rsidRPr="002E4477">
        <w:rPr>
          <w:sz w:val="28"/>
          <w:szCs w:val="28"/>
        </w:rPr>
        <w:t xml:space="preserve"> del artículo 6</w:t>
      </w:r>
      <w:r w:rsidR="002429C4" w:rsidRPr="002E4477">
        <w:rPr>
          <w:sz w:val="28"/>
          <w:szCs w:val="28"/>
          <w:vertAlign w:val="superscript"/>
        </w:rPr>
        <w:t>o</w:t>
      </w:r>
      <w:r w:rsidR="00502A7B" w:rsidRPr="002E4477">
        <w:rPr>
          <w:sz w:val="28"/>
          <w:szCs w:val="28"/>
        </w:rPr>
        <w:t xml:space="preserve"> del Decreto 2591 de 1991</w:t>
      </w:r>
      <w:r w:rsidR="00464449" w:rsidRPr="002E4477">
        <w:rPr>
          <w:sz w:val="28"/>
          <w:szCs w:val="28"/>
        </w:rPr>
        <w:t>,</w:t>
      </w:r>
      <w:r w:rsidR="00502A7B" w:rsidRPr="002E4477">
        <w:rPr>
          <w:sz w:val="28"/>
          <w:szCs w:val="28"/>
        </w:rPr>
        <w:t xml:space="preserve"> al no habilitar la acción</w:t>
      </w:r>
      <w:r w:rsidR="00E40F9D" w:rsidRPr="002E4477">
        <w:rPr>
          <w:sz w:val="28"/>
          <w:szCs w:val="28"/>
        </w:rPr>
        <w:t xml:space="preserve"> constitucional </w:t>
      </w:r>
      <w:r w:rsidR="001D12F7" w:rsidRPr="002E4477">
        <w:rPr>
          <w:sz w:val="28"/>
          <w:szCs w:val="28"/>
        </w:rPr>
        <w:t>descrita,</w:t>
      </w:r>
      <w:r w:rsidR="001D12F7" w:rsidRPr="002E4477">
        <w:rPr>
          <w:i/>
          <w:iCs/>
          <w:sz w:val="28"/>
          <w:szCs w:val="28"/>
        </w:rPr>
        <w:t xml:space="preserve"> “cuando</w:t>
      </w:r>
      <w:r w:rsidR="0077364A" w:rsidRPr="002E4477">
        <w:rPr>
          <w:i/>
          <w:iCs/>
          <w:sz w:val="28"/>
          <w:szCs w:val="28"/>
        </w:rPr>
        <w:t xml:space="preserve"> s</w:t>
      </w:r>
      <w:r w:rsidR="00502A7B" w:rsidRPr="002E4477">
        <w:rPr>
          <w:i/>
          <w:iCs/>
          <w:sz w:val="28"/>
          <w:szCs w:val="28"/>
        </w:rPr>
        <w:t>e trat[a]</w:t>
      </w:r>
      <w:r w:rsidR="0077364A" w:rsidRPr="002E4477">
        <w:rPr>
          <w:i/>
          <w:iCs/>
          <w:sz w:val="28"/>
          <w:szCs w:val="28"/>
        </w:rPr>
        <w:t xml:space="preserve"> de </w:t>
      </w:r>
      <w:r w:rsidR="0077364A" w:rsidRPr="002E4477">
        <w:rPr>
          <w:b/>
          <w:i/>
          <w:iCs/>
          <w:sz w:val="28"/>
          <w:szCs w:val="28"/>
        </w:rPr>
        <w:t>actos de carácter general, impersonal y abstracto</w:t>
      </w:r>
      <w:r w:rsidR="0077364A" w:rsidRPr="002E4477">
        <w:rPr>
          <w:i/>
          <w:iCs/>
          <w:sz w:val="28"/>
          <w:szCs w:val="28"/>
        </w:rPr>
        <w:t>” </w:t>
      </w:r>
      <w:r w:rsidR="003735E2" w:rsidRPr="002E4477">
        <w:rPr>
          <w:iCs/>
          <w:sz w:val="28"/>
          <w:szCs w:val="28"/>
        </w:rPr>
        <w:t>(Negrillas fuera del original)</w:t>
      </w:r>
      <w:r w:rsidR="003735E2" w:rsidRPr="002E4477">
        <w:rPr>
          <w:sz w:val="28"/>
          <w:szCs w:val="28"/>
        </w:rPr>
        <w:t xml:space="preserve">. </w:t>
      </w:r>
    </w:p>
    <w:p w14:paraId="15FA5DED" w14:textId="77777777" w:rsidR="00337F13" w:rsidRPr="002E4477" w:rsidRDefault="00337F13" w:rsidP="00337F13">
      <w:pPr>
        <w:pStyle w:val="Prrafodelista"/>
        <w:rPr>
          <w:szCs w:val="28"/>
        </w:rPr>
      </w:pPr>
    </w:p>
    <w:p w14:paraId="40F210C2" w14:textId="77777777" w:rsidR="00E40F9D" w:rsidRPr="002E4477" w:rsidRDefault="001D64B3" w:rsidP="00337F13">
      <w:pPr>
        <w:pStyle w:val="NormalWeb"/>
        <w:numPr>
          <w:ilvl w:val="0"/>
          <w:numId w:val="10"/>
        </w:numPr>
        <w:tabs>
          <w:tab w:val="left" w:pos="284"/>
        </w:tabs>
        <w:spacing w:before="0" w:beforeAutospacing="0" w:after="0" w:afterAutospacing="0"/>
        <w:ind w:right="40"/>
        <w:jc w:val="both"/>
        <w:rPr>
          <w:sz w:val="28"/>
          <w:szCs w:val="28"/>
        </w:rPr>
      </w:pPr>
      <w:r w:rsidRPr="002E4477">
        <w:rPr>
          <w:sz w:val="28"/>
          <w:szCs w:val="28"/>
          <w:lang w:val="es-ES"/>
        </w:rPr>
        <w:t xml:space="preserve">En consideración </w:t>
      </w:r>
      <w:r w:rsidR="003A28CD">
        <w:rPr>
          <w:sz w:val="28"/>
          <w:szCs w:val="28"/>
          <w:lang w:val="es-ES"/>
        </w:rPr>
        <w:t>con</w:t>
      </w:r>
      <w:r w:rsidRPr="002E4477">
        <w:rPr>
          <w:sz w:val="28"/>
          <w:szCs w:val="28"/>
          <w:lang w:val="es-ES"/>
        </w:rPr>
        <w:t xml:space="preserve"> lo anterior</w:t>
      </w:r>
      <w:r w:rsidR="00E40F9D" w:rsidRPr="002E4477">
        <w:rPr>
          <w:sz w:val="28"/>
          <w:szCs w:val="28"/>
        </w:rPr>
        <w:t xml:space="preserve">, </w:t>
      </w:r>
      <w:r w:rsidR="003735E2" w:rsidRPr="002E4477">
        <w:rPr>
          <w:sz w:val="28"/>
          <w:szCs w:val="28"/>
        </w:rPr>
        <w:t xml:space="preserve">esta Corporación </w:t>
      </w:r>
      <w:r w:rsidR="00337F13" w:rsidRPr="002E4477">
        <w:rPr>
          <w:sz w:val="28"/>
          <w:szCs w:val="28"/>
        </w:rPr>
        <w:t>evaluó en la providencia que se cita,</w:t>
      </w:r>
      <w:r w:rsidR="00E40F9D" w:rsidRPr="002E4477">
        <w:rPr>
          <w:sz w:val="28"/>
          <w:szCs w:val="28"/>
        </w:rPr>
        <w:t xml:space="preserve"> si dichos argumentos eran aplicables a las </w:t>
      </w:r>
      <w:r w:rsidR="0077364A" w:rsidRPr="002E4477">
        <w:rPr>
          <w:sz w:val="28"/>
          <w:szCs w:val="28"/>
        </w:rPr>
        <w:t>acciones de nulidad por inconstitucionalidad</w:t>
      </w:r>
      <w:r w:rsidR="00E40F9D" w:rsidRPr="002E4477">
        <w:rPr>
          <w:sz w:val="28"/>
          <w:szCs w:val="28"/>
        </w:rPr>
        <w:t xml:space="preserve"> </w:t>
      </w:r>
      <w:r w:rsidR="00337F13" w:rsidRPr="002E4477">
        <w:rPr>
          <w:sz w:val="28"/>
          <w:szCs w:val="28"/>
        </w:rPr>
        <w:t xml:space="preserve">que profiere el </w:t>
      </w:r>
      <w:r w:rsidR="00E40F9D" w:rsidRPr="002E4477">
        <w:rPr>
          <w:sz w:val="28"/>
          <w:szCs w:val="28"/>
        </w:rPr>
        <w:t xml:space="preserve">Consejo de Estado </w:t>
      </w:r>
      <w:r w:rsidR="003735E2" w:rsidRPr="002E4477">
        <w:rPr>
          <w:sz w:val="28"/>
          <w:szCs w:val="28"/>
        </w:rPr>
        <w:t>y llegó</w:t>
      </w:r>
      <w:r w:rsidR="00E40F9D" w:rsidRPr="002E4477">
        <w:rPr>
          <w:sz w:val="28"/>
          <w:szCs w:val="28"/>
        </w:rPr>
        <w:t xml:space="preserve"> a la conclusión de que</w:t>
      </w:r>
      <w:r w:rsidR="002429C4" w:rsidRPr="0099084B">
        <w:rPr>
          <w:sz w:val="28"/>
          <w:szCs w:val="28"/>
        </w:rPr>
        <w:t>,</w:t>
      </w:r>
      <w:r w:rsidR="00E40F9D" w:rsidRPr="0099084B">
        <w:rPr>
          <w:sz w:val="28"/>
          <w:szCs w:val="28"/>
        </w:rPr>
        <w:t xml:space="preserve"> si bien tales decisiones no son inmodificables por no hacer tránsito a cosa juzgada constitucional,</w:t>
      </w:r>
      <w:r w:rsidR="00E40F9D" w:rsidRPr="002E4477">
        <w:rPr>
          <w:sz w:val="28"/>
          <w:szCs w:val="28"/>
        </w:rPr>
        <w:t xml:space="preserve"> </w:t>
      </w:r>
      <w:r w:rsidR="00337F13" w:rsidRPr="002E4477">
        <w:rPr>
          <w:sz w:val="28"/>
          <w:szCs w:val="28"/>
        </w:rPr>
        <w:t>e</w:t>
      </w:r>
      <w:r w:rsidR="00E40F9D" w:rsidRPr="002E4477">
        <w:rPr>
          <w:sz w:val="28"/>
          <w:szCs w:val="28"/>
        </w:rPr>
        <w:t xml:space="preserve">l pronunciamiento del Consejo de Estado que resuelve </w:t>
      </w:r>
      <w:r w:rsidR="008F2A9A" w:rsidRPr="002E4477">
        <w:rPr>
          <w:sz w:val="28"/>
          <w:szCs w:val="28"/>
        </w:rPr>
        <w:t>la</w:t>
      </w:r>
      <w:r w:rsidR="00E40F9D" w:rsidRPr="002E4477">
        <w:rPr>
          <w:sz w:val="28"/>
          <w:szCs w:val="28"/>
        </w:rPr>
        <w:t xml:space="preserve"> acción de nulidad</w:t>
      </w:r>
      <w:r w:rsidR="003A28CD">
        <w:rPr>
          <w:sz w:val="28"/>
          <w:szCs w:val="28"/>
        </w:rPr>
        <w:t xml:space="preserve"> por inconstitucionalidad </w:t>
      </w:r>
      <w:r w:rsidR="008037B1">
        <w:rPr>
          <w:sz w:val="28"/>
          <w:szCs w:val="28"/>
        </w:rPr>
        <w:t>se asimila a</w:t>
      </w:r>
      <w:r w:rsidR="008F2A9A" w:rsidRPr="002E4477">
        <w:rPr>
          <w:sz w:val="28"/>
          <w:szCs w:val="28"/>
        </w:rPr>
        <w:t xml:space="preserve"> </w:t>
      </w:r>
      <w:r w:rsidR="00E40F9D" w:rsidRPr="002E4477">
        <w:rPr>
          <w:sz w:val="28"/>
          <w:szCs w:val="28"/>
        </w:rPr>
        <w:t xml:space="preserve">un acto de carácter general, impersonal y abstracto, ya que </w:t>
      </w:r>
      <w:r w:rsidR="008F2A9A" w:rsidRPr="002C3D42">
        <w:rPr>
          <w:bCs/>
          <w:sz w:val="28"/>
          <w:szCs w:val="28"/>
        </w:rPr>
        <w:t>“</w:t>
      </w:r>
      <w:r w:rsidR="00E40F9D" w:rsidRPr="002C3D42">
        <w:rPr>
          <w:bCs/>
          <w:i/>
          <w:sz w:val="28"/>
          <w:szCs w:val="28"/>
        </w:rPr>
        <w:t>contrasta dos </w:t>
      </w:r>
      <w:r w:rsidR="00E40F9D" w:rsidRPr="002C3D42">
        <w:rPr>
          <w:bCs/>
          <w:i/>
          <w:iCs/>
          <w:sz w:val="28"/>
          <w:szCs w:val="28"/>
        </w:rPr>
        <w:t>normas jurídicas</w:t>
      </w:r>
      <w:r w:rsidR="00E40F9D" w:rsidRPr="002C3D42">
        <w:rPr>
          <w:bCs/>
          <w:i/>
          <w:sz w:val="28"/>
          <w:szCs w:val="28"/>
        </w:rPr>
        <w:t> sin atención a </w:t>
      </w:r>
      <w:r w:rsidR="00E40F9D" w:rsidRPr="002C3D42">
        <w:rPr>
          <w:bCs/>
          <w:i/>
          <w:iCs/>
          <w:sz w:val="28"/>
          <w:szCs w:val="28"/>
        </w:rPr>
        <w:t>hechos concretos</w:t>
      </w:r>
      <w:r w:rsidR="00E40F9D" w:rsidRPr="002C3D42">
        <w:rPr>
          <w:bCs/>
          <w:i/>
          <w:sz w:val="28"/>
          <w:szCs w:val="28"/>
        </w:rPr>
        <w:t>, razón por la cual, en aplicación del artículo 6 del Decreto 2591 de 1991, la acción de tutela resulta improcedente para controvertirlo y no es el mecanismo pertinente para solicitar su inaplicación</w:t>
      </w:r>
      <w:r w:rsidR="008F2A9A" w:rsidRPr="002C3D42">
        <w:rPr>
          <w:bCs/>
          <w:sz w:val="28"/>
          <w:szCs w:val="28"/>
        </w:rPr>
        <w:t>”</w:t>
      </w:r>
      <w:r w:rsidR="00E40F9D" w:rsidRPr="002C3D42">
        <w:rPr>
          <w:bCs/>
          <w:sz w:val="28"/>
          <w:szCs w:val="28"/>
        </w:rPr>
        <w:t>.</w:t>
      </w:r>
    </w:p>
    <w:p w14:paraId="2179BD24" w14:textId="77777777" w:rsidR="008F2A9A" w:rsidRPr="008037B1" w:rsidRDefault="008F2A9A" w:rsidP="008F2A9A">
      <w:pPr>
        <w:pStyle w:val="Prrafodelista"/>
        <w:rPr>
          <w:szCs w:val="28"/>
          <w:lang w:val="es-CO"/>
        </w:rPr>
      </w:pPr>
    </w:p>
    <w:p w14:paraId="5659DFAD" w14:textId="77777777" w:rsidR="00D2224B" w:rsidRPr="002E4477" w:rsidRDefault="008F2A9A" w:rsidP="00337F13">
      <w:pPr>
        <w:pStyle w:val="NormalWeb"/>
        <w:numPr>
          <w:ilvl w:val="0"/>
          <w:numId w:val="10"/>
        </w:numPr>
        <w:tabs>
          <w:tab w:val="left" w:pos="284"/>
        </w:tabs>
        <w:spacing w:before="0" w:beforeAutospacing="0" w:after="0" w:afterAutospacing="0"/>
        <w:ind w:right="40"/>
        <w:jc w:val="both"/>
        <w:rPr>
          <w:i/>
          <w:sz w:val="28"/>
          <w:szCs w:val="28"/>
        </w:rPr>
      </w:pPr>
      <w:r w:rsidRPr="008037B1">
        <w:rPr>
          <w:sz w:val="28"/>
          <w:szCs w:val="28"/>
        </w:rPr>
        <w:t>A</w:t>
      </w:r>
      <w:r w:rsidR="002C3D42" w:rsidRPr="008037B1">
        <w:rPr>
          <w:sz w:val="28"/>
          <w:szCs w:val="28"/>
        </w:rPr>
        <w:t>demás,</w:t>
      </w:r>
      <w:r w:rsidRPr="008037B1">
        <w:rPr>
          <w:sz w:val="28"/>
          <w:szCs w:val="28"/>
        </w:rPr>
        <w:t xml:space="preserve"> </w:t>
      </w:r>
      <w:r w:rsidR="00B350C7" w:rsidRPr="008037B1">
        <w:rPr>
          <w:sz w:val="28"/>
          <w:szCs w:val="28"/>
        </w:rPr>
        <w:t>estimó</w:t>
      </w:r>
      <w:r w:rsidRPr="002E4477">
        <w:rPr>
          <w:sz w:val="28"/>
          <w:szCs w:val="28"/>
        </w:rPr>
        <w:t xml:space="preserve"> la Corte que existía una </w:t>
      </w:r>
      <w:r w:rsidR="00B350C7" w:rsidRPr="002E4477">
        <w:rPr>
          <w:sz w:val="28"/>
          <w:szCs w:val="28"/>
        </w:rPr>
        <w:t>justificación</w:t>
      </w:r>
      <w:r w:rsidRPr="002E4477">
        <w:rPr>
          <w:sz w:val="28"/>
          <w:szCs w:val="28"/>
        </w:rPr>
        <w:t xml:space="preserve"> adicional</w:t>
      </w:r>
      <w:r w:rsidR="00D2224B" w:rsidRPr="002E4477">
        <w:rPr>
          <w:sz w:val="28"/>
          <w:szCs w:val="28"/>
        </w:rPr>
        <w:t xml:space="preserve"> y poderosa</w:t>
      </w:r>
      <w:r w:rsidRPr="002E4477">
        <w:rPr>
          <w:sz w:val="28"/>
          <w:szCs w:val="28"/>
        </w:rPr>
        <w:t xml:space="preserve"> para que</w:t>
      </w:r>
      <w:r w:rsidR="00251489" w:rsidRPr="002E4477">
        <w:rPr>
          <w:sz w:val="28"/>
          <w:szCs w:val="28"/>
        </w:rPr>
        <w:t xml:space="preserve"> se considerara </w:t>
      </w:r>
      <w:r w:rsidRPr="002E4477">
        <w:rPr>
          <w:sz w:val="28"/>
          <w:szCs w:val="28"/>
        </w:rPr>
        <w:t xml:space="preserve">improcedente la acción de tutela contra decisiones del Consejo de Estado relacionadas con el medio de </w:t>
      </w:r>
      <w:r w:rsidR="00B350C7" w:rsidRPr="002E4477">
        <w:rPr>
          <w:sz w:val="28"/>
          <w:szCs w:val="28"/>
        </w:rPr>
        <w:t>control de nulidad por inconstitucionalidad</w:t>
      </w:r>
      <w:r w:rsidR="00735C84" w:rsidRPr="002E4477">
        <w:rPr>
          <w:sz w:val="28"/>
          <w:szCs w:val="28"/>
        </w:rPr>
        <w:t>:</w:t>
      </w:r>
      <w:r w:rsidR="00251489" w:rsidRPr="002E4477">
        <w:rPr>
          <w:sz w:val="28"/>
          <w:szCs w:val="28"/>
        </w:rPr>
        <w:t xml:space="preserve"> la</w:t>
      </w:r>
      <w:r w:rsidR="00812E2F" w:rsidRPr="002E4477">
        <w:rPr>
          <w:i/>
          <w:sz w:val="28"/>
          <w:szCs w:val="28"/>
        </w:rPr>
        <w:t xml:space="preserve"> </w:t>
      </w:r>
      <w:bookmarkStart w:id="10" w:name="_Hlk50129809"/>
      <w:r w:rsidR="00812E2F" w:rsidRPr="002E4477">
        <w:rPr>
          <w:b/>
          <w:i/>
          <w:sz w:val="28"/>
          <w:szCs w:val="28"/>
        </w:rPr>
        <w:t>posible</w:t>
      </w:r>
      <w:r w:rsidR="00251489" w:rsidRPr="002E4477">
        <w:rPr>
          <w:b/>
          <w:i/>
          <w:sz w:val="28"/>
          <w:szCs w:val="28"/>
        </w:rPr>
        <w:t xml:space="preserve"> perturbación d</w:t>
      </w:r>
      <w:r w:rsidR="00B350C7" w:rsidRPr="002E4477">
        <w:rPr>
          <w:b/>
          <w:i/>
          <w:sz w:val="28"/>
          <w:szCs w:val="28"/>
        </w:rPr>
        <w:t xml:space="preserve">el </w:t>
      </w:r>
      <w:r w:rsidR="00B350C7" w:rsidRPr="002E4477">
        <w:rPr>
          <w:b/>
          <w:i/>
          <w:sz w:val="28"/>
          <w:szCs w:val="28"/>
          <w:shd w:val="clear" w:color="auto" w:fill="FFFFFF"/>
        </w:rPr>
        <w:t>esquema de control constitucional previsto en la Constitución de 1991</w:t>
      </w:r>
      <w:r w:rsidR="00B350C7" w:rsidRPr="002E4477">
        <w:rPr>
          <w:i/>
          <w:sz w:val="28"/>
          <w:szCs w:val="28"/>
          <w:shd w:val="clear" w:color="auto" w:fill="FFFFFF"/>
        </w:rPr>
        <w:t xml:space="preserve">. </w:t>
      </w:r>
    </w:p>
    <w:p w14:paraId="50E6C245" w14:textId="77777777" w:rsidR="00D2224B" w:rsidRPr="002E4477" w:rsidRDefault="00D2224B" w:rsidP="00D2224B">
      <w:pPr>
        <w:pStyle w:val="Prrafodelista"/>
        <w:rPr>
          <w:szCs w:val="28"/>
          <w:shd w:val="clear" w:color="auto" w:fill="FFFFFF"/>
        </w:rPr>
      </w:pPr>
    </w:p>
    <w:bookmarkEnd w:id="10"/>
    <w:p w14:paraId="3FB7A36A" w14:textId="77777777" w:rsidR="008F2A9A" w:rsidRPr="002E4477" w:rsidRDefault="00D2224B" w:rsidP="00735C84">
      <w:pPr>
        <w:pStyle w:val="NormalWeb"/>
        <w:tabs>
          <w:tab w:val="left" w:pos="284"/>
        </w:tabs>
        <w:spacing w:before="0" w:beforeAutospacing="0" w:after="0" w:afterAutospacing="0"/>
        <w:ind w:right="40"/>
        <w:jc w:val="both"/>
        <w:rPr>
          <w:sz w:val="28"/>
          <w:szCs w:val="28"/>
        </w:rPr>
      </w:pPr>
      <w:r w:rsidRPr="002E4477">
        <w:rPr>
          <w:sz w:val="28"/>
          <w:szCs w:val="28"/>
          <w:shd w:val="clear" w:color="auto" w:fill="FFFFFF"/>
        </w:rPr>
        <w:t>En efecto p</w:t>
      </w:r>
      <w:r w:rsidR="00B350C7" w:rsidRPr="002E4477">
        <w:rPr>
          <w:sz w:val="28"/>
          <w:szCs w:val="28"/>
          <w:shd w:val="clear" w:color="auto" w:fill="FFFFFF"/>
        </w:rPr>
        <w:t>ara la mencionada providencia</w:t>
      </w:r>
      <w:r w:rsidRPr="002E4477">
        <w:rPr>
          <w:sz w:val="28"/>
          <w:szCs w:val="28"/>
          <w:shd w:val="clear" w:color="auto" w:fill="FFFFFF"/>
        </w:rPr>
        <w:t>,</w:t>
      </w:r>
      <w:r w:rsidR="00B350C7" w:rsidRPr="002E4477">
        <w:rPr>
          <w:sz w:val="28"/>
          <w:szCs w:val="28"/>
          <w:shd w:val="clear" w:color="auto" w:fill="FFFFFF"/>
        </w:rPr>
        <w:t xml:space="preserve"> el que los jueces de tutela pudiesen revisar las sentencias proferidas por los órganos de cierre en materia constitucional, </w:t>
      </w:r>
      <w:r w:rsidR="00B350C7" w:rsidRPr="002E4477">
        <w:rPr>
          <w:b/>
          <w:sz w:val="28"/>
          <w:szCs w:val="28"/>
          <w:shd w:val="clear" w:color="auto" w:fill="FFFFFF"/>
        </w:rPr>
        <w:t>(i)</w:t>
      </w:r>
      <w:r w:rsidR="00B350C7" w:rsidRPr="002E4477">
        <w:rPr>
          <w:sz w:val="28"/>
          <w:szCs w:val="28"/>
          <w:shd w:val="clear" w:color="auto" w:fill="FFFFFF"/>
        </w:rPr>
        <w:t xml:space="preserve"> autorizaría </w:t>
      </w:r>
      <w:r w:rsidRPr="002E4477">
        <w:rPr>
          <w:sz w:val="28"/>
          <w:szCs w:val="28"/>
          <w:shd w:val="clear" w:color="auto" w:fill="FFFFFF"/>
        </w:rPr>
        <w:t xml:space="preserve">a </w:t>
      </w:r>
      <w:r w:rsidR="008037B1">
        <w:rPr>
          <w:sz w:val="28"/>
          <w:szCs w:val="28"/>
          <w:shd w:val="clear" w:color="auto" w:fill="FFFFFF"/>
        </w:rPr>
        <w:t>ejercer el</w:t>
      </w:r>
      <w:r w:rsidR="00B350C7" w:rsidRPr="002E4477">
        <w:rPr>
          <w:sz w:val="28"/>
          <w:szCs w:val="28"/>
          <w:shd w:val="clear" w:color="auto" w:fill="FFFFFF"/>
        </w:rPr>
        <w:t xml:space="preserve"> control constitucional </w:t>
      </w:r>
      <w:r w:rsidR="008037B1">
        <w:rPr>
          <w:sz w:val="28"/>
          <w:szCs w:val="28"/>
          <w:shd w:val="clear" w:color="auto" w:fill="FFFFFF"/>
        </w:rPr>
        <w:t>difuso,</w:t>
      </w:r>
      <w:r w:rsidR="00251489" w:rsidRPr="002E4477">
        <w:rPr>
          <w:sz w:val="28"/>
          <w:szCs w:val="28"/>
          <w:shd w:val="clear" w:color="auto" w:fill="FFFFFF"/>
        </w:rPr>
        <w:t xml:space="preserve"> </w:t>
      </w:r>
      <w:r w:rsidR="00B350C7" w:rsidRPr="002E4477">
        <w:rPr>
          <w:sz w:val="28"/>
          <w:szCs w:val="28"/>
          <w:shd w:val="clear" w:color="auto" w:fill="FFFFFF"/>
        </w:rPr>
        <w:t>en cabeza de todos los jueces</w:t>
      </w:r>
      <w:r w:rsidR="008037B1">
        <w:rPr>
          <w:sz w:val="28"/>
          <w:szCs w:val="28"/>
          <w:shd w:val="clear" w:color="auto" w:fill="FFFFFF"/>
        </w:rPr>
        <w:t>,</w:t>
      </w:r>
      <w:r w:rsidR="00251489" w:rsidRPr="002E4477">
        <w:rPr>
          <w:sz w:val="28"/>
          <w:szCs w:val="28"/>
          <w:shd w:val="clear" w:color="auto" w:fill="FFFFFF"/>
        </w:rPr>
        <w:t xml:space="preserve"> sobre asuntos constitucionales </w:t>
      </w:r>
      <w:r w:rsidR="008037B1">
        <w:rPr>
          <w:sz w:val="28"/>
          <w:szCs w:val="28"/>
          <w:shd w:val="clear" w:color="auto" w:fill="FFFFFF"/>
        </w:rPr>
        <w:t>cuyo control es concentrado porque</w:t>
      </w:r>
      <w:r w:rsidRPr="002E4477">
        <w:rPr>
          <w:sz w:val="28"/>
          <w:szCs w:val="28"/>
          <w:shd w:val="clear" w:color="auto" w:fill="FFFFFF"/>
        </w:rPr>
        <w:t xml:space="preserve"> s</w:t>
      </w:r>
      <w:r w:rsidR="008037B1">
        <w:rPr>
          <w:sz w:val="28"/>
          <w:szCs w:val="28"/>
          <w:shd w:val="clear" w:color="auto" w:fill="FFFFFF"/>
        </w:rPr>
        <w:t>o</w:t>
      </w:r>
      <w:r w:rsidRPr="002E4477">
        <w:rPr>
          <w:sz w:val="28"/>
          <w:szCs w:val="28"/>
          <w:shd w:val="clear" w:color="auto" w:fill="FFFFFF"/>
        </w:rPr>
        <w:t>lo corresponden a</w:t>
      </w:r>
      <w:r w:rsidR="00251489" w:rsidRPr="002E4477">
        <w:rPr>
          <w:sz w:val="28"/>
          <w:szCs w:val="28"/>
          <w:shd w:val="clear" w:color="auto" w:fill="FFFFFF"/>
        </w:rPr>
        <w:t xml:space="preserve"> </w:t>
      </w:r>
      <w:r w:rsidR="002429C4" w:rsidRPr="002E4477">
        <w:rPr>
          <w:sz w:val="28"/>
          <w:szCs w:val="28"/>
          <w:shd w:val="clear" w:color="auto" w:fill="FFFFFF"/>
        </w:rPr>
        <w:t xml:space="preserve">la Corte Constitucional y al Consejo de Estado </w:t>
      </w:r>
      <w:r w:rsidR="00B350C7" w:rsidRPr="002E4477">
        <w:rPr>
          <w:sz w:val="28"/>
          <w:szCs w:val="28"/>
          <w:shd w:val="clear" w:color="auto" w:fill="FFFFFF"/>
        </w:rPr>
        <w:t xml:space="preserve">y </w:t>
      </w:r>
      <w:r w:rsidR="00B350C7" w:rsidRPr="002E4477">
        <w:rPr>
          <w:b/>
          <w:sz w:val="28"/>
          <w:szCs w:val="28"/>
          <w:shd w:val="clear" w:color="auto" w:fill="FFFFFF"/>
        </w:rPr>
        <w:t>(ii)</w:t>
      </w:r>
      <w:r w:rsidR="00B350C7" w:rsidRPr="002E4477">
        <w:rPr>
          <w:sz w:val="28"/>
          <w:szCs w:val="28"/>
          <w:shd w:val="clear" w:color="auto" w:fill="FFFFFF"/>
        </w:rPr>
        <w:t xml:space="preserve"> atentaría</w:t>
      </w:r>
      <w:r w:rsidRPr="002E4477">
        <w:rPr>
          <w:sz w:val="28"/>
          <w:szCs w:val="28"/>
          <w:shd w:val="clear" w:color="auto" w:fill="FFFFFF"/>
        </w:rPr>
        <w:t xml:space="preserve"> de esta forma</w:t>
      </w:r>
      <w:r w:rsidR="00B350C7" w:rsidRPr="002E4477">
        <w:rPr>
          <w:sz w:val="28"/>
          <w:szCs w:val="28"/>
          <w:shd w:val="clear" w:color="auto" w:fill="FFFFFF"/>
        </w:rPr>
        <w:t xml:space="preserve"> contra las funciones delimitadas </w:t>
      </w:r>
      <w:r w:rsidR="00251489" w:rsidRPr="002E4477">
        <w:rPr>
          <w:sz w:val="28"/>
          <w:szCs w:val="28"/>
          <w:shd w:val="clear" w:color="auto" w:fill="FFFFFF"/>
        </w:rPr>
        <w:t xml:space="preserve">en estas materias que </w:t>
      </w:r>
      <w:r w:rsidRPr="002E4477">
        <w:rPr>
          <w:sz w:val="28"/>
          <w:szCs w:val="28"/>
          <w:shd w:val="clear" w:color="auto" w:fill="FFFFFF"/>
        </w:rPr>
        <w:t>le competen exclusivamente</w:t>
      </w:r>
      <w:r w:rsidR="00251489" w:rsidRPr="002E4477">
        <w:rPr>
          <w:sz w:val="28"/>
          <w:szCs w:val="28"/>
          <w:shd w:val="clear" w:color="auto" w:fill="FFFFFF"/>
        </w:rPr>
        <w:t xml:space="preserve"> a</w:t>
      </w:r>
      <w:r w:rsidR="002429C4" w:rsidRPr="002E4477">
        <w:rPr>
          <w:sz w:val="28"/>
          <w:szCs w:val="28"/>
          <w:shd w:val="clear" w:color="auto" w:fill="FFFFFF"/>
        </w:rPr>
        <w:t xml:space="preserve"> estas dos Corporaciones </w:t>
      </w:r>
      <w:r w:rsidR="00251489" w:rsidRPr="002E4477">
        <w:rPr>
          <w:sz w:val="28"/>
          <w:szCs w:val="28"/>
          <w:shd w:val="clear" w:color="auto" w:fill="FFFFFF"/>
        </w:rPr>
        <w:t xml:space="preserve">y que les fueron específicamente asignadas por la Carta. </w:t>
      </w:r>
      <w:r w:rsidR="00B350C7" w:rsidRPr="002E4477">
        <w:rPr>
          <w:sz w:val="28"/>
          <w:szCs w:val="28"/>
          <w:shd w:val="clear" w:color="auto" w:fill="FFFFFF"/>
        </w:rPr>
        <w:t xml:space="preserve">En palabras de la sentencia: </w:t>
      </w:r>
    </w:p>
    <w:p w14:paraId="0304E4E4" w14:textId="77777777" w:rsidR="00251489" w:rsidRPr="002E4477" w:rsidRDefault="00251489" w:rsidP="0099084B">
      <w:pPr>
        <w:pStyle w:val="NormalWeb"/>
        <w:tabs>
          <w:tab w:val="left" w:pos="284"/>
        </w:tabs>
        <w:spacing w:before="0" w:beforeAutospacing="0" w:after="0" w:afterAutospacing="0" w:line="276" w:lineRule="auto"/>
        <w:ind w:right="474"/>
        <w:jc w:val="both"/>
        <w:rPr>
          <w:shd w:val="clear" w:color="auto" w:fill="FFFFFF"/>
        </w:rPr>
      </w:pPr>
    </w:p>
    <w:p w14:paraId="6DCDA7F6" w14:textId="77777777" w:rsidR="00251489" w:rsidRPr="00B24C29" w:rsidRDefault="00251489" w:rsidP="00B24C29">
      <w:pPr>
        <w:pStyle w:val="NormalWeb"/>
        <w:tabs>
          <w:tab w:val="left" w:pos="284"/>
          <w:tab w:val="left" w:pos="8222"/>
        </w:tabs>
        <w:spacing w:before="0" w:beforeAutospacing="0" w:after="0" w:afterAutospacing="0"/>
        <w:ind w:left="284"/>
        <w:jc w:val="both"/>
        <w:rPr>
          <w:i/>
          <w:sz w:val="26"/>
          <w:szCs w:val="26"/>
          <w:shd w:val="clear" w:color="auto" w:fill="FFFFFF"/>
        </w:rPr>
      </w:pPr>
      <w:r w:rsidRPr="00B24C29">
        <w:rPr>
          <w:i/>
          <w:sz w:val="26"/>
          <w:szCs w:val="26"/>
          <w:shd w:val="clear" w:color="auto" w:fill="FFFFFF"/>
        </w:rPr>
        <w:t xml:space="preserve">“Si se aceptara la procedencia de la acción de tutela contra decisiones de constitucionalidad de la Corte </w:t>
      </w:r>
      <w:r w:rsidRPr="00815FBD">
        <w:rPr>
          <w:i/>
          <w:sz w:val="26"/>
          <w:szCs w:val="26"/>
          <w:shd w:val="clear" w:color="auto" w:fill="FFFFFF"/>
        </w:rPr>
        <w:t xml:space="preserve">Constitucional y del Consejo de Estado el diseño del control constitucional descrito antes se alteraría de manera profunda, a tal punto que podría afirmarse que no existen dos tipos de control constitucional sino uno solo, otorgado a todos los jueces, quienes se pueden pronunciar sobre el cumplimiento de la Constitución en casos concretos o en casos de control abstracto </w:t>
      </w:r>
      <w:r w:rsidRPr="00815FBD">
        <w:rPr>
          <w:i/>
          <w:sz w:val="26"/>
          <w:szCs w:val="26"/>
          <w:u w:val="single"/>
          <w:shd w:val="clear" w:color="auto" w:fill="FFFFFF"/>
        </w:rPr>
        <w:t>(al revisar decisiones de constitucionalidad de la Corte Constitucional y del Consejo de Estado)</w:t>
      </w:r>
      <w:r w:rsidRPr="00815FBD">
        <w:rPr>
          <w:i/>
          <w:sz w:val="26"/>
          <w:szCs w:val="26"/>
          <w:shd w:val="clear" w:color="auto" w:fill="FFFFFF"/>
        </w:rPr>
        <w:t xml:space="preserve">. La acción de inconstitucionalidad y la de nulidad por inconstitucionalidad </w:t>
      </w:r>
      <w:r w:rsidRPr="00815FBD">
        <w:rPr>
          <w:i/>
          <w:sz w:val="26"/>
          <w:szCs w:val="26"/>
          <w:u w:val="single"/>
          <w:shd w:val="clear" w:color="auto" w:fill="FFFFFF"/>
        </w:rPr>
        <w:t>son funciones delimitadas directamente por la Constitución, la cual determinó expresamente los órganos que de manera exclusiva tienen competencia para conocer de ellas</w:t>
      </w:r>
      <w:r w:rsidRPr="00815FBD">
        <w:rPr>
          <w:i/>
          <w:sz w:val="26"/>
          <w:szCs w:val="26"/>
          <w:shd w:val="clear" w:color="auto" w:fill="FFFFFF"/>
        </w:rPr>
        <w:t>. Esa asignación expresa de funciones (en los artículos 237 numeral 3 y 241 de la</w:t>
      </w:r>
      <w:r w:rsidRPr="00B24C29">
        <w:rPr>
          <w:i/>
          <w:sz w:val="26"/>
          <w:szCs w:val="26"/>
          <w:shd w:val="clear" w:color="auto" w:fill="FFFFFF"/>
        </w:rPr>
        <w:t xml:space="preserve"> Constitución) les da carácter de cierre en materia constitucional, lo cual debe ser tenido en cuenta para interpretar el alcance de la regulación de la acción de tutela prevista en el artículo 86”</w:t>
      </w:r>
      <w:r w:rsidR="00FE5248" w:rsidRPr="00B24C29">
        <w:rPr>
          <w:rStyle w:val="Refdenotaalpie"/>
          <w:i/>
          <w:sz w:val="26"/>
          <w:szCs w:val="26"/>
          <w:shd w:val="clear" w:color="auto" w:fill="FFFFFF"/>
        </w:rPr>
        <w:footnoteReference w:id="109"/>
      </w:r>
      <w:r w:rsidRPr="00B24C29">
        <w:rPr>
          <w:i/>
          <w:sz w:val="26"/>
          <w:szCs w:val="26"/>
          <w:shd w:val="clear" w:color="auto" w:fill="FFFFFF"/>
        </w:rPr>
        <w:t xml:space="preserve">. </w:t>
      </w:r>
      <w:r w:rsidRPr="00B24C29">
        <w:rPr>
          <w:iCs/>
          <w:sz w:val="28"/>
          <w:szCs w:val="28"/>
          <w:shd w:val="clear" w:color="auto" w:fill="FFFFFF"/>
        </w:rPr>
        <w:t>(Subrayas fuera del original)</w:t>
      </w:r>
      <w:r w:rsidRPr="00B24C29">
        <w:rPr>
          <w:i/>
          <w:sz w:val="26"/>
          <w:szCs w:val="26"/>
          <w:shd w:val="clear" w:color="auto" w:fill="FFFFFF"/>
        </w:rPr>
        <w:t xml:space="preserve"> </w:t>
      </w:r>
    </w:p>
    <w:p w14:paraId="05B17DDC" w14:textId="77777777" w:rsidR="001B1E40" w:rsidRPr="002E4477" w:rsidRDefault="001B1E40" w:rsidP="00251489">
      <w:pPr>
        <w:pStyle w:val="NormalWeb"/>
        <w:tabs>
          <w:tab w:val="left" w:pos="284"/>
        </w:tabs>
        <w:spacing w:before="0" w:beforeAutospacing="0" w:after="0" w:afterAutospacing="0"/>
        <w:ind w:right="474"/>
        <w:jc w:val="both"/>
      </w:pPr>
    </w:p>
    <w:p w14:paraId="05362449" w14:textId="77777777" w:rsidR="001B1E40" w:rsidRPr="008037B1" w:rsidRDefault="001B1E40" w:rsidP="001B1E40">
      <w:pPr>
        <w:pStyle w:val="Prrafodelista"/>
        <w:numPr>
          <w:ilvl w:val="0"/>
          <w:numId w:val="10"/>
        </w:numPr>
        <w:jc w:val="both"/>
        <w:rPr>
          <w:szCs w:val="28"/>
        </w:rPr>
      </w:pPr>
      <w:r w:rsidRPr="002E4477">
        <w:rPr>
          <w:szCs w:val="28"/>
          <w:shd w:val="clear" w:color="auto" w:fill="FFFFFF"/>
        </w:rPr>
        <w:t xml:space="preserve">Estas </w:t>
      </w:r>
      <w:r w:rsidR="00251489" w:rsidRPr="002E4477">
        <w:rPr>
          <w:szCs w:val="28"/>
          <w:shd w:val="clear" w:color="auto" w:fill="FFFFFF"/>
        </w:rPr>
        <w:t>razones l</w:t>
      </w:r>
      <w:r w:rsidRPr="002E4477">
        <w:rPr>
          <w:szCs w:val="28"/>
          <w:shd w:val="clear" w:color="auto" w:fill="FFFFFF"/>
        </w:rPr>
        <w:t xml:space="preserve">levaron </w:t>
      </w:r>
      <w:r w:rsidR="00251489" w:rsidRPr="002E4477">
        <w:rPr>
          <w:szCs w:val="28"/>
          <w:shd w:val="clear" w:color="auto" w:fill="FFFFFF"/>
        </w:rPr>
        <w:t xml:space="preserve">a </w:t>
      </w:r>
      <w:r w:rsidRPr="002E4477">
        <w:rPr>
          <w:szCs w:val="28"/>
          <w:shd w:val="clear" w:color="auto" w:fill="FFFFFF"/>
        </w:rPr>
        <w:t xml:space="preserve">la </w:t>
      </w:r>
      <w:r w:rsidR="00251489" w:rsidRPr="002E4477">
        <w:rPr>
          <w:szCs w:val="28"/>
          <w:shd w:val="clear" w:color="auto" w:fill="FFFFFF"/>
        </w:rPr>
        <w:t xml:space="preserve">Corte Constitucional en esa oportunidad </w:t>
      </w:r>
      <w:r w:rsidRPr="002E4477">
        <w:rPr>
          <w:szCs w:val="28"/>
          <w:shd w:val="clear" w:color="auto" w:fill="FFFFFF"/>
        </w:rPr>
        <w:t xml:space="preserve">a considerar improcedente </w:t>
      </w:r>
      <w:r w:rsidR="00251489" w:rsidRPr="002E4477">
        <w:rPr>
          <w:szCs w:val="28"/>
          <w:shd w:val="clear" w:color="auto" w:fill="FFFFFF"/>
        </w:rPr>
        <w:t>la acción de tutela contra decisiones</w:t>
      </w:r>
      <w:r w:rsidR="002E7AE7">
        <w:rPr>
          <w:szCs w:val="28"/>
          <w:shd w:val="clear" w:color="auto" w:fill="FFFFFF"/>
        </w:rPr>
        <w:t xml:space="preserve"> </w:t>
      </w:r>
      <w:r w:rsidR="002E7AE7" w:rsidRPr="008037B1">
        <w:rPr>
          <w:szCs w:val="28"/>
          <w:shd w:val="clear" w:color="auto" w:fill="FFFFFF"/>
        </w:rPr>
        <w:t xml:space="preserve">de control </w:t>
      </w:r>
      <w:r w:rsidR="002E7AE7" w:rsidRPr="008037B1">
        <w:rPr>
          <w:szCs w:val="28"/>
          <w:shd w:val="clear" w:color="auto" w:fill="FFFFFF"/>
        </w:rPr>
        <w:lastRenderedPageBreak/>
        <w:t>abstracto</w:t>
      </w:r>
      <w:r w:rsidR="00251489" w:rsidRPr="008037B1">
        <w:rPr>
          <w:szCs w:val="28"/>
          <w:shd w:val="clear" w:color="auto" w:fill="FFFFFF"/>
        </w:rPr>
        <w:t xml:space="preserve"> </w:t>
      </w:r>
      <w:r w:rsidRPr="008037B1">
        <w:rPr>
          <w:szCs w:val="28"/>
          <w:shd w:val="clear" w:color="auto" w:fill="FFFFFF"/>
        </w:rPr>
        <w:t xml:space="preserve">tanto </w:t>
      </w:r>
      <w:r w:rsidR="00251489" w:rsidRPr="008037B1">
        <w:rPr>
          <w:szCs w:val="28"/>
          <w:shd w:val="clear" w:color="auto" w:fill="FFFFFF"/>
        </w:rPr>
        <w:t>de la Corte Constitucional</w:t>
      </w:r>
      <w:r w:rsidR="00A4555C" w:rsidRPr="008037B1">
        <w:rPr>
          <w:szCs w:val="28"/>
          <w:shd w:val="clear" w:color="auto" w:fill="FFFFFF"/>
        </w:rPr>
        <w:t>,</w:t>
      </w:r>
      <w:r w:rsidRPr="008037B1">
        <w:rPr>
          <w:szCs w:val="28"/>
          <w:shd w:val="clear" w:color="auto" w:fill="FFFFFF"/>
        </w:rPr>
        <w:t xml:space="preserve"> como </w:t>
      </w:r>
      <w:r w:rsidR="00812E2F" w:rsidRPr="008037B1">
        <w:rPr>
          <w:szCs w:val="28"/>
          <w:shd w:val="clear" w:color="auto" w:fill="FFFFFF"/>
        </w:rPr>
        <w:t xml:space="preserve">aquellas del </w:t>
      </w:r>
      <w:r w:rsidR="00251489" w:rsidRPr="008037B1">
        <w:rPr>
          <w:szCs w:val="28"/>
          <w:shd w:val="clear" w:color="auto" w:fill="FFFFFF"/>
        </w:rPr>
        <w:t>Consejo de Estado que resuelven acciones de nulidad por inconstitucionalidad</w:t>
      </w:r>
      <w:r w:rsidR="00B72230" w:rsidRPr="008037B1">
        <w:rPr>
          <w:szCs w:val="28"/>
          <w:shd w:val="clear" w:color="auto" w:fill="FFFFFF"/>
        </w:rPr>
        <w:t>,</w:t>
      </w:r>
      <w:r w:rsidRPr="008037B1">
        <w:rPr>
          <w:szCs w:val="28"/>
          <w:shd w:val="clear" w:color="auto" w:fill="FFFFFF"/>
        </w:rPr>
        <w:t xml:space="preserve"> en los términos </w:t>
      </w:r>
      <w:r w:rsidR="00812E2F" w:rsidRPr="008037B1">
        <w:rPr>
          <w:szCs w:val="28"/>
          <w:shd w:val="clear" w:color="auto" w:fill="FFFFFF"/>
        </w:rPr>
        <w:t xml:space="preserve">previamente </w:t>
      </w:r>
      <w:r w:rsidRPr="008037B1">
        <w:rPr>
          <w:szCs w:val="28"/>
          <w:shd w:val="clear" w:color="auto" w:fill="FFFFFF"/>
        </w:rPr>
        <w:t xml:space="preserve">señalados. </w:t>
      </w:r>
    </w:p>
    <w:p w14:paraId="091AC350" w14:textId="77777777" w:rsidR="001B1E40" w:rsidRPr="002E4477" w:rsidRDefault="001B1E40" w:rsidP="001B1E40">
      <w:pPr>
        <w:pStyle w:val="Prrafodelista"/>
        <w:ind w:left="0"/>
        <w:jc w:val="both"/>
        <w:rPr>
          <w:szCs w:val="28"/>
        </w:rPr>
      </w:pPr>
    </w:p>
    <w:p w14:paraId="62C38FC7" w14:textId="77777777" w:rsidR="00A4555C" w:rsidRPr="008037B1" w:rsidRDefault="005F5B9E" w:rsidP="00D77513">
      <w:pPr>
        <w:pStyle w:val="NormalWeb"/>
        <w:numPr>
          <w:ilvl w:val="0"/>
          <w:numId w:val="10"/>
        </w:numPr>
        <w:tabs>
          <w:tab w:val="left" w:pos="284"/>
        </w:tabs>
        <w:spacing w:before="0" w:beforeAutospacing="0" w:after="0" w:afterAutospacing="0"/>
        <w:ind w:right="40"/>
        <w:jc w:val="both"/>
        <w:rPr>
          <w:szCs w:val="28"/>
          <w:shd w:val="clear" w:color="auto" w:fill="FFFFFF"/>
        </w:rPr>
      </w:pPr>
      <w:r w:rsidRPr="008037B1">
        <w:rPr>
          <w:sz w:val="28"/>
          <w:szCs w:val="28"/>
          <w:shd w:val="clear" w:color="auto" w:fill="FFFFFF"/>
        </w:rPr>
        <w:t xml:space="preserve">No obstante lo anterior, </w:t>
      </w:r>
      <w:r w:rsidR="00812E2F" w:rsidRPr="008037B1">
        <w:rPr>
          <w:sz w:val="28"/>
          <w:szCs w:val="28"/>
          <w:shd w:val="clear" w:color="auto" w:fill="FFFFFF"/>
        </w:rPr>
        <w:t>considera la Sala</w:t>
      </w:r>
      <w:r w:rsidR="00350A4B" w:rsidRPr="008037B1">
        <w:rPr>
          <w:sz w:val="28"/>
          <w:szCs w:val="28"/>
          <w:shd w:val="clear" w:color="auto" w:fill="FFFFFF"/>
        </w:rPr>
        <w:t>,</w:t>
      </w:r>
      <w:r w:rsidRPr="008037B1">
        <w:rPr>
          <w:sz w:val="28"/>
          <w:szCs w:val="28"/>
          <w:shd w:val="clear" w:color="auto" w:fill="FFFFFF"/>
        </w:rPr>
        <w:t xml:space="preserve"> </w:t>
      </w:r>
      <w:r w:rsidR="00812E2F" w:rsidRPr="008037B1">
        <w:rPr>
          <w:sz w:val="28"/>
          <w:szCs w:val="28"/>
          <w:shd w:val="clear" w:color="auto" w:fill="FFFFFF"/>
        </w:rPr>
        <w:t>que los criterios desarrollados por la jurisprudencia para dar cuenta de la improcedencia de</w:t>
      </w:r>
      <w:r w:rsidR="00662BDC" w:rsidRPr="008037B1">
        <w:rPr>
          <w:sz w:val="28"/>
          <w:szCs w:val="28"/>
          <w:shd w:val="clear" w:color="auto" w:fill="FFFFFF"/>
        </w:rPr>
        <w:t xml:space="preserve"> la tutela</w:t>
      </w:r>
      <w:r w:rsidR="00D52012" w:rsidRPr="008037B1">
        <w:rPr>
          <w:sz w:val="28"/>
          <w:szCs w:val="28"/>
        </w:rPr>
        <w:t xml:space="preserve"> en estos casos</w:t>
      </w:r>
      <w:r w:rsidR="00154D3F" w:rsidRPr="008037B1">
        <w:rPr>
          <w:sz w:val="28"/>
          <w:szCs w:val="28"/>
          <w:shd w:val="clear" w:color="auto" w:fill="FFFFFF"/>
        </w:rPr>
        <w:t>,</w:t>
      </w:r>
      <w:r w:rsidR="00662BDC" w:rsidRPr="008037B1">
        <w:rPr>
          <w:sz w:val="28"/>
          <w:szCs w:val="28"/>
          <w:shd w:val="clear" w:color="auto" w:fill="FFFFFF"/>
        </w:rPr>
        <w:t xml:space="preserve"> </w:t>
      </w:r>
      <w:r w:rsidR="00A4555C" w:rsidRPr="008037B1">
        <w:rPr>
          <w:sz w:val="28"/>
          <w:szCs w:val="28"/>
          <w:shd w:val="clear" w:color="auto" w:fill="FFFFFF"/>
        </w:rPr>
        <w:t>centrados precisamente en</w:t>
      </w:r>
      <w:r w:rsidR="00154D3F" w:rsidRPr="008037B1">
        <w:rPr>
          <w:sz w:val="28"/>
          <w:szCs w:val="28"/>
          <w:shd w:val="clear" w:color="auto" w:fill="FFFFFF"/>
        </w:rPr>
        <w:t xml:space="preserve"> el deseo de</w:t>
      </w:r>
      <w:r w:rsidR="00A4555C" w:rsidRPr="008037B1">
        <w:rPr>
          <w:sz w:val="28"/>
          <w:szCs w:val="28"/>
          <w:shd w:val="clear" w:color="auto" w:fill="FFFFFF"/>
        </w:rPr>
        <w:t xml:space="preserve"> evitar una </w:t>
      </w:r>
      <w:r w:rsidR="00A4555C" w:rsidRPr="008037B1">
        <w:rPr>
          <w:bCs/>
          <w:iCs/>
          <w:sz w:val="28"/>
          <w:szCs w:val="28"/>
        </w:rPr>
        <w:t xml:space="preserve">posible perturbación del </w:t>
      </w:r>
      <w:r w:rsidR="00A4555C" w:rsidRPr="008037B1">
        <w:rPr>
          <w:bCs/>
          <w:iCs/>
          <w:sz w:val="28"/>
          <w:szCs w:val="28"/>
          <w:shd w:val="clear" w:color="auto" w:fill="FFFFFF"/>
        </w:rPr>
        <w:t xml:space="preserve">esquema de control constitucional previsto en la </w:t>
      </w:r>
      <w:r w:rsidR="005A0089" w:rsidRPr="008037B1">
        <w:rPr>
          <w:bCs/>
          <w:iCs/>
          <w:sz w:val="28"/>
          <w:szCs w:val="28"/>
          <w:shd w:val="clear" w:color="auto" w:fill="FFFFFF"/>
        </w:rPr>
        <w:t>Carta</w:t>
      </w:r>
      <w:r w:rsidR="00A4555C" w:rsidRPr="008037B1">
        <w:rPr>
          <w:bCs/>
          <w:iCs/>
          <w:sz w:val="28"/>
          <w:szCs w:val="28"/>
          <w:shd w:val="clear" w:color="auto" w:fill="FFFFFF"/>
        </w:rPr>
        <w:t xml:space="preserve"> de 1991</w:t>
      </w:r>
      <w:r w:rsidR="00154D3F" w:rsidRPr="008037B1">
        <w:rPr>
          <w:bCs/>
          <w:iCs/>
          <w:sz w:val="28"/>
          <w:szCs w:val="28"/>
          <w:shd w:val="clear" w:color="auto" w:fill="FFFFFF"/>
        </w:rPr>
        <w:t>, se enfrentan en</w:t>
      </w:r>
      <w:r w:rsidR="00D52012" w:rsidRPr="008037B1">
        <w:rPr>
          <w:bCs/>
          <w:iCs/>
          <w:sz w:val="28"/>
          <w:szCs w:val="28"/>
          <w:shd w:val="clear" w:color="auto" w:fill="FFFFFF"/>
        </w:rPr>
        <w:t xml:space="preserve"> estas circunstancias</w:t>
      </w:r>
      <w:r w:rsidR="00271E4B" w:rsidRPr="008037B1">
        <w:rPr>
          <w:bCs/>
          <w:iCs/>
          <w:sz w:val="28"/>
          <w:szCs w:val="28"/>
          <w:shd w:val="clear" w:color="auto" w:fill="FFFFFF"/>
        </w:rPr>
        <w:t>,</w:t>
      </w:r>
      <w:r w:rsidR="00B72230" w:rsidRPr="008037B1">
        <w:rPr>
          <w:bCs/>
          <w:iCs/>
          <w:sz w:val="28"/>
          <w:szCs w:val="28"/>
          <w:shd w:val="clear" w:color="auto" w:fill="FFFFFF"/>
        </w:rPr>
        <w:t xml:space="preserve"> paradójicamente, a una situación en la que la estructura misma del control y del funcionamiento constitucional se encuentra perturbada</w:t>
      </w:r>
      <w:r w:rsidR="007100DC" w:rsidRPr="008037B1">
        <w:rPr>
          <w:bCs/>
          <w:iCs/>
          <w:sz w:val="28"/>
          <w:szCs w:val="28"/>
          <w:shd w:val="clear" w:color="auto" w:fill="FFFFFF"/>
        </w:rPr>
        <w:t xml:space="preserve">. </w:t>
      </w:r>
    </w:p>
    <w:p w14:paraId="036FBC95" w14:textId="77777777" w:rsidR="00EF0D56" w:rsidRPr="008037B1" w:rsidRDefault="00EF0D56" w:rsidP="00EF0D56">
      <w:pPr>
        <w:pStyle w:val="Prrafodelista"/>
        <w:rPr>
          <w:szCs w:val="28"/>
          <w:shd w:val="clear" w:color="auto" w:fill="FFFFFF"/>
        </w:rPr>
      </w:pPr>
    </w:p>
    <w:p w14:paraId="70A25A32" w14:textId="77777777" w:rsidR="00610757" w:rsidRPr="008037B1" w:rsidRDefault="00610757" w:rsidP="00610757">
      <w:pPr>
        <w:pStyle w:val="Prrafodelista"/>
        <w:ind w:left="0"/>
        <w:jc w:val="both"/>
        <w:rPr>
          <w:szCs w:val="28"/>
          <w:shd w:val="clear" w:color="auto" w:fill="FFFFFF"/>
        </w:rPr>
      </w:pPr>
      <w:r w:rsidRPr="008037B1">
        <w:rPr>
          <w:szCs w:val="28"/>
          <w:shd w:val="clear" w:color="auto" w:fill="FFFFFF"/>
        </w:rPr>
        <w:t xml:space="preserve">En ese sentido, el conflicto que </w:t>
      </w:r>
      <w:r w:rsidR="00271E4B" w:rsidRPr="008037B1">
        <w:rPr>
          <w:szCs w:val="28"/>
          <w:shd w:val="clear" w:color="auto" w:fill="FFFFFF"/>
        </w:rPr>
        <w:t xml:space="preserve">aquí </w:t>
      </w:r>
      <w:r w:rsidRPr="008037B1">
        <w:rPr>
          <w:szCs w:val="28"/>
          <w:shd w:val="clear" w:color="auto" w:fill="FFFFFF"/>
        </w:rPr>
        <w:t xml:space="preserve">se plantea, </w:t>
      </w:r>
      <w:r w:rsidR="00FE1F1F" w:rsidRPr="008037B1">
        <w:rPr>
          <w:szCs w:val="28"/>
          <w:shd w:val="clear" w:color="auto" w:fill="FFFFFF"/>
        </w:rPr>
        <w:t>para el caso del medio de control de la acción de nulidad por inconstitucionalidad,</w:t>
      </w:r>
      <w:r w:rsidR="00271E4B" w:rsidRPr="008037B1">
        <w:rPr>
          <w:szCs w:val="28"/>
          <w:shd w:val="clear" w:color="auto" w:fill="FFFFFF"/>
        </w:rPr>
        <w:t xml:space="preserve"> </w:t>
      </w:r>
      <w:r w:rsidRPr="008037B1">
        <w:rPr>
          <w:szCs w:val="28"/>
          <w:shd w:val="clear" w:color="auto" w:fill="FFFFFF"/>
        </w:rPr>
        <w:t xml:space="preserve">supera las condiciones clásicas que se subsumen en el precedente establecido por la </w:t>
      </w:r>
      <w:r w:rsidRPr="008037B1">
        <w:rPr>
          <w:b/>
          <w:bCs/>
          <w:szCs w:val="28"/>
          <w:shd w:val="clear" w:color="auto" w:fill="FFFFFF"/>
        </w:rPr>
        <w:t>sentencia SU-391 de 2016</w:t>
      </w:r>
      <w:r w:rsidRPr="008037B1">
        <w:rPr>
          <w:szCs w:val="28"/>
          <w:shd w:val="clear" w:color="auto" w:fill="FFFFFF"/>
        </w:rPr>
        <w:t>, ya que</w:t>
      </w:r>
      <w:r w:rsidR="00052F67" w:rsidRPr="008037B1">
        <w:rPr>
          <w:szCs w:val="28"/>
          <w:shd w:val="clear" w:color="auto" w:fill="FFFFFF"/>
        </w:rPr>
        <w:t xml:space="preserve"> responden </w:t>
      </w:r>
      <w:r w:rsidRPr="008037B1">
        <w:rPr>
          <w:szCs w:val="28"/>
          <w:shd w:val="clear" w:color="auto" w:fill="FFFFFF"/>
        </w:rPr>
        <w:t>en gran medida</w:t>
      </w:r>
      <w:r w:rsidR="00052F67" w:rsidRPr="008037B1">
        <w:rPr>
          <w:szCs w:val="28"/>
          <w:shd w:val="clear" w:color="auto" w:fill="FFFFFF"/>
        </w:rPr>
        <w:t xml:space="preserve"> a </w:t>
      </w:r>
      <w:r w:rsidRPr="008037B1">
        <w:rPr>
          <w:szCs w:val="28"/>
          <w:shd w:val="clear" w:color="auto" w:fill="FFFFFF"/>
        </w:rPr>
        <w:t xml:space="preserve">asuntos estructurales del control constitucional, que no encajan de manera simple en las precisiones jurisprudenciales previamente señaladas, sino que van más allá de ellas, dado que se trata de circunstancias en las </w:t>
      </w:r>
      <w:r w:rsidR="00E16CFE" w:rsidRPr="008037B1">
        <w:rPr>
          <w:szCs w:val="28"/>
          <w:shd w:val="clear" w:color="auto" w:fill="FFFFFF"/>
        </w:rPr>
        <w:t xml:space="preserve">que </w:t>
      </w:r>
      <w:r w:rsidR="005E0616" w:rsidRPr="008037B1">
        <w:rPr>
          <w:szCs w:val="28"/>
          <w:shd w:val="clear" w:color="auto" w:fill="FFFFFF"/>
        </w:rPr>
        <w:t xml:space="preserve">al parecer, </w:t>
      </w:r>
      <w:r w:rsidRPr="008037B1">
        <w:rPr>
          <w:szCs w:val="28"/>
          <w:shd w:val="clear" w:color="auto" w:fill="FFFFFF"/>
        </w:rPr>
        <w:t xml:space="preserve">la </w:t>
      </w:r>
      <w:r w:rsidRPr="008037B1">
        <w:rPr>
          <w:bCs/>
          <w:iCs/>
          <w:szCs w:val="28"/>
          <w:shd w:val="clear" w:color="auto" w:fill="FFFFFF"/>
        </w:rPr>
        <w:t xml:space="preserve">delimitación funcional prevista por la Carta entre los órganos que ejercen de manera exclusiva el control constitucional, </w:t>
      </w:r>
      <w:r w:rsidR="00052F67" w:rsidRPr="008037B1">
        <w:rPr>
          <w:bCs/>
          <w:iCs/>
          <w:szCs w:val="28"/>
          <w:shd w:val="clear" w:color="auto" w:fill="FFFFFF"/>
        </w:rPr>
        <w:t xml:space="preserve">parece </w:t>
      </w:r>
      <w:r w:rsidRPr="008037B1">
        <w:rPr>
          <w:bCs/>
          <w:iCs/>
          <w:szCs w:val="28"/>
          <w:shd w:val="clear" w:color="auto" w:fill="FFFFFF"/>
        </w:rPr>
        <w:t xml:space="preserve">alterada.   </w:t>
      </w:r>
    </w:p>
    <w:p w14:paraId="1F6B279A" w14:textId="77777777" w:rsidR="00610757" w:rsidRDefault="00610757" w:rsidP="00610757">
      <w:pPr>
        <w:pStyle w:val="Prrafodelista"/>
        <w:ind w:left="0"/>
        <w:rPr>
          <w:szCs w:val="28"/>
          <w:shd w:val="clear" w:color="auto" w:fill="FFFFFF"/>
        </w:rPr>
      </w:pPr>
    </w:p>
    <w:p w14:paraId="6CDB0719" w14:textId="77777777" w:rsidR="00B65FB6" w:rsidRPr="008037B1" w:rsidRDefault="00350A4B" w:rsidP="00932196">
      <w:pPr>
        <w:pStyle w:val="NormalWeb"/>
        <w:numPr>
          <w:ilvl w:val="0"/>
          <w:numId w:val="10"/>
        </w:numPr>
        <w:tabs>
          <w:tab w:val="left" w:pos="284"/>
        </w:tabs>
        <w:spacing w:before="0" w:beforeAutospacing="0" w:after="0" w:afterAutospacing="0"/>
        <w:ind w:right="40"/>
        <w:jc w:val="both"/>
        <w:rPr>
          <w:sz w:val="28"/>
          <w:szCs w:val="28"/>
          <w:shd w:val="clear" w:color="auto" w:fill="FFFFFF"/>
        </w:rPr>
      </w:pPr>
      <w:r w:rsidRPr="008037B1">
        <w:rPr>
          <w:sz w:val="28"/>
          <w:szCs w:val="28"/>
          <w:shd w:val="clear" w:color="auto" w:fill="FFFFFF"/>
        </w:rPr>
        <w:t>En efecto, c</w:t>
      </w:r>
      <w:r w:rsidR="00D52EA1" w:rsidRPr="008037B1">
        <w:rPr>
          <w:sz w:val="28"/>
          <w:szCs w:val="28"/>
          <w:shd w:val="clear" w:color="auto" w:fill="FFFFFF"/>
        </w:rPr>
        <w:t>omo se evidencia</w:t>
      </w:r>
      <w:r w:rsidR="005F5B9E" w:rsidRPr="008037B1">
        <w:rPr>
          <w:sz w:val="28"/>
          <w:szCs w:val="28"/>
          <w:shd w:val="clear" w:color="auto" w:fill="FFFFFF"/>
        </w:rPr>
        <w:t xml:space="preserve"> en la </w:t>
      </w:r>
      <w:r w:rsidR="00945062" w:rsidRPr="008037B1">
        <w:rPr>
          <w:b/>
          <w:sz w:val="28"/>
          <w:szCs w:val="28"/>
          <w:shd w:val="clear" w:color="auto" w:fill="FFFFFF"/>
        </w:rPr>
        <w:t>S</w:t>
      </w:r>
      <w:r w:rsidR="005F5B9E" w:rsidRPr="008037B1">
        <w:rPr>
          <w:b/>
          <w:sz w:val="28"/>
          <w:szCs w:val="28"/>
          <w:shd w:val="clear" w:color="auto" w:fill="FFFFFF"/>
        </w:rPr>
        <w:t>entencia</w:t>
      </w:r>
      <w:r w:rsidR="005F5B9E" w:rsidRPr="008037B1">
        <w:rPr>
          <w:sz w:val="28"/>
          <w:szCs w:val="28"/>
          <w:shd w:val="clear" w:color="auto" w:fill="FFFFFF"/>
        </w:rPr>
        <w:t xml:space="preserve"> </w:t>
      </w:r>
      <w:r w:rsidR="005F5B9E" w:rsidRPr="008037B1">
        <w:rPr>
          <w:b/>
          <w:sz w:val="28"/>
          <w:szCs w:val="28"/>
        </w:rPr>
        <w:t>SU-391 de 2016</w:t>
      </w:r>
      <w:r w:rsidR="005F5B9E" w:rsidRPr="008037B1">
        <w:rPr>
          <w:sz w:val="28"/>
          <w:szCs w:val="28"/>
        </w:rPr>
        <w:t xml:space="preserve">, </w:t>
      </w:r>
      <w:r w:rsidR="005F5B9E" w:rsidRPr="008037B1">
        <w:rPr>
          <w:sz w:val="28"/>
          <w:szCs w:val="28"/>
          <w:shd w:val="clear" w:color="auto" w:fill="FFFFFF"/>
        </w:rPr>
        <w:t>las razones que llevaron a la Corte</w:t>
      </w:r>
      <w:r w:rsidR="000E4715" w:rsidRPr="008037B1">
        <w:rPr>
          <w:sz w:val="28"/>
          <w:szCs w:val="28"/>
          <w:shd w:val="clear" w:color="auto" w:fill="FFFFFF"/>
        </w:rPr>
        <w:t xml:space="preserve"> Constitu</w:t>
      </w:r>
      <w:r w:rsidR="006236BA" w:rsidRPr="008037B1">
        <w:rPr>
          <w:sz w:val="28"/>
          <w:szCs w:val="28"/>
          <w:shd w:val="clear" w:color="auto" w:fill="FFFFFF"/>
        </w:rPr>
        <w:t>c</w:t>
      </w:r>
      <w:r w:rsidR="000E4715" w:rsidRPr="008037B1">
        <w:rPr>
          <w:sz w:val="28"/>
          <w:szCs w:val="28"/>
          <w:shd w:val="clear" w:color="auto" w:fill="FFFFFF"/>
        </w:rPr>
        <w:t>ional</w:t>
      </w:r>
      <w:r w:rsidR="005F5B9E" w:rsidRPr="008037B1">
        <w:rPr>
          <w:sz w:val="28"/>
          <w:szCs w:val="28"/>
          <w:shd w:val="clear" w:color="auto" w:fill="FFFFFF"/>
        </w:rPr>
        <w:t xml:space="preserve"> a </w:t>
      </w:r>
      <w:r w:rsidR="008037B1">
        <w:rPr>
          <w:sz w:val="28"/>
          <w:szCs w:val="28"/>
          <w:shd w:val="clear" w:color="auto" w:fill="FFFFFF"/>
        </w:rPr>
        <w:t>determinar</w:t>
      </w:r>
      <w:r w:rsidR="00216370" w:rsidRPr="008037B1">
        <w:rPr>
          <w:sz w:val="28"/>
          <w:szCs w:val="28"/>
          <w:shd w:val="clear" w:color="auto" w:fill="FFFFFF"/>
        </w:rPr>
        <w:t xml:space="preserve"> </w:t>
      </w:r>
      <w:r w:rsidR="008037B1">
        <w:rPr>
          <w:sz w:val="28"/>
          <w:szCs w:val="28"/>
          <w:shd w:val="clear" w:color="auto" w:fill="FFFFFF"/>
        </w:rPr>
        <w:t xml:space="preserve">inicialmente </w:t>
      </w:r>
      <w:r w:rsidR="00216370" w:rsidRPr="008037B1">
        <w:rPr>
          <w:sz w:val="28"/>
          <w:szCs w:val="28"/>
          <w:shd w:val="clear" w:color="auto" w:fill="FFFFFF"/>
        </w:rPr>
        <w:t>la improcedencia de la tutela</w:t>
      </w:r>
      <w:r w:rsidR="008037B1">
        <w:rPr>
          <w:sz w:val="28"/>
          <w:szCs w:val="28"/>
          <w:shd w:val="clear" w:color="auto" w:fill="FFFFFF"/>
        </w:rPr>
        <w:t xml:space="preserve"> </w:t>
      </w:r>
      <w:r w:rsidR="00205E60" w:rsidRPr="008037B1">
        <w:rPr>
          <w:sz w:val="28"/>
          <w:szCs w:val="28"/>
          <w:shd w:val="clear" w:color="auto" w:fill="FFFFFF"/>
        </w:rPr>
        <w:t xml:space="preserve">parten </w:t>
      </w:r>
      <w:r w:rsidR="00B65FB6" w:rsidRPr="008037B1">
        <w:rPr>
          <w:sz w:val="28"/>
          <w:szCs w:val="28"/>
          <w:shd w:val="clear" w:color="auto" w:fill="FFFFFF"/>
        </w:rPr>
        <w:t xml:space="preserve">de la </w:t>
      </w:r>
      <w:r w:rsidR="00205E60" w:rsidRPr="008037B1">
        <w:rPr>
          <w:sz w:val="28"/>
          <w:szCs w:val="28"/>
          <w:shd w:val="clear" w:color="auto" w:fill="FFFFFF"/>
        </w:rPr>
        <w:t xml:space="preserve">existencia y necesidad de protección de un </w:t>
      </w:r>
      <w:r w:rsidR="00B65FB6" w:rsidRPr="008037B1">
        <w:rPr>
          <w:sz w:val="28"/>
          <w:szCs w:val="28"/>
          <w:shd w:val="clear" w:color="auto" w:fill="FFFFFF"/>
        </w:rPr>
        <w:t xml:space="preserve">esquema de control constitucional </w:t>
      </w:r>
      <w:r w:rsidR="00B65FB6" w:rsidRPr="008037B1">
        <w:rPr>
          <w:bCs/>
          <w:i/>
          <w:sz w:val="28"/>
          <w:szCs w:val="28"/>
          <w:shd w:val="clear" w:color="auto" w:fill="FFFFFF"/>
        </w:rPr>
        <w:t>sin</w:t>
      </w:r>
      <w:r w:rsidR="00205E60" w:rsidRPr="008037B1">
        <w:rPr>
          <w:bCs/>
          <w:i/>
          <w:sz w:val="28"/>
          <w:szCs w:val="28"/>
          <w:shd w:val="clear" w:color="auto" w:fill="FFFFFF"/>
        </w:rPr>
        <w:t xml:space="preserve"> </w:t>
      </w:r>
      <w:r w:rsidR="0091690C" w:rsidRPr="008037B1">
        <w:rPr>
          <w:bCs/>
          <w:i/>
          <w:sz w:val="28"/>
          <w:szCs w:val="28"/>
          <w:shd w:val="clear" w:color="auto" w:fill="FFFFFF"/>
        </w:rPr>
        <w:t>mayores perturbaciones</w:t>
      </w:r>
      <w:r w:rsidR="005F5B9E" w:rsidRPr="008037B1">
        <w:rPr>
          <w:bCs/>
          <w:sz w:val="28"/>
          <w:szCs w:val="28"/>
          <w:shd w:val="clear" w:color="auto" w:fill="FFFFFF"/>
        </w:rPr>
        <w:t>.</w:t>
      </w:r>
      <w:r w:rsidR="005F5B9E" w:rsidRPr="008037B1">
        <w:rPr>
          <w:sz w:val="28"/>
          <w:szCs w:val="28"/>
          <w:shd w:val="clear" w:color="auto" w:fill="FFFFFF"/>
        </w:rPr>
        <w:t xml:space="preserve"> Una realidad que</w:t>
      </w:r>
      <w:r w:rsidR="00B25D6F" w:rsidRPr="008037B1">
        <w:rPr>
          <w:sz w:val="28"/>
          <w:szCs w:val="28"/>
          <w:shd w:val="clear" w:color="auto" w:fill="FFFFFF"/>
        </w:rPr>
        <w:t xml:space="preserve"> </w:t>
      </w:r>
      <w:r w:rsidR="005F5B9E" w:rsidRPr="008037B1">
        <w:rPr>
          <w:sz w:val="28"/>
          <w:szCs w:val="28"/>
          <w:shd w:val="clear" w:color="auto" w:fill="FFFFFF"/>
        </w:rPr>
        <w:t xml:space="preserve">no se </w:t>
      </w:r>
      <w:r w:rsidR="00D52EA1" w:rsidRPr="008037B1">
        <w:rPr>
          <w:sz w:val="28"/>
          <w:szCs w:val="28"/>
          <w:shd w:val="clear" w:color="auto" w:fill="FFFFFF"/>
        </w:rPr>
        <w:t>refleja</w:t>
      </w:r>
      <w:r w:rsidRPr="008037B1">
        <w:rPr>
          <w:sz w:val="28"/>
          <w:szCs w:val="28"/>
          <w:shd w:val="clear" w:color="auto" w:fill="FFFFFF"/>
        </w:rPr>
        <w:t xml:space="preserve"> </w:t>
      </w:r>
      <w:r w:rsidR="005F5B9E" w:rsidRPr="008037B1">
        <w:rPr>
          <w:sz w:val="28"/>
          <w:szCs w:val="28"/>
          <w:shd w:val="clear" w:color="auto" w:fill="FFFFFF"/>
        </w:rPr>
        <w:t>en</w:t>
      </w:r>
      <w:r w:rsidR="00D52EA1" w:rsidRPr="008037B1">
        <w:rPr>
          <w:sz w:val="28"/>
          <w:szCs w:val="28"/>
          <w:shd w:val="clear" w:color="auto" w:fill="FFFFFF"/>
        </w:rPr>
        <w:t xml:space="preserve"> </w:t>
      </w:r>
      <w:r w:rsidR="004A1FC9" w:rsidRPr="008037B1">
        <w:rPr>
          <w:sz w:val="28"/>
          <w:szCs w:val="28"/>
          <w:shd w:val="clear" w:color="auto" w:fill="FFFFFF"/>
        </w:rPr>
        <w:t xml:space="preserve">el </w:t>
      </w:r>
      <w:r w:rsidR="00205E60" w:rsidRPr="008037B1">
        <w:rPr>
          <w:sz w:val="28"/>
          <w:szCs w:val="28"/>
          <w:shd w:val="clear" w:color="auto" w:fill="FFFFFF"/>
        </w:rPr>
        <w:t xml:space="preserve">caso </w:t>
      </w:r>
      <w:r w:rsidR="00B24C29" w:rsidRPr="008037B1">
        <w:rPr>
          <w:sz w:val="28"/>
          <w:szCs w:val="28"/>
          <w:shd w:val="clear" w:color="auto" w:fill="FFFFFF"/>
        </w:rPr>
        <w:t>objeto de estudio</w:t>
      </w:r>
      <w:r w:rsidR="005F5B9E" w:rsidRPr="008037B1">
        <w:rPr>
          <w:sz w:val="28"/>
          <w:szCs w:val="28"/>
          <w:shd w:val="clear" w:color="auto" w:fill="FFFFFF"/>
        </w:rPr>
        <w:t xml:space="preserve">, </w:t>
      </w:r>
      <w:r w:rsidR="00B25D6F" w:rsidRPr="008037B1">
        <w:rPr>
          <w:sz w:val="28"/>
          <w:szCs w:val="28"/>
          <w:shd w:val="clear" w:color="auto" w:fill="FFFFFF"/>
        </w:rPr>
        <w:t xml:space="preserve">ya </w:t>
      </w:r>
      <w:r w:rsidR="00271E4B" w:rsidRPr="008037B1">
        <w:rPr>
          <w:sz w:val="28"/>
          <w:szCs w:val="28"/>
          <w:shd w:val="clear" w:color="auto" w:fill="FFFFFF"/>
        </w:rPr>
        <w:t xml:space="preserve">que lejos de dar cuenta de una problemática </w:t>
      </w:r>
      <w:r w:rsidR="005F5B9E" w:rsidRPr="008037B1">
        <w:rPr>
          <w:sz w:val="28"/>
          <w:szCs w:val="28"/>
          <w:shd w:val="clear" w:color="auto" w:fill="FFFFFF"/>
        </w:rPr>
        <w:t>que</w:t>
      </w:r>
      <w:r w:rsidR="00B25D6F" w:rsidRPr="008037B1">
        <w:rPr>
          <w:sz w:val="28"/>
          <w:szCs w:val="28"/>
          <w:shd w:val="clear" w:color="auto" w:fill="FFFFFF"/>
        </w:rPr>
        <w:t xml:space="preserve"> puede resolverse a partir de las reglas de control constitucional de la Carta de una manera tradicional, evidencia una posible</w:t>
      </w:r>
      <w:r w:rsidR="005F5B9E" w:rsidRPr="008037B1">
        <w:rPr>
          <w:sz w:val="28"/>
          <w:szCs w:val="28"/>
          <w:shd w:val="clear" w:color="auto" w:fill="FFFFFF"/>
        </w:rPr>
        <w:t xml:space="preserve"> </w:t>
      </w:r>
      <w:r w:rsidR="00052F67" w:rsidRPr="008037B1">
        <w:rPr>
          <w:i/>
          <w:sz w:val="28"/>
          <w:szCs w:val="28"/>
          <w:shd w:val="clear" w:color="auto" w:fill="FFFFFF"/>
        </w:rPr>
        <w:t xml:space="preserve">alteración </w:t>
      </w:r>
      <w:r w:rsidR="00052F67" w:rsidRPr="008037B1">
        <w:rPr>
          <w:iCs/>
          <w:sz w:val="28"/>
          <w:szCs w:val="28"/>
          <w:shd w:val="clear" w:color="auto" w:fill="FFFFFF"/>
        </w:rPr>
        <w:t xml:space="preserve">en la estructura </w:t>
      </w:r>
      <w:r w:rsidR="00B25D6F" w:rsidRPr="008037B1">
        <w:rPr>
          <w:iCs/>
          <w:sz w:val="28"/>
          <w:szCs w:val="28"/>
          <w:shd w:val="clear" w:color="auto" w:fill="FFFFFF"/>
        </w:rPr>
        <w:t xml:space="preserve">misma </w:t>
      </w:r>
      <w:r w:rsidR="00052F67" w:rsidRPr="008037B1">
        <w:rPr>
          <w:iCs/>
          <w:sz w:val="28"/>
          <w:szCs w:val="28"/>
          <w:shd w:val="clear" w:color="auto" w:fill="FFFFFF"/>
        </w:rPr>
        <w:t xml:space="preserve">de </w:t>
      </w:r>
      <w:r w:rsidR="00B25D6F" w:rsidRPr="008037B1">
        <w:rPr>
          <w:iCs/>
          <w:sz w:val="28"/>
          <w:szCs w:val="28"/>
          <w:shd w:val="clear" w:color="auto" w:fill="FFFFFF"/>
        </w:rPr>
        <w:t xml:space="preserve">ese </w:t>
      </w:r>
      <w:r w:rsidR="00052F67" w:rsidRPr="008037B1">
        <w:rPr>
          <w:iCs/>
          <w:sz w:val="28"/>
          <w:szCs w:val="28"/>
          <w:shd w:val="clear" w:color="auto" w:fill="FFFFFF"/>
        </w:rPr>
        <w:t>control</w:t>
      </w:r>
      <w:r w:rsidR="004A1FC9" w:rsidRPr="008037B1">
        <w:rPr>
          <w:iCs/>
          <w:sz w:val="28"/>
          <w:szCs w:val="28"/>
          <w:shd w:val="clear" w:color="auto" w:fill="FFFFFF"/>
        </w:rPr>
        <w:t>,</w:t>
      </w:r>
      <w:r w:rsidR="00B25D6F" w:rsidRPr="008037B1">
        <w:rPr>
          <w:iCs/>
          <w:sz w:val="28"/>
          <w:szCs w:val="28"/>
          <w:shd w:val="clear" w:color="auto" w:fill="FFFFFF"/>
        </w:rPr>
        <w:t xml:space="preserve"> que</w:t>
      </w:r>
      <w:r w:rsidR="005F5B9E" w:rsidRPr="008037B1">
        <w:rPr>
          <w:sz w:val="28"/>
          <w:szCs w:val="28"/>
          <w:shd w:val="clear" w:color="auto" w:fill="FFFFFF"/>
        </w:rPr>
        <w:t xml:space="preserve"> surge precisamente de la aparente diferencia intrínseca de aproximaciones </w:t>
      </w:r>
      <w:r w:rsidR="00052F67" w:rsidRPr="008037B1">
        <w:rPr>
          <w:sz w:val="28"/>
          <w:szCs w:val="28"/>
          <w:shd w:val="clear" w:color="auto" w:fill="FFFFFF"/>
        </w:rPr>
        <w:t xml:space="preserve">respecto de </w:t>
      </w:r>
      <w:r w:rsidR="00932196" w:rsidRPr="008037B1">
        <w:rPr>
          <w:sz w:val="28"/>
          <w:szCs w:val="28"/>
          <w:shd w:val="clear" w:color="auto" w:fill="FFFFFF"/>
        </w:rPr>
        <w:t xml:space="preserve">una </w:t>
      </w:r>
      <w:r w:rsidR="005F5B9E" w:rsidRPr="008037B1">
        <w:rPr>
          <w:sz w:val="28"/>
          <w:szCs w:val="28"/>
          <w:shd w:val="clear" w:color="auto" w:fill="FFFFFF"/>
        </w:rPr>
        <w:t>norma constitucional</w:t>
      </w:r>
      <w:r w:rsidR="00B25D6F" w:rsidRPr="008037B1">
        <w:rPr>
          <w:sz w:val="28"/>
          <w:szCs w:val="28"/>
          <w:shd w:val="clear" w:color="auto" w:fill="FFFFFF"/>
        </w:rPr>
        <w:t xml:space="preserve"> y su alcance</w:t>
      </w:r>
      <w:r w:rsidR="00932196" w:rsidRPr="008037B1">
        <w:rPr>
          <w:sz w:val="28"/>
          <w:szCs w:val="28"/>
          <w:shd w:val="clear" w:color="auto" w:fill="FFFFFF"/>
        </w:rPr>
        <w:t>,</w:t>
      </w:r>
      <w:r w:rsidR="005F5B9E" w:rsidRPr="008037B1">
        <w:rPr>
          <w:sz w:val="28"/>
          <w:szCs w:val="28"/>
          <w:shd w:val="clear" w:color="auto" w:fill="FFFFFF"/>
        </w:rPr>
        <w:t xml:space="preserve"> entre la Corte Constitucional y </w:t>
      </w:r>
      <w:r w:rsidR="0091690C" w:rsidRPr="008037B1">
        <w:rPr>
          <w:sz w:val="28"/>
          <w:szCs w:val="28"/>
          <w:shd w:val="clear" w:color="auto" w:fill="FFFFFF"/>
        </w:rPr>
        <w:t>el Consejo</w:t>
      </w:r>
      <w:r w:rsidR="005F5B9E" w:rsidRPr="008037B1">
        <w:rPr>
          <w:sz w:val="28"/>
          <w:szCs w:val="28"/>
          <w:shd w:val="clear" w:color="auto" w:fill="FFFFFF"/>
        </w:rPr>
        <w:t xml:space="preserve"> de Estado</w:t>
      </w:r>
      <w:r w:rsidR="008037B1">
        <w:rPr>
          <w:sz w:val="28"/>
          <w:szCs w:val="28"/>
          <w:shd w:val="clear" w:color="auto" w:fill="FFFFFF"/>
        </w:rPr>
        <w:t>; diferencia que deriva de una sentencia de control constitucional de la Corte Constitucional, lo cual, sin duda, tiene</w:t>
      </w:r>
      <w:r w:rsidR="00932196" w:rsidRPr="008037B1">
        <w:rPr>
          <w:sz w:val="28"/>
          <w:szCs w:val="28"/>
          <w:shd w:val="clear" w:color="auto" w:fill="FFFFFF"/>
        </w:rPr>
        <w:t xml:space="preserve"> </w:t>
      </w:r>
      <w:r w:rsidR="00F014DD" w:rsidRPr="008037B1">
        <w:rPr>
          <w:sz w:val="28"/>
          <w:szCs w:val="28"/>
          <w:shd w:val="clear" w:color="auto" w:fill="FFFFFF"/>
        </w:rPr>
        <w:t xml:space="preserve">repercusiones en la propia estructura de la Rama Judicial y en el funcionamiento de un órgano creado por la Constitución. </w:t>
      </w:r>
    </w:p>
    <w:p w14:paraId="29AC4737" w14:textId="77777777" w:rsidR="00B65FB6" w:rsidRPr="008037B1" w:rsidRDefault="00B65FB6" w:rsidP="00B65FB6">
      <w:pPr>
        <w:pStyle w:val="Prrafodelista"/>
        <w:rPr>
          <w:szCs w:val="28"/>
          <w:shd w:val="clear" w:color="auto" w:fill="FFFFFF"/>
        </w:rPr>
      </w:pPr>
    </w:p>
    <w:p w14:paraId="5134C9A5" w14:textId="77777777" w:rsidR="002914CB" w:rsidRPr="008037B1" w:rsidRDefault="005F5B9E" w:rsidP="0018174E">
      <w:pPr>
        <w:pStyle w:val="NormalWeb"/>
        <w:numPr>
          <w:ilvl w:val="0"/>
          <w:numId w:val="10"/>
        </w:numPr>
        <w:tabs>
          <w:tab w:val="left" w:pos="284"/>
        </w:tabs>
        <w:spacing w:before="0" w:beforeAutospacing="0" w:after="0" w:afterAutospacing="0"/>
        <w:ind w:right="40"/>
        <w:jc w:val="both"/>
        <w:rPr>
          <w:szCs w:val="28"/>
        </w:rPr>
      </w:pPr>
      <w:r w:rsidRPr="008037B1">
        <w:rPr>
          <w:sz w:val="28"/>
          <w:szCs w:val="28"/>
          <w:shd w:val="clear" w:color="auto" w:fill="FFFFFF"/>
        </w:rPr>
        <w:t xml:space="preserve">Adicionalmente, </w:t>
      </w:r>
      <w:r w:rsidR="009F4BF1" w:rsidRPr="008037B1">
        <w:rPr>
          <w:sz w:val="28"/>
          <w:szCs w:val="28"/>
          <w:shd w:val="clear" w:color="auto" w:fill="FFFFFF"/>
        </w:rPr>
        <w:t xml:space="preserve">el </w:t>
      </w:r>
      <w:r w:rsidR="008037B1">
        <w:rPr>
          <w:sz w:val="28"/>
          <w:szCs w:val="28"/>
          <w:shd w:val="clear" w:color="auto" w:fill="FFFFFF"/>
        </w:rPr>
        <w:t>argumento expuesto en</w:t>
      </w:r>
      <w:r w:rsidR="00D52EA1" w:rsidRPr="008037B1">
        <w:rPr>
          <w:sz w:val="28"/>
          <w:szCs w:val="28"/>
          <w:shd w:val="clear" w:color="auto" w:fill="FFFFFF"/>
        </w:rPr>
        <w:t xml:space="preserve"> la</w:t>
      </w:r>
      <w:r w:rsidR="00205E60" w:rsidRPr="008037B1">
        <w:rPr>
          <w:sz w:val="28"/>
          <w:szCs w:val="28"/>
          <w:shd w:val="clear" w:color="auto" w:fill="FFFFFF"/>
        </w:rPr>
        <w:t xml:space="preserve"> providencia </w:t>
      </w:r>
      <w:r w:rsidR="00B25D6F" w:rsidRPr="008037B1">
        <w:rPr>
          <w:b/>
          <w:sz w:val="28"/>
          <w:szCs w:val="28"/>
        </w:rPr>
        <w:t>SU-391 de 2016</w:t>
      </w:r>
      <w:r w:rsidR="008037B1" w:rsidRPr="008037B1">
        <w:rPr>
          <w:bCs/>
          <w:sz w:val="28"/>
          <w:szCs w:val="28"/>
        </w:rPr>
        <w:t>, según el cual</w:t>
      </w:r>
      <w:r w:rsidR="008037B1">
        <w:rPr>
          <w:b/>
          <w:sz w:val="28"/>
          <w:szCs w:val="28"/>
        </w:rPr>
        <w:t xml:space="preserve"> </w:t>
      </w:r>
      <w:r w:rsidR="004055FA" w:rsidRPr="008037B1">
        <w:rPr>
          <w:sz w:val="28"/>
          <w:szCs w:val="28"/>
          <w:shd w:val="clear" w:color="auto" w:fill="FFFFFF"/>
        </w:rPr>
        <w:t xml:space="preserve">la acción </w:t>
      </w:r>
      <w:r w:rsidR="00205E60" w:rsidRPr="008037B1">
        <w:rPr>
          <w:sz w:val="28"/>
          <w:szCs w:val="28"/>
          <w:shd w:val="clear" w:color="auto" w:fill="FFFFFF"/>
        </w:rPr>
        <w:t xml:space="preserve">de tutela </w:t>
      </w:r>
      <w:r w:rsidR="008037B1">
        <w:rPr>
          <w:sz w:val="28"/>
          <w:szCs w:val="28"/>
          <w:shd w:val="clear" w:color="auto" w:fill="FFFFFF"/>
        </w:rPr>
        <w:t xml:space="preserve">es improcedente </w:t>
      </w:r>
      <w:r w:rsidR="00205E60" w:rsidRPr="008037B1">
        <w:rPr>
          <w:sz w:val="28"/>
          <w:szCs w:val="28"/>
          <w:shd w:val="clear" w:color="auto" w:fill="FFFFFF"/>
        </w:rPr>
        <w:t xml:space="preserve">contra </w:t>
      </w:r>
      <w:r w:rsidR="00350A4B" w:rsidRPr="008037B1">
        <w:rPr>
          <w:sz w:val="28"/>
          <w:szCs w:val="28"/>
          <w:shd w:val="clear" w:color="auto" w:fill="FFFFFF"/>
        </w:rPr>
        <w:t>s</w:t>
      </w:r>
      <w:r w:rsidR="00562F79" w:rsidRPr="008037B1">
        <w:rPr>
          <w:sz w:val="28"/>
          <w:szCs w:val="28"/>
          <w:shd w:val="clear" w:color="auto" w:fill="FFFFFF"/>
        </w:rPr>
        <w:t>entencia</w:t>
      </w:r>
      <w:r w:rsidR="00350A4B" w:rsidRPr="008037B1">
        <w:rPr>
          <w:sz w:val="28"/>
          <w:szCs w:val="28"/>
          <w:shd w:val="clear" w:color="auto" w:fill="FFFFFF"/>
        </w:rPr>
        <w:t>s</w:t>
      </w:r>
      <w:r w:rsidR="00205E60" w:rsidRPr="008037B1">
        <w:rPr>
          <w:sz w:val="28"/>
          <w:szCs w:val="28"/>
          <w:shd w:val="clear" w:color="auto" w:fill="FFFFFF"/>
        </w:rPr>
        <w:t xml:space="preserve"> de nulidad por inconstituc</w:t>
      </w:r>
      <w:r w:rsidR="00D52EA1" w:rsidRPr="008037B1">
        <w:rPr>
          <w:sz w:val="28"/>
          <w:szCs w:val="28"/>
          <w:shd w:val="clear" w:color="auto" w:fill="FFFFFF"/>
        </w:rPr>
        <w:t>ionalidad</w:t>
      </w:r>
      <w:r w:rsidR="008037B1">
        <w:rPr>
          <w:sz w:val="28"/>
          <w:szCs w:val="28"/>
          <w:shd w:val="clear" w:color="auto" w:fill="FFFFFF"/>
        </w:rPr>
        <w:t xml:space="preserve"> porque</w:t>
      </w:r>
      <w:r w:rsidR="00D52EA1" w:rsidRPr="008037B1">
        <w:rPr>
          <w:sz w:val="28"/>
          <w:szCs w:val="28"/>
          <w:shd w:val="clear" w:color="auto" w:fill="FFFFFF"/>
        </w:rPr>
        <w:t xml:space="preserve"> </w:t>
      </w:r>
      <w:r w:rsidR="007E1DBB" w:rsidRPr="008037B1">
        <w:rPr>
          <w:sz w:val="28"/>
          <w:szCs w:val="28"/>
          <w:shd w:val="clear" w:color="auto" w:fill="FFFFFF"/>
        </w:rPr>
        <w:t>tales acciones se asemejan</w:t>
      </w:r>
      <w:r w:rsidR="00D52EA1" w:rsidRPr="008037B1">
        <w:rPr>
          <w:sz w:val="28"/>
          <w:szCs w:val="28"/>
          <w:shd w:val="clear" w:color="auto" w:fill="FFFFFF"/>
        </w:rPr>
        <w:t xml:space="preserve"> a </w:t>
      </w:r>
      <w:r w:rsidR="004055FA" w:rsidRPr="008037B1">
        <w:rPr>
          <w:sz w:val="28"/>
          <w:szCs w:val="28"/>
          <w:shd w:val="clear" w:color="auto" w:fill="FFFFFF"/>
        </w:rPr>
        <w:t xml:space="preserve">un </w:t>
      </w:r>
      <w:r w:rsidR="004055FA" w:rsidRPr="008037B1">
        <w:rPr>
          <w:iCs/>
          <w:sz w:val="28"/>
          <w:szCs w:val="28"/>
        </w:rPr>
        <w:t xml:space="preserve">acto de </w:t>
      </w:r>
      <w:r w:rsidR="004055FA" w:rsidRPr="008037B1">
        <w:rPr>
          <w:sz w:val="28"/>
          <w:szCs w:val="28"/>
        </w:rPr>
        <w:t xml:space="preserve">carácter </w:t>
      </w:r>
      <w:r w:rsidR="004055FA" w:rsidRPr="008037B1">
        <w:rPr>
          <w:bCs/>
          <w:sz w:val="28"/>
          <w:szCs w:val="28"/>
        </w:rPr>
        <w:t>general, impersonal y abstracto en el que se</w:t>
      </w:r>
      <w:r w:rsidR="004055FA" w:rsidRPr="008037B1">
        <w:rPr>
          <w:bCs/>
          <w:i/>
          <w:iCs/>
          <w:sz w:val="28"/>
          <w:szCs w:val="28"/>
        </w:rPr>
        <w:t xml:space="preserve"> “contrastan dos normas jurídicas sin atención a hechos concretos”</w:t>
      </w:r>
      <w:r w:rsidR="00562F79" w:rsidRPr="008037B1">
        <w:rPr>
          <w:bCs/>
          <w:i/>
          <w:iCs/>
          <w:sz w:val="28"/>
          <w:szCs w:val="28"/>
        </w:rPr>
        <w:t>,</w:t>
      </w:r>
      <w:r w:rsidR="00867529" w:rsidRPr="008037B1">
        <w:rPr>
          <w:bCs/>
          <w:i/>
          <w:iCs/>
          <w:sz w:val="28"/>
          <w:szCs w:val="28"/>
        </w:rPr>
        <w:t xml:space="preserve"> </w:t>
      </w:r>
      <w:r w:rsidR="006D53FE" w:rsidRPr="008037B1">
        <w:rPr>
          <w:bCs/>
          <w:sz w:val="28"/>
          <w:szCs w:val="28"/>
        </w:rPr>
        <w:t>resulta ser</w:t>
      </w:r>
      <w:r w:rsidR="006D3265" w:rsidRPr="008037B1">
        <w:rPr>
          <w:bCs/>
          <w:sz w:val="28"/>
          <w:szCs w:val="28"/>
        </w:rPr>
        <w:t xml:space="preserve"> una regla </w:t>
      </w:r>
      <w:r w:rsidR="006D53FE" w:rsidRPr="008037B1">
        <w:rPr>
          <w:bCs/>
          <w:sz w:val="28"/>
          <w:szCs w:val="28"/>
        </w:rPr>
        <w:t>pertinente que,</w:t>
      </w:r>
      <w:r w:rsidR="006D3265" w:rsidRPr="008037B1">
        <w:rPr>
          <w:bCs/>
          <w:sz w:val="28"/>
          <w:szCs w:val="28"/>
        </w:rPr>
        <w:t xml:space="preserve"> </w:t>
      </w:r>
      <w:r w:rsidR="006D53FE" w:rsidRPr="008037B1">
        <w:rPr>
          <w:bCs/>
          <w:sz w:val="28"/>
          <w:szCs w:val="28"/>
        </w:rPr>
        <w:t>s</w:t>
      </w:r>
      <w:r w:rsidR="00B25D6F" w:rsidRPr="008037B1">
        <w:rPr>
          <w:bCs/>
          <w:sz w:val="28"/>
          <w:szCs w:val="28"/>
        </w:rPr>
        <w:t xml:space="preserve">in embargo, </w:t>
      </w:r>
      <w:r w:rsidR="006D53FE" w:rsidRPr="008037B1">
        <w:rPr>
          <w:bCs/>
          <w:sz w:val="28"/>
          <w:szCs w:val="28"/>
        </w:rPr>
        <w:t xml:space="preserve">no </w:t>
      </w:r>
      <w:r w:rsidR="006D53FE" w:rsidRPr="008037B1">
        <w:rPr>
          <w:sz w:val="28"/>
          <w:szCs w:val="28"/>
        </w:rPr>
        <w:t xml:space="preserve">se ajusta </w:t>
      </w:r>
      <w:r w:rsidR="006D3265" w:rsidRPr="008037B1">
        <w:rPr>
          <w:sz w:val="28"/>
          <w:szCs w:val="28"/>
        </w:rPr>
        <w:t>a</w:t>
      </w:r>
      <w:r w:rsidR="00350A4B" w:rsidRPr="008037B1">
        <w:rPr>
          <w:sz w:val="28"/>
          <w:szCs w:val="28"/>
        </w:rPr>
        <w:t xml:space="preserve"> las </w:t>
      </w:r>
      <w:r w:rsidR="009F4BF1" w:rsidRPr="008037B1">
        <w:rPr>
          <w:sz w:val="28"/>
          <w:szCs w:val="28"/>
        </w:rPr>
        <w:t xml:space="preserve">circunstancias </w:t>
      </w:r>
      <w:r w:rsidR="00945062" w:rsidRPr="008037B1">
        <w:rPr>
          <w:sz w:val="28"/>
          <w:szCs w:val="28"/>
        </w:rPr>
        <w:t xml:space="preserve">que </w:t>
      </w:r>
      <w:r w:rsidR="006D53FE" w:rsidRPr="008037B1">
        <w:rPr>
          <w:sz w:val="28"/>
          <w:szCs w:val="28"/>
        </w:rPr>
        <w:t>aquí se</w:t>
      </w:r>
      <w:r w:rsidR="00945062" w:rsidRPr="008037B1">
        <w:rPr>
          <w:sz w:val="28"/>
          <w:szCs w:val="28"/>
        </w:rPr>
        <w:t xml:space="preserve"> </w:t>
      </w:r>
      <w:r w:rsidRPr="008037B1">
        <w:rPr>
          <w:sz w:val="28"/>
          <w:szCs w:val="28"/>
        </w:rPr>
        <w:t xml:space="preserve">plantean, </w:t>
      </w:r>
      <w:r w:rsidR="006D53FE" w:rsidRPr="008037B1">
        <w:rPr>
          <w:sz w:val="28"/>
          <w:szCs w:val="28"/>
        </w:rPr>
        <w:t xml:space="preserve">dado que </w:t>
      </w:r>
      <w:r w:rsidRPr="008037B1">
        <w:rPr>
          <w:sz w:val="28"/>
          <w:szCs w:val="28"/>
        </w:rPr>
        <w:t xml:space="preserve">el debate </w:t>
      </w:r>
      <w:r w:rsidR="006D53FE" w:rsidRPr="008037B1">
        <w:rPr>
          <w:sz w:val="28"/>
          <w:szCs w:val="28"/>
        </w:rPr>
        <w:t xml:space="preserve">que se propone en esta oportunidad </w:t>
      </w:r>
      <w:r w:rsidRPr="008037B1">
        <w:rPr>
          <w:sz w:val="28"/>
          <w:szCs w:val="28"/>
        </w:rPr>
        <w:t xml:space="preserve">involucra </w:t>
      </w:r>
      <w:r w:rsidR="00350A4B" w:rsidRPr="008037B1">
        <w:rPr>
          <w:sz w:val="28"/>
          <w:szCs w:val="28"/>
        </w:rPr>
        <w:t xml:space="preserve">una </w:t>
      </w:r>
      <w:r w:rsidRPr="008037B1">
        <w:rPr>
          <w:sz w:val="28"/>
          <w:szCs w:val="28"/>
        </w:rPr>
        <w:t xml:space="preserve">reflexión </w:t>
      </w:r>
      <w:r w:rsidR="006D53FE" w:rsidRPr="008037B1">
        <w:rPr>
          <w:sz w:val="28"/>
          <w:szCs w:val="28"/>
        </w:rPr>
        <w:t xml:space="preserve">necesaria </w:t>
      </w:r>
      <w:r w:rsidRPr="008037B1">
        <w:rPr>
          <w:sz w:val="28"/>
          <w:szCs w:val="28"/>
        </w:rPr>
        <w:t xml:space="preserve">sobre </w:t>
      </w:r>
      <w:r w:rsidR="009F4BF1" w:rsidRPr="008037B1">
        <w:rPr>
          <w:sz w:val="28"/>
          <w:szCs w:val="28"/>
        </w:rPr>
        <w:t>el alcance</w:t>
      </w:r>
      <w:r w:rsidR="006D53FE" w:rsidRPr="008037B1">
        <w:rPr>
          <w:sz w:val="28"/>
          <w:szCs w:val="28"/>
        </w:rPr>
        <w:t xml:space="preserve"> mismo</w:t>
      </w:r>
      <w:r w:rsidR="009F4BF1" w:rsidRPr="008037B1">
        <w:rPr>
          <w:sz w:val="28"/>
          <w:szCs w:val="28"/>
        </w:rPr>
        <w:t xml:space="preserve"> de </w:t>
      </w:r>
      <w:r w:rsidRPr="008037B1">
        <w:rPr>
          <w:sz w:val="28"/>
          <w:szCs w:val="28"/>
        </w:rPr>
        <w:t xml:space="preserve">las normas superiores de “contraste” </w:t>
      </w:r>
      <w:r w:rsidR="00867529" w:rsidRPr="008037B1">
        <w:rPr>
          <w:sz w:val="28"/>
          <w:szCs w:val="28"/>
        </w:rPr>
        <w:t>que permite</w:t>
      </w:r>
      <w:r w:rsidR="00350A4B" w:rsidRPr="008037B1">
        <w:rPr>
          <w:sz w:val="28"/>
          <w:szCs w:val="28"/>
        </w:rPr>
        <w:t>n</w:t>
      </w:r>
      <w:r w:rsidR="00867529" w:rsidRPr="008037B1">
        <w:rPr>
          <w:sz w:val="28"/>
          <w:szCs w:val="28"/>
        </w:rPr>
        <w:t xml:space="preserve"> el cotejo </w:t>
      </w:r>
      <w:r w:rsidR="005832E8" w:rsidRPr="008037B1">
        <w:rPr>
          <w:sz w:val="28"/>
          <w:szCs w:val="28"/>
        </w:rPr>
        <w:t xml:space="preserve">al que alude el </w:t>
      </w:r>
      <w:r w:rsidRPr="008037B1">
        <w:rPr>
          <w:sz w:val="28"/>
          <w:szCs w:val="28"/>
        </w:rPr>
        <w:t>control</w:t>
      </w:r>
      <w:r w:rsidR="00867529" w:rsidRPr="008037B1">
        <w:rPr>
          <w:sz w:val="28"/>
          <w:szCs w:val="28"/>
        </w:rPr>
        <w:t xml:space="preserve"> constitucional</w:t>
      </w:r>
      <w:r w:rsidR="00FE1F1F" w:rsidRPr="008037B1">
        <w:rPr>
          <w:sz w:val="28"/>
          <w:szCs w:val="28"/>
        </w:rPr>
        <w:t xml:space="preserve"> </w:t>
      </w:r>
      <w:r w:rsidR="006D53FE" w:rsidRPr="008037B1">
        <w:rPr>
          <w:sz w:val="28"/>
          <w:szCs w:val="28"/>
        </w:rPr>
        <w:t>e incluso</w:t>
      </w:r>
      <w:r w:rsidR="00FE1F1F" w:rsidRPr="008037B1">
        <w:rPr>
          <w:sz w:val="28"/>
          <w:szCs w:val="28"/>
        </w:rPr>
        <w:t xml:space="preserve"> sobre la actividad</w:t>
      </w:r>
      <w:r w:rsidR="00F80E6D">
        <w:rPr>
          <w:sz w:val="28"/>
          <w:szCs w:val="28"/>
        </w:rPr>
        <w:t xml:space="preserve"> </w:t>
      </w:r>
      <w:r w:rsidR="00FE1F1F" w:rsidRPr="008037B1">
        <w:rPr>
          <w:sz w:val="28"/>
          <w:szCs w:val="28"/>
        </w:rPr>
        <w:t>que desarroll</w:t>
      </w:r>
      <w:r w:rsidR="006D3265" w:rsidRPr="008037B1">
        <w:rPr>
          <w:sz w:val="28"/>
          <w:szCs w:val="28"/>
        </w:rPr>
        <w:t>ó</w:t>
      </w:r>
      <w:r w:rsidR="00FE1F1F" w:rsidRPr="008037B1">
        <w:rPr>
          <w:sz w:val="28"/>
          <w:szCs w:val="28"/>
        </w:rPr>
        <w:t xml:space="preserve"> el Consejo de Estado</w:t>
      </w:r>
      <w:r w:rsidR="006D3265" w:rsidRPr="008037B1">
        <w:rPr>
          <w:sz w:val="28"/>
          <w:szCs w:val="28"/>
        </w:rPr>
        <w:t xml:space="preserve"> en el análisis</w:t>
      </w:r>
      <w:r w:rsidR="009A4CB2" w:rsidRPr="008037B1">
        <w:rPr>
          <w:sz w:val="28"/>
          <w:szCs w:val="28"/>
        </w:rPr>
        <w:t xml:space="preserve">. </w:t>
      </w:r>
      <w:r w:rsidR="006D3265" w:rsidRPr="008037B1">
        <w:rPr>
          <w:sz w:val="28"/>
          <w:szCs w:val="28"/>
        </w:rPr>
        <w:lastRenderedPageBreak/>
        <w:t xml:space="preserve">Por lo que más allá de una </w:t>
      </w:r>
      <w:r w:rsidR="00867529" w:rsidRPr="008037B1">
        <w:rPr>
          <w:sz w:val="28"/>
          <w:szCs w:val="28"/>
        </w:rPr>
        <w:t>simple comparación entre la norma</w:t>
      </w:r>
      <w:r w:rsidR="007E1DBB" w:rsidRPr="008037B1">
        <w:rPr>
          <w:sz w:val="28"/>
          <w:szCs w:val="28"/>
        </w:rPr>
        <w:t xml:space="preserve"> jurídica inferior</w:t>
      </w:r>
      <w:r w:rsidR="00867529" w:rsidRPr="008037B1">
        <w:rPr>
          <w:sz w:val="28"/>
          <w:szCs w:val="28"/>
        </w:rPr>
        <w:t xml:space="preserve"> y la Carta</w:t>
      </w:r>
      <w:r w:rsidR="002914CB" w:rsidRPr="008037B1">
        <w:rPr>
          <w:sz w:val="28"/>
          <w:szCs w:val="28"/>
        </w:rPr>
        <w:t xml:space="preserve">, </w:t>
      </w:r>
      <w:r w:rsidR="006D3265" w:rsidRPr="008037B1">
        <w:rPr>
          <w:sz w:val="28"/>
          <w:szCs w:val="28"/>
        </w:rPr>
        <w:t xml:space="preserve">el caso exige una </w:t>
      </w:r>
      <w:r w:rsidR="005C3B79" w:rsidRPr="008037B1">
        <w:rPr>
          <w:sz w:val="28"/>
          <w:szCs w:val="28"/>
        </w:rPr>
        <w:t xml:space="preserve">reflexión </w:t>
      </w:r>
      <w:r w:rsidR="009A4CB2" w:rsidRPr="008037B1">
        <w:rPr>
          <w:sz w:val="28"/>
          <w:szCs w:val="28"/>
        </w:rPr>
        <w:t xml:space="preserve">sobre </w:t>
      </w:r>
      <w:r w:rsidR="001F07D9" w:rsidRPr="008037B1">
        <w:rPr>
          <w:sz w:val="28"/>
          <w:szCs w:val="28"/>
        </w:rPr>
        <w:t xml:space="preserve">las atribuciones </w:t>
      </w:r>
      <w:r w:rsidR="005A0089" w:rsidRPr="008037B1">
        <w:rPr>
          <w:sz w:val="28"/>
          <w:szCs w:val="28"/>
        </w:rPr>
        <w:t xml:space="preserve">propias </w:t>
      </w:r>
      <w:r w:rsidR="001F07D9" w:rsidRPr="008037B1">
        <w:rPr>
          <w:sz w:val="28"/>
          <w:szCs w:val="28"/>
        </w:rPr>
        <w:t xml:space="preserve">de los órganos que realizan </w:t>
      </w:r>
      <w:r w:rsidR="005A0089" w:rsidRPr="008037B1">
        <w:rPr>
          <w:sz w:val="28"/>
          <w:szCs w:val="28"/>
        </w:rPr>
        <w:t>el mencionado</w:t>
      </w:r>
      <w:r w:rsidR="001F07D9" w:rsidRPr="008037B1">
        <w:rPr>
          <w:sz w:val="28"/>
          <w:szCs w:val="28"/>
        </w:rPr>
        <w:t xml:space="preserve"> co</w:t>
      </w:r>
      <w:r w:rsidR="00350A4B" w:rsidRPr="008037B1">
        <w:rPr>
          <w:sz w:val="28"/>
          <w:szCs w:val="28"/>
        </w:rPr>
        <w:t>tejo</w:t>
      </w:r>
      <w:r w:rsidR="009F4BF1" w:rsidRPr="008037B1">
        <w:rPr>
          <w:sz w:val="28"/>
          <w:szCs w:val="28"/>
        </w:rPr>
        <w:t xml:space="preserve"> constitucional</w:t>
      </w:r>
      <w:r w:rsidR="005832E8" w:rsidRPr="008037B1">
        <w:rPr>
          <w:sz w:val="28"/>
          <w:szCs w:val="28"/>
        </w:rPr>
        <w:t xml:space="preserve"> y sobre las premisas de contraste</w:t>
      </w:r>
      <w:r w:rsidR="001F07D9" w:rsidRPr="008037B1">
        <w:rPr>
          <w:sz w:val="28"/>
          <w:szCs w:val="28"/>
        </w:rPr>
        <w:t>.</w:t>
      </w:r>
    </w:p>
    <w:p w14:paraId="71288F69" w14:textId="77777777" w:rsidR="002B4D83" w:rsidRPr="008037B1" w:rsidRDefault="002B4D83" w:rsidP="000E4715">
      <w:pPr>
        <w:pStyle w:val="Prrafodelista"/>
        <w:ind w:left="0"/>
        <w:rPr>
          <w:szCs w:val="28"/>
        </w:rPr>
      </w:pPr>
    </w:p>
    <w:p w14:paraId="3C12B27F" w14:textId="77777777" w:rsidR="002B4D83" w:rsidRPr="008037B1" w:rsidRDefault="000E4715" w:rsidP="001F07D9">
      <w:pPr>
        <w:pStyle w:val="NormalWeb"/>
        <w:numPr>
          <w:ilvl w:val="0"/>
          <w:numId w:val="10"/>
        </w:numPr>
        <w:tabs>
          <w:tab w:val="left" w:pos="284"/>
        </w:tabs>
        <w:spacing w:before="0" w:beforeAutospacing="0" w:after="0" w:afterAutospacing="0"/>
        <w:ind w:right="40"/>
        <w:jc w:val="both"/>
        <w:rPr>
          <w:szCs w:val="28"/>
        </w:rPr>
      </w:pPr>
      <w:r w:rsidRPr="008037B1">
        <w:rPr>
          <w:sz w:val="28"/>
          <w:szCs w:val="28"/>
        </w:rPr>
        <w:t xml:space="preserve">Igualmente, en lo que se refiere a </w:t>
      </w:r>
      <w:r w:rsidR="005832E8" w:rsidRPr="008037B1">
        <w:rPr>
          <w:sz w:val="28"/>
          <w:szCs w:val="28"/>
        </w:rPr>
        <w:t xml:space="preserve">la </w:t>
      </w:r>
      <w:r w:rsidRPr="008037B1">
        <w:rPr>
          <w:sz w:val="28"/>
          <w:szCs w:val="28"/>
        </w:rPr>
        <w:t>inexistencia de “hechos concretos”</w:t>
      </w:r>
      <w:r w:rsidR="00CD4C34" w:rsidRPr="008037B1">
        <w:rPr>
          <w:sz w:val="28"/>
          <w:szCs w:val="28"/>
        </w:rPr>
        <w:t xml:space="preserve"> involucrados</w:t>
      </w:r>
      <w:r w:rsidRPr="008037B1">
        <w:rPr>
          <w:sz w:val="28"/>
          <w:szCs w:val="28"/>
        </w:rPr>
        <w:t xml:space="preserve">, </w:t>
      </w:r>
      <w:r w:rsidR="009A4CB2" w:rsidRPr="008037B1">
        <w:rPr>
          <w:sz w:val="28"/>
          <w:szCs w:val="28"/>
        </w:rPr>
        <w:t xml:space="preserve">lo cierto es que </w:t>
      </w:r>
      <w:r w:rsidRPr="008037B1">
        <w:rPr>
          <w:sz w:val="28"/>
          <w:szCs w:val="28"/>
        </w:rPr>
        <w:t xml:space="preserve">el CSJ </w:t>
      </w:r>
      <w:r w:rsidR="00350A4B" w:rsidRPr="008037B1">
        <w:rPr>
          <w:sz w:val="28"/>
          <w:szCs w:val="28"/>
        </w:rPr>
        <w:t xml:space="preserve">en esta oportunidad </w:t>
      </w:r>
      <w:r w:rsidRPr="008037B1">
        <w:rPr>
          <w:sz w:val="28"/>
          <w:szCs w:val="28"/>
        </w:rPr>
        <w:t xml:space="preserve">alega una violación de sus derechos, consistente en </w:t>
      </w:r>
      <w:r w:rsidR="005832E8" w:rsidRPr="008037B1">
        <w:rPr>
          <w:sz w:val="28"/>
          <w:szCs w:val="28"/>
        </w:rPr>
        <w:t>l</w:t>
      </w:r>
      <w:r w:rsidRPr="008037B1">
        <w:rPr>
          <w:sz w:val="28"/>
          <w:szCs w:val="28"/>
        </w:rPr>
        <w:t>a presunta pérdida de competencias constitucionales a partir de la decisión del Consejo de Estado.</w:t>
      </w:r>
      <w:r w:rsidR="00350A4B" w:rsidRPr="008037B1">
        <w:rPr>
          <w:sz w:val="28"/>
          <w:szCs w:val="28"/>
          <w:lang w:val="es-ES"/>
        </w:rPr>
        <w:t xml:space="preserve"> Sobre esa base</w:t>
      </w:r>
      <w:r w:rsidR="002914CB" w:rsidRPr="008037B1">
        <w:rPr>
          <w:sz w:val="28"/>
          <w:szCs w:val="28"/>
        </w:rPr>
        <w:t>,</w:t>
      </w:r>
      <w:r w:rsidR="002B4D83" w:rsidRPr="008037B1">
        <w:rPr>
          <w:sz w:val="28"/>
          <w:szCs w:val="28"/>
        </w:rPr>
        <w:t xml:space="preserve"> </w:t>
      </w:r>
      <w:r w:rsidR="00CD4C34" w:rsidRPr="008037B1">
        <w:rPr>
          <w:sz w:val="28"/>
          <w:szCs w:val="28"/>
        </w:rPr>
        <w:t xml:space="preserve">si bien </w:t>
      </w:r>
      <w:r w:rsidR="002B4D83" w:rsidRPr="008037B1">
        <w:rPr>
          <w:sz w:val="28"/>
          <w:szCs w:val="28"/>
        </w:rPr>
        <w:t xml:space="preserve">la voluntad del CSJ no es la de revivir en este proceso el Acuerdo que fue declarado nulo, </w:t>
      </w:r>
      <w:r w:rsidR="00FE1F1F" w:rsidRPr="008037B1">
        <w:rPr>
          <w:sz w:val="28"/>
          <w:szCs w:val="28"/>
        </w:rPr>
        <w:t xml:space="preserve">conforme a </w:t>
      </w:r>
      <w:r w:rsidR="005832E8" w:rsidRPr="008037B1">
        <w:rPr>
          <w:sz w:val="28"/>
          <w:szCs w:val="28"/>
        </w:rPr>
        <w:t xml:space="preserve">lo previsto en </w:t>
      </w:r>
      <w:r w:rsidR="00FE1F1F" w:rsidRPr="008037B1">
        <w:rPr>
          <w:sz w:val="28"/>
          <w:szCs w:val="28"/>
        </w:rPr>
        <w:t xml:space="preserve">su demanda, </w:t>
      </w:r>
      <w:r w:rsidR="00CD4C34" w:rsidRPr="008037B1">
        <w:rPr>
          <w:sz w:val="28"/>
          <w:szCs w:val="28"/>
        </w:rPr>
        <w:t>el objetivo si es</w:t>
      </w:r>
      <w:r w:rsidR="002B4D83" w:rsidRPr="008037B1">
        <w:rPr>
          <w:sz w:val="28"/>
          <w:szCs w:val="28"/>
        </w:rPr>
        <w:t xml:space="preserve"> “recuperar” una atribución constitucional que considera le fue sustraída con la interpretación </w:t>
      </w:r>
      <w:r w:rsidR="00A86037" w:rsidRPr="008037B1">
        <w:rPr>
          <w:sz w:val="28"/>
          <w:szCs w:val="28"/>
        </w:rPr>
        <w:t>que adelantó</w:t>
      </w:r>
      <w:r w:rsidR="00EA002E" w:rsidRPr="008037B1">
        <w:rPr>
          <w:sz w:val="28"/>
          <w:szCs w:val="28"/>
        </w:rPr>
        <w:t xml:space="preserve"> </w:t>
      </w:r>
      <w:r w:rsidR="009A4CB2" w:rsidRPr="008037B1">
        <w:rPr>
          <w:sz w:val="28"/>
          <w:szCs w:val="28"/>
        </w:rPr>
        <w:t xml:space="preserve">en su momento </w:t>
      </w:r>
      <w:r w:rsidR="00350A4B" w:rsidRPr="008037B1">
        <w:rPr>
          <w:sz w:val="28"/>
          <w:szCs w:val="28"/>
        </w:rPr>
        <w:t>la</w:t>
      </w:r>
      <w:r w:rsidR="00EA002E" w:rsidRPr="008037B1">
        <w:rPr>
          <w:sz w:val="28"/>
          <w:szCs w:val="28"/>
        </w:rPr>
        <w:t xml:space="preserve"> </w:t>
      </w:r>
      <w:r w:rsidR="00562F79" w:rsidRPr="008037B1">
        <w:rPr>
          <w:sz w:val="28"/>
          <w:szCs w:val="28"/>
        </w:rPr>
        <w:t>autoridad judicial</w:t>
      </w:r>
      <w:r w:rsidR="00A86037" w:rsidRPr="008037B1">
        <w:rPr>
          <w:sz w:val="28"/>
          <w:szCs w:val="28"/>
        </w:rPr>
        <w:t>.</w:t>
      </w:r>
      <w:r w:rsidR="002B4D83" w:rsidRPr="008037B1">
        <w:rPr>
          <w:sz w:val="28"/>
          <w:szCs w:val="28"/>
        </w:rPr>
        <w:t xml:space="preserve"> </w:t>
      </w:r>
      <w:r w:rsidR="00A86037" w:rsidRPr="008037B1">
        <w:rPr>
          <w:sz w:val="28"/>
          <w:szCs w:val="28"/>
        </w:rPr>
        <w:t>L</w:t>
      </w:r>
      <w:r w:rsidR="002B4D83" w:rsidRPr="008037B1">
        <w:rPr>
          <w:sz w:val="28"/>
          <w:szCs w:val="28"/>
        </w:rPr>
        <w:t>o que en sentido estricto desvirtúa</w:t>
      </w:r>
      <w:r w:rsidR="008609BB" w:rsidRPr="008037B1">
        <w:rPr>
          <w:sz w:val="28"/>
          <w:szCs w:val="28"/>
        </w:rPr>
        <w:t xml:space="preserve"> las posibles objeciones sobre la procedencia de la tutela</w:t>
      </w:r>
      <w:r w:rsidR="005832E8" w:rsidRPr="008037B1">
        <w:rPr>
          <w:sz w:val="28"/>
          <w:szCs w:val="28"/>
        </w:rPr>
        <w:t xml:space="preserve"> en este caso</w:t>
      </w:r>
      <w:r w:rsidR="009A4CB2" w:rsidRPr="008037B1">
        <w:rPr>
          <w:sz w:val="28"/>
          <w:szCs w:val="28"/>
        </w:rPr>
        <w:t xml:space="preserve"> </w:t>
      </w:r>
      <w:r w:rsidR="00644226">
        <w:rPr>
          <w:sz w:val="28"/>
          <w:szCs w:val="28"/>
        </w:rPr>
        <w:t>(</w:t>
      </w:r>
      <w:r w:rsidR="005832E8" w:rsidRPr="008037B1">
        <w:rPr>
          <w:sz w:val="28"/>
          <w:szCs w:val="28"/>
        </w:rPr>
        <w:t>con relación a</w:t>
      </w:r>
      <w:r w:rsidR="009A4CB2" w:rsidRPr="008037B1">
        <w:rPr>
          <w:sz w:val="28"/>
          <w:szCs w:val="28"/>
        </w:rPr>
        <w:t xml:space="preserve"> la imposibilidad de </w:t>
      </w:r>
      <w:r w:rsidR="00644226">
        <w:rPr>
          <w:sz w:val="28"/>
          <w:szCs w:val="28"/>
        </w:rPr>
        <w:t xml:space="preserve">que </w:t>
      </w:r>
      <w:r w:rsidR="009A4CB2" w:rsidRPr="008037B1">
        <w:rPr>
          <w:sz w:val="28"/>
          <w:szCs w:val="28"/>
        </w:rPr>
        <w:t xml:space="preserve">la acción constitucional </w:t>
      </w:r>
      <w:r w:rsidR="00644226">
        <w:rPr>
          <w:sz w:val="28"/>
          <w:szCs w:val="28"/>
        </w:rPr>
        <w:t>exija</w:t>
      </w:r>
      <w:r w:rsidR="009A4CB2" w:rsidRPr="008037B1">
        <w:rPr>
          <w:sz w:val="28"/>
          <w:szCs w:val="28"/>
        </w:rPr>
        <w:t xml:space="preserve"> la aplicación de </w:t>
      </w:r>
      <w:r w:rsidR="00644226">
        <w:rPr>
          <w:sz w:val="28"/>
          <w:szCs w:val="28"/>
        </w:rPr>
        <w:t>una</w:t>
      </w:r>
      <w:r w:rsidR="009A4CB2" w:rsidRPr="008037B1">
        <w:rPr>
          <w:sz w:val="28"/>
          <w:szCs w:val="28"/>
        </w:rPr>
        <w:t xml:space="preserve"> norma</w:t>
      </w:r>
      <w:r w:rsidR="00644226">
        <w:rPr>
          <w:sz w:val="28"/>
          <w:szCs w:val="28"/>
        </w:rPr>
        <w:t>tiva</w:t>
      </w:r>
      <w:r w:rsidR="009A4CB2" w:rsidRPr="008037B1">
        <w:rPr>
          <w:sz w:val="28"/>
          <w:szCs w:val="28"/>
        </w:rPr>
        <w:t xml:space="preserve"> anulada</w:t>
      </w:r>
      <w:r w:rsidR="00644226">
        <w:rPr>
          <w:sz w:val="28"/>
          <w:szCs w:val="28"/>
        </w:rPr>
        <w:t>)</w:t>
      </w:r>
      <w:r w:rsidR="00A86037" w:rsidRPr="008037B1">
        <w:rPr>
          <w:sz w:val="28"/>
          <w:szCs w:val="28"/>
        </w:rPr>
        <w:t xml:space="preserve">, </w:t>
      </w:r>
      <w:r w:rsidR="00350A4B" w:rsidRPr="008037B1">
        <w:rPr>
          <w:sz w:val="28"/>
          <w:szCs w:val="28"/>
        </w:rPr>
        <w:t>dado</w:t>
      </w:r>
      <w:r w:rsidR="00A86037" w:rsidRPr="008037B1">
        <w:rPr>
          <w:sz w:val="28"/>
          <w:szCs w:val="28"/>
        </w:rPr>
        <w:t xml:space="preserve"> que </w:t>
      </w:r>
      <w:r w:rsidR="00CD4C34" w:rsidRPr="008037B1">
        <w:rPr>
          <w:sz w:val="28"/>
          <w:szCs w:val="28"/>
        </w:rPr>
        <w:t xml:space="preserve">la expectativa </w:t>
      </w:r>
      <w:r w:rsidR="009A4CB2" w:rsidRPr="008037B1">
        <w:rPr>
          <w:sz w:val="28"/>
          <w:szCs w:val="28"/>
        </w:rPr>
        <w:t>en est</w:t>
      </w:r>
      <w:r w:rsidR="005832E8" w:rsidRPr="008037B1">
        <w:rPr>
          <w:sz w:val="28"/>
          <w:szCs w:val="28"/>
        </w:rPr>
        <w:t>as</w:t>
      </w:r>
      <w:r w:rsidR="009A4CB2" w:rsidRPr="008037B1">
        <w:rPr>
          <w:sz w:val="28"/>
          <w:szCs w:val="28"/>
        </w:rPr>
        <w:t xml:space="preserve"> c</w:t>
      </w:r>
      <w:r w:rsidR="005832E8" w:rsidRPr="008037B1">
        <w:rPr>
          <w:sz w:val="28"/>
          <w:szCs w:val="28"/>
        </w:rPr>
        <w:t>ircunstancias</w:t>
      </w:r>
      <w:r w:rsidR="00A86037" w:rsidRPr="008037B1">
        <w:rPr>
          <w:sz w:val="28"/>
          <w:szCs w:val="28"/>
        </w:rPr>
        <w:t xml:space="preserve"> </w:t>
      </w:r>
      <w:r w:rsidR="008609BB" w:rsidRPr="008037B1">
        <w:rPr>
          <w:sz w:val="28"/>
          <w:szCs w:val="28"/>
        </w:rPr>
        <w:t xml:space="preserve">no es revivir </w:t>
      </w:r>
      <w:r w:rsidR="00644226">
        <w:rPr>
          <w:sz w:val="28"/>
          <w:szCs w:val="28"/>
        </w:rPr>
        <w:t>el</w:t>
      </w:r>
      <w:r w:rsidR="008609BB" w:rsidRPr="008037B1">
        <w:rPr>
          <w:sz w:val="28"/>
          <w:szCs w:val="28"/>
        </w:rPr>
        <w:t xml:space="preserve"> acto</w:t>
      </w:r>
      <w:r w:rsidR="00644226">
        <w:rPr>
          <w:sz w:val="28"/>
          <w:szCs w:val="28"/>
        </w:rPr>
        <w:t xml:space="preserve"> jurídico anulado</w:t>
      </w:r>
      <w:r w:rsidR="00FE1F1F" w:rsidRPr="008037B1">
        <w:rPr>
          <w:sz w:val="28"/>
          <w:szCs w:val="28"/>
        </w:rPr>
        <w:t xml:space="preserve">, </w:t>
      </w:r>
      <w:r w:rsidR="008609BB" w:rsidRPr="008037B1">
        <w:rPr>
          <w:sz w:val="28"/>
          <w:szCs w:val="28"/>
        </w:rPr>
        <w:t xml:space="preserve">sino </w:t>
      </w:r>
      <w:r w:rsidR="00A86037" w:rsidRPr="008037B1">
        <w:rPr>
          <w:sz w:val="28"/>
          <w:szCs w:val="28"/>
        </w:rPr>
        <w:t xml:space="preserve">reconducir y delimitar el análisis constitucional </w:t>
      </w:r>
      <w:r w:rsidR="00EA002E" w:rsidRPr="008037B1">
        <w:rPr>
          <w:sz w:val="28"/>
          <w:szCs w:val="28"/>
        </w:rPr>
        <w:t>de las</w:t>
      </w:r>
      <w:r w:rsidR="00644226">
        <w:rPr>
          <w:sz w:val="28"/>
          <w:szCs w:val="28"/>
        </w:rPr>
        <w:t xml:space="preserve"> </w:t>
      </w:r>
      <w:r w:rsidR="00A86037" w:rsidRPr="008037B1">
        <w:rPr>
          <w:sz w:val="28"/>
          <w:szCs w:val="28"/>
        </w:rPr>
        <w:t xml:space="preserve">entidades pertenecientes a la </w:t>
      </w:r>
      <w:r w:rsidR="00562F79" w:rsidRPr="008037B1">
        <w:rPr>
          <w:sz w:val="28"/>
          <w:szCs w:val="28"/>
        </w:rPr>
        <w:t>R</w:t>
      </w:r>
      <w:r w:rsidR="00A86037" w:rsidRPr="008037B1">
        <w:rPr>
          <w:sz w:val="28"/>
          <w:szCs w:val="28"/>
        </w:rPr>
        <w:t xml:space="preserve">ama </w:t>
      </w:r>
      <w:r w:rsidR="00562F79" w:rsidRPr="008037B1">
        <w:rPr>
          <w:sz w:val="28"/>
          <w:szCs w:val="28"/>
        </w:rPr>
        <w:t>J</w:t>
      </w:r>
      <w:r w:rsidR="00A86037" w:rsidRPr="008037B1">
        <w:rPr>
          <w:sz w:val="28"/>
          <w:szCs w:val="28"/>
        </w:rPr>
        <w:t xml:space="preserve">udicial, en lo que se refiere a las competencias </w:t>
      </w:r>
      <w:r w:rsidR="00EA002E" w:rsidRPr="008037B1">
        <w:rPr>
          <w:sz w:val="28"/>
          <w:szCs w:val="28"/>
        </w:rPr>
        <w:t xml:space="preserve">derivadas del </w:t>
      </w:r>
      <w:r w:rsidR="00A86037" w:rsidRPr="008037B1">
        <w:rPr>
          <w:sz w:val="28"/>
          <w:szCs w:val="28"/>
        </w:rPr>
        <w:t>Ac</w:t>
      </w:r>
      <w:r w:rsidR="00D6504E" w:rsidRPr="008037B1">
        <w:rPr>
          <w:sz w:val="28"/>
          <w:szCs w:val="28"/>
        </w:rPr>
        <w:t>to</w:t>
      </w:r>
      <w:r w:rsidR="00A86037" w:rsidRPr="008037B1">
        <w:rPr>
          <w:sz w:val="28"/>
          <w:szCs w:val="28"/>
        </w:rPr>
        <w:t xml:space="preserve"> Legislativo 02 de 2015</w:t>
      </w:r>
      <w:r w:rsidR="00FE1F1F" w:rsidRPr="008037B1">
        <w:rPr>
          <w:sz w:val="28"/>
          <w:szCs w:val="28"/>
        </w:rPr>
        <w:t>.</w:t>
      </w:r>
      <w:r w:rsidR="00CD4C34" w:rsidRPr="008037B1">
        <w:rPr>
          <w:sz w:val="28"/>
          <w:szCs w:val="28"/>
        </w:rPr>
        <w:t xml:space="preserve"> </w:t>
      </w:r>
    </w:p>
    <w:p w14:paraId="345675A6" w14:textId="77777777" w:rsidR="00D52EA1" w:rsidRPr="00644226" w:rsidRDefault="00D52EA1" w:rsidP="00D52EA1">
      <w:pPr>
        <w:pStyle w:val="Prrafodelista"/>
        <w:rPr>
          <w:szCs w:val="28"/>
          <w:lang w:val="es-CO"/>
        </w:rPr>
      </w:pPr>
    </w:p>
    <w:p w14:paraId="73EC2E07" w14:textId="77777777" w:rsidR="000A1CF4" w:rsidRPr="00644226" w:rsidRDefault="00644226" w:rsidP="000A1CF4">
      <w:pPr>
        <w:pStyle w:val="NormalWeb"/>
        <w:numPr>
          <w:ilvl w:val="0"/>
          <w:numId w:val="10"/>
        </w:numPr>
        <w:tabs>
          <w:tab w:val="left" w:pos="284"/>
        </w:tabs>
        <w:spacing w:before="0" w:beforeAutospacing="0" w:after="0" w:afterAutospacing="0"/>
        <w:ind w:right="40"/>
        <w:jc w:val="both"/>
        <w:rPr>
          <w:sz w:val="28"/>
          <w:szCs w:val="28"/>
        </w:rPr>
      </w:pPr>
      <w:r>
        <w:rPr>
          <w:sz w:val="28"/>
          <w:szCs w:val="28"/>
        </w:rPr>
        <w:t>Así las cosas y en vista de que</w:t>
      </w:r>
      <w:r w:rsidR="00A86037" w:rsidRPr="00644226">
        <w:rPr>
          <w:sz w:val="28"/>
          <w:szCs w:val="28"/>
        </w:rPr>
        <w:t xml:space="preserve"> las circunstancias que plantea el caso de la referencia</w:t>
      </w:r>
      <w:r w:rsidR="00640BA3" w:rsidRPr="00644226">
        <w:rPr>
          <w:sz w:val="28"/>
          <w:szCs w:val="28"/>
        </w:rPr>
        <w:t xml:space="preserve"> no se subsumen en el precedente </w:t>
      </w:r>
      <w:r w:rsidR="00361406" w:rsidRPr="00644226">
        <w:rPr>
          <w:sz w:val="28"/>
          <w:szCs w:val="28"/>
        </w:rPr>
        <w:t>anterior en sentido estricto</w:t>
      </w:r>
      <w:r>
        <w:rPr>
          <w:sz w:val="28"/>
          <w:szCs w:val="28"/>
        </w:rPr>
        <w:t>, presentan particularidades que lo distancian</w:t>
      </w:r>
      <w:r w:rsidR="000D447A" w:rsidRPr="00644226">
        <w:rPr>
          <w:sz w:val="28"/>
          <w:szCs w:val="28"/>
        </w:rPr>
        <w:t xml:space="preserve"> e </w:t>
      </w:r>
      <w:r w:rsidR="00504E8C" w:rsidRPr="00644226">
        <w:rPr>
          <w:sz w:val="28"/>
          <w:szCs w:val="28"/>
        </w:rPr>
        <w:t>involucra</w:t>
      </w:r>
      <w:r w:rsidR="000D447A" w:rsidRPr="00644226">
        <w:rPr>
          <w:sz w:val="28"/>
          <w:szCs w:val="28"/>
        </w:rPr>
        <w:t>n</w:t>
      </w:r>
      <w:r w:rsidR="00D6504E" w:rsidRPr="00644226">
        <w:rPr>
          <w:sz w:val="28"/>
          <w:szCs w:val="28"/>
        </w:rPr>
        <w:t>,</w:t>
      </w:r>
      <w:r w:rsidR="00504E8C" w:rsidRPr="00644226">
        <w:rPr>
          <w:sz w:val="28"/>
          <w:szCs w:val="28"/>
        </w:rPr>
        <w:t xml:space="preserve"> </w:t>
      </w:r>
      <w:r w:rsidR="00DF1AD3" w:rsidRPr="00644226">
        <w:rPr>
          <w:sz w:val="28"/>
          <w:szCs w:val="28"/>
        </w:rPr>
        <w:t>esta vez</w:t>
      </w:r>
      <w:r w:rsidR="00D6504E" w:rsidRPr="00644226">
        <w:rPr>
          <w:sz w:val="28"/>
          <w:szCs w:val="28"/>
        </w:rPr>
        <w:t>,</w:t>
      </w:r>
      <w:r w:rsidR="00DF1AD3" w:rsidRPr="00644226">
        <w:rPr>
          <w:sz w:val="28"/>
          <w:szCs w:val="28"/>
        </w:rPr>
        <w:t xml:space="preserve"> </w:t>
      </w:r>
      <w:r w:rsidR="00504E8C" w:rsidRPr="00644226">
        <w:rPr>
          <w:i/>
          <w:sz w:val="28"/>
          <w:szCs w:val="28"/>
        </w:rPr>
        <w:t>limitaciones y contradicciones en el punto de partida del control</w:t>
      </w:r>
      <w:r w:rsidR="00947488" w:rsidRPr="00644226">
        <w:rPr>
          <w:i/>
          <w:sz w:val="28"/>
          <w:szCs w:val="28"/>
        </w:rPr>
        <w:t xml:space="preserve"> mismo</w:t>
      </w:r>
      <w:r w:rsidR="00504E8C" w:rsidRPr="00644226">
        <w:rPr>
          <w:sz w:val="28"/>
          <w:szCs w:val="28"/>
        </w:rPr>
        <w:t xml:space="preserve"> de constitucionalidad </w:t>
      </w:r>
      <w:r>
        <w:rPr>
          <w:sz w:val="28"/>
          <w:szCs w:val="28"/>
        </w:rPr>
        <w:t>(</w:t>
      </w:r>
      <w:r w:rsidR="00504E8C" w:rsidRPr="00644226">
        <w:rPr>
          <w:sz w:val="28"/>
          <w:szCs w:val="28"/>
        </w:rPr>
        <w:t xml:space="preserve">como </w:t>
      </w:r>
      <w:r w:rsidR="00562F79" w:rsidRPr="00644226">
        <w:rPr>
          <w:sz w:val="28"/>
          <w:szCs w:val="28"/>
        </w:rPr>
        <w:t xml:space="preserve">lo es </w:t>
      </w:r>
      <w:r w:rsidR="0025457F" w:rsidRPr="00644226">
        <w:rPr>
          <w:sz w:val="28"/>
          <w:szCs w:val="28"/>
        </w:rPr>
        <w:t>una</w:t>
      </w:r>
      <w:r w:rsidR="00DF1AD3" w:rsidRPr="00644226">
        <w:rPr>
          <w:sz w:val="28"/>
          <w:szCs w:val="28"/>
        </w:rPr>
        <w:t xml:space="preserve"> aparente</w:t>
      </w:r>
      <w:r w:rsidR="00504E8C" w:rsidRPr="00644226">
        <w:rPr>
          <w:sz w:val="28"/>
          <w:szCs w:val="28"/>
        </w:rPr>
        <w:t xml:space="preserve"> confrontación en la interpretación</w:t>
      </w:r>
      <w:r w:rsidR="0025457F" w:rsidRPr="00644226">
        <w:rPr>
          <w:sz w:val="28"/>
          <w:szCs w:val="28"/>
        </w:rPr>
        <w:t xml:space="preserve"> </w:t>
      </w:r>
      <w:r w:rsidR="00947488" w:rsidRPr="00644226">
        <w:rPr>
          <w:sz w:val="28"/>
          <w:szCs w:val="28"/>
        </w:rPr>
        <w:t xml:space="preserve">única </w:t>
      </w:r>
      <w:r w:rsidR="00504E8C" w:rsidRPr="00644226">
        <w:rPr>
          <w:sz w:val="28"/>
          <w:szCs w:val="28"/>
        </w:rPr>
        <w:t>de</w:t>
      </w:r>
      <w:r w:rsidR="00DF1AD3" w:rsidRPr="00644226">
        <w:rPr>
          <w:sz w:val="28"/>
          <w:szCs w:val="28"/>
        </w:rPr>
        <w:t xml:space="preserve"> la Carta</w:t>
      </w:r>
      <w:r>
        <w:rPr>
          <w:sz w:val="28"/>
          <w:szCs w:val="28"/>
        </w:rPr>
        <w:t>)</w:t>
      </w:r>
      <w:r w:rsidR="0025457F" w:rsidRPr="00644226">
        <w:rPr>
          <w:sz w:val="28"/>
          <w:szCs w:val="28"/>
        </w:rPr>
        <w:t xml:space="preserve">, </w:t>
      </w:r>
      <w:r w:rsidR="000D447A" w:rsidRPr="00644226">
        <w:rPr>
          <w:sz w:val="28"/>
          <w:szCs w:val="28"/>
        </w:rPr>
        <w:t xml:space="preserve">y </w:t>
      </w:r>
      <w:r w:rsidR="0025457F" w:rsidRPr="00644226">
        <w:rPr>
          <w:sz w:val="28"/>
          <w:szCs w:val="28"/>
        </w:rPr>
        <w:t xml:space="preserve">se trata </w:t>
      </w:r>
      <w:r w:rsidR="000D447A" w:rsidRPr="00644226">
        <w:rPr>
          <w:sz w:val="28"/>
          <w:szCs w:val="28"/>
        </w:rPr>
        <w:t xml:space="preserve">además </w:t>
      </w:r>
      <w:r w:rsidR="0025457F" w:rsidRPr="00644226">
        <w:rPr>
          <w:sz w:val="28"/>
          <w:szCs w:val="28"/>
        </w:rPr>
        <w:t xml:space="preserve">de hechos que </w:t>
      </w:r>
      <w:r w:rsidR="00947488" w:rsidRPr="00644226">
        <w:rPr>
          <w:sz w:val="28"/>
          <w:szCs w:val="28"/>
        </w:rPr>
        <w:t xml:space="preserve">denotan </w:t>
      </w:r>
      <w:r w:rsidR="002914CB" w:rsidRPr="00644226">
        <w:rPr>
          <w:sz w:val="28"/>
          <w:szCs w:val="28"/>
        </w:rPr>
        <w:t xml:space="preserve">una </w:t>
      </w:r>
      <w:r w:rsidR="00504E8C" w:rsidRPr="00644226">
        <w:rPr>
          <w:sz w:val="28"/>
          <w:szCs w:val="28"/>
        </w:rPr>
        <w:t xml:space="preserve">posible </w:t>
      </w:r>
      <w:r w:rsidR="00504E8C" w:rsidRPr="00644226">
        <w:rPr>
          <w:i/>
          <w:sz w:val="28"/>
          <w:szCs w:val="28"/>
        </w:rPr>
        <w:t>perturbaci</w:t>
      </w:r>
      <w:r w:rsidR="002914CB" w:rsidRPr="00644226">
        <w:rPr>
          <w:i/>
          <w:sz w:val="28"/>
          <w:szCs w:val="28"/>
        </w:rPr>
        <w:t>ón</w:t>
      </w:r>
      <w:r w:rsidR="0025457F" w:rsidRPr="00644226">
        <w:rPr>
          <w:i/>
          <w:sz w:val="28"/>
          <w:szCs w:val="28"/>
        </w:rPr>
        <w:t xml:space="preserve"> estructural</w:t>
      </w:r>
      <w:r w:rsidR="00504E8C" w:rsidRPr="00644226">
        <w:rPr>
          <w:i/>
          <w:sz w:val="28"/>
          <w:szCs w:val="28"/>
        </w:rPr>
        <w:t xml:space="preserve"> en el control constitucional</w:t>
      </w:r>
      <w:r w:rsidR="0025457F" w:rsidRPr="00644226">
        <w:rPr>
          <w:i/>
          <w:sz w:val="28"/>
          <w:szCs w:val="28"/>
        </w:rPr>
        <w:t>,</w:t>
      </w:r>
      <w:r w:rsidR="000D447A" w:rsidRPr="00644226">
        <w:rPr>
          <w:i/>
          <w:sz w:val="28"/>
          <w:szCs w:val="28"/>
        </w:rPr>
        <w:t xml:space="preserve"> </w:t>
      </w:r>
      <w:r w:rsidR="00FE1F1F" w:rsidRPr="00644226">
        <w:rPr>
          <w:iCs/>
          <w:sz w:val="28"/>
          <w:szCs w:val="28"/>
        </w:rPr>
        <w:t xml:space="preserve">en estas circunstancias </w:t>
      </w:r>
      <w:r w:rsidR="000D447A" w:rsidRPr="00644226">
        <w:rPr>
          <w:iCs/>
          <w:sz w:val="28"/>
          <w:szCs w:val="28"/>
        </w:rPr>
        <w:t xml:space="preserve">es </w:t>
      </w:r>
      <w:r>
        <w:rPr>
          <w:iCs/>
          <w:sz w:val="28"/>
          <w:szCs w:val="28"/>
        </w:rPr>
        <w:t>viable</w:t>
      </w:r>
      <w:r w:rsidR="00947488" w:rsidRPr="00644226">
        <w:rPr>
          <w:iCs/>
          <w:sz w:val="28"/>
          <w:szCs w:val="28"/>
        </w:rPr>
        <w:t xml:space="preserve"> </w:t>
      </w:r>
      <w:r w:rsidR="0025457F" w:rsidRPr="00644226">
        <w:rPr>
          <w:iCs/>
          <w:sz w:val="28"/>
          <w:szCs w:val="28"/>
        </w:rPr>
        <w:t xml:space="preserve">un </w:t>
      </w:r>
      <w:r w:rsidR="00947488" w:rsidRPr="00644226">
        <w:rPr>
          <w:iCs/>
          <w:sz w:val="28"/>
          <w:szCs w:val="28"/>
        </w:rPr>
        <w:t xml:space="preserve">pronunciamiento </w:t>
      </w:r>
      <w:r w:rsidR="0025457F" w:rsidRPr="00644226">
        <w:rPr>
          <w:iCs/>
          <w:sz w:val="28"/>
          <w:szCs w:val="28"/>
        </w:rPr>
        <w:t xml:space="preserve">por parte de la </w:t>
      </w:r>
      <w:r w:rsidR="002914CB" w:rsidRPr="00644226">
        <w:rPr>
          <w:iCs/>
          <w:sz w:val="28"/>
          <w:szCs w:val="28"/>
        </w:rPr>
        <w:t>Corte</w:t>
      </w:r>
      <w:r w:rsidR="000D447A" w:rsidRPr="00644226">
        <w:rPr>
          <w:iCs/>
          <w:sz w:val="28"/>
          <w:szCs w:val="28"/>
        </w:rPr>
        <w:t xml:space="preserve"> Constitucional</w:t>
      </w:r>
      <w:r w:rsidR="009D64EF" w:rsidRPr="00644226">
        <w:rPr>
          <w:iCs/>
          <w:sz w:val="28"/>
          <w:szCs w:val="28"/>
        </w:rPr>
        <w:t xml:space="preserve">, </w:t>
      </w:r>
      <w:r w:rsidR="005C3B79" w:rsidRPr="00644226">
        <w:rPr>
          <w:iCs/>
          <w:sz w:val="28"/>
          <w:szCs w:val="28"/>
        </w:rPr>
        <w:t xml:space="preserve">en la medida en que </w:t>
      </w:r>
      <w:r w:rsidR="009D64EF" w:rsidRPr="00644226">
        <w:rPr>
          <w:iCs/>
          <w:sz w:val="28"/>
          <w:szCs w:val="28"/>
        </w:rPr>
        <w:t>el precedente</w:t>
      </w:r>
      <w:r w:rsidR="005832E8" w:rsidRPr="00644226">
        <w:rPr>
          <w:iCs/>
          <w:sz w:val="28"/>
          <w:szCs w:val="28"/>
        </w:rPr>
        <w:t xml:space="preserve"> previamente</w:t>
      </w:r>
      <w:r w:rsidR="00CE50D7" w:rsidRPr="00644226">
        <w:rPr>
          <w:iCs/>
          <w:sz w:val="28"/>
          <w:szCs w:val="28"/>
        </w:rPr>
        <w:t xml:space="preserve"> expuesto,</w:t>
      </w:r>
      <w:r w:rsidR="009D64EF" w:rsidRPr="00644226">
        <w:rPr>
          <w:iCs/>
          <w:sz w:val="28"/>
          <w:szCs w:val="28"/>
        </w:rPr>
        <w:t xml:space="preserve"> no es enteramente aplicable al caso</w:t>
      </w:r>
      <w:r w:rsidR="00CE50D7" w:rsidRPr="00644226">
        <w:rPr>
          <w:rStyle w:val="Refdenotaalpie"/>
          <w:iCs/>
          <w:sz w:val="28"/>
          <w:szCs w:val="28"/>
        </w:rPr>
        <w:footnoteReference w:id="110"/>
      </w:r>
      <w:r w:rsidR="009D64EF" w:rsidRPr="00644226">
        <w:rPr>
          <w:iCs/>
          <w:sz w:val="28"/>
          <w:szCs w:val="28"/>
        </w:rPr>
        <w:t>.</w:t>
      </w:r>
      <w:r w:rsidR="00215106" w:rsidRPr="00644226">
        <w:rPr>
          <w:iCs/>
          <w:sz w:val="28"/>
          <w:szCs w:val="28"/>
        </w:rPr>
        <w:t xml:space="preserve"> En e</w:t>
      </w:r>
      <w:r w:rsidR="005C3B79" w:rsidRPr="00644226">
        <w:rPr>
          <w:iCs/>
          <w:sz w:val="28"/>
          <w:szCs w:val="28"/>
        </w:rPr>
        <w:t>se sentido</w:t>
      </w:r>
      <w:r w:rsidR="00215106" w:rsidRPr="00644226">
        <w:rPr>
          <w:iCs/>
          <w:sz w:val="28"/>
          <w:szCs w:val="28"/>
        </w:rPr>
        <w:t xml:space="preserve">, </w:t>
      </w:r>
      <w:r w:rsidR="000A1CF4" w:rsidRPr="00644226">
        <w:rPr>
          <w:iCs/>
          <w:sz w:val="28"/>
          <w:szCs w:val="28"/>
        </w:rPr>
        <w:t>la</w:t>
      </w:r>
      <w:r w:rsidR="00215106" w:rsidRPr="00644226">
        <w:rPr>
          <w:iCs/>
          <w:sz w:val="28"/>
          <w:szCs w:val="28"/>
        </w:rPr>
        <w:t xml:space="preserve"> reiterada</w:t>
      </w:r>
      <w:r w:rsidR="000A1CF4" w:rsidRPr="00644226">
        <w:rPr>
          <w:iCs/>
          <w:sz w:val="28"/>
          <w:szCs w:val="28"/>
        </w:rPr>
        <w:t xml:space="preserve"> jurisprudencia de este tribunal</w:t>
      </w:r>
      <w:r w:rsidR="005C3B79" w:rsidRPr="00644226">
        <w:rPr>
          <w:iCs/>
          <w:sz w:val="28"/>
          <w:szCs w:val="28"/>
        </w:rPr>
        <w:t xml:space="preserve"> ha establecido </w:t>
      </w:r>
      <w:r w:rsidR="00CD4C34" w:rsidRPr="00644226">
        <w:rPr>
          <w:iCs/>
          <w:sz w:val="28"/>
          <w:szCs w:val="28"/>
        </w:rPr>
        <w:t>que “</w:t>
      </w:r>
      <w:r w:rsidR="000A1CF4" w:rsidRPr="00644226">
        <w:rPr>
          <w:i/>
          <w:sz w:val="28"/>
          <w:szCs w:val="28"/>
          <w:bdr w:val="none" w:sz="0" w:space="0" w:color="auto" w:frame="1"/>
        </w:rPr>
        <w:t>identificada la jurisprudencia</w:t>
      </w:r>
      <w:r w:rsidR="00FE1F1F" w:rsidRPr="00644226">
        <w:rPr>
          <w:i/>
          <w:sz w:val="28"/>
          <w:szCs w:val="28"/>
          <w:bdr w:val="none" w:sz="0" w:space="0" w:color="auto" w:frame="1"/>
        </w:rPr>
        <w:t xml:space="preserve"> </w:t>
      </w:r>
      <w:r w:rsidR="005832E8" w:rsidRPr="00644226">
        <w:rPr>
          <w:i/>
          <w:sz w:val="28"/>
          <w:szCs w:val="28"/>
          <w:bdr w:val="none" w:sz="0" w:space="0" w:color="auto" w:frame="1"/>
        </w:rPr>
        <w:t>[pertinente]</w:t>
      </w:r>
      <w:r w:rsidR="00FE1F1F" w:rsidRPr="00644226">
        <w:rPr>
          <w:i/>
          <w:sz w:val="28"/>
          <w:szCs w:val="28"/>
          <w:bdr w:val="none" w:sz="0" w:space="0" w:color="auto" w:frame="1"/>
        </w:rPr>
        <w:t>(…)</w:t>
      </w:r>
      <w:r w:rsidR="000A1CF4" w:rsidRPr="00644226">
        <w:rPr>
          <w:i/>
          <w:sz w:val="28"/>
          <w:szCs w:val="28"/>
          <w:bdr w:val="none" w:sz="0" w:space="0" w:color="auto" w:frame="1"/>
        </w:rPr>
        <w:t>, la autoridad judicial puede apartarse de la misma mediante un proceso expreso de contra-argumentación que explique las razones del </w:t>
      </w:r>
      <w:r w:rsidR="000A1CF4" w:rsidRPr="00644226">
        <w:rPr>
          <w:i/>
          <w:iCs/>
          <w:sz w:val="28"/>
          <w:szCs w:val="28"/>
          <w:bdr w:val="none" w:sz="0" w:space="0" w:color="auto" w:frame="1"/>
        </w:rPr>
        <w:t>apartamiento”</w:t>
      </w:r>
      <w:r w:rsidR="00CD4C34" w:rsidRPr="00644226">
        <w:rPr>
          <w:i/>
          <w:iCs/>
          <w:sz w:val="28"/>
          <w:szCs w:val="28"/>
          <w:bdr w:val="none" w:sz="0" w:space="0" w:color="auto" w:frame="1"/>
        </w:rPr>
        <w:t>,</w:t>
      </w:r>
      <w:r w:rsidR="000A1CF4" w:rsidRPr="00644226">
        <w:rPr>
          <w:i/>
          <w:iCs/>
          <w:sz w:val="28"/>
          <w:szCs w:val="28"/>
          <w:bdr w:val="none" w:sz="0" w:space="0" w:color="auto" w:frame="1"/>
        </w:rPr>
        <w:t xml:space="preserve"> </w:t>
      </w:r>
      <w:r w:rsidR="005832E8" w:rsidRPr="00644226">
        <w:rPr>
          <w:sz w:val="28"/>
          <w:szCs w:val="28"/>
          <w:bdr w:val="none" w:sz="0" w:space="0" w:color="auto" w:frame="1"/>
        </w:rPr>
        <w:t xml:space="preserve">entre otros motivos, por la </w:t>
      </w:r>
      <w:r w:rsidR="000A1CF4" w:rsidRPr="00644226">
        <w:rPr>
          <w:i/>
          <w:iCs/>
          <w:sz w:val="28"/>
          <w:szCs w:val="28"/>
          <w:bdr w:val="none" w:sz="0" w:space="0" w:color="auto" w:frame="1"/>
        </w:rPr>
        <w:t>“</w:t>
      </w:r>
      <w:r w:rsidR="000A1CF4" w:rsidRPr="00644226">
        <w:rPr>
          <w:i/>
          <w:sz w:val="28"/>
          <w:szCs w:val="28"/>
          <w:bdr w:val="none" w:sz="0" w:space="0" w:color="auto" w:frame="1"/>
        </w:rPr>
        <w:t>ausencia de identidad fáctica, que impida aplicar el precedente al caso concreto”</w:t>
      </w:r>
      <w:r w:rsidR="00215106" w:rsidRPr="00644226">
        <w:rPr>
          <w:rStyle w:val="Refdenotaalpie"/>
          <w:i/>
          <w:sz w:val="28"/>
          <w:szCs w:val="28"/>
          <w:bdr w:val="none" w:sz="0" w:space="0" w:color="auto" w:frame="1"/>
        </w:rPr>
        <w:footnoteReference w:id="111"/>
      </w:r>
      <w:r w:rsidR="00215106" w:rsidRPr="00644226">
        <w:rPr>
          <w:i/>
          <w:sz w:val="28"/>
          <w:szCs w:val="28"/>
          <w:bdr w:val="none" w:sz="0" w:space="0" w:color="auto" w:frame="1"/>
        </w:rPr>
        <w:t>.</w:t>
      </w:r>
    </w:p>
    <w:p w14:paraId="46AEC2BF" w14:textId="77777777" w:rsidR="00CD4C34" w:rsidRPr="00644226" w:rsidRDefault="00CD4C34" w:rsidP="00CD4C34">
      <w:pPr>
        <w:pStyle w:val="Prrafodelista"/>
        <w:rPr>
          <w:szCs w:val="28"/>
        </w:rPr>
      </w:pPr>
    </w:p>
    <w:p w14:paraId="3971EB22" w14:textId="77777777" w:rsidR="00C56341" w:rsidRPr="00644226" w:rsidRDefault="000D447A" w:rsidP="005E0616">
      <w:pPr>
        <w:pStyle w:val="NormalWeb"/>
        <w:numPr>
          <w:ilvl w:val="0"/>
          <w:numId w:val="10"/>
        </w:numPr>
        <w:tabs>
          <w:tab w:val="left" w:pos="284"/>
        </w:tabs>
        <w:spacing w:before="0" w:beforeAutospacing="0" w:after="0" w:afterAutospacing="0"/>
        <w:ind w:right="40"/>
        <w:jc w:val="both"/>
        <w:rPr>
          <w:sz w:val="28"/>
          <w:szCs w:val="28"/>
        </w:rPr>
      </w:pPr>
      <w:r w:rsidRPr="00644226">
        <w:rPr>
          <w:sz w:val="28"/>
          <w:szCs w:val="28"/>
        </w:rPr>
        <w:t xml:space="preserve">En ese orden de ideas, </w:t>
      </w:r>
      <w:r w:rsidR="005832E8" w:rsidRPr="00644226">
        <w:rPr>
          <w:sz w:val="28"/>
          <w:szCs w:val="28"/>
        </w:rPr>
        <w:t xml:space="preserve">con el propósito de asegurar el esquema de control constitucional existente en la Carta en los términos ya enunciados, </w:t>
      </w:r>
      <w:r w:rsidR="009B1A8E" w:rsidRPr="00644226">
        <w:rPr>
          <w:sz w:val="28"/>
          <w:szCs w:val="28"/>
        </w:rPr>
        <w:t xml:space="preserve">debe concluirse que </w:t>
      </w:r>
      <w:r w:rsidR="00BE7186" w:rsidRPr="00644226">
        <w:rPr>
          <w:sz w:val="28"/>
          <w:szCs w:val="28"/>
        </w:rPr>
        <w:t xml:space="preserve">por </w:t>
      </w:r>
      <w:r w:rsidR="005E0616" w:rsidRPr="00644226">
        <w:rPr>
          <w:i/>
          <w:iCs/>
          <w:sz w:val="28"/>
          <w:szCs w:val="28"/>
        </w:rPr>
        <w:t>regla general</w:t>
      </w:r>
      <w:r w:rsidR="005E0616" w:rsidRPr="00644226">
        <w:rPr>
          <w:sz w:val="28"/>
          <w:szCs w:val="28"/>
        </w:rPr>
        <w:t xml:space="preserve"> la acción de tutela no procede </w:t>
      </w:r>
      <w:r w:rsidR="00AA5505" w:rsidRPr="00644226">
        <w:rPr>
          <w:sz w:val="28"/>
          <w:szCs w:val="28"/>
        </w:rPr>
        <w:t xml:space="preserve">para </w:t>
      </w:r>
      <w:r w:rsidR="00AA5505" w:rsidRPr="00644226">
        <w:rPr>
          <w:sz w:val="28"/>
          <w:szCs w:val="28"/>
        </w:rPr>
        <w:lastRenderedPageBreak/>
        <w:t xml:space="preserve">controvertir providencias judiciales producto del medio de control de nulidad por inconstitucionalidad </w:t>
      </w:r>
      <w:r w:rsidR="005E0616" w:rsidRPr="00644226">
        <w:rPr>
          <w:sz w:val="28"/>
          <w:szCs w:val="28"/>
          <w:shd w:val="clear" w:color="auto" w:fill="FFFFFF"/>
        </w:rPr>
        <w:t>del Consejo de Estado</w:t>
      </w:r>
      <w:r w:rsidR="005E0616" w:rsidRPr="00644226">
        <w:rPr>
          <w:sz w:val="28"/>
          <w:szCs w:val="28"/>
        </w:rPr>
        <w:t>. Sin embargo,</w:t>
      </w:r>
      <w:r w:rsidR="005832E8" w:rsidRPr="00644226">
        <w:rPr>
          <w:sz w:val="28"/>
          <w:szCs w:val="28"/>
        </w:rPr>
        <w:t xml:space="preserve"> por esa misma razón,</w:t>
      </w:r>
      <w:r w:rsidR="005E0616" w:rsidRPr="00644226">
        <w:rPr>
          <w:sz w:val="28"/>
          <w:szCs w:val="28"/>
        </w:rPr>
        <w:t xml:space="preserve"> </w:t>
      </w:r>
      <w:r w:rsidR="00BE7186" w:rsidRPr="00644226">
        <w:rPr>
          <w:sz w:val="28"/>
          <w:szCs w:val="28"/>
        </w:rPr>
        <w:t xml:space="preserve">existen dos excepciones que exigen la intervención de la Corte Constitucional y que se configuran cuando el fallo dictado por el Consejo de Estado </w:t>
      </w:r>
      <w:r w:rsidR="00947488" w:rsidRPr="00644226">
        <w:rPr>
          <w:b/>
          <w:bCs/>
          <w:sz w:val="28"/>
          <w:szCs w:val="28"/>
        </w:rPr>
        <w:t>(i)</w:t>
      </w:r>
      <w:r w:rsidR="00947488" w:rsidRPr="00644226">
        <w:rPr>
          <w:sz w:val="28"/>
          <w:szCs w:val="28"/>
        </w:rPr>
        <w:t xml:space="preserve"> </w:t>
      </w:r>
      <w:r w:rsidR="00BE7186" w:rsidRPr="00644226">
        <w:rPr>
          <w:sz w:val="28"/>
          <w:szCs w:val="28"/>
        </w:rPr>
        <w:t xml:space="preserve">desconoce la </w:t>
      </w:r>
      <w:r w:rsidR="005E0616" w:rsidRPr="00644226">
        <w:rPr>
          <w:i/>
          <w:iCs/>
          <w:sz w:val="28"/>
          <w:szCs w:val="28"/>
        </w:rPr>
        <w:t>cosa juzgada</w:t>
      </w:r>
      <w:r w:rsidR="00BE7186" w:rsidRPr="00644226">
        <w:rPr>
          <w:sz w:val="28"/>
          <w:szCs w:val="28"/>
        </w:rPr>
        <w:t xml:space="preserve"> constitucional; o </w:t>
      </w:r>
      <w:r w:rsidR="00947488" w:rsidRPr="00644226">
        <w:rPr>
          <w:b/>
          <w:bCs/>
          <w:sz w:val="28"/>
          <w:szCs w:val="28"/>
        </w:rPr>
        <w:t>(ii)</w:t>
      </w:r>
      <w:r w:rsidR="00947488" w:rsidRPr="00644226">
        <w:rPr>
          <w:sz w:val="28"/>
          <w:szCs w:val="28"/>
        </w:rPr>
        <w:t xml:space="preserve"> </w:t>
      </w:r>
      <w:r w:rsidR="00815FBD" w:rsidRPr="00644226">
        <w:rPr>
          <w:sz w:val="28"/>
          <w:szCs w:val="28"/>
        </w:rPr>
        <w:t xml:space="preserve">su interpretación genera </w:t>
      </w:r>
      <w:r w:rsidR="009B1A8E" w:rsidRPr="00644226">
        <w:rPr>
          <w:sz w:val="28"/>
          <w:szCs w:val="28"/>
        </w:rPr>
        <w:t>un “</w:t>
      </w:r>
      <w:r w:rsidR="009B1A8E" w:rsidRPr="00644226">
        <w:rPr>
          <w:i/>
          <w:iCs/>
          <w:sz w:val="28"/>
          <w:szCs w:val="28"/>
        </w:rPr>
        <w:t xml:space="preserve">bloqueo institucional </w:t>
      </w:r>
      <w:r w:rsidR="00A45F6D">
        <w:rPr>
          <w:i/>
          <w:iCs/>
          <w:sz w:val="28"/>
          <w:szCs w:val="28"/>
        </w:rPr>
        <w:t>in</w:t>
      </w:r>
      <w:r w:rsidR="009B1A8E" w:rsidRPr="00644226">
        <w:rPr>
          <w:i/>
          <w:iCs/>
          <w:sz w:val="28"/>
          <w:szCs w:val="28"/>
        </w:rPr>
        <w:t xml:space="preserve">constitucional” </w:t>
      </w:r>
      <w:r w:rsidR="009B1A8E" w:rsidRPr="00644226">
        <w:rPr>
          <w:sz w:val="28"/>
          <w:szCs w:val="28"/>
        </w:rPr>
        <w:t>al autorizar la</w:t>
      </w:r>
      <w:r w:rsidR="00815FBD" w:rsidRPr="00644226">
        <w:rPr>
          <w:sz w:val="28"/>
          <w:szCs w:val="28"/>
        </w:rPr>
        <w:t xml:space="preserve"> pérdida de </w:t>
      </w:r>
      <w:r w:rsidR="005E0616" w:rsidRPr="00644226">
        <w:rPr>
          <w:sz w:val="28"/>
          <w:szCs w:val="28"/>
        </w:rPr>
        <w:t>operatividad</w:t>
      </w:r>
      <w:r w:rsidR="00644226">
        <w:rPr>
          <w:sz w:val="28"/>
          <w:szCs w:val="28"/>
        </w:rPr>
        <w:t xml:space="preserve"> de órganos del poder público</w:t>
      </w:r>
      <w:r w:rsidR="005E0616" w:rsidRPr="00644226">
        <w:rPr>
          <w:sz w:val="28"/>
          <w:szCs w:val="28"/>
        </w:rPr>
        <w:t xml:space="preserve"> y</w:t>
      </w:r>
      <w:r w:rsidR="00815FBD" w:rsidRPr="00644226">
        <w:rPr>
          <w:sz w:val="28"/>
          <w:szCs w:val="28"/>
        </w:rPr>
        <w:t>/o</w:t>
      </w:r>
      <w:r w:rsidR="005E0616" w:rsidRPr="00644226">
        <w:rPr>
          <w:sz w:val="28"/>
          <w:szCs w:val="28"/>
        </w:rPr>
        <w:t xml:space="preserve"> </w:t>
      </w:r>
      <w:r w:rsidR="00644226">
        <w:rPr>
          <w:sz w:val="28"/>
          <w:szCs w:val="28"/>
        </w:rPr>
        <w:t xml:space="preserve">la eficacia </w:t>
      </w:r>
      <w:r w:rsidR="005E0616" w:rsidRPr="00644226">
        <w:rPr>
          <w:sz w:val="28"/>
          <w:szCs w:val="28"/>
        </w:rPr>
        <w:t xml:space="preserve">de normas constitucionales </w:t>
      </w:r>
      <w:r w:rsidR="009B1A8E" w:rsidRPr="00644226">
        <w:rPr>
          <w:sz w:val="28"/>
          <w:szCs w:val="28"/>
        </w:rPr>
        <w:t>o</w:t>
      </w:r>
      <w:r w:rsidR="005E0616" w:rsidRPr="00644226">
        <w:rPr>
          <w:sz w:val="28"/>
          <w:szCs w:val="28"/>
        </w:rPr>
        <w:t xml:space="preserve"> incluso de órganos que articulan la estructura misma de la Carta</w:t>
      </w:r>
      <w:r w:rsidR="00644226">
        <w:rPr>
          <w:sz w:val="28"/>
          <w:szCs w:val="28"/>
        </w:rPr>
        <w:t>, de tal forma que le quiten su sentido útil</w:t>
      </w:r>
      <w:r w:rsidR="00815FBD" w:rsidRPr="00644226">
        <w:rPr>
          <w:sz w:val="28"/>
          <w:szCs w:val="28"/>
        </w:rPr>
        <w:t>. En tales casos</w:t>
      </w:r>
      <w:r w:rsidR="00947488" w:rsidRPr="00644226">
        <w:rPr>
          <w:sz w:val="28"/>
          <w:szCs w:val="28"/>
        </w:rPr>
        <w:t xml:space="preserve"> </w:t>
      </w:r>
      <w:r w:rsidR="005E0616" w:rsidRPr="00644226">
        <w:rPr>
          <w:sz w:val="28"/>
          <w:szCs w:val="28"/>
        </w:rPr>
        <w:t xml:space="preserve">la acción de tutela debe ser procedente, precisamente por la necesidad inexcusable que tiene esta Corporación como guardiana de la Carta, de proteger </w:t>
      </w:r>
      <w:r w:rsidR="00D50C23" w:rsidRPr="00644226">
        <w:rPr>
          <w:sz w:val="28"/>
          <w:szCs w:val="28"/>
        </w:rPr>
        <w:t>la</w:t>
      </w:r>
      <w:r w:rsidR="00AA5505" w:rsidRPr="00644226">
        <w:rPr>
          <w:sz w:val="28"/>
          <w:szCs w:val="28"/>
        </w:rPr>
        <w:t xml:space="preserve"> estructura </w:t>
      </w:r>
      <w:r w:rsidR="00D50C23" w:rsidRPr="00644226">
        <w:rPr>
          <w:sz w:val="28"/>
          <w:szCs w:val="28"/>
        </w:rPr>
        <w:t xml:space="preserve">constitucional </w:t>
      </w:r>
      <w:r w:rsidR="00AA5505" w:rsidRPr="00644226">
        <w:rPr>
          <w:sz w:val="28"/>
          <w:szCs w:val="28"/>
        </w:rPr>
        <w:t xml:space="preserve">y </w:t>
      </w:r>
      <w:r w:rsidR="006D3265" w:rsidRPr="00644226">
        <w:rPr>
          <w:sz w:val="28"/>
          <w:szCs w:val="28"/>
        </w:rPr>
        <w:t xml:space="preserve">su </w:t>
      </w:r>
      <w:r w:rsidR="00644226">
        <w:rPr>
          <w:sz w:val="28"/>
          <w:szCs w:val="28"/>
        </w:rPr>
        <w:t>fuerza normativa</w:t>
      </w:r>
      <w:r w:rsidR="006D3265" w:rsidRPr="00644226">
        <w:rPr>
          <w:sz w:val="28"/>
          <w:szCs w:val="28"/>
        </w:rPr>
        <w:t xml:space="preserve">, así como </w:t>
      </w:r>
      <w:r w:rsidR="005E0616" w:rsidRPr="00644226">
        <w:rPr>
          <w:sz w:val="28"/>
          <w:szCs w:val="28"/>
        </w:rPr>
        <w:t xml:space="preserve">el </w:t>
      </w:r>
      <w:r w:rsidR="005E0616" w:rsidRPr="00644226">
        <w:rPr>
          <w:rFonts w:eastAsia="Calibri"/>
          <w:sz w:val="28"/>
          <w:szCs w:val="28"/>
          <w:lang w:eastAsia="en-US"/>
        </w:rPr>
        <w:t xml:space="preserve">esquema de control previsto </w:t>
      </w:r>
      <w:r w:rsidR="009D64EF" w:rsidRPr="00644226">
        <w:rPr>
          <w:rFonts w:eastAsia="Calibri"/>
          <w:sz w:val="28"/>
          <w:szCs w:val="28"/>
          <w:lang w:eastAsia="en-US"/>
        </w:rPr>
        <w:t>por</w:t>
      </w:r>
      <w:r w:rsidR="005E0616" w:rsidRPr="00644226">
        <w:rPr>
          <w:rFonts w:eastAsia="Calibri"/>
          <w:sz w:val="28"/>
          <w:szCs w:val="28"/>
          <w:lang w:eastAsia="en-US"/>
        </w:rPr>
        <w:t xml:space="preserve"> la </w:t>
      </w:r>
      <w:r w:rsidR="00947488" w:rsidRPr="00644226">
        <w:rPr>
          <w:rFonts w:eastAsia="Calibri"/>
          <w:sz w:val="28"/>
          <w:szCs w:val="28"/>
          <w:lang w:eastAsia="en-US"/>
        </w:rPr>
        <w:t>Norma superior</w:t>
      </w:r>
      <w:r w:rsidR="005E0616" w:rsidRPr="00644226">
        <w:rPr>
          <w:rFonts w:eastAsia="Calibri"/>
          <w:sz w:val="28"/>
          <w:szCs w:val="28"/>
          <w:lang w:eastAsia="en-US"/>
        </w:rPr>
        <w:t>.</w:t>
      </w:r>
      <w:r w:rsidR="005E0616" w:rsidRPr="00644226">
        <w:rPr>
          <w:rFonts w:eastAsia="Calibri"/>
          <w:i/>
          <w:iCs/>
          <w:sz w:val="28"/>
          <w:szCs w:val="28"/>
          <w:lang w:eastAsia="en-US"/>
        </w:rPr>
        <w:t xml:space="preserve"> </w:t>
      </w:r>
    </w:p>
    <w:p w14:paraId="625657B5" w14:textId="77777777" w:rsidR="00C56341" w:rsidRPr="00EF571A" w:rsidRDefault="00C56341" w:rsidP="0099084B">
      <w:pPr>
        <w:spacing w:line="276" w:lineRule="auto"/>
        <w:ind w:right="49"/>
        <w:jc w:val="both"/>
        <w:rPr>
          <w:rFonts w:eastAsia="Calibri"/>
          <w:b/>
          <w:i/>
          <w:iCs/>
          <w:szCs w:val="28"/>
          <w:lang w:val="es-CO"/>
        </w:rPr>
      </w:pPr>
    </w:p>
    <w:p w14:paraId="256FAB39" w14:textId="77777777" w:rsidR="00C56341" w:rsidRPr="00FC0D3B" w:rsidRDefault="00C56341" w:rsidP="00C56341">
      <w:pPr>
        <w:ind w:right="49"/>
        <w:jc w:val="both"/>
        <w:rPr>
          <w:rFonts w:eastAsia="Calibri"/>
          <w:b/>
          <w:i/>
          <w:iCs/>
          <w:szCs w:val="28"/>
        </w:rPr>
      </w:pPr>
      <w:r w:rsidRPr="00FC0D3B">
        <w:rPr>
          <w:rFonts w:eastAsia="Calibri"/>
          <w:b/>
          <w:i/>
          <w:iCs/>
          <w:szCs w:val="28"/>
        </w:rPr>
        <w:t xml:space="preserve">Desconocimiento de la cosa juzgada constitucional como </w:t>
      </w:r>
      <w:r w:rsidR="005A627E" w:rsidRPr="00FC0D3B">
        <w:rPr>
          <w:rFonts w:eastAsia="Calibri"/>
          <w:b/>
          <w:i/>
          <w:iCs/>
          <w:szCs w:val="28"/>
        </w:rPr>
        <w:t>causal</w:t>
      </w:r>
      <w:r w:rsidRPr="00FC0D3B">
        <w:rPr>
          <w:rFonts w:eastAsia="Calibri"/>
          <w:b/>
          <w:i/>
          <w:iCs/>
          <w:szCs w:val="28"/>
        </w:rPr>
        <w:t xml:space="preserve"> específica de procedencia de la acción de tutela</w:t>
      </w:r>
      <w:r w:rsidRPr="00FC0D3B">
        <w:rPr>
          <w:szCs w:val="28"/>
        </w:rPr>
        <w:t xml:space="preserve"> </w:t>
      </w:r>
    </w:p>
    <w:p w14:paraId="480875D6" w14:textId="77777777" w:rsidR="00C56341" w:rsidRPr="00FC0D3B" w:rsidRDefault="00C56341" w:rsidP="0099084B">
      <w:pPr>
        <w:pStyle w:val="Prrafodelista"/>
        <w:spacing w:line="276" w:lineRule="auto"/>
        <w:rPr>
          <w:rFonts w:eastAsia="Calibri"/>
          <w:i/>
          <w:iCs/>
          <w:szCs w:val="28"/>
          <w:lang w:eastAsia="en-US"/>
        </w:rPr>
      </w:pPr>
    </w:p>
    <w:p w14:paraId="079D5B34" w14:textId="77777777" w:rsidR="0080787B" w:rsidRPr="00FC0D3B" w:rsidRDefault="005E0616" w:rsidP="00C56341">
      <w:pPr>
        <w:pStyle w:val="NormalWeb"/>
        <w:numPr>
          <w:ilvl w:val="0"/>
          <w:numId w:val="10"/>
        </w:numPr>
        <w:tabs>
          <w:tab w:val="left" w:pos="284"/>
        </w:tabs>
        <w:spacing w:before="0" w:beforeAutospacing="0" w:after="0" w:afterAutospacing="0"/>
        <w:ind w:right="40"/>
        <w:jc w:val="both"/>
        <w:rPr>
          <w:sz w:val="28"/>
          <w:szCs w:val="28"/>
        </w:rPr>
      </w:pPr>
      <w:r w:rsidRPr="00FC0D3B">
        <w:rPr>
          <w:rFonts w:eastAsia="Calibri"/>
          <w:i/>
          <w:iCs/>
          <w:sz w:val="28"/>
          <w:szCs w:val="28"/>
          <w:lang w:eastAsia="en-US"/>
        </w:rPr>
        <w:t xml:space="preserve"> </w:t>
      </w:r>
      <w:r w:rsidR="00F73C45" w:rsidRPr="00FC0D3B">
        <w:rPr>
          <w:sz w:val="28"/>
          <w:szCs w:val="28"/>
        </w:rPr>
        <w:t xml:space="preserve">La </w:t>
      </w:r>
      <w:r w:rsidR="00C03314" w:rsidRPr="00FC0D3B">
        <w:rPr>
          <w:sz w:val="28"/>
          <w:szCs w:val="28"/>
        </w:rPr>
        <w:t xml:space="preserve">presunta existencia de </w:t>
      </w:r>
      <w:r w:rsidR="008759BF" w:rsidRPr="00FC0D3B">
        <w:rPr>
          <w:sz w:val="28"/>
          <w:szCs w:val="28"/>
        </w:rPr>
        <w:t>una</w:t>
      </w:r>
      <w:r w:rsidR="00C03314" w:rsidRPr="00FC0D3B">
        <w:rPr>
          <w:sz w:val="28"/>
          <w:szCs w:val="28"/>
        </w:rPr>
        <w:t xml:space="preserve"> violación</w:t>
      </w:r>
      <w:r w:rsidR="008759BF" w:rsidRPr="00FC0D3B">
        <w:rPr>
          <w:sz w:val="28"/>
          <w:szCs w:val="28"/>
        </w:rPr>
        <w:t xml:space="preserve"> de</w:t>
      </w:r>
      <w:r w:rsidR="00C03314" w:rsidRPr="00FC0D3B">
        <w:rPr>
          <w:sz w:val="28"/>
          <w:szCs w:val="28"/>
        </w:rPr>
        <w:t xml:space="preserve"> la cosa juzgada constitucional </w:t>
      </w:r>
      <w:r w:rsidR="008759BF" w:rsidRPr="00FC0D3B">
        <w:rPr>
          <w:sz w:val="28"/>
          <w:szCs w:val="28"/>
        </w:rPr>
        <w:t xml:space="preserve">habilita </w:t>
      </w:r>
      <w:r w:rsidR="001306BE" w:rsidRPr="00FC0D3B">
        <w:rPr>
          <w:sz w:val="28"/>
          <w:szCs w:val="28"/>
        </w:rPr>
        <w:t>la procedencia</w:t>
      </w:r>
      <w:r w:rsidR="008759BF" w:rsidRPr="00FC0D3B">
        <w:rPr>
          <w:sz w:val="28"/>
          <w:szCs w:val="28"/>
        </w:rPr>
        <w:t xml:space="preserve"> excepcional</w:t>
      </w:r>
      <w:r w:rsidR="001306BE" w:rsidRPr="00FC0D3B">
        <w:rPr>
          <w:sz w:val="28"/>
          <w:szCs w:val="28"/>
        </w:rPr>
        <w:t xml:space="preserve"> de la</w:t>
      </w:r>
      <w:r w:rsidR="0044492F" w:rsidRPr="00FC0D3B">
        <w:rPr>
          <w:sz w:val="28"/>
          <w:szCs w:val="28"/>
        </w:rPr>
        <w:t xml:space="preserve"> acción de</w:t>
      </w:r>
      <w:r w:rsidR="001306BE" w:rsidRPr="00FC0D3B">
        <w:rPr>
          <w:sz w:val="28"/>
          <w:szCs w:val="28"/>
        </w:rPr>
        <w:t xml:space="preserve"> tutela</w:t>
      </w:r>
      <w:r w:rsidR="0080787B" w:rsidRPr="00FC0D3B">
        <w:rPr>
          <w:sz w:val="28"/>
          <w:szCs w:val="28"/>
        </w:rPr>
        <w:t xml:space="preserve"> contra providencias judiciales</w:t>
      </w:r>
      <w:r w:rsidR="00FC0D3B">
        <w:rPr>
          <w:sz w:val="28"/>
          <w:szCs w:val="28"/>
        </w:rPr>
        <w:t>, incluso las que son</w:t>
      </w:r>
      <w:r w:rsidR="0080787B" w:rsidRPr="00FC0D3B">
        <w:rPr>
          <w:sz w:val="28"/>
          <w:szCs w:val="28"/>
        </w:rPr>
        <w:t xml:space="preserve"> producto del medio de control de nulidad por inconstitucionalidad</w:t>
      </w:r>
      <w:r w:rsidR="001306BE" w:rsidRPr="00FC0D3B">
        <w:rPr>
          <w:sz w:val="28"/>
          <w:szCs w:val="28"/>
        </w:rPr>
        <w:t xml:space="preserve">, </w:t>
      </w:r>
      <w:r w:rsidR="00C56341" w:rsidRPr="00FC0D3B">
        <w:rPr>
          <w:sz w:val="28"/>
          <w:szCs w:val="28"/>
        </w:rPr>
        <w:t xml:space="preserve"> </w:t>
      </w:r>
      <w:r w:rsidR="001B23B3" w:rsidRPr="00FC0D3B">
        <w:rPr>
          <w:sz w:val="28"/>
          <w:szCs w:val="28"/>
        </w:rPr>
        <w:t xml:space="preserve">por </w:t>
      </w:r>
      <w:r w:rsidR="008759BF" w:rsidRPr="00FC0D3B">
        <w:rPr>
          <w:sz w:val="28"/>
          <w:szCs w:val="28"/>
        </w:rPr>
        <w:t xml:space="preserve">ser un </w:t>
      </w:r>
      <w:r w:rsidR="0044492F" w:rsidRPr="00FC0D3B">
        <w:rPr>
          <w:sz w:val="28"/>
          <w:szCs w:val="28"/>
        </w:rPr>
        <w:t xml:space="preserve">mecanismo </w:t>
      </w:r>
      <w:r w:rsidR="008759BF" w:rsidRPr="00FC0D3B">
        <w:rPr>
          <w:sz w:val="28"/>
          <w:szCs w:val="28"/>
        </w:rPr>
        <w:t xml:space="preserve">idóneo para asegurar </w:t>
      </w:r>
      <w:r w:rsidR="0044492F" w:rsidRPr="00FC0D3B">
        <w:rPr>
          <w:sz w:val="28"/>
          <w:szCs w:val="28"/>
        </w:rPr>
        <w:t xml:space="preserve">de manera </w:t>
      </w:r>
      <w:r w:rsidR="008759BF" w:rsidRPr="00FC0D3B">
        <w:rPr>
          <w:sz w:val="28"/>
          <w:szCs w:val="28"/>
        </w:rPr>
        <w:t>eficaz</w:t>
      </w:r>
      <w:r w:rsidR="005A627E" w:rsidRPr="00FC0D3B">
        <w:rPr>
          <w:sz w:val="28"/>
          <w:szCs w:val="28"/>
        </w:rPr>
        <w:t xml:space="preserve"> y pronta, las posibles afectaciones a</w:t>
      </w:r>
      <w:r w:rsidR="008759BF" w:rsidRPr="00FC0D3B">
        <w:rPr>
          <w:sz w:val="28"/>
          <w:szCs w:val="28"/>
        </w:rPr>
        <w:t xml:space="preserve"> </w:t>
      </w:r>
      <w:r w:rsidR="0044492F" w:rsidRPr="00FC0D3B">
        <w:rPr>
          <w:sz w:val="28"/>
          <w:szCs w:val="28"/>
        </w:rPr>
        <w:t>la seguridad jurídica</w:t>
      </w:r>
      <w:r w:rsidR="008759BF" w:rsidRPr="00FC0D3B">
        <w:rPr>
          <w:sz w:val="28"/>
          <w:szCs w:val="28"/>
        </w:rPr>
        <w:t xml:space="preserve"> y</w:t>
      </w:r>
      <w:r w:rsidR="005A627E" w:rsidRPr="00FC0D3B">
        <w:rPr>
          <w:sz w:val="28"/>
          <w:szCs w:val="28"/>
        </w:rPr>
        <w:t>/o a</w:t>
      </w:r>
      <w:r w:rsidR="008759BF" w:rsidRPr="00FC0D3B">
        <w:rPr>
          <w:sz w:val="28"/>
          <w:szCs w:val="28"/>
        </w:rPr>
        <w:t xml:space="preserve"> </w:t>
      </w:r>
      <w:r w:rsidR="0044492F" w:rsidRPr="00FC0D3B">
        <w:rPr>
          <w:sz w:val="28"/>
          <w:szCs w:val="28"/>
        </w:rPr>
        <w:t>la confianza legítima</w:t>
      </w:r>
      <w:r w:rsidR="0080787B" w:rsidRPr="00FC0D3B">
        <w:rPr>
          <w:sz w:val="28"/>
          <w:szCs w:val="28"/>
        </w:rPr>
        <w:t xml:space="preserve"> que se susciten en e</w:t>
      </w:r>
      <w:r w:rsidR="005A627E" w:rsidRPr="00FC0D3B">
        <w:rPr>
          <w:sz w:val="28"/>
          <w:szCs w:val="28"/>
        </w:rPr>
        <w:t xml:space="preserve">l </w:t>
      </w:r>
      <w:r w:rsidR="0044492F" w:rsidRPr="00FC0D3B">
        <w:rPr>
          <w:sz w:val="28"/>
          <w:szCs w:val="28"/>
        </w:rPr>
        <w:t>ordenamiento</w:t>
      </w:r>
      <w:r w:rsidR="005A627E" w:rsidRPr="00FC0D3B">
        <w:rPr>
          <w:sz w:val="28"/>
          <w:szCs w:val="28"/>
        </w:rPr>
        <w:t xml:space="preserve"> jurídico</w:t>
      </w:r>
      <w:r w:rsidR="0044492F" w:rsidRPr="00FC0D3B">
        <w:rPr>
          <w:sz w:val="28"/>
          <w:szCs w:val="28"/>
        </w:rPr>
        <w:t xml:space="preserve"> </w:t>
      </w:r>
      <w:r w:rsidR="008759BF" w:rsidRPr="00FC0D3B">
        <w:rPr>
          <w:sz w:val="28"/>
          <w:szCs w:val="28"/>
        </w:rPr>
        <w:t>y especialmente</w:t>
      </w:r>
      <w:r w:rsidR="005A627E" w:rsidRPr="00FC0D3B">
        <w:rPr>
          <w:sz w:val="28"/>
          <w:szCs w:val="28"/>
        </w:rPr>
        <w:t xml:space="preserve"> </w:t>
      </w:r>
      <w:r w:rsidR="00D407DF" w:rsidRPr="00FC0D3B">
        <w:rPr>
          <w:sz w:val="28"/>
          <w:szCs w:val="28"/>
        </w:rPr>
        <w:t>en e</w:t>
      </w:r>
      <w:r w:rsidR="005A627E" w:rsidRPr="00FC0D3B">
        <w:rPr>
          <w:sz w:val="28"/>
          <w:szCs w:val="28"/>
        </w:rPr>
        <w:t xml:space="preserve">l </w:t>
      </w:r>
      <w:r w:rsidR="00FC0D3B">
        <w:rPr>
          <w:sz w:val="28"/>
          <w:szCs w:val="28"/>
        </w:rPr>
        <w:t xml:space="preserve">equilibrio del </w:t>
      </w:r>
      <w:r w:rsidR="005A627E" w:rsidRPr="00FC0D3B">
        <w:rPr>
          <w:sz w:val="28"/>
          <w:szCs w:val="28"/>
        </w:rPr>
        <w:t>orden</w:t>
      </w:r>
      <w:r w:rsidR="008759BF" w:rsidRPr="00FC0D3B">
        <w:rPr>
          <w:sz w:val="28"/>
          <w:szCs w:val="28"/>
        </w:rPr>
        <w:t xml:space="preserve"> </w:t>
      </w:r>
      <w:r w:rsidR="0044492F" w:rsidRPr="00FC0D3B">
        <w:rPr>
          <w:sz w:val="28"/>
          <w:szCs w:val="28"/>
        </w:rPr>
        <w:t>constitucional</w:t>
      </w:r>
      <w:r w:rsidR="0080787B" w:rsidRPr="00FC0D3B">
        <w:rPr>
          <w:sz w:val="28"/>
          <w:szCs w:val="28"/>
        </w:rPr>
        <w:t>,</w:t>
      </w:r>
      <w:r w:rsidR="005A627E" w:rsidRPr="00FC0D3B">
        <w:rPr>
          <w:sz w:val="28"/>
          <w:szCs w:val="28"/>
        </w:rPr>
        <w:t xml:space="preserve"> a partir de los fallos de control abstracto de constitucionalidad del Consejo de Estado</w:t>
      </w:r>
      <w:r w:rsidR="0080787B" w:rsidRPr="00FC0D3B">
        <w:rPr>
          <w:sz w:val="28"/>
          <w:szCs w:val="28"/>
        </w:rPr>
        <w:t xml:space="preserve"> que eventualmente desconozcan</w:t>
      </w:r>
      <w:r w:rsidR="001B23B3" w:rsidRPr="00FC0D3B">
        <w:rPr>
          <w:sz w:val="28"/>
          <w:szCs w:val="28"/>
        </w:rPr>
        <w:t xml:space="preserve"> esta </w:t>
      </w:r>
      <w:r w:rsidR="0080787B" w:rsidRPr="00FC0D3B">
        <w:rPr>
          <w:sz w:val="28"/>
          <w:szCs w:val="28"/>
        </w:rPr>
        <w:t>figura.</w:t>
      </w:r>
    </w:p>
    <w:p w14:paraId="3AC07FCE" w14:textId="77777777" w:rsidR="0080787B" w:rsidRPr="00FC0D3B" w:rsidRDefault="0080787B" w:rsidP="0080787B">
      <w:pPr>
        <w:pStyle w:val="NormalWeb"/>
        <w:tabs>
          <w:tab w:val="left" w:pos="284"/>
        </w:tabs>
        <w:spacing w:before="0" w:beforeAutospacing="0" w:after="0" w:afterAutospacing="0"/>
        <w:ind w:right="40"/>
        <w:jc w:val="both"/>
        <w:rPr>
          <w:sz w:val="28"/>
          <w:szCs w:val="28"/>
        </w:rPr>
      </w:pPr>
    </w:p>
    <w:p w14:paraId="05F3D83B" w14:textId="77777777" w:rsidR="005A627E" w:rsidRPr="00FC0D3B" w:rsidRDefault="00FC0D3B" w:rsidP="00C56341">
      <w:pPr>
        <w:pStyle w:val="NormalWeb"/>
        <w:numPr>
          <w:ilvl w:val="0"/>
          <w:numId w:val="10"/>
        </w:numPr>
        <w:tabs>
          <w:tab w:val="left" w:pos="284"/>
        </w:tabs>
        <w:spacing w:before="0" w:beforeAutospacing="0" w:after="0" w:afterAutospacing="0"/>
        <w:ind w:right="40"/>
        <w:jc w:val="both"/>
        <w:rPr>
          <w:sz w:val="28"/>
          <w:szCs w:val="28"/>
        </w:rPr>
      </w:pPr>
      <w:r>
        <w:rPr>
          <w:sz w:val="28"/>
          <w:szCs w:val="28"/>
        </w:rPr>
        <w:t>La Sala recuerda</w:t>
      </w:r>
      <w:r w:rsidR="00184614" w:rsidRPr="00FC0D3B">
        <w:rPr>
          <w:sz w:val="28"/>
          <w:szCs w:val="28"/>
        </w:rPr>
        <w:t xml:space="preserve"> que</w:t>
      </w:r>
      <w:r>
        <w:rPr>
          <w:sz w:val="28"/>
          <w:szCs w:val="28"/>
        </w:rPr>
        <w:t>,</w:t>
      </w:r>
      <w:r w:rsidR="00184614" w:rsidRPr="00FC0D3B">
        <w:rPr>
          <w:sz w:val="28"/>
          <w:szCs w:val="28"/>
        </w:rPr>
        <w:t xml:space="preserve"> exclusivamente</w:t>
      </w:r>
      <w:r>
        <w:rPr>
          <w:sz w:val="28"/>
          <w:szCs w:val="28"/>
        </w:rPr>
        <w:t>,</w:t>
      </w:r>
      <w:r w:rsidR="00184614" w:rsidRPr="00FC0D3B">
        <w:rPr>
          <w:rStyle w:val="Refdenotaalpie"/>
          <w:sz w:val="28"/>
          <w:szCs w:val="28"/>
        </w:rPr>
        <w:footnoteReference w:id="112"/>
      </w:r>
      <w:r w:rsidR="00184614" w:rsidRPr="00FC0D3B">
        <w:rPr>
          <w:sz w:val="28"/>
          <w:szCs w:val="28"/>
        </w:rPr>
        <w:t xml:space="preserve"> </w:t>
      </w:r>
      <w:r w:rsidR="00C56341" w:rsidRPr="00FC0D3B">
        <w:rPr>
          <w:sz w:val="28"/>
          <w:szCs w:val="28"/>
        </w:rPr>
        <w:t>l</w:t>
      </w:r>
      <w:r w:rsidR="005A627E" w:rsidRPr="00FC0D3B">
        <w:rPr>
          <w:sz w:val="28"/>
          <w:szCs w:val="28"/>
        </w:rPr>
        <w:t>as providencias</w:t>
      </w:r>
      <w:r w:rsidR="00C56341" w:rsidRPr="00FC0D3B">
        <w:rPr>
          <w:sz w:val="28"/>
          <w:szCs w:val="28"/>
        </w:rPr>
        <w:t xml:space="preserve"> que profiere </w:t>
      </w:r>
      <w:r>
        <w:rPr>
          <w:sz w:val="28"/>
          <w:szCs w:val="28"/>
        </w:rPr>
        <w:t>la Corte Constitucional</w:t>
      </w:r>
      <w:r w:rsidR="005A627E" w:rsidRPr="00FC0D3B">
        <w:rPr>
          <w:sz w:val="28"/>
          <w:szCs w:val="28"/>
        </w:rPr>
        <w:t xml:space="preserve"> </w:t>
      </w:r>
      <w:r w:rsidR="00C56341" w:rsidRPr="00FC0D3B">
        <w:rPr>
          <w:sz w:val="28"/>
          <w:szCs w:val="28"/>
        </w:rPr>
        <w:t>en ejercicio de</w:t>
      </w:r>
      <w:r>
        <w:rPr>
          <w:sz w:val="28"/>
          <w:szCs w:val="28"/>
        </w:rPr>
        <w:t>l</w:t>
      </w:r>
      <w:r w:rsidR="0080787B" w:rsidRPr="00FC0D3B">
        <w:rPr>
          <w:sz w:val="28"/>
          <w:szCs w:val="28"/>
        </w:rPr>
        <w:t xml:space="preserve"> </w:t>
      </w:r>
      <w:r w:rsidR="00C56341" w:rsidRPr="00FC0D3B">
        <w:rPr>
          <w:sz w:val="28"/>
          <w:szCs w:val="28"/>
        </w:rPr>
        <w:t>control jurisdiccional hacen tránsito a cosa juzgada constitucional</w:t>
      </w:r>
      <w:r w:rsidR="001306BE" w:rsidRPr="00FC0D3B">
        <w:rPr>
          <w:sz w:val="28"/>
          <w:szCs w:val="28"/>
        </w:rPr>
        <w:t xml:space="preserve"> y adquieren </w:t>
      </w:r>
      <w:r w:rsidR="0080787B" w:rsidRPr="00FC0D3B">
        <w:rPr>
          <w:sz w:val="28"/>
          <w:szCs w:val="28"/>
        </w:rPr>
        <w:t xml:space="preserve">por ese hecho </w:t>
      </w:r>
      <w:r w:rsidR="001306BE" w:rsidRPr="00FC0D3B">
        <w:rPr>
          <w:sz w:val="28"/>
          <w:szCs w:val="28"/>
        </w:rPr>
        <w:t>el carácter de inmutables, vinculantes y definitivas en los términos del artículo</w:t>
      </w:r>
      <w:r w:rsidR="005A627E" w:rsidRPr="00FC0D3B">
        <w:rPr>
          <w:sz w:val="28"/>
          <w:szCs w:val="28"/>
        </w:rPr>
        <w:t xml:space="preserve"> 243 superior</w:t>
      </w:r>
      <w:r w:rsidR="00D407DF" w:rsidRPr="00FC0D3B">
        <w:rPr>
          <w:sz w:val="28"/>
          <w:szCs w:val="28"/>
        </w:rPr>
        <w:t>. En esos casos,</w:t>
      </w:r>
      <w:r w:rsidR="005A627E" w:rsidRPr="00FC0D3B">
        <w:rPr>
          <w:sz w:val="28"/>
          <w:szCs w:val="28"/>
        </w:rPr>
        <w:t xml:space="preserve"> </w:t>
      </w:r>
      <w:r w:rsidR="005F4560" w:rsidRPr="00FC0D3B">
        <w:rPr>
          <w:sz w:val="28"/>
          <w:szCs w:val="28"/>
        </w:rPr>
        <w:t xml:space="preserve">la exigencia de </w:t>
      </w:r>
      <w:r w:rsidR="0080787B" w:rsidRPr="00FC0D3B">
        <w:rPr>
          <w:sz w:val="28"/>
          <w:szCs w:val="28"/>
        </w:rPr>
        <w:t xml:space="preserve">respeto </w:t>
      </w:r>
      <w:r w:rsidR="005F4560" w:rsidRPr="00FC0D3B">
        <w:rPr>
          <w:sz w:val="28"/>
          <w:szCs w:val="28"/>
        </w:rPr>
        <w:t>por</w:t>
      </w:r>
      <w:r w:rsidR="0080787B" w:rsidRPr="00FC0D3B">
        <w:rPr>
          <w:sz w:val="28"/>
          <w:szCs w:val="28"/>
        </w:rPr>
        <w:t xml:space="preserve"> la cosa juzgada constitucional </w:t>
      </w:r>
      <w:r w:rsidR="005F4560" w:rsidRPr="00FC0D3B">
        <w:rPr>
          <w:sz w:val="28"/>
          <w:szCs w:val="28"/>
        </w:rPr>
        <w:t>es una garantía de la</w:t>
      </w:r>
      <w:r w:rsidR="0080787B" w:rsidRPr="00FC0D3B">
        <w:rPr>
          <w:sz w:val="28"/>
          <w:szCs w:val="28"/>
        </w:rPr>
        <w:t xml:space="preserve"> </w:t>
      </w:r>
      <w:r w:rsidR="005F4560" w:rsidRPr="00FC0D3B">
        <w:rPr>
          <w:sz w:val="28"/>
          <w:szCs w:val="28"/>
        </w:rPr>
        <w:t xml:space="preserve">búsqueda de </w:t>
      </w:r>
      <w:r w:rsidR="005A627E" w:rsidRPr="00FC0D3B">
        <w:rPr>
          <w:sz w:val="28"/>
          <w:szCs w:val="28"/>
        </w:rPr>
        <w:t>coherencia</w:t>
      </w:r>
      <w:r w:rsidR="0080787B" w:rsidRPr="00FC0D3B">
        <w:rPr>
          <w:sz w:val="28"/>
          <w:szCs w:val="28"/>
        </w:rPr>
        <w:t xml:space="preserve"> del </w:t>
      </w:r>
      <w:r w:rsidR="005A627E" w:rsidRPr="00FC0D3B">
        <w:rPr>
          <w:sz w:val="28"/>
          <w:szCs w:val="28"/>
        </w:rPr>
        <w:t>sistema jurídico en su conjunto</w:t>
      </w:r>
      <w:r w:rsidR="0080787B" w:rsidRPr="00FC0D3B">
        <w:rPr>
          <w:sz w:val="28"/>
          <w:szCs w:val="28"/>
        </w:rPr>
        <w:t xml:space="preserve">, que </w:t>
      </w:r>
      <w:r w:rsidR="005F4560" w:rsidRPr="00FC0D3B">
        <w:rPr>
          <w:sz w:val="28"/>
          <w:szCs w:val="28"/>
        </w:rPr>
        <w:t>resulta ser</w:t>
      </w:r>
      <w:r w:rsidR="0080787B" w:rsidRPr="00FC0D3B">
        <w:rPr>
          <w:sz w:val="28"/>
          <w:szCs w:val="28"/>
        </w:rPr>
        <w:t xml:space="preserve"> particularmente necesaria entre órganos que </w:t>
      </w:r>
      <w:r w:rsidR="005F4560" w:rsidRPr="00FC0D3B">
        <w:rPr>
          <w:sz w:val="28"/>
          <w:szCs w:val="28"/>
        </w:rPr>
        <w:t xml:space="preserve">cumplen funciones límite en materia de </w:t>
      </w:r>
      <w:r w:rsidR="0080787B" w:rsidRPr="00FC0D3B">
        <w:rPr>
          <w:sz w:val="28"/>
          <w:szCs w:val="28"/>
        </w:rPr>
        <w:t>control abstracto de constitucionalidad</w:t>
      </w:r>
      <w:r w:rsidR="005F4560" w:rsidRPr="00FC0D3B">
        <w:rPr>
          <w:sz w:val="28"/>
          <w:szCs w:val="28"/>
        </w:rPr>
        <w:t>.</w:t>
      </w:r>
      <w:r w:rsidR="0080787B" w:rsidRPr="00FC0D3B">
        <w:rPr>
          <w:sz w:val="28"/>
          <w:szCs w:val="28"/>
        </w:rPr>
        <w:t xml:space="preserve"> </w:t>
      </w:r>
      <w:r w:rsidR="00B405BB" w:rsidRPr="00FC0D3B">
        <w:rPr>
          <w:sz w:val="28"/>
          <w:szCs w:val="28"/>
        </w:rPr>
        <w:t>En particular, teniendo en cuenta que, como se señalará más adelante, la cosa juzgada constitucional en materia en sentencias de constitucionalidad, con efectos de inexequibilidad o exequibilidad en sus diferentes modalidades, es una competencia que s</w:t>
      </w:r>
      <w:r w:rsidR="00C80E03">
        <w:rPr>
          <w:sz w:val="28"/>
          <w:szCs w:val="28"/>
        </w:rPr>
        <w:t>o</w:t>
      </w:r>
      <w:r w:rsidR="00B405BB" w:rsidRPr="00FC0D3B">
        <w:rPr>
          <w:sz w:val="28"/>
          <w:szCs w:val="28"/>
        </w:rPr>
        <w:t>lo le corresponde al Tribunal Constitucional.</w:t>
      </w:r>
    </w:p>
    <w:p w14:paraId="76BB1377" w14:textId="77777777" w:rsidR="005A627E" w:rsidRPr="00FC0D3B" w:rsidRDefault="005A627E" w:rsidP="005A627E">
      <w:pPr>
        <w:pStyle w:val="NormalWeb"/>
        <w:tabs>
          <w:tab w:val="left" w:pos="284"/>
        </w:tabs>
        <w:spacing w:before="0" w:beforeAutospacing="0" w:after="0" w:afterAutospacing="0"/>
        <w:ind w:right="40"/>
        <w:jc w:val="both"/>
        <w:rPr>
          <w:sz w:val="28"/>
          <w:szCs w:val="28"/>
        </w:rPr>
      </w:pPr>
    </w:p>
    <w:p w14:paraId="01E6B9BD" w14:textId="77777777" w:rsidR="00184614" w:rsidRPr="00FC0D3B" w:rsidRDefault="005F4560" w:rsidP="00184614">
      <w:pPr>
        <w:pStyle w:val="NormalWeb"/>
        <w:numPr>
          <w:ilvl w:val="0"/>
          <w:numId w:val="10"/>
        </w:numPr>
        <w:tabs>
          <w:tab w:val="left" w:pos="284"/>
        </w:tabs>
        <w:spacing w:before="0" w:beforeAutospacing="0" w:after="0" w:afterAutospacing="0"/>
        <w:ind w:right="40"/>
        <w:jc w:val="both"/>
        <w:rPr>
          <w:sz w:val="28"/>
          <w:szCs w:val="28"/>
        </w:rPr>
      </w:pPr>
      <w:r w:rsidRPr="00FC0D3B">
        <w:rPr>
          <w:sz w:val="28"/>
          <w:szCs w:val="28"/>
        </w:rPr>
        <w:lastRenderedPageBreak/>
        <w:t xml:space="preserve">Por esta razón, </w:t>
      </w:r>
      <w:r w:rsidR="00184614" w:rsidRPr="00FC0D3B">
        <w:rPr>
          <w:sz w:val="28"/>
          <w:szCs w:val="28"/>
        </w:rPr>
        <w:t>en la medida en que</w:t>
      </w:r>
      <w:r w:rsidRPr="00FC0D3B">
        <w:rPr>
          <w:sz w:val="28"/>
          <w:szCs w:val="28"/>
        </w:rPr>
        <w:t xml:space="preserve"> a </w:t>
      </w:r>
      <w:r w:rsidR="00FC0D3B">
        <w:rPr>
          <w:sz w:val="28"/>
          <w:szCs w:val="28"/>
        </w:rPr>
        <w:t xml:space="preserve">todas </w:t>
      </w:r>
      <w:r w:rsidRPr="00FC0D3B">
        <w:rPr>
          <w:sz w:val="28"/>
          <w:szCs w:val="28"/>
        </w:rPr>
        <w:t>las autoridades</w:t>
      </w:r>
      <w:r w:rsidR="00FC0D3B">
        <w:rPr>
          <w:sz w:val="28"/>
          <w:szCs w:val="28"/>
        </w:rPr>
        <w:t xml:space="preserve">, lo que incluye a las </w:t>
      </w:r>
      <w:r w:rsidRPr="00FC0D3B">
        <w:rPr>
          <w:sz w:val="28"/>
          <w:szCs w:val="28"/>
        </w:rPr>
        <w:t>judiciales</w:t>
      </w:r>
      <w:r w:rsidR="00FC0D3B">
        <w:rPr>
          <w:sz w:val="28"/>
          <w:szCs w:val="28"/>
        </w:rPr>
        <w:t>,</w:t>
      </w:r>
      <w:r w:rsidRPr="00FC0D3B">
        <w:rPr>
          <w:sz w:val="28"/>
          <w:szCs w:val="28"/>
        </w:rPr>
        <w:t xml:space="preserve"> </w:t>
      </w:r>
      <w:r w:rsidR="00C56341" w:rsidRPr="00FC0D3B">
        <w:rPr>
          <w:sz w:val="28"/>
          <w:szCs w:val="28"/>
        </w:rPr>
        <w:t>le</w:t>
      </w:r>
      <w:r w:rsidRPr="00FC0D3B">
        <w:rPr>
          <w:sz w:val="28"/>
          <w:szCs w:val="28"/>
        </w:rPr>
        <w:t>s</w:t>
      </w:r>
      <w:r w:rsidR="00C56341" w:rsidRPr="00FC0D3B">
        <w:rPr>
          <w:sz w:val="28"/>
          <w:szCs w:val="28"/>
        </w:rPr>
        <w:t xml:space="preserve"> está prohibido</w:t>
      </w:r>
      <w:r w:rsidRPr="00FC0D3B">
        <w:rPr>
          <w:sz w:val="28"/>
          <w:szCs w:val="28"/>
        </w:rPr>
        <w:t xml:space="preserve"> desconocer la cosa juzgada constitucional</w:t>
      </w:r>
      <w:r w:rsidR="00FC0D3B">
        <w:rPr>
          <w:sz w:val="28"/>
          <w:szCs w:val="28"/>
        </w:rPr>
        <w:t xml:space="preserve"> (artículo 243 superior)</w:t>
      </w:r>
      <w:r w:rsidRPr="00FC0D3B">
        <w:rPr>
          <w:sz w:val="28"/>
          <w:szCs w:val="28"/>
        </w:rPr>
        <w:t xml:space="preserve">, </w:t>
      </w:r>
      <w:r w:rsidR="005D6EE1" w:rsidRPr="00FC0D3B">
        <w:rPr>
          <w:sz w:val="28"/>
          <w:szCs w:val="28"/>
        </w:rPr>
        <w:t>este Tribunal como guardián de la Constitución está habilitado para asegurar</w:t>
      </w:r>
      <w:r w:rsidR="00FC0D3B">
        <w:rPr>
          <w:sz w:val="28"/>
          <w:szCs w:val="28"/>
        </w:rPr>
        <w:t xml:space="preserve">, </w:t>
      </w:r>
      <w:r w:rsidR="005D6EE1" w:rsidRPr="00FC0D3B">
        <w:rPr>
          <w:sz w:val="28"/>
          <w:szCs w:val="28"/>
        </w:rPr>
        <w:t>por vía de tutela</w:t>
      </w:r>
      <w:r w:rsidR="00FC0D3B">
        <w:rPr>
          <w:sz w:val="28"/>
          <w:szCs w:val="28"/>
        </w:rPr>
        <w:t>, que</w:t>
      </w:r>
      <w:r w:rsidR="005D6EE1" w:rsidRPr="00FC0D3B">
        <w:rPr>
          <w:sz w:val="28"/>
          <w:szCs w:val="28"/>
        </w:rPr>
        <w:t xml:space="preserve"> </w:t>
      </w:r>
      <w:r w:rsidR="003D593F" w:rsidRPr="00FC0D3B">
        <w:rPr>
          <w:sz w:val="28"/>
          <w:szCs w:val="28"/>
        </w:rPr>
        <w:t xml:space="preserve">la </w:t>
      </w:r>
      <w:r w:rsidR="005D6EE1" w:rsidRPr="00FC0D3B">
        <w:rPr>
          <w:sz w:val="28"/>
          <w:szCs w:val="28"/>
        </w:rPr>
        <w:t>coherencia</w:t>
      </w:r>
      <w:r w:rsidR="00694DFD" w:rsidRPr="00FC0D3B">
        <w:rPr>
          <w:sz w:val="28"/>
          <w:szCs w:val="28"/>
        </w:rPr>
        <w:t xml:space="preserve"> en la estructura</w:t>
      </w:r>
      <w:r w:rsidR="00FC0D3B">
        <w:rPr>
          <w:sz w:val="28"/>
          <w:szCs w:val="28"/>
        </w:rPr>
        <w:t xml:space="preserve"> </w:t>
      </w:r>
      <w:r w:rsidR="00694DFD" w:rsidRPr="00FC0D3B">
        <w:rPr>
          <w:sz w:val="28"/>
          <w:szCs w:val="28"/>
        </w:rPr>
        <w:t>del control de constitucionalidad</w:t>
      </w:r>
      <w:r w:rsidR="003D593F" w:rsidRPr="00FC0D3B">
        <w:rPr>
          <w:sz w:val="28"/>
          <w:szCs w:val="28"/>
        </w:rPr>
        <w:t xml:space="preserve"> se mantenga</w:t>
      </w:r>
      <w:r w:rsidR="005D6EE1" w:rsidRPr="00FC0D3B">
        <w:rPr>
          <w:sz w:val="28"/>
          <w:szCs w:val="28"/>
        </w:rPr>
        <w:t xml:space="preserve">, </w:t>
      </w:r>
      <w:r w:rsidR="00D407DF" w:rsidRPr="00FC0D3B">
        <w:rPr>
          <w:sz w:val="28"/>
          <w:szCs w:val="28"/>
        </w:rPr>
        <w:t xml:space="preserve">si </w:t>
      </w:r>
      <w:r w:rsidRPr="00FC0D3B">
        <w:rPr>
          <w:sz w:val="28"/>
          <w:szCs w:val="28"/>
        </w:rPr>
        <w:t>exist</w:t>
      </w:r>
      <w:r w:rsidR="00D407DF" w:rsidRPr="00FC0D3B">
        <w:rPr>
          <w:sz w:val="28"/>
          <w:szCs w:val="28"/>
        </w:rPr>
        <w:t>en</w:t>
      </w:r>
      <w:r w:rsidRPr="00FC0D3B">
        <w:rPr>
          <w:sz w:val="28"/>
          <w:szCs w:val="28"/>
        </w:rPr>
        <w:t xml:space="preserve"> </w:t>
      </w:r>
      <w:r w:rsidR="005D6EE1" w:rsidRPr="00FC0D3B">
        <w:rPr>
          <w:sz w:val="28"/>
          <w:szCs w:val="28"/>
        </w:rPr>
        <w:t xml:space="preserve">razones suficientes y pertinentes que permitan vislumbrar </w:t>
      </w:r>
      <w:r w:rsidR="003D593F" w:rsidRPr="00FC0D3B">
        <w:rPr>
          <w:sz w:val="28"/>
          <w:szCs w:val="28"/>
        </w:rPr>
        <w:t xml:space="preserve">una </w:t>
      </w:r>
      <w:r w:rsidR="005D6EE1" w:rsidRPr="00FC0D3B">
        <w:rPr>
          <w:sz w:val="28"/>
          <w:szCs w:val="28"/>
        </w:rPr>
        <w:t>presunta infracción a la figura</w:t>
      </w:r>
      <w:r w:rsidR="00694DFD" w:rsidRPr="00FC0D3B">
        <w:rPr>
          <w:sz w:val="28"/>
          <w:szCs w:val="28"/>
        </w:rPr>
        <w:t xml:space="preserve">. </w:t>
      </w:r>
      <w:r w:rsidR="003D593F" w:rsidRPr="00FC0D3B">
        <w:rPr>
          <w:sz w:val="28"/>
          <w:szCs w:val="28"/>
        </w:rPr>
        <w:t>De suerte que</w:t>
      </w:r>
      <w:r w:rsidR="00D407DF" w:rsidRPr="00FC0D3B">
        <w:rPr>
          <w:sz w:val="28"/>
          <w:szCs w:val="28"/>
        </w:rPr>
        <w:t xml:space="preserve"> si </w:t>
      </w:r>
      <w:r w:rsidR="00694DFD" w:rsidRPr="00FC0D3B">
        <w:rPr>
          <w:sz w:val="28"/>
          <w:szCs w:val="28"/>
        </w:rPr>
        <w:t xml:space="preserve">una </w:t>
      </w:r>
      <w:r w:rsidR="00D407DF" w:rsidRPr="00FC0D3B">
        <w:rPr>
          <w:sz w:val="28"/>
          <w:szCs w:val="28"/>
        </w:rPr>
        <w:t xml:space="preserve">tutela </w:t>
      </w:r>
      <w:r w:rsidR="00694DFD" w:rsidRPr="00FC0D3B">
        <w:rPr>
          <w:sz w:val="28"/>
          <w:szCs w:val="28"/>
        </w:rPr>
        <w:t>contra una decisión de nulidad por inconstitucionalidad del Consejo de Estado present</w:t>
      </w:r>
      <w:r w:rsidR="00D407DF" w:rsidRPr="00FC0D3B">
        <w:rPr>
          <w:sz w:val="28"/>
          <w:szCs w:val="28"/>
        </w:rPr>
        <w:t>a</w:t>
      </w:r>
      <w:r w:rsidR="00694DFD" w:rsidRPr="00FC0D3B">
        <w:rPr>
          <w:sz w:val="28"/>
          <w:szCs w:val="28"/>
        </w:rPr>
        <w:t xml:space="preserve"> razones suficientes</w:t>
      </w:r>
      <w:r w:rsidR="003D593F" w:rsidRPr="00FC0D3B">
        <w:rPr>
          <w:sz w:val="28"/>
          <w:szCs w:val="28"/>
        </w:rPr>
        <w:t>, coherentes</w:t>
      </w:r>
      <w:r w:rsidR="00694DFD" w:rsidRPr="00FC0D3B">
        <w:rPr>
          <w:sz w:val="28"/>
          <w:szCs w:val="28"/>
        </w:rPr>
        <w:t xml:space="preserve"> y pertinentes para acreditar la presunta afectación de la cosa juzgada constitucional</w:t>
      </w:r>
      <w:r w:rsidR="003D593F" w:rsidRPr="00FC0D3B">
        <w:rPr>
          <w:sz w:val="28"/>
          <w:szCs w:val="28"/>
        </w:rPr>
        <w:t>,</w:t>
      </w:r>
      <w:r w:rsidR="00694DFD" w:rsidRPr="00FC0D3B">
        <w:rPr>
          <w:sz w:val="28"/>
          <w:szCs w:val="28"/>
        </w:rPr>
        <w:t xml:space="preserve"> procede </w:t>
      </w:r>
      <w:r w:rsidR="00FC0D3B">
        <w:rPr>
          <w:sz w:val="28"/>
          <w:szCs w:val="28"/>
        </w:rPr>
        <w:t>el amparo como instrumento</w:t>
      </w:r>
      <w:r w:rsidR="00694DFD" w:rsidRPr="00FC0D3B">
        <w:rPr>
          <w:sz w:val="28"/>
          <w:szCs w:val="28"/>
        </w:rPr>
        <w:t xml:space="preserve"> </w:t>
      </w:r>
      <w:r w:rsidR="00FC0D3B">
        <w:rPr>
          <w:sz w:val="28"/>
          <w:szCs w:val="28"/>
        </w:rPr>
        <w:t>para verificar la posible</w:t>
      </w:r>
      <w:r w:rsidR="00694DFD" w:rsidRPr="00FC0D3B">
        <w:rPr>
          <w:sz w:val="28"/>
          <w:szCs w:val="28"/>
        </w:rPr>
        <w:t xml:space="preserve"> violación directa de la </w:t>
      </w:r>
      <w:r w:rsidR="00FC0D3B">
        <w:rPr>
          <w:sz w:val="28"/>
          <w:szCs w:val="28"/>
        </w:rPr>
        <w:t>C</w:t>
      </w:r>
      <w:r w:rsidR="00694DFD" w:rsidRPr="00FC0D3B">
        <w:rPr>
          <w:sz w:val="28"/>
          <w:szCs w:val="28"/>
        </w:rPr>
        <w:t xml:space="preserve">onstitución </w:t>
      </w:r>
      <w:r w:rsidR="00FC0D3B">
        <w:rPr>
          <w:sz w:val="28"/>
          <w:szCs w:val="28"/>
        </w:rPr>
        <w:t>(</w:t>
      </w:r>
      <w:r w:rsidR="00694DFD" w:rsidRPr="00FC0D3B">
        <w:rPr>
          <w:sz w:val="28"/>
          <w:szCs w:val="28"/>
        </w:rPr>
        <w:t>si</w:t>
      </w:r>
      <w:r w:rsidR="003D593F" w:rsidRPr="00FC0D3B">
        <w:rPr>
          <w:sz w:val="28"/>
          <w:szCs w:val="28"/>
        </w:rPr>
        <w:t xml:space="preserve"> se trata de una</w:t>
      </w:r>
      <w:r w:rsidR="00694DFD" w:rsidRPr="00FC0D3B">
        <w:rPr>
          <w:sz w:val="28"/>
          <w:szCs w:val="28"/>
        </w:rPr>
        <w:t xml:space="preserve"> perturbación</w:t>
      </w:r>
      <w:r w:rsidR="003D593F" w:rsidRPr="00FC0D3B">
        <w:rPr>
          <w:sz w:val="28"/>
          <w:szCs w:val="28"/>
        </w:rPr>
        <w:t xml:space="preserve"> o afectación</w:t>
      </w:r>
      <w:r w:rsidR="00694DFD" w:rsidRPr="00FC0D3B">
        <w:rPr>
          <w:sz w:val="28"/>
          <w:szCs w:val="28"/>
        </w:rPr>
        <w:t xml:space="preserve"> constitucional</w:t>
      </w:r>
      <w:r w:rsidR="00FC0D3B">
        <w:rPr>
          <w:sz w:val="28"/>
          <w:szCs w:val="28"/>
        </w:rPr>
        <w:t>)</w:t>
      </w:r>
      <w:r w:rsidR="00694DFD" w:rsidRPr="00FC0D3B">
        <w:rPr>
          <w:sz w:val="28"/>
          <w:szCs w:val="28"/>
        </w:rPr>
        <w:t xml:space="preserve"> o </w:t>
      </w:r>
      <w:r w:rsidR="00FC0D3B">
        <w:rPr>
          <w:sz w:val="28"/>
          <w:szCs w:val="28"/>
        </w:rPr>
        <w:t>un</w:t>
      </w:r>
      <w:r w:rsidR="00694DFD" w:rsidRPr="00FC0D3B">
        <w:rPr>
          <w:sz w:val="28"/>
          <w:szCs w:val="28"/>
        </w:rPr>
        <w:t xml:space="preserve"> defecto sustantivo</w:t>
      </w:r>
      <w:r w:rsidR="00184614" w:rsidRPr="00FC0D3B">
        <w:rPr>
          <w:sz w:val="28"/>
          <w:szCs w:val="28"/>
        </w:rPr>
        <w:t xml:space="preserve"> por desconocimiento del precedente </w:t>
      </w:r>
      <w:r w:rsidR="00FC0D3B">
        <w:rPr>
          <w:sz w:val="28"/>
          <w:szCs w:val="28"/>
        </w:rPr>
        <w:t>(</w:t>
      </w:r>
      <w:r w:rsidR="003D593F" w:rsidRPr="00FC0D3B">
        <w:rPr>
          <w:sz w:val="28"/>
          <w:szCs w:val="28"/>
        </w:rPr>
        <w:t xml:space="preserve">si se trata de la </w:t>
      </w:r>
      <w:r w:rsidR="00694DFD" w:rsidRPr="00FC0D3B">
        <w:rPr>
          <w:sz w:val="28"/>
          <w:szCs w:val="28"/>
        </w:rPr>
        <w:t xml:space="preserve">presunta vulneración </w:t>
      </w:r>
      <w:r w:rsidR="00184614" w:rsidRPr="00FC0D3B">
        <w:rPr>
          <w:sz w:val="28"/>
          <w:szCs w:val="28"/>
        </w:rPr>
        <w:t>del contenido de decisiones de constitucionalidad de esta Corte</w:t>
      </w:r>
      <w:r w:rsidR="00FC0D3B">
        <w:rPr>
          <w:sz w:val="28"/>
          <w:szCs w:val="28"/>
        </w:rPr>
        <w:t>)</w:t>
      </w:r>
      <w:r w:rsidR="00694DFD" w:rsidRPr="00FC0D3B">
        <w:rPr>
          <w:sz w:val="28"/>
          <w:szCs w:val="28"/>
        </w:rPr>
        <w:t>, en los términos desarrollados por la jurisprudencia constitucional</w:t>
      </w:r>
      <w:r w:rsidR="00184614" w:rsidRPr="00FC0D3B">
        <w:rPr>
          <w:rStyle w:val="Refdenotaalpie"/>
          <w:sz w:val="28"/>
          <w:szCs w:val="28"/>
        </w:rPr>
        <w:footnoteReference w:id="113"/>
      </w:r>
      <w:r w:rsidR="00694DFD" w:rsidRPr="00FC0D3B">
        <w:rPr>
          <w:sz w:val="28"/>
          <w:szCs w:val="28"/>
        </w:rPr>
        <w:t xml:space="preserve">. </w:t>
      </w:r>
    </w:p>
    <w:p w14:paraId="0B7044BB" w14:textId="77777777" w:rsidR="00184614" w:rsidRPr="00FC0D3B" w:rsidRDefault="00184614" w:rsidP="00184614">
      <w:pPr>
        <w:pStyle w:val="Prrafodelista"/>
        <w:rPr>
          <w:szCs w:val="28"/>
        </w:rPr>
      </w:pPr>
    </w:p>
    <w:p w14:paraId="6D096ED5" w14:textId="77777777" w:rsidR="00184614" w:rsidRPr="00FC0D3B" w:rsidRDefault="00184614" w:rsidP="00184614">
      <w:pPr>
        <w:pStyle w:val="NormalWeb"/>
        <w:numPr>
          <w:ilvl w:val="0"/>
          <w:numId w:val="10"/>
        </w:numPr>
        <w:tabs>
          <w:tab w:val="left" w:pos="284"/>
        </w:tabs>
        <w:spacing w:before="0" w:beforeAutospacing="0" w:after="0" w:afterAutospacing="0"/>
        <w:ind w:right="40"/>
        <w:jc w:val="both"/>
        <w:rPr>
          <w:sz w:val="28"/>
          <w:szCs w:val="28"/>
        </w:rPr>
      </w:pPr>
      <w:r w:rsidRPr="00FC0D3B">
        <w:rPr>
          <w:sz w:val="28"/>
          <w:szCs w:val="28"/>
        </w:rPr>
        <w:t xml:space="preserve">En el asunto objeto de análisis, el Consejo Superior de la Judicatura alega que la decisión del Consejo de Estado, incurrió, entre otros yerros, en un desconocimiento de la cosa juzgada constitucional, por contradecir las modulaciones que la Corte Constitucional introdujo al Acto Legislativo 02 de 2015, las cuales permitían la operatividad del mecanismo de conformación de ternas para la CNDJ. En consecuencia, al argumentar con suficiencia la posible vulneración del carácter inmodificable de las decisiones de la Corte, la acción de tutela objeto de estudio es procedente respecto de la sentencia de nulidad por inconstitucionalidad que se controvierte en esta oportunidad. </w:t>
      </w:r>
    </w:p>
    <w:p w14:paraId="1DEDDB5B" w14:textId="77777777" w:rsidR="00184614" w:rsidRPr="00FC0D3B" w:rsidRDefault="00184614" w:rsidP="00184614">
      <w:pPr>
        <w:pStyle w:val="NormalWeb"/>
        <w:tabs>
          <w:tab w:val="left" w:pos="284"/>
        </w:tabs>
        <w:spacing w:before="0" w:beforeAutospacing="0" w:after="0" w:afterAutospacing="0"/>
        <w:ind w:right="40"/>
        <w:jc w:val="both"/>
        <w:rPr>
          <w:sz w:val="28"/>
          <w:szCs w:val="28"/>
        </w:rPr>
      </w:pPr>
    </w:p>
    <w:p w14:paraId="4904F1AC" w14:textId="77777777" w:rsidR="00184614" w:rsidRPr="00FC0D3B" w:rsidRDefault="00184614" w:rsidP="00184614">
      <w:pPr>
        <w:pStyle w:val="NormalWeb"/>
        <w:tabs>
          <w:tab w:val="left" w:pos="284"/>
        </w:tabs>
        <w:spacing w:before="0" w:beforeAutospacing="0" w:after="0" w:afterAutospacing="0"/>
        <w:ind w:right="40"/>
        <w:jc w:val="both"/>
        <w:rPr>
          <w:sz w:val="28"/>
          <w:szCs w:val="28"/>
        </w:rPr>
      </w:pPr>
      <w:r w:rsidRPr="00FC0D3B">
        <w:rPr>
          <w:sz w:val="28"/>
          <w:szCs w:val="28"/>
        </w:rPr>
        <w:t xml:space="preserve">Con todo, la Sala estudiará igualmente si se configura la causal de procedencia referente al bloqueo institucional </w:t>
      </w:r>
      <w:r w:rsidR="00A45F6D">
        <w:rPr>
          <w:sz w:val="28"/>
          <w:szCs w:val="28"/>
        </w:rPr>
        <w:t>in</w:t>
      </w:r>
      <w:r w:rsidRPr="00FC0D3B">
        <w:rPr>
          <w:sz w:val="28"/>
          <w:szCs w:val="28"/>
        </w:rPr>
        <w:t xml:space="preserve">constitucional.   </w:t>
      </w:r>
    </w:p>
    <w:p w14:paraId="5DB8357D" w14:textId="77777777" w:rsidR="00C03314" w:rsidRDefault="00C03314" w:rsidP="0099084B">
      <w:pPr>
        <w:pStyle w:val="NormalWeb"/>
        <w:tabs>
          <w:tab w:val="left" w:pos="284"/>
        </w:tabs>
        <w:spacing w:before="0" w:beforeAutospacing="0" w:after="0" w:afterAutospacing="0" w:line="276" w:lineRule="auto"/>
        <w:ind w:right="40"/>
        <w:jc w:val="both"/>
        <w:rPr>
          <w:sz w:val="28"/>
          <w:szCs w:val="28"/>
          <w:highlight w:val="lightGray"/>
        </w:rPr>
      </w:pPr>
    </w:p>
    <w:p w14:paraId="7EE8ECB9" w14:textId="77777777" w:rsidR="00C03314" w:rsidRPr="00FA7116" w:rsidRDefault="00C03314" w:rsidP="00C03314">
      <w:pPr>
        <w:ind w:right="49"/>
        <w:jc w:val="both"/>
        <w:rPr>
          <w:rFonts w:eastAsia="Calibri"/>
          <w:b/>
          <w:i/>
          <w:iCs/>
          <w:szCs w:val="28"/>
        </w:rPr>
      </w:pPr>
      <w:r w:rsidRPr="00FA7116">
        <w:rPr>
          <w:rFonts w:eastAsia="Calibri"/>
          <w:b/>
          <w:i/>
          <w:iCs/>
          <w:szCs w:val="28"/>
        </w:rPr>
        <w:t xml:space="preserve">Bloqueo institucional </w:t>
      </w:r>
      <w:r w:rsidR="00A45F6D">
        <w:rPr>
          <w:rFonts w:eastAsia="Calibri"/>
          <w:b/>
          <w:i/>
          <w:iCs/>
          <w:szCs w:val="28"/>
        </w:rPr>
        <w:t>in</w:t>
      </w:r>
      <w:r w:rsidRPr="00FA7116">
        <w:rPr>
          <w:rFonts w:eastAsia="Calibri"/>
          <w:b/>
          <w:i/>
          <w:iCs/>
          <w:szCs w:val="28"/>
        </w:rPr>
        <w:t>constitucional como situación específica que torna procedente la acción de tutela</w:t>
      </w:r>
    </w:p>
    <w:p w14:paraId="48CE8020" w14:textId="77777777" w:rsidR="00C03314" w:rsidRPr="00FA7116" w:rsidRDefault="00C03314" w:rsidP="0099084B">
      <w:pPr>
        <w:pStyle w:val="NormalWeb"/>
        <w:tabs>
          <w:tab w:val="left" w:pos="284"/>
        </w:tabs>
        <w:spacing w:before="0" w:beforeAutospacing="0" w:after="0" w:afterAutospacing="0" w:line="276" w:lineRule="auto"/>
        <w:ind w:right="40"/>
        <w:jc w:val="both"/>
        <w:rPr>
          <w:sz w:val="28"/>
          <w:szCs w:val="28"/>
        </w:rPr>
      </w:pPr>
    </w:p>
    <w:p w14:paraId="35161C79" w14:textId="77777777" w:rsidR="00044F30" w:rsidRPr="00FA7116" w:rsidRDefault="00C03314" w:rsidP="00F2733B">
      <w:pPr>
        <w:pStyle w:val="NormalWeb"/>
        <w:numPr>
          <w:ilvl w:val="0"/>
          <w:numId w:val="10"/>
        </w:numPr>
        <w:tabs>
          <w:tab w:val="left" w:pos="284"/>
        </w:tabs>
        <w:spacing w:before="0" w:beforeAutospacing="0" w:after="0" w:afterAutospacing="0"/>
        <w:ind w:right="40"/>
        <w:jc w:val="both"/>
        <w:rPr>
          <w:sz w:val="28"/>
          <w:szCs w:val="28"/>
        </w:rPr>
      </w:pPr>
      <w:r w:rsidRPr="00FA7116">
        <w:rPr>
          <w:sz w:val="28"/>
        </w:rPr>
        <w:t xml:space="preserve"> </w:t>
      </w:r>
      <w:r w:rsidR="00B73DFD" w:rsidRPr="00FA7116">
        <w:rPr>
          <w:sz w:val="28"/>
        </w:rPr>
        <w:t>Un</w:t>
      </w:r>
      <w:r w:rsidR="00F2733B" w:rsidRPr="00FA7116">
        <w:rPr>
          <w:sz w:val="28"/>
        </w:rPr>
        <w:t xml:space="preserve"> </w:t>
      </w:r>
      <w:r w:rsidR="00B73DFD" w:rsidRPr="00FA7116">
        <w:rPr>
          <w:b/>
          <w:i/>
          <w:iCs/>
          <w:sz w:val="28"/>
        </w:rPr>
        <w:t>bloqueo institucional</w:t>
      </w:r>
      <w:r w:rsidR="00B73DFD" w:rsidRPr="00FA7116">
        <w:rPr>
          <w:b/>
          <w:bCs/>
          <w:i/>
          <w:iCs/>
          <w:sz w:val="28"/>
        </w:rPr>
        <w:t xml:space="preserve"> </w:t>
      </w:r>
      <w:r w:rsidR="00A45F6D">
        <w:rPr>
          <w:b/>
          <w:bCs/>
          <w:i/>
          <w:iCs/>
          <w:sz w:val="28"/>
        </w:rPr>
        <w:t>in</w:t>
      </w:r>
      <w:r w:rsidR="00B73DFD" w:rsidRPr="00FA7116">
        <w:rPr>
          <w:b/>
          <w:bCs/>
          <w:i/>
          <w:iCs/>
          <w:sz w:val="28"/>
        </w:rPr>
        <w:t>constitucional</w:t>
      </w:r>
      <w:r w:rsidR="00B73DFD" w:rsidRPr="00FA7116">
        <w:rPr>
          <w:sz w:val="28"/>
        </w:rPr>
        <w:t xml:space="preserve"> </w:t>
      </w:r>
      <w:r w:rsidR="00044F30" w:rsidRPr="00FA7116">
        <w:rPr>
          <w:sz w:val="28"/>
        </w:rPr>
        <w:t xml:space="preserve">es una situación que </w:t>
      </w:r>
      <w:r w:rsidR="00B73DFD" w:rsidRPr="00FA7116">
        <w:rPr>
          <w:sz w:val="28"/>
        </w:rPr>
        <w:t xml:space="preserve">se presenta cuando se evidencia: </w:t>
      </w:r>
      <w:r w:rsidR="00B73DFD" w:rsidRPr="00FA7116">
        <w:rPr>
          <w:b/>
          <w:bCs/>
          <w:sz w:val="28"/>
        </w:rPr>
        <w:t>(</w:t>
      </w:r>
      <w:r w:rsidR="00044F30" w:rsidRPr="00FA7116">
        <w:rPr>
          <w:b/>
          <w:bCs/>
          <w:sz w:val="28"/>
        </w:rPr>
        <w:t>i</w:t>
      </w:r>
      <w:r w:rsidR="00B73DFD" w:rsidRPr="00FA7116">
        <w:rPr>
          <w:b/>
          <w:bCs/>
          <w:sz w:val="28"/>
        </w:rPr>
        <w:t>)</w:t>
      </w:r>
      <w:r w:rsidR="00B73DFD" w:rsidRPr="00FA7116">
        <w:rPr>
          <w:sz w:val="28"/>
        </w:rPr>
        <w:t xml:space="preserve"> una profunda desarticulación en el engranaje constitucional; </w:t>
      </w:r>
      <w:r w:rsidR="00B73DFD" w:rsidRPr="00FA7116">
        <w:rPr>
          <w:b/>
          <w:bCs/>
          <w:sz w:val="28"/>
        </w:rPr>
        <w:t>(</w:t>
      </w:r>
      <w:r w:rsidR="00044F30" w:rsidRPr="00FA7116">
        <w:rPr>
          <w:b/>
          <w:bCs/>
          <w:sz w:val="28"/>
        </w:rPr>
        <w:t>ii</w:t>
      </w:r>
      <w:r w:rsidR="00B73DFD" w:rsidRPr="00FA7116">
        <w:rPr>
          <w:b/>
          <w:bCs/>
          <w:sz w:val="28"/>
        </w:rPr>
        <w:t xml:space="preserve">) </w:t>
      </w:r>
      <w:r w:rsidR="00B73DFD" w:rsidRPr="00FA7116">
        <w:rPr>
          <w:sz w:val="28"/>
        </w:rPr>
        <w:t xml:space="preserve">una difusa asignación de responsabilidades a distintas entidades obligadas constitucionalmente al desempeño de una </w:t>
      </w:r>
      <w:r w:rsidRPr="00FA7116">
        <w:rPr>
          <w:sz w:val="28"/>
        </w:rPr>
        <w:t>labor</w:t>
      </w:r>
      <w:r w:rsidR="00B73DFD" w:rsidRPr="00FA7116">
        <w:rPr>
          <w:sz w:val="28"/>
        </w:rPr>
        <w:t xml:space="preserve">; </w:t>
      </w:r>
      <w:r w:rsidR="00B73DFD" w:rsidRPr="00FA7116">
        <w:rPr>
          <w:b/>
          <w:bCs/>
          <w:sz w:val="28"/>
        </w:rPr>
        <w:t>(</w:t>
      </w:r>
      <w:r w:rsidR="00044F30" w:rsidRPr="00FA7116">
        <w:rPr>
          <w:b/>
          <w:bCs/>
          <w:sz w:val="28"/>
        </w:rPr>
        <w:t>iii</w:t>
      </w:r>
      <w:r w:rsidR="00B73DFD" w:rsidRPr="00FA7116">
        <w:rPr>
          <w:b/>
          <w:bCs/>
          <w:sz w:val="28"/>
        </w:rPr>
        <w:t xml:space="preserve">) </w:t>
      </w:r>
      <w:r w:rsidRPr="00FA7116">
        <w:rPr>
          <w:sz w:val="28"/>
        </w:rPr>
        <w:t>una posible parálisis en la realización de una función constitucional</w:t>
      </w:r>
      <w:r w:rsidR="00044F30" w:rsidRPr="00FA7116">
        <w:rPr>
          <w:sz w:val="28"/>
        </w:rPr>
        <w:t xml:space="preserve"> o en la articulación de la función</w:t>
      </w:r>
      <w:r w:rsidRPr="00FA7116">
        <w:rPr>
          <w:sz w:val="28"/>
        </w:rPr>
        <w:t xml:space="preserve"> y </w:t>
      </w:r>
      <w:r w:rsidRPr="00FA7116">
        <w:rPr>
          <w:b/>
          <w:bCs/>
          <w:sz w:val="28"/>
        </w:rPr>
        <w:t>(</w:t>
      </w:r>
      <w:r w:rsidR="00044F30" w:rsidRPr="00FA7116">
        <w:rPr>
          <w:b/>
          <w:bCs/>
          <w:sz w:val="28"/>
        </w:rPr>
        <w:t>iv</w:t>
      </w:r>
      <w:r w:rsidRPr="00FA7116">
        <w:rPr>
          <w:b/>
          <w:bCs/>
          <w:sz w:val="28"/>
        </w:rPr>
        <w:t>)</w:t>
      </w:r>
      <w:r w:rsidRPr="00FA7116">
        <w:rPr>
          <w:sz w:val="28"/>
        </w:rPr>
        <w:t xml:space="preserve"> </w:t>
      </w:r>
      <w:r w:rsidR="00B73DFD" w:rsidRPr="00FA7116">
        <w:rPr>
          <w:sz w:val="28"/>
        </w:rPr>
        <w:t>una falta de correspondencia entre</w:t>
      </w:r>
      <w:r w:rsidRPr="00FA7116">
        <w:rPr>
          <w:sz w:val="28"/>
        </w:rPr>
        <w:t xml:space="preserve"> la</w:t>
      </w:r>
      <w:r w:rsidR="00B73DFD" w:rsidRPr="00FA7116">
        <w:rPr>
          <w:sz w:val="28"/>
        </w:rPr>
        <w:t xml:space="preserve"> capacidad institucional que promueve la Carta y los recursos </w:t>
      </w:r>
      <w:r w:rsidRPr="00FA7116">
        <w:rPr>
          <w:sz w:val="28"/>
        </w:rPr>
        <w:t>necesarios para resolver la</w:t>
      </w:r>
      <w:r w:rsidR="00B73DFD" w:rsidRPr="00FA7116">
        <w:rPr>
          <w:sz w:val="28"/>
        </w:rPr>
        <w:t xml:space="preserve"> desarticulación</w:t>
      </w:r>
      <w:r w:rsidRPr="00FA7116">
        <w:rPr>
          <w:sz w:val="28"/>
        </w:rPr>
        <w:t>,</w:t>
      </w:r>
      <w:r w:rsidR="00B73DFD" w:rsidRPr="00FA7116">
        <w:rPr>
          <w:sz w:val="28"/>
        </w:rPr>
        <w:t xml:space="preserve"> respecto de las obligaciones constitucionales y legales adquiridas.</w:t>
      </w:r>
    </w:p>
    <w:p w14:paraId="2C4F276C" w14:textId="77777777" w:rsidR="00B73DFD" w:rsidRPr="00FA7116" w:rsidRDefault="00B73DFD" w:rsidP="00044F30">
      <w:pPr>
        <w:pStyle w:val="NormalWeb"/>
        <w:tabs>
          <w:tab w:val="left" w:pos="284"/>
        </w:tabs>
        <w:spacing w:before="0" w:beforeAutospacing="0" w:after="0" w:afterAutospacing="0"/>
        <w:ind w:right="40"/>
        <w:jc w:val="both"/>
        <w:rPr>
          <w:sz w:val="28"/>
          <w:szCs w:val="28"/>
        </w:rPr>
      </w:pPr>
      <w:r w:rsidRPr="00FA7116">
        <w:rPr>
          <w:sz w:val="28"/>
        </w:rPr>
        <w:lastRenderedPageBreak/>
        <w:t xml:space="preserve"> </w:t>
      </w:r>
    </w:p>
    <w:p w14:paraId="73A82F6D" w14:textId="77777777" w:rsidR="00044F30" w:rsidRPr="00FA7116" w:rsidRDefault="00044F30" w:rsidP="00F2733B">
      <w:pPr>
        <w:pStyle w:val="NormalWeb"/>
        <w:numPr>
          <w:ilvl w:val="0"/>
          <w:numId w:val="10"/>
        </w:numPr>
        <w:tabs>
          <w:tab w:val="left" w:pos="284"/>
        </w:tabs>
        <w:spacing w:before="0" w:beforeAutospacing="0" w:after="0" w:afterAutospacing="0"/>
        <w:ind w:right="40"/>
        <w:jc w:val="both"/>
        <w:rPr>
          <w:sz w:val="28"/>
          <w:szCs w:val="28"/>
        </w:rPr>
      </w:pPr>
      <w:r w:rsidRPr="00FA7116">
        <w:rPr>
          <w:sz w:val="28"/>
        </w:rPr>
        <w:t xml:space="preserve">La verificación de situaciones de bloqueo no es nueva en la jurisprudencia constitucional, aunque se ha evidenciado principalmente en </w:t>
      </w:r>
      <w:r w:rsidR="002105D4" w:rsidRPr="00FA7116">
        <w:rPr>
          <w:sz w:val="28"/>
        </w:rPr>
        <w:t xml:space="preserve">momentos </w:t>
      </w:r>
      <w:r w:rsidRPr="00FA7116">
        <w:rPr>
          <w:sz w:val="28"/>
        </w:rPr>
        <w:t>en que la incapacidad de articular los esfuerzos constitucionales de distintos órganos del Estado ha sido insuficiente para lograr</w:t>
      </w:r>
      <w:r w:rsidR="002105D4" w:rsidRPr="00FA7116">
        <w:rPr>
          <w:sz w:val="28"/>
        </w:rPr>
        <w:t>, por ejemplo</w:t>
      </w:r>
      <w:r w:rsidR="00D407DF" w:rsidRPr="00FA7116">
        <w:rPr>
          <w:sz w:val="28"/>
        </w:rPr>
        <w:t>,</w:t>
      </w:r>
      <w:r w:rsidRPr="00FA7116">
        <w:rPr>
          <w:sz w:val="28"/>
        </w:rPr>
        <w:t xml:space="preserve"> la protección </w:t>
      </w:r>
      <w:r w:rsidR="00D407DF" w:rsidRPr="00FA7116">
        <w:rPr>
          <w:sz w:val="28"/>
        </w:rPr>
        <w:t xml:space="preserve">efectiva </w:t>
      </w:r>
      <w:r w:rsidRPr="00FA7116">
        <w:rPr>
          <w:sz w:val="28"/>
        </w:rPr>
        <w:t xml:space="preserve">de derechos </w:t>
      </w:r>
      <w:r w:rsidR="00550868">
        <w:rPr>
          <w:sz w:val="28"/>
        </w:rPr>
        <w:t>fundamentales</w:t>
      </w:r>
      <w:r w:rsidR="002105D4" w:rsidRPr="00FA7116">
        <w:rPr>
          <w:sz w:val="28"/>
        </w:rPr>
        <w:t xml:space="preserve"> ante </w:t>
      </w:r>
      <w:r w:rsidR="00D407DF" w:rsidRPr="00FA7116">
        <w:rPr>
          <w:sz w:val="28"/>
        </w:rPr>
        <w:t>circunstancias de</w:t>
      </w:r>
      <w:r w:rsidR="002105D4" w:rsidRPr="00FA7116">
        <w:rPr>
          <w:sz w:val="28"/>
        </w:rPr>
        <w:t xml:space="preserve"> violación masiva</w:t>
      </w:r>
      <w:r w:rsidRPr="00FA7116">
        <w:rPr>
          <w:rStyle w:val="Refdenotaalpie"/>
          <w:sz w:val="28"/>
        </w:rPr>
        <w:footnoteReference w:id="114"/>
      </w:r>
      <w:r w:rsidRPr="00FA7116">
        <w:rPr>
          <w:sz w:val="28"/>
        </w:rPr>
        <w:t xml:space="preserve">.  </w:t>
      </w:r>
    </w:p>
    <w:p w14:paraId="16305698" w14:textId="77777777" w:rsidR="00044F30" w:rsidRPr="00FA7116" w:rsidRDefault="00044F30" w:rsidP="00F2733B">
      <w:pPr>
        <w:pStyle w:val="Sinespaciado"/>
        <w:jc w:val="both"/>
        <w:rPr>
          <w:rFonts w:ascii="Times New Roman" w:hAnsi="Times New Roman"/>
          <w:sz w:val="28"/>
          <w:szCs w:val="24"/>
        </w:rPr>
      </w:pPr>
    </w:p>
    <w:p w14:paraId="5776D192" w14:textId="77777777" w:rsidR="00044F30" w:rsidRPr="00FA7116" w:rsidRDefault="002105D4" w:rsidP="00044F30">
      <w:pPr>
        <w:pStyle w:val="Sinespaciado"/>
        <w:numPr>
          <w:ilvl w:val="0"/>
          <w:numId w:val="10"/>
        </w:numPr>
        <w:jc w:val="both"/>
        <w:rPr>
          <w:rFonts w:ascii="Times New Roman" w:hAnsi="Times New Roman"/>
          <w:sz w:val="28"/>
          <w:szCs w:val="24"/>
        </w:rPr>
      </w:pPr>
      <w:r w:rsidRPr="00FA7116">
        <w:rPr>
          <w:rFonts w:ascii="Times New Roman" w:hAnsi="Times New Roman"/>
          <w:sz w:val="28"/>
          <w:szCs w:val="24"/>
        </w:rPr>
        <w:t xml:space="preserve">En ese sentido, </w:t>
      </w:r>
      <w:r w:rsidR="00044F30" w:rsidRPr="00FA7116">
        <w:rPr>
          <w:rFonts w:ascii="Times New Roman" w:hAnsi="Times New Roman"/>
          <w:sz w:val="28"/>
          <w:szCs w:val="24"/>
        </w:rPr>
        <w:t>l</w:t>
      </w:r>
      <w:r w:rsidR="00B73DFD" w:rsidRPr="00FA7116">
        <w:rPr>
          <w:rFonts w:ascii="Times New Roman" w:hAnsi="Times New Roman"/>
          <w:sz w:val="28"/>
          <w:szCs w:val="24"/>
        </w:rPr>
        <w:t xml:space="preserve">os contextos de parálisis institucional denotan un problema estructural que se puede manifestar de dos maneras. La primera, por </w:t>
      </w:r>
      <w:r w:rsidR="00B73DFD" w:rsidRPr="00FA7116">
        <w:rPr>
          <w:rFonts w:ascii="Times New Roman" w:hAnsi="Times New Roman"/>
          <w:b/>
          <w:sz w:val="28"/>
          <w:szCs w:val="24"/>
        </w:rPr>
        <w:t>omisiones</w:t>
      </w:r>
      <w:r w:rsidR="00B73DFD" w:rsidRPr="00FA7116">
        <w:rPr>
          <w:rFonts w:ascii="Times New Roman" w:hAnsi="Times New Roman"/>
          <w:sz w:val="28"/>
          <w:szCs w:val="24"/>
        </w:rPr>
        <w:t xml:space="preserve"> reiteradas, evidentes y prolongadas de incumplimiento de obligaciones constitucionales debido a que </w:t>
      </w:r>
      <w:r w:rsidR="00044F30" w:rsidRPr="00FA7116">
        <w:rPr>
          <w:rFonts w:ascii="Times New Roman" w:hAnsi="Times New Roman"/>
          <w:sz w:val="28"/>
          <w:szCs w:val="24"/>
        </w:rPr>
        <w:t xml:space="preserve">las </w:t>
      </w:r>
      <w:r w:rsidR="00B73DFD" w:rsidRPr="00FA7116">
        <w:rPr>
          <w:rFonts w:ascii="Times New Roman" w:hAnsi="Times New Roman"/>
          <w:sz w:val="28"/>
          <w:szCs w:val="24"/>
        </w:rPr>
        <w:t>autoridades a pesar de conocer de las vulneraciones a los derechos y</w:t>
      </w:r>
      <w:r w:rsidR="00D407DF" w:rsidRPr="00FA7116">
        <w:rPr>
          <w:rFonts w:ascii="Times New Roman" w:hAnsi="Times New Roman"/>
          <w:sz w:val="28"/>
          <w:szCs w:val="24"/>
        </w:rPr>
        <w:t>/o</w:t>
      </w:r>
      <w:r w:rsidR="00B73DFD" w:rsidRPr="00FA7116">
        <w:rPr>
          <w:rFonts w:ascii="Times New Roman" w:hAnsi="Times New Roman"/>
          <w:sz w:val="28"/>
          <w:szCs w:val="24"/>
        </w:rPr>
        <w:t xml:space="preserve"> de la necesidad de adoptar medidas, se abstienen de dar una respuesta o esta es inadecuada e insuficiente</w:t>
      </w:r>
      <w:r w:rsidR="00B73DFD" w:rsidRPr="00FA7116">
        <w:rPr>
          <w:rStyle w:val="Refdenotaalpie"/>
          <w:rFonts w:ascii="Times New Roman" w:hAnsi="Times New Roman"/>
          <w:sz w:val="28"/>
          <w:szCs w:val="24"/>
        </w:rPr>
        <w:footnoteReference w:id="115"/>
      </w:r>
      <w:r w:rsidR="00B73DFD" w:rsidRPr="00FA7116">
        <w:rPr>
          <w:rFonts w:ascii="Times New Roman" w:hAnsi="Times New Roman"/>
          <w:sz w:val="28"/>
          <w:szCs w:val="24"/>
        </w:rPr>
        <w:t xml:space="preserve">. </w:t>
      </w:r>
      <w:r w:rsidR="00C03314" w:rsidRPr="00FA7116">
        <w:rPr>
          <w:rFonts w:ascii="Times New Roman" w:hAnsi="Times New Roman"/>
          <w:sz w:val="28"/>
          <w:szCs w:val="24"/>
        </w:rPr>
        <w:t>Y l</w:t>
      </w:r>
      <w:r w:rsidR="00B73DFD" w:rsidRPr="00FA7116">
        <w:rPr>
          <w:rFonts w:ascii="Times New Roman" w:hAnsi="Times New Roman"/>
          <w:sz w:val="28"/>
          <w:szCs w:val="24"/>
        </w:rPr>
        <w:t xml:space="preserve">a segunda, por </w:t>
      </w:r>
      <w:r w:rsidR="00B73DFD" w:rsidRPr="00FA7116">
        <w:rPr>
          <w:rFonts w:ascii="Times New Roman" w:hAnsi="Times New Roman"/>
          <w:b/>
          <w:sz w:val="28"/>
          <w:szCs w:val="24"/>
        </w:rPr>
        <w:t>actuaciones</w:t>
      </w:r>
      <w:r w:rsidR="00B73DFD" w:rsidRPr="00FA7116">
        <w:rPr>
          <w:rFonts w:ascii="Times New Roman" w:hAnsi="Times New Roman"/>
          <w:sz w:val="28"/>
          <w:szCs w:val="24"/>
        </w:rPr>
        <w:t xml:space="preserve"> </w:t>
      </w:r>
      <w:r w:rsidRPr="00FA7116">
        <w:rPr>
          <w:rFonts w:ascii="Times New Roman" w:hAnsi="Times New Roman"/>
          <w:sz w:val="28"/>
          <w:szCs w:val="24"/>
        </w:rPr>
        <w:t xml:space="preserve">de órganos </w:t>
      </w:r>
      <w:r w:rsidR="00B73DFD" w:rsidRPr="00FA7116">
        <w:rPr>
          <w:rFonts w:ascii="Times New Roman" w:hAnsi="Times New Roman"/>
          <w:sz w:val="28"/>
          <w:szCs w:val="24"/>
        </w:rPr>
        <w:t xml:space="preserve">que </w:t>
      </w:r>
      <w:r w:rsidRPr="00FA7116">
        <w:rPr>
          <w:rFonts w:ascii="Times New Roman" w:hAnsi="Times New Roman"/>
          <w:sz w:val="28"/>
          <w:szCs w:val="24"/>
        </w:rPr>
        <w:t xml:space="preserve">generan o </w:t>
      </w:r>
      <w:r w:rsidR="00B73DFD" w:rsidRPr="00FA7116">
        <w:rPr>
          <w:rFonts w:ascii="Times New Roman" w:hAnsi="Times New Roman"/>
          <w:sz w:val="28"/>
          <w:szCs w:val="24"/>
        </w:rPr>
        <w:t xml:space="preserve">se manifiestan en obstáculos </w:t>
      </w:r>
      <w:r w:rsidR="00475A45" w:rsidRPr="00FA7116">
        <w:rPr>
          <w:rFonts w:ascii="Times New Roman" w:hAnsi="Times New Roman"/>
          <w:sz w:val="28"/>
          <w:szCs w:val="24"/>
        </w:rPr>
        <w:t xml:space="preserve">funcionales, </w:t>
      </w:r>
      <w:r w:rsidR="00B73DFD" w:rsidRPr="00FA7116">
        <w:rPr>
          <w:rFonts w:ascii="Times New Roman" w:hAnsi="Times New Roman"/>
          <w:sz w:val="28"/>
          <w:szCs w:val="24"/>
        </w:rPr>
        <w:t xml:space="preserve">que </w:t>
      </w:r>
      <w:r w:rsidRPr="00FA7116">
        <w:rPr>
          <w:rFonts w:ascii="Times New Roman" w:hAnsi="Times New Roman"/>
          <w:sz w:val="28"/>
          <w:szCs w:val="24"/>
        </w:rPr>
        <w:t>crean</w:t>
      </w:r>
      <w:r w:rsidR="00B73DFD" w:rsidRPr="00FA7116">
        <w:rPr>
          <w:rFonts w:ascii="Times New Roman" w:hAnsi="Times New Roman"/>
          <w:sz w:val="28"/>
          <w:szCs w:val="24"/>
        </w:rPr>
        <w:t xml:space="preserve"> </w:t>
      </w:r>
      <w:r w:rsidRPr="00FA7116">
        <w:rPr>
          <w:rFonts w:ascii="Times New Roman" w:hAnsi="Times New Roman"/>
          <w:sz w:val="28"/>
          <w:szCs w:val="24"/>
        </w:rPr>
        <w:t xml:space="preserve">una </w:t>
      </w:r>
      <w:r w:rsidR="00B73DFD" w:rsidRPr="00FA7116">
        <w:rPr>
          <w:rFonts w:ascii="Times New Roman" w:hAnsi="Times New Roman"/>
          <w:sz w:val="28"/>
          <w:szCs w:val="24"/>
        </w:rPr>
        <w:t>parálisis institucional</w:t>
      </w:r>
      <w:r w:rsidR="00475A45" w:rsidRPr="00FA7116">
        <w:rPr>
          <w:rFonts w:ascii="Times New Roman" w:hAnsi="Times New Roman"/>
          <w:sz w:val="28"/>
          <w:szCs w:val="24"/>
        </w:rPr>
        <w:t>.</w:t>
      </w:r>
      <w:r w:rsidR="00B73DFD" w:rsidRPr="00FA7116">
        <w:rPr>
          <w:rFonts w:ascii="Times New Roman" w:hAnsi="Times New Roman"/>
          <w:sz w:val="28"/>
          <w:szCs w:val="24"/>
        </w:rPr>
        <w:t xml:space="preserve"> </w:t>
      </w:r>
    </w:p>
    <w:p w14:paraId="0452AB67" w14:textId="77777777" w:rsidR="00044F30" w:rsidRPr="00FA7116" w:rsidRDefault="00044F30" w:rsidP="00044F30">
      <w:pPr>
        <w:pStyle w:val="Prrafodelista"/>
        <w:rPr>
          <w:szCs w:val="24"/>
        </w:rPr>
      </w:pPr>
    </w:p>
    <w:p w14:paraId="72864E54" w14:textId="77777777" w:rsidR="00B73DFD" w:rsidRPr="00FA7116" w:rsidRDefault="00B73DFD" w:rsidP="002105D4">
      <w:pPr>
        <w:pStyle w:val="Sinespaciado"/>
        <w:numPr>
          <w:ilvl w:val="0"/>
          <w:numId w:val="10"/>
        </w:numPr>
        <w:jc w:val="both"/>
        <w:rPr>
          <w:rFonts w:ascii="Times New Roman" w:hAnsi="Times New Roman"/>
          <w:sz w:val="28"/>
          <w:szCs w:val="24"/>
        </w:rPr>
      </w:pPr>
      <w:r w:rsidRPr="00FA7116">
        <w:rPr>
          <w:rFonts w:ascii="Times New Roman" w:hAnsi="Times New Roman"/>
          <w:sz w:val="28"/>
          <w:szCs w:val="24"/>
        </w:rPr>
        <w:t>E</w:t>
      </w:r>
      <w:r w:rsidR="002105D4" w:rsidRPr="00FA7116">
        <w:rPr>
          <w:rFonts w:ascii="Times New Roman" w:hAnsi="Times New Roman"/>
          <w:sz w:val="28"/>
          <w:szCs w:val="24"/>
        </w:rPr>
        <w:t>n suma, l</w:t>
      </w:r>
      <w:r w:rsidRPr="00FA7116">
        <w:rPr>
          <w:rFonts w:ascii="Times New Roman" w:hAnsi="Times New Roman"/>
          <w:sz w:val="28"/>
          <w:szCs w:val="24"/>
        </w:rPr>
        <w:t xml:space="preserve">os </w:t>
      </w:r>
      <w:r w:rsidRPr="00FA7116">
        <w:rPr>
          <w:rFonts w:ascii="Times New Roman" w:hAnsi="Times New Roman"/>
          <w:i/>
          <w:iCs/>
          <w:sz w:val="28"/>
          <w:szCs w:val="24"/>
        </w:rPr>
        <w:t>bloqueos institucionales</w:t>
      </w:r>
      <w:r w:rsidR="002105D4" w:rsidRPr="00FA7116">
        <w:rPr>
          <w:rFonts w:ascii="Times New Roman" w:hAnsi="Times New Roman"/>
          <w:i/>
          <w:iCs/>
          <w:sz w:val="28"/>
          <w:szCs w:val="24"/>
        </w:rPr>
        <w:t xml:space="preserve"> </w:t>
      </w:r>
      <w:r w:rsidR="00681610">
        <w:rPr>
          <w:rFonts w:ascii="Times New Roman" w:hAnsi="Times New Roman"/>
          <w:i/>
          <w:iCs/>
          <w:sz w:val="28"/>
          <w:szCs w:val="24"/>
        </w:rPr>
        <w:t>in</w:t>
      </w:r>
      <w:r w:rsidR="002105D4" w:rsidRPr="00FA7116">
        <w:rPr>
          <w:rFonts w:ascii="Times New Roman" w:hAnsi="Times New Roman"/>
          <w:i/>
          <w:iCs/>
          <w:sz w:val="28"/>
          <w:szCs w:val="24"/>
        </w:rPr>
        <w:t>constitucionales</w:t>
      </w:r>
      <w:r w:rsidRPr="00FA7116">
        <w:rPr>
          <w:rFonts w:ascii="Times New Roman" w:hAnsi="Times New Roman"/>
          <w:sz w:val="28"/>
          <w:szCs w:val="24"/>
        </w:rPr>
        <w:t xml:space="preserve"> se refieren a aquellos escenarios en los cuales las autoridades</w:t>
      </w:r>
      <w:r w:rsidR="00475A45" w:rsidRPr="00FA7116">
        <w:rPr>
          <w:rFonts w:ascii="Times New Roman" w:hAnsi="Times New Roman"/>
          <w:sz w:val="28"/>
          <w:szCs w:val="24"/>
        </w:rPr>
        <w:t>, por</w:t>
      </w:r>
      <w:r w:rsidR="002105D4" w:rsidRPr="00FA7116">
        <w:rPr>
          <w:rFonts w:ascii="Times New Roman" w:hAnsi="Times New Roman"/>
          <w:sz w:val="28"/>
          <w:szCs w:val="24"/>
        </w:rPr>
        <w:t xml:space="preserve"> acción u omisión</w:t>
      </w:r>
      <w:r w:rsidR="00475A45" w:rsidRPr="00FA7116">
        <w:rPr>
          <w:rFonts w:ascii="Times New Roman" w:hAnsi="Times New Roman"/>
          <w:sz w:val="28"/>
          <w:szCs w:val="24"/>
        </w:rPr>
        <w:t>,</w:t>
      </w:r>
      <w:r w:rsidRPr="00FA7116">
        <w:rPr>
          <w:rFonts w:ascii="Times New Roman" w:hAnsi="Times New Roman"/>
          <w:sz w:val="28"/>
          <w:szCs w:val="24"/>
        </w:rPr>
        <w:t xml:space="preserve"> </w:t>
      </w:r>
      <w:r w:rsidR="00475A45" w:rsidRPr="00FA7116">
        <w:rPr>
          <w:rFonts w:ascii="Times New Roman" w:hAnsi="Times New Roman"/>
          <w:sz w:val="28"/>
          <w:szCs w:val="24"/>
        </w:rPr>
        <w:t xml:space="preserve">se encuentran atascadas en una situación, que les impide </w:t>
      </w:r>
      <w:r w:rsidRPr="00FA7116">
        <w:rPr>
          <w:rFonts w:ascii="Times New Roman" w:hAnsi="Times New Roman"/>
          <w:sz w:val="28"/>
          <w:szCs w:val="24"/>
        </w:rPr>
        <w:t>adopta</w:t>
      </w:r>
      <w:r w:rsidR="00475A45" w:rsidRPr="00FA7116">
        <w:rPr>
          <w:rFonts w:ascii="Times New Roman" w:hAnsi="Times New Roman"/>
          <w:sz w:val="28"/>
          <w:szCs w:val="24"/>
        </w:rPr>
        <w:t xml:space="preserve">r </w:t>
      </w:r>
      <w:r w:rsidRPr="00FA7116">
        <w:rPr>
          <w:rFonts w:ascii="Times New Roman" w:hAnsi="Times New Roman"/>
          <w:sz w:val="28"/>
          <w:szCs w:val="24"/>
        </w:rPr>
        <w:t>los correctivos</w:t>
      </w:r>
      <w:r w:rsidR="00475A45" w:rsidRPr="00FA7116">
        <w:rPr>
          <w:rFonts w:ascii="Times New Roman" w:hAnsi="Times New Roman"/>
          <w:sz w:val="28"/>
          <w:szCs w:val="24"/>
        </w:rPr>
        <w:t xml:space="preserve"> necesarios</w:t>
      </w:r>
      <w:r w:rsidRPr="00FA7116">
        <w:rPr>
          <w:rFonts w:ascii="Times New Roman" w:hAnsi="Times New Roman"/>
          <w:sz w:val="28"/>
          <w:szCs w:val="24"/>
        </w:rPr>
        <w:t xml:space="preserve"> para remediar </w:t>
      </w:r>
      <w:r w:rsidR="002105D4" w:rsidRPr="00FA7116">
        <w:rPr>
          <w:rFonts w:ascii="Times New Roman" w:hAnsi="Times New Roman"/>
          <w:sz w:val="28"/>
          <w:szCs w:val="24"/>
        </w:rPr>
        <w:t>l</w:t>
      </w:r>
      <w:r w:rsidRPr="00FA7116">
        <w:rPr>
          <w:rFonts w:ascii="Times New Roman" w:hAnsi="Times New Roman"/>
          <w:sz w:val="28"/>
          <w:szCs w:val="24"/>
        </w:rPr>
        <w:t>a situación de ineficiencia e inoperancia</w:t>
      </w:r>
      <w:r w:rsidR="00475A45" w:rsidRPr="00FA7116">
        <w:rPr>
          <w:rFonts w:ascii="Times New Roman" w:hAnsi="Times New Roman"/>
          <w:sz w:val="28"/>
          <w:szCs w:val="24"/>
        </w:rPr>
        <w:t xml:space="preserve"> institucional, </w:t>
      </w:r>
      <w:r w:rsidRPr="00FA7116">
        <w:rPr>
          <w:rFonts w:ascii="Times New Roman" w:hAnsi="Times New Roman"/>
          <w:sz w:val="28"/>
          <w:szCs w:val="24"/>
        </w:rPr>
        <w:t>que repercute en la garantía de los derechos de los ciudadanos</w:t>
      </w:r>
      <w:r w:rsidR="00044F30" w:rsidRPr="00FA7116">
        <w:rPr>
          <w:rFonts w:ascii="Times New Roman" w:hAnsi="Times New Roman"/>
          <w:sz w:val="28"/>
          <w:szCs w:val="24"/>
        </w:rPr>
        <w:t xml:space="preserve"> </w:t>
      </w:r>
      <w:r w:rsidR="00D407DF" w:rsidRPr="00FA7116">
        <w:rPr>
          <w:rFonts w:ascii="Times New Roman" w:hAnsi="Times New Roman"/>
          <w:sz w:val="28"/>
          <w:szCs w:val="24"/>
        </w:rPr>
        <w:t>y/</w:t>
      </w:r>
      <w:r w:rsidR="00044F30" w:rsidRPr="00FA7116">
        <w:rPr>
          <w:rFonts w:ascii="Times New Roman" w:hAnsi="Times New Roman"/>
          <w:sz w:val="28"/>
          <w:szCs w:val="24"/>
        </w:rPr>
        <w:t>o en el cumplimiento adecuado de los compromisos constitucionales</w:t>
      </w:r>
      <w:r w:rsidRPr="00FA7116">
        <w:rPr>
          <w:rFonts w:ascii="Times New Roman" w:hAnsi="Times New Roman"/>
          <w:sz w:val="28"/>
          <w:szCs w:val="24"/>
        </w:rPr>
        <w:t>.</w:t>
      </w:r>
      <w:r w:rsidR="002105D4" w:rsidRPr="00FA7116">
        <w:rPr>
          <w:rFonts w:ascii="Times New Roman" w:hAnsi="Times New Roman"/>
          <w:sz w:val="28"/>
          <w:szCs w:val="24"/>
        </w:rPr>
        <w:t xml:space="preserve"> En el caso de bloqueos relacionados con la estructura constitucional y las funciones constitucionales, la situación es más gravosa aún, porque supone</w:t>
      </w:r>
      <w:r w:rsidR="00D407DF" w:rsidRPr="00FA7116">
        <w:rPr>
          <w:rFonts w:ascii="Times New Roman" w:hAnsi="Times New Roman"/>
          <w:sz w:val="28"/>
          <w:szCs w:val="24"/>
        </w:rPr>
        <w:t xml:space="preserve"> la fa</w:t>
      </w:r>
      <w:r w:rsidR="00F84F03" w:rsidRPr="00FA7116">
        <w:rPr>
          <w:rFonts w:ascii="Times New Roman" w:hAnsi="Times New Roman"/>
          <w:sz w:val="28"/>
          <w:szCs w:val="24"/>
        </w:rPr>
        <w:t>l</w:t>
      </w:r>
      <w:r w:rsidR="00D407DF" w:rsidRPr="00FA7116">
        <w:rPr>
          <w:rFonts w:ascii="Times New Roman" w:hAnsi="Times New Roman"/>
          <w:sz w:val="28"/>
          <w:szCs w:val="24"/>
        </w:rPr>
        <w:t xml:space="preserve">ta de operatividad </w:t>
      </w:r>
      <w:r w:rsidR="00550868">
        <w:rPr>
          <w:rFonts w:ascii="Times New Roman" w:hAnsi="Times New Roman"/>
          <w:sz w:val="28"/>
          <w:szCs w:val="24"/>
        </w:rPr>
        <w:t>y eficacia</w:t>
      </w:r>
      <w:r w:rsidR="00D407DF" w:rsidRPr="00FA7116">
        <w:rPr>
          <w:rFonts w:ascii="Times New Roman" w:hAnsi="Times New Roman"/>
          <w:sz w:val="28"/>
          <w:szCs w:val="24"/>
        </w:rPr>
        <w:t xml:space="preserve"> de la Carta como eje central del ordenamiento.</w:t>
      </w:r>
      <w:r w:rsidR="002105D4" w:rsidRPr="00FA7116">
        <w:rPr>
          <w:rFonts w:ascii="Times New Roman" w:hAnsi="Times New Roman"/>
          <w:sz w:val="28"/>
          <w:szCs w:val="24"/>
        </w:rPr>
        <w:t xml:space="preserve"> </w:t>
      </w:r>
    </w:p>
    <w:p w14:paraId="2577EA66" w14:textId="77777777" w:rsidR="00B73DFD" w:rsidRPr="00FA7116" w:rsidRDefault="00B73DFD" w:rsidP="00044F30">
      <w:pPr>
        <w:pStyle w:val="Sinespaciado"/>
        <w:jc w:val="both"/>
        <w:rPr>
          <w:rFonts w:ascii="Times New Roman" w:hAnsi="Times New Roman"/>
          <w:sz w:val="32"/>
        </w:rPr>
      </w:pPr>
    </w:p>
    <w:p w14:paraId="04680487" w14:textId="77777777" w:rsidR="00B73DFD" w:rsidRPr="00FA7116" w:rsidRDefault="00B73DFD" w:rsidP="00044F30">
      <w:pPr>
        <w:pStyle w:val="Sinespaciado"/>
        <w:numPr>
          <w:ilvl w:val="0"/>
          <w:numId w:val="10"/>
        </w:numPr>
        <w:jc w:val="both"/>
        <w:rPr>
          <w:rFonts w:ascii="Times New Roman" w:hAnsi="Times New Roman"/>
          <w:sz w:val="28"/>
          <w:szCs w:val="24"/>
        </w:rPr>
      </w:pPr>
      <w:r w:rsidRPr="00FA7116">
        <w:rPr>
          <w:rFonts w:ascii="Times New Roman" w:hAnsi="Times New Roman"/>
          <w:sz w:val="28"/>
          <w:szCs w:val="24"/>
        </w:rPr>
        <w:t xml:space="preserve">En </w:t>
      </w:r>
      <w:r w:rsidR="00044F30" w:rsidRPr="00FA7116">
        <w:rPr>
          <w:rFonts w:ascii="Times New Roman" w:hAnsi="Times New Roman"/>
          <w:sz w:val="28"/>
          <w:szCs w:val="24"/>
        </w:rPr>
        <w:t xml:space="preserve">tales circunstancias, la </w:t>
      </w:r>
      <w:r w:rsidRPr="00FA7116">
        <w:rPr>
          <w:rFonts w:ascii="Times New Roman" w:hAnsi="Times New Roman"/>
          <w:sz w:val="28"/>
          <w:szCs w:val="24"/>
        </w:rPr>
        <w:t>intervención de la Corte Constitucional se sustenta en</w:t>
      </w:r>
      <w:r w:rsidR="00044F30" w:rsidRPr="00FA7116">
        <w:rPr>
          <w:rFonts w:ascii="Times New Roman" w:hAnsi="Times New Roman"/>
          <w:sz w:val="28"/>
          <w:szCs w:val="24"/>
        </w:rPr>
        <w:t xml:space="preserve"> su deber como guardiana de la Carta de superar</w:t>
      </w:r>
      <w:r w:rsidR="00062927" w:rsidRPr="00FA7116">
        <w:rPr>
          <w:rFonts w:ascii="Times New Roman" w:hAnsi="Times New Roman"/>
          <w:sz w:val="28"/>
          <w:szCs w:val="24"/>
        </w:rPr>
        <w:t>, de un lado,</w:t>
      </w:r>
      <w:r w:rsidRPr="00FA7116">
        <w:rPr>
          <w:rFonts w:ascii="Times New Roman" w:hAnsi="Times New Roman"/>
          <w:sz w:val="28"/>
          <w:szCs w:val="24"/>
        </w:rPr>
        <w:t xml:space="preserve"> las amenazas y vulneraciones a los derechos de l</w:t>
      </w:r>
      <w:r w:rsidR="00044F30" w:rsidRPr="00FA7116">
        <w:rPr>
          <w:rFonts w:ascii="Times New Roman" w:hAnsi="Times New Roman"/>
          <w:sz w:val="28"/>
          <w:szCs w:val="24"/>
        </w:rPr>
        <w:t>as personas que a partir de los</w:t>
      </w:r>
      <w:r w:rsidRPr="00FA7116">
        <w:rPr>
          <w:rFonts w:ascii="Times New Roman" w:hAnsi="Times New Roman"/>
          <w:sz w:val="28"/>
          <w:szCs w:val="24"/>
        </w:rPr>
        <w:t xml:space="preserve"> bloqueos institucionales se constat</w:t>
      </w:r>
      <w:r w:rsidR="007537FE" w:rsidRPr="00FA7116">
        <w:rPr>
          <w:rFonts w:ascii="Times New Roman" w:hAnsi="Times New Roman"/>
          <w:sz w:val="28"/>
          <w:szCs w:val="24"/>
        </w:rPr>
        <w:t>e</w:t>
      </w:r>
      <w:r w:rsidRPr="00FA7116">
        <w:rPr>
          <w:rFonts w:ascii="Times New Roman" w:hAnsi="Times New Roman"/>
          <w:sz w:val="28"/>
          <w:szCs w:val="24"/>
        </w:rPr>
        <w:t>n</w:t>
      </w:r>
      <w:r w:rsidRPr="00FA7116">
        <w:rPr>
          <w:rStyle w:val="Refdenotaalpie"/>
          <w:rFonts w:ascii="Times New Roman" w:hAnsi="Times New Roman"/>
          <w:sz w:val="28"/>
          <w:szCs w:val="24"/>
        </w:rPr>
        <w:footnoteReference w:id="116"/>
      </w:r>
      <w:r w:rsidR="00062927" w:rsidRPr="00FA7116">
        <w:rPr>
          <w:rFonts w:ascii="Times New Roman" w:hAnsi="Times New Roman"/>
          <w:sz w:val="28"/>
          <w:szCs w:val="24"/>
        </w:rPr>
        <w:t xml:space="preserve"> y del otro, los </w:t>
      </w:r>
      <w:r w:rsidRPr="00FA7116">
        <w:rPr>
          <w:rFonts w:ascii="Times New Roman" w:hAnsi="Times New Roman"/>
          <w:sz w:val="28"/>
          <w:szCs w:val="24"/>
        </w:rPr>
        <w:t>escenarios de parálisis</w:t>
      </w:r>
      <w:r w:rsidR="00062927" w:rsidRPr="00FA7116">
        <w:rPr>
          <w:rFonts w:ascii="Times New Roman" w:hAnsi="Times New Roman"/>
          <w:sz w:val="28"/>
          <w:szCs w:val="24"/>
        </w:rPr>
        <w:t xml:space="preserve"> estructural o de</w:t>
      </w:r>
      <w:r w:rsidR="00E001C6" w:rsidRPr="00FA7116">
        <w:rPr>
          <w:rFonts w:ascii="Times New Roman" w:hAnsi="Times New Roman"/>
          <w:sz w:val="28"/>
          <w:szCs w:val="24"/>
        </w:rPr>
        <w:t xml:space="preserve"> limitación de las</w:t>
      </w:r>
      <w:r w:rsidR="00062927" w:rsidRPr="00FA7116">
        <w:rPr>
          <w:rFonts w:ascii="Times New Roman" w:hAnsi="Times New Roman"/>
          <w:sz w:val="28"/>
          <w:szCs w:val="24"/>
        </w:rPr>
        <w:t xml:space="preserve"> funciones </w:t>
      </w:r>
      <w:r w:rsidR="007537FE" w:rsidRPr="00FA7116">
        <w:rPr>
          <w:rFonts w:ascii="Times New Roman" w:hAnsi="Times New Roman"/>
          <w:sz w:val="28"/>
          <w:szCs w:val="24"/>
        </w:rPr>
        <w:t>constitucionales que se evidencien</w:t>
      </w:r>
      <w:r w:rsidRPr="00FA7116">
        <w:rPr>
          <w:rFonts w:ascii="Times New Roman" w:hAnsi="Times New Roman"/>
          <w:sz w:val="28"/>
          <w:szCs w:val="24"/>
        </w:rPr>
        <w:t xml:space="preserve">, a </w:t>
      </w:r>
      <w:r w:rsidR="007537FE" w:rsidRPr="00FA7116">
        <w:rPr>
          <w:rFonts w:ascii="Times New Roman" w:hAnsi="Times New Roman"/>
          <w:sz w:val="28"/>
          <w:szCs w:val="24"/>
        </w:rPr>
        <w:t xml:space="preserve">fin de </w:t>
      </w:r>
      <w:r w:rsidRPr="00FA7116">
        <w:rPr>
          <w:rFonts w:ascii="Times New Roman" w:hAnsi="Times New Roman"/>
          <w:sz w:val="28"/>
          <w:szCs w:val="24"/>
        </w:rPr>
        <w:t xml:space="preserve">adoptar </w:t>
      </w:r>
      <w:r w:rsidR="007537FE" w:rsidRPr="00FA7116">
        <w:rPr>
          <w:rFonts w:ascii="Times New Roman" w:hAnsi="Times New Roman"/>
          <w:sz w:val="28"/>
          <w:szCs w:val="24"/>
        </w:rPr>
        <w:t xml:space="preserve">las </w:t>
      </w:r>
      <w:r w:rsidRPr="00FA7116">
        <w:rPr>
          <w:rFonts w:ascii="Times New Roman" w:hAnsi="Times New Roman"/>
          <w:sz w:val="28"/>
          <w:szCs w:val="24"/>
        </w:rPr>
        <w:t>medidas</w:t>
      </w:r>
      <w:r w:rsidR="007537FE" w:rsidRPr="00FA7116">
        <w:rPr>
          <w:rFonts w:ascii="Times New Roman" w:hAnsi="Times New Roman"/>
          <w:sz w:val="28"/>
          <w:szCs w:val="24"/>
        </w:rPr>
        <w:t xml:space="preserve"> necesarias</w:t>
      </w:r>
      <w:r w:rsidRPr="00FA7116">
        <w:rPr>
          <w:rFonts w:ascii="Times New Roman" w:hAnsi="Times New Roman"/>
          <w:sz w:val="28"/>
          <w:szCs w:val="24"/>
        </w:rPr>
        <w:t xml:space="preserve"> para conjurar los efectos que </w:t>
      </w:r>
      <w:r w:rsidR="007537FE" w:rsidRPr="00FA7116">
        <w:rPr>
          <w:rFonts w:ascii="Times New Roman" w:hAnsi="Times New Roman"/>
          <w:sz w:val="28"/>
          <w:szCs w:val="24"/>
        </w:rPr>
        <w:t xml:space="preserve">se </w:t>
      </w:r>
      <w:r w:rsidRPr="00FA7116">
        <w:rPr>
          <w:rFonts w:ascii="Times New Roman" w:hAnsi="Times New Roman"/>
          <w:sz w:val="28"/>
          <w:szCs w:val="24"/>
        </w:rPr>
        <w:t>adviert</w:t>
      </w:r>
      <w:r w:rsidR="00E001C6" w:rsidRPr="00FA7116">
        <w:rPr>
          <w:rFonts w:ascii="Times New Roman" w:hAnsi="Times New Roman"/>
          <w:sz w:val="28"/>
          <w:szCs w:val="24"/>
        </w:rPr>
        <w:t>a</w:t>
      </w:r>
      <w:r w:rsidR="007537FE" w:rsidRPr="00FA7116">
        <w:rPr>
          <w:rFonts w:ascii="Times New Roman" w:hAnsi="Times New Roman"/>
          <w:sz w:val="28"/>
          <w:szCs w:val="24"/>
        </w:rPr>
        <w:t>n</w:t>
      </w:r>
      <w:r w:rsidRPr="00FA7116">
        <w:rPr>
          <w:rFonts w:ascii="Times New Roman" w:hAnsi="Times New Roman"/>
          <w:sz w:val="28"/>
          <w:szCs w:val="24"/>
        </w:rPr>
        <w:t>.</w:t>
      </w:r>
      <w:r w:rsidR="00E001C6" w:rsidRPr="00FA7116">
        <w:rPr>
          <w:rFonts w:ascii="Times New Roman" w:hAnsi="Times New Roman"/>
          <w:sz w:val="28"/>
          <w:szCs w:val="24"/>
        </w:rPr>
        <w:t xml:space="preserve"> Se trata de</w:t>
      </w:r>
      <w:r w:rsidRPr="00FA7116">
        <w:rPr>
          <w:rFonts w:ascii="Times New Roman" w:hAnsi="Times New Roman"/>
          <w:sz w:val="28"/>
          <w:szCs w:val="24"/>
        </w:rPr>
        <w:t xml:space="preserve"> </w:t>
      </w:r>
      <w:r w:rsidR="00E001C6" w:rsidRPr="00FA7116">
        <w:rPr>
          <w:rFonts w:ascii="Times New Roman" w:hAnsi="Times New Roman"/>
          <w:sz w:val="28"/>
          <w:szCs w:val="24"/>
        </w:rPr>
        <w:t>u</w:t>
      </w:r>
      <w:r w:rsidR="007537FE" w:rsidRPr="00FA7116">
        <w:rPr>
          <w:rFonts w:ascii="Times New Roman" w:hAnsi="Times New Roman"/>
          <w:sz w:val="28"/>
          <w:szCs w:val="24"/>
        </w:rPr>
        <w:t xml:space="preserve">na </w:t>
      </w:r>
      <w:r w:rsidRPr="00FA7116">
        <w:rPr>
          <w:rFonts w:ascii="Times New Roman" w:hAnsi="Times New Roman"/>
          <w:sz w:val="28"/>
          <w:szCs w:val="24"/>
        </w:rPr>
        <w:t>intervención excepcional</w:t>
      </w:r>
      <w:r w:rsidR="007537FE" w:rsidRPr="00FA7116">
        <w:rPr>
          <w:rFonts w:ascii="Times New Roman" w:hAnsi="Times New Roman"/>
          <w:sz w:val="28"/>
          <w:szCs w:val="24"/>
        </w:rPr>
        <w:t xml:space="preserve"> dirigida a </w:t>
      </w:r>
      <w:r w:rsidR="00550868">
        <w:rPr>
          <w:rFonts w:ascii="Times New Roman" w:hAnsi="Times New Roman"/>
          <w:sz w:val="28"/>
          <w:szCs w:val="24"/>
        </w:rPr>
        <w:t>lograr q</w:t>
      </w:r>
      <w:r w:rsidRPr="00FA7116">
        <w:rPr>
          <w:rFonts w:ascii="Times New Roman" w:hAnsi="Times New Roman"/>
          <w:sz w:val="28"/>
          <w:szCs w:val="24"/>
        </w:rPr>
        <w:t>ue el Estado respond</w:t>
      </w:r>
      <w:r w:rsidR="00A542ED" w:rsidRPr="00FA7116">
        <w:rPr>
          <w:rFonts w:ascii="Times New Roman" w:hAnsi="Times New Roman"/>
          <w:sz w:val="28"/>
          <w:szCs w:val="24"/>
        </w:rPr>
        <w:t>a</w:t>
      </w:r>
      <w:r w:rsidRPr="00FA7116">
        <w:rPr>
          <w:rFonts w:ascii="Times New Roman" w:hAnsi="Times New Roman"/>
          <w:sz w:val="28"/>
          <w:szCs w:val="24"/>
        </w:rPr>
        <w:t xml:space="preserve"> de forma idónea y sostenible a la situación de parálisis </w:t>
      </w:r>
      <w:r w:rsidRPr="00FA7116">
        <w:rPr>
          <w:rFonts w:ascii="Times New Roman" w:hAnsi="Times New Roman"/>
          <w:sz w:val="28"/>
          <w:szCs w:val="24"/>
        </w:rPr>
        <w:lastRenderedPageBreak/>
        <w:t>que</w:t>
      </w:r>
      <w:r w:rsidR="00A542ED" w:rsidRPr="00FA7116">
        <w:rPr>
          <w:rFonts w:ascii="Times New Roman" w:hAnsi="Times New Roman"/>
          <w:sz w:val="28"/>
          <w:szCs w:val="24"/>
        </w:rPr>
        <w:t xml:space="preserve"> se</w:t>
      </w:r>
      <w:r w:rsidRPr="00FA7116">
        <w:rPr>
          <w:rFonts w:ascii="Times New Roman" w:hAnsi="Times New Roman"/>
          <w:sz w:val="28"/>
          <w:szCs w:val="24"/>
        </w:rPr>
        <w:t xml:space="preserve"> constat</w:t>
      </w:r>
      <w:r w:rsidR="00F84F03" w:rsidRPr="00FA7116">
        <w:rPr>
          <w:rFonts w:ascii="Times New Roman" w:hAnsi="Times New Roman"/>
          <w:sz w:val="28"/>
          <w:szCs w:val="24"/>
        </w:rPr>
        <w:t>a</w:t>
      </w:r>
      <w:r w:rsidRPr="00FA7116">
        <w:rPr>
          <w:rFonts w:ascii="Times New Roman" w:hAnsi="Times New Roman"/>
          <w:sz w:val="28"/>
          <w:szCs w:val="24"/>
        </w:rPr>
        <w:t xml:space="preserve"> y se super</w:t>
      </w:r>
      <w:r w:rsidR="00A542ED" w:rsidRPr="00FA7116">
        <w:rPr>
          <w:rFonts w:ascii="Times New Roman" w:hAnsi="Times New Roman"/>
          <w:sz w:val="28"/>
          <w:szCs w:val="24"/>
        </w:rPr>
        <w:t>e</w:t>
      </w:r>
      <w:r w:rsidR="00F84F03" w:rsidRPr="00FA7116">
        <w:rPr>
          <w:rFonts w:ascii="Times New Roman" w:hAnsi="Times New Roman"/>
          <w:sz w:val="28"/>
          <w:szCs w:val="24"/>
        </w:rPr>
        <w:t>n</w:t>
      </w:r>
      <w:r w:rsidRPr="00FA7116">
        <w:rPr>
          <w:rFonts w:ascii="Times New Roman" w:hAnsi="Times New Roman"/>
          <w:sz w:val="28"/>
          <w:szCs w:val="24"/>
        </w:rPr>
        <w:t xml:space="preserve"> las causas que justificaron </w:t>
      </w:r>
      <w:r w:rsidR="00E001C6" w:rsidRPr="00FA7116">
        <w:rPr>
          <w:rFonts w:ascii="Times New Roman" w:hAnsi="Times New Roman"/>
          <w:sz w:val="28"/>
          <w:szCs w:val="24"/>
        </w:rPr>
        <w:t xml:space="preserve">las dificultades en </w:t>
      </w:r>
      <w:r w:rsidRPr="00FA7116">
        <w:rPr>
          <w:rFonts w:ascii="Times New Roman" w:hAnsi="Times New Roman"/>
          <w:sz w:val="28"/>
          <w:szCs w:val="24"/>
        </w:rPr>
        <w:t>su actuación.</w:t>
      </w:r>
    </w:p>
    <w:p w14:paraId="25826EBC" w14:textId="77777777" w:rsidR="007537FE" w:rsidRPr="00550868" w:rsidRDefault="007537FE" w:rsidP="007537FE">
      <w:pPr>
        <w:pStyle w:val="Prrafodelista"/>
        <w:rPr>
          <w:szCs w:val="24"/>
          <w:lang w:val="es-CO"/>
        </w:rPr>
      </w:pPr>
    </w:p>
    <w:p w14:paraId="17DEE4E9" w14:textId="77777777" w:rsidR="009B1A8E" w:rsidRPr="00FA7116" w:rsidRDefault="00A67686" w:rsidP="007537FE">
      <w:pPr>
        <w:pStyle w:val="Sinespaciado"/>
        <w:numPr>
          <w:ilvl w:val="0"/>
          <w:numId w:val="10"/>
        </w:numPr>
        <w:jc w:val="both"/>
        <w:rPr>
          <w:rFonts w:ascii="Times New Roman" w:hAnsi="Times New Roman"/>
          <w:sz w:val="28"/>
          <w:szCs w:val="28"/>
        </w:rPr>
      </w:pPr>
      <w:r w:rsidRPr="00FA7116">
        <w:rPr>
          <w:rFonts w:ascii="Times New Roman" w:hAnsi="Times New Roman"/>
          <w:bCs/>
          <w:sz w:val="28"/>
          <w:szCs w:val="28"/>
        </w:rPr>
        <w:t xml:space="preserve">Bajo esos parámetros, </w:t>
      </w:r>
      <w:r w:rsidR="009B1A8E" w:rsidRPr="00FA7116">
        <w:rPr>
          <w:rFonts w:ascii="Times New Roman" w:hAnsi="Times New Roman"/>
          <w:bCs/>
          <w:sz w:val="28"/>
          <w:szCs w:val="28"/>
        </w:rPr>
        <w:t>la Sala advierte que</w:t>
      </w:r>
      <w:r w:rsidR="007537FE" w:rsidRPr="00FA7116">
        <w:rPr>
          <w:rFonts w:ascii="Times New Roman" w:hAnsi="Times New Roman"/>
          <w:bCs/>
          <w:sz w:val="28"/>
          <w:szCs w:val="28"/>
        </w:rPr>
        <w:t xml:space="preserve"> </w:t>
      </w:r>
      <w:r w:rsidR="009B1A8E" w:rsidRPr="00FA7116">
        <w:rPr>
          <w:rFonts w:ascii="Times New Roman" w:hAnsi="Times New Roman"/>
          <w:bCs/>
          <w:sz w:val="28"/>
          <w:szCs w:val="28"/>
        </w:rPr>
        <w:t xml:space="preserve">el </w:t>
      </w:r>
      <w:r w:rsidR="009B1A8E" w:rsidRPr="00FA7116">
        <w:rPr>
          <w:rFonts w:ascii="Times New Roman" w:hAnsi="Times New Roman"/>
          <w:b/>
          <w:i/>
          <w:iCs/>
          <w:sz w:val="28"/>
          <w:szCs w:val="28"/>
        </w:rPr>
        <w:t xml:space="preserve">bloqueo institucional </w:t>
      </w:r>
      <w:r w:rsidR="00A45F6D">
        <w:rPr>
          <w:rFonts w:ascii="Times New Roman" w:hAnsi="Times New Roman"/>
          <w:b/>
          <w:i/>
          <w:iCs/>
          <w:sz w:val="28"/>
          <w:szCs w:val="28"/>
        </w:rPr>
        <w:t>in</w:t>
      </w:r>
      <w:r w:rsidR="009B1A8E" w:rsidRPr="00FA7116">
        <w:rPr>
          <w:rFonts w:ascii="Times New Roman" w:hAnsi="Times New Roman"/>
          <w:b/>
          <w:i/>
          <w:iCs/>
          <w:sz w:val="28"/>
          <w:szCs w:val="28"/>
        </w:rPr>
        <w:t>constitucional</w:t>
      </w:r>
      <w:r w:rsidR="009B1A8E" w:rsidRPr="00FA7116">
        <w:rPr>
          <w:rFonts w:ascii="Times New Roman" w:hAnsi="Times New Roman"/>
          <w:bCs/>
          <w:sz w:val="28"/>
          <w:szCs w:val="28"/>
        </w:rPr>
        <w:t xml:space="preserve"> se presenta</w:t>
      </w:r>
      <w:r w:rsidR="00E001C6" w:rsidRPr="00FA7116">
        <w:rPr>
          <w:rFonts w:ascii="Times New Roman" w:hAnsi="Times New Roman"/>
          <w:bCs/>
          <w:sz w:val="28"/>
          <w:szCs w:val="28"/>
        </w:rPr>
        <w:t xml:space="preserve"> en esta oportunidad</w:t>
      </w:r>
      <w:r w:rsidR="009B1A8E" w:rsidRPr="00FA7116">
        <w:rPr>
          <w:rFonts w:ascii="Times New Roman" w:hAnsi="Times New Roman"/>
          <w:bCs/>
          <w:sz w:val="28"/>
          <w:szCs w:val="28"/>
        </w:rPr>
        <w:t xml:space="preserve"> cuando la sentencia del Consejo de Estado que evalúa la validez constitucional de un acto </w:t>
      </w:r>
      <w:r w:rsidR="00A542ED" w:rsidRPr="00FA7116">
        <w:rPr>
          <w:rFonts w:ascii="Times New Roman" w:hAnsi="Times New Roman"/>
          <w:bCs/>
          <w:sz w:val="28"/>
          <w:szCs w:val="28"/>
        </w:rPr>
        <w:t>administrativo</w:t>
      </w:r>
      <w:r w:rsidR="009B1A8E" w:rsidRPr="00FA7116">
        <w:rPr>
          <w:rFonts w:ascii="Times New Roman" w:hAnsi="Times New Roman"/>
          <w:bCs/>
          <w:sz w:val="28"/>
          <w:szCs w:val="28"/>
        </w:rPr>
        <w:t xml:space="preserve"> inhibe el desarrollo de la Constitución, a través de una interpretación judicial que </w:t>
      </w:r>
      <w:r w:rsidR="00E001C6" w:rsidRPr="00FA7116">
        <w:rPr>
          <w:rFonts w:ascii="Times New Roman" w:hAnsi="Times New Roman"/>
          <w:bCs/>
          <w:sz w:val="28"/>
          <w:szCs w:val="28"/>
        </w:rPr>
        <w:t xml:space="preserve">parece </w:t>
      </w:r>
      <w:r w:rsidR="009B1A8E" w:rsidRPr="00FA7116">
        <w:rPr>
          <w:rFonts w:ascii="Times New Roman" w:hAnsi="Times New Roman"/>
          <w:bCs/>
          <w:sz w:val="28"/>
          <w:szCs w:val="28"/>
        </w:rPr>
        <w:t>desaf</w:t>
      </w:r>
      <w:r w:rsidR="00E001C6" w:rsidRPr="00FA7116">
        <w:rPr>
          <w:rFonts w:ascii="Times New Roman" w:hAnsi="Times New Roman"/>
          <w:bCs/>
          <w:sz w:val="28"/>
          <w:szCs w:val="28"/>
        </w:rPr>
        <w:t xml:space="preserve">iar </w:t>
      </w:r>
      <w:r w:rsidR="009B1A8E" w:rsidRPr="00FA7116">
        <w:rPr>
          <w:rFonts w:ascii="Times New Roman" w:hAnsi="Times New Roman"/>
          <w:bCs/>
          <w:sz w:val="28"/>
          <w:szCs w:val="28"/>
        </w:rPr>
        <w:t>la propia Carta o produce una parálisis funcional o institucional que afecta la eficacia de</w:t>
      </w:r>
      <w:r w:rsidR="003E2374" w:rsidRPr="00FA7116">
        <w:rPr>
          <w:rFonts w:ascii="Times New Roman" w:hAnsi="Times New Roman"/>
          <w:bCs/>
          <w:sz w:val="28"/>
          <w:szCs w:val="28"/>
        </w:rPr>
        <w:t>l Texto superior</w:t>
      </w:r>
      <w:r w:rsidR="009B1A8E" w:rsidRPr="00FA7116">
        <w:rPr>
          <w:rFonts w:ascii="Times New Roman" w:hAnsi="Times New Roman"/>
          <w:bCs/>
          <w:sz w:val="28"/>
          <w:szCs w:val="28"/>
        </w:rPr>
        <w:t>. Es decir, cuando la sentencia de dicho Tribunal conduce a lecturas de las normas constitucionales que implican la pérdida de efectos de los mandatos establecidos en la Carta.</w:t>
      </w:r>
    </w:p>
    <w:p w14:paraId="5D00847A" w14:textId="77777777" w:rsidR="009B1A8E" w:rsidRPr="00FA7116" w:rsidRDefault="009B1A8E" w:rsidP="009B1A8E">
      <w:pPr>
        <w:ind w:right="49"/>
        <w:jc w:val="both"/>
        <w:rPr>
          <w:rFonts w:eastAsia="Calibri"/>
          <w:bCs/>
          <w:szCs w:val="28"/>
        </w:rPr>
      </w:pPr>
    </w:p>
    <w:p w14:paraId="77E7213F" w14:textId="77777777" w:rsidR="009B1A8E" w:rsidRPr="00FA7116" w:rsidRDefault="0068038F" w:rsidP="00044F30">
      <w:pPr>
        <w:pStyle w:val="Prrafodelista"/>
        <w:numPr>
          <w:ilvl w:val="0"/>
          <w:numId w:val="10"/>
        </w:numPr>
        <w:ind w:right="49"/>
        <w:contextualSpacing/>
        <w:jc w:val="both"/>
        <w:rPr>
          <w:rFonts w:eastAsia="Calibri"/>
          <w:bCs/>
          <w:szCs w:val="28"/>
        </w:rPr>
      </w:pPr>
      <w:r w:rsidRPr="00FA7116">
        <w:rPr>
          <w:rFonts w:eastAsia="Calibri"/>
          <w:bCs/>
          <w:szCs w:val="28"/>
        </w:rPr>
        <w:t>En tal virtud</w:t>
      </w:r>
      <w:r w:rsidR="009B1A8E" w:rsidRPr="00FA7116">
        <w:rPr>
          <w:rFonts w:eastAsia="Calibri"/>
          <w:bCs/>
          <w:szCs w:val="28"/>
        </w:rPr>
        <w:t>, la Sala Plena concluye que</w:t>
      </w:r>
      <w:r w:rsidR="00BB172C">
        <w:rPr>
          <w:rFonts w:eastAsia="Calibri"/>
          <w:bCs/>
          <w:szCs w:val="28"/>
        </w:rPr>
        <w:t>,</w:t>
      </w:r>
      <w:r w:rsidR="009B1A8E" w:rsidRPr="00FA7116">
        <w:rPr>
          <w:rFonts w:eastAsia="Calibri"/>
          <w:bCs/>
          <w:szCs w:val="28"/>
        </w:rPr>
        <w:t xml:space="preserve"> en el presente caso, la sentencia del Consejo de Estado objeto de la acción de tutela </w:t>
      </w:r>
      <w:r w:rsidR="009B1A8E" w:rsidRPr="00FA7116">
        <w:rPr>
          <w:rFonts w:eastAsia="Calibri"/>
          <w:b/>
          <w:i/>
          <w:iCs/>
          <w:szCs w:val="28"/>
        </w:rPr>
        <w:t xml:space="preserve">originó un bloqueo institucional </w:t>
      </w:r>
      <w:r w:rsidR="00A45F6D">
        <w:rPr>
          <w:rFonts w:eastAsia="Calibri"/>
          <w:b/>
          <w:i/>
          <w:iCs/>
          <w:szCs w:val="28"/>
        </w:rPr>
        <w:t>in</w:t>
      </w:r>
      <w:r w:rsidR="009B1A8E" w:rsidRPr="00FA7116">
        <w:rPr>
          <w:rFonts w:eastAsia="Calibri"/>
          <w:b/>
          <w:i/>
          <w:iCs/>
          <w:szCs w:val="28"/>
        </w:rPr>
        <w:t>constitucional</w:t>
      </w:r>
      <w:r w:rsidR="00E001C6" w:rsidRPr="00FA7116">
        <w:rPr>
          <w:rFonts w:eastAsia="Calibri"/>
          <w:bCs/>
          <w:szCs w:val="28"/>
        </w:rPr>
        <w:t xml:space="preserve"> que justifica la procedencia del amparo, </w:t>
      </w:r>
      <w:r w:rsidR="009B1A8E" w:rsidRPr="00FA7116">
        <w:rPr>
          <w:rFonts w:eastAsia="Calibri"/>
          <w:bCs/>
          <w:szCs w:val="28"/>
        </w:rPr>
        <w:t xml:space="preserve">por las razones que se exponen a continuación. </w:t>
      </w:r>
    </w:p>
    <w:p w14:paraId="78F3616C" w14:textId="77777777" w:rsidR="009B1A8E" w:rsidRPr="00FA7116" w:rsidRDefault="009B1A8E" w:rsidP="009B1A8E">
      <w:pPr>
        <w:ind w:right="49"/>
        <w:jc w:val="both"/>
        <w:rPr>
          <w:rFonts w:eastAsia="Calibri"/>
          <w:bCs/>
          <w:szCs w:val="28"/>
        </w:rPr>
      </w:pPr>
    </w:p>
    <w:p w14:paraId="2BED7009" w14:textId="77777777" w:rsidR="009B1A8E" w:rsidRPr="00BB172C" w:rsidRDefault="005E4471" w:rsidP="009B1A8E">
      <w:pPr>
        <w:ind w:right="49"/>
        <w:jc w:val="both"/>
        <w:rPr>
          <w:rFonts w:eastAsia="Calibri"/>
          <w:b/>
          <w:i/>
          <w:iCs/>
          <w:szCs w:val="28"/>
        </w:rPr>
      </w:pPr>
      <w:r w:rsidRPr="00FA7116">
        <w:rPr>
          <w:rFonts w:eastAsia="Calibri"/>
          <w:b/>
          <w:i/>
          <w:iCs/>
          <w:szCs w:val="28"/>
        </w:rPr>
        <w:t xml:space="preserve">(i) </w:t>
      </w:r>
      <w:r w:rsidR="009B1A8E" w:rsidRPr="00BB172C">
        <w:rPr>
          <w:rFonts w:eastAsia="Calibri"/>
          <w:b/>
          <w:i/>
          <w:iCs/>
          <w:szCs w:val="28"/>
        </w:rPr>
        <w:t xml:space="preserve">La interpretación del Consejo de Estado </w:t>
      </w:r>
      <w:r w:rsidR="0068038F" w:rsidRPr="00BB172C">
        <w:rPr>
          <w:rFonts w:eastAsia="Calibri"/>
          <w:b/>
          <w:i/>
          <w:iCs/>
          <w:szCs w:val="28"/>
        </w:rPr>
        <w:t>d</w:t>
      </w:r>
      <w:r w:rsidR="009B1A8E" w:rsidRPr="00BB172C">
        <w:rPr>
          <w:rFonts w:eastAsia="Calibri"/>
          <w:b/>
          <w:i/>
          <w:iCs/>
          <w:szCs w:val="28"/>
        </w:rPr>
        <w:t xml:space="preserve">el artículo 257A superior </w:t>
      </w:r>
      <w:r w:rsidR="0068038F" w:rsidRPr="00BB172C">
        <w:rPr>
          <w:rFonts w:eastAsia="Calibri"/>
          <w:b/>
          <w:i/>
          <w:iCs/>
          <w:szCs w:val="28"/>
        </w:rPr>
        <w:t xml:space="preserve">produjo un bloqueo institucional </w:t>
      </w:r>
      <w:r w:rsidR="00A45F6D">
        <w:rPr>
          <w:rFonts w:eastAsia="Calibri"/>
          <w:b/>
          <w:i/>
          <w:iCs/>
          <w:szCs w:val="28"/>
        </w:rPr>
        <w:t>in</w:t>
      </w:r>
      <w:r w:rsidR="0068038F" w:rsidRPr="00BB172C">
        <w:rPr>
          <w:rFonts w:eastAsia="Calibri"/>
          <w:b/>
          <w:i/>
          <w:iCs/>
          <w:szCs w:val="28"/>
        </w:rPr>
        <w:t xml:space="preserve">constitucional porque </w:t>
      </w:r>
      <w:r w:rsidR="009B1A8E" w:rsidRPr="00BB172C">
        <w:rPr>
          <w:rFonts w:eastAsia="Calibri"/>
          <w:b/>
          <w:i/>
          <w:iCs/>
          <w:szCs w:val="28"/>
        </w:rPr>
        <w:t>obstruyó la configuración de un órgano constitucional, en lugar de permitir su creación</w:t>
      </w:r>
    </w:p>
    <w:p w14:paraId="4EEFD03A" w14:textId="77777777" w:rsidR="009B1A8E" w:rsidRPr="00FA7116" w:rsidRDefault="009B1A8E" w:rsidP="009B1A8E">
      <w:pPr>
        <w:ind w:right="49"/>
        <w:jc w:val="both"/>
        <w:rPr>
          <w:rFonts w:eastAsia="Calibri"/>
          <w:b/>
          <w:i/>
          <w:iCs/>
          <w:szCs w:val="28"/>
        </w:rPr>
      </w:pPr>
    </w:p>
    <w:p w14:paraId="61141B6F" w14:textId="77777777" w:rsidR="009B1A8E" w:rsidRPr="00FA7116" w:rsidRDefault="009B1A8E" w:rsidP="00044F30">
      <w:pPr>
        <w:pStyle w:val="Prrafodelista"/>
        <w:numPr>
          <w:ilvl w:val="0"/>
          <w:numId w:val="10"/>
        </w:numPr>
        <w:ind w:right="49"/>
        <w:contextualSpacing/>
        <w:jc w:val="both"/>
        <w:rPr>
          <w:rFonts w:eastAsia="Calibri"/>
          <w:b/>
          <w:szCs w:val="28"/>
        </w:rPr>
      </w:pPr>
      <w:r w:rsidRPr="00FA7116">
        <w:rPr>
          <w:rFonts w:eastAsia="Calibri"/>
          <w:bCs/>
          <w:szCs w:val="28"/>
        </w:rPr>
        <w:t xml:space="preserve">Como fue expuesto anteriormente, el bloqueo institucional </w:t>
      </w:r>
      <w:r w:rsidR="00A45F6D">
        <w:rPr>
          <w:rFonts w:eastAsia="Calibri"/>
          <w:bCs/>
          <w:szCs w:val="28"/>
        </w:rPr>
        <w:t>in</w:t>
      </w:r>
      <w:r w:rsidRPr="00FA7116">
        <w:rPr>
          <w:rFonts w:eastAsia="Calibri"/>
          <w:bCs/>
          <w:szCs w:val="28"/>
        </w:rPr>
        <w:t xml:space="preserve">constitucional se produce en aquellos eventos en los cuales la decisión judicial de control abstracto de constitucionalidad inhibe el desarrollo de la Constitución, tanto por </w:t>
      </w:r>
      <w:r w:rsidR="00E001C6" w:rsidRPr="00FA7116">
        <w:rPr>
          <w:rFonts w:eastAsia="Calibri"/>
          <w:bCs/>
          <w:szCs w:val="28"/>
        </w:rPr>
        <w:t xml:space="preserve">controvertir aparentemente </w:t>
      </w:r>
      <w:r w:rsidRPr="00FA7116">
        <w:rPr>
          <w:rFonts w:eastAsia="Calibri"/>
          <w:bCs/>
          <w:szCs w:val="28"/>
        </w:rPr>
        <w:t xml:space="preserve">lo previsto en los mandatos superiores, como por generar una parálisis u obstrucción grave en las funciones de los órganos constitucionales. </w:t>
      </w:r>
    </w:p>
    <w:p w14:paraId="5B6D4D69" w14:textId="77777777" w:rsidR="009B1A8E" w:rsidRPr="00FA7116" w:rsidRDefault="009B1A8E" w:rsidP="009B1A8E">
      <w:pPr>
        <w:pStyle w:val="Prrafodelista"/>
        <w:ind w:left="0" w:right="49"/>
        <w:jc w:val="both"/>
        <w:rPr>
          <w:rFonts w:eastAsia="Calibri"/>
          <w:bCs/>
          <w:szCs w:val="28"/>
        </w:rPr>
      </w:pPr>
    </w:p>
    <w:p w14:paraId="0B3F980E" w14:textId="77777777" w:rsidR="009B1A8E" w:rsidRPr="00FA7116" w:rsidRDefault="009B1A8E" w:rsidP="009B1A8E">
      <w:pPr>
        <w:pStyle w:val="Prrafodelista"/>
        <w:ind w:left="0" w:right="49"/>
        <w:jc w:val="both"/>
        <w:rPr>
          <w:rFonts w:eastAsia="Calibri"/>
          <w:b/>
          <w:szCs w:val="28"/>
        </w:rPr>
      </w:pPr>
      <w:r w:rsidRPr="00FA7116">
        <w:rPr>
          <w:rFonts w:eastAsia="Calibri"/>
          <w:bCs/>
          <w:szCs w:val="28"/>
        </w:rPr>
        <w:t>En este sentido, al asumir que la convocatoria pública prevista en</w:t>
      </w:r>
      <w:r w:rsidR="00E001C6" w:rsidRPr="00FA7116">
        <w:rPr>
          <w:rFonts w:eastAsia="Calibri"/>
          <w:bCs/>
          <w:szCs w:val="28"/>
        </w:rPr>
        <w:t xml:space="preserve"> el artículo 257A </w:t>
      </w:r>
      <w:r w:rsidRPr="00FA7116">
        <w:rPr>
          <w:rFonts w:eastAsia="Calibri"/>
          <w:bCs/>
          <w:szCs w:val="28"/>
        </w:rPr>
        <w:t xml:space="preserve">debía regularse </w:t>
      </w:r>
      <w:r w:rsidR="00E001C6" w:rsidRPr="00FA7116">
        <w:rPr>
          <w:rFonts w:eastAsia="Calibri"/>
          <w:bCs/>
          <w:szCs w:val="28"/>
        </w:rPr>
        <w:t xml:space="preserve">mediante </w:t>
      </w:r>
      <w:r w:rsidRPr="00FA7116">
        <w:rPr>
          <w:rFonts w:eastAsia="Calibri"/>
          <w:bCs/>
          <w:szCs w:val="28"/>
        </w:rPr>
        <w:t>ley,</w:t>
      </w:r>
      <w:r w:rsidR="00E001C6" w:rsidRPr="00FA7116">
        <w:rPr>
          <w:rFonts w:eastAsia="Calibri"/>
          <w:bCs/>
          <w:szCs w:val="28"/>
        </w:rPr>
        <w:t xml:space="preserve"> en detrimento de una aparente lectura literal de la norma que habilitaba al CSJ para</w:t>
      </w:r>
      <w:r w:rsidR="0049398C" w:rsidRPr="00FA7116">
        <w:rPr>
          <w:rFonts w:eastAsia="Calibri"/>
          <w:bCs/>
          <w:szCs w:val="28"/>
        </w:rPr>
        <w:t xml:space="preserve"> regular la convocatoria </w:t>
      </w:r>
      <w:r w:rsidR="00BB172C">
        <w:rPr>
          <w:rFonts w:eastAsia="Calibri"/>
          <w:bCs/>
          <w:szCs w:val="28"/>
        </w:rPr>
        <w:t>(</w:t>
      </w:r>
      <w:r w:rsidR="0049398C" w:rsidRPr="00FA7116">
        <w:rPr>
          <w:rFonts w:eastAsia="Calibri"/>
          <w:bCs/>
          <w:szCs w:val="28"/>
        </w:rPr>
        <w:t>en los términos de la sentencia C-285 de 2016</w:t>
      </w:r>
      <w:r w:rsidR="00BB172C">
        <w:rPr>
          <w:rFonts w:eastAsia="Calibri"/>
          <w:bCs/>
          <w:szCs w:val="28"/>
        </w:rPr>
        <w:t>) y lograr la configuración del nuevo órgano dentro del término dispuesto en la Carta</w:t>
      </w:r>
      <w:r w:rsidR="00E001C6" w:rsidRPr="00FA7116">
        <w:rPr>
          <w:rFonts w:eastAsia="Calibri"/>
          <w:bCs/>
          <w:szCs w:val="28"/>
        </w:rPr>
        <w:t>,</w:t>
      </w:r>
      <w:r w:rsidRPr="00FA7116">
        <w:rPr>
          <w:rFonts w:eastAsia="Calibri"/>
          <w:bCs/>
          <w:szCs w:val="28"/>
        </w:rPr>
        <w:t xml:space="preserve"> </w:t>
      </w:r>
      <w:r w:rsidR="0049398C" w:rsidRPr="00FA7116">
        <w:rPr>
          <w:rFonts w:eastAsia="Calibri"/>
          <w:bCs/>
          <w:szCs w:val="28"/>
        </w:rPr>
        <w:t xml:space="preserve">la decisión del Consejo de Estado </w:t>
      </w:r>
      <w:r w:rsidRPr="00FA7116">
        <w:rPr>
          <w:rFonts w:eastAsia="Calibri"/>
          <w:bCs/>
          <w:szCs w:val="28"/>
        </w:rPr>
        <w:t>produjo</w:t>
      </w:r>
      <w:r w:rsidR="00E001C6" w:rsidRPr="00FA7116">
        <w:rPr>
          <w:rFonts w:eastAsia="Calibri"/>
          <w:bCs/>
          <w:szCs w:val="28"/>
        </w:rPr>
        <w:t xml:space="preserve"> </w:t>
      </w:r>
      <w:r w:rsidRPr="00FA7116">
        <w:rPr>
          <w:rFonts w:eastAsia="Calibri"/>
          <w:bCs/>
          <w:szCs w:val="28"/>
        </w:rPr>
        <w:t xml:space="preserve">un bloqueo institucional </w:t>
      </w:r>
      <w:r w:rsidR="00A45F6D">
        <w:rPr>
          <w:rFonts w:eastAsia="Calibri"/>
          <w:bCs/>
          <w:szCs w:val="28"/>
        </w:rPr>
        <w:t>in</w:t>
      </w:r>
      <w:r w:rsidRPr="00FA7116">
        <w:rPr>
          <w:rFonts w:eastAsia="Calibri"/>
          <w:bCs/>
          <w:szCs w:val="28"/>
        </w:rPr>
        <w:t>constitucional</w:t>
      </w:r>
      <w:r w:rsidR="00E001C6" w:rsidRPr="00FA7116">
        <w:rPr>
          <w:rFonts w:eastAsia="Calibri"/>
          <w:bCs/>
          <w:szCs w:val="28"/>
        </w:rPr>
        <w:t xml:space="preserve"> que </w:t>
      </w:r>
      <w:r w:rsidR="0049398C" w:rsidRPr="00FA7116">
        <w:rPr>
          <w:rFonts w:eastAsia="Calibri"/>
          <w:bCs/>
          <w:szCs w:val="28"/>
        </w:rPr>
        <w:t xml:space="preserve">en virtud de la interpretación enunciada </w:t>
      </w:r>
      <w:r w:rsidRPr="00FA7116">
        <w:rPr>
          <w:rFonts w:eastAsia="Calibri"/>
          <w:bCs/>
          <w:szCs w:val="28"/>
        </w:rPr>
        <w:t>inhibió el desarrollo de la Constitución.</w:t>
      </w:r>
      <w:r w:rsidR="00E001C6" w:rsidRPr="00FA7116">
        <w:rPr>
          <w:rFonts w:eastAsia="Calibri"/>
          <w:bCs/>
          <w:szCs w:val="28"/>
        </w:rPr>
        <w:t xml:space="preserve"> Como el alcance y la pertinencia de </w:t>
      </w:r>
      <w:r w:rsidR="0049398C" w:rsidRPr="00FA7116">
        <w:rPr>
          <w:rFonts w:eastAsia="Calibri"/>
          <w:bCs/>
          <w:szCs w:val="28"/>
        </w:rPr>
        <w:t>dicha</w:t>
      </w:r>
      <w:r w:rsidR="00E001C6" w:rsidRPr="00FA7116">
        <w:rPr>
          <w:rFonts w:eastAsia="Calibri"/>
          <w:bCs/>
          <w:szCs w:val="28"/>
        </w:rPr>
        <w:t xml:space="preserve"> interpretación es un aspecto que debe analizarse de fondo en esta providencia, s</w:t>
      </w:r>
      <w:r w:rsidR="00C80E03">
        <w:rPr>
          <w:rFonts w:eastAsia="Calibri"/>
          <w:bCs/>
          <w:szCs w:val="28"/>
        </w:rPr>
        <w:t>o</w:t>
      </w:r>
      <w:r w:rsidR="00E001C6" w:rsidRPr="00FA7116">
        <w:rPr>
          <w:rFonts w:eastAsia="Calibri"/>
          <w:bCs/>
          <w:szCs w:val="28"/>
        </w:rPr>
        <w:t xml:space="preserve">lo es </w:t>
      </w:r>
      <w:r w:rsidR="0049398C" w:rsidRPr="00FA7116">
        <w:rPr>
          <w:rFonts w:eastAsia="Calibri"/>
          <w:bCs/>
          <w:szCs w:val="28"/>
        </w:rPr>
        <w:t xml:space="preserve">necesario por lo pronto </w:t>
      </w:r>
      <w:r w:rsidR="00E001C6" w:rsidRPr="00FA7116">
        <w:rPr>
          <w:rFonts w:eastAsia="Calibri"/>
          <w:bCs/>
          <w:szCs w:val="28"/>
        </w:rPr>
        <w:t xml:space="preserve">ilustrar que </w:t>
      </w:r>
      <w:r w:rsidR="0049398C" w:rsidRPr="00FA7116">
        <w:rPr>
          <w:rFonts w:eastAsia="Calibri"/>
          <w:bCs/>
          <w:szCs w:val="28"/>
        </w:rPr>
        <w:t xml:space="preserve">al existir </w:t>
      </w:r>
      <w:r w:rsidR="00E001C6" w:rsidRPr="00FA7116">
        <w:rPr>
          <w:rFonts w:eastAsia="Calibri"/>
          <w:bCs/>
          <w:szCs w:val="28"/>
        </w:rPr>
        <w:t>un nexo causal entre la interpretación del Consejo de Estado en este tema y la ausencia de desarrollo constitucional</w:t>
      </w:r>
      <w:r w:rsidR="0049398C" w:rsidRPr="00FA7116">
        <w:rPr>
          <w:rFonts w:eastAsia="Calibri"/>
          <w:bCs/>
          <w:szCs w:val="28"/>
        </w:rPr>
        <w:t>, se configura una posible relación entre la actuación del órgano judicial y el bloqueo institucional generado.</w:t>
      </w:r>
    </w:p>
    <w:p w14:paraId="21B8FB93" w14:textId="77777777" w:rsidR="009B1A8E" w:rsidRPr="0067273B" w:rsidRDefault="009B1A8E" w:rsidP="009B1A8E">
      <w:pPr>
        <w:ind w:right="49"/>
        <w:jc w:val="both"/>
        <w:rPr>
          <w:rFonts w:eastAsia="Calibri"/>
          <w:bCs/>
          <w:szCs w:val="28"/>
          <w:highlight w:val="lightGray"/>
        </w:rPr>
      </w:pPr>
    </w:p>
    <w:p w14:paraId="5097E981" w14:textId="77777777" w:rsidR="009B1A8E" w:rsidRPr="00BB172C" w:rsidRDefault="005E4471" w:rsidP="009B1A8E">
      <w:pPr>
        <w:ind w:right="49"/>
        <w:jc w:val="both"/>
        <w:rPr>
          <w:rFonts w:eastAsia="Calibri"/>
          <w:b/>
          <w:i/>
          <w:iCs/>
          <w:szCs w:val="28"/>
        </w:rPr>
      </w:pPr>
      <w:r w:rsidRPr="00BB172C">
        <w:rPr>
          <w:rFonts w:eastAsia="Calibri"/>
          <w:b/>
          <w:i/>
          <w:iCs/>
          <w:szCs w:val="28"/>
        </w:rPr>
        <w:t xml:space="preserve">(ii) </w:t>
      </w:r>
      <w:r w:rsidR="009B1A8E" w:rsidRPr="00BB172C">
        <w:rPr>
          <w:rFonts w:eastAsia="Calibri"/>
          <w:b/>
          <w:i/>
          <w:iCs/>
          <w:szCs w:val="28"/>
        </w:rPr>
        <w:t xml:space="preserve">La interpretación del Consejo de Estado produjo un bloqueo institucional </w:t>
      </w:r>
      <w:r w:rsidR="00A45F6D">
        <w:rPr>
          <w:rFonts w:eastAsia="Calibri"/>
          <w:b/>
          <w:i/>
          <w:iCs/>
          <w:szCs w:val="28"/>
        </w:rPr>
        <w:t>in</w:t>
      </w:r>
      <w:r w:rsidR="009B1A8E" w:rsidRPr="00BB172C">
        <w:rPr>
          <w:rFonts w:eastAsia="Calibri"/>
          <w:b/>
          <w:i/>
          <w:iCs/>
          <w:szCs w:val="28"/>
        </w:rPr>
        <w:t xml:space="preserve">constitucional porque </w:t>
      </w:r>
      <w:r w:rsidR="00BF7485" w:rsidRPr="00BB172C">
        <w:rPr>
          <w:rFonts w:eastAsia="Calibri"/>
          <w:b/>
          <w:i/>
          <w:iCs/>
          <w:szCs w:val="28"/>
        </w:rPr>
        <w:t xml:space="preserve">favoreció una </w:t>
      </w:r>
      <w:r w:rsidR="009B1A8E" w:rsidRPr="00BB172C">
        <w:rPr>
          <w:rFonts w:eastAsia="Calibri"/>
          <w:b/>
          <w:i/>
          <w:iCs/>
          <w:szCs w:val="28"/>
        </w:rPr>
        <w:t xml:space="preserve">omisión de regulación </w:t>
      </w:r>
    </w:p>
    <w:p w14:paraId="6EE5CF0E" w14:textId="77777777" w:rsidR="009B1A8E" w:rsidRPr="00BB172C" w:rsidRDefault="009B1A8E" w:rsidP="009B1A8E">
      <w:pPr>
        <w:ind w:right="49"/>
        <w:jc w:val="both"/>
        <w:rPr>
          <w:rFonts w:eastAsia="Calibri"/>
          <w:b/>
          <w:i/>
          <w:iCs/>
          <w:szCs w:val="28"/>
        </w:rPr>
      </w:pPr>
    </w:p>
    <w:p w14:paraId="01453A16" w14:textId="77777777" w:rsidR="009B1A8E" w:rsidRPr="00BB172C" w:rsidRDefault="009B1A8E" w:rsidP="00044F30">
      <w:pPr>
        <w:pStyle w:val="Prrafodelista"/>
        <w:numPr>
          <w:ilvl w:val="0"/>
          <w:numId w:val="10"/>
        </w:numPr>
        <w:ind w:right="49"/>
        <w:contextualSpacing/>
        <w:jc w:val="both"/>
        <w:rPr>
          <w:rFonts w:eastAsia="Calibri"/>
          <w:b/>
          <w:szCs w:val="28"/>
        </w:rPr>
      </w:pPr>
      <w:r w:rsidRPr="00BB172C">
        <w:rPr>
          <w:rFonts w:eastAsia="Calibri"/>
          <w:b/>
          <w:i/>
          <w:iCs/>
          <w:szCs w:val="28"/>
        </w:rPr>
        <w:lastRenderedPageBreak/>
        <w:t xml:space="preserve"> </w:t>
      </w:r>
      <w:r w:rsidRPr="00BB172C">
        <w:rPr>
          <w:rFonts w:eastAsia="Calibri"/>
          <w:bCs/>
          <w:szCs w:val="28"/>
        </w:rPr>
        <w:t>Uno de los propósitos principales del Acto Legislativo 02 de 2015 fue el de reformar la jurisdicción disciplinaria, para fortalecer la institucionalidad existente en dicha materia. Así, con el fin de garantizar que dicha transformación se produjera rápidamente</w:t>
      </w:r>
      <w:r w:rsidRPr="00BB172C">
        <w:rPr>
          <w:rStyle w:val="Refdenotaalpie"/>
          <w:rFonts w:eastAsia="Calibri"/>
          <w:bCs/>
          <w:szCs w:val="28"/>
        </w:rPr>
        <w:footnoteReference w:id="117"/>
      </w:r>
      <w:r w:rsidRPr="00BB172C">
        <w:rPr>
          <w:rFonts w:eastAsia="Calibri"/>
          <w:bCs/>
          <w:szCs w:val="28"/>
        </w:rPr>
        <w:t xml:space="preserve">, el Constituyente estableció que la Comisión Nacional de Disciplina Judicial debía elegirse </w:t>
      </w:r>
      <w:r w:rsidRPr="00BB172C">
        <w:rPr>
          <w:rFonts w:eastAsia="Calibri"/>
          <w:b/>
          <w:i/>
          <w:iCs/>
          <w:szCs w:val="28"/>
        </w:rPr>
        <w:t>dentro del año siguiente a la entrada en vigencia de dicha reforma constitucional</w:t>
      </w:r>
      <w:r w:rsidRPr="00BB172C">
        <w:rPr>
          <w:rFonts w:eastAsia="Calibri"/>
          <w:bCs/>
          <w:i/>
          <w:iCs/>
          <w:szCs w:val="28"/>
        </w:rPr>
        <w:t>.</w:t>
      </w:r>
    </w:p>
    <w:p w14:paraId="57D203FB" w14:textId="77777777" w:rsidR="009B1A8E" w:rsidRPr="00BB172C" w:rsidRDefault="009B1A8E" w:rsidP="009B1A8E">
      <w:pPr>
        <w:ind w:right="49"/>
        <w:jc w:val="both"/>
        <w:rPr>
          <w:rFonts w:eastAsia="Calibri"/>
          <w:bCs/>
          <w:szCs w:val="28"/>
        </w:rPr>
      </w:pPr>
    </w:p>
    <w:p w14:paraId="2EEF918C" w14:textId="77777777" w:rsidR="009B1A8E" w:rsidRPr="00BB172C" w:rsidRDefault="00BF7485" w:rsidP="00BF7485">
      <w:pPr>
        <w:pStyle w:val="Prrafodelista"/>
        <w:numPr>
          <w:ilvl w:val="0"/>
          <w:numId w:val="10"/>
        </w:numPr>
        <w:ind w:right="49"/>
        <w:contextualSpacing/>
        <w:jc w:val="both"/>
        <w:rPr>
          <w:rFonts w:eastAsia="Calibri"/>
          <w:bCs/>
          <w:szCs w:val="28"/>
        </w:rPr>
      </w:pPr>
      <w:r w:rsidRPr="00BB172C">
        <w:rPr>
          <w:rFonts w:eastAsia="Calibri"/>
          <w:bCs/>
          <w:szCs w:val="28"/>
        </w:rPr>
        <w:t xml:space="preserve">La interpretación esgrimida en la </w:t>
      </w:r>
      <w:r w:rsidR="009B1A8E" w:rsidRPr="00BB172C">
        <w:rPr>
          <w:rFonts w:eastAsia="Calibri"/>
          <w:bCs/>
          <w:szCs w:val="28"/>
        </w:rPr>
        <w:t>sentencia controvertida dejó</w:t>
      </w:r>
      <w:r w:rsidRPr="00BB172C">
        <w:rPr>
          <w:rFonts w:eastAsia="Calibri"/>
          <w:bCs/>
          <w:szCs w:val="28"/>
        </w:rPr>
        <w:t xml:space="preserve"> </w:t>
      </w:r>
      <w:r w:rsidR="009B1A8E" w:rsidRPr="00BB172C">
        <w:rPr>
          <w:rFonts w:eastAsia="Calibri"/>
          <w:bCs/>
          <w:szCs w:val="28"/>
        </w:rPr>
        <w:t>en interinidad permanente</w:t>
      </w:r>
      <w:r w:rsidRPr="00BB172C">
        <w:rPr>
          <w:rFonts w:eastAsia="Calibri"/>
          <w:bCs/>
          <w:szCs w:val="28"/>
        </w:rPr>
        <w:t>,</w:t>
      </w:r>
      <w:r w:rsidR="009B1A8E" w:rsidRPr="00BB172C">
        <w:rPr>
          <w:rFonts w:eastAsia="Calibri"/>
          <w:bCs/>
          <w:szCs w:val="28"/>
        </w:rPr>
        <w:t xml:space="preserve"> </w:t>
      </w:r>
      <w:r w:rsidRPr="00BB172C">
        <w:rPr>
          <w:rFonts w:eastAsia="Calibri"/>
          <w:bCs/>
          <w:szCs w:val="28"/>
        </w:rPr>
        <w:t xml:space="preserve">de manera fáctica, </w:t>
      </w:r>
      <w:r w:rsidR="009B1A8E" w:rsidRPr="00BB172C">
        <w:rPr>
          <w:rFonts w:eastAsia="Calibri"/>
          <w:bCs/>
          <w:szCs w:val="28"/>
        </w:rPr>
        <w:t>una institución que debía desaparecer en el término de un año</w:t>
      </w:r>
      <w:r w:rsidR="0067273B" w:rsidRPr="00BB172C">
        <w:rPr>
          <w:rFonts w:eastAsia="Calibri"/>
          <w:bCs/>
          <w:szCs w:val="28"/>
        </w:rPr>
        <w:t xml:space="preserve">, y </w:t>
      </w:r>
      <w:r w:rsidR="009B1A8E" w:rsidRPr="00BB172C">
        <w:rPr>
          <w:rFonts w:eastAsia="Calibri"/>
          <w:bCs/>
          <w:szCs w:val="28"/>
        </w:rPr>
        <w:t>cinco años después de la aprobación del Acto Legislativo 02 de 2015, en el que se disponía la creación de la C</w:t>
      </w:r>
      <w:r w:rsidR="00BB172C">
        <w:rPr>
          <w:rFonts w:eastAsia="Calibri"/>
          <w:bCs/>
          <w:szCs w:val="28"/>
        </w:rPr>
        <w:t>NDJ</w:t>
      </w:r>
      <w:r w:rsidR="009B1A8E" w:rsidRPr="00BB172C">
        <w:rPr>
          <w:rFonts w:eastAsia="Calibri"/>
          <w:bCs/>
          <w:szCs w:val="28"/>
        </w:rPr>
        <w:t>, aun no se ha podido conformar</w:t>
      </w:r>
      <w:r w:rsidRPr="00BB172C">
        <w:rPr>
          <w:rFonts w:eastAsia="Calibri"/>
          <w:bCs/>
          <w:szCs w:val="28"/>
        </w:rPr>
        <w:t xml:space="preserve"> esa entidad</w:t>
      </w:r>
      <w:r w:rsidR="009B1A8E" w:rsidRPr="00BB172C">
        <w:rPr>
          <w:rFonts w:eastAsia="Calibri"/>
          <w:bCs/>
          <w:szCs w:val="28"/>
        </w:rPr>
        <w:t xml:space="preserve">, por cuanto el Legislador  no ha proferido la ley que según la Sala Plena de lo Contencioso Administrativo, era indispensable para establecer las reglas para la convocatoria pública exigida por el artículo 257A de la Constitución.  </w:t>
      </w:r>
    </w:p>
    <w:p w14:paraId="37AF733D" w14:textId="77777777" w:rsidR="009B1A8E" w:rsidRPr="00BB172C" w:rsidRDefault="009B1A8E" w:rsidP="009B1A8E">
      <w:pPr>
        <w:pStyle w:val="Prrafodelista"/>
        <w:ind w:left="0" w:right="49"/>
        <w:jc w:val="both"/>
        <w:rPr>
          <w:rFonts w:eastAsia="Calibri"/>
          <w:bCs/>
          <w:szCs w:val="28"/>
        </w:rPr>
      </w:pPr>
    </w:p>
    <w:p w14:paraId="60E4BAA8" w14:textId="77777777" w:rsidR="009B1A8E" w:rsidRDefault="009B1A8E" w:rsidP="009B1A8E">
      <w:pPr>
        <w:pStyle w:val="Prrafodelista"/>
        <w:ind w:left="0" w:right="49"/>
        <w:jc w:val="both"/>
        <w:rPr>
          <w:rFonts w:eastAsia="Calibri"/>
          <w:bCs/>
          <w:szCs w:val="28"/>
        </w:rPr>
      </w:pPr>
      <w:r w:rsidRPr="00BB172C">
        <w:rPr>
          <w:rFonts w:eastAsia="Calibri"/>
          <w:bCs/>
          <w:szCs w:val="28"/>
        </w:rPr>
        <w:t xml:space="preserve">De este modo, la decisión del Consejo de Estado implicó un bloqueo institucional </w:t>
      </w:r>
      <w:r w:rsidR="00A45F6D">
        <w:rPr>
          <w:rFonts w:eastAsia="Calibri"/>
          <w:bCs/>
          <w:szCs w:val="28"/>
        </w:rPr>
        <w:t>in</w:t>
      </w:r>
      <w:r w:rsidRPr="00BB172C">
        <w:rPr>
          <w:rFonts w:eastAsia="Calibri"/>
          <w:bCs/>
          <w:szCs w:val="28"/>
        </w:rPr>
        <w:t>constitucional,</w:t>
      </w:r>
      <w:r w:rsidR="0067273B" w:rsidRPr="00BB172C">
        <w:rPr>
          <w:rFonts w:eastAsia="Calibri"/>
          <w:bCs/>
          <w:szCs w:val="28"/>
        </w:rPr>
        <w:t xml:space="preserve"> porque hay un nexo entre su decisión y la </w:t>
      </w:r>
      <w:r w:rsidRPr="00BB172C">
        <w:rPr>
          <w:rFonts w:eastAsia="Calibri"/>
          <w:bCs/>
          <w:szCs w:val="28"/>
        </w:rPr>
        <w:t>falta de regulación</w:t>
      </w:r>
      <w:r w:rsidR="0067273B" w:rsidRPr="00BB172C">
        <w:rPr>
          <w:rFonts w:eastAsia="Calibri"/>
          <w:bCs/>
          <w:szCs w:val="28"/>
        </w:rPr>
        <w:t xml:space="preserve"> existente</w:t>
      </w:r>
      <w:r w:rsidRPr="00BB172C">
        <w:rPr>
          <w:rFonts w:eastAsia="Calibri"/>
          <w:bCs/>
          <w:szCs w:val="28"/>
        </w:rPr>
        <w:t xml:space="preserve"> que ha </w:t>
      </w:r>
      <w:r w:rsidR="0067273B" w:rsidRPr="00BB172C">
        <w:rPr>
          <w:rFonts w:eastAsia="Calibri"/>
          <w:bCs/>
          <w:szCs w:val="28"/>
        </w:rPr>
        <w:t xml:space="preserve">llevado a </w:t>
      </w:r>
      <w:r w:rsidRPr="00BB172C">
        <w:rPr>
          <w:rFonts w:eastAsia="Calibri"/>
          <w:bCs/>
          <w:szCs w:val="28"/>
        </w:rPr>
        <w:t>la ineficacia total de</w:t>
      </w:r>
      <w:r w:rsidR="0067273B" w:rsidRPr="00BB172C">
        <w:rPr>
          <w:rFonts w:eastAsia="Calibri"/>
          <w:bCs/>
          <w:szCs w:val="28"/>
        </w:rPr>
        <w:t xml:space="preserve"> esta exigencia en</w:t>
      </w:r>
      <w:r w:rsidRPr="00BB172C">
        <w:rPr>
          <w:rFonts w:eastAsia="Calibri"/>
          <w:bCs/>
          <w:szCs w:val="28"/>
        </w:rPr>
        <w:t xml:space="preserve"> la norma constitucional</w:t>
      </w:r>
      <w:r w:rsidR="0067273B" w:rsidRPr="00BB172C">
        <w:rPr>
          <w:rFonts w:eastAsia="Calibri"/>
          <w:bCs/>
          <w:szCs w:val="28"/>
        </w:rPr>
        <w:t xml:space="preserve"> indicada.</w:t>
      </w:r>
      <w:r w:rsidR="0067273B">
        <w:rPr>
          <w:rFonts w:eastAsia="Calibri"/>
          <w:bCs/>
          <w:szCs w:val="28"/>
        </w:rPr>
        <w:t xml:space="preserve"> </w:t>
      </w:r>
    </w:p>
    <w:p w14:paraId="41D9B485" w14:textId="77777777" w:rsidR="009B1A8E" w:rsidRDefault="009B1A8E" w:rsidP="009B1A8E">
      <w:pPr>
        <w:ind w:right="49"/>
        <w:jc w:val="both"/>
        <w:rPr>
          <w:rFonts w:eastAsia="Calibri"/>
          <w:bCs/>
          <w:szCs w:val="28"/>
        </w:rPr>
      </w:pPr>
    </w:p>
    <w:p w14:paraId="57EF24F6" w14:textId="77777777" w:rsidR="009B1A8E" w:rsidRPr="00BB172C" w:rsidRDefault="005E4471" w:rsidP="009B1A8E">
      <w:pPr>
        <w:ind w:right="49"/>
        <w:jc w:val="both"/>
        <w:rPr>
          <w:rFonts w:eastAsia="Calibri"/>
          <w:b/>
          <w:i/>
          <w:iCs/>
          <w:szCs w:val="28"/>
        </w:rPr>
      </w:pPr>
      <w:r w:rsidRPr="00BB172C">
        <w:rPr>
          <w:rFonts w:eastAsia="Calibri"/>
          <w:b/>
          <w:i/>
          <w:iCs/>
          <w:szCs w:val="28"/>
        </w:rPr>
        <w:t xml:space="preserve">(iii) </w:t>
      </w:r>
      <w:r w:rsidR="009B1A8E" w:rsidRPr="00BB172C">
        <w:rPr>
          <w:rFonts w:eastAsia="Calibri"/>
          <w:b/>
          <w:i/>
          <w:iCs/>
          <w:szCs w:val="28"/>
        </w:rPr>
        <w:t xml:space="preserve">La interpretación del Consejo de Estado produjo un bloqueo institucional </w:t>
      </w:r>
      <w:r w:rsidR="00A45F6D">
        <w:rPr>
          <w:rFonts w:eastAsia="Calibri"/>
          <w:b/>
          <w:i/>
          <w:iCs/>
          <w:szCs w:val="28"/>
        </w:rPr>
        <w:t>in</w:t>
      </w:r>
      <w:r w:rsidR="009B1A8E" w:rsidRPr="00BB172C">
        <w:rPr>
          <w:rFonts w:eastAsia="Calibri"/>
          <w:b/>
          <w:i/>
          <w:iCs/>
          <w:szCs w:val="28"/>
        </w:rPr>
        <w:t>constitucional porque ha impedido que otros órganos constitucionales asuman funciones que la Carta les asigna directamente</w:t>
      </w:r>
    </w:p>
    <w:p w14:paraId="0C69D89F" w14:textId="77777777" w:rsidR="009B1A8E" w:rsidRPr="00BB172C" w:rsidRDefault="009B1A8E" w:rsidP="009B1A8E">
      <w:pPr>
        <w:ind w:right="49"/>
        <w:jc w:val="both"/>
        <w:rPr>
          <w:rFonts w:eastAsia="Calibri"/>
          <w:bCs/>
          <w:szCs w:val="28"/>
        </w:rPr>
      </w:pPr>
    </w:p>
    <w:p w14:paraId="53A80AC7" w14:textId="77777777" w:rsidR="009B1A8E" w:rsidRPr="00BB172C" w:rsidRDefault="009B1A8E" w:rsidP="00044F30">
      <w:pPr>
        <w:pStyle w:val="Prrafodelista"/>
        <w:numPr>
          <w:ilvl w:val="0"/>
          <w:numId w:val="10"/>
        </w:numPr>
        <w:ind w:right="49"/>
        <w:contextualSpacing/>
        <w:jc w:val="both"/>
        <w:rPr>
          <w:rFonts w:eastAsia="Calibri"/>
          <w:bCs/>
          <w:szCs w:val="28"/>
        </w:rPr>
      </w:pPr>
      <w:r w:rsidRPr="00BB172C">
        <w:rPr>
          <w:rFonts w:eastAsia="Calibri"/>
          <w:bCs/>
          <w:szCs w:val="28"/>
          <w:lang w:val="es-ES_tradnl"/>
        </w:rPr>
        <w:t>En el diseño original de la Constitución Política de 1991, la función de resolver los conflictos suscitados entre distintas jurisdicciones se encontraba a cargo del Consejo Superior de la Judicatura</w:t>
      </w:r>
      <w:r w:rsidRPr="00BB172C">
        <w:rPr>
          <w:rFonts w:eastAsia="Calibri"/>
          <w:bCs/>
          <w:szCs w:val="28"/>
          <w:vertAlign w:val="superscript"/>
          <w:lang w:val="es-ES_tradnl"/>
        </w:rPr>
        <w:footnoteReference w:id="118"/>
      </w:r>
      <w:r w:rsidRPr="00BB172C">
        <w:rPr>
          <w:rFonts w:eastAsia="Calibri"/>
          <w:bCs/>
          <w:szCs w:val="28"/>
          <w:lang w:val="es-ES_tradnl"/>
        </w:rPr>
        <w:t>. Particularmente, el artículo 112 de la Ley 270 de 1996 asignó a la Sala Jurisdiccional Disciplinaria de dicha Corporación la facultad de resolver tales controversias</w:t>
      </w:r>
      <w:r w:rsidRPr="00BB172C">
        <w:rPr>
          <w:rFonts w:eastAsia="Calibri"/>
          <w:bCs/>
          <w:szCs w:val="28"/>
          <w:vertAlign w:val="superscript"/>
          <w:lang w:val="es-ES_tradnl"/>
        </w:rPr>
        <w:footnoteReference w:id="119"/>
      </w:r>
      <w:r w:rsidRPr="00BB172C">
        <w:rPr>
          <w:rFonts w:eastAsia="Calibri"/>
          <w:bCs/>
          <w:szCs w:val="28"/>
          <w:lang w:val="es-ES_tradnl"/>
        </w:rPr>
        <w:t>.</w:t>
      </w:r>
    </w:p>
    <w:p w14:paraId="70B244EA" w14:textId="77777777" w:rsidR="009B1A8E" w:rsidRPr="00BB172C" w:rsidRDefault="009B1A8E" w:rsidP="009B1A8E">
      <w:pPr>
        <w:ind w:right="49"/>
        <w:jc w:val="both"/>
        <w:rPr>
          <w:rFonts w:eastAsia="Calibri"/>
          <w:bCs/>
          <w:szCs w:val="28"/>
        </w:rPr>
      </w:pPr>
    </w:p>
    <w:p w14:paraId="020AAFEF" w14:textId="77777777" w:rsidR="009B1A8E" w:rsidRPr="00BB172C" w:rsidRDefault="009B1A8E" w:rsidP="009B1A8E">
      <w:pPr>
        <w:ind w:right="49"/>
        <w:jc w:val="both"/>
        <w:rPr>
          <w:rFonts w:eastAsia="Calibri"/>
          <w:bCs/>
          <w:szCs w:val="28"/>
          <w:lang w:val="es-ES_tradnl"/>
        </w:rPr>
      </w:pPr>
      <w:r w:rsidRPr="00BB172C">
        <w:rPr>
          <w:rFonts w:eastAsia="Calibri"/>
          <w:bCs/>
          <w:szCs w:val="28"/>
        </w:rPr>
        <w:t xml:space="preserve">Sin embargo, </w:t>
      </w:r>
      <w:r w:rsidRPr="00BB172C">
        <w:rPr>
          <w:rFonts w:eastAsia="Calibri"/>
          <w:bCs/>
          <w:szCs w:val="28"/>
          <w:lang w:val="es-ES_tradnl"/>
        </w:rPr>
        <w:t>el Acto Legislativo 02 de 2015 trasladó la atribución de dirimir conflictos entre jurisdicciones a la Corte Constitucional</w:t>
      </w:r>
      <w:r w:rsidRPr="00BB172C">
        <w:rPr>
          <w:rStyle w:val="Refdenotaalpie"/>
          <w:rFonts w:eastAsia="Calibri"/>
          <w:bCs/>
          <w:iCs/>
          <w:szCs w:val="28"/>
          <w:lang w:val="es-ES_tradnl"/>
        </w:rPr>
        <w:footnoteReference w:id="120"/>
      </w:r>
      <w:r w:rsidRPr="00BB172C">
        <w:rPr>
          <w:rFonts w:eastAsia="Calibri"/>
          <w:bCs/>
          <w:szCs w:val="28"/>
          <w:lang w:val="es-ES_tradnl"/>
        </w:rPr>
        <w:t>. Para motivar dicha decisión, el Constituyente se basó en dos argumentos principales:</w:t>
      </w:r>
    </w:p>
    <w:p w14:paraId="6F0C1F17" w14:textId="77777777" w:rsidR="009B1A8E" w:rsidRPr="00BB172C" w:rsidRDefault="009B1A8E" w:rsidP="009B1A8E">
      <w:pPr>
        <w:ind w:right="49"/>
        <w:jc w:val="both"/>
        <w:rPr>
          <w:rFonts w:eastAsia="Calibri"/>
          <w:bCs/>
          <w:szCs w:val="28"/>
          <w:lang w:val="es-ES_tradnl"/>
        </w:rPr>
      </w:pPr>
    </w:p>
    <w:p w14:paraId="3F11A933" w14:textId="77777777" w:rsidR="009B1A8E" w:rsidRPr="00BB172C" w:rsidRDefault="009B1A8E" w:rsidP="009B1A8E">
      <w:pPr>
        <w:ind w:right="49"/>
        <w:jc w:val="both"/>
        <w:rPr>
          <w:rFonts w:eastAsia="Calibri"/>
          <w:bCs/>
          <w:szCs w:val="28"/>
          <w:lang w:val="es-ES_tradnl"/>
        </w:rPr>
      </w:pPr>
      <w:r w:rsidRPr="00BB172C">
        <w:rPr>
          <w:rFonts w:eastAsia="Calibri"/>
          <w:b/>
          <w:szCs w:val="28"/>
          <w:lang w:val="es-ES_tradnl"/>
        </w:rPr>
        <w:lastRenderedPageBreak/>
        <w:t>(</w:t>
      </w:r>
      <w:r w:rsidR="005E4471" w:rsidRPr="00BB172C">
        <w:rPr>
          <w:rFonts w:eastAsia="Calibri"/>
          <w:b/>
          <w:szCs w:val="28"/>
          <w:lang w:val="es-ES_tradnl"/>
        </w:rPr>
        <w:t>a</w:t>
      </w:r>
      <w:r w:rsidRPr="00BB172C">
        <w:rPr>
          <w:rFonts w:eastAsia="Calibri"/>
          <w:b/>
          <w:szCs w:val="28"/>
          <w:lang w:val="es-ES_tradnl"/>
        </w:rPr>
        <w:t>)</w:t>
      </w:r>
      <w:r w:rsidRPr="00BB172C">
        <w:rPr>
          <w:rFonts w:eastAsia="Calibri"/>
          <w:bCs/>
          <w:szCs w:val="28"/>
          <w:lang w:val="es-ES_tradnl"/>
        </w:rPr>
        <w:t xml:space="preserve"> El propósito de garantizar la especialidad de la jurisdicción disciplinaria, de manera que la Comisión Nacional de Disciplina Judicial se ocupe únicamente de asuntos relacionados con tales funciones</w:t>
      </w:r>
      <w:r w:rsidRPr="00BB172C">
        <w:rPr>
          <w:rStyle w:val="Refdenotaalpie"/>
          <w:rFonts w:eastAsia="Calibri"/>
          <w:bCs/>
          <w:szCs w:val="28"/>
          <w:lang w:val="es-ES_tradnl"/>
        </w:rPr>
        <w:footnoteReference w:id="121"/>
      </w:r>
      <w:r w:rsidRPr="00BB172C">
        <w:rPr>
          <w:rFonts w:eastAsia="Calibri"/>
          <w:bCs/>
          <w:szCs w:val="28"/>
          <w:lang w:val="es-ES_tradnl"/>
        </w:rPr>
        <w:t>; y</w:t>
      </w:r>
    </w:p>
    <w:p w14:paraId="2394CD0A" w14:textId="77777777" w:rsidR="009B1A8E" w:rsidRPr="00BB172C" w:rsidRDefault="009B1A8E" w:rsidP="009B1A8E">
      <w:pPr>
        <w:ind w:right="49"/>
        <w:jc w:val="both"/>
        <w:rPr>
          <w:rFonts w:eastAsia="Calibri"/>
          <w:bCs/>
          <w:szCs w:val="28"/>
          <w:lang w:val="es-ES_tradnl"/>
        </w:rPr>
      </w:pPr>
    </w:p>
    <w:p w14:paraId="1E8AC55D" w14:textId="77777777" w:rsidR="009B1A8E" w:rsidRPr="00BB172C" w:rsidRDefault="009B1A8E" w:rsidP="009B1A8E">
      <w:pPr>
        <w:ind w:right="49"/>
        <w:jc w:val="both"/>
        <w:rPr>
          <w:rFonts w:eastAsia="Calibri"/>
          <w:bCs/>
          <w:szCs w:val="28"/>
          <w:lang w:val="es-ES_tradnl"/>
        </w:rPr>
      </w:pPr>
      <w:r w:rsidRPr="00BB172C">
        <w:rPr>
          <w:rFonts w:eastAsia="Calibri"/>
          <w:b/>
          <w:szCs w:val="28"/>
          <w:lang w:val="es-ES_tradnl"/>
        </w:rPr>
        <w:t>(</w:t>
      </w:r>
      <w:r w:rsidR="005E4471" w:rsidRPr="00BB172C">
        <w:rPr>
          <w:rFonts w:eastAsia="Calibri"/>
          <w:b/>
          <w:szCs w:val="28"/>
          <w:lang w:val="es-ES_tradnl"/>
        </w:rPr>
        <w:t>b</w:t>
      </w:r>
      <w:r w:rsidRPr="00BB172C">
        <w:rPr>
          <w:rFonts w:eastAsia="Calibri"/>
          <w:b/>
          <w:szCs w:val="28"/>
          <w:lang w:val="es-ES_tradnl"/>
        </w:rPr>
        <w:t>)</w:t>
      </w:r>
      <w:r w:rsidRPr="00BB172C">
        <w:rPr>
          <w:rFonts w:eastAsia="Calibri"/>
          <w:bCs/>
          <w:szCs w:val="28"/>
          <w:lang w:val="es-ES_tradnl"/>
        </w:rPr>
        <w:t xml:space="preserve"> La necesidad de atribuir la solución de esta clase de controversias a una autoridad judicial independiente, que no forma parte de la jurisdicción ordinaria ni de la contenciosa administrativa</w:t>
      </w:r>
      <w:r w:rsidRPr="00BB172C">
        <w:rPr>
          <w:rStyle w:val="Refdenotaalpie"/>
          <w:rFonts w:eastAsia="Calibri"/>
          <w:bCs/>
          <w:szCs w:val="28"/>
          <w:lang w:val="es-ES_tradnl"/>
        </w:rPr>
        <w:footnoteReference w:id="122"/>
      </w:r>
      <w:r w:rsidRPr="00BB172C">
        <w:rPr>
          <w:rFonts w:eastAsia="Calibri"/>
          <w:bCs/>
          <w:szCs w:val="28"/>
          <w:lang w:val="es-ES_tradnl"/>
        </w:rPr>
        <w:t>.</w:t>
      </w:r>
    </w:p>
    <w:p w14:paraId="4CC23443" w14:textId="77777777" w:rsidR="009B1A8E" w:rsidRPr="00BB172C" w:rsidRDefault="009B1A8E" w:rsidP="009B1A8E">
      <w:pPr>
        <w:ind w:right="49"/>
        <w:jc w:val="both"/>
        <w:rPr>
          <w:rFonts w:eastAsia="Calibri"/>
          <w:bCs/>
          <w:szCs w:val="28"/>
          <w:lang w:val="es-ES_tradnl"/>
        </w:rPr>
      </w:pPr>
    </w:p>
    <w:p w14:paraId="515BC003" w14:textId="77777777" w:rsidR="009B1A8E" w:rsidRPr="00BB172C" w:rsidRDefault="009B1A8E" w:rsidP="00044F30">
      <w:pPr>
        <w:pStyle w:val="Prrafodelista"/>
        <w:numPr>
          <w:ilvl w:val="0"/>
          <w:numId w:val="10"/>
        </w:numPr>
        <w:ind w:right="49"/>
        <w:contextualSpacing/>
        <w:jc w:val="both"/>
        <w:rPr>
          <w:rFonts w:eastAsia="Calibri"/>
          <w:bCs/>
          <w:szCs w:val="28"/>
          <w:lang w:val="es-ES_tradnl"/>
        </w:rPr>
      </w:pPr>
      <w:r w:rsidRPr="00BB172C">
        <w:rPr>
          <w:rFonts w:eastAsia="Calibri"/>
          <w:bCs/>
          <w:szCs w:val="28"/>
          <w:lang w:val="es-ES_tradnl"/>
        </w:rPr>
        <w:t xml:space="preserve">Pese a lo anterior, dicha función </w:t>
      </w:r>
      <w:r w:rsidRPr="00BB172C">
        <w:rPr>
          <w:rFonts w:eastAsia="Calibri"/>
          <w:b/>
          <w:i/>
          <w:iCs/>
          <w:szCs w:val="28"/>
          <w:lang w:val="es-ES_tradnl"/>
        </w:rPr>
        <w:t>no ha podido ser plenamente ejercida por la Corte Constitucional</w:t>
      </w:r>
      <w:r w:rsidRPr="00BB172C">
        <w:rPr>
          <w:rStyle w:val="Refdenotaalpie"/>
          <w:rFonts w:eastAsia="Calibri"/>
          <w:bCs/>
          <w:szCs w:val="28"/>
          <w:lang w:val="es-ES_tradnl"/>
        </w:rPr>
        <w:footnoteReference w:id="123"/>
      </w:r>
      <w:r w:rsidRPr="00BB172C">
        <w:rPr>
          <w:rFonts w:eastAsia="Calibri"/>
          <w:bCs/>
          <w:szCs w:val="28"/>
          <w:lang w:val="es-ES_tradnl"/>
        </w:rPr>
        <w:t xml:space="preserve">, por cuanto la posibilidad de asumir las competencias que, en su momento, estaban atribuidas a la Sala Jurisdiccional Disciplinaria del Consejo Superior de la Judicatura, </w:t>
      </w:r>
      <w:r w:rsidRPr="00BB172C">
        <w:rPr>
          <w:rFonts w:eastAsia="Calibri"/>
          <w:b/>
          <w:i/>
          <w:iCs/>
          <w:szCs w:val="28"/>
          <w:lang w:val="es-ES_tradnl"/>
        </w:rPr>
        <w:t>depende de la entrada en funcionamiento de la Comisión Nacional de Disciplina Judicial</w:t>
      </w:r>
      <w:r w:rsidRPr="00BB172C">
        <w:rPr>
          <w:rFonts w:eastAsia="Calibri"/>
          <w:bCs/>
          <w:szCs w:val="28"/>
          <w:lang w:val="es-ES_tradnl"/>
        </w:rPr>
        <w:t xml:space="preserve">.  </w:t>
      </w:r>
    </w:p>
    <w:p w14:paraId="47E20C7B" w14:textId="77777777" w:rsidR="009B1A8E" w:rsidRPr="00BB172C" w:rsidRDefault="009B1A8E" w:rsidP="009B1A8E">
      <w:pPr>
        <w:pStyle w:val="Prrafodelista"/>
        <w:ind w:left="0" w:right="49"/>
        <w:jc w:val="both"/>
        <w:rPr>
          <w:rFonts w:eastAsia="Calibri"/>
          <w:bCs/>
          <w:szCs w:val="28"/>
          <w:lang w:val="es-ES_tradnl"/>
        </w:rPr>
      </w:pPr>
    </w:p>
    <w:p w14:paraId="460598E9" w14:textId="77777777" w:rsidR="009B1A8E" w:rsidRPr="00BB172C" w:rsidRDefault="009B1A8E" w:rsidP="009B1A8E">
      <w:pPr>
        <w:pStyle w:val="Prrafodelista"/>
        <w:ind w:left="0" w:right="49"/>
        <w:jc w:val="both"/>
        <w:rPr>
          <w:rFonts w:eastAsia="Calibri"/>
          <w:bCs/>
          <w:szCs w:val="28"/>
          <w:lang w:val="es-ES_tradnl"/>
        </w:rPr>
      </w:pPr>
      <w:r w:rsidRPr="00BB172C">
        <w:rPr>
          <w:rFonts w:eastAsia="Calibri"/>
          <w:bCs/>
          <w:szCs w:val="28"/>
          <w:lang w:val="es-ES_tradnl"/>
        </w:rPr>
        <w:t>En efecto, el parágrafo transitorio 1° del artículo 19 del Acto Legislativo 02 de 2015 dispone que “</w:t>
      </w:r>
      <w:r w:rsidRPr="00BB172C">
        <w:rPr>
          <w:rFonts w:eastAsia="Calibri"/>
          <w:bCs/>
          <w:i/>
          <w:iCs/>
          <w:szCs w:val="28"/>
          <w:lang w:val="es-ES_tradnl"/>
        </w:rPr>
        <w:t>[l]os actuales Magistrados de la Sala Jurisdiccional Disciplinaria del Consejo Superior de la Judicatura, ejercerán sus funciones hasta el día que se posesionen los miembros de la Comisión Nacional de Disciplina Judicial</w:t>
      </w:r>
      <w:r w:rsidRPr="00BB172C">
        <w:rPr>
          <w:rFonts w:eastAsia="Calibri"/>
          <w:bCs/>
          <w:szCs w:val="28"/>
          <w:lang w:val="es-ES_tradnl"/>
        </w:rPr>
        <w:t xml:space="preserve">”. </w:t>
      </w:r>
    </w:p>
    <w:p w14:paraId="5FC7EE65" w14:textId="77777777" w:rsidR="009B1A8E" w:rsidRPr="00BB172C" w:rsidRDefault="009B1A8E" w:rsidP="009B1A8E">
      <w:pPr>
        <w:pStyle w:val="Prrafodelista"/>
        <w:ind w:left="0" w:right="49"/>
        <w:jc w:val="both"/>
        <w:rPr>
          <w:rFonts w:eastAsia="Calibri"/>
          <w:bCs/>
          <w:szCs w:val="28"/>
          <w:lang w:val="es-ES_tradnl"/>
        </w:rPr>
      </w:pPr>
    </w:p>
    <w:p w14:paraId="14118B09" w14:textId="77777777" w:rsidR="009B1A8E" w:rsidRPr="00BB172C" w:rsidRDefault="009B1A8E" w:rsidP="009B1A8E">
      <w:pPr>
        <w:pStyle w:val="Prrafodelista"/>
        <w:ind w:left="0" w:right="49"/>
        <w:jc w:val="both"/>
        <w:rPr>
          <w:rFonts w:eastAsia="Calibri"/>
          <w:bCs/>
          <w:szCs w:val="28"/>
          <w:lang w:val="es-ES_tradnl"/>
        </w:rPr>
      </w:pPr>
      <w:r w:rsidRPr="00BB172C">
        <w:rPr>
          <w:rFonts w:eastAsia="Calibri"/>
          <w:bCs/>
          <w:szCs w:val="28"/>
          <w:lang w:val="es-ES_tradnl"/>
        </w:rPr>
        <w:t xml:space="preserve">De este modo, </w:t>
      </w:r>
      <w:r w:rsidRPr="00BB172C">
        <w:rPr>
          <w:rFonts w:eastAsia="Calibri"/>
          <w:bCs/>
          <w:szCs w:val="28"/>
        </w:rPr>
        <w:t xml:space="preserve">mediante </w:t>
      </w:r>
      <w:r w:rsidRPr="00BB172C">
        <w:rPr>
          <w:rFonts w:eastAsia="Calibri"/>
          <w:b/>
          <w:bCs/>
          <w:szCs w:val="28"/>
          <w:lang w:val="es-ES_tradnl"/>
        </w:rPr>
        <w:t>Auto 278 de 2015</w:t>
      </w:r>
      <w:r w:rsidRPr="00BB172C">
        <w:rPr>
          <w:rFonts w:eastAsia="Calibri"/>
          <w:bCs/>
          <w:szCs w:val="28"/>
          <w:vertAlign w:val="superscript"/>
          <w:lang w:val="es-ES_tradnl"/>
        </w:rPr>
        <w:footnoteReference w:id="124"/>
      </w:r>
      <w:r w:rsidRPr="00BB172C">
        <w:rPr>
          <w:rFonts w:eastAsia="Calibri"/>
          <w:bCs/>
          <w:szCs w:val="28"/>
          <w:lang w:val="es-ES_tradnl"/>
        </w:rPr>
        <w:t>, este Tribunal interpretó el alcance de la citada norma constitucional y concluyó que su competencia para resolver conflictos de jurisdicción únicamente podrá ejercerse a partir del momento en que desaparezca la Sala Jurisdiccional Disciplinaria del Consejo Superior de la Judicatura, en razón de la posesión de los magistrados que conformen la C</w:t>
      </w:r>
      <w:r w:rsidR="00BB172C">
        <w:rPr>
          <w:rFonts w:eastAsia="Calibri"/>
          <w:bCs/>
          <w:szCs w:val="28"/>
          <w:lang w:val="es-ES_tradnl"/>
        </w:rPr>
        <w:t>NDJ</w:t>
      </w:r>
      <w:r w:rsidRPr="00BB172C">
        <w:rPr>
          <w:rStyle w:val="Refdenotaalpie"/>
          <w:rFonts w:eastAsia="Calibri"/>
          <w:bCs/>
          <w:szCs w:val="28"/>
          <w:lang w:val="es-ES_tradnl"/>
        </w:rPr>
        <w:footnoteReference w:id="125"/>
      </w:r>
      <w:r w:rsidRPr="00BB172C">
        <w:rPr>
          <w:rFonts w:eastAsia="Calibri"/>
          <w:bCs/>
          <w:szCs w:val="28"/>
          <w:lang w:val="es-ES_tradnl"/>
        </w:rPr>
        <w:t>.</w:t>
      </w:r>
    </w:p>
    <w:p w14:paraId="000F92CB" w14:textId="77777777" w:rsidR="009B1A8E" w:rsidRPr="00BB172C" w:rsidRDefault="009B1A8E" w:rsidP="009B1A8E">
      <w:pPr>
        <w:ind w:right="49"/>
        <w:jc w:val="both"/>
        <w:rPr>
          <w:rFonts w:eastAsia="Calibri"/>
          <w:bCs/>
          <w:szCs w:val="28"/>
          <w:lang w:val="es-CO"/>
        </w:rPr>
      </w:pPr>
    </w:p>
    <w:p w14:paraId="707F23E6" w14:textId="77777777" w:rsidR="009B1A8E" w:rsidRPr="00BB172C" w:rsidRDefault="009B1A8E" w:rsidP="00044F30">
      <w:pPr>
        <w:pStyle w:val="Prrafodelista"/>
        <w:numPr>
          <w:ilvl w:val="0"/>
          <w:numId w:val="10"/>
        </w:numPr>
        <w:ind w:right="49"/>
        <w:contextualSpacing/>
        <w:jc w:val="both"/>
        <w:rPr>
          <w:rFonts w:eastAsia="Calibri"/>
          <w:bCs/>
          <w:szCs w:val="28"/>
        </w:rPr>
      </w:pPr>
      <w:r w:rsidRPr="00BB172C">
        <w:rPr>
          <w:rFonts w:eastAsia="Calibri"/>
          <w:bCs/>
          <w:szCs w:val="28"/>
        </w:rPr>
        <w:lastRenderedPageBreak/>
        <w:t xml:space="preserve">En consecuencia, debido a la lectura de las normas constitucionales efectuada por el Consejo de Estado en la providencia objeto de la acción de tutela de la referencia, la Corte Constitucional no ha podido asumir las competencias otorgadas por el Acto Legislativo 02 de 2015 respecto de la resolución de los conflictos entre jurisdicciones, por cuanto el ejercicio de dicha atribución depende de la entrada en funcionamiento de la </w:t>
      </w:r>
      <w:r w:rsidR="00BB172C">
        <w:rPr>
          <w:rFonts w:eastAsia="Calibri"/>
          <w:bCs/>
          <w:szCs w:val="28"/>
        </w:rPr>
        <w:t>CNDJ</w:t>
      </w:r>
      <w:r w:rsidRPr="00BB172C">
        <w:rPr>
          <w:rFonts w:eastAsia="Calibri"/>
          <w:bCs/>
          <w:szCs w:val="28"/>
        </w:rPr>
        <w:t xml:space="preserve">. Luego, </w:t>
      </w:r>
      <w:r w:rsidR="004E448F" w:rsidRPr="00BB172C">
        <w:rPr>
          <w:rFonts w:eastAsia="Calibri"/>
          <w:bCs/>
          <w:szCs w:val="28"/>
        </w:rPr>
        <w:t xml:space="preserve">existe una relación entre la decisión del Consejo de Estado y </w:t>
      </w:r>
      <w:r w:rsidRPr="00BB172C">
        <w:rPr>
          <w:rFonts w:eastAsia="Calibri"/>
          <w:bCs/>
          <w:szCs w:val="28"/>
        </w:rPr>
        <w:t xml:space="preserve">la parálisis funcional de una competencia directamente asignada por la Constitución a </w:t>
      </w:r>
      <w:r w:rsidR="00BB172C">
        <w:rPr>
          <w:rFonts w:eastAsia="Calibri"/>
          <w:bCs/>
          <w:szCs w:val="28"/>
        </w:rPr>
        <w:t>esta Corporación</w:t>
      </w:r>
      <w:r w:rsidRPr="00BB172C">
        <w:rPr>
          <w:rFonts w:eastAsia="Calibri"/>
          <w:bCs/>
          <w:szCs w:val="28"/>
        </w:rPr>
        <w:t xml:space="preserve">, lo cual condujo a un bloqueo institucional </w:t>
      </w:r>
      <w:r w:rsidR="00A45F6D">
        <w:rPr>
          <w:rFonts w:eastAsia="Calibri"/>
          <w:bCs/>
          <w:szCs w:val="28"/>
        </w:rPr>
        <w:t>in</w:t>
      </w:r>
      <w:r w:rsidRPr="00BB172C">
        <w:rPr>
          <w:rFonts w:eastAsia="Calibri"/>
          <w:bCs/>
          <w:szCs w:val="28"/>
        </w:rPr>
        <w:t>constitucional.</w:t>
      </w:r>
    </w:p>
    <w:p w14:paraId="58912A90" w14:textId="77777777" w:rsidR="009B1A8E" w:rsidRPr="007D442B" w:rsidRDefault="009B1A8E" w:rsidP="009B1A8E">
      <w:pPr>
        <w:pStyle w:val="Prrafodelista"/>
        <w:ind w:left="0" w:right="49"/>
        <w:jc w:val="both"/>
        <w:rPr>
          <w:rFonts w:eastAsia="Calibri"/>
          <w:bCs/>
          <w:szCs w:val="28"/>
          <w:highlight w:val="lightGray"/>
        </w:rPr>
      </w:pPr>
    </w:p>
    <w:p w14:paraId="541AAF1A" w14:textId="77777777" w:rsidR="009B1A8E" w:rsidRPr="00BB172C" w:rsidRDefault="005E4471" w:rsidP="005E4471">
      <w:pPr>
        <w:pStyle w:val="Prrafodelista"/>
        <w:tabs>
          <w:tab w:val="left" w:pos="426"/>
        </w:tabs>
        <w:ind w:left="0" w:right="49"/>
        <w:jc w:val="both"/>
        <w:rPr>
          <w:rFonts w:eastAsia="Calibri"/>
          <w:b/>
          <w:szCs w:val="28"/>
        </w:rPr>
      </w:pPr>
      <w:r w:rsidRPr="00BB172C">
        <w:rPr>
          <w:rFonts w:eastAsia="Calibri"/>
          <w:b/>
          <w:i/>
          <w:iCs/>
          <w:szCs w:val="28"/>
        </w:rPr>
        <w:t xml:space="preserve">(iv) </w:t>
      </w:r>
      <w:r w:rsidR="009B1A8E" w:rsidRPr="00BB172C">
        <w:rPr>
          <w:rFonts w:eastAsia="Calibri"/>
          <w:b/>
          <w:i/>
          <w:iCs/>
          <w:szCs w:val="28"/>
        </w:rPr>
        <w:t>La interpretación del Consejo de Estado produjo un bloqueo institucional porque condujo a resultados abiertamente inconstitucionales, al ocasionar que Magistrados de la Sala Jurisdiccional Disciplinaria se mantengan en sus cargos por períodos superiores a ocho años</w:t>
      </w:r>
    </w:p>
    <w:p w14:paraId="1EBC5BA7" w14:textId="77777777" w:rsidR="009B1A8E" w:rsidRPr="00BB172C" w:rsidRDefault="009B1A8E" w:rsidP="009B1A8E">
      <w:pPr>
        <w:ind w:right="49"/>
        <w:jc w:val="both"/>
        <w:rPr>
          <w:rFonts w:eastAsia="Calibri"/>
          <w:bCs/>
          <w:szCs w:val="28"/>
        </w:rPr>
      </w:pPr>
    </w:p>
    <w:p w14:paraId="3B14DC07" w14:textId="77777777" w:rsidR="009B1A8E" w:rsidRPr="00BB172C" w:rsidRDefault="009B1A8E" w:rsidP="00044F30">
      <w:pPr>
        <w:pStyle w:val="Prrafodelista"/>
        <w:numPr>
          <w:ilvl w:val="0"/>
          <w:numId w:val="10"/>
        </w:numPr>
        <w:ind w:right="49"/>
        <w:contextualSpacing/>
        <w:jc w:val="both"/>
        <w:rPr>
          <w:rFonts w:eastAsia="Calibri"/>
          <w:bCs/>
          <w:szCs w:val="28"/>
        </w:rPr>
      </w:pPr>
      <w:r w:rsidRPr="00BB172C">
        <w:rPr>
          <w:rFonts w:eastAsia="Calibri"/>
          <w:bCs/>
          <w:szCs w:val="28"/>
        </w:rPr>
        <w:t>El diseño constitucional actual establece que los períodos de los Magistrados, tanto del Consejo Superior de la Judicatura</w:t>
      </w:r>
      <w:r w:rsidRPr="00BB172C">
        <w:rPr>
          <w:rStyle w:val="Refdenotaalpie"/>
          <w:rFonts w:eastAsia="Calibri"/>
          <w:bCs/>
          <w:szCs w:val="28"/>
        </w:rPr>
        <w:footnoteReference w:id="126"/>
      </w:r>
      <w:r w:rsidRPr="00BB172C">
        <w:rPr>
          <w:rFonts w:eastAsia="Calibri"/>
          <w:bCs/>
          <w:szCs w:val="28"/>
        </w:rPr>
        <w:t xml:space="preserve"> como de las demás Altas Cortes que integran la Rama Judicial</w:t>
      </w:r>
      <w:r w:rsidRPr="00BB172C">
        <w:rPr>
          <w:rStyle w:val="Refdenotaalpie"/>
          <w:rFonts w:eastAsia="Calibri"/>
          <w:bCs/>
          <w:szCs w:val="28"/>
        </w:rPr>
        <w:footnoteReference w:id="127"/>
      </w:r>
      <w:r w:rsidRPr="00BB172C">
        <w:rPr>
          <w:rFonts w:eastAsia="Calibri"/>
          <w:bCs/>
          <w:szCs w:val="28"/>
        </w:rPr>
        <w:t>, tiene una duración</w:t>
      </w:r>
      <w:r w:rsidR="00BB172C">
        <w:rPr>
          <w:rFonts w:eastAsia="Calibri"/>
          <w:bCs/>
          <w:szCs w:val="28"/>
        </w:rPr>
        <w:t xml:space="preserve"> perentoria</w:t>
      </w:r>
      <w:r w:rsidRPr="00BB172C">
        <w:rPr>
          <w:rFonts w:eastAsia="Calibri"/>
          <w:bCs/>
          <w:szCs w:val="28"/>
        </w:rPr>
        <w:t xml:space="preserve"> de ocho años</w:t>
      </w:r>
      <w:r w:rsidR="00BB172C">
        <w:rPr>
          <w:rFonts w:eastAsia="Calibri"/>
          <w:bCs/>
          <w:szCs w:val="28"/>
        </w:rPr>
        <w:t>, contados desde el momento de la posesión del servidor judicial</w:t>
      </w:r>
      <w:r w:rsidRPr="00BB172C">
        <w:rPr>
          <w:rFonts w:eastAsia="Calibri"/>
          <w:bCs/>
          <w:szCs w:val="28"/>
        </w:rPr>
        <w:t xml:space="preserve">. </w:t>
      </w:r>
    </w:p>
    <w:p w14:paraId="2A49C186" w14:textId="77777777" w:rsidR="009B1A8E" w:rsidRPr="00BB172C" w:rsidRDefault="009B1A8E" w:rsidP="009B1A8E">
      <w:pPr>
        <w:pStyle w:val="Prrafodelista"/>
        <w:ind w:left="0" w:right="49"/>
        <w:jc w:val="both"/>
        <w:rPr>
          <w:rFonts w:eastAsia="Calibri"/>
          <w:bCs/>
          <w:szCs w:val="28"/>
        </w:rPr>
      </w:pPr>
    </w:p>
    <w:p w14:paraId="6A92085F" w14:textId="77777777" w:rsidR="009B1A8E" w:rsidRPr="00BB172C" w:rsidRDefault="009B1A8E" w:rsidP="009B1A8E">
      <w:pPr>
        <w:pStyle w:val="Prrafodelista"/>
        <w:ind w:left="0" w:right="49"/>
        <w:jc w:val="both"/>
        <w:rPr>
          <w:rFonts w:eastAsia="Calibri"/>
          <w:bCs/>
          <w:szCs w:val="28"/>
        </w:rPr>
      </w:pPr>
      <w:r w:rsidRPr="00BB172C">
        <w:rPr>
          <w:rFonts w:eastAsia="Calibri"/>
          <w:bCs/>
          <w:szCs w:val="28"/>
        </w:rPr>
        <w:t>En este sentido, de conformidad con la jurisprudencia de esta Corporación, la configuración de los períodos constitucionales tiene efectos en la garantía de varios principios constitucionales, dado que: (i) la duración del período constituye una garantía institucional de independencia e imparcialidad para los Magistrados</w:t>
      </w:r>
      <w:r w:rsidRPr="00BB172C">
        <w:rPr>
          <w:rStyle w:val="Refdenotaalpie"/>
          <w:rFonts w:eastAsia="Calibri"/>
          <w:bCs/>
          <w:szCs w:val="28"/>
        </w:rPr>
        <w:footnoteReference w:id="128"/>
      </w:r>
      <w:r w:rsidRPr="00BB172C">
        <w:rPr>
          <w:rFonts w:eastAsia="Calibri"/>
          <w:bCs/>
          <w:szCs w:val="28"/>
        </w:rPr>
        <w:t xml:space="preserve">; y (ii) tiene incidencia en la separación de poderes, pues afecta el sistema de frenos y contrapesos y los controles </w:t>
      </w:r>
      <w:r w:rsidR="00BB172C">
        <w:rPr>
          <w:rFonts w:eastAsia="Calibri"/>
          <w:bCs/>
          <w:szCs w:val="28"/>
        </w:rPr>
        <w:t>i</w:t>
      </w:r>
      <w:r w:rsidR="005E4471" w:rsidRPr="00BB172C">
        <w:rPr>
          <w:rFonts w:eastAsia="Calibri"/>
          <w:bCs/>
          <w:szCs w:val="28"/>
        </w:rPr>
        <w:t>nterorgánicos</w:t>
      </w:r>
      <w:r w:rsidRPr="00BB172C">
        <w:rPr>
          <w:rFonts w:eastAsia="Calibri"/>
          <w:bCs/>
          <w:szCs w:val="28"/>
        </w:rPr>
        <w:t xml:space="preserve"> recíprocos, previstos por la Carta</w:t>
      </w:r>
      <w:r w:rsidRPr="00BB172C">
        <w:rPr>
          <w:rStyle w:val="Refdenotaalpie"/>
          <w:rFonts w:eastAsia="Calibri"/>
          <w:bCs/>
          <w:szCs w:val="28"/>
        </w:rPr>
        <w:footnoteReference w:id="129"/>
      </w:r>
      <w:r w:rsidRPr="00BB172C">
        <w:rPr>
          <w:rFonts w:eastAsia="Calibri"/>
          <w:bCs/>
          <w:szCs w:val="28"/>
        </w:rPr>
        <w:t>.</w:t>
      </w:r>
    </w:p>
    <w:p w14:paraId="7F58046B" w14:textId="77777777" w:rsidR="009B1A8E" w:rsidRPr="00BB172C" w:rsidRDefault="009B1A8E" w:rsidP="009B1A8E">
      <w:pPr>
        <w:pStyle w:val="Prrafodelista"/>
        <w:ind w:left="0" w:right="49"/>
        <w:jc w:val="both"/>
        <w:rPr>
          <w:rFonts w:eastAsia="Calibri"/>
          <w:bCs/>
          <w:szCs w:val="28"/>
        </w:rPr>
      </w:pPr>
    </w:p>
    <w:p w14:paraId="6EAE69E4" w14:textId="77777777" w:rsidR="009B1A8E" w:rsidRDefault="009B1A8E" w:rsidP="00044F30">
      <w:pPr>
        <w:pStyle w:val="Prrafodelista"/>
        <w:numPr>
          <w:ilvl w:val="0"/>
          <w:numId w:val="10"/>
        </w:numPr>
        <w:ind w:right="49"/>
        <w:contextualSpacing/>
        <w:jc w:val="both"/>
        <w:rPr>
          <w:rFonts w:eastAsia="Calibri"/>
          <w:bCs/>
          <w:szCs w:val="28"/>
        </w:rPr>
      </w:pPr>
      <w:r w:rsidRPr="00BB172C">
        <w:rPr>
          <w:rFonts w:eastAsia="Calibri"/>
          <w:bCs/>
          <w:szCs w:val="28"/>
        </w:rPr>
        <w:t xml:space="preserve">En razón de lo anterior, la Sala advierte que, en el esquema constitucional actual, los períodos de los Magistrados de las Altas Cortes tienen un término de duración de ocho años contados a partir de su posesión, los cuales son improrrogables e inaplazables. Adicionalmente, al tratarse de </w:t>
      </w:r>
      <w:r w:rsidRPr="00BB172C">
        <w:rPr>
          <w:rFonts w:eastAsia="Calibri"/>
          <w:b/>
          <w:szCs w:val="28"/>
        </w:rPr>
        <w:t>períodos constitucionales individuales</w:t>
      </w:r>
      <w:r w:rsidRPr="00BB172C">
        <w:rPr>
          <w:rFonts w:eastAsia="Calibri"/>
          <w:bCs/>
          <w:szCs w:val="28"/>
        </w:rPr>
        <w:t>, la Constitución no prevé la extensión de los mismos por la existencia de vacantes o por ausencia de nombramiento de los funcionarios respectivos</w:t>
      </w:r>
      <w:r w:rsidR="00BB172C">
        <w:rPr>
          <w:rFonts w:eastAsia="Calibri"/>
          <w:bCs/>
          <w:szCs w:val="28"/>
        </w:rPr>
        <w:t xml:space="preserve"> o por razones personales o institucionales</w:t>
      </w:r>
      <w:r w:rsidRPr="00BB172C">
        <w:rPr>
          <w:rFonts w:eastAsia="Calibri"/>
          <w:bCs/>
          <w:szCs w:val="28"/>
        </w:rPr>
        <w:t>.</w:t>
      </w:r>
    </w:p>
    <w:p w14:paraId="342134C2" w14:textId="77777777" w:rsidR="001070F7" w:rsidRDefault="001070F7" w:rsidP="001070F7">
      <w:pPr>
        <w:pStyle w:val="Prrafodelista"/>
        <w:ind w:left="0" w:right="49"/>
        <w:contextualSpacing/>
        <w:jc w:val="both"/>
        <w:rPr>
          <w:rFonts w:eastAsia="Calibri"/>
          <w:bCs/>
          <w:szCs w:val="28"/>
        </w:rPr>
      </w:pPr>
    </w:p>
    <w:p w14:paraId="78F1C3B9" w14:textId="77777777" w:rsidR="009B1A8E" w:rsidRPr="00BB172C" w:rsidRDefault="009B1A8E" w:rsidP="007D442B">
      <w:pPr>
        <w:pStyle w:val="Prrafodelista"/>
        <w:numPr>
          <w:ilvl w:val="0"/>
          <w:numId w:val="10"/>
        </w:numPr>
        <w:ind w:right="51"/>
        <w:jc w:val="both"/>
        <w:rPr>
          <w:rFonts w:eastAsia="Calibri"/>
          <w:b/>
          <w:bCs/>
          <w:sz w:val="24"/>
          <w:szCs w:val="24"/>
          <w:lang w:eastAsia="en-US"/>
        </w:rPr>
      </w:pPr>
      <w:r w:rsidRPr="00BB172C">
        <w:rPr>
          <w:rFonts w:eastAsia="Calibri"/>
          <w:bCs/>
          <w:szCs w:val="28"/>
        </w:rPr>
        <w:t>En consecuencia, la</w:t>
      </w:r>
      <w:r w:rsidR="00543482" w:rsidRPr="00BB172C">
        <w:rPr>
          <w:rFonts w:eastAsia="Calibri"/>
          <w:bCs/>
          <w:szCs w:val="28"/>
        </w:rPr>
        <w:t xml:space="preserve"> interpretación de</w:t>
      </w:r>
      <w:r w:rsidR="007D442B" w:rsidRPr="00BB172C">
        <w:rPr>
          <w:rFonts w:eastAsia="Calibri"/>
          <w:bCs/>
          <w:szCs w:val="28"/>
        </w:rPr>
        <w:t xml:space="preserve"> la</w:t>
      </w:r>
      <w:r w:rsidRPr="00BB172C">
        <w:rPr>
          <w:rFonts w:eastAsia="Calibri"/>
          <w:bCs/>
          <w:szCs w:val="28"/>
        </w:rPr>
        <w:t xml:space="preserve"> providencia objeto de la presente acción de tutela desencadenó un bloqueo institucional </w:t>
      </w:r>
      <w:r w:rsidR="00A45F6D">
        <w:rPr>
          <w:rFonts w:eastAsia="Calibri"/>
          <w:bCs/>
          <w:szCs w:val="28"/>
        </w:rPr>
        <w:t>in</w:t>
      </w:r>
      <w:r w:rsidRPr="00BB172C">
        <w:rPr>
          <w:rFonts w:eastAsia="Calibri"/>
          <w:bCs/>
          <w:szCs w:val="28"/>
        </w:rPr>
        <w:t xml:space="preserve">constitucional, en </w:t>
      </w:r>
      <w:r w:rsidRPr="00BB172C">
        <w:rPr>
          <w:rFonts w:eastAsia="Calibri"/>
          <w:bCs/>
          <w:szCs w:val="28"/>
        </w:rPr>
        <w:lastRenderedPageBreak/>
        <w:t xml:space="preserve">tanto </w:t>
      </w:r>
      <w:r w:rsidR="00543482" w:rsidRPr="00BB172C">
        <w:rPr>
          <w:rFonts w:eastAsia="Calibri"/>
          <w:bCs/>
          <w:szCs w:val="28"/>
        </w:rPr>
        <w:t xml:space="preserve">que favoreció </w:t>
      </w:r>
      <w:r w:rsidRPr="00BB172C">
        <w:rPr>
          <w:rFonts w:eastAsia="Calibri"/>
          <w:bCs/>
          <w:szCs w:val="28"/>
        </w:rPr>
        <w:t>que los períodos de algunos Magistrados se extendieran más allá del término previsto constitucionalmente</w:t>
      </w:r>
      <w:r w:rsidR="001070F7">
        <w:rPr>
          <w:rFonts w:eastAsia="Calibri"/>
          <w:bCs/>
          <w:szCs w:val="28"/>
        </w:rPr>
        <w:t>, puesto que para esta Corporación la contradicción de la regla constitucional prevista para el período de los magistrados vulnera la Constitución. Por consiguiente, toda ampliación del período de los magistrados de las altas Cortes es inconstitucional.</w:t>
      </w:r>
    </w:p>
    <w:p w14:paraId="6DEE9AD2" w14:textId="77777777" w:rsidR="007D442B" w:rsidRDefault="007D442B" w:rsidP="001070F7">
      <w:pPr>
        <w:pStyle w:val="Prrafodelista"/>
        <w:ind w:left="0"/>
        <w:rPr>
          <w:rFonts w:eastAsia="Calibri"/>
          <w:b/>
          <w:bCs/>
          <w:sz w:val="24"/>
          <w:szCs w:val="24"/>
          <w:lang w:eastAsia="en-US"/>
        </w:rPr>
      </w:pPr>
    </w:p>
    <w:p w14:paraId="75B66BFD" w14:textId="77777777" w:rsidR="001070F7" w:rsidRPr="001070F7" w:rsidRDefault="001070F7" w:rsidP="001070F7">
      <w:pPr>
        <w:shd w:val="clear" w:color="auto" w:fill="FFFFFF"/>
        <w:ind w:right="49"/>
        <w:jc w:val="both"/>
        <w:textAlignment w:val="baseline"/>
        <w:rPr>
          <w:rFonts w:eastAsia="Calibri"/>
          <w:b/>
          <w:bCs/>
          <w:i/>
          <w:iCs/>
          <w:szCs w:val="28"/>
          <w:lang w:val="es-CO" w:eastAsia="en-US"/>
        </w:rPr>
      </w:pPr>
      <w:r w:rsidRPr="001070F7">
        <w:rPr>
          <w:rFonts w:eastAsia="Calibri"/>
          <w:b/>
          <w:bCs/>
          <w:i/>
          <w:iCs/>
          <w:szCs w:val="28"/>
          <w:lang w:val="es-CO" w:eastAsia="en-US"/>
        </w:rPr>
        <w:t> (v) La interpretación del Consejo de Estado exigió para muchos la expedición de una ley estatutaria para la conformación de la nueva institucionalidad, en contravía a lo dispuesto en el artículo 257A de la Constitución. </w:t>
      </w:r>
    </w:p>
    <w:p w14:paraId="7259B2EE" w14:textId="77777777" w:rsidR="001070F7" w:rsidRPr="001070F7" w:rsidRDefault="001070F7" w:rsidP="001070F7">
      <w:pPr>
        <w:shd w:val="clear" w:color="auto" w:fill="FFFFFF"/>
        <w:ind w:right="49"/>
        <w:jc w:val="both"/>
        <w:textAlignment w:val="baseline"/>
        <w:rPr>
          <w:rFonts w:eastAsia="Calibri"/>
          <w:szCs w:val="28"/>
          <w:lang w:val="es-CO" w:eastAsia="en-US"/>
        </w:rPr>
      </w:pPr>
    </w:p>
    <w:p w14:paraId="7632558F" w14:textId="77777777" w:rsidR="001070F7" w:rsidRPr="001070F7" w:rsidRDefault="001070F7" w:rsidP="001070F7">
      <w:pPr>
        <w:shd w:val="clear" w:color="auto" w:fill="FFFFFF"/>
        <w:ind w:right="49"/>
        <w:jc w:val="both"/>
        <w:textAlignment w:val="baseline"/>
        <w:rPr>
          <w:rFonts w:eastAsia="Calibri"/>
          <w:szCs w:val="28"/>
          <w:lang w:val="es-CO" w:eastAsia="en-US"/>
        </w:rPr>
      </w:pPr>
      <w:r w:rsidRPr="001070F7">
        <w:rPr>
          <w:rFonts w:eastAsia="Calibri"/>
          <w:szCs w:val="28"/>
          <w:lang w:val="es-CO" w:eastAsia="en-US"/>
        </w:rPr>
        <w:t xml:space="preserve">Como ya se especificó, la sentencia del Consejo de Estado ha sido interpretada por distintas autoridades, dada la ambigüedad de la providencia, bajo la idea de que es únicamente a través de ley estatutaria que debe regularse la convocatoria pública reglada. Eso supone que para la conformación de la nueva institucionalidad se entendió por muchas de las autoridades involucradas, que era necesaria la expedición de una ley estatutaria, en contravía con lo dispuesto en el artículo 257A de la Constitución. </w:t>
      </w:r>
    </w:p>
    <w:p w14:paraId="04094DF5" w14:textId="77777777" w:rsidR="001070F7" w:rsidRDefault="001070F7" w:rsidP="001070F7">
      <w:pPr>
        <w:shd w:val="clear" w:color="auto" w:fill="FFFFFF"/>
        <w:ind w:right="49"/>
        <w:jc w:val="both"/>
        <w:textAlignment w:val="baseline"/>
        <w:rPr>
          <w:color w:val="201F1E"/>
          <w:szCs w:val="28"/>
          <w:bdr w:val="none" w:sz="0" w:space="0" w:color="auto" w:frame="1"/>
          <w:shd w:val="clear" w:color="auto" w:fill="C0C0C0"/>
          <w:lang w:eastAsia="es-CO"/>
        </w:rPr>
      </w:pPr>
    </w:p>
    <w:p w14:paraId="74005EFB" w14:textId="77777777" w:rsidR="001070F7" w:rsidRPr="001070F7" w:rsidRDefault="001070F7" w:rsidP="001070F7">
      <w:pPr>
        <w:shd w:val="clear" w:color="auto" w:fill="FFFFFF"/>
        <w:ind w:right="49"/>
        <w:jc w:val="both"/>
        <w:textAlignment w:val="baseline"/>
        <w:rPr>
          <w:rFonts w:eastAsia="Calibri"/>
          <w:szCs w:val="28"/>
          <w:lang w:val="es-CO" w:eastAsia="en-US"/>
        </w:rPr>
      </w:pPr>
      <w:r w:rsidRPr="001070F7">
        <w:rPr>
          <w:rFonts w:eastAsia="Calibri"/>
          <w:szCs w:val="28"/>
          <w:lang w:val="es-CO" w:eastAsia="en-US"/>
        </w:rPr>
        <w:t>En dicho artículo, se consagra textualmente que la designación de los miembros que conforman las ternas para el cargo de Magistrado de la Comisión Nacional de Disciplina Judicial, se haga mediante “convocatoria pública reglada”, pero a diferencia de múltiples normas constitucionales no establece que sea reglada por ley. De este modo, sea que se trate de regulación por medio de ley o a través de ley estatutaria, como parece decirlo la sentencia del 6 de febrero de 2018, se trata en todo caso de una exigencia no prevista, se insiste,  en el tenor literal del artículo 257A de la Carta. Lo que exige considerar procedente la tutela en este caso, ante el bloque institucional derivado de esta interpretación, que con ocasión de su separación de la norma constitucional y de su abierta ambigüedad, no ha contribuido a facilitar los avances necesarios para la consolidación de la CNDJ.</w:t>
      </w:r>
    </w:p>
    <w:p w14:paraId="4D48BF1D" w14:textId="77777777" w:rsidR="001070F7" w:rsidRPr="001070F7" w:rsidRDefault="001070F7" w:rsidP="001070F7">
      <w:pPr>
        <w:pStyle w:val="Prrafodelista"/>
        <w:ind w:left="0"/>
        <w:rPr>
          <w:rFonts w:eastAsia="Calibri"/>
          <w:b/>
          <w:bCs/>
          <w:sz w:val="24"/>
          <w:szCs w:val="24"/>
          <w:lang w:val="es-CO" w:eastAsia="en-US"/>
        </w:rPr>
      </w:pPr>
    </w:p>
    <w:p w14:paraId="7AD8A628" w14:textId="77777777" w:rsidR="007D442B" w:rsidRPr="00BB172C" w:rsidRDefault="00543482" w:rsidP="007D442B">
      <w:pPr>
        <w:pStyle w:val="Prrafodelista"/>
        <w:numPr>
          <w:ilvl w:val="0"/>
          <w:numId w:val="10"/>
        </w:numPr>
        <w:ind w:right="51"/>
        <w:jc w:val="both"/>
        <w:rPr>
          <w:rFonts w:eastAsia="Calibri"/>
          <w:b/>
          <w:bCs/>
          <w:sz w:val="24"/>
          <w:szCs w:val="24"/>
          <w:lang w:eastAsia="en-US"/>
        </w:rPr>
      </w:pPr>
      <w:r w:rsidRPr="00BB172C">
        <w:rPr>
          <w:rFonts w:eastAsia="Calibri"/>
          <w:szCs w:val="28"/>
          <w:lang w:val="es-CO" w:eastAsia="en-US"/>
        </w:rPr>
        <w:t xml:space="preserve">Las </w:t>
      </w:r>
      <w:r w:rsidR="007D442B" w:rsidRPr="00BB172C">
        <w:rPr>
          <w:rFonts w:eastAsia="Calibri"/>
          <w:szCs w:val="28"/>
          <w:lang w:val="es-CO" w:eastAsia="en-US"/>
        </w:rPr>
        <w:t xml:space="preserve">diferentes </w:t>
      </w:r>
      <w:r w:rsidRPr="00BB172C">
        <w:rPr>
          <w:rFonts w:eastAsia="Calibri"/>
          <w:szCs w:val="28"/>
          <w:lang w:val="es-CO" w:eastAsia="en-US"/>
        </w:rPr>
        <w:t>razones anteriores</w:t>
      </w:r>
      <w:r w:rsidR="007D442B" w:rsidRPr="00BB172C">
        <w:rPr>
          <w:rFonts w:eastAsia="Calibri"/>
          <w:szCs w:val="28"/>
          <w:lang w:val="es-CO" w:eastAsia="en-US"/>
        </w:rPr>
        <w:t>, en consecuencia,</w:t>
      </w:r>
      <w:r w:rsidRPr="00BB172C">
        <w:rPr>
          <w:rFonts w:eastAsia="Calibri"/>
          <w:szCs w:val="28"/>
          <w:lang w:val="es-CO" w:eastAsia="en-US"/>
        </w:rPr>
        <w:t xml:space="preserve"> llevan a la Sala a concluir que dada la </w:t>
      </w:r>
      <w:r w:rsidR="00FA6194" w:rsidRPr="00BB172C">
        <w:rPr>
          <w:rFonts w:eastAsia="Calibri"/>
          <w:szCs w:val="28"/>
          <w:lang w:val="es-CO" w:eastAsia="en-US"/>
        </w:rPr>
        <w:t>relevancia</w:t>
      </w:r>
      <w:r w:rsidRPr="00BB172C">
        <w:rPr>
          <w:rFonts w:eastAsia="Calibri"/>
          <w:szCs w:val="28"/>
          <w:lang w:val="es-CO" w:eastAsia="en-US"/>
        </w:rPr>
        <w:t xml:space="preserve"> constitucional que tiene </w:t>
      </w:r>
      <w:r w:rsidR="00FA6194" w:rsidRPr="00BB172C">
        <w:rPr>
          <w:rFonts w:eastAsia="Calibri"/>
          <w:szCs w:val="28"/>
          <w:lang w:val="es-CO" w:eastAsia="en-US"/>
        </w:rPr>
        <w:t>la decisión cuestionada</w:t>
      </w:r>
      <w:r w:rsidR="007D442B" w:rsidRPr="00BB172C">
        <w:rPr>
          <w:rFonts w:eastAsia="Calibri"/>
          <w:szCs w:val="28"/>
          <w:lang w:val="es-CO" w:eastAsia="en-US"/>
        </w:rPr>
        <w:t xml:space="preserve"> al </w:t>
      </w:r>
      <w:r w:rsidRPr="00BB172C">
        <w:rPr>
          <w:rFonts w:eastAsia="Calibri"/>
          <w:szCs w:val="28"/>
          <w:lang w:val="es-CO" w:eastAsia="en-US"/>
        </w:rPr>
        <w:t>plantea</w:t>
      </w:r>
      <w:r w:rsidR="007D442B" w:rsidRPr="00BB172C">
        <w:rPr>
          <w:rFonts w:eastAsia="Calibri"/>
          <w:szCs w:val="28"/>
          <w:lang w:val="es-CO" w:eastAsia="en-US"/>
        </w:rPr>
        <w:t>r</w:t>
      </w:r>
      <w:r w:rsidRPr="00BB172C">
        <w:rPr>
          <w:rFonts w:eastAsia="Calibri"/>
          <w:szCs w:val="28"/>
          <w:lang w:val="es-CO" w:eastAsia="en-US"/>
        </w:rPr>
        <w:t xml:space="preserve"> una </w:t>
      </w:r>
      <w:r w:rsidR="00FA6194" w:rsidRPr="00BB172C">
        <w:rPr>
          <w:rFonts w:eastAsia="Calibri"/>
          <w:szCs w:val="28"/>
          <w:lang w:val="es-CO" w:eastAsia="en-US"/>
        </w:rPr>
        <w:t>perturbación al esquema de control constitucional previsto en la C</w:t>
      </w:r>
      <w:r w:rsidRPr="00BB172C">
        <w:rPr>
          <w:rFonts w:eastAsia="Calibri"/>
          <w:szCs w:val="28"/>
          <w:lang w:val="es-CO" w:eastAsia="en-US"/>
        </w:rPr>
        <w:t>arta</w:t>
      </w:r>
      <w:r w:rsidR="00FA6194" w:rsidRPr="00BB172C">
        <w:rPr>
          <w:rFonts w:eastAsia="Calibri"/>
          <w:szCs w:val="28"/>
          <w:lang w:val="es-CO" w:eastAsia="en-US"/>
        </w:rPr>
        <w:t xml:space="preserve"> de 1991</w:t>
      </w:r>
      <w:r w:rsidR="00E31782" w:rsidRPr="00BB172C">
        <w:rPr>
          <w:rFonts w:eastAsia="Calibri"/>
          <w:szCs w:val="28"/>
          <w:lang w:val="es-CO" w:eastAsia="en-US"/>
        </w:rPr>
        <w:t xml:space="preserve"> deriva</w:t>
      </w:r>
      <w:r w:rsidR="007D442B" w:rsidRPr="00BB172C">
        <w:rPr>
          <w:rFonts w:eastAsia="Calibri"/>
          <w:szCs w:val="28"/>
          <w:lang w:val="es-CO" w:eastAsia="en-US"/>
        </w:rPr>
        <w:t>da</w:t>
      </w:r>
      <w:r w:rsidR="00E31782" w:rsidRPr="00BB172C">
        <w:rPr>
          <w:rFonts w:eastAsia="Calibri"/>
          <w:szCs w:val="28"/>
          <w:lang w:val="es-CO" w:eastAsia="en-US"/>
        </w:rPr>
        <w:t xml:space="preserve"> de la interpretación particular de la Constitución </w:t>
      </w:r>
      <w:r w:rsidR="007D442B" w:rsidRPr="00BB172C">
        <w:rPr>
          <w:rFonts w:eastAsia="Calibri"/>
          <w:szCs w:val="28"/>
          <w:lang w:val="es-CO" w:eastAsia="en-US"/>
        </w:rPr>
        <w:t xml:space="preserve">que </w:t>
      </w:r>
      <w:r w:rsidR="00E31782" w:rsidRPr="00BB172C">
        <w:rPr>
          <w:rFonts w:eastAsia="Calibri"/>
          <w:szCs w:val="28"/>
          <w:lang w:val="es-CO" w:eastAsia="en-US"/>
        </w:rPr>
        <w:t xml:space="preserve">el Consejo de Estado </w:t>
      </w:r>
      <w:r w:rsidR="007D442B" w:rsidRPr="00BB172C">
        <w:rPr>
          <w:rFonts w:eastAsia="Calibri"/>
          <w:szCs w:val="28"/>
          <w:lang w:val="es-CO" w:eastAsia="en-US"/>
        </w:rPr>
        <w:t xml:space="preserve">realizó en </w:t>
      </w:r>
      <w:r w:rsidR="00E31782" w:rsidRPr="00BB172C">
        <w:rPr>
          <w:rFonts w:eastAsia="Calibri"/>
          <w:szCs w:val="28"/>
          <w:lang w:val="es-CO" w:eastAsia="en-US"/>
        </w:rPr>
        <w:t>la sentencia de nulidad por inconstitucionalidad</w:t>
      </w:r>
      <w:r w:rsidR="007D442B" w:rsidRPr="00BB172C">
        <w:rPr>
          <w:rFonts w:eastAsia="Calibri"/>
          <w:szCs w:val="28"/>
          <w:lang w:val="es-CO" w:eastAsia="en-US"/>
        </w:rPr>
        <w:t xml:space="preserve"> acusada</w:t>
      </w:r>
      <w:r w:rsidR="00E31782" w:rsidRPr="00BB172C">
        <w:rPr>
          <w:rFonts w:eastAsia="Calibri"/>
          <w:szCs w:val="28"/>
          <w:lang w:val="es-CO" w:eastAsia="en-US"/>
        </w:rPr>
        <w:t xml:space="preserve">, se cumplen los requisitos enunciados </w:t>
      </w:r>
      <w:r w:rsidR="007D442B" w:rsidRPr="00BB172C">
        <w:rPr>
          <w:rFonts w:eastAsia="Calibri"/>
          <w:szCs w:val="28"/>
          <w:lang w:val="es-CO" w:eastAsia="en-US"/>
        </w:rPr>
        <w:t xml:space="preserve">que habilitan la </w:t>
      </w:r>
      <w:r w:rsidR="00E31782" w:rsidRPr="00BB172C">
        <w:rPr>
          <w:rFonts w:eastAsia="Calibri"/>
          <w:szCs w:val="28"/>
          <w:lang w:val="es-CO" w:eastAsia="en-US"/>
        </w:rPr>
        <w:t xml:space="preserve">procedencia excepcional de la tutela en estos casos dado que: </w:t>
      </w:r>
      <w:r w:rsidR="00E31782" w:rsidRPr="00BB172C">
        <w:rPr>
          <w:rFonts w:eastAsia="Calibri"/>
          <w:b/>
          <w:bCs/>
          <w:szCs w:val="28"/>
          <w:lang w:val="es-CO" w:eastAsia="en-US"/>
        </w:rPr>
        <w:t>(i)</w:t>
      </w:r>
      <w:r w:rsidR="00E31782" w:rsidRPr="00BB172C">
        <w:rPr>
          <w:rFonts w:eastAsia="Calibri"/>
          <w:szCs w:val="28"/>
          <w:lang w:val="es-CO" w:eastAsia="en-US"/>
        </w:rPr>
        <w:t xml:space="preserve"> para </w:t>
      </w:r>
      <w:r w:rsidR="007D442B" w:rsidRPr="00BB172C">
        <w:rPr>
          <w:rFonts w:eastAsia="Calibri"/>
          <w:szCs w:val="28"/>
          <w:lang w:val="es-CO" w:eastAsia="en-US"/>
        </w:rPr>
        <w:t>varios de los intervinientes,</w:t>
      </w:r>
      <w:r w:rsidR="00E31782" w:rsidRPr="00BB172C">
        <w:rPr>
          <w:rFonts w:eastAsia="Calibri"/>
          <w:szCs w:val="28"/>
          <w:lang w:val="es-CO" w:eastAsia="en-US"/>
        </w:rPr>
        <w:t xml:space="preserve"> la interpretación enunciada supone una interpretación contraria a la cosa juzgada constitucional y en particular al artículo 257A de la Constitución y </w:t>
      </w:r>
      <w:r w:rsidR="00E31782" w:rsidRPr="00BB172C">
        <w:rPr>
          <w:rFonts w:eastAsia="Calibri"/>
          <w:b/>
          <w:bCs/>
          <w:szCs w:val="28"/>
          <w:lang w:val="es-CO" w:eastAsia="en-US"/>
        </w:rPr>
        <w:t xml:space="preserve">(ii) </w:t>
      </w:r>
      <w:r w:rsidR="007D442B" w:rsidRPr="00BB172C">
        <w:rPr>
          <w:rFonts w:eastAsia="Calibri"/>
          <w:szCs w:val="28"/>
          <w:lang w:val="es-CO" w:eastAsia="en-US"/>
        </w:rPr>
        <w:t xml:space="preserve">existe un nexo causal entre la </w:t>
      </w:r>
      <w:r w:rsidR="00E31782" w:rsidRPr="00BB172C">
        <w:rPr>
          <w:rFonts w:eastAsia="Calibri"/>
          <w:szCs w:val="28"/>
          <w:lang w:val="es-CO" w:eastAsia="en-US"/>
        </w:rPr>
        <w:t>interpretación</w:t>
      </w:r>
      <w:r w:rsidR="007D442B" w:rsidRPr="00BB172C">
        <w:rPr>
          <w:rFonts w:eastAsia="Calibri"/>
          <w:szCs w:val="28"/>
          <w:lang w:val="es-CO" w:eastAsia="en-US"/>
        </w:rPr>
        <w:t xml:space="preserve"> y</w:t>
      </w:r>
      <w:r w:rsidR="00E31782" w:rsidRPr="00BB172C">
        <w:rPr>
          <w:rFonts w:eastAsia="Calibri"/>
          <w:szCs w:val="28"/>
          <w:lang w:val="es-CO" w:eastAsia="en-US"/>
        </w:rPr>
        <w:t xml:space="preserve"> la </w:t>
      </w:r>
      <w:r w:rsidR="00FA6194" w:rsidRPr="00BB172C">
        <w:rPr>
          <w:rFonts w:eastAsia="Calibri"/>
          <w:szCs w:val="28"/>
          <w:lang w:val="es-CO" w:eastAsia="en-US"/>
        </w:rPr>
        <w:t xml:space="preserve">perturbación </w:t>
      </w:r>
      <w:r w:rsidR="00E31782" w:rsidRPr="00BB172C">
        <w:rPr>
          <w:rFonts w:eastAsia="Calibri"/>
          <w:szCs w:val="28"/>
          <w:lang w:val="es-CO" w:eastAsia="en-US"/>
        </w:rPr>
        <w:t>enunciada</w:t>
      </w:r>
      <w:r w:rsidR="007D442B" w:rsidRPr="00BB172C">
        <w:rPr>
          <w:rFonts w:eastAsia="Calibri"/>
          <w:szCs w:val="28"/>
          <w:lang w:val="es-CO" w:eastAsia="en-US"/>
        </w:rPr>
        <w:t>, lo que</w:t>
      </w:r>
      <w:r w:rsidR="00E31782" w:rsidRPr="00BB172C">
        <w:rPr>
          <w:rFonts w:eastAsia="Calibri"/>
          <w:szCs w:val="28"/>
          <w:lang w:val="es-CO" w:eastAsia="en-US"/>
        </w:rPr>
        <w:t xml:space="preserve"> implica en realidad </w:t>
      </w:r>
      <w:r w:rsidR="007D442B" w:rsidRPr="00BB172C">
        <w:rPr>
          <w:rFonts w:eastAsia="Calibri"/>
          <w:szCs w:val="28"/>
          <w:lang w:val="es-CO" w:eastAsia="en-US"/>
        </w:rPr>
        <w:t>la constatación de un</w:t>
      </w:r>
      <w:r w:rsidR="00E31782" w:rsidRPr="00BB172C">
        <w:rPr>
          <w:rFonts w:eastAsia="Calibri"/>
          <w:szCs w:val="28"/>
          <w:lang w:val="es-CO" w:eastAsia="en-US"/>
        </w:rPr>
        <w:t xml:space="preserve"> </w:t>
      </w:r>
      <w:r w:rsidR="00FA6194" w:rsidRPr="00BB172C">
        <w:rPr>
          <w:rFonts w:eastAsia="Calibri"/>
          <w:szCs w:val="28"/>
          <w:lang w:val="es-CO" w:eastAsia="en-US"/>
        </w:rPr>
        <w:t>“</w:t>
      </w:r>
      <w:r w:rsidR="00FA6194" w:rsidRPr="001070F7">
        <w:rPr>
          <w:rFonts w:eastAsia="Calibri"/>
          <w:b/>
          <w:bCs/>
          <w:szCs w:val="28"/>
          <w:lang w:val="es-CO" w:eastAsia="en-US"/>
        </w:rPr>
        <w:t>bloqueo institucional</w:t>
      </w:r>
      <w:r w:rsidR="00E31782" w:rsidRPr="001070F7">
        <w:rPr>
          <w:rFonts w:eastAsia="Calibri"/>
          <w:b/>
          <w:bCs/>
          <w:szCs w:val="28"/>
          <w:lang w:val="es-CO" w:eastAsia="en-US"/>
        </w:rPr>
        <w:t xml:space="preserve"> </w:t>
      </w:r>
      <w:r w:rsidR="00A45F6D">
        <w:rPr>
          <w:rFonts w:eastAsia="Calibri"/>
          <w:b/>
          <w:bCs/>
          <w:szCs w:val="28"/>
          <w:lang w:val="es-CO" w:eastAsia="en-US"/>
        </w:rPr>
        <w:t>in</w:t>
      </w:r>
      <w:r w:rsidR="00E31782" w:rsidRPr="001070F7">
        <w:rPr>
          <w:rFonts w:eastAsia="Calibri"/>
          <w:b/>
          <w:bCs/>
          <w:szCs w:val="28"/>
          <w:lang w:val="es-CO" w:eastAsia="en-US"/>
        </w:rPr>
        <w:t>constitucional</w:t>
      </w:r>
      <w:r w:rsidR="00FA6194" w:rsidRPr="00BB172C">
        <w:rPr>
          <w:rFonts w:eastAsia="Calibri"/>
          <w:szCs w:val="28"/>
          <w:lang w:val="es-CO" w:eastAsia="en-US"/>
        </w:rPr>
        <w:t>”</w:t>
      </w:r>
      <w:r w:rsidR="00E31782" w:rsidRPr="00BB172C">
        <w:rPr>
          <w:rFonts w:eastAsia="Calibri"/>
          <w:szCs w:val="28"/>
          <w:lang w:val="es-CO" w:eastAsia="en-US"/>
        </w:rPr>
        <w:t xml:space="preserve"> </w:t>
      </w:r>
      <w:r w:rsidR="007D442B" w:rsidRPr="00BB172C">
        <w:rPr>
          <w:rFonts w:eastAsia="Calibri"/>
          <w:szCs w:val="28"/>
          <w:lang w:val="es-CO" w:eastAsia="en-US"/>
        </w:rPr>
        <w:t xml:space="preserve">derivado de esa </w:t>
      </w:r>
      <w:r w:rsidR="007D442B" w:rsidRPr="00BB172C">
        <w:rPr>
          <w:rFonts w:eastAsia="Calibri"/>
          <w:szCs w:val="28"/>
          <w:lang w:val="es-CO" w:eastAsia="en-US"/>
        </w:rPr>
        <w:lastRenderedPageBreak/>
        <w:t xml:space="preserve">actuación judicial, </w:t>
      </w:r>
      <w:r w:rsidR="00E31782" w:rsidRPr="00BB172C">
        <w:rPr>
          <w:rFonts w:eastAsia="Calibri"/>
          <w:szCs w:val="28"/>
          <w:lang w:val="es-CO" w:eastAsia="en-US"/>
        </w:rPr>
        <w:t xml:space="preserve">que ha generado la suspensión </w:t>
      </w:r>
      <w:r w:rsidR="007D442B" w:rsidRPr="00BB172C">
        <w:rPr>
          <w:rFonts w:eastAsia="Calibri"/>
          <w:szCs w:val="28"/>
          <w:lang w:val="es-CO" w:eastAsia="en-US"/>
        </w:rPr>
        <w:t>en</w:t>
      </w:r>
      <w:r w:rsidR="00E31782" w:rsidRPr="00BB172C">
        <w:rPr>
          <w:rFonts w:eastAsia="Calibri"/>
          <w:szCs w:val="28"/>
          <w:lang w:val="es-CO" w:eastAsia="en-US"/>
        </w:rPr>
        <w:t xml:space="preserve"> la aplicación </w:t>
      </w:r>
      <w:r w:rsidR="007D442B" w:rsidRPr="00BB172C">
        <w:rPr>
          <w:rFonts w:eastAsia="Calibri"/>
          <w:szCs w:val="28"/>
          <w:lang w:val="es-CO" w:eastAsia="en-US"/>
        </w:rPr>
        <w:t xml:space="preserve">efectiva </w:t>
      </w:r>
      <w:r w:rsidR="00E31782" w:rsidRPr="00BB172C">
        <w:rPr>
          <w:rFonts w:eastAsia="Calibri"/>
          <w:szCs w:val="28"/>
          <w:lang w:val="es-CO" w:eastAsia="en-US"/>
        </w:rPr>
        <w:t>de artículos constitucionales, la falta de integración de órganos constitucionales</w:t>
      </w:r>
      <w:r w:rsidR="007D442B" w:rsidRPr="00BB172C">
        <w:rPr>
          <w:rFonts w:eastAsia="Calibri"/>
          <w:szCs w:val="28"/>
          <w:lang w:val="es-CO" w:eastAsia="en-US"/>
        </w:rPr>
        <w:t xml:space="preserve"> al engranaje superior, </w:t>
      </w:r>
      <w:r w:rsidR="00E31782" w:rsidRPr="00BB172C">
        <w:rPr>
          <w:rFonts w:eastAsia="Calibri"/>
          <w:szCs w:val="28"/>
          <w:lang w:val="es-CO" w:eastAsia="en-US"/>
        </w:rPr>
        <w:t>la suspensión en la realización de las funciones constitucionales de otros</w:t>
      </w:r>
      <w:r w:rsidR="007D442B" w:rsidRPr="00BB172C">
        <w:rPr>
          <w:rFonts w:eastAsia="Calibri"/>
          <w:szCs w:val="28"/>
          <w:lang w:val="es-CO" w:eastAsia="en-US"/>
        </w:rPr>
        <w:t xml:space="preserve"> y la integración de órganos institucionalmente definidos</w:t>
      </w:r>
      <w:r w:rsidR="00E31782" w:rsidRPr="00BB172C">
        <w:rPr>
          <w:rFonts w:eastAsia="Calibri"/>
          <w:szCs w:val="28"/>
          <w:lang w:val="es-CO" w:eastAsia="en-US"/>
        </w:rPr>
        <w:t>, todos</w:t>
      </w:r>
      <w:r w:rsidR="007D442B" w:rsidRPr="00BB172C">
        <w:rPr>
          <w:rFonts w:eastAsia="Calibri"/>
          <w:szCs w:val="28"/>
          <w:lang w:val="es-CO" w:eastAsia="en-US"/>
        </w:rPr>
        <w:t>,</w:t>
      </w:r>
      <w:r w:rsidR="00E31782" w:rsidRPr="00BB172C">
        <w:rPr>
          <w:rFonts w:eastAsia="Calibri"/>
          <w:szCs w:val="28"/>
          <w:lang w:val="es-CO" w:eastAsia="en-US"/>
        </w:rPr>
        <w:t xml:space="preserve"> hechos </w:t>
      </w:r>
      <w:r w:rsidR="00FA6194" w:rsidRPr="00BB172C">
        <w:rPr>
          <w:rFonts w:eastAsia="Calibri"/>
          <w:szCs w:val="28"/>
          <w:lang w:val="es-CO" w:eastAsia="en-US"/>
        </w:rPr>
        <w:t>que habilita</w:t>
      </w:r>
      <w:r w:rsidR="00E31782" w:rsidRPr="00BB172C">
        <w:rPr>
          <w:rFonts w:eastAsia="Calibri"/>
          <w:szCs w:val="28"/>
          <w:lang w:val="es-CO" w:eastAsia="en-US"/>
        </w:rPr>
        <w:t>n</w:t>
      </w:r>
      <w:r w:rsidR="00FA6194" w:rsidRPr="00BB172C">
        <w:rPr>
          <w:rFonts w:eastAsia="Calibri"/>
          <w:szCs w:val="28"/>
          <w:lang w:val="es-CO" w:eastAsia="en-US"/>
        </w:rPr>
        <w:t xml:space="preserve"> la competencia de la Corte</w:t>
      </w:r>
      <w:r w:rsidR="00E31782" w:rsidRPr="00BB172C">
        <w:rPr>
          <w:rFonts w:eastAsia="Calibri"/>
          <w:szCs w:val="28"/>
          <w:lang w:val="es-CO" w:eastAsia="en-US"/>
        </w:rPr>
        <w:t xml:space="preserve"> para conocer de esta acción</w:t>
      </w:r>
      <w:r w:rsidR="007D442B" w:rsidRPr="00BB172C">
        <w:rPr>
          <w:rFonts w:eastAsia="Calibri"/>
          <w:szCs w:val="28"/>
          <w:lang w:val="es-CO" w:eastAsia="en-US"/>
        </w:rPr>
        <w:t xml:space="preserve"> de tutela,</w:t>
      </w:r>
      <w:r w:rsidR="00E31782" w:rsidRPr="00BB172C">
        <w:rPr>
          <w:rFonts w:eastAsia="Calibri"/>
          <w:szCs w:val="28"/>
          <w:lang w:val="es-CO" w:eastAsia="en-US"/>
        </w:rPr>
        <w:t xml:space="preserve"> dado su carácter de Guardiana de la Carta</w:t>
      </w:r>
      <w:r w:rsidR="00FA6194" w:rsidRPr="00BB172C">
        <w:rPr>
          <w:rFonts w:eastAsia="Calibri"/>
          <w:szCs w:val="28"/>
          <w:lang w:val="es-CO" w:eastAsia="en-US"/>
        </w:rPr>
        <w:t xml:space="preserve">. </w:t>
      </w:r>
    </w:p>
    <w:p w14:paraId="646B3893" w14:textId="77777777" w:rsidR="002829D0" w:rsidRPr="00BB172C" w:rsidRDefault="002829D0" w:rsidP="002829D0">
      <w:pPr>
        <w:pStyle w:val="Prrafodelista"/>
        <w:ind w:left="0" w:right="51"/>
        <w:jc w:val="both"/>
        <w:rPr>
          <w:rFonts w:eastAsia="Calibri"/>
          <w:b/>
          <w:bCs/>
          <w:sz w:val="24"/>
          <w:szCs w:val="24"/>
          <w:lang w:eastAsia="en-US"/>
        </w:rPr>
      </w:pPr>
    </w:p>
    <w:p w14:paraId="00665CE9" w14:textId="77777777" w:rsidR="002829D0" w:rsidRPr="00BB172C" w:rsidRDefault="002829D0" w:rsidP="002829D0">
      <w:pPr>
        <w:pStyle w:val="Prrafodelista"/>
        <w:numPr>
          <w:ilvl w:val="0"/>
          <w:numId w:val="10"/>
        </w:numPr>
        <w:ind w:right="51"/>
        <w:jc w:val="both"/>
        <w:rPr>
          <w:rFonts w:eastAsia="Calibri"/>
          <w:b/>
          <w:bCs/>
          <w:sz w:val="24"/>
          <w:szCs w:val="24"/>
          <w:lang w:eastAsia="en-US"/>
        </w:rPr>
      </w:pPr>
      <w:r w:rsidRPr="00BB172C">
        <w:rPr>
          <w:szCs w:val="28"/>
          <w:bdr w:val="none" w:sz="0" w:space="0" w:color="auto" w:frame="1"/>
          <w:lang w:val="es-CO" w:eastAsia="es-CO"/>
        </w:rPr>
        <w:t>Las</w:t>
      </w:r>
      <w:r w:rsidRPr="00BB172C">
        <w:rPr>
          <w:rFonts w:eastAsia="Calibri"/>
          <w:szCs w:val="28"/>
          <w:lang w:val="es-CO" w:eastAsia="en-US"/>
        </w:rPr>
        <w:t xml:space="preserve"> diferentes c</w:t>
      </w:r>
      <w:r w:rsidRPr="00BB172C">
        <w:rPr>
          <w:szCs w:val="28"/>
          <w:bdr w:val="none" w:sz="0" w:space="0" w:color="auto" w:frame="1"/>
          <w:lang w:val="es-ES_tradnl"/>
        </w:rPr>
        <w:t xml:space="preserve">onsideraciones previas, dan cuenta entonces del cumplimiento de los requisitos generales de procedencia de la tutela en el asunto bajo examen, incluso aquellos que son propios de las solicitudes de amparo que se proponen contra decisiones de nulidad por inconstitucionalidad. </w:t>
      </w:r>
    </w:p>
    <w:p w14:paraId="720713A2" w14:textId="77777777" w:rsidR="0091690C" w:rsidRPr="002E4477" w:rsidRDefault="0091690C" w:rsidP="00EC0A8F">
      <w:pPr>
        <w:shd w:val="clear" w:color="auto" w:fill="FFFFFF"/>
        <w:spacing w:line="276" w:lineRule="auto"/>
        <w:jc w:val="both"/>
        <w:textAlignment w:val="baseline"/>
        <w:rPr>
          <w:b/>
          <w:i/>
          <w:szCs w:val="28"/>
          <w:bdr w:val="none" w:sz="0" w:space="0" w:color="auto" w:frame="1"/>
          <w:lang w:val="es-CO" w:eastAsia="es-CO"/>
        </w:rPr>
      </w:pPr>
    </w:p>
    <w:p w14:paraId="14892883" w14:textId="77777777" w:rsidR="00C56EAB" w:rsidRPr="00F85C4B" w:rsidRDefault="0091690C" w:rsidP="0091690C">
      <w:pPr>
        <w:shd w:val="clear" w:color="auto" w:fill="FFFFFF"/>
        <w:jc w:val="both"/>
        <w:textAlignment w:val="baseline"/>
        <w:rPr>
          <w:b/>
          <w:iCs/>
          <w:szCs w:val="28"/>
          <w:bdr w:val="none" w:sz="0" w:space="0" w:color="auto" w:frame="1"/>
          <w:lang w:val="es-CO" w:eastAsia="es-CO"/>
        </w:rPr>
      </w:pPr>
      <w:r w:rsidRPr="00F85C4B">
        <w:rPr>
          <w:b/>
          <w:iCs/>
          <w:szCs w:val="28"/>
          <w:bdr w:val="none" w:sz="0" w:space="0" w:color="auto" w:frame="1"/>
          <w:lang w:val="es-CO" w:eastAsia="es-CO"/>
        </w:rPr>
        <w:t xml:space="preserve">Requisitos </w:t>
      </w:r>
      <w:r w:rsidR="00562F79" w:rsidRPr="00F85C4B">
        <w:rPr>
          <w:b/>
          <w:iCs/>
          <w:szCs w:val="28"/>
          <w:bdr w:val="none" w:sz="0" w:space="0" w:color="auto" w:frame="1"/>
          <w:lang w:val="es-CO" w:eastAsia="es-CO"/>
        </w:rPr>
        <w:t>e</w:t>
      </w:r>
      <w:r w:rsidRPr="00F85C4B">
        <w:rPr>
          <w:b/>
          <w:iCs/>
          <w:szCs w:val="28"/>
          <w:bdr w:val="none" w:sz="0" w:space="0" w:color="auto" w:frame="1"/>
          <w:lang w:val="es-CO" w:eastAsia="es-CO"/>
        </w:rPr>
        <w:t>specíficos de procedencia de la acción de tutela contra providencias judiciales</w:t>
      </w:r>
    </w:p>
    <w:p w14:paraId="6CE3F8C9" w14:textId="77777777" w:rsidR="00C56EAB" w:rsidRPr="002E4477" w:rsidRDefault="00C56EAB" w:rsidP="00F85C4B">
      <w:pPr>
        <w:shd w:val="clear" w:color="auto" w:fill="FFFFFF"/>
        <w:spacing w:line="276" w:lineRule="auto"/>
        <w:jc w:val="both"/>
        <w:textAlignment w:val="baseline"/>
        <w:rPr>
          <w:b/>
          <w:i/>
          <w:szCs w:val="28"/>
          <w:bdr w:val="none" w:sz="0" w:space="0" w:color="auto" w:frame="1"/>
          <w:lang w:val="es-CO" w:eastAsia="es-CO"/>
        </w:rPr>
      </w:pPr>
    </w:p>
    <w:p w14:paraId="00CC3700" w14:textId="77777777" w:rsidR="0091690C" w:rsidRPr="002E4477" w:rsidRDefault="0091690C" w:rsidP="00C56EAB">
      <w:pPr>
        <w:pStyle w:val="Prrafodelista"/>
        <w:numPr>
          <w:ilvl w:val="0"/>
          <w:numId w:val="10"/>
        </w:numPr>
        <w:jc w:val="both"/>
        <w:rPr>
          <w:szCs w:val="28"/>
        </w:rPr>
      </w:pPr>
      <w:r w:rsidRPr="002E4477">
        <w:rPr>
          <w:szCs w:val="28"/>
          <w:bdr w:val="none" w:sz="0" w:space="0" w:color="auto" w:frame="1"/>
          <w:lang w:val="es-CO" w:eastAsia="es-CO"/>
        </w:rPr>
        <w:t>En lo que tiene que ver con los requisitos específicos de procedencia</w:t>
      </w:r>
      <w:r w:rsidR="00380A8D" w:rsidRPr="002E4477">
        <w:rPr>
          <w:szCs w:val="28"/>
          <w:bdr w:val="none" w:sz="0" w:space="0" w:color="auto" w:frame="1"/>
          <w:lang w:val="es-CO" w:eastAsia="es-CO"/>
        </w:rPr>
        <w:t xml:space="preserve"> de </w:t>
      </w:r>
      <w:r w:rsidR="000342D8" w:rsidRPr="002E4477">
        <w:rPr>
          <w:szCs w:val="28"/>
          <w:bdr w:val="none" w:sz="0" w:space="0" w:color="auto" w:frame="1"/>
          <w:lang w:val="es-CO" w:eastAsia="es-CO"/>
        </w:rPr>
        <w:t xml:space="preserve">la </w:t>
      </w:r>
      <w:r w:rsidR="000342D8" w:rsidRPr="002E4477">
        <w:rPr>
          <w:szCs w:val="28"/>
        </w:rPr>
        <w:t>tutela</w:t>
      </w:r>
      <w:r w:rsidR="00380A8D" w:rsidRPr="002E4477">
        <w:rPr>
          <w:szCs w:val="28"/>
          <w:bdr w:val="none" w:sz="0" w:space="0" w:color="auto" w:frame="1"/>
          <w:lang w:val="es-CO" w:eastAsia="es-CO"/>
        </w:rPr>
        <w:t xml:space="preserve"> contra providencias,</w:t>
      </w:r>
      <w:r w:rsidRPr="002E4477">
        <w:rPr>
          <w:szCs w:val="28"/>
          <w:bdr w:val="none" w:sz="0" w:space="0" w:color="auto" w:frame="1"/>
          <w:lang w:val="es-CO" w:eastAsia="es-CO"/>
        </w:rPr>
        <w:t xml:space="preserve"> la </w:t>
      </w:r>
      <w:r w:rsidR="00562F79" w:rsidRPr="002E4477">
        <w:rPr>
          <w:b/>
          <w:szCs w:val="28"/>
          <w:bdr w:val="none" w:sz="0" w:space="0" w:color="auto" w:frame="1"/>
          <w:lang w:val="es-CO" w:eastAsia="es-CO"/>
        </w:rPr>
        <w:t>S</w:t>
      </w:r>
      <w:r w:rsidRPr="002E4477">
        <w:rPr>
          <w:b/>
          <w:szCs w:val="28"/>
          <w:bdr w:val="none" w:sz="0" w:space="0" w:color="auto" w:frame="1"/>
          <w:lang w:val="es-CO" w:eastAsia="es-CO"/>
        </w:rPr>
        <w:t>entencia C-590 de 2005</w:t>
      </w:r>
      <w:r w:rsidRPr="002E4477">
        <w:rPr>
          <w:szCs w:val="28"/>
          <w:bdr w:val="none" w:sz="0" w:space="0" w:color="auto" w:frame="1"/>
          <w:lang w:val="es-CO" w:eastAsia="es-CO"/>
        </w:rPr>
        <w:t> </w:t>
      </w:r>
      <w:r w:rsidR="00380A8D" w:rsidRPr="002E4477">
        <w:rPr>
          <w:rStyle w:val="Refdenotaalpie"/>
          <w:szCs w:val="28"/>
          <w:bdr w:val="none" w:sz="0" w:space="0" w:color="auto" w:frame="1"/>
          <w:lang w:val="es-CO" w:eastAsia="es-CO"/>
        </w:rPr>
        <w:footnoteReference w:id="130"/>
      </w:r>
      <w:r w:rsidR="000342D8" w:rsidRPr="002E4477">
        <w:rPr>
          <w:szCs w:val="28"/>
          <w:bdr w:val="none" w:sz="0" w:space="0" w:color="auto" w:frame="1"/>
          <w:lang w:val="es-CO" w:eastAsia="es-CO"/>
        </w:rPr>
        <w:t xml:space="preserve"> </w:t>
      </w:r>
      <w:r w:rsidR="00D135A9" w:rsidRPr="002E4477">
        <w:rPr>
          <w:szCs w:val="28"/>
          <w:bdr w:val="none" w:sz="0" w:space="0" w:color="auto" w:frame="1"/>
          <w:lang w:val="es-CO" w:eastAsia="es-CO"/>
        </w:rPr>
        <w:t>precisó</w:t>
      </w:r>
      <w:r w:rsidRPr="002E4477">
        <w:rPr>
          <w:szCs w:val="28"/>
          <w:bdr w:val="none" w:sz="0" w:space="0" w:color="auto" w:frame="1"/>
          <w:lang w:val="es-CO" w:eastAsia="es-CO"/>
        </w:rPr>
        <w:t xml:space="preserve"> que los mismos se circunscribían a los siguientes presupuestos:</w:t>
      </w:r>
    </w:p>
    <w:p w14:paraId="3566B7C5" w14:textId="77777777" w:rsidR="0091690C" w:rsidRPr="002E4477" w:rsidRDefault="0091690C" w:rsidP="0091690C">
      <w:pPr>
        <w:shd w:val="clear" w:color="auto" w:fill="FFFFFF"/>
        <w:jc w:val="both"/>
        <w:textAlignment w:val="baseline"/>
        <w:rPr>
          <w:sz w:val="27"/>
          <w:szCs w:val="27"/>
          <w:lang w:val="es-CO" w:eastAsia="es-CO"/>
        </w:rPr>
      </w:pPr>
      <w:r w:rsidRPr="002E4477">
        <w:rPr>
          <w:szCs w:val="28"/>
          <w:bdr w:val="none" w:sz="0" w:space="0" w:color="auto" w:frame="1"/>
          <w:lang w:val="es-CO" w:eastAsia="es-CO"/>
        </w:rPr>
        <w:t> </w:t>
      </w:r>
    </w:p>
    <w:p w14:paraId="40A4BFF5"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“a. Defecto orgánico, que se presenta cuando el funcionario judicial que profirió la providencia impugnada, carece, absolutamente, de competencia para ello.</w:t>
      </w:r>
    </w:p>
    <w:p w14:paraId="0B64F293"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 </w:t>
      </w:r>
    </w:p>
    <w:p w14:paraId="3ABA9957"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b. Defecto procedimental absoluto, que se origina cuando el juez actuó completamente al margen del procedimiento establecido.</w:t>
      </w:r>
    </w:p>
    <w:p w14:paraId="23997154"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 </w:t>
      </w:r>
    </w:p>
    <w:p w14:paraId="509D6B5F"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c. Defecto fáctico, que surge cuando el juez carece del apoyo probatorio que permita la aplicación del supuesto legal en el que se sustenta la decisión.</w:t>
      </w:r>
    </w:p>
    <w:p w14:paraId="422CFCC5"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 </w:t>
      </w:r>
    </w:p>
    <w:p w14:paraId="52E9E290"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d. Defecto material o sustantivo, como son los casos en que se decide con base en normas inexistentes o inconstitucionales o que presentan una evidente y grosera contradicción entre los fundamentos y la decisión.</w:t>
      </w:r>
    </w:p>
    <w:p w14:paraId="71A595B6"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 </w:t>
      </w:r>
    </w:p>
    <w:p w14:paraId="786D5A6E"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f. Error inducido, que se presenta cuando el juez o tribunal fue víctima de un engaño por parte de terceros y ese engaño lo condujo a la toma de una decisión que afecta derechos fundamentales.</w:t>
      </w:r>
    </w:p>
    <w:p w14:paraId="16331CC8"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 </w:t>
      </w:r>
    </w:p>
    <w:p w14:paraId="41E3F102"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g. Decisión sin motivación, que implica el incumplimiento de los servidores judiciales de dar cuenta de los fundamentos fácticos y jurídicos de sus decisiones en el entendido que precisamente en esa motivación reposa la legitimidad de su órbita funcional.</w:t>
      </w:r>
    </w:p>
    <w:p w14:paraId="60A1B716"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 </w:t>
      </w:r>
    </w:p>
    <w:p w14:paraId="36F9AD45"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 xml:space="preserve">h.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w:t>
      </w:r>
      <w:r w:rsidRPr="00B24C29">
        <w:rPr>
          <w:i/>
          <w:iCs/>
          <w:sz w:val="26"/>
          <w:szCs w:val="26"/>
          <w:bdr w:val="none" w:sz="0" w:space="0" w:color="auto" w:frame="1"/>
          <w:lang w:val="es-CO" w:eastAsia="es-CO"/>
        </w:rPr>
        <w:lastRenderedPageBreak/>
        <w:t>jurídica del contenido constitucionalmente vinculante del derecho fundamental vulnerado.</w:t>
      </w:r>
    </w:p>
    <w:p w14:paraId="23790796"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 </w:t>
      </w:r>
    </w:p>
    <w:p w14:paraId="7524BEF6" w14:textId="77777777" w:rsidR="0091690C" w:rsidRPr="00B24C29" w:rsidRDefault="0091690C" w:rsidP="00B24C29">
      <w:pPr>
        <w:shd w:val="clear" w:color="auto" w:fill="FFFFFF"/>
        <w:ind w:left="284"/>
        <w:jc w:val="both"/>
        <w:textAlignment w:val="baseline"/>
        <w:rPr>
          <w:i/>
          <w:sz w:val="26"/>
          <w:szCs w:val="26"/>
          <w:lang w:val="es-CO" w:eastAsia="es-CO"/>
        </w:rPr>
      </w:pPr>
      <w:r w:rsidRPr="00B24C29">
        <w:rPr>
          <w:i/>
          <w:iCs/>
          <w:sz w:val="26"/>
          <w:szCs w:val="26"/>
          <w:bdr w:val="none" w:sz="0" w:space="0" w:color="auto" w:frame="1"/>
          <w:lang w:val="es-CO" w:eastAsia="es-CO"/>
        </w:rPr>
        <w:t>i. Violación directa de la Constitución”.</w:t>
      </w:r>
    </w:p>
    <w:p w14:paraId="1DBEC96C" w14:textId="77777777" w:rsidR="00DF1AD3" w:rsidRPr="002E4477" w:rsidRDefault="00DF1AD3" w:rsidP="00F85C4B">
      <w:pPr>
        <w:pStyle w:val="Prrafodelista"/>
        <w:spacing w:line="276" w:lineRule="auto"/>
        <w:ind w:left="0"/>
        <w:rPr>
          <w:szCs w:val="28"/>
          <w:bdr w:val="none" w:sz="0" w:space="0" w:color="auto" w:frame="1"/>
          <w:lang w:val="es-ES_tradnl"/>
        </w:rPr>
      </w:pPr>
    </w:p>
    <w:p w14:paraId="3B41F6FF" w14:textId="77777777" w:rsidR="00A65549" w:rsidRPr="00A65549" w:rsidRDefault="00C45628" w:rsidP="00A65549">
      <w:pPr>
        <w:pStyle w:val="Prrafodelista"/>
        <w:numPr>
          <w:ilvl w:val="0"/>
          <w:numId w:val="10"/>
        </w:numPr>
        <w:tabs>
          <w:tab w:val="left" w:pos="426"/>
        </w:tabs>
        <w:ind w:right="40"/>
        <w:jc w:val="both"/>
        <w:rPr>
          <w:b/>
          <w:bCs/>
          <w:szCs w:val="28"/>
        </w:rPr>
      </w:pPr>
      <w:r w:rsidRPr="002E4477">
        <w:rPr>
          <w:szCs w:val="28"/>
          <w:bdr w:val="none" w:sz="0" w:space="0" w:color="auto" w:frame="1"/>
          <w:lang w:val="es-ES_tradnl"/>
        </w:rPr>
        <w:t xml:space="preserve">En </w:t>
      </w:r>
      <w:r w:rsidR="00380A8D" w:rsidRPr="002E4477">
        <w:rPr>
          <w:szCs w:val="28"/>
          <w:bdr w:val="none" w:sz="0" w:space="0" w:color="auto" w:frame="1"/>
          <w:lang w:val="es-ES_tradnl"/>
        </w:rPr>
        <w:t>el presente asunto, la entidad demandante aleg</w:t>
      </w:r>
      <w:r w:rsidR="00C2626E" w:rsidRPr="002E4477">
        <w:rPr>
          <w:szCs w:val="28"/>
          <w:bdr w:val="none" w:sz="0" w:space="0" w:color="auto" w:frame="1"/>
          <w:lang w:val="es-ES_tradnl"/>
        </w:rPr>
        <w:t xml:space="preserve">ó precisamente </w:t>
      </w:r>
      <w:r w:rsidR="00562F79" w:rsidRPr="002E4477">
        <w:rPr>
          <w:szCs w:val="28"/>
          <w:bdr w:val="none" w:sz="0" w:space="0" w:color="auto" w:frame="1"/>
          <w:lang w:val="es-ES_tradnl"/>
        </w:rPr>
        <w:t xml:space="preserve">la </w:t>
      </w:r>
      <w:r w:rsidR="00C2626E" w:rsidRPr="002E4477">
        <w:rPr>
          <w:szCs w:val="28"/>
          <w:bdr w:val="none" w:sz="0" w:space="0" w:color="auto" w:frame="1"/>
          <w:lang w:val="es-ES_tradnl"/>
        </w:rPr>
        <w:t xml:space="preserve">existencia de </w:t>
      </w:r>
      <w:r w:rsidR="00562F79" w:rsidRPr="002E4477">
        <w:rPr>
          <w:szCs w:val="28"/>
          <w:bdr w:val="none" w:sz="0" w:space="0" w:color="auto" w:frame="1"/>
          <w:lang w:val="es-ES_tradnl"/>
        </w:rPr>
        <w:t xml:space="preserve">un </w:t>
      </w:r>
      <w:r w:rsidR="00C2626E" w:rsidRPr="002E4477">
        <w:rPr>
          <w:szCs w:val="28"/>
          <w:bdr w:val="none" w:sz="0" w:space="0" w:color="auto" w:frame="1"/>
          <w:lang w:val="es-ES_tradnl"/>
        </w:rPr>
        <w:t xml:space="preserve">defecto orgánico, </w:t>
      </w:r>
      <w:r w:rsidR="00DC7F6D">
        <w:rPr>
          <w:szCs w:val="28"/>
          <w:bdr w:val="none" w:sz="0" w:space="0" w:color="auto" w:frame="1"/>
          <w:lang w:val="es-ES_tradnl"/>
        </w:rPr>
        <w:t xml:space="preserve">defecto sustantivo, </w:t>
      </w:r>
      <w:r w:rsidR="00C2626E" w:rsidRPr="002E4477">
        <w:rPr>
          <w:szCs w:val="28"/>
          <w:bdr w:val="none" w:sz="0" w:space="0" w:color="auto" w:frame="1"/>
          <w:lang w:val="es-ES_tradnl"/>
        </w:rPr>
        <w:t xml:space="preserve">desconocimiento del precedente y violación directa de la Constitución en la providencia del 6 de febrero de 2018. </w:t>
      </w:r>
    </w:p>
    <w:p w14:paraId="6CAD6867" w14:textId="77777777" w:rsidR="00A65549" w:rsidRPr="00A65549" w:rsidRDefault="00A65549" w:rsidP="00A65549">
      <w:pPr>
        <w:pStyle w:val="Prrafodelista"/>
        <w:tabs>
          <w:tab w:val="left" w:pos="426"/>
        </w:tabs>
        <w:ind w:left="0" w:right="40"/>
        <w:jc w:val="both"/>
        <w:rPr>
          <w:b/>
          <w:bCs/>
          <w:szCs w:val="28"/>
        </w:rPr>
      </w:pPr>
    </w:p>
    <w:p w14:paraId="538B3A77" w14:textId="77777777" w:rsidR="00A65549" w:rsidRPr="001070F7" w:rsidRDefault="00A65549" w:rsidP="00A65549">
      <w:pPr>
        <w:pStyle w:val="Prrafodelista"/>
        <w:numPr>
          <w:ilvl w:val="0"/>
          <w:numId w:val="10"/>
        </w:numPr>
        <w:tabs>
          <w:tab w:val="left" w:pos="426"/>
        </w:tabs>
        <w:ind w:right="40"/>
        <w:jc w:val="both"/>
        <w:rPr>
          <w:b/>
          <w:bCs/>
          <w:szCs w:val="28"/>
        </w:rPr>
      </w:pPr>
      <w:r w:rsidRPr="001070F7">
        <w:rPr>
          <w:szCs w:val="28"/>
          <w:bdr w:val="none" w:sz="0" w:space="0" w:color="auto" w:frame="1"/>
          <w:lang w:val="es-ES_tradnl"/>
        </w:rPr>
        <w:t xml:space="preserve">Sin embargo, por las particularidades propias del caso que nos convoca y su especificidad, el defecto que mejor se ajusta a los hechos narrados y a las circunstancias que propone la entidad demandante, resulta ser el de </w:t>
      </w:r>
      <w:r w:rsidRPr="001070F7">
        <w:rPr>
          <w:i/>
          <w:iCs/>
          <w:szCs w:val="28"/>
          <w:bdr w:val="none" w:sz="0" w:space="0" w:color="auto" w:frame="1"/>
          <w:lang w:val="es-ES_tradnl"/>
        </w:rPr>
        <w:t>violación directa de la Constitución</w:t>
      </w:r>
      <w:r w:rsidRPr="001070F7">
        <w:rPr>
          <w:szCs w:val="28"/>
          <w:bdr w:val="none" w:sz="0" w:space="0" w:color="auto" w:frame="1"/>
          <w:lang w:val="es-ES_tradnl"/>
        </w:rPr>
        <w:t>, cuya posible configuración se abordará con detenimiento en el estudio del caso concreto, pero que sirve de preludio para las reflexiones de fondo que, a continuación, revisará la Sala, como le corresponde.</w:t>
      </w:r>
    </w:p>
    <w:p w14:paraId="1F4EDB99" w14:textId="77777777" w:rsidR="009122BA" w:rsidRPr="001070F7" w:rsidRDefault="009122BA" w:rsidP="00EC0A8F">
      <w:pPr>
        <w:pStyle w:val="Prrafodelista"/>
        <w:tabs>
          <w:tab w:val="left" w:pos="426"/>
        </w:tabs>
        <w:spacing w:line="276" w:lineRule="auto"/>
        <w:ind w:left="0" w:right="40"/>
        <w:jc w:val="both"/>
        <w:rPr>
          <w:b/>
          <w:bCs/>
          <w:szCs w:val="28"/>
        </w:rPr>
      </w:pPr>
    </w:p>
    <w:p w14:paraId="2F4B336E" w14:textId="77777777" w:rsidR="00692B1D" w:rsidRPr="001070F7" w:rsidRDefault="00692B1D" w:rsidP="00692B1D">
      <w:pPr>
        <w:pStyle w:val="NormalWeb"/>
        <w:tabs>
          <w:tab w:val="left" w:pos="426"/>
        </w:tabs>
        <w:spacing w:before="0" w:beforeAutospacing="0" w:after="0" w:afterAutospacing="0"/>
        <w:ind w:right="40"/>
        <w:jc w:val="both"/>
        <w:rPr>
          <w:b/>
          <w:bCs/>
          <w:sz w:val="28"/>
          <w:szCs w:val="28"/>
        </w:rPr>
      </w:pPr>
      <w:r w:rsidRPr="001070F7">
        <w:rPr>
          <w:b/>
          <w:bCs/>
          <w:sz w:val="28"/>
          <w:szCs w:val="28"/>
        </w:rPr>
        <w:t xml:space="preserve">Análisis de fondo </w:t>
      </w:r>
    </w:p>
    <w:p w14:paraId="7300DB4C" w14:textId="77777777" w:rsidR="00692B1D" w:rsidRPr="001070F7" w:rsidRDefault="00692B1D" w:rsidP="00EC0A8F">
      <w:pPr>
        <w:pStyle w:val="Prrafodelista"/>
        <w:tabs>
          <w:tab w:val="left" w:pos="426"/>
        </w:tabs>
        <w:spacing w:line="276" w:lineRule="auto"/>
        <w:ind w:left="0" w:right="40"/>
        <w:jc w:val="both"/>
        <w:rPr>
          <w:b/>
          <w:bCs/>
          <w:szCs w:val="28"/>
        </w:rPr>
      </w:pPr>
    </w:p>
    <w:p w14:paraId="02E9F8BC" w14:textId="77777777" w:rsidR="00692B1D" w:rsidRPr="002E4477" w:rsidRDefault="007B139D" w:rsidP="00692B1D">
      <w:pPr>
        <w:pStyle w:val="NormalWeb"/>
        <w:tabs>
          <w:tab w:val="left" w:pos="426"/>
        </w:tabs>
        <w:spacing w:before="0" w:beforeAutospacing="0" w:after="0" w:afterAutospacing="0"/>
        <w:ind w:right="40"/>
        <w:jc w:val="both"/>
        <w:rPr>
          <w:b/>
          <w:bCs/>
          <w:sz w:val="28"/>
          <w:szCs w:val="28"/>
        </w:rPr>
      </w:pPr>
      <w:r w:rsidRPr="001070F7">
        <w:rPr>
          <w:b/>
          <w:bCs/>
          <w:sz w:val="28"/>
          <w:szCs w:val="28"/>
        </w:rPr>
        <w:t>A.</w:t>
      </w:r>
      <w:r>
        <w:rPr>
          <w:b/>
          <w:bCs/>
          <w:sz w:val="28"/>
          <w:szCs w:val="28"/>
        </w:rPr>
        <w:t xml:space="preserve"> </w:t>
      </w:r>
      <w:r w:rsidR="00692B1D" w:rsidRPr="002E4477">
        <w:rPr>
          <w:b/>
          <w:bCs/>
          <w:sz w:val="28"/>
          <w:szCs w:val="28"/>
        </w:rPr>
        <w:t>Del control abstracto de la Corte Constitucional</w:t>
      </w:r>
    </w:p>
    <w:p w14:paraId="64F7FD2A" w14:textId="77777777" w:rsidR="00692B1D" w:rsidRPr="002E4477" w:rsidRDefault="00692B1D" w:rsidP="00EC0A8F">
      <w:pPr>
        <w:pStyle w:val="Prrafodelista"/>
        <w:tabs>
          <w:tab w:val="left" w:pos="426"/>
        </w:tabs>
        <w:spacing w:line="276" w:lineRule="auto"/>
        <w:ind w:left="0" w:right="40"/>
        <w:jc w:val="both"/>
        <w:rPr>
          <w:b/>
          <w:bCs/>
          <w:szCs w:val="28"/>
        </w:rPr>
      </w:pPr>
    </w:p>
    <w:p w14:paraId="18B82F4C" w14:textId="77777777" w:rsidR="00692B1D" w:rsidRPr="002E4477" w:rsidRDefault="00692B1D" w:rsidP="00692B1D">
      <w:pPr>
        <w:shd w:val="clear" w:color="auto" w:fill="FFFFFF"/>
        <w:jc w:val="both"/>
        <w:rPr>
          <w:i/>
          <w:szCs w:val="28"/>
          <w:lang w:val="es-CO" w:eastAsia="es-CO"/>
        </w:rPr>
      </w:pPr>
      <w:r w:rsidRPr="002E4477">
        <w:rPr>
          <w:b/>
          <w:bCs/>
          <w:i/>
          <w:szCs w:val="28"/>
          <w:lang w:val="es-ES_tradnl" w:eastAsia="es-CO"/>
        </w:rPr>
        <w:t xml:space="preserve">El </w:t>
      </w:r>
      <w:r w:rsidR="0028622D" w:rsidRPr="002E4477">
        <w:rPr>
          <w:b/>
          <w:bCs/>
          <w:i/>
          <w:szCs w:val="28"/>
          <w:lang w:val="es-ES_tradnl" w:eastAsia="es-CO"/>
        </w:rPr>
        <w:t>principio de supremacía constitucional</w:t>
      </w:r>
      <w:r w:rsidR="00C9159F" w:rsidRPr="002E4477">
        <w:rPr>
          <w:b/>
          <w:bCs/>
          <w:i/>
          <w:szCs w:val="28"/>
          <w:lang w:val="es-ES_tradnl" w:eastAsia="es-CO"/>
        </w:rPr>
        <w:t xml:space="preserve"> y el papel de la Corte Constitucional como garante de la integridad y supremacía de la Carta</w:t>
      </w:r>
    </w:p>
    <w:p w14:paraId="6CFB2477" w14:textId="77777777" w:rsidR="00692B1D" w:rsidRPr="002E4477" w:rsidRDefault="00692B1D" w:rsidP="00EC0A8F">
      <w:pPr>
        <w:pStyle w:val="Prrafodelista"/>
        <w:tabs>
          <w:tab w:val="left" w:pos="426"/>
        </w:tabs>
        <w:spacing w:line="276" w:lineRule="auto"/>
        <w:ind w:left="0" w:right="40"/>
        <w:jc w:val="both"/>
        <w:rPr>
          <w:b/>
          <w:bCs/>
          <w:szCs w:val="28"/>
        </w:rPr>
      </w:pPr>
    </w:p>
    <w:p w14:paraId="79B2C95C" w14:textId="77777777" w:rsidR="00466011" w:rsidRPr="002E4477" w:rsidRDefault="0084784A" w:rsidP="0018174E">
      <w:pPr>
        <w:pStyle w:val="Prrafodelista"/>
        <w:numPr>
          <w:ilvl w:val="0"/>
          <w:numId w:val="10"/>
        </w:numPr>
        <w:tabs>
          <w:tab w:val="left" w:pos="426"/>
        </w:tabs>
        <w:ind w:right="40"/>
        <w:jc w:val="both"/>
        <w:rPr>
          <w:b/>
          <w:bCs/>
          <w:szCs w:val="28"/>
        </w:rPr>
      </w:pPr>
      <w:r w:rsidRPr="002E4477">
        <w:rPr>
          <w:szCs w:val="28"/>
          <w:lang w:val="es-ES_tradnl" w:eastAsia="es-CO"/>
        </w:rPr>
        <w:t>Una</w:t>
      </w:r>
      <w:r w:rsidR="00466011" w:rsidRPr="002E4477">
        <w:rPr>
          <w:szCs w:val="28"/>
          <w:lang w:val="es-ES_tradnl" w:eastAsia="es-CO"/>
        </w:rPr>
        <w:t xml:space="preserve"> Constituci</w:t>
      </w:r>
      <w:r w:rsidRPr="002E4477">
        <w:rPr>
          <w:szCs w:val="28"/>
          <w:lang w:val="es-ES_tradnl" w:eastAsia="es-CO"/>
        </w:rPr>
        <w:t>ón</w:t>
      </w:r>
      <w:r w:rsidR="00466011" w:rsidRPr="002E4477">
        <w:rPr>
          <w:szCs w:val="28"/>
          <w:lang w:val="es-ES_tradnl" w:eastAsia="es-CO"/>
        </w:rPr>
        <w:t xml:space="preserve"> </w:t>
      </w:r>
      <w:r w:rsidRPr="002E4477">
        <w:rPr>
          <w:szCs w:val="28"/>
          <w:lang w:val="es-ES_tradnl" w:eastAsia="es-CO"/>
        </w:rPr>
        <w:t>es</w:t>
      </w:r>
      <w:r w:rsidR="00466011" w:rsidRPr="002E4477">
        <w:rPr>
          <w:szCs w:val="28"/>
          <w:lang w:val="es-ES_tradnl" w:eastAsia="es-CO"/>
        </w:rPr>
        <w:t xml:space="preserve"> el centro del orden político y jurídico de una sociedad y el eje </w:t>
      </w:r>
      <w:r w:rsidR="000342D8" w:rsidRPr="002E4477">
        <w:rPr>
          <w:szCs w:val="28"/>
          <w:lang w:val="es-ES_tradnl" w:eastAsia="es-CO"/>
        </w:rPr>
        <w:t xml:space="preserve">estructural </w:t>
      </w:r>
      <w:r w:rsidR="00466011" w:rsidRPr="002E4477">
        <w:rPr>
          <w:szCs w:val="28"/>
          <w:lang w:val="es-ES_tradnl" w:eastAsia="es-CO"/>
        </w:rPr>
        <w:t>de su sistema normativo</w:t>
      </w:r>
      <w:r w:rsidR="00466011" w:rsidRPr="002E4477">
        <w:rPr>
          <w:rStyle w:val="Refdenotaalpie"/>
          <w:szCs w:val="28"/>
          <w:lang w:val="es-ES_tradnl" w:eastAsia="es-CO"/>
        </w:rPr>
        <w:footnoteReference w:id="131"/>
      </w:r>
      <w:r w:rsidR="00466011" w:rsidRPr="002E4477">
        <w:rPr>
          <w:szCs w:val="28"/>
          <w:lang w:val="es-ES_tradnl" w:eastAsia="es-CO"/>
        </w:rPr>
        <w:t xml:space="preserve">. Como conjunto de </w:t>
      </w:r>
      <w:r w:rsidR="000C77B0" w:rsidRPr="002E4477">
        <w:rPr>
          <w:szCs w:val="28"/>
          <w:lang w:val="es-ES_tradnl" w:eastAsia="es-CO"/>
        </w:rPr>
        <w:t xml:space="preserve">preceptos </w:t>
      </w:r>
      <w:r w:rsidR="00466011" w:rsidRPr="002E4477">
        <w:rPr>
          <w:iCs/>
          <w:szCs w:val="28"/>
          <w:lang w:val="es-ES_tradnl" w:eastAsia="es-CO"/>
        </w:rPr>
        <w:t>que configura</w:t>
      </w:r>
      <w:r w:rsidR="00750A2D" w:rsidRPr="002E4477">
        <w:rPr>
          <w:iCs/>
          <w:szCs w:val="28"/>
          <w:lang w:val="es-ES_tradnl" w:eastAsia="es-CO"/>
        </w:rPr>
        <w:t>n</w:t>
      </w:r>
      <w:r w:rsidR="00466011" w:rsidRPr="002E4477">
        <w:rPr>
          <w:iCs/>
          <w:szCs w:val="28"/>
          <w:lang w:val="es-ES_tradnl" w:eastAsia="es-CO"/>
        </w:rPr>
        <w:t xml:space="preserve"> la arquitectura estatal,</w:t>
      </w:r>
      <w:r w:rsidR="006E18FA" w:rsidRPr="002E4477">
        <w:rPr>
          <w:iCs/>
          <w:szCs w:val="28"/>
          <w:lang w:val="es-ES_tradnl" w:eastAsia="es-CO"/>
        </w:rPr>
        <w:t xml:space="preserve"> </w:t>
      </w:r>
      <w:r w:rsidR="00466011" w:rsidRPr="002E4477">
        <w:rPr>
          <w:iCs/>
          <w:szCs w:val="28"/>
          <w:lang w:val="es-ES_tradnl" w:eastAsia="es-CO"/>
        </w:rPr>
        <w:t xml:space="preserve">que </w:t>
      </w:r>
      <w:r w:rsidR="009122BA" w:rsidRPr="002E4477">
        <w:rPr>
          <w:iCs/>
          <w:szCs w:val="28"/>
          <w:lang w:val="es-ES_tradnl" w:eastAsia="es-CO"/>
        </w:rPr>
        <w:t>ordenan</w:t>
      </w:r>
      <w:r w:rsidR="00466011" w:rsidRPr="002E4477">
        <w:rPr>
          <w:iCs/>
          <w:szCs w:val="28"/>
          <w:lang w:val="es-ES_tradnl" w:eastAsia="es-CO"/>
        </w:rPr>
        <w:t xml:space="preserve"> el ejercicio de los poderes públicos y las atribuciones de sus órganos, que establece</w:t>
      </w:r>
      <w:r w:rsidR="00750A2D" w:rsidRPr="002E4477">
        <w:rPr>
          <w:iCs/>
          <w:szCs w:val="28"/>
          <w:lang w:val="es-ES_tradnl" w:eastAsia="es-CO"/>
        </w:rPr>
        <w:t>n</w:t>
      </w:r>
      <w:r w:rsidR="00466011" w:rsidRPr="002E4477">
        <w:rPr>
          <w:iCs/>
          <w:szCs w:val="28"/>
          <w:lang w:val="es-ES_tradnl" w:eastAsia="es-CO"/>
        </w:rPr>
        <w:t xml:space="preserve"> límites al ejercicio del poder</w:t>
      </w:r>
      <w:r w:rsidR="00C872E0" w:rsidRPr="002E4477">
        <w:rPr>
          <w:iCs/>
          <w:szCs w:val="28"/>
          <w:lang w:val="es-ES_tradnl" w:eastAsia="es-CO"/>
        </w:rPr>
        <w:t xml:space="preserve">, que </w:t>
      </w:r>
      <w:r w:rsidR="00466011" w:rsidRPr="002E4477">
        <w:rPr>
          <w:iCs/>
          <w:szCs w:val="28"/>
          <w:lang w:val="es-ES_tradnl" w:eastAsia="es-CO"/>
        </w:rPr>
        <w:t>determina</w:t>
      </w:r>
      <w:r w:rsidR="00750A2D" w:rsidRPr="002E4477">
        <w:rPr>
          <w:iCs/>
          <w:szCs w:val="28"/>
          <w:lang w:val="es-ES_tradnl" w:eastAsia="es-CO"/>
        </w:rPr>
        <w:t>n</w:t>
      </w:r>
      <w:r w:rsidR="00466011" w:rsidRPr="002E4477">
        <w:rPr>
          <w:iCs/>
          <w:szCs w:val="28"/>
          <w:lang w:val="es-ES_tradnl" w:eastAsia="es-CO"/>
        </w:rPr>
        <w:t xml:space="preserve"> el ámbito de las libertades y derechos fundamentales de l</w:t>
      </w:r>
      <w:r w:rsidR="000342D8" w:rsidRPr="002E4477">
        <w:rPr>
          <w:iCs/>
          <w:szCs w:val="28"/>
          <w:lang w:val="es-ES_tradnl" w:eastAsia="es-CO"/>
        </w:rPr>
        <w:t>as personas</w:t>
      </w:r>
      <w:r w:rsidR="00466011" w:rsidRPr="002E4477">
        <w:rPr>
          <w:iCs/>
          <w:szCs w:val="28"/>
          <w:lang w:val="es-ES_tradnl" w:eastAsia="es-CO"/>
        </w:rPr>
        <w:t xml:space="preserve"> </w:t>
      </w:r>
      <w:r w:rsidR="00C872E0" w:rsidRPr="002E4477">
        <w:rPr>
          <w:iCs/>
          <w:szCs w:val="28"/>
          <w:lang w:val="es-ES_tradnl" w:eastAsia="es-CO"/>
        </w:rPr>
        <w:t>y</w:t>
      </w:r>
      <w:r w:rsidR="00466011" w:rsidRPr="002E4477">
        <w:rPr>
          <w:iCs/>
          <w:szCs w:val="28"/>
          <w:lang w:val="es-ES_tradnl" w:eastAsia="es-CO"/>
        </w:rPr>
        <w:t xml:space="preserve"> que fija</w:t>
      </w:r>
      <w:r w:rsidR="00750A2D" w:rsidRPr="002E4477">
        <w:rPr>
          <w:iCs/>
          <w:szCs w:val="28"/>
          <w:lang w:val="es-ES_tradnl" w:eastAsia="es-CO"/>
        </w:rPr>
        <w:t>n</w:t>
      </w:r>
      <w:r w:rsidR="00466011" w:rsidRPr="002E4477">
        <w:rPr>
          <w:iCs/>
          <w:szCs w:val="28"/>
          <w:lang w:val="es-ES_tradnl" w:eastAsia="es-CO"/>
        </w:rPr>
        <w:t xml:space="preserve"> los objetivos y aspiraciones úl</w:t>
      </w:r>
      <w:r w:rsidR="006C6DE6" w:rsidRPr="002E4477">
        <w:rPr>
          <w:iCs/>
          <w:szCs w:val="28"/>
          <w:lang w:val="es-ES_tradnl" w:eastAsia="es-CO"/>
        </w:rPr>
        <w:t xml:space="preserve">timas de una comunidad </w:t>
      </w:r>
      <w:r w:rsidR="00AA67EC" w:rsidRPr="002E4477">
        <w:rPr>
          <w:iCs/>
          <w:szCs w:val="28"/>
          <w:lang w:val="es-ES_tradnl" w:eastAsia="es-CO"/>
        </w:rPr>
        <w:t xml:space="preserve">en cuanto a </w:t>
      </w:r>
      <w:r w:rsidR="00466011" w:rsidRPr="002E4477">
        <w:rPr>
          <w:iCs/>
          <w:szCs w:val="28"/>
          <w:lang w:val="es-ES_tradnl" w:eastAsia="es-CO"/>
        </w:rPr>
        <w:t>las prestaciones</w:t>
      </w:r>
      <w:r w:rsidR="00AA67EC" w:rsidRPr="002E4477">
        <w:rPr>
          <w:iCs/>
          <w:szCs w:val="28"/>
          <w:lang w:val="es-ES_tradnl" w:eastAsia="es-CO"/>
        </w:rPr>
        <w:t xml:space="preserve"> y beneficios que deben </w:t>
      </w:r>
      <w:r w:rsidR="00734392" w:rsidRPr="002E4477">
        <w:rPr>
          <w:iCs/>
          <w:szCs w:val="28"/>
          <w:lang w:val="es-ES_tradnl" w:eastAsia="es-CO"/>
        </w:rPr>
        <w:t xml:space="preserve">asegurarse </w:t>
      </w:r>
      <w:r w:rsidR="00AA67EC" w:rsidRPr="002E4477">
        <w:rPr>
          <w:iCs/>
          <w:szCs w:val="28"/>
          <w:lang w:val="es-ES_tradnl" w:eastAsia="es-CO"/>
        </w:rPr>
        <w:t>en función de todos</w:t>
      </w:r>
      <w:r w:rsidR="00466011" w:rsidRPr="002E4477">
        <w:rPr>
          <w:rStyle w:val="Refdenotaalpie"/>
          <w:iCs/>
          <w:szCs w:val="28"/>
          <w:lang w:val="es-ES_tradnl" w:eastAsia="es-CO"/>
        </w:rPr>
        <w:footnoteReference w:id="132"/>
      </w:r>
      <w:r w:rsidR="00466011" w:rsidRPr="002E4477">
        <w:rPr>
          <w:iCs/>
          <w:szCs w:val="28"/>
          <w:lang w:val="es-ES_tradnl" w:eastAsia="es-CO"/>
        </w:rPr>
        <w:t xml:space="preserve">, </w:t>
      </w:r>
      <w:r w:rsidR="00C872E0" w:rsidRPr="002E4477">
        <w:rPr>
          <w:iCs/>
          <w:szCs w:val="28"/>
          <w:lang w:val="es-ES_tradnl" w:eastAsia="es-CO"/>
        </w:rPr>
        <w:t>consolida</w:t>
      </w:r>
      <w:r w:rsidR="000C77B0" w:rsidRPr="002E4477">
        <w:rPr>
          <w:iCs/>
          <w:szCs w:val="28"/>
          <w:lang w:val="es-ES_tradnl" w:eastAsia="es-CO"/>
        </w:rPr>
        <w:t xml:space="preserve"> las disposiciones </w:t>
      </w:r>
      <w:r w:rsidRPr="002E4477">
        <w:rPr>
          <w:iCs/>
          <w:szCs w:val="28"/>
          <w:lang w:val="es-ES_tradnl" w:eastAsia="es-CO"/>
        </w:rPr>
        <w:t>“</w:t>
      </w:r>
      <w:r w:rsidR="00466011" w:rsidRPr="002E4477">
        <w:rPr>
          <w:i/>
          <w:iCs/>
          <w:szCs w:val="28"/>
          <w:lang w:val="es-ES_tradnl" w:eastAsia="es-CO"/>
        </w:rPr>
        <w:t>de las que se derivan las demás reglas que rigen y organizan la vida en sociedad</w:t>
      </w:r>
      <w:r w:rsidR="00466011" w:rsidRPr="002E4477">
        <w:rPr>
          <w:iCs/>
          <w:szCs w:val="28"/>
          <w:lang w:val="es-ES_tradnl" w:eastAsia="es-CO"/>
        </w:rPr>
        <w:t>”</w:t>
      </w:r>
      <w:r w:rsidR="00466011" w:rsidRPr="002E4477">
        <w:rPr>
          <w:rStyle w:val="Refdenotaalpie"/>
          <w:iCs/>
          <w:szCs w:val="28"/>
          <w:lang w:val="es-ES_tradnl" w:eastAsia="es-CO"/>
        </w:rPr>
        <w:footnoteReference w:id="133"/>
      </w:r>
      <w:r w:rsidR="00466011" w:rsidRPr="002E4477">
        <w:rPr>
          <w:i/>
          <w:iCs/>
          <w:szCs w:val="28"/>
          <w:lang w:val="es-ES_tradnl" w:eastAsia="es-CO"/>
        </w:rPr>
        <w:t xml:space="preserve">. </w:t>
      </w:r>
    </w:p>
    <w:p w14:paraId="5AE3D06C" w14:textId="77777777" w:rsidR="0018174E" w:rsidRPr="002E4477" w:rsidRDefault="0018174E" w:rsidP="0018174E">
      <w:pPr>
        <w:pStyle w:val="Prrafodelista"/>
        <w:tabs>
          <w:tab w:val="left" w:pos="426"/>
        </w:tabs>
        <w:ind w:left="0" w:right="40"/>
        <w:jc w:val="both"/>
        <w:rPr>
          <w:b/>
          <w:bCs/>
          <w:szCs w:val="28"/>
        </w:rPr>
      </w:pPr>
    </w:p>
    <w:p w14:paraId="70BF9EC4" w14:textId="77777777" w:rsidR="0018174E" w:rsidRPr="002E4477" w:rsidRDefault="00AA67EC" w:rsidP="00800284">
      <w:pPr>
        <w:numPr>
          <w:ilvl w:val="0"/>
          <w:numId w:val="10"/>
        </w:numPr>
        <w:shd w:val="clear" w:color="auto" w:fill="FFFFFF"/>
        <w:jc w:val="both"/>
        <w:rPr>
          <w:iCs/>
          <w:szCs w:val="28"/>
          <w:lang w:val="es-ES_tradnl" w:eastAsia="es-CO"/>
        </w:rPr>
      </w:pPr>
      <w:r w:rsidRPr="002E4477">
        <w:rPr>
          <w:iCs/>
          <w:szCs w:val="28"/>
          <w:lang w:eastAsia="es-CO"/>
        </w:rPr>
        <w:t>En atención a</w:t>
      </w:r>
      <w:r w:rsidR="0084784A" w:rsidRPr="002E4477">
        <w:rPr>
          <w:iCs/>
          <w:szCs w:val="28"/>
          <w:lang w:eastAsia="es-CO"/>
        </w:rPr>
        <w:t xml:space="preserve"> su importancia </w:t>
      </w:r>
      <w:r w:rsidR="00C872E0" w:rsidRPr="002E4477">
        <w:rPr>
          <w:iCs/>
          <w:szCs w:val="28"/>
          <w:lang w:eastAsia="es-CO"/>
        </w:rPr>
        <w:t>para</w:t>
      </w:r>
      <w:r w:rsidR="0084784A" w:rsidRPr="002E4477">
        <w:rPr>
          <w:iCs/>
          <w:szCs w:val="28"/>
          <w:lang w:eastAsia="es-CO"/>
        </w:rPr>
        <w:t xml:space="preserve"> la estabilidad política y social</w:t>
      </w:r>
      <w:r w:rsidR="000122B9" w:rsidRPr="002E4477">
        <w:rPr>
          <w:iCs/>
          <w:szCs w:val="28"/>
          <w:lang w:eastAsia="es-CO"/>
        </w:rPr>
        <w:t xml:space="preserve"> de un país</w:t>
      </w:r>
      <w:r w:rsidRPr="002E4477">
        <w:rPr>
          <w:iCs/>
          <w:szCs w:val="28"/>
          <w:lang w:eastAsia="es-CO"/>
        </w:rPr>
        <w:t>,</w:t>
      </w:r>
      <w:r w:rsidR="0084784A" w:rsidRPr="002E4477">
        <w:rPr>
          <w:iCs/>
          <w:szCs w:val="28"/>
          <w:lang w:eastAsia="es-CO"/>
        </w:rPr>
        <w:t xml:space="preserve"> se ha reconocido</w:t>
      </w:r>
      <w:r w:rsidR="00C872E0" w:rsidRPr="002E4477">
        <w:rPr>
          <w:iCs/>
          <w:szCs w:val="28"/>
          <w:lang w:eastAsia="es-CO"/>
        </w:rPr>
        <w:t xml:space="preserve"> como prevalente</w:t>
      </w:r>
      <w:r w:rsidR="009122BA" w:rsidRPr="002E4477">
        <w:rPr>
          <w:iCs/>
          <w:szCs w:val="28"/>
          <w:lang w:eastAsia="es-CO"/>
        </w:rPr>
        <w:t xml:space="preserve"> en la estructura</w:t>
      </w:r>
      <w:r w:rsidR="00277499" w:rsidRPr="002E4477">
        <w:rPr>
          <w:iCs/>
          <w:szCs w:val="28"/>
          <w:lang w:eastAsia="es-CO"/>
        </w:rPr>
        <w:t xml:space="preserve"> de la Carta y en la jurisprudencia</w:t>
      </w:r>
      <w:r w:rsidR="009122BA" w:rsidRPr="002E4477">
        <w:rPr>
          <w:iCs/>
          <w:szCs w:val="28"/>
          <w:lang w:eastAsia="es-CO"/>
        </w:rPr>
        <w:t>,</w:t>
      </w:r>
      <w:r w:rsidR="0084784A" w:rsidRPr="002E4477">
        <w:rPr>
          <w:iCs/>
          <w:szCs w:val="28"/>
          <w:lang w:eastAsia="es-CO"/>
        </w:rPr>
        <w:t xml:space="preserve"> </w:t>
      </w:r>
      <w:r w:rsidR="00800284" w:rsidRPr="002E4477">
        <w:rPr>
          <w:iCs/>
          <w:szCs w:val="28"/>
          <w:lang w:eastAsia="es-CO"/>
        </w:rPr>
        <w:t>el</w:t>
      </w:r>
      <w:r w:rsidR="0018174E" w:rsidRPr="002E4477">
        <w:rPr>
          <w:iCs/>
          <w:szCs w:val="28"/>
          <w:lang w:val="es-ES_tradnl" w:eastAsia="es-CO"/>
        </w:rPr>
        <w:t xml:space="preserve"> </w:t>
      </w:r>
      <w:r w:rsidR="0018174E" w:rsidRPr="002E4477">
        <w:rPr>
          <w:i/>
          <w:iCs/>
          <w:szCs w:val="28"/>
          <w:lang w:val="es-ES_tradnl" w:eastAsia="es-CO"/>
        </w:rPr>
        <w:t xml:space="preserve">principio </w:t>
      </w:r>
      <w:r w:rsidR="00800284" w:rsidRPr="002E4477">
        <w:rPr>
          <w:i/>
          <w:iCs/>
          <w:szCs w:val="28"/>
          <w:lang w:val="es-ES_tradnl" w:eastAsia="es-CO"/>
        </w:rPr>
        <w:t xml:space="preserve">de </w:t>
      </w:r>
      <w:r w:rsidR="0018174E" w:rsidRPr="002E4477">
        <w:rPr>
          <w:i/>
          <w:iCs/>
          <w:szCs w:val="28"/>
          <w:lang w:val="es-ES_tradnl" w:eastAsia="es-CO"/>
        </w:rPr>
        <w:t>supremacía de la Constitución</w:t>
      </w:r>
      <w:r w:rsidR="00C872E0" w:rsidRPr="002E4477">
        <w:rPr>
          <w:iCs/>
          <w:szCs w:val="28"/>
          <w:lang w:val="es-ES_tradnl" w:eastAsia="es-CO"/>
        </w:rPr>
        <w:t>. Este principio</w:t>
      </w:r>
      <w:r w:rsidR="002729C5" w:rsidRPr="002E4477">
        <w:rPr>
          <w:iCs/>
          <w:szCs w:val="28"/>
          <w:lang w:val="es-ES_tradnl" w:eastAsia="es-CO"/>
        </w:rPr>
        <w:t xml:space="preserve"> </w:t>
      </w:r>
      <w:r w:rsidRPr="002E4477">
        <w:rPr>
          <w:iCs/>
          <w:szCs w:val="28"/>
          <w:lang w:val="es-ES_tradnl" w:eastAsia="es-CO"/>
        </w:rPr>
        <w:t xml:space="preserve">que en nuestro caso </w:t>
      </w:r>
      <w:r w:rsidR="0018174E" w:rsidRPr="002E4477">
        <w:rPr>
          <w:iCs/>
          <w:szCs w:val="28"/>
          <w:lang w:val="es-ES_tradnl" w:eastAsia="es-CO"/>
        </w:rPr>
        <w:t xml:space="preserve">se encuentra consagrado en el </w:t>
      </w:r>
      <w:r w:rsidR="0018174E" w:rsidRPr="002E4477">
        <w:rPr>
          <w:szCs w:val="28"/>
        </w:rPr>
        <w:t>artículo 4º de</w:t>
      </w:r>
      <w:r w:rsidR="002729C5" w:rsidRPr="002E4477">
        <w:rPr>
          <w:szCs w:val="28"/>
        </w:rPr>
        <w:t xml:space="preserve">l </w:t>
      </w:r>
      <w:r w:rsidR="000342D8" w:rsidRPr="002E4477">
        <w:rPr>
          <w:szCs w:val="28"/>
        </w:rPr>
        <w:t>t</w:t>
      </w:r>
      <w:r w:rsidR="002729C5" w:rsidRPr="002E4477">
        <w:rPr>
          <w:szCs w:val="28"/>
        </w:rPr>
        <w:t xml:space="preserve">exto </w:t>
      </w:r>
      <w:r w:rsidR="000342D8" w:rsidRPr="002E4477">
        <w:rPr>
          <w:szCs w:val="28"/>
        </w:rPr>
        <w:t>s</w:t>
      </w:r>
      <w:r w:rsidR="002729C5" w:rsidRPr="002E4477">
        <w:rPr>
          <w:szCs w:val="28"/>
        </w:rPr>
        <w:t>uperior</w:t>
      </w:r>
      <w:r w:rsidR="00C872E0" w:rsidRPr="002E4477">
        <w:rPr>
          <w:szCs w:val="28"/>
        </w:rPr>
        <w:t>,</w:t>
      </w:r>
      <w:r w:rsidRPr="002E4477">
        <w:rPr>
          <w:szCs w:val="28"/>
        </w:rPr>
        <w:t xml:space="preserve"> </w:t>
      </w:r>
      <w:r w:rsidR="006E18FA" w:rsidRPr="002E4477">
        <w:rPr>
          <w:szCs w:val="28"/>
        </w:rPr>
        <w:t>sostiene</w:t>
      </w:r>
      <w:r w:rsidR="00C872E0" w:rsidRPr="002E4477">
        <w:rPr>
          <w:szCs w:val="28"/>
        </w:rPr>
        <w:t xml:space="preserve"> </w:t>
      </w:r>
      <w:r w:rsidR="006E18FA" w:rsidRPr="002E4477">
        <w:rPr>
          <w:szCs w:val="28"/>
        </w:rPr>
        <w:t>que</w:t>
      </w:r>
      <w:r w:rsidR="0084784A" w:rsidRPr="002E4477">
        <w:rPr>
          <w:szCs w:val="28"/>
        </w:rPr>
        <w:t xml:space="preserve"> la </w:t>
      </w:r>
      <w:r w:rsidR="0018174E" w:rsidRPr="002E4477">
        <w:rPr>
          <w:szCs w:val="28"/>
        </w:rPr>
        <w:t>Constitución es norma de normas y</w:t>
      </w:r>
      <w:r w:rsidR="00800284" w:rsidRPr="002E4477">
        <w:rPr>
          <w:szCs w:val="28"/>
        </w:rPr>
        <w:t xml:space="preserve"> </w:t>
      </w:r>
      <w:r w:rsidR="006E18FA" w:rsidRPr="002E4477">
        <w:rPr>
          <w:szCs w:val="28"/>
        </w:rPr>
        <w:t xml:space="preserve">que </w:t>
      </w:r>
      <w:r w:rsidR="0018174E" w:rsidRPr="002E4477">
        <w:rPr>
          <w:szCs w:val="28"/>
        </w:rPr>
        <w:t>en todo caso de incompatibilidad entre las disposiciones constitucionales y las de inferior jerarquía</w:t>
      </w:r>
      <w:r w:rsidR="003102F7" w:rsidRPr="002E4477">
        <w:rPr>
          <w:szCs w:val="28"/>
        </w:rPr>
        <w:t>,</w:t>
      </w:r>
      <w:r w:rsidR="0018174E" w:rsidRPr="002E4477">
        <w:rPr>
          <w:szCs w:val="28"/>
        </w:rPr>
        <w:t xml:space="preserve"> prevalece la norma superior</w:t>
      </w:r>
      <w:r w:rsidR="006E18FA" w:rsidRPr="002E4477">
        <w:rPr>
          <w:iCs/>
          <w:szCs w:val="28"/>
          <w:lang w:val="es-ES_tradnl" w:eastAsia="es-CO"/>
        </w:rPr>
        <w:t>. Con fundamento e</w:t>
      </w:r>
      <w:r w:rsidR="00277499" w:rsidRPr="002E4477">
        <w:rPr>
          <w:iCs/>
          <w:szCs w:val="28"/>
          <w:lang w:val="es-ES_tradnl" w:eastAsia="es-CO"/>
        </w:rPr>
        <w:t>n este principio</w:t>
      </w:r>
      <w:r w:rsidR="006E18FA" w:rsidRPr="002E4477">
        <w:rPr>
          <w:iCs/>
          <w:szCs w:val="28"/>
          <w:lang w:val="es-ES_tradnl" w:eastAsia="es-CO"/>
        </w:rPr>
        <w:t xml:space="preserve">, se reconoce que </w:t>
      </w:r>
      <w:r w:rsidR="0018174E" w:rsidRPr="002E4477">
        <w:rPr>
          <w:iCs/>
          <w:szCs w:val="28"/>
          <w:lang w:val="es-ES_tradnl" w:eastAsia="es-CO"/>
        </w:rPr>
        <w:t>la C</w:t>
      </w:r>
      <w:r w:rsidR="00734392" w:rsidRPr="002E4477">
        <w:rPr>
          <w:iCs/>
          <w:szCs w:val="28"/>
          <w:lang w:val="es-ES_tradnl" w:eastAsia="es-CO"/>
        </w:rPr>
        <w:t>arta Política</w:t>
      </w:r>
      <w:r w:rsidR="0018174E" w:rsidRPr="002E4477">
        <w:rPr>
          <w:iCs/>
          <w:szCs w:val="28"/>
          <w:lang w:val="es-ES_tradnl" w:eastAsia="es-CO"/>
        </w:rPr>
        <w:t xml:space="preserve"> ocupa el </w:t>
      </w:r>
      <w:r w:rsidR="006E18FA" w:rsidRPr="002E4477">
        <w:rPr>
          <w:iCs/>
          <w:szCs w:val="28"/>
          <w:lang w:val="es-ES_tradnl" w:eastAsia="es-CO"/>
        </w:rPr>
        <w:t xml:space="preserve">lugar </w:t>
      </w:r>
      <w:r w:rsidR="0018174E" w:rsidRPr="002E4477">
        <w:rPr>
          <w:iCs/>
          <w:szCs w:val="28"/>
          <w:lang w:val="es-ES_tradnl" w:eastAsia="es-CO"/>
        </w:rPr>
        <w:t>más alto</w:t>
      </w:r>
      <w:r w:rsidR="006C6DE6" w:rsidRPr="002E4477">
        <w:rPr>
          <w:iCs/>
          <w:szCs w:val="28"/>
          <w:lang w:val="es-ES_tradnl" w:eastAsia="es-CO"/>
        </w:rPr>
        <w:t xml:space="preserve"> dentro de la pirámide </w:t>
      </w:r>
      <w:r w:rsidR="006C6DE6" w:rsidRPr="002E4477">
        <w:rPr>
          <w:iCs/>
          <w:szCs w:val="28"/>
          <w:lang w:val="es-ES_tradnl" w:eastAsia="es-CO"/>
        </w:rPr>
        <w:lastRenderedPageBreak/>
        <w:t>jurídica</w:t>
      </w:r>
      <w:r w:rsidR="006E18FA" w:rsidRPr="002E4477">
        <w:rPr>
          <w:iCs/>
          <w:szCs w:val="28"/>
          <w:lang w:val="es-ES_tradnl" w:eastAsia="es-CO"/>
        </w:rPr>
        <w:t xml:space="preserve"> </w:t>
      </w:r>
      <w:r w:rsidR="00277499" w:rsidRPr="002E4477">
        <w:rPr>
          <w:iCs/>
          <w:szCs w:val="28"/>
          <w:lang w:val="es-ES_tradnl" w:eastAsia="es-CO"/>
        </w:rPr>
        <w:t>de</w:t>
      </w:r>
      <w:r w:rsidR="006E18FA" w:rsidRPr="002E4477">
        <w:rPr>
          <w:iCs/>
          <w:szCs w:val="28"/>
          <w:lang w:val="es-ES_tradnl" w:eastAsia="es-CO"/>
        </w:rPr>
        <w:t xml:space="preserve"> una comunidad</w:t>
      </w:r>
      <w:r w:rsidRPr="002E4477">
        <w:rPr>
          <w:iCs/>
          <w:szCs w:val="28"/>
          <w:lang w:val="es-ES_tradnl" w:eastAsia="es-CO"/>
        </w:rPr>
        <w:t xml:space="preserve"> </w:t>
      </w:r>
      <w:r w:rsidR="0018174E" w:rsidRPr="002E4477">
        <w:rPr>
          <w:iCs/>
          <w:szCs w:val="28"/>
          <w:lang w:val="es-ES_tradnl" w:eastAsia="es-CO"/>
        </w:rPr>
        <w:t>y que a ella debe</w:t>
      </w:r>
      <w:r w:rsidR="006C6DE6" w:rsidRPr="002E4477">
        <w:rPr>
          <w:iCs/>
          <w:szCs w:val="28"/>
          <w:lang w:val="es-ES_tradnl" w:eastAsia="es-CO"/>
        </w:rPr>
        <w:t>n</w:t>
      </w:r>
      <w:r w:rsidR="0018174E" w:rsidRPr="002E4477">
        <w:rPr>
          <w:iCs/>
          <w:szCs w:val="28"/>
          <w:lang w:val="es-ES_tradnl" w:eastAsia="es-CO"/>
        </w:rPr>
        <w:t xml:space="preserve"> estar subordinad</w:t>
      </w:r>
      <w:r w:rsidR="00750A2D" w:rsidRPr="002E4477">
        <w:rPr>
          <w:iCs/>
          <w:szCs w:val="28"/>
          <w:lang w:val="es-ES_tradnl" w:eastAsia="es-CO"/>
        </w:rPr>
        <w:t>o</w:t>
      </w:r>
      <w:r w:rsidR="006C6DE6" w:rsidRPr="002E4477">
        <w:rPr>
          <w:iCs/>
          <w:szCs w:val="28"/>
          <w:lang w:val="es-ES_tradnl" w:eastAsia="es-CO"/>
        </w:rPr>
        <w:t>s</w:t>
      </w:r>
      <w:r w:rsidR="00800284" w:rsidRPr="002E4477">
        <w:rPr>
          <w:iCs/>
          <w:szCs w:val="28"/>
          <w:lang w:val="es-ES_tradnl" w:eastAsia="es-CO"/>
        </w:rPr>
        <w:t xml:space="preserve"> tod</w:t>
      </w:r>
      <w:r w:rsidR="00750A2D" w:rsidRPr="002E4477">
        <w:rPr>
          <w:iCs/>
          <w:szCs w:val="28"/>
          <w:lang w:val="es-ES_tradnl" w:eastAsia="es-CO"/>
        </w:rPr>
        <w:t>o</w:t>
      </w:r>
      <w:r w:rsidRPr="002E4477">
        <w:rPr>
          <w:iCs/>
          <w:szCs w:val="28"/>
          <w:lang w:val="es-ES_tradnl" w:eastAsia="es-CO"/>
        </w:rPr>
        <w:t>s</w:t>
      </w:r>
      <w:r w:rsidR="00800284" w:rsidRPr="002E4477">
        <w:rPr>
          <w:iCs/>
          <w:szCs w:val="28"/>
          <w:lang w:val="es-ES_tradnl" w:eastAsia="es-CO"/>
        </w:rPr>
        <w:t xml:space="preserve"> los preceptos</w:t>
      </w:r>
      <w:r w:rsidR="006C6DE6" w:rsidRPr="002E4477">
        <w:rPr>
          <w:iCs/>
          <w:szCs w:val="28"/>
          <w:lang w:val="es-ES_tradnl" w:eastAsia="es-CO"/>
        </w:rPr>
        <w:t xml:space="preserve"> y </w:t>
      </w:r>
      <w:r w:rsidRPr="002E4477">
        <w:rPr>
          <w:iCs/>
          <w:szCs w:val="28"/>
          <w:lang w:val="es-ES_tradnl" w:eastAsia="es-CO"/>
        </w:rPr>
        <w:t>las</w:t>
      </w:r>
      <w:r w:rsidR="00750A2D" w:rsidRPr="002E4477">
        <w:rPr>
          <w:iCs/>
          <w:szCs w:val="28"/>
          <w:lang w:val="es-ES_tradnl" w:eastAsia="es-CO"/>
        </w:rPr>
        <w:t xml:space="preserve"> actuaciones de las</w:t>
      </w:r>
      <w:r w:rsidRPr="002E4477">
        <w:rPr>
          <w:iCs/>
          <w:szCs w:val="28"/>
          <w:lang w:val="es-ES_tradnl" w:eastAsia="es-CO"/>
        </w:rPr>
        <w:t xml:space="preserve"> </w:t>
      </w:r>
      <w:r w:rsidR="006C6DE6" w:rsidRPr="002E4477">
        <w:rPr>
          <w:iCs/>
          <w:szCs w:val="28"/>
          <w:lang w:val="es-ES_tradnl" w:eastAsia="es-CO"/>
        </w:rPr>
        <w:t>autoridades</w:t>
      </w:r>
      <w:r w:rsidR="0084784A" w:rsidRPr="002E4477">
        <w:rPr>
          <w:iCs/>
          <w:szCs w:val="28"/>
          <w:lang w:val="es-ES_tradnl" w:eastAsia="es-CO"/>
        </w:rPr>
        <w:t xml:space="preserve"> en el cumplimiento de sus funciones</w:t>
      </w:r>
      <w:r w:rsidR="006E18FA" w:rsidRPr="002E4477">
        <w:rPr>
          <w:iCs/>
          <w:szCs w:val="28"/>
          <w:lang w:val="es-ES_tradnl" w:eastAsia="es-CO"/>
        </w:rPr>
        <w:t>, en la medida</w:t>
      </w:r>
      <w:r w:rsidR="006C6DE6" w:rsidRPr="002E4477">
        <w:rPr>
          <w:iCs/>
          <w:szCs w:val="28"/>
          <w:lang w:val="es-ES_tradnl" w:eastAsia="es-CO"/>
        </w:rPr>
        <w:t xml:space="preserve"> en que</w:t>
      </w:r>
      <w:r w:rsidR="006E18FA" w:rsidRPr="002E4477">
        <w:rPr>
          <w:iCs/>
          <w:szCs w:val="28"/>
          <w:lang w:val="es-ES_tradnl" w:eastAsia="es-CO"/>
        </w:rPr>
        <w:t xml:space="preserve"> la Carta es </w:t>
      </w:r>
      <w:r w:rsidR="0018174E" w:rsidRPr="002E4477">
        <w:rPr>
          <w:iCs/>
          <w:szCs w:val="28"/>
          <w:lang w:val="es-ES_tradnl" w:eastAsia="es-CO"/>
        </w:rPr>
        <w:t xml:space="preserve">fuente de validez de cualquier disposición, regla o decisión que formulen o profieran los órganos por ella </w:t>
      </w:r>
      <w:r w:rsidR="006C6DE6" w:rsidRPr="002E4477">
        <w:rPr>
          <w:iCs/>
          <w:szCs w:val="28"/>
          <w:lang w:val="es-ES_tradnl" w:eastAsia="es-CO"/>
        </w:rPr>
        <w:t>constituidos</w:t>
      </w:r>
      <w:r w:rsidR="0018174E" w:rsidRPr="002E4477">
        <w:rPr>
          <w:rStyle w:val="Refdenotaalpie"/>
          <w:iCs/>
          <w:szCs w:val="28"/>
          <w:lang w:val="es-ES_tradnl" w:eastAsia="es-CO"/>
        </w:rPr>
        <w:footnoteReference w:id="134"/>
      </w:r>
      <w:r w:rsidR="006E18FA" w:rsidRPr="002E4477">
        <w:rPr>
          <w:iCs/>
          <w:szCs w:val="28"/>
          <w:lang w:val="es-ES_tradnl" w:eastAsia="es-CO"/>
        </w:rPr>
        <w:t xml:space="preserve">. </w:t>
      </w:r>
    </w:p>
    <w:p w14:paraId="023AB5C0" w14:textId="77777777" w:rsidR="0018174E" w:rsidRPr="002E4477" w:rsidRDefault="0018174E" w:rsidP="0018174E">
      <w:pPr>
        <w:shd w:val="clear" w:color="auto" w:fill="FFFFFF"/>
        <w:jc w:val="both"/>
        <w:rPr>
          <w:iCs/>
          <w:szCs w:val="28"/>
          <w:lang w:val="es-ES_tradnl" w:eastAsia="es-CO"/>
        </w:rPr>
      </w:pPr>
    </w:p>
    <w:p w14:paraId="215B33A2" w14:textId="77777777" w:rsidR="00CC5C0C" w:rsidRPr="002E4477" w:rsidRDefault="00AA67EC" w:rsidP="004F7867">
      <w:pPr>
        <w:pStyle w:val="Prrafodelista"/>
        <w:numPr>
          <w:ilvl w:val="0"/>
          <w:numId w:val="10"/>
        </w:numPr>
        <w:tabs>
          <w:tab w:val="left" w:pos="426"/>
        </w:tabs>
        <w:ind w:right="40"/>
        <w:jc w:val="both"/>
        <w:rPr>
          <w:szCs w:val="28"/>
        </w:rPr>
      </w:pPr>
      <w:r w:rsidRPr="002E4477">
        <w:rPr>
          <w:szCs w:val="28"/>
          <w:lang w:val="es-ES_tradnl"/>
        </w:rPr>
        <w:t>L</w:t>
      </w:r>
      <w:r w:rsidR="00692B1D" w:rsidRPr="002E4477">
        <w:rPr>
          <w:szCs w:val="28"/>
        </w:rPr>
        <w:t xml:space="preserve">a jurisprudencia constitucional ha destacado </w:t>
      </w:r>
      <w:r w:rsidR="0084784A" w:rsidRPr="002E4477">
        <w:rPr>
          <w:szCs w:val="28"/>
        </w:rPr>
        <w:t xml:space="preserve">entonces, </w:t>
      </w:r>
      <w:r w:rsidR="00692B1D" w:rsidRPr="002E4477">
        <w:rPr>
          <w:szCs w:val="28"/>
        </w:rPr>
        <w:t>que el principio de supremacía constitucional se expresa en tres dimensiones</w:t>
      </w:r>
      <w:r w:rsidR="00692B1D" w:rsidRPr="002E4477">
        <w:rPr>
          <w:rStyle w:val="Refdenotaalpie"/>
          <w:szCs w:val="28"/>
        </w:rPr>
        <w:footnoteReference w:id="135"/>
      </w:r>
      <w:r w:rsidR="0018174E" w:rsidRPr="002E4477">
        <w:rPr>
          <w:szCs w:val="28"/>
        </w:rPr>
        <w:t xml:space="preserve"> concretas</w:t>
      </w:r>
      <w:r w:rsidR="00692B1D" w:rsidRPr="002E4477">
        <w:rPr>
          <w:szCs w:val="28"/>
        </w:rPr>
        <w:t>:</w:t>
      </w:r>
    </w:p>
    <w:p w14:paraId="42D8A020" w14:textId="77777777" w:rsidR="005633E4" w:rsidRPr="002E4477" w:rsidRDefault="005633E4" w:rsidP="005633E4">
      <w:pPr>
        <w:pStyle w:val="Prrafodelista"/>
        <w:tabs>
          <w:tab w:val="left" w:pos="426"/>
        </w:tabs>
        <w:ind w:left="0" w:right="40"/>
        <w:jc w:val="both"/>
        <w:rPr>
          <w:szCs w:val="28"/>
        </w:rPr>
      </w:pPr>
    </w:p>
    <w:p w14:paraId="0B83C70B" w14:textId="77777777" w:rsidR="005633E4" w:rsidRPr="002E4477" w:rsidRDefault="005633E4" w:rsidP="005633E4">
      <w:pPr>
        <w:pStyle w:val="Prrafodelista"/>
        <w:ind w:left="0"/>
        <w:jc w:val="both"/>
        <w:rPr>
          <w:szCs w:val="28"/>
        </w:rPr>
      </w:pPr>
      <w:r w:rsidRPr="002E4477">
        <w:rPr>
          <w:szCs w:val="28"/>
        </w:rPr>
        <w:t xml:space="preserve">(i) Una función </w:t>
      </w:r>
      <w:r w:rsidRPr="002E4477">
        <w:rPr>
          <w:b/>
          <w:szCs w:val="28"/>
        </w:rPr>
        <w:t>jerárquica</w:t>
      </w:r>
      <w:r w:rsidRPr="002E4477">
        <w:rPr>
          <w:szCs w:val="28"/>
        </w:rPr>
        <w:t>, que conlleva, por una parte, la imposibilidad de que existan normas superiores a la Carta</w:t>
      </w:r>
      <w:r w:rsidRPr="002E4477">
        <w:rPr>
          <w:rStyle w:val="Refdenotaalpie"/>
          <w:szCs w:val="28"/>
        </w:rPr>
        <w:footnoteReference w:id="136"/>
      </w:r>
      <w:r w:rsidRPr="002E4477">
        <w:rPr>
          <w:szCs w:val="28"/>
        </w:rPr>
        <w:t xml:space="preserve">; y por otra, que reclama que la Constitución Política </w:t>
      </w:r>
      <w:r w:rsidRPr="002E4477">
        <w:rPr>
          <w:b/>
          <w:bCs/>
          <w:szCs w:val="28"/>
        </w:rPr>
        <w:t xml:space="preserve">sea reconocida como un parámetro de validez </w:t>
      </w:r>
      <w:r w:rsidRPr="002E4477">
        <w:rPr>
          <w:b/>
          <w:bCs/>
          <w:i/>
          <w:szCs w:val="28"/>
        </w:rPr>
        <w:t>formal</w:t>
      </w:r>
      <w:r w:rsidRPr="002E4477">
        <w:rPr>
          <w:b/>
          <w:bCs/>
          <w:szCs w:val="28"/>
        </w:rPr>
        <w:t xml:space="preserve"> y </w:t>
      </w:r>
      <w:r w:rsidRPr="002E4477">
        <w:rPr>
          <w:b/>
          <w:bCs/>
          <w:i/>
          <w:szCs w:val="28"/>
        </w:rPr>
        <w:t>material</w:t>
      </w:r>
      <w:r w:rsidRPr="002E4477">
        <w:rPr>
          <w:szCs w:val="28"/>
        </w:rPr>
        <w:t xml:space="preserve"> de todas las demás disposiciones que integran el ordenamiento jurídico. En cuanto a lo primero, la Carta define el régimen de competencias para la producción normativa y por lo tanto, los procesos y elementos que se requieren para la expedición e incorporación de todos los demás preceptos al régimen jurídico</w:t>
      </w:r>
      <w:r w:rsidRPr="002E4477">
        <w:rPr>
          <w:rStyle w:val="Refdenotaalpie"/>
          <w:szCs w:val="28"/>
        </w:rPr>
        <w:footnoteReference w:id="137"/>
      </w:r>
      <w:r w:rsidRPr="002E4477">
        <w:rPr>
          <w:szCs w:val="28"/>
        </w:rPr>
        <w:t>. En relación con lo segundo, exige la prevalencia de las reglas, principios y valores constitucionales, cuando exista contradicción o incompatibilidad entre las normas superiores y el contenido de las disposiciones de inferior jerarquía</w:t>
      </w:r>
      <w:r w:rsidRPr="002E4477">
        <w:rPr>
          <w:rStyle w:val="Refdenotaalpie"/>
          <w:szCs w:val="28"/>
        </w:rPr>
        <w:footnoteReference w:id="138"/>
      </w:r>
      <w:r w:rsidRPr="002E4477">
        <w:rPr>
          <w:szCs w:val="28"/>
        </w:rPr>
        <w:t>.</w:t>
      </w:r>
    </w:p>
    <w:p w14:paraId="5977952F" w14:textId="77777777" w:rsidR="005633E4" w:rsidRPr="002E4477" w:rsidRDefault="005633E4" w:rsidP="005633E4">
      <w:pPr>
        <w:pStyle w:val="Prrafodelista"/>
        <w:rPr>
          <w:szCs w:val="28"/>
        </w:rPr>
      </w:pPr>
    </w:p>
    <w:p w14:paraId="5BA32203" w14:textId="77777777" w:rsidR="005633E4" w:rsidRPr="002E4477" w:rsidRDefault="005633E4" w:rsidP="005633E4">
      <w:pPr>
        <w:pStyle w:val="Prrafodelista"/>
        <w:ind w:left="0"/>
        <w:jc w:val="both"/>
        <w:rPr>
          <w:szCs w:val="28"/>
        </w:rPr>
      </w:pPr>
      <w:r w:rsidRPr="002E4477">
        <w:rPr>
          <w:szCs w:val="28"/>
        </w:rPr>
        <w:t xml:space="preserve">(ii) Una función </w:t>
      </w:r>
      <w:r w:rsidRPr="002E4477">
        <w:rPr>
          <w:b/>
          <w:bCs/>
          <w:szCs w:val="28"/>
        </w:rPr>
        <w:t>directiva</w:t>
      </w:r>
      <w:r w:rsidRPr="002E4477">
        <w:rPr>
          <w:szCs w:val="28"/>
        </w:rPr>
        <w:t>, que establece la potestad del juez constitucional de definir la interpretación conforme a la Constitución de las demás normas jurídicas. En esta dimensión, la Corte Constitucional, en su condición de intérprete autorizada de la Carta, determina cuáles lecturas o</w:t>
      </w:r>
      <w:r w:rsidR="000D2C56" w:rsidRPr="002E4477">
        <w:rPr>
          <w:szCs w:val="28"/>
        </w:rPr>
        <w:t xml:space="preserve"> alcances </w:t>
      </w:r>
      <w:r w:rsidRPr="002E4477">
        <w:rPr>
          <w:szCs w:val="28"/>
        </w:rPr>
        <w:t xml:space="preserve">de las disposiciones normativas guardan armonía con el </w:t>
      </w:r>
      <w:r w:rsidR="000342D8" w:rsidRPr="002E4477">
        <w:rPr>
          <w:szCs w:val="28"/>
        </w:rPr>
        <w:t>t</w:t>
      </w:r>
      <w:r w:rsidRPr="002E4477">
        <w:rPr>
          <w:szCs w:val="28"/>
        </w:rPr>
        <w:t xml:space="preserve">exto </w:t>
      </w:r>
      <w:r w:rsidR="000342D8" w:rsidRPr="002E4477">
        <w:rPr>
          <w:szCs w:val="28"/>
        </w:rPr>
        <w:t>s</w:t>
      </w:r>
      <w:r w:rsidRPr="002E4477">
        <w:rPr>
          <w:szCs w:val="28"/>
        </w:rPr>
        <w:t>uperior</w:t>
      </w:r>
      <w:r w:rsidRPr="002E4477">
        <w:rPr>
          <w:rStyle w:val="Refdenotaalpie"/>
          <w:szCs w:val="28"/>
        </w:rPr>
        <w:footnoteReference w:id="139"/>
      </w:r>
      <w:r w:rsidRPr="002E4477">
        <w:rPr>
          <w:szCs w:val="28"/>
        </w:rPr>
        <w:t xml:space="preserve">, de modo que se excluyan aquellas que resulten incompatibles con los postulados constitucionales; y, </w:t>
      </w:r>
    </w:p>
    <w:p w14:paraId="1C5CA32F" w14:textId="77777777" w:rsidR="005633E4" w:rsidRPr="002E4477" w:rsidRDefault="005633E4" w:rsidP="005633E4">
      <w:pPr>
        <w:pStyle w:val="Prrafodelista"/>
        <w:ind w:left="0"/>
        <w:jc w:val="both"/>
        <w:rPr>
          <w:szCs w:val="28"/>
        </w:rPr>
      </w:pPr>
    </w:p>
    <w:p w14:paraId="28ED109A" w14:textId="77777777" w:rsidR="005633E4" w:rsidRPr="002E4477" w:rsidRDefault="005633E4" w:rsidP="005633E4">
      <w:pPr>
        <w:shd w:val="clear" w:color="auto" w:fill="FFFFFF"/>
        <w:tabs>
          <w:tab w:val="left" w:pos="426"/>
        </w:tabs>
        <w:ind w:right="46"/>
        <w:jc w:val="both"/>
        <w:rPr>
          <w:szCs w:val="28"/>
          <w:lang w:val="es-CO" w:eastAsia="es-CO"/>
        </w:rPr>
      </w:pPr>
      <w:r w:rsidRPr="002E4477">
        <w:rPr>
          <w:szCs w:val="28"/>
        </w:rPr>
        <w:t>(ii)</w:t>
      </w:r>
      <w:r w:rsidRPr="002E4477">
        <w:rPr>
          <w:szCs w:val="28"/>
        </w:rPr>
        <w:tab/>
        <w:t xml:space="preserve"> una función </w:t>
      </w:r>
      <w:r w:rsidRPr="002E4477">
        <w:rPr>
          <w:b/>
          <w:bCs/>
          <w:szCs w:val="28"/>
        </w:rPr>
        <w:t>integradora</w:t>
      </w:r>
      <w:r w:rsidRPr="002E4477">
        <w:rPr>
          <w:szCs w:val="28"/>
        </w:rPr>
        <w:t xml:space="preserve"> </w:t>
      </w:r>
      <w:r w:rsidRPr="002E4477">
        <w:rPr>
          <w:b/>
          <w:bCs/>
          <w:szCs w:val="28"/>
        </w:rPr>
        <w:t>del orden jurídico</w:t>
      </w:r>
      <w:r w:rsidRPr="002E4477">
        <w:rPr>
          <w:rStyle w:val="Refdenotaalpie"/>
          <w:szCs w:val="28"/>
        </w:rPr>
        <w:footnoteReference w:id="140"/>
      </w:r>
      <w:r w:rsidRPr="002E4477">
        <w:rPr>
          <w:szCs w:val="28"/>
        </w:rPr>
        <w:t xml:space="preserve">, según la cual la interpretación de las normas debe garantizar la coherencia interna del sistema jurídico, siempre con el propósito de asegurar la vigencia del Estado </w:t>
      </w:r>
      <w:r w:rsidR="000342D8" w:rsidRPr="002E4477">
        <w:rPr>
          <w:szCs w:val="28"/>
        </w:rPr>
        <w:t>S</w:t>
      </w:r>
      <w:r w:rsidRPr="002E4477">
        <w:rPr>
          <w:szCs w:val="28"/>
        </w:rPr>
        <w:t xml:space="preserve">ocial y </w:t>
      </w:r>
      <w:r w:rsidR="000342D8" w:rsidRPr="002E4477">
        <w:rPr>
          <w:szCs w:val="28"/>
        </w:rPr>
        <w:t>D</w:t>
      </w:r>
      <w:r w:rsidRPr="002E4477">
        <w:rPr>
          <w:szCs w:val="28"/>
        </w:rPr>
        <w:t xml:space="preserve">emocrático de Derecho y de sus principios esenciales, como parámetros orientadores del andamiaje </w:t>
      </w:r>
      <w:r w:rsidR="00AD4460" w:rsidRPr="002E4477">
        <w:rPr>
          <w:szCs w:val="28"/>
        </w:rPr>
        <w:t xml:space="preserve">normativo </w:t>
      </w:r>
      <w:r w:rsidRPr="002E4477">
        <w:rPr>
          <w:szCs w:val="28"/>
        </w:rPr>
        <w:t>en su conjunto.</w:t>
      </w:r>
      <w:r w:rsidR="00AD4460" w:rsidRPr="002E4477">
        <w:rPr>
          <w:szCs w:val="28"/>
        </w:rPr>
        <w:t xml:space="preserve"> De este modo</w:t>
      </w:r>
      <w:r w:rsidRPr="002E4477">
        <w:rPr>
          <w:szCs w:val="28"/>
        </w:rPr>
        <w:t xml:space="preserve">, </w:t>
      </w:r>
      <w:r w:rsidRPr="002E4477">
        <w:rPr>
          <w:szCs w:val="28"/>
          <w:lang w:val="es-CO" w:eastAsia="es-CO"/>
        </w:rPr>
        <w:t>la Constitución fija el modelo de Estado, y al determinar los valores y principios esenciales que lo rigen, éstos cumplen una función central en el sistema de fuentes, al otorgarle unidad de sentido a las diferentes normas jurídicas</w:t>
      </w:r>
      <w:r w:rsidRPr="002E4477">
        <w:rPr>
          <w:rStyle w:val="Refdenotaalpie"/>
          <w:szCs w:val="28"/>
          <w:lang w:val="es-CO" w:eastAsia="es-CO"/>
        </w:rPr>
        <w:footnoteReference w:id="141"/>
      </w:r>
      <w:r w:rsidRPr="002E4477">
        <w:rPr>
          <w:szCs w:val="28"/>
          <w:lang w:val="es-CO" w:eastAsia="es-CO"/>
        </w:rPr>
        <w:t xml:space="preserve">. </w:t>
      </w:r>
    </w:p>
    <w:p w14:paraId="29A2A536" w14:textId="77777777" w:rsidR="005633E4" w:rsidRPr="002E4477" w:rsidRDefault="005633E4" w:rsidP="005633E4">
      <w:pPr>
        <w:pStyle w:val="Prrafodelista"/>
        <w:ind w:left="0"/>
        <w:rPr>
          <w:szCs w:val="28"/>
        </w:rPr>
      </w:pPr>
    </w:p>
    <w:p w14:paraId="5FA8C41C" w14:textId="77777777" w:rsidR="00701AAE" w:rsidRPr="002E4477" w:rsidRDefault="005633E4" w:rsidP="00701AAE">
      <w:pPr>
        <w:pStyle w:val="Prrafodelista"/>
        <w:numPr>
          <w:ilvl w:val="0"/>
          <w:numId w:val="10"/>
        </w:numPr>
        <w:tabs>
          <w:tab w:val="left" w:pos="426"/>
        </w:tabs>
        <w:ind w:right="40"/>
        <w:jc w:val="both"/>
        <w:rPr>
          <w:szCs w:val="28"/>
        </w:rPr>
      </w:pPr>
      <w:r w:rsidRPr="002E4477">
        <w:rPr>
          <w:szCs w:val="28"/>
          <w:shd w:val="clear" w:color="auto" w:fill="FFFFFF"/>
        </w:rPr>
        <w:lastRenderedPageBreak/>
        <w:t>La Carta, además, por su fuerza normativa propia, asegura que las autoridades no solo se encuentren sometidas al derecho positivo</w:t>
      </w:r>
      <w:r w:rsidR="00562F79" w:rsidRPr="002E4477">
        <w:rPr>
          <w:szCs w:val="28"/>
          <w:shd w:val="clear" w:color="auto" w:fill="FFFFFF"/>
        </w:rPr>
        <w:t xml:space="preserve"> subordinado a ella </w:t>
      </w:r>
      <w:r w:rsidRPr="002E4477">
        <w:rPr>
          <w:szCs w:val="28"/>
          <w:shd w:val="clear" w:color="auto" w:fill="FFFFFF"/>
        </w:rPr>
        <w:t xml:space="preserve">en el ejercicio de sus competencias, sino que también </w:t>
      </w:r>
      <w:r w:rsidR="00734392" w:rsidRPr="002E4477">
        <w:rPr>
          <w:szCs w:val="28"/>
          <w:shd w:val="clear" w:color="auto" w:fill="FFFFFF"/>
        </w:rPr>
        <w:t>les exige</w:t>
      </w:r>
      <w:r w:rsidRPr="002E4477">
        <w:rPr>
          <w:szCs w:val="28"/>
          <w:shd w:val="clear" w:color="auto" w:fill="FFFFFF"/>
        </w:rPr>
        <w:t xml:space="preserve"> contribuir con la realización efectiva de los derechos </w:t>
      </w:r>
      <w:r w:rsidR="00701AAE" w:rsidRPr="002E4477">
        <w:rPr>
          <w:szCs w:val="28"/>
          <w:shd w:val="clear" w:color="auto" w:fill="FFFFFF"/>
        </w:rPr>
        <w:t>fundamentales</w:t>
      </w:r>
      <w:r w:rsidRPr="002E4477">
        <w:rPr>
          <w:szCs w:val="28"/>
          <w:shd w:val="clear" w:color="auto" w:fill="FFFFFF"/>
        </w:rPr>
        <w:t xml:space="preserve"> consagrados constitucionalmente, los cuáles son de </w:t>
      </w:r>
      <w:r w:rsidRPr="002E4477">
        <w:rPr>
          <w:i/>
          <w:iCs/>
          <w:szCs w:val="28"/>
          <w:shd w:val="clear" w:color="auto" w:fill="FFFFFF"/>
        </w:rPr>
        <w:t>“aplicación inmediata”</w:t>
      </w:r>
      <w:r w:rsidRPr="002E4477">
        <w:rPr>
          <w:szCs w:val="28"/>
          <w:shd w:val="clear" w:color="auto" w:fill="FFFFFF"/>
        </w:rPr>
        <w:t xml:space="preserve"> al tenor del artículo 85 constitucional. De esta forma, la supremacía normativa se erige </w:t>
      </w:r>
      <w:r w:rsidR="00AD4460" w:rsidRPr="002E4477">
        <w:rPr>
          <w:szCs w:val="28"/>
          <w:shd w:val="clear" w:color="auto" w:fill="FFFFFF"/>
        </w:rPr>
        <w:t>ad</w:t>
      </w:r>
      <w:r w:rsidR="005F057D" w:rsidRPr="002E4477">
        <w:rPr>
          <w:szCs w:val="28"/>
          <w:shd w:val="clear" w:color="auto" w:fill="FFFFFF"/>
        </w:rPr>
        <w:t xml:space="preserve">icionalmente </w:t>
      </w:r>
      <w:r w:rsidRPr="002E4477">
        <w:rPr>
          <w:szCs w:val="28"/>
          <w:shd w:val="clear" w:color="auto" w:fill="FFFFFF"/>
        </w:rPr>
        <w:t xml:space="preserve">como un principio </w:t>
      </w:r>
      <w:r w:rsidR="00734392" w:rsidRPr="002E4477">
        <w:rPr>
          <w:szCs w:val="28"/>
          <w:shd w:val="clear" w:color="auto" w:fill="FFFFFF"/>
        </w:rPr>
        <w:t xml:space="preserve">que favorece la </w:t>
      </w:r>
      <w:r w:rsidR="00952A9E" w:rsidRPr="002E4477">
        <w:rPr>
          <w:szCs w:val="28"/>
          <w:shd w:val="clear" w:color="auto" w:fill="FFFFFF"/>
        </w:rPr>
        <w:t xml:space="preserve">concreción y </w:t>
      </w:r>
      <w:r w:rsidR="00734392" w:rsidRPr="002E4477">
        <w:rPr>
          <w:szCs w:val="28"/>
          <w:shd w:val="clear" w:color="auto" w:fill="FFFFFF"/>
        </w:rPr>
        <w:t xml:space="preserve">garantía </w:t>
      </w:r>
      <w:r w:rsidRPr="002E4477">
        <w:rPr>
          <w:szCs w:val="28"/>
          <w:shd w:val="clear" w:color="auto" w:fill="FFFFFF"/>
        </w:rPr>
        <w:t xml:space="preserve">de </w:t>
      </w:r>
      <w:r w:rsidR="00701AAE" w:rsidRPr="002E4477">
        <w:rPr>
          <w:szCs w:val="28"/>
          <w:shd w:val="clear" w:color="auto" w:fill="FFFFFF"/>
        </w:rPr>
        <w:t>éstos y los demás</w:t>
      </w:r>
      <w:r w:rsidRPr="002E4477">
        <w:rPr>
          <w:szCs w:val="28"/>
          <w:shd w:val="clear" w:color="auto" w:fill="FFFFFF"/>
        </w:rPr>
        <w:t xml:space="preserve"> derechos consagrados en la Carta.</w:t>
      </w:r>
    </w:p>
    <w:p w14:paraId="6878488D" w14:textId="77777777" w:rsidR="00701AAE" w:rsidRPr="002E4477" w:rsidRDefault="00701AAE" w:rsidP="00701AAE">
      <w:pPr>
        <w:pStyle w:val="Prrafodelista"/>
        <w:tabs>
          <w:tab w:val="left" w:pos="426"/>
        </w:tabs>
        <w:ind w:left="0" w:right="40"/>
        <w:jc w:val="both"/>
        <w:rPr>
          <w:szCs w:val="28"/>
        </w:rPr>
      </w:pPr>
    </w:p>
    <w:p w14:paraId="69843604" w14:textId="77777777" w:rsidR="00AE4876" w:rsidRPr="002E4477" w:rsidRDefault="00AD4460" w:rsidP="00701AAE">
      <w:pPr>
        <w:pStyle w:val="Prrafodelista"/>
        <w:numPr>
          <w:ilvl w:val="0"/>
          <w:numId w:val="10"/>
        </w:numPr>
        <w:tabs>
          <w:tab w:val="left" w:pos="426"/>
        </w:tabs>
        <w:ind w:right="40"/>
        <w:jc w:val="both"/>
        <w:rPr>
          <w:szCs w:val="28"/>
        </w:rPr>
      </w:pPr>
      <w:r w:rsidRPr="002E4477">
        <w:rPr>
          <w:szCs w:val="28"/>
          <w:lang w:val="es-ES_tradnl" w:eastAsia="es-CO"/>
        </w:rPr>
        <w:t>Ahora bien, l</w:t>
      </w:r>
      <w:r w:rsidR="00952A9E" w:rsidRPr="002E4477">
        <w:rPr>
          <w:szCs w:val="28"/>
          <w:lang w:val="es-ES_tradnl" w:eastAsia="es-CO"/>
        </w:rPr>
        <w:t xml:space="preserve">a vigencia de la Constitución Política en estos términos requiere la consolidación de un control particular, </w:t>
      </w:r>
      <w:r w:rsidR="0083587A" w:rsidRPr="002E4477">
        <w:rPr>
          <w:szCs w:val="28"/>
        </w:rPr>
        <w:t xml:space="preserve">que se </w:t>
      </w:r>
      <w:r w:rsidR="005F057D" w:rsidRPr="002E4477">
        <w:rPr>
          <w:szCs w:val="28"/>
        </w:rPr>
        <w:t>instituy</w:t>
      </w:r>
      <w:r w:rsidR="00604518" w:rsidRPr="002E4477">
        <w:rPr>
          <w:szCs w:val="28"/>
        </w:rPr>
        <w:t>a</w:t>
      </w:r>
      <w:r w:rsidR="0083587A" w:rsidRPr="002E4477">
        <w:rPr>
          <w:szCs w:val="28"/>
        </w:rPr>
        <w:t xml:space="preserve"> como mecanismo principal </w:t>
      </w:r>
      <w:r w:rsidR="005F057D" w:rsidRPr="002E4477">
        <w:rPr>
          <w:szCs w:val="28"/>
        </w:rPr>
        <w:t>de la</w:t>
      </w:r>
      <w:r w:rsidR="0083587A" w:rsidRPr="002E4477">
        <w:rPr>
          <w:szCs w:val="28"/>
        </w:rPr>
        <w:t xml:space="preserve"> </w:t>
      </w:r>
      <w:r w:rsidR="005F057D" w:rsidRPr="002E4477">
        <w:rPr>
          <w:szCs w:val="28"/>
        </w:rPr>
        <w:t>garantía y</w:t>
      </w:r>
      <w:r w:rsidR="0083587A" w:rsidRPr="002E4477">
        <w:rPr>
          <w:szCs w:val="28"/>
        </w:rPr>
        <w:t xml:space="preserve"> </w:t>
      </w:r>
      <w:r w:rsidR="000D2C56" w:rsidRPr="002E4477">
        <w:rPr>
          <w:szCs w:val="28"/>
        </w:rPr>
        <w:t>eficacia</w:t>
      </w:r>
      <w:r w:rsidR="0083587A" w:rsidRPr="002E4477">
        <w:rPr>
          <w:szCs w:val="28"/>
        </w:rPr>
        <w:t xml:space="preserve"> del principio de supremacía mencionado. </w:t>
      </w:r>
      <w:r w:rsidR="00AE4876" w:rsidRPr="002E4477">
        <w:rPr>
          <w:szCs w:val="28"/>
        </w:rPr>
        <w:t xml:space="preserve">Al respecto, la jurisprudencia ha señalado:  </w:t>
      </w:r>
    </w:p>
    <w:p w14:paraId="10192DC5" w14:textId="77777777" w:rsidR="00AE4876" w:rsidRPr="002E4477" w:rsidRDefault="00AE4876" w:rsidP="00EC0A8F">
      <w:pPr>
        <w:pStyle w:val="Prrafodelista"/>
        <w:tabs>
          <w:tab w:val="left" w:pos="426"/>
        </w:tabs>
        <w:spacing w:line="276" w:lineRule="auto"/>
        <w:ind w:left="0" w:right="40"/>
        <w:jc w:val="both"/>
        <w:rPr>
          <w:szCs w:val="28"/>
        </w:rPr>
      </w:pPr>
    </w:p>
    <w:p w14:paraId="30FD8AC6" w14:textId="77777777" w:rsidR="00AE4876" w:rsidRPr="00B24C29" w:rsidRDefault="00AE4876" w:rsidP="00B24C29">
      <w:pPr>
        <w:shd w:val="clear" w:color="auto" w:fill="FFFFFF"/>
        <w:ind w:left="284"/>
        <w:jc w:val="both"/>
        <w:rPr>
          <w:i/>
          <w:iCs/>
          <w:sz w:val="26"/>
          <w:szCs w:val="26"/>
          <w:shd w:val="clear" w:color="auto" w:fill="FFFFFF"/>
        </w:rPr>
      </w:pPr>
      <w:r w:rsidRPr="00B24C29">
        <w:rPr>
          <w:i/>
          <w:iCs/>
          <w:sz w:val="26"/>
          <w:szCs w:val="26"/>
          <w:shd w:val="clear" w:color="auto" w:fill="FFFFFF"/>
          <w:lang w:val="es-CO"/>
        </w:rPr>
        <w:t>"L</w:t>
      </w:r>
      <w:r w:rsidRPr="00B24C29">
        <w:rPr>
          <w:i/>
          <w:iCs/>
          <w:sz w:val="26"/>
          <w:szCs w:val="26"/>
          <w:shd w:val="clear" w:color="auto" w:fill="FFFFFF"/>
        </w:rPr>
        <w:t xml:space="preserve">a Constitución es norma fundante en una dimensión </w:t>
      </w:r>
      <w:r w:rsidRPr="00B24C29">
        <w:rPr>
          <w:i/>
          <w:iCs/>
          <w:sz w:val="26"/>
          <w:szCs w:val="26"/>
          <w:u w:val="single"/>
          <w:shd w:val="clear" w:color="auto" w:fill="FFFFFF"/>
        </w:rPr>
        <w:t>tanto axiológica</w:t>
      </w:r>
      <w:r w:rsidRPr="00B24C29">
        <w:rPr>
          <w:i/>
          <w:iCs/>
          <w:sz w:val="26"/>
          <w:szCs w:val="26"/>
          <w:shd w:val="clear" w:color="auto" w:fill="FFFFFF"/>
        </w:rPr>
        <w:t xml:space="preserve"> (v.gr. establece principios, derechos fundamentales y pautas interpretativas), </w:t>
      </w:r>
      <w:r w:rsidRPr="00B24C29">
        <w:rPr>
          <w:i/>
          <w:iCs/>
          <w:sz w:val="26"/>
          <w:szCs w:val="26"/>
          <w:u w:val="single"/>
          <w:shd w:val="clear" w:color="auto" w:fill="FFFFFF"/>
        </w:rPr>
        <w:t xml:space="preserve">como instrumental </w:t>
      </w:r>
      <w:r w:rsidRPr="00B24C29">
        <w:rPr>
          <w:i/>
          <w:iCs/>
          <w:sz w:val="26"/>
          <w:szCs w:val="26"/>
          <w:shd w:val="clear" w:color="auto" w:fill="FFFFFF"/>
        </w:rPr>
        <w:t xml:space="preserve">(proporciona los mecanismos para lograr armonía y coherencia en la aplicación de la Constitución), y en ese orden de ideas, </w:t>
      </w:r>
      <w:r w:rsidRPr="00B24C29">
        <w:rPr>
          <w:b/>
          <w:i/>
          <w:iCs/>
          <w:sz w:val="26"/>
          <w:szCs w:val="26"/>
          <w:shd w:val="clear" w:color="auto" w:fill="FFFFFF"/>
        </w:rPr>
        <w:t xml:space="preserve">el principio de supremacía </w:t>
      </w:r>
      <w:r w:rsidRPr="00B24C29">
        <w:rPr>
          <w:b/>
          <w:i/>
          <w:iCs/>
          <w:sz w:val="26"/>
          <w:szCs w:val="26"/>
          <w:u w:val="single"/>
          <w:shd w:val="clear" w:color="auto" w:fill="FFFFFF"/>
        </w:rPr>
        <w:t>da cabida</w:t>
      </w:r>
      <w:r w:rsidRPr="00B24C29">
        <w:rPr>
          <w:i/>
          <w:iCs/>
          <w:sz w:val="26"/>
          <w:szCs w:val="26"/>
          <w:shd w:val="clear" w:color="auto" w:fill="FFFFFF"/>
        </w:rPr>
        <w:t xml:space="preserve"> a la consagración de garantías fundamentales como fines prioritarios del Estado, </w:t>
      </w:r>
      <w:r w:rsidRPr="00B24C29">
        <w:rPr>
          <w:i/>
          <w:iCs/>
          <w:sz w:val="26"/>
          <w:szCs w:val="26"/>
          <w:u w:val="single"/>
          <w:shd w:val="clear" w:color="auto" w:fill="FFFFFF"/>
        </w:rPr>
        <w:t>y al establecimiento de controles de todo el ordenamiento y de una jurisdicción especial encargada de velar por su integridad”</w:t>
      </w:r>
      <w:r w:rsidRPr="00B24C29">
        <w:rPr>
          <w:rStyle w:val="Refdenotaalpie"/>
          <w:i/>
          <w:iCs/>
          <w:sz w:val="26"/>
          <w:szCs w:val="26"/>
          <w:shd w:val="clear" w:color="auto" w:fill="FFFFFF"/>
        </w:rPr>
        <w:footnoteReference w:id="142"/>
      </w:r>
      <w:r w:rsidRPr="00B24C29">
        <w:rPr>
          <w:i/>
          <w:iCs/>
          <w:sz w:val="26"/>
          <w:szCs w:val="26"/>
          <w:shd w:val="clear" w:color="auto" w:fill="FFFFFF"/>
        </w:rPr>
        <w:t xml:space="preserve">. </w:t>
      </w:r>
      <w:r w:rsidRPr="00B24C29">
        <w:rPr>
          <w:szCs w:val="28"/>
          <w:shd w:val="clear" w:color="auto" w:fill="FFFFFF"/>
        </w:rPr>
        <w:t>(Subrayas y negrillas fuera del original).</w:t>
      </w:r>
      <w:r w:rsidRPr="00B24C29">
        <w:rPr>
          <w:i/>
          <w:iCs/>
          <w:sz w:val="26"/>
          <w:szCs w:val="26"/>
          <w:shd w:val="clear" w:color="auto" w:fill="FFFFFF"/>
        </w:rPr>
        <w:t xml:space="preserve"> </w:t>
      </w:r>
    </w:p>
    <w:p w14:paraId="09C1AE37" w14:textId="77777777" w:rsidR="00C56EAB" w:rsidRPr="002E4477" w:rsidRDefault="00C56EAB" w:rsidP="00CE0661">
      <w:pPr>
        <w:shd w:val="clear" w:color="auto" w:fill="FFFFFF"/>
        <w:ind w:left="567"/>
        <w:jc w:val="both"/>
        <w:rPr>
          <w:i/>
          <w:sz w:val="16"/>
          <w:szCs w:val="16"/>
          <w:lang w:val="es-CO" w:eastAsia="es-CO"/>
        </w:rPr>
      </w:pPr>
    </w:p>
    <w:p w14:paraId="6645371D" w14:textId="77777777" w:rsidR="00AE4876" w:rsidRPr="002E4477" w:rsidRDefault="00AE4876" w:rsidP="00EC0A8F">
      <w:pPr>
        <w:pStyle w:val="Prrafodelista"/>
        <w:spacing w:line="276" w:lineRule="auto"/>
        <w:rPr>
          <w:sz w:val="16"/>
          <w:szCs w:val="16"/>
        </w:rPr>
      </w:pPr>
    </w:p>
    <w:p w14:paraId="08604A26" w14:textId="77777777" w:rsidR="006E5090" w:rsidRPr="002E4477" w:rsidRDefault="0083587A" w:rsidP="00C56EAB">
      <w:pPr>
        <w:pStyle w:val="Prrafodelista"/>
        <w:numPr>
          <w:ilvl w:val="0"/>
          <w:numId w:val="10"/>
        </w:numPr>
        <w:tabs>
          <w:tab w:val="left" w:pos="426"/>
        </w:tabs>
        <w:ind w:right="40"/>
        <w:jc w:val="both"/>
        <w:rPr>
          <w:szCs w:val="28"/>
        </w:rPr>
      </w:pPr>
      <w:r w:rsidRPr="002E4477">
        <w:rPr>
          <w:szCs w:val="28"/>
        </w:rPr>
        <w:t xml:space="preserve">La necesidad de </w:t>
      </w:r>
      <w:r w:rsidR="005F057D" w:rsidRPr="002E4477">
        <w:rPr>
          <w:szCs w:val="28"/>
        </w:rPr>
        <w:t xml:space="preserve">ese </w:t>
      </w:r>
      <w:r w:rsidRPr="002E4477">
        <w:rPr>
          <w:szCs w:val="28"/>
        </w:rPr>
        <w:t>control</w:t>
      </w:r>
      <w:r w:rsidR="00C9159F" w:rsidRPr="002E4477">
        <w:rPr>
          <w:szCs w:val="28"/>
        </w:rPr>
        <w:t>,</w:t>
      </w:r>
      <w:r w:rsidR="00952A9E" w:rsidRPr="002E4477">
        <w:rPr>
          <w:szCs w:val="28"/>
          <w:lang w:val="es-ES_tradnl" w:eastAsia="es-CO"/>
        </w:rPr>
        <w:t xml:space="preserve"> </w:t>
      </w:r>
      <w:r w:rsidR="00C9159F" w:rsidRPr="002E4477">
        <w:rPr>
          <w:szCs w:val="28"/>
        </w:rPr>
        <w:t>en sus diferentes modalidades,</w:t>
      </w:r>
      <w:r w:rsidR="00C9159F" w:rsidRPr="002E4477">
        <w:rPr>
          <w:szCs w:val="28"/>
          <w:lang w:val="es-ES_tradnl" w:eastAsia="es-CO"/>
        </w:rPr>
        <w:t xml:space="preserve"> </w:t>
      </w:r>
      <w:r w:rsidR="00952A9E" w:rsidRPr="002E4477">
        <w:rPr>
          <w:szCs w:val="28"/>
          <w:lang w:val="es-ES_tradnl" w:eastAsia="es-CO"/>
        </w:rPr>
        <w:t>ha justificado</w:t>
      </w:r>
      <w:r w:rsidR="00604518" w:rsidRPr="002E4477">
        <w:rPr>
          <w:szCs w:val="28"/>
          <w:lang w:val="es-ES_tradnl" w:eastAsia="es-CO"/>
        </w:rPr>
        <w:t xml:space="preserve"> </w:t>
      </w:r>
      <w:r w:rsidR="00952A9E" w:rsidRPr="002E4477">
        <w:rPr>
          <w:szCs w:val="28"/>
          <w:lang w:val="es-ES_tradnl" w:eastAsia="es-CO"/>
        </w:rPr>
        <w:t>el establecimiento de la jurisdicción constitucional</w:t>
      </w:r>
      <w:r w:rsidR="00701AAE" w:rsidRPr="002E4477">
        <w:rPr>
          <w:szCs w:val="28"/>
          <w:lang w:val="es-ES_tradnl" w:eastAsia="es-CO"/>
        </w:rPr>
        <w:t xml:space="preserve"> en la estructura del Estado</w:t>
      </w:r>
      <w:r w:rsidR="00701AAE" w:rsidRPr="002E4477">
        <w:rPr>
          <w:rStyle w:val="Refdenotaalpie"/>
          <w:iCs/>
          <w:szCs w:val="28"/>
          <w:shd w:val="clear" w:color="auto" w:fill="FFFFFF"/>
          <w:lang w:val="es-ES_tradnl"/>
        </w:rPr>
        <w:footnoteReference w:id="143"/>
      </w:r>
      <w:r w:rsidR="00A705D0" w:rsidRPr="002E4477">
        <w:rPr>
          <w:szCs w:val="28"/>
          <w:lang w:val="es-ES_tradnl" w:eastAsia="es-CO"/>
        </w:rPr>
        <w:t xml:space="preserve">, </w:t>
      </w:r>
      <w:r w:rsidR="00BC34A7" w:rsidRPr="002E4477">
        <w:rPr>
          <w:szCs w:val="28"/>
          <w:lang w:val="es-ES_tradnl" w:eastAsia="es-CO"/>
        </w:rPr>
        <w:t xml:space="preserve">que </w:t>
      </w:r>
      <w:r w:rsidR="00AE4876" w:rsidRPr="002E4477">
        <w:rPr>
          <w:szCs w:val="28"/>
          <w:lang w:val="es-ES_tradnl" w:eastAsia="es-CO"/>
        </w:rPr>
        <w:t xml:space="preserve">de conformidad con la </w:t>
      </w:r>
      <w:r w:rsidRPr="002E4477">
        <w:rPr>
          <w:szCs w:val="28"/>
          <w:lang w:val="es-ES_tradnl" w:eastAsia="es-CO"/>
        </w:rPr>
        <w:t>Carta y la Ley Estatutaria de la Administración de Justicia</w:t>
      </w:r>
      <w:r w:rsidR="00A705D0" w:rsidRPr="002E4477">
        <w:rPr>
          <w:szCs w:val="28"/>
          <w:lang w:val="es-ES_tradnl" w:eastAsia="es-CO"/>
        </w:rPr>
        <w:t>,</w:t>
      </w:r>
      <w:r w:rsidR="00AE4876" w:rsidRPr="002E4477">
        <w:rPr>
          <w:szCs w:val="28"/>
          <w:lang w:val="es-ES_tradnl" w:eastAsia="es-CO"/>
        </w:rPr>
        <w:t xml:space="preserve"> </w:t>
      </w:r>
      <w:r w:rsidR="00C9159F" w:rsidRPr="002E4477">
        <w:rPr>
          <w:i/>
          <w:szCs w:val="28"/>
          <w:lang w:val="es-ES_tradnl" w:eastAsia="es-CO"/>
        </w:rPr>
        <w:t>“</w:t>
      </w:r>
      <w:r w:rsidRPr="002E4477">
        <w:rPr>
          <w:i/>
          <w:szCs w:val="28"/>
          <w:lang w:val="es-ES_tradnl" w:eastAsia="es-CO"/>
        </w:rPr>
        <w:t>se encuentra conformada funcionalmente por la Corte Constitucional, como órgano de cierre, el Consejo de Estado y los jueces y corporaciones que deben decidir acciones de tutela o resolver las acciones o los recursos previstos para hacer efectivos los derechos constitucionales</w:t>
      </w:r>
      <w:r w:rsidRPr="002E4477">
        <w:rPr>
          <w:szCs w:val="28"/>
          <w:lang w:val="es-ES_tradnl" w:eastAsia="es-CO"/>
        </w:rPr>
        <w:t>”</w:t>
      </w:r>
      <w:r w:rsidRPr="002E4477">
        <w:rPr>
          <w:rStyle w:val="Refdenotaalpie"/>
          <w:szCs w:val="28"/>
          <w:lang w:val="es-ES_tradnl" w:eastAsia="es-CO"/>
        </w:rPr>
        <w:footnoteReference w:id="144"/>
      </w:r>
      <w:r w:rsidRPr="002E4477">
        <w:rPr>
          <w:szCs w:val="28"/>
          <w:lang w:val="es-ES_tradnl" w:eastAsia="es-CO"/>
        </w:rPr>
        <w:t>.</w:t>
      </w:r>
      <w:r w:rsidR="008E29FF" w:rsidRPr="002E4477">
        <w:rPr>
          <w:szCs w:val="28"/>
          <w:lang w:val="es-ES_tradnl" w:eastAsia="es-CO"/>
        </w:rPr>
        <w:t xml:space="preserve"> </w:t>
      </w:r>
    </w:p>
    <w:p w14:paraId="71095BE2" w14:textId="77777777" w:rsidR="001D6DCE" w:rsidRPr="002E4477" w:rsidRDefault="001D6DCE" w:rsidP="001D6DCE">
      <w:pPr>
        <w:pStyle w:val="Prrafodelista"/>
        <w:tabs>
          <w:tab w:val="left" w:pos="426"/>
        </w:tabs>
        <w:ind w:left="0" w:right="40"/>
        <w:jc w:val="both"/>
        <w:rPr>
          <w:szCs w:val="28"/>
        </w:rPr>
      </w:pPr>
    </w:p>
    <w:p w14:paraId="0F16E344" w14:textId="77777777" w:rsidR="00231970" w:rsidRPr="002E4477" w:rsidRDefault="00BC34A7" w:rsidP="00231970">
      <w:pPr>
        <w:pStyle w:val="Prrafodelista"/>
        <w:numPr>
          <w:ilvl w:val="0"/>
          <w:numId w:val="10"/>
        </w:numPr>
        <w:tabs>
          <w:tab w:val="left" w:pos="426"/>
        </w:tabs>
        <w:ind w:right="40"/>
        <w:jc w:val="both"/>
        <w:rPr>
          <w:iCs/>
          <w:sz w:val="24"/>
          <w:szCs w:val="24"/>
          <w:shd w:val="clear" w:color="auto" w:fill="FFFFFF"/>
        </w:rPr>
      </w:pPr>
      <w:r w:rsidRPr="002E4477">
        <w:rPr>
          <w:szCs w:val="28"/>
          <w:lang w:val="es-ES_tradnl" w:eastAsia="es-CO"/>
        </w:rPr>
        <w:t>E</w:t>
      </w:r>
      <w:r w:rsidR="00AE4876" w:rsidRPr="002E4477">
        <w:rPr>
          <w:szCs w:val="28"/>
          <w:lang w:val="es-ES_tradnl" w:eastAsia="es-CO"/>
        </w:rPr>
        <w:t xml:space="preserve">n </w:t>
      </w:r>
      <w:r w:rsidR="00CB70DD" w:rsidRPr="002E4477">
        <w:rPr>
          <w:szCs w:val="28"/>
          <w:lang w:val="es-ES_tradnl" w:eastAsia="es-CO"/>
        </w:rPr>
        <w:t xml:space="preserve">su calidad de órgano de cierre, </w:t>
      </w:r>
      <w:r w:rsidR="00AD4460" w:rsidRPr="002E4477">
        <w:rPr>
          <w:szCs w:val="28"/>
          <w:lang w:val="es-ES_tradnl" w:eastAsia="es-CO"/>
        </w:rPr>
        <w:t>es a</w:t>
      </w:r>
      <w:r w:rsidR="0026087C" w:rsidRPr="002E4477">
        <w:rPr>
          <w:szCs w:val="28"/>
          <w:lang w:val="es-ES_tradnl" w:eastAsia="es-CO"/>
        </w:rPr>
        <w:t xml:space="preserve"> </w:t>
      </w:r>
      <w:r w:rsidR="00CB70DD" w:rsidRPr="002E4477">
        <w:rPr>
          <w:szCs w:val="28"/>
          <w:lang w:val="es-ES_tradnl" w:eastAsia="es-CO"/>
        </w:rPr>
        <w:t xml:space="preserve">la Corte </w:t>
      </w:r>
      <w:r w:rsidR="00AD4460" w:rsidRPr="002E4477">
        <w:rPr>
          <w:szCs w:val="28"/>
          <w:lang w:val="es-ES_tradnl" w:eastAsia="es-CO"/>
        </w:rPr>
        <w:t xml:space="preserve">Constitucional a quien estructural y materialmente se le ha asignado el deber de asegurar </w:t>
      </w:r>
      <w:r w:rsidR="00A53719" w:rsidRPr="002E4477">
        <w:rPr>
          <w:szCs w:val="28"/>
          <w:lang w:val="es-ES_tradnl" w:eastAsia="es-CO"/>
        </w:rPr>
        <w:t xml:space="preserve">en forma directa </w:t>
      </w:r>
      <w:r w:rsidR="00AD4460" w:rsidRPr="002E4477">
        <w:rPr>
          <w:szCs w:val="28"/>
          <w:lang w:val="es-ES_tradnl" w:eastAsia="es-CO"/>
        </w:rPr>
        <w:t>la “</w:t>
      </w:r>
      <w:r w:rsidR="00AD4460" w:rsidRPr="002E4477">
        <w:rPr>
          <w:i/>
          <w:iCs/>
          <w:szCs w:val="28"/>
          <w:lang w:val="es-ES_tradnl" w:eastAsia="es-CO"/>
        </w:rPr>
        <w:t>guarda de la integridad y supremacía de la Constitución”</w:t>
      </w:r>
      <w:r w:rsidR="00AE4876" w:rsidRPr="002E4477">
        <w:rPr>
          <w:iCs/>
          <w:szCs w:val="28"/>
          <w:lang w:val="es-ES_tradnl" w:eastAsia="es-CO"/>
        </w:rPr>
        <w:t xml:space="preserve">. </w:t>
      </w:r>
      <w:r w:rsidR="00526A7D" w:rsidRPr="002E4477">
        <w:rPr>
          <w:iCs/>
          <w:szCs w:val="28"/>
          <w:lang w:val="es-ES_tradnl" w:eastAsia="es-CO"/>
        </w:rPr>
        <w:t>C</w:t>
      </w:r>
      <w:r w:rsidRPr="002E4477">
        <w:rPr>
          <w:iCs/>
          <w:szCs w:val="28"/>
          <w:lang w:val="es-ES_tradnl" w:eastAsia="es-CO"/>
        </w:rPr>
        <w:t xml:space="preserve">omo lo </w:t>
      </w:r>
      <w:r w:rsidR="00925206">
        <w:rPr>
          <w:iCs/>
          <w:szCs w:val="28"/>
          <w:lang w:val="es-ES_tradnl" w:eastAsia="es-CO"/>
        </w:rPr>
        <w:t>sostuvo</w:t>
      </w:r>
      <w:r w:rsidRPr="002E4477">
        <w:rPr>
          <w:iCs/>
          <w:szCs w:val="28"/>
          <w:lang w:val="es-ES_tradnl" w:eastAsia="es-CO"/>
        </w:rPr>
        <w:t xml:space="preserve"> </w:t>
      </w:r>
      <w:r w:rsidR="00526A7D" w:rsidRPr="002E4477">
        <w:rPr>
          <w:iCs/>
          <w:szCs w:val="28"/>
          <w:lang w:val="es-ES_tradnl" w:eastAsia="es-CO"/>
        </w:rPr>
        <w:t>esta Corporación en la</w:t>
      </w:r>
      <w:r w:rsidRPr="002E4477">
        <w:rPr>
          <w:iCs/>
          <w:szCs w:val="28"/>
          <w:lang w:val="es-ES_tradnl" w:eastAsia="es-CO"/>
        </w:rPr>
        <w:t xml:space="preserve"> </w:t>
      </w:r>
      <w:r w:rsidR="00FD794C" w:rsidRPr="002E4477">
        <w:rPr>
          <w:b/>
          <w:iCs/>
          <w:szCs w:val="28"/>
          <w:lang w:val="es-ES_tradnl" w:eastAsia="es-CO"/>
        </w:rPr>
        <w:t>S</w:t>
      </w:r>
      <w:r w:rsidRPr="002E4477">
        <w:rPr>
          <w:b/>
          <w:iCs/>
          <w:szCs w:val="28"/>
          <w:lang w:val="es-ES_tradnl" w:eastAsia="es-CO"/>
        </w:rPr>
        <w:t>entencia T-292 de 2006</w:t>
      </w:r>
      <w:r w:rsidRPr="002E4477">
        <w:rPr>
          <w:rStyle w:val="Refdenotaalpie"/>
          <w:iCs/>
          <w:sz w:val="24"/>
          <w:szCs w:val="24"/>
          <w:shd w:val="clear" w:color="auto" w:fill="FFFFFF"/>
        </w:rPr>
        <w:footnoteReference w:id="145"/>
      </w:r>
      <w:r w:rsidR="00A22D9E" w:rsidRPr="002E4477">
        <w:rPr>
          <w:iCs/>
          <w:szCs w:val="28"/>
          <w:lang w:val="es-ES_tradnl" w:eastAsia="es-CO"/>
        </w:rPr>
        <w:t xml:space="preserve"> al discutir las facultades de este Tribunal:</w:t>
      </w:r>
      <w:r w:rsidRPr="002E4477">
        <w:rPr>
          <w:iCs/>
          <w:szCs w:val="28"/>
          <w:lang w:val="es-ES_tradnl" w:eastAsia="es-CO"/>
        </w:rPr>
        <w:t xml:space="preserve"> </w:t>
      </w:r>
    </w:p>
    <w:p w14:paraId="7C196C69" w14:textId="77777777" w:rsidR="00184614" w:rsidRPr="002E4477" w:rsidRDefault="00184614" w:rsidP="00EC0A8F">
      <w:pPr>
        <w:pStyle w:val="Prrafodelista"/>
        <w:tabs>
          <w:tab w:val="left" w:pos="426"/>
        </w:tabs>
        <w:spacing w:line="276" w:lineRule="auto"/>
        <w:ind w:left="0" w:right="40"/>
        <w:jc w:val="both"/>
        <w:rPr>
          <w:iCs/>
          <w:sz w:val="24"/>
          <w:szCs w:val="24"/>
          <w:shd w:val="clear" w:color="auto" w:fill="FFFFFF"/>
        </w:rPr>
      </w:pPr>
    </w:p>
    <w:p w14:paraId="7660E7A3" w14:textId="77777777" w:rsidR="001D6DCE" w:rsidRPr="00925206" w:rsidRDefault="00231970" w:rsidP="00925206">
      <w:pPr>
        <w:pStyle w:val="Prrafodelista"/>
        <w:tabs>
          <w:tab w:val="left" w:pos="709"/>
        </w:tabs>
        <w:ind w:left="284"/>
        <w:jc w:val="both"/>
        <w:rPr>
          <w:i/>
          <w:sz w:val="26"/>
          <w:szCs w:val="26"/>
        </w:rPr>
      </w:pPr>
      <w:r w:rsidRPr="00925206">
        <w:rPr>
          <w:i/>
          <w:iCs/>
          <w:sz w:val="26"/>
          <w:szCs w:val="26"/>
          <w:shd w:val="clear" w:color="auto" w:fill="FFFFFF"/>
        </w:rPr>
        <w:t>“</w:t>
      </w:r>
      <w:r w:rsidR="001D6DCE" w:rsidRPr="00925206">
        <w:rPr>
          <w:i/>
          <w:iCs/>
          <w:sz w:val="26"/>
          <w:szCs w:val="26"/>
          <w:shd w:val="clear" w:color="auto" w:fill="FFFFFF"/>
        </w:rPr>
        <w:t xml:space="preserve">La Corte Constitucional, como órgano de cierre de la jurisdicción constitucional, tiene precisamente atribuciones jurídicas para asegurar que los mandatos de la Carta sean eficaces y prevalezcan en nuestro ordenamiento. Al ser la responsable de mantener la integridad y supremacía de la norma superior, sus determinaciones resultan ser [en muchos casos] fuente de derecho para las </w:t>
      </w:r>
      <w:r w:rsidR="001D6DCE" w:rsidRPr="00925206">
        <w:rPr>
          <w:i/>
          <w:iCs/>
          <w:sz w:val="26"/>
          <w:szCs w:val="26"/>
          <w:shd w:val="clear" w:color="auto" w:fill="FFFFFF"/>
        </w:rPr>
        <w:lastRenderedPageBreak/>
        <w:t xml:space="preserve">autoridades y particulares, [especialmente] cuando a través de sus competencias constitucionales </w:t>
      </w:r>
      <w:r w:rsidR="001D6DCE" w:rsidRPr="00925206">
        <w:rPr>
          <w:i/>
          <w:iCs/>
          <w:sz w:val="26"/>
          <w:szCs w:val="26"/>
          <w:u w:val="single"/>
          <w:shd w:val="clear" w:color="auto" w:fill="FFFFFF"/>
        </w:rPr>
        <w:t>establece interpretaciones vinculantes de los preceptos de la Carta</w:t>
      </w:r>
      <w:r w:rsidR="001D6DCE" w:rsidRPr="00925206">
        <w:rPr>
          <w:i/>
          <w:iCs/>
          <w:sz w:val="26"/>
          <w:szCs w:val="26"/>
          <w:shd w:val="clear" w:color="auto" w:fill="FFFFFF"/>
        </w:rPr>
        <w:t xml:space="preserve">. La interpretación de la Constitución, -que por </w:t>
      </w:r>
      <w:r w:rsidR="00BC34A7" w:rsidRPr="00925206">
        <w:rPr>
          <w:i/>
          <w:iCs/>
          <w:sz w:val="26"/>
          <w:szCs w:val="26"/>
          <w:shd w:val="clear" w:color="auto" w:fill="FFFFFF"/>
        </w:rPr>
        <w:t xml:space="preserve">[lo] </w:t>
      </w:r>
      <w:r w:rsidR="001D6DCE" w:rsidRPr="00925206">
        <w:rPr>
          <w:i/>
          <w:iCs/>
          <w:sz w:val="26"/>
          <w:szCs w:val="26"/>
          <w:shd w:val="clear" w:color="auto" w:fill="FFFFFF"/>
        </w:rPr>
        <w:t>demás permite materializar la voluntad del constituyente-,</w:t>
      </w:r>
      <w:r w:rsidR="00925206">
        <w:rPr>
          <w:i/>
          <w:iCs/>
          <w:sz w:val="26"/>
          <w:szCs w:val="26"/>
          <w:shd w:val="clear" w:color="auto" w:fill="FFFFFF"/>
        </w:rPr>
        <w:t xml:space="preserve"> </w:t>
      </w:r>
      <w:r w:rsidRPr="00925206">
        <w:rPr>
          <w:i/>
          <w:iCs/>
          <w:sz w:val="26"/>
          <w:szCs w:val="26"/>
          <w:shd w:val="clear" w:color="auto" w:fill="FFFFFF"/>
        </w:rPr>
        <w:t>tiene por</w:t>
      </w:r>
      <w:r w:rsidR="001D6DCE" w:rsidRPr="00925206">
        <w:rPr>
          <w:i/>
          <w:iCs/>
          <w:sz w:val="26"/>
          <w:szCs w:val="26"/>
          <w:shd w:val="clear" w:color="auto" w:fill="FFFFFF"/>
        </w:rPr>
        <w:t xml:space="preserve"> consiguiente, como propósito principal, orientar el ordenamiento jurídico hacia los principios y valores constitucionales superiores”.</w:t>
      </w:r>
      <w:r w:rsidR="00A705D0" w:rsidRPr="00925206">
        <w:rPr>
          <w:i/>
          <w:iCs/>
          <w:sz w:val="26"/>
          <w:szCs w:val="26"/>
          <w:shd w:val="clear" w:color="auto" w:fill="FFFFFF"/>
        </w:rPr>
        <w:t xml:space="preserve"> </w:t>
      </w:r>
      <w:r w:rsidR="00A705D0" w:rsidRPr="00925206">
        <w:rPr>
          <w:szCs w:val="28"/>
          <w:shd w:val="clear" w:color="auto" w:fill="FFFFFF"/>
        </w:rPr>
        <w:t>(Subrayas fuera del original).</w:t>
      </w:r>
      <w:r w:rsidR="00A705D0" w:rsidRPr="00925206">
        <w:rPr>
          <w:i/>
          <w:iCs/>
          <w:sz w:val="26"/>
          <w:szCs w:val="26"/>
          <w:shd w:val="clear" w:color="auto" w:fill="FFFFFF"/>
        </w:rPr>
        <w:t xml:space="preserve"> </w:t>
      </w:r>
    </w:p>
    <w:p w14:paraId="7EA33CD7" w14:textId="77777777" w:rsidR="00184614" w:rsidRPr="002E4477" w:rsidRDefault="00184614" w:rsidP="00EC0A8F">
      <w:pPr>
        <w:spacing w:line="276" w:lineRule="auto"/>
        <w:jc w:val="both"/>
      </w:pPr>
    </w:p>
    <w:p w14:paraId="57620235" w14:textId="77777777" w:rsidR="00526A7D" w:rsidRPr="002E4477" w:rsidRDefault="00526A7D" w:rsidP="00A00154">
      <w:pPr>
        <w:jc w:val="both"/>
        <w:rPr>
          <w:b/>
          <w:i/>
          <w:szCs w:val="28"/>
        </w:rPr>
      </w:pPr>
      <w:r w:rsidRPr="002E4477">
        <w:rPr>
          <w:iCs/>
          <w:szCs w:val="28"/>
          <w:lang w:val="es-ES_tradnl" w:eastAsia="es-CO"/>
        </w:rPr>
        <w:t xml:space="preserve">Se trata entonces de una misión de la máxima responsabilidad, que </w:t>
      </w:r>
      <w:r w:rsidRPr="002E4477">
        <w:rPr>
          <w:szCs w:val="28"/>
          <w:lang w:val="es-ES_tradnl" w:eastAsia="es-CO"/>
        </w:rPr>
        <w:t xml:space="preserve">en los términos del artículo 241 superior, desarrolla a través de sus competencias de control abstracto y concreto de constitucionalidad. En el primer caso, </w:t>
      </w:r>
      <w:r w:rsidRPr="002E4477">
        <w:rPr>
          <w:iCs/>
          <w:szCs w:val="28"/>
          <w:lang w:val="es-ES_tradnl" w:eastAsia="es-CO"/>
        </w:rPr>
        <w:t>a través de los fallos de constitucionalidad, y en el segundo, a través de la unificación de la jurisprudencia</w:t>
      </w:r>
      <w:r w:rsidR="00925206">
        <w:rPr>
          <w:iCs/>
          <w:szCs w:val="28"/>
          <w:lang w:val="es-ES_tradnl" w:eastAsia="es-CO"/>
        </w:rPr>
        <w:t xml:space="preserve"> constitucional</w:t>
      </w:r>
      <w:r w:rsidRPr="002E4477">
        <w:rPr>
          <w:iCs/>
          <w:szCs w:val="28"/>
          <w:lang w:val="es-ES_tradnl" w:eastAsia="es-CO"/>
        </w:rPr>
        <w:t xml:space="preserve"> </w:t>
      </w:r>
      <w:r w:rsidR="00925206">
        <w:rPr>
          <w:iCs/>
          <w:szCs w:val="28"/>
          <w:lang w:val="es-ES_tradnl" w:eastAsia="es-CO"/>
        </w:rPr>
        <w:t>y la</w:t>
      </w:r>
      <w:r w:rsidRPr="002E4477">
        <w:rPr>
          <w:iCs/>
          <w:szCs w:val="28"/>
          <w:lang w:val="es-ES_tradnl" w:eastAsia="es-CO"/>
        </w:rPr>
        <w:t xml:space="preserve"> revisión de sentencias de tutela proferidas por las distintas autoridades judiciales.</w:t>
      </w:r>
    </w:p>
    <w:p w14:paraId="65FBA011" w14:textId="77777777" w:rsidR="00526A7D" w:rsidRPr="002E4477" w:rsidRDefault="00526A7D" w:rsidP="00EC0A8F">
      <w:pPr>
        <w:spacing w:line="276" w:lineRule="auto"/>
        <w:jc w:val="both"/>
        <w:rPr>
          <w:b/>
          <w:i/>
          <w:szCs w:val="28"/>
        </w:rPr>
      </w:pPr>
    </w:p>
    <w:p w14:paraId="01388CD6" w14:textId="77777777" w:rsidR="00165BEC" w:rsidRPr="002E4477" w:rsidRDefault="00A00154" w:rsidP="00A00154">
      <w:pPr>
        <w:jc w:val="both"/>
        <w:rPr>
          <w:b/>
          <w:i/>
          <w:szCs w:val="28"/>
        </w:rPr>
      </w:pPr>
      <w:r w:rsidRPr="0073148B">
        <w:rPr>
          <w:b/>
          <w:i/>
          <w:szCs w:val="28"/>
        </w:rPr>
        <w:t>El control abstracto de constitucionalidad ejercido por la Corte Constitucional y el Consejo de Estado.</w:t>
      </w:r>
      <w:r w:rsidRPr="002E4477">
        <w:rPr>
          <w:b/>
          <w:i/>
          <w:szCs w:val="28"/>
        </w:rPr>
        <w:t xml:space="preserve"> </w:t>
      </w:r>
    </w:p>
    <w:p w14:paraId="717FAD5B" w14:textId="77777777" w:rsidR="00165BEC" w:rsidRPr="002E4477" w:rsidRDefault="00165BEC" w:rsidP="00EC0A8F">
      <w:pPr>
        <w:spacing w:line="276" w:lineRule="auto"/>
        <w:jc w:val="both"/>
        <w:rPr>
          <w:b/>
          <w:i/>
          <w:szCs w:val="28"/>
        </w:rPr>
      </w:pPr>
    </w:p>
    <w:p w14:paraId="4A2A5E11" w14:textId="77777777" w:rsidR="00A00154" w:rsidRPr="002E4477" w:rsidRDefault="00B27930" w:rsidP="00A00154">
      <w:pPr>
        <w:jc w:val="both"/>
        <w:rPr>
          <w:b/>
          <w:i/>
          <w:szCs w:val="28"/>
        </w:rPr>
      </w:pPr>
      <w:r w:rsidRPr="002E4477">
        <w:rPr>
          <w:b/>
          <w:i/>
          <w:szCs w:val="28"/>
        </w:rPr>
        <w:t>Características básicas</w:t>
      </w:r>
      <w:r w:rsidR="007B139D">
        <w:rPr>
          <w:b/>
          <w:i/>
          <w:szCs w:val="28"/>
        </w:rPr>
        <w:t xml:space="preserve"> </w:t>
      </w:r>
    </w:p>
    <w:p w14:paraId="566787AB" w14:textId="77777777" w:rsidR="00A00154" w:rsidRPr="002E4477" w:rsidRDefault="00A00154" w:rsidP="00EC0A8F">
      <w:pPr>
        <w:pStyle w:val="Prrafodelista"/>
        <w:tabs>
          <w:tab w:val="left" w:pos="426"/>
        </w:tabs>
        <w:spacing w:line="276" w:lineRule="auto"/>
        <w:ind w:left="0" w:right="40"/>
        <w:jc w:val="both"/>
        <w:rPr>
          <w:b/>
          <w:bCs/>
          <w:szCs w:val="28"/>
        </w:rPr>
      </w:pPr>
    </w:p>
    <w:p w14:paraId="5CCC8EA0" w14:textId="77777777" w:rsidR="00026D12" w:rsidRPr="002E4477" w:rsidRDefault="00A705D0" w:rsidP="00034346">
      <w:pPr>
        <w:pStyle w:val="Prrafodelista"/>
        <w:numPr>
          <w:ilvl w:val="0"/>
          <w:numId w:val="10"/>
        </w:numPr>
        <w:tabs>
          <w:tab w:val="left" w:pos="426"/>
        </w:tabs>
        <w:ind w:right="40"/>
        <w:jc w:val="both"/>
        <w:rPr>
          <w:b/>
          <w:bCs/>
          <w:szCs w:val="28"/>
        </w:rPr>
      </w:pPr>
      <w:r w:rsidRPr="002E4477">
        <w:rPr>
          <w:szCs w:val="28"/>
          <w:shd w:val="clear" w:color="auto" w:fill="FFFFFF"/>
        </w:rPr>
        <w:t>Como se ha mencionado, u</w:t>
      </w:r>
      <w:r w:rsidR="002729C5" w:rsidRPr="002E4477">
        <w:rPr>
          <w:szCs w:val="28"/>
          <w:shd w:val="clear" w:color="auto" w:fill="FFFFFF"/>
        </w:rPr>
        <w:t>na de las herramientas previstas por nuestro sistema constitucional para asegurar la supremacía de la Carta Política</w:t>
      </w:r>
      <w:r w:rsidR="00C41845" w:rsidRPr="002E4477">
        <w:rPr>
          <w:szCs w:val="28"/>
          <w:shd w:val="clear" w:color="auto" w:fill="FFFFFF"/>
        </w:rPr>
        <w:t xml:space="preserve"> </w:t>
      </w:r>
      <w:r w:rsidR="002729C5" w:rsidRPr="002E4477">
        <w:rPr>
          <w:szCs w:val="28"/>
          <w:shd w:val="clear" w:color="auto" w:fill="FFFFFF"/>
        </w:rPr>
        <w:t xml:space="preserve">es el control </w:t>
      </w:r>
      <w:r w:rsidR="00A53719" w:rsidRPr="002E4477">
        <w:rPr>
          <w:szCs w:val="28"/>
          <w:shd w:val="clear" w:color="auto" w:fill="FFFFFF"/>
        </w:rPr>
        <w:t xml:space="preserve">abstracto de </w:t>
      </w:r>
      <w:r w:rsidR="002729C5" w:rsidRPr="002E4477">
        <w:rPr>
          <w:szCs w:val="28"/>
          <w:shd w:val="clear" w:color="auto" w:fill="FFFFFF"/>
        </w:rPr>
        <w:t>constitucional</w:t>
      </w:r>
      <w:r w:rsidR="00A53719" w:rsidRPr="002E4477">
        <w:rPr>
          <w:szCs w:val="28"/>
          <w:shd w:val="clear" w:color="auto" w:fill="FFFFFF"/>
        </w:rPr>
        <w:t>idad</w:t>
      </w:r>
      <w:r w:rsidR="0022554C" w:rsidRPr="002E4477">
        <w:rPr>
          <w:rStyle w:val="Refdenotaalpie"/>
          <w:szCs w:val="28"/>
          <w:shd w:val="clear" w:color="auto" w:fill="FFFFFF"/>
        </w:rPr>
        <w:footnoteReference w:id="146"/>
      </w:r>
      <w:r w:rsidR="002729C5" w:rsidRPr="002E4477">
        <w:rPr>
          <w:szCs w:val="28"/>
          <w:shd w:val="clear" w:color="auto" w:fill="FFFFFF"/>
        </w:rPr>
        <w:t xml:space="preserve">. La </w:t>
      </w:r>
      <w:r w:rsidR="00BC34A7" w:rsidRPr="002E4477">
        <w:rPr>
          <w:szCs w:val="28"/>
          <w:shd w:val="clear" w:color="auto" w:fill="FFFFFF"/>
        </w:rPr>
        <w:t>norma superior</w:t>
      </w:r>
      <w:r w:rsidR="002729C5" w:rsidRPr="002E4477">
        <w:rPr>
          <w:szCs w:val="28"/>
          <w:shd w:val="clear" w:color="auto" w:fill="FFFFFF"/>
        </w:rPr>
        <w:t xml:space="preserve"> prevé un modelo de control mixto</w:t>
      </w:r>
      <w:r w:rsidR="003722D9" w:rsidRPr="002E4477">
        <w:rPr>
          <w:rStyle w:val="Refdenotaalpie"/>
          <w:szCs w:val="28"/>
        </w:rPr>
        <w:footnoteReference w:id="147"/>
      </w:r>
      <w:r w:rsidR="002729C5" w:rsidRPr="002E4477">
        <w:rPr>
          <w:szCs w:val="28"/>
          <w:shd w:val="clear" w:color="auto" w:fill="FFFFFF"/>
        </w:rPr>
        <w:t xml:space="preserve"> </w:t>
      </w:r>
      <w:r w:rsidR="00591488" w:rsidRPr="002E4477">
        <w:rPr>
          <w:szCs w:val="28"/>
          <w:shd w:val="clear" w:color="auto" w:fill="FFFFFF"/>
        </w:rPr>
        <w:t xml:space="preserve">que </w:t>
      </w:r>
      <w:r w:rsidR="002729C5" w:rsidRPr="002E4477">
        <w:rPr>
          <w:szCs w:val="28"/>
          <w:shd w:val="clear" w:color="auto" w:fill="FFFFFF"/>
        </w:rPr>
        <w:t xml:space="preserve">algunos llaman </w:t>
      </w:r>
      <w:r w:rsidR="002729C5" w:rsidRPr="002E4477">
        <w:rPr>
          <w:i/>
          <w:szCs w:val="28"/>
          <w:shd w:val="clear" w:color="auto" w:fill="FFFFFF"/>
        </w:rPr>
        <w:t>difuso funcional</w:t>
      </w:r>
      <w:r w:rsidR="002729C5" w:rsidRPr="002E4477">
        <w:rPr>
          <w:rStyle w:val="Refdenotaalpie"/>
          <w:szCs w:val="28"/>
          <w:shd w:val="clear" w:color="auto" w:fill="FFFFFF"/>
        </w:rPr>
        <w:footnoteReference w:id="148"/>
      </w:r>
      <w:r w:rsidR="00591488" w:rsidRPr="002E4477">
        <w:rPr>
          <w:szCs w:val="28"/>
          <w:shd w:val="clear" w:color="auto" w:fill="FFFFFF"/>
        </w:rPr>
        <w:t xml:space="preserve">, </w:t>
      </w:r>
      <w:r w:rsidR="002729C5" w:rsidRPr="002E4477">
        <w:rPr>
          <w:szCs w:val="28"/>
          <w:shd w:val="clear" w:color="auto" w:fill="FFFFFF"/>
        </w:rPr>
        <w:t xml:space="preserve">en el que participan diversos órganos: </w:t>
      </w:r>
      <w:r w:rsidR="003722D9" w:rsidRPr="002E4477">
        <w:rPr>
          <w:b/>
          <w:szCs w:val="28"/>
          <w:shd w:val="clear" w:color="auto" w:fill="FFFFFF"/>
        </w:rPr>
        <w:t>(i)</w:t>
      </w:r>
      <w:r w:rsidR="003722D9" w:rsidRPr="002E4477">
        <w:rPr>
          <w:szCs w:val="28"/>
          <w:shd w:val="clear" w:color="auto" w:fill="FFFFFF"/>
        </w:rPr>
        <w:t xml:space="preserve"> </w:t>
      </w:r>
      <w:r w:rsidR="002729C5" w:rsidRPr="002E4477">
        <w:rPr>
          <w:szCs w:val="28"/>
          <w:shd w:val="clear" w:color="auto" w:fill="FFFFFF"/>
        </w:rPr>
        <w:t>en primer lugar, todos los jueces</w:t>
      </w:r>
      <w:r w:rsidR="0022554C" w:rsidRPr="002E4477">
        <w:rPr>
          <w:szCs w:val="28"/>
          <w:shd w:val="clear" w:color="auto" w:fill="FFFFFF"/>
        </w:rPr>
        <w:t>,</w:t>
      </w:r>
      <w:r w:rsidR="002729C5" w:rsidRPr="002E4477">
        <w:rPr>
          <w:szCs w:val="28"/>
          <w:shd w:val="clear" w:color="auto" w:fill="FFFFFF"/>
        </w:rPr>
        <w:t xml:space="preserve"> como integrantes de la jurisdicción constitucional</w:t>
      </w:r>
      <w:r w:rsidR="00BB442D" w:rsidRPr="002E4477">
        <w:rPr>
          <w:szCs w:val="28"/>
          <w:shd w:val="clear" w:color="auto" w:fill="FFFFFF"/>
        </w:rPr>
        <w:t>, quienes</w:t>
      </w:r>
      <w:r w:rsidR="0022554C" w:rsidRPr="002E4477">
        <w:rPr>
          <w:szCs w:val="28"/>
          <w:shd w:val="clear" w:color="auto" w:fill="FFFFFF"/>
        </w:rPr>
        <w:t xml:space="preserve"> </w:t>
      </w:r>
      <w:r w:rsidR="002729C5" w:rsidRPr="002E4477">
        <w:rPr>
          <w:szCs w:val="28"/>
          <w:shd w:val="clear" w:color="auto" w:fill="FFFFFF"/>
        </w:rPr>
        <w:t xml:space="preserve">ejercen </w:t>
      </w:r>
      <w:r w:rsidR="002729C5" w:rsidRPr="002E4477">
        <w:rPr>
          <w:i/>
          <w:szCs w:val="28"/>
          <w:shd w:val="clear" w:color="auto" w:fill="FFFFFF"/>
        </w:rPr>
        <w:t>control difuso</w:t>
      </w:r>
      <w:r w:rsidR="002729C5" w:rsidRPr="002E4477">
        <w:rPr>
          <w:szCs w:val="28"/>
          <w:shd w:val="clear" w:color="auto" w:fill="FFFFFF"/>
        </w:rPr>
        <w:t xml:space="preserve"> al conocer de las acciones de tutela </w:t>
      </w:r>
      <w:bookmarkStart w:id="14" w:name="_Hlk38208744"/>
      <w:r w:rsidR="002729C5" w:rsidRPr="002E4477">
        <w:rPr>
          <w:szCs w:val="28"/>
          <w:shd w:val="clear" w:color="auto" w:fill="FFFFFF"/>
        </w:rPr>
        <w:t>–</w:t>
      </w:r>
      <w:bookmarkEnd w:id="14"/>
      <w:r w:rsidR="002729C5" w:rsidRPr="002E4477">
        <w:rPr>
          <w:szCs w:val="28"/>
          <w:shd w:val="clear" w:color="auto" w:fill="FFFFFF"/>
        </w:rPr>
        <w:t>artículo 86 constitucional</w:t>
      </w:r>
      <w:r w:rsidR="00526A7D" w:rsidRPr="002E4477">
        <w:rPr>
          <w:szCs w:val="28"/>
          <w:shd w:val="clear" w:color="auto" w:fill="FFFFFF"/>
        </w:rPr>
        <w:t>–</w:t>
      </w:r>
      <w:r w:rsidR="003722D9" w:rsidRPr="002E4477">
        <w:rPr>
          <w:szCs w:val="28"/>
          <w:shd w:val="clear" w:color="auto" w:fill="FFFFFF"/>
        </w:rPr>
        <w:t>.</w:t>
      </w:r>
      <w:r w:rsidR="00026D12" w:rsidRPr="002E4477">
        <w:rPr>
          <w:szCs w:val="28"/>
          <w:shd w:val="clear" w:color="auto" w:fill="FFFFFF"/>
        </w:rPr>
        <w:t xml:space="preserve"> </w:t>
      </w:r>
      <w:r w:rsidR="003722D9" w:rsidRPr="002E4477">
        <w:rPr>
          <w:szCs w:val="28"/>
          <w:shd w:val="clear" w:color="auto" w:fill="FFFFFF"/>
        </w:rPr>
        <w:t>T</w:t>
      </w:r>
      <w:r w:rsidR="002729C5" w:rsidRPr="002E4477">
        <w:rPr>
          <w:szCs w:val="28"/>
          <w:shd w:val="clear" w:color="auto" w:fill="FFFFFF"/>
        </w:rPr>
        <w:t xml:space="preserve">ambién </w:t>
      </w:r>
      <w:r w:rsidR="00026D12" w:rsidRPr="002E4477">
        <w:rPr>
          <w:szCs w:val="28"/>
          <w:shd w:val="clear" w:color="auto" w:fill="FFFFFF"/>
        </w:rPr>
        <w:t>puede ejercerse</w:t>
      </w:r>
      <w:r w:rsidR="00526A7D" w:rsidRPr="002E4477">
        <w:rPr>
          <w:i/>
          <w:szCs w:val="28"/>
          <w:shd w:val="clear" w:color="auto" w:fill="FFFFFF"/>
        </w:rPr>
        <w:t xml:space="preserve"> </w:t>
      </w:r>
      <w:r w:rsidR="00526A7D" w:rsidRPr="002E4477">
        <w:rPr>
          <w:iCs/>
          <w:szCs w:val="28"/>
          <w:shd w:val="clear" w:color="auto" w:fill="FFFFFF"/>
        </w:rPr>
        <w:t>este tipo de control</w:t>
      </w:r>
      <w:r w:rsidR="00026D12" w:rsidRPr="002E4477">
        <w:rPr>
          <w:i/>
          <w:szCs w:val="28"/>
          <w:shd w:val="clear" w:color="auto" w:fill="FFFFFF"/>
        </w:rPr>
        <w:t>,</w:t>
      </w:r>
      <w:r w:rsidR="002729C5" w:rsidRPr="002E4477">
        <w:rPr>
          <w:szCs w:val="28"/>
          <w:shd w:val="clear" w:color="auto" w:fill="FFFFFF"/>
        </w:rPr>
        <w:t xml:space="preserve"> en el escenario de la excepción de inconstitucionalidad</w:t>
      </w:r>
      <w:r w:rsidR="002729C5" w:rsidRPr="002E4477">
        <w:rPr>
          <w:rStyle w:val="Refdenotaalpie"/>
          <w:szCs w:val="28"/>
          <w:shd w:val="clear" w:color="auto" w:fill="FFFFFF"/>
        </w:rPr>
        <w:footnoteReference w:id="149"/>
      </w:r>
      <w:r w:rsidR="002729C5" w:rsidRPr="002E4477">
        <w:rPr>
          <w:szCs w:val="28"/>
          <w:shd w:val="clear" w:color="auto" w:fill="FFFFFF"/>
        </w:rPr>
        <w:t xml:space="preserve">. </w:t>
      </w:r>
      <w:r w:rsidR="003722D9" w:rsidRPr="002E4477">
        <w:rPr>
          <w:b/>
          <w:szCs w:val="28"/>
          <w:shd w:val="clear" w:color="auto" w:fill="FFFFFF"/>
        </w:rPr>
        <w:t>(ii)</w:t>
      </w:r>
      <w:r w:rsidR="003722D9" w:rsidRPr="002E4477">
        <w:rPr>
          <w:szCs w:val="28"/>
          <w:shd w:val="clear" w:color="auto" w:fill="FFFFFF"/>
        </w:rPr>
        <w:t xml:space="preserve"> </w:t>
      </w:r>
      <w:r w:rsidR="002729C5" w:rsidRPr="002E4477">
        <w:rPr>
          <w:szCs w:val="28"/>
          <w:shd w:val="clear" w:color="auto" w:fill="FFFFFF"/>
        </w:rPr>
        <w:t>En segundo lugar</w:t>
      </w:r>
      <w:r w:rsidR="00BC34A7" w:rsidRPr="002E4477">
        <w:rPr>
          <w:szCs w:val="28"/>
          <w:shd w:val="clear" w:color="auto" w:fill="FFFFFF"/>
        </w:rPr>
        <w:t xml:space="preserve"> </w:t>
      </w:r>
      <w:r w:rsidR="002729C5" w:rsidRPr="002E4477">
        <w:rPr>
          <w:szCs w:val="28"/>
          <w:shd w:val="clear" w:color="auto" w:fill="FFFFFF"/>
        </w:rPr>
        <w:t>los artículos 237 y 241</w:t>
      </w:r>
      <w:r w:rsidR="00BC34A7" w:rsidRPr="002E4477">
        <w:rPr>
          <w:szCs w:val="28"/>
          <w:shd w:val="clear" w:color="auto" w:fill="FFFFFF"/>
        </w:rPr>
        <w:t xml:space="preserve"> </w:t>
      </w:r>
      <w:r w:rsidR="00BC34A7" w:rsidRPr="002E4477">
        <w:rPr>
          <w:szCs w:val="28"/>
          <w:shd w:val="clear" w:color="auto" w:fill="FFFFFF"/>
        </w:rPr>
        <w:lastRenderedPageBreak/>
        <w:t xml:space="preserve">superiores </w:t>
      </w:r>
      <w:r w:rsidR="002729C5" w:rsidRPr="002E4477">
        <w:rPr>
          <w:szCs w:val="28"/>
          <w:shd w:val="clear" w:color="auto" w:fill="FFFFFF"/>
        </w:rPr>
        <w:t xml:space="preserve">consagran un </w:t>
      </w:r>
      <w:r w:rsidR="002729C5" w:rsidRPr="002E4477">
        <w:rPr>
          <w:i/>
          <w:szCs w:val="28"/>
          <w:shd w:val="clear" w:color="auto" w:fill="FFFFFF"/>
        </w:rPr>
        <w:t>control concentrado</w:t>
      </w:r>
      <w:r w:rsidR="002729C5" w:rsidRPr="002E4477">
        <w:rPr>
          <w:szCs w:val="28"/>
          <w:shd w:val="clear" w:color="auto" w:fill="FFFFFF"/>
        </w:rPr>
        <w:t xml:space="preserve"> en cabeza de la Corte Constitucional y </w:t>
      </w:r>
      <w:r w:rsidR="0073148B">
        <w:rPr>
          <w:szCs w:val="28"/>
          <w:shd w:val="clear" w:color="auto" w:fill="FFFFFF"/>
        </w:rPr>
        <w:t>d</w:t>
      </w:r>
      <w:r w:rsidR="002729C5" w:rsidRPr="002E4477">
        <w:rPr>
          <w:szCs w:val="28"/>
          <w:shd w:val="clear" w:color="auto" w:fill="FFFFFF"/>
        </w:rPr>
        <w:t>el Consejo de Estado, con carácter residual</w:t>
      </w:r>
      <w:r w:rsidR="00591488" w:rsidRPr="002E4477">
        <w:rPr>
          <w:rStyle w:val="Refdenotaalpie"/>
          <w:szCs w:val="28"/>
          <w:shd w:val="clear" w:color="auto" w:fill="FFFFFF"/>
        </w:rPr>
        <w:footnoteReference w:id="150"/>
      </w:r>
      <w:r w:rsidR="002729C5" w:rsidRPr="002E4477">
        <w:rPr>
          <w:szCs w:val="28"/>
          <w:shd w:val="clear" w:color="auto" w:fill="FFFFFF"/>
        </w:rPr>
        <w:t>.</w:t>
      </w:r>
    </w:p>
    <w:p w14:paraId="2E88725B" w14:textId="77777777" w:rsidR="00026D12" w:rsidRPr="002E4477" w:rsidRDefault="00026D12" w:rsidP="00026D12">
      <w:pPr>
        <w:pStyle w:val="Prrafodelista"/>
        <w:tabs>
          <w:tab w:val="left" w:pos="426"/>
        </w:tabs>
        <w:ind w:left="0" w:right="40"/>
        <w:jc w:val="both"/>
        <w:rPr>
          <w:b/>
          <w:bCs/>
          <w:szCs w:val="28"/>
        </w:rPr>
      </w:pPr>
    </w:p>
    <w:p w14:paraId="4397EBEB" w14:textId="77777777" w:rsidR="0022554C" w:rsidRPr="002E4477" w:rsidRDefault="00026D12" w:rsidP="00034346">
      <w:pPr>
        <w:pStyle w:val="Prrafodelista"/>
        <w:numPr>
          <w:ilvl w:val="0"/>
          <w:numId w:val="10"/>
        </w:numPr>
        <w:tabs>
          <w:tab w:val="left" w:pos="426"/>
        </w:tabs>
        <w:ind w:right="40"/>
        <w:jc w:val="both"/>
        <w:rPr>
          <w:b/>
          <w:bCs/>
          <w:szCs w:val="28"/>
        </w:rPr>
      </w:pPr>
      <w:r w:rsidRPr="002E4477">
        <w:rPr>
          <w:szCs w:val="28"/>
          <w:lang w:val="es-ES_tradnl" w:eastAsia="es-CO"/>
        </w:rPr>
        <w:t>Estas diversas formas de control</w:t>
      </w:r>
      <w:r w:rsidR="00162314" w:rsidRPr="002E4477">
        <w:rPr>
          <w:szCs w:val="28"/>
          <w:lang w:val="es-ES_tradnl" w:eastAsia="es-CO"/>
        </w:rPr>
        <w:t xml:space="preserve"> que le dan el atributo de difuso funcional o mixto </w:t>
      </w:r>
      <w:r w:rsidR="00BC34A7" w:rsidRPr="002E4477">
        <w:rPr>
          <w:szCs w:val="28"/>
          <w:lang w:val="es-ES_tradnl" w:eastAsia="es-CO"/>
        </w:rPr>
        <w:t>en</w:t>
      </w:r>
      <w:r w:rsidR="00162314" w:rsidRPr="002E4477">
        <w:rPr>
          <w:szCs w:val="28"/>
          <w:lang w:val="es-ES_tradnl" w:eastAsia="es-CO"/>
        </w:rPr>
        <w:t xml:space="preserve"> nuestro ordenamiento</w:t>
      </w:r>
      <w:r w:rsidRPr="002E4477">
        <w:rPr>
          <w:szCs w:val="28"/>
          <w:lang w:val="es-ES_tradnl" w:eastAsia="es-CO"/>
        </w:rPr>
        <w:t xml:space="preserve">, fueron </w:t>
      </w:r>
      <w:r w:rsidR="00162314" w:rsidRPr="002E4477">
        <w:rPr>
          <w:szCs w:val="28"/>
          <w:lang w:val="es-ES_tradnl" w:eastAsia="es-CO"/>
        </w:rPr>
        <w:t xml:space="preserve">ilustradas de una manera </w:t>
      </w:r>
      <w:r w:rsidR="00A705D0" w:rsidRPr="002E4477">
        <w:rPr>
          <w:szCs w:val="28"/>
          <w:lang w:val="es-ES_tradnl" w:eastAsia="es-CO"/>
        </w:rPr>
        <w:t>sólida</w:t>
      </w:r>
      <w:r w:rsidR="00BC34A7" w:rsidRPr="002E4477">
        <w:rPr>
          <w:szCs w:val="28"/>
          <w:lang w:val="es-ES_tradnl" w:eastAsia="es-CO"/>
        </w:rPr>
        <w:t xml:space="preserve"> </w:t>
      </w:r>
      <w:r w:rsidRPr="002E4477">
        <w:rPr>
          <w:szCs w:val="28"/>
          <w:lang w:val="es-ES_tradnl" w:eastAsia="es-CO"/>
        </w:rPr>
        <w:t xml:space="preserve">en </w:t>
      </w:r>
      <w:r w:rsidR="0022554C" w:rsidRPr="002E4477">
        <w:rPr>
          <w:szCs w:val="28"/>
          <w:lang w:val="es-ES_tradnl" w:eastAsia="es-CO"/>
        </w:rPr>
        <w:t xml:space="preserve">la </w:t>
      </w:r>
      <w:r w:rsidR="00FD794C" w:rsidRPr="002E4477">
        <w:rPr>
          <w:b/>
          <w:szCs w:val="28"/>
          <w:lang w:val="es-ES_tradnl" w:eastAsia="es-CO"/>
        </w:rPr>
        <w:t>S</w:t>
      </w:r>
      <w:r w:rsidR="0022554C" w:rsidRPr="002E4477">
        <w:rPr>
          <w:b/>
          <w:szCs w:val="28"/>
          <w:lang w:val="es-ES_tradnl" w:eastAsia="es-CO"/>
        </w:rPr>
        <w:t>entencia C-037 de 1996</w:t>
      </w:r>
      <w:r w:rsidR="0022554C" w:rsidRPr="002E4477">
        <w:rPr>
          <w:rStyle w:val="Refdenotaalpie"/>
          <w:szCs w:val="28"/>
          <w:lang w:val="es-ES_tradnl" w:eastAsia="es-CO"/>
        </w:rPr>
        <w:footnoteReference w:id="151"/>
      </w:r>
      <w:r w:rsidR="00A705D0" w:rsidRPr="002E4477">
        <w:rPr>
          <w:szCs w:val="28"/>
          <w:lang w:val="es-ES_tradnl" w:eastAsia="es-CO"/>
        </w:rPr>
        <w:t>,</w:t>
      </w:r>
      <w:r w:rsidR="0022554C" w:rsidRPr="002E4477">
        <w:rPr>
          <w:szCs w:val="28"/>
          <w:lang w:val="es-ES_tradnl" w:eastAsia="es-CO"/>
        </w:rPr>
        <w:t xml:space="preserve"> </w:t>
      </w:r>
      <w:r w:rsidR="00162314" w:rsidRPr="002E4477">
        <w:rPr>
          <w:szCs w:val="28"/>
          <w:lang w:val="es-ES_tradnl" w:eastAsia="es-CO"/>
        </w:rPr>
        <w:t>que</w:t>
      </w:r>
      <w:r w:rsidRPr="002E4477">
        <w:rPr>
          <w:szCs w:val="28"/>
          <w:lang w:val="es-ES_tradnl" w:eastAsia="es-CO"/>
        </w:rPr>
        <w:t xml:space="preserve"> </w:t>
      </w:r>
      <w:r w:rsidR="0022554C" w:rsidRPr="002E4477">
        <w:rPr>
          <w:szCs w:val="28"/>
          <w:lang w:val="es-ES_tradnl" w:eastAsia="es-CO"/>
        </w:rPr>
        <w:t>revisó la constitucionalidad de la Ley Estatutaria de la Administración de Justicia</w:t>
      </w:r>
      <w:r w:rsidR="00A705D0" w:rsidRPr="002E4477">
        <w:rPr>
          <w:szCs w:val="28"/>
          <w:lang w:val="es-ES_tradnl" w:eastAsia="es-CO"/>
        </w:rPr>
        <w:t>,</w:t>
      </w:r>
      <w:r w:rsidR="00BC34A7" w:rsidRPr="002E4477">
        <w:rPr>
          <w:szCs w:val="28"/>
          <w:lang w:val="es-ES_tradnl" w:eastAsia="es-CO"/>
        </w:rPr>
        <w:t xml:space="preserve"> </w:t>
      </w:r>
      <w:r w:rsidR="0073148B">
        <w:rPr>
          <w:szCs w:val="28"/>
          <w:lang w:val="es-ES_tradnl" w:eastAsia="es-CO"/>
        </w:rPr>
        <w:t>al</w:t>
      </w:r>
      <w:r w:rsidR="00BC34A7" w:rsidRPr="002E4477">
        <w:rPr>
          <w:szCs w:val="28"/>
          <w:lang w:val="es-ES_tradnl" w:eastAsia="es-CO"/>
        </w:rPr>
        <w:t xml:space="preserve"> señal</w:t>
      </w:r>
      <w:r w:rsidR="0073148B">
        <w:rPr>
          <w:szCs w:val="28"/>
          <w:lang w:val="es-ES_tradnl" w:eastAsia="es-CO"/>
        </w:rPr>
        <w:t>ar</w:t>
      </w:r>
      <w:r w:rsidR="00BC34A7" w:rsidRPr="002E4477">
        <w:rPr>
          <w:szCs w:val="28"/>
          <w:lang w:val="es-ES_tradnl" w:eastAsia="es-CO"/>
        </w:rPr>
        <w:t xml:space="preserve"> lo siguiente</w:t>
      </w:r>
      <w:r w:rsidR="00162314" w:rsidRPr="002E4477">
        <w:rPr>
          <w:szCs w:val="28"/>
          <w:lang w:val="es-ES_tradnl" w:eastAsia="es-CO"/>
        </w:rPr>
        <w:t>:</w:t>
      </w:r>
    </w:p>
    <w:p w14:paraId="36426E90" w14:textId="77777777" w:rsidR="00785F33" w:rsidRPr="002E4477" w:rsidRDefault="00785F33" w:rsidP="00EC0A8F">
      <w:pPr>
        <w:shd w:val="clear" w:color="auto" w:fill="FFFFFF"/>
        <w:spacing w:line="276" w:lineRule="auto"/>
        <w:ind w:left="426" w:right="333"/>
        <w:jc w:val="both"/>
        <w:rPr>
          <w:iCs/>
          <w:sz w:val="24"/>
          <w:szCs w:val="24"/>
          <w:lang w:val="es-ES_tradnl" w:eastAsia="es-CO"/>
        </w:rPr>
      </w:pPr>
    </w:p>
    <w:p w14:paraId="2D985C23" w14:textId="77777777" w:rsidR="00785F33" w:rsidRPr="000E05E7" w:rsidRDefault="00785F33" w:rsidP="000E05E7">
      <w:pPr>
        <w:shd w:val="clear" w:color="auto" w:fill="FFFFFF"/>
        <w:ind w:left="284"/>
        <w:jc w:val="both"/>
        <w:rPr>
          <w:i/>
          <w:sz w:val="26"/>
          <w:szCs w:val="26"/>
          <w:lang w:val="es-CO" w:eastAsia="es-CO"/>
        </w:rPr>
      </w:pPr>
      <w:r w:rsidRPr="000E05E7">
        <w:rPr>
          <w:i/>
          <w:iCs/>
          <w:sz w:val="26"/>
          <w:szCs w:val="26"/>
          <w:lang w:val="es-ES_tradnl" w:eastAsia="es-CO"/>
        </w:rPr>
        <w:t>“[E]l control de constitucionalidad en Colombia se vio reforzado con la creación de la Corte Constitucional. Sin embargo, no por ello puede afirmarse que nuestro país ha adoptado el llamado “control concentrado” o austríaco, pues en realidad éste sigue siendo de carácter difuso funcional. Lo anterior, habida cuenta de que además de los pronunciamientos que realice esta Corporación, al Consejo de Estado se le ha atribuido, dentro de la llamada acción de nulidad por inconstitucionalidad, el pronunciamiento acerca de los decretos dictados por el Gobierno nacional cuya competencia no sea asignada a la Corte Constitucional (Art. 237-1). Como si lo anterior no fuese suficiente, el artículo 4o superior consagra la denominada excepción de inconstitucionalidad, a través de la cual, en un caso concreto y con efectos inter-partes, un juez o inclusive una autoridad administrativa, pueden abstenerse de aplicar una norma en aquellos eventos en que ésta contradiga en forma flagrante el texto de la Carta Política. Tampoco puede olvidarse que dentro de los parámetros definidos por el artículo 86 fundamental, cada juez de la República, al momento de resolver de un asunto de tutela, también está haciendo parte de la llamada jurisdicción constitucional”.</w:t>
      </w:r>
    </w:p>
    <w:p w14:paraId="49136BAD" w14:textId="77777777" w:rsidR="00785F33" w:rsidRPr="002E4477" w:rsidRDefault="00785F33" w:rsidP="00EC0A8F">
      <w:pPr>
        <w:pStyle w:val="Prrafodelista"/>
        <w:spacing w:line="276" w:lineRule="auto"/>
        <w:rPr>
          <w:b/>
          <w:bCs/>
          <w:szCs w:val="28"/>
        </w:rPr>
      </w:pPr>
    </w:p>
    <w:p w14:paraId="0916B833" w14:textId="77777777" w:rsidR="00162314" w:rsidRPr="001070F7" w:rsidRDefault="00FD794C" w:rsidP="0073148B">
      <w:pPr>
        <w:pStyle w:val="Prrafodelista"/>
        <w:numPr>
          <w:ilvl w:val="0"/>
          <w:numId w:val="10"/>
        </w:numPr>
        <w:tabs>
          <w:tab w:val="left" w:pos="426"/>
        </w:tabs>
        <w:ind w:right="40"/>
        <w:jc w:val="both"/>
        <w:rPr>
          <w:b/>
          <w:bCs/>
          <w:szCs w:val="28"/>
        </w:rPr>
      </w:pPr>
      <w:r w:rsidRPr="002E4477">
        <w:rPr>
          <w:szCs w:val="28"/>
          <w:lang w:val="es-CO" w:eastAsia="es-CO"/>
        </w:rPr>
        <w:t>Ahora bien, i</w:t>
      </w:r>
      <w:r w:rsidR="00A705D0" w:rsidRPr="002E4477">
        <w:rPr>
          <w:szCs w:val="28"/>
          <w:lang w:val="es-CO" w:eastAsia="es-CO"/>
        </w:rPr>
        <w:t>ndependientemente de lo enunciado</w:t>
      </w:r>
      <w:r w:rsidR="00866D63" w:rsidRPr="002E4477">
        <w:rPr>
          <w:szCs w:val="28"/>
          <w:lang w:val="es-CO" w:eastAsia="es-CO"/>
        </w:rPr>
        <w:t>,</w:t>
      </w:r>
      <w:r w:rsidR="00162314" w:rsidRPr="002E4477">
        <w:rPr>
          <w:szCs w:val="28"/>
          <w:lang w:val="es-CO" w:eastAsia="es-CO"/>
        </w:rPr>
        <w:t xml:space="preserve"> e</w:t>
      </w:r>
      <w:r w:rsidR="00866D63" w:rsidRPr="002E4477">
        <w:rPr>
          <w:szCs w:val="28"/>
          <w:lang w:val="es-CO" w:eastAsia="es-CO"/>
        </w:rPr>
        <w:t>s</w:t>
      </w:r>
      <w:r w:rsidR="00162314" w:rsidRPr="002E4477">
        <w:rPr>
          <w:szCs w:val="28"/>
          <w:lang w:val="es-CO" w:eastAsia="es-CO"/>
        </w:rPr>
        <w:t xml:space="preserve"> claro que </w:t>
      </w:r>
      <w:r w:rsidR="00C12205" w:rsidRPr="002E4477">
        <w:rPr>
          <w:szCs w:val="28"/>
          <w:lang w:val="es-CO" w:eastAsia="es-CO"/>
        </w:rPr>
        <w:t>la Corte Constitucional</w:t>
      </w:r>
      <w:r w:rsidR="00A22D9E" w:rsidRPr="002E4477">
        <w:rPr>
          <w:szCs w:val="28"/>
          <w:lang w:val="es-CO" w:eastAsia="es-CO"/>
        </w:rPr>
        <w:t>,</w:t>
      </w:r>
      <w:r w:rsidR="00162314" w:rsidRPr="002E4477">
        <w:rPr>
          <w:szCs w:val="28"/>
          <w:lang w:val="es-CO" w:eastAsia="es-CO"/>
        </w:rPr>
        <w:t xml:space="preserve"> </w:t>
      </w:r>
      <w:r w:rsidR="00BC34A7" w:rsidRPr="002E4477">
        <w:rPr>
          <w:szCs w:val="28"/>
          <w:lang w:val="es-CO" w:eastAsia="es-CO"/>
        </w:rPr>
        <w:t xml:space="preserve">en la </w:t>
      </w:r>
      <w:r w:rsidR="00162314" w:rsidRPr="002E4477">
        <w:rPr>
          <w:szCs w:val="28"/>
          <w:lang w:val="es-CO" w:eastAsia="es-CO"/>
        </w:rPr>
        <w:t>infraestructura interna del Estado</w:t>
      </w:r>
      <w:r w:rsidR="00866D63" w:rsidRPr="002E4477">
        <w:rPr>
          <w:szCs w:val="28"/>
          <w:lang w:val="es-CO" w:eastAsia="es-CO"/>
        </w:rPr>
        <w:t xml:space="preserve">, </w:t>
      </w:r>
      <w:r w:rsidR="00A22D9E" w:rsidRPr="002E4477">
        <w:rPr>
          <w:szCs w:val="28"/>
          <w:lang w:val="es-CO" w:eastAsia="es-CO"/>
        </w:rPr>
        <w:t xml:space="preserve">es quien </w:t>
      </w:r>
      <w:r w:rsidR="00866D63" w:rsidRPr="002E4477">
        <w:rPr>
          <w:szCs w:val="28"/>
          <w:lang w:val="es-CO" w:eastAsia="es-CO"/>
        </w:rPr>
        <w:t>tiene</w:t>
      </w:r>
      <w:r w:rsidR="00162314" w:rsidRPr="002E4477">
        <w:rPr>
          <w:szCs w:val="28"/>
          <w:lang w:val="es-CO" w:eastAsia="es-CO"/>
        </w:rPr>
        <w:t xml:space="preserve"> la</w:t>
      </w:r>
      <w:r w:rsidR="00C12205" w:rsidRPr="002E4477">
        <w:rPr>
          <w:szCs w:val="28"/>
          <w:lang w:val="es-CO" w:eastAsia="es-CO"/>
        </w:rPr>
        <w:t xml:space="preserve"> competencia </w:t>
      </w:r>
      <w:r w:rsidR="000B45FC" w:rsidRPr="002E4477">
        <w:rPr>
          <w:szCs w:val="28"/>
          <w:lang w:val="es-CO" w:eastAsia="es-CO"/>
        </w:rPr>
        <w:t>“</w:t>
      </w:r>
      <w:r w:rsidR="00162314" w:rsidRPr="002E4477">
        <w:rPr>
          <w:i/>
          <w:szCs w:val="28"/>
          <w:lang w:val="es-CO" w:eastAsia="es-CO"/>
        </w:rPr>
        <w:t>más amplia en materia de</w:t>
      </w:r>
      <w:r w:rsidR="00C12205" w:rsidRPr="002E4477">
        <w:rPr>
          <w:i/>
          <w:szCs w:val="28"/>
          <w:lang w:val="es-CO" w:eastAsia="es-CO"/>
        </w:rPr>
        <w:t xml:space="preserve"> control de constitucionalidad</w:t>
      </w:r>
      <w:r w:rsidR="000B45FC" w:rsidRPr="002E4477">
        <w:rPr>
          <w:szCs w:val="28"/>
          <w:lang w:val="es-CO" w:eastAsia="es-CO"/>
        </w:rPr>
        <w:t>”</w:t>
      </w:r>
      <w:r w:rsidR="000B45FC" w:rsidRPr="002E4477">
        <w:rPr>
          <w:rStyle w:val="Refdenotaalpie"/>
          <w:szCs w:val="28"/>
          <w:lang w:val="es-CO" w:eastAsia="es-CO"/>
        </w:rPr>
        <w:footnoteReference w:id="152"/>
      </w:r>
      <w:r w:rsidR="000B45FC" w:rsidRPr="002E4477">
        <w:rPr>
          <w:szCs w:val="28"/>
          <w:lang w:val="es-CO" w:eastAsia="es-CO"/>
        </w:rPr>
        <w:t>,</w:t>
      </w:r>
      <w:r w:rsidR="000B45FC" w:rsidRPr="002E4477">
        <w:rPr>
          <w:rFonts w:ascii="Arial" w:hAnsi="Arial" w:cs="Arial"/>
          <w:szCs w:val="28"/>
          <w:lang w:val="es-CO" w:eastAsia="es-CO"/>
        </w:rPr>
        <w:t xml:space="preserve"> </w:t>
      </w:r>
      <w:r w:rsidR="00A705D0" w:rsidRPr="002E4477">
        <w:rPr>
          <w:szCs w:val="28"/>
          <w:lang w:val="es-CO" w:eastAsia="es-CO"/>
        </w:rPr>
        <w:t xml:space="preserve">teniendo </w:t>
      </w:r>
      <w:r w:rsidR="00A705D0" w:rsidRPr="001070F7">
        <w:rPr>
          <w:szCs w:val="28"/>
          <w:lang w:val="es-CO" w:eastAsia="es-CO"/>
        </w:rPr>
        <w:t>en cuenta que</w:t>
      </w:r>
      <w:r w:rsidR="00C12205" w:rsidRPr="001070F7">
        <w:rPr>
          <w:szCs w:val="28"/>
          <w:lang w:val="es-CO" w:eastAsia="es-CO"/>
        </w:rPr>
        <w:t xml:space="preserve"> el Consejo de Estado</w:t>
      </w:r>
      <w:r w:rsidR="00A705D0" w:rsidRPr="001070F7">
        <w:rPr>
          <w:szCs w:val="28"/>
          <w:lang w:val="es-CO" w:eastAsia="es-CO"/>
        </w:rPr>
        <w:t xml:space="preserve"> s</w:t>
      </w:r>
      <w:r w:rsidR="00C80E03">
        <w:rPr>
          <w:szCs w:val="28"/>
          <w:lang w:val="es-CO" w:eastAsia="es-CO"/>
        </w:rPr>
        <w:t>o</w:t>
      </w:r>
      <w:r w:rsidR="00A705D0" w:rsidRPr="001070F7">
        <w:rPr>
          <w:szCs w:val="28"/>
          <w:lang w:val="es-CO" w:eastAsia="es-CO"/>
        </w:rPr>
        <w:t>lo</w:t>
      </w:r>
      <w:r w:rsidR="00C12205" w:rsidRPr="001070F7">
        <w:rPr>
          <w:szCs w:val="28"/>
          <w:lang w:val="es-CO" w:eastAsia="es-CO"/>
        </w:rPr>
        <w:t xml:space="preserve"> por vía residual, conoce de todos aquellos actos que no le hayan sido atribuidos</w:t>
      </w:r>
      <w:r w:rsidR="00C12205" w:rsidRPr="001070F7">
        <w:rPr>
          <w:rStyle w:val="Refdenotaalpie"/>
          <w:szCs w:val="28"/>
          <w:lang w:val="es-CO" w:eastAsia="es-CO"/>
        </w:rPr>
        <w:footnoteReference w:id="153"/>
      </w:r>
      <w:r w:rsidR="00A705D0" w:rsidRPr="001070F7">
        <w:rPr>
          <w:szCs w:val="28"/>
          <w:lang w:val="es-CO" w:eastAsia="es-CO"/>
        </w:rPr>
        <w:t xml:space="preserve"> al </w:t>
      </w:r>
      <w:r w:rsidR="00785F33" w:rsidRPr="001070F7">
        <w:rPr>
          <w:szCs w:val="28"/>
          <w:lang w:val="es-CO" w:eastAsia="es-CO"/>
        </w:rPr>
        <w:t>Tribunal</w:t>
      </w:r>
      <w:r w:rsidR="00A705D0" w:rsidRPr="001070F7">
        <w:rPr>
          <w:szCs w:val="28"/>
          <w:lang w:val="es-CO" w:eastAsia="es-CO"/>
        </w:rPr>
        <w:t xml:space="preserve"> Constitucional</w:t>
      </w:r>
      <w:r w:rsidR="00C12205" w:rsidRPr="001070F7">
        <w:rPr>
          <w:szCs w:val="28"/>
          <w:lang w:val="es-CO" w:eastAsia="es-CO"/>
        </w:rPr>
        <w:t xml:space="preserve">. </w:t>
      </w:r>
      <w:r w:rsidR="00785F33" w:rsidRPr="001070F7">
        <w:rPr>
          <w:iCs/>
          <w:szCs w:val="28"/>
          <w:lang w:val="es-CO" w:eastAsia="es-CO"/>
        </w:rPr>
        <w:t xml:space="preserve">Lo anterior, </w:t>
      </w:r>
      <w:r w:rsidR="00C94E08" w:rsidRPr="001070F7">
        <w:rPr>
          <w:iCs/>
          <w:szCs w:val="28"/>
          <w:lang w:val="es-CO" w:eastAsia="es-CO"/>
        </w:rPr>
        <w:t xml:space="preserve">debido a que </w:t>
      </w:r>
      <w:r w:rsidR="0073148B" w:rsidRPr="001070F7">
        <w:rPr>
          <w:iCs/>
          <w:szCs w:val="28"/>
          <w:shd w:val="clear" w:color="auto" w:fill="FFFFFF"/>
          <w:lang w:val="es-ES_tradnl"/>
        </w:rPr>
        <w:t>la</w:t>
      </w:r>
      <w:r w:rsidR="00162314" w:rsidRPr="001070F7">
        <w:rPr>
          <w:i/>
          <w:iCs/>
          <w:szCs w:val="28"/>
          <w:shd w:val="clear" w:color="auto" w:fill="FFFFFF"/>
          <w:lang w:val="es-ES_tradnl"/>
        </w:rPr>
        <w:t> </w:t>
      </w:r>
      <w:r w:rsidR="0073148B" w:rsidRPr="001070F7">
        <w:rPr>
          <w:i/>
          <w:iCs/>
          <w:szCs w:val="28"/>
          <w:shd w:val="clear" w:color="auto" w:fill="FFFFFF"/>
          <w:lang w:val="es-ES_tradnl"/>
        </w:rPr>
        <w:t>“</w:t>
      </w:r>
      <w:r w:rsidR="00162314" w:rsidRPr="001070F7">
        <w:rPr>
          <w:i/>
          <w:iCs/>
          <w:szCs w:val="28"/>
          <w:shd w:val="clear" w:color="auto" w:fill="FFFFFF"/>
        </w:rPr>
        <w:t>Corte Constitucional es</w:t>
      </w:r>
      <w:r w:rsidR="00A22D9E" w:rsidRPr="001070F7">
        <w:rPr>
          <w:i/>
          <w:iCs/>
          <w:szCs w:val="28"/>
          <w:shd w:val="clear" w:color="auto" w:fill="FFFFFF"/>
        </w:rPr>
        <w:t xml:space="preserve"> </w:t>
      </w:r>
      <w:r w:rsidR="00162314" w:rsidRPr="001070F7">
        <w:rPr>
          <w:i/>
          <w:iCs/>
          <w:szCs w:val="28"/>
          <w:shd w:val="clear" w:color="auto" w:fill="FFFFFF"/>
        </w:rPr>
        <w:t>el máximo órgano de la jurisdicción constitucional, para lo cual debe ejercer su labor en los estrictos y precisos términos señalados en el artículo 241 Superior, norma que comprende un amplio y detallado marco de competencias, coherente con su naturaleza como principal autoridad encargada de ejercer el control constitucional en Colombia”</w:t>
      </w:r>
      <w:r w:rsidR="0073148B" w:rsidRPr="001070F7">
        <w:rPr>
          <w:rStyle w:val="Refdenotaalpie"/>
          <w:iCs/>
          <w:szCs w:val="28"/>
          <w:shd w:val="clear" w:color="auto" w:fill="FFFFFF"/>
          <w:lang w:val="es-ES_tradnl"/>
        </w:rPr>
        <w:t xml:space="preserve"> </w:t>
      </w:r>
      <w:r w:rsidR="0073148B" w:rsidRPr="001070F7">
        <w:rPr>
          <w:rStyle w:val="Refdenotaalpie"/>
          <w:iCs/>
          <w:szCs w:val="28"/>
          <w:shd w:val="clear" w:color="auto" w:fill="FFFFFF"/>
          <w:lang w:val="es-ES_tradnl"/>
        </w:rPr>
        <w:footnoteReference w:id="154"/>
      </w:r>
      <w:r w:rsidR="00162314" w:rsidRPr="001070F7">
        <w:rPr>
          <w:i/>
          <w:iCs/>
          <w:sz w:val="26"/>
          <w:szCs w:val="26"/>
          <w:shd w:val="clear" w:color="auto" w:fill="FFFFFF"/>
        </w:rPr>
        <w:t>.</w:t>
      </w:r>
    </w:p>
    <w:p w14:paraId="47A522AA" w14:textId="77777777" w:rsidR="00162314" w:rsidRPr="001070F7" w:rsidRDefault="00162314" w:rsidP="00162314">
      <w:pPr>
        <w:pStyle w:val="NormalWeb"/>
        <w:tabs>
          <w:tab w:val="left" w:pos="426"/>
        </w:tabs>
        <w:spacing w:before="0" w:beforeAutospacing="0" w:after="0" w:afterAutospacing="0"/>
        <w:ind w:right="40"/>
        <w:jc w:val="both"/>
        <w:rPr>
          <w:b/>
          <w:bCs/>
          <w:i/>
          <w:sz w:val="28"/>
          <w:szCs w:val="28"/>
          <w:lang w:val="es-ES"/>
        </w:rPr>
      </w:pPr>
    </w:p>
    <w:p w14:paraId="252FBF0F" w14:textId="77777777" w:rsidR="00095182" w:rsidRPr="001070F7" w:rsidRDefault="00C12205" w:rsidP="00162314">
      <w:pPr>
        <w:numPr>
          <w:ilvl w:val="0"/>
          <w:numId w:val="10"/>
        </w:numPr>
        <w:shd w:val="clear" w:color="auto" w:fill="FFFFFF"/>
        <w:jc w:val="both"/>
        <w:rPr>
          <w:b/>
          <w:bCs/>
          <w:i/>
          <w:szCs w:val="28"/>
        </w:rPr>
      </w:pPr>
      <w:r w:rsidRPr="001070F7">
        <w:rPr>
          <w:szCs w:val="28"/>
        </w:rPr>
        <w:t xml:space="preserve">Por lo tanto, mientras </w:t>
      </w:r>
      <w:r w:rsidR="00095182" w:rsidRPr="001070F7">
        <w:rPr>
          <w:szCs w:val="28"/>
        </w:rPr>
        <w:t xml:space="preserve">que </w:t>
      </w:r>
      <w:r w:rsidRPr="001070F7">
        <w:rPr>
          <w:szCs w:val="28"/>
        </w:rPr>
        <w:t>a la Corte Constitucional le corresponde</w:t>
      </w:r>
      <w:r w:rsidR="00E97827" w:rsidRPr="001070F7">
        <w:rPr>
          <w:szCs w:val="28"/>
        </w:rPr>
        <w:t xml:space="preserve"> </w:t>
      </w:r>
      <w:r w:rsidR="00866D63" w:rsidRPr="001070F7">
        <w:rPr>
          <w:szCs w:val="28"/>
          <w:lang w:val="es-ES_tradnl" w:eastAsia="es-CO"/>
        </w:rPr>
        <w:t>proteger la integridad de la Carta</w:t>
      </w:r>
      <w:r w:rsidR="00866D63" w:rsidRPr="001070F7">
        <w:rPr>
          <w:szCs w:val="28"/>
        </w:rPr>
        <w:t xml:space="preserve"> </w:t>
      </w:r>
      <w:r w:rsidR="00E97827" w:rsidRPr="001070F7">
        <w:rPr>
          <w:szCs w:val="28"/>
        </w:rPr>
        <w:t xml:space="preserve">en los términos del artículo 241 </w:t>
      </w:r>
      <w:r w:rsidR="002B5150" w:rsidRPr="001070F7">
        <w:rPr>
          <w:szCs w:val="28"/>
        </w:rPr>
        <w:t>superior, el</w:t>
      </w:r>
      <w:r w:rsidRPr="001070F7">
        <w:rPr>
          <w:szCs w:val="28"/>
          <w:lang w:val="es-ES_tradnl" w:eastAsia="es-CO"/>
        </w:rPr>
        <w:t xml:space="preserve"> Consejo de Estado debe</w:t>
      </w:r>
      <w:r w:rsidR="00866D63" w:rsidRPr="001070F7">
        <w:rPr>
          <w:szCs w:val="28"/>
          <w:lang w:val="es-ES_tradnl" w:eastAsia="es-CO"/>
        </w:rPr>
        <w:t xml:space="preserve"> realizar el control constitucional</w:t>
      </w:r>
      <w:r w:rsidR="007D143D" w:rsidRPr="001070F7">
        <w:rPr>
          <w:szCs w:val="28"/>
          <w:lang w:val="es-ES_tradnl" w:eastAsia="es-CO"/>
        </w:rPr>
        <w:t xml:space="preserve"> abstracto</w:t>
      </w:r>
      <w:r w:rsidRPr="001070F7">
        <w:rPr>
          <w:szCs w:val="28"/>
          <w:lang w:val="es-ES_tradnl" w:eastAsia="es-CO"/>
        </w:rPr>
        <w:t xml:space="preserve"> </w:t>
      </w:r>
      <w:r w:rsidRPr="001070F7">
        <w:rPr>
          <w:szCs w:val="28"/>
          <w:lang w:val="es-CO" w:eastAsia="es-CO"/>
        </w:rPr>
        <w:t xml:space="preserve">según lo señalado por el art. 237-2 superior, </w:t>
      </w:r>
      <w:r w:rsidR="007814F3" w:rsidRPr="001070F7">
        <w:rPr>
          <w:szCs w:val="28"/>
          <w:lang w:val="es-CO" w:eastAsia="es-CO"/>
        </w:rPr>
        <w:t xml:space="preserve">esto es, </w:t>
      </w:r>
      <w:r w:rsidRPr="001070F7">
        <w:rPr>
          <w:szCs w:val="28"/>
          <w:lang w:val="es-ES_tradnl" w:eastAsia="es-CO"/>
        </w:rPr>
        <w:t>a través de las </w:t>
      </w:r>
      <w:r w:rsidRPr="001070F7">
        <w:rPr>
          <w:i/>
          <w:iCs/>
          <w:szCs w:val="28"/>
          <w:lang w:val="es-CO" w:eastAsia="es-CO"/>
        </w:rPr>
        <w:t xml:space="preserve">“las acciones de </w:t>
      </w:r>
      <w:r w:rsidRPr="001070F7">
        <w:rPr>
          <w:i/>
          <w:iCs/>
          <w:szCs w:val="28"/>
          <w:lang w:val="es-CO" w:eastAsia="es-CO"/>
        </w:rPr>
        <w:lastRenderedPageBreak/>
        <w:t>nulidad por inconstitucionalidad de los decretos dictados por el gobierno nacional, cuya competencia no corresponda a la Corte Constitucional”.</w:t>
      </w:r>
    </w:p>
    <w:p w14:paraId="33C15A1F" w14:textId="77777777" w:rsidR="003F5248" w:rsidRPr="002E4477" w:rsidRDefault="003F5248" w:rsidP="00EC0A8F">
      <w:pPr>
        <w:shd w:val="clear" w:color="auto" w:fill="FFFFFF"/>
        <w:spacing w:line="276" w:lineRule="auto"/>
        <w:jc w:val="both"/>
        <w:rPr>
          <w:i/>
          <w:iCs/>
          <w:szCs w:val="28"/>
          <w:lang w:val="es-CO" w:eastAsia="es-CO"/>
        </w:rPr>
      </w:pPr>
    </w:p>
    <w:p w14:paraId="1BAB2F88" w14:textId="77777777" w:rsidR="00095182" w:rsidRPr="002E4477" w:rsidRDefault="00095182" w:rsidP="00095182">
      <w:pPr>
        <w:shd w:val="clear" w:color="auto" w:fill="FFFFFF"/>
        <w:jc w:val="both"/>
        <w:rPr>
          <w:rFonts w:ascii="Arial" w:hAnsi="Arial" w:cs="Arial"/>
          <w:i/>
          <w:szCs w:val="28"/>
          <w:lang w:val="es-CO" w:eastAsia="es-CO"/>
        </w:rPr>
      </w:pPr>
      <w:r w:rsidRPr="002E4477">
        <w:rPr>
          <w:b/>
          <w:i/>
          <w:szCs w:val="28"/>
        </w:rPr>
        <w:t>Distribución de competencias entre la Corte Constitucional y el Consejo de Estado en materia de control abstracto de constitucionalidad</w:t>
      </w:r>
    </w:p>
    <w:p w14:paraId="114B26D6" w14:textId="77777777" w:rsidR="00034346" w:rsidRPr="002E4477" w:rsidRDefault="00026D12" w:rsidP="00EC0A8F">
      <w:pPr>
        <w:shd w:val="clear" w:color="auto" w:fill="FFFFFF"/>
        <w:spacing w:line="276" w:lineRule="auto"/>
        <w:jc w:val="both"/>
        <w:rPr>
          <w:b/>
          <w:bCs/>
          <w:i/>
          <w:szCs w:val="28"/>
        </w:rPr>
      </w:pPr>
      <w:r w:rsidRPr="002E4477">
        <w:rPr>
          <w:i/>
          <w:iCs/>
          <w:szCs w:val="28"/>
          <w:lang w:val="es-CO" w:eastAsia="es-CO"/>
        </w:rPr>
        <w:t xml:space="preserve"> </w:t>
      </w:r>
    </w:p>
    <w:p w14:paraId="0B1D9C96" w14:textId="77777777" w:rsidR="000F747B" w:rsidRPr="002E4477" w:rsidRDefault="000F747B" w:rsidP="00866D63">
      <w:pPr>
        <w:numPr>
          <w:ilvl w:val="0"/>
          <w:numId w:val="10"/>
        </w:numPr>
        <w:shd w:val="clear" w:color="auto" w:fill="FFFFFF"/>
        <w:jc w:val="both"/>
        <w:rPr>
          <w:szCs w:val="28"/>
          <w:lang w:val="es-CO" w:eastAsia="es-CO"/>
        </w:rPr>
      </w:pPr>
      <w:r w:rsidRPr="002E4477">
        <w:rPr>
          <w:bCs/>
          <w:szCs w:val="28"/>
        </w:rPr>
        <w:t xml:space="preserve">Con la entrada en vigencia de la Constitución de 1991 y la creación de la Corte Constitucional, se introdujeron modificaciones significativas al modelo de control constitucional que existía hasta ese momento. Por una parte, el ejercicio </w:t>
      </w:r>
      <w:r w:rsidR="00FD794C" w:rsidRPr="002E4477">
        <w:rPr>
          <w:bCs/>
          <w:szCs w:val="28"/>
        </w:rPr>
        <w:t xml:space="preserve">de </w:t>
      </w:r>
      <w:r w:rsidRPr="002E4477">
        <w:rPr>
          <w:bCs/>
          <w:szCs w:val="28"/>
        </w:rPr>
        <w:t>la revisión de constitucionalidad de las leyes –incluso aquellas aprobatorias de tratados internacionales–, decretos con fuerza de ley y proyectos de ley objetados por el gobierno, que estaba</w:t>
      </w:r>
      <w:r w:rsidR="00BB442D" w:rsidRPr="002E4477">
        <w:rPr>
          <w:bCs/>
          <w:szCs w:val="28"/>
        </w:rPr>
        <w:t>n</w:t>
      </w:r>
      <w:r w:rsidRPr="002E4477">
        <w:rPr>
          <w:bCs/>
          <w:szCs w:val="28"/>
        </w:rPr>
        <w:t xml:space="preserve"> atribuido</w:t>
      </w:r>
      <w:r w:rsidR="00BB442D" w:rsidRPr="002E4477">
        <w:rPr>
          <w:bCs/>
          <w:szCs w:val="28"/>
        </w:rPr>
        <w:t>s</w:t>
      </w:r>
      <w:r w:rsidRPr="002E4477">
        <w:rPr>
          <w:bCs/>
          <w:szCs w:val="28"/>
        </w:rPr>
        <w:t xml:space="preserve"> a la Corte Suprema de Justicia, fue</w:t>
      </w:r>
      <w:r w:rsidR="00BB442D" w:rsidRPr="002E4477">
        <w:rPr>
          <w:bCs/>
          <w:szCs w:val="28"/>
        </w:rPr>
        <w:t>ron</w:t>
      </w:r>
      <w:r w:rsidRPr="002E4477">
        <w:rPr>
          <w:bCs/>
          <w:szCs w:val="28"/>
        </w:rPr>
        <w:t xml:space="preserve"> asignado</w:t>
      </w:r>
      <w:r w:rsidR="00BB442D" w:rsidRPr="002E4477">
        <w:rPr>
          <w:bCs/>
          <w:szCs w:val="28"/>
        </w:rPr>
        <w:t>s</w:t>
      </w:r>
      <w:r w:rsidRPr="002E4477">
        <w:rPr>
          <w:bCs/>
          <w:szCs w:val="28"/>
        </w:rPr>
        <w:t xml:space="preserve"> a la Corte Constitucional. Por otra, la competencia para revisar la constitucionalidad de los decretos dictados por el Gobierno Nacional, que anteriormente se otorgaba de forma genérica a la jurisdicción de lo contencioso administrativo</w:t>
      </w:r>
      <w:r w:rsidRPr="002E4477">
        <w:rPr>
          <w:rStyle w:val="Refdenotaalpie"/>
          <w:bCs/>
          <w:szCs w:val="28"/>
        </w:rPr>
        <w:footnoteReference w:id="155"/>
      </w:r>
      <w:r w:rsidRPr="002E4477">
        <w:rPr>
          <w:bCs/>
          <w:szCs w:val="28"/>
        </w:rPr>
        <w:t>, se confirió particularmente al Consejo de Estado.</w:t>
      </w:r>
    </w:p>
    <w:p w14:paraId="0A0CECDA" w14:textId="77777777" w:rsidR="002B5150" w:rsidRPr="002E4477" w:rsidRDefault="002B5150" w:rsidP="002B5150">
      <w:pPr>
        <w:shd w:val="clear" w:color="auto" w:fill="FFFFFF"/>
        <w:jc w:val="both"/>
        <w:rPr>
          <w:szCs w:val="28"/>
          <w:lang w:val="es-CO" w:eastAsia="es-CO"/>
        </w:rPr>
      </w:pPr>
    </w:p>
    <w:p w14:paraId="2CE7302D" w14:textId="77777777" w:rsidR="002B5150" w:rsidRPr="001070F7" w:rsidRDefault="000F747B" w:rsidP="002B5150">
      <w:pPr>
        <w:numPr>
          <w:ilvl w:val="0"/>
          <w:numId w:val="10"/>
        </w:numPr>
        <w:shd w:val="clear" w:color="auto" w:fill="FFFFFF"/>
        <w:jc w:val="both"/>
        <w:rPr>
          <w:szCs w:val="28"/>
          <w:lang w:val="es-CO" w:eastAsia="es-CO"/>
        </w:rPr>
      </w:pPr>
      <w:r w:rsidRPr="002E4477">
        <w:rPr>
          <w:bCs/>
          <w:szCs w:val="28"/>
        </w:rPr>
        <w:t xml:space="preserve">De igual modo, </w:t>
      </w:r>
      <w:r w:rsidRPr="001070F7">
        <w:rPr>
          <w:bCs/>
          <w:szCs w:val="28"/>
        </w:rPr>
        <w:t xml:space="preserve">se modificó el parámetro de atribución de competencias que existía </w:t>
      </w:r>
      <w:r w:rsidR="00866D63" w:rsidRPr="001070F7">
        <w:rPr>
          <w:bCs/>
          <w:szCs w:val="28"/>
        </w:rPr>
        <w:t>con anterioridad</w:t>
      </w:r>
      <w:r w:rsidRPr="001070F7">
        <w:rPr>
          <w:bCs/>
          <w:szCs w:val="28"/>
        </w:rPr>
        <w:t>.</w:t>
      </w:r>
      <w:r w:rsidR="00866D63" w:rsidRPr="001070F7">
        <w:rPr>
          <w:bCs/>
          <w:szCs w:val="28"/>
        </w:rPr>
        <w:t xml:space="preserve"> M</w:t>
      </w:r>
      <w:r w:rsidRPr="001070F7">
        <w:rPr>
          <w:bCs/>
          <w:szCs w:val="28"/>
        </w:rPr>
        <w:t xml:space="preserve">ientras que en la vigencia de la Constitución de 1886 existía un listado específico de facultades para cada uno de los órganos que realizaban el control constitucional, en la Carta de 1991 se adoptó un criterio de asignación de competencias </w:t>
      </w:r>
      <w:r w:rsidRPr="001070F7">
        <w:rPr>
          <w:bCs/>
          <w:i/>
          <w:iCs/>
          <w:szCs w:val="28"/>
        </w:rPr>
        <w:t>relacional</w:t>
      </w:r>
      <w:r w:rsidR="00C91DC3" w:rsidRPr="001070F7">
        <w:rPr>
          <w:bCs/>
          <w:szCs w:val="28"/>
        </w:rPr>
        <w:t xml:space="preserve">. Sobre esa base, </w:t>
      </w:r>
      <w:r w:rsidRPr="001070F7">
        <w:rPr>
          <w:bCs/>
          <w:szCs w:val="28"/>
        </w:rPr>
        <w:t xml:space="preserve">la Corte Constitucional ejerce el control abstracto de constitucionalidad de manera </w:t>
      </w:r>
      <w:r w:rsidRPr="001070F7">
        <w:rPr>
          <w:bCs/>
          <w:i/>
          <w:iCs/>
          <w:szCs w:val="28"/>
        </w:rPr>
        <w:t>principal,</w:t>
      </w:r>
      <w:r w:rsidRPr="001070F7">
        <w:rPr>
          <w:bCs/>
          <w:szCs w:val="28"/>
        </w:rPr>
        <w:t xml:space="preserve"> mientras que la competencia del Consejo de Estado sobre </w:t>
      </w:r>
      <w:r w:rsidR="00C91DC3" w:rsidRPr="001070F7">
        <w:rPr>
          <w:bCs/>
          <w:szCs w:val="28"/>
        </w:rPr>
        <w:t>esta materia</w:t>
      </w:r>
      <w:r w:rsidRPr="001070F7">
        <w:rPr>
          <w:bCs/>
          <w:szCs w:val="28"/>
        </w:rPr>
        <w:t xml:space="preserve"> es</w:t>
      </w:r>
      <w:r w:rsidR="002B5150" w:rsidRPr="001070F7">
        <w:rPr>
          <w:bCs/>
          <w:szCs w:val="28"/>
        </w:rPr>
        <w:t>, como ya se dijo,</w:t>
      </w:r>
      <w:r w:rsidRPr="001070F7">
        <w:rPr>
          <w:bCs/>
          <w:szCs w:val="28"/>
        </w:rPr>
        <w:t xml:space="preserve"> de </w:t>
      </w:r>
      <w:r w:rsidRPr="001070F7">
        <w:rPr>
          <w:bCs/>
          <w:i/>
          <w:iCs/>
          <w:szCs w:val="28"/>
        </w:rPr>
        <w:t>carácter residual</w:t>
      </w:r>
      <w:r w:rsidRPr="001070F7">
        <w:rPr>
          <w:rStyle w:val="Refdenotaalpie"/>
          <w:bCs/>
          <w:szCs w:val="28"/>
        </w:rPr>
        <w:footnoteReference w:id="156"/>
      </w:r>
      <w:r w:rsidR="002B5150" w:rsidRPr="001070F7">
        <w:rPr>
          <w:bCs/>
          <w:szCs w:val="28"/>
        </w:rPr>
        <w:t>.</w:t>
      </w:r>
    </w:p>
    <w:p w14:paraId="3C30050A" w14:textId="77777777" w:rsidR="002B5150" w:rsidRPr="001070F7" w:rsidRDefault="002B5150" w:rsidP="002B5150">
      <w:pPr>
        <w:pStyle w:val="Prrafodelista"/>
        <w:rPr>
          <w:szCs w:val="28"/>
        </w:rPr>
      </w:pPr>
    </w:p>
    <w:p w14:paraId="193E308B" w14:textId="77777777" w:rsidR="00862781" w:rsidRPr="002E4477" w:rsidRDefault="00C91DC3" w:rsidP="00862781">
      <w:pPr>
        <w:numPr>
          <w:ilvl w:val="0"/>
          <w:numId w:val="10"/>
        </w:numPr>
        <w:shd w:val="clear" w:color="auto" w:fill="FFFFFF"/>
        <w:jc w:val="both"/>
        <w:rPr>
          <w:szCs w:val="28"/>
          <w:lang w:val="es-CO" w:eastAsia="es-CO"/>
        </w:rPr>
      </w:pPr>
      <w:r w:rsidRPr="001070F7">
        <w:rPr>
          <w:szCs w:val="28"/>
        </w:rPr>
        <w:t>De este modo</w:t>
      </w:r>
      <w:r w:rsidR="00A705D0" w:rsidRPr="001070F7">
        <w:rPr>
          <w:szCs w:val="28"/>
        </w:rPr>
        <w:t xml:space="preserve">, </w:t>
      </w:r>
      <w:r w:rsidR="000F747B" w:rsidRPr="001070F7">
        <w:rPr>
          <w:szCs w:val="28"/>
        </w:rPr>
        <w:t>en virtud del diseño</w:t>
      </w:r>
      <w:r w:rsidR="00A705D0" w:rsidRPr="002E4477">
        <w:rPr>
          <w:szCs w:val="28"/>
        </w:rPr>
        <w:t xml:space="preserve"> institucional </w:t>
      </w:r>
      <w:r w:rsidR="00147022" w:rsidRPr="002E4477">
        <w:rPr>
          <w:szCs w:val="28"/>
        </w:rPr>
        <w:t>introducido en la Carta</w:t>
      </w:r>
      <w:r w:rsidR="000F747B" w:rsidRPr="002E4477">
        <w:rPr>
          <w:szCs w:val="28"/>
        </w:rPr>
        <w:t xml:space="preserve"> de 1991, la Corte Constitucional </w:t>
      </w:r>
      <w:r w:rsidR="000F747B" w:rsidRPr="00C91DC3">
        <w:rPr>
          <w:bCs/>
          <w:szCs w:val="28"/>
        </w:rPr>
        <w:t>es titular de la mayoría de competencias en materia de control abstracto de constitucionalidad</w:t>
      </w:r>
      <w:r w:rsidR="000F747B" w:rsidRPr="002E4477">
        <w:rPr>
          <w:szCs w:val="28"/>
        </w:rPr>
        <w:t>, pues sus atribuciones comprenden varias clases de normas, entre las cuales se enlistan</w:t>
      </w:r>
      <w:r w:rsidR="000F747B" w:rsidRPr="002E4477">
        <w:rPr>
          <w:rStyle w:val="Refdenotaalpie"/>
          <w:szCs w:val="28"/>
        </w:rPr>
        <w:footnoteReference w:id="157"/>
      </w:r>
      <w:r w:rsidR="000F747B" w:rsidRPr="002E4477">
        <w:rPr>
          <w:szCs w:val="28"/>
        </w:rPr>
        <w:t>:</w:t>
      </w:r>
      <w:r w:rsidR="000F747B" w:rsidRPr="002E4477">
        <w:rPr>
          <w:b/>
          <w:szCs w:val="28"/>
        </w:rPr>
        <w:t xml:space="preserve"> </w:t>
      </w:r>
      <w:r w:rsidR="000F747B" w:rsidRPr="002E4477">
        <w:rPr>
          <w:szCs w:val="28"/>
        </w:rPr>
        <w:t>(i) todo tipo de leyes</w:t>
      </w:r>
      <w:r w:rsidR="000F747B" w:rsidRPr="002E4477">
        <w:rPr>
          <w:rStyle w:val="Refdenotaalpie"/>
          <w:szCs w:val="28"/>
        </w:rPr>
        <w:footnoteReference w:id="158"/>
      </w:r>
      <w:r w:rsidR="000F747B" w:rsidRPr="002E4477">
        <w:rPr>
          <w:szCs w:val="28"/>
        </w:rPr>
        <w:t>, incluso las aprobatorias de tratados internacionales</w:t>
      </w:r>
      <w:r w:rsidR="000F747B" w:rsidRPr="002E4477">
        <w:rPr>
          <w:rStyle w:val="Refdenotaalpie"/>
          <w:szCs w:val="28"/>
        </w:rPr>
        <w:footnoteReference w:id="159"/>
      </w:r>
      <w:r w:rsidR="000F747B" w:rsidRPr="002E4477">
        <w:rPr>
          <w:szCs w:val="28"/>
        </w:rPr>
        <w:t>; (ii) decretos leyes o de habilitación legislativa por el Congreso de la República</w:t>
      </w:r>
      <w:r w:rsidR="000F747B" w:rsidRPr="002E4477">
        <w:rPr>
          <w:rStyle w:val="Refdenotaalpie"/>
          <w:szCs w:val="28"/>
        </w:rPr>
        <w:footnoteReference w:id="160"/>
      </w:r>
      <w:r w:rsidR="000F747B" w:rsidRPr="002E4477">
        <w:rPr>
          <w:szCs w:val="28"/>
        </w:rPr>
        <w:t xml:space="preserve">; </w:t>
      </w:r>
      <w:r w:rsidR="000F747B" w:rsidRPr="002E4477">
        <w:rPr>
          <w:szCs w:val="28"/>
        </w:rPr>
        <w:lastRenderedPageBreak/>
        <w:t>(iii) decretos compilatorios de leyes</w:t>
      </w:r>
      <w:r w:rsidR="000F747B" w:rsidRPr="002E4477">
        <w:rPr>
          <w:rStyle w:val="Refdenotaalpie"/>
          <w:szCs w:val="28"/>
        </w:rPr>
        <w:footnoteReference w:id="161"/>
      </w:r>
      <w:r w:rsidR="000F747B" w:rsidRPr="002E4477">
        <w:rPr>
          <w:szCs w:val="28"/>
        </w:rPr>
        <w:t>; (iv) decretos legislativos dictados en el marco de estados de excepción</w:t>
      </w:r>
      <w:r w:rsidR="000F747B" w:rsidRPr="002E4477">
        <w:rPr>
          <w:rStyle w:val="Refdenotaalpie"/>
          <w:szCs w:val="28"/>
        </w:rPr>
        <w:footnoteReference w:id="162"/>
      </w:r>
      <w:r w:rsidR="000F747B" w:rsidRPr="002E4477">
        <w:rPr>
          <w:szCs w:val="28"/>
        </w:rPr>
        <w:t xml:space="preserve"> o que los declaren</w:t>
      </w:r>
      <w:r w:rsidR="000F747B" w:rsidRPr="002E4477">
        <w:rPr>
          <w:rStyle w:val="Refdenotaalpie"/>
          <w:szCs w:val="28"/>
        </w:rPr>
        <w:footnoteReference w:id="163"/>
      </w:r>
      <w:r w:rsidR="000F747B" w:rsidRPr="002E4477">
        <w:rPr>
          <w:szCs w:val="28"/>
        </w:rPr>
        <w:t xml:space="preserve"> y, en general, (v) todo decreto con fuerza material de ley</w:t>
      </w:r>
      <w:r w:rsidR="000F747B" w:rsidRPr="002E4477">
        <w:rPr>
          <w:rStyle w:val="Refdenotaalpie"/>
          <w:szCs w:val="28"/>
        </w:rPr>
        <w:footnoteReference w:id="164"/>
      </w:r>
      <w:r w:rsidR="000F747B" w:rsidRPr="002E4477">
        <w:rPr>
          <w:szCs w:val="28"/>
        </w:rPr>
        <w:t>; (v) proyectos de ley objetados por razones de inconstitucionalidad</w:t>
      </w:r>
      <w:r w:rsidR="000F747B" w:rsidRPr="002E4477">
        <w:rPr>
          <w:rStyle w:val="Refdenotaalpie"/>
          <w:szCs w:val="28"/>
        </w:rPr>
        <w:footnoteReference w:id="165"/>
      </w:r>
      <w:r w:rsidR="000F747B" w:rsidRPr="002E4477">
        <w:rPr>
          <w:szCs w:val="28"/>
        </w:rPr>
        <w:t>; (vi) proyectos de ley estatutaria</w:t>
      </w:r>
      <w:r w:rsidR="000F747B" w:rsidRPr="002E4477">
        <w:rPr>
          <w:rStyle w:val="Refdenotaalpie"/>
          <w:szCs w:val="28"/>
        </w:rPr>
        <w:footnoteReference w:id="166"/>
      </w:r>
      <w:r w:rsidR="000F747B" w:rsidRPr="002E4477">
        <w:rPr>
          <w:szCs w:val="28"/>
        </w:rPr>
        <w:t>; (vii) acuerdos internacionales simplificados que se ocupan de regular materias propias de un tratado internacional</w:t>
      </w:r>
      <w:r w:rsidR="000F747B" w:rsidRPr="002E4477">
        <w:rPr>
          <w:rStyle w:val="Refdenotaalpie"/>
          <w:szCs w:val="28"/>
        </w:rPr>
        <w:footnoteReference w:id="167"/>
      </w:r>
      <w:r w:rsidR="000F747B" w:rsidRPr="002E4477">
        <w:rPr>
          <w:szCs w:val="28"/>
        </w:rPr>
        <w:t>; (vii) referendos sobre leyes, consultas populares y plebiscitos del orden nacional</w:t>
      </w:r>
      <w:r w:rsidR="000F747B" w:rsidRPr="002E4477">
        <w:rPr>
          <w:rStyle w:val="Refdenotaalpie"/>
          <w:szCs w:val="28"/>
        </w:rPr>
        <w:footnoteReference w:id="168"/>
      </w:r>
      <w:r w:rsidR="000F747B" w:rsidRPr="002E4477">
        <w:rPr>
          <w:szCs w:val="28"/>
        </w:rPr>
        <w:t xml:space="preserve">; y (ix) </w:t>
      </w:r>
      <w:r w:rsidR="000F747B" w:rsidRPr="002E4477">
        <w:rPr>
          <w:b/>
          <w:szCs w:val="28"/>
        </w:rPr>
        <w:t>actos reformatorios de la Carta Política</w:t>
      </w:r>
      <w:r w:rsidR="000F747B" w:rsidRPr="002E4477">
        <w:rPr>
          <w:rStyle w:val="Refdenotaalpie"/>
          <w:szCs w:val="28"/>
        </w:rPr>
        <w:footnoteReference w:id="169"/>
      </w:r>
      <w:r w:rsidR="000F747B" w:rsidRPr="002E4477">
        <w:rPr>
          <w:szCs w:val="28"/>
        </w:rPr>
        <w:t xml:space="preserve">. </w:t>
      </w:r>
    </w:p>
    <w:p w14:paraId="01D90B28" w14:textId="77777777" w:rsidR="00862781" w:rsidRPr="002E4477" w:rsidRDefault="00862781" w:rsidP="00862781">
      <w:pPr>
        <w:shd w:val="clear" w:color="auto" w:fill="FFFFFF"/>
        <w:jc w:val="both"/>
        <w:rPr>
          <w:szCs w:val="28"/>
        </w:rPr>
      </w:pPr>
    </w:p>
    <w:p w14:paraId="7E8DBC05" w14:textId="77777777" w:rsidR="00862781" w:rsidRPr="002E4477" w:rsidRDefault="000F747B" w:rsidP="00A22D9E">
      <w:pPr>
        <w:shd w:val="clear" w:color="auto" w:fill="FFFFFF"/>
        <w:jc w:val="both"/>
        <w:rPr>
          <w:szCs w:val="28"/>
        </w:rPr>
      </w:pPr>
      <w:r w:rsidRPr="001070F7">
        <w:rPr>
          <w:szCs w:val="28"/>
        </w:rPr>
        <w:t xml:space="preserve">En relación con esta última atribución, es indispensable resaltar que se trata de una competencia que fue conferida </w:t>
      </w:r>
      <w:r w:rsidRPr="001070F7">
        <w:rPr>
          <w:b/>
          <w:szCs w:val="28"/>
        </w:rPr>
        <w:t>exclusivamente</w:t>
      </w:r>
      <w:r w:rsidRPr="001070F7">
        <w:rPr>
          <w:szCs w:val="28"/>
        </w:rPr>
        <w:t xml:space="preserve"> al Tribunal Constitucional, debido a su función primordial de garantizar la integridad y supremacía de la Constitución</w:t>
      </w:r>
      <w:r w:rsidRPr="001070F7">
        <w:rPr>
          <w:rStyle w:val="Refdenotaalpie"/>
          <w:szCs w:val="28"/>
        </w:rPr>
        <w:footnoteReference w:id="170"/>
      </w:r>
      <w:r w:rsidRPr="001070F7">
        <w:rPr>
          <w:szCs w:val="28"/>
        </w:rPr>
        <w:t>.</w:t>
      </w:r>
      <w:r w:rsidR="0079469C" w:rsidRPr="001070F7">
        <w:rPr>
          <w:szCs w:val="28"/>
        </w:rPr>
        <w:t xml:space="preserve"> De este modo</w:t>
      </w:r>
      <w:r w:rsidRPr="001070F7">
        <w:rPr>
          <w:szCs w:val="28"/>
        </w:rPr>
        <w:t>, el control abstracto de constitucionalidad respecto de los actos reformatorios de la C</w:t>
      </w:r>
      <w:r w:rsidR="002B5150" w:rsidRPr="001070F7">
        <w:rPr>
          <w:szCs w:val="28"/>
        </w:rPr>
        <w:t>arta</w:t>
      </w:r>
      <w:r w:rsidRPr="001070F7">
        <w:rPr>
          <w:szCs w:val="28"/>
        </w:rPr>
        <w:t xml:space="preserve"> evita el desbordamiento del poder de reforma y asegura que la Constitución no sea reemplazada de facto</w:t>
      </w:r>
      <w:r w:rsidR="00A00154" w:rsidRPr="001070F7">
        <w:rPr>
          <w:szCs w:val="28"/>
        </w:rPr>
        <w:t xml:space="preserve"> </w:t>
      </w:r>
      <w:r w:rsidRPr="001070F7">
        <w:rPr>
          <w:szCs w:val="28"/>
        </w:rPr>
        <w:t>por órganos que carecen de</w:t>
      </w:r>
      <w:r w:rsidRPr="002E4477">
        <w:rPr>
          <w:szCs w:val="28"/>
        </w:rPr>
        <w:t xml:space="preserve"> competencia para sustituirla integralmente</w:t>
      </w:r>
      <w:r w:rsidRPr="002E4477">
        <w:rPr>
          <w:rStyle w:val="Refdenotaalpie"/>
          <w:szCs w:val="28"/>
        </w:rPr>
        <w:footnoteReference w:id="171"/>
      </w:r>
      <w:r w:rsidRPr="002E4477">
        <w:rPr>
          <w:szCs w:val="28"/>
        </w:rPr>
        <w:t xml:space="preserve">. </w:t>
      </w:r>
    </w:p>
    <w:p w14:paraId="1E72F864" w14:textId="77777777" w:rsidR="00FD794C" w:rsidRPr="002E4477" w:rsidRDefault="00FD794C" w:rsidP="00A22D9E">
      <w:pPr>
        <w:shd w:val="clear" w:color="auto" w:fill="FFFFFF"/>
        <w:jc w:val="both"/>
        <w:rPr>
          <w:szCs w:val="28"/>
          <w:lang w:val="es-CO" w:eastAsia="es-CO"/>
        </w:rPr>
      </w:pPr>
    </w:p>
    <w:p w14:paraId="3BAFE660" w14:textId="77777777" w:rsidR="000F747B" w:rsidRPr="001070F7" w:rsidRDefault="00862781" w:rsidP="009D60D3">
      <w:pPr>
        <w:numPr>
          <w:ilvl w:val="0"/>
          <w:numId w:val="10"/>
        </w:numPr>
        <w:shd w:val="clear" w:color="auto" w:fill="FFFFFF"/>
        <w:jc w:val="both"/>
        <w:rPr>
          <w:szCs w:val="28"/>
          <w:lang w:val="es-CO" w:eastAsia="es-CO"/>
        </w:rPr>
      </w:pPr>
      <w:r w:rsidRPr="002E4477">
        <w:rPr>
          <w:rFonts w:eastAsia="Calibri"/>
          <w:szCs w:val="28"/>
        </w:rPr>
        <w:t>Con todo,</w:t>
      </w:r>
      <w:r w:rsidR="000F747B" w:rsidRPr="002E4477">
        <w:rPr>
          <w:rFonts w:eastAsia="Calibri"/>
          <w:szCs w:val="28"/>
        </w:rPr>
        <w:t xml:space="preserve"> uno de </w:t>
      </w:r>
      <w:r w:rsidR="000F747B" w:rsidRPr="001070F7">
        <w:rPr>
          <w:rFonts w:eastAsia="Calibri"/>
          <w:szCs w:val="28"/>
        </w:rPr>
        <w:t>los primeros retos que originó e</w:t>
      </w:r>
      <w:r w:rsidRPr="001070F7">
        <w:rPr>
          <w:rFonts w:eastAsia="Calibri"/>
          <w:szCs w:val="28"/>
        </w:rPr>
        <w:t xml:space="preserve">l </w:t>
      </w:r>
      <w:r w:rsidR="000F747B" w:rsidRPr="001070F7">
        <w:rPr>
          <w:rFonts w:eastAsia="Calibri"/>
          <w:szCs w:val="28"/>
        </w:rPr>
        <w:t>nuevo mod</w:t>
      </w:r>
      <w:r w:rsidRPr="001070F7">
        <w:rPr>
          <w:rFonts w:eastAsia="Calibri"/>
          <w:szCs w:val="28"/>
        </w:rPr>
        <w:t>elo de control constitucional enunciado</w:t>
      </w:r>
      <w:r w:rsidR="000F747B" w:rsidRPr="001070F7">
        <w:rPr>
          <w:rFonts w:eastAsia="Calibri"/>
          <w:szCs w:val="28"/>
        </w:rPr>
        <w:t xml:space="preserve">, fue el reparto de competencias entre el Consejo de Estado y la Corte Constitucional </w:t>
      </w:r>
      <w:r w:rsidR="009D60D3" w:rsidRPr="001070F7">
        <w:rPr>
          <w:rFonts w:eastAsia="Calibri"/>
          <w:szCs w:val="28"/>
        </w:rPr>
        <w:t xml:space="preserve">con </w:t>
      </w:r>
      <w:r w:rsidR="000F747B" w:rsidRPr="001070F7">
        <w:rPr>
          <w:rFonts w:eastAsia="Calibri"/>
          <w:szCs w:val="28"/>
        </w:rPr>
        <w:t xml:space="preserve">respecto </w:t>
      </w:r>
      <w:r w:rsidR="009D60D3" w:rsidRPr="001070F7">
        <w:rPr>
          <w:rFonts w:eastAsia="Calibri"/>
          <w:szCs w:val="28"/>
        </w:rPr>
        <w:t>a</w:t>
      </w:r>
      <w:r w:rsidR="00147022" w:rsidRPr="001070F7">
        <w:rPr>
          <w:rFonts w:eastAsia="Calibri"/>
          <w:szCs w:val="28"/>
        </w:rPr>
        <w:t xml:space="preserve"> ciertas</w:t>
      </w:r>
      <w:r w:rsidR="000F747B" w:rsidRPr="001070F7">
        <w:rPr>
          <w:rFonts w:eastAsia="Calibri"/>
          <w:szCs w:val="28"/>
        </w:rPr>
        <w:t xml:space="preserve"> normas </w:t>
      </w:r>
      <w:r w:rsidR="009D60D3" w:rsidRPr="001070F7">
        <w:rPr>
          <w:rFonts w:eastAsia="Calibri"/>
          <w:szCs w:val="28"/>
        </w:rPr>
        <w:t xml:space="preserve">objeto de control, </w:t>
      </w:r>
      <w:r w:rsidR="000F747B" w:rsidRPr="001070F7">
        <w:rPr>
          <w:rFonts w:eastAsia="Calibri"/>
          <w:szCs w:val="28"/>
        </w:rPr>
        <w:t>que, al menos formalmente, tienen el carácter de actos administrativos. En ese marco, en una primera etapa</w:t>
      </w:r>
      <w:r w:rsidR="009D60D3" w:rsidRPr="001070F7">
        <w:rPr>
          <w:rFonts w:eastAsia="Calibri"/>
          <w:szCs w:val="28"/>
        </w:rPr>
        <w:t>,</w:t>
      </w:r>
      <w:r w:rsidR="000F747B" w:rsidRPr="001070F7">
        <w:rPr>
          <w:rFonts w:eastAsia="Calibri"/>
          <w:szCs w:val="28"/>
        </w:rPr>
        <w:t xml:space="preserve"> las decisiones de ambos Tribunales se </w:t>
      </w:r>
      <w:r w:rsidR="009D60D3" w:rsidRPr="001070F7">
        <w:rPr>
          <w:rFonts w:eastAsia="Calibri"/>
          <w:szCs w:val="28"/>
        </w:rPr>
        <w:t>guiaron</w:t>
      </w:r>
      <w:r w:rsidR="000F747B" w:rsidRPr="001070F7">
        <w:rPr>
          <w:rFonts w:eastAsia="Calibri"/>
          <w:szCs w:val="28"/>
        </w:rPr>
        <w:t xml:space="preserve"> ante todo, por un criterio formal para determinar las competencias que </w:t>
      </w:r>
      <w:r w:rsidR="008E4A1D" w:rsidRPr="001070F7">
        <w:rPr>
          <w:rFonts w:eastAsia="Calibri"/>
          <w:szCs w:val="28"/>
        </w:rPr>
        <w:t xml:space="preserve">le </w:t>
      </w:r>
      <w:r w:rsidR="000F747B" w:rsidRPr="001070F7">
        <w:rPr>
          <w:rFonts w:eastAsia="Calibri"/>
          <w:szCs w:val="28"/>
        </w:rPr>
        <w:t>correspondían a cada órgano. No</w:t>
      </w:r>
      <w:r w:rsidR="009019A8" w:rsidRPr="001070F7">
        <w:rPr>
          <w:rFonts w:eastAsia="Calibri"/>
          <w:szCs w:val="28"/>
        </w:rPr>
        <w:t xml:space="preserve"> </w:t>
      </w:r>
      <w:r w:rsidR="000F747B" w:rsidRPr="001070F7">
        <w:rPr>
          <w:rFonts w:eastAsia="Calibri"/>
          <w:szCs w:val="28"/>
        </w:rPr>
        <w:t>obstante, ambas corporaciones evidenciaron la insuficiencia de este parámetro y optaron por acudir también al criterio material</w:t>
      </w:r>
      <w:r w:rsidR="009D60D3" w:rsidRPr="001070F7">
        <w:rPr>
          <w:rFonts w:eastAsia="Calibri"/>
          <w:szCs w:val="28"/>
        </w:rPr>
        <w:t xml:space="preserve">. En consecuencia, </w:t>
      </w:r>
      <w:r w:rsidR="000F747B" w:rsidRPr="001070F7">
        <w:rPr>
          <w:bCs/>
          <w:szCs w:val="28"/>
        </w:rPr>
        <w:t xml:space="preserve">la jurisprudencia constitucional ha establecido </w:t>
      </w:r>
      <w:r w:rsidR="00227CC6" w:rsidRPr="001070F7">
        <w:rPr>
          <w:bCs/>
          <w:szCs w:val="28"/>
        </w:rPr>
        <w:t xml:space="preserve">algunas </w:t>
      </w:r>
      <w:r w:rsidR="009E1093" w:rsidRPr="001070F7">
        <w:rPr>
          <w:bCs/>
          <w:szCs w:val="28"/>
        </w:rPr>
        <w:t>precisiones</w:t>
      </w:r>
      <w:r w:rsidR="00227CC6" w:rsidRPr="001070F7">
        <w:rPr>
          <w:bCs/>
          <w:szCs w:val="28"/>
        </w:rPr>
        <w:t xml:space="preserve"> </w:t>
      </w:r>
      <w:r w:rsidR="000F747B" w:rsidRPr="001070F7">
        <w:rPr>
          <w:bCs/>
          <w:szCs w:val="28"/>
        </w:rPr>
        <w:t>en relación con el ámbito de competencia del Consejo de Estado en materia de control de constitucionalidad</w:t>
      </w:r>
      <w:r w:rsidR="009D60D3" w:rsidRPr="001070F7">
        <w:rPr>
          <w:bCs/>
          <w:szCs w:val="28"/>
        </w:rPr>
        <w:t xml:space="preserve">, como sigue: </w:t>
      </w:r>
    </w:p>
    <w:p w14:paraId="6625C6BE" w14:textId="77777777" w:rsidR="00B13BC1" w:rsidRPr="001070F7" w:rsidRDefault="00B13BC1" w:rsidP="00B13BC1">
      <w:pPr>
        <w:shd w:val="clear" w:color="auto" w:fill="FFFFFF"/>
        <w:jc w:val="both"/>
        <w:rPr>
          <w:szCs w:val="28"/>
          <w:lang w:val="es-CO" w:eastAsia="es-CO"/>
        </w:rPr>
      </w:pPr>
    </w:p>
    <w:p w14:paraId="52464701" w14:textId="77777777" w:rsidR="00294319" w:rsidRDefault="00B13BC1" w:rsidP="00B13BC1">
      <w:pPr>
        <w:pStyle w:val="Prrafodelista"/>
        <w:ind w:left="0"/>
        <w:contextualSpacing/>
        <w:jc w:val="both"/>
        <w:rPr>
          <w:b/>
          <w:szCs w:val="28"/>
        </w:rPr>
      </w:pPr>
      <w:r w:rsidRPr="001070F7">
        <w:rPr>
          <w:b/>
          <w:bCs/>
          <w:szCs w:val="28"/>
        </w:rPr>
        <w:t>(i)</w:t>
      </w:r>
      <w:r w:rsidRPr="001070F7">
        <w:rPr>
          <w:bCs/>
          <w:szCs w:val="28"/>
        </w:rPr>
        <w:t xml:space="preserve"> </w:t>
      </w:r>
      <w:r w:rsidR="007D143D" w:rsidRPr="001070F7">
        <w:rPr>
          <w:bCs/>
          <w:szCs w:val="28"/>
        </w:rPr>
        <w:t>L</w:t>
      </w:r>
      <w:r w:rsidRPr="001070F7">
        <w:rPr>
          <w:bCs/>
          <w:szCs w:val="28"/>
        </w:rPr>
        <w:t xml:space="preserve">a </w:t>
      </w:r>
      <w:r w:rsidRPr="001070F7">
        <w:rPr>
          <w:b/>
          <w:szCs w:val="28"/>
        </w:rPr>
        <w:t>Sentencia C-037 de 1996</w:t>
      </w:r>
      <w:r w:rsidRPr="001070F7">
        <w:rPr>
          <w:rStyle w:val="Refdenotaalpie"/>
          <w:bCs/>
          <w:szCs w:val="28"/>
        </w:rPr>
        <w:footnoteReference w:id="172"/>
      </w:r>
      <w:r w:rsidRPr="001070F7">
        <w:rPr>
          <w:bCs/>
          <w:szCs w:val="28"/>
        </w:rPr>
        <w:t xml:space="preserve"> estudió la constitucionalidad de la Ley 270 de 1996 (Estatutaria de la Administración de Justicia) y </w:t>
      </w:r>
      <w:r w:rsidR="009019A8" w:rsidRPr="001070F7">
        <w:rPr>
          <w:bCs/>
          <w:szCs w:val="28"/>
        </w:rPr>
        <w:t xml:space="preserve">abordó </w:t>
      </w:r>
      <w:r w:rsidRPr="001070F7">
        <w:rPr>
          <w:bCs/>
          <w:szCs w:val="28"/>
        </w:rPr>
        <w:t xml:space="preserve">varios aspectos relacionados con las competencias del Consejo de Estado en la materia. </w:t>
      </w:r>
      <w:r w:rsidR="00DC47BA" w:rsidRPr="001070F7">
        <w:rPr>
          <w:bCs/>
          <w:szCs w:val="28"/>
        </w:rPr>
        <w:t>Así</w:t>
      </w:r>
      <w:r w:rsidRPr="001070F7">
        <w:rPr>
          <w:bCs/>
          <w:szCs w:val="28"/>
        </w:rPr>
        <w:t xml:space="preserve">, </w:t>
      </w:r>
      <w:r w:rsidR="009019A8" w:rsidRPr="001070F7">
        <w:rPr>
          <w:bCs/>
          <w:szCs w:val="28"/>
        </w:rPr>
        <w:t xml:space="preserve">afirmó que </w:t>
      </w:r>
      <w:r w:rsidRPr="001070F7">
        <w:rPr>
          <w:bCs/>
          <w:szCs w:val="28"/>
        </w:rPr>
        <w:t>el artículo 43 de la citada ley establece expresamente que el Consejo de Estado forma parte de la jurisdicción constitucional, en tanto autoridad que conoce de las acciones de nulidad por inconstitucionalidad.</w:t>
      </w:r>
      <w:r w:rsidR="00294319" w:rsidRPr="001070F7">
        <w:rPr>
          <w:bCs/>
          <w:szCs w:val="28"/>
        </w:rPr>
        <w:t xml:space="preserve"> Y en ese sentido, e</w:t>
      </w:r>
      <w:r w:rsidRPr="001070F7">
        <w:rPr>
          <w:bCs/>
          <w:szCs w:val="28"/>
        </w:rPr>
        <w:t>sta Corporación</w:t>
      </w:r>
      <w:r w:rsidR="00294319" w:rsidRPr="001070F7">
        <w:rPr>
          <w:bCs/>
          <w:szCs w:val="28"/>
        </w:rPr>
        <w:t xml:space="preserve"> </w:t>
      </w:r>
      <w:r w:rsidRPr="001070F7">
        <w:rPr>
          <w:bCs/>
          <w:szCs w:val="28"/>
        </w:rPr>
        <w:t>declaró la exequibilidad de este enunciado</w:t>
      </w:r>
      <w:r w:rsidR="00294319" w:rsidRPr="001070F7">
        <w:rPr>
          <w:bCs/>
          <w:szCs w:val="28"/>
        </w:rPr>
        <w:t>,</w:t>
      </w:r>
      <w:r w:rsidRPr="001070F7">
        <w:rPr>
          <w:bCs/>
          <w:szCs w:val="28"/>
        </w:rPr>
        <w:t xml:space="preserve"> por estimar que describe la configuración funcional de la jurisdicción constitucional establecida por la Carta.</w:t>
      </w:r>
      <w:r w:rsidRPr="002E4477">
        <w:rPr>
          <w:b/>
          <w:szCs w:val="28"/>
        </w:rPr>
        <w:t xml:space="preserve"> </w:t>
      </w:r>
    </w:p>
    <w:p w14:paraId="6D1EE55A" w14:textId="77777777" w:rsidR="00227CC6" w:rsidRDefault="00227CC6" w:rsidP="00B13BC1">
      <w:pPr>
        <w:pStyle w:val="Prrafodelista"/>
        <w:ind w:left="0"/>
        <w:contextualSpacing/>
        <w:jc w:val="both"/>
        <w:rPr>
          <w:b/>
          <w:szCs w:val="28"/>
        </w:rPr>
      </w:pPr>
    </w:p>
    <w:p w14:paraId="55518E6D" w14:textId="77777777" w:rsidR="00B13BC1" w:rsidRPr="001070F7" w:rsidRDefault="00B13BC1" w:rsidP="00B13BC1">
      <w:pPr>
        <w:pStyle w:val="Prrafodelista"/>
        <w:ind w:left="0"/>
        <w:contextualSpacing/>
        <w:jc w:val="both"/>
        <w:rPr>
          <w:b/>
          <w:szCs w:val="28"/>
        </w:rPr>
      </w:pPr>
      <w:r w:rsidRPr="001070F7">
        <w:rPr>
          <w:bCs/>
          <w:szCs w:val="28"/>
        </w:rPr>
        <w:t>No obstante, aclaró que la única entidad de</w:t>
      </w:r>
      <w:r w:rsidRPr="001070F7">
        <w:rPr>
          <w:bCs/>
          <w:i/>
          <w:iCs/>
          <w:szCs w:val="28"/>
        </w:rPr>
        <w:t xml:space="preserve"> </w:t>
      </w:r>
      <w:r w:rsidR="00294319" w:rsidRPr="001070F7">
        <w:rPr>
          <w:bCs/>
          <w:i/>
          <w:iCs/>
          <w:szCs w:val="28"/>
        </w:rPr>
        <w:t>“</w:t>
      </w:r>
      <w:r w:rsidRPr="001070F7">
        <w:rPr>
          <w:bCs/>
          <w:i/>
          <w:iCs/>
          <w:szCs w:val="28"/>
        </w:rPr>
        <w:t xml:space="preserve">la jurisdicción constitucional </w:t>
      </w:r>
      <w:r w:rsidR="00294319" w:rsidRPr="001070F7">
        <w:rPr>
          <w:bCs/>
          <w:i/>
          <w:iCs/>
          <w:szCs w:val="28"/>
        </w:rPr>
        <w:t>[…]</w:t>
      </w:r>
      <w:r w:rsidRPr="001070F7">
        <w:rPr>
          <w:bCs/>
          <w:i/>
          <w:iCs/>
          <w:szCs w:val="28"/>
        </w:rPr>
        <w:t xml:space="preserve"> que reviste el carácter de tribunal constitucional es la Corte Constitucional”</w:t>
      </w:r>
      <w:r w:rsidRPr="001070F7">
        <w:rPr>
          <w:rStyle w:val="Refdenotaalpie"/>
          <w:bCs/>
          <w:szCs w:val="28"/>
        </w:rPr>
        <w:footnoteReference w:id="173"/>
      </w:r>
      <w:r w:rsidRPr="001070F7">
        <w:rPr>
          <w:bCs/>
          <w:szCs w:val="28"/>
        </w:rPr>
        <w:t xml:space="preserve">. </w:t>
      </w:r>
      <w:r w:rsidR="00294319" w:rsidRPr="001070F7">
        <w:rPr>
          <w:bCs/>
          <w:szCs w:val="28"/>
        </w:rPr>
        <w:t xml:space="preserve">Consideración que llevó a </w:t>
      </w:r>
      <w:r w:rsidRPr="001070F7">
        <w:rPr>
          <w:bCs/>
          <w:szCs w:val="28"/>
        </w:rPr>
        <w:t xml:space="preserve">la citada providencia </w:t>
      </w:r>
      <w:r w:rsidR="00294319" w:rsidRPr="001070F7">
        <w:rPr>
          <w:bCs/>
          <w:szCs w:val="28"/>
        </w:rPr>
        <w:t xml:space="preserve">a </w:t>
      </w:r>
      <w:r w:rsidRPr="001070F7">
        <w:rPr>
          <w:bCs/>
          <w:szCs w:val="28"/>
        </w:rPr>
        <w:t>declar</w:t>
      </w:r>
      <w:r w:rsidR="00294319" w:rsidRPr="001070F7">
        <w:rPr>
          <w:bCs/>
          <w:szCs w:val="28"/>
        </w:rPr>
        <w:t>ar</w:t>
      </w:r>
      <w:r w:rsidRPr="001070F7">
        <w:rPr>
          <w:bCs/>
          <w:szCs w:val="28"/>
        </w:rPr>
        <w:t xml:space="preserve"> la </w:t>
      </w:r>
      <w:r w:rsidRPr="001070F7">
        <w:rPr>
          <w:b/>
          <w:szCs w:val="28"/>
        </w:rPr>
        <w:t xml:space="preserve">inexequibilidad </w:t>
      </w:r>
      <w:r w:rsidRPr="001070F7">
        <w:rPr>
          <w:bCs/>
          <w:szCs w:val="28"/>
        </w:rPr>
        <w:t xml:space="preserve">de la expresión </w:t>
      </w:r>
      <w:r w:rsidRPr="001070F7">
        <w:rPr>
          <w:bCs/>
          <w:i/>
          <w:iCs/>
          <w:szCs w:val="28"/>
        </w:rPr>
        <w:t>“que para estos efectos obra como tribunal constitucional”</w:t>
      </w:r>
      <w:r w:rsidRPr="001070F7">
        <w:rPr>
          <w:bCs/>
          <w:szCs w:val="28"/>
        </w:rPr>
        <w:t>, que hacía referencia a la Sala Plena de lo Contencioso Administrativo del Consejo de Estado</w:t>
      </w:r>
      <w:r w:rsidR="00F774A2" w:rsidRPr="001070F7">
        <w:rPr>
          <w:bCs/>
          <w:szCs w:val="28"/>
        </w:rPr>
        <w:t>,</w:t>
      </w:r>
      <w:r w:rsidRPr="001070F7">
        <w:rPr>
          <w:bCs/>
          <w:szCs w:val="28"/>
        </w:rPr>
        <w:t xml:space="preserve"> en el marco de los procesos de nulidad por inconstitucionalidad.</w:t>
      </w:r>
    </w:p>
    <w:p w14:paraId="34D1D89F" w14:textId="77777777" w:rsidR="00B13BC1" w:rsidRPr="001070F7" w:rsidRDefault="00B13BC1" w:rsidP="00B13BC1">
      <w:pPr>
        <w:pStyle w:val="Prrafodelista"/>
        <w:ind w:left="0"/>
        <w:jc w:val="both"/>
        <w:rPr>
          <w:bCs/>
          <w:szCs w:val="28"/>
        </w:rPr>
      </w:pPr>
      <w:r w:rsidRPr="001070F7">
        <w:rPr>
          <w:bCs/>
          <w:szCs w:val="28"/>
        </w:rPr>
        <w:t xml:space="preserve"> </w:t>
      </w:r>
    </w:p>
    <w:p w14:paraId="71700A40" w14:textId="77777777" w:rsidR="00B13BC1" w:rsidRPr="002E4477" w:rsidRDefault="00B13BC1" w:rsidP="00B13BC1">
      <w:pPr>
        <w:pStyle w:val="Prrafodelista"/>
        <w:ind w:left="0"/>
        <w:jc w:val="both"/>
        <w:rPr>
          <w:bCs/>
          <w:szCs w:val="28"/>
        </w:rPr>
      </w:pPr>
      <w:r w:rsidRPr="001070F7">
        <w:rPr>
          <w:bCs/>
          <w:szCs w:val="28"/>
        </w:rPr>
        <w:t xml:space="preserve">Así mismo, la providencia resaltó que la competencia del Consejo de Estado en el ejercicio del control de constitucionalidad es </w:t>
      </w:r>
      <w:r w:rsidR="00F15ACE" w:rsidRPr="001070F7">
        <w:rPr>
          <w:bCs/>
          <w:szCs w:val="28"/>
        </w:rPr>
        <w:t>–</w:t>
      </w:r>
      <w:r w:rsidRPr="001070F7">
        <w:rPr>
          <w:bCs/>
          <w:szCs w:val="28"/>
        </w:rPr>
        <w:t>nuevamente</w:t>
      </w:r>
      <w:r w:rsidR="00F15ACE" w:rsidRPr="001070F7">
        <w:rPr>
          <w:bCs/>
          <w:szCs w:val="28"/>
        </w:rPr>
        <w:t xml:space="preserve"> – </w:t>
      </w:r>
      <w:r w:rsidRPr="001070F7">
        <w:rPr>
          <w:bCs/>
          <w:szCs w:val="28"/>
        </w:rPr>
        <w:t xml:space="preserve">de carácter residual, y advirtió </w:t>
      </w:r>
      <w:r w:rsidRPr="001070F7">
        <w:rPr>
          <w:szCs w:val="28"/>
        </w:rPr>
        <w:t xml:space="preserve">que resulta </w:t>
      </w:r>
      <w:r w:rsidRPr="001070F7">
        <w:rPr>
          <w:i/>
          <w:iCs/>
          <w:szCs w:val="28"/>
        </w:rPr>
        <w:t>inconstitucional</w:t>
      </w:r>
      <w:r w:rsidRPr="001070F7">
        <w:rPr>
          <w:szCs w:val="28"/>
        </w:rPr>
        <w:t xml:space="preserve"> que el Legislador:</w:t>
      </w:r>
      <w:r w:rsidRPr="001070F7">
        <w:rPr>
          <w:bCs/>
          <w:szCs w:val="28"/>
        </w:rPr>
        <w:t xml:space="preserve"> </w:t>
      </w:r>
      <w:r w:rsidRPr="001070F7">
        <w:rPr>
          <w:b/>
          <w:bCs/>
          <w:szCs w:val="28"/>
        </w:rPr>
        <w:t>(i)</w:t>
      </w:r>
      <w:r w:rsidRPr="001070F7">
        <w:rPr>
          <w:bCs/>
          <w:szCs w:val="28"/>
        </w:rPr>
        <w:t xml:space="preserve"> establezca una enumeración taxativa de los decretos objeto de control por parte de dicha Corporación; y </w:t>
      </w:r>
      <w:r w:rsidRPr="001070F7">
        <w:rPr>
          <w:b/>
          <w:bCs/>
          <w:szCs w:val="28"/>
        </w:rPr>
        <w:t>(ii)</w:t>
      </w:r>
      <w:r w:rsidRPr="001070F7">
        <w:rPr>
          <w:bCs/>
          <w:szCs w:val="28"/>
        </w:rPr>
        <w:t xml:space="preserve"> </w:t>
      </w:r>
      <w:r w:rsidR="00F774A2" w:rsidRPr="001070F7">
        <w:rPr>
          <w:bCs/>
          <w:szCs w:val="28"/>
        </w:rPr>
        <w:t xml:space="preserve">que </w:t>
      </w:r>
      <w:r w:rsidRPr="001070F7">
        <w:rPr>
          <w:b/>
          <w:bCs/>
          <w:szCs w:val="28"/>
        </w:rPr>
        <w:t>equipare</w:t>
      </w:r>
      <w:r w:rsidRPr="001070F7">
        <w:rPr>
          <w:bCs/>
          <w:szCs w:val="28"/>
        </w:rPr>
        <w:t xml:space="preserve"> el proceso de la </w:t>
      </w:r>
      <w:r w:rsidRPr="001070F7">
        <w:rPr>
          <w:i/>
          <w:iCs/>
          <w:szCs w:val="28"/>
        </w:rPr>
        <w:t>acción de nulidad por inconstitucionalidad</w:t>
      </w:r>
      <w:r w:rsidRPr="001070F7">
        <w:rPr>
          <w:bCs/>
          <w:szCs w:val="28"/>
        </w:rPr>
        <w:t xml:space="preserve"> con aquel previsto para </w:t>
      </w:r>
      <w:r w:rsidRPr="001070F7">
        <w:rPr>
          <w:bCs/>
          <w:i/>
          <w:iCs/>
          <w:szCs w:val="28"/>
        </w:rPr>
        <w:t>la acción pública de inconstitucionalidad</w:t>
      </w:r>
      <w:r w:rsidRPr="001070F7">
        <w:rPr>
          <w:bCs/>
          <w:szCs w:val="28"/>
        </w:rPr>
        <w:t xml:space="preserve">, por cuanto </w:t>
      </w:r>
      <w:r w:rsidR="00227CC6" w:rsidRPr="001070F7">
        <w:rPr>
          <w:bCs/>
          <w:szCs w:val="28"/>
        </w:rPr>
        <w:t xml:space="preserve">solamente </w:t>
      </w:r>
      <w:r w:rsidRPr="001070F7">
        <w:rPr>
          <w:bCs/>
          <w:szCs w:val="28"/>
        </w:rPr>
        <w:t xml:space="preserve">este último se rige por lo establecido en los </w:t>
      </w:r>
      <w:r w:rsidRPr="001070F7">
        <w:rPr>
          <w:b/>
          <w:bCs/>
          <w:szCs w:val="28"/>
        </w:rPr>
        <w:t>artículos 242, 243 y 244 de la Constitución Política</w:t>
      </w:r>
      <w:r w:rsidRPr="001070F7">
        <w:rPr>
          <w:bCs/>
          <w:szCs w:val="28"/>
        </w:rPr>
        <w:t>.</w:t>
      </w:r>
    </w:p>
    <w:p w14:paraId="724625D1" w14:textId="77777777" w:rsidR="00B13BC1" w:rsidRPr="002E4477" w:rsidRDefault="00B13BC1" w:rsidP="00B13BC1">
      <w:pPr>
        <w:pStyle w:val="Prrafodelista"/>
        <w:ind w:left="0"/>
        <w:jc w:val="both"/>
        <w:rPr>
          <w:bCs/>
          <w:szCs w:val="28"/>
        </w:rPr>
      </w:pPr>
    </w:p>
    <w:p w14:paraId="0825CAC6" w14:textId="77777777" w:rsidR="00B13BC1" w:rsidRPr="002E4477" w:rsidRDefault="00B13BC1" w:rsidP="00B13BC1">
      <w:pPr>
        <w:pStyle w:val="Prrafodelista"/>
        <w:ind w:left="0"/>
        <w:contextualSpacing/>
        <w:jc w:val="both"/>
        <w:rPr>
          <w:bCs/>
          <w:szCs w:val="28"/>
        </w:rPr>
      </w:pPr>
      <w:r w:rsidRPr="002E4477">
        <w:rPr>
          <w:b/>
          <w:bCs/>
          <w:szCs w:val="28"/>
        </w:rPr>
        <w:t>(ii)</w:t>
      </w:r>
      <w:r w:rsidRPr="002E4477">
        <w:rPr>
          <w:bCs/>
          <w:szCs w:val="28"/>
        </w:rPr>
        <w:t xml:space="preserve"> De igual modo, la </w:t>
      </w:r>
      <w:r w:rsidRPr="002E4477">
        <w:rPr>
          <w:b/>
          <w:bCs/>
          <w:szCs w:val="28"/>
        </w:rPr>
        <w:t>Sentencia C-600 de 1998</w:t>
      </w:r>
      <w:r w:rsidRPr="002E4477">
        <w:rPr>
          <w:rStyle w:val="Refdenotaalpie"/>
          <w:bCs/>
          <w:szCs w:val="28"/>
        </w:rPr>
        <w:footnoteReference w:id="174"/>
      </w:r>
      <w:r w:rsidRPr="002E4477">
        <w:rPr>
          <w:b/>
          <w:bCs/>
          <w:szCs w:val="28"/>
        </w:rPr>
        <w:t xml:space="preserve"> </w:t>
      </w:r>
      <w:r w:rsidRPr="002E4477">
        <w:rPr>
          <w:bCs/>
          <w:szCs w:val="28"/>
        </w:rPr>
        <w:t xml:space="preserve">se pronunció sobre la preeminencia de las decisiones de esta Corporación cuando ejerce el control abstracto de constitucionalidad. Y lo hizo, al analizar la disposición legal que </w:t>
      </w:r>
      <w:r w:rsidRPr="002E4477">
        <w:rPr>
          <w:bCs/>
          <w:szCs w:val="28"/>
        </w:rPr>
        <w:lastRenderedPageBreak/>
        <w:t>impide al juez de la acción de cumplimiento inaplicar, por vía de excepción de inconstitucionalidad,</w:t>
      </w:r>
      <w:r w:rsidR="00F774A2" w:rsidRPr="002E4477">
        <w:rPr>
          <w:bCs/>
          <w:i/>
          <w:szCs w:val="28"/>
        </w:rPr>
        <w:t xml:space="preserve"> </w:t>
      </w:r>
      <w:r w:rsidRPr="002E4477">
        <w:rPr>
          <w:bCs/>
          <w:i/>
          <w:szCs w:val="28"/>
        </w:rPr>
        <w:t>“normas que hayan sido objeto de análisis de exequibilidad por el Consejo de Estado o la Corte Constitucional, según sea el caso”</w:t>
      </w:r>
      <w:r w:rsidRPr="002E4477">
        <w:rPr>
          <w:bCs/>
          <w:szCs w:val="28"/>
        </w:rPr>
        <w:t>.</w:t>
      </w:r>
    </w:p>
    <w:p w14:paraId="2CE0CD8C" w14:textId="77777777" w:rsidR="00B13BC1" w:rsidRPr="002E4477" w:rsidRDefault="00B13BC1" w:rsidP="00B13BC1">
      <w:pPr>
        <w:pStyle w:val="Prrafodelista"/>
        <w:ind w:left="0"/>
        <w:jc w:val="both"/>
        <w:rPr>
          <w:bCs/>
          <w:szCs w:val="28"/>
        </w:rPr>
      </w:pPr>
    </w:p>
    <w:p w14:paraId="473A2F81" w14:textId="77777777" w:rsidR="00B13BC1" w:rsidRPr="002E4477" w:rsidRDefault="00B13BC1" w:rsidP="00B13BC1">
      <w:pPr>
        <w:pStyle w:val="Prrafodelista"/>
        <w:ind w:left="0"/>
        <w:jc w:val="both"/>
        <w:rPr>
          <w:bCs/>
          <w:szCs w:val="28"/>
        </w:rPr>
      </w:pPr>
      <w:r w:rsidRPr="002E4477">
        <w:rPr>
          <w:bCs/>
          <w:szCs w:val="28"/>
        </w:rPr>
        <w:t>En esa oportunidad</w:t>
      </w:r>
      <w:r w:rsidR="00FD794C" w:rsidRPr="002E4477">
        <w:rPr>
          <w:bCs/>
          <w:szCs w:val="28"/>
        </w:rPr>
        <w:t>,</w:t>
      </w:r>
      <w:r w:rsidRPr="002E4477">
        <w:rPr>
          <w:bCs/>
          <w:szCs w:val="28"/>
        </w:rPr>
        <w:t xml:space="preserve"> este </w:t>
      </w:r>
      <w:r w:rsidRPr="0099764A">
        <w:rPr>
          <w:bCs/>
          <w:szCs w:val="28"/>
        </w:rPr>
        <w:t>Tribunal</w:t>
      </w:r>
      <w:r w:rsidR="007D143D" w:rsidRPr="0099764A">
        <w:rPr>
          <w:bCs/>
          <w:szCs w:val="28"/>
        </w:rPr>
        <w:t xml:space="preserve"> </w:t>
      </w:r>
      <w:r w:rsidRPr="0099764A">
        <w:rPr>
          <w:bCs/>
          <w:szCs w:val="28"/>
        </w:rPr>
        <w:t xml:space="preserve">destacó que cuando </w:t>
      </w:r>
      <w:r w:rsidR="00147022" w:rsidRPr="0099764A">
        <w:rPr>
          <w:bCs/>
          <w:szCs w:val="28"/>
        </w:rPr>
        <w:t>el Consejo de Estado niega</w:t>
      </w:r>
      <w:r w:rsidRPr="0099764A">
        <w:rPr>
          <w:bCs/>
          <w:szCs w:val="28"/>
        </w:rPr>
        <w:t xml:space="preserve"> la declaración de nulidad por inconstitucionalidad de un acto administrativo co</w:t>
      </w:r>
      <w:r w:rsidR="00147022" w:rsidRPr="0099764A">
        <w:rPr>
          <w:bCs/>
          <w:szCs w:val="28"/>
        </w:rPr>
        <w:t>n determinados fundamentos, si</w:t>
      </w:r>
      <w:r w:rsidRPr="0099764A">
        <w:rPr>
          <w:bCs/>
          <w:szCs w:val="28"/>
        </w:rPr>
        <w:t xml:space="preserve"> p</w:t>
      </w:r>
      <w:r w:rsidR="00147022" w:rsidRPr="0099764A">
        <w:rPr>
          <w:bCs/>
          <w:szCs w:val="28"/>
        </w:rPr>
        <w:t>osteriormente tales razones son</w:t>
      </w:r>
      <w:r w:rsidRPr="0099764A">
        <w:rPr>
          <w:bCs/>
          <w:szCs w:val="28"/>
        </w:rPr>
        <w:t xml:space="preserve"> desvirtuadas por el precedente constitucional </w:t>
      </w:r>
      <w:r w:rsidR="005B4FE2" w:rsidRPr="0099764A">
        <w:rPr>
          <w:bCs/>
          <w:szCs w:val="28"/>
        </w:rPr>
        <w:t>que fije</w:t>
      </w:r>
      <w:r w:rsidRPr="0099764A">
        <w:rPr>
          <w:bCs/>
          <w:szCs w:val="28"/>
        </w:rPr>
        <w:t xml:space="preserve"> esta Corporación, </w:t>
      </w:r>
      <w:r w:rsidRPr="0099764A">
        <w:rPr>
          <w:b/>
          <w:szCs w:val="28"/>
        </w:rPr>
        <w:t>se deben preferir las decisiones de la Corte</w:t>
      </w:r>
      <w:r w:rsidRPr="0099764A">
        <w:rPr>
          <w:bCs/>
          <w:szCs w:val="28"/>
        </w:rPr>
        <w:t>.</w:t>
      </w:r>
      <w:r w:rsidR="00147022" w:rsidRPr="0099764A">
        <w:rPr>
          <w:bCs/>
          <w:szCs w:val="28"/>
        </w:rPr>
        <w:t xml:space="preserve"> Al respecto</w:t>
      </w:r>
      <w:r w:rsidRPr="0099764A">
        <w:rPr>
          <w:bCs/>
          <w:szCs w:val="28"/>
        </w:rPr>
        <w:t xml:space="preserve">, </w:t>
      </w:r>
      <w:r w:rsidR="00147022" w:rsidRPr="0099764A">
        <w:rPr>
          <w:bCs/>
          <w:szCs w:val="28"/>
        </w:rPr>
        <w:t xml:space="preserve">la providencia </w:t>
      </w:r>
      <w:r w:rsidR="00B20570" w:rsidRPr="0099764A">
        <w:rPr>
          <w:bCs/>
          <w:szCs w:val="28"/>
        </w:rPr>
        <w:t xml:space="preserve">que se cita </w:t>
      </w:r>
      <w:r w:rsidR="00147022" w:rsidRPr="0099764A">
        <w:rPr>
          <w:bCs/>
          <w:szCs w:val="28"/>
        </w:rPr>
        <w:t>concluyó</w:t>
      </w:r>
      <w:r w:rsidRPr="0099764A">
        <w:rPr>
          <w:bCs/>
          <w:szCs w:val="28"/>
        </w:rPr>
        <w:t xml:space="preserve"> expresamente lo siguiente:</w:t>
      </w:r>
      <w:r w:rsidRPr="002E4477">
        <w:rPr>
          <w:bCs/>
          <w:szCs w:val="28"/>
        </w:rPr>
        <w:t xml:space="preserve"> </w:t>
      </w:r>
    </w:p>
    <w:p w14:paraId="1E3D31D2" w14:textId="77777777" w:rsidR="00B13BC1" w:rsidRPr="002E4477" w:rsidRDefault="00B13BC1" w:rsidP="00B13BC1">
      <w:pPr>
        <w:pStyle w:val="Prrafodelista"/>
        <w:ind w:left="0"/>
        <w:jc w:val="both"/>
        <w:rPr>
          <w:bCs/>
          <w:szCs w:val="28"/>
        </w:rPr>
      </w:pPr>
    </w:p>
    <w:p w14:paraId="2CAD037B" w14:textId="77777777" w:rsidR="00B13BC1" w:rsidRPr="000E05E7" w:rsidRDefault="00B13BC1" w:rsidP="00CE0661">
      <w:pPr>
        <w:pStyle w:val="Prrafodelista"/>
        <w:ind w:left="284"/>
        <w:jc w:val="both"/>
        <w:rPr>
          <w:bCs/>
          <w:iCs/>
          <w:szCs w:val="28"/>
        </w:rPr>
      </w:pPr>
      <w:r w:rsidRPr="000E05E7">
        <w:rPr>
          <w:bCs/>
          <w:i/>
          <w:sz w:val="26"/>
          <w:szCs w:val="26"/>
        </w:rPr>
        <w:t xml:space="preserve">“[H]abiéndose proferido una sentencia que niega la nulidad por inconstitucionalidad de un decreto dictado por el Gobierno Nacional, alegada con apoyo en determinado motivo que el Consejo de Estado desvirtúa, no es admisible que, por esa misma razón, una autoridad administrativa o judicial subalterna se abstenga de cumplirla, debiendo hacerlo. A no ser que, con posterioridad a la negativa de nulidad, </w:t>
      </w:r>
      <w:r w:rsidRPr="000E05E7">
        <w:rPr>
          <w:b/>
          <w:bCs/>
          <w:i/>
          <w:sz w:val="26"/>
          <w:szCs w:val="26"/>
        </w:rPr>
        <w:t>la Corte Constitucional, al sentar doctrina constitucional integradora sobre el alcance de las normas superiores con las cuales el Consejo de Estado hizo la confrontación, llegare a conclusiones diversas de las acogidas por aquél, evento en el cual tendrían que prevalecer, para todas las autoridades públicas y desde luego para el juez de cumplimiento, los contenidos y las consecuencias jurídicas de esa doctrina constitucional</w:t>
      </w:r>
      <w:r w:rsidRPr="000E05E7">
        <w:rPr>
          <w:bCs/>
          <w:i/>
          <w:sz w:val="26"/>
          <w:szCs w:val="26"/>
        </w:rPr>
        <w:t>, como de tiempo atrás se tiene establecido (…)”</w:t>
      </w:r>
      <w:r w:rsidRPr="000E05E7">
        <w:rPr>
          <w:rStyle w:val="Refdenotaalpie"/>
          <w:bCs/>
          <w:i/>
          <w:sz w:val="26"/>
          <w:szCs w:val="26"/>
        </w:rPr>
        <w:footnoteReference w:id="175"/>
      </w:r>
      <w:r w:rsidRPr="002E4477">
        <w:rPr>
          <w:bCs/>
          <w:i/>
          <w:sz w:val="25"/>
          <w:szCs w:val="25"/>
        </w:rPr>
        <w:t xml:space="preserve"> </w:t>
      </w:r>
      <w:r w:rsidRPr="000E05E7">
        <w:rPr>
          <w:bCs/>
          <w:iCs/>
          <w:szCs w:val="28"/>
        </w:rPr>
        <w:t>(</w:t>
      </w:r>
      <w:r w:rsidR="00034154" w:rsidRPr="000E05E7">
        <w:rPr>
          <w:bCs/>
          <w:iCs/>
          <w:szCs w:val="28"/>
        </w:rPr>
        <w:t>Negrillas</w:t>
      </w:r>
      <w:r w:rsidRPr="000E05E7">
        <w:rPr>
          <w:bCs/>
          <w:iCs/>
          <w:szCs w:val="28"/>
        </w:rPr>
        <w:t xml:space="preserve"> fuera del original)</w:t>
      </w:r>
      <w:r w:rsidR="005B4FE2">
        <w:rPr>
          <w:bCs/>
          <w:iCs/>
          <w:szCs w:val="28"/>
        </w:rPr>
        <w:t>.</w:t>
      </w:r>
    </w:p>
    <w:p w14:paraId="046B5663" w14:textId="77777777" w:rsidR="00B13BC1" w:rsidRPr="002E4477" w:rsidRDefault="00B13BC1" w:rsidP="00B13BC1">
      <w:pPr>
        <w:pStyle w:val="Prrafodelista"/>
        <w:ind w:left="0"/>
        <w:jc w:val="both"/>
        <w:rPr>
          <w:bCs/>
          <w:szCs w:val="28"/>
        </w:rPr>
      </w:pPr>
    </w:p>
    <w:p w14:paraId="24DDB922" w14:textId="77777777" w:rsidR="00B13BC1" w:rsidRPr="002E4477" w:rsidRDefault="00B13BC1" w:rsidP="00B13BC1">
      <w:pPr>
        <w:pStyle w:val="Prrafodelista"/>
        <w:ind w:left="0"/>
        <w:contextualSpacing/>
        <w:jc w:val="both"/>
        <w:rPr>
          <w:b/>
          <w:szCs w:val="28"/>
        </w:rPr>
      </w:pPr>
      <w:r w:rsidRPr="002E4477">
        <w:rPr>
          <w:b/>
          <w:bCs/>
          <w:szCs w:val="28"/>
        </w:rPr>
        <w:t>(iii)</w:t>
      </w:r>
      <w:r w:rsidRPr="002E4477">
        <w:rPr>
          <w:bCs/>
          <w:szCs w:val="28"/>
        </w:rPr>
        <w:t xml:space="preserve"> También, la </w:t>
      </w:r>
      <w:r w:rsidRPr="002E4477">
        <w:rPr>
          <w:b/>
          <w:szCs w:val="28"/>
        </w:rPr>
        <w:t>Sentencia C-560 de 1999</w:t>
      </w:r>
      <w:r w:rsidRPr="002E4477">
        <w:rPr>
          <w:rStyle w:val="Refdenotaalpie"/>
          <w:bCs/>
          <w:szCs w:val="28"/>
        </w:rPr>
        <w:footnoteReference w:id="176"/>
      </w:r>
      <w:r w:rsidRPr="002E4477">
        <w:rPr>
          <w:bCs/>
          <w:szCs w:val="28"/>
        </w:rPr>
        <w:t xml:space="preserve"> reiteró el carácter residual de la competencia del Consejo de Estado para ejercer el control de constitucionalidad y destacó que todos los decretos de carácter general dictados por el Gobierno Nacional pueden ser demandados ante</w:t>
      </w:r>
      <w:r w:rsidR="00FD794C" w:rsidRPr="002E4477">
        <w:rPr>
          <w:bCs/>
          <w:szCs w:val="28"/>
        </w:rPr>
        <w:t xml:space="preserve"> esa Corporación</w:t>
      </w:r>
      <w:r w:rsidRPr="002E4477">
        <w:rPr>
          <w:bCs/>
          <w:szCs w:val="28"/>
        </w:rPr>
        <w:t>, salvo aquellos que tienen contenido legislativo, pues estos últimos competen exclusivamente a la Corte Constitucional.</w:t>
      </w:r>
    </w:p>
    <w:p w14:paraId="6914046C" w14:textId="77777777" w:rsidR="00B13BC1" w:rsidRPr="002E4477" w:rsidRDefault="00B13BC1" w:rsidP="00B13BC1">
      <w:pPr>
        <w:pStyle w:val="Prrafodelista"/>
        <w:ind w:left="0"/>
        <w:jc w:val="both"/>
        <w:rPr>
          <w:b/>
          <w:szCs w:val="28"/>
        </w:rPr>
      </w:pPr>
    </w:p>
    <w:p w14:paraId="3FFA907B" w14:textId="77777777" w:rsidR="00B13BC1" w:rsidRPr="002E4477" w:rsidRDefault="00B13BC1" w:rsidP="00B13BC1">
      <w:pPr>
        <w:pStyle w:val="Prrafodelista"/>
        <w:ind w:left="0"/>
        <w:contextualSpacing/>
        <w:jc w:val="both"/>
        <w:rPr>
          <w:b/>
          <w:szCs w:val="28"/>
        </w:rPr>
      </w:pPr>
      <w:r w:rsidRPr="002E4477">
        <w:rPr>
          <w:b/>
          <w:bCs/>
          <w:szCs w:val="28"/>
        </w:rPr>
        <w:t>(iv)</w:t>
      </w:r>
      <w:r w:rsidRPr="002E4477">
        <w:rPr>
          <w:bCs/>
          <w:szCs w:val="28"/>
        </w:rPr>
        <w:t xml:space="preserve"> En la </w:t>
      </w:r>
      <w:r w:rsidRPr="002E4477">
        <w:rPr>
          <w:b/>
          <w:szCs w:val="28"/>
        </w:rPr>
        <w:t>Sentencia C-1290 de 2001</w:t>
      </w:r>
      <w:r w:rsidRPr="002E4477">
        <w:rPr>
          <w:rStyle w:val="Refdenotaalpie"/>
          <w:bCs/>
          <w:szCs w:val="28"/>
        </w:rPr>
        <w:footnoteReference w:id="177"/>
      </w:r>
      <w:r w:rsidRPr="002E4477">
        <w:rPr>
          <w:bCs/>
          <w:szCs w:val="28"/>
        </w:rPr>
        <w:t>,</w:t>
      </w:r>
      <w:r w:rsidRPr="002E4477">
        <w:rPr>
          <w:b/>
          <w:szCs w:val="28"/>
        </w:rPr>
        <w:t xml:space="preserve"> </w:t>
      </w:r>
      <w:r w:rsidRPr="002E4477">
        <w:rPr>
          <w:bCs/>
          <w:szCs w:val="28"/>
        </w:rPr>
        <w:t xml:space="preserve">la Sala Plena consideró ajustada a la Constitución una norma legal que exigía una confrontación directa entre los actos administrativos objeto de acción de nulidad por inconstitucionalidad y la Carta. Sobre el particular, indicó que </w:t>
      </w:r>
      <w:r w:rsidRPr="002E4477">
        <w:rPr>
          <w:bCs/>
          <w:i/>
          <w:iCs/>
          <w:szCs w:val="28"/>
        </w:rPr>
        <w:t>“no todos los decretos del Presidente de la República están llamados a confrontarse de manera material y directa con la Constitución”</w:t>
      </w:r>
      <w:r w:rsidRPr="002E4477">
        <w:rPr>
          <w:rStyle w:val="Refdenotaalpie"/>
          <w:bCs/>
          <w:szCs w:val="28"/>
        </w:rPr>
        <w:footnoteReference w:id="178"/>
      </w:r>
      <w:r w:rsidRPr="002E4477">
        <w:rPr>
          <w:bCs/>
          <w:szCs w:val="28"/>
        </w:rPr>
        <w:t xml:space="preserve">, de modo que solo aquellos que cumplan con estas condiciones pueden controvertirse mediante la acción de nulidad por inconstitucionalidad, pues de lo contrario debe acudirse a los otros medios de </w:t>
      </w:r>
      <w:r w:rsidRPr="002E4477">
        <w:rPr>
          <w:bCs/>
          <w:szCs w:val="28"/>
        </w:rPr>
        <w:lastRenderedPageBreak/>
        <w:t>control previstos para el efecto en casos en que no se discuta el Texto Constitucional.</w:t>
      </w:r>
    </w:p>
    <w:p w14:paraId="0A859215" w14:textId="77777777" w:rsidR="00B13BC1" w:rsidRPr="002E4477" w:rsidRDefault="00B13BC1" w:rsidP="00B13BC1">
      <w:pPr>
        <w:pStyle w:val="Prrafodelista"/>
        <w:ind w:left="0"/>
        <w:jc w:val="both"/>
        <w:rPr>
          <w:b/>
          <w:szCs w:val="28"/>
        </w:rPr>
      </w:pPr>
    </w:p>
    <w:p w14:paraId="4141E979" w14:textId="77777777" w:rsidR="00B13BC1" w:rsidRPr="0099764A" w:rsidRDefault="00B13BC1" w:rsidP="00B13BC1">
      <w:pPr>
        <w:pStyle w:val="Prrafodelista"/>
        <w:ind w:left="0"/>
        <w:contextualSpacing/>
        <w:jc w:val="both"/>
        <w:rPr>
          <w:b/>
          <w:szCs w:val="28"/>
        </w:rPr>
      </w:pPr>
      <w:r w:rsidRPr="002E4477">
        <w:rPr>
          <w:b/>
          <w:bCs/>
          <w:szCs w:val="28"/>
        </w:rPr>
        <w:t>(v)</w:t>
      </w:r>
      <w:r w:rsidRPr="002E4477">
        <w:rPr>
          <w:bCs/>
          <w:szCs w:val="28"/>
        </w:rPr>
        <w:t xml:space="preserve"> Igualmente, en la </w:t>
      </w:r>
      <w:r w:rsidRPr="002E4477">
        <w:rPr>
          <w:b/>
          <w:szCs w:val="28"/>
        </w:rPr>
        <w:t>Sentencia C-1154 de 2008</w:t>
      </w:r>
      <w:r w:rsidRPr="002E4477">
        <w:rPr>
          <w:rStyle w:val="Refdenotaalpie"/>
          <w:bCs/>
          <w:szCs w:val="28"/>
        </w:rPr>
        <w:footnoteReference w:id="179"/>
      </w:r>
      <w:r w:rsidRPr="002E4477">
        <w:rPr>
          <w:bCs/>
          <w:szCs w:val="28"/>
        </w:rPr>
        <w:t xml:space="preserve"> la Corte se pronunció sobre el </w:t>
      </w:r>
      <w:r w:rsidRPr="0099764A">
        <w:rPr>
          <w:bCs/>
          <w:szCs w:val="28"/>
        </w:rPr>
        <w:t xml:space="preserve">marco competencial en materia de control abstracto de constitucionalidad previsto por el Constituyente. En tal sentido, indicó que </w:t>
      </w:r>
      <w:r w:rsidRPr="0099764A">
        <w:rPr>
          <w:bCs/>
          <w:i/>
          <w:iCs/>
          <w:szCs w:val="28"/>
        </w:rPr>
        <w:t>“la Corte cumple la labor principal y prevalente, para lo cual tiene asignadas las más amplias funciones, pero limitadas por el marco previsto en el artículo 241 Superior, mientras el Consejo de Estado cumple una función residual, limitada a su vez por el artículo 237-2 Superior”</w:t>
      </w:r>
      <w:r w:rsidRPr="0099764A">
        <w:rPr>
          <w:rStyle w:val="Refdenotaalpie"/>
          <w:bCs/>
          <w:szCs w:val="28"/>
        </w:rPr>
        <w:footnoteReference w:id="180"/>
      </w:r>
      <w:r w:rsidRPr="0099764A">
        <w:rPr>
          <w:bCs/>
          <w:szCs w:val="28"/>
        </w:rPr>
        <w:t xml:space="preserve">. </w:t>
      </w:r>
    </w:p>
    <w:p w14:paraId="18A6A97E" w14:textId="77777777" w:rsidR="00B13BC1" w:rsidRPr="0099764A" w:rsidRDefault="00B13BC1" w:rsidP="00B13BC1">
      <w:pPr>
        <w:pStyle w:val="Prrafodelista"/>
        <w:ind w:left="0"/>
        <w:jc w:val="both"/>
        <w:rPr>
          <w:bCs/>
          <w:szCs w:val="28"/>
        </w:rPr>
      </w:pPr>
    </w:p>
    <w:p w14:paraId="4CC0F4C7" w14:textId="77777777" w:rsidR="00B13BC1" w:rsidRPr="0099764A" w:rsidRDefault="00464DAA" w:rsidP="00B13BC1">
      <w:pPr>
        <w:pStyle w:val="Prrafodelista"/>
        <w:ind w:left="0"/>
        <w:jc w:val="both"/>
        <w:rPr>
          <w:b/>
          <w:szCs w:val="28"/>
        </w:rPr>
      </w:pPr>
      <w:r w:rsidRPr="0099764A">
        <w:rPr>
          <w:bCs/>
          <w:szCs w:val="28"/>
        </w:rPr>
        <w:t xml:space="preserve">Este tribunal </w:t>
      </w:r>
      <w:r w:rsidR="003E789B" w:rsidRPr="0099764A">
        <w:rPr>
          <w:bCs/>
          <w:szCs w:val="28"/>
        </w:rPr>
        <w:t>en esa oportunidad</w:t>
      </w:r>
      <w:r w:rsidR="00B13BC1" w:rsidRPr="0099764A">
        <w:rPr>
          <w:bCs/>
          <w:szCs w:val="28"/>
        </w:rPr>
        <w:t xml:space="preserve"> aclaró que, ante la duda acerca de si el control de constitucionalidad de un acto determinado </w:t>
      </w:r>
      <w:r w:rsidR="003E789B" w:rsidRPr="0099764A">
        <w:rPr>
          <w:bCs/>
          <w:szCs w:val="28"/>
        </w:rPr>
        <w:t xml:space="preserve">le </w:t>
      </w:r>
      <w:r w:rsidR="00B13BC1" w:rsidRPr="0099764A">
        <w:rPr>
          <w:bCs/>
          <w:szCs w:val="28"/>
        </w:rPr>
        <w:t>corresponde a</w:t>
      </w:r>
      <w:r w:rsidR="003E789B" w:rsidRPr="0099764A">
        <w:rPr>
          <w:bCs/>
          <w:szCs w:val="28"/>
        </w:rPr>
        <w:t xml:space="preserve"> </w:t>
      </w:r>
      <w:r w:rsidRPr="0099764A">
        <w:rPr>
          <w:bCs/>
          <w:szCs w:val="28"/>
        </w:rPr>
        <w:t>la Corte</w:t>
      </w:r>
      <w:r w:rsidR="00B13BC1" w:rsidRPr="0099764A">
        <w:rPr>
          <w:bCs/>
          <w:szCs w:val="28"/>
        </w:rPr>
        <w:t xml:space="preserve"> o al Consejo de Estado, el criterio formal </w:t>
      </w:r>
      <w:r w:rsidRPr="0099764A">
        <w:rPr>
          <w:bCs/>
          <w:szCs w:val="28"/>
        </w:rPr>
        <w:t>de di</w:t>
      </w:r>
      <w:r w:rsidR="00BC0420" w:rsidRPr="0099764A">
        <w:rPr>
          <w:bCs/>
          <w:szCs w:val="28"/>
        </w:rPr>
        <w:t>ferenciación</w:t>
      </w:r>
      <w:r w:rsidRPr="0099764A">
        <w:rPr>
          <w:bCs/>
          <w:szCs w:val="28"/>
        </w:rPr>
        <w:t xml:space="preserve"> </w:t>
      </w:r>
      <w:r w:rsidR="00B13BC1" w:rsidRPr="0099764A">
        <w:rPr>
          <w:bCs/>
          <w:szCs w:val="28"/>
        </w:rPr>
        <w:t xml:space="preserve">puede resultar insuficiente. Por consiguiente, para establecer el órgano que debe ejercer el control constitucional se debe acudir al </w:t>
      </w:r>
      <w:r w:rsidR="00B13BC1" w:rsidRPr="0099764A">
        <w:rPr>
          <w:b/>
          <w:bCs/>
          <w:szCs w:val="28"/>
        </w:rPr>
        <w:t>criterio material</w:t>
      </w:r>
      <w:r w:rsidR="00B13BC1" w:rsidRPr="0099764A">
        <w:rPr>
          <w:bCs/>
          <w:szCs w:val="28"/>
        </w:rPr>
        <w:t xml:space="preserve">, </w:t>
      </w:r>
      <w:r w:rsidR="00B13BC1" w:rsidRPr="0099764A">
        <w:rPr>
          <w:bCs/>
          <w:iCs/>
          <w:szCs w:val="28"/>
        </w:rPr>
        <w:t xml:space="preserve">según el cual es la </w:t>
      </w:r>
      <w:r w:rsidR="00B13BC1" w:rsidRPr="0099764A">
        <w:rPr>
          <w:b/>
          <w:bCs/>
          <w:iCs/>
          <w:szCs w:val="28"/>
        </w:rPr>
        <w:t>naturaleza de la norma</w:t>
      </w:r>
      <w:r w:rsidR="00B13BC1" w:rsidRPr="0099764A">
        <w:rPr>
          <w:bCs/>
          <w:iCs/>
          <w:szCs w:val="28"/>
        </w:rPr>
        <w:t xml:space="preserve"> la que define la competencia. Por ende, </w:t>
      </w:r>
      <w:r w:rsidR="00B13BC1" w:rsidRPr="0099764A">
        <w:rPr>
          <w:bCs/>
          <w:i/>
          <w:szCs w:val="28"/>
        </w:rPr>
        <w:t>“si se trata de una norma con fuerza material de ley su examen corresponde a la Corte Constitucional; pero si es una norma que no tiene vocación legislativa (acto administrativo), el control corresponde al Consejo de Estado”</w:t>
      </w:r>
      <w:r w:rsidR="00B13BC1" w:rsidRPr="0099764A">
        <w:rPr>
          <w:rStyle w:val="Refdenotaalpie"/>
          <w:bCs/>
          <w:iCs/>
          <w:szCs w:val="28"/>
        </w:rPr>
        <w:footnoteReference w:id="181"/>
      </w:r>
      <w:r w:rsidR="00B13BC1" w:rsidRPr="0099764A">
        <w:rPr>
          <w:bCs/>
          <w:iCs/>
          <w:szCs w:val="28"/>
        </w:rPr>
        <w:t>.</w:t>
      </w:r>
    </w:p>
    <w:p w14:paraId="217B645D" w14:textId="77777777" w:rsidR="00B13BC1" w:rsidRPr="0099764A" w:rsidRDefault="00B13BC1" w:rsidP="00B13BC1">
      <w:pPr>
        <w:pStyle w:val="Prrafodelista"/>
        <w:ind w:left="0"/>
        <w:jc w:val="both"/>
        <w:rPr>
          <w:b/>
          <w:szCs w:val="28"/>
        </w:rPr>
      </w:pPr>
    </w:p>
    <w:p w14:paraId="15C6171C" w14:textId="77777777" w:rsidR="00B13BC1" w:rsidRPr="0099764A" w:rsidRDefault="00B13BC1" w:rsidP="00B13BC1">
      <w:pPr>
        <w:pStyle w:val="Prrafodelista"/>
        <w:ind w:left="0"/>
        <w:contextualSpacing/>
        <w:jc w:val="both"/>
        <w:rPr>
          <w:bCs/>
          <w:szCs w:val="28"/>
        </w:rPr>
      </w:pPr>
      <w:r w:rsidRPr="0099764A">
        <w:rPr>
          <w:b/>
          <w:bCs/>
          <w:szCs w:val="28"/>
        </w:rPr>
        <w:t>(vi)</w:t>
      </w:r>
      <w:r w:rsidRPr="0099764A">
        <w:rPr>
          <w:bCs/>
          <w:szCs w:val="28"/>
        </w:rPr>
        <w:t xml:space="preserve"> Posteriormente, la </w:t>
      </w:r>
      <w:r w:rsidRPr="0099764A">
        <w:rPr>
          <w:b/>
          <w:szCs w:val="28"/>
        </w:rPr>
        <w:t>Sentencia C-415 de 2012</w:t>
      </w:r>
      <w:r w:rsidRPr="0099764A">
        <w:rPr>
          <w:rStyle w:val="Refdenotaalpie"/>
          <w:bCs/>
          <w:szCs w:val="28"/>
        </w:rPr>
        <w:footnoteReference w:id="182"/>
      </w:r>
      <w:r w:rsidRPr="0099764A">
        <w:rPr>
          <w:bCs/>
          <w:szCs w:val="28"/>
        </w:rPr>
        <w:t xml:space="preserve"> estudió el parágrafo del artículo 135 del Código de Procedimiento Administrativo y de lo Contencioso Administrativo (CPACA), el cual regula la acción de nulidad por inconstitucionalidad. De conformidad con est</w:t>
      </w:r>
      <w:r w:rsidR="005F443B" w:rsidRPr="0099764A">
        <w:rPr>
          <w:bCs/>
          <w:szCs w:val="28"/>
        </w:rPr>
        <w:t>e precepto</w:t>
      </w:r>
      <w:r w:rsidRPr="0099764A">
        <w:rPr>
          <w:bCs/>
          <w:szCs w:val="28"/>
        </w:rPr>
        <w:t>, el Consejo de Estado no está limitado a los cargos formulados en la demanda y puede fundar la declaración de nulidad en la violación de cualquier</w:t>
      </w:r>
      <w:r w:rsidR="005F443B" w:rsidRPr="0099764A">
        <w:rPr>
          <w:bCs/>
          <w:szCs w:val="28"/>
        </w:rPr>
        <w:t xml:space="preserve"> disposición</w:t>
      </w:r>
      <w:r w:rsidRPr="0099764A">
        <w:rPr>
          <w:bCs/>
          <w:szCs w:val="28"/>
        </w:rPr>
        <w:t xml:space="preserve"> constitucional. </w:t>
      </w:r>
    </w:p>
    <w:p w14:paraId="6B71400C" w14:textId="77777777" w:rsidR="00B13BC1" w:rsidRPr="0099764A" w:rsidRDefault="00B13BC1" w:rsidP="00B13BC1">
      <w:pPr>
        <w:pStyle w:val="Prrafodelista"/>
        <w:ind w:left="0"/>
        <w:jc w:val="both"/>
        <w:rPr>
          <w:bCs/>
          <w:szCs w:val="28"/>
        </w:rPr>
      </w:pPr>
    </w:p>
    <w:p w14:paraId="72B2F302" w14:textId="77777777" w:rsidR="00B13BC1" w:rsidRPr="0099764A" w:rsidRDefault="00B13BC1" w:rsidP="00B13BC1">
      <w:pPr>
        <w:pStyle w:val="Prrafodelista"/>
        <w:ind w:left="0"/>
        <w:jc w:val="both"/>
        <w:rPr>
          <w:bCs/>
          <w:szCs w:val="28"/>
        </w:rPr>
      </w:pPr>
      <w:r w:rsidRPr="0099764A">
        <w:rPr>
          <w:bCs/>
          <w:szCs w:val="28"/>
        </w:rPr>
        <w:t>Al analizar la norma demandada, la Sala Plena concluyó</w:t>
      </w:r>
      <w:r w:rsidR="005B4FE2" w:rsidRPr="0099764A">
        <w:rPr>
          <w:bCs/>
          <w:szCs w:val="28"/>
        </w:rPr>
        <w:t xml:space="preserve"> en ese caso,</w:t>
      </w:r>
      <w:r w:rsidRPr="0099764A">
        <w:rPr>
          <w:bCs/>
          <w:szCs w:val="28"/>
        </w:rPr>
        <w:t xml:space="preserve"> que </w:t>
      </w:r>
      <w:r w:rsidR="00034154" w:rsidRPr="0099764A">
        <w:rPr>
          <w:bCs/>
          <w:szCs w:val="28"/>
        </w:rPr>
        <w:t xml:space="preserve">la disposición </w:t>
      </w:r>
      <w:r w:rsidR="00147022" w:rsidRPr="0099764A">
        <w:rPr>
          <w:bCs/>
          <w:szCs w:val="28"/>
        </w:rPr>
        <w:t xml:space="preserve">se encontraba </w:t>
      </w:r>
      <w:r w:rsidRPr="0099764A">
        <w:rPr>
          <w:bCs/>
          <w:szCs w:val="28"/>
        </w:rPr>
        <w:t xml:space="preserve">ajustada a los mandatos superiores, dado que: </w:t>
      </w:r>
      <w:r w:rsidRPr="0099764A">
        <w:rPr>
          <w:b/>
          <w:bCs/>
          <w:szCs w:val="28"/>
        </w:rPr>
        <w:t>(a)</w:t>
      </w:r>
      <w:r w:rsidRPr="0099764A">
        <w:rPr>
          <w:bCs/>
          <w:szCs w:val="28"/>
        </w:rPr>
        <w:t xml:space="preserve"> el ejercicio integral del control abstracto de constitucionalidad es predicable tanto de la Corte Constitucional como del Consejo de Estado; y </w:t>
      </w:r>
      <w:r w:rsidRPr="0099764A">
        <w:rPr>
          <w:b/>
          <w:bCs/>
          <w:szCs w:val="28"/>
        </w:rPr>
        <w:t>(b)</w:t>
      </w:r>
      <w:r w:rsidRPr="0099764A">
        <w:rPr>
          <w:bCs/>
          <w:szCs w:val="28"/>
        </w:rPr>
        <w:t xml:space="preserve"> el Legislador cuenta con un amplio margen de configuración en materia procesal. </w:t>
      </w:r>
    </w:p>
    <w:p w14:paraId="56218E3C" w14:textId="77777777" w:rsidR="00B13BC1" w:rsidRPr="0099764A" w:rsidRDefault="00B13BC1" w:rsidP="00B13BC1">
      <w:pPr>
        <w:pStyle w:val="Prrafodelista"/>
        <w:ind w:left="0"/>
        <w:jc w:val="both"/>
        <w:rPr>
          <w:b/>
          <w:szCs w:val="28"/>
        </w:rPr>
      </w:pPr>
    </w:p>
    <w:p w14:paraId="605A6D09" w14:textId="77777777" w:rsidR="00B13BC1" w:rsidRPr="002E4477" w:rsidRDefault="00B13BC1" w:rsidP="00B13BC1">
      <w:pPr>
        <w:pStyle w:val="Prrafodelista"/>
        <w:ind w:left="0"/>
        <w:contextualSpacing/>
        <w:jc w:val="both"/>
        <w:rPr>
          <w:b/>
          <w:szCs w:val="28"/>
        </w:rPr>
      </w:pPr>
      <w:r w:rsidRPr="0099764A">
        <w:rPr>
          <w:b/>
          <w:bCs/>
          <w:szCs w:val="28"/>
        </w:rPr>
        <w:t>(vii)</w:t>
      </w:r>
      <w:r w:rsidRPr="0099764A">
        <w:rPr>
          <w:bCs/>
          <w:szCs w:val="28"/>
        </w:rPr>
        <w:t xml:space="preserve"> De igual m</w:t>
      </w:r>
      <w:r w:rsidR="00464DAA" w:rsidRPr="0099764A">
        <w:rPr>
          <w:bCs/>
          <w:szCs w:val="28"/>
        </w:rPr>
        <w:t>anera</w:t>
      </w:r>
      <w:r w:rsidRPr="0099764A">
        <w:rPr>
          <w:bCs/>
          <w:szCs w:val="28"/>
        </w:rPr>
        <w:t xml:space="preserve">, la </w:t>
      </w:r>
      <w:r w:rsidRPr="0099764A">
        <w:rPr>
          <w:b/>
          <w:szCs w:val="28"/>
        </w:rPr>
        <w:t>Sentencia C-400 de 2013</w:t>
      </w:r>
      <w:r w:rsidRPr="0099764A">
        <w:rPr>
          <w:rStyle w:val="Refdenotaalpie"/>
          <w:bCs/>
          <w:szCs w:val="28"/>
        </w:rPr>
        <w:footnoteReference w:id="183"/>
      </w:r>
      <w:r w:rsidRPr="0099764A">
        <w:rPr>
          <w:bCs/>
          <w:szCs w:val="28"/>
        </w:rPr>
        <w:t xml:space="preserve"> resulta especialmente relevante para el asunto que se debate en esta ocasión. En dicha providencia,</w:t>
      </w:r>
      <w:r w:rsidRPr="002E4477">
        <w:rPr>
          <w:bCs/>
          <w:szCs w:val="28"/>
        </w:rPr>
        <w:t xml:space="preserve"> correspondió a la Corte analizar si el mencionado artículo 135 del CPACA había desconocido el artículo 237 </w:t>
      </w:r>
      <w:r w:rsidR="00034154" w:rsidRPr="002E4477">
        <w:rPr>
          <w:bCs/>
          <w:szCs w:val="28"/>
        </w:rPr>
        <w:t>s</w:t>
      </w:r>
      <w:r w:rsidRPr="002E4477">
        <w:rPr>
          <w:bCs/>
          <w:szCs w:val="28"/>
        </w:rPr>
        <w:t xml:space="preserve">uperior, al permitir que se demanden a través de la acción de nulidad por inconstitucionalidad, los actos administrativos de carácter general que, por expresa disposición </w:t>
      </w:r>
      <w:r w:rsidRPr="0099764A">
        <w:rPr>
          <w:bCs/>
          <w:szCs w:val="28"/>
        </w:rPr>
        <w:t xml:space="preserve">constitucional, </w:t>
      </w:r>
      <w:r w:rsidR="00BC0420" w:rsidRPr="0099764A">
        <w:rPr>
          <w:bCs/>
          <w:szCs w:val="28"/>
        </w:rPr>
        <w:t>fueran</w:t>
      </w:r>
      <w:r w:rsidRPr="0099764A">
        <w:rPr>
          <w:bCs/>
          <w:szCs w:val="28"/>
        </w:rPr>
        <w:t xml:space="preserve"> expedidos por</w:t>
      </w:r>
      <w:r w:rsidRPr="002E4477">
        <w:rPr>
          <w:bCs/>
          <w:szCs w:val="28"/>
        </w:rPr>
        <w:t xml:space="preserve"> entidades u organismos distintos del Gobierno Nacional, pese a que la norma constitucional únicamente hace referencia a los decretos dictados por este último.</w:t>
      </w:r>
    </w:p>
    <w:p w14:paraId="0815D8ED" w14:textId="77777777" w:rsidR="00B13BC1" w:rsidRPr="002E4477" w:rsidRDefault="00B13BC1" w:rsidP="00B13BC1">
      <w:pPr>
        <w:pStyle w:val="Prrafodelista"/>
        <w:ind w:left="0"/>
        <w:jc w:val="both"/>
        <w:rPr>
          <w:bCs/>
          <w:szCs w:val="28"/>
        </w:rPr>
      </w:pPr>
    </w:p>
    <w:p w14:paraId="492FA9BB" w14:textId="77777777" w:rsidR="00B13BC1" w:rsidRPr="002E4477" w:rsidRDefault="00B13BC1" w:rsidP="00B13BC1">
      <w:pPr>
        <w:pStyle w:val="Prrafodelista"/>
        <w:ind w:left="0"/>
        <w:jc w:val="both"/>
        <w:rPr>
          <w:bCs/>
          <w:vanish/>
          <w:szCs w:val="28"/>
          <w:specVanish/>
        </w:rPr>
      </w:pPr>
      <w:r w:rsidRPr="002E4477">
        <w:rPr>
          <w:bCs/>
          <w:szCs w:val="28"/>
        </w:rPr>
        <w:t xml:space="preserve">Para resolver este problema jurídico, </w:t>
      </w:r>
      <w:r w:rsidR="00147022" w:rsidRPr="002E4477">
        <w:rPr>
          <w:bCs/>
          <w:szCs w:val="28"/>
        </w:rPr>
        <w:t xml:space="preserve">este Tribunal </w:t>
      </w:r>
      <w:r w:rsidRPr="002E4477">
        <w:rPr>
          <w:bCs/>
          <w:szCs w:val="28"/>
        </w:rPr>
        <w:t xml:space="preserve">ratificó </w:t>
      </w:r>
      <w:r w:rsidRPr="002E4477">
        <w:rPr>
          <w:b/>
          <w:bCs/>
          <w:i/>
          <w:szCs w:val="28"/>
        </w:rPr>
        <w:t>el carácter principal de la competencia de la Corte Constitucional</w:t>
      </w:r>
      <w:r w:rsidRPr="002E4477">
        <w:rPr>
          <w:bCs/>
          <w:szCs w:val="28"/>
        </w:rPr>
        <w:t xml:space="preserve"> en materia de control abstracto de c</w:t>
      </w:r>
      <w:r w:rsidR="00147022" w:rsidRPr="002E4477">
        <w:rPr>
          <w:bCs/>
          <w:szCs w:val="28"/>
        </w:rPr>
        <w:t xml:space="preserve">onstitucionalidad. Y </w:t>
      </w:r>
      <w:r w:rsidRPr="002E4477">
        <w:rPr>
          <w:bCs/>
          <w:szCs w:val="28"/>
        </w:rPr>
        <w:t xml:space="preserve">advirtió que la Constitución </w:t>
      </w:r>
      <w:r w:rsidRPr="002E4477">
        <w:rPr>
          <w:bCs/>
          <w:i/>
          <w:iCs/>
          <w:szCs w:val="28"/>
        </w:rPr>
        <w:t>“atribuye la producción de actos de contenido normativo a órganos distintos [del] Congreso y [del] Gobierno Nacional</w:t>
      </w:r>
    </w:p>
    <w:p w14:paraId="448F3629" w14:textId="77777777" w:rsidR="00B13BC1" w:rsidRPr="002E4477" w:rsidRDefault="00B13BC1" w:rsidP="00B13BC1">
      <w:pPr>
        <w:pStyle w:val="Prrafodelista"/>
        <w:ind w:left="0"/>
        <w:jc w:val="both"/>
        <w:rPr>
          <w:bCs/>
          <w:szCs w:val="28"/>
        </w:rPr>
      </w:pPr>
      <w:r w:rsidRPr="002E4477">
        <w:rPr>
          <w:bCs/>
          <w:szCs w:val="28"/>
        </w:rPr>
        <w:t>”</w:t>
      </w:r>
      <w:r w:rsidRPr="002E4477">
        <w:rPr>
          <w:bCs/>
          <w:i/>
          <w:iCs/>
          <w:szCs w:val="28"/>
        </w:rPr>
        <w:t xml:space="preserve">, </w:t>
      </w:r>
      <w:r w:rsidR="00147022" w:rsidRPr="002E4477">
        <w:rPr>
          <w:bCs/>
          <w:szCs w:val="28"/>
        </w:rPr>
        <w:t>entre los que</w:t>
      </w:r>
      <w:r w:rsidRPr="002E4477">
        <w:rPr>
          <w:bCs/>
          <w:szCs w:val="28"/>
        </w:rPr>
        <w:t xml:space="preserve"> se encuentran el Consejo Superior de la Judicatura, el Consejo Nacional Electoral, la Contraloría General de la República y el Banco de la República. Tales actos, pese a su importancia normativa,</w:t>
      </w:r>
      <w:r w:rsidR="00147022" w:rsidRPr="002E4477">
        <w:rPr>
          <w:bCs/>
          <w:szCs w:val="28"/>
        </w:rPr>
        <w:t xml:space="preserve"> acorde a la C</w:t>
      </w:r>
      <w:r w:rsidR="006E6410" w:rsidRPr="002E4477">
        <w:rPr>
          <w:bCs/>
          <w:szCs w:val="28"/>
        </w:rPr>
        <w:t>arta</w:t>
      </w:r>
      <w:r w:rsidR="00147022" w:rsidRPr="002E4477">
        <w:rPr>
          <w:bCs/>
          <w:szCs w:val="28"/>
        </w:rPr>
        <w:t>,</w:t>
      </w:r>
      <w:r w:rsidRPr="002E4477">
        <w:rPr>
          <w:bCs/>
          <w:szCs w:val="28"/>
        </w:rPr>
        <w:t xml:space="preserve"> no tienen fuerza material de ley. </w:t>
      </w:r>
    </w:p>
    <w:p w14:paraId="451DAAD2" w14:textId="77777777" w:rsidR="00B13BC1" w:rsidRPr="002E4477" w:rsidRDefault="00B13BC1" w:rsidP="00B13BC1">
      <w:pPr>
        <w:pStyle w:val="Prrafodelista"/>
        <w:ind w:left="0"/>
        <w:jc w:val="both"/>
        <w:rPr>
          <w:bCs/>
          <w:szCs w:val="28"/>
        </w:rPr>
      </w:pPr>
    </w:p>
    <w:p w14:paraId="1E2F11A8" w14:textId="77777777" w:rsidR="00B13BC1" w:rsidRPr="002E4477" w:rsidRDefault="00B13BC1" w:rsidP="00B13BC1">
      <w:pPr>
        <w:pStyle w:val="Prrafodelista"/>
        <w:ind w:left="0"/>
        <w:jc w:val="both"/>
        <w:rPr>
          <w:bCs/>
          <w:szCs w:val="28"/>
        </w:rPr>
      </w:pPr>
      <w:r w:rsidRPr="002E4477">
        <w:rPr>
          <w:bCs/>
          <w:szCs w:val="28"/>
        </w:rPr>
        <w:t xml:space="preserve">En consecuencia, la Sala Plena </w:t>
      </w:r>
      <w:r w:rsidRPr="0099764A">
        <w:rPr>
          <w:bCs/>
          <w:szCs w:val="28"/>
        </w:rPr>
        <w:t>declaró exequible la norma demandada, en la medida en que el contr</w:t>
      </w:r>
      <w:r w:rsidR="00147022" w:rsidRPr="0099764A">
        <w:rPr>
          <w:bCs/>
          <w:szCs w:val="28"/>
        </w:rPr>
        <w:t>ol de constitucionalidad de dichos</w:t>
      </w:r>
      <w:r w:rsidRPr="0099764A">
        <w:rPr>
          <w:bCs/>
          <w:szCs w:val="28"/>
        </w:rPr>
        <w:t xml:space="preserve"> actos normativos no está atribuido a la Corte Constitucional</w:t>
      </w:r>
      <w:r w:rsidR="00464DAA" w:rsidRPr="0099764A">
        <w:rPr>
          <w:bCs/>
          <w:szCs w:val="28"/>
        </w:rPr>
        <w:t>; de manera tal que</w:t>
      </w:r>
      <w:r w:rsidRPr="0099764A">
        <w:rPr>
          <w:bCs/>
          <w:szCs w:val="28"/>
        </w:rPr>
        <w:t xml:space="preserve"> en virtud del criterio residual de competencia, su conocimiento corresponde al Consejo de Estado. No obstante, condicionó su decisión</w:t>
      </w:r>
      <w:r w:rsidR="00147022" w:rsidRPr="0099764A">
        <w:rPr>
          <w:bCs/>
          <w:szCs w:val="28"/>
        </w:rPr>
        <w:t xml:space="preserve"> a fin de </w:t>
      </w:r>
      <w:r w:rsidRPr="0099764A">
        <w:rPr>
          <w:bCs/>
          <w:szCs w:val="28"/>
        </w:rPr>
        <w:t>que se interprete que, siempre que se trate de actos administrativos</w:t>
      </w:r>
      <w:r w:rsidRPr="002E4477">
        <w:rPr>
          <w:bCs/>
          <w:szCs w:val="28"/>
        </w:rPr>
        <w:t xml:space="preserve"> con contenido material de ley, su control debe ser ejercido por la Corte Constitucional.</w:t>
      </w:r>
    </w:p>
    <w:p w14:paraId="0EC52BEE" w14:textId="77777777" w:rsidR="00DF4C59" w:rsidRDefault="00DF4C59" w:rsidP="00B13BC1">
      <w:pPr>
        <w:pStyle w:val="Prrafodelista"/>
        <w:ind w:left="0"/>
        <w:jc w:val="both"/>
        <w:rPr>
          <w:bCs/>
          <w:szCs w:val="28"/>
          <w:highlight w:val="lightGray"/>
        </w:rPr>
      </w:pPr>
    </w:p>
    <w:p w14:paraId="3D331165" w14:textId="77777777" w:rsidR="00B13BC1" w:rsidRPr="002E4477" w:rsidRDefault="00BC0420" w:rsidP="00B13BC1">
      <w:pPr>
        <w:pStyle w:val="Prrafodelista"/>
        <w:ind w:left="0"/>
        <w:jc w:val="both"/>
        <w:rPr>
          <w:bCs/>
          <w:szCs w:val="28"/>
        </w:rPr>
      </w:pPr>
      <w:r w:rsidRPr="0099764A">
        <w:rPr>
          <w:bCs/>
          <w:szCs w:val="28"/>
        </w:rPr>
        <w:t>E</w:t>
      </w:r>
      <w:r w:rsidR="00B13BC1" w:rsidRPr="0099764A">
        <w:rPr>
          <w:bCs/>
          <w:szCs w:val="28"/>
        </w:rPr>
        <w:t xml:space="preserve">sta providencia hizo una precisión </w:t>
      </w:r>
      <w:r w:rsidR="00147022" w:rsidRPr="0099764A">
        <w:rPr>
          <w:bCs/>
          <w:szCs w:val="28"/>
        </w:rPr>
        <w:t xml:space="preserve">adicional </w:t>
      </w:r>
      <w:r w:rsidR="00B13BC1" w:rsidRPr="0099764A">
        <w:rPr>
          <w:bCs/>
          <w:i/>
          <w:iCs/>
          <w:szCs w:val="28"/>
        </w:rPr>
        <w:t>muy importante</w:t>
      </w:r>
      <w:r w:rsidR="00B13BC1" w:rsidRPr="0099764A">
        <w:rPr>
          <w:bCs/>
          <w:szCs w:val="28"/>
        </w:rPr>
        <w:t xml:space="preserve"> para el debate jurídico que en esta oportunidad se presenta, ya que la Corte estimó de manera expresa, que no es posible trasladar los efectos de la </w:t>
      </w:r>
      <w:r w:rsidR="00B13BC1" w:rsidRPr="0099764A">
        <w:rPr>
          <w:b/>
          <w:bCs/>
          <w:szCs w:val="28"/>
        </w:rPr>
        <w:t>cosa juzgada constitucional</w:t>
      </w:r>
      <w:r w:rsidR="00B13BC1" w:rsidRPr="0099764A">
        <w:rPr>
          <w:bCs/>
          <w:szCs w:val="28"/>
        </w:rPr>
        <w:t xml:space="preserve"> a las decisiones del Consejo de Estado, incluso cuando ellas sean proferidas en el marco de la acción de nulidad por </w:t>
      </w:r>
      <w:r w:rsidR="00147022" w:rsidRPr="0099764A">
        <w:rPr>
          <w:bCs/>
          <w:szCs w:val="28"/>
        </w:rPr>
        <w:t>inconstitucionalidad. La razón</w:t>
      </w:r>
      <w:r w:rsidR="00464DAA" w:rsidRPr="0099764A">
        <w:rPr>
          <w:bCs/>
          <w:szCs w:val="28"/>
        </w:rPr>
        <w:t>,</w:t>
      </w:r>
      <w:r w:rsidR="00147022" w:rsidRPr="0099764A">
        <w:rPr>
          <w:bCs/>
          <w:szCs w:val="28"/>
        </w:rPr>
        <w:t xml:space="preserve"> </w:t>
      </w:r>
      <w:r w:rsidR="00B13BC1" w:rsidRPr="0099764A">
        <w:rPr>
          <w:bCs/>
          <w:szCs w:val="28"/>
        </w:rPr>
        <w:t>es que la Carta otorga esta consecuencia jurídica únicamente a los fallos que dicte la Corte Constitucional en su ejercicio de control jurisdiccional, de conformidad con el artículo 243 superior, pues</w:t>
      </w:r>
      <w:r w:rsidRPr="0099764A">
        <w:rPr>
          <w:bCs/>
          <w:szCs w:val="28"/>
        </w:rPr>
        <w:t xml:space="preserve"> ello</w:t>
      </w:r>
      <w:r w:rsidR="00B13BC1" w:rsidRPr="0099764A">
        <w:rPr>
          <w:bCs/>
          <w:szCs w:val="28"/>
        </w:rPr>
        <w:t xml:space="preserve"> corresponde a la vocación de cierre que en el marco de la jurisdicción constitucional le compete a esta Corporación. Aunado a </w:t>
      </w:r>
      <w:r w:rsidR="006E6410" w:rsidRPr="0099764A">
        <w:rPr>
          <w:bCs/>
          <w:szCs w:val="28"/>
        </w:rPr>
        <w:t>lo anterior</w:t>
      </w:r>
      <w:r w:rsidR="00B13BC1" w:rsidRPr="0099764A">
        <w:rPr>
          <w:bCs/>
          <w:szCs w:val="28"/>
        </w:rPr>
        <w:t>, destacó que solo es</w:t>
      </w:r>
      <w:r w:rsidR="00147022" w:rsidRPr="0099764A">
        <w:rPr>
          <w:bCs/>
          <w:szCs w:val="28"/>
        </w:rPr>
        <w:t>ta Corte tiene la categoría de Tribunal C</w:t>
      </w:r>
      <w:r w:rsidR="00B13BC1" w:rsidRPr="0099764A">
        <w:rPr>
          <w:bCs/>
          <w:szCs w:val="28"/>
        </w:rPr>
        <w:t>onstitucional, en los términos de la Sentencia C-037 de 1996</w:t>
      </w:r>
      <w:r w:rsidR="00B13BC1" w:rsidRPr="0099764A">
        <w:rPr>
          <w:rStyle w:val="Refdenotaalpie"/>
          <w:bCs/>
          <w:szCs w:val="28"/>
        </w:rPr>
        <w:footnoteReference w:id="184"/>
      </w:r>
      <w:r w:rsidRPr="0099764A">
        <w:rPr>
          <w:bCs/>
          <w:szCs w:val="28"/>
        </w:rPr>
        <w:t xml:space="preserve">, </w:t>
      </w:r>
      <w:r w:rsidR="009E1093" w:rsidRPr="0099764A">
        <w:rPr>
          <w:bCs/>
          <w:szCs w:val="28"/>
        </w:rPr>
        <w:t xml:space="preserve">providencia </w:t>
      </w:r>
      <w:r w:rsidRPr="0099764A">
        <w:rPr>
          <w:bCs/>
          <w:szCs w:val="28"/>
        </w:rPr>
        <w:t>que al respecto</w:t>
      </w:r>
      <w:r w:rsidR="00E161C6" w:rsidRPr="0099764A">
        <w:rPr>
          <w:bCs/>
          <w:szCs w:val="28"/>
        </w:rPr>
        <w:t xml:space="preserve"> sostuvo</w:t>
      </w:r>
      <w:r w:rsidR="00B13BC1" w:rsidRPr="0099764A">
        <w:rPr>
          <w:bCs/>
          <w:szCs w:val="28"/>
        </w:rPr>
        <w:t xml:space="preserve"> lo siguiente:</w:t>
      </w:r>
    </w:p>
    <w:p w14:paraId="6B2F118D" w14:textId="77777777" w:rsidR="00B13BC1" w:rsidRPr="002E4477" w:rsidRDefault="00B13BC1" w:rsidP="00EC0A8F">
      <w:pPr>
        <w:pStyle w:val="Prrafodelista"/>
        <w:spacing w:line="276" w:lineRule="auto"/>
        <w:ind w:left="0"/>
        <w:jc w:val="both"/>
        <w:rPr>
          <w:bCs/>
          <w:szCs w:val="28"/>
        </w:rPr>
      </w:pPr>
    </w:p>
    <w:p w14:paraId="07C14177" w14:textId="77777777" w:rsidR="00B13BC1" w:rsidRPr="0099764A" w:rsidRDefault="00B13BC1" w:rsidP="000E05E7">
      <w:pPr>
        <w:pStyle w:val="Prrafodelista"/>
        <w:ind w:left="284"/>
        <w:jc w:val="both"/>
        <w:rPr>
          <w:bCs/>
          <w:iCs/>
          <w:szCs w:val="28"/>
        </w:rPr>
      </w:pPr>
      <w:r w:rsidRPr="00DF4C59">
        <w:rPr>
          <w:i/>
          <w:sz w:val="26"/>
          <w:szCs w:val="26"/>
          <w:shd w:val="clear" w:color="auto" w:fill="FFFFFF"/>
        </w:rPr>
        <w:t>“Según se advirtió en el análisis realizado al artículo 49 de dicho proyecto, que se convirtió en Ley 270 de 1993,</w:t>
      </w:r>
      <w:r w:rsidRPr="00DF4C59">
        <w:rPr>
          <w:i/>
          <w:iCs/>
          <w:sz w:val="26"/>
          <w:szCs w:val="26"/>
          <w:shd w:val="clear" w:color="auto" w:fill="FFFFFF"/>
        </w:rPr>
        <w:t> “sólo los artículos 242, 243 y 244 superiores, se encargan de regular los procesos que se eleven ante la Corte Constitucional, derivados algunos de ellos de las acciones de inexequibilidad que adelante cualquier ciudadano”</w:t>
      </w:r>
      <w:r w:rsidRPr="00DF4C59">
        <w:rPr>
          <w:i/>
          <w:sz w:val="26"/>
          <w:szCs w:val="26"/>
          <w:shd w:val="clear" w:color="auto" w:fill="FFFFFF"/>
        </w:rPr>
        <w:t xml:space="preserve">, de manera que </w:t>
      </w:r>
      <w:r w:rsidRPr="00DF4C59">
        <w:rPr>
          <w:i/>
          <w:sz w:val="26"/>
          <w:szCs w:val="26"/>
          <w:u w:val="single"/>
          <w:shd w:val="clear" w:color="auto" w:fill="FFFFFF"/>
        </w:rPr>
        <w:t xml:space="preserve">no es posible trasladar los efectos de </w:t>
      </w:r>
      <w:r w:rsidRPr="00DF4C59">
        <w:rPr>
          <w:b/>
          <w:bCs/>
          <w:i/>
          <w:sz w:val="26"/>
          <w:szCs w:val="26"/>
          <w:u w:val="single"/>
          <w:shd w:val="clear" w:color="auto" w:fill="FFFFFF"/>
        </w:rPr>
        <w:t>cosa juzgada constitucional</w:t>
      </w:r>
      <w:r w:rsidRPr="00DF4C59">
        <w:rPr>
          <w:i/>
          <w:sz w:val="26"/>
          <w:szCs w:val="26"/>
          <w:u w:val="single"/>
          <w:shd w:val="clear" w:color="auto" w:fill="FFFFFF"/>
        </w:rPr>
        <w:t> a pronunciamientos del tribunal supremo de lo contencioso administrativo, que carecen de la consecuencia  solamente otorgada por la Constitución (art. 243, inciso 1°) a los fallos que dicte la Corte Constitucional en su ejercicio de control jurisdiccional</w:t>
      </w:r>
      <w:r w:rsidRPr="00DF4C59">
        <w:rPr>
          <w:i/>
          <w:sz w:val="26"/>
          <w:szCs w:val="26"/>
          <w:shd w:val="clear" w:color="auto" w:fill="FFFFFF"/>
        </w:rPr>
        <w:t>, lo cual compagina con lo decidido en dicho fallo C-037 de 1996, en cuanto </w:t>
      </w:r>
      <w:r w:rsidRPr="00DF4C59">
        <w:rPr>
          <w:i/>
          <w:iCs/>
          <w:sz w:val="26"/>
          <w:szCs w:val="26"/>
          <w:shd w:val="clear" w:color="auto" w:fill="FFFFFF"/>
        </w:rPr>
        <w:t>“desde una perspectiva orgánica, la única entidad de la rama judicial que… reviste el carácter de tribunal constitucional es la Corte Constitucional”</w:t>
      </w:r>
      <w:r w:rsidRPr="00DF4C59">
        <w:rPr>
          <w:i/>
          <w:sz w:val="26"/>
          <w:szCs w:val="26"/>
          <w:shd w:val="clear" w:color="auto" w:fill="FFFFFF"/>
        </w:rPr>
        <w:t>, razón para declarar inexequible esa expresión atribuida al Consejo de Estado</w:t>
      </w:r>
      <w:r w:rsidRPr="00DF4C59">
        <w:rPr>
          <w:iCs/>
          <w:sz w:val="26"/>
          <w:szCs w:val="26"/>
          <w:shd w:val="clear" w:color="auto" w:fill="FFFFFF"/>
        </w:rPr>
        <w:t xml:space="preserve">”. </w:t>
      </w:r>
      <w:r w:rsidRPr="0099764A">
        <w:rPr>
          <w:iCs/>
          <w:szCs w:val="28"/>
          <w:shd w:val="clear" w:color="auto" w:fill="FFFFFF"/>
        </w:rPr>
        <w:t>(</w:t>
      </w:r>
      <w:r w:rsidR="0099764A" w:rsidRPr="0099764A">
        <w:rPr>
          <w:iCs/>
          <w:szCs w:val="28"/>
          <w:shd w:val="clear" w:color="auto" w:fill="FFFFFF"/>
        </w:rPr>
        <w:t>resaltado</w:t>
      </w:r>
      <w:r w:rsidR="00464DAA" w:rsidRPr="0099764A">
        <w:rPr>
          <w:iCs/>
          <w:szCs w:val="28"/>
          <w:shd w:val="clear" w:color="auto" w:fill="FFFFFF"/>
        </w:rPr>
        <w:t xml:space="preserve"> </w:t>
      </w:r>
      <w:r w:rsidRPr="0099764A">
        <w:rPr>
          <w:iCs/>
          <w:szCs w:val="28"/>
          <w:shd w:val="clear" w:color="auto" w:fill="FFFFFF"/>
        </w:rPr>
        <w:t>fuera del original).</w:t>
      </w:r>
    </w:p>
    <w:p w14:paraId="1BF933CC" w14:textId="77777777" w:rsidR="00B13BC1" w:rsidRPr="002E4477" w:rsidRDefault="00B13BC1" w:rsidP="00EC0A8F">
      <w:pPr>
        <w:pStyle w:val="Prrafodelista"/>
        <w:spacing w:line="276" w:lineRule="auto"/>
        <w:ind w:left="0"/>
        <w:jc w:val="both"/>
        <w:rPr>
          <w:bCs/>
          <w:szCs w:val="28"/>
        </w:rPr>
      </w:pPr>
    </w:p>
    <w:p w14:paraId="4244CA1D" w14:textId="77777777" w:rsidR="00B13BC1" w:rsidRPr="0099764A" w:rsidRDefault="00B13BC1" w:rsidP="00B13BC1">
      <w:pPr>
        <w:pStyle w:val="Prrafodelista"/>
        <w:ind w:left="0"/>
        <w:contextualSpacing/>
        <w:jc w:val="both"/>
        <w:rPr>
          <w:bCs/>
          <w:szCs w:val="28"/>
        </w:rPr>
      </w:pPr>
      <w:r w:rsidRPr="002E4477">
        <w:rPr>
          <w:b/>
          <w:bCs/>
          <w:szCs w:val="28"/>
        </w:rPr>
        <w:t>(viii)</w:t>
      </w:r>
      <w:r w:rsidRPr="002E4477">
        <w:rPr>
          <w:bCs/>
          <w:szCs w:val="28"/>
        </w:rPr>
        <w:t xml:space="preserve"> Más adelante, en la </w:t>
      </w:r>
      <w:r w:rsidRPr="0099764A">
        <w:rPr>
          <w:b/>
          <w:szCs w:val="28"/>
        </w:rPr>
        <w:t>Sentencia C-664 de 2016</w:t>
      </w:r>
      <w:r w:rsidRPr="0099764A">
        <w:rPr>
          <w:rStyle w:val="Refdenotaalpie"/>
          <w:bCs/>
          <w:szCs w:val="28"/>
        </w:rPr>
        <w:footnoteReference w:id="185"/>
      </w:r>
      <w:r w:rsidRPr="0099764A">
        <w:rPr>
          <w:b/>
          <w:szCs w:val="28"/>
        </w:rPr>
        <w:t xml:space="preserve"> </w:t>
      </w:r>
      <w:r w:rsidRPr="0099764A">
        <w:rPr>
          <w:szCs w:val="28"/>
        </w:rPr>
        <w:t xml:space="preserve">esta Corte </w:t>
      </w:r>
      <w:r w:rsidRPr="0099764A">
        <w:rPr>
          <w:bCs/>
          <w:szCs w:val="28"/>
        </w:rPr>
        <w:t xml:space="preserve">aclaró que </w:t>
      </w:r>
      <w:r w:rsidRPr="0099764A">
        <w:rPr>
          <w:b/>
          <w:bCs/>
          <w:i/>
          <w:szCs w:val="28"/>
        </w:rPr>
        <w:t>no existe cosa juzgada constitucional</w:t>
      </w:r>
      <w:r w:rsidRPr="0099764A">
        <w:rPr>
          <w:bCs/>
          <w:szCs w:val="28"/>
        </w:rPr>
        <w:t xml:space="preserve"> cuando el Consejo de Estado se pronuncia sobre una norma en el marco de los medios de control de nulidad simple o nulidad por inconstitucionalidad</w:t>
      </w:r>
      <w:r w:rsidR="00BC0420" w:rsidRPr="0099764A">
        <w:rPr>
          <w:rStyle w:val="Refdenotaalpie"/>
          <w:bCs/>
          <w:szCs w:val="28"/>
        </w:rPr>
        <w:footnoteReference w:id="186"/>
      </w:r>
      <w:r w:rsidRPr="0099764A">
        <w:rPr>
          <w:bCs/>
          <w:szCs w:val="28"/>
        </w:rPr>
        <w:t xml:space="preserve">. </w:t>
      </w:r>
      <w:r w:rsidR="00BC0420" w:rsidRPr="0099764A">
        <w:rPr>
          <w:bCs/>
          <w:szCs w:val="28"/>
        </w:rPr>
        <w:t>L</w:t>
      </w:r>
      <w:r w:rsidRPr="0099764A">
        <w:rPr>
          <w:bCs/>
          <w:szCs w:val="28"/>
        </w:rPr>
        <w:t xml:space="preserve">a Corte consideró </w:t>
      </w:r>
      <w:r w:rsidR="00BC0420" w:rsidRPr="0099764A">
        <w:rPr>
          <w:bCs/>
          <w:szCs w:val="28"/>
        </w:rPr>
        <w:t xml:space="preserve">en la providencia, </w:t>
      </w:r>
      <w:r w:rsidRPr="0099764A">
        <w:rPr>
          <w:bCs/>
          <w:szCs w:val="28"/>
        </w:rPr>
        <w:t xml:space="preserve">que se trataba de </w:t>
      </w:r>
      <w:r w:rsidRPr="0099764A">
        <w:rPr>
          <w:bCs/>
          <w:i/>
          <w:iCs/>
          <w:szCs w:val="28"/>
        </w:rPr>
        <w:t xml:space="preserve">“una decisión tomada en ejercicio del control desconcentrado de constitucionalidad del ordenamiento jurídico, ejercido en este caso por el Consejo de Estado, que hizo tránsito a cosa juzgada, </w:t>
      </w:r>
      <w:r w:rsidRPr="0099764A">
        <w:rPr>
          <w:b/>
          <w:bCs/>
          <w:i/>
          <w:iCs/>
          <w:szCs w:val="28"/>
        </w:rPr>
        <w:t>pero que no reviste la fuerza de la cosa juzgada constitucional, ni material, ni formal</w:t>
      </w:r>
      <w:r w:rsidRPr="0099764A">
        <w:rPr>
          <w:bCs/>
          <w:i/>
          <w:iCs/>
          <w:szCs w:val="28"/>
        </w:rPr>
        <w:t>”</w:t>
      </w:r>
      <w:r w:rsidRPr="0099764A">
        <w:rPr>
          <w:rStyle w:val="Refdenotaalpie"/>
          <w:bCs/>
          <w:szCs w:val="28"/>
        </w:rPr>
        <w:footnoteReference w:id="187"/>
      </w:r>
      <w:r w:rsidRPr="0099764A">
        <w:rPr>
          <w:bCs/>
          <w:szCs w:val="28"/>
        </w:rPr>
        <w:t>.</w:t>
      </w:r>
      <w:r w:rsidR="00147022" w:rsidRPr="0099764A">
        <w:rPr>
          <w:bCs/>
          <w:szCs w:val="28"/>
        </w:rPr>
        <w:t xml:space="preserve"> Una precisión que da cuenta del carácter definitivo de las interpretaciones vinculantes que s</w:t>
      </w:r>
      <w:r w:rsidR="00C80E03">
        <w:rPr>
          <w:bCs/>
          <w:szCs w:val="28"/>
        </w:rPr>
        <w:t>o</w:t>
      </w:r>
      <w:r w:rsidR="00147022" w:rsidRPr="0099764A">
        <w:rPr>
          <w:bCs/>
          <w:szCs w:val="28"/>
        </w:rPr>
        <w:t xml:space="preserve">lo hace la Corte Constitucional con respecto al </w:t>
      </w:r>
      <w:r w:rsidR="006E6410" w:rsidRPr="0099764A">
        <w:rPr>
          <w:bCs/>
          <w:szCs w:val="28"/>
        </w:rPr>
        <w:t>t</w:t>
      </w:r>
      <w:r w:rsidR="00147022" w:rsidRPr="0099764A">
        <w:rPr>
          <w:bCs/>
          <w:szCs w:val="28"/>
        </w:rPr>
        <w:t xml:space="preserve">exto </w:t>
      </w:r>
      <w:r w:rsidR="006E6410" w:rsidRPr="0099764A">
        <w:rPr>
          <w:bCs/>
          <w:szCs w:val="28"/>
        </w:rPr>
        <w:t>s</w:t>
      </w:r>
      <w:r w:rsidR="00147022" w:rsidRPr="0099764A">
        <w:rPr>
          <w:bCs/>
          <w:szCs w:val="28"/>
        </w:rPr>
        <w:t xml:space="preserve">uperior. </w:t>
      </w:r>
    </w:p>
    <w:p w14:paraId="640A8C6E" w14:textId="77777777" w:rsidR="00B13BC1" w:rsidRPr="0099764A" w:rsidRDefault="00B13BC1" w:rsidP="00B13BC1">
      <w:pPr>
        <w:pStyle w:val="Prrafodelista"/>
        <w:ind w:left="0"/>
        <w:jc w:val="both"/>
        <w:rPr>
          <w:bCs/>
          <w:szCs w:val="28"/>
        </w:rPr>
      </w:pPr>
    </w:p>
    <w:p w14:paraId="03BA4642" w14:textId="77777777" w:rsidR="00B13BC1" w:rsidRPr="002E4477" w:rsidRDefault="00B13BC1" w:rsidP="00B13BC1">
      <w:pPr>
        <w:pStyle w:val="Prrafodelista"/>
        <w:ind w:left="0"/>
        <w:contextualSpacing/>
        <w:jc w:val="both"/>
        <w:rPr>
          <w:bCs/>
          <w:szCs w:val="28"/>
        </w:rPr>
      </w:pPr>
      <w:r w:rsidRPr="0099764A">
        <w:rPr>
          <w:b/>
          <w:bCs/>
          <w:szCs w:val="28"/>
        </w:rPr>
        <w:t>(ix)</w:t>
      </w:r>
      <w:r w:rsidR="006E6410" w:rsidRPr="0099764A">
        <w:rPr>
          <w:bCs/>
          <w:szCs w:val="28"/>
        </w:rPr>
        <w:t xml:space="preserve"> F</w:t>
      </w:r>
      <w:r w:rsidR="00147022" w:rsidRPr="0099764A">
        <w:rPr>
          <w:bCs/>
          <w:szCs w:val="28"/>
        </w:rPr>
        <w:t>inalmente</w:t>
      </w:r>
      <w:r w:rsidRPr="0099764A">
        <w:rPr>
          <w:bCs/>
          <w:szCs w:val="28"/>
        </w:rPr>
        <w:t xml:space="preserve"> conviene resaltar que </w:t>
      </w:r>
      <w:r w:rsidR="00BC0420" w:rsidRPr="0099764A">
        <w:rPr>
          <w:bCs/>
          <w:szCs w:val="28"/>
        </w:rPr>
        <w:t>este Tribunal</w:t>
      </w:r>
      <w:r w:rsidRPr="0099764A">
        <w:rPr>
          <w:bCs/>
          <w:szCs w:val="28"/>
        </w:rPr>
        <w:t xml:space="preserve">, a partir de la </w:t>
      </w:r>
      <w:r w:rsidRPr="0099764A">
        <w:rPr>
          <w:b/>
          <w:szCs w:val="28"/>
        </w:rPr>
        <w:t>Sentencia C-049 de 2012</w:t>
      </w:r>
      <w:r w:rsidRPr="0099764A">
        <w:rPr>
          <w:bCs/>
          <w:position w:val="6"/>
          <w:sz w:val="20"/>
          <w:vertAlign w:val="superscript"/>
        </w:rPr>
        <w:footnoteReference w:id="188"/>
      </w:r>
      <w:r w:rsidRPr="0099764A">
        <w:rPr>
          <w:bCs/>
          <w:szCs w:val="28"/>
        </w:rPr>
        <w:t>,</w:t>
      </w:r>
      <w:r w:rsidR="00131183" w:rsidRPr="0099764A">
        <w:rPr>
          <w:b/>
          <w:szCs w:val="28"/>
        </w:rPr>
        <w:t xml:space="preserve"> </w:t>
      </w:r>
      <w:r w:rsidR="00131183" w:rsidRPr="0099764A">
        <w:rPr>
          <w:bCs/>
          <w:szCs w:val="28"/>
        </w:rPr>
        <w:t>d</w:t>
      </w:r>
      <w:r w:rsidRPr="0099764A">
        <w:rPr>
          <w:bCs/>
          <w:szCs w:val="28"/>
        </w:rPr>
        <w:t>esarroll</w:t>
      </w:r>
      <w:r w:rsidR="00131183" w:rsidRPr="0099764A">
        <w:rPr>
          <w:bCs/>
          <w:szCs w:val="28"/>
        </w:rPr>
        <w:t>ó</w:t>
      </w:r>
      <w:r w:rsidRPr="0099764A">
        <w:rPr>
          <w:bCs/>
          <w:szCs w:val="28"/>
        </w:rPr>
        <w:t xml:space="preserve"> la tesis de las denominadas </w:t>
      </w:r>
      <w:r w:rsidRPr="0099764A">
        <w:rPr>
          <w:b/>
          <w:szCs w:val="28"/>
        </w:rPr>
        <w:t>competencias especiales o “atípicas”</w:t>
      </w:r>
      <w:r w:rsidR="00BB511B" w:rsidRPr="0099764A">
        <w:rPr>
          <w:rStyle w:val="Refdenotaalpie"/>
          <w:bCs/>
          <w:szCs w:val="28"/>
        </w:rPr>
        <w:footnoteReference w:id="189"/>
      </w:r>
      <w:r w:rsidR="00147022" w:rsidRPr="0099764A">
        <w:rPr>
          <w:bCs/>
          <w:szCs w:val="28"/>
        </w:rPr>
        <w:t xml:space="preserve">. Una categoría que </w:t>
      </w:r>
      <w:r w:rsidRPr="0099764A">
        <w:rPr>
          <w:bCs/>
          <w:szCs w:val="28"/>
        </w:rPr>
        <w:t>se refiere a normas que, a pesar de no estar comprendidas</w:t>
      </w:r>
      <w:r w:rsidR="00BB511B" w:rsidRPr="0099764A">
        <w:rPr>
          <w:bCs/>
          <w:szCs w:val="28"/>
        </w:rPr>
        <w:t xml:space="preserve"> </w:t>
      </w:r>
      <w:r w:rsidRPr="0099764A">
        <w:rPr>
          <w:bCs/>
          <w:szCs w:val="28"/>
        </w:rPr>
        <w:t>en principio</w:t>
      </w:r>
      <w:r w:rsidR="00131183" w:rsidRPr="0099764A">
        <w:rPr>
          <w:bCs/>
          <w:szCs w:val="28"/>
        </w:rPr>
        <w:t xml:space="preserve"> </w:t>
      </w:r>
      <w:r w:rsidRPr="0099764A">
        <w:rPr>
          <w:bCs/>
          <w:szCs w:val="28"/>
        </w:rPr>
        <w:t>en el listado contenido en el artículo 241 superior</w:t>
      </w:r>
      <w:r w:rsidR="00BB511B" w:rsidRPr="0099764A">
        <w:rPr>
          <w:bCs/>
          <w:szCs w:val="28"/>
        </w:rPr>
        <w:t>,</w:t>
      </w:r>
      <w:r w:rsidRPr="0099764A">
        <w:rPr>
          <w:bCs/>
          <w:szCs w:val="28"/>
        </w:rPr>
        <w:t xml:space="preserve"> </w:t>
      </w:r>
      <w:r w:rsidR="006E6410" w:rsidRPr="0099764A">
        <w:rPr>
          <w:bCs/>
          <w:szCs w:val="28"/>
        </w:rPr>
        <w:t xml:space="preserve">en razón </w:t>
      </w:r>
      <w:r w:rsidR="00131183" w:rsidRPr="0099764A">
        <w:rPr>
          <w:bCs/>
          <w:szCs w:val="28"/>
        </w:rPr>
        <w:t>al</w:t>
      </w:r>
      <w:r w:rsidR="006E6410" w:rsidRPr="0099764A">
        <w:rPr>
          <w:bCs/>
          <w:szCs w:val="28"/>
        </w:rPr>
        <w:t xml:space="preserve"> criterio material, </w:t>
      </w:r>
      <w:r w:rsidRPr="0099764A">
        <w:rPr>
          <w:bCs/>
          <w:szCs w:val="28"/>
        </w:rPr>
        <w:t>s</w:t>
      </w:r>
      <w:r w:rsidR="00131183" w:rsidRPr="0099764A">
        <w:rPr>
          <w:bCs/>
          <w:szCs w:val="28"/>
        </w:rPr>
        <w:t>on asuntos cuyo</w:t>
      </w:r>
      <w:r w:rsidRPr="0099764A">
        <w:rPr>
          <w:bCs/>
          <w:szCs w:val="28"/>
        </w:rPr>
        <w:t xml:space="preserve"> conocimiento corresponde a la Corte Constitucional. </w:t>
      </w:r>
      <w:r w:rsidR="00131183" w:rsidRPr="0099764A">
        <w:rPr>
          <w:bCs/>
          <w:szCs w:val="28"/>
        </w:rPr>
        <w:t>S</w:t>
      </w:r>
      <w:r w:rsidR="004C7D7E" w:rsidRPr="0099764A">
        <w:rPr>
          <w:bCs/>
          <w:szCs w:val="28"/>
        </w:rPr>
        <w:t xml:space="preserve">e trata de un </w:t>
      </w:r>
      <w:r w:rsidR="00ED1DF5" w:rsidRPr="0099764A">
        <w:rPr>
          <w:bCs/>
          <w:szCs w:val="28"/>
        </w:rPr>
        <w:t>tipo de normas</w:t>
      </w:r>
      <w:r w:rsidR="003345C2" w:rsidRPr="0099764A">
        <w:rPr>
          <w:bCs/>
          <w:szCs w:val="28"/>
        </w:rPr>
        <w:t xml:space="preserve">, </w:t>
      </w:r>
      <w:r w:rsidR="004C7D7E" w:rsidRPr="0099764A">
        <w:rPr>
          <w:bCs/>
          <w:szCs w:val="28"/>
        </w:rPr>
        <w:t xml:space="preserve">sobre las que </w:t>
      </w:r>
      <w:r w:rsidR="00ED1DF5" w:rsidRPr="0099764A">
        <w:rPr>
          <w:bCs/>
          <w:szCs w:val="28"/>
        </w:rPr>
        <w:t xml:space="preserve">ha habido varios pronunciamientos constitucionales </w:t>
      </w:r>
      <w:r w:rsidR="006E6410" w:rsidRPr="0099764A">
        <w:rPr>
          <w:bCs/>
          <w:szCs w:val="28"/>
        </w:rPr>
        <w:t>en los últimos años</w:t>
      </w:r>
      <w:r w:rsidR="00147022" w:rsidRPr="0099764A">
        <w:rPr>
          <w:rFonts w:eastAsia="Calibri"/>
          <w:bCs/>
          <w:szCs w:val="28"/>
          <w:bdr w:val="none" w:sz="0" w:space="0" w:color="auto" w:frame="1"/>
          <w:vertAlign w:val="superscript"/>
        </w:rPr>
        <w:footnoteReference w:id="190"/>
      </w:r>
      <w:r w:rsidR="00ED1DF5" w:rsidRPr="0099764A">
        <w:rPr>
          <w:bCs/>
          <w:szCs w:val="28"/>
        </w:rPr>
        <w:t>.</w:t>
      </w:r>
      <w:r w:rsidR="00ED1DF5" w:rsidRPr="002E4477">
        <w:rPr>
          <w:bCs/>
          <w:szCs w:val="28"/>
        </w:rPr>
        <w:t xml:space="preserve"> </w:t>
      </w:r>
    </w:p>
    <w:p w14:paraId="1C2613D7" w14:textId="77777777" w:rsidR="00B13BC1" w:rsidRPr="002E4477" w:rsidRDefault="00B13BC1" w:rsidP="00B13BC1">
      <w:pPr>
        <w:shd w:val="clear" w:color="auto" w:fill="FFFFFF"/>
        <w:jc w:val="both"/>
        <w:rPr>
          <w:szCs w:val="28"/>
          <w:lang w:val="es-CO" w:eastAsia="es-CO"/>
        </w:rPr>
      </w:pPr>
    </w:p>
    <w:p w14:paraId="7BD3EBFB" w14:textId="77777777" w:rsidR="00240438" w:rsidRPr="002E4477" w:rsidRDefault="004C7D7E" w:rsidP="00C31AB0">
      <w:pPr>
        <w:numPr>
          <w:ilvl w:val="0"/>
          <w:numId w:val="10"/>
        </w:numPr>
        <w:shd w:val="clear" w:color="auto" w:fill="FFFFFF"/>
        <w:jc w:val="both"/>
        <w:rPr>
          <w:szCs w:val="28"/>
          <w:lang w:val="es-CO" w:eastAsia="es-CO"/>
        </w:rPr>
      </w:pPr>
      <w:r w:rsidRPr="002E4477">
        <w:rPr>
          <w:szCs w:val="28"/>
          <w:lang w:val="es-CO" w:eastAsia="es-CO"/>
        </w:rPr>
        <w:t>Ahora bien, e</w:t>
      </w:r>
      <w:r w:rsidR="00147022" w:rsidRPr="002E4477">
        <w:rPr>
          <w:szCs w:val="28"/>
          <w:lang w:val="es-CO" w:eastAsia="es-CO"/>
        </w:rPr>
        <w:t xml:space="preserve">l </w:t>
      </w:r>
      <w:r w:rsidR="00147022" w:rsidRPr="0099764A">
        <w:rPr>
          <w:szCs w:val="28"/>
          <w:lang w:val="es-CO" w:eastAsia="es-CO"/>
        </w:rPr>
        <w:t xml:space="preserve">anterior </w:t>
      </w:r>
      <w:r w:rsidR="000107B0" w:rsidRPr="0099764A">
        <w:rPr>
          <w:szCs w:val="28"/>
          <w:lang w:val="es-CO" w:eastAsia="es-CO"/>
        </w:rPr>
        <w:t>recuento jurisprudencial</w:t>
      </w:r>
      <w:r w:rsidR="00240438" w:rsidRPr="0099764A">
        <w:rPr>
          <w:szCs w:val="28"/>
          <w:lang w:val="es-CO" w:eastAsia="es-CO"/>
        </w:rPr>
        <w:t xml:space="preserve"> permite concluir</w:t>
      </w:r>
      <w:r w:rsidR="00ED1DF5" w:rsidRPr="0099764A">
        <w:rPr>
          <w:szCs w:val="28"/>
          <w:lang w:val="es-CO" w:eastAsia="es-CO"/>
        </w:rPr>
        <w:t xml:space="preserve"> </w:t>
      </w:r>
      <w:r w:rsidR="00240438" w:rsidRPr="0099764A">
        <w:rPr>
          <w:szCs w:val="28"/>
          <w:lang w:val="es-CO" w:eastAsia="es-CO"/>
        </w:rPr>
        <w:t xml:space="preserve">que existen diferencias importantes entre el control de constitucionalidad que realiza la Corte Constitucional y </w:t>
      </w:r>
      <w:r w:rsidR="002D4151" w:rsidRPr="0099764A">
        <w:rPr>
          <w:szCs w:val="28"/>
          <w:lang w:val="es-CO" w:eastAsia="es-CO"/>
        </w:rPr>
        <w:t xml:space="preserve">el </w:t>
      </w:r>
      <w:r w:rsidR="0026061D" w:rsidRPr="0099764A">
        <w:rPr>
          <w:szCs w:val="28"/>
          <w:lang w:val="es-CO" w:eastAsia="es-CO"/>
        </w:rPr>
        <w:t xml:space="preserve">del </w:t>
      </w:r>
      <w:r w:rsidR="002D4151" w:rsidRPr="0099764A">
        <w:rPr>
          <w:szCs w:val="28"/>
          <w:lang w:val="es-CO" w:eastAsia="es-CO"/>
        </w:rPr>
        <w:t>Consejo de Estado. E</w:t>
      </w:r>
      <w:r w:rsidR="00ED1DF5" w:rsidRPr="0099764A">
        <w:rPr>
          <w:szCs w:val="28"/>
          <w:lang w:val="es-CO" w:eastAsia="es-CO"/>
        </w:rPr>
        <w:t>ntre otras</w:t>
      </w:r>
      <w:r w:rsidR="003345C2" w:rsidRPr="0099764A">
        <w:rPr>
          <w:szCs w:val="28"/>
          <w:lang w:val="es-CO" w:eastAsia="es-CO"/>
        </w:rPr>
        <w:t>,</w:t>
      </w:r>
      <w:r w:rsidR="00ED1DF5" w:rsidRPr="0099764A">
        <w:rPr>
          <w:szCs w:val="28"/>
          <w:lang w:val="es-CO" w:eastAsia="es-CO"/>
        </w:rPr>
        <w:t xml:space="preserve"> </w:t>
      </w:r>
      <w:r w:rsidR="00ED1DF5" w:rsidRPr="0099764A">
        <w:rPr>
          <w:b/>
          <w:szCs w:val="28"/>
          <w:lang w:val="es-CO" w:eastAsia="es-CO"/>
        </w:rPr>
        <w:t>(i)</w:t>
      </w:r>
      <w:r w:rsidR="00ED1DF5" w:rsidRPr="0099764A">
        <w:rPr>
          <w:szCs w:val="28"/>
          <w:lang w:val="es-CO" w:eastAsia="es-CO"/>
        </w:rPr>
        <w:t xml:space="preserve"> </w:t>
      </w:r>
      <w:r w:rsidR="00240438" w:rsidRPr="0099764A">
        <w:rPr>
          <w:szCs w:val="28"/>
          <w:lang w:val="es-CO" w:eastAsia="es-CO"/>
        </w:rPr>
        <w:t>la especialidad</w:t>
      </w:r>
      <w:r w:rsidR="004E57C9" w:rsidRPr="0099764A">
        <w:rPr>
          <w:szCs w:val="28"/>
          <w:lang w:val="es-CO" w:eastAsia="es-CO"/>
        </w:rPr>
        <w:t xml:space="preserve"> y especificidad</w:t>
      </w:r>
      <w:r w:rsidR="00240438" w:rsidRPr="0099764A">
        <w:rPr>
          <w:szCs w:val="28"/>
          <w:lang w:val="es-CO" w:eastAsia="es-CO"/>
        </w:rPr>
        <w:t xml:space="preserve"> del control d</w:t>
      </w:r>
      <w:r w:rsidR="00ED1DF5" w:rsidRPr="0099764A">
        <w:rPr>
          <w:szCs w:val="28"/>
          <w:lang w:val="es-CO" w:eastAsia="es-CO"/>
        </w:rPr>
        <w:t>e</w:t>
      </w:r>
      <w:r w:rsidR="003345C2" w:rsidRPr="0099764A">
        <w:rPr>
          <w:szCs w:val="28"/>
          <w:lang w:val="es-CO" w:eastAsia="es-CO"/>
        </w:rPr>
        <w:t>l Tribunal constitucional</w:t>
      </w:r>
      <w:r w:rsidR="00ED1DF5" w:rsidRPr="0099764A">
        <w:rPr>
          <w:szCs w:val="28"/>
          <w:lang w:val="es-CO" w:eastAsia="es-CO"/>
        </w:rPr>
        <w:t xml:space="preserve">; </w:t>
      </w:r>
      <w:r w:rsidR="00ED1DF5" w:rsidRPr="0099764A">
        <w:rPr>
          <w:b/>
          <w:szCs w:val="28"/>
          <w:lang w:val="es-CO" w:eastAsia="es-CO"/>
        </w:rPr>
        <w:t>(ii)</w:t>
      </w:r>
      <w:r w:rsidR="004E57C9" w:rsidRPr="0099764A">
        <w:rPr>
          <w:szCs w:val="28"/>
          <w:lang w:val="es-CO" w:eastAsia="es-CO"/>
        </w:rPr>
        <w:t xml:space="preserve"> </w:t>
      </w:r>
      <w:r w:rsidR="00ED1DF5" w:rsidRPr="0099764A">
        <w:rPr>
          <w:szCs w:val="28"/>
          <w:lang w:val="es-CO" w:eastAsia="es-CO"/>
        </w:rPr>
        <w:t xml:space="preserve">la </w:t>
      </w:r>
      <w:r w:rsidR="00B379FD" w:rsidRPr="0099764A">
        <w:rPr>
          <w:szCs w:val="28"/>
          <w:lang w:val="es-CO" w:eastAsia="es-CO"/>
        </w:rPr>
        <w:t xml:space="preserve">importancia del reconocimiento </w:t>
      </w:r>
      <w:r w:rsidR="00984289" w:rsidRPr="0099764A">
        <w:rPr>
          <w:szCs w:val="28"/>
          <w:lang w:val="es-CO" w:eastAsia="es-CO"/>
        </w:rPr>
        <w:t>de</w:t>
      </w:r>
      <w:r w:rsidR="00B379FD" w:rsidRPr="0099764A">
        <w:rPr>
          <w:szCs w:val="28"/>
          <w:lang w:val="es-CO" w:eastAsia="es-CO"/>
        </w:rPr>
        <w:t>l valor de la</w:t>
      </w:r>
      <w:r w:rsidR="00ED1DF5" w:rsidRPr="0099764A">
        <w:rPr>
          <w:szCs w:val="28"/>
          <w:lang w:val="es-CO" w:eastAsia="es-CO"/>
        </w:rPr>
        <w:t xml:space="preserve"> interpretación normativa </w:t>
      </w:r>
      <w:r w:rsidR="00B379FD" w:rsidRPr="0099764A">
        <w:rPr>
          <w:szCs w:val="28"/>
          <w:lang w:val="es-CO" w:eastAsia="es-CO"/>
        </w:rPr>
        <w:t xml:space="preserve">que realiza </w:t>
      </w:r>
      <w:r w:rsidR="00ED1DF5" w:rsidRPr="0099764A">
        <w:rPr>
          <w:szCs w:val="28"/>
          <w:lang w:val="es-CO" w:eastAsia="es-CO"/>
        </w:rPr>
        <w:t>la Corte como órgano de cierre de la jurisdicción</w:t>
      </w:r>
      <w:r w:rsidR="002D4151" w:rsidRPr="0099764A">
        <w:rPr>
          <w:szCs w:val="28"/>
          <w:lang w:val="es-CO" w:eastAsia="es-CO"/>
        </w:rPr>
        <w:t xml:space="preserve"> constitucional</w:t>
      </w:r>
      <w:r w:rsidR="00ED1DF5" w:rsidRPr="0099764A">
        <w:rPr>
          <w:szCs w:val="28"/>
          <w:lang w:val="es-CO" w:eastAsia="es-CO"/>
        </w:rPr>
        <w:t xml:space="preserve">; </w:t>
      </w:r>
      <w:r w:rsidR="00ED1DF5" w:rsidRPr="0099764A">
        <w:rPr>
          <w:b/>
          <w:szCs w:val="28"/>
          <w:lang w:val="es-CO" w:eastAsia="es-CO"/>
        </w:rPr>
        <w:t>(iii)</w:t>
      </w:r>
      <w:r w:rsidR="00ED1DF5" w:rsidRPr="0099764A">
        <w:rPr>
          <w:szCs w:val="28"/>
          <w:lang w:val="es-CO" w:eastAsia="es-CO"/>
        </w:rPr>
        <w:t xml:space="preserve"> </w:t>
      </w:r>
      <w:r w:rsidR="00240438" w:rsidRPr="0099764A">
        <w:rPr>
          <w:szCs w:val="28"/>
          <w:lang w:val="es-CO" w:eastAsia="es-CO"/>
        </w:rPr>
        <w:t xml:space="preserve">la fuerza vinculante de </w:t>
      </w:r>
      <w:r w:rsidR="004E57C9" w:rsidRPr="0099764A">
        <w:rPr>
          <w:szCs w:val="28"/>
          <w:lang w:val="es-CO" w:eastAsia="es-CO"/>
        </w:rPr>
        <w:t xml:space="preserve">las </w:t>
      </w:r>
      <w:r w:rsidR="00240438" w:rsidRPr="0099764A">
        <w:rPr>
          <w:szCs w:val="28"/>
          <w:lang w:val="es-CO" w:eastAsia="es-CO"/>
        </w:rPr>
        <w:t>decisiones</w:t>
      </w:r>
      <w:r w:rsidR="004E57C9" w:rsidRPr="0099764A">
        <w:rPr>
          <w:szCs w:val="28"/>
          <w:lang w:val="es-CO" w:eastAsia="es-CO"/>
        </w:rPr>
        <w:t xml:space="preserve"> de control abstracto de constitucionalidad</w:t>
      </w:r>
      <w:r w:rsidR="00240438" w:rsidRPr="0099764A">
        <w:rPr>
          <w:szCs w:val="28"/>
          <w:lang w:val="es-CO" w:eastAsia="es-CO"/>
        </w:rPr>
        <w:t xml:space="preserve"> </w:t>
      </w:r>
      <w:r w:rsidR="002D4151" w:rsidRPr="0099764A">
        <w:rPr>
          <w:szCs w:val="28"/>
          <w:lang w:val="es-CO" w:eastAsia="es-CO"/>
        </w:rPr>
        <w:t xml:space="preserve">de la Corte Constitucional </w:t>
      </w:r>
      <w:r w:rsidR="004C60D8" w:rsidRPr="0099764A">
        <w:rPr>
          <w:szCs w:val="28"/>
          <w:lang w:val="es-CO" w:eastAsia="es-CO"/>
        </w:rPr>
        <w:t xml:space="preserve">, por ser las únicas </w:t>
      </w:r>
      <w:r w:rsidR="00240438" w:rsidRPr="0099764A">
        <w:rPr>
          <w:szCs w:val="28"/>
          <w:lang w:val="es-CO" w:eastAsia="es-CO"/>
        </w:rPr>
        <w:t xml:space="preserve">amparadas bajo el fenómeno de la </w:t>
      </w:r>
      <w:r w:rsidR="00240438" w:rsidRPr="0099764A">
        <w:rPr>
          <w:i/>
          <w:iCs/>
          <w:szCs w:val="28"/>
          <w:lang w:val="es-CO" w:eastAsia="es-CO"/>
        </w:rPr>
        <w:t>cosa juzgada constitucional</w:t>
      </w:r>
      <w:r w:rsidR="002D4151" w:rsidRPr="0099764A">
        <w:rPr>
          <w:szCs w:val="28"/>
          <w:lang w:val="es-CO" w:eastAsia="es-CO"/>
        </w:rPr>
        <w:t>;</w:t>
      </w:r>
      <w:r w:rsidR="004E57C9" w:rsidRPr="0099764A">
        <w:rPr>
          <w:szCs w:val="28"/>
          <w:lang w:val="es-CO" w:eastAsia="es-CO"/>
        </w:rPr>
        <w:t xml:space="preserve"> </w:t>
      </w:r>
      <w:r w:rsidR="00B379FD" w:rsidRPr="0099764A">
        <w:rPr>
          <w:szCs w:val="28"/>
          <w:lang w:val="es-CO" w:eastAsia="es-CO"/>
        </w:rPr>
        <w:t xml:space="preserve">y </w:t>
      </w:r>
      <w:r w:rsidR="00ED1DF5" w:rsidRPr="0099764A">
        <w:rPr>
          <w:b/>
          <w:szCs w:val="28"/>
          <w:lang w:val="es-CO" w:eastAsia="es-CO"/>
        </w:rPr>
        <w:t>(iv)</w:t>
      </w:r>
      <w:r w:rsidR="00ED1DF5" w:rsidRPr="0099764A">
        <w:rPr>
          <w:szCs w:val="28"/>
          <w:lang w:val="es-CO" w:eastAsia="es-CO"/>
        </w:rPr>
        <w:t xml:space="preserve"> </w:t>
      </w:r>
      <w:r w:rsidR="004E57C9" w:rsidRPr="0099764A">
        <w:rPr>
          <w:szCs w:val="28"/>
          <w:lang w:val="es-CO" w:eastAsia="es-CO"/>
        </w:rPr>
        <w:t>la</w:t>
      </w:r>
      <w:r w:rsidR="00ED1DF5" w:rsidRPr="0099764A">
        <w:rPr>
          <w:szCs w:val="28"/>
          <w:lang w:val="es-CO" w:eastAsia="es-CO"/>
        </w:rPr>
        <w:t xml:space="preserve"> importancia de la</w:t>
      </w:r>
      <w:r w:rsidR="004E57C9" w:rsidRPr="0099764A">
        <w:rPr>
          <w:szCs w:val="28"/>
          <w:lang w:val="es-CO" w:eastAsia="es-CO"/>
        </w:rPr>
        <w:t xml:space="preserve"> responsabilidad que le compete a esta Corporación en su calidad de guardiana de la Cart</w:t>
      </w:r>
      <w:r w:rsidR="00B379FD" w:rsidRPr="0099764A">
        <w:rPr>
          <w:szCs w:val="28"/>
          <w:lang w:val="es-CO" w:eastAsia="es-CO"/>
        </w:rPr>
        <w:t>a;</w:t>
      </w:r>
      <w:r w:rsidR="00073CBD" w:rsidRPr="0099764A">
        <w:rPr>
          <w:szCs w:val="28"/>
          <w:lang w:val="es-CO" w:eastAsia="es-CO"/>
        </w:rPr>
        <w:t xml:space="preserve"> </w:t>
      </w:r>
      <w:r w:rsidR="00B379FD" w:rsidRPr="0099764A">
        <w:rPr>
          <w:szCs w:val="28"/>
          <w:lang w:val="es-CO" w:eastAsia="es-CO"/>
        </w:rPr>
        <w:t xml:space="preserve">aspectos de los que </w:t>
      </w:r>
      <w:r w:rsidRPr="0099764A">
        <w:rPr>
          <w:szCs w:val="28"/>
          <w:lang w:val="es-CO" w:eastAsia="es-CO"/>
        </w:rPr>
        <w:t>la Sala se ocupará</w:t>
      </w:r>
      <w:r w:rsidR="00240438" w:rsidRPr="0099764A">
        <w:rPr>
          <w:szCs w:val="28"/>
          <w:lang w:val="es-CO" w:eastAsia="es-CO"/>
        </w:rPr>
        <w:t xml:space="preserve"> a continuación</w:t>
      </w:r>
      <w:r w:rsidR="00240438" w:rsidRPr="002E4477">
        <w:rPr>
          <w:szCs w:val="28"/>
          <w:lang w:val="es-CO" w:eastAsia="es-CO"/>
        </w:rPr>
        <w:t>.</w:t>
      </w:r>
    </w:p>
    <w:p w14:paraId="0C10E3F6" w14:textId="77777777" w:rsidR="00A4529D" w:rsidRPr="00A50C5C" w:rsidRDefault="00A4529D" w:rsidP="00EC0A8F">
      <w:pPr>
        <w:shd w:val="clear" w:color="auto" w:fill="FFFFFF"/>
        <w:spacing w:line="276" w:lineRule="auto"/>
        <w:jc w:val="both"/>
        <w:rPr>
          <w:szCs w:val="28"/>
          <w:highlight w:val="lightGray"/>
          <w:lang w:val="es-CO" w:eastAsia="es-CO"/>
        </w:rPr>
      </w:pPr>
    </w:p>
    <w:p w14:paraId="7F061DDE" w14:textId="77777777" w:rsidR="00D77513" w:rsidRPr="006E0D7F" w:rsidRDefault="00D77513" w:rsidP="00240438">
      <w:pPr>
        <w:shd w:val="clear" w:color="auto" w:fill="FFFFFF"/>
        <w:jc w:val="both"/>
        <w:rPr>
          <w:b/>
          <w:bCs/>
          <w:i/>
          <w:iCs/>
          <w:szCs w:val="28"/>
          <w:lang w:val="es-CO" w:eastAsia="es-CO"/>
        </w:rPr>
      </w:pPr>
      <w:r w:rsidRPr="00D8011B">
        <w:rPr>
          <w:b/>
          <w:bCs/>
          <w:i/>
          <w:iCs/>
          <w:szCs w:val="28"/>
          <w:lang w:val="es-CO" w:eastAsia="es-CO"/>
        </w:rPr>
        <w:t>La cosa juzgada constitucional</w:t>
      </w:r>
      <w:r w:rsidR="00815FBD" w:rsidRPr="00D8011B">
        <w:rPr>
          <w:b/>
          <w:bCs/>
          <w:i/>
          <w:iCs/>
          <w:szCs w:val="28"/>
          <w:lang w:val="es-CO" w:eastAsia="es-CO"/>
        </w:rPr>
        <w:t>,</w:t>
      </w:r>
      <w:r w:rsidR="00BC7498" w:rsidRPr="00D8011B">
        <w:rPr>
          <w:b/>
          <w:bCs/>
          <w:i/>
          <w:iCs/>
          <w:szCs w:val="28"/>
          <w:lang w:val="es-CO" w:eastAsia="es-CO"/>
        </w:rPr>
        <w:t xml:space="preserve"> </w:t>
      </w:r>
      <w:r w:rsidR="006E0D7F" w:rsidRPr="00D8011B">
        <w:rPr>
          <w:b/>
          <w:bCs/>
          <w:i/>
          <w:iCs/>
          <w:szCs w:val="28"/>
          <w:lang w:val="es-CO" w:eastAsia="es-CO"/>
        </w:rPr>
        <w:t xml:space="preserve">la </w:t>
      </w:r>
      <w:r w:rsidR="006E0D7F" w:rsidRPr="00D8011B">
        <w:rPr>
          <w:b/>
          <w:i/>
          <w:iCs/>
          <w:szCs w:val="28"/>
          <w:lang w:val="es-CO" w:eastAsia="es-CO"/>
        </w:rPr>
        <w:t>modulación de sentencias y el valor vinculante de las providencias de constitucionalidad de esta Co</w:t>
      </w:r>
      <w:r w:rsidR="00DF4C59" w:rsidRPr="00D8011B">
        <w:rPr>
          <w:b/>
          <w:i/>
          <w:iCs/>
          <w:szCs w:val="28"/>
          <w:lang w:val="es-CO" w:eastAsia="es-CO"/>
        </w:rPr>
        <w:t>rporación</w:t>
      </w:r>
      <w:r w:rsidR="00815FBD" w:rsidRPr="006E0D7F">
        <w:rPr>
          <w:b/>
          <w:bCs/>
          <w:i/>
          <w:iCs/>
          <w:szCs w:val="28"/>
          <w:lang w:val="es-CO" w:eastAsia="es-CO"/>
        </w:rPr>
        <w:t xml:space="preserve"> </w:t>
      </w:r>
    </w:p>
    <w:p w14:paraId="28B4D51F" w14:textId="77777777" w:rsidR="00E161C6" w:rsidRPr="006125E5" w:rsidRDefault="00E161C6" w:rsidP="00EC0A8F">
      <w:pPr>
        <w:shd w:val="clear" w:color="auto" w:fill="FFFFFF"/>
        <w:spacing w:line="276" w:lineRule="auto"/>
        <w:jc w:val="both"/>
        <w:rPr>
          <w:szCs w:val="28"/>
          <w:lang w:val="es-CO" w:eastAsia="es-CO"/>
        </w:rPr>
      </w:pPr>
    </w:p>
    <w:p w14:paraId="3C60C953" w14:textId="77777777" w:rsidR="008D3DB8" w:rsidRPr="006125E5" w:rsidRDefault="008D3DB8" w:rsidP="008D3DB8">
      <w:pPr>
        <w:numPr>
          <w:ilvl w:val="0"/>
          <w:numId w:val="10"/>
        </w:numPr>
        <w:autoSpaceDE w:val="0"/>
        <w:autoSpaceDN w:val="0"/>
        <w:contextualSpacing/>
        <w:jc w:val="both"/>
        <w:rPr>
          <w:szCs w:val="28"/>
          <w:lang w:val="es-ES_tradnl"/>
        </w:rPr>
      </w:pPr>
      <w:bookmarkStart w:id="19" w:name="_Hlk50218660"/>
      <w:r w:rsidRPr="006125E5">
        <w:rPr>
          <w:szCs w:val="28"/>
          <w:lang w:val="es-ES_tradnl"/>
        </w:rPr>
        <w:t>Con el propósito de garantizar la seguridad jurídica</w:t>
      </w:r>
      <w:r w:rsidRPr="006125E5">
        <w:rPr>
          <w:szCs w:val="28"/>
          <w:vertAlign w:val="superscript"/>
          <w:lang w:val="es-ES_tradnl"/>
        </w:rPr>
        <w:footnoteReference w:id="191"/>
      </w:r>
      <w:r w:rsidRPr="006125E5">
        <w:rPr>
          <w:szCs w:val="28"/>
          <w:lang w:val="es-ES_tradnl"/>
        </w:rPr>
        <w:t xml:space="preserve">, </w:t>
      </w:r>
      <w:r w:rsidRPr="006125E5">
        <w:rPr>
          <w:rFonts w:eastAsia="Calibri"/>
          <w:szCs w:val="28"/>
          <w:lang w:val="es-ES_tradnl"/>
        </w:rPr>
        <w:t xml:space="preserve">asegurar </w:t>
      </w:r>
      <w:r w:rsidRPr="006125E5">
        <w:rPr>
          <w:szCs w:val="28"/>
          <w:lang w:val="es-CO" w:eastAsia="es-CO"/>
        </w:rPr>
        <w:t>la fortaleza y estabilidad de las decisiones constitucionales</w:t>
      </w:r>
      <w:r w:rsidRPr="006125E5">
        <w:rPr>
          <w:szCs w:val="28"/>
        </w:rPr>
        <w:t xml:space="preserve"> y materializar la prevalencia de la Carta Política (artículo 4º)</w:t>
      </w:r>
      <w:r w:rsidRPr="006125E5">
        <w:rPr>
          <w:szCs w:val="28"/>
          <w:lang w:val="es-CO" w:eastAsia="es-CO"/>
        </w:rPr>
        <w:t xml:space="preserve">, </w:t>
      </w:r>
      <w:r w:rsidRPr="006125E5">
        <w:rPr>
          <w:szCs w:val="28"/>
          <w:lang w:val="es-ES_tradnl"/>
        </w:rPr>
        <w:t>los fallos proferidos por esta Corporación</w:t>
      </w:r>
      <w:r w:rsidR="00D8011B" w:rsidRPr="006125E5">
        <w:rPr>
          <w:szCs w:val="28"/>
          <w:lang w:val="es-ES_tradnl"/>
        </w:rPr>
        <w:t>,</w:t>
      </w:r>
      <w:r w:rsidRPr="006125E5">
        <w:rPr>
          <w:szCs w:val="28"/>
          <w:lang w:val="es-ES_tradnl"/>
        </w:rPr>
        <w:t xml:space="preserve"> </w:t>
      </w:r>
      <w:r w:rsidRPr="006125E5">
        <w:rPr>
          <w:szCs w:val="28"/>
          <w:lang w:val="es-CO" w:eastAsia="es-CO"/>
        </w:rPr>
        <w:t>de conformidad con los lineamientos de</w:t>
      </w:r>
      <w:r w:rsidRPr="006125E5">
        <w:rPr>
          <w:szCs w:val="28"/>
          <w:lang w:val="es-ES_tradnl"/>
        </w:rPr>
        <w:t>l artículo 243 superior</w:t>
      </w:r>
      <w:r w:rsidRPr="006125E5">
        <w:rPr>
          <w:rStyle w:val="Refdenotaalpie"/>
          <w:szCs w:val="28"/>
          <w:lang w:val="es-ES_tradnl"/>
        </w:rPr>
        <w:footnoteReference w:id="192"/>
      </w:r>
      <w:r w:rsidRPr="006125E5">
        <w:rPr>
          <w:szCs w:val="28"/>
          <w:lang w:val="es-ES_tradnl"/>
        </w:rPr>
        <w:t>, hacen tránsito a cosa juzgada constitucional.</w:t>
      </w:r>
    </w:p>
    <w:p w14:paraId="68183E6E" w14:textId="77777777" w:rsidR="008D3DB8" w:rsidRPr="006125E5" w:rsidRDefault="008D3DB8" w:rsidP="008D3DB8">
      <w:pPr>
        <w:shd w:val="clear" w:color="auto" w:fill="FFFFFF"/>
        <w:jc w:val="both"/>
        <w:rPr>
          <w:szCs w:val="28"/>
          <w:lang w:val="es-ES_tradnl"/>
        </w:rPr>
      </w:pPr>
    </w:p>
    <w:p w14:paraId="051FF488" w14:textId="77777777" w:rsidR="008D3DB8" w:rsidRPr="006125E5" w:rsidRDefault="008D3DB8" w:rsidP="008D3DB8">
      <w:pPr>
        <w:numPr>
          <w:ilvl w:val="0"/>
          <w:numId w:val="10"/>
        </w:numPr>
        <w:spacing w:line="280" w:lineRule="atLeast"/>
        <w:jc w:val="both"/>
        <w:rPr>
          <w:szCs w:val="28"/>
          <w:lang w:val="es-ES_tradnl"/>
        </w:rPr>
      </w:pPr>
      <w:r w:rsidRPr="006125E5">
        <w:rPr>
          <w:color w:val="000000"/>
        </w:rPr>
        <w:t xml:space="preserve">Esa regla general </w:t>
      </w:r>
      <w:r w:rsidR="001446C1" w:rsidRPr="006125E5">
        <w:rPr>
          <w:color w:val="000000"/>
        </w:rPr>
        <w:t xml:space="preserve">opera frente a </w:t>
      </w:r>
      <w:r w:rsidRPr="006125E5">
        <w:rPr>
          <w:color w:val="000000"/>
        </w:rPr>
        <w:t xml:space="preserve">las decisiones </w:t>
      </w:r>
      <w:r w:rsidRPr="006125E5">
        <w:rPr>
          <w:iCs/>
          <w:color w:val="000000"/>
        </w:rPr>
        <w:t>que dicte la Corte en ejercicio de</w:t>
      </w:r>
      <w:r w:rsidR="00D8011B" w:rsidRPr="006125E5">
        <w:rPr>
          <w:iCs/>
          <w:color w:val="000000"/>
        </w:rPr>
        <w:t>l</w:t>
      </w:r>
      <w:r w:rsidRPr="006125E5">
        <w:rPr>
          <w:iCs/>
          <w:color w:val="000000"/>
        </w:rPr>
        <w:t xml:space="preserve"> control jurisdiccional</w:t>
      </w:r>
      <w:r w:rsidRPr="006125E5">
        <w:rPr>
          <w:rStyle w:val="Refdenotaalpie"/>
          <w:iCs/>
          <w:color w:val="000000"/>
        </w:rPr>
        <w:footnoteReference w:id="193"/>
      </w:r>
      <w:r w:rsidR="001446C1" w:rsidRPr="006125E5">
        <w:rPr>
          <w:iCs/>
          <w:color w:val="000000"/>
        </w:rPr>
        <w:t>,</w:t>
      </w:r>
      <w:r w:rsidRPr="006125E5">
        <w:rPr>
          <w:color w:val="000000"/>
        </w:rPr>
        <w:t xml:space="preserve"> </w:t>
      </w:r>
      <w:r w:rsidRPr="006125E5">
        <w:t xml:space="preserve">bien sean que se trate de </w:t>
      </w:r>
      <w:r w:rsidR="001446C1" w:rsidRPr="006125E5">
        <w:t xml:space="preserve">sentencias </w:t>
      </w:r>
      <w:r w:rsidRPr="006125E5">
        <w:t>que son producto del control abstracto de constitucionalidad o de providencias que son resultado de la revisión de tutelas</w:t>
      </w:r>
      <w:r w:rsidRPr="006125E5">
        <w:rPr>
          <w:rStyle w:val="Refdenotaalpie"/>
        </w:rPr>
        <w:footnoteReference w:id="194"/>
      </w:r>
      <w:r w:rsidRPr="006125E5">
        <w:t xml:space="preserve">, </w:t>
      </w:r>
      <w:r w:rsidR="0026061D" w:rsidRPr="006125E5">
        <w:t xml:space="preserve">en tanto ejercicio del control concreto, </w:t>
      </w:r>
      <w:r w:rsidRPr="006125E5">
        <w:t xml:space="preserve">como consecuencia del lugar que ocupa esta </w:t>
      </w:r>
      <w:r w:rsidRPr="006125E5">
        <w:rPr>
          <w:szCs w:val="28"/>
          <w:lang w:val="es-ES_tradnl"/>
        </w:rPr>
        <w:t>Corporación como órgano de cierre de la jurisdicción constitucional.</w:t>
      </w:r>
    </w:p>
    <w:p w14:paraId="35F4AE78" w14:textId="77777777" w:rsidR="00F14826" w:rsidRPr="006125E5" w:rsidRDefault="00F14826" w:rsidP="00F14826">
      <w:pPr>
        <w:pStyle w:val="Prrafodelista"/>
        <w:rPr>
          <w:szCs w:val="28"/>
          <w:lang w:val="es-ES_tradnl"/>
        </w:rPr>
      </w:pPr>
    </w:p>
    <w:p w14:paraId="06D5F9C1" w14:textId="77777777" w:rsidR="001446C1" w:rsidRPr="006125E5" w:rsidRDefault="008D3DB8" w:rsidP="001446C1">
      <w:pPr>
        <w:numPr>
          <w:ilvl w:val="0"/>
          <w:numId w:val="10"/>
        </w:numPr>
        <w:spacing w:line="280" w:lineRule="atLeast"/>
        <w:jc w:val="both"/>
        <w:rPr>
          <w:szCs w:val="28"/>
          <w:lang w:val="es-ES_tradnl"/>
        </w:rPr>
      </w:pPr>
      <w:r w:rsidRPr="006125E5">
        <w:rPr>
          <w:szCs w:val="28"/>
          <w:lang w:val="es-ES_tradnl"/>
        </w:rPr>
        <w:t xml:space="preserve">La </w:t>
      </w:r>
      <w:r w:rsidRPr="006125E5">
        <w:t xml:space="preserve">institución </w:t>
      </w:r>
      <w:r w:rsidR="001446C1" w:rsidRPr="006125E5">
        <w:rPr>
          <w:bCs/>
          <w:szCs w:val="28"/>
          <w:lang w:val="es-ES_tradnl"/>
        </w:rPr>
        <w:t>jurídico procesal</w:t>
      </w:r>
      <w:r w:rsidR="001446C1" w:rsidRPr="006125E5">
        <w:t xml:space="preserve"> </w:t>
      </w:r>
      <w:r w:rsidRPr="006125E5">
        <w:t xml:space="preserve">de la cosa juzgada, </w:t>
      </w:r>
      <w:r w:rsidR="00D16142" w:rsidRPr="006125E5">
        <w:t>desde esta perspectiva</w:t>
      </w:r>
      <w:r w:rsidRPr="006125E5">
        <w:t>, da cuenta de la firmeza que adquiere una decisión judicial</w:t>
      </w:r>
      <w:r w:rsidRPr="006125E5">
        <w:rPr>
          <w:color w:val="000000"/>
        </w:rPr>
        <w:t xml:space="preserve"> cuando ya no proceden contra ella</w:t>
      </w:r>
      <w:r w:rsidRPr="006125E5">
        <w:t xml:space="preserve"> recursos adicionales en el ordenamiento</w:t>
      </w:r>
      <w:r w:rsidR="00D8011B" w:rsidRPr="006125E5">
        <w:t xml:space="preserve"> jurídico</w:t>
      </w:r>
      <w:r w:rsidRPr="006125E5">
        <w:t xml:space="preserve">. Ello supone </w:t>
      </w:r>
      <w:r w:rsidR="00A4529D" w:rsidRPr="006125E5">
        <w:t>la superación de</w:t>
      </w:r>
      <w:r w:rsidR="005542A9" w:rsidRPr="006125E5">
        <w:t xml:space="preserve"> todos los peldaños </w:t>
      </w:r>
      <w:r w:rsidR="00A4529D" w:rsidRPr="006125E5">
        <w:t>en</w:t>
      </w:r>
      <w:r w:rsidR="005542A9" w:rsidRPr="006125E5">
        <w:t xml:space="preserve"> </w:t>
      </w:r>
      <w:r w:rsidR="00D8011B" w:rsidRPr="006125E5">
        <w:t>el proceso</w:t>
      </w:r>
      <w:r w:rsidR="005542A9" w:rsidRPr="006125E5">
        <w:t xml:space="preserve"> judicial</w:t>
      </w:r>
      <w:r w:rsidR="00A4529D" w:rsidRPr="006125E5">
        <w:t xml:space="preserve"> en el asunto </w:t>
      </w:r>
      <w:r w:rsidR="00D16142" w:rsidRPr="006125E5">
        <w:t xml:space="preserve">en </w:t>
      </w:r>
      <w:r w:rsidR="00A4529D" w:rsidRPr="006125E5">
        <w:t>discusión,</w:t>
      </w:r>
      <w:r w:rsidR="005542A9" w:rsidRPr="006125E5">
        <w:t xml:space="preserve"> y/o </w:t>
      </w:r>
      <w:r w:rsidR="00A4529D" w:rsidRPr="006125E5">
        <w:t xml:space="preserve">que </w:t>
      </w:r>
      <w:r w:rsidR="001A1B02" w:rsidRPr="006125E5">
        <w:t>se</w:t>
      </w:r>
      <w:r w:rsidR="00A4529D" w:rsidRPr="006125E5">
        <w:t xml:space="preserve"> </w:t>
      </w:r>
      <w:r w:rsidR="005542A9" w:rsidRPr="006125E5">
        <w:t>surt</w:t>
      </w:r>
      <w:r w:rsidR="001A1B02" w:rsidRPr="006125E5">
        <w:t>ieron</w:t>
      </w:r>
      <w:r w:rsidR="005542A9" w:rsidRPr="006125E5">
        <w:t xml:space="preserve"> todas </w:t>
      </w:r>
      <w:r w:rsidR="00A4529D" w:rsidRPr="006125E5">
        <w:t xml:space="preserve">las </w:t>
      </w:r>
      <w:r w:rsidR="005542A9" w:rsidRPr="006125E5">
        <w:t xml:space="preserve">etapas requeridas </w:t>
      </w:r>
      <w:r w:rsidR="001A1B02" w:rsidRPr="006125E5">
        <w:t>para su resolución</w:t>
      </w:r>
      <w:r w:rsidRPr="006125E5">
        <w:rPr>
          <w:rStyle w:val="Refdenotaalpie"/>
        </w:rPr>
        <w:footnoteReference w:id="195"/>
      </w:r>
      <w:r w:rsidR="005542A9" w:rsidRPr="006125E5">
        <w:t xml:space="preserve">, </w:t>
      </w:r>
      <w:r w:rsidR="001A1B02" w:rsidRPr="006125E5">
        <w:t>de manera tal que la decisión última que se ha tomado en un</w:t>
      </w:r>
      <w:r w:rsidR="005542A9" w:rsidRPr="006125E5">
        <w:t xml:space="preserve">a causa </w:t>
      </w:r>
      <w:r w:rsidR="00D16142" w:rsidRPr="006125E5">
        <w:t xml:space="preserve">adquiere </w:t>
      </w:r>
      <w:r w:rsidRPr="006125E5">
        <w:t>carácter definitivo</w:t>
      </w:r>
      <w:r w:rsidRPr="006125E5">
        <w:rPr>
          <w:rStyle w:val="Refdenotaalpie"/>
        </w:rPr>
        <w:footnoteReference w:id="196"/>
      </w:r>
      <w:r w:rsidRPr="006125E5">
        <w:t xml:space="preserve">. </w:t>
      </w:r>
    </w:p>
    <w:p w14:paraId="59DB1184" w14:textId="77777777" w:rsidR="00F14826" w:rsidRPr="006125E5" w:rsidRDefault="00F14826" w:rsidP="001446C1">
      <w:pPr>
        <w:jc w:val="both"/>
        <w:rPr>
          <w:szCs w:val="28"/>
          <w:lang w:val="es-ES_tradnl"/>
        </w:rPr>
      </w:pPr>
    </w:p>
    <w:p w14:paraId="443BDBD4" w14:textId="77777777" w:rsidR="00FE3243" w:rsidRPr="006125E5" w:rsidRDefault="00D16142" w:rsidP="00D16142">
      <w:pPr>
        <w:numPr>
          <w:ilvl w:val="0"/>
          <w:numId w:val="10"/>
        </w:numPr>
        <w:jc w:val="both"/>
        <w:rPr>
          <w:szCs w:val="28"/>
          <w:lang w:val="es-ES_tradnl"/>
        </w:rPr>
      </w:pPr>
      <w:r w:rsidRPr="006125E5">
        <w:rPr>
          <w:color w:val="000000"/>
        </w:rPr>
        <w:t>No obstante</w:t>
      </w:r>
      <w:r w:rsidR="00FE3243" w:rsidRPr="006125E5">
        <w:rPr>
          <w:color w:val="000000"/>
        </w:rPr>
        <w:t>,</w:t>
      </w:r>
      <w:r w:rsidR="00A4529D" w:rsidRPr="006125E5">
        <w:rPr>
          <w:color w:val="000000"/>
        </w:rPr>
        <w:t xml:space="preserve"> </w:t>
      </w:r>
      <w:r w:rsidR="001A1B02" w:rsidRPr="006125E5">
        <w:rPr>
          <w:color w:val="000000"/>
        </w:rPr>
        <w:t xml:space="preserve">en </w:t>
      </w:r>
      <w:r w:rsidR="00FE3243" w:rsidRPr="006125E5">
        <w:rPr>
          <w:color w:val="000000"/>
        </w:rPr>
        <w:t xml:space="preserve">el control constitucional </w:t>
      </w:r>
      <w:r w:rsidR="001A1B02" w:rsidRPr="006125E5">
        <w:rPr>
          <w:color w:val="000000"/>
        </w:rPr>
        <w:t>se</w:t>
      </w:r>
      <w:r w:rsidRPr="006125E5">
        <w:rPr>
          <w:color w:val="000000"/>
        </w:rPr>
        <w:t xml:space="preserve"> </w:t>
      </w:r>
      <w:r w:rsidR="00FE3243" w:rsidRPr="006125E5">
        <w:rPr>
          <w:color w:val="000000"/>
        </w:rPr>
        <w:t xml:space="preserve">imponen algunas diferencias </w:t>
      </w:r>
      <w:r w:rsidR="001A1B02" w:rsidRPr="006125E5">
        <w:rPr>
          <w:color w:val="000000"/>
        </w:rPr>
        <w:t xml:space="preserve">esenciales </w:t>
      </w:r>
      <w:r w:rsidRPr="006125E5">
        <w:rPr>
          <w:color w:val="000000"/>
        </w:rPr>
        <w:t xml:space="preserve">a </w:t>
      </w:r>
      <w:r w:rsidR="00A4529D" w:rsidRPr="006125E5">
        <w:rPr>
          <w:color w:val="000000"/>
        </w:rPr>
        <w:t>la figura</w:t>
      </w:r>
      <w:r w:rsidRPr="006125E5">
        <w:rPr>
          <w:color w:val="000000"/>
        </w:rPr>
        <w:t xml:space="preserve"> general descrita. Una de ellas, por ejemplo, es </w:t>
      </w:r>
      <w:r w:rsidR="00FE3243" w:rsidRPr="006125E5">
        <w:rPr>
          <w:color w:val="000000"/>
        </w:rPr>
        <w:t xml:space="preserve">el efecto </w:t>
      </w:r>
      <w:r w:rsidR="00FE3243" w:rsidRPr="006125E5">
        <w:rPr>
          <w:i/>
          <w:iCs/>
          <w:color w:val="000000"/>
        </w:rPr>
        <w:t>erga omnes</w:t>
      </w:r>
      <w:r w:rsidR="00FE3243" w:rsidRPr="006125E5">
        <w:rPr>
          <w:color w:val="000000"/>
        </w:rPr>
        <w:t xml:space="preserve"> que reviste</w:t>
      </w:r>
      <w:r w:rsidR="00984289" w:rsidRPr="006125E5">
        <w:rPr>
          <w:color w:val="000000"/>
        </w:rPr>
        <w:t>n las decisiones amparadas p</w:t>
      </w:r>
      <w:r w:rsidRPr="006125E5">
        <w:rPr>
          <w:color w:val="000000"/>
        </w:rPr>
        <w:t xml:space="preserve">or la </w:t>
      </w:r>
      <w:r w:rsidRPr="006125E5">
        <w:rPr>
          <w:i/>
          <w:iCs/>
          <w:color w:val="000000"/>
        </w:rPr>
        <w:t>cosa juzgada</w:t>
      </w:r>
      <w:r w:rsidRPr="006125E5">
        <w:rPr>
          <w:color w:val="000000"/>
        </w:rPr>
        <w:t xml:space="preserve"> </w:t>
      </w:r>
      <w:r w:rsidR="00FE3243" w:rsidRPr="006125E5">
        <w:rPr>
          <w:color w:val="000000"/>
        </w:rPr>
        <w:t>en el proceso constitucional</w:t>
      </w:r>
      <w:r w:rsidR="00FE3243" w:rsidRPr="006125E5">
        <w:rPr>
          <w:rStyle w:val="Refdenotaalpie"/>
          <w:color w:val="000000"/>
        </w:rPr>
        <w:footnoteReference w:id="197"/>
      </w:r>
      <w:r w:rsidR="00FE3243" w:rsidRPr="006125E5">
        <w:rPr>
          <w:color w:val="000000"/>
        </w:rPr>
        <w:t xml:space="preserve">. </w:t>
      </w:r>
    </w:p>
    <w:p w14:paraId="476D3CEA" w14:textId="77777777" w:rsidR="00FE3243" w:rsidRPr="006125E5" w:rsidRDefault="00FE3243" w:rsidP="001446C1">
      <w:pPr>
        <w:jc w:val="both"/>
        <w:rPr>
          <w:szCs w:val="28"/>
          <w:lang w:val="es-ES_tradnl"/>
        </w:rPr>
      </w:pPr>
    </w:p>
    <w:p w14:paraId="44C6C23C" w14:textId="77777777" w:rsidR="006A26BE" w:rsidRPr="006125E5" w:rsidRDefault="001A1B02" w:rsidP="00D16142">
      <w:pPr>
        <w:autoSpaceDE w:val="0"/>
        <w:autoSpaceDN w:val="0"/>
        <w:contextualSpacing/>
        <w:jc w:val="both"/>
        <w:rPr>
          <w:szCs w:val="28"/>
          <w:lang w:val="es-ES_tradnl"/>
        </w:rPr>
      </w:pPr>
      <w:r w:rsidRPr="006125E5">
        <w:rPr>
          <w:szCs w:val="28"/>
          <w:lang w:val="es-ES_tradnl" w:eastAsia="es-CO"/>
        </w:rPr>
        <w:t>De hecho</w:t>
      </w:r>
      <w:r w:rsidR="00D16142" w:rsidRPr="006125E5">
        <w:rPr>
          <w:szCs w:val="28"/>
          <w:lang w:val="es-ES_tradnl" w:eastAsia="es-CO"/>
        </w:rPr>
        <w:t xml:space="preserve">, </w:t>
      </w:r>
      <w:r w:rsidR="006A26BE" w:rsidRPr="006125E5">
        <w:rPr>
          <w:szCs w:val="28"/>
          <w:lang w:val="es-ES_tradnl" w:eastAsia="es-CO"/>
        </w:rPr>
        <w:t xml:space="preserve">la </w:t>
      </w:r>
      <w:r w:rsidR="006A26BE" w:rsidRPr="006125E5">
        <w:rPr>
          <w:i/>
          <w:iCs/>
          <w:szCs w:val="28"/>
          <w:lang w:val="es-ES_tradnl" w:eastAsia="es-CO"/>
        </w:rPr>
        <w:t>cosa juzgada</w:t>
      </w:r>
      <w:r w:rsidR="00A01C7C" w:rsidRPr="006125E5">
        <w:rPr>
          <w:i/>
          <w:iCs/>
          <w:szCs w:val="28"/>
          <w:lang w:val="es-ES_tradnl" w:eastAsia="es-CO"/>
        </w:rPr>
        <w:t xml:space="preserve"> constitucional</w:t>
      </w:r>
      <w:r w:rsidR="006A26BE" w:rsidRPr="006125E5">
        <w:rPr>
          <w:szCs w:val="28"/>
          <w:lang w:val="es-ES_tradnl" w:eastAsia="es-CO"/>
        </w:rPr>
        <w:t xml:space="preserve"> a la que alude el artículo 243 superior, tiene varios efectos importantes</w:t>
      </w:r>
      <w:r w:rsidR="006A26BE" w:rsidRPr="006125E5">
        <w:rPr>
          <w:rStyle w:val="Refdenotaalpie"/>
          <w:szCs w:val="28"/>
          <w:lang w:val="es-ES_tradnl" w:eastAsia="es-CO"/>
        </w:rPr>
        <w:footnoteReference w:id="198"/>
      </w:r>
      <w:r w:rsidR="00C25BB7" w:rsidRPr="006125E5">
        <w:rPr>
          <w:szCs w:val="28"/>
          <w:lang w:val="es-ES_tradnl" w:eastAsia="es-CO"/>
        </w:rPr>
        <w:t>. N</w:t>
      </w:r>
      <w:r w:rsidR="00D26F52" w:rsidRPr="006125E5">
        <w:rPr>
          <w:szCs w:val="28"/>
          <w:lang w:val="es-ES_tradnl" w:eastAsia="es-CO"/>
        </w:rPr>
        <w:t>o s</w:t>
      </w:r>
      <w:r w:rsidR="00C80E03">
        <w:rPr>
          <w:szCs w:val="28"/>
          <w:lang w:val="es-ES_tradnl" w:eastAsia="es-CO"/>
        </w:rPr>
        <w:t>o</w:t>
      </w:r>
      <w:r w:rsidR="00D26F52" w:rsidRPr="006125E5">
        <w:rPr>
          <w:szCs w:val="28"/>
          <w:lang w:val="es-ES_tradnl" w:eastAsia="es-CO"/>
        </w:rPr>
        <w:t>lo</w:t>
      </w:r>
      <w:r w:rsidR="00BC7498" w:rsidRPr="006125E5">
        <w:rPr>
          <w:szCs w:val="28"/>
          <w:lang w:val="es-ES_tradnl" w:eastAsia="es-CO"/>
        </w:rPr>
        <w:t xml:space="preserve"> para la Corte Constitucional y para las demás autoridades judiciales</w:t>
      </w:r>
      <w:r w:rsidR="00D26F52" w:rsidRPr="006125E5">
        <w:rPr>
          <w:szCs w:val="28"/>
          <w:lang w:val="es-ES_tradnl" w:eastAsia="es-CO"/>
        </w:rPr>
        <w:t>, sino</w:t>
      </w:r>
      <w:r w:rsidR="00BC7498" w:rsidRPr="006125E5">
        <w:rPr>
          <w:szCs w:val="28"/>
          <w:lang w:val="es-ES_tradnl" w:eastAsia="es-CO"/>
        </w:rPr>
        <w:t xml:space="preserve"> para el ordenamiento jurídico en su conjunto</w:t>
      </w:r>
      <w:r w:rsidR="00D16142" w:rsidRPr="006125E5">
        <w:rPr>
          <w:szCs w:val="28"/>
          <w:lang w:val="es-ES_tradnl" w:eastAsia="es-CO"/>
        </w:rPr>
        <w:t>,</w:t>
      </w:r>
      <w:r w:rsidR="00D26F52" w:rsidRPr="006125E5">
        <w:rPr>
          <w:szCs w:val="28"/>
          <w:lang w:val="es-ES_tradnl" w:eastAsia="es-CO"/>
        </w:rPr>
        <w:t xml:space="preserve"> en cumplimiento del artículo 4º superior. </w:t>
      </w:r>
      <w:r w:rsidR="006A26BE" w:rsidRPr="006125E5">
        <w:rPr>
          <w:szCs w:val="28"/>
          <w:lang w:val="es-ES_tradnl" w:eastAsia="es-CO"/>
        </w:rPr>
        <w:t xml:space="preserve"> En </w:t>
      </w:r>
      <w:r w:rsidR="006A26BE" w:rsidRPr="006125E5">
        <w:rPr>
          <w:i/>
          <w:szCs w:val="28"/>
          <w:lang w:val="es-ES_tradnl" w:eastAsia="es-CO"/>
        </w:rPr>
        <w:t>primer lugar</w:t>
      </w:r>
      <w:r w:rsidR="006A26BE" w:rsidRPr="006125E5">
        <w:rPr>
          <w:szCs w:val="28"/>
          <w:lang w:val="es-ES_tradnl" w:eastAsia="es-CO"/>
        </w:rPr>
        <w:t xml:space="preserve"> -y como una autolimitación dirigida a</w:t>
      </w:r>
      <w:r w:rsidR="00A01C7C" w:rsidRPr="006125E5">
        <w:rPr>
          <w:szCs w:val="28"/>
          <w:lang w:val="es-ES_tradnl" w:eastAsia="es-CO"/>
        </w:rPr>
        <w:t>l Tribunal constitucional</w:t>
      </w:r>
      <w:r w:rsidR="006A26BE" w:rsidRPr="006125E5">
        <w:rPr>
          <w:szCs w:val="28"/>
          <w:lang w:val="es-ES_tradnl" w:eastAsia="es-CO"/>
        </w:rPr>
        <w:t xml:space="preserve">-, </w:t>
      </w:r>
      <w:r w:rsidR="006A26BE" w:rsidRPr="006125E5">
        <w:rPr>
          <w:lang w:val="es-ES_tradnl"/>
        </w:rPr>
        <w:t>en</w:t>
      </w:r>
      <w:r w:rsidR="006A26BE" w:rsidRPr="006125E5">
        <w:t xml:space="preserve"> el caso de las sentencias de control abstracto, la figura </w:t>
      </w:r>
      <w:r w:rsidR="008A1CA4" w:rsidRPr="006125E5">
        <w:rPr>
          <w:bCs/>
          <w:szCs w:val="28"/>
          <w:lang w:val="es-ES_tradnl"/>
        </w:rPr>
        <w:t>les</w:t>
      </w:r>
      <w:r w:rsidR="006A26BE" w:rsidRPr="006125E5">
        <w:rPr>
          <w:bCs/>
          <w:szCs w:val="28"/>
          <w:lang w:val="es-ES_tradnl"/>
        </w:rPr>
        <w:t xml:space="preserve"> otorga a estas decisiones el carácter de inmutables</w:t>
      </w:r>
      <w:r w:rsidR="006A26BE" w:rsidRPr="006125E5">
        <w:rPr>
          <w:bCs/>
          <w:szCs w:val="28"/>
          <w:vertAlign w:val="superscript"/>
          <w:lang w:val="es-ES_tradnl"/>
        </w:rPr>
        <w:footnoteReference w:id="199"/>
      </w:r>
      <w:r w:rsidR="006A26BE" w:rsidRPr="006125E5">
        <w:rPr>
          <w:bCs/>
          <w:szCs w:val="28"/>
          <w:lang w:val="es-ES_tradnl"/>
        </w:rPr>
        <w:t xml:space="preserve">, en la medida en que </w:t>
      </w:r>
      <w:r w:rsidR="006A26BE" w:rsidRPr="006125E5">
        <w:rPr>
          <w:szCs w:val="28"/>
          <w:lang w:val="es-CO"/>
        </w:rPr>
        <w:t>evit</w:t>
      </w:r>
      <w:r w:rsidR="008A1CA4" w:rsidRPr="006125E5">
        <w:rPr>
          <w:szCs w:val="28"/>
          <w:lang w:val="es-CO"/>
        </w:rPr>
        <w:t>a</w:t>
      </w:r>
      <w:r w:rsidR="006A26BE" w:rsidRPr="006125E5">
        <w:rPr>
          <w:bCs/>
          <w:szCs w:val="28"/>
          <w:lang w:val="es-ES_tradnl"/>
        </w:rPr>
        <w:t xml:space="preserve"> en general, </w:t>
      </w:r>
      <w:r w:rsidR="006A26BE" w:rsidRPr="006125E5">
        <w:rPr>
          <w:szCs w:val="28"/>
          <w:lang w:val="es-CO"/>
        </w:rPr>
        <w:t>que se reabran juicios de constitucionalidad sobre disposiciones y cargos previamente examinados por esta Corporación</w:t>
      </w:r>
      <w:r w:rsidR="006A26BE" w:rsidRPr="006125E5">
        <w:rPr>
          <w:rStyle w:val="Refdenotaalpie"/>
          <w:szCs w:val="28"/>
          <w:lang w:val="es-CO"/>
        </w:rPr>
        <w:footnoteReference w:id="200"/>
      </w:r>
      <w:r w:rsidR="006A26BE" w:rsidRPr="006125E5">
        <w:rPr>
          <w:bCs/>
          <w:szCs w:val="28"/>
          <w:lang w:val="es-ES_tradnl"/>
        </w:rPr>
        <w:t>.</w:t>
      </w:r>
      <w:r w:rsidR="006A26BE" w:rsidRPr="006125E5">
        <w:rPr>
          <w:szCs w:val="28"/>
          <w:lang w:val="es-ES_tradnl"/>
        </w:rPr>
        <w:t xml:space="preserve"> </w:t>
      </w:r>
      <w:r w:rsidR="00D16142" w:rsidRPr="006125E5">
        <w:rPr>
          <w:szCs w:val="28"/>
          <w:lang w:val="es-ES_tradnl" w:eastAsia="es-CO"/>
        </w:rPr>
        <w:t>L</w:t>
      </w:r>
      <w:r w:rsidR="008A1CA4" w:rsidRPr="006125E5">
        <w:rPr>
          <w:szCs w:val="28"/>
          <w:lang w:val="es-ES_tradnl" w:eastAsia="es-CO"/>
        </w:rPr>
        <w:t xml:space="preserve">a </w:t>
      </w:r>
      <w:r w:rsidR="006A26BE" w:rsidRPr="006125E5">
        <w:rPr>
          <w:szCs w:val="28"/>
          <w:lang w:val="es-ES_tradnl" w:eastAsia="es-CO"/>
        </w:rPr>
        <w:t>figura</w:t>
      </w:r>
      <w:r w:rsidR="00D16142" w:rsidRPr="006125E5">
        <w:rPr>
          <w:szCs w:val="28"/>
          <w:lang w:val="es-ES_tradnl" w:eastAsia="es-CO"/>
        </w:rPr>
        <w:t>, en consecuencia,</w:t>
      </w:r>
      <w:r w:rsidR="006A26BE" w:rsidRPr="006125E5">
        <w:rPr>
          <w:szCs w:val="28"/>
          <w:lang w:val="es-ES_tradnl" w:eastAsia="es-CO"/>
        </w:rPr>
        <w:t xml:space="preserve"> </w:t>
      </w:r>
      <w:r w:rsidR="006A26BE" w:rsidRPr="006125E5">
        <w:rPr>
          <w:szCs w:val="28"/>
          <w:lang w:val="es-CO"/>
        </w:rPr>
        <w:t xml:space="preserve">impide que los falladores se pronuncien nuevamente sobre lo ya </w:t>
      </w:r>
      <w:r w:rsidR="00D16142" w:rsidRPr="006125E5">
        <w:rPr>
          <w:szCs w:val="28"/>
          <w:lang w:val="es-CO"/>
        </w:rPr>
        <w:t>resuelto</w:t>
      </w:r>
      <w:r w:rsidR="006A26BE" w:rsidRPr="006125E5">
        <w:rPr>
          <w:szCs w:val="28"/>
          <w:lang w:val="es-CO"/>
        </w:rPr>
        <w:t xml:space="preserve"> en</w:t>
      </w:r>
      <w:r w:rsidR="006A26BE" w:rsidRPr="006125E5">
        <w:rPr>
          <w:i/>
          <w:szCs w:val="28"/>
          <w:lang w:val="es-CO"/>
        </w:rPr>
        <w:t xml:space="preserve"> </w:t>
      </w:r>
      <w:r w:rsidR="006A26BE" w:rsidRPr="006125E5">
        <w:rPr>
          <w:szCs w:val="28"/>
          <w:lang w:val="es-CO"/>
        </w:rPr>
        <w:t>providencias constitucionales anteriores</w:t>
      </w:r>
      <w:r w:rsidR="006A26BE" w:rsidRPr="006125E5">
        <w:rPr>
          <w:szCs w:val="28"/>
          <w:vertAlign w:val="superscript"/>
          <w:lang w:val="es-CO"/>
        </w:rPr>
        <w:footnoteReference w:id="201"/>
      </w:r>
      <w:r w:rsidR="006A26BE" w:rsidRPr="006125E5">
        <w:rPr>
          <w:szCs w:val="28"/>
          <w:lang w:val="es-CO"/>
        </w:rPr>
        <w:t>, o que se inicie un nuevo debate constitucional respecto de normas que ya han sido sometidas a decisiones constitucionales definitivas</w:t>
      </w:r>
      <w:r w:rsidR="006A26BE" w:rsidRPr="006125E5">
        <w:rPr>
          <w:szCs w:val="28"/>
          <w:vertAlign w:val="superscript"/>
          <w:lang w:val="es-CO"/>
        </w:rPr>
        <w:footnoteReference w:id="202"/>
      </w:r>
      <w:r w:rsidR="00D8011B" w:rsidRPr="006125E5">
        <w:rPr>
          <w:bCs/>
          <w:szCs w:val="28"/>
          <w:lang w:val="es-ES_tradnl" w:eastAsia="es-CO"/>
        </w:rPr>
        <w:t xml:space="preserve"> (</w:t>
      </w:r>
      <w:r w:rsidR="006A26BE" w:rsidRPr="006125E5">
        <w:rPr>
          <w:bCs/>
          <w:szCs w:val="28"/>
          <w:lang w:val="es-ES_tradnl" w:eastAsia="es-CO"/>
        </w:rPr>
        <w:t xml:space="preserve">salvo </w:t>
      </w:r>
      <w:r w:rsidR="00AD7D92" w:rsidRPr="006125E5">
        <w:rPr>
          <w:bCs/>
          <w:szCs w:val="28"/>
          <w:lang w:val="es-ES_tradnl" w:eastAsia="es-CO"/>
        </w:rPr>
        <w:t>que</w:t>
      </w:r>
      <w:r w:rsidR="00984289" w:rsidRPr="006125E5">
        <w:rPr>
          <w:bCs/>
          <w:szCs w:val="28"/>
          <w:lang w:val="es-ES_tradnl" w:eastAsia="es-CO"/>
        </w:rPr>
        <w:t xml:space="preserve"> exista un cambio </w:t>
      </w:r>
      <w:r w:rsidR="00D16142" w:rsidRPr="006125E5">
        <w:rPr>
          <w:bCs/>
          <w:szCs w:val="28"/>
        </w:rPr>
        <w:t>sustancial</w:t>
      </w:r>
      <w:r w:rsidR="00D16142" w:rsidRPr="006125E5">
        <w:rPr>
          <w:bCs/>
          <w:szCs w:val="28"/>
          <w:lang w:val="es-ES_tradnl" w:eastAsia="es-CO"/>
        </w:rPr>
        <w:t xml:space="preserve"> </w:t>
      </w:r>
      <w:r w:rsidR="00984289" w:rsidRPr="006125E5">
        <w:rPr>
          <w:bCs/>
          <w:szCs w:val="28"/>
          <w:lang w:val="es-ES_tradnl" w:eastAsia="es-CO"/>
        </w:rPr>
        <w:t>en</w:t>
      </w:r>
      <w:r w:rsidR="00AD7D92" w:rsidRPr="006125E5">
        <w:rPr>
          <w:bCs/>
          <w:szCs w:val="28"/>
        </w:rPr>
        <w:t xml:space="preserve"> el marco jurídico o entorno</w:t>
      </w:r>
      <w:r w:rsidR="0026061D" w:rsidRPr="006125E5">
        <w:rPr>
          <w:bCs/>
          <w:szCs w:val="28"/>
        </w:rPr>
        <w:t xml:space="preserve"> social</w:t>
      </w:r>
      <w:r w:rsidR="00D8011B" w:rsidRPr="006125E5">
        <w:rPr>
          <w:bCs/>
          <w:szCs w:val="28"/>
        </w:rPr>
        <w:t>)</w:t>
      </w:r>
      <w:r w:rsidRPr="006125E5">
        <w:rPr>
          <w:bCs/>
          <w:szCs w:val="28"/>
          <w:lang w:val="es-ES_tradnl" w:eastAsia="es-CO"/>
        </w:rPr>
        <w:t>; todo</w:t>
      </w:r>
      <w:r w:rsidR="006A26BE" w:rsidRPr="006125E5">
        <w:rPr>
          <w:bCs/>
          <w:szCs w:val="28"/>
          <w:lang w:val="es-ES_tradnl" w:eastAsia="es-CO"/>
        </w:rPr>
        <w:t xml:space="preserve"> con el objeto de </w:t>
      </w:r>
      <w:r w:rsidR="006A26BE" w:rsidRPr="006125E5">
        <w:rPr>
          <w:szCs w:val="28"/>
          <w:lang w:val="es-CO"/>
        </w:rPr>
        <w:t>promover la estabilidad de las sentencias judiciales</w:t>
      </w:r>
      <w:r w:rsidRPr="006125E5">
        <w:rPr>
          <w:szCs w:val="28"/>
          <w:lang w:val="es-CO"/>
        </w:rPr>
        <w:t xml:space="preserve"> y la seguridad jurídica</w:t>
      </w:r>
      <w:r w:rsidR="006A26BE" w:rsidRPr="006125E5">
        <w:rPr>
          <w:szCs w:val="28"/>
          <w:vertAlign w:val="superscript"/>
          <w:lang w:val="es-CO"/>
        </w:rPr>
        <w:footnoteReference w:id="203"/>
      </w:r>
      <w:r w:rsidR="006A26BE" w:rsidRPr="006125E5">
        <w:rPr>
          <w:szCs w:val="28"/>
          <w:lang w:val="es-CO"/>
        </w:rPr>
        <w:t xml:space="preserve">.  </w:t>
      </w:r>
    </w:p>
    <w:p w14:paraId="181660D9" w14:textId="77777777" w:rsidR="006A26BE" w:rsidRPr="006125E5" w:rsidRDefault="006A26BE" w:rsidP="006A26BE">
      <w:pPr>
        <w:widowControl w:val="0"/>
        <w:adjustRightInd w:val="0"/>
        <w:jc w:val="both"/>
        <w:rPr>
          <w:szCs w:val="28"/>
          <w:lang w:val="es-CO"/>
        </w:rPr>
      </w:pPr>
    </w:p>
    <w:p w14:paraId="2D8E31A3" w14:textId="77777777" w:rsidR="00FB7510" w:rsidRPr="006125E5" w:rsidRDefault="006A26BE" w:rsidP="00FB7510">
      <w:pPr>
        <w:pStyle w:val="Prrafodelista"/>
        <w:numPr>
          <w:ilvl w:val="0"/>
          <w:numId w:val="10"/>
        </w:numPr>
        <w:contextualSpacing/>
        <w:jc w:val="both"/>
        <w:rPr>
          <w:sz w:val="24"/>
          <w:szCs w:val="24"/>
        </w:rPr>
      </w:pPr>
      <w:r w:rsidRPr="006125E5">
        <w:rPr>
          <w:szCs w:val="28"/>
          <w:lang w:val="es-CO"/>
        </w:rPr>
        <w:t xml:space="preserve">En </w:t>
      </w:r>
      <w:r w:rsidRPr="006125E5">
        <w:rPr>
          <w:i/>
          <w:szCs w:val="28"/>
          <w:lang w:val="es-CO"/>
        </w:rPr>
        <w:t>segundo lugar</w:t>
      </w:r>
      <w:r w:rsidRPr="006125E5">
        <w:rPr>
          <w:szCs w:val="28"/>
          <w:lang w:val="es-CO"/>
        </w:rPr>
        <w:t>, la figura tiene un efecto dirigido también a las demás autoridades,</w:t>
      </w:r>
      <w:r w:rsidR="00D8011B" w:rsidRPr="006125E5">
        <w:rPr>
          <w:szCs w:val="28"/>
          <w:lang w:val="es-CO"/>
        </w:rPr>
        <w:t xml:space="preserve"> en especial al Legislador y a los jueces,</w:t>
      </w:r>
      <w:r w:rsidRPr="006125E5">
        <w:rPr>
          <w:szCs w:val="28"/>
          <w:lang w:val="es-CO"/>
        </w:rPr>
        <w:t xml:space="preserve"> teniendo en cuenta que</w:t>
      </w:r>
      <w:r w:rsidR="001A1B02" w:rsidRPr="006125E5">
        <w:rPr>
          <w:szCs w:val="28"/>
          <w:lang w:val="es-CO"/>
        </w:rPr>
        <w:t xml:space="preserve"> a ell</w:t>
      </w:r>
      <w:r w:rsidR="00D8011B" w:rsidRPr="006125E5">
        <w:rPr>
          <w:szCs w:val="28"/>
          <w:lang w:val="es-CO"/>
        </w:rPr>
        <w:t>o</w:t>
      </w:r>
      <w:r w:rsidR="001A1B02" w:rsidRPr="006125E5">
        <w:rPr>
          <w:szCs w:val="28"/>
          <w:lang w:val="es-CO"/>
        </w:rPr>
        <w:t>s</w:t>
      </w:r>
      <w:r w:rsidRPr="006125E5">
        <w:rPr>
          <w:szCs w:val="28"/>
          <w:lang w:val="es-CO"/>
        </w:rPr>
        <w:t xml:space="preserve"> se les </w:t>
      </w:r>
      <w:r w:rsidRPr="006125E5">
        <w:rPr>
          <w:szCs w:val="28"/>
          <w:lang w:val="es-ES_tradnl" w:eastAsia="es-CO"/>
        </w:rPr>
        <w:t xml:space="preserve">prohíbe la reproducción o aplicación del contenido material de las disposiciones declaradas </w:t>
      </w:r>
      <w:r w:rsidRPr="006125E5">
        <w:rPr>
          <w:i/>
          <w:iCs/>
          <w:szCs w:val="28"/>
          <w:lang w:val="es-ES_tradnl" w:eastAsia="es-CO"/>
        </w:rPr>
        <w:t>inexequibles</w:t>
      </w:r>
      <w:r w:rsidRPr="006125E5">
        <w:rPr>
          <w:szCs w:val="28"/>
          <w:lang w:val="es-ES_tradnl" w:eastAsia="es-CO"/>
        </w:rPr>
        <w:t>, por razones de fondo, como expresamente lo dispone el inciso 2º del artículo 243 constitucional</w:t>
      </w:r>
      <w:r w:rsidRPr="006125E5">
        <w:rPr>
          <w:szCs w:val="28"/>
          <w:vertAlign w:val="superscript"/>
          <w:lang w:val="es-ES_tradnl" w:eastAsia="es-CO"/>
        </w:rPr>
        <w:footnoteReference w:id="204"/>
      </w:r>
      <w:r w:rsidR="00FB7510" w:rsidRPr="006125E5">
        <w:rPr>
          <w:szCs w:val="28"/>
          <w:lang w:val="es-ES_tradnl" w:eastAsia="es-CO"/>
        </w:rPr>
        <w:t xml:space="preserve"> y se les exige el respeto por la figura, en los casos de </w:t>
      </w:r>
      <w:r w:rsidR="00FB7510" w:rsidRPr="006125E5">
        <w:rPr>
          <w:i/>
          <w:iCs/>
          <w:szCs w:val="28"/>
          <w:lang w:val="es-ES_tradnl" w:eastAsia="es-CO"/>
        </w:rPr>
        <w:t>exequibilidad y exequibilidad condicionada</w:t>
      </w:r>
      <w:r w:rsidR="00FB7510" w:rsidRPr="006125E5">
        <w:rPr>
          <w:szCs w:val="28"/>
          <w:lang w:val="es-ES_tradnl" w:eastAsia="es-CO"/>
        </w:rPr>
        <w:t xml:space="preserve">. En esos términos, ninguna </w:t>
      </w:r>
      <w:r w:rsidR="00FB7510" w:rsidRPr="006125E5">
        <w:rPr>
          <w:szCs w:val="28"/>
        </w:rPr>
        <w:t>autoridad judicial, ni siquiera con suficiente argumentación, puede desconocer una sentencia de constitucionalidad de la Corte amparada por la cosa juzgada constitucional.</w:t>
      </w:r>
    </w:p>
    <w:p w14:paraId="4312F4A9" w14:textId="77777777" w:rsidR="007D03B2" w:rsidRPr="006125E5" w:rsidRDefault="007D03B2" w:rsidP="007D03B2">
      <w:pPr>
        <w:widowControl w:val="0"/>
        <w:adjustRightInd w:val="0"/>
        <w:jc w:val="both"/>
        <w:rPr>
          <w:rFonts w:eastAsia="Calibri"/>
          <w:szCs w:val="28"/>
          <w:lang w:val="es-ES_tradnl"/>
        </w:rPr>
      </w:pPr>
    </w:p>
    <w:p w14:paraId="4940C4F2" w14:textId="77777777" w:rsidR="007D03B2" w:rsidRPr="006125E5" w:rsidRDefault="007D03B2" w:rsidP="001A6B52">
      <w:pPr>
        <w:pStyle w:val="Prrafodelista"/>
        <w:ind w:left="0"/>
        <w:contextualSpacing/>
        <w:jc w:val="both"/>
        <w:rPr>
          <w:bCs/>
          <w:szCs w:val="28"/>
        </w:rPr>
      </w:pPr>
      <w:r w:rsidRPr="006125E5">
        <w:rPr>
          <w:rFonts w:eastAsia="Calibri"/>
          <w:szCs w:val="28"/>
          <w:lang w:val="es-ES_tradnl"/>
        </w:rPr>
        <w:t xml:space="preserve">En este </w:t>
      </w:r>
      <w:r w:rsidR="00FB7510" w:rsidRPr="006125E5">
        <w:rPr>
          <w:rFonts w:eastAsia="Calibri"/>
          <w:szCs w:val="28"/>
          <w:lang w:val="es-ES_tradnl"/>
        </w:rPr>
        <w:t>contexto</w:t>
      </w:r>
      <w:r w:rsidRPr="006125E5">
        <w:rPr>
          <w:rFonts w:eastAsia="Calibri"/>
          <w:szCs w:val="28"/>
          <w:lang w:val="es-ES_tradnl"/>
        </w:rPr>
        <w:t xml:space="preserve">, es importante recordar </w:t>
      </w:r>
      <w:r w:rsidR="00FB7510" w:rsidRPr="006125E5">
        <w:rPr>
          <w:rFonts w:eastAsia="Calibri"/>
          <w:szCs w:val="28"/>
          <w:lang w:val="es-ES_tradnl"/>
        </w:rPr>
        <w:t xml:space="preserve">además, </w:t>
      </w:r>
      <w:r w:rsidRPr="006125E5">
        <w:rPr>
          <w:rFonts w:eastAsia="Calibri"/>
          <w:szCs w:val="28"/>
          <w:lang w:val="es-ES_tradnl"/>
        </w:rPr>
        <w:t xml:space="preserve">que la cosa juzgada que le compete al Consejo de Estado ante </w:t>
      </w:r>
      <w:r w:rsidR="00D57F71" w:rsidRPr="006125E5">
        <w:rPr>
          <w:rFonts w:eastAsia="Calibri"/>
          <w:szCs w:val="28"/>
          <w:lang w:val="es-ES_tradnl"/>
        </w:rPr>
        <w:t>las sentencias</w:t>
      </w:r>
      <w:r w:rsidRPr="006125E5">
        <w:rPr>
          <w:rFonts w:eastAsia="Calibri"/>
          <w:szCs w:val="28"/>
          <w:lang w:val="es-ES_tradnl"/>
        </w:rPr>
        <w:t xml:space="preserve"> que profiere como expresión del medio de control de nulidad por inconstitucional es diferente de la cosa juzgada constitucional que se le atribuye a la Corte Constitucional, en virtud del artículo 243 de la Carta. </w:t>
      </w:r>
      <w:r w:rsidR="00D57F71" w:rsidRPr="006125E5">
        <w:rPr>
          <w:rFonts w:eastAsia="Calibri"/>
          <w:szCs w:val="28"/>
          <w:lang w:val="es-ES_tradnl"/>
        </w:rPr>
        <w:t xml:space="preserve">Como ya se mencionó, </w:t>
      </w:r>
      <w:r w:rsidR="00D57F71" w:rsidRPr="006125E5">
        <w:rPr>
          <w:bCs/>
          <w:szCs w:val="28"/>
        </w:rPr>
        <w:t>la única entidad de</w:t>
      </w:r>
      <w:r w:rsidR="00D57F71" w:rsidRPr="006125E5">
        <w:rPr>
          <w:bCs/>
          <w:i/>
          <w:iCs/>
          <w:szCs w:val="28"/>
        </w:rPr>
        <w:t xml:space="preserve"> </w:t>
      </w:r>
      <w:r w:rsidR="00D57F71" w:rsidRPr="006125E5">
        <w:rPr>
          <w:bCs/>
          <w:szCs w:val="28"/>
        </w:rPr>
        <w:t>la jurisdicción constitucional  que reviste el carácter de tribunal constitucional es la Corte Constitucional</w:t>
      </w:r>
      <w:r w:rsidR="00D57F71" w:rsidRPr="006125E5">
        <w:rPr>
          <w:rStyle w:val="Refdenotaalpie"/>
          <w:bCs/>
          <w:szCs w:val="28"/>
        </w:rPr>
        <w:footnoteReference w:id="205"/>
      </w:r>
      <w:r w:rsidR="00D57F71" w:rsidRPr="006125E5">
        <w:rPr>
          <w:bCs/>
          <w:szCs w:val="28"/>
        </w:rPr>
        <w:t xml:space="preserve">, de manera </w:t>
      </w:r>
      <w:r w:rsidR="00333F19" w:rsidRPr="006125E5">
        <w:rPr>
          <w:bCs/>
          <w:szCs w:val="28"/>
        </w:rPr>
        <w:t>tal que s</w:t>
      </w:r>
      <w:r w:rsidR="00C80E03">
        <w:rPr>
          <w:bCs/>
          <w:szCs w:val="28"/>
        </w:rPr>
        <w:t>o</w:t>
      </w:r>
      <w:r w:rsidR="00333F19" w:rsidRPr="006125E5">
        <w:rPr>
          <w:bCs/>
          <w:szCs w:val="28"/>
        </w:rPr>
        <w:t xml:space="preserve">lo esta Corporación puede declarar inexequibles </w:t>
      </w:r>
      <w:r w:rsidR="00D8011B" w:rsidRPr="006125E5">
        <w:rPr>
          <w:bCs/>
          <w:szCs w:val="28"/>
        </w:rPr>
        <w:t>(</w:t>
      </w:r>
      <w:r w:rsidR="001A6B52" w:rsidRPr="006125E5">
        <w:rPr>
          <w:bCs/>
          <w:szCs w:val="28"/>
        </w:rPr>
        <w:t>es</w:t>
      </w:r>
      <w:r w:rsidR="00DC53B7" w:rsidRPr="006125E5">
        <w:rPr>
          <w:bCs/>
          <w:szCs w:val="28"/>
        </w:rPr>
        <w:t xml:space="preserve"> decir</w:t>
      </w:r>
      <w:r w:rsidR="001A6B52" w:rsidRPr="006125E5">
        <w:rPr>
          <w:bCs/>
          <w:szCs w:val="28"/>
        </w:rPr>
        <w:t>, expulsar normas del ordenamiento</w:t>
      </w:r>
      <w:r w:rsidR="006125E5" w:rsidRPr="006125E5">
        <w:rPr>
          <w:bCs/>
          <w:szCs w:val="28"/>
        </w:rPr>
        <w:t>)</w:t>
      </w:r>
      <w:r w:rsidR="001A6B52" w:rsidRPr="006125E5">
        <w:rPr>
          <w:bCs/>
          <w:szCs w:val="28"/>
        </w:rPr>
        <w:t xml:space="preserve">, o exequibles </w:t>
      </w:r>
      <w:r w:rsidR="006125E5" w:rsidRPr="006125E5">
        <w:rPr>
          <w:bCs/>
          <w:szCs w:val="28"/>
        </w:rPr>
        <w:t>(</w:t>
      </w:r>
      <w:r w:rsidR="001A6B52" w:rsidRPr="006125E5">
        <w:rPr>
          <w:bCs/>
          <w:szCs w:val="28"/>
        </w:rPr>
        <w:t>ratificar su pertenencia</w:t>
      </w:r>
      <w:r w:rsidR="0092532A" w:rsidRPr="006125E5">
        <w:rPr>
          <w:bCs/>
          <w:szCs w:val="28"/>
        </w:rPr>
        <w:t xml:space="preserve"> y conformidad con la Carta</w:t>
      </w:r>
      <w:r w:rsidR="006125E5" w:rsidRPr="006125E5">
        <w:rPr>
          <w:bCs/>
          <w:szCs w:val="28"/>
        </w:rPr>
        <w:t>)</w:t>
      </w:r>
      <w:r w:rsidR="001A6B52" w:rsidRPr="006125E5">
        <w:rPr>
          <w:bCs/>
          <w:szCs w:val="28"/>
        </w:rPr>
        <w:t xml:space="preserve"> </w:t>
      </w:r>
      <w:r w:rsidR="0092532A" w:rsidRPr="006125E5">
        <w:rPr>
          <w:bCs/>
          <w:szCs w:val="28"/>
        </w:rPr>
        <w:t xml:space="preserve">normas </w:t>
      </w:r>
      <w:r w:rsidR="001A6B52" w:rsidRPr="006125E5">
        <w:rPr>
          <w:bCs/>
          <w:szCs w:val="28"/>
        </w:rPr>
        <w:t xml:space="preserve">con fuerza material de ley. Un atributo que no tiene el Consejo de Estado, por la delimitación estructural </w:t>
      </w:r>
      <w:r w:rsidR="0092532A" w:rsidRPr="006125E5">
        <w:rPr>
          <w:bCs/>
          <w:szCs w:val="28"/>
        </w:rPr>
        <w:t>y el</w:t>
      </w:r>
      <w:r w:rsidR="001A6B52" w:rsidRPr="006125E5">
        <w:rPr>
          <w:bCs/>
          <w:szCs w:val="28"/>
        </w:rPr>
        <w:t xml:space="preserve"> tipo de control que realiza</w:t>
      </w:r>
      <w:r w:rsidR="00DC53B7" w:rsidRPr="006125E5">
        <w:rPr>
          <w:bCs/>
          <w:szCs w:val="28"/>
        </w:rPr>
        <w:t xml:space="preserve">. </w:t>
      </w:r>
    </w:p>
    <w:p w14:paraId="54D051AD" w14:textId="77777777" w:rsidR="001A1B02" w:rsidRPr="006125E5" w:rsidRDefault="001A1B02" w:rsidP="001A1B02">
      <w:pPr>
        <w:widowControl w:val="0"/>
        <w:adjustRightInd w:val="0"/>
        <w:jc w:val="both"/>
        <w:rPr>
          <w:szCs w:val="28"/>
          <w:lang w:val="es-CO"/>
        </w:rPr>
      </w:pPr>
    </w:p>
    <w:p w14:paraId="56DA4AEA" w14:textId="77777777" w:rsidR="00FB7510" w:rsidRPr="006125E5" w:rsidRDefault="00FB7510" w:rsidP="00FB7510">
      <w:pPr>
        <w:widowControl w:val="0"/>
        <w:numPr>
          <w:ilvl w:val="0"/>
          <w:numId w:val="10"/>
        </w:numPr>
        <w:adjustRightInd w:val="0"/>
        <w:jc w:val="both"/>
        <w:rPr>
          <w:rFonts w:eastAsia="Calibri"/>
          <w:szCs w:val="28"/>
        </w:rPr>
      </w:pPr>
      <w:r w:rsidRPr="006125E5">
        <w:rPr>
          <w:szCs w:val="28"/>
          <w:lang w:val="es-CO"/>
        </w:rPr>
        <w:t>Como resultado de la</w:t>
      </w:r>
      <w:r w:rsidR="006125E5" w:rsidRPr="006125E5">
        <w:rPr>
          <w:szCs w:val="28"/>
          <w:lang w:val="es-CO"/>
        </w:rPr>
        <w:t xml:space="preserve"> declaratoria de</w:t>
      </w:r>
      <w:r w:rsidRPr="006125E5">
        <w:rPr>
          <w:szCs w:val="28"/>
          <w:lang w:val="es-CO"/>
        </w:rPr>
        <w:t xml:space="preserve"> inexequibilidad</w:t>
      </w:r>
      <w:r w:rsidR="00A2232E" w:rsidRPr="006125E5">
        <w:rPr>
          <w:szCs w:val="28"/>
          <w:lang w:val="es-CO"/>
        </w:rPr>
        <w:t xml:space="preserve"> proferida por esta Corporación,</w:t>
      </w:r>
      <w:r w:rsidRPr="006125E5">
        <w:rPr>
          <w:szCs w:val="28"/>
          <w:lang w:val="es-CO"/>
        </w:rPr>
        <w:t xml:space="preserve"> </w:t>
      </w:r>
      <w:r w:rsidR="00A2232E" w:rsidRPr="006125E5">
        <w:rPr>
          <w:szCs w:val="28"/>
          <w:lang w:val="es-CO"/>
        </w:rPr>
        <w:t xml:space="preserve">no solo la </w:t>
      </w:r>
      <w:r w:rsidRPr="006125E5">
        <w:rPr>
          <w:szCs w:val="28"/>
          <w:lang w:val="es-CO"/>
        </w:rPr>
        <w:t xml:space="preserve">norma </w:t>
      </w:r>
      <w:r w:rsidR="00A2232E" w:rsidRPr="006125E5">
        <w:rPr>
          <w:szCs w:val="28"/>
          <w:lang w:val="es-CO"/>
        </w:rPr>
        <w:t xml:space="preserve">acusada </w:t>
      </w:r>
      <w:r w:rsidRPr="006125E5">
        <w:rPr>
          <w:szCs w:val="28"/>
          <w:lang w:val="es-CO"/>
        </w:rPr>
        <w:t>sal</w:t>
      </w:r>
      <w:r w:rsidR="00AC43AE" w:rsidRPr="006125E5">
        <w:rPr>
          <w:szCs w:val="28"/>
          <w:lang w:val="es-CO"/>
        </w:rPr>
        <w:t>e</w:t>
      </w:r>
      <w:r w:rsidRPr="006125E5">
        <w:rPr>
          <w:szCs w:val="28"/>
          <w:lang w:val="es-CO"/>
        </w:rPr>
        <w:t xml:space="preserve"> del ordenamiento</w:t>
      </w:r>
      <w:r w:rsidR="006125E5" w:rsidRPr="006125E5">
        <w:rPr>
          <w:szCs w:val="28"/>
          <w:lang w:val="es-CO"/>
        </w:rPr>
        <w:t xml:space="preserve"> jurídico</w:t>
      </w:r>
      <w:r w:rsidRPr="006125E5">
        <w:rPr>
          <w:szCs w:val="28"/>
          <w:lang w:val="es-CO"/>
        </w:rPr>
        <w:t xml:space="preserve">, sino que, por ejemplo, </w:t>
      </w:r>
      <w:r w:rsidRPr="006125E5">
        <w:rPr>
          <w:rFonts w:eastAsia="Calibri"/>
          <w:szCs w:val="28"/>
          <w:lang w:val="es-ES_tradnl"/>
        </w:rPr>
        <w:t xml:space="preserve">incluso si los efectos del fallo han sido declarados por la Corte hacia el futuro, </w:t>
      </w:r>
      <w:r w:rsidR="00AC43AE" w:rsidRPr="006125E5">
        <w:rPr>
          <w:rFonts w:eastAsia="Calibri"/>
          <w:szCs w:val="28"/>
          <w:lang w:val="es-ES_tradnl"/>
        </w:rPr>
        <w:t xml:space="preserve">es factible </w:t>
      </w:r>
      <w:r w:rsidRPr="006125E5">
        <w:rPr>
          <w:rFonts w:eastAsia="Calibri"/>
          <w:szCs w:val="28"/>
          <w:lang w:val="es-ES_tradnl"/>
        </w:rPr>
        <w:t xml:space="preserve">hacer uso de la excepción de inconstitucionalidad respecto de los efectos anteriores a </w:t>
      </w:r>
      <w:r w:rsidR="0026061D" w:rsidRPr="006125E5">
        <w:rPr>
          <w:rFonts w:eastAsia="Calibri"/>
          <w:szCs w:val="28"/>
          <w:lang w:val="es-ES_tradnl"/>
        </w:rPr>
        <w:t>dicha</w:t>
      </w:r>
      <w:r w:rsidRPr="006125E5">
        <w:rPr>
          <w:rFonts w:eastAsia="Calibri"/>
          <w:szCs w:val="28"/>
          <w:lang w:val="es-ES_tradnl"/>
        </w:rPr>
        <w:t xml:space="preserve"> declaratoria, con base en los mismos argumentos propuestos por la Corte que condujeron a su inexequibilidad</w:t>
      </w:r>
      <w:r w:rsidRPr="006125E5">
        <w:rPr>
          <w:rFonts w:eastAsia="Calibri"/>
          <w:szCs w:val="28"/>
          <w:vertAlign w:val="superscript"/>
          <w:lang w:val="es-ES_tradnl"/>
        </w:rPr>
        <w:footnoteReference w:id="206"/>
      </w:r>
      <w:r w:rsidRPr="006125E5">
        <w:rPr>
          <w:rFonts w:eastAsia="Calibri"/>
          <w:szCs w:val="28"/>
          <w:lang w:val="es-ES_tradnl"/>
        </w:rPr>
        <w:t>.</w:t>
      </w:r>
    </w:p>
    <w:p w14:paraId="0F78D086" w14:textId="77777777" w:rsidR="00FB7510" w:rsidRPr="006125E5" w:rsidRDefault="00FB7510" w:rsidP="00FB7510">
      <w:pPr>
        <w:tabs>
          <w:tab w:val="left" w:pos="280"/>
        </w:tabs>
        <w:overflowPunct w:val="0"/>
        <w:autoSpaceDE w:val="0"/>
        <w:autoSpaceDN w:val="0"/>
        <w:adjustRightInd w:val="0"/>
        <w:jc w:val="both"/>
        <w:textAlignment w:val="baseline"/>
        <w:rPr>
          <w:szCs w:val="28"/>
          <w:lang w:val="es-ES_tradnl"/>
        </w:rPr>
      </w:pPr>
    </w:p>
    <w:p w14:paraId="28E44C2B" w14:textId="77777777" w:rsidR="008A1CA4" w:rsidRPr="006125E5" w:rsidRDefault="00DC53B7" w:rsidP="00FB7510">
      <w:pPr>
        <w:tabs>
          <w:tab w:val="left" w:pos="280"/>
        </w:tabs>
        <w:overflowPunct w:val="0"/>
        <w:autoSpaceDE w:val="0"/>
        <w:autoSpaceDN w:val="0"/>
        <w:adjustRightInd w:val="0"/>
        <w:jc w:val="both"/>
        <w:textAlignment w:val="baseline"/>
        <w:rPr>
          <w:rFonts w:eastAsia="Calibri"/>
          <w:szCs w:val="28"/>
          <w:lang w:val="es-ES_tradnl"/>
        </w:rPr>
      </w:pPr>
      <w:r w:rsidRPr="006125E5">
        <w:rPr>
          <w:szCs w:val="28"/>
          <w:lang w:val="es-CO"/>
        </w:rPr>
        <w:t>En e</w:t>
      </w:r>
      <w:r w:rsidR="008A1CA4" w:rsidRPr="006125E5">
        <w:rPr>
          <w:szCs w:val="28"/>
          <w:lang w:val="es-CO"/>
        </w:rPr>
        <w:t xml:space="preserve">l caso </w:t>
      </w:r>
      <w:r w:rsidR="008A1CA4" w:rsidRPr="006125E5">
        <w:rPr>
          <w:szCs w:val="28"/>
          <w:lang w:val="es-ES_tradnl"/>
        </w:rPr>
        <w:t xml:space="preserve">de la cosa juzgada constitucional cuando se trata de normas que fueron declaradas </w:t>
      </w:r>
      <w:r w:rsidR="008A1CA4" w:rsidRPr="006125E5">
        <w:rPr>
          <w:i/>
          <w:szCs w:val="28"/>
          <w:lang w:val="es-ES_tradnl"/>
        </w:rPr>
        <w:t>exequibles</w:t>
      </w:r>
      <w:r w:rsidR="008A1CA4" w:rsidRPr="006125E5">
        <w:rPr>
          <w:szCs w:val="28"/>
          <w:lang w:val="es-ES_tradnl"/>
        </w:rPr>
        <w:t xml:space="preserve"> o que fueron declaradas </w:t>
      </w:r>
      <w:r w:rsidR="008A1CA4" w:rsidRPr="006125E5">
        <w:rPr>
          <w:bCs/>
          <w:i/>
          <w:iCs/>
          <w:szCs w:val="28"/>
          <w:lang w:val="es-ES_tradnl"/>
        </w:rPr>
        <w:t>exequibles de manera condicionada</w:t>
      </w:r>
      <w:r w:rsidR="008A1CA4" w:rsidRPr="006125E5">
        <w:rPr>
          <w:rStyle w:val="Refdenotaalpie"/>
          <w:szCs w:val="28"/>
          <w:lang w:val="es-ES_tradnl"/>
        </w:rPr>
        <w:footnoteReference w:id="207"/>
      </w:r>
      <w:r w:rsidR="004E1D13" w:rsidRPr="006125E5">
        <w:rPr>
          <w:szCs w:val="28"/>
          <w:lang w:val="es-ES_tradnl"/>
        </w:rPr>
        <w:t>,</w:t>
      </w:r>
      <w:r w:rsidR="00A54C46" w:rsidRPr="006125E5">
        <w:rPr>
          <w:szCs w:val="28"/>
          <w:lang w:val="es-ES_tradnl"/>
        </w:rPr>
        <w:t xml:space="preserve"> </w:t>
      </w:r>
      <w:r w:rsidR="008A1CA4" w:rsidRPr="006125E5">
        <w:rPr>
          <w:szCs w:val="28"/>
          <w:lang w:val="es-ES_tradnl"/>
        </w:rPr>
        <w:t xml:space="preserve">la exigencia para las autoridades judiciales </w:t>
      </w:r>
      <w:r w:rsidR="008E7A97" w:rsidRPr="006125E5">
        <w:rPr>
          <w:szCs w:val="28"/>
          <w:lang w:val="es-ES_tradnl"/>
        </w:rPr>
        <w:t xml:space="preserve">y administrativas </w:t>
      </w:r>
      <w:r w:rsidR="004E1D13" w:rsidRPr="006125E5">
        <w:rPr>
          <w:szCs w:val="28"/>
          <w:lang w:val="es-ES_tradnl"/>
        </w:rPr>
        <w:t xml:space="preserve">es la de acoger </w:t>
      </w:r>
      <w:r w:rsidR="008E7A97" w:rsidRPr="006125E5">
        <w:rPr>
          <w:szCs w:val="28"/>
          <w:lang w:val="es-ES_tradnl"/>
        </w:rPr>
        <w:t xml:space="preserve">y respetar </w:t>
      </w:r>
      <w:r w:rsidR="008A1CA4" w:rsidRPr="006125E5">
        <w:rPr>
          <w:szCs w:val="28"/>
          <w:lang w:val="es-ES_tradnl"/>
        </w:rPr>
        <w:t>la decisión adoptada por</w:t>
      </w:r>
      <w:r w:rsidR="004E1D13" w:rsidRPr="006125E5">
        <w:rPr>
          <w:szCs w:val="28"/>
          <w:lang w:val="es-ES_tradnl"/>
        </w:rPr>
        <w:t xml:space="preserve"> la Corte</w:t>
      </w:r>
      <w:r w:rsidR="008E7A97" w:rsidRPr="006125E5">
        <w:rPr>
          <w:szCs w:val="28"/>
          <w:lang w:val="es-ES_tradnl"/>
        </w:rPr>
        <w:t xml:space="preserve">, dado </w:t>
      </w:r>
      <w:r w:rsidR="008A1CA4" w:rsidRPr="006125E5">
        <w:rPr>
          <w:szCs w:val="28"/>
          <w:lang w:val="es-ES_tradnl"/>
        </w:rPr>
        <w:t xml:space="preserve">que el sentido que </w:t>
      </w:r>
      <w:r w:rsidR="004E1D13" w:rsidRPr="006125E5">
        <w:rPr>
          <w:szCs w:val="28"/>
          <w:lang w:val="es-ES_tradnl"/>
        </w:rPr>
        <w:t>este Tribunal</w:t>
      </w:r>
      <w:r w:rsidR="008A1CA4" w:rsidRPr="006125E5">
        <w:rPr>
          <w:szCs w:val="28"/>
          <w:lang w:val="es-ES_tradnl"/>
        </w:rPr>
        <w:t xml:space="preserve"> le d</w:t>
      </w:r>
      <w:r w:rsidR="009778F7" w:rsidRPr="006125E5">
        <w:rPr>
          <w:szCs w:val="28"/>
          <w:lang w:val="es-ES_tradnl"/>
        </w:rPr>
        <w:t>a</w:t>
      </w:r>
      <w:r w:rsidR="008A1CA4" w:rsidRPr="006125E5">
        <w:rPr>
          <w:szCs w:val="28"/>
          <w:lang w:val="es-ES_tradnl"/>
        </w:rPr>
        <w:t xml:space="preserve"> a la norma </w:t>
      </w:r>
      <w:r w:rsidR="00984289" w:rsidRPr="006125E5">
        <w:rPr>
          <w:szCs w:val="28"/>
          <w:lang w:val="es-ES_tradnl"/>
        </w:rPr>
        <w:t xml:space="preserve">con su interpretación </w:t>
      </w:r>
      <w:r w:rsidR="008A1CA4" w:rsidRPr="006125E5">
        <w:rPr>
          <w:szCs w:val="28"/>
          <w:lang w:val="es-ES_tradnl"/>
        </w:rPr>
        <w:t xml:space="preserve">o </w:t>
      </w:r>
      <w:r w:rsidR="008E7A97" w:rsidRPr="006125E5">
        <w:rPr>
          <w:szCs w:val="28"/>
          <w:lang w:val="es-ES_tradnl"/>
        </w:rPr>
        <w:t xml:space="preserve">con </w:t>
      </w:r>
      <w:r w:rsidR="008A1CA4" w:rsidRPr="006125E5">
        <w:rPr>
          <w:szCs w:val="28"/>
          <w:lang w:val="es-ES_tradnl"/>
        </w:rPr>
        <w:t xml:space="preserve">el ajuste que </w:t>
      </w:r>
      <w:r w:rsidR="009778F7" w:rsidRPr="006125E5">
        <w:rPr>
          <w:szCs w:val="28"/>
          <w:lang w:val="es-ES_tradnl"/>
        </w:rPr>
        <w:t>le</w:t>
      </w:r>
      <w:r w:rsidR="008A1CA4" w:rsidRPr="006125E5">
        <w:rPr>
          <w:szCs w:val="28"/>
          <w:lang w:val="es-ES_tradnl"/>
        </w:rPr>
        <w:t xml:space="preserve"> </w:t>
      </w:r>
      <w:r w:rsidR="008E7A97" w:rsidRPr="006125E5">
        <w:rPr>
          <w:szCs w:val="28"/>
          <w:lang w:val="es-ES_tradnl"/>
        </w:rPr>
        <w:t>hace al</w:t>
      </w:r>
      <w:r w:rsidR="008A1CA4" w:rsidRPr="006125E5">
        <w:rPr>
          <w:szCs w:val="28"/>
          <w:lang w:val="es-ES_tradnl"/>
        </w:rPr>
        <w:t xml:space="preserve"> texto, </w:t>
      </w:r>
      <w:r w:rsidR="009778F7" w:rsidRPr="006125E5">
        <w:rPr>
          <w:szCs w:val="28"/>
          <w:lang w:val="es-ES_tradnl"/>
        </w:rPr>
        <w:t xml:space="preserve">implica </w:t>
      </w:r>
      <w:r w:rsidR="00A01C7C" w:rsidRPr="006125E5">
        <w:rPr>
          <w:szCs w:val="28"/>
          <w:lang w:val="es-ES_tradnl"/>
        </w:rPr>
        <w:t>una</w:t>
      </w:r>
      <w:r w:rsidR="008A1CA4" w:rsidRPr="006125E5">
        <w:rPr>
          <w:szCs w:val="28"/>
          <w:lang w:val="es-ES_tradnl"/>
        </w:rPr>
        <w:t xml:space="preserve"> adecuación del </w:t>
      </w:r>
      <w:r w:rsidR="00A01C7C" w:rsidRPr="006125E5">
        <w:rPr>
          <w:szCs w:val="28"/>
          <w:lang w:val="es-ES_tradnl"/>
        </w:rPr>
        <w:t xml:space="preserve">mismo </w:t>
      </w:r>
      <w:r w:rsidR="008A1CA4" w:rsidRPr="006125E5">
        <w:rPr>
          <w:szCs w:val="28"/>
          <w:lang w:val="es-ES_tradnl"/>
        </w:rPr>
        <w:t>a los parámetros constitucionales y por lo tanto</w:t>
      </w:r>
      <w:r w:rsidR="009778F7" w:rsidRPr="006125E5">
        <w:rPr>
          <w:szCs w:val="28"/>
          <w:lang w:val="es-ES_tradnl"/>
        </w:rPr>
        <w:t xml:space="preserve"> se trata de una </w:t>
      </w:r>
      <w:r w:rsidR="008E7A97" w:rsidRPr="006125E5">
        <w:rPr>
          <w:szCs w:val="28"/>
          <w:lang w:val="es-ES_tradnl"/>
        </w:rPr>
        <w:t xml:space="preserve">articulación o interpretación que le confiere </w:t>
      </w:r>
      <w:r w:rsidR="008A1CA4" w:rsidRPr="006125E5">
        <w:rPr>
          <w:szCs w:val="28"/>
          <w:lang w:val="es-ES_tradnl"/>
        </w:rPr>
        <w:t xml:space="preserve">validez </w:t>
      </w:r>
      <w:r w:rsidR="004E1D13" w:rsidRPr="006125E5">
        <w:rPr>
          <w:szCs w:val="28"/>
          <w:lang w:val="es-ES_tradnl"/>
        </w:rPr>
        <w:t xml:space="preserve">jurídica </w:t>
      </w:r>
      <w:r w:rsidR="008E7A97" w:rsidRPr="006125E5">
        <w:rPr>
          <w:szCs w:val="28"/>
          <w:lang w:val="es-ES_tradnl"/>
        </w:rPr>
        <w:t>al precepto</w:t>
      </w:r>
      <w:r w:rsidR="00C25BB7" w:rsidRPr="006125E5">
        <w:rPr>
          <w:szCs w:val="28"/>
          <w:lang w:val="es-ES_tradnl"/>
        </w:rPr>
        <w:t>,</w:t>
      </w:r>
      <w:r w:rsidR="008E7A97" w:rsidRPr="006125E5">
        <w:rPr>
          <w:szCs w:val="28"/>
          <w:lang w:val="es-ES_tradnl"/>
        </w:rPr>
        <w:t xml:space="preserve"> </w:t>
      </w:r>
      <w:r w:rsidR="009778F7" w:rsidRPr="006125E5">
        <w:rPr>
          <w:szCs w:val="28"/>
          <w:lang w:val="es-ES_tradnl"/>
        </w:rPr>
        <w:t>al armoniza</w:t>
      </w:r>
      <w:r w:rsidR="004E1D13" w:rsidRPr="006125E5">
        <w:rPr>
          <w:szCs w:val="28"/>
          <w:lang w:val="es-ES_tradnl"/>
        </w:rPr>
        <w:t>r</w:t>
      </w:r>
      <w:r w:rsidR="008E7A97" w:rsidRPr="006125E5">
        <w:rPr>
          <w:szCs w:val="28"/>
          <w:lang w:val="es-ES_tradnl"/>
        </w:rPr>
        <w:t>lo</w:t>
      </w:r>
      <w:r w:rsidR="009778F7" w:rsidRPr="006125E5">
        <w:rPr>
          <w:szCs w:val="28"/>
          <w:lang w:val="es-ES_tradnl"/>
        </w:rPr>
        <w:t xml:space="preserve"> con la Constitución</w:t>
      </w:r>
      <w:r w:rsidR="008A1CA4" w:rsidRPr="006125E5">
        <w:rPr>
          <w:szCs w:val="28"/>
          <w:lang w:val="es-ES_tradnl"/>
        </w:rPr>
        <w:t>.</w:t>
      </w:r>
      <w:r w:rsidR="00984289" w:rsidRPr="006125E5">
        <w:rPr>
          <w:szCs w:val="28"/>
          <w:lang w:val="es-ES_tradnl"/>
        </w:rPr>
        <w:t xml:space="preserve"> En </w:t>
      </w:r>
      <w:r w:rsidR="008E7A97" w:rsidRPr="006125E5">
        <w:rPr>
          <w:szCs w:val="28"/>
          <w:lang w:val="es-ES_tradnl"/>
        </w:rPr>
        <w:t xml:space="preserve">consideración a lo expuesto, </w:t>
      </w:r>
      <w:r w:rsidR="00634321" w:rsidRPr="006125E5">
        <w:rPr>
          <w:szCs w:val="28"/>
          <w:lang w:val="es-ES_tradnl"/>
        </w:rPr>
        <w:t>si</w:t>
      </w:r>
      <w:r w:rsidR="00634321" w:rsidRPr="006125E5">
        <w:rPr>
          <w:rFonts w:eastAsia="Calibri"/>
          <w:szCs w:val="28"/>
          <w:lang w:val="es-ES_tradnl"/>
        </w:rPr>
        <w:t xml:space="preserve"> </w:t>
      </w:r>
      <w:r w:rsidR="008E7A97" w:rsidRPr="006125E5">
        <w:rPr>
          <w:rFonts w:eastAsia="Calibri"/>
          <w:szCs w:val="28"/>
          <w:lang w:val="es-ES_tradnl"/>
        </w:rPr>
        <w:t>la norma</w:t>
      </w:r>
      <w:r w:rsidR="00A01C7C" w:rsidRPr="006125E5">
        <w:rPr>
          <w:rFonts w:eastAsia="Calibri"/>
          <w:szCs w:val="28"/>
          <w:lang w:val="es-ES_tradnl"/>
        </w:rPr>
        <w:t xml:space="preserve"> </w:t>
      </w:r>
      <w:r w:rsidR="00634321" w:rsidRPr="006125E5">
        <w:rPr>
          <w:rFonts w:eastAsia="Calibri"/>
          <w:szCs w:val="28"/>
          <w:lang w:val="es-ES_tradnl"/>
        </w:rPr>
        <w:t>ha sido declarad</w:t>
      </w:r>
      <w:r w:rsidR="008E7A97" w:rsidRPr="006125E5">
        <w:rPr>
          <w:rFonts w:eastAsia="Calibri"/>
          <w:szCs w:val="28"/>
          <w:lang w:val="es-ES_tradnl"/>
        </w:rPr>
        <w:t>a</w:t>
      </w:r>
      <w:r w:rsidR="00634321" w:rsidRPr="006125E5">
        <w:rPr>
          <w:rFonts w:eastAsia="Calibri"/>
          <w:szCs w:val="28"/>
          <w:lang w:val="es-ES_tradnl"/>
        </w:rPr>
        <w:t xml:space="preserve"> exequible, no es posible</w:t>
      </w:r>
      <w:r w:rsidR="006125E5" w:rsidRPr="006125E5">
        <w:rPr>
          <w:rFonts w:eastAsia="Calibri"/>
          <w:szCs w:val="28"/>
          <w:lang w:val="es-ES_tradnl"/>
        </w:rPr>
        <w:t xml:space="preserve">, </w:t>
      </w:r>
      <w:r w:rsidR="00A54C46" w:rsidRPr="006125E5">
        <w:rPr>
          <w:rFonts w:eastAsia="Calibri"/>
          <w:szCs w:val="28"/>
          <w:lang w:val="es-ES_tradnl"/>
        </w:rPr>
        <w:t>por ejemplo,</w:t>
      </w:r>
      <w:r w:rsidR="009778F7" w:rsidRPr="006125E5">
        <w:rPr>
          <w:rFonts w:eastAsia="Calibri"/>
          <w:szCs w:val="28"/>
          <w:lang w:val="es-ES_tradnl"/>
        </w:rPr>
        <w:t xml:space="preserve"> </w:t>
      </w:r>
      <w:r w:rsidR="00634321" w:rsidRPr="006125E5">
        <w:rPr>
          <w:rFonts w:eastAsia="Calibri"/>
          <w:szCs w:val="28"/>
          <w:lang w:val="es-ES_tradnl"/>
        </w:rPr>
        <w:t xml:space="preserve">hacer uso </w:t>
      </w:r>
      <w:r w:rsidR="009778F7" w:rsidRPr="006125E5">
        <w:rPr>
          <w:rFonts w:eastAsia="Calibri"/>
          <w:szCs w:val="28"/>
          <w:lang w:val="es-ES_tradnl"/>
        </w:rPr>
        <w:t xml:space="preserve">ahora de </w:t>
      </w:r>
      <w:r w:rsidR="00634321" w:rsidRPr="006125E5">
        <w:rPr>
          <w:rFonts w:eastAsia="Calibri"/>
          <w:szCs w:val="28"/>
          <w:lang w:val="es-ES_tradnl"/>
        </w:rPr>
        <w:t>la excepción de inconstitucionalidad</w:t>
      </w:r>
      <w:r w:rsidR="00634321" w:rsidRPr="006125E5">
        <w:rPr>
          <w:rFonts w:eastAsia="Calibri"/>
          <w:szCs w:val="28"/>
          <w:vertAlign w:val="superscript"/>
          <w:lang w:val="es-ES_tradnl"/>
        </w:rPr>
        <w:footnoteReference w:id="208"/>
      </w:r>
      <w:r w:rsidR="009778F7" w:rsidRPr="006125E5">
        <w:rPr>
          <w:rFonts w:eastAsia="Calibri"/>
          <w:szCs w:val="28"/>
          <w:lang w:val="es-ES_tradnl"/>
        </w:rPr>
        <w:t>, en la medida en que la Corte ya le ha dado su aval</w:t>
      </w:r>
      <w:r w:rsidR="00C25BB7" w:rsidRPr="006125E5">
        <w:rPr>
          <w:rFonts w:eastAsia="Calibri"/>
          <w:szCs w:val="28"/>
          <w:lang w:val="es-ES_tradnl"/>
        </w:rPr>
        <w:t>,</w:t>
      </w:r>
      <w:r w:rsidR="009778F7" w:rsidRPr="006125E5">
        <w:rPr>
          <w:rFonts w:eastAsia="Calibri"/>
          <w:szCs w:val="28"/>
          <w:lang w:val="es-ES_tradnl"/>
        </w:rPr>
        <w:t xml:space="preserve"> </w:t>
      </w:r>
      <w:r w:rsidR="00A54C46" w:rsidRPr="006125E5">
        <w:rPr>
          <w:rFonts w:eastAsia="Calibri"/>
          <w:szCs w:val="28"/>
          <w:lang w:val="es-ES_tradnl"/>
        </w:rPr>
        <w:t>o en el caso de un condicionamiento, h</w:t>
      </w:r>
      <w:r w:rsidR="009778F7" w:rsidRPr="006125E5">
        <w:rPr>
          <w:rFonts w:eastAsia="Calibri"/>
          <w:szCs w:val="28"/>
          <w:lang w:val="es-ES_tradnl"/>
        </w:rPr>
        <w:t xml:space="preserve">a dispuesto el sentido en que debe ser </w:t>
      </w:r>
      <w:r w:rsidR="00A54C46" w:rsidRPr="006125E5">
        <w:rPr>
          <w:rFonts w:eastAsia="Calibri"/>
          <w:szCs w:val="28"/>
          <w:lang w:val="es-ES_tradnl"/>
        </w:rPr>
        <w:t>entendida</w:t>
      </w:r>
      <w:r w:rsidR="009778F7" w:rsidRPr="006125E5">
        <w:rPr>
          <w:rFonts w:eastAsia="Calibri"/>
          <w:szCs w:val="28"/>
          <w:lang w:val="es-ES_tradnl"/>
        </w:rPr>
        <w:t xml:space="preserve"> </w:t>
      </w:r>
      <w:r w:rsidR="004E1D13" w:rsidRPr="006125E5">
        <w:rPr>
          <w:rFonts w:eastAsia="Calibri"/>
          <w:szCs w:val="28"/>
          <w:lang w:val="es-ES_tradnl"/>
        </w:rPr>
        <w:t xml:space="preserve">la norma </w:t>
      </w:r>
      <w:r w:rsidR="009778F7" w:rsidRPr="006125E5">
        <w:rPr>
          <w:rFonts w:eastAsia="Calibri"/>
          <w:szCs w:val="28"/>
          <w:lang w:val="es-ES_tradnl"/>
        </w:rPr>
        <w:t>por los operadores</w:t>
      </w:r>
      <w:r w:rsidR="00A54C46" w:rsidRPr="006125E5">
        <w:rPr>
          <w:rFonts w:eastAsia="Calibri"/>
          <w:szCs w:val="28"/>
          <w:lang w:val="es-ES_tradnl"/>
        </w:rPr>
        <w:t>,</w:t>
      </w:r>
      <w:r w:rsidR="009778F7" w:rsidRPr="006125E5">
        <w:rPr>
          <w:rFonts w:eastAsia="Calibri"/>
          <w:szCs w:val="28"/>
          <w:lang w:val="es-ES_tradnl"/>
        </w:rPr>
        <w:t xml:space="preserve"> para </w:t>
      </w:r>
      <w:r w:rsidR="00984289" w:rsidRPr="006125E5">
        <w:rPr>
          <w:rFonts w:eastAsia="Calibri"/>
          <w:szCs w:val="28"/>
          <w:lang w:val="es-ES_tradnl"/>
        </w:rPr>
        <w:t xml:space="preserve">que la disposición </w:t>
      </w:r>
      <w:r w:rsidR="009778F7" w:rsidRPr="006125E5">
        <w:rPr>
          <w:rFonts w:eastAsia="Calibri"/>
          <w:szCs w:val="28"/>
          <w:lang w:val="es-ES_tradnl"/>
        </w:rPr>
        <w:t>enca</w:t>
      </w:r>
      <w:r w:rsidR="00984289" w:rsidRPr="006125E5">
        <w:rPr>
          <w:rFonts w:eastAsia="Calibri"/>
          <w:szCs w:val="28"/>
          <w:lang w:val="es-ES_tradnl"/>
        </w:rPr>
        <w:t>je legítimamente</w:t>
      </w:r>
      <w:r w:rsidR="009778F7" w:rsidRPr="006125E5">
        <w:rPr>
          <w:rFonts w:eastAsia="Calibri"/>
          <w:szCs w:val="28"/>
          <w:lang w:val="es-ES_tradnl"/>
        </w:rPr>
        <w:t xml:space="preserve"> en </w:t>
      </w:r>
      <w:r w:rsidR="00984289" w:rsidRPr="006125E5">
        <w:rPr>
          <w:rFonts w:eastAsia="Calibri"/>
          <w:szCs w:val="28"/>
          <w:lang w:val="es-ES_tradnl"/>
        </w:rPr>
        <w:t>el</w:t>
      </w:r>
      <w:r w:rsidR="009778F7" w:rsidRPr="006125E5">
        <w:rPr>
          <w:rFonts w:eastAsia="Calibri"/>
          <w:szCs w:val="28"/>
          <w:lang w:val="es-ES_tradnl"/>
        </w:rPr>
        <w:t xml:space="preserve"> engranaje jurídico liderado por la C</w:t>
      </w:r>
      <w:r w:rsidR="00111D07" w:rsidRPr="006125E5">
        <w:rPr>
          <w:rFonts w:eastAsia="Calibri"/>
          <w:szCs w:val="28"/>
          <w:lang w:val="es-ES_tradnl"/>
        </w:rPr>
        <w:t>arta</w:t>
      </w:r>
      <w:r w:rsidR="009778F7" w:rsidRPr="006125E5">
        <w:rPr>
          <w:rFonts w:eastAsia="Calibri"/>
          <w:szCs w:val="28"/>
          <w:lang w:val="es-ES_tradnl"/>
        </w:rPr>
        <w:t>.</w:t>
      </w:r>
    </w:p>
    <w:p w14:paraId="594ADCE5" w14:textId="77777777" w:rsidR="00634321" w:rsidRPr="006125E5" w:rsidRDefault="00634321" w:rsidP="008A1CA4">
      <w:pPr>
        <w:tabs>
          <w:tab w:val="left" w:pos="280"/>
        </w:tabs>
        <w:overflowPunct w:val="0"/>
        <w:autoSpaceDE w:val="0"/>
        <w:autoSpaceDN w:val="0"/>
        <w:adjustRightInd w:val="0"/>
        <w:jc w:val="both"/>
        <w:textAlignment w:val="baseline"/>
        <w:rPr>
          <w:szCs w:val="28"/>
          <w:lang w:val="es-ES_tradnl"/>
        </w:rPr>
      </w:pPr>
    </w:p>
    <w:p w14:paraId="28091DC7" w14:textId="77777777" w:rsidR="008A1CA4" w:rsidRPr="006125E5" w:rsidRDefault="00DB341C" w:rsidP="00634321">
      <w:pPr>
        <w:numPr>
          <w:ilvl w:val="0"/>
          <w:numId w:val="10"/>
        </w:numPr>
        <w:tabs>
          <w:tab w:val="left" w:pos="280"/>
        </w:tabs>
        <w:overflowPunct w:val="0"/>
        <w:autoSpaceDE w:val="0"/>
        <w:autoSpaceDN w:val="0"/>
        <w:adjustRightInd w:val="0"/>
        <w:jc w:val="both"/>
        <w:textAlignment w:val="baseline"/>
        <w:rPr>
          <w:szCs w:val="28"/>
          <w:lang w:val="es-CO"/>
        </w:rPr>
      </w:pPr>
      <w:r w:rsidRPr="006125E5">
        <w:rPr>
          <w:szCs w:val="28"/>
          <w:lang w:val="es-ES_tradnl"/>
        </w:rPr>
        <w:t>A este respecto,</w:t>
      </w:r>
      <w:r w:rsidR="002853CA" w:rsidRPr="006125E5">
        <w:rPr>
          <w:szCs w:val="28"/>
          <w:lang w:val="es-ES_tradnl"/>
        </w:rPr>
        <w:t xml:space="preserve"> </w:t>
      </w:r>
      <w:r w:rsidR="00AB367A" w:rsidRPr="006125E5">
        <w:rPr>
          <w:szCs w:val="28"/>
          <w:lang w:val="es-ES_tradnl"/>
        </w:rPr>
        <w:t xml:space="preserve">como lo destacó la </w:t>
      </w:r>
      <w:r w:rsidR="00AB367A" w:rsidRPr="006125E5">
        <w:rPr>
          <w:b/>
          <w:bCs/>
          <w:szCs w:val="28"/>
          <w:lang w:val="es-ES_tradnl"/>
        </w:rPr>
        <w:t>Sentencia C-259 de 2015</w:t>
      </w:r>
      <w:r w:rsidR="00AB367A" w:rsidRPr="006125E5">
        <w:rPr>
          <w:rStyle w:val="Refdenotaalpie"/>
          <w:szCs w:val="28"/>
          <w:lang w:val="es-ES_tradnl"/>
        </w:rPr>
        <w:footnoteReference w:id="209"/>
      </w:r>
      <w:r w:rsidR="004E1D13" w:rsidRPr="006125E5">
        <w:rPr>
          <w:szCs w:val="28"/>
          <w:lang w:val="es-ES_tradnl"/>
        </w:rPr>
        <w:t xml:space="preserve">, cuando hablamos de </w:t>
      </w:r>
      <w:r w:rsidR="009778F7" w:rsidRPr="006125E5">
        <w:rPr>
          <w:i/>
          <w:iCs/>
          <w:szCs w:val="28"/>
          <w:lang w:val="es-ES_tradnl"/>
        </w:rPr>
        <w:t>exequibilidad o exequibilidad condicionada</w:t>
      </w:r>
      <w:r w:rsidR="009778F7" w:rsidRPr="006125E5">
        <w:rPr>
          <w:szCs w:val="28"/>
          <w:lang w:val="es-ES_tradnl"/>
        </w:rPr>
        <w:t xml:space="preserve"> de las normas</w:t>
      </w:r>
      <w:r w:rsidR="00AB367A" w:rsidRPr="006125E5">
        <w:rPr>
          <w:szCs w:val="28"/>
          <w:lang w:val="es-ES_tradnl"/>
        </w:rPr>
        <w:t xml:space="preserve">, </w:t>
      </w:r>
      <w:r w:rsidRPr="006125E5">
        <w:rPr>
          <w:szCs w:val="28"/>
          <w:lang w:val="es-ES_tradnl"/>
        </w:rPr>
        <w:t xml:space="preserve">es pertinente recordar </w:t>
      </w:r>
      <w:r w:rsidR="008A1CA4" w:rsidRPr="006125E5">
        <w:rPr>
          <w:szCs w:val="28"/>
          <w:lang w:val="es-ES_tradnl"/>
        </w:rPr>
        <w:t>que</w:t>
      </w:r>
      <w:r w:rsidR="001764B7" w:rsidRPr="006125E5">
        <w:rPr>
          <w:szCs w:val="28"/>
          <w:lang w:val="es-ES_tradnl"/>
        </w:rPr>
        <w:t>,</w:t>
      </w:r>
      <w:r w:rsidR="008A1CA4" w:rsidRPr="006125E5">
        <w:rPr>
          <w:szCs w:val="28"/>
          <w:lang w:val="es-ES_tradnl"/>
        </w:rPr>
        <w:t xml:space="preserve"> </w:t>
      </w:r>
      <w:r w:rsidR="008A1CA4" w:rsidRPr="006125E5">
        <w:rPr>
          <w:bCs/>
          <w:szCs w:val="28"/>
          <w:lang w:val="es-ES_tradnl"/>
        </w:rPr>
        <w:t xml:space="preserve">en aras de proteger la labor legislativa y el principio democrático, a través de decisiones constitucionales interpretativas, </w:t>
      </w:r>
      <w:r w:rsidR="00A54C46" w:rsidRPr="006125E5">
        <w:rPr>
          <w:szCs w:val="28"/>
          <w:lang w:val="es-ES_tradnl"/>
        </w:rPr>
        <w:t xml:space="preserve">la Corte Constitucional </w:t>
      </w:r>
      <w:r w:rsidR="008A1CA4" w:rsidRPr="006125E5">
        <w:rPr>
          <w:bCs/>
          <w:szCs w:val="28"/>
          <w:lang w:val="es-ES_tradnl"/>
        </w:rPr>
        <w:t xml:space="preserve">intenta asegurar al máximo la vigencia de </w:t>
      </w:r>
      <w:r w:rsidR="009F6C0C" w:rsidRPr="006125E5">
        <w:rPr>
          <w:bCs/>
          <w:szCs w:val="28"/>
          <w:lang w:val="es-ES_tradnl"/>
        </w:rPr>
        <w:t xml:space="preserve">las </w:t>
      </w:r>
      <w:r w:rsidR="008A1CA4" w:rsidRPr="006125E5">
        <w:rPr>
          <w:bCs/>
          <w:szCs w:val="28"/>
          <w:lang w:val="es-ES_tradnl"/>
        </w:rPr>
        <w:t>disposiciones con fuerza material de ley dentro del ordenamiento jurídico, profiriendo decisiones</w:t>
      </w:r>
      <w:r w:rsidRPr="006125E5">
        <w:rPr>
          <w:bCs/>
          <w:szCs w:val="28"/>
          <w:lang w:val="es-ES_tradnl"/>
        </w:rPr>
        <w:t xml:space="preserve"> a veces</w:t>
      </w:r>
      <w:r w:rsidR="008A1CA4" w:rsidRPr="006125E5">
        <w:rPr>
          <w:bCs/>
          <w:szCs w:val="28"/>
          <w:lang w:val="es-ES_tradnl"/>
        </w:rPr>
        <w:t xml:space="preserve"> condicionadas, que permit</w:t>
      </w:r>
      <w:r w:rsidR="004E1D13" w:rsidRPr="006125E5">
        <w:rPr>
          <w:bCs/>
          <w:szCs w:val="28"/>
          <w:lang w:val="es-ES_tradnl"/>
        </w:rPr>
        <w:t>e</w:t>
      </w:r>
      <w:r w:rsidR="008A1CA4" w:rsidRPr="006125E5">
        <w:rPr>
          <w:bCs/>
          <w:szCs w:val="28"/>
          <w:lang w:val="es-ES_tradnl"/>
        </w:rPr>
        <w:t xml:space="preserve">n armonizar normas eventualmente contrarias con </w:t>
      </w:r>
      <w:r w:rsidRPr="006125E5">
        <w:rPr>
          <w:bCs/>
          <w:szCs w:val="28"/>
          <w:lang w:val="es-ES_tradnl"/>
        </w:rPr>
        <w:t xml:space="preserve">el </w:t>
      </w:r>
      <w:r w:rsidR="006125E5">
        <w:rPr>
          <w:bCs/>
          <w:szCs w:val="28"/>
          <w:lang w:val="es-ES_tradnl"/>
        </w:rPr>
        <w:t>t</w:t>
      </w:r>
      <w:r w:rsidRPr="006125E5">
        <w:rPr>
          <w:bCs/>
          <w:szCs w:val="28"/>
          <w:lang w:val="es-ES_tradnl"/>
        </w:rPr>
        <w:t xml:space="preserve">exto </w:t>
      </w:r>
      <w:r w:rsidR="006125E5">
        <w:rPr>
          <w:bCs/>
          <w:szCs w:val="28"/>
          <w:lang w:val="es-ES_tradnl"/>
        </w:rPr>
        <w:t>s</w:t>
      </w:r>
      <w:r w:rsidRPr="006125E5">
        <w:rPr>
          <w:bCs/>
          <w:szCs w:val="28"/>
          <w:lang w:val="es-ES_tradnl"/>
        </w:rPr>
        <w:t xml:space="preserve">uperior. </w:t>
      </w:r>
    </w:p>
    <w:p w14:paraId="00C813F1" w14:textId="77777777" w:rsidR="00A12F31" w:rsidRPr="006125E5" w:rsidRDefault="00A12F31" w:rsidP="00A12F31">
      <w:pPr>
        <w:shd w:val="clear" w:color="auto" w:fill="FFFFFF"/>
        <w:ind w:right="46"/>
        <w:jc w:val="both"/>
        <w:rPr>
          <w:szCs w:val="28"/>
          <w:lang w:val="es-CO"/>
        </w:rPr>
      </w:pPr>
    </w:p>
    <w:p w14:paraId="16B1C451" w14:textId="77777777" w:rsidR="00A54C46" w:rsidRPr="006125E5" w:rsidRDefault="00A54C46" w:rsidP="00A54C46">
      <w:pPr>
        <w:widowControl w:val="0"/>
        <w:adjustRightInd w:val="0"/>
        <w:jc w:val="both"/>
        <w:rPr>
          <w:szCs w:val="28"/>
          <w:lang w:val="es-ES_tradnl"/>
        </w:rPr>
      </w:pPr>
      <w:r w:rsidRPr="006125E5">
        <w:rPr>
          <w:szCs w:val="28"/>
          <w:lang w:val="es-CO" w:eastAsia="es-CO"/>
        </w:rPr>
        <w:t xml:space="preserve">En efecto, </w:t>
      </w:r>
      <w:r w:rsidRPr="00A12F31">
        <w:rPr>
          <w:szCs w:val="28"/>
          <w:lang w:val="es-CO" w:eastAsia="es-CO"/>
        </w:rPr>
        <w:t xml:space="preserve">frente a la disyuntiva de tener que eliminar una norma del ordenamiento jurídico en situaciones que permitirían darle una interpretación plausible ajustada a la Constitución, surge siempre una posibilidad que justifica este tipo de actuaciones </w:t>
      </w:r>
      <w:r>
        <w:rPr>
          <w:szCs w:val="28"/>
          <w:lang w:val="es-CO" w:eastAsia="es-CO"/>
        </w:rPr>
        <w:t xml:space="preserve">por parte </w:t>
      </w:r>
      <w:r w:rsidRPr="00A12F31">
        <w:rPr>
          <w:szCs w:val="28"/>
          <w:lang w:val="es-CO" w:eastAsia="es-CO"/>
        </w:rPr>
        <w:t xml:space="preserve">del juez constitucional: acoger una solución modulada que asegure el reconocimiento a la labor del Legislador </w:t>
      </w:r>
      <w:r w:rsidR="006125E5">
        <w:rPr>
          <w:szCs w:val="28"/>
          <w:lang w:val="es-CO" w:eastAsia="es-CO"/>
        </w:rPr>
        <w:t xml:space="preserve">(principio de conservación del derecho) </w:t>
      </w:r>
      <w:r w:rsidRPr="00A12F31">
        <w:rPr>
          <w:szCs w:val="28"/>
          <w:lang w:val="es-CO" w:eastAsia="es-CO"/>
        </w:rPr>
        <w:t xml:space="preserve">y </w:t>
      </w:r>
      <w:r w:rsidRPr="006125E5">
        <w:rPr>
          <w:szCs w:val="28"/>
          <w:lang w:val="es-CO" w:eastAsia="es-CO"/>
        </w:rPr>
        <w:t xml:space="preserve">paralelamente respete el texto superior, conforme a la voluntad del constituyente. </w:t>
      </w:r>
      <w:r w:rsidRPr="006125E5">
        <w:rPr>
          <w:szCs w:val="28"/>
          <w:lang w:val="es-CO"/>
        </w:rPr>
        <w:t>C</w:t>
      </w:r>
      <w:r w:rsidRPr="006125E5">
        <w:rPr>
          <w:szCs w:val="28"/>
          <w:lang w:val="es-ES_tradnl"/>
        </w:rPr>
        <w:t xml:space="preserve">on las sentencias de </w:t>
      </w:r>
      <w:r w:rsidRPr="006125E5">
        <w:rPr>
          <w:bCs/>
          <w:szCs w:val="28"/>
          <w:lang w:val="es-ES_tradnl"/>
        </w:rPr>
        <w:t>constitucionalidad condicionada o modulada</w:t>
      </w:r>
      <w:r w:rsidRPr="006125E5">
        <w:rPr>
          <w:szCs w:val="28"/>
          <w:lang w:val="es-ES_tradnl"/>
        </w:rPr>
        <w:t xml:space="preserve">, en consecuencia, si una </w:t>
      </w:r>
      <w:r w:rsidRPr="006125E5">
        <w:rPr>
          <w:iCs/>
          <w:szCs w:val="28"/>
          <w:lang w:val="es-ES_tradnl"/>
        </w:rPr>
        <w:t>disposición legal admite varias interpretaciones,</w:t>
      </w:r>
      <w:r w:rsidRPr="006125E5">
        <w:rPr>
          <w:i/>
          <w:iCs/>
          <w:szCs w:val="28"/>
          <w:lang w:val="es-ES_tradnl"/>
        </w:rPr>
        <w:t xml:space="preserve"> "de las cuales algunas violan la Carta pero otras se adecuan a ella, entonces corresponde a la Corte proferir una [decisión de] constitucionalidad condicionada o sentencia interpretativa que establezca cuáles sentidos de la disposición acusada se mantienen dentro del ordenamiento jurídico y cuáles no son legítimos constitucionalmente</w:t>
      </w:r>
      <w:r w:rsidRPr="006125E5">
        <w:rPr>
          <w:szCs w:val="28"/>
          <w:lang w:val="es-ES_tradnl"/>
        </w:rPr>
        <w:t>”</w:t>
      </w:r>
      <w:r w:rsidRPr="006125E5">
        <w:rPr>
          <w:szCs w:val="28"/>
          <w:vertAlign w:val="superscript"/>
          <w:lang w:val="es-ES_tradnl"/>
        </w:rPr>
        <w:footnoteReference w:id="210"/>
      </w:r>
      <w:r w:rsidRPr="006125E5">
        <w:rPr>
          <w:szCs w:val="28"/>
          <w:lang w:val="es-ES_tradnl"/>
        </w:rPr>
        <w:t xml:space="preserve">. </w:t>
      </w:r>
    </w:p>
    <w:p w14:paraId="3CC52102" w14:textId="77777777" w:rsidR="00A54C46" w:rsidRPr="006125E5" w:rsidRDefault="00A54C46" w:rsidP="00A54C46">
      <w:pPr>
        <w:jc w:val="both"/>
        <w:rPr>
          <w:bCs/>
          <w:szCs w:val="28"/>
          <w:lang w:val="es-ES_tradnl"/>
        </w:rPr>
      </w:pPr>
    </w:p>
    <w:p w14:paraId="719016F0" w14:textId="77777777" w:rsidR="00A54C46" w:rsidRPr="006125E5" w:rsidRDefault="00A54C46" w:rsidP="00A54C46">
      <w:pPr>
        <w:widowControl w:val="0"/>
        <w:adjustRightInd w:val="0"/>
        <w:jc w:val="both"/>
        <w:rPr>
          <w:szCs w:val="28"/>
          <w:lang w:val="es-ES_tradnl"/>
        </w:rPr>
      </w:pPr>
      <w:r w:rsidRPr="006125E5">
        <w:rPr>
          <w:bCs/>
          <w:szCs w:val="28"/>
          <w:lang w:val="es-ES_tradnl"/>
        </w:rPr>
        <w:t xml:space="preserve">Los pronunciamientos condicionales en ese sentido, contribuyen a garantizar el principio de conservación del derecho sin irrespetar la Carta Política, al ser </w:t>
      </w:r>
      <w:r w:rsidRPr="006125E5">
        <w:rPr>
          <w:szCs w:val="28"/>
          <w:lang w:val="es-ES_tradnl"/>
        </w:rPr>
        <w:t>"</w:t>
      </w:r>
      <w:r w:rsidRPr="006125E5">
        <w:rPr>
          <w:i/>
          <w:szCs w:val="28"/>
          <w:lang w:val="es-ES_tradnl"/>
        </w:rPr>
        <w:t xml:space="preserve">una necesidad para el juez constitucional, [en los casos en que] no puede adoptar una decisión de exequibilidad pura y simple porque desconocería su función de salvaguardar la integridad de la Constitución, en tanto que estaría admitiendo la permanencia en el ordenamiento jurídico de leyes que admiten interpretaciones contrarias a la Carta. Pero, tampoco puede adoptar una decisión de inexequibilidad porque afectaría el principio democrático que exige la aplicación de los principios de conservación del derecho e </w:t>
      </w:r>
      <w:r w:rsidRPr="006125E5">
        <w:rPr>
          <w:i/>
          <w:iCs/>
          <w:szCs w:val="28"/>
          <w:lang w:val="es-ES_tradnl"/>
        </w:rPr>
        <w:t xml:space="preserve">in dubio pro legislatoris, </w:t>
      </w:r>
      <w:r w:rsidRPr="006125E5">
        <w:rPr>
          <w:i/>
          <w:szCs w:val="28"/>
          <w:lang w:val="es-ES_tradnl"/>
        </w:rPr>
        <w:t>con lo cual también se afectaría la supremacía e integridad de la Constitución</w:t>
      </w:r>
      <w:r w:rsidRPr="006125E5">
        <w:rPr>
          <w:szCs w:val="28"/>
          <w:lang w:val="es-ES_tradnl"/>
        </w:rPr>
        <w:t>"</w:t>
      </w:r>
      <w:r w:rsidRPr="006125E5">
        <w:rPr>
          <w:szCs w:val="28"/>
          <w:vertAlign w:val="superscript"/>
          <w:lang w:val="es-ES_tradnl"/>
        </w:rPr>
        <w:footnoteReference w:id="211"/>
      </w:r>
      <w:r w:rsidRPr="006125E5">
        <w:rPr>
          <w:szCs w:val="28"/>
          <w:lang w:val="es-ES_tradnl"/>
        </w:rPr>
        <w:t>.</w:t>
      </w:r>
    </w:p>
    <w:p w14:paraId="3FCCE92D" w14:textId="77777777" w:rsidR="00A54C46" w:rsidRPr="006125E5" w:rsidRDefault="00A54C46" w:rsidP="00A54C46">
      <w:pPr>
        <w:widowControl w:val="0"/>
        <w:adjustRightInd w:val="0"/>
        <w:jc w:val="both"/>
        <w:rPr>
          <w:szCs w:val="28"/>
          <w:lang w:val="es-ES_tradnl"/>
        </w:rPr>
      </w:pPr>
    </w:p>
    <w:p w14:paraId="331A4415" w14:textId="77777777" w:rsidR="00A54C46" w:rsidRPr="006125E5" w:rsidRDefault="00A54C46" w:rsidP="008277A3">
      <w:pPr>
        <w:widowControl w:val="0"/>
        <w:numPr>
          <w:ilvl w:val="0"/>
          <w:numId w:val="10"/>
        </w:numPr>
        <w:adjustRightInd w:val="0"/>
        <w:jc w:val="both"/>
        <w:rPr>
          <w:bCs/>
          <w:szCs w:val="28"/>
          <w:lang w:val="es-ES_tradnl"/>
        </w:rPr>
      </w:pPr>
      <w:r w:rsidRPr="006125E5">
        <w:rPr>
          <w:szCs w:val="28"/>
          <w:lang w:val="es-ES_tradnl"/>
        </w:rPr>
        <w:t>L</w:t>
      </w:r>
      <w:r w:rsidRPr="006125E5">
        <w:rPr>
          <w:szCs w:val="28"/>
          <w:lang w:val="es-CO"/>
        </w:rPr>
        <w:t>a Corte Constitucional c</w:t>
      </w:r>
      <w:r w:rsidR="004C0280" w:rsidRPr="006125E5">
        <w:rPr>
          <w:szCs w:val="28"/>
          <w:lang w:val="es-CO"/>
        </w:rPr>
        <w:t>laramente</w:t>
      </w:r>
      <w:r w:rsidRPr="006125E5">
        <w:rPr>
          <w:szCs w:val="28"/>
          <w:lang w:val="es-CO"/>
        </w:rPr>
        <w:t>, como puede determinar los efectos de sus propios fallos</w:t>
      </w:r>
      <w:r w:rsidRPr="006125E5">
        <w:rPr>
          <w:szCs w:val="28"/>
          <w:vertAlign w:val="superscript"/>
          <w:lang w:val="es-CO"/>
        </w:rPr>
        <w:footnoteReference w:id="212"/>
      </w:r>
      <w:r w:rsidRPr="006125E5">
        <w:rPr>
          <w:szCs w:val="28"/>
          <w:lang w:val="es-CO"/>
        </w:rPr>
        <w:t>, cuenta con la atribución de delimitar el alcance de la cosa juzgada constitucional en tales casos, para avanzar en ese equilibrio esperado, con el propósito de promover no s</w:t>
      </w:r>
      <w:r w:rsidR="00C80E03">
        <w:rPr>
          <w:szCs w:val="28"/>
          <w:lang w:val="es-CO"/>
        </w:rPr>
        <w:t>o</w:t>
      </w:r>
      <w:r w:rsidRPr="006125E5">
        <w:rPr>
          <w:szCs w:val="28"/>
          <w:lang w:val="es-CO"/>
        </w:rPr>
        <w:t xml:space="preserve">lo el acceso efectivo de los ciudadanos a la administración de justicia (Art. 229 C.P) y la interposición de las acciones públicas en defensa de la Constitución (Art. 40-6 C.P), sino con el fin de asegurar la </w:t>
      </w:r>
      <w:r w:rsidRPr="006125E5">
        <w:rPr>
          <w:i/>
          <w:szCs w:val="28"/>
          <w:lang w:val="es-CO"/>
        </w:rPr>
        <w:t>certeza</w:t>
      </w:r>
      <w:r w:rsidRPr="006125E5">
        <w:rPr>
          <w:szCs w:val="28"/>
          <w:lang w:val="es-CO"/>
        </w:rPr>
        <w:t xml:space="preserve"> jurídica</w:t>
      </w:r>
      <w:r w:rsidRPr="006125E5">
        <w:rPr>
          <w:szCs w:val="28"/>
          <w:vertAlign w:val="superscript"/>
          <w:lang w:val="es-CO"/>
        </w:rPr>
        <w:footnoteReference w:id="213"/>
      </w:r>
      <w:r w:rsidRPr="006125E5">
        <w:rPr>
          <w:szCs w:val="28"/>
          <w:lang w:val="es-CO"/>
        </w:rPr>
        <w:t xml:space="preserve"> y lograr decisiones concretas y definitivas sobre aspectos que ofrecen dudas en materia constitucional</w:t>
      </w:r>
      <w:r w:rsidRPr="006125E5">
        <w:rPr>
          <w:szCs w:val="28"/>
          <w:vertAlign w:val="superscript"/>
          <w:lang w:val="es-CO"/>
        </w:rPr>
        <w:footnoteReference w:id="214"/>
      </w:r>
      <w:r w:rsidRPr="006125E5">
        <w:rPr>
          <w:szCs w:val="28"/>
          <w:lang w:val="es-CO"/>
        </w:rPr>
        <w:t>.</w:t>
      </w:r>
    </w:p>
    <w:p w14:paraId="11B2A037" w14:textId="77777777" w:rsidR="00A54C46" w:rsidRPr="006125E5" w:rsidRDefault="00A54C46" w:rsidP="00A54C46">
      <w:pPr>
        <w:widowControl w:val="0"/>
        <w:adjustRightInd w:val="0"/>
        <w:jc w:val="both"/>
        <w:rPr>
          <w:szCs w:val="28"/>
          <w:lang w:val="es-ES_tradnl"/>
        </w:rPr>
      </w:pPr>
    </w:p>
    <w:p w14:paraId="0CB91581" w14:textId="77777777" w:rsidR="00A54C46" w:rsidRPr="006125E5" w:rsidRDefault="008277A3" w:rsidP="008277A3">
      <w:pPr>
        <w:shd w:val="clear" w:color="auto" w:fill="FFFFFF"/>
        <w:ind w:right="-34"/>
        <w:jc w:val="both"/>
        <w:rPr>
          <w:szCs w:val="28"/>
          <w:lang w:val="es-CO" w:eastAsia="es-CO"/>
        </w:rPr>
      </w:pPr>
      <w:r w:rsidRPr="006125E5">
        <w:rPr>
          <w:bCs/>
          <w:szCs w:val="28"/>
          <w:lang w:val="es-ES_tradnl"/>
        </w:rPr>
        <w:t xml:space="preserve">En lo que concierne a tales atribuciones se debe recordar, que </w:t>
      </w:r>
      <w:r w:rsidR="00A54C46" w:rsidRPr="006125E5">
        <w:rPr>
          <w:szCs w:val="28"/>
          <w:lang w:val="es-CO" w:eastAsia="es-CO"/>
        </w:rPr>
        <w:t xml:space="preserve">de acuerdo con la </w:t>
      </w:r>
      <w:r w:rsidR="00A54C46" w:rsidRPr="006125E5">
        <w:rPr>
          <w:b/>
          <w:szCs w:val="28"/>
          <w:lang w:val="es-CO" w:eastAsia="es-CO"/>
        </w:rPr>
        <w:t>Sentencia C-113 de 1993</w:t>
      </w:r>
      <w:r w:rsidR="00A54C46" w:rsidRPr="006125E5">
        <w:rPr>
          <w:rStyle w:val="Refdenotaalpie"/>
          <w:szCs w:val="28"/>
          <w:lang w:val="es-CO" w:eastAsia="es-CO"/>
        </w:rPr>
        <w:footnoteReference w:id="215"/>
      </w:r>
      <w:r w:rsidR="00A54C46" w:rsidRPr="006125E5">
        <w:rPr>
          <w:szCs w:val="28"/>
          <w:lang w:val="es-CO" w:eastAsia="es-CO"/>
        </w:rPr>
        <w:t xml:space="preserve"> le compete a la Corte Constitucional determinar válidamente el alcance de los efectos de sus providencias</w:t>
      </w:r>
      <w:r w:rsidR="00A54C46" w:rsidRPr="006125E5">
        <w:rPr>
          <w:rStyle w:val="Refdenotaalpie"/>
          <w:szCs w:val="28"/>
          <w:lang w:val="es-CO" w:eastAsia="es-CO"/>
        </w:rPr>
        <w:footnoteReference w:id="216"/>
      </w:r>
      <w:r w:rsidR="00A54C46" w:rsidRPr="006125E5">
        <w:rPr>
          <w:szCs w:val="28"/>
          <w:lang w:val="es-CO" w:eastAsia="es-CO"/>
        </w:rPr>
        <w:t>. Lo anterior, en virtud de su función de guardiana de la "</w:t>
      </w:r>
      <w:r w:rsidR="00A54C46" w:rsidRPr="006125E5">
        <w:rPr>
          <w:i/>
          <w:szCs w:val="28"/>
          <w:lang w:val="es-CO" w:eastAsia="es-CO"/>
        </w:rPr>
        <w:t>integridad y supremacía de la Constitución</w:t>
      </w:r>
      <w:r w:rsidR="00A54C46" w:rsidRPr="006125E5">
        <w:rPr>
          <w:szCs w:val="28"/>
          <w:lang w:val="es-CO" w:eastAsia="es-CO"/>
        </w:rPr>
        <w:t>" y por consiguiente, de su facultad interpretativa en los términos del artículo 241 de la Carta. Por lo que puede establecer entonces, cuál es el efecto que mejor defiende los derechos constitucionales y garantiza mejor la supremacía de la Constitución, a fin de cumplir cabalmente con sus obligaciones constitucionales</w:t>
      </w:r>
      <w:r w:rsidR="00A54C46" w:rsidRPr="006125E5">
        <w:rPr>
          <w:rStyle w:val="Refdenotaalpie"/>
          <w:szCs w:val="28"/>
          <w:lang w:val="es-CO" w:eastAsia="es-CO"/>
        </w:rPr>
        <w:footnoteReference w:id="217"/>
      </w:r>
      <w:r w:rsidR="00A54C46" w:rsidRPr="006125E5">
        <w:rPr>
          <w:szCs w:val="28"/>
          <w:lang w:val="es-CO" w:eastAsia="es-CO"/>
        </w:rPr>
        <w:t xml:space="preserve">. </w:t>
      </w:r>
    </w:p>
    <w:p w14:paraId="337AC031" w14:textId="77777777" w:rsidR="00E23319" w:rsidRPr="006125E5" w:rsidRDefault="00E23319" w:rsidP="00A12F31">
      <w:pPr>
        <w:shd w:val="clear" w:color="auto" w:fill="FFFFFF"/>
        <w:ind w:right="46"/>
        <w:jc w:val="both"/>
        <w:rPr>
          <w:szCs w:val="28"/>
        </w:rPr>
      </w:pPr>
    </w:p>
    <w:p w14:paraId="072BF8D6" w14:textId="77777777" w:rsidR="00A12F31" w:rsidRPr="002E4477" w:rsidRDefault="008277A3" w:rsidP="00A12F31">
      <w:pPr>
        <w:shd w:val="clear" w:color="auto" w:fill="FFFFFF"/>
        <w:ind w:right="46"/>
        <w:jc w:val="both"/>
        <w:rPr>
          <w:szCs w:val="28"/>
        </w:rPr>
      </w:pPr>
      <w:r w:rsidRPr="006125E5">
        <w:rPr>
          <w:szCs w:val="28"/>
        </w:rPr>
        <w:t>Aunado a lo anterior,</w:t>
      </w:r>
      <w:r>
        <w:rPr>
          <w:szCs w:val="28"/>
        </w:rPr>
        <w:t xml:space="preserve"> e</w:t>
      </w:r>
      <w:r w:rsidR="00A12F31" w:rsidRPr="002E4477">
        <w:rPr>
          <w:szCs w:val="28"/>
        </w:rPr>
        <w:t xml:space="preserve">n la </w:t>
      </w:r>
      <w:r w:rsidR="00A12F31" w:rsidRPr="002E4477">
        <w:rPr>
          <w:b/>
          <w:bCs/>
          <w:szCs w:val="28"/>
        </w:rPr>
        <w:t>Sentencia C-038 de 2006</w:t>
      </w:r>
      <w:r w:rsidR="00A12F31" w:rsidRPr="002E4477">
        <w:rPr>
          <w:rStyle w:val="Refdenotaalpie"/>
          <w:b/>
          <w:bCs/>
          <w:szCs w:val="28"/>
        </w:rPr>
        <w:footnoteReference w:id="218"/>
      </w:r>
      <w:r w:rsidR="00A12F31" w:rsidRPr="002E4477">
        <w:rPr>
          <w:szCs w:val="28"/>
        </w:rPr>
        <w:t xml:space="preserve">, esta Corporación explicó los fundamentos que justifican la adopción de decisiones de exequibilidad condicionada de la siguiente forma: </w:t>
      </w:r>
    </w:p>
    <w:p w14:paraId="3CF5E5D6" w14:textId="77777777" w:rsidR="00A12F31" w:rsidRPr="002E4477" w:rsidRDefault="00A12F31" w:rsidP="00EC0A8F">
      <w:pPr>
        <w:shd w:val="clear" w:color="auto" w:fill="FFFFFF"/>
        <w:spacing w:line="276" w:lineRule="auto"/>
        <w:ind w:left="567" w:right="46"/>
        <w:jc w:val="both"/>
        <w:rPr>
          <w:szCs w:val="28"/>
        </w:rPr>
      </w:pPr>
    </w:p>
    <w:p w14:paraId="407F1025" w14:textId="77777777" w:rsidR="00A12F31" w:rsidRPr="00E23319" w:rsidRDefault="00A12F31" w:rsidP="00EC0A8F">
      <w:pPr>
        <w:shd w:val="clear" w:color="auto" w:fill="FFFFFF"/>
        <w:ind w:left="284"/>
        <w:jc w:val="both"/>
        <w:rPr>
          <w:i/>
          <w:iCs/>
          <w:sz w:val="26"/>
          <w:szCs w:val="26"/>
        </w:rPr>
      </w:pPr>
      <w:r w:rsidRPr="00E23319">
        <w:rPr>
          <w:i/>
          <w:iCs/>
          <w:sz w:val="26"/>
          <w:szCs w:val="26"/>
        </w:rPr>
        <w:t xml:space="preserve">“[E]n virtud del principio hermenéutico de conservación del derecho, la Corte ha precisado que ´no puede excluir una norma legal del ordenamiento jurídico, por vía de la declaración de inexequibilidad, </w:t>
      </w:r>
      <w:r w:rsidRPr="00E23319">
        <w:rPr>
          <w:b/>
          <w:i/>
          <w:iCs/>
          <w:sz w:val="26"/>
          <w:szCs w:val="26"/>
        </w:rPr>
        <w:t>cuando existe, por lo menos, una interpretación de la misma que se aviene con el texto constitucional</w:t>
      </w:r>
      <w:r w:rsidRPr="00E23319">
        <w:rPr>
          <w:i/>
          <w:iCs/>
          <w:sz w:val="26"/>
          <w:szCs w:val="26"/>
        </w:rPr>
        <w:t xml:space="preserve">.  De ser así, el juez de la carta se encuentra en la obligación de declarar la exequibilidad de la norma legal condicionada a que ésta sea entendida de acuerdo con la interpretación que se concilie con el estatuto superior. Con esto, se persigue, esencialmente, salvaguardar, al menos, algunos de los posibles efectos jurídicos de la disposición demandada, </w:t>
      </w:r>
      <w:r w:rsidRPr="00E23319">
        <w:rPr>
          <w:b/>
          <w:i/>
          <w:iCs/>
          <w:sz w:val="26"/>
          <w:szCs w:val="26"/>
          <w:u w:val="single"/>
        </w:rPr>
        <w:t>de manera que se conserve, al máximo la voluntad del legislador</w:t>
      </w:r>
      <w:r w:rsidRPr="00E23319">
        <w:rPr>
          <w:i/>
          <w:iCs/>
          <w:sz w:val="26"/>
          <w:szCs w:val="26"/>
        </w:rPr>
        <w:t xml:space="preserve">´. || Así mismo, el principio de la interpretación de la ley conforme a la Constitución ha sido entendido por la Corte Constitucional como una técnica de guarda de la integridad y la supremacía de la Constitución, este principio encuentra su fundamento en el artículo 4º de la Constitución Política según el cual “en caso de incompatibilidad entre la Constitución y la ley u otra norma jurídica, se aplicarán las disposiciones constitucionales”. </w:t>
      </w:r>
      <w:r w:rsidRPr="00E23319">
        <w:rPr>
          <w:sz w:val="26"/>
          <w:szCs w:val="26"/>
        </w:rPr>
        <w:t>(Subrayas y negrillas fuera del original).</w:t>
      </w:r>
      <w:r w:rsidRPr="00E23319">
        <w:rPr>
          <w:i/>
          <w:iCs/>
          <w:sz w:val="26"/>
          <w:szCs w:val="26"/>
        </w:rPr>
        <w:t xml:space="preserve"> </w:t>
      </w:r>
    </w:p>
    <w:p w14:paraId="659B2744" w14:textId="77777777" w:rsidR="003F1B42" w:rsidRDefault="003F1B42" w:rsidP="00EC0A8F">
      <w:pPr>
        <w:widowControl w:val="0"/>
        <w:adjustRightInd w:val="0"/>
        <w:spacing w:line="276" w:lineRule="auto"/>
        <w:jc w:val="both"/>
        <w:rPr>
          <w:szCs w:val="28"/>
          <w:highlight w:val="lightGray"/>
          <w:lang w:val="es-ES_tradnl"/>
        </w:rPr>
      </w:pPr>
    </w:p>
    <w:p w14:paraId="0C3E5504" w14:textId="77777777" w:rsidR="002853CA" w:rsidRPr="007E2367" w:rsidRDefault="009F6C0C" w:rsidP="003F1B42">
      <w:pPr>
        <w:widowControl w:val="0"/>
        <w:numPr>
          <w:ilvl w:val="0"/>
          <w:numId w:val="10"/>
        </w:numPr>
        <w:adjustRightInd w:val="0"/>
        <w:jc w:val="both"/>
        <w:rPr>
          <w:bCs/>
          <w:szCs w:val="28"/>
          <w:lang w:val="es-ES_tradnl"/>
        </w:rPr>
      </w:pPr>
      <w:r w:rsidRPr="007E2367">
        <w:rPr>
          <w:bCs/>
          <w:szCs w:val="28"/>
          <w:lang w:val="es-ES_tradnl"/>
        </w:rPr>
        <w:t>Cuando la Corte determina tales efectos, puede entonces</w:t>
      </w:r>
      <w:r w:rsidR="001764B7" w:rsidRPr="007E2367">
        <w:rPr>
          <w:bCs/>
          <w:szCs w:val="28"/>
          <w:lang w:val="es-ES_tradnl"/>
        </w:rPr>
        <w:t xml:space="preserve"> </w:t>
      </w:r>
      <w:r w:rsidR="001764B7" w:rsidRPr="007E2367">
        <w:rPr>
          <w:b/>
          <w:szCs w:val="28"/>
          <w:lang w:val="es-ES_tradnl"/>
        </w:rPr>
        <w:t>(i)</w:t>
      </w:r>
      <w:r w:rsidRPr="007E2367">
        <w:rPr>
          <w:bCs/>
          <w:szCs w:val="28"/>
          <w:lang w:val="es-ES_tradnl"/>
        </w:rPr>
        <w:t xml:space="preserve"> expulsar </w:t>
      </w:r>
      <w:r w:rsidR="001764B7" w:rsidRPr="007E2367">
        <w:rPr>
          <w:bCs/>
          <w:szCs w:val="28"/>
          <w:lang w:val="es-ES_tradnl"/>
        </w:rPr>
        <w:t xml:space="preserve">del ordenamiento </w:t>
      </w:r>
      <w:r w:rsidRPr="007E2367">
        <w:rPr>
          <w:bCs/>
          <w:szCs w:val="28"/>
          <w:lang w:val="es-ES_tradnl"/>
        </w:rPr>
        <w:t>una proposición jurídica particular</w:t>
      </w:r>
      <w:r w:rsidR="001764B7" w:rsidRPr="007E2367">
        <w:rPr>
          <w:bCs/>
          <w:szCs w:val="28"/>
          <w:lang w:val="es-ES_tradnl"/>
        </w:rPr>
        <w:t xml:space="preserve">, </w:t>
      </w:r>
      <w:r w:rsidRPr="007E2367">
        <w:rPr>
          <w:bCs/>
          <w:szCs w:val="28"/>
          <w:lang w:val="es-ES_tradnl"/>
        </w:rPr>
        <w:t xml:space="preserve">que entiende como ajena a la Carta, para conservar, en su lugar, una determinada regla de derecho, que resulte acorde con los mandatos previstos en el </w:t>
      </w:r>
      <w:r w:rsidR="007E2367" w:rsidRPr="007E2367">
        <w:rPr>
          <w:bCs/>
          <w:szCs w:val="28"/>
          <w:lang w:val="es-ES_tradnl"/>
        </w:rPr>
        <w:t>t</w:t>
      </w:r>
      <w:r w:rsidRPr="007E2367">
        <w:rPr>
          <w:bCs/>
          <w:szCs w:val="28"/>
          <w:lang w:val="es-ES_tradnl"/>
        </w:rPr>
        <w:t xml:space="preserve">exto </w:t>
      </w:r>
      <w:r w:rsidR="007E2367" w:rsidRPr="007E2367">
        <w:rPr>
          <w:bCs/>
          <w:szCs w:val="28"/>
          <w:lang w:val="es-ES_tradnl"/>
        </w:rPr>
        <w:t>s</w:t>
      </w:r>
      <w:r w:rsidRPr="007E2367">
        <w:rPr>
          <w:bCs/>
          <w:szCs w:val="28"/>
          <w:lang w:val="es-ES_tradnl"/>
        </w:rPr>
        <w:t>uperior</w:t>
      </w:r>
      <w:r w:rsidRPr="007E2367">
        <w:rPr>
          <w:bCs/>
          <w:szCs w:val="28"/>
          <w:vertAlign w:val="superscript"/>
          <w:lang w:val="es-ES_tradnl"/>
        </w:rPr>
        <w:footnoteReference w:id="219"/>
      </w:r>
      <w:r w:rsidRPr="007E2367">
        <w:rPr>
          <w:bCs/>
          <w:szCs w:val="28"/>
          <w:lang w:val="es-ES_tradnl"/>
        </w:rPr>
        <w:t>. O,</w:t>
      </w:r>
      <w:r w:rsidR="001764B7" w:rsidRPr="007E2367">
        <w:rPr>
          <w:bCs/>
          <w:szCs w:val="28"/>
          <w:lang w:val="es-ES_tradnl"/>
        </w:rPr>
        <w:t xml:space="preserve"> </w:t>
      </w:r>
      <w:r w:rsidR="001764B7" w:rsidRPr="007E2367">
        <w:rPr>
          <w:b/>
          <w:szCs w:val="28"/>
          <w:lang w:val="es-ES_tradnl"/>
        </w:rPr>
        <w:t>(ii)</w:t>
      </w:r>
      <w:r w:rsidRPr="007E2367">
        <w:rPr>
          <w:bCs/>
          <w:szCs w:val="28"/>
          <w:lang w:val="es-ES_tradnl"/>
        </w:rPr>
        <w:t xml:space="preserve"> puede integrar elementos adicionales a las normas o ajustarlos, lo que supone una modificación del </w:t>
      </w:r>
      <w:r w:rsidR="007E2367" w:rsidRPr="007E2367">
        <w:rPr>
          <w:bCs/>
          <w:szCs w:val="28"/>
          <w:lang w:val="es-ES_tradnl"/>
        </w:rPr>
        <w:t>contenido</w:t>
      </w:r>
      <w:r w:rsidRPr="007E2367">
        <w:rPr>
          <w:bCs/>
          <w:szCs w:val="28"/>
          <w:lang w:val="es-ES_tradnl"/>
        </w:rPr>
        <w:t xml:space="preserve"> de la disposición, que se altera para que, ante l</w:t>
      </w:r>
      <w:r w:rsidR="001764B7" w:rsidRPr="007E2367">
        <w:rPr>
          <w:bCs/>
          <w:szCs w:val="28"/>
          <w:lang w:val="es-ES_tradnl"/>
        </w:rPr>
        <w:t xml:space="preserve">os reproches de </w:t>
      </w:r>
      <w:r w:rsidR="00B66625" w:rsidRPr="007E2367">
        <w:rPr>
          <w:bCs/>
          <w:szCs w:val="28"/>
          <w:lang w:val="es-ES_tradnl"/>
        </w:rPr>
        <w:t xml:space="preserve">inconstitucionalidad </w:t>
      </w:r>
      <w:r w:rsidR="001764B7" w:rsidRPr="007E2367">
        <w:rPr>
          <w:bCs/>
          <w:szCs w:val="28"/>
          <w:lang w:val="es-ES_tradnl"/>
        </w:rPr>
        <w:t xml:space="preserve">que formulen los ciudadanos </w:t>
      </w:r>
      <w:r w:rsidRPr="007E2367">
        <w:rPr>
          <w:bCs/>
          <w:szCs w:val="28"/>
          <w:lang w:val="es-ES_tradnl"/>
        </w:rPr>
        <w:t xml:space="preserve">y por las razones de preservación del derecho, se </w:t>
      </w:r>
      <w:r w:rsidR="003F1B42" w:rsidRPr="007E2367">
        <w:rPr>
          <w:bCs/>
          <w:szCs w:val="28"/>
          <w:lang w:val="es-ES_tradnl"/>
        </w:rPr>
        <w:t>entienda en adelante</w:t>
      </w:r>
      <w:r w:rsidRPr="007E2367">
        <w:rPr>
          <w:bCs/>
          <w:szCs w:val="28"/>
          <w:lang w:val="es-ES_tradnl"/>
        </w:rPr>
        <w:t xml:space="preserve"> adecuadamente </w:t>
      </w:r>
      <w:r w:rsidR="003F1B42" w:rsidRPr="007E2367">
        <w:rPr>
          <w:bCs/>
          <w:szCs w:val="28"/>
          <w:lang w:val="es-ES_tradnl"/>
        </w:rPr>
        <w:t xml:space="preserve">conforme </w:t>
      </w:r>
      <w:r w:rsidR="00B66625" w:rsidRPr="007E2367">
        <w:rPr>
          <w:bCs/>
          <w:szCs w:val="28"/>
          <w:lang w:val="es-ES_tradnl"/>
        </w:rPr>
        <w:t>a</w:t>
      </w:r>
      <w:r w:rsidRPr="007E2367">
        <w:rPr>
          <w:bCs/>
          <w:szCs w:val="28"/>
          <w:lang w:val="es-ES_tradnl"/>
        </w:rPr>
        <w:t xml:space="preserve"> los parámetros fijados por la Constitución. </w:t>
      </w:r>
      <w:r w:rsidR="002853CA" w:rsidRPr="007E2367">
        <w:rPr>
          <w:bCs/>
          <w:szCs w:val="28"/>
          <w:lang w:val="es-ES_tradnl"/>
        </w:rPr>
        <w:t>En ese sentido</w:t>
      </w:r>
      <w:r w:rsidR="00984289" w:rsidRPr="007E2367">
        <w:rPr>
          <w:bCs/>
          <w:szCs w:val="28"/>
          <w:lang w:val="es-ES_tradnl"/>
        </w:rPr>
        <w:t xml:space="preserve">, </w:t>
      </w:r>
      <w:r w:rsidR="008A1CA4" w:rsidRPr="007E2367">
        <w:rPr>
          <w:bCs/>
          <w:szCs w:val="28"/>
          <w:lang w:val="es-ES_tradnl"/>
        </w:rPr>
        <w:t xml:space="preserve">es </w:t>
      </w:r>
      <w:r w:rsidR="00D66794" w:rsidRPr="007E2367">
        <w:rPr>
          <w:bCs/>
          <w:szCs w:val="28"/>
          <w:lang w:val="es-ES_tradnl"/>
        </w:rPr>
        <w:t xml:space="preserve">posible </w:t>
      </w:r>
      <w:r w:rsidR="00984289" w:rsidRPr="007E2367">
        <w:rPr>
          <w:bCs/>
          <w:szCs w:val="28"/>
          <w:lang w:val="es-ES_tradnl"/>
        </w:rPr>
        <w:t xml:space="preserve">la </w:t>
      </w:r>
      <w:r w:rsidR="008A1CA4" w:rsidRPr="007E2367">
        <w:rPr>
          <w:bCs/>
          <w:szCs w:val="28"/>
          <w:lang w:val="es-ES_tradnl"/>
        </w:rPr>
        <w:t xml:space="preserve">intervención del juez constitucional en el contenido normativo de la disposición estudiada, con el propósito de señalar cuál o cuáles son los sentidos en los que esa norma resulta ajustada a la Constitución. </w:t>
      </w:r>
    </w:p>
    <w:p w14:paraId="4E5030DA" w14:textId="77777777" w:rsidR="00880F1A" w:rsidRPr="007E2367" w:rsidRDefault="00880F1A" w:rsidP="008A1CA4">
      <w:pPr>
        <w:widowControl w:val="0"/>
        <w:adjustRightInd w:val="0"/>
        <w:jc w:val="both"/>
        <w:rPr>
          <w:szCs w:val="28"/>
          <w:shd w:val="clear" w:color="auto" w:fill="FFFFFF"/>
        </w:rPr>
      </w:pPr>
    </w:p>
    <w:p w14:paraId="756EF016" w14:textId="77777777" w:rsidR="008A1CA4" w:rsidRPr="007E2367" w:rsidRDefault="00AD7D92" w:rsidP="008A1CA4">
      <w:pPr>
        <w:widowControl w:val="0"/>
        <w:numPr>
          <w:ilvl w:val="0"/>
          <w:numId w:val="10"/>
        </w:numPr>
        <w:adjustRightInd w:val="0"/>
        <w:jc w:val="both"/>
        <w:rPr>
          <w:szCs w:val="28"/>
          <w:shd w:val="clear" w:color="auto" w:fill="FFFFFF"/>
          <w:lang w:val="es-ES_tradnl"/>
        </w:rPr>
      </w:pPr>
      <w:r w:rsidRPr="007E2367">
        <w:rPr>
          <w:szCs w:val="28"/>
          <w:shd w:val="clear" w:color="auto" w:fill="FFFFFF"/>
          <w:lang w:val="es-ES_tradnl"/>
        </w:rPr>
        <w:t xml:space="preserve"> </w:t>
      </w:r>
      <w:r w:rsidR="008A1CA4" w:rsidRPr="007E2367">
        <w:rPr>
          <w:szCs w:val="28"/>
          <w:shd w:val="clear" w:color="auto" w:fill="FFFFFF"/>
          <w:lang w:val="es-ES_tradnl"/>
        </w:rPr>
        <w:t>La</w:t>
      </w:r>
      <w:r w:rsidR="008277A3" w:rsidRPr="007E2367">
        <w:rPr>
          <w:szCs w:val="28"/>
          <w:shd w:val="clear" w:color="auto" w:fill="FFFFFF"/>
          <w:lang w:val="es-ES_tradnl"/>
        </w:rPr>
        <w:t>s</w:t>
      </w:r>
      <w:r w:rsidR="008A1CA4" w:rsidRPr="007E2367">
        <w:rPr>
          <w:szCs w:val="28"/>
          <w:shd w:val="clear" w:color="auto" w:fill="FFFFFF"/>
          <w:lang w:val="es-ES_tradnl"/>
        </w:rPr>
        <w:t xml:space="preserve"> norma</w:t>
      </w:r>
      <w:r w:rsidR="008277A3" w:rsidRPr="007E2367">
        <w:rPr>
          <w:szCs w:val="28"/>
          <w:shd w:val="clear" w:color="auto" w:fill="FFFFFF"/>
          <w:lang w:val="es-ES_tradnl"/>
        </w:rPr>
        <w:t>s</w:t>
      </w:r>
      <w:r w:rsidR="008A1CA4" w:rsidRPr="007E2367">
        <w:rPr>
          <w:szCs w:val="28"/>
          <w:shd w:val="clear" w:color="auto" w:fill="FFFFFF"/>
          <w:lang w:val="es-ES_tradnl"/>
        </w:rPr>
        <w:t xml:space="preserve"> jurídica</w:t>
      </w:r>
      <w:r w:rsidR="008277A3" w:rsidRPr="007E2367">
        <w:rPr>
          <w:szCs w:val="28"/>
          <w:shd w:val="clear" w:color="auto" w:fill="FFFFFF"/>
          <w:lang w:val="es-ES_tradnl"/>
        </w:rPr>
        <w:t>s</w:t>
      </w:r>
      <w:r w:rsidR="008A1CA4" w:rsidRPr="007E2367">
        <w:rPr>
          <w:szCs w:val="28"/>
          <w:shd w:val="clear" w:color="auto" w:fill="FFFFFF"/>
          <w:lang w:val="es-ES_tradnl"/>
        </w:rPr>
        <w:t xml:space="preserve"> así consolidada</w:t>
      </w:r>
      <w:r w:rsidR="008277A3" w:rsidRPr="007E2367">
        <w:rPr>
          <w:szCs w:val="28"/>
          <w:shd w:val="clear" w:color="auto" w:fill="FFFFFF"/>
          <w:lang w:val="es-ES_tradnl"/>
        </w:rPr>
        <w:t>s</w:t>
      </w:r>
      <w:r w:rsidR="008A1CA4" w:rsidRPr="007E2367">
        <w:rPr>
          <w:szCs w:val="28"/>
          <w:shd w:val="clear" w:color="auto" w:fill="FFFFFF"/>
          <w:lang w:val="es-ES_tradnl"/>
        </w:rPr>
        <w:t>, puede</w:t>
      </w:r>
      <w:r w:rsidR="007E2367" w:rsidRPr="007E2367">
        <w:rPr>
          <w:szCs w:val="28"/>
          <w:shd w:val="clear" w:color="auto" w:fill="FFFFFF"/>
          <w:lang w:val="es-ES_tradnl"/>
        </w:rPr>
        <w:t>n</w:t>
      </w:r>
      <w:r w:rsidR="008A1CA4" w:rsidRPr="007E2367">
        <w:rPr>
          <w:szCs w:val="28"/>
          <w:shd w:val="clear" w:color="auto" w:fill="FFFFFF"/>
          <w:lang w:val="es-ES_tradnl"/>
        </w:rPr>
        <w:t xml:space="preserve"> ser objeto de nuevos pronunciamientos respecto de cargos de inconstitucionalidad que no fueron examinados en la decisión precedente. Sin embargo, el examen de constitucionalidad posterior que se haga de la norma sujeta a </w:t>
      </w:r>
      <w:r w:rsidR="00CE7DAC" w:rsidRPr="007E2367">
        <w:rPr>
          <w:szCs w:val="28"/>
          <w:shd w:val="clear" w:color="auto" w:fill="FFFFFF"/>
          <w:lang w:val="es-ES_tradnl"/>
        </w:rPr>
        <w:t>condición</w:t>
      </w:r>
      <w:r w:rsidR="008A1CA4" w:rsidRPr="007E2367">
        <w:rPr>
          <w:szCs w:val="28"/>
          <w:shd w:val="clear" w:color="auto" w:fill="FFFFFF"/>
          <w:lang w:val="es-ES_tradnl"/>
        </w:rPr>
        <w:t xml:space="preserve"> no recaerá solamente sobre el texto original de la ley, sino sobre la norma jurídica que </w:t>
      </w:r>
      <w:r w:rsidR="00CD451F" w:rsidRPr="007E2367">
        <w:rPr>
          <w:szCs w:val="28"/>
          <w:shd w:val="clear" w:color="auto" w:fill="FFFFFF"/>
          <w:lang w:val="es-ES_tradnl"/>
        </w:rPr>
        <w:t xml:space="preserve">ahora </w:t>
      </w:r>
      <w:r w:rsidR="008A1CA4" w:rsidRPr="007E2367">
        <w:rPr>
          <w:szCs w:val="28"/>
          <w:shd w:val="clear" w:color="auto" w:fill="FFFFFF"/>
          <w:lang w:val="es-ES_tradnl"/>
        </w:rPr>
        <w:t>surg</w:t>
      </w:r>
      <w:r w:rsidR="008277A3" w:rsidRPr="007E2367">
        <w:rPr>
          <w:szCs w:val="28"/>
          <w:shd w:val="clear" w:color="auto" w:fill="FFFFFF"/>
          <w:lang w:val="es-ES_tradnl"/>
        </w:rPr>
        <w:t>e</w:t>
      </w:r>
      <w:r w:rsidR="008A1CA4" w:rsidRPr="007E2367">
        <w:rPr>
          <w:szCs w:val="28"/>
          <w:shd w:val="clear" w:color="auto" w:fill="FFFFFF"/>
          <w:lang w:val="es-ES_tradnl"/>
        </w:rPr>
        <w:t xml:space="preserve"> a partir del fallo condicionado</w:t>
      </w:r>
      <w:r w:rsidR="008A1CA4" w:rsidRPr="007E2367">
        <w:rPr>
          <w:szCs w:val="28"/>
          <w:shd w:val="clear" w:color="auto" w:fill="FFFFFF"/>
          <w:vertAlign w:val="superscript"/>
          <w:lang w:val="es-ES_tradnl"/>
        </w:rPr>
        <w:footnoteReference w:id="220"/>
      </w:r>
      <w:r w:rsidR="008A1CA4" w:rsidRPr="007E2367">
        <w:rPr>
          <w:szCs w:val="28"/>
          <w:shd w:val="clear" w:color="auto" w:fill="FFFFFF"/>
          <w:lang w:val="es-ES_tradnl"/>
        </w:rPr>
        <w:t>.</w:t>
      </w:r>
    </w:p>
    <w:p w14:paraId="3BFD747A" w14:textId="77777777" w:rsidR="008A1CA4" w:rsidRPr="007E2367" w:rsidRDefault="008A1CA4" w:rsidP="008A1CA4">
      <w:pPr>
        <w:widowControl w:val="0"/>
        <w:adjustRightInd w:val="0"/>
        <w:jc w:val="both"/>
        <w:rPr>
          <w:szCs w:val="28"/>
          <w:lang w:val="es-ES_tradnl"/>
        </w:rPr>
      </w:pPr>
    </w:p>
    <w:p w14:paraId="056A4929" w14:textId="77777777" w:rsidR="00AD7D92" w:rsidRPr="007E2367" w:rsidRDefault="008277A3" w:rsidP="00B66625">
      <w:pPr>
        <w:jc w:val="both"/>
        <w:rPr>
          <w:szCs w:val="28"/>
          <w:lang w:val="es-ES_tradnl"/>
        </w:rPr>
      </w:pPr>
      <w:r w:rsidRPr="007E2367">
        <w:rPr>
          <w:bCs/>
          <w:szCs w:val="28"/>
          <w:lang w:val="es-ES_tradnl"/>
        </w:rPr>
        <w:t>Sobre esa base</w:t>
      </w:r>
      <w:r w:rsidR="00CD451F" w:rsidRPr="007E2367">
        <w:rPr>
          <w:bCs/>
          <w:szCs w:val="28"/>
          <w:lang w:val="es-ES_tradnl"/>
        </w:rPr>
        <w:t>,</w:t>
      </w:r>
      <w:r w:rsidRPr="007E2367">
        <w:rPr>
          <w:bCs/>
          <w:szCs w:val="28"/>
          <w:lang w:val="es-ES_tradnl"/>
        </w:rPr>
        <w:t xml:space="preserve"> y de acuerdo</w:t>
      </w:r>
      <w:r w:rsidR="00AD7D92" w:rsidRPr="007E2367">
        <w:rPr>
          <w:bCs/>
          <w:szCs w:val="28"/>
          <w:lang w:val="es-ES_tradnl"/>
        </w:rPr>
        <w:t xml:space="preserve"> con la </w:t>
      </w:r>
      <w:r w:rsidR="00AD7D92" w:rsidRPr="007E2367">
        <w:rPr>
          <w:szCs w:val="28"/>
          <w:lang w:val="es-CO"/>
        </w:rPr>
        <w:t>especificidad del control constitucional que</w:t>
      </w:r>
      <w:r w:rsidR="009E04EA" w:rsidRPr="007E2367">
        <w:rPr>
          <w:szCs w:val="28"/>
          <w:lang w:val="es-CO"/>
        </w:rPr>
        <w:t xml:space="preserve"> </w:t>
      </w:r>
      <w:r w:rsidR="00AD7D92" w:rsidRPr="007E2367">
        <w:rPr>
          <w:szCs w:val="28"/>
          <w:lang w:val="es-CO"/>
        </w:rPr>
        <w:t>adelanta</w:t>
      </w:r>
      <w:r w:rsidR="009E04EA" w:rsidRPr="007E2367">
        <w:rPr>
          <w:szCs w:val="28"/>
          <w:lang w:val="es-CO"/>
        </w:rPr>
        <w:t xml:space="preserve"> </w:t>
      </w:r>
      <w:r w:rsidR="00CD451F" w:rsidRPr="007E2367">
        <w:rPr>
          <w:szCs w:val="28"/>
          <w:lang w:val="es-CO"/>
        </w:rPr>
        <w:t>esta Corporación</w:t>
      </w:r>
      <w:r w:rsidR="00AD7D92" w:rsidRPr="007E2367">
        <w:rPr>
          <w:szCs w:val="28"/>
          <w:vertAlign w:val="superscript"/>
          <w:lang w:val="es-CO"/>
        </w:rPr>
        <w:footnoteReference w:id="221"/>
      </w:r>
      <w:r w:rsidR="00AD7D92" w:rsidRPr="007E2367">
        <w:rPr>
          <w:szCs w:val="28"/>
          <w:lang w:val="es-CO"/>
        </w:rPr>
        <w:t xml:space="preserve">, puede hablarse entonces de </w:t>
      </w:r>
      <w:r w:rsidR="00AD7D92" w:rsidRPr="007E2367">
        <w:rPr>
          <w:szCs w:val="28"/>
          <w:lang w:val="es-ES_tradnl" w:eastAsia="es-CO"/>
        </w:rPr>
        <w:t xml:space="preserve">cosa juzgada </w:t>
      </w:r>
      <w:r w:rsidR="00AD7D92" w:rsidRPr="007E2367">
        <w:rPr>
          <w:i/>
          <w:szCs w:val="28"/>
          <w:lang w:val="es-ES_tradnl" w:eastAsia="es-CO"/>
        </w:rPr>
        <w:t>absoluta, relativa, formal, material y aparente</w:t>
      </w:r>
      <w:r w:rsidR="00AD7D92" w:rsidRPr="007E2367">
        <w:rPr>
          <w:i/>
          <w:szCs w:val="28"/>
          <w:vertAlign w:val="superscript"/>
          <w:lang w:val="es-ES_tradnl" w:eastAsia="es-CO"/>
        </w:rPr>
        <w:footnoteReference w:id="222"/>
      </w:r>
      <w:r w:rsidR="00AD7D92" w:rsidRPr="007E2367">
        <w:rPr>
          <w:szCs w:val="28"/>
          <w:lang w:val="es-ES_tradnl" w:eastAsia="es-CO"/>
        </w:rPr>
        <w:t xml:space="preserve">. </w:t>
      </w:r>
      <w:r w:rsidR="00AD7D92" w:rsidRPr="007E2367">
        <w:rPr>
          <w:szCs w:val="28"/>
          <w:lang w:val="es-CO" w:eastAsia="es-CO"/>
        </w:rPr>
        <w:t>Para efectos de esta providencia</w:t>
      </w:r>
      <w:r w:rsidR="00B66625" w:rsidRPr="007E2367">
        <w:rPr>
          <w:rStyle w:val="Refdenotaalpie"/>
          <w:szCs w:val="28"/>
          <w:lang w:val="es-CO" w:eastAsia="es-CO"/>
        </w:rPr>
        <w:footnoteReference w:id="223"/>
      </w:r>
      <w:r w:rsidR="00AD7D92" w:rsidRPr="007E2367">
        <w:rPr>
          <w:szCs w:val="28"/>
          <w:lang w:val="es-CO" w:eastAsia="es-CO"/>
        </w:rPr>
        <w:t xml:space="preserve"> </w:t>
      </w:r>
      <w:r w:rsidR="00CD451F" w:rsidRPr="007E2367">
        <w:rPr>
          <w:szCs w:val="28"/>
          <w:lang w:val="es-CO" w:eastAsia="es-CO"/>
        </w:rPr>
        <w:t xml:space="preserve">resulta </w:t>
      </w:r>
      <w:r w:rsidR="00AD7D92" w:rsidRPr="007E2367">
        <w:rPr>
          <w:szCs w:val="28"/>
          <w:lang w:val="es-CO" w:eastAsia="es-CO"/>
        </w:rPr>
        <w:t xml:space="preserve">relevante la distinción que existe entre la cosa juzgada </w:t>
      </w:r>
      <w:r w:rsidR="00AD7D92" w:rsidRPr="007E2367">
        <w:rPr>
          <w:b/>
          <w:szCs w:val="28"/>
          <w:lang w:val="es-CO" w:eastAsia="es-CO"/>
        </w:rPr>
        <w:t>formal</w:t>
      </w:r>
      <w:r w:rsidR="00AD7D92" w:rsidRPr="007E2367">
        <w:rPr>
          <w:szCs w:val="28"/>
          <w:lang w:val="es-CO" w:eastAsia="es-CO"/>
        </w:rPr>
        <w:t xml:space="preserve"> y la cosa juzgada </w:t>
      </w:r>
      <w:r w:rsidR="00AD7D92" w:rsidRPr="007E2367">
        <w:rPr>
          <w:b/>
          <w:szCs w:val="28"/>
          <w:lang w:val="es-CO" w:eastAsia="es-CO"/>
        </w:rPr>
        <w:t>material</w:t>
      </w:r>
      <w:r w:rsidR="00B66625" w:rsidRPr="007E2367">
        <w:rPr>
          <w:szCs w:val="28"/>
          <w:lang w:val="es-CO" w:eastAsia="es-CO"/>
        </w:rPr>
        <w:t>.</w:t>
      </w:r>
      <w:r w:rsidR="00AD7D92" w:rsidRPr="007E2367">
        <w:rPr>
          <w:szCs w:val="28"/>
          <w:lang w:val="es-CO" w:eastAsia="es-CO"/>
        </w:rPr>
        <w:t xml:space="preserve"> </w:t>
      </w:r>
      <w:r w:rsidR="00CD451F" w:rsidRPr="007E2367">
        <w:rPr>
          <w:szCs w:val="28"/>
          <w:lang w:val="es-CO" w:eastAsia="es-CO"/>
        </w:rPr>
        <w:t>El primer caso ocurre</w:t>
      </w:r>
      <w:r w:rsidR="009E04EA" w:rsidRPr="007E2367">
        <w:rPr>
          <w:szCs w:val="28"/>
          <w:lang w:val="es-CO" w:eastAsia="es-CO"/>
        </w:rPr>
        <w:t>,</w:t>
      </w:r>
      <w:r w:rsidR="00CD451F" w:rsidRPr="007E2367">
        <w:rPr>
          <w:szCs w:val="28"/>
          <w:lang w:val="es-CO" w:eastAsia="es-CO"/>
        </w:rPr>
        <w:t xml:space="preserve"> “</w:t>
      </w:r>
      <w:r w:rsidR="00CD451F" w:rsidRPr="007E2367">
        <w:rPr>
          <w:i/>
          <w:iCs/>
          <w:szCs w:val="28"/>
          <w:lang w:val="es-CO" w:eastAsia="es-CO"/>
        </w:rPr>
        <w:t>c</w:t>
      </w:r>
      <w:r w:rsidR="00AD7D92" w:rsidRPr="007E2367">
        <w:rPr>
          <w:bCs/>
          <w:i/>
          <w:iCs/>
          <w:szCs w:val="28"/>
          <w:lang w:val="es-ES_tradnl" w:eastAsia="es-CO"/>
        </w:rPr>
        <w:t>uando existe una decisión previa del juez constitucional en relación con la misma norma, que es llevada posteriormente a un [nuevo] estudio</w:t>
      </w:r>
      <w:r w:rsidR="00AD7D92" w:rsidRPr="007E2367">
        <w:rPr>
          <w:bCs/>
          <w:iCs/>
          <w:szCs w:val="28"/>
          <w:lang w:val="es-ES_tradnl" w:eastAsia="es-CO"/>
        </w:rPr>
        <w:t>”</w:t>
      </w:r>
      <w:r w:rsidR="00AD7D92" w:rsidRPr="007E2367">
        <w:rPr>
          <w:bCs/>
          <w:szCs w:val="28"/>
          <w:vertAlign w:val="superscript"/>
          <w:lang w:val="es-ES_tradnl" w:eastAsia="es-CO"/>
        </w:rPr>
        <w:footnoteReference w:id="224"/>
      </w:r>
      <w:r w:rsidR="009E04EA" w:rsidRPr="007E2367">
        <w:rPr>
          <w:bCs/>
          <w:iCs/>
          <w:szCs w:val="28"/>
          <w:lang w:val="es-ES_tradnl" w:eastAsia="es-CO"/>
        </w:rPr>
        <w:t xml:space="preserve">. Se trata entonces de una situación en la que </w:t>
      </w:r>
      <w:r w:rsidR="00AD7D92" w:rsidRPr="007E2367">
        <w:rPr>
          <w:szCs w:val="28"/>
          <w:shd w:val="clear" w:color="auto" w:fill="FFFFFF"/>
          <w:lang w:val="es-ES_tradnl"/>
        </w:rPr>
        <w:t>exist</w:t>
      </w:r>
      <w:r w:rsidR="009E04EA" w:rsidRPr="007E2367">
        <w:rPr>
          <w:szCs w:val="28"/>
          <w:shd w:val="clear" w:color="auto" w:fill="FFFFFF"/>
          <w:lang w:val="es-ES_tradnl"/>
        </w:rPr>
        <w:t>e</w:t>
      </w:r>
      <w:r w:rsidR="00AD7D92" w:rsidRPr="007E2367">
        <w:rPr>
          <w:szCs w:val="28"/>
          <w:shd w:val="clear" w:color="auto" w:fill="FFFFFF"/>
          <w:lang w:val="es-ES_tradnl"/>
        </w:rPr>
        <w:t xml:space="preserve"> un pronunciamiento constitucional </w:t>
      </w:r>
      <w:r w:rsidR="009E04EA" w:rsidRPr="007E2367">
        <w:rPr>
          <w:szCs w:val="28"/>
          <w:shd w:val="clear" w:color="auto" w:fill="FFFFFF"/>
          <w:lang w:val="es-ES_tradnl"/>
        </w:rPr>
        <w:t xml:space="preserve">previo </w:t>
      </w:r>
      <w:r w:rsidR="00AD7D92" w:rsidRPr="007E2367">
        <w:rPr>
          <w:szCs w:val="28"/>
          <w:shd w:val="clear" w:color="auto" w:fill="FFFFFF"/>
          <w:lang w:val="es-ES_tradnl"/>
        </w:rPr>
        <w:t xml:space="preserve">en relación con </w:t>
      </w:r>
      <w:r w:rsidR="00B66625" w:rsidRPr="007E2367">
        <w:rPr>
          <w:szCs w:val="28"/>
          <w:shd w:val="clear" w:color="auto" w:fill="FFFFFF"/>
          <w:lang w:val="es-ES_tradnl"/>
        </w:rPr>
        <w:t xml:space="preserve">un </w:t>
      </w:r>
      <w:r w:rsidR="00AD7D92" w:rsidRPr="007E2367">
        <w:rPr>
          <w:szCs w:val="28"/>
          <w:shd w:val="clear" w:color="auto" w:fill="FFFFFF"/>
          <w:lang w:val="es-ES_tradnl"/>
        </w:rPr>
        <w:t>mismo precepto,</w:t>
      </w:r>
      <w:r w:rsidR="009E04EA" w:rsidRPr="007E2367">
        <w:rPr>
          <w:szCs w:val="28"/>
          <w:shd w:val="clear" w:color="auto" w:fill="FFFFFF"/>
          <w:lang w:val="es-ES_tradnl"/>
        </w:rPr>
        <w:t xml:space="preserve"> que hace </w:t>
      </w:r>
      <w:r w:rsidR="000662F8" w:rsidRPr="007E2367">
        <w:rPr>
          <w:bCs/>
          <w:iCs/>
          <w:szCs w:val="28"/>
          <w:lang w:val="es-ES_tradnl" w:eastAsia="es-CO"/>
        </w:rPr>
        <w:t xml:space="preserve">imposible </w:t>
      </w:r>
      <w:r w:rsidR="00B66625" w:rsidRPr="007E2367">
        <w:rPr>
          <w:bCs/>
          <w:iCs/>
          <w:szCs w:val="28"/>
          <w:lang w:val="es-ES_tradnl" w:eastAsia="es-CO"/>
        </w:rPr>
        <w:t xml:space="preserve">someter </w:t>
      </w:r>
      <w:r w:rsidR="00B62DAA" w:rsidRPr="007E2367">
        <w:rPr>
          <w:szCs w:val="28"/>
          <w:shd w:val="clear" w:color="auto" w:fill="FFFFFF"/>
          <w:lang w:val="es-ES_tradnl"/>
        </w:rPr>
        <w:t xml:space="preserve">una vez más </w:t>
      </w:r>
      <w:r w:rsidR="00B62DAA" w:rsidRPr="007E2367">
        <w:rPr>
          <w:bCs/>
          <w:iCs/>
          <w:szCs w:val="28"/>
          <w:lang w:val="es-ES_tradnl" w:eastAsia="es-CO"/>
        </w:rPr>
        <w:t xml:space="preserve">al </w:t>
      </w:r>
      <w:r w:rsidR="00B62DAA" w:rsidRPr="007E2367">
        <w:rPr>
          <w:szCs w:val="28"/>
          <w:shd w:val="clear" w:color="auto" w:fill="FFFFFF"/>
          <w:lang w:val="es-ES_tradnl"/>
        </w:rPr>
        <w:t>escrutinio constitucional</w:t>
      </w:r>
      <w:r w:rsidR="00B62DAA" w:rsidRPr="007E2367">
        <w:rPr>
          <w:bCs/>
          <w:iCs/>
          <w:szCs w:val="28"/>
          <w:lang w:val="es-ES_tradnl" w:eastAsia="es-CO"/>
        </w:rPr>
        <w:t xml:space="preserve"> </w:t>
      </w:r>
      <w:r w:rsidR="009E04EA" w:rsidRPr="007E2367">
        <w:rPr>
          <w:bCs/>
          <w:iCs/>
          <w:szCs w:val="28"/>
          <w:lang w:val="es-ES_tradnl" w:eastAsia="es-CO"/>
        </w:rPr>
        <w:t xml:space="preserve">a </w:t>
      </w:r>
      <w:r w:rsidR="00B62DAA" w:rsidRPr="007E2367">
        <w:rPr>
          <w:bCs/>
          <w:iCs/>
          <w:szCs w:val="28"/>
          <w:lang w:val="es-ES_tradnl" w:eastAsia="es-CO"/>
        </w:rPr>
        <w:t xml:space="preserve">la </w:t>
      </w:r>
      <w:r w:rsidR="00B66625" w:rsidRPr="007E2367">
        <w:rPr>
          <w:bCs/>
          <w:iCs/>
          <w:szCs w:val="28"/>
          <w:lang w:val="es-ES_tradnl" w:eastAsia="es-CO"/>
        </w:rPr>
        <w:t>disposición</w:t>
      </w:r>
      <w:r w:rsidR="00B62DAA" w:rsidRPr="007E2367">
        <w:rPr>
          <w:bCs/>
          <w:iCs/>
          <w:szCs w:val="28"/>
          <w:lang w:val="es-ES_tradnl" w:eastAsia="es-CO"/>
        </w:rPr>
        <w:t xml:space="preserve"> ya revisada</w:t>
      </w:r>
      <w:r w:rsidR="000662F8" w:rsidRPr="007E2367">
        <w:rPr>
          <w:szCs w:val="28"/>
          <w:shd w:val="clear" w:color="auto" w:fill="FFFFFF"/>
          <w:lang w:val="es-ES_tradnl"/>
        </w:rPr>
        <w:t xml:space="preserve">, </w:t>
      </w:r>
      <w:r w:rsidR="00B62DAA" w:rsidRPr="007E2367">
        <w:rPr>
          <w:bCs/>
          <w:iCs/>
          <w:szCs w:val="28"/>
          <w:lang w:val="es-ES_tradnl" w:eastAsia="es-CO"/>
        </w:rPr>
        <w:t>cuando la norma es acusada por</w:t>
      </w:r>
      <w:r w:rsidR="000662F8" w:rsidRPr="007E2367">
        <w:rPr>
          <w:bCs/>
          <w:iCs/>
          <w:szCs w:val="28"/>
          <w:lang w:val="es-ES_tradnl" w:eastAsia="es-CO"/>
        </w:rPr>
        <w:t xml:space="preserve"> los</w:t>
      </w:r>
      <w:r w:rsidR="009E04EA" w:rsidRPr="007E2367">
        <w:rPr>
          <w:bCs/>
          <w:iCs/>
          <w:szCs w:val="28"/>
          <w:lang w:val="es-ES_tradnl" w:eastAsia="es-CO"/>
        </w:rPr>
        <w:t xml:space="preserve"> mismos</w:t>
      </w:r>
      <w:r w:rsidR="000662F8" w:rsidRPr="007E2367">
        <w:rPr>
          <w:bCs/>
          <w:iCs/>
          <w:szCs w:val="28"/>
          <w:lang w:val="es-ES_tradnl" w:eastAsia="es-CO"/>
        </w:rPr>
        <w:t xml:space="preserve"> cargos </w:t>
      </w:r>
      <w:r w:rsidR="00B62DAA" w:rsidRPr="007E2367">
        <w:rPr>
          <w:bCs/>
          <w:iCs/>
          <w:szCs w:val="28"/>
          <w:lang w:val="es-ES_tradnl" w:eastAsia="es-CO"/>
        </w:rPr>
        <w:t xml:space="preserve">que ya fueron evaluados </w:t>
      </w:r>
      <w:r w:rsidR="009E04EA" w:rsidRPr="007E2367">
        <w:rPr>
          <w:bCs/>
          <w:iCs/>
          <w:szCs w:val="28"/>
          <w:lang w:val="es-ES_tradnl" w:eastAsia="es-CO"/>
        </w:rPr>
        <w:t xml:space="preserve">en </w:t>
      </w:r>
      <w:r w:rsidR="00B62DAA" w:rsidRPr="007E2367">
        <w:rPr>
          <w:bCs/>
          <w:iCs/>
          <w:szCs w:val="28"/>
          <w:lang w:val="es-ES_tradnl" w:eastAsia="es-CO"/>
        </w:rPr>
        <w:t>un</w:t>
      </w:r>
      <w:r w:rsidR="009E04EA" w:rsidRPr="007E2367">
        <w:rPr>
          <w:bCs/>
          <w:iCs/>
          <w:szCs w:val="28"/>
          <w:lang w:val="es-ES_tradnl" w:eastAsia="es-CO"/>
        </w:rPr>
        <w:t xml:space="preserve"> primer momento</w:t>
      </w:r>
      <w:r w:rsidR="000662F8" w:rsidRPr="007E2367">
        <w:rPr>
          <w:bCs/>
          <w:iCs/>
          <w:szCs w:val="28"/>
          <w:lang w:val="es-ES_tradnl" w:eastAsia="es-CO"/>
        </w:rPr>
        <w:t xml:space="preserve">. </w:t>
      </w:r>
    </w:p>
    <w:p w14:paraId="59855F64" w14:textId="77777777" w:rsidR="00AD7D92" w:rsidRPr="007E2367" w:rsidRDefault="00AD7D92" w:rsidP="00AD7D92">
      <w:pPr>
        <w:jc w:val="both"/>
        <w:rPr>
          <w:bCs/>
          <w:iCs/>
          <w:szCs w:val="28"/>
          <w:lang w:val="es-ES_tradnl" w:eastAsia="es-CO"/>
        </w:rPr>
      </w:pPr>
    </w:p>
    <w:p w14:paraId="6CA973B0" w14:textId="77777777" w:rsidR="00AD7D92" w:rsidRPr="007E2367" w:rsidRDefault="00AD7D92" w:rsidP="00AD7D92">
      <w:pPr>
        <w:jc w:val="both"/>
        <w:rPr>
          <w:bCs/>
          <w:szCs w:val="28"/>
        </w:rPr>
      </w:pPr>
      <w:r w:rsidRPr="007E2367">
        <w:rPr>
          <w:bCs/>
          <w:iCs/>
          <w:szCs w:val="28"/>
          <w:lang w:val="es-ES_tradnl" w:eastAsia="es-CO"/>
        </w:rPr>
        <w:t xml:space="preserve">Por otra parte, existe </w:t>
      </w:r>
      <w:r w:rsidRPr="007E2367">
        <w:rPr>
          <w:bCs/>
          <w:i/>
          <w:iCs/>
          <w:szCs w:val="28"/>
          <w:lang w:val="es-ES_tradnl" w:eastAsia="es-CO"/>
        </w:rPr>
        <w:t>cosa juzgada material</w:t>
      </w:r>
      <w:r w:rsidRPr="007E2367">
        <w:rPr>
          <w:bCs/>
          <w:iCs/>
          <w:szCs w:val="28"/>
          <w:lang w:val="es-ES_tradnl" w:eastAsia="es-CO"/>
        </w:rPr>
        <w:t xml:space="preserve">, </w:t>
      </w:r>
      <w:r w:rsidRPr="007E2367">
        <w:rPr>
          <w:bCs/>
          <w:szCs w:val="28"/>
        </w:rPr>
        <w:t xml:space="preserve">cuando a pesar de haberse </w:t>
      </w:r>
      <w:r w:rsidR="000662F8" w:rsidRPr="007E2367">
        <w:rPr>
          <w:bCs/>
          <w:szCs w:val="28"/>
        </w:rPr>
        <w:t xml:space="preserve">acusado </w:t>
      </w:r>
      <w:r w:rsidRPr="007E2367">
        <w:rPr>
          <w:bCs/>
          <w:szCs w:val="28"/>
        </w:rPr>
        <w:t>una norma</w:t>
      </w:r>
      <w:r w:rsidR="00B66625" w:rsidRPr="007E2367">
        <w:rPr>
          <w:bCs/>
          <w:szCs w:val="28"/>
        </w:rPr>
        <w:t>,</w:t>
      </w:r>
      <w:r w:rsidRPr="007E2367">
        <w:rPr>
          <w:bCs/>
          <w:szCs w:val="28"/>
        </w:rPr>
        <w:t xml:space="preserve"> </w:t>
      </w:r>
      <w:r w:rsidR="000662F8" w:rsidRPr="007E2367">
        <w:rPr>
          <w:bCs/>
          <w:szCs w:val="28"/>
        </w:rPr>
        <w:t xml:space="preserve">que parece ser </w:t>
      </w:r>
      <w:r w:rsidRPr="007E2367">
        <w:rPr>
          <w:bCs/>
          <w:szCs w:val="28"/>
        </w:rPr>
        <w:t>formalmente distinta</w:t>
      </w:r>
      <w:r w:rsidR="00B66625" w:rsidRPr="007E2367">
        <w:rPr>
          <w:bCs/>
          <w:szCs w:val="28"/>
        </w:rPr>
        <w:t xml:space="preserve"> a la primera</w:t>
      </w:r>
      <w:r w:rsidRPr="007E2367">
        <w:rPr>
          <w:bCs/>
          <w:szCs w:val="28"/>
        </w:rPr>
        <w:t xml:space="preserve">, su materia o contenido normativo resulta ser idéntico al de otra disposición que ya fue objeto del juicio de constitucionalidad, sin que el </w:t>
      </w:r>
      <w:r w:rsidR="00111D07" w:rsidRPr="007E2367">
        <w:rPr>
          <w:bCs/>
          <w:szCs w:val="28"/>
        </w:rPr>
        <w:t xml:space="preserve">régimen jurídico o el </w:t>
      </w:r>
      <w:r w:rsidRPr="007E2367">
        <w:rPr>
          <w:bCs/>
          <w:szCs w:val="28"/>
        </w:rPr>
        <w:t>entorno en el cual se apliquen</w:t>
      </w:r>
      <w:r w:rsidR="000662F8" w:rsidRPr="007E2367">
        <w:rPr>
          <w:bCs/>
          <w:szCs w:val="28"/>
        </w:rPr>
        <w:t xml:space="preserve"> las disposiciones</w:t>
      </w:r>
      <w:r w:rsidR="00B62DAA" w:rsidRPr="007E2367">
        <w:rPr>
          <w:bCs/>
          <w:szCs w:val="28"/>
        </w:rPr>
        <w:t>,</w:t>
      </w:r>
      <w:r w:rsidRPr="007E2367">
        <w:rPr>
          <w:bCs/>
          <w:szCs w:val="28"/>
        </w:rPr>
        <w:t xml:space="preserve"> comporte un cambio sustancial en su alcance y significación</w:t>
      </w:r>
      <w:r w:rsidRPr="007E2367">
        <w:rPr>
          <w:bCs/>
          <w:szCs w:val="28"/>
          <w:vertAlign w:val="superscript"/>
        </w:rPr>
        <w:footnoteReference w:id="225"/>
      </w:r>
      <w:r w:rsidRPr="007E2367">
        <w:rPr>
          <w:bCs/>
          <w:szCs w:val="28"/>
        </w:rPr>
        <w:t xml:space="preserve">. </w:t>
      </w:r>
    </w:p>
    <w:p w14:paraId="3BC82A83" w14:textId="77777777" w:rsidR="00AD7D92" w:rsidRPr="007E2367" w:rsidRDefault="00AD7D92" w:rsidP="00AD7D92">
      <w:pPr>
        <w:jc w:val="both"/>
        <w:rPr>
          <w:bCs/>
          <w:szCs w:val="28"/>
        </w:rPr>
      </w:pPr>
    </w:p>
    <w:p w14:paraId="0913BBEF" w14:textId="77777777" w:rsidR="00AD7D92" w:rsidRPr="007E2367" w:rsidRDefault="00AD7D92" w:rsidP="00B66625">
      <w:pPr>
        <w:numPr>
          <w:ilvl w:val="0"/>
          <w:numId w:val="10"/>
        </w:numPr>
        <w:jc w:val="both"/>
        <w:rPr>
          <w:bCs/>
          <w:iCs/>
          <w:szCs w:val="28"/>
          <w:lang w:val="es-ES_tradnl" w:eastAsia="es-CO"/>
        </w:rPr>
      </w:pPr>
      <w:r w:rsidRPr="007E2367">
        <w:rPr>
          <w:iCs/>
          <w:szCs w:val="28"/>
          <w:lang w:val="es-ES_tradnl"/>
        </w:rPr>
        <w:t>De esta manera, la cosa juzgada constitucional no s</w:t>
      </w:r>
      <w:r w:rsidR="00C80E03">
        <w:rPr>
          <w:iCs/>
          <w:szCs w:val="28"/>
          <w:lang w:val="es-ES_tradnl"/>
        </w:rPr>
        <w:t>o</w:t>
      </w:r>
      <w:r w:rsidRPr="007E2367">
        <w:rPr>
          <w:iCs/>
          <w:szCs w:val="28"/>
          <w:lang w:val="es-ES_tradnl"/>
        </w:rPr>
        <w:t>lo cubre el texto normativo formalmente igual (cosa juzgada formal), sino también opera frente al contenido material de la norma jurídica que ha sido objeto del control de constitucionalidad (material).</w:t>
      </w:r>
    </w:p>
    <w:p w14:paraId="551D7938" w14:textId="77777777" w:rsidR="00AD7D92" w:rsidRPr="007E2367" w:rsidRDefault="00AD7D92" w:rsidP="00AD7D92">
      <w:pPr>
        <w:widowControl w:val="0"/>
        <w:adjustRightInd w:val="0"/>
        <w:jc w:val="both"/>
        <w:rPr>
          <w:bCs/>
          <w:iCs/>
          <w:szCs w:val="28"/>
          <w:lang w:val="es-ES_tradnl" w:eastAsia="es-CO"/>
        </w:rPr>
      </w:pPr>
    </w:p>
    <w:p w14:paraId="66C0386D" w14:textId="77777777" w:rsidR="00AD7D92" w:rsidRPr="007E2367" w:rsidRDefault="00AD7D92" w:rsidP="00AD7D92">
      <w:pPr>
        <w:widowControl w:val="0"/>
        <w:adjustRightInd w:val="0"/>
        <w:jc w:val="both"/>
        <w:rPr>
          <w:iCs/>
          <w:szCs w:val="28"/>
          <w:bdr w:val="none" w:sz="0" w:space="0" w:color="auto" w:frame="1"/>
          <w:lang w:val="es-ES_tradnl"/>
        </w:rPr>
      </w:pPr>
      <w:r w:rsidRPr="007E2367">
        <w:rPr>
          <w:iCs/>
          <w:szCs w:val="28"/>
          <w:bdr w:val="none" w:sz="0" w:space="0" w:color="auto" w:frame="1"/>
          <w:lang w:val="es-ES_tradnl"/>
        </w:rPr>
        <w:t xml:space="preserve">En tales circunstancias, el elemento central para apreciar la diferencia entre la cosa juzgada formal y material, surge de la distinción que hace la teoría constitucional entre los conceptos de </w:t>
      </w:r>
      <w:r w:rsidRPr="007E2367">
        <w:rPr>
          <w:i/>
          <w:iCs/>
          <w:szCs w:val="28"/>
          <w:bdr w:val="none" w:sz="0" w:space="0" w:color="auto" w:frame="1"/>
          <w:lang w:val="es-ES_tradnl"/>
        </w:rPr>
        <w:t>disposición</w:t>
      </w:r>
      <w:r w:rsidRPr="007E2367">
        <w:rPr>
          <w:iCs/>
          <w:szCs w:val="28"/>
          <w:bdr w:val="none" w:sz="0" w:space="0" w:color="auto" w:frame="1"/>
          <w:lang w:val="es-ES_tradnl"/>
        </w:rPr>
        <w:t xml:space="preserve"> y </w:t>
      </w:r>
      <w:r w:rsidRPr="007E2367">
        <w:rPr>
          <w:i/>
          <w:iCs/>
          <w:szCs w:val="28"/>
          <w:bdr w:val="none" w:sz="0" w:space="0" w:color="auto" w:frame="1"/>
          <w:lang w:val="es-ES_tradnl"/>
        </w:rPr>
        <w:t>norma</w:t>
      </w:r>
      <w:r w:rsidRPr="007E2367">
        <w:rPr>
          <w:iCs/>
          <w:szCs w:val="28"/>
          <w:bdr w:val="none" w:sz="0" w:space="0" w:color="auto" w:frame="1"/>
          <w:lang w:val="es-ES_tradnl"/>
        </w:rPr>
        <w:t>. </w:t>
      </w:r>
      <w:r w:rsidRPr="007E2367">
        <w:rPr>
          <w:bCs/>
          <w:szCs w:val="28"/>
          <w:lang w:val="es-ES_tradnl"/>
        </w:rPr>
        <w:t xml:space="preserve">Los análisis constitucionales, en efecto, distinguen con claridad entre, de una parte, las </w:t>
      </w:r>
      <w:r w:rsidRPr="007E2367">
        <w:rPr>
          <w:bCs/>
          <w:i/>
          <w:szCs w:val="28"/>
          <w:lang w:val="es-ES_tradnl"/>
        </w:rPr>
        <w:t>disposiciones o enunciados normativos</w:t>
      </w:r>
      <w:r w:rsidRPr="007E2367">
        <w:rPr>
          <w:bCs/>
          <w:szCs w:val="28"/>
          <w:lang w:val="es-ES_tradnl"/>
        </w:rPr>
        <w:t xml:space="preserve">, esto es, los textos legales; y de otra, las </w:t>
      </w:r>
      <w:r w:rsidRPr="007E2367">
        <w:rPr>
          <w:bCs/>
          <w:i/>
          <w:szCs w:val="28"/>
          <w:lang w:val="es-ES_tradnl"/>
        </w:rPr>
        <w:t>normas o proposiciones jurídicas</w:t>
      </w:r>
      <w:r w:rsidRPr="007E2367">
        <w:rPr>
          <w:bCs/>
          <w:szCs w:val="28"/>
          <w:lang w:val="es-ES_tradnl"/>
        </w:rPr>
        <w:t xml:space="preserve"> o reglas de derecho, que se desprenden, por vía de aplicación o de interpretación, de dichos textos</w:t>
      </w:r>
      <w:r w:rsidRPr="007E2367">
        <w:rPr>
          <w:bCs/>
          <w:szCs w:val="28"/>
          <w:vertAlign w:val="superscript"/>
          <w:lang w:val="es-ES_tradnl"/>
        </w:rPr>
        <w:footnoteReference w:id="226"/>
      </w:r>
      <w:r w:rsidRPr="007E2367">
        <w:rPr>
          <w:bCs/>
          <w:szCs w:val="28"/>
          <w:lang w:val="es-ES_tradnl"/>
        </w:rPr>
        <w:t xml:space="preserve">. Así, </w:t>
      </w:r>
      <w:r w:rsidRPr="007E2367">
        <w:rPr>
          <w:iCs/>
          <w:szCs w:val="28"/>
          <w:bdr w:val="none" w:sz="0" w:space="0" w:color="auto" w:frame="1"/>
          <w:lang w:val="es-ES_tradnl"/>
        </w:rPr>
        <w:t xml:space="preserve">mientras la disposición responde al </w:t>
      </w:r>
      <w:r w:rsidRPr="007E2367">
        <w:rPr>
          <w:i/>
          <w:iCs/>
          <w:szCs w:val="28"/>
          <w:bdr w:val="none" w:sz="0" w:space="0" w:color="auto" w:frame="1"/>
          <w:lang w:val="es-ES_tradnl"/>
        </w:rPr>
        <w:t>texto</w:t>
      </w:r>
      <w:r w:rsidRPr="007E2367">
        <w:rPr>
          <w:iCs/>
          <w:szCs w:val="28"/>
          <w:bdr w:val="none" w:sz="0" w:space="0" w:color="auto" w:frame="1"/>
          <w:lang w:val="es-ES_tradnl"/>
        </w:rPr>
        <w:t xml:space="preserve"> </w:t>
      </w:r>
      <w:r w:rsidRPr="007E2367">
        <w:rPr>
          <w:i/>
          <w:iCs/>
          <w:szCs w:val="28"/>
          <w:bdr w:val="none" w:sz="0" w:space="0" w:color="auto" w:frame="1"/>
          <w:lang w:val="es-ES_tradnl"/>
        </w:rPr>
        <w:t xml:space="preserve">literal </w:t>
      </w:r>
      <w:r w:rsidRPr="007E2367">
        <w:rPr>
          <w:iCs/>
          <w:szCs w:val="28"/>
          <w:bdr w:val="none" w:sz="0" w:space="0" w:color="auto" w:frame="1"/>
          <w:lang w:val="es-ES_tradnl"/>
        </w:rPr>
        <w:t xml:space="preserve">de un precepto en sí mismo considerado, la segunda, se refiere al </w:t>
      </w:r>
      <w:r w:rsidRPr="007E2367">
        <w:rPr>
          <w:i/>
          <w:iCs/>
          <w:szCs w:val="28"/>
          <w:bdr w:val="none" w:sz="0" w:space="0" w:color="auto" w:frame="1"/>
          <w:lang w:val="es-ES_tradnl"/>
        </w:rPr>
        <w:t>contenido normativo</w:t>
      </w:r>
      <w:r w:rsidRPr="007E2367">
        <w:rPr>
          <w:iCs/>
          <w:szCs w:val="28"/>
          <w:bdr w:val="none" w:sz="0" w:space="0" w:color="auto" w:frame="1"/>
          <w:lang w:val="es-ES_tradnl"/>
        </w:rPr>
        <w:t xml:space="preserve"> o regla de derecho vinculante, esto es, a su sentido material. </w:t>
      </w:r>
    </w:p>
    <w:p w14:paraId="77419AB1" w14:textId="77777777" w:rsidR="00AD7D92" w:rsidRPr="007E2367" w:rsidRDefault="00AD7D92" w:rsidP="00AD7D92">
      <w:pPr>
        <w:widowControl w:val="0"/>
        <w:adjustRightInd w:val="0"/>
        <w:jc w:val="both"/>
        <w:rPr>
          <w:iCs/>
          <w:szCs w:val="28"/>
          <w:bdr w:val="none" w:sz="0" w:space="0" w:color="auto" w:frame="1"/>
          <w:lang w:val="es-ES_tradnl"/>
        </w:rPr>
      </w:pPr>
    </w:p>
    <w:p w14:paraId="2AD86420" w14:textId="77777777" w:rsidR="00AD7D92" w:rsidRPr="007E2367" w:rsidRDefault="00AD7D92" w:rsidP="00AD7D92">
      <w:pPr>
        <w:widowControl w:val="0"/>
        <w:adjustRightInd w:val="0"/>
        <w:jc w:val="both"/>
        <w:rPr>
          <w:bCs/>
          <w:iCs/>
          <w:szCs w:val="28"/>
          <w:lang w:val="es-ES_tradnl" w:eastAsia="es-CO"/>
        </w:rPr>
      </w:pPr>
      <w:r w:rsidRPr="007E2367">
        <w:rPr>
          <w:iCs/>
          <w:szCs w:val="28"/>
          <w:bdr w:val="none" w:sz="0" w:space="0" w:color="auto" w:frame="1"/>
          <w:lang w:val="es-ES_tradnl"/>
        </w:rPr>
        <w:t xml:space="preserve">Bajo tales supuestos, la </w:t>
      </w:r>
      <w:r w:rsidRPr="007E2367">
        <w:rPr>
          <w:i/>
          <w:iCs/>
          <w:szCs w:val="28"/>
          <w:bdr w:val="none" w:sz="0" w:space="0" w:color="auto" w:frame="1"/>
          <w:lang w:val="es-ES_tradnl"/>
        </w:rPr>
        <w:t>cosa juzgada formal</w:t>
      </w:r>
      <w:r w:rsidRPr="007E2367">
        <w:rPr>
          <w:iCs/>
          <w:szCs w:val="28"/>
          <w:bdr w:val="none" w:sz="0" w:space="0" w:color="auto" w:frame="1"/>
          <w:lang w:val="es-ES_tradnl"/>
        </w:rPr>
        <w:t xml:space="preserve"> opera cuando existe una decisión previa de este Tribunal, que ha analizado la constitucionalidad de </w:t>
      </w:r>
      <w:r w:rsidRPr="007E2367">
        <w:rPr>
          <w:i/>
          <w:iCs/>
          <w:szCs w:val="28"/>
          <w:bdr w:val="none" w:sz="0" w:space="0" w:color="auto" w:frame="1"/>
          <w:lang w:val="es-ES_tradnl"/>
        </w:rPr>
        <w:t>la misma disposición</w:t>
      </w:r>
      <w:r w:rsidRPr="007E2367">
        <w:rPr>
          <w:iCs/>
          <w:szCs w:val="28"/>
          <w:bdr w:val="none" w:sz="0" w:space="0" w:color="auto" w:frame="1"/>
          <w:lang w:val="es-ES_tradnl"/>
        </w:rPr>
        <w:t xml:space="preserve"> que se somete nuevamente a estudio; mientras que la </w:t>
      </w:r>
      <w:r w:rsidRPr="007E2367">
        <w:rPr>
          <w:i/>
          <w:iCs/>
          <w:szCs w:val="28"/>
          <w:bdr w:val="none" w:sz="0" w:space="0" w:color="auto" w:frame="1"/>
          <w:lang w:val="es-ES_tradnl"/>
        </w:rPr>
        <w:t xml:space="preserve">cosa juzgada material, por el contrario, </w:t>
      </w:r>
      <w:r w:rsidRPr="007E2367">
        <w:rPr>
          <w:iCs/>
          <w:szCs w:val="28"/>
          <w:bdr w:val="none" w:sz="0" w:space="0" w:color="auto" w:frame="1"/>
          <w:lang w:val="es-ES_tradnl"/>
        </w:rPr>
        <w:t xml:space="preserve">opera cuando a pesar </w:t>
      </w:r>
      <w:r w:rsidR="00111D07" w:rsidRPr="007E2367">
        <w:rPr>
          <w:iCs/>
          <w:szCs w:val="28"/>
          <w:bdr w:val="none" w:sz="0" w:space="0" w:color="auto" w:frame="1"/>
          <w:lang w:val="es-ES_tradnl"/>
        </w:rPr>
        <w:t xml:space="preserve">de </w:t>
      </w:r>
      <w:r w:rsidRPr="007E2367">
        <w:rPr>
          <w:iCs/>
          <w:szCs w:val="28"/>
          <w:bdr w:val="none" w:sz="0" w:space="0" w:color="auto" w:frame="1"/>
          <w:lang w:val="es-ES_tradnl"/>
        </w:rPr>
        <w:t xml:space="preserve">que existen dos </w:t>
      </w:r>
      <w:r w:rsidRPr="007E2367">
        <w:rPr>
          <w:i/>
          <w:iCs/>
          <w:szCs w:val="28"/>
          <w:bdr w:val="none" w:sz="0" w:space="0" w:color="auto" w:frame="1"/>
          <w:lang w:val="es-ES_tradnl"/>
        </w:rPr>
        <w:t>disposiciones diferentes</w:t>
      </w:r>
      <w:r w:rsidRPr="007E2367">
        <w:rPr>
          <w:iCs/>
          <w:szCs w:val="28"/>
          <w:bdr w:val="none" w:sz="0" w:space="0" w:color="auto" w:frame="1"/>
          <w:lang w:val="es-ES_tradnl"/>
        </w:rPr>
        <w:t xml:space="preserve"> en su sentido formal y una de ellas ya ha sido objeto de control de constitucionalidad, ambas poseen </w:t>
      </w:r>
      <w:r w:rsidRPr="007E2367">
        <w:rPr>
          <w:i/>
          <w:iCs/>
          <w:szCs w:val="28"/>
          <w:bdr w:val="none" w:sz="0" w:space="0" w:color="auto" w:frame="1"/>
          <w:lang w:val="es-ES_tradnl"/>
        </w:rPr>
        <w:t>el mismo contenido normativo</w:t>
      </w:r>
      <w:r w:rsidRPr="007E2367">
        <w:rPr>
          <w:iCs/>
          <w:szCs w:val="28"/>
          <w:bdr w:val="none" w:sz="0" w:space="0" w:color="auto" w:frame="1"/>
          <w:vertAlign w:val="superscript"/>
          <w:lang w:val="es-ES_tradnl"/>
        </w:rPr>
        <w:footnoteReference w:id="227"/>
      </w:r>
      <w:r w:rsidRPr="007E2367">
        <w:rPr>
          <w:iCs/>
          <w:szCs w:val="28"/>
          <w:bdr w:val="none" w:sz="0" w:space="0" w:color="auto" w:frame="1"/>
          <w:lang w:val="es-ES_tradnl"/>
        </w:rPr>
        <w:t>. </w:t>
      </w:r>
    </w:p>
    <w:p w14:paraId="4A85E1C9" w14:textId="77777777" w:rsidR="00AD7D92" w:rsidRPr="00A50C5C" w:rsidRDefault="00AD7D92" w:rsidP="00AD7D92">
      <w:pPr>
        <w:jc w:val="both"/>
        <w:rPr>
          <w:bCs/>
          <w:iCs/>
          <w:szCs w:val="28"/>
          <w:highlight w:val="lightGray"/>
          <w:lang w:val="es-ES_tradnl" w:eastAsia="es-CO"/>
        </w:rPr>
      </w:pPr>
    </w:p>
    <w:p w14:paraId="0D33C4C6" w14:textId="77777777" w:rsidR="00AD7D92" w:rsidRPr="007E2367" w:rsidRDefault="00AD7D92" w:rsidP="00B66625">
      <w:pPr>
        <w:numPr>
          <w:ilvl w:val="0"/>
          <w:numId w:val="10"/>
        </w:numPr>
        <w:jc w:val="both"/>
        <w:rPr>
          <w:szCs w:val="28"/>
          <w:lang w:val="es-ES_tradnl"/>
        </w:rPr>
      </w:pPr>
      <w:r w:rsidRPr="007E2367">
        <w:rPr>
          <w:bCs/>
          <w:iCs/>
          <w:szCs w:val="28"/>
          <w:lang w:val="es-ES_tradnl" w:eastAsia="es-CO"/>
        </w:rPr>
        <w:t>T</w:t>
      </w:r>
      <w:r w:rsidRPr="007E2367">
        <w:rPr>
          <w:bCs/>
          <w:szCs w:val="28"/>
          <w:lang w:val="es-ES_tradnl"/>
        </w:rPr>
        <w:t xml:space="preserve">ratándose de la </w:t>
      </w:r>
      <w:r w:rsidRPr="007E2367">
        <w:rPr>
          <w:bCs/>
          <w:i/>
          <w:szCs w:val="28"/>
          <w:lang w:val="es-ES_tradnl"/>
        </w:rPr>
        <w:t>cosa juzgada material</w:t>
      </w:r>
      <w:r w:rsidRPr="007E2367">
        <w:rPr>
          <w:bCs/>
          <w:szCs w:val="28"/>
          <w:lang w:val="es-ES_tradnl"/>
        </w:rPr>
        <w:t xml:space="preserve">, la doctrina de la Corte Constitucional ha precisado que sus efectos varían, dependiendo de si la norma fue declarada </w:t>
      </w:r>
      <w:r w:rsidRPr="007E2367">
        <w:rPr>
          <w:bCs/>
          <w:i/>
          <w:szCs w:val="28"/>
          <w:lang w:val="es-ES_tradnl"/>
        </w:rPr>
        <w:t>inexequible</w:t>
      </w:r>
      <w:r w:rsidRPr="007E2367">
        <w:rPr>
          <w:bCs/>
          <w:szCs w:val="28"/>
          <w:lang w:val="es-ES_tradnl"/>
        </w:rPr>
        <w:t xml:space="preserve"> o </w:t>
      </w:r>
      <w:r w:rsidRPr="007E2367">
        <w:rPr>
          <w:bCs/>
          <w:i/>
          <w:szCs w:val="28"/>
          <w:lang w:val="es-ES_tradnl"/>
        </w:rPr>
        <w:t>exequible</w:t>
      </w:r>
      <w:r w:rsidRPr="007E2367">
        <w:rPr>
          <w:bCs/>
          <w:szCs w:val="28"/>
          <w:vertAlign w:val="superscript"/>
          <w:lang w:val="es-ES_tradnl"/>
        </w:rPr>
        <w:footnoteReference w:id="228"/>
      </w:r>
      <w:r w:rsidRPr="007E2367">
        <w:rPr>
          <w:bCs/>
          <w:szCs w:val="28"/>
          <w:lang w:val="es-ES_tradnl"/>
        </w:rPr>
        <w:t xml:space="preserve">. Para que ello pueda ser constatado, la Corte Constitucional </w:t>
      </w:r>
      <w:r w:rsidRPr="007E2367">
        <w:rPr>
          <w:szCs w:val="28"/>
          <w:lang w:val="es-ES_tradnl"/>
        </w:rPr>
        <w:t>ha diferenciado</w:t>
      </w:r>
      <w:r w:rsidRPr="007E2367">
        <w:rPr>
          <w:bCs/>
          <w:szCs w:val="28"/>
          <w:lang w:val="es-ES_tradnl"/>
        </w:rPr>
        <w:t xml:space="preserve"> dos modalidades de cosa juzgada </w:t>
      </w:r>
      <w:r w:rsidR="00F97DBA" w:rsidRPr="007E2367">
        <w:rPr>
          <w:bCs/>
          <w:szCs w:val="28"/>
          <w:lang w:val="es-ES_tradnl"/>
        </w:rPr>
        <w:t>material relevantes</w:t>
      </w:r>
      <w:r w:rsidRPr="007E2367">
        <w:rPr>
          <w:bCs/>
          <w:szCs w:val="28"/>
          <w:lang w:val="es-ES_tradnl"/>
        </w:rPr>
        <w:t xml:space="preserve">: la </w:t>
      </w:r>
      <w:r w:rsidRPr="007E2367">
        <w:rPr>
          <w:szCs w:val="28"/>
          <w:lang w:val="es-ES_tradnl"/>
        </w:rPr>
        <w:t xml:space="preserve">cosa juzgada material en </w:t>
      </w:r>
      <w:r w:rsidRPr="007E2367">
        <w:rPr>
          <w:i/>
          <w:iCs/>
          <w:szCs w:val="28"/>
          <w:lang w:val="es-ES_tradnl"/>
        </w:rPr>
        <w:t>sentido estricto</w:t>
      </w:r>
      <w:r w:rsidRPr="007E2367">
        <w:rPr>
          <w:szCs w:val="28"/>
          <w:lang w:val="es-ES_tradnl"/>
        </w:rPr>
        <w:t xml:space="preserve"> y la cosa juzgada material en </w:t>
      </w:r>
      <w:r w:rsidRPr="007E2367">
        <w:rPr>
          <w:i/>
          <w:iCs/>
          <w:szCs w:val="28"/>
          <w:lang w:val="es-ES_tradnl"/>
        </w:rPr>
        <w:t>sentido amplio</w:t>
      </w:r>
      <w:r w:rsidRPr="007E2367">
        <w:rPr>
          <w:szCs w:val="28"/>
          <w:vertAlign w:val="superscript"/>
          <w:lang w:val="es-ES_tradnl"/>
        </w:rPr>
        <w:footnoteReference w:id="229"/>
      </w:r>
      <w:r w:rsidRPr="007E2367">
        <w:rPr>
          <w:szCs w:val="28"/>
          <w:lang w:val="es-ES_tradnl"/>
        </w:rPr>
        <w:t xml:space="preserve">.  </w:t>
      </w:r>
    </w:p>
    <w:p w14:paraId="161090DC" w14:textId="77777777" w:rsidR="00AD7D92" w:rsidRPr="007E2367" w:rsidRDefault="00AD7D92" w:rsidP="00AD7D92">
      <w:pPr>
        <w:jc w:val="both"/>
        <w:rPr>
          <w:bCs/>
          <w:szCs w:val="28"/>
          <w:lang w:val="es-ES_tradnl"/>
        </w:rPr>
      </w:pPr>
    </w:p>
    <w:p w14:paraId="149212DA" w14:textId="77777777" w:rsidR="00A15A40" w:rsidRPr="007E2367" w:rsidRDefault="00AD7D92" w:rsidP="00F97DBA">
      <w:pPr>
        <w:jc w:val="both"/>
        <w:rPr>
          <w:bCs/>
          <w:szCs w:val="28"/>
          <w:lang w:val="es-ES_tradnl"/>
        </w:rPr>
      </w:pPr>
      <w:r w:rsidRPr="007E2367">
        <w:rPr>
          <w:szCs w:val="28"/>
          <w:lang w:val="es-ES_tradnl"/>
        </w:rPr>
        <w:t>El primer caso ocurre,</w:t>
      </w:r>
      <w:r w:rsidR="006669B6" w:rsidRPr="007E2367">
        <w:rPr>
          <w:szCs w:val="28"/>
          <w:lang w:val="es-ES_tradnl"/>
        </w:rPr>
        <w:t xml:space="preserve"> </w:t>
      </w:r>
      <w:r w:rsidRPr="007E2367">
        <w:rPr>
          <w:bCs/>
          <w:szCs w:val="28"/>
          <w:lang w:val="es-ES_tradnl"/>
        </w:rPr>
        <w:t xml:space="preserve">cuando una disposición reproduce el </w:t>
      </w:r>
      <w:r w:rsidRPr="007E2367">
        <w:rPr>
          <w:bCs/>
          <w:i/>
          <w:szCs w:val="28"/>
          <w:lang w:val="es-ES_tradnl"/>
        </w:rPr>
        <w:t>contenido normativo</w:t>
      </w:r>
      <w:r w:rsidRPr="007E2367">
        <w:rPr>
          <w:bCs/>
          <w:szCs w:val="28"/>
          <w:lang w:val="es-ES_tradnl"/>
        </w:rPr>
        <w:t xml:space="preserve"> de otra, que fue previamente declarada </w:t>
      </w:r>
      <w:r w:rsidRPr="007E2367">
        <w:rPr>
          <w:b/>
          <w:bCs/>
          <w:szCs w:val="28"/>
          <w:lang w:val="es-ES_tradnl"/>
        </w:rPr>
        <w:t xml:space="preserve">inexequible </w:t>
      </w:r>
      <w:r w:rsidRPr="007E2367">
        <w:rPr>
          <w:bCs/>
          <w:szCs w:val="28"/>
          <w:lang w:val="es-ES_tradnl"/>
        </w:rPr>
        <w:t>por razones de fondo. Por regla general, en esta situación, le compete a esta Corporación decretar la inexequibilidad de la nueva norma objeto de análisis, por desconocer la prohibición prevista en el inciso 2° del artículo 243 de la Constitución Política.</w:t>
      </w:r>
      <w:r w:rsidR="00F97DBA" w:rsidRPr="007E2367">
        <w:rPr>
          <w:bCs/>
          <w:szCs w:val="28"/>
          <w:lang w:val="es-ES_tradnl"/>
        </w:rPr>
        <w:t xml:space="preserve"> </w:t>
      </w:r>
      <w:r w:rsidRPr="007E2367">
        <w:rPr>
          <w:bCs/>
          <w:szCs w:val="28"/>
          <w:lang w:val="es-ES_tradnl"/>
        </w:rPr>
        <w:t xml:space="preserve">No obstante, para que pueda hablarse de cosa juzgada material en </w:t>
      </w:r>
      <w:r w:rsidRPr="007E2367">
        <w:rPr>
          <w:bCs/>
          <w:i/>
          <w:szCs w:val="28"/>
          <w:lang w:val="es-ES_tradnl"/>
        </w:rPr>
        <w:t>sentido estricto</w:t>
      </w:r>
      <w:r w:rsidRPr="007E2367">
        <w:rPr>
          <w:bCs/>
          <w:szCs w:val="28"/>
          <w:lang w:val="es-ES_tradnl"/>
        </w:rPr>
        <w:t xml:space="preserve"> y pueda alegarse que una decisión del Legislador constituye una reproducción contraria a la Carta, la jurisprudencia constitucional reiterada</w:t>
      </w:r>
      <w:r w:rsidR="00F97DBA" w:rsidRPr="007E2367">
        <w:rPr>
          <w:bCs/>
          <w:szCs w:val="28"/>
          <w:lang w:val="es-ES_tradnl"/>
        </w:rPr>
        <w:t xml:space="preserve"> exige que se verifiquen una serie de </w:t>
      </w:r>
      <w:r w:rsidRPr="007E2367">
        <w:rPr>
          <w:bCs/>
          <w:szCs w:val="28"/>
          <w:lang w:val="es-ES_tradnl"/>
        </w:rPr>
        <w:t xml:space="preserve"> requisitos</w:t>
      </w:r>
      <w:r w:rsidRPr="007E2367">
        <w:rPr>
          <w:bCs/>
          <w:szCs w:val="28"/>
          <w:vertAlign w:val="superscript"/>
          <w:lang w:val="es-ES_tradnl"/>
        </w:rPr>
        <w:footnoteReference w:id="230"/>
      </w:r>
      <w:r w:rsidR="00F97DBA" w:rsidRPr="007E2367">
        <w:rPr>
          <w:bCs/>
          <w:szCs w:val="28"/>
          <w:lang w:val="es-ES_tradnl"/>
        </w:rPr>
        <w:t xml:space="preserve"> que den cuenta efectivamente que si se trata o no de una reproducción</w:t>
      </w:r>
      <w:r w:rsidR="006669B6" w:rsidRPr="007E2367">
        <w:rPr>
          <w:bCs/>
          <w:szCs w:val="28"/>
          <w:lang w:val="es-ES_tradnl"/>
        </w:rPr>
        <w:t xml:space="preserve"> normativa</w:t>
      </w:r>
      <w:r w:rsidR="00F97DBA" w:rsidRPr="007E2367">
        <w:rPr>
          <w:bCs/>
          <w:szCs w:val="28"/>
          <w:lang w:val="es-ES_tradnl"/>
        </w:rPr>
        <w:t xml:space="preserve"> no </w:t>
      </w:r>
      <w:r w:rsidR="00EC60DE" w:rsidRPr="007E2367">
        <w:rPr>
          <w:bCs/>
          <w:szCs w:val="28"/>
          <w:lang w:val="es-ES_tradnl"/>
        </w:rPr>
        <w:t>autorizada por la Constitución</w:t>
      </w:r>
      <w:r w:rsidR="00F97DBA" w:rsidRPr="007E2367">
        <w:rPr>
          <w:bCs/>
          <w:szCs w:val="28"/>
          <w:lang w:val="es-ES_tradnl"/>
        </w:rPr>
        <w:t xml:space="preserve">. </w:t>
      </w:r>
    </w:p>
    <w:p w14:paraId="42EA013F" w14:textId="77777777" w:rsidR="00A15A40" w:rsidRPr="007E2367" w:rsidRDefault="00A15A40" w:rsidP="00F97DBA">
      <w:pPr>
        <w:jc w:val="both"/>
        <w:rPr>
          <w:bCs/>
          <w:szCs w:val="28"/>
          <w:lang w:val="es-ES_tradnl"/>
        </w:rPr>
      </w:pPr>
    </w:p>
    <w:p w14:paraId="263EB5BD" w14:textId="77777777" w:rsidR="00F97DBA" w:rsidRPr="007E2367" w:rsidRDefault="00EC60DE" w:rsidP="00F97DBA">
      <w:pPr>
        <w:jc w:val="both"/>
        <w:rPr>
          <w:bCs/>
          <w:szCs w:val="28"/>
          <w:lang w:val="es-ES_tradnl"/>
        </w:rPr>
      </w:pPr>
      <w:r w:rsidRPr="007E2367">
        <w:rPr>
          <w:bCs/>
          <w:szCs w:val="28"/>
          <w:lang w:val="es-ES_tradnl"/>
        </w:rPr>
        <w:t xml:space="preserve">Para efectos del debate que se plantea en esta providencia, </w:t>
      </w:r>
      <w:r w:rsidR="00A15A40" w:rsidRPr="007E2367">
        <w:rPr>
          <w:bCs/>
          <w:szCs w:val="28"/>
          <w:lang w:val="es-ES_tradnl"/>
        </w:rPr>
        <w:t>se destaca entre esas exigencias</w:t>
      </w:r>
      <w:r w:rsidR="00E574B6" w:rsidRPr="007E2367">
        <w:rPr>
          <w:rStyle w:val="Refdenotaalpie"/>
          <w:bCs/>
          <w:szCs w:val="28"/>
          <w:lang w:val="es-ES_tradnl"/>
        </w:rPr>
        <w:footnoteReference w:id="231"/>
      </w:r>
      <w:r w:rsidR="00A15A40" w:rsidRPr="007E2367">
        <w:rPr>
          <w:bCs/>
          <w:szCs w:val="28"/>
          <w:lang w:val="es-ES_tradnl"/>
        </w:rPr>
        <w:t xml:space="preserve">, </w:t>
      </w:r>
      <w:r w:rsidR="00A15A40" w:rsidRPr="007E2367">
        <w:t xml:space="preserve">el requisito </w:t>
      </w:r>
      <w:r w:rsidR="00B62DAA" w:rsidRPr="007E2367">
        <w:t xml:space="preserve">de </w:t>
      </w:r>
      <w:r w:rsidR="00A15A40" w:rsidRPr="007E2367">
        <w:t>q</w:t>
      </w:r>
      <w:r w:rsidRPr="007E2367">
        <w:t>ue el texto</w:t>
      </w:r>
      <w:r w:rsidR="00A15A40" w:rsidRPr="007E2367">
        <w:t xml:space="preserve"> </w:t>
      </w:r>
      <w:r w:rsidRPr="007E2367">
        <w:t xml:space="preserve">supuestamente reproducido, haya sido declarado inconstitucional por “razones de fondo”, </w:t>
      </w:r>
      <w:r w:rsidR="00A15A40" w:rsidRPr="007E2367">
        <w:t xml:space="preserve">lo que exige </w:t>
      </w:r>
      <w:r w:rsidRPr="007E2367">
        <w:t xml:space="preserve">analizar </w:t>
      </w:r>
      <w:r w:rsidRPr="007E2367">
        <w:rPr>
          <w:i/>
          <w:iCs/>
        </w:rPr>
        <w:t>la ratio decidendi del fallo anterior</w:t>
      </w:r>
      <w:r w:rsidR="00A15A40" w:rsidRPr="007E2367">
        <w:t xml:space="preserve">. </w:t>
      </w:r>
      <w:r w:rsidR="00E574B6" w:rsidRPr="007E2367">
        <w:t>Una precisión que busca</w:t>
      </w:r>
      <w:r w:rsidR="004C47C8" w:rsidRPr="007E2367">
        <w:t>, de un lado,</w:t>
      </w:r>
      <w:r w:rsidR="00E574B6" w:rsidRPr="007E2367">
        <w:t xml:space="preserve"> que existan motivos o justificaciones en la providencia que den cuenta de la incompatibilidad eventual de</w:t>
      </w:r>
      <w:r w:rsidR="007E2367" w:rsidRPr="007E2367">
        <w:t>l contenido de la</w:t>
      </w:r>
      <w:r w:rsidR="00E574B6" w:rsidRPr="007E2367">
        <w:t xml:space="preserve"> norma con la Carta para determinar si existe o no cosa juzgada constitucional, y</w:t>
      </w:r>
      <w:r w:rsidR="004C47C8" w:rsidRPr="007E2367">
        <w:t xml:space="preserve"> del otro, que se valoren adecuadamente los </w:t>
      </w:r>
      <w:r w:rsidR="0085504F" w:rsidRPr="007E2367">
        <w:t xml:space="preserve">elementos relevantes de la </w:t>
      </w:r>
      <w:r w:rsidR="00A15A40" w:rsidRPr="007E2367">
        <w:t>parte motiva de las providencias</w:t>
      </w:r>
      <w:r w:rsidR="00E574B6" w:rsidRPr="007E2367">
        <w:t xml:space="preserve"> constitucionales</w:t>
      </w:r>
      <w:r w:rsidR="00A15A40" w:rsidRPr="007E2367">
        <w:t xml:space="preserve">, </w:t>
      </w:r>
      <w:r w:rsidR="004C47C8" w:rsidRPr="007E2367">
        <w:t xml:space="preserve">precisamente </w:t>
      </w:r>
      <w:r w:rsidR="0085504F" w:rsidRPr="007E2367">
        <w:t>para establecer si existe cosa juzgada o no</w:t>
      </w:r>
      <w:r w:rsidR="004C47C8" w:rsidRPr="007E2367">
        <w:t>,</w:t>
      </w:r>
      <w:r w:rsidR="00E574B6" w:rsidRPr="007E2367">
        <w:t xml:space="preserve"> en tales casos</w:t>
      </w:r>
      <w:r w:rsidR="0085504F" w:rsidRPr="007E2367">
        <w:t xml:space="preserve">. </w:t>
      </w:r>
      <w:r w:rsidR="00F97DBA" w:rsidRPr="007E2367">
        <w:rPr>
          <w:bCs/>
          <w:szCs w:val="28"/>
          <w:lang w:val="es-ES_tradnl"/>
        </w:rPr>
        <w:t>Si se cumplen de manera efectiva</w:t>
      </w:r>
      <w:r w:rsidR="0085504F" w:rsidRPr="007E2367">
        <w:rPr>
          <w:bCs/>
          <w:szCs w:val="28"/>
          <w:lang w:val="es-ES_tradnl"/>
        </w:rPr>
        <w:t xml:space="preserve"> </w:t>
      </w:r>
      <w:r w:rsidR="004C47C8" w:rsidRPr="007E2367">
        <w:rPr>
          <w:bCs/>
          <w:szCs w:val="28"/>
          <w:lang w:val="es-ES_tradnl"/>
        </w:rPr>
        <w:t xml:space="preserve">los </w:t>
      </w:r>
      <w:r w:rsidR="00F97DBA" w:rsidRPr="007E2367">
        <w:rPr>
          <w:bCs/>
          <w:szCs w:val="28"/>
          <w:lang w:val="es-ES_tradnl"/>
        </w:rPr>
        <w:t>requisitos</w:t>
      </w:r>
      <w:r w:rsidR="004C47C8" w:rsidRPr="007E2367">
        <w:rPr>
          <w:bCs/>
          <w:szCs w:val="28"/>
          <w:lang w:val="es-ES_tradnl"/>
        </w:rPr>
        <w:t xml:space="preserve"> exigibles en estos casos</w:t>
      </w:r>
      <w:r w:rsidR="00F97DBA" w:rsidRPr="007E2367">
        <w:rPr>
          <w:bCs/>
          <w:szCs w:val="28"/>
          <w:lang w:val="es-ES_tradnl"/>
        </w:rPr>
        <w:t>, la norma reproducida debe declararse inexequible, porque la cosa juzgada material limita la competencia del Legislador y le impide reproducir el contenido material de una norma contraria a la Carta</w:t>
      </w:r>
      <w:r w:rsidR="007E2367" w:rsidRPr="007E2367">
        <w:rPr>
          <w:bCs/>
          <w:szCs w:val="28"/>
          <w:lang w:val="es-ES_tradnl"/>
        </w:rPr>
        <w:t>.</w:t>
      </w:r>
      <w:r w:rsidR="00F97DBA" w:rsidRPr="007E2367">
        <w:rPr>
          <w:bCs/>
          <w:szCs w:val="28"/>
          <w:lang w:val="es-ES_tradnl"/>
        </w:rPr>
        <w:t xml:space="preserve"> </w:t>
      </w:r>
    </w:p>
    <w:p w14:paraId="4ECEE40F" w14:textId="77777777" w:rsidR="00AD7D92" w:rsidRPr="007E2367" w:rsidRDefault="00AD7D92" w:rsidP="00AD7D92">
      <w:pPr>
        <w:jc w:val="both"/>
        <w:rPr>
          <w:bCs/>
          <w:szCs w:val="28"/>
          <w:lang w:val="es-ES_tradnl"/>
        </w:rPr>
      </w:pPr>
    </w:p>
    <w:p w14:paraId="720FE977" w14:textId="77777777" w:rsidR="00B36AB1" w:rsidRPr="007E2367" w:rsidRDefault="004664CB" w:rsidP="00AD7D92">
      <w:pPr>
        <w:numPr>
          <w:ilvl w:val="0"/>
          <w:numId w:val="10"/>
        </w:numPr>
        <w:jc w:val="both"/>
        <w:rPr>
          <w:bCs/>
          <w:szCs w:val="28"/>
          <w:lang w:val="es-ES_tradnl"/>
        </w:rPr>
      </w:pPr>
      <w:r w:rsidRPr="007E2367">
        <w:rPr>
          <w:bCs/>
          <w:szCs w:val="28"/>
          <w:lang w:val="es-ES_tradnl"/>
        </w:rPr>
        <w:t xml:space="preserve">El segundo </w:t>
      </w:r>
      <w:r w:rsidR="00B36AB1" w:rsidRPr="007E2367">
        <w:rPr>
          <w:bCs/>
          <w:szCs w:val="28"/>
          <w:lang w:val="es-ES_tradnl"/>
        </w:rPr>
        <w:t>ejemplo</w:t>
      </w:r>
      <w:r w:rsidRPr="007E2367">
        <w:rPr>
          <w:bCs/>
          <w:szCs w:val="28"/>
          <w:lang w:val="es-ES_tradnl"/>
        </w:rPr>
        <w:t xml:space="preserve"> </w:t>
      </w:r>
      <w:r w:rsidR="00AD7D92" w:rsidRPr="007E2367">
        <w:rPr>
          <w:bCs/>
          <w:szCs w:val="28"/>
          <w:lang w:val="es-ES_tradnl"/>
        </w:rPr>
        <w:t xml:space="preserve">de cosa juzgada constitucional material en </w:t>
      </w:r>
      <w:r w:rsidR="00AD7D92" w:rsidRPr="007E2367">
        <w:rPr>
          <w:bCs/>
          <w:i/>
          <w:szCs w:val="28"/>
          <w:lang w:val="es-ES_tradnl"/>
        </w:rPr>
        <w:t>sentido amplio</w:t>
      </w:r>
      <w:r w:rsidR="00AD7D92" w:rsidRPr="007E2367">
        <w:rPr>
          <w:bCs/>
          <w:szCs w:val="28"/>
          <w:lang w:val="es-ES_tradnl"/>
        </w:rPr>
        <w:t>, ocurre cuando este Tribunal tiene que analizar una disposición con idéntico contenido normativo al de otra norma</w:t>
      </w:r>
      <w:r w:rsidRPr="007E2367">
        <w:rPr>
          <w:bCs/>
          <w:szCs w:val="28"/>
          <w:lang w:val="es-ES_tradnl"/>
        </w:rPr>
        <w:t xml:space="preserve"> previa</w:t>
      </w:r>
      <w:r w:rsidR="00AD7D92" w:rsidRPr="007E2367">
        <w:rPr>
          <w:bCs/>
          <w:szCs w:val="28"/>
          <w:lang w:val="es-ES_tradnl"/>
        </w:rPr>
        <w:t xml:space="preserve">, que por razones de fondo, fue </w:t>
      </w:r>
      <w:r w:rsidRPr="007E2367">
        <w:rPr>
          <w:bCs/>
          <w:szCs w:val="28"/>
          <w:lang w:val="es-ES_tradnl"/>
        </w:rPr>
        <w:t>con anterioridad</w:t>
      </w:r>
      <w:r w:rsidR="00AD7D92" w:rsidRPr="007E2367">
        <w:rPr>
          <w:bCs/>
          <w:szCs w:val="28"/>
          <w:lang w:val="es-ES_tradnl"/>
        </w:rPr>
        <w:t xml:space="preserve"> declarada </w:t>
      </w:r>
      <w:r w:rsidR="00AD7D92" w:rsidRPr="007E2367">
        <w:rPr>
          <w:bCs/>
          <w:i/>
          <w:szCs w:val="28"/>
          <w:lang w:val="es-ES_tradnl"/>
        </w:rPr>
        <w:t>exequible</w:t>
      </w:r>
      <w:r w:rsidR="00AD7D92" w:rsidRPr="007E2367">
        <w:rPr>
          <w:bCs/>
          <w:szCs w:val="28"/>
          <w:lang w:val="es-ES_tradnl"/>
        </w:rPr>
        <w:t xml:space="preserve"> o </w:t>
      </w:r>
      <w:r w:rsidR="00AD7D92" w:rsidRPr="007E2367">
        <w:rPr>
          <w:bCs/>
          <w:i/>
          <w:szCs w:val="28"/>
          <w:lang w:val="es-ES_tradnl"/>
        </w:rPr>
        <w:t>exequible de forma condicionada</w:t>
      </w:r>
      <w:r w:rsidR="00AD7D92" w:rsidRPr="007E2367">
        <w:rPr>
          <w:bCs/>
          <w:szCs w:val="28"/>
          <w:vertAlign w:val="superscript"/>
          <w:lang w:val="es-ES_tradnl"/>
        </w:rPr>
        <w:footnoteReference w:id="232"/>
      </w:r>
      <w:r w:rsidR="00AD7D92" w:rsidRPr="007E2367">
        <w:rPr>
          <w:bCs/>
          <w:szCs w:val="28"/>
          <w:lang w:val="es-ES_tradnl"/>
        </w:rPr>
        <w:t>. En est</w:t>
      </w:r>
      <w:r w:rsidRPr="007E2367">
        <w:rPr>
          <w:bCs/>
          <w:szCs w:val="28"/>
          <w:lang w:val="es-ES_tradnl"/>
        </w:rPr>
        <w:t>as circunstancias</w:t>
      </w:r>
      <w:r w:rsidR="00AD7D92" w:rsidRPr="007E2367">
        <w:rPr>
          <w:bCs/>
          <w:szCs w:val="28"/>
          <w:lang w:val="es-ES_tradnl"/>
        </w:rPr>
        <w:t xml:space="preserve">, la decisión de la Corte no puede ser distinta a estarse a lo resuelto en la sentencia previa, a menos que se presenten </w:t>
      </w:r>
      <w:r w:rsidR="00B36AB1" w:rsidRPr="007E2367">
        <w:rPr>
          <w:bCs/>
          <w:szCs w:val="28"/>
          <w:lang w:val="es-ES_tradnl"/>
        </w:rPr>
        <w:t xml:space="preserve">hechos </w:t>
      </w:r>
      <w:r w:rsidR="00AD7D92" w:rsidRPr="007E2367">
        <w:rPr>
          <w:bCs/>
          <w:szCs w:val="28"/>
          <w:lang w:val="es-ES_tradnl"/>
        </w:rPr>
        <w:t>excepcionales que enerven los efectos de la cosa juzgada</w:t>
      </w:r>
      <w:r w:rsidR="00AD7D92" w:rsidRPr="007E2367">
        <w:rPr>
          <w:bCs/>
          <w:szCs w:val="28"/>
          <w:vertAlign w:val="superscript"/>
          <w:lang w:val="es-ES_tradnl"/>
        </w:rPr>
        <w:footnoteReference w:id="233"/>
      </w:r>
      <w:r w:rsidR="00AD7D92" w:rsidRPr="007E2367">
        <w:rPr>
          <w:bCs/>
          <w:szCs w:val="28"/>
          <w:lang w:val="es-ES_tradnl"/>
        </w:rPr>
        <w:t>.</w:t>
      </w:r>
      <w:r w:rsidR="0085504F" w:rsidRPr="007E2367">
        <w:rPr>
          <w:bCs/>
          <w:szCs w:val="28"/>
          <w:lang w:val="es-ES_tradnl"/>
        </w:rPr>
        <w:t xml:space="preserve"> </w:t>
      </w:r>
    </w:p>
    <w:p w14:paraId="677C6826" w14:textId="77777777" w:rsidR="00B36AB1" w:rsidRPr="007E2367" w:rsidRDefault="00B36AB1" w:rsidP="00B36AB1">
      <w:pPr>
        <w:jc w:val="both"/>
        <w:rPr>
          <w:bCs/>
          <w:szCs w:val="28"/>
          <w:lang w:val="es-ES_tradnl"/>
        </w:rPr>
      </w:pPr>
    </w:p>
    <w:p w14:paraId="2AB465A1" w14:textId="77777777" w:rsidR="00AD7D92" w:rsidRPr="007E2367" w:rsidRDefault="00111D07" w:rsidP="00B36AB1">
      <w:pPr>
        <w:jc w:val="both"/>
        <w:rPr>
          <w:bCs/>
          <w:szCs w:val="28"/>
          <w:lang w:val="es-ES_tradnl"/>
        </w:rPr>
      </w:pPr>
      <w:r w:rsidRPr="007E2367">
        <w:rPr>
          <w:bCs/>
          <w:szCs w:val="28"/>
          <w:lang w:val="es-ES_tradnl"/>
        </w:rPr>
        <w:t>E</w:t>
      </w:r>
      <w:r w:rsidR="00AD7D92" w:rsidRPr="007E2367">
        <w:rPr>
          <w:bCs/>
          <w:szCs w:val="28"/>
          <w:lang w:val="es-ES_tradnl"/>
        </w:rPr>
        <w:t>n</w:t>
      </w:r>
      <w:r w:rsidR="0085504F" w:rsidRPr="007E2367">
        <w:rPr>
          <w:bCs/>
          <w:szCs w:val="28"/>
          <w:lang w:val="es-ES_tradnl"/>
        </w:rPr>
        <w:t xml:space="preserve"> tales casos</w:t>
      </w:r>
      <w:r w:rsidR="00AD7D92" w:rsidRPr="007E2367">
        <w:rPr>
          <w:bCs/>
          <w:szCs w:val="28"/>
          <w:lang w:val="es-ES_tradnl"/>
        </w:rPr>
        <w:t xml:space="preserve">, </w:t>
      </w:r>
      <w:r w:rsidRPr="007E2367">
        <w:rPr>
          <w:bCs/>
          <w:szCs w:val="28"/>
          <w:lang w:val="es-ES_tradnl"/>
        </w:rPr>
        <w:t xml:space="preserve">la Corte Constitucional puede no estar necesariamente obligada a estarse a lo resuelto </w:t>
      </w:r>
      <w:r w:rsidRPr="007E2367">
        <w:rPr>
          <w:szCs w:val="28"/>
          <w:lang w:val="es-ES_tradnl"/>
        </w:rPr>
        <w:t xml:space="preserve">en la sentencia </w:t>
      </w:r>
      <w:r w:rsidR="00B36AB1" w:rsidRPr="007E2367">
        <w:rPr>
          <w:szCs w:val="28"/>
          <w:lang w:val="es-ES_tradnl"/>
        </w:rPr>
        <w:t>primigenia</w:t>
      </w:r>
      <w:r w:rsidRPr="007E2367">
        <w:rPr>
          <w:szCs w:val="28"/>
          <w:vertAlign w:val="superscript"/>
          <w:lang w:val="es-ES_tradnl"/>
        </w:rPr>
        <w:footnoteReference w:id="234"/>
      </w:r>
      <w:r w:rsidRPr="007E2367">
        <w:rPr>
          <w:szCs w:val="28"/>
          <w:lang w:val="es-ES_tradnl"/>
        </w:rPr>
        <w:t xml:space="preserve">, </w:t>
      </w:r>
      <w:r w:rsidR="00AD7D92" w:rsidRPr="007E2367">
        <w:rPr>
          <w:bCs/>
          <w:szCs w:val="28"/>
          <w:lang w:val="es-ES_tradnl"/>
        </w:rPr>
        <w:t>cuando se presenten reformas constitucionales que varíen los parámetros de comparación</w:t>
      </w:r>
      <w:r w:rsidR="00AD7D92" w:rsidRPr="007E2367">
        <w:rPr>
          <w:bCs/>
          <w:szCs w:val="28"/>
          <w:vertAlign w:val="superscript"/>
          <w:lang w:val="es-ES_tradnl"/>
        </w:rPr>
        <w:footnoteReference w:id="235"/>
      </w:r>
      <w:r w:rsidR="00AD7D92" w:rsidRPr="007E2367">
        <w:rPr>
          <w:bCs/>
          <w:szCs w:val="28"/>
          <w:lang w:val="es-ES_tradnl"/>
        </w:rPr>
        <w:t xml:space="preserve"> de las normas, lo demande el carácter dinámico de la Carta</w:t>
      </w:r>
      <w:r w:rsidR="00AD7D92" w:rsidRPr="007E2367">
        <w:rPr>
          <w:bCs/>
          <w:szCs w:val="28"/>
          <w:vertAlign w:val="superscript"/>
          <w:lang w:val="es-ES_tradnl"/>
        </w:rPr>
        <w:footnoteReference w:id="236"/>
      </w:r>
      <w:r w:rsidR="00AD7D92" w:rsidRPr="007E2367">
        <w:rPr>
          <w:bCs/>
          <w:szCs w:val="28"/>
          <w:lang w:val="es-ES_tradnl"/>
        </w:rPr>
        <w:t>; o surja la necesidad de realizar una nueva ponderación de valores o principios constitucionales, a partir del cambio de contexto en el que se inscribe la nueva disposición acusada</w:t>
      </w:r>
      <w:r w:rsidR="00AD7D92" w:rsidRPr="007E2367">
        <w:rPr>
          <w:bCs/>
          <w:szCs w:val="28"/>
          <w:vertAlign w:val="superscript"/>
          <w:lang w:val="es-ES_tradnl"/>
        </w:rPr>
        <w:footnoteReference w:id="237"/>
      </w:r>
      <w:r w:rsidRPr="007E2367">
        <w:rPr>
          <w:bCs/>
          <w:szCs w:val="28"/>
          <w:lang w:val="es-ES_tradnl"/>
        </w:rPr>
        <w:t xml:space="preserve">. </w:t>
      </w:r>
      <w:r w:rsidR="00FA1740" w:rsidRPr="007E2367">
        <w:rPr>
          <w:bCs/>
          <w:szCs w:val="28"/>
          <w:lang w:val="es-ES_tradnl"/>
        </w:rPr>
        <w:t>Por lo tanto, la valoración cuidadosa de la nueva norma y sus circunstancias,</w:t>
      </w:r>
      <w:r w:rsidR="007E2367" w:rsidRPr="007E2367">
        <w:rPr>
          <w:bCs/>
          <w:szCs w:val="28"/>
          <w:lang w:val="es-ES_tradnl"/>
        </w:rPr>
        <w:t xml:space="preserve"> </w:t>
      </w:r>
      <w:r w:rsidR="00FA1740" w:rsidRPr="007E2367">
        <w:rPr>
          <w:bCs/>
          <w:szCs w:val="28"/>
          <w:lang w:val="es-ES_tradnl"/>
        </w:rPr>
        <w:t>determinará si existe o no cosa juzgada constitucional.</w:t>
      </w:r>
    </w:p>
    <w:p w14:paraId="65AB9393" w14:textId="77777777" w:rsidR="00AD7D92" w:rsidRPr="007E2367" w:rsidRDefault="00AD7D92" w:rsidP="008A1CA4">
      <w:pPr>
        <w:widowControl w:val="0"/>
        <w:adjustRightInd w:val="0"/>
        <w:jc w:val="both"/>
        <w:rPr>
          <w:szCs w:val="28"/>
          <w:lang w:val="es-ES_tradnl"/>
        </w:rPr>
      </w:pPr>
    </w:p>
    <w:p w14:paraId="02495030" w14:textId="77777777" w:rsidR="00FA1740" w:rsidRPr="007E2367" w:rsidRDefault="00FA1740" w:rsidP="00FA1740">
      <w:pPr>
        <w:numPr>
          <w:ilvl w:val="0"/>
          <w:numId w:val="10"/>
        </w:numPr>
        <w:tabs>
          <w:tab w:val="left" w:pos="426"/>
        </w:tabs>
        <w:jc w:val="both"/>
        <w:rPr>
          <w:szCs w:val="28"/>
          <w:lang w:val="es-ES_tradnl"/>
        </w:rPr>
      </w:pPr>
      <w:r w:rsidRPr="007E2367">
        <w:rPr>
          <w:szCs w:val="28"/>
          <w:lang w:val="es-ES_tradnl"/>
        </w:rPr>
        <w:t xml:space="preserve"> Ahora bien, en lo que concierne a la posición de las autoridades judiciales con respecto al reconocimiento de la cosa juzgada constitucional, debe concluirse que:</w:t>
      </w:r>
    </w:p>
    <w:p w14:paraId="5195F67C" w14:textId="77777777" w:rsidR="00FA1740" w:rsidRPr="007E2367" w:rsidRDefault="00FA1740" w:rsidP="00FA1740">
      <w:pPr>
        <w:tabs>
          <w:tab w:val="left" w:pos="426"/>
        </w:tabs>
        <w:jc w:val="both"/>
        <w:rPr>
          <w:szCs w:val="28"/>
          <w:lang w:val="es-ES_tradnl"/>
        </w:rPr>
      </w:pPr>
    </w:p>
    <w:p w14:paraId="011DE3F8" w14:textId="77777777" w:rsidR="00FA1740" w:rsidRPr="007E2367" w:rsidRDefault="00FA1740" w:rsidP="00FA1740">
      <w:pPr>
        <w:numPr>
          <w:ilvl w:val="0"/>
          <w:numId w:val="34"/>
        </w:numPr>
        <w:tabs>
          <w:tab w:val="left" w:pos="426"/>
        </w:tabs>
        <w:ind w:left="0" w:firstLine="0"/>
        <w:jc w:val="both"/>
        <w:rPr>
          <w:szCs w:val="28"/>
          <w:lang w:val="es-ES_tradnl"/>
        </w:rPr>
      </w:pPr>
      <w:r w:rsidRPr="007E2367">
        <w:rPr>
          <w:szCs w:val="28"/>
          <w:lang w:val="es-ES_tradnl"/>
        </w:rPr>
        <w:t>La</w:t>
      </w:r>
      <w:r w:rsidR="008A1CA4" w:rsidRPr="007E2367">
        <w:rPr>
          <w:szCs w:val="28"/>
          <w:lang w:val="es-ES_tradnl"/>
        </w:rPr>
        <w:t xml:space="preserve"> cosa juzgada constitucional se predica tanto de los fallos de inexequibilidad como de los de exequibilidad simple y condicionada, pues</w:t>
      </w:r>
      <w:r w:rsidR="008A1CA4" w:rsidRPr="007E2367">
        <w:rPr>
          <w:i/>
          <w:szCs w:val="28"/>
          <w:lang w:val="es-ES_tradnl"/>
        </w:rPr>
        <w:t xml:space="preserve">  "vincula a todas las autoridades -incluida la misma Corte Constitucional- y se extiende, por igual, al continente de la norma como a su contenido material - precepto o proposición jurídica en sí misma considerada</w:t>
      </w:r>
      <w:r w:rsidR="008A1CA4" w:rsidRPr="007E2367">
        <w:rPr>
          <w:szCs w:val="28"/>
          <w:lang w:val="es-ES_tradnl"/>
        </w:rPr>
        <w:t>”</w:t>
      </w:r>
      <w:r w:rsidR="008A1CA4" w:rsidRPr="007E2367">
        <w:rPr>
          <w:szCs w:val="28"/>
          <w:vertAlign w:val="superscript"/>
          <w:lang w:val="es-ES_tradnl"/>
        </w:rPr>
        <w:footnoteReference w:id="238"/>
      </w:r>
      <w:r w:rsidR="008A1CA4" w:rsidRPr="007E2367">
        <w:rPr>
          <w:szCs w:val="28"/>
          <w:lang w:val="es-ES_tradnl"/>
        </w:rPr>
        <w:t>.</w:t>
      </w:r>
      <w:bookmarkEnd w:id="19"/>
      <w:r w:rsidRPr="007E2367">
        <w:rPr>
          <w:szCs w:val="28"/>
          <w:lang w:val="es-ES_tradnl"/>
        </w:rPr>
        <w:t xml:space="preserve"> </w:t>
      </w:r>
    </w:p>
    <w:p w14:paraId="72BF614E" w14:textId="77777777" w:rsidR="00FA1740" w:rsidRPr="007E2367" w:rsidRDefault="00FA1740" w:rsidP="00FA1740">
      <w:pPr>
        <w:jc w:val="both"/>
        <w:rPr>
          <w:szCs w:val="28"/>
          <w:lang w:val="es-ES_tradnl"/>
        </w:rPr>
      </w:pPr>
    </w:p>
    <w:p w14:paraId="3304E0BA" w14:textId="77777777" w:rsidR="00665DC8" w:rsidRPr="007E2367" w:rsidRDefault="00FA1740" w:rsidP="00665DC8">
      <w:pPr>
        <w:jc w:val="both"/>
        <w:rPr>
          <w:szCs w:val="28"/>
          <w:lang w:val="es-CO" w:eastAsia="es-CO"/>
        </w:rPr>
      </w:pPr>
      <w:r w:rsidRPr="007E2367">
        <w:rPr>
          <w:b/>
          <w:bCs/>
          <w:szCs w:val="28"/>
          <w:lang w:val="es-ES_tradnl"/>
        </w:rPr>
        <w:t xml:space="preserve">(ii) </w:t>
      </w:r>
      <w:r w:rsidR="00D66794" w:rsidRPr="007E2367">
        <w:rPr>
          <w:szCs w:val="28"/>
          <w:lang w:val="es-CO" w:eastAsia="es-CO"/>
        </w:rPr>
        <w:t xml:space="preserve">De este modo, </w:t>
      </w:r>
      <w:r w:rsidR="001F4866" w:rsidRPr="007E2367">
        <w:rPr>
          <w:szCs w:val="28"/>
          <w:lang w:val="es-CO" w:eastAsia="es-CO"/>
        </w:rPr>
        <w:t xml:space="preserve">el que los fallos de la Corte hagan tránsito a </w:t>
      </w:r>
      <w:r w:rsidR="001F4866" w:rsidRPr="007E2367">
        <w:rPr>
          <w:bCs/>
          <w:i/>
          <w:szCs w:val="28"/>
          <w:lang w:val="es-CO" w:eastAsia="es-CO"/>
        </w:rPr>
        <w:t>cosa juzgada constitucional</w:t>
      </w:r>
      <w:r w:rsidR="001F4866" w:rsidRPr="007E2367">
        <w:rPr>
          <w:szCs w:val="28"/>
          <w:lang w:val="es-CO" w:eastAsia="es-CO"/>
        </w:rPr>
        <w:t xml:space="preserve"> implica que estos generan efectos </w:t>
      </w:r>
      <w:r w:rsidR="00CE7DAC" w:rsidRPr="007E2367">
        <w:rPr>
          <w:szCs w:val="28"/>
          <w:lang w:val="es-CO" w:eastAsia="es-CO"/>
        </w:rPr>
        <w:t>trascendentes</w:t>
      </w:r>
      <w:r w:rsidR="001F4866" w:rsidRPr="007E2367">
        <w:rPr>
          <w:szCs w:val="28"/>
          <w:lang w:val="es-CO" w:eastAsia="es-CO"/>
        </w:rPr>
        <w:t xml:space="preserve"> en el ordenamiento</w:t>
      </w:r>
      <w:r w:rsidR="00951923" w:rsidRPr="007E2367">
        <w:rPr>
          <w:szCs w:val="28"/>
          <w:lang w:val="es-CO" w:eastAsia="es-CO"/>
        </w:rPr>
        <w:t xml:space="preserve"> de carácter </w:t>
      </w:r>
      <w:r w:rsidR="00951923" w:rsidRPr="007E2367">
        <w:rPr>
          <w:i/>
          <w:iCs/>
          <w:szCs w:val="28"/>
          <w:lang w:val="es-CO" w:eastAsia="es-CO"/>
        </w:rPr>
        <w:t>erga omnes</w:t>
      </w:r>
      <w:r w:rsidR="001F4866" w:rsidRPr="007E2367">
        <w:rPr>
          <w:szCs w:val="28"/>
          <w:lang w:val="es-CO" w:eastAsia="es-CO"/>
        </w:rPr>
        <w:t xml:space="preserve">. </w:t>
      </w:r>
      <w:r w:rsidRPr="007E2367">
        <w:rPr>
          <w:szCs w:val="28"/>
          <w:lang w:val="es-CO"/>
        </w:rPr>
        <w:t xml:space="preserve">Bajo esa consideración, </w:t>
      </w:r>
      <w:r w:rsidR="00A50C5C" w:rsidRPr="007E2367">
        <w:rPr>
          <w:szCs w:val="28"/>
          <w:lang w:val="es-CO" w:eastAsia="es-CO"/>
        </w:rPr>
        <w:t>los operadores jurídicos están obligados a respetar el efecto de la </w:t>
      </w:r>
      <w:r w:rsidR="00A50C5C" w:rsidRPr="007E2367">
        <w:rPr>
          <w:i/>
          <w:iCs/>
          <w:szCs w:val="28"/>
          <w:lang w:val="es-CO" w:eastAsia="es-CO"/>
        </w:rPr>
        <w:t>cosa juzgada constitucional</w:t>
      </w:r>
      <w:r w:rsidR="00A50C5C" w:rsidRPr="007E2367">
        <w:rPr>
          <w:szCs w:val="28"/>
          <w:lang w:val="es-CO" w:eastAsia="es-CO"/>
        </w:rPr>
        <w:t xml:space="preserve"> tanto en el caso de </w:t>
      </w:r>
      <w:r w:rsidR="00CB4AF5" w:rsidRPr="007E2367">
        <w:rPr>
          <w:szCs w:val="28"/>
          <w:lang w:val="es-CO" w:eastAsia="es-CO"/>
        </w:rPr>
        <w:t>la</w:t>
      </w:r>
      <w:r w:rsidR="00A50C5C" w:rsidRPr="007E2367">
        <w:rPr>
          <w:szCs w:val="28"/>
          <w:lang w:val="es-CO" w:eastAsia="es-CO"/>
        </w:rPr>
        <w:t xml:space="preserve"> declaratoria de  inexequibilidad, como cuando la norma ha sido condicionada o modulada</w:t>
      </w:r>
      <w:r w:rsidR="00665DC8" w:rsidRPr="007E2367">
        <w:rPr>
          <w:szCs w:val="28"/>
          <w:lang w:val="es-CO" w:eastAsia="es-CO"/>
        </w:rPr>
        <w:t>.</w:t>
      </w:r>
    </w:p>
    <w:p w14:paraId="5D2E1A75" w14:textId="77777777" w:rsidR="00665DC8" w:rsidRPr="007E2367" w:rsidRDefault="00665DC8" w:rsidP="00FA1740">
      <w:pPr>
        <w:shd w:val="clear" w:color="auto" w:fill="FFFFFF"/>
        <w:jc w:val="both"/>
        <w:rPr>
          <w:szCs w:val="28"/>
          <w:lang w:val="es-CO" w:eastAsia="es-CO"/>
        </w:rPr>
      </w:pPr>
    </w:p>
    <w:p w14:paraId="4CB9E101" w14:textId="77777777" w:rsidR="001F4866" w:rsidRPr="007E2367" w:rsidRDefault="00FA1740" w:rsidP="00FA1740">
      <w:pPr>
        <w:shd w:val="clear" w:color="auto" w:fill="FFFFFF"/>
        <w:jc w:val="both"/>
        <w:rPr>
          <w:b/>
          <w:szCs w:val="28"/>
          <w:lang w:val="es-CO" w:eastAsia="es-CO"/>
        </w:rPr>
      </w:pPr>
      <w:r w:rsidRPr="007E2367">
        <w:rPr>
          <w:b/>
          <w:bCs/>
          <w:szCs w:val="28"/>
          <w:lang w:val="es-CO" w:eastAsia="es-CO"/>
        </w:rPr>
        <w:t>(iii)</w:t>
      </w:r>
      <w:r w:rsidRPr="007E2367">
        <w:rPr>
          <w:szCs w:val="28"/>
          <w:lang w:val="es-CO" w:eastAsia="es-CO"/>
        </w:rPr>
        <w:t xml:space="preserve"> </w:t>
      </w:r>
      <w:r w:rsidR="00A50C5C" w:rsidRPr="007E2367">
        <w:rPr>
          <w:szCs w:val="28"/>
          <w:lang w:val="es-CO" w:eastAsia="es-CO"/>
        </w:rPr>
        <w:t xml:space="preserve">En </w:t>
      </w:r>
      <w:r w:rsidR="001F4866" w:rsidRPr="007E2367">
        <w:rPr>
          <w:szCs w:val="28"/>
          <w:lang w:val="es-CO" w:eastAsia="es-CO"/>
        </w:rPr>
        <w:t xml:space="preserve">lo que concierne </w:t>
      </w:r>
      <w:r w:rsidR="00063618" w:rsidRPr="007E2367">
        <w:rPr>
          <w:szCs w:val="28"/>
          <w:lang w:val="es-CO" w:eastAsia="es-CO"/>
        </w:rPr>
        <w:t>a</w:t>
      </w:r>
      <w:r w:rsidR="001F4866" w:rsidRPr="007E2367">
        <w:rPr>
          <w:szCs w:val="28"/>
          <w:lang w:val="es-CO" w:eastAsia="es-CO"/>
        </w:rPr>
        <w:t xml:space="preserve"> la </w:t>
      </w:r>
      <w:r w:rsidR="001F4866" w:rsidRPr="007E2367">
        <w:rPr>
          <w:i/>
          <w:szCs w:val="28"/>
          <w:lang w:val="es-CO" w:eastAsia="es-CO"/>
        </w:rPr>
        <w:t>cosa juzgada material</w:t>
      </w:r>
      <w:r w:rsidR="00063618" w:rsidRPr="007E2367">
        <w:rPr>
          <w:szCs w:val="28"/>
          <w:lang w:val="es-CO" w:eastAsia="es-CO"/>
        </w:rPr>
        <w:t xml:space="preserve">, es pertinente recordar que </w:t>
      </w:r>
      <w:r w:rsidR="001F4866" w:rsidRPr="007E2367">
        <w:rPr>
          <w:szCs w:val="28"/>
          <w:lang w:val="es-CO" w:eastAsia="es-CO"/>
        </w:rPr>
        <w:t>ciertas reflexiones</w:t>
      </w:r>
      <w:r w:rsidRPr="007E2367">
        <w:rPr>
          <w:szCs w:val="28"/>
          <w:lang w:val="es-CO" w:eastAsia="es-CO"/>
        </w:rPr>
        <w:t>,</w:t>
      </w:r>
      <w:r w:rsidR="001F4866" w:rsidRPr="007E2367">
        <w:rPr>
          <w:szCs w:val="28"/>
          <w:lang w:val="es-CO" w:eastAsia="es-CO"/>
        </w:rPr>
        <w:t xml:space="preserve"> contenidas en la parte motiva de una providencia, </w:t>
      </w:r>
      <w:r w:rsidR="00572389" w:rsidRPr="007E2367">
        <w:rPr>
          <w:szCs w:val="28"/>
          <w:lang w:val="es-CO" w:eastAsia="es-CO"/>
        </w:rPr>
        <w:t xml:space="preserve">son </w:t>
      </w:r>
      <w:r w:rsidR="001F4866" w:rsidRPr="007E2367">
        <w:rPr>
          <w:szCs w:val="28"/>
          <w:lang w:val="es-CO" w:eastAsia="es-CO"/>
        </w:rPr>
        <w:t>vinculantes para los jueces</w:t>
      </w:r>
      <w:r w:rsidR="00572389" w:rsidRPr="007E2367">
        <w:rPr>
          <w:szCs w:val="28"/>
          <w:lang w:val="es-CO" w:eastAsia="es-CO"/>
        </w:rPr>
        <w:t>,</w:t>
      </w:r>
      <w:r w:rsidR="001F4866" w:rsidRPr="007E2367">
        <w:rPr>
          <w:szCs w:val="28"/>
          <w:lang w:val="es-CO" w:eastAsia="es-CO"/>
        </w:rPr>
        <w:t xml:space="preserve"> cuando </w:t>
      </w:r>
      <w:r w:rsidR="00572389" w:rsidRPr="007E2367">
        <w:rPr>
          <w:szCs w:val="28"/>
          <w:lang w:val="es-CO" w:eastAsia="es-CO"/>
        </w:rPr>
        <w:t xml:space="preserve">se trata de determinar </w:t>
      </w:r>
      <w:r w:rsidR="001F4866" w:rsidRPr="007E2367">
        <w:rPr>
          <w:szCs w:val="28"/>
          <w:lang w:val="es-CO" w:eastAsia="es-CO"/>
        </w:rPr>
        <w:t xml:space="preserve">la </w:t>
      </w:r>
      <w:r w:rsidR="00665DC8" w:rsidRPr="007E2367">
        <w:rPr>
          <w:szCs w:val="28"/>
          <w:lang w:val="es-CO" w:eastAsia="es-CO"/>
        </w:rPr>
        <w:t xml:space="preserve">cosa juzgada constitucional. </w:t>
      </w:r>
      <w:r w:rsidR="00BC7498" w:rsidRPr="007E2367">
        <w:rPr>
          <w:szCs w:val="28"/>
          <w:lang w:val="es-CO" w:eastAsia="es-CO"/>
        </w:rPr>
        <w:t>Así</w:t>
      </w:r>
      <w:r w:rsidR="001F4866" w:rsidRPr="007E2367">
        <w:rPr>
          <w:szCs w:val="28"/>
          <w:lang w:val="es-CO" w:eastAsia="es-CO"/>
        </w:rPr>
        <w:t xml:space="preserve"> lo precisó la </w:t>
      </w:r>
      <w:r w:rsidR="001F4866" w:rsidRPr="007E2367">
        <w:rPr>
          <w:b/>
          <w:szCs w:val="28"/>
          <w:lang w:val="es-CO" w:eastAsia="es-CO"/>
        </w:rPr>
        <w:t>Sentencia C-037 de 1996</w:t>
      </w:r>
      <w:r w:rsidR="001F4866" w:rsidRPr="007E2367">
        <w:rPr>
          <w:rStyle w:val="Refdenotaalpie"/>
          <w:b/>
          <w:szCs w:val="28"/>
          <w:lang w:val="es-CO" w:eastAsia="es-CO"/>
        </w:rPr>
        <w:footnoteReference w:id="239"/>
      </w:r>
      <w:r w:rsidR="001F4866" w:rsidRPr="007E2367">
        <w:rPr>
          <w:szCs w:val="28"/>
          <w:lang w:val="es-CO" w:eastAsia="es-CO"/>
        </w:rPr>
        <w:t xml:space="preserve"> que analizó el proyecto de Ley Estatutaria de la Administración de Justicia, </w:t>
      </w:r>
      <w:r w:rsidR="00A50C5C" w:rsidRPr="007E2367">
        <w:rPr>
          <w:szCs w:val="28"/>
          <w:lang w:val="es-CO" w:eastAsia="es-CO"/>
        </w:rPr>
        <w:t>al</w:t>
      </w:r>
      <w:r w:rsidR="001F4866" w:rsidRPr="007E2367">
        <w:rPr>
          <w:szCs w:val="28"/>
          <w:lang w:val="es-CO" w:eastAsia="es-CO"/>
        </w:rPr>
        <w:t xml:space="preserve"> ratific</w:t>
      </w:r>
      <w:r w:rsidR="00A50C5C" w:rsidRPr="007E2367">
        <w:rPr>
          <w:szCs w:val="28"/>
          <w:lang w:val="es-CO" w:eastAsia="es-CO"/>
        </w:rPr>
        <w:t>ar</w:t>
      </w:r>
      <w:r w:rsidR="001F4866" w:rsidRPr="007E2367">
        <w:rPr>
          <w:szCs w:val="28"/>
          <w:lang w:val="es-CO" w:eastAsia="es-CO"/>
        </w:rPr>
        <w:t xml:space="preserve"> la fuerza vinculante de aquellos apartes específicos y concretos de las sentencias de constitucionalidad que tienen relación “</w:t>
      </w:r>
      <w:r w:rsidR="001F4866" w:rsidRPr="007E2367">
        <w:rPr>
          <w:i/>
          <w:szCs w:val="28"/>
          <w:lang w:val="es-CO" w:eastAsia="es-CO"/>
        </w:rPr>
        <w:t>estrecha, directa e inescindible con la parte resolutiva”,</w:t>
      </w:r>
      <w:r w:rsidR="006669B6" w:rsidRPr="007E2367">
        <w:rPr>
          <w:szCs w:val="28"/>
          <w:lang w:val="es-CO" w:eastAsia="es-CO"/>
        </w:rPr>
        <w:t xml:space="preserve"> y declaró </w:t>
      </w:r>
      <w:r w:rsidR="001F4866" w:rsidRPr="007E2367">
        <w:rPr>
          <w:szCs w:val="28"/>
          <w:lang w:val="es-CO" w:eastAsia="es-CO"/>
        </w:rPr>
        <w:t>explícitamente</w:t>
      </w:r>
      <w:r w:rsidR="00665DC8" w:rsidRPr="007E2367">
        <w:rPr>
          <w:szCs w:val="28"/>
          <w:lang w:val="es-CO" w:eastAsia="es-CO"/>
        </w:rPr>
        <w:t>,</w:t>
      </w:r>
      <w:r w:rsidR="001F4866" w:rsidRPr="007E2367">
        <w:rPr>
          <w:szCs w:val="28"/>
          <w:lang w:val="es-CO" w:eastAsia="es-CO"/>
        </w:rPr>
        <w:t xml:space="preserve"> que ellos son obligatorios y vinculantes para todos</w:t>
      </w:r>
      <w:r w:rsidR="00A50C5C" w:rsidRPr="007E2367">
        <w:rPr>
          <w:szCs w:val="28"/>
          <w:lang w:val="es-CO" w:eastAsia="es-CO"/>
        </w:rPr>
        <w:t xml:space="preserve"> los operadores jurídicos</w:t>
      </w:r>
      <w:r w:rsidR="001F4866" w:rsidRPr="007E2367">
        <w:rPr>
          <w:szCs w:val="28"/>
          <w:lang w:val="es-CO" w:eastAsia="es-CO"/>
        </w:rPr>
        <w:t xml:space="preserve">. </w:t>
      </w:r>
      <w:r w:rsidR="00E322DA" w:rsidRPr="007E2367">
        <w:rPr>
          <w:szCs w:val="28"/>
          <w:lang w:val="es-CO" w:eastAsia="es-CO"/>
        </w:rPr>
        <w:t xml:space="preserve">Al respecto, </w:t>
      </w:r>
      <w:r w:rsidR="001F4866" w:rsidRPr="007E2367">
        <w:rPr>
          <w:szCs w:val="28"/>
          <w:lang w:val="es-CO" w:eastAsia="es-CO"/>
        </w:rPr>
        <w:t>esa providencia sostuvo lo siguiente:</w:t>
      </w:r>
    </w:p>
    <w:p w14:paraId="11F9CFCA" w14:textId="77777777" w:rsidR="001F4866" w:rsidRPr="007E2367" w:rsidRDefault="001F4866" w:rsidP="00EC0A8F">
      <w:pPr>
        <w:shd w:val="clear" w:color="auto" w:fill="FFFFFF"/>
        <w:spacing w:line="276" w:lineRule="auto"/>
        <w:ind w:left="567" w:right="580"/>
        <w:jc w:val="both"/>
        <w:rPr>
          <w:szCs w:val="28"/>
          <w:lang w:val="es-CO" w:eastAsia="es-CO"/>
        </w:rPr>
      </w:pPr>
    </w:p>
    <w:p w14:paraId="37A5257E" w14:textId="77777777" w:rsidR="001F4866" w:rsidRPr="000E05E7" w:rsidRDefault="001F4866" w:rsidP="00EC0A8F">
      <w:pPr>
        <w:shd w:val="clear" w:color="auto" w:fill="FFFFFF"/>
        <w:ind w:left="284"/>
        <w:jc w:val="both"/>
        <w:rPr>
          <w:szCs w:val="28"/>
          <w:lang w:val="es-CO" w:eastAsia="es-CO"/>
        </w:rPr>
      </w:pPr>
      <w:r w:rsidRPr="007E2367">
        <w:rPr>
          <w:i/>
          <w:sz w:val="26"/>
          <w:szCs w:val="26"/>
          <w:lang w:val="es-CO" w:eastAsia="es-CO"/>
        </w:rPr>
        <w:t>“</w:t>
      </w:r>
      <w:r w:rsidRPr="007E2367">
        <w:rPr>
          <w:i/>
          <w:sz w:val="26"/>
          <w:szCs w:val="26"/>
          <w:u w:val="single"/>
          <w:lang w:val="es-CO" w:eastAsia="es-CO"/>
        </w:rPr>
        <w:t xml:space="preserve">[S]erá de obligatorio cumplimiento, esto es, </w:t>
      </w:r>
      <w:r w:rsidRPr="007E2367">
        <w:rPr>
          <w:b/>
          <w:bCs/>
          <w:i/>
          <w:sz w:val="26"/>
          <w:szCs w:val="26"/>
          <w:u w:val="single"/>
          <w:lang w:val="es-CO" w:eastAsia="es-CO"/>
        </w:rPr>
        <w:t xml:space="preserve">únicamente hace tránsito a cosa juzgada constitucional, la parte resolutiva </w:t>
      </w:r>
      <w:r w:rsidRPr="007E2367">
        <w:rPr>
          <w:i/>
          <w:sz w:val="26"/>
          <w:szCs w:val="26"/>
          <w:u w:val="single"/>
          <w:lang w:val="es-CO" w:eastAsia="es-CO"/>
        </w:rPr>
        <w:t>de las sentencias de la Corte Constitucional</w:t>
      </w:r>
      <w:r w:rsidRPr="007E2367">
        <w:rPr>
          <w:i/>
          <w:sz w:val="26"/>
          <w:szCs w:val="26"/>
          <w:lang w:val="es-CO" w:eastAsia="es-CO"/>
        </w:rPr>
        <w:t xml:space="preserve">. En cuanto a la </w:t>
      </w:r>
      <w:r w:rsidRPr="007E2367">
        <w:rPr>
          <w:i/>
          <w:sz w:val="26"/>
          <w:szCs w:val="26"/>
          <w:u w:val="single"/>
          <w:lang w:val="es-CO" w:eastAsia="es-CO"/>
        </w:rPr>
        <w:t>parte motiva</w:t>
      </w:r>
      <w:r w:rsidRPr="007E2367">
        <w:rPr>
          <w:i/>
          <w:sz w:val="26"/>
          <w:szCs w:val="26"/>
          <w:lang w:val="es-CO" w:eastAsia="es-CO"/>
        </w:rPr>
        <w:t xml:space="preserve">, </w:t>
      </w:r>
      <w:r w:rsidR="00951923" w:rsidRPr="007E2367">
        <w:rPr>
          <w:i/>
          <w:sz w:val="26"/>
          <w:szCs w:val="26"/>
          <w:lang w:val="es-CO" w:eastAsia="es-CO"/>
        </w:rPr>
        <w:t xml:space="preserve">(…) </w:t>
      </w:r>
      <w:r w:rsidRPr="007E2367">
        <w:rPr>
          <w:b/>
          <w:bCs/>
          <w:i/>
          <w:sz w:val="26"/>
          <w:szCs w:val="26"/>
          <w:u w:val="single"/>
          <w:lang w:val="es-CO" w:eastAsia="es-CO"/>
        </w:rPr>
        <w:t>sólo tendrían fuerza vinculante los conceptos consignados en esta parte que guarden una relación estrecha, directa e inescindible con la parte resolutiva;</w:t>
      </w:r>
      <w:r w:rsidRPr="007E2367">
        <w:rPr>
          <w:i/>
          <w:sz w:val="26"/>
          <w:szCs w:val="26"/>
          <w:u w:val="single"/>
          <w:lang w:val="es-CO" w:eastAsia="es-CO"/>
        </w:rPr>
        <w:t xml:space="preserve"> en otras palabras, aquella parte de la argumentación que se considere absolutamente básica, necesaria e indispensable para servir de soporte directo a la parte resolutiva de las sentencias y que incida directamente en ella.</w:t>
      </w:r>
      <w:r w:rsidRPr="007E2367">
        <w:rPr>
          <w:i/>
          <w:sz w:val="26"/>
          <w:szCs w:val="26"/>
          <w:lang w:val="es-CO" w:eastAsia="es-CO"/>
        </w:rPr>
        <w:t xml:space="preserve">” </w:t>
      </w:r>
      <w:r w:rsidRPr="007E2367">
        <w:rPr>
          <w:iCs/>
          <w:sz w:val="26"/>
          <w:szCs w:val="26"/>
          <w:lang w:val="es-CO" w:eastAsia="es-CO"/>
        </w:rPr>
        <w:t>(Las subrayas</w:t>
      </w:r>
      <w:r w:rsidR="00665DC8" w:rsidRPr="007E2367">
        <w:rPr>
          <w:iCs/>
          <w:sz w:val="26"/>
          <w:szCs w:val="26"/>
          <w:lang w:val="es-CO" w:eastAsia="es-CO"/>
        </w:rPr>
        <w:t xml:space="preserve"> y negrillas.</w:t>
      </w:r>
      <w:r w:rsidRPr="007E2367">
        <w:rPr>
          <w:iCs/>
          <w:sz w:val="26"/>
          <w:szCs w:val="26"/>
          <w:lang w:val="es-CO" w:eastAsia="es-CO"/>
        </w:rPr>
        <w:t xml:space="preserve"> fuera del original).</w:t>
      </w:r>
    </w:p>
    <w:p w14:paraId="559C1396" w14:textId="77777777" w:rsidR="001F4866" w:rsidRPr="002E4477" w:rsidRDefault="001F4866" w:rsidP="00EC0A8F">
      <w:pPr>
        <w:shd w:val="clear" w:color="auto" w:fill="FFFFFF"/>
        <w:spacing w:line="276" w:lineRule="auto"/>
        <w:jc w:val="both"/>
        <w:rPr>
          <w:szCs w:val="28"/>
          <w:lang w:val="es-CO" w:eastAsia="es-CO"/>
        </w:rPr>
      </w:pPr>
    </w:p>
    <w:p w14:paraId="5FA83FE6" w14:textId="77777777" w:rsidR="001F4866" w:rsidRPr="00834995" w:rsidRDefault="001F4866" w:rsidP="00AB367A">
      <w:pPr>
        <w:shd w:val="clear" w:color="auto" w:fill="FFFFFF"/>
        <w:tabs>
          <w:tab w:val="left" w:pos="426"/>
        </w:tabs>
        <w:jc w:val="both"/>
        <w:rPr>
          <w:szCs w:val="28"/>
          <w:lang w:val="es-CO" w:eastAsia="es-CO"/>
        </w:rPr>
      </w:pPr>
      <w:r w:rsidRPr="002E4477">
        <w:rPr>
          <w:szCs w:val="28"/>
          <w:lang w:val="es-CO" w:eastAsia="es-CO"/>
        </w:rPr>
        <w:t xml:space="preserve">Como la Ley Estatutaria de la Administración de Justicia regula la actividad </w:t>
      </w:r>
      <w:r w:rsidRPr="00834995">
        <w:rPr>
          <w:szCs w:val="28"/>
          <w:lang w:val="es-CO" w:eastAsia="es-CO"/>
        </w:rPr>
        <w:t xml:space="preserve">de la Rama Judicial es natural que estas precisiones sean fundamentales para los jueces y las autoridades, en la medida en que concretan las atribuciones jurídicas de la Corte Constitucional, ya asignadas por la Carta, </w:t>
      </w:r>
      <w:r w:rsidR="00665DC8" w:rsidRPr="00834995">
        <w:rPr>
          <w:szCs w:val="28"/>
          <w:lang w:val="es-CO" w:eastAsia="es-CO"/>
        </w:rPr>
        <w:t xml:space="preserve">al </w:t>
      </w:r>
      <w:r w:rsidRPr="00834995">
        <w:rPr>
          <w:szCs w:val="28"/>
          <w:lang w:val="es-CO" w:eastAsia="es-CO"/>
        </w:rPr>
        <w:t>ratifica</w:t>
      </w:r>
      <w:r w:rsidR="00665DC8" w:rsidRPr="00834995">
        <w:rPr>
          <w:szCs w:val="28"/>
          <w:lang w:val="es-CO" w:eastAsia="es-CO"/>
        </w:rPr>
        <w:t>r</w:t>
      </w:r>
      <w:r w:rsidRPr="00834995">
        <w:rPr>
          <w:szCs w:val="28"/>
          <w:lang w:val="es-CO" w:eastAsia="es-CO"/>
        </w:rPr>
        <w:t xml:space="preserve"> la fuerza vinculante de la parte resolutiva y de ciertos elementos de la parte motiva de </w:t>
      </w:r>
      <w:r w:rsidR="00CB4AF5" w:rsidRPr="00834995">
        <w:rPr>
          <w:szCs w:val="28"/>
          <w:lang w:val="es-CO" w:eastAsia="es-CO"/>
        </w:rPr>
        <w:t>las</w:t>
      </w:r>
      <w:r w:rsidRPr="00834995">
        <w:rPr>
          <w:szCs w:val="28"/>
          <w:lang w:val="es-CO" w:eastAsia="es-CO"/>
        </w:rPr>
        <w:t xml:space="preserve"> sentencias de constitucionalidad</w:t>
      </w:r>
      <w:r w:rsidR="00665DC8" w:rsidRPr="00834995">
        <w:rPr>
          <w:szCs w:val="28"/>
          <w:lang w:val="es-CO" w:eastAsia="es-CO"/>
        </w:rPr>
        <w:t xml:space="preserve"> que dan cuenta de las razones expuestas por este tribunal</w:t>
      </w:r>
      <w:r w:rsidRPr="00834995">
        <w:rPr>
          <w:szCs w:val="28"/>
          <w:lang w:val="es-CO" w:eastAsia="es-CO"/>
        </w:rPr>
        <w:t xml:space="preserve">, </w:t>
      </w:r>
      <w:r w:rsidR="00665DC8" w:rsidRPr="00834995">
        <w:rPr>
          <w:szCs w:val="28"/>
          <w:lang w:val="es-CO" w:eastAsia="es-CO"/>
        </w:rPr>
        <w:t xml:space="preserve">y </w:t>
      </w:r>
      <w:r w:rsidRPr="00834995">
        <w:rPr>
          <w:szCs w:val="28"/>
          <w:lang w:val="es-CO" w:eastAsia="es-CO"/>
        </w:rPr>
        <w:t>que hacen tránsito a cosa juzgada constitucional, en aquellos aspectos determinantes de la decisión que sustentan lo decidido en la resolutiva</w:t>
      </w:r>
      <w:r w:rsidR="00CB4AF5" w:rsidRPr="00834995">
        <w:rPr>
          <w:szCs w:val="28"/>
          <w:lang w:val="es-CO" w:eastAsia="es-CO"/>
        </w:rPr>
        <w:t>.</w:t>
      </w:r>
    </w:p>
    <w:p w14:paraId="54A855A9" w14:textId="77777777" w:rsidR="001F4866" w:rsidRPr="00834995" w:rsidRDefault="001F4866" w:rsidP="00951923">
      <w:pPr>
        <w:pStyle w:val="Prrafodelista"/>
        <w:ind w:left="0"/>
        <w:rPr>
          <w:szCs w:val="28"/>
          <w:lang w:val="es-CO" w:eastAsia="es-CO"/>
        </w:rPr>
      </w:pPr>
    </w:p>
    <w:p w14:paraId="58EB1EF1" w14:textId="77777777" w:rsidR="00665DC8" w:rsidRPr="00834995" w:rsidRDefault="00665DC8" w:rsidP="00665DC8">
      <w:pPr>
        <w:jc w:val="both"/>
        <w:rPr>
          <w:szCs w:val="28"/>
          <w:lang w:val="es-CO" w:eastAsia="es-CO"/>
        </w:rPr>
      </w:pPr>
      <w:r w:rsidRPr="00834995">
        <w:rPr>
          <w:b/>
          <w:bCs/>
          <w:szCs w:val="28"/>
          <w:lang w:val="es-CO" w:eastAsia="es-CO"/>
        </w:rPr>
        <w:t>(iv)</w:t>
      </w:r>
      <w:r w:rsidRPr="00834995">
        <w:rPr>
          <w:szCs w:val="28"/>
          <w:shd w:val="clear" w:color="auto" w:fill="FFFFFF"/>
          <w:lang w:val="es-ES_tradnl"/>
        </w:rPr>
        <w:t xml:space="preserve"> Ahora bien, </w:t>
      </w:r>
      <w:r w:rsidR="00962603" w:rsidRPr="00834995">
        <w:rPr>
          <w:szCs w:val="28"/>
          <w:lang w:val="es-CO" w:eastAsia="es-CO"/>
        </w:rPr>
        <w:t>si en virtud de las precisiones o razonamientos esgrimidos por la Corte Constitucional</w:t>
      </w:r>
      <w:r w:rsidRPr="00834995">
        <w:rPr>
          <w:szCs w:val="28"/>
          <w:lang w:val="es-CO" w:eastAsia="es-CO"/>
        </w:rPr>
        <w:t xml:space="preserve"> se le han dado nuevos alcances a </w:t>
      </w:r>
      <w:r w:rsidR="00962603" w:rsidRPr="00834995">
        <w:rPr>
          <w:szCs w:val="28"/>
          <w:lang w:val="es-CO" w:eastAsia="es-CO"/>
        </w:rPr>
        <w:t>la</w:t>
      </w:r>
      <w:r w:rsidRPr="00834995">
        <w:rPr>
          <w:szCs w:val="28"/>
          <w:lang w:val="es-CO" w:eastAsia="es-CO"/>
        </w:rPr>
        <w:t xml:space="preserve"> interpretación </w:t>
      </w:r>
      <w:r w:rsidR="00962603" w:rsidRPr="00834995">
        <w:rPr>
          <w:szCs w:val="28"/>
          <w:lang w:val="es-CO" w:eastAsia="es-CO"/>
        </w:rPr>
        <w:t xml:space="preserve">de una norma objeto de control </w:t>
      </w:r>
      <w:r w:rsidRPr="00834995">
        <w:rPr>
          <w:szCs w:val="28"/>
          <w:lang w:val="es-CO" w:eastAsia="es-CO"/>
        </w:rPr>
        <w:t xml:space="preserve">o a su texto, </w:t>
      </w:r>
      <w:r w:rsidR="00962603" w:rsidRPr="00834995">
        <w:rPr>
          <w:szCs w:val="28"/>
          <w:lang w:val="es-CO" w:eastAsia="es-CO"/>
        </w:rPr>
        <w:t xml:space="preserve">tales </w:t>
      </w:r>
      <w:r w:rsidRPr="00834995">
        <w:rPr>
          <w:szCs w:val="28"/>
          <w:lang w:val="es-CO" w:eastAsia="es-CO"/>
        </w:rPr>
        <w:t>cambios concretos en el precepto y/o en su interpretación</w:t>
      </w:r>
      <w:r w:rsidR="00962603" w:rsidRPr="00834995">
        <w:rPr>
          <w:szCs w:val="28"/>
          <w:lang w:val="es-CO" w:eastAsia="es-CO"/>
        </w:rPr>
        <w:t>, en virtud de la cosa juzgada constitucional enunciada,</w:t>
      </w:r>
      <w:r w:rsidRPr="00834995">
        <w:rPr>
          <w:szCs w:val="28"/>
          <w:lang w:val="es-CO" w:eastAsia="es-CO"/>
        </w:rPr>
        <w:t xml:space="preserve"> son definitivos con respecto a los cargos analizados, a menos que las normas </w:t>
      </w:r>
      <w:r w:rsidR="00962603" w:rsidRPr="00834995">
        <w:rPr>
          <w:szCs w:val="28"/>
          <w:lang w:val="es-CO" w:eastAsia="es-CO"/>
        </w:rPr>
        <w:t xml:space="preserve">superiores </w:t>
      </w:r>
      <w:r w:rsidRPr="00834995">
        <w:rPr>
          <w:szCs w:val="28"/>
          <w:lang w:val="es-CO" w:eastAsia="es-CO"/>
        </w:rPr>
        <w:t xml:space="preserve">cambien o se modifique el contexto normativo que les corresponde. </w:t>
      </w:r>
    </w:p>
    <w:p w14:paraId="4F0EE8A1" w14:textId="77777777" w:rsidR="00962603" w:rsidRPr="00834995" w:rsidRDefault="00962603" w:rsidP="00665DC8">
      <w:pPr>
        <w:jc w:val="both"/>
        <w:rPr>
          <w:szCs w:val="28"/>
          <w:lang w:val="es-CO" w:eastAsia="es-CO"/>
        </w:rPr>
      </w:pPr>
    </w:p>
    <w:p w14:paraId="09FF439B" w14:textId="77777777" w:rsidR="00665DC8" w:rsidRPr="00834995" w:rsidRDefault="00665DC8" w:rsidP="00665DC8">
      <w:pPr>
        <w:spacing w:line="280" w:lineRule="atLeast"/>
        <w:jc w:val="both"/>
        <w:rPr>
          <w:rFonts w:eastAsia="Calibri"/>
          <w:szCs w:val="28"/>
          <w:lang w:eastAsia="en-US"/>
        </w:rPr>
      </w:pPr>
      <w:r w:rsidRPr="00834995">
        <w:rPr>
          <w:szCs w:val="28"/>
          <w:shd w:val="clear" w:color="auto" w:fill="FFFFFF"/>
          <w:lang w:val="es-ES_tradnl"/>
        </w:rPr>
        <w:t xml:space="preserve">Como lo señala la </w:t>
      </w:r>
      <w:r w:rsidRPr="00834995">
        <w:rPr>
          <w:b/>
          <w:bCs/>
          <w:szCs w:val="28"/>
          <w:shd w:val="clear" w:color="auto" w:fill="FFFFFF"/>
          <w:lang w:val="es-ES_tradnl"/>
        </w:rPr>
        <w:t xml:space="preserve">Sentencia </w:t>
      </w:r>
      <w:r w:rsidRPr="00834995">
        <w:rPr>
          <w:b/>
          <w:bCs/>
          <w:color w:val="000000"/>
        </w:rPr>
        <w:t>C-096 de 2017</w:t>
      </w:r>
      <w:r w:rsidRPr="00834995">
        <w:rPr>
          <w:rStyle w:val="Refdenotaalpie"/>
          <w:color w:val="000000"/>
        </w:rPr>
        <w:footnoteReference w:id="240"/>
      </w:r>
      <w:r w:rsidRPr="00834995">
        <w:rPr>
          <w:color w:val="000000"/>
        </w:rPr>
        <w:t>,</w:t>
      </w:r>
      <w:r w:rsidRPr="00834995">
        <w:rPr>
          <w:b/>
          <w:bCs/>
          <w:color w:val="000000"/>
        </w:rPr>
        <w:t xml:space="preserve"> </w:t>
      </w:r>
      <w:r w:rsidRPr="00834995">
        <w:rPr>
          <w:rFonts w:eastAsia="Calibri"/>
          <w:szCs w:val="28"/>
          <w:lang w:eastAsia="en-US"/>
        </w:rPr>
        <w:t xml:space="preserve">cuando la cosa juzgada se predica a partir de una decisión interpretativa o de la declaratoria de exequibilidad condicionada, la lectura constitucional dada por el fallo de este Tribunal en el caso, se entiende incorporada necesariamente a la disposición, como única interpretación válida de la misma. </w:t>
      </w:r>
    </w:p>
    <w:p w14:paraId="20D13FFE" w14:textId="77777777" w:rsidR="00665DC8" w:rsidRPr="00834995" w:rsidRDefault="00665DC8" w:rsidP="00665DC8">
      <w:pPr>
        <w:spacing w:line="280" w:lineRule="atLeast"/>
        <w:jc w:val="both"/>
        <w:rPr>
          <w:rFonts w:eastAsia="Calibri"/>
          <w:szCs w:val="28"/>
          <w:lang w:eastAsia="en-US"/>
        </w:rPr>
      </w:pPr>
    </w:p>
    <w:p w14:paraId="1690ACF9" w14:textId="77777777" w:rsidR="00665DC8" w:rsidRPr="00834995" w:rsidRDefault="00665DC8" w:rsidP="00665DC8">
      <w:pPr>
        <w:spacing w:line="280" w:lineRule="atLeast"/>
        <w:jc w:val="both"/>
        <w:rPr>
          <w:rFonts w:eastAsia="Calibri"/>
          <w:b/>
          <w:bCs/>
          <w:color w:val="000000"/>
          <w:szCs w:val="22"/>
          <w:lang w:eastAsia="en-US"/>
        </w:rPr>
      </w:pPr>
      <w:r w:rsidRPr="00834995">
        <w:rPr>
          <w:rFonts w:eastAsia="Calibri"/>
          <w:szCs w:val="28"/>
          <w:lang w:eastAsia="en-US"/>
        </w:rPr>
        <w:t>Ello también ocurre, cuando la cosa juzgada se predica de una sentencia integradora, aditiva o sustitutiva, que tiene que ver no s</w:t>
      </w:r>
      <w:r w:rsidR="00C80E03">
        <w:rPr>
          <w:rFonts w:eastAsia="Calibri"/>
          <w:szCs w:val="28"/>
          <w:lang w:eastAsia="en-US"/>
        </w:rPr>
        <w:t>o</w:t>
      </w:r>
      <w:r w:rsidRPr="00834995">
        <w:rPr>
          <w:rFonts w:eastAsia="Calibri"/>
          <w:szCs w:val="28"/>
          <w:lang w:eastAsia="en-US"/>
        </w:rPr>
        <w:t>lo con la interpretación del texto, sino su contenido gramatical mismo</w:t>
      </w:r>
      <w:r w:rsidRPr="00834995">
        <w:rPr>
          <w:rFonts w:eastAsia="Calibri"/>
          <w:szCs w:val="28"/>
          <w:vertAlign w:val="superscript"/>
          <w:lang w:eastAsia="en-US"/>
        </w:rPr>
        <w:footnoteReference w:id="241"/>
      </w:r>
      <w:r w:rsidRPr="00834995">
        <w:rPr>
          <w:rFonts w:eastAsia="Calibri"/>
          <w:szCs w:val="28"/>
          <w:lang w:eastAsia="en-US"/>
        </w:rPr>
        <w:t>. De ahí que en virtud de la sentencia de constitucionalidad condicionada nos encontr</w:t>
      </w:r>
      <w:r w:rsidR="00962603" w:rsidRPr="00834995">
        <w:rPr>
          <w:rFonts w:eastAsia="Calibri"/>
          <w:szCs w:val="28"/>
          <w:lang w:eastAsia="en-US"/>
        </w:rPr>
        <w:t>e</w:t>
      </w:r>
      <w:r w:rsidRPr="00834995">
        <w:rPr>
          <w:rFonts w:eastAsia="Calibri"/>
          <w:szCs w:val="28"/>
          <w:lang w:eastAsia="en-US"/>
        </w:rPr>
        <w:t>mos frente a una “</w:t>
      </w:r>
      <w:r w:rsidRPr="00834995">
        <w:rPr>
          <w:rFonts w:eastAsia="Calibri"/>
          <w:i/>
          <w:szCs w:val="28"/>
          <w:lang w:eastAsia="en-US"/>
        </w:rPr>
        <w:t>norma jurídica que surge, a partir del fallo condicionado</w:t>
      </w:r>
      <w:r w:rsidRPr="00834995">
        <w:rPr>
          <w:rFonts w:eastAsia="Calibri"/>
          <w:szCs w:val="28"/>
          <w:lang w:eastAsia="en-US"/>
        </w:rPr>
        <w:t>”</w:t>
      </w:r>
      <w:r w:rsidRPr="00834995">
        <w:rPr>
          <w:rFonts w:eastAsia="Calibri"/>
          <w:szCs w:val="28"/>
          <w:vertAlign w:val="superscript"/>
          <w:lang w:eastAsia="en-US"/>
        </w:rPr>
        <w:footnoteReference w:id="242"/>
      </w:r>
      <w:r w:rsidRPr="00834995">
        <w:rPr>
          <w:rFonts w:eastAsia="Calibri"/>
          <w:szCs w:val="28"/>
          <w:lang w:eastAsia="en-US"/>
        </w:rPr>
        <w:t xml:space="preserve"> y, </w:t>
      </w:r>
      <w:r w:rsidR="00962603" w:rsidRPr="00834995">
        <w:rPr>
          <w:rFonts w:eastAsia="Calibri"/>
          <w:szCs w:val="28"/>
          <w:lang w:eastAsia="en-US"/>
        </w:rPr>
        <w:t xml:space="preserve">que </w:t>
      </w:r>
      <w:r w:rsidRPr="00834995">
        <w:rPr>
          <w:rFonts w:eastAsia="Calibri"/>
          <w:szCs w:val="28"/>
          <w:lang w:eastAsia="en-US"/>
        </w:rPr>
        <w:t>si se trata de una sentencia aditiva, integradora o sustitutiva,</w:t>
      </w:r>
      <w:r w:rsidR="00962603" w:rsidRPr="00834995">
        <w:rPr>
          <w:rFonts w:eastAsia="Calibri"/>
          <w:szCs w:val="28"/>
          <w:lang w:eastAsia="en-US"/>
        </w:rPr>
        <w:t xml:space="preserve"> de cuenta del surgimiento de </w:t>
      </w:r>
      <w:r w:rsidRPr="00834995">
        <w:rPr>
          <w:rFonts w:eastAsia="Calibri"/>
          <w:szCs w:val="28"/>
          <w:lang w:eastAsia="en-US"/>
        </w:rPr>
        <w:t>una nueva redacción de la disposición</w:t>
      </w:r>
      <w:r w:rsidRPr="00834995">
        <w:rPr>
          <w:rFonts w:eastAsia="Calibri"/>
          <w:szCs w:val="28"/>
          <w:vertAlign w:val="superscript"/>
          <w:lang w:eastAsia="en-US"/>
        </w:rPr>
        <w:footnoteReference w:id="243"/>
      </w:r>
      <w:r w:rsidRPr="00834995">
        <w:rPr>
          <w:rFonts w:eastAsia="Calibri"/>
          <w:szCs w:val="28"/>
          <w:lang w:eastAsia="en-US"/>
        </w:rPr>
        <w:t xml:space="preserve">. Por consiguiente, </w:t>
      </w:r>
      <w:r w:rsidR="00962603" w:rsidRPr="00834995">
        <w:rPr>
          <w:rFonts w:eastAsia="Calibri"/>
          <w:szCs w:val="28"/>
          <w:lang w:eastAsia="en-US"/>
        </w:rPr>
        <w:t xml:space="preserve">en tales casos, otro de los </w:t>
      </w:r>
      <w:r w:rsidRPr="00834995">
        <w:rPr>
          <w:rFonts w:eastAsia="Calibri"/>
          <w:szCs w:val="28"/>
          <w:lang w:eastAsia="en-US"/>
        </w:rPr>
        <w:t xml:space="preserve">efectos de la cosa juzgada constitucional, </w:t>
      </w:r>
      <w:r w:rsidR="00962603" w:rsidRPr="00834995">
        <w:rPr>
          <w:rFonts w:eastAsia="Calibri"/>
          <w:szCs w:val="28"/>
          <w:lang w:eastAsia="en-US"/>
        </w:rPr>
        <w:t xml:space="preserve">tiene que ver con que </w:t>
      </w:r>
      <w:r w:rsidRPr="00834995">
        <w:rPr>
          <w:rFonts w:eastAsia="Calibri"/>
          <w:szCs w:val="28"/>
          <w:lang w:eastAsia="en-US"/>
        </w:rPr>
        <w:t>“</w:t>
      </w:r>
      <w:r w:rsidRPr="00834995">
        <w:rPr>
          <w:rFonts w:eastAsia="Calibri"/>
          <w:i/>
          <w:szCs w:val="28"/>
          <w:lang w:eastAsia="en-US"/>
        </w:rPr>
        <w:t>la interpretación excluida del ordenamiento jurídico (norma) no pueda ser objeto de reproducción o aplicación en otro acto jurídico. Adicionalmente en los supuestos en los cuales la Corte ha adoptado una sentencia aditiva la cosa juzgada implica que no se encuentra permitido reproducir una disposición que omita el elemento que la Corte ha juzgado necesario adicionar</w:t>
      </w:r>
      <w:r w:rsidRPr="00834995">
        <w:rPr>
          <w:rFonts w:eastAsia="Calibri"/>
          <w:szCs w:val="28"/>
          <w:lang w:eastAsia="en-US"/>
        </w:rPr>
        <w:t>”</w:t>
      </w:r>
      <w:r w:rsidRPr="00834995">
        <w:rPr>
          <w:rFonts w:eastAsia="Calibri"/>
          <w:szCs w:val="28"/>
          <w:vertAlign w:val="superscript"/>
          <w:lang w:eastAsia="en-US"/>
        </w:rPr>
        <w:footnoteReference w:id="244"/>
      </w:r>
      <w:r w:rsidRPr="00834995">
        <w:rPr>
          <w:rFonts w:eastAsia="Calibri"/>
          <w:i/>
          <w:szCs w:val="28"/>
          <w:lang w:eastAsia="en-US"/>
        </w:rPr>
        <w:t>.</w:t>
      </w:r>
    </w:p>
    <w:p w14:paraId="47487AB0" w14:textId="77777777" w:rsidR="00665DC8" w:rsidRPr="00834995" w:rsidRDefault="00665DC8" w:rsidP="00951923">
      <w:pPr>
        <w:pStyle w:val="Prrafodelista"/>
        <w:ind w:left="0"/>
        <w:rPr>
          <w:szCs w:val="28"/>
          <w:lang w:eastAsia="es-CO"/>
        </w:rPr>
      </w:pPr>
    </w:p>
    <w:p w14:paraId="42978E8D" w14:textId="77777777" w:rsidR="000C7CF3" w:rsidRPr="00951923" w:rsidRDefault="00951923" w:rsidP="00A12F31">
      <w:pPr>
        <w:numPr>
          <w:ilvl w:val="0"/>
          <w:numId w:val="10"/>
        </w:numPr>
        <w:shd w:val="clear" w:color="auto" w:fill="FFFFFF"/>
        <w:jc w:val="both"/>
        <w:rPr>
          <w:szCs w:val="28"/>
          <w:lang w:val="es-CO" w:eastAsia="es-CO"/>
        </w:rPr>
      </w:pPr>
      <w:r w:rsidRPr="00834995">
        <w:rPr>
          <w:szCs w:val="28"/>
          <w:lang w:val="es-CO" w:eastAsia="es-CO"/>
        </w:rPr>
        <w:t>En consideración a lo anterior</w:t>
      </w:r>
      <w:r w:rsidR="00962603" w:rsidRPr="00834995">
        <w:rPr>
          <w:szCs w:val="28"/>
          <w:lang w:val="es-CO" w:eastAsia="es-CO"/>
        </w:rPr>
        <w:t>mente expuesto</w:t>
      </w:r>
      <w:r w:rsidRPr="00834995">
        <w:rPr>
          <w:szCs w:val="28"/>
          <w:lang w:val="es-CO" w:eastAsia="es-CO"/>
        </w:rPr>
        <w:t xml:space="preserve"> </w:t>
      </w:r>
      <w:r w:rsidR="0049796D" w:rsidRPr="00834995">
        <w:rPr>
          <w:szCs w:val="28"/>
          <w:lang w:val="es-CO" w:eastAsia="es-CO"/>
        </w:rPr>
        <w:t xml:space="preserve">es pertinente recordar, que </w:t>
      </w:r>
      <w:r w:rsidR="000C7CF3" w:rsidRPr="00834995">
        <w:rPr>
          <w:szCs w:val="28"/>
        </w:rPr>
        <w:t>la jurisprudencia del Consejo de Estado no ha sido ajena a la figura de la declaratoria de constitucionalidad condicionada que ha utilizado la Corte Constitucional en</w:t>
      </w:r>
      <w:r w:rsidR="00694D23" w:rsidRPr="00834995">
        <w:rPr>
          <w:szCs w:val="28"/>
        </w:rPr>
        <w:t xml:space="preserve"> gran cantidad de sus fallos</w:t>
      </w:r>
      <w:r w:rsidR="000C7CF3" w:rsidRPr="00834995">
        <w:rPr>
          <w:szCs w:val="28"/>
        </w:rPr>
        <w:t xml:space="preserve">. Es más, ha acogido las interpretaciones que el juez constitucional ha hecho de </w:t>
      </w:r>
      <w:r w:rsidR="00555278" w:rsidRPr="00834995">
        <w:rPr>
          <w:szCs w:val="28"/>
        </w:rPr>
        <w:t xml:space="preserve">manera reiterada, </w:t>
      </w:r>
      <w:r w:rsidR="00392A05" w:rsidRPr="00834995">
        <w:rPr>
          <w:szCs w:val="28"/>
        </w:rPr>
        <w:t xml:space="preserve">también en casos en </w:t>
      </w:r>
      <w:r w:rsidR="00694D23" w:rsidRPr="00834995">
        <w:rPr>
          <w:szCs w:val="28"/>
        </w:rPr>
        <w:t xml:space="preserve">los </w:t>
      </w:r>
      <w:r w:rsidR="00392A05" w:rsidRPr="00834995">
        <w:rPr>
          <w:szCs w:val="28"/>
        </w:rPr>
        <w:t>que se articula</w:t>
      </w:r>
      <w:r w:rsidR="00555278" w:rsidRPr="00834995">
        <w:rPr>
          <w:szCs w:val="28"/>
        </w:rPr>
        <w:t xml:space="preserve"> la interpretación normativa al</w:t>
      </w:r>
      <w:r w:rsidR="000C7CF3" w:rsidRPr="00834995">
        <w:rPr>
          <w:szCs w:val="28"/>
        </w:rPr>
        <w:t xml:space="preserve"> parámetro de control. </w:t>
      </w:r>
      <w:r w:rsidR="00555278" w:rsidRPr="00834995">
        <w:rPr>
          <w:szCs w:val="28"/>
        </w:rPr>
        <w:t xml:space="preserve">Uno de estos ejemplos, es </w:t>
      </w:r>
      <w:r w:rsidR="00694D23" w:rsidRPr="00834995">
        <w:rPr>
          <w:szCs w:val="28"/>
        </w:rPr>
        <w:t xml:space="preserve">lo advertido por </w:t>
      </w:r>
      <w:r w:rsidR="00392A05" w:rsidRPr="00834995">
        <w:rPr>
          <w:szCs w:val="28"/>
        </w:rPr>
        <w:t xml:space="preserve">esa </w:t>
      </w:r>
      <w:r w:rsidR="00962603" w:rsidRPr="00834995">
        <w:rPr>
          <w:szCs w:val="28"/>
        </w:rPr>
        <w:t>C</w:t>
      </w:r>
      <w:r w:rsidR="00392A05" w:rsidRPr="00834995">
        <w:rPr>
          <w:szCs w:val="28"/>
        </w:rPr>
        <w:t xml:space="preserve">orporación en </w:t>
      </w:r>
      <w:r w:rsidR="00694D23" w:rsidRPr="00834995">
        <w:rPr>
          <w:szCs w:val="28"/>
        </w:rPr>
        <w:t xml:space="preserve">un </w:t>
      </w:r>
      <w:r w:rsidR="00555278" w:rsidRPr="00834995">
        <w:rPr>
          <w:szCs w:val="28"/>
        </w:rPr>
        <w:t>caso</w:t>
      </w:r>
      <w:r w:rsidR="00694D23" w:rsidRPr="00834995">
        <w:rPr>
          <w:szCs w:val="28"/>
        </w:rPr>
        <w:t xml:space="preserve"> en el que se analizaba la validez </w:t>
      </w:r>
      <w:r w:rsidR="000C7CF3" w:rsidRPr="00834995">
        <w:rPr>
          <w:szCs w:val="28"/>
        </w:rPr>
        <w:t xml:space="preserve">del Decreto 1631 de 2006 que regulaba un asunto de regalías, </w:t>
      </w:r>
      <w:r w:rsidR="00555278" w:rsidRPr="00834995">
        <w:rPr>
          <w:szCs w:val="28"/>
        </w:rPr>
        <w:t>en donde</w:t>
      </w:r>
      <w:r w:rsidR="00962603" w:rsidRPr="00834995">
        <w:rPr>
          <w:szCs w:val="28"/>
        </w:rPr>
        <w:t xml:space="preserve"> </w:t>
      </w:r>
      <w:r w:rsidR="000C7CF3" w:rsidRPr="00834995">
        <w:rPr>
          <w:szCs w:val="28"/>
        </w:rPr>
        <w:t>explicó</w:t>
      </w:r>
      <w:r w:rsidR="00962603" w:rsidRPr="00834995">
        <w:rPr>
          <w:szCs w:val="28"/>
        </w:rPr>
        <w:t>, por ejemplo,</w:t>
      </w:r>
      <w:r w:rsidR="000C7CF3" w:rsidRPr="00834995">
        <w:rPr>
          <w:szCs w:val="28"/>
        </w:rPr>
        <w:t xml:space="preserve"> que</w:t>
      </w:r>
      <w:r w:rsidR="000C7CF3" w:rsidRPr="00951923">
        <w:rPr>
          <w:szCs w:val="28"/>
        </w:rPr>
        <w:t xml:space="preserve">: </w:t>
      </w:r>
    </w:p>
    <w:p w14:paraId="4B447E2E" w14:textId="77777777" w:rsidR="000C7CF3" w:rsidRPr="002E4477" w:rsidRDefault="000C7CF3" w:rsidP="000C7CF3">
      <w:pPr>
        <w:jc w:val="both"/>
        <w:rPr>
          <w:szCs w:val="28"/>
        </w:rPr>
      </w:pPr>
    </w:p>
    <w:p w14:paraId="1DA98514" w14:textId="77777777" w:rsidR="000C7CF3" w:rsidRPr="000E05E7" w:rsidRDefault="000C7CF3" w:rsidP="00EC0A8F">
      <w:pPr>
        <w:ind w:left="284"/>
        <w:jc w:val="both"/>
        <w:rPr>
          <w:i/>
          <w:sz w:val="26"/>
          <w:szCs w:val="26"/>
        </w:rPr>
      </w:pPr>
      <w:r w:rsidRPr="000E05E7">
        <w:rPr>
          <w:i/>
          <w:sz w:val="26"/>
          <w:szCs w:val="26"/>
        </w:rPr>
        <w:t xml:space="preserve">“[E]l contenido normativo de la disposición, luego de su juicio de constitucionalidad condicionada, </w:t>
      </w:r>
      <w:r w:rsidRPr="000E05E7">
        <w:rPr>
          <w:b/>
          <w:bCs/>
          <w:i/>
          <w:sz w:val="26"/>
          <w:szCs w:val="26"/>
          <w:u w:val="single"/>
        </w:rPr>
        <w:t>lo integra no solo la norma tal y como estaba concebida originalmente por el legislador, sino que también debe respetar la modulación fijada por el juez constitucional</w:t>
      </w:r>
      <w:r w:rsidRPr="000E05E7">
        <w:rPr>
          <w:i/>
          <w:sz w:val="26"/>
          <w:szCs w:val="26"/>
        </w:rPr>
        <w:t>,</w:t>
      </w:r>
      <w:r w:rsidR="00392A05" w:rsidRPr="000E05E7">
        <w:rPr>
          <w:i/>
          <w:sz w:val="26"/>
          <w:szCs w:val="26"/>
        </w:rPr>
        <w:t xml:space="preserve"> (...)</w:t>
      </w:r>
      <w:r w:rsidRPr="000E05E7">
        <w:rPr>
          <w:i/>
          <w:sz w:val="26"/>
          <w:szCs w:val="26"/>
        </w:rPr>
        <w:t xml:space="preserve"> es apenas natural que el Presidente en uso de la atribución administrativa de reglamentar las leyes, no podrá separarse de lo expresado por la Corte Constitucional. De esta manera la justicia administrativa no es solo el tradicional guardián de la legalidad administrativa, defensora de la voluntad popular manifestada por el legislador, </w:t>
      </w:r>
      <w:r w:rsidRPr="000E05E7">
        <w:rPr>
          <w:b/>
          <w:bCs/>
          <w:i/>
          <w:sz w:val="26"/>
          <w:szCs w:val="26"/>
          <w:u w:val="single"/>
        </w:rPr>
        <w:t>sino además de una legalidad que tiene que ser conforme a la Constitución, siguiendo las decisiones de su juez natural. Lo contrario supondría tornar nugatorios los efectos del pronunciamiento de constitucionalidad, con grave perjuicio para la coherencia del ordenamiento jurídico y la seguridad jurídica que imprime la cosa juzgada</w:t>
      </w:r>
      <w:r w:rsidRPr="000E05E7">
        <w:rPr>
          <w:b/>
          <w:bCs/>
          <w:sz w:val="26"/>
          <w:szCs w:val="26"/>
          <w:u w:val="single"/>
        </w:rPr>
        <w:t xml:space="preserve"> constitucional y en franco desconocimiento no solo del artículo 243 superior</w:t>
      </w:r>
      <w:r w:rsidRPr="000E05E7">
        <w:rPr>
          <w:sz w:val="26"/>
          <w:szCs w:val="26"/>
        </w:rPr>
        <w:t xml:space="preserve"> sino también, consecuencialmente, del artículo 189.11 </w:t>
      </w:r>
      <w:r w:rsidRPr="000E05E7">
        <w:rPr>
          <w:i/>
          <w:sz w:val="26"/>
          <w:szCs w:val="26"/>
        </w:rPr>
        <w:t xml:space="preserve">eiusdem que prevé la potestad reglamentaria presidencial y claro está, la propia norma legal que se pretende reglamentar. </w:t>
      </w:r>
      <w:r w:rsidRPr="000E05E7">
        <w:rPr>
          <w:b/>
          <w:bCs/>
          <w:i/>
          <w:sz w:val="26"/>
          <w:szCs w:val="26"/>
          <w:u w:val="single"/>
        </w:rPr>
        <w:t>La introducción de estas modalidades de control constitucional, implica que la justicia administrativa en tanto instrumento tradicional de fiscalización de la administración debe hacer también efectiva la decisión del juez constitucional que al modular los efectos de una norma legal, le imprime a ésta un</w:t>
      </w:r>
      <w:r w:rsidRPr="000E05E7">
        <w:rPr>
          <w:i/>
          <w:sz w:val="26"/>
          <w:szCs w:val="26"/>
          <w:u w:val="single"/>
        </w:rPr>
        <w:t xml:space="preserve"> </w:t>
      </w:r>
      <w:r w:rsidRPr="000E05E7">
        <w:rPr>
          <w:b/>
          <w:bCs/>
          <w:i/>
          <w:sz w:val="26"/>
          <w:szCs w:val="26"/>
          <w:u w:val="single"/>
        </w:rPr>
        <w:t>nuevo contenido</w:t>
      </w:r>
      <w:r w:rsidRPr="000E05E7">
        <w:rPr>
          <w:b/>
          <w:bCs/>
          <w:i/>
          <w:sz w:val="26"/>
          <w:szCs w:val="26"/>
        </w:rPr>
        <w:t>.</w:t>
      </w:r>
      <w:r w:rsidRPr="000E05E7">
        <w:rPr>
          <w:i/>
          <w:sz w:val="26"/>
          <w:szCs w:val="26"/>
        </w:rPr>
        <w:t xml:space="preserve"> En tanto guardián de la legalidad, será la justicia administrativa la encargada de hacer efectivos esos fallos de constitucionalidad, los que de no existir este instrumento </w:t>
      </w:r>
      <w:r w:rsidRPr="000E05E7">
        <w:rPr>
          <w:b/>
          <w:bCs/>
          <w:i/>
          <w:sz w:val="26"/>
          <w:szCs w:val="26"/>
          <w:u w:val="single"/>
        </w:rPr>
        <w:t>quedarían en el terreno vaporoso de un desideratum constitucional no exigible y no de un genuino fallo con efectos vinculantes erga omnes (art. 243 Constitucional)</w:t>
      </w:r>
      <w:r w:rsidRPr="000E05E7">
        <w:rPr>
          <w:i/>
          <w:sz w:val="26"/>
          <w:szCs w:val="26"/>
        </w:rPr>
        <w:t>”</w:t>
      </w:r>
      <w:r w:rsidRPr="000E05E7">
        <w:rPr>
          <w:rStyle w:val="Refdenotaalpie"/>
          <w:i/>
          <w:sz w:val="26"/>
          <w:szCs w:val="26"/>
        </w:rPr>
        <w:footnoteReference w:id="245"/>
      </w:r>
      <w:r w:rsidRPr="000E05E7">
        <w:rPr>
          <w:i/>
          <w:sz w:val="26"/>
          <w:szCs w:val="26"/>
        </w:rPr>
        <w:t xml:space="preserve">. </w:t>
      </w:r>
      <w:r w:rsidRPr="000E05E7">
        <w:rPr>
          <w:iCs/>
          <w:szCs w:val="28"/>
        </w:rPr>
        <w:t>(Negrillas</w:t>
      </w:r>
      <w:r w:rsidR="00AB58B0" w:rsidRPr="000E05E7">
        <w:rPr>
          <w:iCs/>
          <w:szCs w:val="28"/>
        </w:rPr>
        <w:t xml:space="preserve"> y subrayas</w:t>
      </w:r>
      <w:r w:rsidRPr="000E05E7">
        <w:rPr>
          <w:iCs/>
          <w:szCs w:val="28"/>
        </w:rPr>
        <w:t xml:space="preserve"> fuera del original).</w:t>
      </w:r>
      <w:r w:rsidRPr="000E05E7">
        <w:rPr>
          <w:i/>
          <w:sz w:val="26"/>
          <w:szCs w:val="26"/>
        </w:rPr>
        <w:t xml:space="preserve"> </w:t>
      </w:r>
    </w:p>
    <w:p w14:paraId="0B6305FE" w14:textId="77777777" w:rsidR="000C7CF3" w:rsidRPr="002E4477" w:rsidRDefault="000C7CF3" w:rsidP="000C7CF3">
      <w:pPr>
        <w:ind w:left="426" w:right="616"/>
        <w:jc w:val="both"/>
        <w:rPr>
          <w:sz w:val="24"/>
          <w:szCs w:val="24"/>
        </w:rPr>
      </w:pPr>
    </w:p>
    <w:p w14:paraId="70E99DD0" w14:textId="77777777" w:rsidR="000C7CF3" w:rsidRPr="002E4477" w:rsidRDefault="000C7CF3" w:rsidP="00962603">
      <w:pPr>
        <w:numPr>
          <w:ilvl w:val="0"/>
          <w:numId w:val="10"/>
        </w:numPr>
        <w:jc w:val="both"/>
        <w:rPr>
          <w:szCs w:val="28"/>
        </w:rPr>
      </w:pPr>
      <w:r w:rsidRPr="002E4477">
        <w:rPr>
          <w:szCs w:val="28"/>
        </w:rPr>
        <w:t xml:space="preserve">En esta misma línea, el Consejo de Estado </w:t>
      </w:r>
      <w:r w:rsidR="00392A05" w:rsidRPr="002E4477">
        <w:rPr>
          <w:szCs w:val="28"/>
        </w:rPr>
        <w:t xml:space="preserve">en un caso en que </w:t>
      </w:r>
      <w:r w:rsidRPr="002E4477">
        <w:rPr>
          <w:szCs w:val="28"/>
        </w:rPr>
        <w:t xml:space="preserve">decidió la nulidad del artículo 29 del Decreto 416 de 2007 y del último inciso del numeral 1º del artículo 32 del Decreto 416 de 2007 </w:t>
      </w:r>
      <w:r w:rsidR="00392A05" w:rsidRPr="002E4477">
        <w:rPr>
          <w:szCs w:val="28"/>
        </w:rPr>
        <w:t xml:space="preserve">sostuvo </w:t>
      </w:r>
      <w:r w:rsidRPr="002E4477">
        <w:rPr>
          <w:szCs w:val="28"/>
        </w:rPr>
        <w:t xml:space="preserve">que </w:t>
      </w:r>
      <w:r w:rsidRPr="002E4477">
        <w:rPr>
          <w:i/>
          <w:szCs w:val="28"/>
        </w:rPr>
        <w:t>“las normas acusadas no solo infringen el texto original de la ley, sino también el pronunciamiento de constitucionalidad condicionada que sobre la misma hizo la Corte”</w:t>
      </w:r>
      <w:r w:rsidRPr="002E4477">
        <w:rPr>
          <w:rStyle w:val="Refdenotaalpie"/>
          <w:szCs w:val="28"/>
        </w:rPr>
        <w:footnoteReference w:id="246"/>
      </w:r>
      <w:r w:rsidRPr="002E4477">
        <w:rPr>
          <w:szCs w:val="28"/>
        </w:rPr>
        <w:t xml:space="preserve">. </w:t>
      </w:r>
    </w:p>
    <w:p w14:paraId="4D582BC6" w14:textId="77777777" w:rsidR="006559DB" w:rsidRPr="002E4477" w:rsidRDefault="006559DB" w:rsidP="006559DB">
      <w:pPr>
        <w:jc w:val="both"/>
        <w:rPr>
          <w:szCs w:val="28"/>
        </w:rPr>
      </w:pPr>
    </w:p>
    <w:p w14:paraId="4A942478" w14:textId="77777777" w:rsidR="006559DB" w:rsidRPr="00834995" w:rsidRDefault="00962603" w:rsidP="00555278">
      <w:pPr>
        <w:jc w:val="both"/>
        <w:rPr>
          <w:szCs w:val="28"/>
        </w:rPr>
      </w:pPr>
      <w:r w:rsidRPr="00834995">
        <w:rPr>
          <w:szCs w:val="28"/>
        </w:rPr>
        <w:t xml:space="preserve">Al respecto, </w:t>
      </w:r>
      <w:r w:rsidR="006559DB" w:rsidRPr="00834995">
        <w:rPr>
          <w:szCs w:val="28"/>
        </w:rPr>
        <w:t>agregó</w:t>
      </w:r>
      <w:r w:rsidR="00694D23" w:rsidRPr="00834995">
        <w:rPr>
          <w:szCs w:val="28"/>
        </w:rPr>
        <w:t xml:space="preserve"> además</w:t>
      </w:r>
      <w:r w:rsidR="006559DB" w:rsidRPr="00834995">
        <w:rPr>
          <w:szCs w:val="28"/>
        </w:rPr>
        <w:t xml:space="preserve"> que</w:t>
      </w:r>
      <w:r w:rsidRPr="00834995">
        <w:rPr>
          <w:szCs w:val="28"/>
        </w:rPr>
        <w:t xml:space="preserve"> </w:t>
      </w:r>
      <w:r w:rsidR="006559DB" w:rsidRPr="00834995">
        <w:rPr>
          <w:i/>
          <w:szCs w:val="28"/>
        </w:rPr>
        <w:t xml:space="preserve">“la norma, después del juicio de constitucionalidad, debe aplicarse con arreglo a lo dispuesto por la Corte Constitucional y por ello </w:t>
      </w:r>
      <w:r w:rsidR="006559DB" w:rsidRPr="00834995">
        <w:rPr>
          <w:b/>
          <w:bCs/>
          <w:i/>
          <w:szCs w:val="28"/>
          <w:u w:val="single"/>
        </w:rPr>
        <w:t>cualquier intento por separarse del contenido fijado por la Corte, no solo entraña infracción de la cosa juzgada constitucional</w:t>
      </w:r>
      <w:r w:rsidR="006559DB" w:rsidRPr="00834995">
        <w:rPr>
          <w:b/>
          <w:bCs/>
          <w:i/>
          <w:szCs w:val="28"/>
        </w:rPr>
        <w:t xml:space="preserve"> (243 Superior) sino que </w:t>
      </w:r>
      <w:r w:rsidR="006559DB" w:rsidRPr="00834995">
        <w:rPr>
          <w:b/>
          <w:bCs/>
          <w:i/>
          <w:szCs w:val="28"/>
          <w:u w:val="single"/>
        </w:rPr>
        <w:t>simultáneamente supone desconocer el contenido normativo del precepto legal, tal y como quedó, luego del juicio de constitucionalidad</w:t>
      </w:r>
      <w:r w:rsidR="006559DB" w:rsidRPr="00834995">
        <w:rPr>
          <w:i/>
          <w:szCs w:val="28"/>
        </w:rPr>
        <w:t>”</w:t>
      </w:r>
      <w:r w:rsidR="006559DB" w:rsidRPr="00834995">
        <w:rPr>
          <w:rStyle w:val="Refdenotaalpie"/>
          <w:szCs w:val="28"/>
        </w:rPr>
        <w:footnoteReference w:id="247"/>
      </w:r>
      <w:r w:rsidR="006559DB" w:rsidRPr="00834995">
        <w:rPr>
          <w:szCs w:val="28"/>
        </w:rPr>
        <w:t>.</w:t>
      </w:r>
      <w:r w:rsidR="00694D23" w:rsidRPr="00834995">
        <w:rPr>
          <w:szCs w:val="28"/>
        </w:rPr>
        <w:t xml:space="preserve"> (Subrayas y negrillas fuera del original). </w:t>
      </w:r>
    </w:p>
    <w:p w14:paraId="3047EBC2" w14:textId="77777777" w:rsidR="00AC0DCC" w:rsidRPr="00834995" w:rsidRDefault="00AC0DCC" w:rsidP="00AC0DCC">
      <w:pPr>
        <w:pStyle w:val="Prrafodelista"/>
        <w:rPr>
          <w:szCs w:val="28"/>
        </w:rPr>
      </w:pPr>
    </w:p>
    <w:p w14:paraId="522C34FC" w14:textId="77777777" w:rsidR="00EC0A8F" w:rsidRPr="00834995" w:rsidRDefault="00962603" w:rsidP="00EC0A8F">
      <w:pPr>
        <w:numPr>
          <w:ilvl w:val="0"/>
          <w:numId w:val="10"/>
        </w:numPr>
        <w:shd w:val="clear" w:color="auto" w:fill="FFFFFF"/>
        <w:tabs>
          <w:tab w:val="left" w:pos="426"/>
        </w:tabs>
        <w:jc w:val="both"/>
        <w:rPr>
          <w:szCs w:val="28"/>
          <w:lang w:val="es-CO" w:eastAsia="es-CO"/>
        </w:rPr>
      </w:pPr>
      <w:r w:rsidRPr="00834995">
        <w:rPr>
          <w:szCs w:val="28"/>
        </w:rPr>
        <w:t>Se trata de</w:t>
      </w:r>
      <w:r>
        <w:rPr>
          <w:szCs w:val="28"/>
        </w:rPr>
        <w:t xml:space="preserve"> </w:t>
      </w:r>
      <w:r w:rsidR="00392A05" w:rsidRPr="002E4477">
        <w:rPr>
          <w:szCs w:val="28"/>
        </w:rPr>
        <w:t xml:space="preserve">consideraciones que </w:t>
      </w:r>
      <w:r w:rsidR="00834995">
        <w:rPr>
          <w:szCs w:val="28"/>
        </w:rPr>
        <w:t>le permiten a la Sala</w:t>
      </w:r>
      <w:r w:rsidR="00407EE6" w:rsidRPr="002E4477">
        <w:rPr>
          <w:szCs w:val="28"/>
        </w:rPr>
        <w:t xml:space="preserve"> concluir</w:t>
      </w:r>
      <w:r w:rsidR="00392A05" w:rsidRPr="002E4477">
        <w:rPr>
          <w:szCs w:val="28"/>
        </w:rPr>
        <w:t xml:space="preserve"> que </w:t>
      </w:r>
      <w:r w:rsidR="00AC0DCC" w:rsidRPr="002E4477">
        <w:rPr>
          <w:szCs w:val="28"/>
        </w:rPr>
        <w:t xml:space="preserve">los jueces están obligados a respetar </w:t>
      </w:r>
      <w:r w:rsidR="00AB58B0" w:rsidRPr="002E4477">
        <w:rPr>
          <w:szCs w:val="28"/>
        </w:rPr>
        <w:t>las</w:t>
      </w:r>
      <w:r w:rsidR="00AC0DCC" w:rsidRPr="002E4477">
        <w:rPr>
          <w:szCs w:val="28"/>
        </w:rPr>
        <w:t xml:space="preserve"> interpretaciones </w:t>
      </w:r>
      <w:r w:rsidR="003249C6" w:rsidRPr="002E4477">
        <w:rPr>
          <w:szCs w:val="28"/>
        </w:rPr>
        <w:t xml:space="preserve">que </w:t>
      </w:r>
      <w:r w:rsidR="00694D23" w:rsidRPr="002E4477">
        <w:rPr>
          <w:szCs w:val="28"/>
        </w:rPr>
        <w:t xml:space="preserve">conforme a la Carta </w:t>
      </w:r>
      <w:r w:rsidR="00AC0DCC" w:rsidRPr="002E4477">
        <w:rPr>
          <w:szCs w:val="28"/>
        </w:rPr>
        <w:t>realice el Tribunal Constitucional</w:t>
      </w:r>
      <w:r w:rsidR="003249C6" w:rsidRPr="002E4477">
        <w:rPr>
          <w:szCs w:val="28"/>
        </w:rPr>
        <w:t>,</w:t>
      </w:r>
      <w:r w:rsidR="00AC0DCC" w:rsidRPr="002E4477">
        <w:rPr>
          <w:szCs w:val="28"/>
        </w:rPr>
        <w:t xml:space="preserve"> de las normas legales que</w:t>
      </w:r>
      <w:r w:rsidR="00392A05" w:rsidRPr="002E4477">
        <w:rPr>
          <w:szCs w:val="28"/>
        </w:rPr>
        <w:t xml:space="preserve"> sean sometidas a su control</w:t>
      </w:r>
      <w:r w:rsidR="003249C6" w:rsidRPr="002E4477">
        <w:rPr>
          <w:szCs w:val="28"/>
        </w:rPr>
        <w:t>,</w:t>
      </w:r>
      <w:r w:rsidR="00392A05" w:rsidRPr="002E4477">
        <w:rPr>
          <w:szCs w:val="28"/>
        </w:rPr>
        <w:t xml:space="preserve"> en su condición de órgano de cierre de la jurisdicción </w:t>
      </w:r>
      <w:r w:rsidR="00392A05" w:rsidRPr="00834995">
        <w:rPr>
          <w:szCs w:val="28"/>
        </w:rPr>
        <w:t>constitucional</w:t>
      </w:r>
      <w:r w:rsidR="00407EE6" w:rsidRPr="00834995">
        <w:rPr>
          <w:szCs w:val="28"/>
        </w:rPr>
        <w:t>;</w:t>
      </w:r>
      <w:r w:rsidR="00555278" w:rsidRPr="00834995">
        <w:rPr>
          <w:szCs w:val="28"/>
        </w:rPr>
        <w:t xml:space="preserve"> </w:t>
      </w:r>
      <w:r w:rsidR="00674822" w:rsidRPr="00834995">
        <w:rPr>
          <w:szCs w:val="28"/>
        </w:rPr>
        <w:t>y</w:t>
      </w:r>
      <w:r w:rsidR="00F302E6" w:rsidRPr="00834995">
        <w:rPr>
          <w:szCs w:val="28"/>
        </w:rPr>
        <w:t xml:space="preserve"> además, las autoridades judic</w:t>
      </w:r>
      <w:r w:rsidR="00834995" w:rsidRPr="00834995">
        <w:rPr>
          <w:szCs w:val="28"/>
        </w:rPr>
        <w:t>i</w:t>
      </w:r>
      <w:r w:rsidR="00F302E6" w:rsidRPr="00834995">
        <w:rPr>
          <w:szCs w:val="28"/>
        </w:rPr>
        <w:t>ales</w:t>
      </w:r>
      <w:r w:rsidR="00674822" w:rsidRPr="00834995">
        <w:rPr>
          <w:szCs w:val="28"/>
        </w:rPr>
        <w:t xml:space="preserve"> deben acoger</w:t>
      </w:r>
      <w:r w:rsidR="00555278" w:rsidRPr="00834995">
        <w:rPr>
          <w:szCs w:val="28"/>
        </w:rPr>
        <w:t xml:space="preserve"> los postulados que establezca esta Corporación</w:t>
      </w:r>
      <w:r w:rsidR="00AC0DCC" w:rsidRPr="00834995">
        <w:rPr>
          <w:szCs w:val="28"/>
        </w:rPr>
        <w:t xml:space="preserve"> </w:t>
      </w:r>
      <w:r w:rsidR="00555278" w:rsidRPr="00834995">
        <w:rPr>
          <w:szCs w:val="28"/>
        </w:rPr>
        <w:t xml:space="preserve">en </w:t>
      </w:r>
      <w:r w:rsidR="00AB58B0" w:rsidRPr="00834995">
        <w:rPr>
          <w:szCs w:val="28"/>
        </w:rPr>
        <w:t>sus</w:t>
      </w:r>
      <w:r w:rsidR="00AC0DCC" w:rsidRPr="00834995">
        <w:rPr>
          <w:szCs w:val="28"/>
        </w:rPr>
        <w:t xml:space="preserve"> sentencias de control abstracto</w:t>
      </w:r>
      <w:r w:rsidR="00674822" w:rsidRPr="00834995">
        <w:rPr>
          <w:szCs w:val="28"/>
        </w:rPr>
        <w:t xml:space="preserve">, así como </w:t>
      </w:r>
      <w:r w:rsidR="00555278" w:rsidRPr="00834995">
        <w:rPr>
          <w:szCs w:val="28"/>
        </w:rPr>
        <w:t>los</w:t>
      </w:r>
      <w:r w:rsidR="00AB58B0" w:rsidRPr="00834995">
        <w:rPr>
          <w:szCs w:val="28"/>
        </w:rPr>
        <w:t xml:space="preserve"> alcances y efectos que el mismo tribunal fije</w:t>
      </w:r>
      <w:r w:rsidR="00674822" w:rsidRPr="00834995">
        <w:rPr>
          <w:szCs w:val="28"/>
        </w:rPr>
        <w:t xml:space="preserve"> en sus providencias</w:t>
      </w:r>
      <w:r w:rsidR="00555278" w:rsidRPr="00834995">
        <w:rPr>
          <w:szCs w:val="28"/>
        </w:rPr>
        <w:t xml:space="preserve">. Lo anterior, </w:t>
      </w:r>
      <w:r w:rsidR="00AC0DCC" w:rsidRPr="00834995">
        <w:rPr>
          <w:szCs w:val="28"/>
        </w:rPr>
        <w:t xml:space="preserve">so pena de desconocer la cosa juzgada constitucional y </w:t>
      </w:r>
      <w:r w:rsidR="00674822" w:rsidRPr="00834995">
        <w:rPr>
          <w:szCs w:val="28"/>
        </w:rPr>
        <w:t>en últimas</w:t>
      </w:r>
      <w:r w:rsidR="00555278" w:rsidRPr="00834995">
        <w:rPr>
          <w:szCs w:val="28"/>
        </w:rPr>
        <w:t xml:space="preserve">, </w:t>
      </w:r>
      <w:r w:rsidR="00AC0DCC" w:rsidRPr="00834995">
        <w:rPr>
          <w:szCs w:val="28"/>
        </w:rPr>
        <w:t>la Constitución</w:t>
      </w:r>
      <w:r w:rsidR="00AB58B0" w:rsidRPr="00834995">
        <w:rPr>
          <w:szCs w:val="28"/>
        </w:rPr>
        <w:t xml:space="preserve"> Política.</w:t>
      </w:r>
      <w:r w:rsidR="00AC0DCC" w:rsidRPr="00834995">
        <w:rPr>
          <w:szCs w:val="28"/>
        </w:rPr>
        <w:t xml:space="preserve"> </w:t>
      </w:r>
      <w:r w:rsidR="00E51747" w:rsidRPr="00834995">
        <w:rPr>
          <w:szCs w:val="28"/>
          <w:lang w:val="es-CO" w:eastAsia="es-CO"/>
        </w:rPr>
        <w:t xml:space="preserve">Se trata entonces de reglas </w:t>
      </w:r>
      <w:r w:rsidR="00815FBD" w:rsidRPr="00834995">
        <w:rPr>
          <w:szCs w:val="28"/>
          <w:lang w:val="es-CO" w:eastAsia="es-CO"/>
        </w:rPr>
        <w:t xml:space="preserve">jurisprudenciales </w:t>
      </w:r>
      <w:r w:rsidR="00E51747" w:rsidRPr="00834995">
        <w:rPr>
          <w:szCs w:val="28"/>
          <w:lang w:val="es-CO" w:eastAsia="es-CO"/>
        </w:rPr>
        <w:t>que reconocen que</w:t>
      </w:r>
      <w:r w:rsidR="00951923" w:rsidRPr="00834995">
        <w:rPr>
          <w:szCs w:val="28"/>
          <w:lang w:val="es-CO" w:eastAsia="es-CO"/>
        </w:rPr>
        <w:t xml:space="preserve"> acatar las decisiones judiciales indicadas</w:t>
      </w:r>
      <w:r w:rsidR="00E51747" w:rsidRPr="00834995">
        <w:rPr>
          <w:szCs w:val="28"/>
          <w:lang w:val="es-CO" w:eastAsia="es-CO"/>
        </w:rPr>
        <w:t xml:space="preserve"> </w:t>
      </w:r>
      <w:r w:rsidR="00E51747" w:rsidRPr="00834995">
        <w:rPr>
          <w:b/>
          <w:bCs/>
          <w:szCs w:val="28"/>
          <w:lang w:val="es-CO" w:eastAsia="es-CO"/>
        </w:rPr>
        <w:t>(i)</w:t>
      </w:r>
      <w:r w:rsidR="00E51747" w:rsidRPr="00834995">
        <w:rPr>
          <w:szCs w:val="28"/>
          <w:lang w:val="es-CO" w:eastAsia="es-CO"/>
        </w:rPr>
        <w:t xml:space="preserve"> </w:t>
      </w:r>
      <w:r w:rsidR="00951923" w:rsidRPr="00834995">
        <w:rPr>
          <w:szCs w:val="28"/>
          <w:lang w:val="es-CO" w:eastAsia="es-CO"/>
        </w:rPr>
        <w:t xml:space="preserve">fortalece </w:t>
      </w:r>
      <w:r w:rsidR="00834995" w:rsidRPr="00834995">
        <w:rPr>
          <w:szCs w:val="28"/>
          <w:lang w:val="es-CO" w:eastAsia="es-CO"/>
        </w:rPr>
        <w:t>l</w:t>
      </w:r>
      <w:r w:rsidR="00951923" w:rsidRPr="00834995">
        <w:rPr>
          <w:szCs w:val="28"/>
          <w:lang w:val="es-CO" w:eastAsia="es-CO"/>
        </w:rPr>
        <w:t>a interpretación uniforme y consistente del ordenamiento</w:t>
      </w:r>
      <w:bookmarkStart w:id="23" w:name="_ftnref77"/>
      <w:r w:rsidR="00834995" w:rsidRPr="00834995">
        <w:rPr>
          <w:szCs w:val="28"/>
          <w:lang w:val="es-CO" w:eastAsia="es-CO"/>
        </w:rPr>
        <w:t xml:space="preserve"> jurídico</w:t>
      </w:r>
      <w:r w:rsidR="00951923" w:rsidRPr="00834995">
        <w:rPr>
          <w:szCs w:val="28"/>
          <w:lang w:val="es-CO" w:eastAsia="es-CO"/>
        </w:rPr>
        <w:t>, fundada en una conexión estrecha</w:t>
      </w:r>
      <w:r w:rsidR="00E51747" w:rsidRPr="00834995">
        <w:rPr>
          <w:szCs w:val="28"/>
          <w:lang w:val="es-CO" w:eastAsia="es-CO"/>
        </w:rPr>
        <w:t xml:space="preserve"> y directa</w:t>
      </w:r>
      <w:r w:rsidR="00951923" w:rsidRPr="00834995">
        <w:rPr>
          <w:szCs w:val="28"/>
          <w:lang w:val="es-CO" w:eastAsia="es-CO"/>
        </w:rPr>
        <w:t xml:space="preserve"> con la Carta</w:t>
      </w:r>
      <w:r w:rsidR="00951923" w:rsidRPr="00834995">
        <w:rPr>
          <w:rStyle w:val="Refdenotaalpie"/>
          <w:szCs w:val="28"/>
          <w:lang w:val="es-CO" w:eastAsia="es-CO"/>
        </w:rPr>
        <w:footnoteReference w:id="248"/>
      </w:r>
      <w:bookmarkEnd w:id="23"/>
      <w:r w:rsidR="00951923" w:rsidRPr="00834995">
        <w:rPr>
          <w:szCs w:val="28"/>
          <w:lang w:val="es-CO" w:eastAsia="es-CO"/>
        </w:rPr>
        <w:t xml:space="preserve">; </w:t>
      </w:r>
      <w:r w:rsidR="00951923" w:rsidRPr="00834995">
        <w:rPr>
          <w:b/>
          <w:szCs w:val="28"/>
          <w:lang w:val="es-CO" w:eastAsia="es-CO"/>
        </w:rPr>
        <w:t>(ii)</w:t>
      </w:r>
      <w:r w:rsidR="00951923" w:rsidRPr="00834995">
        <w:rPr>
          <w:szCs w:val="28"/>
          <w:lang w:val="es-CO" w:eastAsia="es-CO"/>
        </w:rPr>
        <w:t xml:space="preserve"> garantiza la coherencia del sistema (seguridad jurídica)</w:t>
      </w:r>
      <w:r w:rsidR="00E51747" w:rsidRPr="00834995">
        <w:rPr>
          <w:szCs w:val="28"/>
          <w:lang w:val="es-CO" w:eastAsia="es-CO"/>
        </w:rPr>
        <w:t xml:space="preserve"> y evita bloqueos institucionales constitucionales</w:t>
      </w:r>
      <w:r w:rsidR="00951923" w:rsidRPr="00834995">
        <w:rPr>
          <w:szCs w:val="28"/>
          <w:lang w:val="es-CO" w:eastAsia="es-CO"/>
        </w:rPr>
        <w:t xml:space="preserve">; </w:t>
      </w:r>
      <w:r w:rsidR="00951923" w:rsidRPr="00834995">
        <w:rPr>
          <w:b/>
          <w:szCs w:val="28"/>
          <w:lang w:val="es-CO" w:eastAsia="es-CO"/>
        </w:rPr>
        <w:t>(iii)</w:t>
      </w:r>
      <w:r w:rsidR="00951923" w:rsidRPr="00834995">
        <w:rPr>
          <w:szCs w:val="28"/>
          <w:lang w:val="es-CO" w:eastAsia="es-CO"/>
        </w:rPr>
        <w:t xml:space="preserve"> favorece el respeto </w:t>
      </w:r>
      <w:r w:rsidR="00E51747" w:rsidRPr="00834995">
        <w:rPr>
          <w:szCs w:val="28"/>
          <w:lang w:val="es-CO" w:eastAsia="es-CO"/>
        </w:rPr>
        <w:t xml:space="preserve">de </w:t>
      </w:r>
      <w:r w:rsidR="00951923" w:rsidRPr="00834995">
        <w:rPr>
          <w:szCs w:val="28"/>
          <w:lang w:val="es-CO" w:eastAsia="es-CO"/>
        </w:rPr>
        <w:t>principios, como el de confianza legítima (artículo 84 C.P.)</w:t>
      </w:r>
      <w:r w:rsidR="00834995" w:rsidRPr="00834995">
        <w:rPr>
          <w:szCs w:val="28"/>
          <w:lang w:val="es-CO" w:eastAsia="es-CO"/>
        </w:rPr>
        <w:t xml:space="preserve"> y de conservación del derecho al darle prevalencia al respeto por el principio democrático (artículos 1º y 150 C.P.)</w:t>
      </w:r>
      <w:r w:rsidR="00951923" w:rsidRPr="00834995">
        <w:rPr>
          <w:szCs w:val="28"/>
          <w:lang w:val="es-CO" w:eastAsia="es-CO"/>
        </w:rPr>
        <w:t xml:space="preserve">, y </w:t>
      </w:r>
      <w:r w:rsidR="00951923" w:rsidRPr="00834995">
        <w:rPr>
          <w:b/>
          <w:szCs w:val="28"/>
          <w:lang w:val="es-CO" w:eastAsia="es-CO"/>
        </w:rPr>
        <w:t>(iv)</w:t>
      </w:r>
      <w:r w:rsidR="00951923" w:rsidRPr="00834995">
        <w:rPr>
          <w:szCs w:val="28"/>
          <w:lang w:val="es-CO" w:eastAsia="es-CO"/>
        </w:rPr>
        <w:t xml:space="preserve"> promueve la igualdad en la aplicación de la ley (artículo 13 C.P.)</w:t>
      </w:r>
      <w:r w:rsidR="00951923" w:rsidRPr="00834995">
        <w:rPr>
          <w:rStyle w:val="Refdenotaalpie"/>
          <w:szCs w:val="28"/>
          <w:lang w:val="es-CO" w:eastAsia="es-CO"/>
        </w:rPr>
        <w:footnoteReference w:id="249"/>
      </w:r>
      <w:r w:rsidR="00951923" w:rsidRPr="00834995">
        <w:rPr>
          <w:szCs w:val="28"/>
          <w:lang w:val="es-CO" w:eastAsia="es-CO"/>
        </w:rPr>
        <w:t>.</w:t>
      </w:r>
    </w:p>
    <w:p w14:paraId="04F99AA4" w14:textId="77777777" w:rsidR="00EC0A8F" w:rsidRPr="00834995" w:rsidRDefault="00EC0A8F" w:rsidP="00EC0A8F">
      <w:pPr>
        <w:shd w:val="clear" w:color="auto" w:fill="FFFFFF"/>
        <w:tabs>
          <w:tab w:val="left" w:pos="426"/>
        </w:tabs>
        <w:jc w:val="both"/>
        <w:rPr>
          <w:szCs w:val="28"/>
          <w:lang w:val="es-CO" w:eastAsia="es-CO"/>
        </w:rPr>
      </w:pPr>
    </w:p>
    <w:p w14:paraId="76AE390D" w14:textId="77777777" w:rsidR="00F7729E" w:rsidRPr="00EC0A8F" w:rsidRDefault="00F7729E" w:rsidP="00EC0A8F">
      <w:pPr>
        <w:shd w:val="clear" w:color="auto" w:fill="FFFFFF"/>
        <w:tabs>
          <w:tab w:val="left" w:pos="426"/>
        </w:tabs>
        <w:jc w:val="both"/>
        <w:rPr>
          <w:szCs w:val="28"/>
          <w:lang w:val="es-CO" w:eastAsia="es-CO"/>
        </w:rPr>
      </w:pPr>
      <w:r w:rsidRPr="00834995">
        <w:rPr>
          <w:rFonts w:eastAsia="Calibri"/>
          <w:b/>
          <w:i/>
          <w:iCs/>
          <w:szCs w:val="28"/>
        </w:rPr>
        <w:t xml:space="preserve">Breves consideraciones sobre </w:t>
      </w:r>
      <w:r w:rsidR="002312AA" w:rsidRPr="00834995">
        <w:rPr>
          <w:rFonts w:eastAsia="Calibri"/>
          <w:b/>
          <w:i/>
          <w:iCs/>
          <w:szCs w:val="28"/>
        </w:rPr>
        <w:t xml:space="preserve">la doctrina de la </w:t>
      </w:r>
      <w:r w:rsidRPr="00834995">
        <w:rPr>
          <w:rFonts w:eastAsia="Calibri"/>
          <w:b/>
          <w:i/>
          <w:iCs/>
          <w:szCs w:val="28"/>
        </w:rPr>
        <w:t>sustitución de la Constitución</w:t>
      </w:r>
      <w:r w:rsidR="00ED0B14" w:rsidRPr="00834995">
        <w:rPr>
          <w:rFonts w:eastAsia="Calibri"/>
          <w:b/>
          <w:i/>
          <w:iCs/>
          <w:szCs w:val="28"/>
        </w:rPr>
        <w:t xml:space="preserve"> y los </w:t>
      </w:r>
      <w:r w:rsidR="00F302E6" w:rsidRPr="00834995">
        <w:rPr>
          <w:rFonts w:eastAsia="Calibri"/>
          <w:b/>
          <w:i/>
          <w:iCs/>
          <w:szCs w:val="28"/>
        </w:rPr>
        <w:t>actos reformatorios de la Carta</w:t>
      </w:r>
    </w:p>
    <w:p w14:paraId="14CF9FC3" w14:textId="77777777" w:rsidR="00F7729E" w:rsidRPr="002E4477" w:rsidRDefault="00F7729E" w:rsidP="00EC0A8F">
      <w:pPr>
        <w:pStyle w:val="Prrafodelista"/>
        <w:ind w:left="0"/>
        <w:jc w:val="both"/>
        <w:rPr>
          <w:rFonts w:eastAsia="Calibri"/>
          <w:b/>
          <w:szCs w:val="28"/>
          <w:lang w:val="es-CO"/>
        </w:rPr>
      </w:pPr>
    </w:p>
    <w:p w14:paraId="7C30AF03" w14:textId="77777777" w:rsidR="00F7729E" w:rsidRPr="002E4477" w:rsidRDefault="00A66E9A" w:rsidP="00962603">
      <w:pPr>
        <w:numPr>
          <w:ilvl w:val="0"/>
          <w:numId w:val="10"/>
        </w:numPr>
        <w:shd w:val="clear" w:color="auto" w:fill="FFFFFF"/>
        <w:jc w:val="both"/>
        <w:rPr>
          <w:szCs w:val="28"/>
          <w:lang w:val="es-CO" w:eastAsia="es-CO"/>
        </w:rPr>
      </w:pPr>
      <w:r w:rsidRPr="002E4477">
        <w:rPr>
          <w:rFonts w:eastAsia="Calibri"/>
          <w:szCs w:val="28"/>
        </w:rPr>
        <w:t>El artículo 374 de la Constitución establece tres vías diferentes para reformar la Carta: acto legislativo, referendo y asamblea constituyente.</w:t>
      </w:r>
      <w:r w:rsidR="00E11EA3" w:rsidRPr="002E4477">
        <w:rPr>
          <w:rFonts w:eastAsia="Calibri"/>
          <w:szCs w:val="28"/>
        </w:rPr>
        <w:t xml:space="preserve"> Por su parte</w:t>
      </w:r>
      <w:r w:rsidRPr="002E4477">
        <w:rPr>
          <w:rFonts w:eastAsia="Calibri"/>
          <w:szCs w:val="28"/>
        </w:rPr>
        <w:t>, el numeral 1° del artículo 241 superior</w:t>
      </w:r>
      <w:r w:rsidR="00F7729E" w:rsidRPr="002E4477">
        <w:rPr>
          <w:rFonts w:eastAsia="Calibri"/>
          <w:szCs w:val="28"/>
        </w:rPr>
        <w:t>,</w:t>
      </w:r>
      <w:r w:rsidRPr="002E4477">
        <w:rPr>
          <w:rFonts w:eastAsia="Calibri"/>
          <w:szCs w:val="28"/>
        </w:rPr>
        <w:t xml:space="preserve"> dispone que la Corte Constitucional tiene la función de </w:t>
      </w:r>
      <w:r w:rsidRPr="002E4477">
        <w:rPr>
          <w:rFonts w:eastAsia="Calibri"/>
          <w:i/>
          <w:szCs w:val="28"/>
        </w:rPr>
        <w:t>“[d]ecidir sobre las demandas de inconstitucionalidad que promuevan los ciudadanos contra los actos reformatorios de la Constitución, cualquiera que sea su origen, solo por vicios de procedimiento en su formación”</w:t>
      </w:r>
      <w:r w:rsidRPr="002E4477">
        <w:rPr>
          <w:rFonts w:eastAsia="Calibri"/>
          <w:szCs w:val="28"/>
        </w:rPr>
        <w:t>.</w:t>
      </w:r>
    </w:p>
    <w:p w14:paraId="72B7089D" w14:textId="77777777" w:rsidR="00F7729E" w:rsidRPr="002E4477" w:rsidRDefault="00F7729E" w:rsidP="00F7729E">
      <w:pPr>
        <w:shd w:val="clear" w:color="auto" w:fill="FFFFFF"/>
        <w:jc w:val="both"/>
        <w:rPr>
          <w:szCs w:val="28"/>
          <w:lang w:val="es-CO" w:eastAsia="es-CO"/>
        </w:rPr>
      </w:pPr>
    </w:p>
    <w:p w14:paraId="72D2590E" w14:textId="77777777" w:rsidR="00F7729E" w:rsidRPr="002E4477" w:rsidRDefault="00A66E9A" w:rsidP="00E11EA3">
      <w:pPr>
        <w:shd w:val="clear" w:color="auto" w:fill="FFFFFF"/>
        <w:jc w:val="both"/>
        <w:rPr>
          <w:szCs w:val="28"/>
          <w:lang w:val="es-CO" w:eastAsia="es-CO"/>
        </w:rPr>
      </w:pPr>
      <w:r w:rsidRPr="002E4477">
        <w:rPr>
          <w:rFonts w:eastAsia="Calibri"/>
          <w:szCs w:val="28"/>
        </w:rPr>
        <w:t>Estas dos normas constitucionales plantean una tensión entre, por un lado, el principio democrático y, por otro, el principio de supremacía constitucional. En otras palabras, aunque es posible reformar la Constitución (principio democrático), este poder de reforma es susceptible de cierto control judicial que verifique que aquel no desborde determinados lími</w:t>
      </w:r>
      <w:r w:rsidR="00ED0B14" w:rsidRPr="002E4477">
        <w:rPr>
          <w:rFonts w:eastAsia="Calibri"/>
          <w:szCs w:val="28"/>
        </w:rPr>
        <w:t xml:space="preserve">tes (supremacía constitucional), sobre la base de las atribuciones de verificación competencial que le corresponden a esta Corporación. </w:t>
      </w:r>
    </w:p>
    <w:p w14:paraId="0AAF6F31" w14:textId="77777777" w:rsidR="00F7729E" w:rsidRPr="002E4477" w:rsidRDefault="00F7729E" w:rsidP="00F7729E">
      <w:pPr>
        <w:pStyle w:val="Prrafodelista"/>
        <w:rPr>
          <w:rFonts w:eastAsia="Calibri"/>
          <w:szCs w:val="28"/>
        </w:rPr>
      </w:pPr>
    </w:p>
    <w:p w14:paraId="07495D15" w14:textId="77777777" w:rsidR="00F7729E" w:rsidRPr="002E4477" w:rsidRDefault="002312AA" w:rsidP="00962603">
      <w:pPr>
        <w:numPr>
          <w:ilvl w:val="0"/>
          <w:numId w:val="10"/>
        </w:numPr>
        <w:shd w:val="clear" w:color="auto" w:fill="FFFFFF"/>
        <w:jc w:val="both"/>
        <w:rPr>
          <w:szCs w:val="28"/>
          <w:lang w:val="es-CO" w:eastAsia="es-CO"/>
        </w:rPr>
      </w:pPr>
      <w:r w:rsidRPr="002E4477">
        <w:rPr>
          <w:rFonts w:eastAsia="Calibri"/>
          <w:szCs w:val="28"/>
        </w:rPr>
        <w:t>E</w:t>
      </w:r>
      <w:r w:rsidR="00A66E9A" w:rsidRPr="002E4477">
        <w:rPr>
          <w:rFonts w:eastAsia="Calibri"/>
          <w:szCs w:val="28"/>
        </w:rPr>
        <w:t xml:space="preserve">l poder de reforma no puede desconocer, según el artículo 379 constitucional, los requisitos establecidos en el título XIII de la Constitución que regulan los procedimientos para </w:t>
      </w:r>
      <w:r w:rsidRPr="002E4477">
        <w:rPr>
          <w:rFonts w:eastAsia="Calibri"/>
          <w:szCs w:val="28"/>
        </w:rPr>
        <w:t>modificar</w:t>
      </w:r>
      <w:r w:rsidR="00A66E9A" w:rsidRPr="002E4477">
        <w:rPr>
          <w:rFonts w:eastAsia="Calibri"/>
          <w:szCs w:val="28"/>
        </w:rPr>
        <w:t xml:space="preserve"> la Carta a través de acto legislativo, referendo y asamblea constituyente. </w:t>
      </w:r>
    </w:p>
    <w:p w14:paraId="24849D89" w14:textId="77777777" w:rsidR="002312AA" w:rsidRPr="002E4477" w:rsidRDefault="002312AA" w:rsidP="002312AA">
      <w:pPr>
        <w:shd w:val="clear" w:color="auto" w:fill="FFFFFF"/>
        <w:jc w:val="both"/>
        <w:rPr>
          <w:rFonts w:eastAsia="Calibri"/>
          <w:szCs w:val="28"/>
        </w:rPr>
      </w:pPr>
    </w:p>
    <w:p w14:paraId="0E9C5F5F" w14:textId="77777777" w:rsidR="002312AA" w:rsidRPr="002E4477" w:rsidRDefault="00A66E9A" w:rsidP="002312AA">
      <w:pPr>
        <w:shd w:val="clear" w:color="auto" w:fill="FFFFFF"/>
        <w:jc w:val="both"/>
        <w:rPr>
          <w:rFonts w:eastAsia="Calibri"/>
          <w:szCs w:val="28"/>
        </w:rPr>
      </w:pPr>
      <w:r w:rsidRPr="002E4477">
        <w:rPr>
          <w:rFonts w:eastAsia="Calibri"/>
          <w:szCs w:val="28"/>
        </w:rPr>
        <w:t>De esta manera, el alcance de la</w:t>
      </w:r>
      <w:r w:rsidR="0094673E" w:rsidRPr="002E4477">
        <w:rPr>
          <w:rFonts w:eastAsia="Calibri"/>
          <w:szCs w:val="28"/>
        </w:rPr>
        <w:t>s atribuciones</w:t>
      </w:r>
      <w:r w:rsidRPr="002E4477">
        <w:rPr>
          <w:rFonts w:eastAsia="Calibri"/>
          <w:szCs w:val="28"/>
        </w:rPr>
        <w:t xml:space="preserve"> de la Corte Constitucional está circunscrita al examen de los vicios</w:t>
      </w:r>
      <w:r w:rsidRPr="002E4477">
        <w:rPr>
          <w:szCs w:val="28"/>
        </w:rPr>
        <w:t xml:space="preserve"> </w:t>
      </w:r>
      <w:r w:rsidRPr="002E4477">
        <w:rPr>
          <w:rFonts w:eastAsia="Calibri"/>
          <w:szCs w:val="28"/>
        </w:rPr>
        <w:t>de procedimiento en la formación de los actos reformator</w:t>
      </w:r>
      <w:r w:rsidR="0094673E" w:rsidRPr="002E4477">
        <w:rPr>
          <w:rFonts w:eastAsia="Calibri"/>
          <w:szCs w:val="28"/>
        </w:rPr>
        <w:t xml:space="preserve">ios de la Constitución, lo que </w:t>
      </w:r>
      <w:r w:rsidRPr="002E4477">
        <w:rPr>
          <w:rFonts w:eastAsia="Calibri"/>
          <w:szCs w:val="28"/>
        </w:rPr>
        <w:t>descartaría un control sobre el contenido material de las reformas constitucionales.</w:t>
      </w:r>
      <w:r w:rsidR="00F7729E" w:rsidRPr="002E4477">
        <w:rPr>
          <w:rFonts w:eastAsia="Calibri"/>
          <w:szCs w:val="28"/>
        </w:rPr>
        <w:t xml:space="preserve"> </w:t>
      </w:r>
      <w:r w:rsidRPr="002E4477">
        <w:rPr>
          <w:rFonts w:eastAsia="Calibri"/>
          <w:szCs w:val="28"/>
        </w:rPr>
        <w:t xml:space="preserve">Sin embargo, esta Corporación ha establecido desde sus inicios que la competencia, esto es, la facultad </w:t>
      </w:r>
      <w:r w:rsidR="0094673E" w:rsidRPr="002E4477">
        <w:rPr>
          <w:rFonts w:eastAsia="Calibri"/>
          <w:szCs w:val="28"/>
        </w:rPr>
        <w:t xml:space="preserve">o capacidad de un órgano en concreto </w:t>
      </w:r>
      <w:r w:rsidRPr="002E4477">
        <w:rPr>
          <w:rFonts w:eastAsia="Calibri"/>
          <w:szCs w:val="28"/>
        </w:rPr>
        <w:t>para dictar ciertos contenidos normativos, es un presupuesto ineludible del procedimiento</w:t>
      </w:r>
      <w:r w:rsidRPr="002E4477">
        <w:rPr>
          <w:rStyle w:val="Refdenotaalpie"/>
          <w:rFonts w:eastAsia="Calibri"/>
          <w:szCs w:val="28"/>
        </w:rPr>
        <w:footnoteReference w:id="250"/>
      </w:r>
      <w:r w:rsidR="0094673E" w:rsidRPr="002E4477">
        <w:rPr>
          <w:rFonts w:eastAsia="Calibri"/>
          <w:szCs w:val="28"/>
        </w:rPr>
        <w:t xml:space="preserve"> que incluye y hace necesario el </w:t>
      </w:r>
      <w:r w:rsidR="002312AA" w:rsidRPr="002E4477">
        <w:rPr>
          <w:rFonts w:eastAsia="Calibri"/>
          <w:szCs w:val="28"/>
        </w:rPr>
        <w:t>análisis de competencia</w:t>
      </w:r>
      <w:r w:rsidRPr="002E4477">
        <w:rPr>
          <w:rFonts w:eastAsia="Calibri"/>
          <w:szCs w:val="28"/>
        </w:rPr>
        <w:t xml:space="preserve">. </w:t>
      </w:r>
    </w:p>
    <w:p w14:paraId="200387BF" w14:textId="77777777" w:rsidR="0094673E" w:rsidRPr="002E4477" w:rsidRDefault="0094673E" w:rsidP="002312AA">
      <w:pPr>
        <w:shd w:val="clear" w:color="auto" w:fill="FFFFFF"/>
        <w:jc w:val="both"/>
        <w:rPr>
          <w:rFonts w:eastAsia="Calibri"/>
          <w:szCs w:val="28"/>
        </w:rPr>
      </w:pPr>
    </w:p>
    <w:p w14:paraId="427B61C2" w14:textId="77777777" w:rsidR="00F7729E" w:rsidRPr="002E4477" w:rsidRDefault="002312AA" w:rsidP="002312AA">
      <w:pPr>
        <w:shd w:val="clear" w:color="auto" w:fill="FFFFFF"/>
        <w:jc w:val="both"/>
        <w:rPr>
          <w:szCs w:val="28"/>
          <w:lang w:val="es-CO" w:eastAsia="es-CO"/>
        </w:rPr>
      </w:pPr>
      <w:r w:rsidRPr="002E4477">
        <w:rPr>
          <w:rFonts w:eastAsia="Calibri"/>
          <w:szCs w:val="28"/>
        </w:rPr>
        <w:t xml:space="preserve">De este modo, </w:t>
      </w:r>
      <w:r w:rsidR="0094673E" w:rsidRPr="002E4477">
        <w:rPr>
          <w:rFonts w:eastAsia="Calibri"/>
          <w:szCs w:val="28"/>
        </w:rPr>
        <w:t>tal análisis, en lo que respecta al</w:t>
      </w:r>
      <w:r w:rsidR="00A66E9A" w:rsidRPr="002E4477">
        <w:rPr>
          <w:rFonts w:eastAsia="Calibri"/>
          <w:szCs w:val="28"/>
        </w:rPr>
        <w:t xml:space="preserve"> poder de reforma</w:t>
      </w:r>
      <w:r w:rsidR="0094673E" w:rsidRPr="002E4477">
        <w:rPr>
          <w:rFonts w:eastAsia="Calibri"/>
          <w:szCs w:val="28"/>
        </w:rPr>
        <w:t>,</w:t>
      </w:r>
      <w:r w:rsidR="00A66E9A" w:rsidRPr="002E4477">
        <w:rPr>
          <w:rFonts w:eastAsia="Calibri"/>
          <w:szCs w:val="28"/>
        </w:rPr>
        <w:t xml:space="preserve"> h</w:t>
      </w:r>
      <w:r w:rsidRPr="002E4477">
        <w:rPr>
          <w:rFonts w:eastAsia="Calibri"/>
          <w:szCs w:val="28"/>
        </w:rPr>
        <w:t>ace</w:t>
      </w:r>
      <w:r w:rsidR="00A66E9A" w:rsidRPr="002E4477">
        <w:rPr>
          <w:rFonts w:eastAsia="Calibri"/>
          <w:szCs w:val="28"/>
        </w:rPr>
        <w:t xml:space="preserve"> parte del estudio de los vicios de procedimiento</w:t>
      </w:r>
      <w:r w:rsidR="0094673E" w:rsidRPr="002E4477">
        <w:rPr>
          <w:rFonts w:eastAsia="Calibri"/>
          <w:szCs w:val="28"/>
        </w:rPr>
        <w:t xml:space="preserve"> que la Corte debe considerar</w:t>
      </w:r>
      <w:r w:rsidR="00A66E9A" w:rsidRPr="002E4477">
        <w:rPr>
          <w:rFonts w:eastAsia="Calibri"/>
          <w:szCs w:val="28"/>
        </w:rPr>
        <w:t xml:space="preserve">, </w:t>
      </w:r>
      <w:r w:rsidR="0094673E" w:rsidRPr="002E4477">
        <w:rPr>
          <w:rFonts w:eastAsia="Calibri"/>
          <w:szCs w:val="28"/>
        </w:rPr>
        <w:t xml:space="preserve">de lo que se deriva que en algunos casos </w:t>
      </w:r>
      <w:r w:rsidR="00A66E9A" w:rsidRPr="002E4477">
        <w:rPr>
          <w:rFonts w:eastAsia="Calibri"/>
          <w:i/>
          <w:szCs w:val="28"/>
        </w:rPr>
        <w:t>“los prob</w:t>
      </w:r>
      <w:r w:rsidR="0094673E" w:rsidRPr="002E4477">
        <w:rPr>
          <w:rFonts w:eastAsia="Calibri"/>
          <w:i/>
          <w:szCs w:val="28"/>
        </w:rPr>
        <w:t>lemas de competencia se</w:t>
      </w:r>
      <w:r w:rsidR="0094673E" w:rsidRPr="007C6F2A">
        <w:rPr>
          <w:rFonts w:eastAsia="Calibri"/>
          <w:i/>
          <w:szCs w:val="28"/>
        </w:rPr>
        <w:t xml:space="preserve"> </w:t>
      </w:r>
      <w:r w:rsidR="0094673E" w:rsidRPr="002E4477">
        <w:rPr>
          <w:rFonts w:eastAsia="Calibri"/>
          <w:i/>
          <w:szCs w:val="28"/>
        </w:rPr>
        <w:t>proyect[e]</w:t>
      </w:r>
      <w:r w:rsidR="00A66E9A" w:rsidRPr="002E4477">
        <w:rPr>
          <w:rFonts w:eastAsia="Calibri"/>
          <w:i/>
          <w:szCs w:val="28"/>
        </w:rPr>
        <w:t>n al estudio tanto de los vicios de procedimiento como de los vicios de contenido material”</w:t>
      </w:r>
      <w:r w:rsidR="00A66E9A" w:rsidRPr="002E4477">
        <w:rPr>
          <w:rStyle w:val="Refdenotaalpie"/>
          <w:rFonts w:eastAsia="Calibri"/>
          <w:szCs w:val="28"/>
        </w:rPr>
        <w:footnoteReference w:id="251"/>
      </w:r>
      <w:r w:rsidRPr="002E4477">
        <w:rPr>
          <w:rFonts w:eastAsia="Calibri"/>
          <w:szCs w:val="28"/>
        </w:rPr>
        <w:t xml:space="preserve"> ligados </w:t>
      </w:r>
      <w:r w:rsidR="00E11EA3" w:rsidRPr="002E4477">
        <w:rPr>
          <w:rFonts w:eastAsia="Calibri"/>
          <w:szCs w:val="28"/>
        </w:rPr>
        <w:t xml:space="preserve">a </w:t>
      </w:r>
      <w:r w:rsidRPr="002E4477">
        <w:rPr>
          <w:rFonts w:eastAsia="Calibri"/>
          <w:szCs w:val="28"/>
        </w:rPr>
        <w:t xml:space="preserve">ella. </w:t>
      </w:r>
    </w:p>
    <w:p w14:paraId="1262323C" w14:textId="77777777" w:rsidR="00F7729E" w:rsidRPr="002E4477" w:rsidRDefault="00F7729E" w:rsidP="00F7729E">
      <w:pPr>
        <w:pStyle w:val="Prrafodelista"/>
        <w:rPr>
          <w:rFonts w:eastAsia="Calibri"/>
          <w:szCs w:val="28"/>
        </w:rPr>
      </w:pPr>
    </w:p>
    <w:p w14:paraId="5C2DEAB5" w14:textId="77777777" w:rsidR="00F7729E" w:rsidRPr="002E4477" w:rsidRDefault="00A66E9A" w:rsidP="00962603">
      <w:pPr>
        <w:numPr>
          <w:ilvl w:val="0"/>
          <w:numId w:val="10"/>
        </w:numPr>
        <w:shd w:val="clear" w:color="auto" w:fill="FFFFFF"/>
        <w:jc w:val="both"/>
        <w:rPr>
          <w:szCs w:val="28"/>
          <w:lang w:val="es-CO" w:eastAsia="es-CO"/>
        </w:rPr>
      </w:pPr>
      <w:r w:rsidRPr="002E4477">
        <w:rPr>
          <w:rFonts w:eastAsia="Calibri"/>
          <w:szCs w:val="28"/>
        </w:rPr>
        <w:t>Siguiendo esta línea</w:t>
      </w:r>
      <w:r w:rsidR="0094673E" w:rsidRPr="002E4477">
        <w:rPr>
          <w:rFonts w:eastAsia="Calibri"/>
          <w:szCs w:val="28"/>
        </w:rPr>
        <w:t xml:space="preserve"> argumental</w:t>
      </w:r>
      <w:r w:rsidRPr="002E4477">
        <w:rPr>
          <w:rFonts w:eastAsia="Calibri"/>
          <w:szCs w:val="28"/>
        </w:rPr>
        <w:t xml:space="preserve">, la Corte se preguntó en la </w:t>
      </w:r>
      <w:r w:rsidRPr="002E4477">
        <w:rPr>
          <w:rFonts w:eastAsia="Calibri"/>
          <w:b/>
          <w:szCs w:val="28"/>
        </w:rPr>
        <w:t>Sentencia C-551 de 2003</w:t>
      </w:r>
      <w:r w:rsidRPr="002E4477">
        <w:rPr>
          <w:rStyle w:val="Refdenotaalpie"/>
          <w:rFonts w:eastAsia="Calibri"/>
          <w:szCs w:val="28"/>
        </w:rPr>
        <w:footnoteReference w:id="252"/>
      </w:r>
      <w:r w:rsidRPr="002E4477">
        <w:rPr>
          <w:rFonts w:eastAsia="Calibri"/>
          <w:szCs w:val="28"/>
        </w:rPr>
        <w:t xml:space="preserve"> si el poder de reforma en el constitucionalismo colombia</w:t>
      </w:r>
      <w:r w:rsidR="0094673E" w:rsidRPr="002E4477">
        <w:rPr>
          <w:rFonts w:eastAsia="Calibri"/>
          <w:szCs w:val="28"/>
        </w:rPr>
        <w:t>no carece de límites materiales; pues</w:t>
      </w:r>
      <w:r w:rsidRPr="002E4477">
        <w:rPr>
          <w:rFonts w:eastAsia="Calibri"/>
          <w:szCs w:val="28"/>
        </w:rPr>
        <w:t xml:space="preserve"> de </w:t>
      </w:r>
      <w:r w:rsidR="0094673E" w:rsidRPr="002E4477">
        <w:rPr>
          <w:rFonts w:eastAsia="Calibri"/>
          <w:szCs w:val="28"/>
        </w:rPr>
        <w:t xml:space="preserve">no </w:t>
      </w:r>
      <w:r w:rsidRPr="002E4477">
        <w:rPr>
          <w:rFonts w:eastAsia="Calibri"/>
          <w:szCs w:val="28"/>
        </w:rPr>
        <w:t xml:space="preserve">existir tales límites, </w:t>
      </w:r>
      <w:r w:rsidR="002312AA" w:rsidRPr="002E4477">
        <w:rPr>
          <w:rFonts w:eastAsia="Calibri"/>
          <w:szCs w:val="28"/>
        </w:rPr>
        <w:t>la</w:t>
      </w:r>
      <w:r w:rsidR="0094673E" w:rsidRPr="002E4477">
        <w:rPr>
          <w:rFonts w:eastAsia="Calibri"/>
          <w:szCs w:val="28"/>
        </w:rPr>
        <w:t xml:space="preserve"> competencia </w:t>
      </w:r>
      <w:r w:rsidRPr="002E4477">
        <w:rPr>
          <w:rFonts w:eastAsia="Calibri"/>
          <w:szCs w:val="28"/>
        </w:rPr>
        <w:t>sería absoluta para modificar cualquier contenido constituc</w:t>
      </w:r>
      <w:r w:rsidR="0094673E" w:rsidRPr="002E4477">
        <w:rPr>
          <w:rFonts w:eastAsia="Calibri"/>
          <w:szCs w:val="28"/>
        </w:rPr>
        <w:t xml:space="preserve">ional y cambiar por completo </w:t>
      </w:r>
      <w:r w:rsidR="00E11EA3" w:rsidRPr="002E4477">
        <w:rPr>
          <w:rFonts w:eastAsia="Calibri"/>
          <w:szCs w:val="28"/>
        </w:rPr>
        <w:t xml:space="preserve">la Carta, </w:t>
      </w:r>
      <w:r w:rsidR="0094673E" w:rsidRPr="002E4477">
        <w:rPr>
          <w:rFonts w:eastAsia="Calibri"/>
          <w:szCs w:val="28"/>
        </w:rPr>
        <w:t xml:space="preserve">por parte de los cuerpos designados constitucionalmente para habilitar dicha modificación. </w:t>
      </w:r>
    </w:p>
    <w:p w14:paraId="68920375" w14:textId="77777777" w:rsidR="002312AA" w:rsidRPr="002E4477" w:rsidRDefault="002312AA" w:rsidP="002312AA">
      <w:pPr>
        <w:shd w:val="clear" w:color="auto" w:fill="FFFFFF"/>
        <w:jc w:val="both"/>
        <w:rPr>
          <w:rFonts w:eastAsia="Calibri"/>
          <w:szCs w:val="28"/>
        </w:rPr>
      </w:pPr>
    </w:p>
    <w:p w14:paraId="449B9A50" w14:textId="77777777" w:rsidR="00C907E7" w:rsidRPr="002E4477" w:rsidRDefault="00C907E7" w:rsidP="002312AA">
      <w:pPr>
        <w:shd w:val="clear" w:color="auto" w:fill="FFFFFF"/>
        <w:jc w:val="both"/>
        <w:rPr>
          <w:szCs w:val="28"/>
          <w:lang w:val="es-CO" w:eastAsia="es-CO"/>
        </w:rPr>
      </w:pPr>
      <w:r w:rsidRPr="002E4477">
        <w:rPr>
          <w:rFonts w:eastAsia="Calibri"/>
          <w:szCs w:val="28"/>
        </w:rPr>
        <w:t xml:space="preserve">Sobre el particular, </w:t>
      </w:r>
      <w:r w:rsidR="002312AA" w:rsidRPr="002E4477">
        <w:rPr>
          <w:rFonts w:eastAsia="Calibri"/>
          <w:szCs w:val="28"/>
        </w:rPr>
        <w:t>la</w:t>
      </w:r>
      <w:r w:rsidR="00A66E9A" w:rsidRPr="002E4477">
        <w:rPr>
          <w:rFonts w:eastAsia="Calibri"/>
          <w:szCs w:val="28"/>
        </w:rPr>
        <w:t xml:space="preserve"> Cor</w:t>
      </w:r>
      <w:r w:rsidR="002312AA" w:rsidRPr="002E4477">
        <w:rPr>
          <w:rFonts w:eastAsia="Calibri"/>
          <w:szCs w:val="28"/>
        </w:rPr>
        <w:t>te</w:t>
      </w:r>
      <w:r w:rsidR="00A66E9A" w:rsidRPr="002E4477">
        <w:rPr>
          <w:rFonts w:eastAsia="Calibri"/>
          <w:szCs w:val="28"/>
        </w:rPr>
        <w:t xml:space="preserve"> observó que los modos de reforma de la Constitución implican el ejercicio de un poder de constituyente,</w:t>
      </w:r>
      <w:r w:rsidR="00C02B17">
        <w:rPr>
          <w:rFonts w:eastAsia="Calibri"/>
          <w:szCs w:val="28"/>
        </w:rPr>
        <w:t xml:space="preserve"> en tanto</w:t>
      </w:r>
      <w:r w:rsidR="00A66E9A" w:rsidRPr="002E4477">
        <w:rPr>
          <w:rFonts w:eastAsia="Calibri"/>
          <w:szCs w:val="28"/>
        </w:rPr>
        <w:t xml:space="preserve"> </w:t>
      </w:r>
      <w:r w:rsidR="00A4424F" w:rsidRPr="002E4477">
        <w:rPr>
          <w:rFonts w:eastAsia="Calibri"/>
          <w:szCs w:val="28"/>
        </w:rPr>
        <w:t xml:space="preserve">que tiene que tener </w:t>
      </w:r>
      <w:r w:rsidR="00A66E9A" w:rsidRPr="002E4477">
        <w:rPr>
          <w:rFonts w:eastAsia="Calibri"/>
          <w:szCs w:val="28"/>
        </w:rPr>
        <w:t xml:space="preserve">la capacidad de reformar la Carta </w:t>
      </w:r>
      <w:r w:rsidR="00A4424F" w:rsidRPr="002E4477">
        <w:rPr>
          <w:rFonts w:eastAsia="Calibri"/>
          <w:szCs w:val="28"/>
        </w:rPr>
        <w:t xml:space="preserve">a través de </w:t>
      </w:r>
      <w:r w:rsidR="00A66E9A" w:rsidRPr="002E4477">
        <w:rPr>
          <w:rFonts w:eastAsia="Calibri"/>
          <w:szCs w:val="28"/>
        </w:rPr>
        <w:t xml:space="preserve">los cauces y las condiciones fijados por la Constitución misma. En palabras de la Corte, </w:t>
      </w:r>
      <w:r w:rsidR="00A66E9A" w:rsidRPr="002E4477">
        <w:rPr>
          <w:rFonts w:eastAsia="Calibri"/>
          <w:i/>
          <w:szCs w:val="28"/>
        </w:rPr>
        <w:t>“[s]e trata […] de un poder de reforma de la propia Constitución, y en ese sentido es constituyente; pero se encuentra instituido por la Constitución existente, y es por ello derivado y limitado”</w:t>
      </w:r>
      <w:r w:rsidR="00A66E9A" w:rsidRPr="002E4477">
        <w:rPr>
          <w:rStyle w:val="Refdenotaalpie"/>
          <w:rFonts w:eastAsia="Calibri"/>
          <w:szCs w:val="28"/>
        </w:rPr>
        <w:footnoteReference w:id="253"/>
      </w:r>
      <w:r w:rsidR="00A66E9A" w:rsidRPr="002E4477">
        <w:rPr>
          <w:rFonts w:eastAsia="Calibri"/>
          <w:szCs w:val="28"/>
        </w:rPr>
        <w:t>.</w:t>
      </w:r>
    </w:p>
    <w:p w14:paraId="207BBDBD" w14:textId="77777777" w:rsidR="00C907E7" w:rsidRPr="002E4477" w:rsidRDefault="00C907E7" w:rsidP="00C907E7">
      <w:pPr>
        <w:pStyle w:val="Prrafodelista"/>
        <w:rPr>
          <w:rFonts w:eastAsia="Calibri"/>
          <w:szCs w:val="28"/>
        </w:rPr>
      </w:pPr>
    </w:p>
    <w:p w14:paraId="462ACADC" w14:textId="77777777" w:rsidR="00C907E7" w:rsidRPr="00B312E3" w:rsidRDefault="00A66E9A" w:rsidP="00962603">
      <w:pPr>
        <w:numPr>
          <w:ilvl w:val="0"/>
          <w:numId w:val="10"/>
        </w:numPr>
        <w:shd w:val="clear" w:color="auto" w:fill="FFFFFF"/>
        <w:jc w:val="both"/>
        <w:rPr>
          <w:szCs w:val="28"/>
          <w:lang w:val="es-CO" w:eastAsia="es-CO"/>
        </w:rPr>
      </w:pPr>
      <w:r w:rsidRPr="002E4477">
        <w:rPr>
          <w:rFonts w:eastAsia="Calibri"/>
          <w:szCs w:val="28"/>
        </w:rPr>
        <w:t>En este contexto, la Corte ha considerado</w:t>
      </w:r>
      <w:r w:rsidR="00A4424F" w:rsidRPr="002E4477">
        <w:rPr>
          <w:rFonts w:eastAsia="Calibri"/>
          <w:szCs w:val="28"/>
        </w:rPr>
        <w:t xml:space="preserve"> </w:t>
      </w:r>
      <w:r w:rsidRPr="002E4477">
        <w:rPr>
          <w:rFonts w:eastAsia="Calibri"/>
          <w:szCs w:val="28"/>
        </w:rPr>
        <w:t xml:space="preserve">desde la citada </w:t>
      </w:r>
      <w:r w:rsidRPr="002E4477">
        <w:rPr>
          <w:rFonts w:eastAsia="Calibri"/>
          <w:b/>
          <w:szCs w:val="28"/>
        </w:rPr>
        <w:t>Sentencia C-551 de 2003</w:t>
      </w:r>
      <w:r w:rsidRPr="002E4477">
        <w:rPr>
          <w:rFonts w:eastAsia="Calibri"/>
          <w:szCs w:val="28"/>
        </w:rPr>
        <w:t xml:space="preserve">, que una cosa es </w:t>
      </w:r>
      <w:r w:rsidR="00C02B17">
        <w:rPr>
          <w:rFonts w:eastAsia="Calibri"/>
          <w:szCs w:val="28"/>
        </w:rPr>
        <w:t>e</w:t>
      </w:r>
      <w:r w:rsidRPr="002E4477">
        <w:rPr>
          <w:rFonts w:eastAsia="Calibri"/>
          <w:szCs w:val="28"/>
        </w:rPr>
        <w:t xml:space="preserve">l poder de reforma </w:t>
      </w:r>
      <w:r w:rsidR="00C02B17">
        <w:rPr>
          <w:rFonts w:eastAsia="Calibri"/>
          <w:szCs w:val="28"/>
        </w:rPr>
        <w:t>que</w:t>
      </w:r>
      <w:r w:rsidR="00F302E6">
        <w:rPr>
          <w:rFonts w:eastAsia="Calibri"/>
          <w:szCs w:val="28"/>
        </w:rPr>
        <w:t>,</w:t>
      </w:r>
      <w:r w:rsidR="00C02B17">
        <w:rPr>
          <w:rFonts w:eastAsia="Calibri"/>
          <w:szCs w:val="28"/>
        </w:rPr>
        <w:t xml:space="preserve"> le da la facultad para modificar </w:t>
      </w:r>
      <w:r w:rsidRPr="002E4477">
        <w:rPr>
          <w:rFonts w:eastAsia="Calibri"/>
          <w:szCs w:val="28"/>
        </w:rPr>
        <w:t>la Constitución</w:t>
      </w:r>
      <w:r w:rsidR="00C02B17">
        <w:rPr>
          <w:rFonts w:eastAsia="Calibri"/>
          <w:szCs w:val="28"/>
        </w:rPr>
        <w:t xml:space="preserve"> (</w:t>
      </w:r>
      <w:r w:rsidRPr="002E4477">
        <w:rPr>
          <w:rFonts w:eastAsia="Calibri"/>
          <w:szCs w:val="28"/>
        </w:rPr>
        <w:t xml:space="preserve">lo cual es válido ya que en ella no existen cláusulas pétreas ni normas expresamente intangibles y su artículo 374 permite que sea </w:t>
      </w:r>
      <w:r w:rsidRPr="002E4477">
        <w:rPr>
          <w:rFonts w:eastAsia="Calibri"/>
          <w:i/>
          <w:szCs w:val="28"/>
        </w:rPr>
        <w:t>“reformada”</w:t>
      </w:r>
      <w:r w:rsidR="00C02B17">
        <w:rPr>
          <w:rFonts w:eastAsia="Calibri"/>
          <w:i/>
          <w:szCs w:val="28"/>
        </w:rPr>
        <w:t>)</w:t>
      </w:r>
      <w:r w:rsidRPr="002E4477">
        <w:rPr>
          <w:rFonts w:eastAsia="Calibri"/>
          <w:szCs w:val="28"/>
        </w:rPr>
        <w:t>, y otra cosa es que el poder de reforma la sustituya por una Constitución radicalmente distinta, lo cual no es posible</w:t>
      </w:r>
      <w:r w:rsidR="00A4424F" w:rsidRPr="002E4477">
        <w:rPr>
          <w:rFonts w:eastAsia="Calibri"/>
          <w:szCs w:val="28"/>
        </w:rPr>
        <w:t>,</w:t>
      </w:r>
      <w:r w:rsidRPr="002E4477">
        <w:rPr>
          <w:rFonts w:eastAsia="Calibri"/>
          <w:szCs w:val="28"/>
        </w:rPr>
        <w:t xml:space="preserve"> porque este poder derivado </w:t>
      </w:r>
      <w:r w:rsidRPr="00B312E3">
        <w:rPr>
          <w:rFonts w:eastAsia="Calibri"/>
          <w:szCs w:val="28"/>
        </w:rPr>
        <w:t>solo tiene</w:t>
      </w:r>
      <w:r w:rsidR="00E11EA3" w:rsidRPr="00B312E3">
        <w:rPr>
          <w:rFonts w:eastAsia="Calibri"/>
          <w:szCs w:val="28"/>
        </w:rPr>
        <w:t xml:space="preserve"> las</w:t>
      </w:r>
      <w:r w:rsidRPr="00B312E3">
        <w:rPr>
          <w:rFonts w:eastAsia="Calibri"/>
          <w:szCs w:val="28"/>
        </w:rPr>
        <w:t xml:space="preserve"> competencia</w:t>
      </w:r>
      <w:r w:rsidR="00A4424F" w:rsidRPr="00B312E3">
        <w:rPr>
          <w:rFonts w:eastAsia="Calibri"/>
          <w:szCs w:val="28"/>
        </w:rPr>
        <w:t xml:space="preserve">s que la </w:t>
      </w:r>
      <w:r w:rsidRPr="00B312E3">
        <w:rPr>
          <w:rFonts w:eastAsia="Calibri"/>
          <w:szCs w:val="28"/>
        </w:rPr>
        <w:t xml:space="preserve">Constitución </w:t>
      </w:r>
      <w:r w:rsidR="00A4424F" w:rsidRPr="00B312E3">
        <w:rPr>
          <w:rFonts w:eastAsia="Calibri"/>
          <w:szCs w:val="28"/>
        </w:rPr>
        <w:t>determina</w:t>
      </w:r>
      <w:r w:rsidR="0094673E" w:rsidRPr="00B312E3">
        <w:rPr>
          <w:rFonts w:eastAsia="Calibri"/>
          <w:szCs w:val="28"/>
        </w:rPr>
        <w:t>,</w:t>
      </w:r>
      <w:r w:rsidR="00A4424F" w:rsidRPr="00B312E3">
        <w:rPr>
          <w:rFonts w:eastAsia="Calibri"/>
          <w:szCs w:val="28"/>
        </w:rPr>
        <w:t xml:space="preserve"> </w:t>
      </w:r>
      <w:r w:rsidRPr="00B312E3">
        <w:rPr>
          <w:rFonts w:eastAsia="Calibri"/>
          <w:szCs w:val="28"/>
        </w:rPr>
        <w:t>para hacer reformas</w:t>
      </w:r>
      <w:r w:rsidR="00A4424F" w:rsidRPr="00B312E3">
        <w:rPr>
          <w:rFonts w:eastAsia="Calibri"/>
          <w:szCs w:val="28"/>
        </w:rPr>
        <w:t xml:space="preserve">. </w:t>
      </w:r>
      <w:r w:rsidR="000B29F6" w:rsidRPr="00B312E3">
        <w:rPr>
          <w:rFonts w:eastAsia="Calibri"/>
          <w:szCs w:val="28"/>
        </w:rPr>
        <w:t xml:space="preserve">Con discusión, la teoría jurídica sostendría que solo el poder constituyente originario tendría competencia para “sustituir” la </w:t>
      </w:r>
      <w:r w:rsidR="00B312E3" w:rsidRPr="00B312E3">
        <w:rPr>
          <w:rFonts w:eastAsia="Calibri"/>
          <w:szCs w:val="28"/>
        </w:rPr>
        <w:t>C</w:t>
      </w:r>
      <w:r w:rsidR="000B29F6" w:rsidRPr="00B312E3">
        <w:rPr>
          <w:rFonts w:eastAsia="Calibri"/>
          <w:szCs w:val="28"/>
        </w:rPr>
        <w:t xml:space="preserve">onstitución. </w:t>
      </w:r>
      <w:r w:rsidR="00DF4C59" w:rsidRPr="00B312E3">
        <w:rPr>
          <w:rFonts w:eastAsia="Calibri"/>
          <w:szCs w:val="28"/>
        </w:rPr>
        <w:t xml:space="preserve">En todo caso, </w:t>
      </w:r>
      <w:r w:rsidR="000B29F6" w:rsidRPr="00B312E3">
        <w:rPr>
          <w:rFonts w:eastAsia="Calibri"/>
          <w:szCs w:val="28"/>
        </w:rPr>
        <w:t>la jurisprudencia constitucional</w:t>
      </w:r>
      <w:r w:rsidR="00B312E3" w:rsidRPr="00B312E3">
        <w:rPr>
          <w:rFonts w:eastAsia="Calibri"/>
          <w:szCs w:val="28"/>
        </w:rPr>
        <w:t xml:space="preserve"> ha considerado que</w:t>
      </w:r>
      <w:r w:rsidR="00E11EA3" w:rsidRPr="00B312E3">
        <w:rPr>
          <w:szCs w:val="28"/>
          <w:lang w:eastAsia="es-CO"/>
        </w:rPr>
        <w:t xml:space="preserve"> </w:t>
      </w:r>
      <w:r w:rsidRPr="00B312E3">
        <w:rPr>
          <w:rFonts w:eastAsia="Calibri"/>
          <w:i/>
          <w:szCs w:val="28"/>
        </w:rPr>
        <w:t>“</w:t>
      </w:r>
      <w:r w:rsidR="00E11EA3" w:rsidRPr="00B312E3">
        <w:rPr>
          <w:rFonts w:eastAsia="Calibri"/>
          <w:i/>
          <w:szCs w:val="28"/>
        </w:rPr>
        <w:t>e</w:t>
      </w:r>
      <w:r w:rsidRPr="00B312E3">
        <w:rPr>
          <w:rFonts w:eastAsia="Calibri"/>
          <w:i/>
          <w:szCs w:val="28"/>
        </w:rPr>
        <w:t>l poder de reforma, por ser un poder constituido, tiene límites materiales, pues la facultad de reformar la Constitución no contiene la posibilidad de derogarla, subvertirla o sustituirla en su integridad”</w:t>
      </w:r>
      <w:r w:rsidRPr="00B312E3">
        <w:rPr>
          <w:rStyle w:val="Refdenotaalpie"/>
          <w:rFonts w:eastAsia="Calibri"/>
          <w:i/>
          <w:szCs w:val="28"/>
        </w:rPr>
        <w:footnoteReference w:id="254"/>
      </w:r>
      <w:r w:rsidRPr="00B312E3">
        <w:rPr>
          <w:rFonts w:eastAsia="Calibri"/>
          <w:i/>
          <w:szCs w:val="28"/>
        </w:rPr>
        <w:t>.</w:t>
      </w:r>
    </w:p>
    <w:p w14:paraId="72B53389" w14:textId="77777777" w:rsidR="00C907E7" w:rsidRPr="002E4477" w:rsidRDefault="00C907E7" w:rsidP="00CE0661">
      <w:pPr>
        <w:pStyle w:val="Prrafodelista"/>
        <w:ind w:left="567"/>
        <w:jc w:val="both"/>
        <w:rPr>
          <w:rFonts w:eastAsia="Calibri"/>
          <w:i/>
          <w:szCs w:val="28"/>
        </w:rPr>
      </w:pPr>
    </w:p>
    <w:p w14:paraId="2C86F1E7" w14:textId="77777777" w:rsidR="00C907E7" w:rsidRPr="002E4477" w:rsidRDefault="00A4424F" w:rsidP="00962603">
      <w:pPr>
        <w:numPr>
          <w:ilvl w:val="0"/>
          <w:numId w:val="10"/>
        </w:numPr>
        <w:shd w:val="clear" w:color="auto" w:fill="FFFFFF"/>
        <w:jc w:val="both"/>
        <w:rPr>
          <w:szCs w:val="28"/>
          <w:lang w:val="es-CO" w:eastAsia="es-CO"/>
        </w:rPr>
      </w:pPr>
      <w:r w:rsidRPr="002E4477">
        <w:rPr>
          <w:rFonts w:eastAsia="Calibri"/>
          <w:szCs w:val="28"/>
        </w:rPr>
        <w:t>Desde esta perspectiva</w:t>
      </w:r>
      <w:r w:rsidR="00A66E9A" w:rsidRPr="002E4477">
        <w:rPr>
          <w:rFonts w:eastAsia="Calibri"/>
          <w:szCs w:val="28"/>
        </w:rPr>
        <w:t>, la Corte</w:t>
      </w:r>
      <w:r w:rsidR="00660FFF" w:rsidRPr="002E4477">
        <w:rPr>
          <w:rFonts w:eastAsia="Calibri"/>
          <w:szCs w:val="28"/>
        </w:rPr>
        <w:t xml:space="preserve"> Constitucional</w:t>
      </w:r>
      <w:r w:rsidR="00A66E9A" w:rsidRPr="002E4477">
        <w:rPr>
          <w:rFonts w:eastAsia="Calibri"/>
          <w:szCs w:val="28"/>
        </w:rPr>
        <w:t xml:space="preserve"> ha entendido,</w:t>
      </w:r>
      <w:r w:rsidR="005E270F" w:rsidRPr="002E4477">
        <w:rPr>
          <w:rFonts w:eastAsia="Calibri"/>
          <w:szCs w:val="28"/>
        </w:rPr>
        <w:t xml:space="preserve"> </w:t>
      </w:r>
      <w:r w:rsidR="0094673E" w:rsidRPr="002E4477">
        <w:rPr>
          <w:rFonts w:eastAsia="Calibri"/>
          <w:szCs w:val="28"/>
        </w:rPr>
        <w:t>-</w:t>
      </w:r>
      <w:r w:rsidR="00660FFF" w:rsidRPr="002E4477">
        <w:rPr>
          <w:rFonts w:eastAsia="Calibri"/>
          <w:szCs w:val="28"/>
        </w:rPr>
        <w:t>en consonancia con</w:t>
      </w:r>
      <w:r w:rsidR="0094673E" w:rsidRPr="002E4477">
        <w:rPr>
          <w:rFonts w:eastAsia="Calibri"/>
          <w:szCs w:val="28"/>
        </w:rPr>
        <w:t xml:space="preserve"> </w:t>
      </w:r>
      <w:r w:rsidR="00660FFF" w:rsidRPr="002E4477">
        <w:rPr>
          <w:rFonts w:eastAsia="Calibri"/>
          <w:szCs w:val="28"/>
        </w:rPr>
        <w:t>aproximaciones similares</w:t>
      </w:r>
      <w:r w:rsidR="0094673E" w:rsidRPr="002E4477">
        <w:rPr>
          <w:rFonts w:eastAsia="Calibri"/>
          <w:szCs w:val="28"/>
        </w:rPr>
        <w:t xml:space="preserve"> </w:t>
      </w:r>
      <w:r w:rsidR="00A66E9A" w:rsidRPr="002E4477">
        <w:rPr>
          <w:rFonts w:eastAsia="Calibri"/>
          <w:szCs w:val="28"/>
        </w:rPr>
        <w:t>de la Corte Suprema de la India</w:t>
      </w:r>
      <w:r w:rsidR="00660FFF" w:rsidRPr="002E4477">
        <w:rPr>
          <w:rFonts w:eastAsia="Calibri"/>
          <w:szCs w:val="28"/>
        </w:rPr>
        <w:t xml:space="preserve"> en estas materias</w:t>
      </w:r>
      <w:r w:rsidR="00A66E9A" w:rsidRPr="002E4477">
        <w:rPr>
          <w:rStyle w:val="Refdenotaalpie"/>
          <w:rFonts w:eastAsia="Calibri"/>
          <w:szCs w:val="28"/>
        </w:rPr>
        <w:footnoteReference w:id="255"/>
      </w:r>
      <w:r w:rsidR="0094673E" w:rsidRPr="002E4477">
        <w:rPr>
          <w:rFonts w:eastAsia="Calibri"/>
          <w:szCs w:val="28"/>
        </w:rPr>
        <w:t>-</w:t>
      </w:r>
      <w:r w:rsidR="00A66E9A" w:rsidRPr="002E4477">
        <w:rPr>
          <w:rFonts w:eastAsia="Calibri"/>
          <w:szCs w:val="28"/>
        </w:rPr>
        <w:t>, que el poder de reforma no puede sustituir</w:t>
      </w:r>
      <w:r w:rsidR="0094673E" w:rsidRPr="002E4477">
        <w:rPr>
          <w:rFonts w:eastAsia="Calibri"/>
          <w:szCs w:val="28"/>
        </w:rPr>
        <w:t xml:space="preserve"> la Carta y que</w:t>
      </w:r>
      <w:r w:rsidR="00A66E9A" w:rsidRPr="002E4477">
        <w:rPr>
          <w:rFonts w:eastAsia="Calibri"/>
          <w:szCs w:val="28"/>
        </w:rPr>
        <w:t xml:space="preserve"> encuentra sus límites en la idea de la estructura básica de la Constitución, esto e</w:t>
      </w:r>
      <w:r w:rsidR="0094673E" w:rsidRPr="002E4477">
        <w:rPr>
          <w:rFonts w:eastAsia="Calibri"/>
          <w:szCs w:val="28"/>
        </w:rPr>
        <w:t>s, en los elementos axiales, los pilares fundamentales o</w:t>
      </w:r>
      <w:r w:rsidR="00A66E9A" w:rsidRPr="002E4477">
        <w:rPr>
          <w:rFonts w:eastAsia="Calibri"/>
          <w:szCs w:val="28"/>
        </w:rPr>
        <w:t xml:space="preserve"> los elementos definitorios</w:t>
      </w:r>
      <w:r w:rsidRPr="002E4477">
        <w:rPr>
          <w:rFonts w:eastAsia="Calibri"/>
          <w:szCs w:val="28"/>
        </w:rPr>
        <w:t xml:space="preserve"> </w:t>
      </w:r>
      <w:r w:rsidR="00A66E9A" w:rsidRPr="002E4477">
        <w:rPr>
          <w:rFonts w:eastAsia="Calibri"/>
          <w:szCs w:val="28"/>
        </w:rPr>
        <w:t xml:space="preserve">de la esencia de la Carta, </w:t>
      </w:r>
      <w:r w:rsidR="0094673E" w:rsidRPr="002E4477">
        <w:rPr>
          <w:rFonts w:eastAsia="Calibri"/>
          <w:szCs w:val="28"/>
        </w:rPr>
        <w:t xml:space="preserve">que </w:t>
      </w:r>
      <w:r w:rsidR="00A66E9A" w:rsidRPr="002E4477">
        <w:rPr>
          <w:rFonts w:eastAsia="Calibri"/>
          <w:szCs w:val="28"/>
        </w:rPr>
        <w:t>no pueden ser objeto de modificación</w:t>
      </w:r>
      <w:r w:rsidR="005E270F" w:rsidRPr="002E4477">
        <w:rPr>
          <w:rFonts w:eastAsia="Calibri"/>
          <w:szCs w:val="28"/>
        </w:rPr>
        <w:t xml:space="preserve"> por tales poderes limitados</w:t>
      </w:r>
      <w:r w:rsidR="00A66E9A" w:rsidRPr="002E4477">
        <w:rPr>
          <w:rFonts w:eastAsia="Calibri"/>
          <w:szCs w:val="28"/>
        </w:rPr>
        <w:t>, so pena de sustituir la Constitución</w:t>
      </w:r>
      <w:r w:rsidR="0094673E" w:rsidRPr="002E4477">
        <w:rPr>
          <w:rFonts w:eastAsia="Calibri"/>
          <w:szCs w:val="28"/>
        </w:rPr>
        <w:t xml:space="preserve"> Política</w:t>
      </w:r>
      <w:r w:rsidR="00A66E9A" w:rsidRPr="002E4477">
        <w:rPr>
          <w:rFonts w:eastAsia="Calibri"/>
          <w:szCs w:val="28"/>
        </w:rPr>
        <w:t>.</w:t>
      </w:r>
    </w:p>
    <w:p w14:paraId="4FFAEA62" w14:textId="77777777" w:rsidR="00C907E7" w:rsidRPr="002E4477" w:rsidRDefault="00C907E7" w:rsidP="00C907E7">
      <w:pPr>
        <w:pStyle w:val="Prrafodelista"/>
        <w:rPr>
          <w:rFonts w:eastAsia="Calibri"/>
          <w:szCs w:val="28"/>
          <w:lang w:val="es-CO"/>
        </w:rPr>
      </w:pPr>
    </w:p>
    <w:p w14:paraId="67FE85AB" w14:textId="77777777" w:rsidR="00C907E7" w:rsidRPr="002E4477" w:rsidRDefault="00A4424F" w:rsidP="00962603">
      <w:pPr>
        <w:numPr>
          <w:ilvl w:val="0"/>
          <w:numId w:val="10"/>
        </w:numPr>
        <w:shd w:val="clear" w:color="auto" w:fill="FFFFFF"/>
        <w:jc w:val="both"/>
        <w:rPr>
          <w:szCs w:val="28"/>
          <w:lang w:val="es-CO" w:eastAsia="es-CO"/>
        </w:rPr>
      </w:pPr>
      <w:r w:rsidRPr="002E4477">
        <w:rPr>
          <w:rFonts w:eastAsia="Calibri"/>
          <w:szCs w:val="28"/>
        </w:rPr>
        <w:t>En múltiples reformas constitucionales, l</w:t>
      </w:r>
      <w:r w:rsidR="00A66E9A" w:rsidRPr="002E4477">
        <w:rPr>
          <w:rFonts w:eastAsia="Calibri"/>
          <w:szCs w:val="28"/>
        </w:rPr>
        <w:t>a Corte ha analizado</w:t>
      </w:r>
      <w:r w:rsidR="00DE06AB" w:rsidRPr="002E4477">
        <w:rPr>
          <w:rFonts w:eastAsia="Calibri"/>
          <w:szCs w:val="28"/>
        </w:rPr>
        <w:t xml:space="preserve"> </w:t>
      </w:r>
      <w:r w:rsidRPr="002E4477">
        <w:rPr>
          <w:rFonts w:eastAsia="Calibri"/>
          <w:szCs w:val="28"/>
        </w:rPr>
        <w:t xml:space="preserve">estas circunstancias </w:t>
      </w:r>
      <w:r w:rsidR="00A66E9A" w:rsidRPr="002E4477">
        <w:rPr>
          <w:rFonts w:eastAsia="Calibri"/>
          <w:szCs w:val="28"/>
        </w:rPr>
        <w:t>y en dichas decisiones ha identificado algunos elementos que hacen parte de la estructura básica de la Constitución y que, por</w:t>
      </w:r>
      <w:r w:rsidRPr="002E4477">
        <w:rPr>
          <w:rFonts w:eastAsia="Calibri"/>
          <w:szCs w:val="28"/>
        </w:rPr>
        <w:t xml:space="preserve"> lo</w:t>
      </w:r>
      <w:r w:rsidR="00A66E9A" w:rsidRPr="002E4477">
        <w:rPr>
          <w:rFonts w:eastAsia="Calibri"/>
          <w:szCs w:val="28"/>
        </w:rPr>
        <w:t xml:space="preserve"> tanto, no pueden ser alterados por el poder de reforma. Sin ánimo de exhaustividad, algunas de estas decisiones de la Corte son las siguientes</w:t>
      </w:r>
      <w:r w:rsidR="005E270F" w:rsidRPr="002E4477">
        <w:rPr>
          <w:rFonts w:eastAsia="Calibri"/>
          <w:szCs w:val="28"/>
        </w:rPr>
        <w:t>:</w:t>
      </w:r>
    </w:p>
    <w:p w14:paraId="2A5AE9AF" w14:textId="77777777" w:rsidR="00A4424F" w:rsidRPr="002E4477" w:rsidRDefault="00A4424F" w:rsidP="00A4424F">
      <w:pPr>
        <w:pStyle w:val="Prrafodelista"/>
        <w:tabs>
          <w:tab w:val="left" w:pos="426"/>
          <w:tab w:val="left" w:pos="567"/>
        </w:tabs>
        <w:ind w:left="0" w:right="49"/>
        <w:contextualSpacing/>
        <w:jc w:val="both"/>
        <w:rPr>
          <w:rFonts w:eastAsia="Calibri"/>
          <w:szCs w:val="28"/>
        </w:rPr>
      </w:pPr>
    </w:p>
    <w:p w14:paraId="7CC39C03" w14:textId="77777777" w:rsidR="00C907E7" w:rsidRPr="002E4477" w:rsidRDefault="00A4424F" w:rsidP="00A4424F">
      <w:pPr>
        <w:pStyle w:val="Prrafodelista"/>
        <w:tabs>
          <w:tab w:val="left" w:pos="426"/>
          <w:tab w:val="left" w:pos="567"/>
        </w:tabs>
        <w:ind w:left="0" w:right="49"/>
        <w:contextualSpacing/>
        <w:jc w:val="both"/>
        <w:rPr>
          <w:rFonts w:eastAsia="Calibri"/>
          <w:szCs w:val="28"/>
        </w:rPr>
      </w:pPr>
      <w:r w:rsidRPr="002E4477">
        <w:rPr>
          <w:rFonts w:eastAsia="Calibri"/>
          <w:b/>
          <w:szCs w:val="28"/>
        </w:rPr>
        <w:t>(i)</w:t>
      </w:r>
      <w:r w:rsidRPr="002E4477">
        <w:rPr>
          <w:rFonts w:eastAsia="Calibri"/>
          <w:szCs w:val="28"/>
        </w:rPr>
        <w:t xml:space="preserve"> </w:t>
      </w:r>
      <w:r w:rsidR="00C907E7" w:rsidRPr="002E4477">
        <w:rPr>
          <w:rFonts w:eastAsia="Calibri"/>
          <w:szCs w:val="28"/>
        </w:rPr>
        <w:t xml:space="preserve">En la Sentencia </w:t>
      </w:r>
      <w:r w:rsidR="00C907E7" w:rsidRPr="002E4477">
        <w:rPr>
          <w:rFonts w:eastAsia="Calibri"/>
          <w:b/>
          <w:szCs w:val="28"/>
        </w:rPr>
        <w:t>C- 970 de 2004</w:t>
      </w:r>
      <w:r w:rsidR="00C907E7" w:rsidRPr="002E4477">
        <w:rPr>
          <w:rStyle w:val="Refdenotaalpie"/>
          <w:rFonts w:eastAsia="Calibri"/>
          <w:szCs w:val="28"/>
        </w:rPr>
        <w:footnoteReference w:id="256"/>
      </w:r>
      <w:r w:rsidR="00C907E7" w:rsidRPr="002E4477">
        <w:rPr>
          <w:rFonts w:eastAsia="Calibri"/>
          <w:szCs w:val="28"/>
        </w:rPr>
        <w:t>, la Corte identificó como elemento de identidad de la Carta el principio de separación de poderes. Allí, precisó que una reforma constitucional que le confería facultades extraordinarias al Presidente de la República para que adoptara las normas necesarias para</w:t>
      </w:r>
      <w:r w:rsidR="00C907E7" w:rsidRPr="002E4477">
        <w:rPr>
          <w:szCs w:val="28"/>
        </w:rPr>
        <w:t xml:space="preserve"> </w:t>
      </w:r>
      <w:r w:rsidR="00C907E7" w:rsidRPr="002E4477">
        <w:rPr>
          <w:rFonts w:eastAsia="Calibri"/>
          <w:szCs w:val="28"/>
        </w:rPr>
        <w:t>la puesta en marcha del nuevo sistema penal</w:t>
      </w:r>
      <w:r w:rsidR="003A4A4F" w:rsidRPr="002E4477">
        <w:rPr>
          <w:rFonts w:eastAsia="Calibri"/>
          <w:szCs w:val="28"/>
        </w:rPr>
        <w:t xml:space="preserve"> acusatorio</w:t>
      </w:r>
      <w:r w:rsidR="00C907E7" w:rsidRPr="002E4477">
        <w:rPr>
          <w:rFonts w:eastAsia="Calibri"/>
          <w:szCs w:val="28"/>
        </w:rPr>
        <w:t>, si el Congre</w:t>
      </w:r>
      <w:r w:rsidR="0094673E" w:rsidRPr="002E4477">
        <w:rPr>
          <w:rFonts w:eastAsia="Calibri"/>
          <w:szCs w:val="28"/>
        </w:rPr>
        <w:t>so de la República no lo hacía</w:t>
      </w:r>
      <w:r w:rsidR="00C907E7" w:rsidRPr="002E4477">
        <w:rPr>
          <w:rFonts w:eastAsia="Calibri"/>
          <w:szCs w:val="28"/>
        </w:rPr>
        <w:t xml:space="preserve"> antes de determinada fecha, no sustituía</w:t>
      </w:r>
      <w:r w:rsidR="0094673E" w:rsidRPr="002E4477">
        <w:rPr>
          <w:rFonts w:eastAsia="Calibri"/>
          <w:szCs w:val="28"/>
        </w:rPr>
        <w:t xml:space="preserve"> realmente</w:t>
      </w:r>
      <w:r w:rsidR="00C907E7" w:rsidRPr="002E4477">
        <w:rPr>
          <w:rFonts w:eastAsia="Calibri"/>
          <w:szCs w:val="28"/>
        </w:rPr>
        <w:t xml:space="preserve"> </w:t>
      </w:r>
      <w:r w:rsidR="00DE06AB" w:rsidRPr="002E4477">
        <w:rPr>
          <w:rFonts w:eastAsia="Calibri"/>
          <w:szCs w:val="28"/>
        </w:rPr>
        <w:t>el</w:t>
      </w:r>
      <w:r w:rsidR="00C907E7" w:rsidRPr="002E4477">
        <w:rPr>
          <w:rFonts w:eastAsia="Calibri"/>
          <w:szCs w:val="28"/>
        </w:rPr>
        <w:t xml:space="preserve"> pilar</w:t>
      </w:r>
      <w:r w:rsidR="00DE06AB" w:rsidRPr="002E4477">
        <w:rPr>
          <w:rFonts w:eastAsia="Calibri"/>
          <w:szCs w:val="28"/>
        </w:rPr>
        <w:t xml:space="preserve"> mencionado. </w:t>
      </w:r>
    </w:p>
    <w:p w14:paraId="77451D31" w14:textId="77777777" w:rsidR="00C907E7" w:rsidRPr="002E4477" w:rsidRDefault="00C907E7" w:rsidP="00C907E7">
      <w:pPr>
        <w:pStyle w:val="Prrafodelista"/>
        <w:tabs>
          <w:tab w:val="left" w:pos="426"/>
          <w:tab w:val="left" w:pos="567"/>
        </w:tabs>
        <w:ind w:left="0" w:right="49"/>
        <w:contextualSpacing/>
        <w:jc w:val="both"/>
        <w:rPr>
          <w:rFonts w:eastAsia="Calibri"/>
          <w:szCs w:val="28"/>
        </w:rPr>
      </w:pPr>
    </w:p>
    <w:p w14:paraId="317DD59D" w14:textId="77777777" w:rsidR="00C907E7" w:rsidRPr="002E4477" w:rsidRDefault="00A4424F" w:rsidP="00A4424F">
      <w:pPr>
        <w:pStyle w:val="Prrafodelista"/>
        <w:tabs>
          <w:tab w:val="left" w:pos="567"/>
        </w:tabs>
        <w:ind w:left="0" w:right="49"/>
        <w:contextualSpacing/>
        <w:jc w:val="both"/>
        <w:rPr>
          <w:rFonts w:eastAsia="Calibri"/>
          <w:szCs w:val="28"/>
        </w:rPr>
      </w:pPr>
      <w:r w:rsidRPr="002E4477">
        <w:rPr>
          <w:rFonts w:eastAsia="Calibri"/>
          <w:b/>
          <w:szCs w:val="28"/>
        </w:rPr>
        <w:t>(ii)</w:t>
      </w:r>
      <w:r w:rsidRPr="002E4477">
        <w:rPr>
          <w:rFonts w:eastAsia="Calibri"/>
          <w:szCs w:val="28"/>
        </w:rPr>
        <w:t xml:space="preserve"> </w:t>
      </w:r>
      <w:r w:rsidR="0094673E" w:rsidRPr="002E4477">
        <w:rPr>
          <w:rFonts w:eastAsia="Calibri"/>
          <w:szCs w:val="28"/>
        </w:rPr>
        <w:t>Por otro</w:t>
      </w:r>
      <w:r w:rsidR="00C907E7" w:rsidRPr="002E4477">
        <w:rPr>
          <w:rFonts w:eastAsia="Calibri"/>
          <w:szCs w:val="28"/>
        </w:rPr>
        <w:t xml:space="preserve"> lado, en la Sentencia </w:t>
      </w:r>
      <w:r w:rsidR="00C907E7" w:rsidRPr="002E4477">
        <w:rPr>
          <w:rFonts w:eastAsia="Calibri"/>
          <w:b/>
          <w:szCs w:val="28"/>
        </w:rPr>
        <w:t>C-1040 de 2005</w:t>
      </w:r>
      <w:r w:rsidR="00C907E7" w:rsidRPr="002E4477">
        <w:rPr>
          <w:rStyle w:val="Refdenotaalpie"/>
          <w:rFonts w:eastAsia="Calibri"/>
          <w:szCs w:val="28"/>
        </w:rPr>
        <w:footnoteReference w:id="257"/>
      </w:r>
      <w:r w:rsidR="00C907E7" w:rsidRPr="002E4477">
        <w:rPr>
          <w:rFonts w:eastAsia="Calibri"/>
          <w:szCs w:val="28"/>
        </w:rPr>
        <w:t>, la Corte juzgó que una reforma constitucional que permitía la reelección del Presidente por una sola vez</w:t>
      </w:r>
      <w:r w:rsidR="00DE06AB" w:rsidRPr="002E4477">
        <w:rPr>
          <w:rFonts w:eastAsia="Calibri"/>
          <w:szCs w:val="28"/>
        </w:rPr>
        <w:t>,</w:t>
      </w:r>
      <w:r w:rsidR="00C907E7" w:rsidRPr="002E4477">
        <w:rPr>
          <w:rFonts w:eastAsia="Calibri"/>
          <w:szCs w:val="28"/>
        </w:rPr>
        <w:t xml:space="preserve"> no sustituía ninguno de estos elementos </w:t>
      </w:r>
      <w:r w:rsidR="0094673E" w:rsidRPr="002E4477">
        <w:rPr>
          <w:rFonts w:eastAsia="Calibri"/>
          <w:szCs w:val="28"/>
        </w:rPr>
        <w:t>definitorios de la Constitución, esto es, el Estado S</w:t>
      </w:r>
      <w:r w:rsidR="00C907E7" w:rsidRPr="002E4477">
        <w:rPr>
          <w:rFonts w:eastAsia="Calibri"/>
          <w:szCs w:val="28"/>
        </w:rPr>
        <w:t xml:space="preserve">ocial de Derecho, organizado en forma de </w:t>
      </w:r>
      <w:r w:rsidR="00DE06AB" w:rsidRPr="002E4477">
        <w:rPr>
          <w:rFonts w:eastAsia="Calibri"/>
          <w:szCs w:val="28"/>
        </w:rPr>
        <w:t>R</w:t>
      </w:r>
      <w:r w:rsidR="00C907E7" w:rsidRPr="002E4477">
        <w:rPr>
          <w:rFonts w:eastAsia="Calibri"/>
          <w:szCs w:val="28"/>
        </w:rPr>
        <w:t>epública unitaria, descentralizada, con autonomía de sus entidades territoriales, democrática, participativa y pluralista</w:t>
      </w:r>
      <w:r w:rsidR="0094673E" w:rsidRPr="002E4477">
        <w:rPr>
          <w:rFonts w:eastAsia="Calibri"/>
          <w:szCs w:val="28"/>
        </w:rPr>
        <w:t>.</w:t>
      </w:r>
    </w:p>
    <w:p w14:paraId="4378C8C5" w14:textId="77777777" w:rsidR="00C907E7" w:rsidRPr="002E4477" w:rsidRDefault="00C907E7" w:rsidP="00C907E7">
      <w:pPr>
        <w:pStyle w:val="Prrafodelista"/>
        <w:tabs>
          <w:tab w:val="left" w:pos="567"/>
        </w:tabs>
        <w:ind w:left="0" w:right="49"/>
        <w:contextualSpacing/>
        <w:jc w:val="both"/>
        <w:rPr>
          <w:rFonts w:eastAsia="Calibri"/>
          <w:szCs w:val="28"/>
        </w:rPr>
      </w:pPr>
    </w:p>
    <w:p w14:paraId="0BBAF427" w14:textId="77777777" w:rsidR="00C907E7" w:rsidRPr="002E4477" w:rsidRDefault="00A4424F" w:rsidP="00A4424F">
      <w:pPr>
        <w:pStyle w:val="Prrafodelista"/>
        <w:tabs>
          <w:tab w:val="left" w:pos="567"/>
        </w:tabs>
        <w:ind w:left="0" w:right="49"/>
        <w:contextualSpacing/>
        <w:jc w:val="both"/>
        <w:rPr>
          <w:rFonts w:eastAsia="Calibri"/>
          <w:szCs w:val="28"/>
        </w:rPr>
      </w:pPr>
      <w:r w:rsidRPr="002E4477">
        <w:rPr>
          <w:rFonts w:eastAsia="Calibri"/>
          <w:b/>
          <w:szCs w:val="28"/>
        </w:rPr>
        <w:t>(i</w:t>
      </w:r>
      <w:r w:rsidR="00C02B17">
        <w:rPr>
          <w:rFonts w:eastAsia="Calibri"/>
          <w:b/>
          <w:szCs w:val="28"/>
        </w:rPr>
        <w:t>ii</w:t>
      </w:r>
      <w:r w:rsidRPr="002E4477">
        <w:rPr>
          <w:rFonts w:eastAsia="Calibri"/>
          <w:b/>
          <w:szCs w:val="28"/>
        </w:rPr>
        <w:t>)</w:t>
      </w:r>
      <w:r w:rsidRPr="002E4477">
        <w:rPr>
          <w:rFonts w:eastAsia="Calibri"/>
          <w:szCs w:val="28"/>
        </w:rPr>
        <w:t xml:space="preserve"> </w:t>
      </w:r>
      <w:r w:rsidR="00C907E7" w:rsidRPr="002E4477">
        <w:rPr>
          <w:rFonts w:eastAsia="Calibri"/>
          <w:szCs w:val="28"/>
        </w:rPr>
        <w:t xml:space="preserve">De otro lado, en la </w:t>
      </w:r>
      <w:r w:rsidR="00C907E7" w:rsidRPr="002E4477">
        <w:rPr>
          <w:rFonts w:eastAsia="Calibri"/>
          <w:b/>
          <w:szCs w:val="28"/>
        </w:rPr>
        <w:t>Sentencia C-141 de 2010</w:t>
      </w:r>
      <w:r w:rsidR="00C907E7" w:rsidRPr="002E4477">
        <w:rPr>
          <w:rStyle w:val="Refdenotaalpie"/>
          <w:rFonts w:eastAsia="Calibri"/>
          <w:szCs w:val="28"/>
        </w:rPr>
        <w:footnoteReference w:id="258"/>
      </w:r>
      <w:r w:rsidR="00C907E7" w:rsidRPr="002E4477">
        <w:rPr>
          <w:rFonts w:eastAsia="Calibri"/>
          <w:szCs w:val="28"/>
        </w:rPr>
        <w:t>, este Tribunal consideró que la alternancia en el ejercicio del poder político hace parte de la estructura básica de la Constitución</w:t>
      </w:r>
      <w:r w:rsidR="002170FF" w:rsidRPr="002E4477">
        <w:rPr>
          <w:rFonts w:eastAsia="Calibri"/>
          <w:szCs w:val="28"/>
        </w:rPr>
        <w:t>,</w:t>
      </w:r>
      <w:r w:rsidR="00C907E7" w:rsidRPr="002E4477">
        <w:rPr>
          <w:rFonts w:eastAsia="Calibri"/>
          <w:szCs w:val="28"/>
        </w:rPr>
        <w:t xml:space="preserve"> y que una reforma constitucional que permitiera la segunda reelección presidencial</w:t>
      </w:r>
      <w:r w:rsidR="00DE06AB" w:rsidRPr="002E4477">
        <w:rPr>
          <w:rFonts w:eastAsia="Calibri"/>
          <w:szCs w:val="28"/>
        </w:rPr>
        <w:t>,</w:t>
      </w:r>
      <w:r w:rsidR="00C907E7" w:rsidRPr="002E4477">
        <w:rPr>
          <w:rFonts w:eastAsia="Calibri"/>
          <w:szCs w:val="28"/>
        </w:rPr>
        <w:t xml:space="preserve"> lo sustituía. </w:t>
      </w:r>
    </w:p>
    <w:p w14:paraId="1E3533B1" w14:textId="77777777" w:rsidR="00C907E7" w:rsidRPr="002E4477" w:rsidRDefault="00C907E7" w:rsidP="00C907E7">
      <w:pPr>
        <w:pStyle w:val="Prrafodelista"/>
        <w:tabs>
          <w:tab w:val="left" w:pos="567"/>
        </w:tabs>
        <w:ind w:left="0" w:right="49"/>
        <w:contextualSpacing/>
        <w:jc w:val="both"/>
        <w:rPr>
          <w:rFonts w:eastAsia="Calibri"/>
          <w:szCs w:val="28"/>
        </w:rPr>
      </w:pPr>
    </w:p>
    <w:p w14:paraId="7A0CD7A0" w14:textId="77777777" w:rsidR="00C907E7" w:rsidRPr="002E4477" w:rsidRDefault="004E696A" w:rsidP="004E696A">
      <w:pPr>
        <w:pStyle w:val="Prrafodelista"/>
        <w:tabs>
          <w:tab w:val="left" w:pos="567"/>
        </w:tabs>
        <w:ind w:left="0" w:right="49"/>
        <w:contextualSpacing/>
        <w:jc w:val="both"/>
        <w:rPr>
          <w:rFonts w:eastAsia="Calibri"/>
          <w:szCs w:val="28"/>
        </w:rPr>
      </w:pPr>
      <w:r w:rsidRPr="002E4477">
        <w:rPr>
          <w:rFonts w:eastAsia="Calibri"/>
          <w:b/>
          <w:szCs w:val="28"/>
        </w:rPr>
        <w:t>(</w:t>
      </w:r>
      <w:r w:rsidR="00C02B17">
        <w:rPr>
          <w:rFonts w:eastAsia="Calibri"/>
          <w:b/>
          <w:szCs w:val="28"/>
        </w:rPr>
        <w:t>i</w:t>
      </w:r>
      <w:r w:rsidRPr="002E4477">
        <w:rPr>
          <w:rFonts w:eastAsia="Calibri"/>
          <w:b/>
          <w:szCs w:val="28"/>
        </w:rPr>
        <w:t>v)</w:t>
      </w:r>
      <w:r w:rsidRPr="002E4477">
        <w:rPr>
          <w:rFonts w:eastAsia="Calibri"/>
          <w:szCs w:val="28"/>
        </w:rPr>
        <w:t xml:space="preserve"> </w:t>
      </w:r>
      <w:r w:rsidR="00C907E7" w:rsidRPr="002E4477">
        <w:rPr>
          <w:rFonts w:eastAsia="Calibri"/>
          <w:szCs w:val="28"/>
        </w:rPr>
        <w:t xml:space="preserve">Por su parte, en la </w:t>
      </w:r>
      <w:r w:rsidR="00C907E7" w:rsidRPr="002E4477">
        <w:rPr>
          <w:rFonts w:eastAsia="Calibri"/>
          <w:b/>
          <w:szCs w:val="28"/>
        </w:rPr>
        <w:t>Sentencia C-1056 de 2012</w:t>
      </w:r>
      <w:r w:rsidR="00C907E7" w:rsidRPr="002E4477">
        <w:rPr>
          <w:rStyle w:val="Refdenotaalpie"/>
          <w:rFonts w:eastAsia="Calibri"/>
          <w:szCs w:val="28"/>
        </w:rPr>
        <w:footnoteReference w:id="259"/>
      </w:r>
      <w:r w:rsidR="00C907E7" w:rsidRPr="002E4477">
        <w:rPr>
          <w:rFonts w:eastAsia="Calibri"/>
          <w:szCs w:val="28"/>
        </w:rPr>
        <w:t>, la Corte observó que una modificación a la Carta para</w:t>
      </w:r>
      <w:r w:rsidR="002170FF" w:rsidRPr="002E4477">
        <w:rPr>
          <w:rFonts w:eastAsia="Calibri"/>
          <w:szCs w:val="28"/>
        </w:rPr>
        <w:t xml:space="preserve"> lograr</w:t>
      </w:r>
      <w:r w:rsidR="00C907E7" w:rsidRPr="002E4477">
        <w:rPr>
          <w:rFonts w:eastAsia="Calibri"/>
          <w:szCs w:val="28"/>
        </w:rPr>
        <w:t xml:space="preserve"> que el régimen de conflicto de intereses no se aplicara a congresistas</w:t>
      </w:r>
      <w:r w:rsidR="002170FF" w:rsidRPr="002E4477">
        <w:rPr>
          <w:rFonts w:eastAsia="Calibri"/>
          <w:szCs w:val="28"/>
        </w:rPr>
        <w:t xml:space="preserve"> al participar </w:t>
      </w:r>
      <w:r w:rsidR="00C907E7" w:rsidRPr="002E4477">
        <w:rPr>
          <w:rFonts w:eastAsia="Calibri"/>
          <w:szCs w:val="28"/>
        </w:rPr>
        <w:t>en el debate y votación de proyectos de actos legislativos sustituía el principio democrático,</w:t>
      </w:r>
      <w:r w:rsidR="00DE06AB" w:rsidRPr="002E4477">
        <w:rPr>
          <w:rFonts w:eastAsia="Calibri"/>
          <w:szCs w:val="28"/>
        </w:rPr>
        <w:t xml:space="preserve"> </w:t>
      </w:r>
      <w:r w:rsidR="00C907E7" w:rsidRPr="002E4477">
        <w:rPr>
          <w:rFonts w:eastAsia="Calibri"/>
          <w:szCs w:val="28"/>
        </w:rPr>
        <w:t>la prevalencia del interés general y la separación de poderes, elementos axiales y definitorios de la Constitución.</w:t>
      </w:r>
    </w:p>
    <w:p w14:paraId="59B91C85" w14:textId="77777777" w:rsidR="00C907E7" w:rsidRPr="002E4477" w:rsidRDefault="00C907E7" w:rsidP="00C907E7">
      <w:pPr>
        <w:pStyle w:val="Prrafodelista"/>
        <w:tabs>
          <w:tab w:val="left" w:pos="567"/>
        </w:tabs>
        <w:ind w:left="0" w:right="49"/>
        <w:contextualSpacing/>
        <w:jc w:val="both"/>
        <w:rPr>
          <w:rFonts w:eastAsia="Calibri"/>
          <w:szCs w:val="28"/>
        </w:rPr>
      </w:pPr>
    </w:p>
    <w:p w14:paraId="2D87FCD9" w14:textId="77777777" w:rsidR="00C907E7" w:rsidRPr="002E4477" w:rsidRDefault="004E696A" w:rsidP="004E696A">
      <w:pPr>
        <w:pStyle w:val="Prrafodelista"/>
        <w:tabs>
          <w:tab w:val="left" w:pos="851"/>
        </w:tabs>
        <w:ind w:left="0" w:right="49"/>
        <w:contextualSpacing/>
        <w:jc w:val="both"/>
        <w:rPr>
          <w:rFonts w:eastAsia="Calibri"/>
          <w:szCs w:val="28"/>
        </w:rPr>
      </w:pPr>
      <w:r w:rsidRPr="002E4477">
        <w:rPr>
          <w:rFonts w:eastAsia="Calibri"/>
          <w:b/>
          <w:szCs w:val="28"/>
        </w:rPr>
        <w:t>(v)</w:t>
      </w:r>
      <w:r w:rsidRPr="002E4477">
        <w:rPr>
          <w:rFonts w:eastAsia="Calibri"/>
          <w:szCs w:val="28"/>
        </w:rPr>
        <w:t xml:space="preserve"> </w:t>
      </w:r>
      <w:r w:rsidR="00C02B17">
        <w:rPr>
          <w:rFonts w:eastAsia="Calibri"/>
          <w:szCs w:val="28"/>
        </w:rPr>
        <w:t>L</w:t>
      </w:r>
      <w:r w:rsidR="00C907E7" w:rsidRPr="002E4477">
        <w:rPr>
          <w:rFonts w:eastAsia="Calibri"/>
          <w:szCs w:val="28"/>
        </w:rPr>
        <w:t xml:space="preserve">a </w:t>
      </w:r>
      <w:r w:rsidR="00C907E7" w:rsidRPr="002E4477">
        <w:rPr>
          <w:rFonts w:eastAsia="Calibri"/>
          <w:b/>
          <w:szCs w:val="28"/>
        </w:rPr>
        <w:t>Sentencia C-084 de 2016</w:t>
      </w:r>
      <w:r w:rsidR="00C907E7" w:rsidRPr="002E4477">
        <w:rPr>
          <w:rStyle w:val="Refdenotaalpie"/>
          <w:rFonts w:eastAsia="Calibri"/>
          <w:szCs w:val="28"/>
        </w:rPr>
        <w:footnoteReference w:id="260"/>
      </w:r>
      <w:r w:rsidR="00C907E7" w:rsidRPr="002E4477">
        <w:rPr>
          <w:szCs w:val="28"/>
        </w:rPr>
        <w:t xml:space="preserve">, encontró que </w:t>
      </w:r>
      <w:r w:rsidR="00C907E7" w:rsidRPr="002E4477">
        <w:rPr>
          <w:rFonts w:eastAsia="Calibri"/>
          <w:szCs w:val="28"/>
        </w:rPr>
        <w:t xml:space="preserve">la obligación de respetar, proteger y garantizar los derechos humanos a todos los asociados es uno de los elementos que le dan identidad a la Constitución y que este </w:t>
      </w:r>
      <w:r w:rsidR="00DE06AB" w:rsidRPr="002E4477">
        <w:rPr>
          <w:rFonts w:eastAsia="Calibri"/>
          <w:szCs w:val="28"/>
        </w:rPr>
        <w:t xml:space="preserve">elemento axial </w:t>
      </w:r>
      <w:r w:rsidR="00C907E7" w:rsidRPr="002E4477">
        <w:rPr>
          <w:rFonts w:eastAsia="Calibri"/>
          <w:szCs w:val="28"/>
        </w:rPr>
        <w:t xml:space="preserve">no </w:t>
      </w:r>
      <w:r w:rsidR="002170FF" w:rsidRPr="002E4477">
        <w:rPr>
          <w:rFonts w:eastAsia="Calibri"/>
          <w:szCs w:val="28"/>
        </w:rPr>
        <w:t>podía considerarse</w:t>
      </w:r>
      <w:r w:rsidR="00C907E7" w:rsidRPr="002E4477">
        <w:rPr>
          <w:rFonts w:eastAsia="Calibri"/>
          <w:szCs w:val="28"/>
        </w:rPr>
        <w:t xml:space="preserve"> sustituido por </w:t>
      </w:r>
      <w:r w:rsidR="002170FF" w:rsidRPr="002E4477">
        <w:rPr>
          <w:rFonts w:eastAsia="Calibri"/>
          <w:szCs w:val="28"/>
        </w:rPr>
        <w:t>una</w:t>
      </w:r>
      <w:r w:rsidR="00C907E7" w:rsidRPr="002E4477">
        <w:rPr>
          <w:rFonts w:eastAsia="Calibri"/>
          <w:szCs w:val="28"/>
        </w:rPr>
        <w:t xml:space="preserve"> reforma a la Carta que establecía que en las investigaciones y juzgamientos que se adelanten contra los miembros de la fuerza pública por conductas relacionadas con el conflicto armado</w:t>
      </w:r>
      <w:r w:rsidR="00231B9A" w:rsidRPr="002E4477">
        <w:rPr>
          <w:rFonts w:eastAsia="Calibri"/>
          <w:szCs w:val="28"/>
        </w:rPr>
        <w:t>,</w:t>
      </w:r>
      <w:r w:rsidR="00C907E7" w:rsidRPr="002E4477">
        <w:rPr>
          <w:rFonts w:eastAsia="Calibri"/>
          <w:szCs w:val="28"/>
        </w:rPr>
        <w:t xml:space="preserve"> se </w:t>
      </w:r>
      <w:r w:rsidR="002170FF" w:rsidRPr="002E4477">
        <w:rPr>
          <w:rFonts w:eastAsia="Calibri"/>
          <w:szCs w:val="28"/>
        </w:rPr>
        <w:t xml:space="preserve">les </w:t>
      </w:r>
      <w:r w:rsidR="00C907E7" w:rsidRPr="002E4477">
        <w:rPr>
          <w:rFonts w:eastAsia="Calibri"/>
          <w:szCs w:val="28"/>
        </w:rPr>
        <w:t>aplicar</w:t>
      </w:r>
      <w:r w:rsidR="002170FF" w:rsidRPr="002E4477">
        <w:rPr>
          <w:rFonts w:eastAsia="Calibri"/>
          <w:szCs w:val="28"/>
        </w:rPr>
        <w:t>á</w:t>
      </w:r>
      <w:r w:rsidR="00C907E7" w:rsidRPr="002E4477">
        <w:rPr>
          <w:rFonts w:eastAsia="Calibri"/>
          <w:szCs w:val="28"/>
        </w:rPr>
        <w:t>n las normas y principios del derecho internacional humanitario.</w:t>
      </w:r>
    </w:p>
    <w:p w14:paraId="54FBE533" w14:textId="77777777" w:rsidR="00C907E7" w:rsidRPr="002E4477" w:rsidRDefault="00C907E7" w:rsidP="00C907E7">
      <w:pPr>
        <w:pStyle w:val="Prrafodelista"/>
        <w:tabs>
          <w:tab w:val="left" w:pos="567"/>
        </w:tabs>
        <w:ind w:left="0" w:right="49"/>
        <w:jc w:val="both"/>
        <w:rPr>
          <w:rFonts w:eastAsia="Calibri"/>
          <w:szCs w:val="28"/>
        </w:rPr>
      </w:pPr>
    </w:p>
    <w:p w14:paraId="5E94C398" w14:textId="77777777" w:rsidR="00C907E7" w:rsidRPr="002E4477" w:rsidRDefault="004E696A" w:rsidP="004E696A">
      <w:pPr>
        <w:pStyle w:val="Prrafodelista"/>
        <w:tabs>
          <w:tab w:val="left" w:pos="567"/>
        </w:tabs>
        <w:ind w:left="0" w:right="49"/>
        <w:contextualSpacing/>
        <w:jc w:val="both"/>
        <w:rPr>
          <w:rFonts w:eastAsia="Calibri"/>
          <w:szCs w:val="28"/>
        </w:rPr>
      </w:pPr>
      <w:r w:rsidRPr="002E4477">
        <w:rPr>
          <w:rFonts w:eastAsia="Calibri"/>
          <w:b/>
          <w:szCs w:val="28"/>
        </w:rPr>
        <w:t>(vi)</w:t>
      </w:r>
      <w:r w:rsidRPr="002E4477">
        <w:rPr>
          <w:rFonts w:eastAsia="Calibri"/>
          <w:szCs w:val="28"/>
        </w:rPr>
        <w:t xml:space="preserve"> </w:t>
      </w:r>
      <w:r w:rsidR="00C02B17">
        <w:rPr>
          <w:rFonts w:eastAsia="Calibri"/>
          <w:szCs w:val="28"/>
        </w:rPr>
        <w:t>E</w:t>
      </w:r>
      <w:r w:rsidR="00C907E7" w:rsidRPr="002E4477">
        <w:rPr>
          <w:rFonts w:eastAsia="Calibri"/>
          <w:szCs w:val="28"/>
        </w:rPr>
        <w:t xml:space="preserve">n la </w:t>
      </w:r>
      <w:r w:rsidR="00C907E7" w:rsidRPr="002E4477">
        <w:rPr>
          <w:rFonts w:eastAsia="Calibri"/>
          <w:b/>
          <w:szCs w:val="28"/>
        </w:rPr>
        <w:t>Sentencia C-076 de 2018</w:t>
      </w:r>
      <w:r w:rsidR="00C907E7" w:rsidRPr="002E4477">
        <w:rPr>
          <w:rStyle w:val="Refdenotaalpie"/>
          <w:rFonts w:eastAsia="Calibri"/>
          <w:szCs w:val="28"/>
        </w:rPr>
        <w:footnoteReference w:id="261"/>
      </w:r>
      <w:r w:rsidR="00C907E7" w:rsidRPr="002E4477">
        <w:rPr>
          <w:rFonts w:eastAsia="Calibri"/>
          <w:szCs w:val="28"/>
        </w:rPr>
        <w:t>, la Corte Constitucional indicó que el principio de exclusividad de la fuerza pública para el mantenimiento del orden público</w:t>
      </w:r>
      <w:r w:rsidR="00DE06AB" w:rsidRPr="002E4477">
        <w:rPr>
          <w:rFonts w:eastAsia="Calibri"/>
          <w:szCs w:val="28"/>
        </w:rPr>
        <w:t>,</w:t>
      </w:r>
      <w:r w:rsidR="00C907E7" w:rsidRPr="002E4477">
        <w:rPr>
          <w:rFonts w:eastAsia="Calibri"/>
          <w:szCs w:val="28"/>
        </w:rPr>
        <w:t xml:space="preserve"> hacía parte de la estructura básica de la Constitución y que no era sustituido por una enmienda constitucional que prohibía la creación, promoción, instigación, organización, instrucción, apoyo, tolerancia, encubrimiento o favorecimiento, financiación o empleo de grupos civiles armados organizados</w:t>
      </w:r>
      <w:r w:rsidR="00231B9A" w:rsidRPr="002E4477">
        <w:rPr>
          <w:rFonts w:eastAsia="Calibri"/>
          <w:szCs w:val="28"/>
        </w:rPr>
        <w:t>,</w:t>
      </w:r>
      <w:r w:rsidR="00C907E7" w:rsidRPr="002E4477">
        <w:rPr>
          <w:rFonts w:eastAsia="Calibri"/>
          <w:szCs w:val="28"/>
        </w:rPr>
        <w:t xml:space="preserve"> con fines ilegales de cualquier tipo. </w:t>
      </w:r>
    </w:p>
    <w:p w14:paraId="0C2097E8" w14:textId="77777777" w:rsidR="004E696A" w:rsidRPr="002E4477" w:rsidRDefault="004E696A" w:rsidP="004E696A">
      <w:pPr>
        <w:pStyle w:val="Prrafodelista"/>
        <w:tabs>
          <w:tab w:val="left" w:pos="567"/>
        </w:tabs>
        <w:ind w:left="0" w:right="49"/>
        <w:contextualSpacing/>
        <w:jc w:val="both"/>
        <w:rPr>
          <w:rFonts w:eastAsia="Calibri"/>
          <w:szCs w:val="28"/>
        </w:rPr>
      </w:pPr>
    </w:p>
    <w:p w14:paraId="59705228" w14:textId="77777777" w:rsidR="00C907E7" w:rsidRPr="002E4477" w:rsidRDefault="00C02B17" w:rsidP="00962603">
      <w:pPr>
        <w:numPr>
          <w:ilvl w:val="0"/>
          <w:numId w:val="10"/>
        </w:numPr>
        <w:shd w:val="clear" w:color="auto" w:fill="FFFFFF"/>
        <w:jc w:val="both"/>
        <w:rPr>
          <w:rFonts w:eastAsia="Calibri"/>
          <w:szCs w:val="28"/>
        </w:rPr>
      </w:pPr>
      <w:r w:rsidRPr="00B312E3">
        <w:rPr>
          <w:rFonts w:eastAsia="Calibri"/>
          <w:szCs w:val="28"/>
        </w:rPr>
        <w:t>L</w:t>
      </w:r>
      <w:r w:rsidR="00C907E7" w:rsidRPr="00B312E3">
        <w:rPr>
          <w:rFonts w:eastAsia="Calibri"/>
          <w:szCs w:val="28"/>
        </w:rPr>
        <w:t>a Corte ha</w:t>
      </w:r>
      <w:r w:rsidR="00C907E7" w:rsidRPr="002E4477">
        <w:rPr>
          <w:rFonts w:eastAsia="Calibri"/>
          <w:szCs w:val="28"/>
        </w:rPr>
        <w:t xml:space="preserve"> recurrido a una metodología específica para evaluar si determinada reforma constitucional sustituye o no la Constitución, la cual ha denominado </w:t>
      </w:r>
      <w:r w:rsidR="00C907E7" w:rsidRPr="00C02B17">
        <w:rPr>
          <w:rFonts w:eastAsia="Calibri"/>
          <w:szCs w:val="28"/>
        </w:rPr>
        <w:t>juicio de sustitución</w:t>
      </w:r>
      <w:r w:rsidR="00C907E7" w:rsidRPr="002E4477">
        <w:rPr>
          <w:rFonts w:eastAsia="Calibri"/>
          <w:szCs w:val="28"/>
        </w:rPr>
        <w:t>. Esta metodología comprende tres pasos que siguen la estructura del silogismo aristotélico. En primer lugar, se debe definir el parámetro alrededor del cual se realiza el control de constitucionalidad. Esto supone que la premisa mayor del silogismo está constituida por aquel pilar o elemento de la estructura básica de la Constitución que se ha identificado y que presuntamente es sustituido por la reforma constitucional que se analiza.</w:t>
      </w:r>
    </w:p>
    <w:p w14:paraId="450CAF2F" w14:textId="77777777" w:rsidR="00DF3D5F" w:rsidRPr="002E4477" w:rsidRDefault="00DF3D5F" w:rsidP="00DF3D5F">
      <w:pPr>
        <w:pStyle w:val="Prrafodelista"/>
        <w:rPr>
          <w:rFonts w:eastAsia="Calibri"/>
          <w:szCs w:val="28"/>
        </w:rPr>
      </w:pPr>
    </w:p>
    <w:p w14:paraId="12A97212" w14:textId="77777777" w:rsidR="00DF3D5F" w:rsidRPr="002E4477" w:rsidRDefault="00A66E9A" w:rsidP="004E696A">
      <w:pPr>
        <w:pStyle w:val="Prrafodelista"/>
        <w:tabs>
          <w:tab w:val="left" w:pos="567"/>
        </w:tabs>
        <w:ind w:left="0" w:right="49"/>
        <w:contextualSpacing/>
        <w:jc w:val="both"/>
        <w:rPr>
          <w:rFonts w:eastAsia="Calibri"/>
          <w:szCs w:val="28"/>
        </w:rPr>
      </w:pPr>
      <w:r w:rsidRPr="002E4477">
        <w:rPr>
          <w:rFonts w:eastAsia="Calibri"/>
          <w:szCs w:val="28"/>
        </w:rPr>
        <w:t>En segundo lugar, se debe examinar el alcance de la reforma específica sometida a control a luz de aquel eje axial de la Carta que se ha identificado y enunciado, lo que constituye la premisa menor del silogismo.</w:t>
      </w:r>
    </w:p>
    <w:p w14:paraId="0989E7C5" w14:textId="77777777" w:rsidR="00DF3D5F" w:rsidRPr="002E4477" w:rsidRDefault="00DF3D5F" w:rsidP="00DF3D5F">
      <w:pPr>
        <w:pStyle w:val="Prrafodelista"/>
        <w:rPr>
          <w:rFonts w:eastAsia="Calibri"/>
          <w:szCs w:val="28"/>
        </w:rPr>
      </w:pPr>
    </w:p>
    <w:p w14:paraId="0A8D3222" w14:textId="77777777" w:rsidR="00DF3D5F" w:rsidRPr="002E4477" w:rsidRDefault="00A66E9A" w:rsidP="004E696A">
      <w:pPr>
        <w:pStyle w:val="Prrafodelista"/>
        <w:tabs>
          <w:tab w:val="left" w:pos="567"/>
        </w:tabs>
        <w:ind w:left="0" w:right="49"/>
        <w:contextualSpacing/>
        <w:jc w:val="both"/>
        <w:rPr>
          <w:rFonts w:eastAsia="Calibri"/>
          <w:szCs w:val="28"/>
        </w:rPr>
      </w:pPr>
      <w:r w:rsidRPr="002E4477">
        <w:rPr>
          <w:rFonts w:eastAsia="Calibri"/>
          <w:szCs w:val="28"/>
        </w:rPr>
        <w:t>Finalmente, es preciso contrastar ambas premisas, esto es, el elemento de la estructura básica de la Constitución con la reforma constitucional que es objeto de control</w:t>
      </w:r>
      <w:r w:rsidR="002170FF" w:rsidRPr="002E4477">
        <w:rPr>
          <w:rFonts w:eastAsia="Calibri"/>
          <w:szCs w:val="28"/>
        </w:rPr>
        <w:t>,</w:t>
      </w:r>
      <w:r w:rsidRPr="002E4477">
        <w:rPr>
          <w:rFonts w:eastAsia="Calibri"/>
          <w:szCs w:val="28"/>
        </w:rPr>
        <w:t xml:space="preserve"> para llegar a la síntesis del silogismo que implica determinar si la modificación a la Carta reemplaza o sustituye el elemento definitorio id</w:t>
      </w:r>
      <w:r w:rsidR="00231B9A" w:rsidRPr="002E4477">
        <w:rPr>
          <w:rFonts w:eastAsia="Calibri"/>
          <w:szCs w:val="28"/>
        </w:rPr>
        <w:t>entificador de la Constitución. C</w:t>
      </w:r>
      <w:r w:rsidRPr="002E4477">
        <w:rPr>
          <w:rFonts w:eastAsia="Calibri"/>
          <w:szCs w:val="28"/>
        </w:rPr>
        <w:t>aso en el cual el poder de reforma incurre en un vicio de competencia que da lugar a la declaratoria de inexequibilidad de la enmienda constitucional que se examina.</w:t>
      </w:r>
    </w:p>
    <w:p w14:paraId="65C8F35A" w14:textId="77777777" w:rsidR="00DF3D5F" w:rsidRPr="002E4477" w:rsidRDefault="00DF3D5F" w:rsidP="00DF3D5F">
      <w:pPr>
        <w:pStyle w:val="Prrafodelista"/>
        <w:rPr>
          <w:rFonts w:eastAsia="Calibri"/>
          <w:szCs w:val="28"/>
        </w:rPr>
      </w:pPr>
    </w:p>
    <w:p w14:paraId="692CBBF4" w14:textId="77777777" w:rsidR="00A66E9A" w:rsidRPr="002E4477" w:rsidRDefault="00A66E9A" w:rsidP="00962603">
      <w:pPr>
        <w:pStyle w:val="Prrafodelista"/>
        <w:numPr>
          <w:ilvl w:val="0"/>
          <w:numId w:val="10"/>
        </w:numPr>
        <w:tabs>
          <w:tab w:val="left" w:pos="567"/>
        </w:tabs>
        <w:ind w:right="49"/>
        <w:contextualSpacing/>
        <w:jc w:val="both"/>
        <w:rPr>
          <w:rFonts w:eastAsia="Calibri"/>
          <w:szCs w:val="28"/>
        </w:rPr>
      </w:pPr>
      <w:r w:rsidRPr="002E4477">
        <w:rPr>
          <w:rFonts w:eastAsia="Calibri"/>
          <w:szCs w:val="28"/>
        </w:rPr>
        <w:t>En conclusión, desde el 2003</w:t>
      </w:r>
      <w:r w:rsidR="00231B9A" w:rsidRPr="002E4477">
        <w:rPr>
          <w:rFonts w:eastAsia="Calibri"/>
          <w:szCs w:val="28"/>
        </w:rPr>
        <w:t>,</w:t>
      </w:r>
      <w:r w:rsidRPr="002E4477">
        <w:rPr>
          <w:rFonts w:eastAsia="Calibri"/>
          <w:szCs w:val="28"/>
        </w:rPr>
        <w:t xml:space="preserve"> la jurisprudencia de la Corte Constitucional ha sido pacífica y reiterada en el sentido de que las reformas constitucionales pueden ser controladas judicialmente</w:t>
      </w:r>
      <w:r w:rsidR="00344743" w:rsidRPr="002E4477">
        <w:rPr>
          <w:rFonts w:eastAsia="Calibri"/>
          <w:szCs w:val="28"/>
        </w:rPr>
        <w:t xml:space="preserve">, </w:t>
      </w:r>
      <w:r w:rsidRPr="002E4477">
        <w:rPr>
          <w:rFonts w:eastAsia="Calibri"/>
          <w:szCs w:val="28"/>
        </w:rPr>
        <w:t>con el fin de valorar si el ejercicio del poder de reforma desborda o no su competencia</w:t>
      </w:r>
      <w:r w:rsidR="007C73D4" w:rsidRPr="002E4477">
        <w:rPr>
          <w:rFonts w:eastAsia="Calibri"/>
          <w:szCs w:val="28"/>
        </w:rPr>
        <w:t>.</w:t>
      </w:r>
      <w:r w:rsidRPr="002E4477">
        <w:rPr>
          <w:rFonts w:eastAsia="Calibri"/>
          <w:szCs w:val="28"/>
        </w:rPr>
        <w:t xml:space="preserve"> </w:t>
      </w:r>
      <w:r w:rsidR="00344743" w:rsidRPr="002E4477">
        <w:rPr>
          <w:rFonts w:eastAsia="Calibri"/>
          <w:szCs w:val="28"/>
        </w:rPr>
        <w:t>El e</w:t>
      </w:r>
      <w:r w:rsidRPr="002E4477">
        <w:rPr>
          <w:rFonts w:eastAsia="Calibri"/>
          <w:szCs w:val="28"/>
        </w:rPr>
        <w:t>xamen</w:t>
      </w:r>
      <w:r w:rsidR="00344743" w:rsidRPr="002E4477">
        <w:rPr>
          <w:rFonts w:eastAsia="Calibri"/>
          <w:szCs w:val="28"/>
        </w:rPr>
        <w:t xml:space="preserve"> constitucional que se adelanta </w:t>
      </w:r>
      <w:r w:rsidRPr="002E4477">
        <w:rPr>
          <w:rFonts w:eastAsia="Calibri"/>
          <w:szCs w:val="28"/>
        </w:rPr>
        <w:t xml:space="preserve">se suele realizar siguiendo </w:t>
      </w:r>
      <w:r w:rsidR="00F41EE8" w:rsidRPr="002E4477">
        <w:rPr>
          <w:rFonts w:eastAsia="Calibri"/>
          <w:szCs w:val="28"/>
        </w:rPr>
        <w:t>l</w:t>
      </w:r>
      <w:r w:rsidRPr="002E4477">
        <w:rPr>
          <w:rFonts w:eastAsia="Calibri"/>
          <w:szCs w:val="28"/>
        </w:rPr>
        <w:t xml:space="preserve">a metodología </w:t>
      </w:r>
      <w:r w:rsidR="00344743" w:rsidRPr="002E4477">
        <w:rPr>
          <w:rFonts w:eastAsia="Calibri"/>
          <w:szCs w:val="28"/>
        </w:rPr>
        <w:t xml:space="preserve">tradicional </w:t>
      </w:r>
      <w:r w:rsidRPr="002E4477">
        <w:rPr>
          <w:rFonts w:eastAsia="Calibri"/>
          <w:szCs w:val="28"/>
        </w:rPr>
        <w:t>que consiste</w:t>
      </w:r>
      <w:r w:rsidR="00344743" w:rsidRPr="002E4477">
        <w:rPr>
          <w:rFonts w:eastAsia="Calibri"/>
          <w:szCs w:val="28"/>
        </w:rPr>
        <w:t>,</w:t>
      </w:r>
      <w:r w:rsidRPr="002E4477">
        <w:rPr>
          <w:rFonts w:eastAsia="Calibri"/>
          <w:szCs w:val="28"/>
        </w:rPr>
        <w:t xml:space="preserve"> en establecer un eje axial o definitorio de la estructura básica de la Constitución, definir el alcance de la enmienda constitucional que se revisa a contraluz de este eje y determinar si este es sustituido por otro a través de la reforma.</w:t>
      </w:r>
      <w:r w:rsidR="00344743" w:rsidRPr="002E4477">
        <w:rPr>
          <w:rFonts w:eastAsia="Calibri"/>
          <w:szCs w:val="28"/>
        </w:rPr>
        <w:t xml:space="preserve"> Se trata entonces</w:t>
      </w:r>
      <w:r w:rsidR="00DE06AB" w:rsidRPr="002E4477">
        <w:rPr>
          <w:rFonts w:eastAsia="Calibri"/>
          <w:szCs w:val="28"/>
        </w:rPr>
        <w:t>,</w:t>
      </w:r>
      <w:r w:rsidR="00344743" w:rsidRPr="002E4477">
        <w:rPr>
          <w:rFonts w:eastAsia="Calibri"/>
          <w:szCs w:val="28"/>
        </w:rPr>
        <w:t xml:space="preserve"> como se ve, de una competencia </w:t>
      </w:r>
      <w:r w:rsidR="002170FF" w:rsidRPr="002E4477">
        <w:rPr>
          <w:rFonts w:eastAsia="Calibri"/>
          <w:szCs w:val="28"/>
        </w:rPr>
        <w:t xml:space="preserve">constitucional que se ha venido </w:t>
      </w:r>
      <w:r w:rsidR="00231B9A" w:rsidRPr="002E4477">
        <w:rPr>
          <w:rFonts w:eastAsia="Calibri"/>
          <w:szCs w:val="28"/>
        </w:rPr>
        <w:t>desarrolla</w:t>
      </w:r>
      <w:r w:rsidR="002170FF" w:rsidRPr="002E4477">
        <w:rPr>
          <w:rFonts w:eastAsia="Calibri"/>
          <w:szCs w:val="28"/>
        </w:rPr>
        <w:t>ndo</w:t>
      </w:r>
      <w:r w:rsidR="00344743" w:rsidRPr="002E4477">
        <w:rPr>
          <w:rFonts w:eastAsia="Calibri"/>
          <w:szCs w:val="28"/>
        </w:rPr>
        <w:t xml:space="preserve"> </w:t>
      </w:r>
      <w:r w:rsidR="002170FF" w:rsidRPr="002E4477">
        <w:rPr>
          <w:rFonts w:eastAsia="Calibri"/>
          <w:szCs w:val="28"/>
        </w:rPr>
        <w:t xml:space="preserve">por la jurisprudencia de esta Corporación desde hace </w:t>
      </w:r>
      <w:r w:rsidR="00231B9A" w:rsidRPr="002E4477">
        <w:rPr>
          <w:rFonts w:eastAsia="Calibri"/>
          <w:szCs w:val="28"/>
        </w:rPr>
        <w:t>más de quince años</w:t>
      </w:r>
      <w:r w:rsidR="002170FF" w:rsidRPr="002E4477">
        <w:rPr>
          <w:rFonts w:eastAsia="Calibri"/>
          <w:szCs w:val="28"/>
        </w:rPr>
        <w:t xml:space="preserve">. Una competencia </w:t>
      </w:r>
      <w:r w:rsidR="00231B9A" w:rsidRPr="002E4477">
        <w:rPr>
          <w:rFonts w:eastAsia="Calibri"/>
          <w:szCs w:val="28"/>
        </w:rPr>
        <w:t>que</w:t>
      </w:r>
      <w:r w:rsidR="00D5365F" w:rsidRPr="002E4477">
        <w:rPr>
          <w:rFonts w:eastAsia="Calibri"/>
          <w:szCs w:val="28"/>
        </w:rPr>
        <w:t xml:space="preserve"> fue cuestionada en esta oportunidad por el Consejo de Estado en la providencia que se acusa,</w:t>
      </w:r>
      <w:r w:rsidR="00231B9A" w:rsidRPr="002E4477">
        <w:rPr>
          <w:rFonts w:eastAsia="Calibri"/>
          <w:szCs w:val="28"/>
        </w:rPr>
        <w:t xml:space="preserve"> </w:t>
      </w:r>
      <w:r w:rsidR="00D5365F" w:rsidRPr="002E4477">
        <w:rPr>
          <w:rFonts w:eastAsia="Calibri"/>
          <w:szCs w:val="28"/>
        </w:rPr>
        <w:t xml:space="preserve">en lo que respecta a la </w:t>
      </w:r>
      <w:r w:rsidR="00231B9A" w:rsidRPr="002E4477">
        <w:rPr>
          <w:rFonts w:eastAsia="Calibri"/>
          <w:b/>
          <w:szCs w:val="28"/>
        </w:rPr>
        <w:t>Sentencia C-285 de 2016</w:t>
      </w:r>
      <w:r w:rsidR="00D5365F" w:rsidRPr="002E4477">
        <w:rPr>
          <w:rFonts w:eastAsia="Calibri"/>
          <w:szCs w:val="28"/>
        </w:rPr>
        <w:t xml:space="preserve">. </w:t>
      </w:r>
    </w:p>
    <w:p w14:paraId="74336DEF" w14:textId="77777777" w:rsidR="00231B9A" w:rsidRPr="002E4477" w:rsidRDefault="00231B9A" w:rsidP="00EC0A8F">
      <w:pPr>
        <w:pStyle w:val="Prrafodelista"/>
        <w:spacing w:line="276" w:lineRule="auto"/>
        <w:ind w:left="0"/>
        <w:rPr>
          <w:b/>
          <w:bCs/>
          <w:szCs w:val="28"/>
        </w:rPr>
      </w:pPr>
    </w:p>
    <w:p w14:paraId="740D520C" w14:textId="77777777" w:rsidR="00231B9A" w:rsidRPr="00B312E3" w:rsidRDefault="00AC63B9" w:rsidP="00AC63B9">
      <w:pPr>
        <w:pStyle w:val="Prrafodelista"/>
        <w:ind w:left="0"/>
        <w:jc w:val="both"/>
        <w:rPr>
          <w:rFonts w:eastAsia="Calibri"/>
          <w:szCs w:val="28"/>
        </w:rPr>
      </w:pPr>
      <w:r w:rsidRPr="00B312E3">
        <w:rPr>
          <w:b/>
          <w:bCs/>
          <w:szCs w:val="28"/>
        </w:rPr>
        <w:t xml:space="preserve">B. </w:t>
      </w:r>
      <w:r w:rsidR="00231B9A" w:rsidRPr="00B312E3">
        <w:rPr>
          <w:b/>
          <w:bCs/>
          <w:szCs w:val="28"/>
        </w:rPr>
        <w:t xml:space="preserve">De las </w:t>
      </w:r>
      <w:r w:rsidR="005D2182" w:rsidRPr="00B312E3">
        <w:rPr>
          <w:b/>
          <w:bCs/>
          <w:szCs w:val="28"/>
        </w:rPr>
        <w:t xml:space="preserve">facultades </w:t>
      </w:r>
      <w:r w:rsidR="00231B9A" w:rsidRPr="00B312E3">
        <w:rPr>
          <w:b/>
          <w:bCs/>
          <w:szCs w:val="28"/>
        </w:rPr>
        <w:t>reglamentarias y el Consejo Superior de la Judicatura</w:t>
      </w:r>
    </w:p>
    <w:p w14:paraId="3E1189AD" w14:textId="77777777" w:rsidR="00231B9A" w:rsidRPr="00B312E3" w:rsidRDefault="00231B9A" w:rsidP="00EC0A8F">
      <w:pPr>
        <w:pStyle w:val="Prrafodelista"/>
        <w:tabs>
          <w:tab w:val="left" w:pos="567"/>
        </w:tabs>
        <w:spacing w:line="276" w:lineRule="auto"/>
        <w:ind w:left="0" w:right="49"/>
        <w:contextualSpacing/>
        <w:jc w:val="both"/>
        <w:rPr>
          <w:rFonts w:eastAsia="Calibri"/>
          <w:szCs w:val="28"/>
        </w:rPr>
      </w:pPr>
    </w:p>
    <w:p w14:paraId="41DB7A4E" w14:textId="77777777" w:rsidR="00231B9A" w:rsidRPr="002E4477" w:rsidRDefault="00CB0417" w:rsidP="00962603">
      <w:pPr>
        <w:pStyle w:val="Prrafodelista"/>
        <w:numPr>
          <w:ilvl w:val="0"/>
          <w:numId w:val="10"/>
        </w:numPr>
        <w:tabs>
          <w:tab w:val="left" w:pos="567"/>
        </w:tabs>
        <w:ind w:right="49"/>
        <w:contextualSpacing/>
        <w:jc w:val="both"/>
        <w:rPr>
          <w:rFonts w:eastAsia="Calibri"/>
          <w:szCs w:val="28"/>
        </w:rPr>
      </w:pPr>
      <w:r w:rsidRPr="00B312E3">
        <w:rPr>
          <w:rFonts w:eastAsia="Calibri"/>
          <w:szCs w:val="28"/>
        </w:rPr>
        <w:t xml:space="preserve">Como se precisó en la </w:t>
      </w:r>
      <w:r w:rsidR="00B312E3" w:rsidRPr="00B312E3">
        <w:rPr>
          <w:rFonts w:eastAsia="Calibri"/>
          <w:szCs w:val="28"/>
        </w:rPr>
        <w:t xml:space="preserve">presentación de la metodología </w:t>
      </w:r>
      <w:r w:rsidRPr="00B312E3">
        <w:rPr>
          <w:rFonts w:eastAsia="Calibri"/>
          <w:szCs w:val="28"/>
        </w:rPr>
        <w:t>de esta providencia, l</w:t>
      </w:r>
      <w:r w:rsidR="00231B9A" w:rsidRPr="00B312E3">
        <w:rPr>
          <w:rFonts w:eastAsia="Calibri"/>
          <w:szCs w:val="28"/>
        </w:rPr>
        <w:t>e corresponde a la Sala a continuación</w:t>
      </w:r>
      <w:r w:rsidR="003A4A4F" w:rsidRPr="00B312E3">
        <w:rPr>
          <w:rFonts w:eastAsia="Calibri"/>
          <w:szCs w:val="28"/>
        </w:rPr>
        <w:t>,</w:t>
      </w:r>
      <w:r w:rsidR="00231B9A" w:rsidRPr="00B312E3">
        <w:rPr>
          <w:rFonts w:eastAsia="Calibri"/>
          <w:szCs w:val="28"/>
        </w:rPr>
        <w:t xml:space="preserve"> revisar aspectos </w:t>
      </w:r>
      <w:r w:rsidRPr="00B312E3">
        <w:rPr>
          <w:rFonts w:eastAsia="Calibri"/>
          <w:szCs w:val="28"/>
        </w:rPr>
        <w:t xml:space="preserve">más concretos del debate, </w:t>
      </w:r>
      <w:r w:rsidR="00231B9A" w:rsidRPr="00B312E3">
        <w:rPr>
          <w:rFonts w:eastAsia="Calibri"/>
          <w:szCs w:val="28"/>
        </w:rPr>
        <w:t>ligados</w:t>
      </w:r>
      <w:r w:rsidR="00231B9A" w:rsidRPr="002E4477">
        <w:rPr>
          <w:rFonts w:eastAsia="Calibri"/>
          <w:szCs w:val="28"/>
        </w:rPr>
        <w:t xml:space="preserve"> con las facultades del Legislador y del CSJ que se discuten en la sentencia</w:t>
      </w:r>
      <w:r w:rsidR="003A4A4F" w:rsidRPr="002E4477">
        <w:rPr>
          <w:rFonts w:eastAsia="Calibri"/>
          <w:szCs w:val="28"/>
        </w:rPr>
        <w:t xml:space="preserve"> del Consejo de Estado</w:t>
      </w:r>
      <w:r w:rsidR="00231B9A" w:rsidRPr="002E4477">
        <w:rPr>
          <w:rFonts w:eastAsia="Calibri"/>
          <w:szCs w:val="28"/>
        </w:rPr>
        <w:t xml:space="preserve">, así como las relacionadas con la </w:t>
      </w:r>
      <w:r w:rsidR="00231B9A" w:rsidRPr="00B312E3">
        <w:rPr>
          <w:rFonts w:eastAsia="Calibri"/>
          <w:szCs w:val="28"/>
        </w:rPr>
        <w:t>situación actual en que se encuentran tanto el CSJ como la Sala Jurisdiccional Disciplinaria de esa entidad, qu</w:t>
      </w:r>
      <w:r w:rsidR="007611C7" w:rsidRPr="00B312E3">
        <w:rPr>
          <w:rFonts w:eastAsia="Calibri"/>
          <w:szCs w:val="28"/>
        </w:rPr>
        <w:t>ien</w:t>
      </w:r>
      <w:r w:rsidR="00231B9A" w:rsidRPr="00B312E3">
        <w:rPr>
          <w:rFonts w:eastAsia="Calibri"/>
          <w:szCs w:val="28"/>
        </w:rPr>
        <w:t xml:space="preserve"> viene cumpliendo las funciones de la CNDJ. </w:t>
      </w:r>
      <w:r w:rsidR="006B3F50" w:rsidRPr="00B312E3">
        <w:rPr>
          <w:rFonts w:eastAsia="Calibri"/>
          <w:szCs w:val="28"/>
        </w:rPr>
        <w:t>R</w:t>
      </w:r>
      <w:r w:rsidR="00231B9A" w:rsidRPr="00B312E3">
        <w:rPr>
          <w:rFonts w:eastAsia="Calibri"/>
          <w:szCs w:val="28"/>
        </w:rPr>
        <w:t>evisará la Sala</w:t>
      </w:r>
      <w:r w:rsidR="006B3F50" w:rsidRPr="00B312E3">
        <w:rPr>
          <w:rFonts w:eastAsia="Calibri"/>
          <w:szCs w:val="28"/>
        </w:rPr>
        <w:t xml:space="preserve"> </w:t>
      </w:r>
      <w:r w:rsidR="00C752A2" w:rsidRPr="00B312E3">
        <w:rPr>
          <w:rFonts w:eastAsia="Calibri"/>
          <w:szCs w:val="28"/>
        </w:rPr>
        <w:t xml:space="preserve">seguidamente </w:t>
      </w:r>
      <w:r w:rsidR="00231B9A" w:rsidRPr="00B312E3">
        <w:rPr>
          <w:rFonts w:eastAsia="Calibri"/>
          <w:szCs w:val="28"/>
        </w:rPr>
        <w:t>tales atribuciones</w:t>
      </w:r>
      <w:r w:rsidR="00223F8B" w:rsidRPr="00B312E3">
        <w:rPr>
          <w:rFonts w:eastAsia="Calibri"/>
          <w:szCs w:val="28"/>
        </w:rPr>
        <w:t>,</w:t>
      </w:r>
      <w:r w:rsidR="00231B9A" w:rsidRPr="00B312E3">
        <w:rPr>
          <w:rFonts w:eastAsia="Calibri"/>
          <w:szCs w:val="28"/>
        </w:rPr>
        <w:t xml:space="preserve"> y el contexto</w:t>
      </w:r>
      <w:r w:rsidR="00223F8B" w:rsidRPr="00B312E3">
        <w:rPr>
          <w:rFonts w:eastAsia="Calibri"/>
          <w:szCs w:val="28"/>
        </w:rPr>
        <w:t xml:space="preserve"> práctico</w:t>
      </w:r>
      <w:r w:rsidR="00231B9A" w:rsidRPr="00B312E3">
        <w:rPr>
          <w:rFonts w:eastAsia="Calibri"/>
          <w:szCs w:val="28"/>
        </w:rPr>
        <w:t xml:space="preserve"> en el que se discute esta providencia.</w:t>
      </w:r>
      <w:r w:rsidR="00231B9A" w:rsidRPr="002E4477">
        <w:rPr>
          <w:rFonts w:eastAsia="Calibri"/>
          <w:szCs w:val="28"/>
        </w:rPr>
        <w:t xml:space="preserve"> </w:t>
      </w:r>
    </w:p>
    <w:p w14:paraId="1BEFCE9E" w14:textId="77777777" w:rsidR="00C56EAB" w:rsidRPr="002E4477" w:rsidRDefault="00C56EAB" w:rsidP="00EC0A8F">
      <w:pPr>
        <w:pStyle w:val="NormalWeb"/>
        <w:tabs>
          <w:tab w:val="left" w:pos="426"/>
        </w:tabs>
        <w:spacing w:before="0" w:beforeAutospacing="0" w:after="0" w:afterAutospacing="0" w:line="276" w:lineRule="auto"/>
        <w:ind w:right="40"/>
        <w:jc w:val="both"/>
        <w:rPr>
          <w:b/>
          <w:bCs/>
          <w:sz w:val="28"/>
          <w:szCs w:val="28"/>
        </w:rPr>
      </w:pPr>
    </w:p>
    <w:p w14:paraId="59D6336D" w14:textId="77777777" w:rsidR="00DF3D5F" w:rsidRPr="002E4477" w:rsidRDefault="00DF3D5F" w:rsidP="00DF3D5F">
      <w:pPr>
        <w:pStyle w:val="NormalWeb"/>
        <w:tabs>
          <w:tab w:val="left" w:pos="426"/>
        </w:tabs>
        <w:spacing w:before="0" w:beforeAutospacing="0" w:after="0" w:afterAutospacing="0"/>
        <w:ind w:right="40"/>
        <w:jc w:val="both"/>
        <w:rPr>
          <w:b/>
          <w:bCs/>
          <w:i/>
          <w:iCs/>
          <w:sz w:val="28"/>
          <w:szCs w:val="28"/>
        </w:rPr>
      </w:pPr>
      <w:r w:rsidRPr="002E4477">
        <w:rPr>
          <w:b/>
          <w:bCs/>
          <w:i/>
          <w:iCs/>
          <w:sz w:val="28"/>
          <w:szCs w:val="28"/>
        </w:rPr>
        <w:t>La cláusula general de competencia, la reserva de ley</w:t>
      </w:r>
      <w:r w:rsidR="00D5365F" w:rsidRPr="002E4477">
        <w:rPr>
          <w:b/>
          <w:bCs/>
          <w:i/>
          <w:iCs/>
          <w:sz w:val="28"/>
          <w:szCs w:val="28"/>
        </w:rPr>
        <w:t xml:space="preserve"> y</w:t>
      </w:r>
      <w:r w:rsidR="00E91674" w:rsidRPr="002E4477">
        <w:rPr>
          <w:b/>
          <w:bCs/>
          <w:i/>
          <w:iCs/>
          <w:sz w:val="28"/>
          <w:szCs w:val="28"/>
        </w:rPr>
        <w:t xml:space="preserve"> </w:t>
      </w:r>
      <w:r w:rsidR="00231B9A" w:rsidRPr="002E4477">
        <w:rPr>
          <w:b/>
          <w:bCs/>
          <w:i/>
          <w:iCs/>
          <w:sz w:val="28"/>
          <w:szCs w:val="28"/>
        </w:rPr>
        <w:t xml:space="preserve">la </w:t>
      </w:r>
      <w:r w:rsidR="0075039D">
        <w:rPr>
          <w:b/>
          <w:bCs/>
          <w:i/>
          <w:iCs/>
          <w:sz w:val="28"/>
          <w:szCs w:val="28"/>
        </w:rPr>
        <w:t>potestad</w:t>
      </w:r>
      <w:r w:rsidR="00231B9A" w:rsidRPr="002E4477">
        <w:rPr>
          <w:b/>
          <w:bCs/>
          <w:i/>
          <w:iCs/>
          <w:sz w:val="28"/>
          <w:szCs w:val="28"/>
        </w:rPr>
        <w:t xml:space="preserve"> reglamentaria. Reiteración de Jurisprudencia.</w:t>
      </w:r>
    </w:p>
    <w:p w14:paraId="097FC700" w14:textId="77777777" w:rsidR="00DF3D5F" w:rsidRPr="002E4477" w:rsidRDefault="00DF3D5F" w:rsidP="00EC0A8F">
      <w:pPr>
        <w:pStyle w:val="Prrafodelista"/>
        <w:spacing w:line="276" w:lineRule="auto"/>
        <w:rPr>
          <w:rFonts w:eastAsia="Calibri"/>
          <w:szCs w:val="28"/>
        </w:rPr>
      </w:pPr>
    </w:p>
    <w:p w14:paraId="0601FBC8" w14:textId="77777777" w:rsidR="006A411B" w:rsidRPr="00B312E3" w:rsidRDefault="002F39EB" w:rsidP="00962603">
      <w:pPr>
        <w:numPr>
          <w:ilvl w:val="0"/>
          <w:numId w:val="10"/>
        </w:numPr>
        <w:shd w:val="clear" w:color="auto" w:fill="FFFFFF"/>
        <w:jc w:val="both"/>
        <w:rPr>
          <w:szCs w:val="28"/>
          <w:lang w:val="es-CO" w:eastAsia="es-CO"/>
        </w:rPr>
      </w:pPr>
      <w:r w:rsidRPr="002E4477">
        <w:rPr>
          <w:iCs/>
          <w:szCs w:val="28"/>
          <w:lang w:val="es-CO" w:eastAsia="es-CO"/>
        </w:rPr>
        <w:t xml:space="preserve">El </w:t>
      </w:r>
      <w:r w:rsidRPr="002E4477">
        <w:rPr>
          <w:b/>
          <w:i/>
          <w:iCs/>
          <w:szCs w:val="28"/>
          <w:lang w:val="es-CO" w:eastAsia="es-CO"/>
        </w:rPr>
        <w:t>principio de la legalidad</w:t>
      </w:r>
      <w:r w:rsidRPr="002E4477">
        <w:rPr>
          <w:iCs/>
          <w:szCs w:val="28"/>
          <w:lang w:val="es-CO" w:eastAsia="es-CO"/>
        </w:rPr>
        <w:t xml:space="preserve"> es </w:t>
      </w:r>
      <w:r w:rsidR="00EE169C" w:rsidRPr="002E4477">
        <w:rPr>
          <w:iCs/>
          <w:szCs w:val="28"/>
          <w:lang w:val="es-CO" w:eastAsia="es-CO"/>
        </w:rPr>
        <w:t xml:space="preserve">una de las expresiones </w:t>
      </w:r>
      <w:r w:rsidR="00EE169C" w:rsidRPr="002E4477">
        <w:rPr>
          <w:iCs/>
          <w:szCs w:val="28"/>
          <w:lang w:val="es-ES_tradnl" w:eastAsia="es-CO"/>
        </w:rPr>
        <w:t>características del Estado</w:t>
      </w:r>
      <w:r w:rsidR="00231B9A" w:rsidRPr="002E4477">
        <w:rPr>
          <w:iCs/>
          <w:szCs w:val="28"/>
          <w:lang w:val="es-ES_tradnl" w:eastAsia="es-CO"/>
        </w:rPr>
        <w:t xml:space="preserve"> Social de Derecho</w:t>
      </w:r>
      <w:r w:rsidR="00EE169C" w:rsidRPr="002E4477">
        <w:rPr>
          <w:rStyle w:val="Refdenotaalpie"/>
          <w:iCs/>
          <w:szCs w:val="28"/>
          <w:lang w:val="es-ES_tradnl" w:eastAsia="es-CO"/>
        </w:rPr>
        <w:footnoteReference w:id="262"/>
      </w:r>
      <w:r w:rsidR="00EE169C" w:rsidRPr="002E4477">
        <w:rPr>
          <w:iCs/>
          <w:szCs w:val="28"/>
          <w:lang w:val="es-ES_tradnl" w:eastAsia="es-CO"/>
        </w:rPr>
        <w:t xml:space="preserve">, </w:t>
      </w:r>
      <w:r w:rsidR="007C73D4" w:rsidRPr="002E4477">
        <w:rPr>
          <w:iCs/>
          <w:szCs w:val="28"/>
          <w:lang w:val="es-ES_tradnl" w:eastAsia="es-CO"/>
        </w:rPr>
        <w:t>en la medida que</w:t>
      </w:r>
      <w:r w:rsidR="00EE169C" w:rsidRPr="002E4477">
        <w:rPr>
          <w:iCs/>
          <w:szCs w:val="28"/>
          <w:lang w:val="es-ES_tradnl" w:eastAsia="es-CO"/>
        </w:rPr>
        <w:t xml:space="preserve"> se erige como </w:t>
      </w:r>
      <w:r w:rsidR="007C73D4" w:rsidRPr="002E4477">
        <w:rPr>
          <w:iCs/>
          <w:szCs w:val="28"/>
          <w:lang w:val="es-ES_tradnl" w:eastAsia="es-CO"/>
        </w:rPr>
        <w:t xml:space="preserve">un elemento </w:t>
      </w:r>
      <w:r w:rsidR="007C73D4" w:rsidRPr="002E4477">
        <w:rPr>
          <w:iCs/>
          <w:szCs w:val="28"/>
          <w:lang w:val="es-CO" w:eastAsia="es-CO"/>
        </w:rPr>
        <w:t>rector</w:t>
      </w:r>
      <w:r w:rsidRPr="002E4477">
        <w:rPr>
          <w:iCs/>
          <w:szCs w:val="28"/>
          <w:lang w:val="es-CO" w:eastAsia="es-CO"/>
        </w:rPr>
        <w:t xml:space="preserve"> del ejercicio del poder</w:t>
      </w:r>
      <w:r w:rsidR="007611C7" w:rsidRPr="00B312E3">
        <w:rPr>
          <w:iCs/>
          <w:szCs w:val="28"/>
          <w:lang w:val="es-CO" w:eastAsia="es-CO"/>
        </w:rPr>
        <w:t>; de suerte</w:t>
      </w:r>
      <w:r w:rsidRPr="00B312E3">
        <w:rPr>
          <w:iCs/>
          <w:szCs w:val="28"/>
          <w:lang w:val="es-CO" w:eastAsia="es-CO"/>
        </w:rPr>
        <w:t xml:space="preserve"> que determina que no puede existir facultad, función o acto que pueda</w:t>
      </w:r>
      <w:r w:rsidR="007C73D4" w:rsidRPr="00B312E3">
        <w:rPr>
          <w:iCs/>
          <w:szCs w:val="28"/>
          <w:lang w:val="es-CO" w:eastAsia="es-CO"/>
        </w:rPr>
        <w:t xml:space="preserve"> ser</w:t>
      </w:r>
      <w:r w:rsidRPr="00B312E3">
        <w:rPr>
          <w:iCs/>
          <w:szCs w:val="28"/>
          <w:lang w:val="es-CO" w:eastAsia="es-CO"/>
        </w:rPr>
        <w:t xml:space="preserve"> desarroll</w:t>
      </w:r>
      <w:r w:rsidR="007C73D4" w:rsidRPr="00B312E3">
        <w:rPr>
          <w:iCs/>
          <w:szCs w:val="28"/>
          <w:lang w:val="es-CO" w:eastAsia="es-CO"/>
        </w:rPr>
        <w:t>ad</w:t>
      </w:r>
      <w:r w:rsidR="00783572" w:rsidRPr="00B312E3">
        <w:rPr>
          <w:iCs/>
          <w:szCs w:val="28"/>
          <w:lang w:val="es-CO" w:eastAsia="es-CO"/>
        </w:rPr>
        <w:t>o</w:t>
      </w:r>
      <w:r w:rsidR="00223F8B" w:rsidRPr="00B312E3">
        <w:rPr>
          <w:iCs/>
          <w:szCs w:val="28"/>
          <w:lang w:val="es-CO" w:eastAsia="es-CO"/>
        </w:rPr>
        <w:t xml:space="preserve"> por las autoridades</w:t>
      </w:r>
      <w:r w:rsidR="00231B9A" w:rsidRPr="00B312E3">
        <w:rPr>
          <w:iCs/>
          <w:szCs w:val="28"/>
          <w:lang w:val="es-CO" w:eastAsia="es-CO"/>
        </w:rPr>
        <w:t>,</w:t>
      </w:r>
      <w:r w:rsidR="00783572" w:rsidRPr="00B312E3">
        <w:rPr>
          <w:iCs/>
          <w:szCs w:val="28"/>
          <w:lang w:val="es-CO" w:eastAsia="es-CO"/>
        </w:rPr>
        <w:t xml:space="preserve"> sin que </w:t>
      </w:r>
      <w:r w:rsidRPr="00B312E3">
        <w:rPr>
          <w:iCs/>
          <w:szCs w:val="28"/>
          <w:lang w:val="es-CO" w:eastAsia="es-CO"/>
        </w:rPr>
        <w:t>esté prescrito en forma clara y precisa en la ley</w:t>
      </w:r>
      <w:r w:rsidR="00E21BAF" w:rsidRPr="00B312E3">
        <w:rPr>
          <w:rStyle w:val="Refdenotaalpie"/>
          <w:iCs/>
          <w:szCs w:val="28"/>
          <w:lang w:val="es-CO" w:eastAsia="es-CO"/>
        </w:rPr>
        <w:footnoteReference w:id="263"/>
      </w:r>
      <w:r w:rsidRPr="00B312E3">
        <w:rPr>
          <w:iCs/>
          <w:szCs w:val="28"/>
          <w:lang w:val="es-CO" w:eastAsia="es-CO"/>
        </w:rPr>
        <w:t xml:space="preserve">. </w:t>
      </w:r>
      <w:r w:rsidR="006A411B" w:rsidRPr="00B312E3">
        <w:rPr>
          <w:iCs/>
          <w:szCs w:val="28"/>
          <w:lang w:val="es-CO" w:eastAsia="es-CO"/>
        </w:rPr>
        <w:t>La legitimidad de</w:t>
      </w:r>
      <w:r w:rsidR="00783572" w:rsidRPr="00B312E3">
        <w:rPr>
          <w:iCs/>
          <w:szCs w:val="28"/>
          <w:lang w:val="es-CO" w:eastAsia="es-CO"/>
        </w:rPr>
        <w:t xml:space="preserve"> las</w:t>
      </w:r>
      <w:r w:rsidR="006A411B" w:rsidRPr="00B312E3">
        <w:rPr>
          <w:iCs/>
          <w:szCs w:val="28"/>
          <w:lang w:val="es-CO" w:eastAsia="es-CO"/>
        </w:rPr>
        <w:t xml:space="preserve"> reglas</w:t>
      </w:r>
      <w:r w:rsidR="00231B9A" w:rsidRPr="00B312E3">
        <w:rPr>
          <w:iCs/>
          <w:szCs w:val="28"/>
          <w:lang w:val="es-CO" w:eastAsia="es-CO"/>
        </w:rPr>
        <w:t xml:space="preserve"> que se producen en el ordenamiento</w:t>
      </w:r>
      <w:r w:rsidR="00223F8B" w:rsidRPr="00B312E3">
        <w:rPr>
          <w:iCs/>
          <w:szCs w:val="28"/>
          <w:lang w:val="es-CO" w:eastAsia="es-CO"/>
        </w:rPr>
        <w:t xml:space="preserve"> jurídico</w:t>
      </w:r>
      <w:r w:rsidR="006A411B" w:rsidRPr="00B312E3">
        <w:rPr>
          <w:iCs/>
          <w:szCs w:val="28"/>
          <w:lang w:val="es-CO" w:eastAsia="es-CO"/>
        </w:rPr>
        <w:t xml:space="preserve"> </w:t>
      </w:r>
      <w:r w:rsidR="00223F8B" w:rsidRPr="00B312E3">
        <w:rPr>
          <w:iCs/>
          <w:szCs w:val="28"/>
          <w:lang w:val="es-CO" w:eastAsia="es-CO"/>
        </w:rPr>
        <w:t xml:space="preserve">exige que ellas </w:t>
      </w:r>
      <w:r w:rsidR="006A411B" w:rsidRPr="00B312E3">
        <w:rPr>
          <w:iCs/>
          <w:szCs w:val="28"/>
          <w:lang w:val="es-CO" w:eastAsia="es-CO"/>
        </w:rPr>
        <w:t>respondan a la voluntad de los ó</w:t>
      </w:r>
      <w:r w:rsidR="00231B9A" w:rsidRPr="00B312E3">
        <w:rPr>
          <w:iCs/>
          <w:szCs w:val="28"/>
          <w:lang w:val="es-CO" w:eastAsia="es-CO"/>
        </w:rPr>
        <w:t>rganos democráticos, quienes le</w:t>
      </w:r>
      <w:r w:rsidR="00223F8B" w:rsidRPr="00B312E3">
        <w:rPr>
          <w:iCs/>
          <w:szCs w:val="28"/>
          <w:lang w:val="es-CO" w:eastAsia="es-CO"/>
        </w:rPr>
        <w:t>s</w:t>
      </w:r>
      <w:r w:rsidR="00231B9A" w:rsidRPr="00B312E3">
        <w:rPr>
          <w:iCs/>
          <w:szCs w:val="28"/>
          <w:lang w:val="es-CO" w:eastAsia="es-CO"/>
        </w:rPr>
        <w:t xml:space="preserve"> imprimen un carácter vinculante</w:t>
      </w:r>
      <w:r w:rsidR="00223F8B" w:rsidRPr="00B312E3">
        <w:rPr>
          <w:iCs/>
          <w:szCs w:val="28"/>
          <w:lang w:val="es-CO" w:eastAsia="es-CO"/>
        </w:rPr>
        <w:t>,</w:t>
      </w:r>
      <w:r w:rsidR="00231B9A" w:rsidRPr="00B312E3">
        <w:rPr>
          <w:iCs/>
          <w:szCs w:val="28"/>
          <w:lang w:val="es-CO" w:eastAsia="es-CO"/>
        </w:rPr>
        <w:t xml:space="preserve"> derivado del </w:t>
      </w:r>
      <w:r w:rsidR="00EE45D3" w:rsidRPr="00B312E3">
        <w:rPr>
          <w:iCs/>
          <w:szCs w:val="28"/>
          <w:lang w:val="es-CO" w:eastAsia="es-CO"/>
        </w:rPr>
        <w:t xml:space="preserve">hecho de ser </w:t>
      </w:r>
      <w:r w:rsidR="00231B9A" w:rsidRPr="00B312E3">
        <w:rPr>
          <w:iCs/>
          <w:szCs w:val="28"/>
          <w:lang w:val="es-CO" w:eastAsia="es-CO"/>
        </w:rPr>
        <w:t>decisiones que involucran la voluntad popular y del eventual</w:t>
      </w:r>
      <w:r w:rsidR="006A411B" w:rsidRPr="00B312E3">
        <w:rPr>
          <w:iCs/>
          <w:szCs w:val="28"/>
          <w:lang w:val="es-CO" w:eastAsia="es-CO"/>
        </w:rPr>
        <w:t xml:space="preserve"> efecto sancionatorio por su incumplimiento</w:t>
      </w:r>
      <w:r w:rsidR="006A411B" w:rsidRPr="00B312E3">
        <w:rPr>
          <w:rStyle w:val="Refdenotaalpie"/>
          <w:iCs/>
          <w:szCs w:val="28"/>
          <w:lang w:val="es-CO" w:eastAsia="es-CO"/>
        </w:rPr>
        <w:footnoteReference w:id="264"/>
      </w:r>
      <w:r w:rsidR="006A411B" w:rsidRPr="00B312E3">
        <w:rPr>
          <w:iCs/>
          <w:szCs w:val="28"/>
          <w:lang w:val="es-CO" w:eastAsia="es-CO"/>
        </w:rPr>
        <w:t xml:space="preserve">. </w:t>
      </w:r>
    </w:p>
    <w:p w14:paraId="1524E4A7" w14:textId="77777777" w:rsidR="007C73D4" w:rsidRPr="00B312E3" w:rsidRDefault="007C73D4" w:rsidP="007C73D4">
      <w:pPr>
        <w:shd w:val="clear" w:color="auto" w:fill="FFFFFF"/>
        <w:jc w:val="both"/>
        <w:rPr>
          <w:szCs w:val="28"/>
          <w:lang w:val="es-CO" w:eastAsia="es-CO"/>
        </w:rPr>
      </w:pPr>
    </w:p>
    <w:p w14:paraId="43648899" w14:textId="77777777" w:rsidR="00653A87" w:rsidRPr="00B312E3" w:rsidRDefault="00EE45D3" w:rsidP="00653A87">
      <w:pPr>
        <w:numPr>
          <w:ilvl w:val="0"/>
          <w:numId w:val="10"/>
        </w:numPr>
        <w:shd w:val="clear" w:color="auto" w:fill="FFFFFF"/>
        <w:jc w:val="both"/>
        <w:rPr>
          <w:szCs w:val="28"/>
          <w:lang w:val="es-CO" w:eastAsia="es-CO"/>
        </w:rPr>
      </w:pPr>
      <w:r w:rsidRPr="00B312E3">
        <w:rPr>
          <w:iCs/>
          <w:szCs w:val="28"/>
          <w:lang w:val="es-CO" w:eastAsia="es-CO"/>
        </w:rPr>
        <w:t>Así, s</w:t>
      </w:r>
      <w:r w:rsidR="007C73D4" w:rsidRPr="00B312E3">
        <w:rPr>
          <w:iCs/>
          <w:szCs w:val="28"/>
          <w:lang w:val="es-CO" w:eastAsia="es-CO"/>
        </w:rPr>
        <w:t xml:space="preserve">e trata de un </w:t>
      </w:r>
      <w:r w:rsidR="002F39EB" w:rsidRPr="00B312E3">
        <w:rPr>
          <w:iCs/>
          <w:szCs w:val="28"/>
          <w:lang w:val="es-CO" w:eastAsia="es-CO"/>
        </w:rPr>
        <w:t>principio</w:t>
      </w:r>
      <w:r w:rsidR="00783572" w:rsidRPr="00B312E3">
        <w:rPr>
          <w:iCs/>
          <w:szCs w:val="28"/>
          <w:lang w:val="es-CO" w:eastAsia="es-CO"/>
        </w:rPr>
        <w:t xml:space="preserve"> </w:t>
      </w:r>
      <w:r w:rsidR="007C73D4" w:rsidRPr="00B312E3">
        <w:rPr>
          <w:iCs/>
          <w:szCs w:val="28"/>
          <w:lang w:val="es-CO" w:eastAsia="es-CO"/>
        </w:rPr>
        <w:t xml:space="preserve">que busca que </w:t>
      </w:r>
      <w:r w:rsidR="006A411B" w:rsidRPr="00B312E3">
        <w:rPr>
          <w:iCs/>
          <w:szCs w:val="28"/>
          <w:lang w:val="es-CO" w:eastAsia="es-CO"/>
        </w:rPr>
        <w:t xml:space="preserve">las </w:t>
      </w:r>
      <w:r w:rsidR="007C73D4" w:rsidRPr="00B312E3">
        <w:rPr>
          <w:iCs/>
          <w:szCs w:val="28"/>
          <w:lang w:val="es-CO" w:eastAsia="es-CO"/>
        </w:rPr>
        <w:t xml:space="preserve">funciones y actividades </w:t>
      </w:r>
      <w:r w:rsidR="006A411B" w:rsidRPr="00B312E3">
        <w:rPr>
          <w:iCs/>
          <w:szCs w:val="28"/>
          <w:lang w:val="es-CO" w:eastAsia="es-CO"/>
        </w:rPr>
        <w:t>d</w:t>
      </w:r>
      <w:r w:rsidR="007C73D4" w:rsidRPr="00B312E3">
        <w:rPr>
          <w:iCs/>
          <w:szCs w:val="28"/>
          <w:lang w:val="es-CO" w:eastAsia="es-CO"/>
        </w:rPr>
        <w:t xml:space="preserve">el Estado estén sujetas al </w:t>
      </w:r>
      <w:r w:rsidR="002F39EB" w:rsidRPr="00B312E3">
        <w:rPr>
          <w:iCs/>
          <w:szCs w:val="28"/>
          <w:lang w:val="es-CO" w:eastAsia="es-CO"/>
        </w:rPr>
        <w:t xml:space="preserve">ordenamiento </w:t>
      </w:r>
      <w:r w:rsidR="00783572" w:rsidRPr="00B312E3">
        <w:rPr>
          <w:iCs/>
          <w:szCs w:val="28"/>
          <w:lang w:val="es-CO" w:eastAsia="es-CO"/>
        </w:rPr>
        <w:t>jurídico, liderado estructuralmente</w:t>
      </w:r>
      <w:r w:rsidR="007C73D4" w:rsidRPr="00B312E3">
        <w:rPr>
          <w:iCs/>
          <w:szCs w:val="28"/>
          <w:lang w:val="es-CO" w:eastAsia="es-CO"/>
        </w:rPr>
        <w:t xml:space="preserve"> por la Constitución. </w:t>
      </w:r>
      <w:r w:rsidRPr="00B312E3">
        <w:rPr>
          <w:iCs/>
          <w:szCs w:val="28"/>
          <w:lang w:val="es-ES_tradnl" w:eastAsia="es-CO"/>
        </w:rPr>
        <w:t xml:space="preserve">Dicho </w:t>
      </w:r>
      <w:r w:rsidR="001E1996" w:rsidRPr="00B312E3">
        <w:rPr>
          <w:iCs/>
          <w:szCs w:val="28"/>
          <w:lang w:val="es-ES_tradnl" w:eastAsia="es-CO"/>
        </w:rPr>
        <w:t xml:space="preserve">principio se expresa en la cláusula general de competencia legislativa, que atribuye al Legislador la opción de desarrollar jurídicamente los objetivos constitucionales. </w:t>
      </w:r>
      <w:r w:rsidR="00653A87" w:rsidRPr="00B312E3">
        <w:rPr>
          <w:iCs/>
          <w:szCs w:val="28"/>
          <w:lang w:val="es-ES_tradnl" w:eastAsia="es-CO"/>
        </w:rPr>
        <w:t>Bajo ese supuesto, el principio de legalidad articula el sistema de fuentes de nuestro sistema jurídico de tal modo que se prohíbe que el reglamento, de forma autónoma, sirva de origen para la consagración de limitaciones, gravámenes, obligaciones o regulaciones. Cabe señalar,</w:t>
      </w:r>
      <w:r w:rsidR="0075039D" w:rsidRPr="00B312E3">
        <w:rPr>
          <w:iCs/>
          <w:szCs w:val="28"/>
          <w:lang w:val="es-ES_tradnl" w:eastAsia="es-CO"/>
        </w:rPr>
        <w:t xml:space="preserve"> sin embargo,</w:t>
      </w:r>
      <w:r w:rsidR="00653A87" w:rsidRPr="00B312E3">
        <w:rPr>
          <w:iCs/>
          <w:szCs w:val="28"/>
          <w:lang w:val="es-ES_tradnl" w:eastAsia="es-CO"/>
        </w:rPr>
        <w:t xml:space="preserve"> en aquellos asuntos amparados por esta cláusula general de competencia legislativa, “</w:t>
      </w:r>
      <w:r w:rsidR="00653A87" w:rsidRPr="00B312E3">
        <w:rPr>
          <w:i/>
          <w:iCs/>
          <w:color w:val="000000"/>
          <w:szCs w:val="28"/>
          <w:shd w:val="clear" w:color="auto" w:fill="FFFFFF"/>
        </w:rPr>
        <w:t>la ley no tiene que desarrollar integralmente la materia, pues puede delimitar el tema y permitir su concreción por medio de reglamentos administrativos</w:t>
      </w:r>
      <w:r w:rsidR="00653A87" w:rsidRPr="00B312E3">
        <w:rPr>
          <w:color w:val="000000"/>
          <w:szCs w:val="28"/>
          <w:shd w:val="clear" w:color="auto" w:fill="FFFFFF"/>
        </w:rPr>
        <w:t>”</w:t>
      </w:r>
      <w:r w:rsidR="00653A87" w:rsidRPr="00B312E3">
        <w:rPr>
          <w:rStyle w:val="Refdenotaalpie"/>
          <w:color w:val="000000"/>
          <w:szCs w:val="28"/>
          <w:shd w:val="clear" w:color="auto" w:fill="FFFFFF"/>
        </w:rPr>
        <w:footnoteReference w:id="265"/>
      </w:r>
      <w:r w:rsidR="00653A87" w:rsidRPr="00B312E3">
        <w:rPr>
          <w:iCs/>
          <w:szCs w:val="28"/>
          <w:lang w:val="es-ES_tradnl" w:eastAsia="es-CO"/>
        </w:rPr>
        <w:t xml:space="preserve">. </w:t>
      </w:r>
    </w:p>
    <w:p w14:paraId="02D93CB0" w14:textId="77777777" w:rsidR="00653A87" w:rsidRPr="00B312E3" w:rsidRDefault="00653A87" w:rsidP="001E1996">
      <w:pPr>
        <w:shd w:val="clear" w:color="auto" w:fill="FFFFFF"/>
        <w:jc w:val="both"/>
        <w:rPr>
          <w:szCs w:val="28"/>
          <w:lang w:val="es-CO" w:eastAsia="es-CO"/>
        </w:rPr>
      </w:pPr>
    </w:p>
    <w:p w14:paraId="62F9DD04" w14:textId="77777777" w:rsidR="00783572" w:rsidRPr="00B312E3" w:rsidRDefault="00231B9A" w:rsidP="00962603">
      <w:pPr>
        <w:numPr>
          <w:ilvl w:val="0"/>
          <w:numId w:val="10"/>
        </w:numPr>
        <w:shd w:val="clear" w:color="auto" w:fill="FFFFFF"/>
        <w:jc w:val="both"/>
        <w:rPr>
          <w:iCs/>
          <w:szCs w:val="28"/>
          <w:lang w:val="es-ES_tradnl" w:eastAsia="es-CO"/>
        </w:rPr>
      </w:pPr>
      <w:r w:rsidRPr="00B312E3">
        <w:rPr>
          <w:iCs/>
          <w:szCs w:val="28"/>
          <w:lang w:val="es-CO" w:eastAsia="es-CO"/>
        </w:rPr>
        <w:t xml:space="preserve">Ahora bien, los </w:t>
      </w:r>
      <w:r w:rsidR="006A411B" w:rsidRPr="00B312E3">
        <w:rPr>
          <w:iCs/>
          <w:szCs w:val="28"/>
          <w:lang w:val="es-CO" w:eastAsia="es-CO"/>
        </w:rPr>
        <w:t>principio</w:t>
      </w:r>
      <w:r w:rsidRPr="00B312E3">
        <w:rPr>
          <w:iCs/>
          <w:szCs w:val="28"/>
          <w:lang w:val="es-CO" w:eastAsia="es-CO"/>
        </w:rPr>
        <w:t>s</w:t>
      </w:r>
      <w:r w:rsidR="006A411B" w:rsidRPr="00B312E3">
        <w:rPr>
          <w:iCs/>
          <w:szCs w:val="28"/>
          <w:lang w:val="es-CO" w:eastAsia="es-CO"/>
        </w:rPr>
        <w:t xml:space="preserve"> de separación de poderes</w:t>
      </w:r>
      <w:r w:rsidRPr="00B312E3">
        <w:rPr>
          <w:i/>
          <w:iCs/>
          <w:szCs w:val="28"/>
          <w:lang w:val="es-ES_tradnl" w:eastAsia="es-CO"/>
        </w:rPr>
        <w:t xml:space="preserve"> </w:t>
      </w:r>
      <w:r w:rsidRPr="00B312E3">
        <w:rPr>
          <w:iCs/>
          <w:szCs w:val="28"/>
          <w:lang w:val="es-ES_tradnl" w:eastAsia="es-CO"/>
        </w:rPr>
        <w:t xml:space="preserve">y </w:t>
      </w:r>
      <w:r w:rsidR="00783572" w:rsidRPr="00B312E3">
        <w:rPr>
          <w:iCs/>
          <w:szCs w:val="28"/>
          <w:lang w:val="es-ES_tradnl" w:eastAsia="es-CO"/>
        </w:rPr>
        <w:t xml:space="preserve">de reserva de </w:t>
      </w:r>
      <w:r w:rsidR="00B312E3" w:rsidRPr="00B312E3">
        <w:rPr>
          <w:iCs/>
          <w:szCs w:val="28"/>
          <w:lang w:val="es-ES_tradnl" w:eastAsia="es-CO"/>
        </w:rPr>
        <w:t>l</w:t>
      </w:r>
      <w:r w:rsidR="00783572" w:rsidRPr="00B312E3">
        <w:rPr>
          <w:iCs/>
          <w:szCs w:val="28"/>
          <w:lang w:val="es-ES_tradnl" w:eastAsia="es-CO"/>
        </w:rPr>
        <w:t xml:space="preserve">ey, </w:t>
      </w:r>
      <w:r w:rsidR="0062109A" w:rsidRPr="00B312E3">
        <w:rPr>
          <w:iCs/>
          <w:szCs w:val="28"/>
          <w:lang w:val="es-ES_tradnl" w:eastAsia="es-CO"/>
        </w:rPr>
        <w:t>se relacionan con el principio de legalidad</w:t>
      </w:r>
      <w:r w:rsidR="00653A87" w:rsidRPr="00B312E3">
        <w:rPr>
          <w:iCs/>
          <w:szCs w:val="28"/>
          <w:lang w:val="es-ES_tradnl" w:eastAsia="es-CO"/>
        </w:rPr>
        <w:t>, aunque son conceptualmente distintos.</w:t>
      </w:r>
    </w:p>
    <w:p w14:paraId="26A0BB53" w14:textId="77777777" w:rsidR="00653A87" w:rsidRPr="00B312E3" w:rsidRDefault="00653A87" w:rsidP="00653A87">
      <w:pPr>
        <w:pStyle w:val="Prrafodelista"/>
        <w:rPr>
          <w:iCs/>
          <w:szCs w:val="28"/>
          <w:lang w:val="es-ES_tradnl" w:eastAsia="es-CO"/>
        </w:rPr>
      </w:pPr>
    </w:p>
    <w:p w14:paraId="7F3F1399" w14:textId="77777777" w:rsidR="00783572" w:rsidRPr="00B312E3" w:rsidRDefault="00783572" w:rsidP="001E1996">
      <w:pPr>
        <w:shd w:val="clear" w:color="auto" w:fill="FFFFFF"/>
        <w:jc w:val="both"/>
        <w:rPr>
          <w:iCs/>
          <w:szCs w:val="28"/>
          <w:lang w:val="es-ES_tradnl" w:eastAsia="es-CO"/>
        </w:rPr>
      </w:pPr>
      <w:r w:rsidRPr="00B312E3">
        <w:rPr>
          <w:iCs/>
          <w:szCs w:val="28"/>
          <w:lang w:val="es-ES_tradnl" w:eastAsia="es-CO"/>
        </w:rPr>
        <w:t xml:space="preserve">En efecto, el </w:t>
      </w:r>
      <w:r w:rsidRPr="00B312E3">
        <w:rPr>
          <w:b/>
          <w:i/>
          <w:iCs/>
          <w:szCs w:val="28"/>
          <w:lang w:val="es-ES_tradnl" w:eastAsia="es-CO"/>
        </w:rPr>
        <w:t xml:space="preserve">principio de reserva de </w:t>
      </w:r>
      <w:r w:rsidR="004E7A48" w:rsidRPr="00B312E3">
        <w:rPr>
          <w:b/>
          <w:i/>
          <w:iCs/>
          <w:szCs w:val="28"/>
          <w:lang w:val="es-ES_tradnl" w:eastAsia="es-CO"/>
        </w:rPr>
        <w:t>ley</w:t>
      </w:r>
      <w:r w:rsidRPr="00B312E3">
        <w:rPr>
          <w:iCs/>
          <w:szCs w:val="28"/>
          <w:lang w:val="es-ES_tradnl" w:eastAsia="es-CO"/>
        </w:rPr>
        <w:t xml:space="preserve"> es una institución jurídica </w:t>
      </w:r>
      <w:r w:rsidR="0062109A" w:rsidRPr="00B312E3">
        <w:rPr>
          <w:iCs/>
          <w:szCs w:val="28"/>
          <w:lang w:val="es-ES_tradnl" w:eastAsia="es-CO"/>
        </w:rPr>
        <w:t>que señala que de acuerdo con</w:t>
      </w:r>
      <w:r w:rsidR="001E1996" w:rsidRPr="00B312E3">
        <w:rPr>
          <w:iCs/>
          <w:szCs w:val="28"/>
          <w:lang w:val="es-ES_tradnl" w:eastAsia="es-CO"/>
        </w:rPr>
        <w:t xml:space="preserve"> l</w:t>
      </w:r>
      <w:r w:rsidRPr="00B312E3">
        <w:rPr>
          <w:iCs/>
          <w:szCs w:val="28"/>
          <w:lang w:val="es-ES_tradnl" w:eastAsia="es-CO"/>
        </w:rPr>
        <w:t xml:space="preserve">a propia Constitución, corresponde </w:t>
      </w:r>
      <w:r w:rsidRPr="00B312E3">
        <w:rPr>
          <w:b/>
          <w:iCs/>
          <w:szCs w:val="28"/>
          <w:lang w:val="es-ES_tradnl" w:eastAsia="es-CO"/>
        </w:rPr>
        <w:t>exclusivamente</w:t>
      </w:r>
      <w:r w:rsidRPr="00B312E3">
        <w:rPr>
          <w:iCs/>
          <w:szCs w:val="28"/>
          <w:lang w:val="es-ES_tradnl" w:eastAsia="es-CO"/>
        </w:rPr>
        <w:t xml:space="preserve"> al </w:t>
      </w:r>
      <w:r w:rsidR="002C7FFB" w:rsidRPr="00B312E3">
        <w:rPr>
          <w:iCs/>
          <w:szCs w:val="28"/>
          <w:lang w:val="es-ES_tradnl" w:eastAsia="es-CO"/>
        </w:rPr>
        <w:t>L</w:t>
      </w:r>
      <w:r w:rsidRPr="00B312E3">
        <w:rPr>
          <w:iCs/>
          <w:szCs w:val="28"/>
          <w:lang w:val="es-ES_tradnl" w:eastAsia="es-CO"/>
        </w:rPr>
        <w:t>egislador el desarrollo de determinadas materias.</w:t>
      </w:r>
      <w:r w:rsidRPr="00B312E3">
        <w:rPr>
          <w:rStyle w:val="Refdenotaalpie"/>
          <w:iCs/>
          <w:szCs w:val="28"/>
          <w:lang w:val="es-ES_tradnl" w:eastAsia="es-CO"/>
        </w:rPr>
        <w:footnoteReference w:id="266"/>
      </w:r>
      <w:r w:rsidR="00770B68" w:rsidRPr="00B312E3">
        <w:rPr>
          <w:iCs/>
          <w:szCs w:val="28"/>
          <w:lang w:val="es-ES_tradnl" w:eastAsia="es-CO"/>
        </w:rPr>
        <w:t xml:space="preserve"> En ese sentido, pueden distinguirse dos tipos de reserva de tal naturaleza: una de carácter ordinario, que aplica cuando la Constitución, de manera expresa, ha señalado que determinadas materias específicas deben ser reguladas directamente por el </w:t>
      </w:r>
      <w:r w:rsidR="002C7FFB" w:rsidRPr="00B312E3">
        <w:rPr>
          <w:iCs/>
          <w:szCs w:val="28"/>
          <w:lang w:val="es-ES_tradnl" w:eastAsia="es-CO"/>
        </w:rPr>
        <w:t>L</w:t>
      </w:r>
      <w:r w:rsidR="00770B68" w:rsidRPr="00B312E3">
        <w:rPr>
          <w:iCs/>
          <w:szCs w:val="28"/>
          <w:lang w:val="es-ES_tradnl" w:eastAsia="es-CO"/>
        </w:rPr>
        <w:t>egislador.</w:t>
      </w:r>
      <w:r w:rsidR="0062109A" w:rsidRPr="00B312E3">
        <w:rPr>
          <w:rStyle w:val="Refdenotaalpie"/>
          <w:iCs/>
          <w:szCs w:val="28"/>
          <w:lang w:val="es-ES_tradnl" w:eastAsia="es-CO"/>
        </w:rPr>
        <w:footnoteReference w:id="267"/>
      </w:r>
      <w:r w:rsidR="00770B68" w:rsidRPr="00B312E3">
        <w:rPr>
          <w:iCs/>
          <w:szCs w:val="28"/>
          <w:lang w:val="es-ES_tradnl" w:eastAsia="es-CO"/>
        </w:rPr>
        <w:t> </w:t>
      </w:r>
      <w:r w:rsidR="001E1996" w:rsidRPr="00B312E3">
        <w:rPr>
          <w:iCs/>
          <w:szCs w:val="28"/>
          <w:lang w:val="es-ES_tradnl" w:eastAsia="es-CO"/>
        </w:rPr>
        <w:t>Y</w:t>
      </w:r>
      <w:r w:rsidR="00770B68" w:rsidRPr="00B312E3">
        <w:rPr>
          <w:iCs/>
          <w:szCs w:val="28"/>
          <w:lang w:val="es-ES_tradnl" w:eastAsia="es-CO"/>
        </w:rPr>
        <w:t xml:space="preserve"> </w:t>
      </w:r>
      <w:r w:rsidR="001E1996" w:rsidRPr="00B312E3">
        <w:rPr>
          <w:iCs/>
          <w:szCs w:val="28"/>
          <w:lang w:val="es-ES_tradnl" w:eastAsia="es-CO"/>
        </w:rPr>
        <w:t>l</w:t>
      </w:r>
      <w:r w:rsidR="00770B68" w:rsidRPr="00B312E3">
        <w:rPr>
          <w:iCs/>
          <w:szCs w:val="28"/>
          <w:lang w:val="es-ES_tradnl" w:eastAsia="es-CO"/>
        </w:rPr>
        <w:t>a otra, de naturaleza estatutaria u orgánica,</w:t>
      </w:r>
      <w:r w:rsidR="005B7EC1" w:rsidRPr="00B312E3">
        <w:rPr>
          <w:iCs/>
          <w:szCs w:val="28"/>
          <w:lang w:val="es-ES_tradnl" w:eastAsia="es-CO"/>
        </w:rPr>
        <w:t xml:space="preserve"> que</w:t>
      </w:r>
      <w:r w:rsidR="00770B68" w:rsidRPr="00B312E3">
        <w:rPr>
          <w:iCs/>
          <w:szCs w:val="28"/>
          <w:lang w:val="es-ES_tradnl" w:eastAsia="es-CO"/>
        </w:rPr>
        <w:t xml:space="preserve"> le confiere competencia exclusiva al </w:t>
      </w:r>
      <w:r w:rsidR="00EE45D3" w:rsidRPr="00B312E3">
        <w:rPr>
          <w:iCs/>
          <w:szCs w:val="28"/>
          <w:lang w:val="es-ES_tradnl" w:eastAsia="es-CO"/>
        </w:rPr>
        <w:t xml:space="preserve">Congreso </w:t>
      </w:r>
      <w:r w:rsidR="00770B68" w:rsidRPr="00B312E3">
        <w:rPr>
          <w:iCs/>
          <w:szCs w:val="28"/>
          <w:lang w:val="es-ES_tradnl" w:eastAsia="es-CO"/>
        </w:rPr>
        <w:t xml:space="preserve">para regular el </w:t>
      </w:r>
      <w:r w:rsidR="001E1996" w:rsidRPr="00B312E3">
        <w:rPr>
          <w:iCs/>
          <w:szCs w:val="28"/>
          <w:lang w:val="es-ES_tradnl" w:eastAsia="es-CO"/>
        </w:rPr>
        <w:t>asunto</w:t>
      </w:r>
      <w:r w:rsidR="00653A87" w:rsidRPr="00B312E3">
        <w:rPr>
          <w:iCs/>
          <w:szCs w:val="28"/>
          <w:lang w:val="es-ES_tradnl" w:eastAsia="es-CO"/>
        </w:rPr>
        <w:t xml:space="preserve"> y</w:t>
      </w:r>
      <w:r w:rsidR="00770B68" w:rsidRPr="00B312E3">
        <w:rPr>
          <w:iCs/>
          <w:szCs w:val="28"/>
          <w:lang w:val="es-ES_tradnl" w:eastAsia="es-CO"/>
        </w:rPr>
        <w:t xml:space="preserve"> exige</w:t>
      </w:r>
      <w:r w:rsidR="001E1996" w:rsidRPr="00B312E3">
        <w:rPr>
          <w:iCs/>
          <w:szCs w:val="28"/>
          <w:lang w:val="es-ES_tradnl" w:eastAsia="es-CO"/>
        </w:rPr>
        <w:t xml:space="preserve"> adicionalmente</w:t>
      </w:r>
      <w:r w:rsidR="00770B68" w:rsidRPr="00B312E3">
        <w:rPr>
          <w:iCs/>
          <w:szCs w:val="28"/>
          <w:lang w:val="es-ES_tradnl" w:eastAsia="es-CO"/>
        </w:rPr>
        <w:t xml:space="preserve"> que la norma correspondiente esté precedida de un trámite particular</w:t>
      </w:r>
      <w:r w:rsidR="00770B68" w:rsidRPr="00B312E3">
        <w:rPr>
          <w:rStyle w:val="Refdenotaalpie"/>
          <w:iCs/>
          <w:szCs w:val="28"/>
          <w:lang w:val="es-ES_tradnl" w:eastAsia="es-CO"/>
        </w:rPr>
        <w:footnoteReference w:id="268"/>
      </w:r>
      <w:r w:rsidR="00770B68" w:rsidRPr="00B312E3">
        <w:rPr>
          <w:iCs/>
          <w:szCs w:val="28"/>
          <w:lang w:val="es-ES_tradnl" w:eastAsia="es-CO"/>
        </w:rPr>
        <w:t>.</w:t>
      </w:r>
    </w:p>
    <w:p w14:paraId="31DFDA7B" w14:textId="77777777" w:rsidR="0062109A" w:rsidRPr="00B312E3" w:rsidRDefault="0062109A" w:rsidP="004E7A48">
      <w:pPr>
        <w:shd w:val="clear" w:color="auto" w:fill="FFFFFF"/>
        <w:ind w:right="49"/>
        <w:jc w:val="both"/>
        <w:rPr>
          <w:szCs w:val="28"/>
          <w:lang w:val="es-CO" w:eastAsia="es-CO"/>
        </w:rPr>
      </w:pPr>
    </w:p>
    <w:p w14:paraId="73CD6AEF" w14:textId="77777777" w:rsidR="00653A87" w:rsidRPr="00B312E3" w:rsidRDefault="00653A87" w:rsidP="00653A87">
      <w:pPr>
        <w:shd w:val="clear" w:color="auto" w:fill="FFFFFF"/>
        <w:ind w:right="49"/>
        <w:jc w:val="both"/>
        <w:rPr>
          <w:szCs w:val="28"/>
          <w:lang w:val="es-CO" w:eastAsia="es-CO"/>
        </w:rPr>
      </w:pPr>
      <w:r w:rsidRPr="00B312E3">
        <w:rPr>
          <w:iCs/>
          <w:szCs w:val="28"/>
          <w:lang w:val="es-ES_tradnl" w:eastAsia="es-CO"/>
        </w:rPr>
        <w:t xml:space="preserve">Lo anterior, como lo sostiene la </w:t>
      </w:r>
      <w:r w:rsidRPr="00B312E3">
        <w:rPr>
          <w:b/>
          <w:iCs/>
          <w:szCs w:val="28"/>
          <w:lang w:val="es-ES_tradnl" w:eastAsia="es-CO"/>
        </w:rPr>
        <w:t>Sentencia C- 228 de 2010</w:t>
      </w:r>
      <w:r w:rsidRPr="00B312E3">
        <w:rPr>
          <w:rStyle w:val="Refdenotaalpie"/>
          <w:b/>
          <w:iCs/>
          <w:szCs w:val="28"/>
          <w:lang w:val="es-ES_tradnl" w:eastAsia="es-CO"/>
        </w:rPr>
        <w:footnoteReference w:id="269"/>
      </w:r>
      <w:r w:rsidRPr="00B312E3">
        <w:rPr>
          <w:iCs/>
          <w:szCs w:val="28"/>
          <w:lang w:val="es-ES_tradnl" w:eastAsia="es-CO"/>
        </w:rPr>
        <w:t>, significa que si una materia tiene reserva legal le “</w:t>
      </w:r>
      <w:r w:rsidRPr="00B312E3">
        <w:rPr>
          <w:i/>
          <w:iCs/>
          <w:szCs w:val="28"/>
          <w:lang w:val="es-ES_tradnl" w:eastAsia="es-CO"/>
        </w:rPr>
        <w:t>corresponde exclusivamente al Legislador desarrollarla, pues la reserva de ley ‘es una institución jurídica, de raigambre constitucional, que protege el principio democrático, al obligar al Legislador a regular aquellas materias que el constituyente decidió que fueran desarrolladas en una ley</w:t>
      </w:r>
      <w:r w:rsidRPr="00B312E3">
        <w:rPr>
          <w:iCs/>
          <w:szCs w:val="28"/>
          <w:lang w:val="es-ES_tradnl" w:eastAsia="es-CO"/>
        </w:rPr>
        <w:t>”.</w:t>
      </w:r>
    </w:p>
    <w:p w14:paraId="2A8C5341" w14:textId="77777777" w:rsidR="00653A87" w:rsidRPr="00B312E3" w:rsidRDefault="00653A87" w:rsidP="004E7A48">
      <w:pPr>
        <w:shd w:val="clear" w:color="auto" w:fill="FFFFFF"/>
        <w:ind w:right="49"/>
        <w:jc w:val="both"/>
        <w:rPr>
          <w:szCs w:val="28"/>
          <w:lang w:val="es-CO" w:eastAsia="es-CO"/>
        </w:rPr>
      </w:pPr>
    </w:p>
    <w:p w14:paraId="6462A4FA" w14:textId="77777777" w:rsidR="0062109A" w:rsidRPr="00B312E3" w:rsidRDefault="0062109A" w:rsidP="00D44A08">
      <w:pPr>
        <w:shd w:val="clear" w:color="auto" w:fill="FFFFFF"/>
        <w:ind w:right="49"/>
        <w:jc w:val="both"/>
        <w:rPr>
          <w:szCs w:val="28"/>
          <w:lang w:val="es-CO" w:eastAsia="es-CO"/>
        </w:rPr>
      </w:pPr>
      <w:r w:rsidRPr="00B312E3">
        <w:rPr>
          <w:szCs w:val="28"/>
          <w:lang w:val="es-CO" w:eastAsia="es-CO"/>
        </w:rPr>
        <w:t>En este sentido,</w:t>
      </w:r>
      <w:r w:rsidR="00C02B17" w:rsidRPr="00B312E3">
        <w:rPr>
          <w:szCs w:val="28"/>
          <w:lang w:val="es-CO" w:eastAsia="es-CO"/>
        </w:rPr>
        <w:t xml:space="preserve"> podemos enfrentarnos a estos escenarios:</w:t>
      </w:r>
      <w:r w:rsidRPr="00B312E3">
        <w:rPr>
          <w:szCs w:val="28"/>
          <w:lang w:val="es-CO" w:eastAsia="es-CO"/>
        </w:rPr>
        <w:t xml:space="preserve"> </w:t>
      </w:r>
      <w:r w:rsidR="00D44A08" w:rsidRPr="00B312E3">
        <w:rPr>
          <w:b/>
          <w:szCs w:val="28"/>
          <w:lang w:val="es-CO" w:eastAsia="es-CO"/>
        </w:rPr>
        <w:t>(i)</w:t>
      </w:r>
      <w:r w:rsidR="00D44A08" w:rsidRPr="00B312E3">
        <w:rPr>
          <w:szCs w:val="28"/>
          <w:lang w:val="es-CO" w:eastAsia="es-CO"/>
        </w:rPr>
        <w:t xml:space="preserve"> el Legislador siempre puede pronunciarse sobre un tema, porque tiene esa atribución natural </w:t>
      </w:r>
      <w:r w:rsidR="00B312E3" w:rsidRPr="00B312E3">
        <w:rPr>
          <w:szCs w:val="28"/>
          <w:lang w:val="es-CO" w:eastAsia="es-CO"/>
        </w:rPr>
        <w:t>(</w:t>
      </w:r>
      <w:r w:rsidR="00D44A08" w:rsidRPr="00B312E3">
        <w:rPr>
          <w:szCs w:val="28"/>
          <w:lang w:val="es-CO" w:eastAsia="es-CO"/>
        </w:rPr>
        <w:t>cláusula general de competencia</w:t>
      </w:r>
      <w:r w:rsidR="00B312E3" w:rsidRPr="00B312E3">
        <w:rPr>
          <w:szCs w:val="28"/>
          <w:lang w:val="es-CO" w:eastAsia="es-CO"/>
        </w:rPr>
        <w:t>)</w:t>
      </w:r>
      <w:r w:rsidR="00D44A08" w:rsidRPr="00B312E3">
        <w:rPr>
          <w:szCs w:val="28"/>
          <w:lang w:val="es-CO" w:eastAsia="es-CO"/>
        </w:rPr>
        <w:t>, y sobre esa base, puede proferirse un reglamento para concretarla.</w:t>
      </w:r>
      <w:r w:rsidR="00D44A08" w:rsidRPr="00B312E3">
        <w:rPr>
          <w:b/>
          <w:szCs w:val="28"/>
          <w:lang w:val="es-CO" w:eastAsia="es-CO"/>
        </w:rPr>
        <w:t xml:space="preserve"> (ii) </w:t>
      </w:r>
      <w:r w:rsidR="00D44A08" w:rsidRPr="00B312E3">
        <w:rPr>
          <w:szCs w:val="28"/>
          <w:lang w:val="es-CO" w:eastAsia="es-CO"/>
        </w:rPr>
        <w:t>S</w:t>
      </w:r>
      <w:r w:rsidR="00C80E03">
        <w:rPr>
          <w:szCs w:val="28"/>
          <w:lang w:val="es-CO" w:eastAsia="es-CO"/>
        </w:rPr>
        <w:t>o</w:t>
      </w:r>
      <w:r w:rsidR="00D44A08" w:rsidRPr="00B312E3">
        <w:rPr>
          <w:szCs w:val="28"/>
          <w:lang w:val="es-CO" w:eastAsia="es-CO"/>
        </w:rPr>
        <w:t xml:space="preserve">lo el Legislador puede pronunciarse sobre un tema de manera primigenia </w:t>
      </w:r>
      <w:r w:rsidR="00B312E3" w:rsidRPr="00B312E3">
        <w:rPr>
          <w:szCs w:val="28"/>
          <w:lang w:val="es-CO" w:eastAsia="es-CO"/>
        </w:rPr>
        <w:t>(</w:t>
      </w:r>
      <w:r w:rsidR="00D44A08" w:rsidRPr="00B312E3">
        <w:rPr>
          <w:szCs w:val="28"/>
          <w:lang w:val="es-CO" w:eastAsia="es-CO"/>
        </w:rPr>
        <w:t>en virtud de la reserva de ley</w:t>
      </w:r>
      <w:r w:rsidR="00B312E3" w:rsidRPr="00B312E3">
        <w:rPr>
          <w:szCs w:val="28"/>
          <w:lang w:val="es-CO" w:eastAsia="es-CO"/>
        </w:rPr>
        <w:t>)</w:t>
      </w:r>
      <w:r w:rsidR="00D44A08" w:rsidRPr="00B312E3">
        <w:rPr>
          <w:szCs w:val="28"/>
          <w:lang w:val="es-CO" w:eastAsia="es-CO"/>
        </w:rPr>
        <w:t>, de lo que se deriva que el reglamento n</w:t>
      </w:r>
      <w:r w:rsidR="0075039D" w:rsidRPr="00B312E3">
        <w:rPr>
          <w:szCs w:val="28"/>
          <w:lang w:val="es-CO" w:eastAsia="es-CO"/>
        </w:rPr>
        <w:t>o</w:t>
      </w:r>
      <w:r w:rsidR="00D44A08" w:rsidRPr="00B312E3">
        <w:rPr>
          <w:szCs w:val="28"/>
          <w:lang w:val="es-CO" w:eastAsia="es-CO"/>
        </w:rPr>
        <w:t xml:space="preserve"> puede regular el tema y que, como siempre, si se expide con posterioridad a la decisión legislativa debe respetar obligatoriamente los parámetros fijados de antemano por el Congreso; </w:t>
      </w:r>
      <w:r w:rsidRPr="00B312E3">
        <w:rPr>
          <w:szCs w:val="28"/>
          <w:lang w:val="es-CO" w:eastAsia="es-CO"/>
        </w:rPr>
        <w:t xml:space="preserve">y </w:t>
      </w:r>
      <w:r w:rsidRPr="00B312E3">
        <w:rPr>
          <w:b/>
          <w:szCs w:val="28"/>
          <w:lang w:val="es-CO" w:eastAsia="es-CO"/>
        </w:rPr>
        <w:t>(iii)</w:t>
      </w:r>
      <w:r w:rsidRPr="00B312E3">
        <w:rPr>
          <w:szCs w:val="28"/>
          <w:lang w:val="es-CO" w:eastAsia="es-CO"/>
        </w:rPr>
        <w:t xml:space="preserve"> si se trata de exigencias estatutarias, el Congreso debe pronunciarse de antemano, y para hacerlo, debe seguir además las reglas y exigencias superiores correspondientes.   </w:t>
      </w:r>
    </w:p>
    <w:p w14:paraId="375FE5C9" w14:textId="77777777" w:rsidR="00653A87" w:rsidRPr="002E4477" w:rsidRDefault="00653A87" w:rsidP="004E7A48">
      <w:pPr>
        <w:shd w:val="clear" w:color="auto" w:fill="FFFFFF"/>
        <w:ind w:right="49"/>
        <w:jc w:val="both"/>
        <w:rPr>
          <w:szCs w:val="28"/>
          <w:lang w:val="es-CO" w:eastAsia="es-CO"/>
        </w:rPr>
      </w:pPr>
    </w:p>
    <w:p w14:paraId="74FF1720" w14:textId="77777777" w:rsidR="001B7525" w:rsidRPr="00D44A08" w:rsidRDefault="004E7A48" w:rsidP="00962603">
      <w:pPr>
        <w:numPr>
          <w:ilvl w:val="0"/>
          <w:numId w:val="10"/>
        </w:numPr>
        <w:shd w:val="clear" w:color="auto" w:fill="FFFFFF"/>
        <w:ind w:right="49"/>
        <w:jc w:val="both"/>
        <w:rPr>
          <w:szCs w:val="28"/>
          <w:lang w:val="es-ES_tradnl" w:eastAsia="es-CO"/>
        </w:rPr>
      </w:pPr>
      <w:r w:rsidRPr="002E4477">
        <w:rPr>
          <w:szCs w:val="28"/>
          <w:lang w:val="es-ES_tradnl" w:eastAsia="es-CO"/>
        </w:rPr>
        <w:t>Por otra parte,</w:t>
      </w:r>
      <w:r w:rsidRPr="002E4477">
        <w:rPr>
          <w:szCs w:val="28"/>
          <w:lang w:val="es-CO" w:eastAsia="es-CO"/>
        </w:rPr>
        <w:t xml:space="preserve"> e</w:t>
      </w:r>
      <w:r w:rsidR="00DF3D5F" w:rsidRPr="002E4477">
        <w:rPr>
          <w:szCs w:val="28"/>
          <w:lang w:val="es-CO" w:eastAsia="es-CO"/>
        </w:rPr>
        <w:t xml:space="preserve">n nuestro ordenamiento jurídico, dentro del sistema de fuentes, </w:t>
      </w:r>
      <w:r w:rsidR="00DF3D5F" w:rsidRPr="002E4477">
        <w:rPr>
          <w:b/>
          <w:i/>
          <w:szCs w:val="28"/>
          <w:lang w:val="es-CO" w:eastAsia="es-CO"/>
        </w:rPr>
        <w:t>la potestad reglamentaria</w:t>
      </w:r>
      <w:r w:rsidR="00DF3D5F" w:rsidRPr="002E4477">
        <w:rPr>
          <w:szCs w:val="28"/>
          <w:lang w:val="es-CO" w:eastAsia="es-CO"/>
        </w:rPr>
        <w:t xml:space="preserve"> </w:t>
      </w:r>
      <w:r w:rsidR="005F496A" w:rsidRPr="002E4477">
        <w:rPr>
          <w:szCs w:val="28"/>
          <w:lang w:val="es-CO" w:eastAsia="es-CO"/>
        </w:rPr>
        <w:t>se erige como</w:t>
      </w:r>
      <w:r w:rsidR="00DF3D5F" w:rsidRPr="002E4477">
        <w:rPr>
          <w:szCs w:val="28"/>
          <w:lang w:val="es-CO" w:eastAsia="es-CO"/>
        </w:rPr>
        <w:t xml:space="preserve"> una facultad de regulación que tiene como objetivo, expedir normas de carácter general, para la cumplida ejecución de las leyes</w:t>
      </w:r>
      <w:r w:rsidR="00DF3D5F" w:rsidRPr="002E4477">
        <w:rPr>
          <w:rStyle w:val="Refdenotaalpie"/>
          <w:szCs w:val="28"/>
          <w:lang w:val="es-CO" w:eastAsia="es-CO"/>
        </w:rPr>
        <w:footnoteReference w:id="270"/>
      </w:r>
      <w:r w:rsidR="00DF3D5F" w:rsidRPr="002E4477">
        <w:rPr>
          <w:szCs w:val="28"/>
          <w:lang w:val="es-CO" w:eastAsia="es-CO"/>
        </w:rPr>
        <w:t>.</w:t>
      </w:r>
    </w:p>
    <w:p w14:paraId="79270EEC" w14:textId="77777777" w:rsidR="00D44A08" w:rsidRPr="007E503A" w:rsidRDefault="00D44A08" w:rsidP="00D44A08">
      <w:pPr>
        <w:pStyle w:val="Prrafodelista"/>
        <w:tabs>
          <w:tab w:val="left" w:pos="567"/>
        </w:tabs>
        <w:ind w:left="0" w:right="49"/>
        <w:contextualSpacing/>
        <w:jc w:val="both"/>
        <w:rPr>
          <w:rFonts w:eastAsia="Calibri"/>
          <w:szCs w:val="28"/>
          <w:highlight w:val="magenta"/>
        </w:rPr>
      </w:pPr>
    </w:p>
    <w:p w14:paraId="6A746DF1" w14:textId="77777777" w:rsidR="00D44A08" w:rsidRDefault="00D44A08" w:rsidP="00D44A08">
      <w:pPr>
        <w:shd w:val="clear" w:color="auto" w:fill="FFFFFF"/>
        <w:jc w:val="both"/>
        <w:rPr>
          <w:szCs w:val="28"/>
          <w:lang w:val="es-CO" w:eastAsia="es-CO"/>
        </w:rPr>
      </w:pPr>
      <w:r w:rsidRPr="002E4477">
        <w:rPr>
          <w:szCs w:val="28"/>
          <w:lang w:val="es-CO" w:eastAsia="es-CO"/>
        </w:rPr>
        <w:t xml:space="preserve">El titular de la </w:t>
      </w:r>
      <w:r w:rsidRPr="002E4477">
        <w:rPr>
          <w:b/>
          <w:i/>
          <w:szCs w:val="28"/>
          <w:lang w:val="es-CO" w:eastAsia="es-CO"/>
        </w:rPr>
        <w:t>potestad reglamentaria</w:t>
      </w:r>
      <w:r w:rsidRPr="002E4477">
        <w:rPr>
          <w:szCs w:val="28"/>
          <w:lang w:val="es-CO" w:eastAsia="es-CO"/>
        </w:rPr>
        <w:t xml:space="preserve"> según la Carta es el Presidente de la República</w:t>
      </w:r>
      <w:r w:rsidRPr="002E4477">
        <w:rPr>
          <w:szCs w:val="28"/>
        </w:rPr>
        <w:t>.</w:t>
      </w:r>
      <w:r w:rsidRPr="002E4477">
        <w:rPr>
          <w:szCs w:val="28"/>
          <w:lang w:val="es-CO" w:eastAsia="es-CO"/>
        </w:rPr>
        <w:t xml:space="preserve"> Aunque ello no quiere decir que dentro de su ámbito de competencias y nivel de subordinación jerárquica y normativa, las demás autoridades administrativas no puedan adoptar medidas de carácter general a fin de cumplir o hacer cumplir las disposiciones superiores relativas a los asuntos a su cargo.</w:t>
      </w:r>
      <w:r w:rsidRPr="002E4477">
        <w:rPr>
          <w:iCs/>
          <w:szCs w:val="28"/>
          <w:lang w:val="es-CO" w:eastAsia="es-CO"/>
        </w:rPr>
        <w:t xml:space="preserve"> No obstante, se trata de una </w:t>
      </w:r>
      <w:r w:rsidRPr="002E4477">
        <w:rPr>
          <w:szCs w:val="28"/>
          <w:lang w:val="es-CO" w:eastAsia="es-CO"/>
        </w:rPr>
        <w:t>potestad que no puede atribuirse por la ley a otros órganos administrativos distintos del Presidente de la República, quien la detenta, por expresa determinación constitucional.</w:t>
      </w:r>
    </w:p>
    <w:p w14:paraId="0FAA9A49" w14:textId="77777777" w:rsidR="009900A1" w:rsidRPr="002E4477" w:rsidRDefault="009900A1" w:rsidP="009900A1">
      <w:pPr>
        <w:shd w:val="clear" w:color="auto" w:fill="FFFFFF"/>
        <w:jc w:val="both"/>
        <w:rPr>
          <w:i/>
          <w:iCs/>
          <w:szCs w:val="28"/>
          <w:lang w:val="es-CO" w:eastAsia="es-CO"/>
        </w:rPr>
      </w:pPr>
    </w:p>
    <w:p w14:paraId="1EED8CEE" w14:textId="77777777" w:rsidR="001B7525" w:rsidRPr="002E4477" w:rsidRDefault="00186282" w:rsidP="00962603">
      <w:pPr>
        <w:pStyle w:val="Prrafodelista"/>
        <w:numPr>
          <w:ilvl w:val="0"/>
          <w:numId w:val="10"/>
        </w:numPr>
        <w:tabs>
          <w:tab w:val="left" w:pos="567"/>
        </w:tabs>
        <w:ind w:right="49"/>
        <w:contextualSpacing/>
        <w:jc w:val="both"/>
        <w:rPr>
          <w:rFonts w:eastAsia="Calibri"/>
          <w:szCs w:val="28"/>
        </w:rPr>
      </w:pPr>
      <w:r w:rsidRPr="002E4477">
        <w:rPr>
          <w:szCs w:val="28"/>
        </w:rPr>
        <w:t xml:space="preserve"> </w:t>
      </w:r>
      <w:r w:rsidR="0062109A" w:rsidRPr="002E4477">
        <w:rPr>
          <w:szCs w:val="28"/>
        </w:rPr>
        <w:t>Ahora bien</w:t>
      </w:r>
      <w:r w:rsidR="002F39EB" w:rsidRPr="002E4477">
        <w:rPr>
          <w:szCs w:val="28"/>
        </w:rPr>
        <w:t xml:space="preserve">, </w:t>
      </w:r>
      <w:r w:rsidRPr="002E4477">
        <w:rPr>
          <w:szCs w:val="28"/>
        </w:rPr>
        <w:t>la</w:t>
      </w:r>
      <w:r w:rsidR="001B7525" w:rsidRPr="002E4477">
        <w:rPr>
          <w:szCs w:val="28"/>
        </w:rPr>
        <w:t xml:space="preserve"> norma superior </w:t>
      </w:r>
      <w:r w:rsidRPr="002E4477">
        <w:rPr>
          <w:szCs w:val="28"/>
        </w:rPr>
        <w:t xml:space="preserve">le asignó de tiempo atrás, </w:t>
      </w:r>
      <w:r w:rsidR="00D44A08">
        <w:rPr>
          <w:szCs w:val="28"/>
        </w:rPr>
        <w:t xml:space="preserve">potestades </w:t>
      </w:r>
      <w:r w:rsidRPr="002E4477">
        <w:rPr>
          <w:szCs w:val="28"/>
        </w:rPr>
        <w:t xml:space="preserve"> reg</w:t>
      </w:r>
      <w:r w:rsidR="001B7525" w:rsidRPr="002E4477">
        <w:rPr>
          <w:szCs w:val="28"/>
        </w:rPr>
        <w:t>lamentarias</w:t>
      </w:r>
      <w:r w:rsidRPr="002E4477">
        <w:rPr>
          <w:szCs w:val="28"/>
        </w:rPr>
        <w:t xml:space="preserve"> a otros órganos</w:t>
      </w:r>
      <w:r w:rsidR="002F39EB" w:rsidRPr="002E4477">
        <w:rPr>
          <w:szCs w:val="28"/>
        </w:rPr>
        <w:t xml:space="preserve"> constitucionales</w:t>
      </w:r>
      <w:r w:rsidRPr="002E4477">
        <w:rPr>
          <w:szCs w:val="28"/>
        </w:rPr>
        <w:t xml:space="preserve">, </w:t>
      </w:r>
      <w:r w:rsidR="004D5F5B" w:rsidRPr="002E4477">
        <w:rPr>
          <w:szCs w:val="28"/>
        </w:rPr>
        <w:t>más allá</w:t>
      </w:r>
      <w:r w:rsidRPr="002E4477">
        <w:rPr>
          <w:szCs w:val="28"/>
        </w:rPr>
        <w:t xml:space="preserve"> de la potestad ejercida por el propio </w:t>
      </w:r>
      <w:r w:rsidR="00381C67" w:rsidRPr="002E4477">
        <w:rPr>
          <w:szCs w:val="28"/>
        </w:rPr>
        <w:t>P</w:t>
      </w:r>
      <w:r w:rsidR="009900A1" w:rsidRPr="002E4477">
        <w:rPr>
          <w:szCs w:val="28"/>
        </w:rPr>
        <w:t>residente</w:t>
      </w:r>
      <w:r w:rsidRPr="002E4477">
        <w:rPr>
          <w:rStyle w:val="Refdenotaalpie"/>
          <w:szCs w:val="28"/>
        </w:rPr>
        <w:footnoteReference w:id="271"/>
      </w:r>
      <w:r w:rsidRPr="002E4477">
        <w:rPr>
          <w:szCs w:val="28"/>
        </w:rPr>
        <w:t>.</w:t>
      </w:r>
      <w:r w:rsidR="001B7525" w:rsidRPr="002E4477">
        <w:rPr>
          <w:szCs w:val="28"/>
        </w:rPr>
        <w:t xml:space="preserve"> En</w:t>
      </w:r>
      <w:r w:rsidR="001B7525" w:rsidRPr="002E4477">
        <w:rPr>
          <w:szCs w:val="28"/>
          <w:lang w:val="es-CO" w:eastAsia="es-CO"/>
        </w:rPr>
        <w:t xml:space="preserve"> la </w:t>
      </w:r>
      <w:r w:rsidR="001B7525" w:rsidRPr="002E4477">
        <w:rPr>
          <w:b/>
          <w:szCs w:val="28"/>
          <w:lang w:val="es-CO" w:eastAsia="es-CO"/>
        </w:rPr>
        <w:t>Sentencia C-805 de 2011</w:t>
      </w:r>
      <w:r w:rsidR="001B7525" w:rsidRPr="002E4477">
        <w:rPr>
          <w:rStyle w:val="Refdenotaalpie"/>
          <w:szCs w:val="28"/>
          <w:lang w:val="es-CO" w:eastAsia="es-CO"/>
        </w:rPr>
        <w:footnoteReference w:id="272"/>
      </w:r>
      <w:r w:rsidR="001B7525" w:rsidRPr="002E4477">
        <w:rPr>
          <w:szCs w:val="28"/>
          <w:lang w:val="es-CO" w:eastAsia="es-CO"/>
        </w:rPr>
        <w:t>, se precisó</w:t>
      </w:r>
      <w:r w:rsidR="004D5F5B" w:rsidRPr="002E4477">
        <w:rPr>
          <w:szCs w:val="28"/>
          <w:lang w:val="es-CO" w:eastAsia="es-CO"/>
        </w:rPr>
        <w:t>,</w:t>
      </w:r>
      <w:r w:rsidR="001B7525" w:rsidRPr="002E4477">
        <w:rPr>
          <w:szCs w:val="28"/>
          <w:lang w:val="es-CO" w:eastAsia="es-CO"/>
        </w:rPr>
        <w:t xml:space="preserve"> </w:t>
      </w:r>
      <w:r w:rsidR="002F39EB" w:rsidRPr="002E4477">
        <w:rPr>
          <w:szCs w:val="28"/>
          <w:lang w:val="es-CO" w:eastAsia="es-CO"/>
        </w:rPr>
        <w:t xml:space="preserve">en consecuencia, </w:t>
      </w:r>
      <w:r w:rsidR="001B7525" w:rsidRPr="002E4477">
        <w:rPr>
          <w:szCs w:val="28"/>
          <w:lang w:val="es-CO" w:eastAsia="es-CO"/>
        </w:rPr>
        <w:t>qu</w:t>
      </w:r>
      <w:r w:rsidR="005F496A" w:rsidRPr="002E4477">
        <w:rPr>
          <w:szCs w:val="28"/>
          <w:lang w:val="es-CO" w:eastAsia="es-CO"/>
        </w:rPr>
        <w:t>e ciertos</w:t>
      </w:r>
      <w:r w:rsidR="001B7525" w:rsidRPr="002E4477">
        <w:rPr>
          <w:szCs w:val="28"/>
          <w:lang w:val="es-CO" w:eastAsia="es-CO"/>
        </w:rPr>
        <w:t xml:space="preserve"> órganos constitucionales detentaban esa po</w:t>
      </w:r>
      <w:r w:rsidR="00E965F0" w:rsidRPr="002E4477">
        <w:rPr>
          <w:szCs w:val="28"/>
          <w:lang w:val="es-CO" w:eastAsia="es-CO"/>
        </w:rPr>
        <w:t>testad</w:t>
      </w:r>
      <w:r w:rsidR="001B7525" w:rsidRPr="002E4477">
        <w:rPr>
          <w:szCs w:val="28"/>
          <w:lang w:val="es-CO" w:eastAsia="es-CO"/>
        </w:rPr>
        <w:t xml:space="preserve"> y bajo ese supuesto</w:t>
      </w:r>
      <w:r w:rsidR="009900A1" w:rsidRPr="002E4477">
        <w:rPr>
          <w:szCs w:val="28"/>
          <w:lang w:val="es-CO" w:eastAsia="es-CO"/>
        </w:rPr>
        <w:t>,</w:t>
      </w:r>
      <w:r w:rsidR="0034186B" w:rsidRPr="002E4477">
        <w:rPr>
          <w:szCs w:val="28"/>
          <w:lang w:val="es-CO" w:eastAsia="es-CO"/>
        </w:rPr>
        <w:t xml:space="preserve"> se incluyó, por ejemplo</w:t>
      </w:r>
      <w:r w:rsidR="00E965F0" w:rsidRPr="002E4477">
        <w:rPr>
          <w:szCs w:val="28"/>
          <w:lang w:val="es-CO" w:eastAsia="es-CO"/>
        </w:rPr>
        <w:t xml:space="preserve">: </w:t>
      </w:r>
    </w:p>
    <w:p w14:paraId="1A4458F6" w14:textId="77777777" w:rsidR="000D229B" w:rsidRPr="002E4477" w:rsidRDefault="000D229B" w:rsidP="000D229B">
      <w:pPr>
        <w:pStyle w:val="Prrafodelista"/>
        <w:tabs>
          <w:tab w:val="left" w:pos="567"/>
        </w:tabs>
        <w:ind w:left="0" w:right="49"/>
        <w:contextualSpacing/>
        <w:jc w:val="both"/>
        <w:rPr>
          <w:rFonts w:eastAsia="Calibri"/>
          <w:i/>
          <w:szCs w:val="28"/>
        </w:rPr>
      </w:pPr>
    </w:p>
    <w:p w14:paraId="4B158851" w14:textId="77777777" w:rsidR="009900A1" w:rsidRPr="000E05E7" w:rsidRDefault="009900A1" w:rsidP="00DF4C59">
      <w:pPr>
        <w:shd w:val="clear" w:color="auto" w:fill="FFFFFF"/>
        <w:ind w:left="284"/>
        <w:jc w:val="both"/>
        <w:rPr>
          <w:i/>
          <w:sz w:val="26"/>
          <w:szCs w:val="26"/>
          <w:lang w:val="es-CO" w:eastAsia="es-CO"/>
        </w:rPr>
      </w:pPr>
      <w:r w:rsidRPr="000E05E7">
        <w:rPr>
          <w:i/>
          <w:sz w:val="26"/>
          <w:szCs w:val="26"/>
          <w:lang w:val="es-CO" w:eastAsia="es-CO"/>
        </w:rPr>
        <w:t xml:space="preserve">“[E]l caso del Consejo Superior de la Judicatura del Consejo, órgano al cual, de acuerdo con el artículo  257 de la Constitución, le corresponde, con sujeción a la ley "Dictar los reglamentos necesarios para el eficaz funcionamiento de la Administración de Justicia, los relacionados con la organización y funciones internas asignadas a los distintos cargos y la regulación de los trámites judiciales y administrativos que se adelanten en los despachos judiciales, en los aspectos no previstos por el legislador."  </w:t>
      </w:r>
    </w:p>
    <w:p w14:paraId="141B790D" w14:textId="77777777" w:rsidR="009900A1" w:rsidRPr="000E05E7" w:rsidRDefault="009900A1" w:rsidP="000E05E7">
      <w:pPr>
        <w:shd w:val="clear" w:color="auto" w:fill="FFFFFF"/>
        <w:ind w:left="284"/>
        <w:jc w:val="both"/>
        <w:rPr>
          <w:i/>
          <w:sz w:val="26"/>
          <w:szCs w:val="26"/>
          <w:lang w:val="es-CO" w:eastAsia="es-CO"/>
        </w:rPr>
      </w:pPr>
    </w:p>
    <w:p w14:paraId="7CFF913B" w14:textId="77777777" w:rsidR="009900A1" w:rsidRPr="000E05E7" w:rsidRDefault="009900A1" w:rsidP="000E05E7">
      <w:pPr>
        <w:shd w:val="clear" w:color="auto" w:fill="FFFFFF"/>
        <w:ind w:left="284"/>
        <w:jc w:val="both"/>
        <w:rPr>
          <w:i/>
          <w:sz w:val="26"/>
          <w:szCs w:val="26"/>
          <w:lang w:val="es-CO" w:eastAsia="es-CO"/>
        </w:rPr>
      </w:pPr>
      <w:r w:rsidRPr="000E05E7">
        <w:rPr>
          <w:i/>
          <w:sz w:val="26"/>
          <w:szCs w:val="26"/>
          <w:lang w:val="es-CO" w:eastAsia="es-CO"/>
        </w:rPr>
        <w:t>Del mismo modo, el Consejo Nacional Electoral, de acuerdo con el artículo 265 de la Constitución, tiene, de conformidad con la ley, entre sus atribuciones especiales, la de "reglamentar la participación de los partidos y movimientos políticos en los medios de comunicación social del Estado."   </w:t>
      </w:r>
    </w:p>
    <w:p w14:paraId="73737666" w14:textId="77777777" w:rsidR="009900A1" w:rsidRPr="000E05E7" w:rsidRDefault="009900A1" w:rsidP="000E05E7">
      <w:pPr>
        <w:shd w:val="clear" w:color="auto" w:fill="FFFFFF"/>
        <w:ind w:left="284"/>
        <w:jc w:val="both"/>
        <w:rPr>
          <w:i/>
          <w:sz w:val="26"/>
          <w:szCs w:val="26"/>
          <w:lang w:val="es-CO" w:eastAsia="es-CO"/>
        </w:rPr>
      </w:pPr>
      <w:r w:rsidRPr="000E05E7">
        <w:rPr>
          <w:i/>
          <w:sz w:val="26"/>
          <w:szCs w:val="26"/>
          <w:lang w:val="es-CO" w:eastAsia="es-CO"/>
        </w:rPr>
        <w:t xml:space="preserve"> </w:t>
      </w:r>
    </w:p>
    <w:p w14:paraId="2F920B89" w14:textId="77777777" w:rsidR="009900A1" w:rsidRPr="000E05E7" w:rsidRDefault="009900A1" w:rsidP="000E05E7">
      <w:pPr>
        <w:shd w:val="clear" w:color="auto" w:fill="FFFFFF"/>
        <w:ind w:left="284"/>
        <w:jc w:val="both"/>
        <w:rPr>
          <w:i/>
          <w:sz w:val="26"/>
          <w:szCs w:val="26"/>
          <w:lang w:val="es-CO" w:eastAsia="es-CO"/>
        </w:rPr>
      </w:pPr>
      <w:r w:rsidRPr="000E05E7">
        <w:rPr>
          <w:i/>
          <w:sz w:val="26"/>
          <w:szCs w:val="26"/>
          <w:lang w:val="es-CO" w:eastAsia="es-CO"/>
        </w:rPr>
        <w:t>El Contralor General de la República, por su parte, tiene entre sus atribuciones, de acuerdo con el artículo 268 de la Constitución, las de </w:t>
      </w:r>
      <w:r w:rsidR="002F39EB" w:rsidRPr="000E05E7">
        <w:rPr>
          <w:i/>
          <w:sz w:val="26"/>
          <w:szCs w:val="26"/>
          <w:lang w:val="es-CO" w:eastAsia="es-CO"/>
        </w:rPr>
        <w:t>“</w:t>
      </w:r>
      <w:r w:rsidRPr="000E05E7">
        <w:rPr>
          <w:i/>
          <w:sz w:val="26"/>
          <w:szCs w:val="26"/>
          <w:lang w:val="es-CO" w:eastAsia="es-CO"/>
        </w:rPr>
        <w:t xml:space="preserve">Prescribir los métodos y la forma de rendir cuentas los responsables del manejo de fondos o bienes de la Nación e indicar los criterios de evaluación financiera, operativa y de resultados que deberán seguirse." (Numeral 1º) y "Dictar normas generales para armonizar los sistemas de control fiscal de todas las entidades públicas del orden nacional y territorial." (Numeral 12).  </w:t>
      </w:r>
    </w:p>
    <w:p w14:paraId="10D15094" w14:textId="77777777" w:rsidR="009900A1" w:rsidRPr="000E05E7" w:rsidRDefault="009900A1" w:rsidP="000E05E7">
      <w:pPr>
        <w:shd w:val="clear" w:color="auto" w:fill="FFFFFF"/>
        <w:ind w:left="284"/>
        <w:jc w:val="both"/>
        <w:rPr>
          <w:sz w:val="26"/>
          <w:szCs w:val="26"/>
          <w:lang w:val="es-CO" w:eastAsia="es-CO"/>
        </w:rPr>
      </w:pPr>
    </w:p>
    <w:p w14:paraId="490CEE05" w14:textId="77777777" w:rsidR="009900A1" w:rsidRPr="000E05E7" w:rsidRDefault="009900A1" w:rsidP="000E05E7">
      <w:pPr>
        <w:shd w:val="clear" w:color="auto" w:fill="FFFFFF"/>
        <w:ind w:left="284"/>
        <w:jc w:val="both"/>
        <w:rPr>
          <w:i/>
          <w:iCs/>
          <w:sz w:val="26"/>
          <w:szCs w:val="26"/>
          <w:lang w:val="es-CO" w:eastAsia="es-CO"/>
        </w:rPr>
      </w:pPr>
      <w:r w:rsidRPr="000E05E7">
        <w:rPr>
          <w:i/>
          <w:sz w:val="26"/>
          <w:szCs w:val="26"/>
          <w:lang w:val="es-CO" w:eastAsia="es-CO"/>
        </w:rPr>
        <w:t>Al Contador General, funcionario de la Rama Ejecutiva, corresponde, a su vez, de acuerdo con el artículo 354 de la Constitución, "... determinar las normas contables que deben regir en el país, conforme a la ley”</w:t>
      </w:r>
      <w:r w:rsidR="000D229B">
        <w:rPr>
          <w:i/>
          <w:sz w:val="26"/>
          <w:szCs w:val="26"/>
          <w:lang w:val="es-CO" w:eastAsia="es-CO"/>
        </w:rPr>
        <w:t>.</w:t>
      </w:r>
      <w:r w:rsidRPr="000E05E7">
        <w:rPr>
          <w:i/>
          <w:sz w:val="26"/>
          <w:szCs w:val="26"/>
          <w:lang w:val="es-CO" w:eastAsia="es-CO"/>
        </w:rPr>
        <w:t>  Del mismo modo, la Junta Directiva del Banco de la República ejerce las competencias de regulación que le corresponden de acuerdo con lo dispuesto en los artículos 371 y 372 de la Constitución”.  </w:t>
      </w:r>
    </w:p>
    <w:p w14:paraId="10140EC2" w14:textId="77777777" w:rsidR="009900A1" w:rsidRPr="002E4477" w:rsidRDefault="009900A1" w:rsidP="009900A1">
      <w:pPr>
        <w:pStyle w:val="Prrafodelista"/>
        <w:rPr>
          <w:rFonts w:eastAsia="Calibri"/>
          <w:szCs w:val="28"/>
        </w:rPr>
      </w:pPr>
    </w:p>
    <w:p w14:paraId="6C86F341" w14:textId="77777777" w:rsidR="004A4CED" w:rsidRPr="002E4477" w:rsidRDefault="0034186B" w:rsidP="004A4CED">
      <w:pPr>
        <w:pStyle w:val="Prrafodelista"/>
        <w:tabs>
          <w:tab w:val="left" w:pos="567"/>
        </w:tabs>
        <w:ind w:left="0" w:right="49"/>
        <w:contextualSpacing/>
        <w:jc w:val="both"/>
        <w:rPr>
          <w:b/>
          <w:bCs/>
          <w:szCs w:val="28"/>
        </w:rPr>
      </w:pPr>
      <w:r w:rsidRPr="002E4477">
        <w:rPr>
          <w:szCs w:val="28"/>
          <w:lang w:val="es-CO" w:eastAsia="es-CO"/>
        </w:rPr>
        <w:t xml:space="preserve">Por lo tanto, por disposición constitucional, existen órganos que tienen competencia para dictar reglamentos, con independencia de </w:t>
      </w:r>
      <w:r w:rsidR="004A4CED" w:rsidRPr="002E4477">
        <w:rPr>
          <w:szCs w:val="28"/>
          <w:lang w:val="es-CO" w:eastAsia="es-CO"/>
        </w:rPr>
        <w:t>aquell</w:t>
      </w:r>
      <w:r w:rsidR="005B6E72">
        <w:rPr>
          <w:szCs w:val="28"/>
          <w:lang w:val="es-CO" w:eastAsia="es-CO"/>
        </w:rPr>
        <w:t>a</w:t>
      </w:r>
      <w:r w:rsidR="004A4CED" w:rsidRPr="002E4477">
        <w:rPr>
          <w:szCs w:val="28"/>
          <w:lang w:val="es-CO" w:eastAsia="es-CO"/>
        </w:rPr>
        <w:t xml:space="preserve">s </w:t>
      </w:r>
      <w:r w:rsidR="00381C67" w:rsidRPr="002E4477">
        <w:rPr>
          <w:szCs w:val="28"/>
          <w:lang w:val="es-CO" w:eastAsia="es-CO"/>
        </w:rPr>
        <w:t>a</w:t>
      </w:r>
      <w:r w:rsidRPr="002E4477">
        <w:rPr>
          <w:szCs w:val="28"/>
          <w:lang w:val="es-CO" w:eastAsia="es-CO"/>
        </w:rPr>
        <w:t>signad</w:t>
      </w:r>
      <w:r w:rsidR="00381C67" w:rsidRPr="002E4477">
        <w:rPr>
          <w:szCs w:val="28"/>
          <w:lang w:val="es-CO" w:eastAsia="es-CO"/>
        </w:rPr>
        <w:t>as</w:t>
      </w:r>
      <w:r w:rsidRPr="002E4477">
        <w:rPr>
          <w:szCs w:val="28"/>
          <w:lang w:val="es-CO" w:eastAsia="es-CO"/>
        </w:rPr>
        <w:t xml:space="preserve"> </w:t>
      </w:r>
      <w:r w:rsidR="00381C67" w:rsidRPr="002E4477">
        <w:rPr>
          <w:szCs w:val="28"/>
          <w:lang w:val="es-CO" w:eastAsia="es-CO"/>
        </w:rPr>
        <w:t xml:space="preserve">al </w:t>
      </w:r>
      <w:r w:rsidRPr="002E4477">
        <w:rPr>
          <w:szCs w:val="28"/>
          <w:lang w:val="es-CO" w:eastAsia="es-CO"/>
        </w:rPr>
        <w:t xml:space="preserve">Presidente, pero con sujeción a la ley, a fin de cumplir los compromisos directamente impuestos por la Carta Política. </w:t>
      </w:r>
    </w:p>
    <w:p w14:paraId="102EE918" w14:textId="77777777" w:rsidR="004A4CED" w:rsidRPr="002E4477" w:rsidRDefault="004A4CED" w:rsidP="004A4CED">
      <w:pPr>
        <w:pStyle w:val="Prrafodelista"/>
        <w:tabs>
          <w:tab w:val="left" w:pos="567"/>
        </w:tabs>
        <w:ind w:left="0" w:right="49"/>
        <w:contextualSpacing/>
        <w:jc w:val="both"/>
        <w:rPr>
          <w:b/>
          <w:bCs/>
          <w:szCs w:val="28"/>
        </w:rPr>
      </w:pPr>
    </w:p>
    <w:p w14:paraId="72B10785" w14:textId="77777777" w:rsidR="00E91674" w:rsidRPr="002E4477" w:rsidRDefault="00C907E7" w:rsidP="00962603">
      <w:pPr>
        <w:pStyle w:val="Prrafodelista"/>
        <w:numPr>
          <w:ilvl w:val="0"/>
          <w:numId w:val="10"/>
        </w:numPr>
        <w:tabs>
          <w:tab w:val="left" w:pos="567"/>
        </w:tabs>
        <w:ind w:right="49"/>
        <w:contextualSpacing/>
        <w:jc w:val="both"/>
        <w:rPr>
          <w:b/>
          <w:bCs/>
          <w:szCs w:val="28"/>
        </w:rPr>
      </w:pPr>
      <w:r w:rsidRPr="002E4477">
        <w:rPr>
          <w:szCs w:val="28"/>
          <w:lang w:val="es-CO" w:eastAsia="es-CO"/>
        </w:rPr>
        <w:t xml:space="preserve">En los anteriores términos, </w:t>
      </w:r>
      <w:r w:rsidR="005F496A" w:rsidRPr="002E4477">
        <w:rPr>
          <w:szCs w:val="28"/>
          <w:lang w:val="es-CO" w:eastAsia="es-CO"/>
        </w:rPr>
        <w:t xml:space="preserve">se concretan </w:t>
      </w:r>
      <w:r w:rsidR="0034186B" w:rsidRPr="002E4477">
        <w:rPr>
          <w:szCs w:val="28"/>
          <w:lang w:val="es-CO" w:eastAsia="es-CO"/>
        </w:rPr>
        <w:t>entonce</w:t>
      </w:r>
      <w:r w:rsidR="00381C67" w:rsidRPr="002E4477">
        <w:rPr>
          <w:szCs w:val="28"/>
          <w:lang w:val="es-CO" w:eastAsia="es-CO"/>
        </w:rPr>
        <w:t>s</w:t>
      </w:r>
      <w:r w:rsidR="0034186B" w:rsidRPr="002E4477">
        <w:rPr>
          <w:szCs w:val="28"/>
          <w:lang w:val="es-CO" w:eastAsia="es-CO"/>
        </w:rPr>
        <w:t xml:space="preserve"> </w:t>
      </w:r>
      <w:r w:rsidR="005F496A" w:rsidRPr="002E4477">
        <w:rPr>
          <w:szCs w:val="28"/>
          <w:lang w:val="es-CO" w:eastAsia="es-CO"/>
        </w:rPr>
        <w:t xml:space="preserve">las diferencias </w:t>
      </w:r>
      <w:r w:rsidR="00381C67" w:rsidRPr="002E4477">
        <w:rPr>
          <w:szCs w:val="28"/>
          <w:lang w:val="es-CO" w:eastAsia="es-CO"/>
        </w:rPr>
        <w:t xml:space="preserve">entre </w:t>
      </w:r>
      <w:r w:rsidR="004A4CED" w:rsidRPr="002E4477">
        <w:rPr>
          <w:szCs w:val="28"/>
          <w:lang w:val="es-CO" w:eastAsia="es-CO"/>
        </w:rPr>
        <w:t xml:space="preserve">las expresiones </w:t>
      </w:r>
      <w:r w:rsidR="005F496A" w:rsidRPr="002E4477">
        <w:rPr>
          <w:i/>
          <w:szCs w:val="28"/>
          <w:lang w:val="es-CO" w:eastAsia="es-CO"/>
        </w:rPr>
        <w:t>cláu</w:t>
      </w:r>
      <w:r w:rsidR="0034186B" w:rsidRPr="002E4477">
        <w:rPr>
          <w:i/>
          <w:szCs w:val="28"/>
          <w:lang w:val="es-CO" w:eastAsia="es-CO"/>
        </w:rPr>
        <w:t>sula general de competencia,</w:t>
      </w:r>
      <w:r w:rsidR="005F496A" w:rsidRPr="002E4477">
        <w:rPr>
          <w:i/>
          <w:szCs w:val="28"/>
          <w:lang w:val="es-CO" w:eastAsia="es-CO"/>
        </w:rPr>
        <w:t xml:space="preserve"> reserva de ley</w:t>
      </w:r>
      <w:r w:rsidR="0034186B" w:rsidRPr="002E4477">
        <w:rPr>
          <w:szCs w:val="28"/>
          <w:lang w:val="es-CO" w:eastAsia="es-CO"/>
        </w:rPr>
        <w:t xml:space="preserve"> </w:t>
      </w:r>
      <w:r w:rsidR="0034186B" w:rsidRPr="002E4477">
        <w:rPr>
          <w:i/>
          <w:szCs w:val="28"/>
          <w:lang w:val="es-CO" w:eastAsia="es-CO"/>
        </w:rPr>
        <w:t>y potestad reglamentaria</w:t>
      </w:r>
      <w:r w:rsidR="0034186B" w:rsidRPr="002E4477">
        <w:rPr>
          <w:szCs w:val="28"/>
          <w:lang w:val="es-CO" w:eastAsia="es-CO"/>
        </w:rPr>
        <w:t>,</w:t>
      </w:r>
      <w:r w:rsidR="005F496A" w:rsidRPr="002E4477">
        <w:rPr>
          <w:szCs w:val="28"/>
          <w:lang w:val="es-CO" w:eastAsia="es-CO"/>
        </w:rPr>
        <w:t xml:space="preserve"> que </w:t>
      </w:r>
      <w:r w:rsidR="00E91674" w:rsidRPr="002E4477">
        <w:rPr>
          <w:szCs w:val="28"/>
          <w:lang w:val="es-CO" w:eastAsia="es-CO"/>
        </w:rPr>
        <w:t>inciden</w:t>
      </w:r>
      <w:r w:rsidR="0034186B" w:rsidRPr="002E4477">
        <w:rPr>
          <w:szCs w:val="28"/>
          <w:lang w:val="es-CO" w:eastAsia="es-CO"/>
        </w:rPr>
        <w:t xml:space="preserve"> en el debate de </w:t>
      </w:r>
      <w:r w:rsidR="005F496A" w:rsidRPr="002E4477">
        <w:rPr>
          <w:szCs w:val="28"/>
          <w:lang w:val="es-CO" w:eastAsia="es-CO"/>
        </w:rPr>
        <w:t xml:space="preserve">la situación que aquí se presenta. </w:t>
      </w:r>
    </w:p>
    <w:p w14:paraId="0C7A764D" w14:textId="77777777" w:rsidR="00E91674" w:rsidRPr="002E4477" w:rsidRDefault="00E91674" w:rsidP="00EC0A8F">
      <w:pPr>
        <w:pStyle w:val="Prrafodelista"/>
        <w:tabs>
          <w:tab w:val="left" w:pos="567"/>
        </w:tabs>
        <w:spacing w:line="276" w:lineRule="auto"/>
        <w:ind w:left="0" w:right="49"/>
        <w:contextualSpacing/>
        <w:jc w:val="both"/>
        <w:rPr>
          <w:b/>
          <w:bCs/>
          <w:szCs w:val="28"/>
        </w:rPr>
      </w:pPr>
    </w:p>
    <w:p w14:paraId="51191A8C" w14:textId="77777777" w:rsidR="00E91674" w:rsidRPr="002E4477" w:rsidRDefault="00C347F2" w:rsidP="00E82ECC">
      <w:pPr>
        <w:pStyle w:val="NormalWeb"/>
        <w:tabs>
          <w:tab w:val="left" w:pos="426"/>
        </w:tabs>
        <w:spacing w:before="0" w:beforeAutospacing="0" w:after="0" w:afterAutospacing="0"/>
        <w:ind w:right="49"/>
        <w:jc w:val="both"/>
        <w:rPr>
          <w:b/>
          <w:bCs/>
          <w:i/>
          <w:iCs/>
          <w:sz w:val="28"/>
          <w:szCs w:val="28"/>
        </w:rPr>
      </w:pPr>
      <w:r w:rsidRPr="00B84D0E">
        <w:rPr>
          <w:b/>
          <w:bCs/>
          <w:i/>
          <w:iCs/>
          <w:sz w:val="28"/>
          <w:szCs w:val="28"/>
        </w:rPr>
        <w:t xml:space="preserve">La existencia de </w:t>
      </w:r>
      <w:r w:rsidR="00E91674" w:rsidRPr="00B84D0E">
        <w:rPr>
          <w:b/>
          <w:bCs/>
          <w:i/>
          <w:iCs/>
          <w:sz w:val="28"/>
          <w:szCs w:val="28"/>
        </w:rPr>
        <w:t>Reglamentos autónomos</w:t>
      </w:r>
      <w:r w:rsidR="00283103" w:rsidRPr="002E4477">
        <w:rPr>
          <w:b/>
          <w:bCs/>
          <w:i/>
          <w:iCs/>
          <w:sz w:val="28"/>
          <w:szCs w:val="28"/>
        </w:rPr>
        <w:t xml:space="preserve"> </w:t>
      </w:r>
    </w:p>
    <w:p w14:paraId="4B1C5E00" w14:textId="77777777" w:rsidR="00E91674" w:rsidRPr="002E4477" w:rsidRDefault="00E91674" w:rsidP="00EC0A8F">
      <w:pPr>
        <w:pStyle w:val="Prrafodelista"/>
        <w:tabs>
          <w:tab w:val="left" w:pos="567"/>
        </w:tabs>
        <w:spacing w:line="276" w:lineRule="auto"/>
        <w:ind w:left="0" w:right="49"/>
        <w:contextualSpacing/>
        <w:jc w:val="both"/>
        <w:rPr>
          <w:bCs/>
          <w:szCs w:val="28"/>
        </w:rPr>
      </w:pPr>
    </w:p>
    <w:p w14:paraId="1A4F0A7B" w14:textId="77777777" w:rsidR="00435047" w:rsidRPr="002E4477" w:rsidRDefault="00E91674" w:rsidP="00962603">
      <w:pPr>
        <w:pStyle w:val="Prrafodelista"/>
        <w:numPr>
          <w:ilvl w:val="0"/>
          <w:numId w:val="10"/>
        </w:numPr>
        <w:tabs>
          <w:tab w:val="left" w:pos="567"/>
        </w:tabs>
        <w:ind w:right="49"/>
        <w:contextualSpacing/>
        <w:jc w:val="both"/>
        <w:rPr>
          <w:bCs/>
          <w:szCs w:val="28"/>
        </w:rPr>
      </w:pPr>
      <w:r w:rsidRPr="002E4477">
        <w:rPr>
          <w:bCs/>
          <w:szCs w:val="28"/>
        </w:rPr>
        <w:t xml:space="preserve"> </w:t>
      </w:r>
      <w:r w:rsidR="007B57F0" w:rsidRPr="002E4477">
        <w:rPr>
          <w:bCs/>
          <w:szCs w:val="28"/>
        </w:rPr>
        <w:t xml:space="preserve">En la </w:t>
      </w:r>
      <w:r w:rsidR="007B57F0" w:rsidRPr="002E4477">
        <w:rPr>
          <w:b/>
          <w:bCs/>
          <w:szCs w:val="28"/>
        </w:rPr>
        <w:t>Sentencia C-021 de 1993</w:t>
      </w:r>
      <w:r w:rsidR="007B57F0" w:rsidRPr="002E4477">
        <w:rPr>
          <w:rStyle w:val="Refdenotaalpie"/>
          <w:bCs/>
          <w:szCs w:val="28"/>
        </w:rPr>
        <w:footnoteReference w:id="273"/>
      </w:r>
      <w:r w:rsidR="007B57F0" w:rsidRPr="002E4477">
        <w:rPr>
          <w:bCs/>
          <w:szCs w:val="28"/>
        </w:rPr>
        <w:t xml:space="preserve"> se </w:t>
      </w:r>
      <w:r w:rsidR="004A4CED" w:rsidRPr="002E4477">
        <w:rPr>
          <w:bCs/>
          <w:szCs w:val="28"/>
        </w:rPr>
        <w:t>contempló</w:t>
      </w:r>
      <w:r w:rsidR="007B57F0" w:rsidRPr="002E4477">
        <w:rPr>
          <w:bCs/>
          <w:szCs w:val="28"/>
        </w:rPr>
        <w:t xml:space="preserve"> por primera vez en la jurisprudencia</w:t>
      </w:r>
      <w:r w:rsidR="00F50F2B" w:rsidRPr="002E4477">
        <w:rPr>
          <w:bCs/>
          <w:szCs w:val="28"/>
        </w:rPr>
        <w:t xml:space="preserve"> posterior</w:t>
      </w:r>
      <w:r w:rsidR="004A4CED" w:rsidRPr="002E4477">
        <w:rPr>
          <w:bCs/>
          <w:szCs w:val="28"/>
        </w:rPr>
        <w:t xml:space="preserve"> a la entrada en vigor de la Constitución de 1991</w:t>
      </w:r>
      <w:r w:rsidR="007B57F0" w:rsidRPr="002E4477">
        <w:rPr>
          <w:bCs/>
          <w:szCs w:val="28"/>
        </w:rPr>
        <w:t xml:space="preserve">, la posibilidad de que existieran efectivamente atribuciones directas de la Carta </w:t>
      </w:r>
      <w:r w:rsidR="00F50F2B" w:rsidRPr="002E4477">
        <w:rPr>
          <w:bCs/>
          <w:szCs w:val="28"/>
        </w:rPr>
        <w:t xml:space="preserve">dirigidas a </w:t>
      </w:r>
      <w:r w:rsidR="007B57F0" w:rsidRPr="002E4477">
        <w:rPr>
          <w:bCs/>
          <w:szCs w:val="28"/>
        </w:rPr>
        <w:t>las autoridades administrativas</w:t>
      </w:r>
      <w:r w:rsidR="00F50F2B" w:rsidRPr="002E4477">
        <w:rPr>
          <w:bCs/>
          <w:szCs w:val="28"/>
        </w:rPr>
        <w:t>,</w:t>
      </w:r>
      <w:r w:rsidR="007B57F0" w:rsidRPr="002E4477">
        <w:rPr>
          <w:bCs/>
          <w:szCs w:val="28"/>
        </w:rPr>
        <w:t xml:space="preserve"> </w:t>
      </w:r>
      <w:r w:rsidR="00F50F2B" w:rsidRPr="002E4477">
        <w:rPr>
          <w:bCs/>
          <w:szCs w:val="28"/>
        </w:rPr>
        <w:t xml:space="preserve">que les confirieran </w:t>
      </w:r>
      <w:r w:rsidR="007B57F0" w:rsidRPr="002E4477">
        <w:rPr>
          <w:bCs/>
          <w:szCs w:val="28"/>
        </w:rPr>
        <w:t>la po</w:t>
      </w:r>
      <w:r w:rsidR="004A4CED" w:rsidRPr="002E4477">
        <w:rPr>
          <w:bCs/>
          <w:szCs w:val="28"/>
        </w:rPr>
        <w:t>testad</w:t>
      </w:r>
      <w:r w:rsidR="007B57F0" w:rsidRPr="002E4477">
        <w:rPr>
          <w:bCs/>
          <w:szCs w:val="28"/>
        </w:rPr>
        <w:t xml:space="preserve"> de desarrollar reglamentos autónomos</w:t>
      </w:r>
      <w:r w:rsidR="00D80320" w:rsidRPr="002E4477">
        <w:rPr>
          <w:bCs/>
          <w:szCs w:val="28"/>
        </w:rPr>
        <w:t xml:space="preserve">, esto es, </w:t>
      </w:r>
      <w:r w:rsidR="00F23A59" w:rsidRPr="002E4477">
        <w:rPr>
          <w:bCs/>
          <w:szCs w:val="28"/>
        </w:rPr>
        <w:t>reglamentos carentes de</w:t>
      </w:r>
      <w:r w:rsidR="00D80320" w:rsidRPr="002E4477">
        <w:rPr>
          <w:bCs/>
          <w:szCs w:val="28"/>
        </w:rPr>
        <w:t xml:space="preserve"> una habilitación</w:t>
      </w:r>
      <w:r w:rsidR="00F50F2B" w:rsidRPr="002E4477">
        <w:rPr>
          <w:bCs/>
          <w:szCs w:val="28"/>
        </w:rPr>
        <w:t xml:space="preserve"> legal previa</w:t>
      </w:r>
      <w:r w:rsidR="007B57F0" w:rsidRPr="002E4477">
        <w:rPr>
          <w:bCs/>
          <w:szCs w:val="28"/>
        </w:rPr>
        <w:t xml:space="preserve">. </w:t>
      </w:r>
      <w:r w:rsidR="004A4CED" w:rsidRPr="002E4477">
        <w:rPr>
          <w:bCs/>
          <w:szCs w:val="28"/>
        </w:rPr>
        <w:t>E</w:t>
      </w:r>
      <w:r w:rsidR="007B57F0" w:rsidRPr="002E4477">
        <w:rPr>
          <w:bCs/>
          <w:szCs w:val="28"/>
        </w:rPr>
        <w:t xml:space="preserve">sa providencia </w:t>
      </w:r>
      <w:r w:rsidR="004A4CED" w:rsidRPr="002E4477">
        <w:rPr>
          <w:bCs/>
          <w:szCs w:val="28"/>
        </w:rPr>
        <w:t xml:space="preserve">señaló que </w:t>
      </w:r>
      <w:r w:rsidR="007B57F0" w:rsidRPr="002E4477">
        <w:rPr>
          <w:bCs/>
          <w:szCs w:val="28"/>
        </w:rPr>
        <w:t>el artículo 120 numeral 14</w:t>
      </w:r>
      <w:r w:rsidR="004A4CED" w:rsidRPr="002E4477">
        <w:rPr>
          <w:bCs/>
          <w:szCs w:val="28"/>
        </w:rPr>
        <w:t xml:space="preserve"> de la </w:t>
      </w:r>
      <w:r w:rsidR="00435047" w:rsidRPr="002E4477">
        <w:rPr>
          <w:bCs/>
          <w:szCs w:val="28"/>
        </w:rPr>
        <w:t>Carta de 1886</w:t>
      </w:r>
      <w:r w:rsidR="004A4CED" w:rsidRPr="002E4477">
        <w:rPr>
          <w:bCs/>
          <w:szCs w:val="28"/>
        </w:rPr>
        <w:t>,</w:t>
      </w:r>
      <w:r w:rsidR="007B57F0" w:rsidRPr="002E4477">
        <w:rPr>
          <w:bCs/>
          <w:szCs w:val="28"/>
        </w:rPr>
        <w:t xml:space="preserve"> consagraba una atribución constitucional propia </w:t>
      </w:r>
      <w:r w:rsidR="00435047" w:rsidRPr="002E4477">
        <w:rPr>
          <w:bCs/>
          <w:szCs w:val="28"/>
        </w:rPr>
        <w:t>en favor del</w:t>
      </w:r>
      <w:r w:rsidR="007B57F0" w:rsidRPr="002E4477">
        <w:rPr>
          <w:bCs/>
          <w:szCs w:val="28"/>
        </w:rPr>
        <w:t xml:space="preserve"> </w:t>
      </w:r>
      <w:r w:rsidR="007B57F0" w:rsidRPr="002E4477">
        <w:rPr>
          <w:iCs/>
          <w:szCs w:val="28"/>
        </w:rPr>
        <w:t>Presidente de la República</w:t>
      </w:r>
      <w:r w:rsidR="00435047" w:rsidRPr="002E4477">
        <w:rPr>
          <w:iCs/>
          <w:szCs w:val="28"/>
        </w:rPr>
        <w:t>,</w:t>
      </w:r>
      <w:r w:rsidR="007B57F0" w:rsidRPr="002E4477">
        <w:rPr>
          <w:iCs/>
          <w:szCs w:val="28"/>
        </w:rPr>
        <w:t xml:space="preserve"> que daba lugar a la expedición de reglamentos autónomos </w:t>
      </w:r>
      <w:r w:rsidR="00F50F2B" w:rsidRPr="002E4477">
        <w:rPr>
          <w:iCs/>
          <w:szCs w:val="28"/>
        </w:rPr>
        <w:t xml:space="preserve">de desarrollo </w:t>
      </w:r>
      <w:r w:rsidR="00E555F5" w:rsidRPr="002E4477">
        <w:rPr>
          <w:iCs/>
          <w:szCs w:val="28"/>
        </w:rPr>
        <w:t>direct</w:t>
      </w:r>
      <w:r w:rsidR="00F50F2B" w:rsidRPr="002E4477">
        <w:rPr>
          <w:iCs/>
          <w:szCs w:val="28"/>
        </w:rPr>
        <w:t>o de</w:t>
      </w:r>
      <w:r w:rsidR="00E555F5" w:rsidRPr="002E4477">
        <w:rPr>
          <w:iCs/>
          <w:szCs w:val="28"/>
        </w:rPr>
        <w:t xml:space="preserve"> </w:t>
      </w:r>
      <w:r w:rsidR="007B57F0" w:rsidRPr="002E4477">
        <w:rPr>
          <w:iCs/>
          <w:szCs w:val="28"/>
        </w:rPr>
        <w:t>la Carta, sin que fuera necesaria la existencia de</w:t>
      </w:r>
      <w:r w:rsidR="00435047" w:rsidRPr="002E4477">
        <w:rPr>
          <w:iCs/>
          <w:szCs w:val="28"/>
        </w:rPr>
        <w:t xml:space="preserve"> una</w:t>
      </w:r>
      <w:r w:rsidR="007B57F0" w:rsidRPr="002E4477">
        <w:rPr>
          <w:iCs/>
          <w:szCs w:val="28"/>
        </w:rPr>
        <w:t xml:space="preserve"> ley previa. </w:t>
      </w:r>
    </w:p>
    <w:p w14:paraId="6551DA69" w14:textId="77777777" w:rsidR="00435047" w:rsidRPr="002E4477" w:rsidRDefault="00435047" w:rsidP="00435047">
      <w:pPr>
        <w:pStyle w:val="Prrafodelista"/>
        <w:tabs>
          <w:tab w:val="left" w:pos="567"/>
        </w:tabs>
        <w:ind w:left="0" w:right="49"/>
        <w:contextualSpacing/>
        <w:jc w:val="both"/>
        <w:rPr>
          <w:iCs/>
          <w:szCs w:val="28"/>
        </w:rPr>
      </w:pPr>
    </w:p>
    <w:p w14:paraId="1034E429" w14:textId="77777777" w:rsidR="00C56EAB" w:rsidRPr="002E4477" w:rsidRDefault="007B57F0" w:rsidP="00435047">
      <w:pPr>
        <w:pStyle w:val="Prrafodelista"/>
        <w:tabs>
          <w:tab w:val="left" w:pos="567"/>
        </w:tabs>
        <w:ind w:left="0" w:right="49"/>
        <w:contextualSpacing/>
        <w:jc w:val="both"/>
        <w:rPr>
          <w:rStyle w:val="letra14pt"/>
          <w:bCs/>
          <w:szCs w:val="28"/>
        </w:rPr>
      </w:pPr>
      <w:r w:rsidRPr="002E4477">
        <w:rPr>
          <w:iCs/>
          <w:szCs w:val="28"/>
        </w:rPr>
        <w:t>Se dijo</w:t>
      </w:r>
      <w:r w:rsidR="00920C4A" w:rsidRPr="002E4477">
        <w:rPr>
          <w:iCs/>
          <w:szCs w:val="28"/>
        </w:rPr>
        <w:t xml:space="preserve"> en </w:t>
      </w:r>
      <w:r w:rsidR="00E555F5" w:rsidRPr="002E4477">
        <w:rPr>
          <w:iCs/>
          <w:szCs w:val="28"/>
        </w:rPr>
        <w:t>el fallo que se describe,</w:t>
      </w:r>
      <w:r w:rsidRPr="002E4477">
        <w:rPr>
          <w:iCs/>
          <w:szCs w:val="28"/>
        </w:rPr>
        <w:t xml:space="preserve"> que se trataba de una directriz constitucional</w:t>
      </w:r>
      <w:r w:rsidR="00435047" w:rsidRPr="002E4477">
        <w:rPr>
          <w:iCs/>
          <w:szCs w:val="28"/>
        </w:rPr>
        <w:t xml:space="preserve"> </w:t>
      </w:r>
      <w:r w:rsidRPr="002E4477">
        <w:rPr>
          <w:iCs/>
          <w:szCs w:val="28"/>
        </w:rPr>
        <w:t>que</w:t>
      </w:r>
      <w:r w:rsidR="00435047" w:rsidRPr="002E4477">
        <w:rPr>
          <w:iCs/>
          <w:szCs w:val="28"/>
        </w:rPr>
        <w:t>,</w:t>
      </w:r>
      <w:r w:rsidRPr="002E4477">
        <w:rPr>
          <w:iCs/>
          <w:szCs w:val="28"/>
        </w:rPr>
        <w:t xml:space="preserve"> sin embargo, no excluía la p</w:t>
      </w:r>
      <w:r w:rsidR="00D80320" w:rsidRPr="002E4477">
        <w:rPr>
          <w:iCs/>
          <w:szCs w:val="28"/>
        </w:rPr>
        <w:t>osibilidad de intervención del L</w:t>
      </w:r>
      <w:r w:rsidRPr="002E4477">
        <w:rPr>
          <w:iCs/>
          <w:szCs w:val="28"/>
        </w:rPr>
        <w:t>egislador</w:t>
      </w:r>
      <w:r w:rsidR="00D80320" w:rsidRPr="002E4477">
        <w:rPr>
          <w:iCs/>
          <w:szCs w:val="28"/>
        </w:rPr>
        <w:t xml:space="preserve"> en cualquier momento</w:t>
      </w:r>
      <w:r w:rsidRPr="002E4477">
        <w:rPr>
          <w:iCs/>
          <w:szCs w:val="28"/>
        </w:rPr>
        <w:t xml:space="preserve">, de manera tal que el Congreso podía regular parcial o totalmente todos los aspectos que </w:t>
      </w:r>
      <w:r w:rsidR="00283103" w:rsidRPr="002E4477">
        <w:rPr>
          <w:iCs/>
          <w:szCs w:val="28"/>
        </w:rPr>
        <w:t xml:space="preserve">tenían que ver con los reglamentos </w:t>
      </w:r>
      <w:r w:rsidRPr="002E4477">
        <w:rPr>
          <w:iCs/>
          <w:szCs w:val="28"/>
        </w:rPr>
        <w:t>mencionados.</w:t>
      </w:r>
      <w:r w:rsidR="00D80320" w:rsidRPr="002E4477">
        <w:rPr>
          <w:iCs/>
          <w:szCs w:val="28"/>
        </w:rPr>
        <w:t xml:space="preserve"> En palabras de </w:t>
      </w:r>
      <w:r w:rsidR="00E555F5" w:rsidRPr="002E4477">
        <w:rPr>
          <w:iCs/>
          <w:szCs w:val="28"/>
        </w:rPr>
        <w:t>l</w:t>
      </w:r>
      <w:r w:rsidR="00D80320" w:rsidRPr="002E4477">
        <w:rPr>
          <w:iCs/>
          <w:szCs w:val="28"/>
        </w:rPr>
        <w:t>a</w:t>
      </w:r>
      <w:r w:rsidR="00E82ECC" w:rsidRPr="002E4477">
        <w:rPr>
          <w:iCs/>
          <w:szCs w:val="28"/>
        </w:rPr>
        <w:t xml:space="preserve"> providencia:</w:t>
      </w:r>
    </w:p>
    <w:p w14:paraId="5821AF97" w14:textId="77777777" w:rsidR="00E82ECC" w:rsidRPr="000E05E7" w:rsidRDefault="00E82ECC" w:rsidP="000E05E7">
      <w:pPr>
        <w:pStyle w:val="margender0punto5"/>
        <w:ind w:left="284"/>
        <w:jc w:val="both"/>
        <w:rPr>
          <w:i/>
          <w:sz w:val="26"/>
          <w:szCs w:val="26"/>
        </w:rPr>
      </w:pPr>
      <w:r w:rsidRPr="000E05E7">
        <w:rPr>
          <w:rStyle w:val="letra14pt"/>
          <w:i/>
          <w:sz w:val="26"/>
          <w:szCs w:val="26"/>
        </w:rPr>
        <w:t xml:space="preserve">“[L]la fórmula del artículo 120 numeral 14 consagra una </w:t>
      </w:r>
      <w:r w:rsidRPr="000E05E7">
        <w:rPr>
          <w:rStyle w:val="letra14pt"/>
          <w:i/>
          <w:sz w:val="26"/>
          <w:szCs w:val="26"/>
          <w:u w:val="single"/>
        </w:rPr>
        <w:t xml:space="preserve">atribución constitucional propia del Presidente de la República que da lugar a la expedición de </w:t>
      </w:r>
      <w:r w:rsidRPr="000E05E7">
        <w:rPr>
          <w:rStyle w:val="letra14pt"/>
          <w:b/>
          <w:bCs/>
          <w:i/>
          <w:sz w:val="26"/>
          <w:szCs w:val="26"/>
          <w:u w:val="single"/>
        </w:rPr>
        <w:t>reglamentos autónomos de desarrollo directo de la Carta</w:t>
      </w:r>
      <w:r w:rsidRPr="000E05E7">
        <w:rPr>
          <w:rStyle w:val="letra14pt"/>
          <w:i/>
          <w:sz w:val="26"/>
          <w:szCs w:val="26"/>
          <w:u w:val="single"/>
        </w:rPr>
        <w:t>, sin que sea necesaria la existencia de ley previa</w:t>
      </w:r>
      <w:r w:rsidRPr="000E05E7">
        <w:rPr>
          <w:rStyle w:val="letra14pt"/>
          <w:i/>
          <w:sz w:val="26"/>
          <w:szCs w:val="26"/>
        </w:rPr>
        <w:t>. Tales reglamentos pueden desarrollar, complementar e incluso suplir una ley. Pero</w:t>
      </w:r>
      <w:r w:rsidRPr="000E05E7">
        <w:rPr>
          <w:rStyle w:val="letra14pt"/>
          <w:i/>
          <w:sz w:val="26"/>
          <w:szCs w:val="26"/>
          <w:u w:val="single"/>
        </w:rPr>
        <w:t>, en ningún caso, excluyen la posibilidad de intervención del legislador en las materias a las que se refieren, ni pueden contradecir o derogar una ley de la República</w:t>
      </w:r>
      <w:r w:rsidRPr="000E05E7">
        <w:rPr>
          <w:rStyle w:val="letra14pt"/>
          <w:i/>
          <w:sz w:val="26"/>
          <w:szCs w:val="26"/>
        </w:rPr>
        <w:t>.  </w:t>
      </w:r>
    </w:p>
    <w:p w14:paraId="1F5A24A0" w14:textId="77777777" w:rsidR="00E82ECC" w:rsidRPr="000E05E7" w:rsidRDefault="00E82ECC" w:rsidP="000E05E7">
      <w:pPr>
        <w:pStyle w:val="margender0punto5"/>
        <w:ind w:left="284"/>
        <w:jc w:val="both"/>
        <w:rPr>
          <w:i/>
          <w:sz w:val="26"/>
          <w:szCs w:val="26"/>
        </w:rPr>
      </w:pPr>
      <w:r w:rsidRPr="000E05E7">
        <w:rPr>
          <w:rStyle w:val="letra14pt"/>
          <w:i/>
          <w:sz w:val="26"/>
          <w:szCs w:val="26"/>
          <w:u w:val="single"/>
        </w:rPr>
        <w:t>La tesis de la prevalencia de la ley sobre cualquier tipo de reglamento (legal o constitucional) no puede ser desvirtuada simplemente por un análisis gramatical, descontextualizado y asistemático</w:t>
      </w:r>
      <w:r w:rsidRPr="000E05E7">
        <w:rPr>
          <w:rStyle w:val="letra14pt"/>
          <w:i/>
          <w:sz w:val="26"/>
          <w:szCs w:val="26"/>
        </w:rPr>
        <w:t xml:space="preserve"> de una norma de la Constitución. Porque está en juego ni más ni menos</w:t>
      </w:r>
      <w:r w:rsidR="00F42599" w:rsidRPr="000E05E7">
        <w:rPr>
          <w:rStyle w:val="letra14pt"/>
          <w:i/>
          <w:sz w:val="26"/>
          <w:szCs w:val="26"/>
        </w:rPr>
        <w:t>,</w:t>
      </w:r>
      <w:r w:rsidRPr="000E05E7">
        <w:rPr>
          <w:rStyle w:val="letra14pt"/>
          <w:i/>
          <w:sz w:val="26"/>
          <w:szCs w:val="26"/>
        </w:rPr>
        <w:t xml:space="preserve"> una de las garantías más importantes del Estado de derecho, que consiste en otorgar primacía indiscutible a la manifestación formal de la comunidad representada en el Congreso o parlamento.</w:t>
      </w:r>
    </w:p>
    <w:p w14:paraId="603BCFC3" w14:textId="77777777" w:rsidR="00E82ECC" w:rsidRPr="000E05E7" w:rsidRDefault="00E82ECC" w:rsidP="000E05E7">
      <w:pPr>
        <w:pStyle w:val="margender0punto5"/>
        <w:ind w:left="284"/>
        <w:jc w:val="both"/>
        <w:rPr>
          <w:i/>
          <w:sz w:val="26"/>
          <w:szCs w:val="26"/>
        </w:rPr>
      </w:pPr>
      <w:r w:rsidRPr="000E05E7">
        <w:rPr>
          <w:rStyle w:val="letra14pt"/>
          <w:i/>
          <w:sz w:val="26"/>
          <w:szCs w:val="26"/>
        </w:rPr>
        <w:t xml:space="preserve">Se trata, entonces, de una primacía formal que emerge de la propia </w:t>
      </w:r>
      <w:r w:rsidR="00897C6E" w:rsidRPr="000E05E7">
        <w:rPr>
          <w:rStyle w:val="letra14pt"/>
          <w:i/>
          <w:sz w:val="26"/>
          <w:szCs w:val="26"/>
        </w:rPr>
        <w:t>fuente de</w:t>
      </w:r>
      <w:r w:rsidRPr="000E05E7">
        <w:rPr>
          <w:rStyle w:val="letra14pt"/>
          <w:i/>
          <w:sz w:val="26"/>
          <w:szCs w:val="26"/>
        </w:rPr>
        <w:t xml:space="preserve"> la legitimidad del poder. En virtud de ello, </w:t>
      </w:r>
      <w:r w:rsidR="00A14676" w:rsidRPr="000E05E7">
        <w:rPr>
          <w:rStyle w:val="letra14pt"/>
          <w:i/>
          <w:sz w:val="26"/>
          <w:szCs w:val="26"/>
        </w:rPr>
        <w:t>a</w:t>
      </w:r>
      <w:r w:rsidRPr="000E05E7">
        <w:rPr>
          <w:rStyle w:val="letra14pt"/>
          <w:i/>
          <w:sz w:val="26"/>
          <w:szCs w:val="26"/>
        </w:rPr>
        <w:t>l Congreso se le encomienda la regulación de todas las materias no atribuidas expresamente a otra rama del</w:t>
      </w:r>
      <w:r w:rsidRPr="000E05E7">
        <w:rPr>
          <w:rStyle w:val="letra14pt"/>
          <w:sz w:val="26"/>
          <w:szCs w:val="26"/>
        </w:rPr>
        <w:t xml:space="preserve"> poder público. La </w:t>
      </w:r>
      <w:r w:rsidRPr="000E05E7">
        <w:rPr>
          <w:rStyle w:val="letra14pt"/>
          <w:i/>
          <w:sz w:val="26"/>
          <w:szCs w:val="26"/>
        </w:rPr>
        <w:t xml:space="preserve">rama administrativa, en desarrollo de la ley o directamente de la </w:t>
      </w:r>
      <w:r w:rsidR="00897C6E" w:rsidRPr="000E05E7">
        <w:rPr>
          <w:rStyle w:val="letra14pt"/>
          <w:i/>
          <w:sz w:val="26"/>
          <w:szCs w:val="26"/>
        </w:rPr>
        <w:t>Constitución, tiene</w:t>
      </w:r>
      <w:r w:rsidRPr="000E05E7">
        <w:rPr>
          <w:rStyle w:val="letra14pt"/>
          <w:i/>
          <w:sz w:val="26"/>
          <w:szCs w:val="26"/>
        </w:rPr>
        <w:t xml:space="preserve"> un amplio campo de acción, pero encuentra límites expresos en la ley a la que, en cualquier caso, debe respetar y no puede excluir. </w:t>
      </w:r>
      <w:r w:rsidRPr="000E05E7">
        <w:rPr>
          <w:rStyle w:val="letra14pt"/>
          <w:i/>
          <w:sz w:val="26"/>
          <w:szCs w:val="26"/>
          <w:u w:val="single"/>
        </w:rPr>
        <w:t>Se trata simplemente del cumplimiento de un principio cardinal del sistema jurídico: la jerarquía normativa</w:t>
      </w:r>
      <w:r w:rsidRPr="000E05E7">
        <w:rPr>
          <w:rStyle w:val="letra14pt"/>
          <w:i/>
          <w:sz w:val="26"/>
          <w:szCs w:val="26"/>
        </w:rPr>
        <w:t>.</w:t>
      </w:r>
    </w:p>
    <w:p w14:paraId="719E4A2C" w14:textId="77777777" w:rsidR="00E82ECC" w:rsidRPr="000E05E7" w:rsidRDefault="00E82ECC" w:rsidP="000E05E7">
      <w:pPr>
        <w:pStyle w:val="margender0punto5"/>
        <w:ind w:left="284"/>
        <w:jc w:val="both"/>
        <w:rPr>
          <w:i/>
          <w:sz w:val="26"/>
          <w:szCs w:val="26"/>
        </w:rPr>
      </w:pPr>
      <w:r w:rsidRPr="000E05E7">
        <w:rPr>
          <w:rStyle w:val="letra14pt"/>
          <w:i/>
          <w:sz w:val="26"/>
          <w:szCs w:val="26"/>
        </w:rPr>
        <w:t xml:space="preserve">El </w:t>
      </w:r>
      <w:r w:rsidRPr="000E05E7">
        <w:rPr>
          <w:rStyle w:val="letra14pt"/>
          <w:i/>
          <w:sz w:val="26"/>
          <w:szCs w:val="26"/>
          <w:u w:val="single"/>
        </w:rPr>
        <w:t>reglamento autónomo constitucional</w:t>
      </w:r>
      <w:r w:rsidRPr="000E05E7">
        <w:rPr>
          <w:rStyle w:val="letra14pt"/>
          <w:i/>
          <w:sz w:val="26"/>
          <w:szCs w:val="26"/>
        </w:rPr>
        <w:t xml:space="preserve"> se diferencia entonces del reglamento que desarrolla una ley, </w:t>
      </w:r>
      <w:r w:rsidRPr="000E05E7">
        <w:rPr>
          <w:rStyle w:val="letra14pt"/>
          <w:i/>
          <w:sz w:val="26"/>
          <w:szCs w:val="26"/>
          <w:u w:val="single"/>
        </w:rPr>
        <w:t>simplemente en que aquél no requiere ley previa</w:t>
      </w:r>
      <w:r w:rsidRPr="000E05E7">
        <w:rPr>
          <w:rStyle w:val="letra14pt"/>
          <w:i/>
          <w:sz w:val="26"/>
          <w:szCs w:val="26"/>
        </w:rPr>
        <w:t xml:space="preserve">, pues la propia Constitución ha establecido un ámbito especial que puede ser desarrollado directamente por el Gobierno. Ahora bien, tal afirmación no permite deducir que los reglamentos tengan jerarquía legal, o que excluyan la posible intervención de la ley en las materias a ellos adscritas. La cláusula general de competencia propia del legislador, indica que no hay ningún ámbito que pertenezca en forma exclusiva y excluyente al reglamento. </w:t>
      </w:r>
      <w:r w:rsidRPr="000E05E7">
        <w:rPr>
          <w:rStyle w:val="letra14pt"/>
          <w:i/>
          <w:sz w:val="26"/>
          <w:szCs w:val="26"/>
          <w:u w:val="single"/>
        </w:rPr>
        <w:t>En consecuencia, el Congreso puede regular parcial o totalmente todos los aspectos que atañen a los reglamentos</w:t>
      </w:r>
      <w:r w:rsidRPr="000E05E7">
        <w:rPr>
          <w:rStyle w:val="letra14pt"/>
          <w:i/>
          <w:sz w:val="26"/>
          <w:szCs w:val="26"/>
        </w:rPr>
        <w:t>.</w:t>
      </w:r>
    </w:p>
    <w:p w14:paraId="60906E1F" w14:textId="77777777" w:rsidR="00E82ECC" w:rsidRPr="000E05E7" w:rsidRDefault="00E82ECC" w:rsidP="000E05E7">
      <w:pPr>
        <w:pStyle w:val="margender0punto5"/>
        <w:ind w:left="284"/>
        <w:jc w:val="both"/>
        <w:rPr>
          <w:i/>
          <w:sz w:val="26"/>
          <w:szCs w:val="26"/>
        </w:rPr>
      </w:pPr>
      <w:r w:rsidRPr="000E05E7">
        <w:rPr>
          <w:rStyle w:val="letra14pt"/>
          <w:i/>
          <w:sz w:val="26"/>
          <w:szCs w:val="26"/>
        </w:rPr>
        <w:t xml:space="preserve">La creación de estos </w:t>
      </w:r>
      <w:r w:rsidRPr="000E05E7">
        <w:rPr>
          <w:rStyle w:val="letra14pt"/>
          <w:i/>
          <w:sz w:val="26"/>
          <w:szCs w:val="26"/>
          <w:u w:val="single"/>
        </w:rPr>
        <w:t xml:space="preserve">ámbitos especiales susceptibles de ser desarrollados directamente por el Gobierno sin que se requiera ley </w:t>
      </w:r>
      <w:r w:rsidR="00A14676" w:rsidRPr="000E05E7">
        <w:rPr>
          <w:rStyle w:val="letra14pt"/>
          <w:i/>
          <w:sz w:val="26"/>
          <w:szCs w:val="26"/>
          <w:u w:val="single"/>
        </w:rPr>
        <w:t>previa</w:t>
      </w:r>
      <w:r w:rsidR="00A14676" w:rsidRPr="000E05E7">
        <w:rPr>
          <w:rStyle w:val="letra14pt"/>
          <w:i/>
          <w:sz w:val="26"/>
          <w:szCs w:val="26"/>
        </w:rPr>
        <w:t>,</w:t>
      </w:r>
      <w:r w:rsidRPr="000E05E7">
        <w:rPr>
          <w:rStyle w:val="letra14pt"/>
          <w:i/>
          <w:sz w:val="26"/>
          <w:szCs w:val="26"/>
        </w:rPr>
        <w:t xml:space="preserve"> no implica en ningún caso una distribución material de competencias entre el ejecutivo y el legislativo. Si así lo fuera, si se excluyera</w:t>
      </w:r>
      <w:r w:rsidR="00435047" w:rsidRPr="000E05E7">
        <w:rPr>
          <w:rStyle w:val="letra14pt"/>
          <w:i/>
          <w:sz w:val="26"/>
          <w:szCs w:val="26"/>
        </w:rPr>
        <w:t xml:space="preserve"> (sic)</w:t>
      </w:r>
      <w:r w:rsidRPr="000E05E7">
        <w:rPr>
          <w:rStyle w:val="letra14pt"/>
          <w:i/>
          <w:sz w:val="26"/>
          <w:szCs w:val="26"/>
        </w:rPr>
        <w:t xml:space="preserve"> a la ley de un determinado ámbito jurídico material </w:t>
      </w:r>
      <w:r w:rsidR="00D4351E" w:rsidRPr="000E05E7">
        <w:rPr>
          <w:rStyle w:val="letra14pt"/>
          <w:i/>
          <w:sz w:val="26"/>
          <w:szCs w:val="26"/>
        </w:rPr>
        <w:t>sería</w:t>
      </w:r>
      <w:r w:rsidRPr="000E05E7">
        <w:rPr>
          <w:rStyle w:val="letra14pt"/>
          <w:i/>
          <w:sz w:val="26"/>
          <w:szCs w:val="26"/>
        </w:rPr>
        <w:t xml:space="preserve"> necesario que la Carta lo señalara expresamente y que no dejare duda alguna al respecto. Al fin y al cabo una garantía democrática como la que aquí está en </w:t>
      </w:r>
      <w:r w:rsidR="00435047" w:rsidRPr="000E05E7">
        <w:rPr>
          <w:rStyle w:val="letra14pt"/>
          <w:i/>
          <w:sz w:val="26"/>
          <w:szCs w:val="26"/>
        </w:rPr>
        <w:t>juego</w:t>
      </w:r>
      <w:r w:rsidRPr="000E05E7">
        <w:rPr>
          <w:rStyle w:val="letra14pt"/>
          <w:i/>
          <w:sz w:val="26"/>
          <w:szCs w:val="26"/>
        </w:rPr>
        <w:t xml:space="preserve"> no puede dejarse librada </w:t>
      </w:r>
      <w:r w:rsidR="00435047" w:rsidRPr="000E05E7">
        <w:rPr>
          <w:rStyle w:val="letra14pt"/>
          <w:i/>
          <w:sz w:val="26"/>
          <w:szCs w:val="26"/>
        </w:rPr>
        <w:t>a las</w:t>
      </w:r>
      <w:r w:rsidRPr="000E05E7">
        <w:rPr>
          <w:rStyle w:val="letra14pt"/>
          <w:i/>
          <w:sz w:val="26"/>
          <w:szCs w:val="26"/>
        </w:rPr>
        <w:t xml:space="preserve"> meras interpretaciones</w:t>
      </w:r>
      <w:r w:rsidR="00435047" w:rsidRPr="000E05E7">
        <w:rPr>
          <w:rStyle w:val="letra14pt"/>
          <w:i/>
          <w:sz w:val="26"/>
          <w:szCs w:val="26"/>
        </w:rPr>
        <w:t>”</w:t>
      </w:r>
      <w:r w:rsidRPr="000E05E7">
        <w:rPr>
          <w:rStyle w:val="letra14pt"/>
          <w:i/>
          <w:sz w:val="26"/>
          <w:szCs w:val="26"/>
        </w:rPr>
        <w:t>.</w:t>
      </w:r>
      <w:r w:rsidR="00435047" w:rsidRPr="000E05E7">
        <w:rPr>
          <w:rStyle w:val="letra14pt"/>
          <w:i/>
          <w:sz w:val="26"/>
          <w:szCs w:val="26"/>
        </w:rPr>
        <w:t xml:space="preserve"> </w:t>
      </w:r>
      <w:r w:rsidR="00435047" w:rsidRPr="000E05E7">
        <w:rPr>
          <w:rStyle w:val="letra14pt"/>
          <w:iCs/>
          <w:sz w:val="28"/>
          <w:szCs w:val="28"/>
        </w:rPr>
        <w:t>(Subrayas fuera del original)</w:t>
      </w:r>
    </w:p>
    <w:p w14:paraId="1FDD8A15" w14:textId="77777777" w:rsidR="007B57F0" w:rsidRPr="002E4477" w:rsidRDefault="007B57F0" w:rsidP="00962603">
      <w:pPr>
        <w:pStyle w:val="Prrafodelista"/>
        <w:numPr>
          <w:ilvl w:val="0"/>
          <w:numId w:val="10"/>
        </w:numPr>
        <w:tabs>
          <w:tab w:val="left" w:pos="567"/>
        </w:tabs>
        <w:ind w:right="49"/>
        <w:contextualSpacing/>
        <w:jc w:val="both"/>
        <w:rPr>
          <w:bCs/>
          <w:szCs w:val="28"/>
        </w:rPr>
      </w:pPr>
      <w:r w:rsidRPr="002E4477">
        <w:rPr>
          <w:rStyle w:val="letra14pt"/>
          <w:szCs w:val="28"/>
        </w:rPr>
        <w:t xml:space="preserve">El reglamento autónomo constitucional </w:t>
      </w:r>
      <w:r w:rsidR="00F42599" w:rsidRPr="002E4477">
        <w:rPr>
          <w:rStyle w:val="letra14pt"/>
          <w:szCs w:val="28"/>
        </w:rPr>
        <w:t>conforme a lo anterior, se</w:t>
      </w:r>
      <w:r w:rsidRPr="002E4477">
        <w:rPr>
          <w:rStyle w:val="letra14pt"/>
          <w:szCs w:val="28"/>
        </w:rPr>
        <w:t xml:space="preserve"> diferencia del reglamento que </w:t>
      </w:r>
      <w:r w:rsidR="00B84D0E">
        <w:rPr>
          <w:rStyle w:val="letra14pt"/>
          <w:szCs w:val="28"/>
        </w:rPr>
        <w:t>busca la ejecución de</w:t>
      </w:r>
      <w:r w:rsidRPr="002E4477">
        <w:rPr>
          <w:rStyle w:val="letra14pt"/>
          <w:szCs w:val="28"/>
        </w:rPr>
        <w:t xml:space="preserve"> una ley, </w:t>
      </w:r>
      <w:r w:rsidR="00D80320" w:rsidRPr="002E4477">
        <w:rPr>
          <w:rStyle w:val="letra14pt"/>
          <w:szCs w:val="28"/>
        </w:rPr>
        <w:t xml:space="preserve">básicamente en que el primero </w:t>
      </w:r>
      <w:r w:rsidRPr="002E4477">
        <w:rPr>
          <w:rStyle w:val="letra14pt"/>
          <w:szCs w:val="28"/>
        </w:rPr>
        <w:t>no requiere ley previa</w:t>
      </w:r>
      <w:r w:rsidR="00B84D0E">
        <w:rPr>
          <w:rStyle w:val="letra14pt"/>
          <w:szCs w:val="28"/>
        </w:rPr>
        <w:t xml:space="preserve"> para desarrollar la Constitución</w:t>
      </w:r>
      <w:r w:rsidRPr="002E4477">
        <w:rPr>
          <w:rStyle w:val="letra14pt"/>
          <w:szCs w:val="28"/>
        </w:rPr>
        <w:t xml:space="preserve">, </w:t>
      </w:r>
      <w:r w:rsidR="00D80320" w:rsidRPr="002E4477">
        <w:rPr>
          <w:rStyle w:val="letra14pt"/>
          <w:szCs w:val="28"/>
        </w:rPr>
        <w:t xml:space="preserve">mientras que el segundo requiere necesariamente de la ley para un pronunciamiento posterior de tipo reglamentario, a partir de ella. </w:t>
      </w:r>
    </w:p>
    <w:p w14:paraId="110713E9" w14:textId="77777777" w:rsidR="007B57F0" w:rsidRPr="002E4477" w:rsidRDefault="007B57F0" w:rsidP="00E82ECC">
      <w:pPr>
        <w:pStyle w:val="Prrafodelista"/>
        <w:tabs>
          <w:tab w:val="left" w:pos="567"/>
        </w:tabs>
        <w:ind w:left="0" w:right="49"/>
        <w:contextualSpacing/>
        <w:jc w:val="both"/>
        <w:rPr>
          <w:bCs/>
          <w:szCs w:val="28"/>
        </w:rPr>
      </w:pPr>
    </w:p>
    <w:p w14:paraId="579381AC" w14:textId="77777777" w:rsidR="007B57F0" w:rsidRPr="002E4477" w:rsidRDefault="00D80320" w:rsidP="00962603">
      <w:pPr>
        <w:pStyle w:val="Prrafodelista"/>
        <w:numPr>
          <w:ilvl w:val="0"/>
          <w:numId w:val="10"/>
        </w:numPr>
        <w:tabs>
          <w:tab w:val="left" w:pos="567"/>
        </w:tabs>
        <w:ind w:right="49"/>
        <w:contextualSpacing/>
        <w:jc w:val="both"/>
        <w:rPr>
          <w:bCs/>
          <w:szCs w:val="28"/>
        </w:rPr>
      </w:pPr>
      <w:r w:rsidRPr="002E4477">
        <w:rPr>
          <w:szCs w:val="28"/>
        </w:rPr>
        <w:t>Para precisar un poco</w:t>
      </w:r>
      <w:r w:rsidR="00F42599" w:rsidRPr="002E4477">
        <w:rPr>
          <w:szCs w:val="28"/>
        </w:rPr>
        <w:t xml:space="preserve"> más</w:t>
      </w:r>
      <w:r w:rsidRPr="002E4477">
        <w:rPr>
          <w:szCs w:val="28"/>
        </w:rPr>
        <w:t xml:space="preserve"> </w:t>
      </w:r>
      <w:r w:rsidR="00BB07F3" w:rsidRPr="002E4477">
        <w:rPr>
          <w:szCs w:val="28"/>
        </w:rPr>
        <w:t>sobre el</w:t>
      </w:r>
      <w:r w:rsidR="00435047" w:rsidRPr="002E4477">
        <w:rPr>
          <w:szCs w:val="28"/>
        </w:rPr>
        <w:t xml:space="preserve"> origen de </w:t>
      </w:r>
      <w:r w:rsidRPr="002E4477">
        <w:rPr>
          <w:szCs w:val="28"/>
        </w:rPr>
        <w:t>esta noción</w:t>
      </w:r>
      <w:r w:rsidR="00435047" w:rsidRPr="002E4477">
        <w:rPr>
          <w:szCs w:val="28"/>
        </w:rPr>
        <w:t>,</w:t>
      </w:r>
      <w:r w:rsidRPr="002E4477">
        <w:rPr>
          <w:szCs w:val="28"/>
        </w:rPr>
        <w:t xml:space="preserve"> debe recordarse que ella </w:t>
      </w:r>
      <w:r w:rsidR="00E82ECC" w:rsidRPr="002E4477">
        <w:rPr>
          <w:szCs w:val="28"/>
        </w:rPr>
        <w:t xml:space="preserve">se </w:t>
      </w:r>
      <w:r w:rsidR="007B57F0" w:rsidRPr="002E4477">
        <w:rPr>
          <w:szCs w:val="28"/>
        </w:rPr>
        <w:t xml:space="preserve">inicia </w:t>
      </w:r>
      <w:r w:rsidR="00BB07F3" w:rsidRPr="002E4477">
        <w:rPr>
          <w:szCs w:val="28"/>
        </w:rPr>
        <w:t>en</w:t>
      </w:r>
      <w:r w:rsidR="007B57F0" w:rsidRPr="002E4477">
        <w:rPr>
          <w:szCs w:val="28"/>
        </w:rPr>
        <w:t xml:space="preserve"> la jurisprudencia de la Corte Suprema de Justicia y del Consejo de Estado en vigencia de la Constitución de 1886</w:t>
      </w:r>
      <w:r w:rsidRPr="002E4477">
        <w:rPr>
          <w:szCs w:val="28"/>
        </w:rPr>
        <w:t>,</w:t>
      </w:r>
      <w:r w:rsidR="007B57F0" w:rsidRPr="002E4477">
        <w:rPr>
          <w:szCs w:val="28"/>
        </w:rPr>
        <w:t xml:space="preserve"> a partir de las facultades administrativas atribuidas al Presidente de la República</w:t>
      </w:r>
      <w:r w:rsidRPr="002E4477">
        <w:rPr>
          <w:szCs w:val="28"/>
        </w:rPr>
        <w:t>,</w:t>
      </w:r>
      <w:r w:rsidR="007B57F0" w:rsidRPr="002E4477">
        <w:rPr>
          <w:szCs w:val="28"/>
        </w:rPr>
        <w:t xml:space="preserve"> que podían ser ejercidas sin necesidad de que existiera una ley previa que las autorizara.  </w:t>
      </w:r>
      <w:r w:rsidR="00BB07F3" w:rsidRPr="002E4477">
        <w:rPr>
          <w:szCs w:val="28"/>
        </w:rPr>
        <w:t>E</w:t>
      </w:r>
      <w:r w:rsidR="007B57F0" w:rsidRPr="002E4477">
        <w:rPr>
          <w:szCs w:val="28"/>
        </w:rPr>
        <w:t>l Consejo de Estado señaló</w:t>
      </w:r>
      <w:r w:rsidR="00BB07F3" w:rsidRPr="002E4477">
        <w:rPr>
          <w:szCs w:val="28"/>
        </w:rPr>
        <w:t xml:space="preserve"> acerca de los decretos autónomos, </w:t>
      </w:r>
      <w:r w:rsidR="007B57F0" w:rsidRPr="002E4477">
        <w:rPr>
          <w:szCs w:val="28"/>
        </w:rPr>
        <w:t>que la función administrativa que compete al Presidente no es simplemente la de ejecutar la ley, pues en algunos casos tal función puede ser ejercida</w:t>
      </w:r>
      <w:r w:rsidR="00BB07F3" w:rsidRPr="002E4477">
        <w:rPr>
          <w:szCs w:val="28"/>
        </w:rPr>
        <w:t xml:space="preserve">, </w:t>
      </w:r>
      <w:r w:rsidR="007B57F0" w:rsidRPr="002E4477">
        <w:rPr>
          <w:szCs w:val="28"/>
        </w:rPr>
        <w:t>en desarrollo directo de la Constitución</w:t>
      </w:r>
      <w:r w:rsidR="007B57F0" w:rsidRPr="002E4477">
        <w:rPr>
          <w:rStyle w:val="Refdenotaalpie"/>
          <w:szCs w:val="28"/>
        </w:rPr>
        <w:footnoteReference w:id="274"/>
      </w:r>
      <w:r w:rsidR="007B57F0" w:rsidRPr="002E4477">
        <w:rPr>
          <w:szCs w:val="28"/>
        </w:rPr>
        <w:t xml:space="preserve">. </w:t>
      </w:r>
    </w:p>
    <w:p w14:paraId="50E28DE2" w14:textId="77777777" w:rsidR="00B40040" w:rsidRPr="002E4477" w:rsidRDefault="00B40040" w:rsidP="00B40040">
      <w:pPr>
        <w:pStyle w:val="Prrafodelista"/>
        <w:tabs>
          <w:tab w:val="left" w:pos="567"/>
        </w:tabs>
        <w:ind w:left="0" w:right="49"/>
        <w:contextualSpacing/>
        <w:jc w:val="both"/>
        <w:rPr>
          <w:bCs/>
          <w:szCs w:val="28"/>
        </w:rPr>
      </w:pPr>
    </w:p>
    <w:p w14:paraId="1E69EE3F" w14:textId="77777777" w:rsidR="004262AE" w:rsidRPr="002E4477" w:rsidRDefault="00BB07F3" w:rsidP="00BB07F3">
      <w:pPr>
        <w:pStyle w:val="Prrafodelista"/>
        <w:tabs>
          <w:tab w:val="left" w:pos="567"/>
        </w:tabs>
        <w:ind w:left="0" w:right="49"/>
        <w:contextualSpacing/>
        <w:jc w:val="both"/>
        <w:rPr>
          <w:bCs/>
          <w:szCs w:val="28"/>
        </w:rPr>
      </w:pPr>
      <w:r w:rsidRPr="002E4477">
        <w:rPr>
          <w:szCs w:val="28"/>
        </w:rPr>
        <w:t>Así, e</w:t>
      </w:r>
      <w:r w:rsidR="00B40040" w:rsidRPr="002E4477">
        <w:rPr>
          <w:szCs w:val="28"/>
        </w:rPr>
        <w:t>n vigencia de la Constitución de 1886, la Corte Suprema de Justicia definió los decretos autónomos como el resultado de la facultad otorgada por la Constitución al Presidente</w:t>
      </w:r>
      <w:r w:rsidR="004262AE" w:rsidRPr="002E4477">
        <w:rPr>
          <w:szCs w:val="28"/>
        </w:rPr>
        <w:t>,</w:t>
      </w:r>
      <w:r w:rsidR="00B40040" w:rsidRPr="002E4477">
        <w:rPr>
          <w:szCs w:val="28"/>
        </w:rPr>
        <w:t xml:space="preserve"> para expedir actos jurídicos, sea de carácter general o particular, que no están subordinados a la ley previa</w:t>
      </w:r>
      <w:r w:rsidR="00B40040" w:rsidRPr="002E4477">
        <w:rPr>
          <w:rStyle w:val="Refdenotaalpie"/>
          <w:szCs w:val="28"/>
        </w:rPr>
        <w:footnoteReference w:id="275"/>
      </w:r>
      <w:r w:rsidR="00B40040" w:rsidRPr="002E4477">
        <w:rPr>
          <w:szCs w:val="28"/>
        </w:rPr>
        <w:t xml:space="preserve">. </w:t>
      </w:r>
    </w:p>
    <w:p w14:paraId="60E5A3E0" w14:textId="77777777" w:rsidR="004262AE" w:rsidRPr="002E4477" w:rsidRDefault="004262AE" w:rsidP="004262AE">
      <w:pPr>
        <w:pStyle w:val="Prrafodelista"/>
        <w:rPr>
          <w:szCs w:val="28"/>
        </w:rPr>
      </w:pPr>
    </w:p>
    <w:p w14:paraId="64CCC308" w14:textId="77777777" w:rsidR="00B40040" w:rsidRPr="002E4477" w:rsidRDefault="00F42599" w:rsidP="004262AE">
      <w:pPr>
        <w:pStyle w:val="Prrafodelista"/>
        <w:tabs>
          <w:tab w:val="left" w:pos="567"/>
        </w:tabs>
        <w:ind w:left="0" w:right="49"/>
        <w:contextualSpacing/>
        <w:jc w:val="both"/>
        <w:rPr>
          <w:szCs w:val="28"/>
        </w:rPr>
      </w:pPr>
      <w:r w:rsidRPr="002E4477">
        <w:rPr>
          <w:szCs w:val="28"/>
        </w:rPr>
        <w:t>No obstante, e</w:t>
      </w:r>
      <w:r w:rsidR="00B40040" w:rsidRPr="002E4477">
        <w:rPr>
          <w:szCs w:val="28"/>
        </w:rPr>
        <w:t>n esa época la Corte Suprema de Justicia consideró que la atribución al Presidente de adoptar decretos autónomos para la intervención en el Banco Emisor</w:t>
      </w:r>
      <w:r w:rsidRPr="002E4477">
        <w:rPr>
          <w:szCs w:val="28"/>
        </w:rPr>
        <w:t>,</w:t>
      </w:r>
      <w:r w:rsidR="00B40040" w:rsidRPr="002E4477">
        <w:rPr>
          <w:szCs w:val="28"/>
        </w:rPr>
        <w:t xml:space="preserve"> según lo dispuesto por el artículo 120-14 de </w:t>
      </w:r>
      <w:r w:rsidR="00734844" w:rsidRPr="002E4477">
        <w:rPr>
          <w:szCs w:val="28"/>
        </w:rPr>
        <w:t>la</w:t>
      </w:r>
      <w:r w:rsidR="00B40040" w:rsidRPr="002E4477">
        <w:rPr>
          <w:szCs w:val="28"/>
        </w:rPr>
        <w:t xml:space="preserve"> Constitución</w:t>
      </w:r>
      <w:r w:rsidR="00734844" w:rsidRPr="002E4477">
        <w:rPr>
          <w:szCs w:val="28"/>
        </w:rPr>
        <w:t xml:space="preserve"> de 1886,</w:t>
      </w:r>
      <w:r w:rsidR="00B40040" w:rsidRPr="002E4477">
        <w:rPr>
          <w:szCs w:val="28"/>
        </w:rPr>
        <w:t xml:space="preserve"> excluía la posibilidad de que el Congreso también adoptara leyes ordinarias sobre esta materia. </w:t>
      </w:r>
      <w:r w:rsidR="00EF170D" w:rsidRPr="002E4477">
        <w:rPr>
          <w:szCs w:val="28"/>
        </w:rPr>
        <w:t xml:space="preserve">Por </w:t>
      </w:r>
      <w:r w:rsidR="0047121A" w:rsidRPr="002E4477">
        <w:rPr>
          <w:szCs w:val="28"/>
        </w:rPr>
        <w:t xml:space="preserve">ello. </w:t>
      </w:r>
      <w:r w:rsidR="00EF170D" w:rsidRPr="002E4477">
        <w:rPr>
          <w:szCs w:val="28"/>
        </w:rPr>
        <w:t>en esos momentos</w:t>
      </w:r>
      <w:r w:rsidR="00B40040" w:rsidRPr="002E4477">
        <w:rPr>
          <w:szCs w:val="28"/>
        </w:rPr>
        <w:t xml:space="preserve"> </w:t>
      </w:r>
      <w:r w:rsidRPr="002E4477">
        <w:rPr>
          <w:szCs w:val="28"/>
        </w:rPr>
        <w:t xml:space="preserve">se daba </w:t>
      </w:r>
      <w:r w:rsidR="00B40040" w:rsidRPr="002E4477">
        <w:rPr>
          <w:szCs w:val="28"/>
        </w:rPr>
        <w:t xml:space="preserve">una preminencia de los decretos autónomos sobre la ley emanada del Congreso. </w:t>
      </w:r>
      <w:r w:rsidR="0047121A" w:rsidRPr="002E4477">
        <w:rPr>
          <w:szCs w:val="28"/>
        </w:rPr>
        <w:t>De hecho, a</w:t>
      </w:r>
      <w:r w:rsidR="00B40040" w:rsidRPr="002E4477">
        <w:rPr>
          <w:szCs w:val="28"/>
        </w:rPr>
        <w:t>lgunos doctrinantes</w:t>
      </w:r>
      <w:r w:rsidR="00EF170D" w:rsidRPr="002E4477">
        <w:rPr>
          <w:szCs w:val="28"/>
        </w:rPr>
        <w:t xml:space="preserve"> de la época</w:t>
      </w:r>
      <w:r w:rsidR="00B40040" w:rsidRPr="002E4477">
        <w:rPr>
          <w:szCs w:val="28"/>
        </w:rPr>
        <w:t xml:space="preserve"> coincidían con esta tesis jurisprudencial</w:t>
      </w:r>
      <w:r w:rsidR="0047121A" w:rsidRPr="002E4477">
        <w:rPr>
          <w:szCs w:val="28"/>
        </w:rPr>
        <w:t>, e i</w:t>
      </w:r>
      <w:r w:rsidRPr="002E4477">
        <w:rPr>
          <w:szCs w:val="28"/>
        </w:rPr>
        <w:t xml:space="preserve">dentificaban a </w:t>
      </w:r>
      <w:r w:rsidR="00B40040" w:rsidRPr="002E4477">
        <w:rPr>
          <w:szCs w:val="28"/>
        </w:rPr>
        <w:t xml:space="preserve">los decretos autónomos como aquellos que no están subordinados a la ley, </w:t>
      </w:r>
      <w:r w:rsidR="0047121A" w:rsidRPr="002E4477">
        <w:rPr>
          <w:szCs w:val="28"/>
        </w:rPr>
        <w:t xml:space="preserve">añadiendo </w:t>
      </w:r>
      <w:r w:rsidRPr="002E4477">
        <w:rPr>
          <w:szCs w:val="28"/>
        </w:rPr>
        <w:t>que</w:t>
      </w:r>
      <w:r w:rsidR="00B40040" w:rsidRPr="002E4477">
        <w:rPr>
          <w:szCs w:val="28"/>
        </w:rPr>
        <w:t xml:space="preserve"> la Constitución, al otorgar esa competencia directamente al gobierno, sustra</w:t>
      </w:r>
      <w:r w:rsidR="00734844" w:rsidRPr="002E4477">
        <w:rPr>
          <w:szCs w:val="28"/>
        </w:rPr>
        <w:t>ía</w:t>
      </w:r>
      <w:r w:rsidR="00B40040" w:rsidRPr="002E4477">
        <w:rPr>
          <w:szCs w:val="28"/>
        </w:rPr>
        <w:t xml:space="preserve"> la respectiva materia del conocimiento y la competencia del Legislador</w:t>
      </w:r>
      <w:r w:rsidR="00B40040" w:rsidRPr="002E4477">
        <w:rPr>
          <w:rStyle w:val="Refdenotaalpie"/>
          <w:szCs w:val="28"/>
        </w:rPr>
        <w:footnoteReference w:id="276"/>
      </w:r>
      <w:r w:rsidR="00B40040" w:rsidRPr="002E4477">
        <w:rPr>
          <w:szCs w:val="28"/>
        </w:rPr>
        <w:t xml:space="preserve">. </w:t>
      </w:r>
    </w:p>
    <w:p w14:paraId="1E62F103" w14:textId="77777777" w:rsidR="007B57F0" w:rsidRPr="002E4477" w:rsidRDefault="007B57F0" w:rsidP="007B57F0">
      <w:pPr>
        <w:pStyle w:val="Prrafodelista"/>
        <w:tabs>
          <w:tab w:val="left" w:pos="567"/>
        </w:tabs>
        <w:ind w:left="0" w:right="49"/>
        <w:contextualSpacing/>
        <w:jc w:val="both"/>
        <w:rPr>
          <w:bCs/>
          <w:szCs w:val="28"/>
        </w:rPr>
      </w:pPr>
    </w:p>
    <w:p w14:paraId="54C4B12B" w14:textId="77777777" w:rsidR="007B57F0" w:rsidRPr="002E4477" w:rsidRDefault="004262AE" w:rsidP="00962603">
      <w:pPr>
        <w:pStyle w:val="Prrafodelista"/>
        <w:numPr>
          <w:ilvl w:val="0"/>
          <w:numId w:val="10"/>
        </w:numPr>
        <w:tabs>
          <w:tab w:val="left" w:pos="567"/>
        </w:tabs>
        <w:ind w:right="49"/>
        <w:contextualSpacing/>
        <w:jc w:val="both"/>
        <w:rPr>
          <w:bCs/>
          <w:szCs w:val="28"/>
        </w:rPr>
      </w:pPr>
      <w:r w:rsidRPr="002E4477">
        <w:rPr>
          <w:szCs w:val="28"/>
        </w:rPr>
        <w:t>En contraste, p</w:t>
      </w:r>
      <w:r w:rsidR="00734844" w:rsidRPr="002E4477">
        <w:rPr>
          <w:szCs w:val="28"/>
        </w:rPr>
        <w:t xml:space="preserve">ara algunos </w:t>
      </w:r>
      <w:r w:rsidRPr="002E4477">
        <w:rPr>
          <w:szCs w:val="28"/>
        </w:rPr>
        <w:t>académicos en la actualidad,</w:t>
      </w:r>
      <w:r w:rsidR="00734844" w:rsidRPr="002E4477">
        <w:rPr>
          <w:szCs w:val="28"/>
        </w:rPr>
        <w:t xml:space="preserve"> l</w:t>
      </w:r>
      <w:r w:rsidR="007B57F0" w:rsidRPr="002E4477">
        <w:rPr>
          <w:szCs w:val="28"/>
        </w:rPr>
        <w:t>a Constitución de 1991</w:t>
      </w:r>
      <w:r w:rsidR="00734844" w:rsidRPr="002E4477">
        <w:rPr>
          <w:szCs w:val="28"/>
        </w:rPr>
        <w:t xml:space="preserve"> </w:t>
      </w:r>
      <w:r w:rsidR="007B57F0" w:rsidRPr="002E4477">
        <w:rPr>
          <w:szCs w:val="28"/>
        </w:rPr>
        <w:t xml:space="preserve">establece </w:t>
      </w:r>
      <w:r w:rsidR="00734844" w:rsidRPr="002E4477">
        <w:rPr>
          <w:szCs w:val="28"/>
        </w:rPr>
        <w:t xml:space="preserve">muy pocos casos relacionados con </w:t>
      </w:r>
      <w:r w:rsidR="00D80320" w:rsidRPr="002E4477">
        <w:rPr>
          <w:szCs w:val="28"/>
        </w:rPr>
        <w:t xml:space="preserve">los </w:t>
      </w:r>
      <w:r w:rsidR="007B57F0" w:rsidRPr="002E4477">
        <w:rPr>
          <w:szCs w:val="28"/>
        </w:rPr>
        <w:t>decreto</w:t>
      </w:r>
      <w:r w:rsidR="00D80320" w:rsidRPr="002E4477">
        <w:rPr>
          <w:szCs w:val="28"/>
        </w:rPr>
        <w:t>s</w:t>
      </w:r>
      <w:r w:rsidRPr="002E4477">
        <w:rPr>
          <w:szCs w:val="28"/>
        </w:rPr>
        <w:t xml:space="preserve"> denominados autónomos</w:t>
      </w:r>
      <w:r w:rsidR="007B57F0" w:rsidRPr="002E4477">
        <w:rPr>
          <w:szCs w:val="28"/>
        </w:rPr>
        <w:t>.</w:t>
      </w:r>
      <w:r w:rsidR="00734844" w:rsidRPr="002E4477">
        <w:rPr>
          <w:szCs w:val="28"/>
        </w:rPr>
        <w:t xml:space="preserve"> </w:t>
      </w:r>
      <w:r w:rsidR="00EF170D" w:rsidRPr="002E4477">
        <w:rPr>
          <w:szCs w:val="28"/>
        </w:rPr>
        <w:t xml:space="preserve">Uno de </w:t>
      </w:r>
      <w:r w:rsidR="0047121A" w:rsidRPr="002E4477">
        <w:rPr>
          <w:szCs w:val="28"/>
        </w:rPr>
        <w:t>est</w:t>
      </w:r>
      <w:r w:rsidR="00EF170D" w:rsidRPr="002E4477">
        <w:rPr>
          <w:szCs w:val="28"/>
        </w:rPr>
        <w:t xml:space="preserve">os ejemplos es el de la </w:t>
      </w:r>
      <w:r w:rsidR="007B57F0" w:rsidRPr="002E4477">
        <w:rPr>
          <w:b/>
          <w:szCs w:val="28"/>
        </w:rPr>
        <w:t>Sentencia C-1250 de 2001</w:t>
      </w:r>
      <w:r w:rsidR="007B57F0" w:rsidRPr="002E4477">
        <w:rPr>
          <w:rStyle w:val="Refdenotaalpie"/>
          <w:szCs w:val="28"/>
        </w:rPr>
        <w:footnoteReference w:id="277"/>
      </w:r>
      <w:r w:rsidR="00EF170D" w:rsidRPr="002E4477">
        <w:rPr>
          <w:bCs/>
          <w:szCs w:val="28"/>
        </w:rPr>
        <w:t>,</w:t>
      </w:r>
      <w:r w:rsidR="007B57F0" w:rsidRPr="002E4477">
        <w:rPr>
          <w:bCs/>
          <w:szCs w:val="28"/>
        </w:rPr>
        <w:t xml:space="preserve"> </w:t>
      </w:r>
      <w:r w:rsidR="0047121A" w:rsidRPr="002E4477">
        <w:rPr>
          <w:bCs/>
          <w:szCs w:val="28"/>
        </w:rPr>
        <w:t xml:space="preserve">en la que señala que </w:t>
      </w:r>
      <w:r w:rsidR="007B57F0" w:rsidRPr="002E4477">
        <w:rPr>
          <w:szCs w:val="28"/>
        </w:rPr>
        <w:t xml:space="preserve">el artículo 355 </w:t>
      </w:r>
      <w:r w:rsidR="00734844" w:rsidRPr="002E4477">
        <w:rPr>
          <w:szCs w:val="28"/>
        </w:rPr>
        <w:t>s</w:t>
      </w:r>
      <w:r w:rsidR="007B57F0" w:rsidRPr="002E4477">
        <w:rPr>
          <w:szCs w:val="28"/>
        </w:rPr>
        <w:t>uperior</w:t>
      </w:r>
      <w:r w:rsidR="00734844" w:rsidRPr="002E4477">
        <w:rPr>
          <w:szCs w:val="28"/>
        </w:rPr>
        <w:t xml:space="preserve"> </w:t>
      </w:r>
      <w:r w:rsidR="007B57F0" w:rsidRPr="002E4477">
        <w:rPr>
          <w:szCs w:val="28"/>
        </w:rPr>
        <w:t xml:space="preserve">le atribuye al Gobierno Nacional la competencia para </w:t>
      </w:r>
      <w:r w:rsidR="007B57F0" w:rsidRPr="002E4477">
        <w:rPr>
          <w:b/>
          <w:bCs/>
          <w:szCs w:val="28"/>
        </w:rPr>
        <w:t>reglamentar</w:t>
      </w:r>
      <w:r w:rsidR="007B57F0" w:rsidRPr="002E4477">
        <w:rPr>
          <w:szCs w:val="28"/>
        </w:rPr>
        <w:t xml:space="preserve"> la celebración de contratos del gobierno en los niveles nacional, departamental, distrital y municipal con entidades privadas sin ánimo de lucro y de reconocida idoneidad</w:t>
      </w:r>
      <w:r w:rsidR="00AE60D5" w:rsidRPr="002E4477">
        <w:rPr>
          <w:szCs w:val="28"/>
        </w:rPr>
        <w:t>,</w:t>
      </w:r>
      <w:r w:rsidR="007B57F0" w:rsidRPr="002E4477">
        <w:rPr>
          <w:szCs w:val="28"/>
        </w:rPr>
        <w:t xml:space="preserve"> con el fin de impulsar programas y actividades de interés público acordes con el Plan Nacional y con los planes seccionales de Desarrollo</w:t>
      </w:r>
      <w:r w:rsidR="007B57F0" w:rsidRPr="002E4477">
        <w:rPr>
          <w:rStyle w:val="Refdenotaalpie"/>
          <w:szCs w:val="28"/>
        </w:rPr>
        <w:footnoteReference w:id="278"/>
      </w:r>
      <w:r w:rsidR="007B57F0" w:rsidRPr="002E4477">
        <w:rPr>
          <w:szCs w:val="28"/>
        </w:rPr>
        <w:t>.</w:t>
      </w:r>
    </w:p>
    <w:p w14:paraId="18CD977D" w14:textId="77777777" w:rsidR="00AE60D5" w:rsidRPr="002E4477" w:rsidRDefault="00AE60D5" w:rsidP="00AE60D5">
      <w:pPr>
        <w:pStyle w:val="Prrafodelista"/>
        <w:tabs>
          <w:tab w:val="left" w:pos="567"/>
        </w:tabs>
        <w:ind w:left="0" w:right="49"/>
        <w:contextualSpacing/>
        <w:jc w:val="both"/>
        <w:rPr>
          <w:bCs/>
          <w:szCs w:val="28"/>
        </w:rPr>
      </w:pPr>
    </w:p>
    <w:p w14:paraId="22395A39" w14:textId="77777777" w:rsidR="007B57F0" w:rsidRPr="002E4477" w:rsidRDefault="0047121A" w:rsidP="0047121A">
      <w:pPr>
        <w:pStyle w:val="Prrafodelista"/>
        <w:tabs>
          <w:tab w:val="left" w:pos="567"/>
        </w:tabs>
        <w:ind w:left="0" w:right="49"/>
        <w:contextualSpacing/>
        <w:jc w:val="both"/>
        <w:rPr>
          <w:bCs/>
          <w:szCs w:val="28"/>
        </w:rPr>
      </w:pPr>
      <w:r w:rsidRPr="002E4477">
        <w:rPr>
          <w:bCs/>
          <w:szCs w:val="28"/>
        </w:rPr>
        <w:t xml:space="preserve">En </w:t>
      </w:r>
      <w:r w:rsidR="007B57F0" w:rsidRPr="002E4477">
        <w:rPr>
          <w:szCs w:val="28"/>
        </w:rPr>
        <w:t>lo que respecta al control constitucional de los decretos autónomos</w:t>
      </w:r>
      <w:r w:rsidR="00760E84" w:rsidRPr="002E4477">
        <w:rPr>
          <w:rStyle w:val="Refdenotaalpie"/>
          <w:szCs w:val="28"/>
        </w:rPr>
        <w:footnoteReference w:id="279"/>
      </w:r>
      <w:r w:rsidRPr="002E4477">
        <w:rPr>
          <w:szCs w:val="28"/>
        </w:rPr>
        <w:t xml:space="preserve"> conforme a la Carta, </w:t>
      </w:r>
      <w:r w:rsidR="007B57F0" w:rsidRPr="002E4477">
        <w:rPr>
          <w:szCs w:val="28"/>
        </w:rPr>
        <w:t xml:space="preserve">se atribuye </w:t>
      </w:r>
      <w:r w:rsidR="004262AE" w:rsidRPr="002E4477">
        <w:rPr>
          <w:szCs w:val="28"/>
        </w:rPr>
        <w:t>en general</w:t>
      </w:r>
      <w:r w:rsidR="00EF170D" w:rsidRPr="002E4477">
        <w:rPr>
          <w:szCs w:val="28"/>
        </w:rPr>
        <w:t>,</w:t>
      </w:r>
      <w:r w:rsidR="004262AE" w:rsidRPr="002E4477">
        <w:rPr>
          <w:szCs w:val="28"/>
        </w:rPr>
        <w:t xml:space="preserve"> </w:t>
      </w:r>
      <w:r w:rsidR="007B57F0" w:rsidRPr="002E4477">
        <w:rPr>
          <w:szCs w:val="28"/>
        </w:rPr>
        <w:t>al Consejo de Estado</w:t>
      </w:r>
      <w:r w:rsidRPr="002E4477">
        <w:rPr>
          <w:szCs w:val="28"/>
        </w:rPr>
        <w:t>,</w:t>
      </w:r>
      <w:r w:rsidR="007B57F0" w:rsidRPr="002E4477">
        <w:rPr>
          <w:szCs w:val="28"/>
        </w:rPr>
        <w:t xml:space="preserve"> mediante el medio de control (antes la acción) de nulidad por inconstitucionalidad, </w:t>
      </w:r>
      <w:r w:rsidRPr="002E4477">
        <w:rPr>
          <w:szCs w:val="28"/>
        </w:rPr>
        <w:t xml:space="preserve">en la medida en que </w:t>
      </w:r>
      <w:r w:rsidR="007B57F0" w:rsidRPr="002E4477">
        <w:rPr>
          <w:szCs w:val="28"/>
        </w:rPr>
        <w:t>“</w:t>
      </w:r>
      <w:r w:rsidR="007B57F0" w:rsidRPr="002E4477">
        <w:rPr>
          <w:i/>
          <w:szCs w:val="28"/>
        </w:rPr>
        <w:t>a estos decretos no se les reconoce fuerza de ley</w:t>
      </w:r>
      <w:r w:rsidRPr="002E4477">
        <w:rPr>
          <w:i/>
          <w:szCs w:val="28"/>
        </w:rPr>
        <w:t>,</w:t>
      </w:r>
      <w:r w:rsidR="007B57F0" w:rsidRPr="002E4477">
        <w:rPr>
          <w:i/>
          <w:szCs w:val="28"/>
        </w:rPr>
        <w:t xml:space="preserve"> porque no pueden modificar o derogar las leyes y por el contrario deben concordar con ellas</w:t>
      </w:r>
      <w:r w:rsidR="007B57F0" w:rsidRPr="002E4477">
        <w:rPr>
          <w:szCs w:val="28"/>
        </w:rPr>
        <w:t>”</w:t>
      </w:r>
      <w:r w:rsidR="007B57F0" w:rsidRPr="002E4477">
        <w:rPr>
          <w:rStyle w:val="Refdenotaalpie"/>
          <w:szCs w:val="28"/>
        </w:rPr>
        <w:footnoteReference w:id="280"/>
      </w:r>
      <w:r w:rsidR="00AE60D5" w:rsidRPr="002E4477">
        <w:rPr>
          <w:szCs w:val="28"/>
        </w:rPr>
        <w:t>.</w:t>
      </w:r>
      <w:r w:rsidR="007B57F0" w:rsidRPr="002E4477">
        <w:rPr>
          <w:szCs w:val="28"/>
        </w:rPr>
        <w:t xml:space="preserve"> </w:t>
      </w:r>
    </w:p>
    <w:p w14:paraId="0D46FEF2" w14:textId="77777777" w:rsidR="00EF170D" w:rsidRPr="002E4477" w:rsidRDefault="00EF170D" w:rsidP="00EF170D">
      <w:pPr>
        <w:pStyle w:val="Prrafodelista"/>
        <w:tabs>
          <w:tab w:val="left" w:pos="567"/>
        </w:tabs>
        <w:ind w:left="0" w:right="49"/>
        <w:contextualSpacing/>
        <w:jc w:val="both"/>
        <w:rPr>
          <w:szCs w:val="28"/>
        </w:rPr>
      </w:pPr>
    </w:p>
    <w:p w14:paraId="77AF5344" w14:textId="77777777" w:rsidR="00AD13D4" w:rsidRPr="002E4477" w:rsidRDefault="004262AE" w:rsidP="00EF170D">
      <w:pPr>
        <w:pStyle w:val="Prrafodelista"/>
        <w:tabs>
          <w:tab w:val="left" w:pos="567"/>
        </w:tabs>
        <w:ind w:left="0" w:right="49"/>
        <w:contextualSpacing/>
        <w:jc w:val="both"/>
        <w:rPr>
          <w:szCs w:val="28"/>
        </w:rPr>
      </w:pPr>
      <w:r w:rsidRPr="002E4477">
        <w:rPr>
          <w:szCs w:val="28"/>
        </w:rPr>
        <w:t xml:space="preserve">La Corte Constitucional </w:t>
      </w:r>
      <w:r w:rsidR="007B57F0" w:rsidRPr="002E4477">
        <w:rPr>
          <w:szCs w:val="28"/>
        </w:rPr>
        <w:t>ha coincidido con esta tesis</w:t>
      </w:r>
      <w:r w:rsidR="0001794F" w:rsidRPr="002E4477">
        <w:rPr>
          <w:szCs w:val="28"/>
        </w:rPr>
        <w:t>,</w:t>
      </w:r>
      <w:r w:rsidR="007B57F0" w:rsidRPr="002E4477">
        <w:rPr>
          <w:szCs w:val="28"/>
        </w:rPr>
        <w:t xml:space="preserve"> al identificar que ciertas normas demandadas eran decretos autónomos y abstenerse de ejercer el control constitucional</w:t>
      </w:r>
      <w:r w:rsidR="00EF170D" w:rsidRPr="002E4477">
        <w:rPr>
          <w:szCs w:val="28"/>
        </w:rPr>
        <w:t xml:space="preserve"> correspondiente, </w:t>
      </w:r>
      <w:r w:rsidR="0047121A" w:rsidRPr="002E4477">
        <w:rPr>
          <w:szCs w:val="28"/>
        </w:rPr>
        <w:t xml:space="preserve">al considerar que tales </w:t>
      </w:r>
      <w:r w:rsidR="00071EBD" w:rsidRPr="002E4477">
        <w:rPr>
          <w:szCs w:val="28"/>
        </w:rPr>
        <w:t>preceptos</w:t>
      </w:r>
      <w:r w:rsidR="00EF170D" w:rsidRPr="002E4477">
        <w:rPr>
          <w:szCs w:val="28"/>
        </w:rPr>
        <w:t xml:space="preserve"> carec</w:t>
      </w:r>
      <w:r w:rsidR="00071EBD" w:rsidRPr="002E4477">
        <w:rPr>
          <w:szCs w:val="28"/>
        </w:rPr>
        <w:t>ían</w:t>
      </w:r>
      <w:r w:rsidR="00EF170D" w:rsidRPr="002E4477">
        <w:rPr>
          <w:szCs w:val="28"/>
        </w:rPr>
        <w:t xml:space="preserve"> de fuerza material de ley. </w:t>
      </w:r>
    </w:p>
    <w:p w14:paraId="1C1A513D" w14:textId="77777777" w:rsidR="00AD13D4" w:rsidRPr="002E4477" w:rsidRDefault="00AD13D4" w:rsidP="007B57F0">
      <w:pPr>
        <w:pStyle w:val="Prrafodelista"/>
        <w:tabs>
          <w:tab w:val="left" w:pos="567"/>
        </w:tabs>
        <w:ind w:left="0" w:right="49"/>
        <w:contextualSpacing/>
        <w:jc w:val="both"/>
        <w:rPr>
          <w:szCs w:val="28"/>
        </w:rPr>
      </w:pPr>
    </w:p>
    <w:p w14:paraId="38AB5C9D" w14:textId="77777777" w:rsidR="00B973FC" w:rsidRPr="002E4477" w:rsidRDefault="0085401F" w:rsidP="00962603">
      <w:pPr>
        <w:pStyle w:val="Prrafodelista"/>
        <w:numPr>
          <w:ilvl w:val="0"/>
          <w:numId w:val="10"/>
        </w:numPr>
        <w:tabs>
          <w:tab w:val="left" w:pos="567"/>
        </w:tabs>
        <w:ind w:right="49"/>
        <w:contextualSpacing/>
        <w:jc w:val="both"/>
        <w:rPr>
          <w:bCs/>
          <w:szCs w:val="28"/>
        </w:rPr>
      </w:pPr>
      <w:r>
        <w:rPr>
          <w:szCs w:val="28"/>
        </w:rPr>
        <w:t>Por ejemplo, mediante</w:t>
      </w:r>
      <w:r w:rsidR="00920C4A" w:rsidRPr="002E4477">
        <w:rPr>
          <w:szCs w:val="28"/>
        </w:rPr>
        <w:t xml:space="preserve"> </w:t>
      </w:r>
      <w:r w:rsidR="00920C4A" w:rsidRPr="002E4477">
        <w:rPr>
          <w:b/>
          <w:bCs/>
        </w:rPr>
        <w:t>Auto 048 de 1997</w:t>
      </w:r>
      <w:r>
        <w:rPr>
          <w:b/>
          <w:bCs/>
        </w:rPr>
        <w:t>,</w:t>
      </w:r>
      <w:r w:rsidR="00920C4A" w:rsidRPr="002E4477">
        <w:rPr>
          <w:rStyle w:val="Refdenotaalpie"/>
        </w:rPr>
        <w:footnoteReference w:id="281"/>
      </w:r>
      <w:r w:rsidR="00AC045B" w:rsidRPr="002E4477">
        <w:rPr>
          <w:szCs w:val="28"/>
        </w:rPr>
        <w:t xml:space="preserve"> </w:t>
      </w:r>
      <w:r w:rsidR="00C039C3" w:rsidRPr="002E4477">
        <w:rPr>
          <w:szCs w:val="28"/>
        </w:rPr>
        <w:t>ante</w:t>
      </w:r>
      <w:r w:rsidR="00487E0E" w:rsidRPr="002E4477">
        <w:rPr>
          <w:szCs w:val="28"/>
        </w:rPr>
        <w:t xml:space="preserve"> una</w:t>
      </w:r>
      <w:r w:rsidR="007B57F0" w:rsidRPr="002E4477">
        <w:rPr>
          <w:szCs w:val="28"/>
        </w:rPr>
        <w:t xml:space="preserve"> demanda</w:t>
      </w:r>
      <w:r w:rsidR="00BE022E" w:rsidRPr="002E4477">
        <w:rPr>
          <w:szCs w:val="28"/>
        </w:rPr>
        <w:t xml:space="preserve"> ciudadana</w:t>
      </w:r>
      <w:r w:rsidR="00B973FC" w:rsidRPr="002E4477">
        <w:rPr>
          <w:szCs w:val="28"/>
        </w:rPr>
        <w:t xml:space="preserve"> dirigida</w:t>
      </w:r>
      <w:r w:rsidR="007B57F0" w:rsidRPr="002E4477">
        <w:rPr>
          <w:szCs w:val="28"/>
        </w:rPr>
        <w:t xml:space="preserve"> contra algunos artículos del Decreto 677 de 1972</w:t>
      </w:r>
      <w:r w:rsidR="00AD13D4" w:rsidRPr="002E4477">
        <w:rPr>
          <w:szCs w:val="28"/>
        </w:rPr>
        <w:t>, expedido por el Presidente de la República en ejercicio de las facultades que le confería el numeral 14 del artículo 120 de la Constitución de 1886</w:t>
      </w:r>
      <w:r w:rsidR="00920C4A" w:rsidRPr="002E4477">
        <w:rPr>
          <w:szCs w:val="28"/>
        </w:rPr>
        <w:t xml:space="preserve"> y cuestionado</w:t>
      </w:r>
      <w:r w:rsidR="00071EBD" w:rsidRPr="002E4477">
        <w:rPr>
          <w:szCs w:val="28"/>
        </w:rPr>
        <w:t xml:space="preserve"> </w:t>
      </w:r>
      <w:r w:rsidR="00920C4A" w:rsidRPr="002E4477">
        <w:rPr>
          <w:szCs w:val="28"/>
        </w:rPr>
        <w:t xml:space="preserve">bajo la vigencia de la nueva Carta, </w:t>
      </w:r>
      <w:r w:rsidRPr="002E4477">
        <w:rPr>
          <w:szCs w:val="28"/>
        </w:rPr>
        <w:t>la Corte Constitucional</w:t>
      </w:r>
      <w:r w:rsidR="0047121A" w:rsidRPr="002E4477">
        <w:rPr>
          <w:szCs w:val="28"/>
        </w:rPr>
        <w:t xml:space="preserve"> </w:t>
      </w:r>
      <w:r w:rsidR="005E354C" w:rsidRPr="002E4477">
        <w:rPr>
          <w:szCs w:val="28"/>
        </w:rPr>
        <w:t>sostuvo</w:t>
      </w:r>
      <w:r w:rsidR="00920C4A" w:rsidRPr="002E4477">
        <w:rPr>
          <w:szCs w:val="28"/>
        </w:rPr>
        <w:t xml:space="preserve">: </w:t>
      </w:r>
    </w:p>
    <w:p w14:paraId="210CC981" w14:textId="77777777" w:rsidR="00B973FC" w:rsidRPr="000E05E7" w:rsidRDefault="00B973FC" w:rsidP="00EC0A8F">
      <w:pPr>
        <w:spacing w:before="100" w:beforeAutospacing="1" w:after="100" w:afterAutospacing="1"/>
        <w:ind w:left="284"/>
        <w:jc w:val="both"/>
        <w:rPr>
          <w:i/>
          <w:iCs/>
          <w:sz w:val="26"/>
          <w:szCs w:val="26"/>
          <w:lang w:val="es-CO" w:eastAsia="es-CO"/>
        </w:rPr>
      </w:pPr>
      <w:r w:rsidRPr="000E05E7">
        <w:rPr>
          <w:i/>
          <w:iCs/>
          <w:sz w:val="26"/>
          <w:szCs w:val="26"/>
          <w:lang w:val="es-CO" w:eastAsia="es-CO"/>
        </w:rPr>
        <w:t xml:space="preserve">“La naturaleza jurídica de los decretos expedidos con base en las facultades del mencionado artículo 120 </w:t>
      </w:r>
      <w:r w:rsidRPr="000E05E7">
        <w:rPr>
          <w:b/>
          <w:bCs/>
          <w:i/>
          <w:iCs/>
          <w:sz w:val="26"/>
          <w:szCs w:val="26"/>
          <w:lang w:val="es-CO" w:eastAsia="es-CO"/>
        </w:rPr>
        <w:t>ha sido definida previamente por la jurisprudencia colombiana</w:t>
      </w:r>
      <w:r w:rsidR="00741284" w:rsidRPr="000E05E7">
        <w:rPr>
          <w:b/>
          <w:bCs/>
          <w:i/>
          <w:iCs/>
          <w:sz w:val="26"/>
          <w:szCs w:val="26"/>
          <w:lang w:val="es-CO" w:eastAsia="es-CO"/>
        </w:rPr>
        <w:t xml:space="preserve"> </w:t>
      </w:r>
      <w:r w:rsidR="00741284" w:rsidRPr="000E05E7">
        <w:rPr>
          <w:i/>
          <w:iCs/>
          <w:sz w:val="26"/>
          <w:szCs w:val="26"/>
          <w:lang w:val="es-CO" w:eastAsia="es-CO"/>
        </w:rPr>
        <w:t>[decretos autónomos]</w:t>
      </w:r>
      <w:r w:rsidRPr="000E05E7">
        <w:rPr>
          <w:i/>
          <w:iCs/>
          <w:sz w:val="26"/>
          <w:szCs w:val="26"/>
          <w:lang w:val="es-CO" w:eastAsia="es-CO"/>
        </w:rPr>
        <w:t xml:space="preserve"> a efectos de clarificar, a qué tipo de control se los debe someter y, por ende, a cuál de las autoridades judiciales le corresponde adelantar ese control. </w:t>
      </w:r>
    </w:p>
    <w:p w14:paraId="029B24DF" w14:textId="77777777" w:rsidR="00B973FC" w:rsidRPr="000E05E7" w:rsidRDefault="00B973FC" w:rsidP="00EC0A8F">
      <w:pPr>
        <w:spacing w:before="100" w:beforeAutospacing="1" w:after="100" w:afterAutospacing="1"/>
        <w:ind w:left="284"/>
        <w:jc w:val="both"/>
        <w:rPr>
          <w:szCs w:val="28"/>
          <w:lang w:val="es-CO" w:eastAsia="es-CO"/>
        </w:rPr>
      </w:pPr>
      <w:r w:rsidRPr="000E05E7">
        <w:rPr>
          <w:i/>
          <w:iCs/>
          <w:sz w:val="26"/>
          <w:szCs w:val="26"/>
          <w:lang w:val="es-CO" w:eastAsia="es-CO"/>
        </w:rPr>
        <w:t>Mediante</w:t>
      </w:r>
      <w:r w:rsidR="0047121A" w:rsidRPr="000E05E7">
        <w:rPr>
          <w:i/>
          <w:iCs/>
          <w:sz w:val="26"/>
          <w:szCs w:val="26"/>
          <w:lang w:val="es-CO" w:eastAsia="es-CO"/>
        </w:rPr>
        <w:t xml:space="preserve"> [la]</w:t>
      </w:r>
      <w:r w:rsidRPr="000E05E7">
        <w:rPr>
          <w:i/>
          <w:iCs/>
          <w:sz w:val="26"/>
          <w:szCs w:val="26"/>
          <w:lang w:val="es-CO" w:eastAsia="es-CO"/>
        </w:rPr>
        <w:t xml:space="preserve"> Sentencia C-021/93, la Corte Constitucional determinó que los decretos expedidos con base en las facultades del artículo 120-14 de la Carta fundamental de 1886, </w:t>
      </w:r>
      <w:r w:rsidRPr="000E05E7">
        <w:rPr>
          <w:b/>
          <w:bCs/>
          <w:i/>
          <w:iCs/>
          <w:sz w:val="26"/>
          <w:szCs w:val="26"/>
          <w:lang w:val="es-CO" w:eastAsia="es-CO"/>
        </w:rPr>
        <w:t>tienen naturaleza reglamentaria y no legal</w:t>
      </w:r>
      <w:r w:rsidRPr="000E05E7">
        <w:rPr>
          <w:i/>
          <w:iCs/>
          <w:sz w:val="26"/>
          <w:szCs w:val="26"/>
          <w:lang w:val="es-CO" w:eastAsia="es-CO"/>
        </w:rPr>
        <w:t xml:space="preserve">; y que sólo se diferencian de los </w:t>
      </w:r>
      <w:r w:rsidRPr="000E05E7">
        <w:rPr>
          <w:b/>
          <w:bCs/>
          <w:i/>
          <w:iCs/>
          <w:sz w:val="26"/>
          <w:szCs w:val="26"/>
          <w:lang w:val="es-CO" w:eastAsia="es-CO"/>
        </w:rPr>
        <w:t>decretos reglamentarios ordinarios, en que a éstos los precede un estatuto legal que debe ser desarrollado, mientras que los primeros s</w:t>
      </w:r>
      <w:r w:rsidRPr="000E05E7">
        <w:rPr>
          <w:b/>
          <w:bCs/>
          <w:i/>
          <w:iCs/>
          <w:sz w:val="26"/>
          <w:szCs w:val="26"/>
          <w:u w:val="single"/>
          <w:lang w:val="es-CO" w:eastAsia="es-CO"/>
        </w:rPr>
        <w:t>urgen directamente de la Constitución</w:t>
      </w:r>
      <w:r w:rsidRPr="000E05E7">
        <w:rPr>
          <w:i/>
          <w:iCs/>
          <w:sz w:val="26"/>
          <w:szCs w:val="26"/>
          <w:lang w:val="es-CO" w:eastAsia="es-CO"/>
        </w:rPr>
        <w:t>”.</w:t>
      </w:r>
      <w:r w:rsidR="007F0036" w:rsidRPr="000E05E7">
        <w:rPr>
          <w:i/>
          <w:iCs/>
          <w:sz w:val="26"/>
          <w:szCs w:val="26"/>
          <w:lang w:val="es-CO" w:eastAsia="es-CO"/>
        </w:rPr>
        <w:t xml:space="preserve"> </w:t>
      </w:r>
      <w:r w:rsidR="007F0036" w:rsidRPr="000E05E7">
        <w:rPr>
          <w:sz w:val="26"/>
          <w:szCs w:val="26"/>
          <w:lang w:val="es-CO" w:eastAsia="es-CO"/>
        </w:rPr>
        <w:t>(</w:t>
      </w:r>
      <w:r w:rsidR="007F0036" w:rsidRPr="000E05E7">
        <w:rPr>
          <w:szCs w:val="28"/>
          <w:lang w:val="es-CO" w:eastAsia="es-CO"/>
        </w:rPr>
        <w:t>Negrilla fuera del original).</w:t>
      </w:r>
    </w:p>
    <w:p w14:paraId="14E22BAC" w14:textId="77777777" w:rsidR="007B57F0" w:rsidRPr="002E4477" w:rsidRDefault="00741284" w:rsidP="00B973FC">
      <w:pPr>
        <w:pStyle w:val="Prrafodelista"/>
        <w:tabs>
          <w:tab w:val="left" w:pos="567"/>
        </w:tabs>
        <w:ind w:left="0" w:right="49"/>
        <w:contextualSpacing/>
        <w:jc w:val="both"/>
        <w:rPr>
          <w:bCs/>
          <w:szCs w:val="28"/>
        </w:rPr>
      </w:pPr>
      <w:r w:rsidRPr="002E4477">
        <w:rPr>
          <w:szCs w:val="28"/>
          <w:lang w:val="es-CO"/>
        </w:rPr>
        <w:t xml:space="preserve">Por lo tanto, </w:t>
      </w:r>
      <w:r w:rsidR="005E354C" w:rsidRPr="002E4477">
        <w:rPr>
          <w:szCs w:val="28"/>
          <w:lang w:val="es-CO"/>
        </w:rPr>
        <w:t xml:space="preserve">la Corte </w:t>
      </w:r>
      <w:r w:rsidR="00AC045B" w:rsidRPr="002E4477">
        <w:rPr>
          <w:szCs w:val="28"/>
          <w:lang w:val="es-CO"/>
        </w:rPr>
        <w:t xml:space="preserve">Constitucional </w:t>
      </w:r>
      <w:r w:rsidR="007B57F0" w:rsidRPr="002E4477">
        <w:rPr>
          <w:szCs w:val="28"/>
        </w:rPr>
        <w:t>concluyó que el mencionado decreto “</w:t>
      </w:r>
      <w:r w:rsidR="007B57F0" w:rsidRPr="002E4477">
        <w:rPr>
          <w:i/>
          <w:szCs w:val="28"/>
        </w:rPr>
        <w:t>expedido por el Gobierno Nacional con el fin de adoptar algunas medidas relacionadas con el ahorro privado</w:t>
      </w:r>
      <w:r w:rsidR="00AC045B" w:rsidRPr="002E4477">
        <w:rPr>
          <w:i/>
          <w:szCs w:val="28"/>
        </w:rPr>
        <w:t xml:space="preserve">” </w:t>
      </w:r>
      <w:r w:rsidR="00AC045B" w:rsidRPr="002E4477">
        <w:rPr>
          <w:iCs/>
          <w:szCs w:val="28"/>
        </w:rPr>
        <w:t>era</w:t>
      </w:r>
      <w:r w:rsidR="0085401F">
        <w:rPr>
          <w:iCs/>
          <w:szCs w:val="28"/>
        </w:rPr>
        <w:t xml:space="preserve">, </w:t>
      </w:r>
      <w:r w:rsidR="00A27C70" w:rsidRPr="002E4477">
        <w:rPr>
          <w:iCs/>
          <w:szCs w:val="28"/>
        </w:rPr>
        <w:t>según la denominación de esa providencia</w:t>
      </w:r>
      <w:r w:rsidR="0085401F">
        <w:rPr>
          <w:iCs/>
          <w:szCs w:val="28"/>
        </w:rPr>
        <w:t>,</w:t>
      </w:r>
      <w:r w:rsidR="00AC045B" w:rsidRPr="002E4477">
        <w:rPr>
          <w:i/>
          <w:szCs w:val="28"/>
        </w:rPr>
        <w:t xml:space="preserve"> </w:t>
      </w:r>
      <w:r w:rsidR="00A27C70" w:rsidRPr="002E4477">
        <w:rPr>
          <w:iCs/>
          <w:szCs w:val="28"/>
        </w:rPr>
        <w:t xml:space="preserve">un decreto </w:t>
      </w:r>
      <w:r w:rsidR="00AC045B" w:rsidRPr="002E4477">
        <w:rPr>
          <w:i/>
          <w:szCs w:val="28"/>
        </w:rPr>
        <w:t>“</w:t>
      </w:r>
      <w:r w:rsidR="00AC045B" w:rsidRPr="002E4477">
        <w:rPr>
          <w:b/>
          <w:bCs/>
          <w:i/>
          <w:szCs w:val="28"/>
        </w:rPr>
        <w:t xml:space="preserve">reglamentario </w:t>
      </w:r>
      <w:r w:rsidR="007B57F0" w:rsidRPr="002E4477">
        <w:rPr>
          <w:b/>
          <w:bCs/>
          <w:i/>
          <w:szCs w:val="28"/>
        </w:rPr>
        <w:t>autónomo</w:t>
      </w:r>
      <w:r w:rsidR="00AC045B" w:rsidRPr="002E4477">
        <w:rPr>
          <w:i/>
          <w:szCs w:val="28"/>
        </w:rPr>
        <w:t>”</w:t>
      </w:r>
      <w:r w:rsidR="00AC045B" w:rsidRPr="002E4477">
        <w:rPr>
          <w:rStyle w:val="Refdenotaalpie"/>
          <w:szCs w:val="28"/>
        </w:rPr>
        <w:t xml:space="preserve"> </w:t>
      </w:r>
      <w:r w:rsidR="00AC045B" w:rsidRPr="002E4477">
        <w:rPr>
          <w:rStyle w:val="Refdenotaalpie"/>
          <w:szCs w:val="28"/>
        </w:rPr>
        <w:footnoteReference w:id="282"/>
      </w:r>
      <w:r w:rsidR="005874CE" w:rsidRPr="002E4477">
        <w:rPr>
          <w:szCs w:val="28"/>
        </w:rPr>
        <w:t>,</w:t>
      </w:r>
      <w:r w:rsidR="00AC045B" w:rsidRPr="002E4477">
        <w:rPr>
          <w:i/>
          <w:szCs w:val="28"/>
        </w:rPr>
        <w:t xml:space="preserve"> </w:t>
      </w:r>
      <w:r w:rsidR="00AC045B" w:rsidRPr="002E4477">
        <w:rPr>
          <w:iCs/>
          <w:szCs w:val="28"/>
        </w:rPr>
        <w:t xml:space="preserve">que al </w:t>
      </w:r>
      <w:r w:rsidR="00A27C70" w:rsidRPr="002E4477">
        <w:rPr>
          <w:iCs/>
          <w:szCs w:val="28"/>
        </w:rPr>
        <w:t xml:space="preserve">desarrollar de manera directa la Carta pero </w:t>
      </w:r>
      <w:r w:rsidR="00AC045B" w:rsidRPr="002E4477">
        <w:rPr>
          <w:iCs/>
          <w:szCs w:val="28"/>
        </w:rPr>
        <w:t xml:space="preserve">no tener </w:t>
      </w:r>
      <w:r w:rsidR="007B57F0" w:rsidRPr="002E4477">
        <w:rPr>
          <w:iCs/>
          <w:szCs w:val="28"/>
        </w:rPr>
        <w:t>fuerza de ley</w:t>
      </w:r>
      <w:r w:rsidR="00A27C70" w:rsidRPr="002E4477">
        <w:rPr>
          <w:iCs/>
          <w:szCs w:val="28"/>
        </w:rPr>
        <w:t>,</w:t>
      </w:r>
      <w:r w:rsidR="00367F07" w:rsidRPr="002E4477">
        <w:rPr>
          <w:iCs/>
          <w:szCs w:val="28"/>
        </w:rPr>
        <w:t xml:space="preserve"> </w:t>
      </w:r>
      <w:r w:rsidR="00B84D0E">
        <w:rPr>
          <w:iCs/>
          <w:szCs w:val="28"/>
        </w:rPr>
        <w:t>su</w:t>
      </w:r>
      <w:r w:rsidR="00AC045B" w:rsidRPr="002E4477">
        <w:rPr>
          <w:iCs/>
          <w:szCs w:val="28"/>
        </w:rPr>
        <w:t xml:space="preserve"> </w:t>
      </w:r>
      <w:r w:rsidR="007B57F0" w:rsidRPr="002E4477">
        <w:rPr>
          <w:iCs/>
          <w:szCs w:val="28"/>
        </w:rPr>
        <w:t>control de legalidad est</w:t>
      </w:r>
      <w:r w:rsidR="00AC045B" w:rsidRPr="002E4477">
        <w:rPr>
          <w:iCs/>
          <w:szCs w:val="28"/>
        </w:rPr>
        <w:t>aba</w:t>
      </w:r>
      <w:r w:rsidR="007B57F0" w:rsidRPr="002E4477">
        <w:rPr>
          <w:iCs/>
          <w:szCs w:val="28"/>
        </w:rPr>
        <w:t xml:space="preserve"> reservado al Consejo de Estado</w:t>
      </w:r>
      <w:r w:rsidR="007B57F0" w:rsidRPr="002E4477">
        <w:rPr>
          <w:szCs w:val="28"/>
        </w:rPr>
        <w:t>.</w:t>
      </w:r>
    </w:p>
    <w:p w14:paraId="43B222DA" w14:textId="77777777" w:rsidR="007B57F0" w:rsidRPr="002E4477" w:rsidRDefault="007B57F0" w:rsidP="007B57F0">
      <w:pPr>
        <w:pStyle w:val="Prrafodelista"/>
        <w:rPr>
          <w:bCs/>
          <w:szCs w:val="28"/>
        </w:rPr>
      </w:pPr>
    </w:p>
    <w:p w14:paraId="23EFECF9" w14:textId="77777777" w:rsidR="00E82ECC" w:rsidRPr="005C1C63" w:rsidRDefault="00AC045B" w:rsidP="00962603">
      <w:pPr>
        <w:pStyle w:val="Prrafodelista"/>
        <w:numPr>
          <w:ilvl w:val="0"/>
          <w:numId w:val="10"/>
        </w:numPr>
        <w:tabs>
          <w:tab w:val="left" w:pos="567"/>
        </w:tabs>
        <w:ind w:right="49"/>
        <w:contextualSpacing/>
        <w:jc w:val="both"/>
        <w:rPr>
          <w:bCs/>
          <w:szCs w:val="28"/>
        </w:rPr>
      </w:pPr>
      <w:r w:rsidRPr="002E4477">
        <w:rPr>
          <w:szCs w:val="28"/>
        </w:rPr>
        <w:t>Ahora</w:t>
      </w:r>
      <w:r w:rsidR="00B40040" w:rsidRPr="002E4477">
        <w:rPr>
          <w:szCs w:val="28"/>
        </w:rPr>
        <w:t xml:space="preserve"> bien</w:t>
      </w:r>
      <w:r w:rsidRPr="002E4477">
        <w:rPr>
          <w:szCs w:val="28"/>
        </w:rPr>
        <w:t xml:space="preserve">, </w:t>
      </w:r>
      <w:r w:rsidR="00741284" w:rsidRPr="002E4477">
        <w:rPr>
          <w:szCs w:val="28"/>
        </w:rPr>
        <w:t xml:space="preserve">en la actualidad, </w:t>
      </w:r>
      <w:r w:rsidR="00B40040" w:rsidRPr="002E4477">
        <w:rPr>
          <w:szCs w:val="28"/>
        </w:rPr>
        <w:t xml:space="preserve">algunos doctrinantes </w:t>
      </w:r>
      <w:r w:rsidR="00A27C70" w:rsidRPr="002E4477">
        <w:rPr>
          <w:szCs w:val="28"/>
        </w:rPr>
        <w:t>discrepan de estas conclusione</w:t>
      </w:r>
      <w:r w:rsidR="00741284" w:rsidRPr="002E4477">
        <w:rPr>
          <w:szCs w:val="28"/>
        </w:rPr>
        <w:t>s jurisprudenciales</w:t>
      </w:r>
      <w:r w:rsidR="00A27C70" w:rsidRPr="002E4477">
        <w:rPr>
          <w:szCs w:val="28"/>
        </w:rPr>
        <w:t xml:space="preserve"> y </w:t>
      </w:r>
      <w:r w:rsidR="00B40040" w:rsidRPr="002E4477">
        <w:rPr>
          <w:szCs w:val="28"/>
        </w:rPr>
        <w:t>consideran que ciertas clasificaciones de los decretos expedidos por el Gobierno Nacional basadas en un criterio material o de contenido</w:t>
      </w:r>
      <w:r w:rsidR="005874CE" w:rsidRPr="002E4477">
        <w:rPr>
          <w:szCs w:val="28"/>
        </w:rPr>
        <w:t xml:space="preserve">, </w:t>
      </w:r>
      <w:r w:rsidR="00A27C70" w:rsidRPr="002E4477">
        <w:rPr>
          <w:szCs w:val="28"/>
        </w:rPr>
        <w:t xml:space="preserve">entre ellas la de los </w:t>
      </w:r>
      <w:r w:rsidR="00B40040" w:rsidRPr="002E4477">
        <w:rPr>
          <w:szCs w:val="28"/>
        </w:rPr>
        <w:t>decretos autónomos</w:t>
      </w:r>
      <w:r w:rsidR="004432A1" w:rsidRPr="002E4477">
        <w:rPr>
          <w:szCs w:val="28"/>
        </w:rPr>
        <w:t>,</w:t>
      </w:r>
      <w:r w:rsidR="00B40040" w:rsidRPr="002E4477">
        <w:rPr>
          <w:szCs w:val="28"/>
        </w:rPr>
        <w:t xml:space="preserve"> </w:t>
      </w:r>
      <w:r w:rsidR="00A27C70" w:rsidRPr="002E4477">
        <w:rPr>
          <w:szCs w:val="28"/>
        </w:rPr>
        <w:t xml:space="preserve">desconocen que se trata de normas que </w:t>
      </w:r>
      <w:r w:rsidR="00B40040" w:rsidRPr="002E4477">
        <w:rPr>
          <w:szCs w:val="28"/>
        </w:rPr>
        <w:t xml:space="preserve">tienen </w:t>
      </w:r>
      <w:r w:rsidR="00A27C70" w:rsidRPr="002E4477">
        <w:rPr>
          <w:szCs w:val="28"/>
        </w:rPr>
        <w:t xml:space="preserve">verdaderamente </w:t>
      </w:r>
      <w:r w:rsidR="00B40040" w:rsidRPr="002E4477">
        <w:rPr>
          <w:szCs w:val="28"/>
        </w:rPr>
        <w:t>“</w:t>
      </w:r>
      <w:r w:rsidR="00B40040" w:rsidRPr="002E4477">
        <w:rPr>
          <w:i/>
          <w:iCs/>
          <w:szCs w:val="28"/>
        </w:rPr>
        <w:t>fuerza material de ley, hasta el punto de derogarlas o subrogarlas</w:t>
      </w:r>
      <w:r w:rsidR="00B40040" w:rsidRPr="002E4477">
        <w:rPr>
          <w:szCs w:val="28"/>
        </w:rPr>
        <w:t>”</w:t>
      </w:r>
      <w:r w:rsidR="00B40040" w:rsidRPr="002E4477">
        <w:rPr>
          <w:rStyle w:val="Refdenotaalpie"/>
          <w:szCs w:val="28"/>
        </w:rPr>
        <w:footnoteReference w:id="283"/>
      </w:r>
      <w:r w:rsidR="00741284" w:rsidRPr="002E4477">
        <w:rPr>
          <w:szCs w:val="28"/>
        </w:rPr>
        <w:t xml:space="preserve"> en ocasiones.</w:t>
      </w:r>
      <w:r w:rsidR="00293C1E" w:rsidRPr="002E4477">
        <w:rPr>
          <w:szCs w:val="28"/>
        </w:rPr>
        <w:t xml:space="preserve"> </w:t>
      </w:r>
      <w:r w:rsidR="004432A1" w:rsidRPr="002E4477">
        <w:rPr>
          <w:szCs w:val="28"/>
        </w:rPr>
        <w:t>No obstante,</w:t>
      </w:r>
      <w:r w:rsidR="00B40040" w:rsidRPr="002E4477">
        <w:rPr>
          <w:szCs w:val="28"/>
        </w:rPr>
        <w:t xml:space="preserve"> </w:t>
      </w:r>
      <w:r w:rsidR="007B57F0" w:rsidRPr="002E4477">
        <w:rPr>
          <w:szCs w:val="28"/>
        </w:rPr>
        <w:t xml:space="preserve">la Corte </w:t>
      </w:r>
      <w:r w:rsidR="007B57F0" w:rsidRPr="005C1C63">
        <w:rPr>
          <w:szCs w:val="28"/>
        </w:rPr>
        <w:t xml:space="preserve">Constitucional y el Consejo de </w:t>
      </w:r>
      <w:r w:rsidR="005874CE" w:rsidRPr="005C1C63">
        <w:rPr>
          <w:szCs w:val="28"/>
        </w:rPr>
        <w:t>Estado</w:t>
      </w:r>
      <w:r w:rsidR="007B57F0" w:rsidRPr="005C1C63">
        <w:rPr>
          <w:szCs w:val="28"/>
        </w:rPr>
        <w:t xml:space="preserve"> </w:t>
      </w:r>
      <w:r w:rsidR="00A27C70" w:rsidRPr="005C1C63">
        <w:rPr>
          <w:szCs w:val="28"/>
        </w:rPr>
        <w:t>les</w:t>
      </w:r>
      <w:r w:rsidR="007B57F0" w:rsidRPr="005C1C63">
        <w:rPr>
          <w:szCs w:val="28"/>
        </w:rPr>
        <w:t xml:space="preserve"> niegan</w:t>
      </w:r>
      <w:r w:rsidR="00B40040" w:rsidRPr="005C1C63">
        <w:rPr>
          <w:szCs w:val="28"/>
        </w:rPr>
        <w:t xml:space="preserve"> esa</w:t>
      </w:r>
      <w:r w:rsidR="007B57F0" w:rsidRPr="005C1C63">
        <w:rPr>
          <w:szCs w:val="28"/>
        </w:rPr>
        <w:t xml:space="preserve"> fuerza material a los decretos autónomos</w:t>
      </w:r>
      <w:r w:rsidR="00B40040" w:rsidRPr="005C1C63">
        <w:rPr>
          <w:szCs w:val="28"/>
        </w:rPr>
        <w:t xml:space="preserve">. </w:t>
      </w:r>
    </w:p>
    <w:p w14:paraId="4662D5E3" w14:textId="77777777" w:rsidR="004432A1" w:rsidRPr="005C1C63" w:rsidRDefault="004432A1" w:rsidP="004432A1">
      <w:pPr>
        <w:pStyle w:val="Prrafodelista"/>
        <w:tabs>
          <w:tab w:val="left" w:pos="567"/>
        </w:tabs>
        <w:ind w:left="0" w:right="49"/>
        <w:contextualSpacing/>
        <w:jc w:val="both"/>
        <w:rPr>
          <w:bCs/>
          <w:szCs w:val="28"/>
        </w:rPr>
      </w:pPr>
    </w:p>
    <w:p w14:paraId="58B43F9A" w14:textId="77777777" w:rsidR="00E82ECC" w:rsidRPr="002E4477" w:rsidRDefault="00F50F2B" w:rsidP="004432A1">
      <w:pPr>
        <w:pStyle w:val="Prrafodelista"/>
        <w:tabs>
          <w:tab w:val="left" w:pos="567"/>
        </w:tabs>
        <w:ind w:left="0" w:right="49"/>
        <w:contextualSpacing/>
        <w:jc w:val="both"/>
        <w:rPr>
          <w:bCs/>
          <w:szCs w:val="28"/>
        </w:rPr>
      </w:pPr>
      <w:r w:rsidRPr="005C1C63">
        <w:rPr>
          <w:szCs w:val="28"/>
        </w:rPr>
        <w:t xml:space="preserve">El </w:t>
      </w:r>
      <w:r w:rsidR="007B57F0" w:rsidRPr="005C1C63">
        <w:rPr>
          <w:szCs w:val="28"/>
        </w:rPr>
        <w:t xml:space="preserve">Consejo de Estado </w:t>
      </w:r>
      <w:r w:rsidR="00741284" w:rsidRPr="005C1C63">
        <w:rPr>
          <w:szCs w:val="28"/>
        </w:rPr>
        <w:t>ha considerado</w:t>
      </w:r>
      <w:r w:rsidR="007B57F0" w:rsidRPr="005C1C63">
        <w:rPr>
          <w:szCs w:val="28"/>
        </w:rPr>
        <w:t xml:space="preserve"> que estos decretos, a pesar de expedirse sin necesidad de fundarse en la ley, t</w:t>
      </w:r>
      <w:r w:rsidR="00741284" w:rsidRPr="005C1C63">
        <w:rPr>
          <w:szCs w:val="28"/>
        </w:rPr>
        <w:t>ienen</w:t>
      </w:r>
      <w:r w:rsidR="007B57F0" w:rsidRPr="005C1C63">
        <w:rPr>
          <w:szCs w:val="28"/>
        </w:rPr>
        <w:t xml:space="preserve"> carácter administrativo y no p</w:t>
      </w:r>
      <w:r w:rsidR="00741284" w:rsidRPr="005C1C63">
        <w:rPr>
          <w:szCs w:val="28"/>
        </w:rPr>
        <w:t>ueden finalmente</w:t>
      </w:r>
      <w:r w:rsidR="007B57F0" w:rsidRPr="005C1C63">
        <w:rPr>
          <w:szCs w:val="28"/>
        </w:rPr>
        <w:t xml:space="preserve"> contrariar lo dispuesto</w:t>
      </w:r>
      <w:r w:rsidRPr="005C1C63">
        <w:rPr>
          <w:szCs w:val="28"/>
        </w:rPr>
        <w:t xml:space="preserve"> en </w:t>
      </w:r>
      <w:r w:rsidR="00741284" w:rsidRPr="005C1C63">
        <w:rPr>
          <w:szCs w:val="28"/>
        </w:rPr>
        <w:t>la ley</w:t>
      </w:r>
      <w:r w:rsidR="007B57F0" w:rsidRPr="005C1C63">
        <w:rPr>
          <w:rStyle w:val="Refdenotaalpie"/>
          <w:szCs w:val="28"/>
        </w:rPr>
        <w:footnoteReference w:id="284"/>
      </w:r>
      <w:r w:rsidR="007B57F0" w:rsidRPr="005C1C63">
        <w:rPr>
          <w:szCs w:val="28"/>
        </w:rPr>
        <w:t>. En pronunciamientos de la Corte Constitucional</w:t>
      </w:r>
      <w:r w:rsidRPr="005C1C63">
        <w:rPr>
          <w:szCs w:val="28"/>
        </w:rPr>
        <w:t>,</w:t>
      </w:r>
      <w:r w:rsidR="007B57F0" w:rsidRPr="005C1C63">
        <w:rPr>
          <w:szCs w:val="28"/>
        </w:rPr>
        <w:t xml:space="preserve"> al efectuar el control de normas expedidas en vigencia de la Constitución de 1886</w:t>
      </w:r>
      <w:r w:rsidR="00B40040" w:rsidRPr="005C1C63">
        <w:rPr>
          <w:szCs w:val="28"/>
        </w:rPr>
        <w:t>,</w:t>
      </w:r>
      <w:r w:rsidR="007B57F0" w:rsidRPr="005C1C63">
        <w:rPr>
          <w:szCs w:val="28"/>
        </w:rPr>
        <w:t xml:space="preserve"> esta Corporación</w:t>
      </w:r>
      <w:r w:rsidRPr="005C1C63">
        <w:rPr>
          <w:szCs w:val="28"/>
        </w:rPr>
        <w:t xml:space="preserve"> ha</w:t>
      </w:r>
      <w:r w:rsidR="007B57F0" w:rsidRPr="005C1C63">
        <w:rPr>
          <w:szCs w:val="28"/>
        </w:rPr>
        <w:t xml:space="preserve"> acogi</w:t>
      </w:r>
      <w:r w:rsidRPr="005C1C63">
        <w:rPr>
          <w:szCs w:val="28"/>
        </w:rPr>
        <w:t>do</w:t>
      </w:r>
      <w:r w:rsidR="007B57F0" w:rsidRPr="005C1C63">
        <w:rPr>
          <w:szCs w:val="28"/>
        </w:rPr>
        <w:t xml:space="preserve"> </w:t>
      </w:r>
      <w:r w:rsidR="009357D0" w:rsidRPr="005C1C63">
        <w:rPr>
          <w:szCs w:val="28"/>
        </w:rPr>
        <w:t xml:space="preserve">también </w:t>
      </w:r>
      <w:r w:rsidR="007B57F0" w:rsidRPr="005C1C63">
        <w:rPr>
          <w:szCs w:val="28"/>
        </w:rPr>
        <w:t xml:space="preserve">la tesis de que la facultad de expedir decretos autónomos </w:t>
      </w:r>
      <w:r w:rsidR="007B57F0" w:rsidRPr="005C1C63">
        <w:rPr>
          <w:b/>
          <w:bCs/>
          <w:szCs w:val="28"/>
        </w:rPr>
        <w:t>no excluye la compet</w:t>
      </w:r>
      <w:r w:rsidR="00B40040" w:rsidRPr="005C1C63">
        <w:rPr>
          <w:b/>
          <w:bCs/>
          <w:szCs w:val="28"/>
        </w:rPr>
        <w:t>encia concurrente del Congreso</w:t>
      </w:r>
      <w:r w:rsidR="00B40040" w:rsidRPr="005C1C63">
        <w:rPr>
          <w:rStyle w:val="Refdenotaalpie"/>
          <w:szCs w:val="28"/>
        </w:rPr>
        <w:footnoteReference w:id="285"/>
      </w:r>
      <w:r w:rsidR="00B40040" w:rsidRPr="005C1C63">
        <w:rPr>
          <w:szCs w:val="28"/>
        </w:rPr>
        <w:t>.</w:t>
      </w:r>
    </w:p>
    <w:p w14:paraId="15F8E47E" w14:textId="77777777" w:rsidR="0070744E" w:rsidRPr="002E4477" w:rsidRDefault="0070744E" w:rsidP="0070744E">
      <w:pPr>
        <w:pStyle w:val="Prrafodelista"/>
        <w:tabs>
          <w:tab w:val="left" w:pos="567"/>
        </w:tabs>
        <w:ind w:left="0" w:right="49"/>
        <w:contextualSpacing/>
        <w:jc w:val="both"/>
        <w:rPr>
          <w:bCs/>
          <w:szCs w:val="28"/>
        </w:rPr>
      </w:pPr>
    </w:p>
    <w:p w14:paraId="08627EAF" w14:textId="77777777" w:rsidR="0070744E" w:rsidRPr="002E4477" w:rsidRDefault="00741284" w:rsidP="00962603">
      <w:pPr>
        <w:pStyle w:val="Prrafodelista"/>
        <w:numPr>
          <w:ilvl w:val="0"/>
          <w:numId w:val="10"/>
        </w:numPr>
        <w:tabs>
          <w:tab w:val="left" w:pos="567"/>
        </w:tabs>
        <w:ind w:right="49"/>
        <w:contextualSpacing/>
        <w:jc w:val="both"/>
        <w:rPr>
          <w:bCs/>
          <w:szCs w:val="28"/>
        </w:rPr>
      </w:pPr>
      <w:r w:rsidRPr="002E4477">
        <w:rPr>
          <w:bCs/>
          <w:szCs w:val="28"/>
        </w:rPr>
        <w:t>T</w:t>
      </w:r>
      <w:r w:rsidR="00F50F2B" w:rsidRPr="002E4477">
        <w:rPr>
          <w:bCs/>
          <w:szCs w:val="28"/>
        </w:rPr>
        <w:t>odo lo anterior</w:t>
      </w:r>
      <w:r w:rsidRPr="002E4477">
        <w:rPr>
          <w:bCs/>
          <w:szCs w:val="28"/>
        </w:rPr>
        <w:t xml:space="preserve"> permite concluir que en la actualidad, </w:t>
      </w:r>
      <w:r w:rsidR="0070744E" w:rsidRPr="002E4477">
        <w:rPr>
          <w:bCs/>
          <w:szCs w:val="28"/>
        </w:rPr>
        <w:t xml:space="preserve">los reglamentos autónomos: </w:t>
      </w:r>
      <w:r w:rsidR="0070744E" w:rsidRPr="002E4477">
        <w:rPr>
          <w:b/>
          <w:bCs/>
          <w:szCs w:val="28"/>
        </w:rPr>
        <w:t>(i)</w:t>
      </w:r>
      <w:r w:rsidR="0070744E" w:rsidRPr="002E4477">
        <w:rPr>
          <w:bCs/>
          <w:szCs w:val="28"/>
        </w:rPr>
        <w:t xml:space="preserve"> tienen su fundamento en una atribución constitucional</w:t>
      </w:r>
      <w:r w:rsidR="009357D0" w:rsidRPr="002E4477">
        <w:rPr>
          <w:bCs/>
          <w:szCs w:val="28"/>
        </w:rPr>
        <w:t xml:space="preserve"> directa</w:t>
      </w:r>
      <w:r w:rsidR="0070744E" w:rsidRPr="002E4477">
        <w:rPr>
          <w:bCs/>
          <w:szCs w:val="28"/>
        </w:rPr>
        <w:t>;</w:t>
      </w:r>
      <w:r w:rsidR="0070744E" w:rsidRPr="002E4477">
        <w:rPr>
          <w:b/>
          <w:bCs/>
          <w:szCs w:val="28"/>
        </w:rPr>
        <w:t xml:space="preserve"> (ii) </w:t>
      </w:r>
      <w:r w:rsidR="0070744E" w:rsidRPr="002E4477">
        <w:rPr>
          <w:bCs/>
          <w:szCs w:val="28"/>
        </w:rPr>
        <w:t>no generan distribución de competencias entre el Ejecutivo y los órganos habilitados a proferirlo</w:t>
      </w:r>
      <w:r w:rsidRPr="002E4477">
        <w:rPr>
          <w:bCs/>
          <w:szCs w:val="28"/>
        </w:rPr>
        <w:t xml:space="preserve">s; </w:t>
      </w:r>
      <w:r w:rsidRPr="002E4477">
        <w:rPr>
          <w:b/>
          <w:szCs w:val="28"/>
        </w:rPr>
        <w:t>(iii)</w:t>
      </w:r>
      <w:r w:rsidRPr="002E4477">
        <w:rPr>
          <w:bCs/>
          <w:szCs w:val="28"/>
        </w:rPr>
        <w:t xml:space="preserve"> </w:t>
      </w:r>
      <w:r w:rsidR="0070744E" w:rsidRPr="002E4477">
        <w:rPr>
          <w:bCs/>
          <w:szCs w:val="28"/>
        </w:rPr>
        <w:t>el Congreso siempre podrá inte</w:t>
      </w:r>
      <w:r w:rsidR="00293C1E" w:rsidRPr="002E4477">
        <w:rPr>
          <w:bCs/>
          <w:szCs w:val="28"/>
        </w:rPr>
        <w:t>r</w:t>
      </w:r>
      <w:r w:rsidR="0070744E" w:rsidRPr="002E4477">
        <w:rPr>
          <w:bCs/>
          <w:szCs w:val="28"/>
        </w:rPr>
        <w:t>venir en lo de</w:t>
      </w:r>
      <w:r w:rsidR="00293C1E" w:rsidRPr="002E4477">
        <w:rPr>
          <w:bCs/>
          <w:szCs w:val="28"/>
        </w:rPr>
        <w:t>signado</w:t>
      </w:r>
      <w:r w:rsidR="0070744E" w:rsidRPr="002E4477">
        <w:rPr>
          <w:bCs/>
          <w:szCs w:val="28"/>
        </w:rPr>
        <w:t>, porque no son reglamentos que puedan desconocer la voluntad del Legislador o derogar leyes</w:t>
      </w:r>
      <w:r w:rsidRPr="002E4477">
        <w:rPr>
          <w:bCs/>
          <w:szCs w:val="28"/>
        </w:rPr>
        <w:t xml:space="preserve"> y </w:t>
      </w:r>
      <w:r w:rsidRPr="002E4477">
        <w:rPr>
          <w:b/>
          <w:szCs w:val="28"/>
        </w:rPr>
        <w:t>(iv)</w:t>
      </w:r>
      <w:r w:rsidRPr="002E4477">
        <w:rPr>
          <w:bCs/>
          <w:szCs w:val="28"/>
        </w:rPr>
        <w:t xml:space="preserve"> su control está en principio, en cabeza del Consejo de Estado. </w:t>
      </w:r>
    </w:p>
    <w:p w14:paraId="45A2A8EF" w14:textId="77777777" w:rsidR="003E3A47" w:rsidRPr="002E4477" w:rsidRDefault="003E3A47" w:rsidP="003E3A47">
      <w:pPr>
        <w:pStyle w:val="Prrafodelista"/>
        <w:tabs>
          <w:tab w:val="left" w:pos="567"/>
        </w:tabs>
        <w:ind w:left="0" w:right="49"/>
        <w:contextualSpacing/>
        <w:jc w:val="both"/>
        <w:rPr>
          <w:bCs/>
          <w:szCs w:val="28"/>
        </w:rPr>
      </w:pPr>
    </w:p>
    <w:p w14:paraId="0C37BCDB" w14:textId="77777777" w:rsidR="00AC3784" w:rsidRPr="002E4477" w:rsidRDefault="003E3A47" w:rsidP="003E3A47">
      <w:pPr>
        <w:pStyle w:val="Prrafodelista"/>
        <w:tabs>
          <w:tab w:val="left" w:pos="567"/>
        </w:tabs>
        <w:ind w:left="0" w:right="49"/>
        <w:contextualSpacing/>
        <w:jc w:val="both"/>
        <w:rPr>
          <w:bCs/>
          <w:szCs w:val="28"/>
        </w:rPr>
      </w:pPr>
      <w:r w:rsidRPr="002E4477">
        <w:rPr>
          <w:bCs/>
          <w:szCs w:val="28"/>
        </w:rPr>
        <w:t xml:space="preserve">En ese sentido, el debate que aquí se expresa </w:t>
      </w:r>
      <w:r w:rsidR="009357D0" w:rsidRPr="002E4477">
        <w:rPr>
          <w:bCs/>
          <w:szCs w:val="28"/>
        </w:rPr>
        <w:t>involucra</w:t>
      </w:r>
      <w:r w:rsidR="00F50F2B" w:rsidRPr="002E4477">
        <w:rPr>
          <w:bCs/>
          <w:szCs w:val="28"/>
        </w:rPr>
        <w:t xml:space="preserve"> </w:t>
      </w:r>
      <w:r w:rsidRPr="002E4477">
        <w:rPr>
          <w:bCs/>
          <w:szCs w:val="28"/>
        </w:rPr>
        <w:t>determinar</w:t>
      </w:r>
      <w:r w:rsidR="009357D0" w:rsidRPr="002E4477">
        <w:rPr>
          <w:bCs/>
          <w:szCs w:val="28"/>
        </w:rPr>
        <w:t>,</w:t>
      </w:r>
      <w:r w:rsidRPr="002E4477">
        <w:rPr>
          <w:bCs/>
          <w:szCs w:val="28"/>
        </w:rPr>
        <w:t xml:space="preserve"> </w:t>
      </w:r>
      <w:r w:rsidR="004E3048" w:rsidRPr="002E4477">
        <w:rPr>
          <w:bCs/>
          <w:szCs w:val="28"/>
        </w:rPr>
        <w:t>si los decretos autónomos son</w:t>
      </w:r>
      <w:r w:rsidRPr="002E4477">
        <w:rPr>
          <w:bCs/>
          <w:szCs w:val="28"/>
        </w:rPr>
        <w:t xml:space="preserve"> o no</w:t>
      </w:r>
      <w:r w:rsidR="00741284" w:rsidRPr="002E4477">
        <w:rPr>
          <w:bCs/>
          <w:szCs w:val="28"/>
        </w:rPr>
        <w:t xml:space="preserve"> son</w:t>
      </w:r>
      <w:r w:rsidR="004E3048" w:rsidRPr="002E4477">
        <w:rPr>
          <w:bCs/>
          <w:szCs w:val="28"/>
        </w:rPr>
        <w:t xml:space="preserve"> una realidad constitucional </w:t>
      </w:r>
      <w:r w:rsidR="009D41D8" w:rsidRPr="002E4477">
        <w:rPr>
          <w:bCs/>
          <w:szCs w:val="28"/>
        </w:rPr>
        <w:t>plausible</w:t>
      </w:r>
      <w:r w:rsidR="00741284" w:rsidRPr="002E4477">
        <w:rPr>
          <w:bCs/>
          <w:szCs w:val="28"/>
        </w:rPr>
        <w:t xml:space="preserve"> en la actualidad</w:t>
      </w:r>
      <w:r w:rsidR="009D41D8" w:rsidRPr="002E4477">
        <w:rPr>
          <w:bCs/>
          <w:szCs w:val="28"/>
        </w:rPr>
        <w:t>,</w:t>
      </w:r>
      <w:r w:rsidR="004E3048" w:rsidRPr="002E4477">
        <w:rPr>
          <w:bCs/>
          <w:szCs w:val="28"/>
        </w:rPr>
        <w:t xml:space="preserve"> </w:t>
      </w:r>
      <w:r w:rsidRPr="002E4477">
        <w:rPr>
          <w:bCs/>
          <w:szCs w:val="28"/>
        </w:rPr>
        <w:t xml:space="preserve">con fundamento en el </w:t>
      </w:r>
      <w:r w:rsidR="004E3048" w:rsidRPr="002E4477">
        <w:rPr>
          <w:bCs/>
          <w:szCs w:val="28"/>
        </w:rPr>
        <w:t>artículo 257A superior</w:t>
      </w:r>
      <w:r w:rsidR="00293C1E" w:rsidRPr="002E4477">
        <w:rPr>
          <w:bCs/>
          <w:szCs w:val="28"/>
        </w:rPr>
        <w:t>,</w:t>
      </w:r>
      <w:r w:rsidR="00741284" w:rsidRPr="002E4477">
        <w:rPr>
          <w:bCs/>
          <w:szCs w:val="28"/>
        </w:rPr>
        <w:t xml:space="preserve"> y si ello corresponde o no a </w:t>
      </w:r>
      <w:r w:rsidR="00293C1E" w:rsidRPr="002E4477">
        <w:rPr>
          <w:bCs/>
          <w:szCs w:val="28"/>
        </w:rPr>
        <w:t>lo inicialmente pensado por el c</w:t>
      </w:r>
      <w:r w:rsidRPr="002E4477">
        <w:rPr>
          <w:bCs/>
          <w:szCs w:val="28"/>
        </w:rPr>
        <w:t>onstituyente</w:t>
      </w:r>
      <w:r w:rsidR="00741284" w:rsidRPr="002E4477">
        <w:rPr>
          <w:bCs/>
          <w:szCs w:val="28"/>
        </w:rPr>
        <w:t xml:space="preserve">, </w:t>
      </w:r>
      <w:r w:rsidRPr="002E4477">
        <w:rPr>
          <w:bCs/>
          <w:szCs w:val="28"/>
        </w:rPr>
        <w:t xml:space="preserve">hasta tanto </w:t>
      </w:r>
      <w:r w:rsidR="008A5747" w:rsidRPr="002E4477">
        <w:rPr>
          <w:bCs/>
          <w:szCs w:val="28"/>
        </w:rPr>
        <w:t xml:space="preserve">se diera una </w:t>
      </w:r>
      <w:r w:rsidRPr="002E4477">
        <w:rPr>
          <w:bCs/>
          <w:szCs w:val="28"/>
        </w:rPr>
        <w:t>expresió</w:t>
      </w:r>
      <w:r w:rsidR="00741284" w:rsidRPr="002E4477">
        <w:rPr>
          <w:bCs/>
          <w:szCs w:val="28"/>
        </w:rPr>
        <w:t>n definitiva</w:t>
      </w:r>
      <w:r w:rsidR="00DF4C59">
        <w:rPr>
          <w:bCs/>
          <w:szCs w:val="28"/>
        </w:rPr>
        <w:t xml:space="preserve"> </w:t>
      </w:r>
      <w:r w:rsidR="00741284" w:rsidRPr="002E4477">
        <w:rPr>
          <w:bCs/>
          <w:szCs w:val="28"/>
        </w:rPr>
        <w:t xml:space="preserve">del </w:t>
      </w:r>
      <w:r w:rsidRPr="002E4477">
        <w:rPr>
          <w:bCs/>
          <w:szCs w:val="28"/>
        </w:rPr>
        <w:t xml:space="preserve">Legislador. </w:t>
      </w:r>
      <w:r w:rsidR="004E3048" w:rsidRPr="002E4477">
        <w:rPr>
          <w:bCs/>
          <w:szCs w:val="28"/>
        </w:rPr>
        <w:t xml:space="preserve"> </w:t>
      </w:r>
    </w:p>
    <w:p w14:paraId="5154E3D7" w14:textId="77777777" w:rsidR="00A257E1" w:rsidRPr="002E4477" w:rsidRDefault="00A257E1" w:rsidP="00EC0A8F">
      <w:pPr>
        <w:pStyle w:val="NormalWeb"/>
        <w:tabs>
          <w:tab w:val="left" w:pos="426"/>
        </w:tabs>
        <w:spacing w:before="0" w:beforeAutospacing="0" w:after="0" w:afterAutospacing="0" w:line="276" w:lineRule="auto"/>
        <w:ind w:right="40"/>
        <w:jc w:val="both"/>
        <w:rPr>
          <w:b/>
          <w:bCs/>
          <w:i/>
          <w:iCs/>
          <w:sz w:val="28"/>
          <w:szCs w:val="28"/>
        </w:rPr>
      </w:pPr>
    </w:p>
    <w:p w14:paraId="40B5977B" w14:textId="77777777" w:rsidR="009D41D8" w:rsidRPr="002E4477" w:rsidRDefault="002E51A5" w:rsidP="009D41D8">
      <w:pPr>
        <w:pStyle w:val="NormalWeb"/>
        <w:tabs>
          <w:tab w:val="left" w:pos="426"/>
        </w:tabs>
        <w:spacing w:before="0" w:beforeAutospacing="0" w:after="0" w:afterAutospacing="0"/>
        <w:ind w:right="40"/>
        <w:jc w:val="both"/>
        <w:rPr>
          <w:b/>
          <w:bCs/>
          <w:i/>
          <w:iCs/>
          <w:sz w:val="28"/>
          <w:szCs w:val="28"/>
        </w:rPr>
      </w:pPr>
      <w:r w:rsidRPr="002E4477">
        <w:rPr>
          <w:b/>
          <w:bCs/>
          <w:i/>
          <w:iCs/>
          <w:sz w:val="28"/>
          <w:szCs w:val="28"/>
        </w:rPr>
        <w:t>L</w:t>
      </w:r>
      <w:r w:rsidR="00021F05" w:rsidRPr="002E4477">
        <w:rPr>
          <w:b/>
          <w:bCs/>
          <w:i/>
          <w:iCs/>
          <w:sz w:val="28"/>
          <w:szCs w:val="28"/>
        </w:rPr>
        <w:t>a</w:t>
      </w:r>
      <w:r w:rsidR="008F78B9" w:rsidRPr="002E4477">
        <w:rPr>
          <w:b/>
          <w:bCs/>
          <w:i/>
          <w:iCs/>
          <w:sz w:val="28"/>
          <w:szCs w:val="28"/>
        </w:rPr>
        <w:t xml:space="preserve"> </w:t>
      </w:r>
      <w:r w:rsidR="009D41D8" w:rsidRPr="002E4477">
        <w:rPr>
          <w:b/>
          <w:bCs/>
          <w:i/>
          <w:iCs/>
          <w:sz w:val="28"/>
          <w:szCs w:val="28"/>
        </w:rPr>
        <w:t>situación actual de</w:t>
      </w:r>
      <w:r w:rsidR="00A257E1" w:rsidRPr="002E4477">
        <w:rPr>
          <w:b/>
          <w:bCs/>
          <w:i/>
          <w:iCs/>
          <w:sz w:val="28"/>
          <w:szCs w:val="28"/>
        </w:rPr>
        <w:t xml:space="preserve"> </w:t>
      </w:r>
      <w:r w:rsidR="009D41D8" w:rsidRPr="002E4477">
        <w:rPr>
          <w:b/>
          <w:bCs/>
          <w:i/>
          <w:iCs/>
          <w:sz w:val="28"/>
          <w:szCs w:val="28"/>
        </w:rPr>
        <w:t xml:space="preserve">la Sala disciplinaria </w:t>
      </w:r>
      <w:r w:rsidR="00A257E1" w:rsidRPr="002E4477">
        <w:rPr>
          <w:b/>
          <w:bCs/>
          <w:i/>
          <w:iCs/>
          <w:sz w:val="28"/>
          <w:szCs w:val="28"/>
        </w:rPr>
        <w:t>del Consejo Superior de la Judicatura</w:t>
      </w:r>
    </w:p>
    <w:p w14:paraId="11812480" w14:textId="77777777" w:rsidR="00EC1246" w:rsidRPr="002E4477" w:rsidRDefault="00EC1246" w:rsidP="00EC0A8F">
      <w:pPr>
        <w:pStyle w:val="Prrafodelista"/>
        <w:tabs>
          <w:tab w:val="left" w:pos="567"/>
        </w:tabs>
        <w:spacing w:line="276" w:lineRule="auto"/>
        <w:ind w:left="0" w:right="49"/>
        <w:contextualSpacing/>
        <w:jc w:val="both"/>
      </w:pPr>
    </w:p>
    <w:p w14:paraId="2261FBAC" w14:textId="77777777" w:rsidR="00EC1246" w:rsidRPr="002E4477" w:rsidRDefault="003E52D8" w:rsidP="00962603">
      <w:pPr>
        <w:pStyle w:val="Prrafodelista"/>
        <w:numPr>
          <w:ilvl w:val="0"/>
          <w:numId w:val="10"/>
        </w:numPr>
        <w:tabs>
          <w:tab w:val="left" w:pos="567"/>
        </w:tabs>
        <w:ind w:right="49"/>
        <w:contextualSpacing/>
        <w:jc w:val="both"/>
      </w:pPr>
      <w:r w:rsidRPr="002E4477">
        <w:t>D</w:t>
      </w:r>
      <w:r w:rsidR="008F78B9" w:rsidRPr="002E4477">
        <w:t xml:space="preserve">e acuerdo </w:t>
      </w:r>
      <w:r w:rsidR="00535268" w:rsidRPr="002E4477">
        <w:t>con la Carta, al Consejo Superior</w:t>
      </w:r>
      <w:r w:rsidR="009B479C" w:rsidRPr="002E4477">
        <w:t xml:space="preserve"> de la Judicatura</w:t>
      </w:r>
      <w:r w:rsidR="00EC1246" w:rsidRPr="002E4477">
        <w:t xml:space="preserve"> </w:t>
      </w:r>
      <w:r w:rsidR="00535268" w:rsidRPr="002E4477">
        <w:t>le fueron atribuidas</w:t>
      </w:r>
      <w:r w:rsidR="0029766E" w:rsidRPr="002E4477">
        <w:t xml:space="preserve"> originalmente</w:t>
      </w:r>
      <w:r w:rsidR="00B84D0E">
        <w:t>, entre otras,</w:t>
      </w:r>
      <w:r w:rsidR="00535268" w:rsidRPr="002E4477">
        <w:t xml:space="preserve"> las funciones </w:t>
      </w:r>
      <w:r w:rsidR="0029766E" w:rsidRPr="002E4477">
        <w:t>de</w:t>
      </w:r>
      <w:r w:rsidR="009357D0" w:rsidRPr="002E4477">
        <w:t>:</w:t>
      </w:r>
      <w:r w:rsidR="0029766E" w:rsidRPr="002E4477">
        <w:t xml:space="preserve"> </w:t>
      </w:r>
      <w:r w:rsidR="0029766E" w:rsidRPr="002E4477">
        <w:rPr>
          <w:b/>
          <w:bCs/>
        </w:rPr>
        <w:t>(</w:t>
      </w:r>
      <w:r w:rsidR="00EC1246" w:rsidRPr="002E4477">
        <w:rPr>
          <w:b/>
          <w:bCs/>
        </w:rPr>
        <w:t>i)</w:t>
      </w:r>
      <w:r w:rsidR="00EC1246" w:rsidRPr="002E4477">
        <w:t xml:space="preserve"> administrar la rama judicial</w:t>
      </w:r>
      <w:r w:rsidR="00535268" w:rsidRPr="002E4477">
        <w:t>;</w:t>
      </w:r>
      <w:r w:rsidR="00EC1246" w:rsidRPr="002E4477">
        <w:t xml:space="preserve"> </w:t>
      </w:r>
      <w:r w:rsidR="00EC1246" w:rsidRPr="002E4477">
        <w:rPr>
          <w:b/>
          <w:bCs/>
        </w:rPr>
        <w:t xml:space="preserve">(ii) </w:t>
      </w:r>
      <w:r w:rsidR="00EC1246" w:rsidRPr="002E4477">
        <w:t xml:space="preserve">examinar y sancionar la conducta de sus funcionarios y de los abogados en el </w:t>
      </w:r>
      <w:r w:rsidR="000E1A25" w:rsidRPr="002E4477">
        <w:t xml:space="preserve">ejercicio </w:t>
      </w:r>
      <w:r w:rsidRPr="002E4477">
        <w:t xml:space="preserve">de sus </w:t>
      </w:r>
      <w:r w:rsidR="00250A7F" w:rsidRPr="002E4477">
        <w:t>atribuciones</w:t>
      </w:r>
      <w:r w:rsidRPr="002E4477">
        <w:t xml:space="preserve">, </w:t>
      </w:r>
      <w:r w:rsidR="00517178" w:rsidRPr="002E4477">
        <w:t xml:space="preserve">y </w:t>
      </w:r>
      <w:r w:rsidR="00517178" w:rsidRPr="002E4477">
        <w:rPr>
          <w:b/>
          <w:bCs/>
        </w:rPr>
        <w:t>(</w:t>
      </w:r>
      <w:r w:rsidR="00EC1246" w:rsidRPr="002E4477">
        <w:rPr>
          <w:b/>
          <w:bCs/>
        </w:rPr>
        <w:t>iii</w:t>
      </w:r>
      <w:r w:rsidR="00517178" w:rsidRPr="002E4477">
        <w:rPr>
          <w:b/>
          <w:bCs/>
        </w:rPr>
        <w:t xml:space="preserve">) </w:t>
      </w:r>
      <w:r w:rsidR="00517178" w:rsidRPr="002E4477">
        <w:t xml:space="preserve">dirimir </w:t>
      </w:r>
      <w:r w:rsidR="00D07DA2" w:rsidRPr="002E4477">
        <w:t>los conflictos de competencia entre las</w:t>
      </w:r>
      <w:r w:rsidR="00EC1246" w:rsidRPr="002E4477">
        <w:t xml:space="preserve"> distintas jurisdicciones</w:t>
      </w:r>
      <w:r w:rsidRPr="002E4477">
        <w:rPr>
          <w:rStyle w:val="Refdenotaalpie"/>
        </w:rPr>
        <w:footnoteReference w:id="286"/>
      </w:r>
      <w:r w:rsidR="00EC1246" w:rsidRPr="002E4477">
        <w:t xml:space="preserve">. </w:t>
      </w:r>
      <w:r w:rsidR="009B479C" w:rsidRPr="002E4477">
        <w:t>Bajo ese mandato, l</w:t>
      </w:r>
      <w:r w:rsidR="0029766E" w:rsidRPr="002E4477">
        <w:t xml:space="preserve">a </w:t>
      </w:r>
      <w:r w:rsidR="00535268" w:rsidRPr="002E4477">
        <w:t xml:space="preserve">Ley Estatutaria de la Administración de Justicia, Ley 270 de 1996, </w:t>
      </w:r>
      <w:r w:rsidRPr="002E4477">
        <w:t xml:space="preserve">le </w:t>
      </w:r>
      <w:r w:rsidR="0029766E" w:rsidRPr="002E4477">
        <w:t xml:space="preserve">asignó </w:t>
      </w:r>
      <w:r w:rsidR="00D07DA2" w:rsidRPr="002E4477">
        <w:t>específicamente</w:t>
      </w:r>
      <w:r w:rsidR="0029766E" w:rsidRPr="002E4477">
        <w:t xml:space="preserve"> </w:t>
      </w:r>
      <w:r w:rsidR="007003FB" w:rsidRPr="002E4477">
        <w:t xml:space="preserve">a </w:t>
      </w:r>
      <w:r w:rsidR="00535268" w:rsidRPr="002E4477">
        <w:t>la Sala Jurisdiccional</w:t>
      </w:r>
      <w:r w:rsidR="009B479C" w:rsidRPr="002E4477">
        <w:t xml:space="preserve"> Disciplinaria</w:t>
      </w:r>
      <w:r w:rsidR="00517178" w:rsidRPr="002E4477">
        <w:t xml:space="preserve"> tanto </w:t>
      </w:r>
      <w:r w:rsidR="00535268" w:rsidRPr="002E4477">
        <w:t xml:space="preserve">la </w:t>
      </w:r>
      <w:r w:rsidR="00EC1246" w:rsidRPr="002E4477">
        <w:t>función disciplinaria</w:t>
      </w:r>
      <w:r w:rsidR="009B479C" w:rsidRPr="002E4477">
        <w:t xml:space="preserve"> mencionada</w:t>
      </w:r>
      <w:r w:rsidR="00517178" w:rsidRPr="002E4477">
        <w:t xml:space="preserve">, </w:t>
      </w:r>
      <w:r w:rsidR="0029766E" w:rsidRPr="002E4477">
        <w:t>como la</w:t>
      </w:r>
      <w:r w:rsidRPr="002E4477">
        <w:t xml:space="preserve"> responsabilidad</w:t>
      </w:r>
      <w:r w:rsidR="0029766E" w:rsidRPr="002E4477">
        <w:t xml:space="preserve"> de</w:t>
      </w:r>
      <w:r w:rsidR="00535268" w:rsidRPr="002E4477">
        <w:t xml:space="preserve"> </w:t>
      </w:r>
      <w:r w:rsidR="00EC1246" w:rsidRPr="002E4477">
        <w:t>dirimir los conflictos de competencia</w:t>
      </w:r>
      <w:r w:rsidR="0029766E" w:rsidRPr="002E4477">
        <w:t xml:space="preserve">. </w:t>
      </w:r>
      <w:r w:rsidR="009B479C" w:rsidRPr="002E4477">
        <w:t xml:space="preserve">Además, en virtud del artículo 86 superior, se le atribuyeron </w:t>
      </w:r>
      <w:r w:rsidR="00B20326" w:rsidRPr="002E4477">
        <w:t xml:space="preserve">también </w:t>
      </w:r>
      <w:r w:rsidR="009B479C" w:rsidRPr="002E4477">
        <w:t>funciones relacionadas con el conocimiento de acciones de tutela.</w:t>
      </w:r>
    </w:p>
    <w:p w14:paraId="2400BFAA" w14:textId="77777777" w:rsidR="00EC1246" w:rsidRPr="002E4477" w:rsidRDefault="00EC1246" w:rsidP="00EC1246">
      <w:pPr>
        <w:pStyle w:val="Prrafodelista"/>
        <w:tabs>
          <w:tab w:val="left" w:pos="567"/>
        </w:tabs>
        <w:ind w:left="0" w:right="49"/>
        <w:contextualSpacing/>
        <w:jc w:val="both"/>
        <w:rPr>
          <w:szCs w:val="28"/>
        </w:rPr>
      </w:pPr>
    </w:p>
    <w:p w14:paraId="4BC5AFDA" w14:textId="77777777" w:rsidR="0055018E" w:rsidRPr="002E4477" w:rsidRDefault="00250A7F" w:rsidP="000B3C27">
      <w:pPr>
        <w:jc w:val="both"/>
        <w:rPr>
          <w:szCs w:val="28"/>
          <w:lang w:val="es-CO" w:eastAsia="es-CO"/>
        </w:rPr>
      </w:pPr>
      <w:r w:rsidRPr="002E4477">
        <w:rPr>
          <w:szCs w:val="28"/>
          <w:lang w:val="es-CO" w:eastAsia="es-CO"/>
        </w:rPr>
        <w:t>No obstante lo anterior</w:t>
      </w:r>
      <w:r w:rsidR="009B479C" w:rsidRPr="002E4477">
        <w:rPr>
          <w:szCs w:val="28"/>
          <w:lang w:val="es-CO" w:eastAsia="es-CO"/>
        </w:rPr>
        <w:t xml:space="preserve">, </w:t>
      </w:r>
      <w:r w:rsidR="00FA401C" w:rsidRPr="002E4477">
        <w:rPr>
          <w:szCs w:val="28"/>
          <w:lang w:val="es-CO" w:eastAsia="es-CO"/>
        </w:rPr>
        <w:t>e</w:t>
      </w:r>
      <w:r w:rsidR="000E1A25" w:rsidRPr="002E4477">
        <w:rPr>
          <w:szCs w:val="28"/>
          <w:lang w:val="es-CO" w:eastAsia="es-CO"/>
        </w:rPr>
        <w:t>l A</w:t>
      </w:r>
      <w:r w:rsidR="000B3C27" w:rsidRPr="002E4477">
        <w:rPr>
          <w:szCs w:val="28"/>
          <w:lang w:val="es-CO" w:eastAsia="es-CO"/>
        </w:rPr>
        <w:t>.</w:t>
      </w:r>
      <w:r w:rsidR="000E1A25" w:rsidRPr="002E4477">
        <w:rPr>
          <w:szCs w:val="28"/>
          <w:lang w:val="es-CO" w:eastAsia="es-CO"/>
        </w:rPr>
        <w:t>L</w:t>
      </w:r>
      <w:r w:rsidR="000B3C27" w:rsidRPr="002E4477">
        <w:rPr>
          <w:szCs w:val="28"/>
          <w:lang w:val="es-CO" w:eastAsia="es-CO"/>
        </w:rPr>
        <w:t>.</w:t>
      </w:r>
      <w:r w:rsidR="000E1A25" w:rsidRPr="002E4477">
        <w:rPr>
          <w:szCs w:val="28"/>
          <w:lang w:val="es-CO" w:eastAsia="es-CO"/>
        </w:rPr>
        <w:t xml:space="preserve"> 02 de 2015</w:t>
      </w:r>
      <w:r w:rsidR="00B32790" w:rsidRPr="002E4477">
        <w:rPr>
          <w:szCs w:val="28"/>
          <w:lang w:val="es-CO" w:eastAsia="es-CO"/>
        </w:rPr>
        <w:t xml:space="preserve"> modificó varias d</w:t>
      </w:r>
      <w:r w:rsidR="003E52D8" w:rsidRPr="002E4477">
        <w:rPr>
          <w:szCs w:val="28"/>
          <w:lang w:val="es-CO" w:eastAsia="es-CO"/>
        </w:rPr>
        <w:t>e estas</w:t>
      </w:r>
      <w:r w:rsidR="000E1A25" w:rsidRPr="002E4477">
        <w:rPr>
          <w:szCs w:val="28"/>
          <w:lang w:val="es-CO" w:eastAsia="es-CO"/>
        </w:rPr>
        <w:t xml:space="preserve"> </w:t>
      </w:r>
      <w:r w:rsidR="00D07DA2" w:rsidRPr="002E4477">
        <w:rPr>
          <w:szCs w:val="28"/>
          <w:lang w:val="es-CO" w:eastAsia="es-CO"/>
        </w:rPr>
        <w:t>atribuciones</w:t>
      </w:r>
      <w:r w:rsidR="003E52D8" w:rsidRPr="002E4477">
        <w:rPr>
          <w:szCs w:val="28"/>
          <w:lang w:val="es-CO" w:eastAsia="es-CO"/>
        </w:rPr>
        <w:t>.</w:t>
      </w:r>
      <w:r w:rsidR="000B3C27" w:rsidRPr="002E4477">
        <w:rPr>
          <w:szCs w:val="28"/>
          <w:lang w:val="es-CO" w:eastAsia="es-CO"/>
        </w:rPr>
        <w:t xml:space="preserve"> </w:t>
      </w:r>
      <w:r w:rsidR="00C17C63" w:rsidRPr="002E4477">
        <w:rPr>
          <w:szCs w:val="28"/>
          <w:lang w:val="es-CO" w:eastAsia="es-CO"/>
        </w:rPr>
        <w:t xml:space="preserve">En </w:t>
      </w:r>
      <w:r w:rsidR="00B32790" w:rsidRPr="002E4477">
        <w:rPr>
          <w:szCs w:val="28"/>
          <w:lang w:val="es-CO" w:eastAsia="es-CO"/>
        </w:rPr>
        <w:t>primer lugar,</w:t>
      </w:r>
      <w:r w:rsidR="003E52D8" w:rsidRPr="002E4477">
        <w:rPr>
          <w:szCs w:val="28"/>
          <w:lang w:val="es-CO" w:eastAsia="es-CO"/>
        </w:rPr>
        <w:t xml:space="preserve"> </w:t>
      </w:r>
      <w:r w:rsidR="000E1A25" w:rsidRPr="002E4477">
        <w:rPr>
          <w:b/>
          <w:bCs/>
          <w:szCs w:val="28"/>
          <w:lang w:val="es-CO" w:eastAsia="es-CO"/>
        </w:rPr>
        <w:t>(i)</w:t>
      </w:r>
      <w:r w:rsidR="000E1A25" w:rsidRPr="002E4477">
        <w:rPr>
          <w:szCs w:val="28"/>
          <w:lang w:val="es-CO" w:eastAsia="es-CO"/>
        </w:rPr>
        <w:t xml:space="preserve"> el artículo 14 </w:t>
      </w:r>
      <w:r w:rsidR="000B3C27" w:rsidRPr="002E4477">
        <w:rPr>
          <w:szCs w:val="28"/>
          <w:lang w:val="es-CO" w:eastAsia="es-CO"/>
        </w:rPr>
        <w:t>transformó</w:t>
      </w:r>
      <w:r w:rsidR="000E1A25" w:rsidRPr="002E4477">
        <w:rPr>
          <w:szCs w:val="28"/>
          <w:lang w:val="es-CO" w:eastAsia="es-CO"/>
        </w:rPr>
        <w:t xml:space="preserve"> el</w:t>
      </w:r>
      <w:r w:rsidR="00B20326" w:rsidRPr="002E4477">
        <w:rPr>
          <w:szCs w:val="28"/>
          <w:lang w:val="es-CO" w:eastAsia="es-CO"/>
        </w:rPr>
        <w:t xml:space="preserve"> precepto </w:t>
      </w:r>
      <w:r w:rsidR="000E1A25" w:rsidRPr="002E4477">
        <w:rPr>
          <w:szCs w:val="28"/>
          <w:lang w:val="es-CO" w:eastAsia="es-CO"/>
        </w:rPr>
        <w:t>241</w:t>
      </w:r>
      <w:r w:rsidR="003E52D8" w:rsidRPr="002E4477">
        <w:rPr>
          <w:szCs w:val="28"/>
          <w:lang w:val="es-CO" w:eastAsia="es-CO"/>
        </w:rPr>
        <w:t xml:space="preserve"> </w:t>
      </w:r>
      <w:r w:rsidR="000E1A25" w:rsidRPr="002E4477">
        <w:rPr>
          <w:szCs w:val="28"/>
          <w:lang w:val="es-CO" w:eastAsia="es-CO"/>
        </w:rPr>
        <w:t>de la C</w:t>
      </w:r>
      <w:r w:rsidR="008A0E2C" w:rsidRPr="002E4477">
        <w:rPr>
          <w:szCs w:val="28"/>
          <w:lang w:val="es-CO" w:eastAsia="es-CO"/>
        </w:rPr>
        <w:t>arta</w:t>
      </w:r>
      <w:r w:rsidR="000E1A25" w:rsidRPr="002E4477">
        <w:rPr>
          <w:szCs w:val="28"/>
          <w:lang w:val="es-CO" w:eastAsia="es-CO"/>
        </w:rPr>
        <w:t xml:space="preserve"> Política</w:t>
      </w:r>
      <w:r w:rsidR="00D07DA2" w:rsidRPr="002E4477">
        <w:rPr>
          <w:szCs w:val="28"/>
          <w:lang w:val="es-CO" w:eastAsia="es-CO"/>
        </w:rPr>
        <w:t xml:space="preserve"> y le </w:t>
      </w:r>
      <w:r w:rsidR="003E52D8" w:rsidRPr="002E4477">
        <w:rPr>
          <w:szCs w:val="28"/>
          <w:lang w:val="es-CO" w:eastAsia="es-CO"/>
        </w:rPr>
        <w:t xml:space="preserve">asignó a </w:t>
      </w:r>
      <w:r w:rsidR="00D07DA2" w:rsidRPr="002E4477">
        <w:rPr>
          <w:szCs w:val="28"/>
          <w:lang w:val="es-CO" w:eastAsia="es-CO"/>
        </w:rPr>
        <w:t>la Corte</w:t>
      </w:r>
      <w:r w:rsidR="008A0E2C" w:rsidRPr="002E4477">
        <w:rPr>
          <w:szCs w:val="28"/>
          <w:lang w:val="es-CO" w:eastAsia="es-CO"/>
        </w:rPr>
        <w:t xml:space="preserve"> Constitucional</w:t>
      </w:r>
      <w:r w:rsidR="003E52D8" w:rsidRPr="002E4477">
        <w:rPr>
          <w:szCs w:val="28"/>
          <w:lang w:val="es-CO" w:eastAsia="es-CO"/>
        </w:rPr>
        <w:t xml:space="preserve"> </w:t>
      </w:r>
      <w:r w:rsidR="000E1A25" w:rsidRPr="002E4477">
        <w:rPr>
          <w:szCs w:val="28"/>
          <w:lang w:val="es-CO" w:eastAsia="es-CO"/>
        </w:rPr>
        <w:t>la función de “</w:t>
      </w:r>
      <w:r w:rsidRPr="002E4477">
        <w:rPr>
          <w:i/>
          <w:iCs/>
          <w:szCs w:val="28"/>
          <w:lang w:val="es-CO" w:eastAsia="es-CO"/>
        </w:rPr>
        <w:t>[d]</w:t>
      </w:r>
      <w:r w:rsidR="000E1A25" w:rsidRPr="002E4477">
        <w:rPr>
          <w:i/>
          <w:iCs/>
          <w:szCs w:val="28"/>
          <w:lang w:val="es-CO" w:eastAsia="es-CO"/>
        </w:rPr>
        <w:t>efinir los conflictos de competencia que ocurran entre las distintas jurisdicciones</w:t>
      </w:r>
      <w:r w:rsidR="000E1A25" w:rsidRPr="002E4477">
        <w:rPr>
          <w:szCs w:val="28"/>
          <w:lang w:val="es-CO" w:eastAsia="es-CO"/>
        </w:rPr>
        <w:t>”</w:t>
      </w:r>
      <w:r w:rsidR="008A0E2C" w:rsidRPr="002E4477">
        <w:rPr>
          <w:szCs w:val="28"/>
          <w:lang w:val="es-CO" w:eastAsia="es-CO"/>
        </w:rPr>
        <w:t xml:space="preserve">; </w:t>
      </w:r>
      <w:r w:rsidR="00D07DA2" w:rsidRPr="002E4477">
        <w:rPr>
          <w:szCs w:val="28"/>
          <w:lang w:val="es-CO" w:eastAsia="es-CO"/>
        </w:rPr>
        <w:t xml:space="preserve"> </w:t>
      </w:r>
      <w:r w:rsidR="007003FB" w:rsidRPr="002E4477">
        <w:rPr>
          <w:b/>
          <w:bCs/>
          <w:szCs w:val="28"/>
          <w:lang w:val="es-CO" w:eastAsia="es-CO"/>
        </w:rPr>
        <w:t>(ii)</w:t>
      </w:r>
      <w:r w:rsidR="007003FB" w:rsidRPr="002E4477">
        <w:rPr>
          <w:szCs w:val="28"/>
          <w:lang w:val="es-CO" w:eastAsia="es-CO"/>
        </w:rPr>
        <w:t xml:space="preserve"> </w:t>
      </w:r>
      <w:r w:rsidR="00D07DA2" w:rsidRPr="002E4477">
        <w:rPr>
          <w:szCs w:val="28"/>
          <w:lang w:val="es-CO" w:eastAsia="es-CO"/>
        </w:rPr>
        <w:t xml:space="preserve">el </w:t>
      </w:r>
      <w:r w:rsidR="000E1A25" w:rsidRPr="002E4477">
        <w:rPr>
          <w:szCs w:val="28"/>
          <w:lang w:val="es-CO" w:eastAsia="es-CO"/>
        </w:rPr>
        <w:t>artículo 19</w:t>
      </w:r>
      <w:r w:rsidR="007003FB" w:rsidRPr="002E4477">
        <w:rPr>
          <w:szCs w:val="28"/>
          <w:lang w:val="es-CO" w:eastAsia="es-CO"/>
        </w:rPr>
        <w:t xml:space="preserve"> </w:t>
      </w:r>
      <w:r w:rsidR="000E1A25" w:rsidRPr="002E4477">
        <w:rPr>
          <w:szCs w:val="28"/>
          <w:lang w:val="es-CO" w:eastAsia="es-CO"/>
        </w:rPr>
        <w:t xml:space="preserve">modificó el </w:t>
      </w:r>
      <w:r w:rsidR="00B84D0E">
        <w:rPr>
          <w:szCs w:val="28"/>
          <w:lang w:val="es-CO" w:eastAsia="es-CO"/>
        </w:rPr>
        <w:t xml:space="preserve">artículo </w:t>
      </w:r>
      <w:r w:rsidR="000E1A25" w:rsidRPr="002E4477">
        <w:rPr>
          <w:szCs w:val="28"/>
          <w:lang w:val="es-CO" w:eastAsia="es-CO"/>
        </w:rPr>
        <w:t>257 de la Constitución</w:t>
      </w:r>
      <w:r w:rsidR="008A0E2C" w:rsidRPr="002E4477">
        <w:rPr>
          <w:szCs w:val="28"/>
          <w:lang w:val="es-CO" w:eastAsia="es-CO"/>
        </w:rPr>
        <w:t>,</w:t>
      </w:r>
      <w:r w:rsidR="000E1A25" w:rsidRPr="002E4477">
        <w:rPr>
          <w:szCs w:val="28"/>
          <w:lang w:val="es-CO" w:eastAsia="es-CO"/>
        </w:rPr>
        <w:t xml:space="preserve"> creando la Comisión Nacional de Disciplina Judicial y las Comisiones Seccionales de Disciplina Judicial, a las cuales se les atribuyó “</w:t>
      </w:r>
      <w:r w:rsidR="000E1A25" w:rsidRPr="002E4477">
        <w:rPr>
          <w:i/>
          <w:iCs/>
          <w:szCs w:val="28"/>
          <w:lang w:val="es-CO" w:eastAsia="es-CO"/>
        </w:rPr>
        <w:t>la función disciplinaria sobre los funcionarios y empleados de la Rama Judicial</w:t>
      </w:r>
      <w:r w:rsidR="000E1A25" w:rsidRPr="002E4477">
        <w:rPr>
          <w:szCs w:val="28"/>
          <w:lang w:val="es-CO" w:eastAsia="es-CO"/>
        </w:rPr>
        <w:t>”</w:t>
      </w:r>
      <w:r w:rsidR="000B3C27" w:rsidRPr="002E4477">
        <w:rPr>
          <w:szCs w:val="28"/>
          <w:lang w:val="es-CO" w:eastAsia="es-CO"/>
        </w:rPr>
        <w:t xml:space="preserve"> y el deber de </w:t>
      </w:r>
      <w:r w:rsidR="000E1A25" w:rsidRPr="002E4477">
        <w:rPr>
          <w:szCs w:val="28"/>
          <w:lang w:val="es-CO" w:eastAsia="es-CO"/>
        </w:rPr>
        <w:t>“</w:t>
      </w:r>
      <w:r w:rsidR="000E1A25" w:rsidRPr="002E4477">
        <w:rPr>
          <w:i/>
          <w:iCs/>
          <w:szCs w:val="28"/>
          <w:lang w:val="es-CO" w:eastAsia="es-CO"/>
        </w:rPr>
        <w:t>examinar la conducta y sancionar las faltas de los abogados en ejercicio de su profesión, en la instancia que señale la ley, salvo que esta función se atribuya por la ley a un Colegio de abogados</w:t>
      </w:r>
      <w:r w:rsidR="000E1A25" w:rsidRPr="002E4477">
        <w:rPr>
          <w:szCs w:val="28"/>
          <w:lang w:val="es-CO" w:eastAsia="es-CO"/>
        </w:rPr>
        <w:t>”</w:t>
      </w:r>
      <w:r w:rsidR="00B32790" w:rsidRPr="002E4477">
        <w:rPr>
          <w:szCs w:val="28"/>
          <w:lang w:val="es-CO" w:eastAsia="es-CO"/>
        </w:rPr>
        <w:t>; y finalmente, l</w:t>
      </w:r>
      <w:r w:rsidR="00B82804" w:rsidRPr="002E4477">
        <w:rPr>
          <w:szCs w:val="28"/>
          <w:lang w:val="es-CO" w:eastAsia="es-CO"/>
        </w:rPr>
        <w:t xml:space="preserve">a misma </w:t>
      </w:r>
      <w:r w:rsidR="000E1A25" w:rsidRPr="002E4477">
        <w:rPr>
          <w:szCs w:val="28"/>
          <w:lang w:val="es-CO" w:eastAsia="es-CO"/>
        </w:rPr>
        <w:t xml:space="preserve">norma incluyó </w:t>
      </w:r>
      <w:r w:rsidR="00B20326" w:rsidRPr="002E4477">
        <w:rPr>
          <w:szCs w:val="28"/>
          <w:lang w:val="es-CO" w:eastAsia="es-CO"/>
        </w:rPr>
        <w:t>también</w:t>
      </w:r>
      <w:r w:rsidR="008B137B" w:rsidRPr="002E4477">
        <w:rPr>
          <w:szCs w:val="28"/>
          <w:lang w:val="es-CO" w:eastAsia="es-CO"/>
        </w:rPr>
        <w:t>,</w:t>
      </w:r>
      <w:r w:rsidR="00B20326" w:rsidRPr="002E4477">
        <w:rPr>
          <w:szCs w:val="28"/>
          <w:lang w:val="es-CO" w:eastAsia="es-CO"/>
        </w:rPr>
        <w:t xml:space="preserve"> </w:t>
      </w:r>
      <w:r w:rsidR="008A0E2C" w:rsidRPr="002E4477">
        <w:rPr>
          <w:b/>
          <w:bCs/>
          <w:szCs w:val="28"/>
          <w:lang w:val="es-CO" w:eastAsia="es-CO"/>
        </w:rPr>
        <w:t>(iii)</w:t>
      </w:r>
      <w:r w:rsidR="008A0E2C" w:rsidRPr="002E4477">
        <w:rPr>
          <w:szCs w:val="28"/>
          <w:lang w:val="es-CO" w:eastAsia="es-CO"/>
        </w:rPr>
        <w:t xml:space="preserve"> </w:t>
      </w:r>
      <w:r w:rsidR="000E1A25" w:rsidRPr="002E4477">
        <w:rPr>
          <w:szCs w:val="28"/>
          <w:lang w:val="es-CO" w:eastAsia="es-CO"/>
        </w:rPr>
        <w:t xml:space="preserve">un parágrafo en el que </w:t>
      </w:r>
      <w:r w:rsidR="007003FB" w:rsidRPr="002E4477">
        <w:rPr>
          <w:szCs w:val="28"/>
          <w:lang w:val="es-CO" w:eastAsia="es-CO"/>
        </w:rPr>
        <w:t xml:space="preserve">señaló </w:t>
      </w:r>
      <w:r w:rsidR="000E1A25" w:rsidRPr="002E4477">
        <w:rPr>
          <w:szCs w:val="28"/>
          <w:lang w:val="es-CO" w:eastAsia="es-CO"/>
        </w:rPr>
        <w:t>que “</w:t>
      </w:r>
      <w:r w:rsidR="000E1A25" w:rsidRPr="002E4477">
        <w:rPr>
          <w:i/>
          <w:iCs/>
          <w:szCs w:val="28"/>
          <w:lang w:val="es-CO" w:eastAsia="es-CO"/>
        </w:rPr>
        <w:t>la Comisión Nacional de Disciplina Judicial y las Comisiones Seccionales</w:t>
      </w:r>
      <w:r w:rsidR="00D07DA2" w:rsidRPr="002E4477">
        <w:rPr>
          <w:i/>
          <w:iCs/>
          <w:szCs w:val="28"/>
          <w:lang w:val="es-CO" w:eastAsia="es-CO"/>
        </w:rPr>
        <w:t xml:space="preserve"> </w:t>
      </w:r>
      <w:r w:rsidR="000E1A25" w:rsidRPr="002E4477">
        <w:rPr>
          <w:i/>
          <w:iCs/>
          <w:szCs w:val="28"/>
          <w:lang w:val="es-CO" w:eastAsia="es-CO"/>
        </w:rPr>
        <w:t xml:space="preserve">de Disciplina Judiciales </w:t>
      </w:r>
      <w:r w:rsidR="000E1A25" w:rsidRPr="002E4477">
        <w:rPr>
          <w:i/>
          <w:iCs/>
          <w:szCs w:val="28"/>
          <w:u w:val="single"/>
          <w:lang w:val="es-CO" w:eastAsia="es-CO"/>
        </w:rPr>
        <w:t>no</w:t>
      </w:r>
      <w:r w:rsidR="000E1A25" w:rsidRPr="002E4477">
        <w:rPr>
          <w:i/>
          <w:iCs/>
          <w:szCs w:val="28"/>
          <w:lang w:val="es-CO" w:eastAsia="es-CO"/>
        </w:rPr>
        <w:t xml:space="preserve"> </w:t>
      </w:r>
      <w:r w:rsidR="00B82804" w:rsidRPr="002E4477">
        <w:rPr>
          <w:i/>
          <w:iCs/>
          <w:szCs w:val="28"/>
          <w:lang w:val="es-CO" w:eastAsia="es-CO"/>
        </w:rPr>
        <w:t>[</w:t>
      </w:r>
      <w:r w:rsidR="000E1A25" w:rsidRPr="002E4477">
        <w:rPr>
          <w:i/>
          <w:iCs/>
          <w:szCs w:val="28"/>
          <w:lang w:val="es-CO" w:eastAsia="es-CO"/>
        </w:rPr>
        <w:t>se</w:t>
      </w:r>
      <w:r w:rsidR="000B3C27" w:rsidRPr="002E4477">
        <w:rPr>
          <w:i/>
          <w:iCs/>
          <w:szCs w:val="28"/>
          <w:lang w:val="es-CO" w:eastAsia="es-CO"/>
        </w:rPr>
        <w:t>rían]</w:t>
      </w:r>
      <w:r w:rsidR="000E1A25" w:rsidRPr="002E4477">
        <w:rPr>
          <w:i/>
          <w:iCs/>
          <w:szCs w:val="28"/>
          <w:lang w:val="es-CO" w:eastAsia="es-CO"/>
        </w:rPr>
        <w:t xml:space="preserve"> competentes</w:t>
      </w:r>
      <w:r w:rsidRPr="002E4477">
        <w:rPr>
          <w:i/>
          <w:iCs/>
          <w:szCs w:val="28"/>
          <w:lang w:val="es-CO" w:eastAsia="es-CO"/>
        </w:rPr>
        <w:t>,</w:t>
      </w:r>
      <w:r w:rsidR="000E1A25" w:rsidRPr="002E4477">
        <w:rPr>
          <w:i/>
          <w:iCs/>
          <w:szCs w:val="28"/>
          <w:lang w:val="es-CO" w:eastAsia="es-CO"/>
        </w:rPr>
        <w:t xml:space="preserve"> para conocer de acciones de tutela</w:t>
      </w:r>
      <w:r w:rsidR="000E1A25" w:rsidRPr="002E4477">
        <w:rPr>
          <w:szCs w:val="28"/>
          <w:lang w:val="es-CO" w:eastAsia="es-CO"/>
        </w:rPr>
        <w:t xml:space="preserve">”. </w:t>
      </w:r>
    </w:p>
    <w:p w14:paraId="79F828E4" w14:textId="77777777" w:rsidR="007003FB" w:rsidRPr="002E4477" w:rsidRDefault="007003FB" w:rsidP="007003FB">
      <w:pPr>
        <w:jc w:val="both"/>
        <w:rPr>
          <w:bCs/>
          <w:szCs w:val="28"/>
        </w:rPr>
      </w:pPr>
    </w:p>
    <w:p w14:paraId="4045A5D8" w14:textId="77777777" w:rsidR="000B3C27" w:rsidRPr="002E4477" w:rsidRDefault="0055018E" w:rsidP="00B82804">
      <w:pPr>
        <w:jc w:val="both"/>
        <w:rPr>
          <w:bCs/>
          <w:szCs w:val="28"/>
        </w:rPr>
      </w:pPr>
      <w:r w:rsidRPr="002E4477">
        <w:rPr>
          <w:bCs/>
          <w:szCs w:val="28"/>
        </w:rPr>
        <w:t>A</w:t>
      </w:r>
      <w:r w:rsidR="000B3C27" w:rsidRPr="002E4477">
        <w:rPr>
          <w:bCs/>
          <w:szCs w:val="28"/>
        </w:rPr>
        <w:t xml:space="preserve">unado a lo anterior, </w:t>
      </w:r>
      <w:r w:rsidR="00C17C63" w:rsidRPr="002E4477">
        <w:rPr>
          <w:bCs/>
          <w:szCs w:val="28"/>
        </w:rPr>
        <w:t>el artículo 19 del A.L. 02 de 2015</w:t>
      </w:r>
      <w:r w:rsidR="005C1C63">
        <w:rPr>
          <w:bCs/>
          <w:szCs w:val="28"/>
        </w:rPr>
        <w:t xml:space="preserve"> (</w:t>
      </w:r>
      <w:r w:rsidR="00C17C63" w:rsidRPr="002E4477">
        <w:rPr>
          <w:bCs/>
          <w:szCs w:val="28"/>
        </w:rPr>
        <w:t>hoy el artículo 257A superior</w:t>
      </w:r>
      <w:r w:rsidR="005C1C63">
        <w:rPr>
          <w:bCs/>
          <w:szCs w:val="28"/>
        </w:rPr>
        <w:t>)</w:t>
      </w:r>
      <w:r w:rsidR="00C17C63" w:rsidRPr="002E4477">
        <w:rPr>
          <w:bCs/>
          <w:szCs w:val="28"/>
        </w:rPr>
        <w:t xml:space="preserve">, </w:t>
      </w:r>
      <w:r w:rsidR="00B82804" w:rsidRPr="002E4477">
        <w:rPr>
          <w:bCs/>
          <w:szCs w:val="28"/>
        </w:rPr>
        <w:t xml:space="preserve">precisó que </w:t>
      </w:r>
      <w:r w:rsidRPr="002E4477">
        <w:rPr>
          <w:bCs/>
          <w:szCs w:val="28"/>
        </w:rPr>
        <w:t>l</w:t>
      </w:r>
      <w:r w:rsidR="002E51A5" w:rsidRPr="002E4477">
        <w:rPr>
          <w:bCs/>
          <w:szCs w:val="28"/>
        </w:rPr>
        <w:t>a Comisión Nacional de Disciplina Judicial deb</w:t>
      </w:r>
      <w:r w:rsidR="00B32790" w:rsidRPr="002E4477">
        <w:rPr>
          <w:bCs/>
          <w:szCs w:val="28"/>
        </w:rPr>
        <w:t>er</w:t>
      </w:r>
      <w:r w:rsidR="002E51A5" w:rsidRPr="002E4477">
        <w:rPr>
          <w:bCs/>
          <w:szCs w:val="28"/>
        </w:rPr>
        <w:t xml:space="preserve">ía ser integrada </w:t>
      </w:r>
      <w:r w:rsidRPr="002E4477">
        <w:rPr>
          <w:bCs/>
          <w:szCs w:val="28"/>
        </w:rPr>
        <w:t>por</w:t>
      </w:r>
      <w:r w:rsidR="002E51A5" w:rsidRPr="002E4477">
        <w:rPr>
          <w:bCs/>
          <w:szCs w:val="28"/>
        </w:rPr>
        <w:t xml:space="preserve"> siete magistrados, elegidos por el Congreso de la República de ternas elaboradas por el Presidente (3) y por el Consejo Superior de la Judicatura (4), previa convocatoria pública reglad</w:t>
      </w:r>
      <w:r w:rsidR="00C17C63" w:rsidRPr="002E4477">
        <w:rPr>
          <w:bCs/>
          <w:szCs w:val="28"/>
        </w:rPr>
        <w:t>a</w:t>
      </w:r>
      <w:r w:rsidR="002E51A5" w:rsidRPr="002E4477">
        <w:rPr>
          <w:bCs/>
          <w:szCs w:val="28"/>
        </w:rPr>
        <w:t>. El parágrafo transitorio de esa norma</w:t>
      </w:r>
      <w:r w:rsidR="00F82B98" w:rsidRPr="002E4477">
        <w:rPr>
          <w:bCs/>
          <w:szCs w:val="28"/>
        </w:rPr>
        <w:t xml:space="preserve">, </w:t>
      </w:r>
      <w:r w:rsidR="00390415" w:rsidRPr="002E4477">
        <w:rPr>
          <w:bCs/>
          <w:szCs w:val="28"/>
        </w:rPr>
        <w:t>señaló</w:t>
      </w:r>
      <w:r w:rsidR="002E51A5" w:rsidRPr="002E4477">
        <w:rPr>
          <w:bCs/>
          <w:szCs w:val="28"/>
        </w:rPr>
        <w:t xml:space="preserve"> además, que </w:t>
      </w:r>
      <w:r w:rsidR="00250A7F" w:rsidRPr="002E4477">
        <w:rPr>
          <w:bCs/>
          <w:szCs w:val="28"/>
        </w:rPr>
        <w:t xml:space="preserve">los miembros de la Comisión mencionada debían ser elegidos, </w:t>
      </w:r>
      <w:r w:rsidR="002E51A5" w:rsidRPr="002E4477">
        <w:rPr>
          <w:bCs/>
          <w:szCs w:val="28"/>
        </w:rPr>
        <w:t>dentro del plazo de un año</w:t>
      </w:r>
      <w:r w:rsidR="00B20326" w:rsidRPr="002E4477">
        <w:rPr>
          <w:bCs/>
          <w:szCs w:val="28"/>
        </w:rPr>
        <w:t>,</w:t>
      </w:r>
      <w:r w:rsidR="002E51A5" w:rsidRPr="002E4477">
        <w:rPr>
          <w:bCs/>
          <w:szCs w:val="28"/>
        </w:rPr>
        <w:t xml:space="preserve"> contado a partir de la </w:t>
      </w:r>
      <w:r w:rsidR="004C0F2B" w:rsidRPr="002E4477">
        <w:rPr>
          <w:bCs/>
          <w:szCs w:val="28"/>
        </w:rPr>
        <w:t>entrada en vi</w:t>
      </w:r>
      <w:r w:rsidR="00B20326" w:rsidRPr="002E4477">
        <w:rPr>
          <w:bCs/>
          <w:szCs w:val="28"/>
        </w:rPr>
        <w:t>gencia</w:t>
      </w:r>
      <w:r w:rsidR="002E51A5" w:rsidRPr="002E4477">
        <w:rPr>
          <w:bCs/>
          <w:szCs w:val="28"/>
        </w:rPr>
        <w:t xml:space="preserve"> del A.L.</w:t>
      </w:r>
      <w:r w:rsidR="00890B13" w:rsidRPr="002E4477">
        <w:rPr>
          <w:bCs/>
          <w:szCs w:val="28"/>
        </w:rPr>
        <w:t xml:space="preserve"> 02 de 2015</w:t>
      </w:r>
      <w:r w:rsidR="00F76186" w:rsidRPr="002E4477">
        <w:rPr>
          <w:rStyle w:val="Refdenotaalpie"/>
          <w:bCs/>
          <w:szCs w:val="28"/>
        </w:rPr>
        <w:footnoteReference w:id="287"/>
      </w:r>
      <w:r w:rsidR="002E51A5" w:rsidRPr="002E4477">
        <w:rPr>
          <w:bCs/>
          <w:szCs w:val="28"/>
        </w:rPr>
        <w:t>.</w:t>
      </w:r>
      <w:r w:rsidR="00EC1246" w:rsidRPr="002E4477">
        <w:rPr>
          <w:bCs/>
          <w:szCs w:val="28"/>
        </w:rPr>
        <w:t xml:space="preserve"> </w:t>
      </w:r>
    </w:p>
    <w:p w14:paraId="4AF8226A" w14:textId="77777777" w:rsidR="000B3C27" w:rsidRPr="002E4477" w:rsidRDefault="000B3C27" w:rsidP="000B3C27">
      <w:pPr>
        <w:pStyle w:val="Prrafodelista"/>
        <w:rPr>
          <w:bCs/>
          <w:szCs w:val="28"/>
        </w:rPr>
      </w:pPr>
    </w:p>
    <w:p w14:paraId="2C4D1945" w14:textId="77777777" w:rsidR="004C0F2B" w:rsidRPr="005C1C63" w:rsidRDefault="00FD7672" w:rsidP="00962603">
      <w:pPr>
        <w:numPr>
          <w:ilvl w:val="0"/>
          <w:numId w:val="10"/>
        </w:numPr>
        <w:jc w:val="both"/>
        <w:rPr>
          <w:bCs/>
          <w:szCs w:val="28"/>
        </w:rPr>
      </w:pPr>
      <w:r w:rsidRPr="002E4477">
        <w:rPr>
          <w:bCs/>
          <w:szCs w:val="28"/>
        </w:rPr>
        <w:t>E</w:t>
      </w:r>
      <w:r w:rsidR="00B82804" w:rsidRPr="002E4477">
        <w:rPr>
          <w:bCs/>
          <w:szCs w:val="28"/>
        </w:rPr>
        <w:t xml:space="preserve">l </w:t>
      </w:r>
      <w:r w:rsidR="00B84D0E">
        <w:rPr>
          <w:bCs/>
          <w:szCs w:val="28"/>
        </w:rPr>
        <w:t>G</w:t>
      </w:r>
      <w:r w:rsidR="002E51A5" w:rsidRPr="002E4477">
        <w:rPr>
          <w:bCs/>
          <w:szCs w:val="28"/>
        </w:rPr>
        <w:t xml:space="preserve">obierno </w:t>
      </w:r>
      <w:r w:rsidR="00B84D0E">
        <w:rPr>
          <w:bCs/>
          <w:szCs w:val="28"/>
        </w:rPr>
        <w:t>N</w:t>
      </w:r>
      <w:r w:rsidR="002E51A5" w:rsidRPr="002E4477">
        <w:rPr>
          <w:bCs/>
          <w:szCs w:val="28"/>
        </w:rPr>
        <w:t>acional y el Consejo Superior de la Judicatura expidieron</w:t>
      </w:r>
      <w:r w:rsidR="009B479C" w:rsidRPr="002E4477">
        <w:rPr>
          <w:bCs/>
          <w:szCs w:val="28"/>
        </w:rPr>
        <w:t xml:space="preserve"> </w:t>
      </w:r>
      <w:r w:rsidR="002E51A5" w:rsidRPr="002E4477">
        <w:rPr>
          <w:bCs/>
          <w:szCs w:val="28"/>
        </w:rPr>
        <w:t xml:space="preserve">los reglamentos </w:t>
      </w:r>
      <w:r w:rsidR="009B479C" w:rsidRPr="002E4477">
        <w:rPr>
          <w:bCs/>
          <w:szCs w:val="28"/>
        </w:rPr>
        <w:t xml:space="preserve">necesarios </w:t>
      </w:r>
      <w:r w:rsidR="004B227C" w:rsidRPr="002E4477">
        <w:rPr>
          <w:bCs/>
          <w:szCs w:val="28"/>
        </w:rPr>
        <w:t xml:space="preserve">para adelantar </w:t>
      </w:r>
      <w:r w:rsidR="002E51A5" w:rsidRPr="002E4477">
        <w:rPr>
          <w:bCs/>
          <w:szCs w:val="28"/>
        </w:rPr>
        <w:t>la convocatoria pública</w:t>
      </w:r>
      <w:r w:rsidR="0055018E" w:rsidRPr="002E4477">
        <w:rPr>
          <w:bCs/>
          <w:szCs w:val="28"/>
        </w:rPr>
        <w:t xml:space="preserve"> </w:t>
      </w:r>
      <w:r w:rsidR="00890B13" w:rsidRPr="002E4477">
        <w:rPr>
          <w:bCs/>
          <w:szCs w:val="28"/>
        </w:rPr>
        <w:t>correspondiente</w:t>
      </w:r>
      <w:r w:rsidR="00B32790" w:rsidRPr="002E4477">
        <w:rPr>
          <w:bCs/>
          <w:szCs w:val="28"/>
        </w:rPr>
        <w:t>,</w:t>
      </w:r>
      <w:r w:rsidR="00890B13" w:rsidRPr="002E4477">
        <w:rPr>
          <w:bCs/>
          <w:szCs w:val="28"/>
        </w:rPr>
        <w:t xml:space="preserve"> </w:t>
      </w:r>
      <w:r w:rsidR="00F82B98" w:rsidRPr="002E4477">
        <w:rPr>
          <w:bCs/>
          <w:szCs w:val="28"/>
        </w:rPr>
        <w:t xml:space="preserve">y </w:t>
      </w:r>
      <w:r w:rsidR="002E51A5" w:rsidRPr="002E4477">
        <w:rPr>
          <w:bCs/>
          <w:szCs w:val="28"/>
        </w:rPr>
        <w:t xml:space="preserve">conformar </w:t>
      </w:r>
      <w:r w:rsidR="00B32790" w:rsidRPr="002E4477">
        <w:rPr>
          <w:bCs/>
          <w:szCs w:val="28"/>
        </w:rPr>
        <w:t xml:space="preserve">así </w:t>
      </w:r>
      <w:r w:rsidR="002E51A5" w:rsidRPr="002E4477">
        <w:rPr>
          <w:bCs/>
          <w:szCs w:val="28"/>
        </w:rPr>
        <w:t>las respectivas ternas</w:t>
      </w:r>
      <w:r w:rsidR="00390415" w:rsidRPr="002E4477">
        <w:rPr>
          <w:bCs/>
          <w:szCs w:val="28"/>
        </w:rPr>
        <w:t>,</w:t>
      </w:r>
      <w:r w:rsidR="00B32790" w:rsidRPr="002E4477">
        <w:rPr>
          <w:bCs/>
          <w:szCs w:val="28"/>
        </w:rPr>
        <w:t xml:space="preserve"> con los resultados negativos ya enunciados</w:t>
      </w:r>
      <w:r w:rsidR="00B82804" w:rsidRPr="002E4477">
        <w:rPr>
          <w:bCs/>
          <w:szCs w:val="28"/>
        </w:rPr>
        <w:t>.</w:t>
      </w:r>
      <w:r w:rsidRPr="002E4477">
        <w:rPr>
          <w:bCs/>
          <w:szCs w:val="28"/>
        </w:rPr>
        <w:t xml:space="preserve"> </w:t>
      </w:r>
      <w:r w:rsidR="00B82804" w:rsidRPr="002E4477">
        <w:rPr>
          <w:bCs/>
          <w:szCs w:val="28"/>
        </w:rPr>
        <w:t xml:space="preserve">Una situación </w:t>
      </w:r>
      <w:r w:rsidR="00B82804" w:rsidRPr="005C1C63">
        <w:rPr>
          <w:bCs/>
          <w:szCs w:val="28"/>
        </w:rPr>
        <w:t xml:space="preserve">que hizo </w:t>
      </w:r>
      <w:r w:rsidR="00B32790" w:rsidRPr="005C1C63">
        <w:rPr>
          <w:bCs/>
          <w:szCs w:val="28"/>
        </w:rPr>
        <w:t xml:space="preserve">simplemente </w:t>
      </w:r>
      <w:r w:rsidR="00B82804" w:rsidRPr="005C1C63">
        <w:rPr>
          <w:bCs/>
          <w:szCs w:val="28"/>
        </w:rPr>
        <w:t>imposible</w:t>
      </w:r>
      <w:r w:rsidRPr="005C1C63">
        <w:rPr>
          <w:bCs/>
          <w:szCs w:val="28"/>
        </w:rPr>
        <w:t xml:space="preserve"> </w:t>
      </w:r>
      <w:r w:rsidR="00B82804" w:rsidRPr="005C1C63">
        <w:rPr>
          <w:bCs/>
          <w:szCs w:val="28"/>
        </w:rPr>
        <w:t>designar a los miembros de la CNDJ</w:t>
      </w:r>
      <w:r w:rsidR="00C17C63" w:rsidRPr="005C1C63">
        <w:rPr>
          <w:bCs/>
          <w:szCs w:val="28"/>
        </w:rPr>
        <w:t xml:space="preserve"> y cumplir </w:t>
      </w:r>
      <w:r w:rsidR="00B82804" w:rsidRPr="005C1C63">
        <w:rPr>
          <w:bCs/>
          <w:szCs w:val="28"/>
        </w:rPr>
        <w:t>el término previsto</w:t>
      </w:r>
      <w:r w:rsidR="00890B13" w:rsidRPr="005C1C63">
        <w:rPr>
          <w:bCs/>
          <w:szCs w:val="28"/>
        </w:rPr>
        <w:t xml:space="preserve"> en la C</w:t>
      </w:r>
      <w:r w:rsidR="00B20326" w:rsidRPr="005C1C63">
        <w:rPr>
          <w:bCs/>
          <w:szCs w:val="28"/>
        </w:rPr>
        <w:t>onstitución</w:t>
      </w:r>
      <w:r w:rsidR="008B137B" w:rsidRPr="005C1C63">
        <w:rPr>
          <w:bCs/>
          <w:szCs w:val="28"/>
        </w:rPr>
        <w:t xml:space="preserve"> para el efecto</w:t>
      </w:r>
      <w:r w:rsidR="00890B13" w:rsidRPr="005C1C63">
        <w:rPr>
          <w:bCs/>
          <w:szCs w:val="28"/>
        </w:rPr>
        <w:t>,</w:t>
      </w:r>
      <w:r w:rsidR="00B32790" w:rsidRPr="005C1C63">
        <w:rPr>
          <w:bCs/>
          <w:szCs w:val="28"/>
        </w:rPr>
        <w:t xml:space="preserve"> a la espera de una ley</w:t>
      </w:r>
      <w:r w:rsidR="00785FD9" w:rsidRPr="005C1C63">
        <w:rPr>
          <w:bCs/>
          <w:szCs w:val="28"/>
        </w:rPr>
        <w:t>,</w:t>
      </w:r>
      <w:r w:rsidR="009539B9" w:rsidRPr="005C1C63">
        <w:rPr>
          <w:bCs/>
          <w:szCs w:val="28"/>
        </w:rPr>
        <w:t xml:space="preserve"> </w:t>
      </w:r>
      <w:r w:rsidR="005A28C9" w:rsidRPr="005C1C63">
        <w:rPr>
          <w:bCs/>
          <w:szCs w:val="28"/>
        </w:rPr>
        <w:t>eventualmente</w:t>
      </w:r>
      <w:r w:rsidR="009539B9" w:rsidRPr="005C1C63">
        <w:rPr>
          <w:bCs/>
          <w:szCs w:val="28"/>
        </w:rPr>
        <w:t xml:space="preserve"> estatutaria</w:t>
      </w:r>
      <w:r w:rsidR="00785FD9" w:rsidRPr="005C1C63">
        <w:rPr>
          <w:bCs/>
          <w:szCs w:val="28"/>
        </w:rPr>
        <w:t>,</w:t>
      </w:r>
      <w:r w:rsidR="00B32790" w:rsidRPr="005C1C63">
        <w:rPr>
          <w:bCs/>
          <w:szCs w:val="28"/>
        </w:rPr>
        <w:t xml:space="preserve"> que </w:t>
      </w:r>
      <w:r w:rsidR="002848B4" w:rsidRPr="005C1C63">
        <w:rPr>
          <w:bCs/>
          <w:szCs w:val="28"/>
        </w:rPr>
        <w:t xml:space="preserve">según se alega, debe incluir las </w:t>
      </w:r>
      <w:r w:rsidR="00B32790" w:rsidRPr="005C1C63">
        <w:rPr>
          <w:bCs/>
          <w:szCs w:val="28"/>
        </w:rPr>
        <w:t>reglas pertinentes para darle paso a las convocatorias</w:t>
      </w:r>
      <w:r w:rsidR="002848B4" w:rsidRPr="005C1C63">
        <w:rPr>
          <w:bCs/>
          <w:szCs w:val="28"/>
        </w:rPr>
        <w:t xml:space="preserve"> descritas, </w:t>
      </w:r>
      <w:r w:rsidR="00EC1246" w:rsidRPr="005C1C63">
        <w:rPr>
          <w:bCs/>
          <w:szCs w:val="28"/>
        </w:rPr>
        <w:t xml:space="preserve">en desmedro de </w:t>
      </w:r>
      <w:r w:rsidR="008B137B" w:rsidRPr="005C1C63">
        <w:rPr>
          <w:bCs/>
          <w:szCs w:val="28"/>
        </w:rPr>
        <w:t xml:space="preserve">la </w:t>
      </w:r>
      <w:r w:rsidR="00EC1246" w:rsidRPr="005C1C63">
        <w:rPr>
          <w:bCs/>
          <w:szCs w:val="28"/>
        </w:rPr>
        <w:t>propuest</w:t>
      </w:r>
      <w:r w:rsidR="008B137B" w:rsidRPr="005C1C63">
        <w:rPr>
          <w:bCs/>
          <w:szCs w:val="28"/>
        </w:rPr>
        <w:t>a original</w:t>
      </w:r>
      <w:r w:rsidR="00EC1246" w:rsidRPr="005C1C63">
        <w:rPr>
          <w:bCs/>
          <w:szCs w:val="28"/>
        </w:rPr>
        <w:t xml:space="preserve"> </w:t>
      </w:r>
      <w:r w:rsidR="008B137B" w:rsidRPr="005C1C63">
        <w:rPr>
          <w:bCs/>
          <w:szCs w:val="28"/>
        </w:rPr>
        <w:t>d</w:t>
      </w:r>
      <w:r w:rsidR="00B82804" w:rsidRPr="005C1C63">
        <w:rPr>
          <w:bCs/>
          <w:szCs w:val="28"/>
        </w:rPr>
        <w:t xml:space="preserve">el A.L. 02 de 2015. </w:t>
      </w:r>
    </w:p>
    <w:p w14:paraId="24CF40F6" w14:textId="77777777" w:rsidR="004C0F2B" w:rsidRPr="002E4477" w:rsidRDefault="004C0F2B" w:rsidP="004C0F2B">
      <w:pPr>
        <w:pStyle w:val="Prrafodelista"/>
        <w:tabs>
          <w:tab w:val="left" w:pos="567"/>
        </w:tabs>
        <w:ind w:left="0" w:right="49"/>
        <w:contextualSpacing/>
        <w:jc w:val="both"/>
        <w:rPr>
          <w:bCs/>
          <w:szCs w:val="28"/>
        </w:rPr>
      </w:pPr>
    </w:p>
    <w:p w14:paraId="3DFBEF7D" w14:textId="77777777" w:rsidR="003E3A47" w:rsidRPr="002E4477" w:rsidRDefault="00FD7672" w:rsidP="00962603">
      <w:pPr>
        <w:pStyle w:val="Prrafodelista"/>
        <w:numPr>
          <w:ilvl w:val="0"/>
          <w:numId w:val="10"/>
        </w:numPr>
        <w:tabs>
          <w:tab w:val="left" w:pos="567"/>
        </w:tabs>
        <w:ind w:right="49"/>
        <w:contextualSpacing/>
        <w:jc w:val="both"/>
        <w:rPr>
          <w:bCs/>
          <w:szCs w:val="28"/>
        </w:rPr>
      </w:pPr>
      <w:r w:rsidRPr="002E4477">
        <w:rPr>
          <w:szCs w:val="28"/>
        </w:rPr>
        <w:t xml:space="preserve">Ahora bien, </w:t>
      </w:r>
      <w:r w:rsidRPr="002E4477">
        <w:rPr>
          <w:szCs w:val="28"/>
          <w:lang w:val="es-ES_tradnl"/>
        </w:rPr>
        <w:t>p</w:t>
      </w:r>
      <w:r w:rsidR="003E3A47" w:rsidRPr="002E4477">
        <w:rPr>
          <w:szCs w:val="28"/>
          <w:lang w:val="es-ES_tradnl"/>
        </w:rPr>
        <w:t>ara c</w:t>
      </w:r>
      <w:r w:rsidR="00B20EDB" w:rsidRPr="002E4477">
        <w:rPr>
          <w:szCs w:val="28"/>
          <w:lang w:val="es-ES_tradnl"/>
        </w:rPr>
        <w:t xml:space="preserve">omprender </w:t>
      </w:r>
      <w:r w:rsidR="00890B13" w:rsidRPr="002E4477">
        <w:rPr>
          <w:szCs w:val="28"/>
          <w:lang w:val="es-ES_tradnl"/>
        </w:rPr>
        <w:t xml:space="preserve">la situación </w:t>
      </w:r>
      <w:r w:rsidR="003E3A47" w:rsidRPr="002E4477">
        <w:rPr>
          <w:szCs w:val="28"/>
          <w:lang w:val="es-ES_tradnl"/>
        </w:rPr>
        <w:t xml:space="preserve">actual </w:t>
      </w:r>
      <w:r w:rsidR="00890B13" w:rsidRPr="002E4477">
        <w:rPr>
          <w:szCs w:val="28"/>
          <w:lang w:val="es-ES_tradnl"/>
        </w:rPr>
        <w:t>de</w:t>
      </w:r>
      <w:r w:rsidR="003E3A47" w:rsidRPr="002E4477">
        <w:rPr>
          <w:szCs w:val="28"/>
          <w:lang w:val="es-ES_tradnl"/>
        </w:rPr>
        <w:t xml:space="preserve"> la Sala Jurisdiccional Disciplinaria del CSJ ante la dificultad de conformar </w:t>
      </w:r>
      <w:r w:rsidR="002848B4" w:rsidRPr="002E4477">
        <w:rPr>
          <w:szCs w:val="28"/>
          <w:lang w:val="es-ES_tradnl"/>
        </w:rPr>
        <w:t xml:space="preserve">por el momento </w:t>
      </w:r>
      <w:r w:rsidR="003E3A47" w:rsidRPr="002E4477">
        <w:rPr>
          <w:szCs w:val="28"/>
          <w:lang w:val="es-ES_tradnl"/>
        </w:rPr>
        <w:t>la CNDJ, algunos</w:t>
      </w:r>
      <w:r w:rsidR="00494452" w:rsidRPr="002E4477">
        <w:rPr>
          <w:szCs w:val="28"/>
          <w:lang w:val="es-ES_tradnl"/>
        </w:rPr>
        <w:t xml:space="preserve"> </w:t>
      </w:r>
      <w:r w:rsidR="003E3A47" w:rsidRPr="002E4477">
        <w:rPr>
          <w:szCs w:val="28"/>
          <w:lang w:val="es-ES_tradnl"/>
        </w:rPr>
        <w:t xml:space="preserve">pronunciamientos de la Sala de Consulta y Servicio Civil del Consejo de Estado </w:t>
      </w:r>
      <w:r w:rsidR="008B137B" w:rsidRPr="002E4477">
        <w:rPr>
          <w:szCs w:val="28"/>
          <w:lang w:val="es-ES_tradnl"/>
        </w:rPr>
        <w:t>han ofrecido explicaciones relevantes sobre</w:t>
      </w:r>
      <w:r w:rsidR="00810D0C" w:rsidRPr="002E4477">
        <w:rPr>
          <w:szCs w:val="28"/>
          <w:lang w:val="es-ES_tradnl"/>
        </w:rPr>
        <w:t xml:space="preserve"> la</w:t>
      </w:r>
      <w:r w:rsidR="008B137B" w:rsidRPr="002E4477">
        <w:rPr>
          <w:szCs w:val="28"/>
          <w:lang w:val="es-ES_tradnl"/>
        </w:rPr>
        <w:t xml:space="preserve"> </w:t>
      </w:r>
      <w:r w:rsidR="003E3A47" w:rsidRPr="002E4477">
        <w:rPr>
          <w:szCs w:val="28"/>
          <w:lang w:val="es-ES_tradnl"/>
        </w:rPr>
        <w:t xml:space="preserve">situación. </w:t>
      </w:r>
    </w:p>
    <w:p w14:paraId="051F6B40" w14:textId="77777777" w:rsidR="003E3A47" w:rsidRPr="002E4477" w:rsidRDefault="003E3A47" w:rsidP="003E3A47">
      <w:pPr>
        <w:pStyle w:val="Prrafodelista"/>
        <w:tabs>
          <w:tab w:val="left" w:pos="567"/>
        </w:tabs>
        <w:ind w:left="0" w:right="49"/>
        <w:contextualSpacing/>
        <w:jc w:val="both"/>
        <w:rPr>
          <w:bCs/>
          <w:szCs w:val="28"/>
        </w:rPr>
      </w:pPr>
    </w:p>
    <w:p w14:paraId="21622BC0" w14:textId="77777777" w:rsidR="009D41D8" w:rsidRPr="002E4477" w:rsidRDefault="003E3A47" w:rsidP="00CE0B35">
      <w:pPr>
        <w:pStyle w:val="Prrafodelista"/>
        <w:tabs>
          <w:tab w:val="left" w:pos="567"/>
        </w:tabs>
        <w:ind w:left="0" w:right="49"/>
        <w:contextualSpacing/>
        <w:jc w:val="both"/>
        <w:rPr>
          <w:szCs w:val="28"/>
          <w:u w:val="single"/>
          <w:lang w:val="es-ES_tradnl"/>
        </w:rPr>
      </w:pPr>
      <w:r w:rsidRPr="002E4477">
        <w:rPr>
          <w:szCs w:val="28"/>
          <w:lang w:val="es-ES_tradnl"/>
        </w:rPr>
        <w:t>En efecto, e</w:t>
      </w:r>
      <w:r w:rsidR="009D41D8" w:rsidRPr="002E4477">
        <w:rPr>
          <w:szCs w:val="28"/>
          <w:lang w:val="es-ES_tradnl"/>
        </w:rPr>
        <w:t xml:space="preserve">l Ministerio de Justicia y del Derecho </w:t>
      </w:r>
      <w:r w:rsidR="00FD7672" w:rsidRPr="002E4477">
        <w:rPr>
          <w:szCs w:val="28"/>
          <w:lang w:val="es-ES_tradnl"/>
        </w:rPr>
        <w:t>inquirió</w:t>
      </w:r>
      <w:r w:rsidR="009D41D8" w:rsidRPr="002E4477">
        <w:rPr>
          <w:rStyle w:val="Refdenotaalpie"/>
          <w:szCs w:val="28"/>
          <w:lang w:val="es-ES_tradnl"/>
        </w:rPr>
        <w:footnoteReference w:id="288"/>
      </w:r>
      <w:r w:rsidR="00590CE8" w:rsidRPr="002E4477">
        <w:rPr>
          <w:szCs w:val="28"/>
          <w:lang w:val="es-ES_tradnl"/>
        </w:rPr>
        <w:t xml:space="preserve"> </w:t>
      </w:r>
      <w:r w:rsidR="009D41D8" w:rsidRPr="002E4477">
        <w:rPr>
          <w:szCs w:val="28"/>
          <w:lang w:val="es-ES_tradnl"/>
        </w:rPr>
        <w:t>a la Sala de Consulta y Servicio Civil sobre los efectos que podría</w:t>
      </w:r>
      <w:r w:rsidR="008B137B" w:rsidRPr="002E4477">
        <w:rPr>
          <w:szCs w:val="28"/>
          <w:lang w:val="es-ES_tradnl"/>
        </w:rPr>
        <w:t>n</w:t>
      </w:r>
      <w:r w:rsidR="009D41D8" w:rsidRPr="002E4477">
        <w:rPr>
          <w:szCs w:val="28"/>
          <w:lang w:val="es-ES_tradnl"/>
        </w:rPr>
        <w:t xml:space="preserve"> tener</w:t>
      </w:r>
      <w:r w:rsidR="00B20EDB" w:rsidRPr="002E4477">
        <w:rPr>
          <w:szCs w:val="28"/>
          <w:lang w:val="es-ES_tradnl"/>
        </w:rPr>
        <w:t xml:space="preserve"> </w:t>
      </w:r>
      <w:r w:rsidR="008B137B" w:rsidRPr="002E4477">
        <w:rPr>
          <w:szCs w:val="28"/>
          <w:lang w:val="es-ES_tradnl"/>
        </w:rPr>
        <w:t xml:space="preserve">las decisiones judiciales que suspendieron provisionalmente el proceso de elección de los magistrados de la CNDJ, </w:t>
      </w:r>
      <w:r w:rsidR="00DF4C59">
        <w:rPr>
          <w:szCs w:val="28"/>
          <w:lang w:val="es-ES_tradnl"/>
        </w:rPr>
        <w:t>-</w:t>
      </w:r>
      <w:r w:rsidR="008B137B" w:rsidRPr="002E4477">
        <w:rPr>
          <w:szCs w:val="28"/>
          <w:lang w:val="es-ES_tradnl"/>
        </w:rPr>
        <w:t>creado a partir del A.L 02 de 2015</w:t>
      </w:r>
      <w:r w:rsidR="00DF4C59">
        <w:rPr>
          <w:szCs w:val="28"/>
          <w:lang w:val="es-ES_tradnl"/>
        </w:rPr>
        <w:t>-</w:t>
      </w:r>
      <w:r w:rsidR="008B137B" w:rsidRPr="002E4477">
        <w:rPr>
          <w:szCs w:val="28"/>
          <w:lang w:val="es-ES_tradnl"/>
        </w:rPr>
        <w:t xml:space="preserve">, </w:t>
      </w:r>
      <w:r w:rsidR="00B20EDB" w:rsidRPr="002E4477">
        <w:rPr>
          <w:szCs w:val="28"/>
          <w:lang w:val="es-ES_tradnl"/>
        </w:rPr>
        <w:t>en la continuidad de los magistrados que integraban la Sala Jurisdiccional Disciplinaria</w:t>
      </w:r>
      <w:r w:rsidR="00810D0C" w:rsidRPr="002E4477">
        <w:rPr>
          <w:szCs w:val="28"/>
          <w:lang w:val="es-ES_tradnl"/>
        </w:rPr>
        <w:t xml:space="preserve"> existente</w:t>
      </w:r>
      <w:r w:rsidR="002848B4" w:rsidRPr="002E4477">
        <w:rPr>
          <w:szCs w:val="28"/>
          <w:lang w:val="es-ES_tradnl"/>
        </w:rPr>
        <w:t xml:space="preserve"> y en ejercicio de sus funciones</w:t>
      </w:r>
      <w:r w:rsidR="009D41D8" w:rsidRPr="002E4477">
        <w:rPr>
          <w:szCs w:val="28"/>
          <w:lang w:val="es-ES_tradnl"/>
        </w:rPr>
        <w:t>.</w:t>
      </w:r>
      <w:r w:rsidR="002848B4" w:rsidRPr="002E4477">
        <w:rPr>
          <w:szCs w:val="28"/>
          <w:lang w:val="es-ES_tradnl"/>
        </w:rPr>
        <w:t xml:space="preserve"> </w:t>
      </w:r>
      <w:r w:rsidRPr="002E4477">
        <w:rPr>
          <w:bCs/>
          <w:szCs w:val="28"/>
        </w:rPr>
        <w:t xml:space="preserve">En </w:t>
      </w:r>
      <w:r w:rsidR="00890B13" w:rsidRPr="002E4477">
        <w:rPr>
          <w:bCs/>
          <w:szCs w:val="28"/>
        </w:rPr>
        <w:t>particular</w:t>
      </w:r>
      <w:r w:rsidRPr="002E4477">
        <w:rPr>
          <w:bCs/>
          <w:szCs w:val="28"/>
        </w:rPr>
        <w:t xml:space="preserve">, </w:t>
      </w:r>
      <w:r w:rsidRPr="002E4477">
        <w:rPr>
          <w:szCs w:val="28"/>
          <w:lang w:val="es-ES_tradnl"/>
        </w:rPr>
        <w:t>porque</w:t>
      </w:r>
      <w:r w:rsidR="00803A12" w:rsidRPr="002E4477">
        <w:rPr>
          <w:szCs w:val="28"/>
          <w:lang w:val="es-ES_tradnl"/>
        </w:rPr>
        <w:t xml:space="preserve"> al haberse</w:t>
      </w:r>
      <w:r w:rsidR="009D41D8" w:rsidRPr="002E4477">
        <w:rPr>
          <w:szCs w:val="28"/>
          <w:lang w:val="es-ES_tradnl"/>
        </w:rPr>
        <w:t xml:space="preserve"> </w:t>
      </w:r>
      <w:r w:rsidR="009A5084" w:rsidRPr="002E4477">
        <w:rPr>
          <w:szCs w:val="28"/>
          <w:lang w:val="es-ES_tradnl"/>
        </w:rPr>
        <w:t xml:space="preserve">modificado el escenario fáctico dispuesto por el constituyente en el parágrafo transitorio del artículo 257A, esto es, vencido el plazo para la elección de los </w:t>
      </w:r>
      <w:r w:rsidR="001E122B">
        <w:rPr>
          <w:szCs w:val="28"/>
          <w:lang w:val="es-ES_tradnl"/>
        </w:rPr>
        <w:t>m</w:t>
      </w:r>
      <w:r w:rsidR="009A5084" w:rsidRPr="002E4477">
        <w:rPr>
          <w:szCs w:val="28"/>
          <w:lang w:val="es-ES_tradnl"/>
        </w:rPr>
        <w:t xml:space="preserve">agistrados de la Comisión Nacional de Disciplina Judicial </w:t>
      </w:r>
      <w:r w:rsidR="009D41D8" w:rsidRPr="002E4477">
        <w:rPr>
          <w:szCs w:val="28"/>
          <w:lang w:val="es-ES_tradnl"/>
        </w:rPr>
        <w:t>(</w:t>
      </w:r>
      <w:r w:rsidR="00C37216" w:rsidRPr="002E4477">
        <w:rPr>
          <w:szCs w:val="28"/>
          <w:lang w:val="es-ES_tradnl"/>
        </w:rPr>
        <w:t xml:space="preserve">de </w:t>
      </w:r>
      <w:r w:rsidR="009D41D8" w:rsidRPr="002E4477">
        <w:rPr>
          <w:szCs w:val="28"/>
          <w:lang w:val="es-ES_tradnl"/>
        </w:rPr>
        <w:t>un a</w:t>
      </w:r>
      <w:r w:rsidRPr="002E4477">
        <w:rPr>
          <w:szCs w:val="28"/>
          <w:lang w:val="es-ES_tradnl"/>
        </w:rPr>
        <w:t>ño)</w:t>
      </w:r>
      <w:r w:rsidR="00AF7F07" w:rsidRPr="002E4477">
        <w:rPr>
          <w:szCs w:val="28"/>
          <w:lang w:val="es-ES_tradnl"/>
        </w:rPr>
        <w:t>,</w:t>
      </w:r>
      <w:r w:rsidR="009A5084" w:rsidRPr="002E4477">
        <w:rPr>
          <w:szCs w:val="28"/>
          <w:lang w:val="es-ES_tradnl"/>
        </w:rPr>
        <w:t xml:space="preserve"> </w:t>
      </w:r>
      <w:r w:rsidR="00FD7672" w:rsidRPr="002E4477">
        <w:rPr>
          <w:szCs w:val="28"/>
          <w:lang w:val="es-ES_tradnl"/>
        </w:rPr>
        <w:t xml:space="preserve">en concepto del Ministerio </w:t>
      </w:r>
      <w:r w:rsidR="008B137B" w:rsidRPr="002E4477">
        <w:rPr>
          <w:szCs w:val="28"/>
          <w:lang w:val="es-ES_tradnl"/>
        </w:rPr>
        <w:t xml:space="preserve">de Justicia, </w:t>
      </w:r>
      <w:r w:rsidRPr="002E4477">
        <w:rPr>
          <w:szCs w:val="28"/>
          <w:lang w:val="es-ES_tradnl"/>
        </w:rPr>
        <w:t xml:space="preserve">surgirían </w:t>
      </w:r>
      <w:r w:rsidR="009D41D8" w:rsidRPr="002E4477">
        <w:rPr>
          <w:szCs w:val="28"/>
          <w:lang w:val="es-ES_tradnl"/>
        </w:rPr>
        <w:t>dos interpretaciones</w:t>
      </w:r>
      <w:r w:rsidR="0033019D" w:rsidRPr="002E4477">
        <w:rPr>
          <w:szCs w:val="28"/>
          <w:lang w:val="es-ES_tradnl"/>
        </w:rPr>
        <w:t xml:space="preserve"> posibles</w:t>
      </w:r>
      <w:r w:rsidR="00DD1F1F" w:rsidRPr="002E4477">
        <w:rPr>
          <w:szCs w:val="28"/>
          <w:lang w:val="es-ES_tradnl"/>
        </w:rPr>
        <w:t>. De un lado</w:t>
      </w:r>
      <w:r w:rsidR="008B137B" w:rsidRPr="002E4477">
        <w:rPr>
          <w:szCs w:val="28"/>
          <w:lang w:val="es-ES_tradnl"/>
        </w:rPr>
        <w:t xml:space="preserve"> - </w:t>
      </w:r>
      <w:r w:rsidR="00DD1F1F" w:rsidRPr="002E4477">
        <w:rPr>
          <w:szCs w:val="28"/>
          <w:lang w:val="es-ES_tradnl"/>
        </w:rPr>
        <w:t xml:space="preserve">de acuerdo con </w:t>
      </w:r>
      <w:r w:rsidR="009D41D8" w:rsidRPr="002E4477">
        <w:rPr>
          <w:szCs w:val="28"/>
          <w:lang w:val="es-ES_tradnl"/>
        </w:rPr>
        <w:t>el parágraf</w:t>
      </w:r>
      <w:r w:rsidRPr="002E4477">
        <w:rPr>
          <w:szCs w:val="28"/>
          <w:lang w:val="es-ES_tradnl"/>
        </w:rPr>
        <w:t>o transitorio del artículo 257</w:t>
      </w:r>
      <w:r w:rsidR="0033019D" w:rsidRPr="002E4477">
        <w:rPr>
          <w:szCs w:val="28"/>
          <w:lang w:val="es-ES_tradnl"/>
        </w:rPr>
        <w:t>A</w:t>
      </w:r>
      <w:r w:rsidR="001E66D5" w:rsidRPr="002E4477">
        <w:rPr>
          <w:szCs w:val="28"/>
          <w:lang w:val="es-ES_tradnl"/>
        </w:rPr>
        <w:t xml:space="preserve"> superior</w:t>
      </w:r>
      <w:r w:rsidR="008B137B" w:rsidRPr="002E4477">
        <w:rPr>
          <w:szCs w:val="28"/>
          <w:lang w:val="es-ES_tradnl"/>
        </w:rPr>
        <w:t>-</w:t>
      </w:r>
      <w:r w:rsidR="009D41D8" w:rsidRPr="002E4477">
        <w:rPr>
          <w:szCs w:val="28"/>
          <w:lang w:val="es-ES_tradnl"/>
        </w:rPr>
        <w:t xml:space="preserve">, </w:t>
      </w:r>
      <w:r w:rsidR="002848B4" w:rsidRPr="002E4477">
        <w:rPr>
          <w:szCs w:val="28"/>
          <w:lang w:val="es-ES_tradnl"/>
        </w:rPr>
        <w:t xml:space="preserve">la apreciación de </w:t>
      </w:r>
      <w:r w:rsidR="008B137B" w:rsidRPr="002E4477">
        <w:rPr>
          <w:szCs w:val="28"/>
          <w:lang w:val="es-ES_tradnl"/>
        </w:rPr>
        <w:t>que</w:t>
      </w:r>
      <w:r w:rsidR="00B20326" w:rsidRPr="002E4477">
        <w:rPr>
          <w:szCs w:val="28"/>
          <w:lang w:val="es-ES_tradnl"/>
        </w:rPr>
        <w:t xml:space="preserve"> </w:t>
      </w:r>
      <w:r w:rsidR="00C37216" w:rsidRPr="002E4477">
        <w:rPr>
          <w:szCs w:val="28"/>
          <w:lang w:val="es-ES_tradnl"/>
        </w:rPr>
        <w:t xml:space="preserve">una vez </w:t>
      </w:r>
      <w:r w:rsidR="009D41D8" w:rsidRPr="002E4477">
        <w:rPr>
          <w:szCs w:val="28"/>
          <w:lang w:val="es-ES_tradnl"/>
        </w:rPr>
        <w:t>vencido el plazo dispuesto para la elección de los magistrados de la C</w:t>
      </w:r>
      <w:r w:rsidRPr="002E4477">
        <w:rPr>
          <w:szCs w:val="28"/>
          <w:lang w:val="es-ES_tradnl"/>
        </w:rPr>
        <w:t>NDJ</w:t>
      </w:r>
      <w:r w:rsidR="001F5220" w:rsidRPr="002E4477">
        <w:rPr>
          <w:szCs w:val="28"/>
          <w:lang w:val="es-ES_tradnl"/>
        </w:rPr>
        <w:t>,</w:t>
      </w:r>
      <w:r w:rsidR="009D41D8" w:rsidRPr="002E4477">
        <w:rPr>
          <w:szCs w:val="28"/>
          <w:lang w:val="es-ES_tradnl"/>
        </w:rPr>
        <w:t xml:space="preserve"> </w:t>
      </w:r>
      <w:r w:rsidR="00810D0C" w:rsidRPr="002E4477">
        <w:rPr>
          <w:szCs w:val="28"/>
          <w:lang w:val="es-ES_tradnl"/>
        </w:rPr>
        <w:t>las</w:t>
      </w:r>
      <w:r w:rsidR="00C37216" w:rsidRPr="002E4477">
        <w:rPr>
          <w:szCs w:val="28"/>
          <w:lang w:val="es-ES_tradnl"/>
        </w:rPr>
        <w:t xml:space="preserve"> personas </w:t>
      </w:r>
      <w:r w:rsidR="00810D0C" w:rsidRPr="002E4477">
        <w:rPr>
          <w:szCs w:val="28"/>
          <w:lang w:val="es-ES_tradnl"/>
        </w:rPr>
        <w:t xml:space="preserve">ubicadas en esos cargos, </w:t>
      </w:r>
      <w:r w:rsidR="009D41D8" w:rsidRPr="002E4477">
        <w:rPr>
          <w:szCs w:val="28"/>
          <w:lang w:val="es-ES_tradnl"/>
        </w:rPr>
        <w:t xml:space="preserve">no podrían </w:t>
      </w:r>
      <w:r w:rsidR="008B137B" w:rsidRPr="002E4477">
        <w:rPr>
          <w:szCs w:val="28"/>
          <w:lang w:val="es-ES_tradnl"/>
        </w:rPr>
        <w:t>ni</w:t>
      </w:r>
      <w:r w:rsidR="009D41D8" w:rsidRPr="002E4477">
        <w:rPr>
          <w:szCs w:val="28"/>
          <w:lang w:val="es-ES_tradnl"/>
        </w:rPr>
        <w:t xml:space="preserve"> deberían continuar ejerciendo sus funciones y; </w:t>
      </w:r>
      <w:r w:rsidR="009D41D8" w:rsidRPr="002E4477">
        <w:rPr>
          <w:b/>
          <w:bCs/>
          <w:szCs w:val="28"/>
          <w:lang w:val="es-ES_tradnl"/>
        </w:rPr>
        <w:t xml:space="preserve">(ii) </w:t>
      </w:r>
      <w:r w:rsidR="008B137B" w:rsidRPr="002E4477">
        <w:rPr>
          <w:szCs w:val="28"/>
          <w:lang w:val="es-ES_tradnl"/>
        </w:rPr>
        <w:t>del otro que</w:t>
      </w:r>
      <w:r w:rsidR="002848B4" w:rsidRPr="002E4477">
        <w:rPr>
          <w:szCs w:val="28"/>
          <w:lang w:val="es-ES_tradnl"/>
        </w:rPr>
        <w:t>,</w:t>
      </w:r>
      <w:r w:rsidR="00B20326" w:rsidRPr="002E4477">
        <w:rPr>
          <w:szCs w:val="28"/>
          <w:lang w:val="es-ES_tradnl"/>
        </w:rPr>
        <w:t xml:space="preserve"> </w:t>
      </w:r>
      <w:r w:rsidR="009D41D8" w:rsidRPr="002E4477">
        <w:rPr>
          <w:szCs w:val="28"/>
          <w:lang w:val="es-ES_tradnl"/>
        </w:rPr>
        <w:t>al margen del plazo establecido en el citado parágrafo, los actuales magistrados de la Sala Jurisdic</w:t>
      </w:r>
      <w:r w:rsidRPr="002E4477">
        <w:rPr>
          <w:szCs w:val="28"/>
          <w:lang w:val="es-ES_tradnl"/>
        </w:rPr>
        <w:t>cional Disciplinaria</w:t>
      </w:r>
      <w:r w:rsidR="00C37216" w:rsidRPr="002E4477">
        <w:rPr>
          <w:szCs w:val="28"/>
          <w:lang w:val="es-ES_tradnl"/>
        </w:rPr>
        <w:t xml:space="preserve"> podrían</w:t>
      </w:r>
      <w:r w:rsidRPr="002E4477">
        <w:rPr>
          <w:szCs w:val="28"/>
          <w:lang w:val="es-ES_tradnl"/>
        </w:rPr>
        <w:t xml:space="preserve"> continuar</w:t>
      </w:r>
      <w:r w:rsidR="009D41D8" w:rsidRPr="002E4477">
        <w:rPr>
          <w:szCs w:val="28"/>
          <w:lang w:val="es-ES_tradnl"/>
        </w:rPr>
        <w:t xml:space="preserve"> indefinidamente ejerciendo </w:t>
      </w:r>
      <w:r w:rsidR="00FD7672" w:rsidRPr="002E4477">
        <w:rPr>
          <w:szCs w:val="28"/>
          <w:lang w:val="es-ES_tradnl"/>
        </w:rPr>
        <w:t>las</w:t>
      </w:r>
      <w:r w:rsidR="009D41D8" w:rsidRPr="002E4477">
        <w:rPr>
          <w:szCs w:val="28"/>
          <w:lang w:val="es-ES_tradnl"/>
        </w:rPr>
        <w:t xml:space="preserve"> funciones</w:t>
      </w:r>
      <w:r w:rsidR="00890B13" w:rsidRPr="002E4477">
        <w:rPr>
          <w:szCs w:val="28"/>
          <w:lang w:val="es-ES_tradnl"/>
        </w:rPr>
        <w:t>, hasta tanto se configur</w:t>
      </w:r>
      <w:r w:rsidR="00810D0C" w:rsidRPr="002E4477">
        <w:rPr>
          <w:szCs w:val="28"/>
          <w:lang w:val="es-ES_tradnl"/>
        </w:rPr>
        <w:t>ara de manera definitiva</w:t>
      </w:r>
      <w:r w:rsidR="00890B13" w:rsidRPr="002E4477">
        <w:rPr>
          <w:szCs w:val="28"/>
          <w:lang w:val="es-ES_tradnl"/>
        </w:rPr>
        <w:t xml:space="preserve"> la CNDJ.</w:t>
      </w:r>
      <w:r w:rsidR="009D41D8" w:rsidRPr="002E4477">
        <w:rPr>
          <w:szCs w:val="28"/>
          <w:lang w:val="es-ES_tradnl"/>
        </w:rPr>
        <w:t xml:space="preserve"> </w:t>
      </w:r>
      <w:r w:rsidR="009D41D8" w:rsidRPr="002E4477">
        <w:rPr>
          <w:szCs w:val="28"/>
          <w:u w:val="single"/>
          <w:lang w:val="es-ES_tradnl"/>
        </w:rPr>
        <w:t xml:space="preserve"> </w:t>
      </w:r>
    </w:p>
    <w:p w14:paraId="4E3532C0" w14:textId="77777777" w:rsidR="002848B4" w:rsidRPr="002E4477" w:rsidRDefault="002848B4" w:rsidP="00CE0B35">
      <w:pPr>
        <w:pStyle w:val="Prrafodelista"/>
        <w:tabs>
          <w:tab w:val="left" w:pos="567"/>
        </w:tabs>
        <w:ind w:left="0" w:right="49"/>
        <w:contextualSpacing/>
        <w:jc w:val="both"/>
        <w:rPr>
          <w:bCs/>
          <w:szCs w:val="28"/>
        </w:rPr>
      </w:pPr>
    </w:p>
    <w:p w14:paraId="69E8CCF5" w14:textId="77777777" w:rsidR="009D41D8" w:rsidRPr="002E4477" w:rsidRDefault="00DD1F1F" w:rsidP="00962603">
      <w:pPr>
        <w:pStyle w:val="Prrafodelista"/>
        <w:numPr>
          <w:ilvl w:val="0"/>
          <w:numId w:val="10"/>
        </w:numPr>
        <w:tabs>
          <w:tab w:val="left" w:pos="567"/>
        </w:tabs>
        <w:ind w:right="49"/>
        <w:contextualSpacing/>
        <w:jc w:val="both"/>
        <w:rPr>
          <w:bCs/>
          <w:szCs w:val="28"/>
        </w:rPr>
      </w:pPr>
      <w:r w:rsidRPr="002E4477">
        <w:rPr>
          <w:szCs w:val="28"/>
        </w:rPr>
        <w:t>L</w:t>
      </w:r>
      <w:r w:rsidR="009D41D8" w:rsidRPr="002E4477">
        <w:rPr>
          <w:szCs w:val="28"/>
        </w:rPr>
        <w:t xml:space="preserve">a Sala </w:t>
      </w:r>
      <w:r w:rsidR="003E3A47" w:rsidRPr="002E4477">
        <w:rPr>
          <w:szCs w:val="28"/>
        </w:rPr>
        <w:t xml:space="preserve">de Consulta y Servicio Civil </w:t>
      </w:r>
      <w:r w:rsidR="009D41D8" w:rsidRPr="002E4477">
        <w:rPr>
          <w:b/>
          <w:bCs/>
          <w:szCs w:val="28"/>
        </w:rPr>
        <w:t>respondió</w:t>
      </w:r>
      <w:r w:rsidR="00C37216" w:rsidRPr="002E4477">
        <w:rPr>
          <w:b/>
          <w:bCs/>
          <w:szCs w:val="28"/>
        </w:rPr>
        <w:t xml:space="preserve"> </w:t>
      </w:r>
      <w:r w:rsidR="00C37216" w:rsidRPr="002E4477">
        <w:rPr>
          <w:szCs w:val="28"/>
        </w:rPr>
        <w:t xml:space="preserve">a </w:t>
      </w:r>
      <w:r w:rsidR="00890B13" w:rsidRPr="002E4477">
        <w:rPr>
          <w:szCs w:val="28"/>
        </w:rPr>
        <w:t>tales</w:t>
      </w:r>
      <w:r w:rsidR="00FD7672" w:rsidRPr="002E4477">
        <w:rPr>
          <w:szCs w:val="28"/>
        </w:rPr>
        <w:t xml:space="preserve"> inquietudes</w:t>
      </w:r>
      <w:r w:rsidR="00C37216" w:rsidRPr="002E4477">
        <w:rPr>
          <w:b/>
          <w:bCs/>
          <w:szCs w:val="28"/>
        </w:rPr>
        <w:t xml:space="preserve"> </w:t>
      </w:r>
      <w:r w:rsidR="00C37216" w:rsidRPr="002E4477">
        <w:rPr>
          <w:szCs w:val="28"/>
        </w:rPr>
        <w:t>en</w:t>
      </w:r>
      <w:r w:rsidRPr="002E4477">
        <w:rPr>
          <w:szCs w:val="28"/>
        </w:rPr>
        <w:t xml:space="preserve"> el concepto</w:t>
      </w:r>
      <w:r w:rsidR="00FD7672" w:rsidRPr="002E4477">
        <w:rPr>
          <w:szCs w:val="28"/>
        </w:rPr>
        <w:t xml:space="preserve"> </w:t>
      </w:r>
      <w:r w:rsidR="00810D0C" w:rsidRPr="002E4477">
        <w:rPr>
          <w:szCs w:val="28"/>
        </w:rPr>
        <w:t>que se cita</w:t>
      </w:r>
      <w:r w:rsidR="00C37216" w:rsidRPr="002E4477">
        <w:rPr>
          <w:szCs w:val="28"/>
        </w:rPr>
        <w:t>.</w:t>
      </w:r>
      <w:r w:rsidR="00CE0B35" w:rsidRPr="002E4477">
        <w:rPr>
          <w:szCs w:val="28"/>
        </w:rPr>
        <w:t xml:space="preserve"> </w:t>
      </w:r>
      <w:r w:rsidR="00C37216" w:rsidRPr="002E4477">
        <w:rPr>
          <w:szCs w:val="28"/>
        </w:rPr>
        <w:t xml:space="preserve">Sostuvo </w:t>
      </w:r>
      <w:r w:rsidR="009D41D8" w:rsidRPr="002E4477">
        <w:rPr>
          <w:szCs w:val="28"/>
        </w:rPr>
        <w:t xml:space="preserve">que con base </w:t>
      </w:r>
      <w:r w:rsidR="00C37216" w:rsidRPr="002E4477">
        <w:rPr>
          <w:szCs w:val="28"/>
        </w:rPr>
        <w:t>a</w:t>
      </w:r>
      <w:r w:rsidR="009D41D8" w:rsidRPr="002E4477">
        <w:rPr>
          <w:szCs w:val="28"/>
        </w:rPr>
        <w:t xml:space="preserve">l parágrafo transitorio del artículo 257A de la Constitución Política, quienes desempeñen el cargo de </w:t>
      </w:r>
      <w:r w:rsidR="001E122B">
        <w:rPr>
          <w:szCs w:val="28"/>
        </w:rPr>
        <w:t>m</w:t>
      </w:r>
      <w:r w:rsidR="009D41D8" w:rsidRPr="002E4477">
        <w:rPr>
          <w:szCs w:val="28"/>
        </w:rPr>
        <w:t>agistrados de la Sala Jurisdiccional Disciplinaria del Consejo Superior de la Judicatura con posteriorid</w:t>
      </w:r>
      <w:r w:rsidR="00E2041A" w:rsidRPr="002E4477">
        <w:rPr>
          <w:szCs w:val="28"/>
        </w:rPr>
        <w:t>ad al 1º de julio de 2015, pod</w:t>
      </w:r>
      <w:r w:rsidR="00803A12" w:rsidRPr="002E4477">
        <w:rPr>
          <w:szCs w:val="28"/>
        </w:rPr>
        <w:t>r</w:t>
      </w:r>
      <w:r w:rsidR="0029342F" w:rsidRPr="002E4477">
        <w:rPr>
          <w:szCs w:val="28"/>
        </w:rPr>
        <w:t>í</w:t>
      </w:r>
      <w:r w:rsidR="001F5220" w:rsidRPr="002E4477">
        <w:rPr>
          <w:szCs w:val="28"/>
        </w:rPr>
        <w:t>a</w:t>
      </w:r>
      <w:r w:rsidR="00E2041A" w:rsidRPr="002E4477">
        <w:rPr>
          <w:szCs w:val="28"/>
        </w:rPr>
        <w:t>n seguir ejerciendo</w:t>
      </w:r>
      <w:r w:rsidR="009D41D8" w:rsidRPr="002E4477">
        <w:rPr>
          <w:szCs w:val="28"/>
        </w:rPr>
        <w:t xml:space="preserve"> sus funciones “</w:t>
      </w:r>
      <w:r w:rsidR="009D41D8" w:rsidRPr="002E4477">
        <w:rPr>
          <w:i/>
          <w:iCs/>
          <w:szCs w:val="28"/>
        </w:rPr>
        <w:t xml:space="preserve">hasta el día </w:t>
      </w:r>
      <w:r w:rsidR="00694263" w:rsidRPr="002E4477">
        <w:rPr>
          <w:i/>
          <w:iCs/>
          <w:szCs w:val="28"/>
        </w:rPr>
        <w:t xml:space="preserve">en </w:t>
      </w:r>
      <w:r w:rsidR="009D41D8" w:rsidRPr="002E4477">
        <w:rPr>
          <w:i/>
          <w:iCs/>
          <w:szCs w:val="28"/>
        </w:rPr>
        <w:t>que se posesionen los miembros de la C</w:t>
      </w:r>
      <w:r w:rsidR="00E2041A" w:rsidRPr="002E4477">
        <w:rPr>
          <w:i/>
          <w:iCs/>
          <w:szCs w:val="28"/>
        </w:rPr>
        <w:t>NDJ</w:t>
      </w:r>
      <w:r w:rsidR="009D41D8" w:rsidRPr="002E4477">
        <w:rPr>
          <w:i/>
          <w:iCs/>
          <w:szCs w:val="28"/>
        </w:rPr>
        <w:t>, sin perjuicio de las causales de retiro del servicio establecidas en el artículo 149 de la Ley 270 de 1996</w:t>
      </w:r>
      <w:r w:rsidR="001E66D5" w:rsidRPr="002E4477">
        <w:rPr>
          <w:szCs w:val="28"/>
        </w:rPr>
        <w:t>”</w:t>
      </w:r>
      <w:r w:rsidR="009D41D8" w:rsidRPr="002E4477">
        <w:rPr>
          <w:szCs w:val="28"/>
        </w:rPr>
        <w:t>.</w:t>
      </w:r>
      <w:r w:rsidR="00AA6F20" w:rsidRPr="002E4477">
        <w:rPr>
          <w:rFonts w:eastAsia="Dotum"/>
          <w:szCs w:val="28"/>
        </w:rPr>
        <w:t xml:space="preserve"> Lo anterior, </w:t>
      </w:r>
      <w:r w:rsidR="001F5220" w:rsidRPr="002E4477">
        <w:rPr>
          <w:rFonts w:eastAsia="Dotum"/>
          <w:szCs w:val="28"/>
        </w:rPr>
        <w:t>en consideración</w:t>
      </w:r>
      <w:r w:rsidR="00810D0C" w:rsidRPr="002E4477">
        <w:rPr>
          <w:rFonts w:eastAsia="Dotum"/>
          <w:szCs w:val="28"/>
        </w:rPr>
        <w:t xml:space="preserve"> no s</w:t>
      </w:r>
      <w:r w:rsidR="00C80E03">
        <w:rPr>
          <w:rFonts w:eastAsia="Dotum"/>
          <w:szCs w:val="28"/>
        </w:rPr>
        <w:t>o</w:t>
      </w:r>
      <w:r w:rsidR="00810D0C" w:rsidRPr="002E4477">
        <w:rPr>
          <w:rFonts w:eastAsia="Dotum"/>
          <w:szCs w:val="28"/>
        </w:rPr>
        <w:t>l</w:t>
      </w:r>
      <w:r w:rsidR="00C80E03">
        <w:rPr>
          <w:rFonts w:eastAsia="Dotum"/>
          <w:szCs w:val="28"/>
        </w:rPr>
        <w:t>amente</w:t>
      </w:r>
      <w:r w:rsidR="00810D0C" w:rsidRPr="002E4477">
        <w:rPr>
          <w:rFonts w:eastAsia="Dotum"/>
          <w:szCs w:val="28"/>
        </w:rPr>
        <w:t xml:space="preserve"> </w:t>
      </w:r>
      <w:r w:rsidR="00B01E53" w:rsidRPr="002E4477">
        <w:rPr>
          <w:rFonts w:eastAsia="Dotum"/>
          <w:szCs w:val="28"/>
        </w:rPr>
        <w:t>al parágrafo del artículo 257A de la Constitución</w:t>
      </w:r>
      <w:r w:rsidR="00B01E53" w:rsidRPr="002E4477">
        <w:rPr>
          <w:rStyle w:val="Refdenotaalpie"/>
          <w:rFonts w:eastAsia="Dotum"/>
          <w:szCs w:val="28"/>
        </w:rPr>
        <w:footnoteReference w:id="289"/>
      </w:r>
      <w:r w:rsidR="00810D0C" w:rsidRPr="002E4477">
        <w:rPr>
          <w:rFonts w:eastAsia="Dotum"/>
          <w:szCs w:val="28"/>
        </w:rPr>
        <w:t>, sino</w:t>
      </w:r>
      <w:r w:rsidR="001F5220" w:rsidRPr="002E4477">
        <w:rPr>
          <w:rFonts w:eastAsia="Dotum"/>
          <w:szCs w:val="28"/>
        </w:rPr>
        <w:t xml:space="preserve"> </w:t>
      </w:r>
      <w:r w:rsidR="00810D0C" w:rsidRPr="002E4477">
        <w:rPr>
          <w:rFonts w:eastAsia="Dotum"/>
          <w:szCs w:val="28"/>
        </w:rPr>
        <w:t xml:space="preserve">al </w:t>
      </w:r>
      <w:r w:rsidR="00AA6F20" w:rsidRPr="002E4477">
        <w:rPr>
          <w:b/>
          <w:szCs w:val="28"/>
        </w:rPr>
        <w:t>Auto 278 de 2015</w:t>
      </w:r>
      <w:r w:rsidR="00AA6F20" w:rsidRPr="002E4477">
        <w:rPr>
          <w:rStyle w:val="Refdenotaalpie"/>
          <w:bCs/>
          <w:szCs w:val="28"/>
        </w:rPr>
        <w:footnoteReference w:id="290"/>
      </w:r>
      <w:r w:rsidR="00810D0C" w:rsidRPr="002E4477">
        <w:rPr>
          <w:bCs/>
          <w:szCs w:val="28"/>
        </w:rPr>
        <w:t xml:space="preserve"> de</w:t>
      </w:r>
      <w:r w:rsidR="00B01E53" w:rsidRPr="002E4477">
        <w:rPr>
          <w:bCs/>
          <w:szCs w:val="28"/>
        </w:rPr>
        <w:t xml:space="preserve"> la Corte Constitucional</w:t>
      </w:r>
      <w:r w:rsidR="00810D0C" w:rsidRPr="002E4477">
        <w:rPr>
          <w:bCs/>
          <w:szCs w:val="28"/>
        </w:rPr>
        <w:t>,</w:t>
      </w:r>
      <w:r w:rsidR="00AA6F20" w:rsidRPr="002E4477">
        <w:rPr>
          <w:bCs/>
          <w:szCs w:val="28"/>
        </w:rPr>
        <w:t xml:space="preserve"> que </w:t>
      </w:r>
      <w:r w:rsidR="00694263" w:rsidRPr="002E4477">
        <w:rPr>
          <w:bCs/>
          <w:szCs w:val="28"/>
        </w:rPr>
        <w:t>al resolver un</w:t>
      </w:r>
      <w:r w:rsidR="00AA6F20" w:rsidRPr="002E4477">
        <w:rPr>
          <w:bCs/>
          <w:szCs w:val="28"/>
        </w:rPr>
        <w:t xml:space="preserve"> conflicto de competencias entre jurisdicciones</w:t>
      </w:r>
      <w:r w:rsidR="007357A9" w:rsidRPr="002E4477">
        <w:rPr>
          <w:bCs/>
          <w:szCs w:val="28"/>
        </w:rPr>
        <w:t>,</w:t>
      </w:r>
      <w:r w:rsidR="00694263" w:rsidRPr="002E4477">
        <w:rPr>
          <w:bCs/>
          <w:szCs w:val="28"/>
        </w:rPr>
        <w:t xml:space="preserve"> </w:t>
      </w:r>
      <w:r w:rsidR="007357A9" w:rsidRPr="002E4477">
        <w:rPr>
          <w:bCs/>
          <w:szCs w:val="28"/>
        </w:rPr>
        <w:t xml:space="preserve">coincidió </w:t>
      </w:r>
      <w:r w:rsidR="005E4A3A" w:rsidRPr="002E4477">
        <w:rPr>
          <w:bCs/>
          <w:szCs w:val="28"/>
        </w:rPr>
        <w:t xml:space="preserve">con </w:t>
      </w:r>
      <w:r w:rsidR="00810D0C" w:rsidRPr="002E4477">
        <w:rPr>
          <w:bCs/>
          <w:szCs w:val="28"/>
        </w:rPr>
        <w:t>es</w:t>
      </w:r>
      <w:r w:rsidR="002848B4" w:rsidRPr="002E4477">
        <w:rPr>
          <w:bCs/>
          <w:szCs w:val="28"/>
        </w:rPr>
        <w:t>t</w:t>
      </w:r>
      <w:r w:rsidR="00810D0C" w:rsidRPr="002E4477">
        <w:rPr>
          <w:bCs/>
          <w:szCs w:val="28"/>
        </w:rPr>
        <w:t>a</w:t>
      </w:r>
      <w:r w:rsidR="00E22E5B" w:rsidRPr="002E4477">
        <w:rPr>
          <w:bCs/>
          <w:szCs w:val="28"/>
        </w:rPr>
        <w:t xml:space="preserve"> </w:t>
      </w:r>
      <w:r w:rsidR="00B01E53" w:rsidRPr="002E4477">
        <w:rPr>
          <w:bCs/>
          <w:szCs w:val="28"/>
        </w:rPr>
        <w:t>interpretación de</w:t>
      </w:r>
      <w:r w:rsidR="0091484C" w:rsidRPr="002E4477">
        <w:rPr>
          <w:bCs/>
          <w:szCs w:val="28"/>
        </w:rPr>
        <w:t>l</w:t>
      </w:r>
      <w:r w:rsidR="00B01E53" w:rsidRPr="002E4477">
        <w:rPr>
          <w:bCs/>
          <w:szCs w:val="28"/>
        </w:rPr>
        <w:t xml:space="preserve"> texto </w:t>
      </w:r>
      <w:r w:rsidR="002848B4" w:rsidRPr="002E4477">
        <w:rPr>
          <w:bCs/>
          <w:szCs w:val="28"/>
        </w:rPr>
        <w:t xml:space="preserve">superior </w:t>
      </w:r>
      <w:r w:rsidR="00B01E53" w:rsidRPr="002E4477">
        <w:rPr>
          <w:bCs/>
          <w:szCs w:val="28"/>
        </w:rPr>
        <w:t xml:space="preserve">y con la </w:t>
      </w:r>
      <w:r w:rsidR="007357A9" w:rsidRPr="002E4477">
        <w:rPr>
          <w:bCs/>
          <w:szCs w:val="28"/>
        </w:rPr>
        <w:t>apreciaci</w:t>
      </w:r>
      <w:r w:rsidR="00F23A59" w:rsidRPr="002E4477">
        <w:rPr>
          <w:bCs/>
          <w:szCs w:val="28"/>
        </w:rPr>
        <w:t>ón</w:t>
      </w:r>
      <w:r w:rsidR="00E50AF9" w:rsidRPr="002E4477">
        <w:rPr>
          <w:bCs/>
          <w:szCs w:val="28"/>
        </w:rPr>
        <w:t xml:space="preserve"> re</w:t>
      </w:r>
      <w:r w:rsidR="00E170EE" w:rsidRPr="002E4477">
        <w:rPr>
          <w:bCs/>
          <w:szCs w:val="28"/>
        </w:rPr>
        <w:t xml:space="preserve">lacionada </w:t>
      </w:r>
      <w:r w:rsidR="004A506D" w:rsidRPr="002E4477">
        <w:rPr>
          <w:bCs/>
          <w:szCs w:val="28"/>
        </w:rPr>
        <w:t>con la</w:t>
      </w:r>
      <w:r w:rsidR="00E50AF9" w:rsidRPr="002E4477">
        <w:rPr>
          <w:bCs/>
          <w:szCs w:val="28"/>
        </w:rPr>
        <w:t xml:space="preserve"> </w:t>
      </w:r>
      <w:r w:rsidR="0029342F" w:rsidRPr="002E4477">
        <w:rPr>
          <w:bCs/>
          <w:szCs w:val="28"/>
        </w:rPr>
        <w:t>continuidad transitoria de las funciones de la Sala Jurisdiccional Disciplinaria</w:t>
      </w:r>
      <w:r w:rsidR="004A506D" w:rsidRPr="002E4477">
        <w:rPr>
          <w:bCs/>
          <w:szCs w:val="28"/>
        </w:rPr>
        <w:t>,</w:t>
      </w:r>
      <w:r w:rsidR="004A506D" w:rsidRPr="002E4477">
        <w:rPr>
          <w:lang w:val="es-CO"/>
        </w:rPr>
        <w:t xml:space="preserve"> hasta tanto puedan entrar en funcionamiento los nuevos cuerpos disciplinarios, en particular la Comisión Nacional de Disciplina Judicial</w:t>
      </w:r>
      <w:r w:rsidR="0029342F" w:rsidRPr="002E4477">
        <w:rPr>
          <w:bCs/>
          <w:szCs w:val="28"/>
        </w:rPr>
        <w:t>.</w:t>
      </w:r>
      <w:r w:rsidR="00E50AF9" w:rsidRPr="002E4477">
        <w:rPr>
          <w:bCs/>
          <w:szCs w:val="28"/>
        </w:rPr>
        <w:t xml:space="preserve"> </w:t>
      </w:r>
    </w:p>
    <w:p w14:paraId="230BD1B6" w14:textId="77777777" w:rsidR="00E2041A" w:rsidRPr="002E4477" w:rsidRDefault="00E2041A" w:rsidP="00E2041A">
      <w:pPr>
        <w:pStyle w:val="Prrafodelista"/>
        <w:tabs>
          <w:tab w:val="left" w:pos="567"/>
        </w:tabs>
        <w:ind w:left="0" w:right="49"/>
        <w:contextualSpacing/>
        <w:jc w:val="both"/>
        <w:rPr>
          <w:bCs/>
          <w:szCs w:val="28"/>
        </w:rPr>
      </w:pPr>
    </w:p>
    <w:p w14:paraId="1778EC84" w14:textId="77777777" w:rsidR="00B01E53" w:rsidRPr="002E4477" w:rsidRDefault="00B01E53" w:rsidP="002848B4">
      <w:pPr>
        <w:pStyle w:val="Prrafodelista"/>
        <w:tabs>
          <w:tab w:val="left" w:pos="567"/>
        </w:tabs>
        <w:ind w:left="0"/>
        <w:contextualSpacing/>
        <w:jc w:val="both"/>
        <w:rPr>
          <w:rFonts w:eastAsia="Dotum"/>
          <w:i/>
          <w:iCs/>
          <w:szCs w:val="28"/>
        </w:rPr>
      </w:pPr>
      <w:r w:rsidRPr="002E4477">
        <w:rPr>
          <w:rFonts w:eastAsia="Dotum"/>
          <w:szCs w:val="28"/>
        </w:rPr>
        <w:t>En efecto, a juicio de la Sala de Consulta</w:t>
      </w:r>
      <w:r w:rsidR="002848B4" w:rsidRPr="002E4477">
        <w:rPr>
          <w:rFonts w:eastAsia="Dotum"/>
          <w:szCs w:val="28"/>
        </w:rPr>
        <w:t>,</w:t>
      </w:r>
      <w:r w:rsidRPr="002E4477">
        <w:rPr>
          <w:rFonts w:eastAsia="Dotum"/>
          <w:i/>
          <w:iCs/>
          <w:szCs w:val="28"/>
        </w:rPr>
        <w:t>“[</w:t>
      </w:r>
      <w:r w:rsidR="002848B4" w:rsidRPr="002E4477">
        <w:rPr>
          <w:rFonts w:eastAsia="Dotum"/>
          <w:i/>
          <w:iCs/>
          <w:szCs w:val="28"/>
        </w:rPr>
        <w:t>e</w:t>
      </w:r>
      <w:r w:rsidRPr="002E4477">
        <w:rPr>
          <w:rFonts w:eastAsia="Dotum"/>
          <w:i/>
          <w:iCs/>
          <w:szCs w:val="28"/>
        </w:rPr>
        <w:t>l] parágrafo de[bía] ser interpretado siguiendo un punto de vista orgánico, tal como lo hizo la Corte Constitucional, en el Auto 278 de 2015, citado en los antecedentes de la consulta: [</w:t>
      </w:r>
      <w:r w:rsidR="00E170EE" w:rsidRPr="002E4477">
        <w:rPr>
          <w:rFonts w:eastAsia="Dotum"/>
          <w:i/>
          <w:iCs/>
          <w:szCs w:val="28"/>
        </w:rPr>
        <w:t>Esto es, reconociendo que</w:t>
      </w:r>
      <w:r w:rsidRPr="002E4477">
        <w:rPr>
          <w:rFonts w:eastAsia="Dotum"/>
          <w:i/>
          <w:iCs/>
          <w:szCs w:val="28"/>
        </w:rPr>
        <w:t>] “la Sala Jurisdiccional Disciplinaria… se encuentra plenamente habilitada para ejercer, no solo la función jurisdiccional disciplinaria, sino también, para dirimir los conflictos de competencia que surjan entre las distintas jurisdicciones y para conocer de acciones de tutela.”</w:t>
      </w:r>
      <w:r w:rsidRPr="002E4477">
        <w:rPr>
          <w:rStyle w:val="Refdenotaalpie"/>
          <w:rFonts w:eastAsia="Dotum"/>
          <w:i/>
          <w:iCs/>
          <w:szCs w:val="28"/>
        </w:rPr>
        <w:footnoteReference w:id="291"/>
      </w:r>
      <w:r w:rsidRPr="002E4477">
        <w:rPr>
          <w:rFonts w:eastAsia="Dotum"/>
          <w:i/>
          <w:iCs/>
          <w:szCs w:val="28"/>
        </w:rPr>
        <w:t xml:space="preserve"> </w:t>
      </w:r>
    </w:p>
    <w:p w14:paraId="15163CAD" w14:textId="77777777" w:rsidR="00B01E53" w:rsidRPr="002E4477" w:rsidRDefault="00B01E53" w:rsidP="00B01E53">
      <w:pPr>
        <w:ind w:left="567" w:right="142"/>
        <w:jc w:val="both"/>
        <w:rPr>
          <w:rFonts w:eastAsia="Dotum"/>
          <w:i/>
          <w:iCs/>
          <w:sz w:val="24"/>
          <w:szCs w:val="24"/>
        </w:rPr>
      </w:pPr>
    </w:p>
    <w:p w14:paraId="11227F95" w14:textId="77777777" w:rsidR="00B01E53" w:rsidRPr="002E4477" w:rsidRDefault="002848B4" w:rsidP="00B01E53">
      <w:pPr>
        <w:pStyle w:val="Prrafodelista"/>
        <w:tabs>
          <w:tab w:val="left" w:pos="567"/>
        </w:tabs>
        <w:ind w:left="0" w:right="49"/>
        <w:contextualSpacing/>
        <w:jc w:val="both"/>
        <w:rPr>
          <w:rFonts w:eastAsia="Dotum"/>
          <w:szCs w:val="28"/>
        </w:rPr>
      </w:pPr>
      <w:r w:rsidRPr="002E4477">
        <w:rPr>
          <w:rFonts w:eastAsia="Dotum"/>
          <w:szCs w:val="28"/>
        </w:rPr>
        <w:t xml:space="preserve">Para precisar esta conclusión, la Sala de Consulta revisó además, </w:t>
      </w:r>
      <w:r w:rsidR="00B01E53" w:rsidRPr="002E4477">
        <w:rPr>
          <w:rFonts w:eastAsia="Dotum"/>
          <w:szCs w:val="28"/>
        </w:rPr>
        <w:t xml:space="preserve">varias de las principales decisiones de constitucionalidad expedidas por esta Corte sobre el tema, </w:t>
      </w:r>
      <w:r w:rsidRPr="002E4477">
        <w:rPr>
          <w:rFonts w:eastAsia="Dotum"/>
          <w:szCs w:val="28"/>
        </w:rPr>
        <w:t xml:space="preserve">y acogió los fundamentos de la </w:t>
      </w:r>
      <w:r w:rsidR="00B01E53" w:rsidRPr="002E4477">
        <w:rPr>
          <w:rFonts w:eastAsia="Dotum"/>
          <w:b/>
          <w:bCs/>
          <w:szCs w:val="28"/>
        </w:rPr>
        <w:t>Sentencia C-373 de 2016</w:t>
      </w:r>
      <w:r w:rsidR="00B01E53" w:rsidRPr="002E4477">
        <w:rPr>
          <w:rStyle w:val="Refdenotaalpie"/>
          <w:rFonts w:eastAsia="Dotum"/>
          <w:szCs w:val="28"/>
        </w:rPr>
        <w:footnoteReference w:id="292"/>
      </w:r>
      <w:r w:rsidR="00B01E53" w:rsidRPr="002E4477">
        <w:rPr>
          <w:rFonts w:eastAsia="Dotum"/>
          <w:szCs w:val="28"/>
        </w:rPr>
        <w:t xml:space="preserve">, </w:t>
      </w:r>
      <w:r w:rsidRPr="002E4477">
        <w:rPr>
          <w:rFonts w:eastAsia="Dotum"/>
          <w:szCs w:val="28"/>
        </w:rPr>
        <w:t xml:space="preserve">que </w:t>
      </w:r>
      <w:r w:rsidR="00B01E53" w:rsidRPr="002E4477">
        <w:rPr>
          <w:rFonts w:eastAsia="Dotum"/>
          <w:szCs w:val="28"/>
        </w:rPr>
        <w:t>recordó que la función disciplinaria relacionada con los funcionarios y empleados de la Rama Judicial y con la conducta de los abogados en el ejercicio de su profesión, tenía garantizada su continuidad por el constituyente</w:t>
      </w:r>
      <w:r w:rsidRPr="002E4477">
        <w:rPr>
          <w:rFonts w:eastAsia="Dotum"/>
          <w:szCs w:val="28"/>
        </w:rPr>
        <w:t xml:space="preserve">, en el artículo </w:t>
      </w:r>
      <w:r w:rsidR="00E170EE" w:rsidRPr="002E4477">
        <w:rPr>
          <w:rFonts w:eastAsia="Dotum"/>
          <w:szCs w:val="28"/>
        </w:rPr>
        <w:t xml:space="preserve">superior en </w:t>
      </w:r>
      <w:r w:rsidRPr="002E4477">
        <w:rPr>
          <w:rFonts w:eastAsia="Dotum"/>
          <w:szCs w:val="28"/>
        </w:rPr>
        <w:t>menci</w:t>
      </w:r>
      <w:r w:rsidR="00E170EE" w:rsidRPr="002E4477">
        <w:rPr>
          <w:rFonts w:eastAsia="Dotum"/>
          <w:szCs w:val="28"/>
        </w:rPr>
        <w:t>ón</w:t>
      </w:r>
      <w:r w:rsidR="00B01E53" w:rsidRPr="002E4477">
        <w:rPr>
          <w:rStyle w:val="Refdenotaalpie"/>
          <w:rFonts w:eastAsia="Dotum"/>
          <w:szCs w:val="28"/>
        </w:rPr>
        <w:footnoteReference w:id="293"/>
      </w:r>
      <w:r w:rsidR="00B01E53" w:rsidRPr="002E4477">
        <w:rPr>
          <w:rFonts w:eastAsia="Dotum"/>
          <w:szCs w:val="28"/>
        </w:rPr>
        <w:t xml:space="preserve">. </w:t>
      </w:r>
    </w:p>
    <w:p w14:paraId="73853C96" w14:textId="77777777" w:rsidR="00B01E53" w:rsidRPr="002E4477" w:rsidRDefault="00B01E53" w:rsidP="00B01E53">
      <w:pPr>
        <w:pStyle w:val="Prrafodelista"/>
        <w:tabs>
          <w:tab w:val="left" w:pos="567"/>
        </w:tabs>
        <w:ind w:left="0" w:right="49"/>
        <w:contextualSpacing/>
        <w:jc w:val="both"/>
        <w:rPr>
          <w:rFonts w:eastAsia="Dotum"/>
          <w:szCs w:val="28"/>
        </w:rPr>
      </w:pPr>
    </w:p>
    <w:p w14:paraId="59722EF1" w14:textId="77777777" w:rsidR="00B01E53" w:rsidRPr="002E4477" w:rsidRDefault="002848B4" w:rsidP="00B01E53">
      <w:pPr>
        <w:pStyle w:val="Prrafodelista"/>
        <w:tabs>
          <w:tab w:val="left" w:pos="567"/>
        </w:tabs>
        <w:ind w:left="0" w:right="49"/>
        <w:contextualSpacing/>
        <w:jc w:val="both"/>
        <w:rPr>
          <w:rFonts w:eastAsia="Dotum"/>
          <w:szCs w:val="28"/>
        </w:rPr>
      </w:pPr>
      <w:r w:rsidRPr="002E4477">
        <w:rPr>
          <w:rFonts w:eastAsia="Dotum"/>
          <w:szCs w:val="28"/>
        </w:rPr>
        <w:t xml:space="preserve">De allí que </w:t>
      </w:r>
      <w:r w:rsidR="004A506D" w:rsidRPr="002E4477">
        <w:rPr>
          <w:rFonts w:eastAsia="Dotum"/>
          <w:szCs w:val="28"/>
        </w:rPr>
        <w:t>para</w:t>
      </w:r>
      <w:r w:rsidR="00B01E53" w:rsidRPr="002E4477">
        <w:rPr>
          <w:rFonts w:eastAsia="Dotum"/>
          <w:szCs w:val="28"/>
        </w:rPr>
        <w:t xml:space="preserve"> </w:t>
      </w:r>
      <w:r w:rsidR="00E170EE" w:rsidRPr="002E4477">
        <w:rPr>
          <w:rFonts w:eastAsia="Dotum"/>
          <w:szCs w:val="28"/>
        </w:rPr>
        <w:t>la Sala de Consulta</w:t>
      </w:r>
      <w:r w:rsidR="00B01E53" w:rsidRPr="002E4477">
        <w:rPr>
          <w:rFonts w:eastAsia="Dotum"/>
          <w:szCs w:val="28"/>
        </w:rPr>
        <w:t xml:space="preserve">, el correcto acatamiento de la voluntad del constituyente implicaba considerar como esencial, </w:t>
      </w:r>
      <w:r w:rsidRPr="002E4477">
        <w:rPr>
          <w:rFonts w:eastAsia="Dotum"/>
          <w:szCs w:val="28"/>
        </w:rPr>
        <w:t xml:space="preserve">la continuidad en el cumplimiento de </w:t>
      </w:r>
      <w:r w:rsidR="00E170EE" w:rsidRPr="002E4477">
        <w:rPr>
          <w:rFonts w:eastAsia="Dotum"/>
          <w:szCs w:val="28"/>
        </w:rPr>
        <w:t>las</w:t>
      </w:r>
      <w:r w:rsidR="00B01E53" w:rsidRPr="002E4477">
        <w:rPr>
          <w:rFonts w:eastAsia="Dotum"/>
          <w:szCs w:val="28"/>
        </w:rPr>
        <w:t xml:space="preserve"> funciones</w:t>
      </w:r>
      <w:r w:rsidR="00E170EE" w:rsidRPr="002E4477">
        <w:rPr>
          <w:rFonts w:eastAsia="Dotum"/>
          <w:szCs w:val="28"/>
        </w:rPr>
        <w:t xml:space="preserve"> asignadas a esa entidad</w:t>
      </w:r>
      <w:r w:rsidR="00B01E53" w:rsidRPr="002E4477">
        <w:rPr>
          <w:rFonts w:eastAsia="Dotum"/>
          <w:szCs w:val="28"/>
        </w:rPr>
        <w:t xml:space="preserve"> y la definición paralela de la situación constitucional. Y en ese sentido, llamó la atención sobre </w:t>
      </w:r>
      <w:r w:rsidR="00B01E53" w:rsidRPr="002E4477">
        <w:rPr>
          <w:rFonts w:eastAsia="Dotum"/>
          <w:i/>
          <w:iCs/>
          <w:szCs w:val="28"/>
        </w:rPr>
        <w:t>“la imperiosa necesidad de proveer, a efectos de impedir que la prolongación de la actual situación de interinidad e indefinición [diera] como resultado, la afectación de la mencionada función</w:t>
      </w:r>
      <w:r w:rsidR="00B01E53" w:rsidRPr="002E4477">
        <w:rPr>
          <w:rFonts w:eastAsia="Dotum"/>
          <w:szCs w:val="28"/>
        </w:rPr>
        <w:t>”</w:t>
      </w:r>
      <w:r w:rsidR="00B01E53" w:rsidRPr="002E4477">
        <w:rPr>
          <w:rStyle w:val="Refdenotaalpie"/>
          <w:rFonts w:eastAsia="Dotum"/>
          <w:szCs w:val="28"/>
        </w:rPr>
        <w:footnoteReference w:id="294"/>
      </w:r>
      <w:r w:rsidR="00E170EE" w:rsidRPr="002E4477">
        <w:rPr>
          <w:rFonts w:eastAsia="Dotum"/>
          <w:szCs w:val="28"/>
        </w:rPr>
        <w:t xml:space="preserve">. Una situación que habilitaba </w:t>
      </w:r>
      <w:r w:rsidR="00E170EE" w:rsidRPr="005C1C63">
        <w:rPr>
          <w:rFonts w:eastAsia="Dotum"/>
          <w:szCs w:val="28"/>
        </w:rPr>
        <w:t xml:space="preserve">transitoriamente la </w:t>
      </w:r>
      <w:r w:rsidR="00B01E53" w:rsidRPr="005C1C63">
        <w:rPr>
          <w:rFonts w:eastAsia="Dotum"/>
          <w:szCs w:val="28"/>
        </w:rPr>
        <w:t xml:space="preserve">existencia de la Sala Jurisdiccional Disciplinaria </w:t>
      </w:r>
      <w:r w:rsidR="00E170EE" w:rsidRPr="005C1C63">
        <w:rPr>
          <w:rFonts w:eastAsia="Dotum"/>
          <w:szCs w:val="28"/>
        </w:rPr>
        <w:t xml:space="preserve">de una manera </w:t>
      </w:r>
      <w:r w:rsidR="00B01E53" w:rsidRPr="005C1C63">
        <w:rPr>
          <w:rFonts w:eastAsia="Dotum"/>
          <w:szCs w:val="28"/>
        </w:rPr>
        <w:t>funcional, para no incurrir en el cese de las atribuciones</w:t>
      </w:r>
      <w:r w:rsidR="00193CC4" w:rsidRPr="005C1C63">
        <w:rPr>
          <w:rFonts w:eastAsia="Dotum"/>
          <w:szCs w:val="28"/>
        </w:rPr>
        <w:t xml:space="preserve"> superiores</w:t>
      </w:r>
      <w:r w:rsidR="00B01E53" w:rsidRPr="005C1C63">
        <w:rPr>
          <w:rFonts w:eastAsia="Dotum"/>
          <w:szCs w:val="28"/>
        </w:rPr>
        <w:t xml:space="preserve"> correspondientes, a pesar de no ser actualmente el órgano constitucional consagrado para tales efectos por el constituyente </w:t>
      </w:r>
      <w:r w:rsidR="004144A3" w:rsidRPr="005C1C63">
        <w:rPr>
          <w:rFonts w:eastAsia="Dotum"/>
          <w:szCs w:val="28"/>
        </w:rPr>
        <w:t>y de haber desaparecido del</w:t>
      </w:r>
      <w:r w:rsidR="004144A3" w:rsidRPr="002E4477">
        <w:rPr>
          <w:rFonts w:eastAsia="Dotum"/>
          <w:szCs w:val="28"/>
        </w:rPr>
        <w:t xml:space="preserve"> ordenamiento constitucional.</w:t>
      </w:r>
    </w:p>
    <w:p w14:paraId="0C7FB57C" w14:textId="77777777" w:rsidR="00B01E53" w:rsidRPr="002E4477" w:rsidRDefault="00B01E53" w:rsidP="00E2041A">
      <w:pPr>
        <w:pStyle w:val="Prrafodelista"/>
        <w:tabs>
          <w:tab w:val="left" w:pos="567"/>
        </w:tabs>
        <w:ind w:left="0" w:right="49"/>
        <w:contextualSpacing/>
        <w:jc w:val="both"/>
        <w:rPr>
          <w:bCs/>
          <w:szCs w:val="28"/>
        </w:rPr>
      </w:pPr>
    </w:p>
    <w:p w14:paraId="1A621909" w14:textId="77777777" w:rsidR="009D41D8" w:rsidRPr="002E4477" w:rsidRDefault="00E170EE" w:rsidP="00E2041A">
      <w:pPr>
        <w:pStyle w:val="Prrafodelista"/>
        <w:tabs>
          <w:tab w:val="left" w:pos="567"/>
        </w:tabs>
        <w:ind w:left="0" w:right="49"/>
        <w:contextualSpacing/>
        <w:jc w:val="both"/>
        <w:rPr>
          <w:bCs/>
          <w:szCs w:val="28"/>
        </w:rPr>
      </w:pPr>
      <w:r w:rsidRPr="002E4477">
        <w:rPr>
          <w:bCs/>
          <w:szCs w:val="28"/>
        </w:rPr>
        <w:t xml:space="preserve">Por ende, </w:t>
      </w:r>
      <w:r w:rsidR="00DC7B5F" w:rsidRPr="002E4477">
        <w:rPr>
          <w:bCs/>
          <w:szCs w:val="28"/>
        </w:rPr>
        <w:t xml:space="preserve">la </w:t>
      </w:r>
      <w:r w:rsidR="00DC7B5F" w:rsidRPr="002E4477">
        <w:rPr>
          <w:szCs w:val="28"/>
        </w:rPr>
        <w:t xml:space="preserve">Sala de Consulta </w:t>
      </w:r>
      <w:r w:rsidR="0029342F" w:rsidRPr="002E4477">
        <w:rPr>
          <w:szCs w:val="28"/>
        </w:rPr>
        <w:t xml:space="preserve">y Servicio Civil </w:t>
      </w:r>
      <w:r w:rsidR="0029342F" w:rsidRPr="002E4477">
        <w:rPr>
          <w:bCs/>
          <w:szCs w:val="28"/>
        </w:rPr>
        <w:t>tomó la determinación</w:t>
      </w:r>
      <w:r w:rsidR="00B01E53" w:rsidRPr="002E4477">
        <w:rPr>
          <w:bCs/>
          <w:szCs w:val="28"/>
        </w:rPr>
        <w:t xml:space="preserve"> de</w:t>
      </w:r>
      <w:r w:rsidR="0029342F" w:rsidRPr="002E4477">
        <w:rPr>
          <w:bCs/>
          <w:szCs w:val="28"/>
        </w:rPr>
        <w:t xml:space="preserve"> indicar</w:t>
      </w:r>
      <w:r w:rsidR="00B01E53" w:rsidRPr="002E4477">
        <w:rPr>
          <w:bCs/>
          <w:szCs w:val="28"/>
        </w:rPr>
        <w:t>,</w:t>
      </w:r>
      <w:r w:rsidR="004144A3" w:rsidRPr="002E4477">
        <w:rPr>
          <w:bCs/>
          <w:szCs w:val="28"/>
        </w:rPr>
        <w:t xml:space="preserve"> </w:t>
      </w:r>
      <w:r w:rsidR="00E2041A" w:rsidRPr="002E4477">
        <w:rPr>
          <w:bCs/>
          <w:szCs w:val="28"/>
        </w:rPr>
        <w:t xml:space="preserve">como parte de la transición prevista por el A.L. 02 de 2015, </w:t>
      </w:r>
      <w:r w:rsidR="004144A3" w:rsidRPr="002E4477">
        <w:rPr>
          <w:bCs/>
          <w:szCs w:val="28"/>
        </w:rPr>
        <w:t xml:space="preserve">que </w:t>
      </w:r>
      <w:r w:rsidR="00E2041A" w:rsidRPr="002E4477">
        <w:rPr>
          <w:bCs/>
          <w:szCs w:val="28"/>
        </w:rPr>
        <w:t xml:space="preserve">los </w:t>
      </w:r>
      <w:r w:rsidR="009D41D8" w:rsidRPr="002E4477">
        <w:rPr>
          <w:rFonts w:eastAsia="Dotum"/>
          <w:szCs w:val="28"/>
        </w:rPr>
        <w:t xml:space="preserve">entonces magistrados </w:t>
      </w:r>
      <w:r w:rsidR="008E07B5" w:rsidRPr="002E4477">
        <w:rPr>
          <w:rFonts w:eastAsia="Dotum"/>
          <w:szCs w:val="28"/>
        </w:rPr>
        <w:t xml:space="preserve">deberían </w:t>
      </w:r>
      <w:r w:rsidR="009D41D8" w:rsidRPr="002E4477">
        <w:rPr>
          <w:rFonts w:eastAsia="Dotum"/>
          <w:szCs w:val="28"/>
        </w:rPr>
        <w:t>continuar ejerciendo sus funciones hasta la posesión de los miembros de la C</w:t>
      </w:r>
      <w:r w:rsidR="00E2041A" w:rsidRPr="002E4477">
        <w:rPr>
          <w:rFonts w:eastAsia="Dotum"/>
          <w:szCs w:val="28"/>
        </w:rPr>
        <w:t xml:space="preserve">NDJ y que </w:t>
      </w:r>
      <w:r w:rsidR="009D41D8" w:rsidRPr="002E4477">
        <w:rPr>
          <w:rFonts w:eastAsia="Dotum"/>
          <w:szCs w:val="28"/>
        </w:rPr>
        <w:t>dicha posesión dete</w:t>
      </w:r>
      <w:r w:rsidR="00694263" w:rsidRPr="002E4477">
        <w:rPr>
          <w:rFonts w:eastAsia="Dotum"/>
          <w:szCs w:val="28"/>
        </w:rPr>
        <w:t xml:space="preserve">rminaría </w:t>
      </w:r>
      <w:r w:rsidR="009D41D8" w:rsidRPr="002E4477">
        <w:rPr>
          <w:rFonts w:eastAsia="Dotum"/>
          <w:szCs w:val="28"/>
        </w:rPr>
        <w:t>la asunción por</w:t>
      </w:r>
      <w:r w:rsidR="00F23A59" w:rsidRPr="002E4477">
        <w:rPr>
          <w:rFonts w:eastAsia="Dotum"/>
          <w:szCs w:val="28"/>
        </w:rPr>
        <w:t xml:space="preserve"> parte de</w:t>
      </w:r>
      <w:r w:rsidR="00D72844" w:rsidRPr="002E4477">
        <w:rPr>
          <w:rFonts w:eastAsia="Dotum"/>
          <w:szCs w:val="28"/>
        </w:rPr>
        <w:t xml:space="preserve"> </w:t>
      </w:r>
      <w:r w:rsidR="00890B13" w:rsidRPr="002E4477">
        <w:rPr>
          <w:rFonts w:eastAsia="Dotum"/>
          <w:szCs w:val="28"/>
        </w:rPr>
        <w:t xml:space="preserve">la nueva </w:t>
      </w:r>
      <w:r w:rsidR="00D72844" w:rsidRPr="002E4477">
        <w:rPr>
          <w:rFonts w:eastAsia="Dotum"/>
          <w:szCs w:val="28"/>
        </w:rPr>
        <w:t>entidad</w:t>
      </w:r>
      <w:r w:rsidR="008E07B5" w:rsidRPr="002E4477">
        <w:rPr>
          <w:rFonts w:eastAsia="Dotum"/>
          <w:szCs w:val="28"/>
        </w:rPr>
        <w:t>,</w:t>
      </w:r>
      <w:r w:rsidR="009D41D8" w:rsidRPr="002E4477">
        <w:rPr>
          <w:rFonts w:eastAsia="Dotum"/>
          <w:szCs w:val="28"/>
        </w:rPr>
        <w:t xml:space="preserve"> de los procesos disciplinarios a cargo de la Sala Jurisdiccional</w:t>
      </w:r>
      <w:r w:rsidR="00694263" w:rsidRPr="002E4477">
        <w:rPr>
          <w:rFonts w:eastAsia="Dotum"/>
          <w:szCs w:val="28"/>
        </w:rPr>
        <w:t xml:space="preserve"> Disciplinaria</w:t>
      </w:r>
      <w:r w:rsidR="00B01E53" w:rsidRPr="002E4477">
        <w:rPr>
          <w:rFonts w:eastAsia="Dotum"/>
          <w:szCs w:val="28"/>
        </w:rPr>
        <w:t xml:space="preserve"> enunciada</w:t>
      </w:r>
      <w:r w:rsidR="0004024A" w:rsidRPr="002E4477">
        <w:rPr>
          <w:rFonts w:eastAsia="Dotum"/>
          <w:szCs w:val="28"/>
        </w:rPr>
        <w:t xml:space="preserve">. </w:t>
      </w:r>
    </w:p>
    <w:p w14:paraId="40673095" w14:textId="77777777" w:rsidR="009D41D8" w:rsidRPr="002E4477" w:rsidRDefault="009D41D8" w:rsidP="005E4A3A">
      <w:pPr>
        <w:pStyle w:val="Prrafodelista"/>
        <w:ind w:left="0"/>
        <w:rPr>
          <w:rFonts w:eastAsia="Dotum"/>
          <w:szCs w:val="28"/>
        </w:rPr>
      </w:pPr>
    </w:p>
    <w:p w14:paraId="51BF9474" w14:textId="77777777" w:rsidR="001F5220" w:rsidRPr="002E4477" w:rsidRDefault="00FD7672" w:rsidP="00962603">
      <w:pPr>
        <w:pStyle w:val="Prrafodelista"/>
        <w:numPr>
          <w:ilvl w:val="0"/>
          <w:numId w:val="10"/>
        </w:numPr>
        <w:tabs>
          <w:tab w:val="left" w:pos="567"/>
        </w:tabs>
        <w:contextualSpacing/>
        <w:jc w:val="both"/>
        <w:rPr>
          <w:rFonts w:eastAsia="Dotum"/>
          <w:i/>
          <w:iCs/>
          <w:szCs w:val="28"/>
        </w:rPr>
      </w:pPr>
      <w:r w:rsidRPr="002E4477">
        <w:rPr>
          <w:rFonts w:eastAsia="Dotum"/>
          <w:szCs w:val="28"/>
        </w:rPr>
        <w:t>En cuanto al</w:t>
      </w:r>
      <w:r w:rsidR="009D41D8" w:rsidRPr="002E4477">
        <w:rPr>
          <w:rFonts w:eastAsia="Dotum"/>
          <w:szCs w:val="28"/>
        </w:rPr>
        <w:t xml:space="preserve"> plazo del año para el proceso de elección de los magistrados de la C</w:t>
      </w:r>
      <w:r w:rsidR="00E2041A" w:rsidRPr="002E4477">
        <w:rPr>
          <w:rFonts w:eastAsia="Dotum"/>
          <w:szCs w:val="28"/>
        </w:rPr>
        <w:t>NDJ</w:t>
      </w:r>
      <w:r w:rsidR="00B01E53" w:rsidRPr="002E4477">
        <w:rPr>
          <w:rFonts w:eastAsia="Dotum"/>
          <w:szCs w:val="28"/>
        </w:rPr>
        <w:t>,</w:t>
      </w:r>
      <w:r w:rsidR="00E2041A" w:rsidRPr="002E4477">
        <w:rPr>
          <w:rFonts w:eastAsia="Dotum"/>
          <w:szCs w:val="28"/>
        </w:rPr>
        <w:t xml:space="preserve"> </w:t>
      </w:r>
      <w:r w:rsidR="009D41D8" w:rsidRPr="002E4477">
        <w:rPr>
          <w:rFonts w:eastAsia="Dotum"/>
          <w:szCs w:val="28"/>
        </w:rPr>
        <w:t xml:space="preserve">que transcurrió entre el 1º de julio de 2015 y el 1º de julio de 2016, la Sala de Consulta </w:t>
      </w:r>
      <w:r w:rsidR="00E2041A" w:rsidRPr="002E4477">
        <w:rPr>
          <w:rFonts w:eastAsia="Dotum"/>
          <w:szCs w:val="28"/>
        </w:rPr>
        <w:t xml:space="preserve">consideró que </w:t>
      </w:r>
      <w:r w:rsidR="009D41D8" w:rsidRPr="002E4477">
        <w:rPr>
          <w:rFonts w:eastAsia="Dotum"/>
          <w:i/>
          <w:iCs/>
          <w:szCs w:val="28"/>
        </w:rPr>
        <w:t xml:space="preserve">“el vencimiento del plazo señalado no incide en la existencia de la Comisión Nacional de Disciplina Judicial, </w:t>
      </w:r>
      <w:r w:rsidR="007939D3" w:rsidRPr="002E4477">
        <w:rPr>
          <w:rFonts w:eastAsia="Dotum"/>
          <w:i/>
          <w:iCs/>
          <w:szCs w:val="28"/>
        </w:rPr>
        <w:t xml:space="preserve">[y] </w:t>
      </w:r>
      <w:r w:rsidR="009D41D8" w:rsidRPr="002E4477">
        <w:rPr>
          <w:rFonts w:eastAsia="Dotum"/>
          <w:i/>
          <w:iCs/>
          <w:szCs w:val="28"/>
        </w:rPr>
        <w:t>tampoco modifica o suprime las reglas consagradas en el artículo 257A constitucional sobre su integración, proceso de elección, período, requisitos, prohibición de reelección, funciones”</w:t>
      </w:r>
      <w:r w:rsidR="009D41D8" w:rsidRPr="002E4477">
        <w:rPr>
          <w:rStyle w:val="Refdenotaalpie"/>
          <w:rFonts w:eastAsia="Dotum"/>
          <w:szCs w:val="28"/>
        </w:rPr>
        <w:footnoteReference w:id="295"/>
      </w:r>
      <w:r w:rsidR="00E2041A" w:rsidRPr="002E4477">
        <w:rPr>
          <w:rFonts w:eastAsia="Dotum"/>
          <w:szCs w:val="28"/>
        </w:rPr>
        <w:t xml:space="preserve">, pues </w:t>
      </w:r>
      <w:r w:rsidR="009D41D8" w:rsidRPr="002E4477">
        <w:rPr>
          <w:rFonts w:eastAsia="Dotum"/>
          <w:szCs w:val="28"/>
        </w:rPr>
        <w:t>la C</w:t>
      </w:r>
      <w:r w:rsidR="00E2041A" w:rsidRPr="002E4477">
        <w:rPr>
          <w:rFonts w:eastAsia="Dotum"/>
          <w:szCs w:val="28"/>
        </w:rPr>
        <w:t xml:space="preserve">NDJ se encuentra </w:t>
      </w:r>
      <w:r w:rsidR="009D41D8" w:rsidRPr="002E4477">
        <w:rPr>
          <w:rFonts w:eastAsia="Dotum"/>
          <w:szCs w:val="28"/>
        </w:rPr>
        <w:t>consagrada en</w:t>
      </w:r>
      <w:r w:rsidR="00E170EE" w:rsidRPr="002E4477">
        <w:rPr>
          <w:rFonts w:eastAsia="Dotum"/>
          <w:szCs w:val="28"/>
        </w:rPr>
        <w:t xml:space="preserve"> todo caso, en</w:t>
      </w:r>
      <w:r w:rsidR="009D41D8" w:rsidRPr="002E4477">
        <w:rPr>
          <w:rFonts w:eastAsia="Dotum"/>
          <w:szCs w:val="28"/>
        </w:rPr>
        <w:t xml:space="preserve"> el artículo</w:t>
      </w:r>
      <w:r w:rsidR="004144A3" w:rsidRPr="002E4477">
        <w:rPr>
          <w:rFonts w:eastAsia="Dotum"/>
          <w:szCs w:val="28"/>
        </w:rPr>
        <w:t xml:space="preserve"> constitucional indicado</w:t>
      </w:r>
      <w:r w:rsidR="00E170EE" w:rsidRPr="002E4477">
        <w:rPr>
          <w:rFonts w:eastAsia="Dotum"/>
          <w:szCs w:val="28"/>
        </w:rPr>
        <w:t>.</w:t>
      </w:r>
    </w:p>
    <w:p w14:paraId="3DAEF531" w14:textId="77777777" w:rsidR="009D41D8" w:rsidRPr="002E4477" w:rsidRDefault="009D41D8" w:rsidP="00581543">
      <w:pPr>
        <w:pStyle w:val="Prrafodelista"/>
        <w:ind w:left="0"/>
        <w:rPr>
          <w:rFonts w:eastAsia="Dotum"/>
          <w:szCs w:val="28"/>
        </w:rPr>
      </w:pPr>
    </w:p>
    <w:p w14:paraId="7C01247A" w14:textId="77777777" w:rsidR="009D41D8" w:rsidRPr="002E4477" w:rsidRDefault="004144A3" w:rsidP="00962603">
      <w:pPr>
        <w:pStyle w:val="Prrafodelista"/>
        <w:numPr>
          <w:ilvl w:val="0"/>
          <w:numId w:val="10"/>
        </w:numPr>
        <w:tabs>
          <w:tab w:val="left" w:pos="567"/>
        </w:tabs>
        <w:ind w:right="49"/>
        <w:contextualSpacing/>
        <w:jc w:val="both"/>
        <w:rPr>
          <w:bCs/>
          <w:szCs w:val="28"/>
        </w:rPr>
      </w:pPr>
      <w:r w:rsidRPr="002E4477">
        <w:rPr>
          <w:rFonts w:eastAsia="Dotum"/>
          <w:szCs w:val="28"/>
        </w:rPr>
        <w:t>En lo concerniente a</w:t>
      </w:r>
      <w:r w:rsidR="009D41D8" w:rsidRPr="002E4477">
        <w:rPr>
          <w:rFonts w:eastAsia="Dotum"/>
          <w:szCs w:val="28"/>
        </w:rPr>
        <w:t>l periodo de ocho años para el cual fue elegido cada uno de los magistrados que integraban la Sala Jurisdiccional Disciplinaria al entrar en vigor el A</w:t>
      </w:r>
      <w:r w:rsidR="00D83AC6" w:rsidRPr="002E4477">
        <w:rPr>
          <w:rFonts w:eastAsia="Dotum"/>
          <w:szCs w:val="28"/>
        </w:rPr>
        <w:t>.</w:t>
      </w:r>
      <w:r w:rsidR="009D41D8" w:rsidRPr="002E4477">
        <w:rPr>
          <w:rFonts w:eastAsia="Dotum"/>
          <w:szCs w:val="28"/>
        </w:rPr>
        <w:t>L</w:t>
      </w:r>
      <w:r w:rsidR="00D83AC6" w:rsidRPr="002E4477">
        <w:rPr>
          <w:rFonts w:eastAsia="Dotum"/>
          <w:szCs w:val="28"/>
        </w:rPr>
        <w:t>.</w:t>
      </w:r>
      <w:r w:rsidR="00BE506E" w:rsidRPr="002E4477">
        <w:rPr>
          <w:rFonts w:eastAsia="Dotum"/>
          <w:szCs w:val="28"/>
        </w:rPr>
        <w:t xml:space="preserve"> </w:t>
      </w:r>
      <w:r w:rsidR="00D83AC6" w:rsidRPr="002E4477">
        <w:rPr>
          <w:rFonts w:eastAsia="Dotum"/>
          <w:szCs w:val="28"/>
        </w:rPr>
        <w:t>0</w:t>
      </w:r>
      <w:r w:rsidR="009D41D8" w:rsidRPr="002E4477">
        <w:rPr>
          <w:rFonts w:eastAsia="Dotum"/>
          <w:szCs w:val="28"/>
        </w:rPr>
        <w:t xml:space="preserve">2 de 2015, </w:t>
      </w:r>
      <w:r w:rsidRPr="002E4477">
        <w:rPr>
          <w:rFonts w:eastAsia="Dotum"/>
          <w:szCs w:val="28"/>
        </w:rPr>
        <w:t xml:space="preserve">sostuvo la Sala de Consulta, que éste </w:t>
      </w:r>
      <w:r w:rsidR="009D41D8" w:rsidRPr="002E4477">
        <w:rPr>
          <w:rFonts w:eastAsia="Dotum"/>
          <w:szCs w:val="28"/>
        </w:rPr>
        <w:t>era de origen constitucional</w:t>
      </w:r>
      <w:r w:rsidR="00D83AC6" w:rsidRPr="002E4477">
        <w:rPr>
          <w:rFonts w:eastAsia="Dotum"/>
          <w:szCs w:val="28"/>
        </w:rPr>
        <w:t xml:space="preserve">, </w:t>
      </w:r>
      <w:r w:rsidR="009D41D8" w:rsidRPr="002E4477">
        <w:rPr>
          <w:rFonts w:eastAsia="Dotum"/>
          <w:szCs w:val="28"/>
        </w:rPr>
        <w:t xml:space="preserve">pues así estaba dispuesto en el artículo 254 </w:t>
      </w:r>
      <w:r w:rsidRPr="002E4477">
        <w:rPr>
          <w:rFonts w:eastAsia="Dotum"/>
          <w:szCs w:val="28"/>
        </w:rPr>
        <w:t xml:space="preserve">inicial </w:t>
      </w:r>
      <w:r w:rsidR="009D41D8" w:rsidRPr="002E4477">
        <w:rPr>
          <w:rFonts w:eastAsia="Dotum"/>
          <w:szCs w:val="28"/>
        </w:rPr>
        <w:t xml:space="preserve">de la Constitución de 1991. </w:t>
      </w:r>
    </w:p>
    <w:p w14:paraId="52E147B1" w14:textId="77777777" w:rsidR="009D41D8" w:rsidRPr="002E4477" w:rsidRDefault="009D41D8" w:rsidP="009D41D8">
      <w:pPr>
        <w:pStyle w:val="Prrafodelista"/>
        <w:tabs>
          <w:tab w:val="left" w:pos="567"/>
        </w:tabs>
        <w:ind w:right="49"/>
        <w:contextualSpacing/>
        <w:jc w:val="both"/>
        <w:rPr>
          <w:bCs/>
          <w:szCs w:val="28"/>
        </w:rPr>
      </w:pPr>
    </w:p>
    <w:p w14:paraId="27883662" w14:textId="77777777" w:rsidR="009D41D8" w:rsidRPr="002E4477" w:rsidRDefault="00D97A79" w:rsidP="009D41D8">
      <w:pPr>
        <w:pStyle w:val="Prrafodelista"/>
        <w:tabs>
          <w:tab w:val="left" w:pos="567"/>
        </w:tabs>
        <w:ind w:left="0" w:right="49"/>
        <w:contextualSpacing/>
        <w:jc w:val="both"/>
        <w:rPr>
          <w:rFonts w:eastAsia="Dotum"/>
          <w:szCs w:val="28"/>
        </w:rPr>
      </w:pPr>
      <w:r w:rsidRPr="002E4477">
        <w:rPr>
          <w:rFonts w:eastAsia="Dotum"/>
          <w:szCs w:val="28"/>
        </w:rPr>
        <w:t>R</w:t>
      </w:r>
      <w:r w:rsidR="00890B13" w:rsidRPr="002E4477">
        <w:rPr>
          <w:rFonts w:eastAsia="Dotum"/>
          <w:szCs w:val="28"/>
        </w:rPr>
        <w:t xml:space="preserve">ecordó </w:t>
      </w:r>
      <w:r w:rsidR="009D41D8" w:rsidRPr="002E4477">
        <w:rPr>
          <w:rFonts w:eastAsia="Dotum"/>
          <w:szCs w:val="28"/>
        </w:rPr>
        <w:t>también que en virtud de la</w:t>
      </w:r>
      <w:r w:rsidR="00B84D0E">
        <w:rPr>
          <w:rFonts w:eastAsia="Dotum"/>
          <w:szCs w:val="28"/>
        </w:rPr>
        <w:t xml:space="preserve"> declaratoria de</w:t>
      </w:r>
      <w:r w:rsidR="009D41D8" w:rsidRPr="002E4477">
        <w:rPr>
          <w:rFonts w:eastAsia="Dotum"/>
          <w:szCs w:val="28"/>
        </w:rPr>
        <w:t xml:space="preserve"> inexequibilidad del artículo 15 del A</w:t>
      </w:r>
      <w:r w:rsidR="00D83AC6" w:rsidRPr="002E4477">
        <w:rPr>
          <w:rFonts w:eastAsia="Dotum"/>
          <w:szCs w:val="28"/>
        </w:rPr>
        <w:t>.</w:t>
      </w:r>
      <w:r w:rsidR="009D41D8" w:rsidRPr="002E4477">
        <w:rPr>
          <w:rFonts w:eastAsia="Dotum"/>
          <w:szCs w:val="28"/>
        </w:rPr>
        <w:t>L</w:t>
      </w:r>
      <w:r w:rsidR="00D83AC6" w:rsidRPr="002E4477">
        <w:rPr>
          <w:rFonts w:eastAsia="Dotum"/>
          <w:szCs w:val="28"/>
        </w:rPr>
        <w:t>.</w:t>
      </w:r>
      <w:r w:rsidR="009D41D8" w:rsidRPr="002E4477">
        <w:rPr>
          <w:rFonts w:eastAsia="Dotum"/>
          <w:szCs w:val="28"/>
        </w:rPr>
        <w:t xml:space="preserve"> </w:t>
      </w:r>
      <w:r w:rsidR="00D83AC6" w:rsidRPr="002E4477">
        <w:rPr>
          <w:rFonts w:eastAsia="Dotum"/>
          <w:szCs w:val="28"/>
        </w:rPr>
        <w:t>0</w:t>
      </w:r>
      <w:r w:rsidR="009D41D8" w:rsidRPr="002E4477">
        <w:rPr>
          <w:rFonts w:eastAsia="Dotum"/>
          <w:szCs w:val="28"/>
        </w:rPr>
        <w:t xml:space="preserve">2 de 2015 que </w:t>
      </w:r>
      <w:r w:rsidRPr="002E4477">
        <w:rPr>
          <w:rFonts w:eastAsia="Dotum"/>
          <w:szCs w:val="28"/>
        </w:rPr>
        <w:t xml:space="preserve">sustituyó </w:t>
      </w:r>
      <w:r w:rsidR="009D41D8" w:rsidRPr="002E4477">
        <w:rPr>
          <w:rFonts w:eastAsia="Dotum"/>
          <w:szCs w:val="28"/>
        </w:rPr>
        <w:t>el contenido del artículo 254 original</w:t>
      </w:r>
      <w:r w:rsidR="00890B13" w:rsidRPr="002E4477">
        <w:rPr>
          <w:rFonts w:eastAsia="Dotum"/>
          <w:szCs w:val="28"/>
        </w:rPr>
        <w:t xml:space="preserve"> de la Carta</w:t>
      </w:r>
      <w:r w:rsidR="009D41D8" w:rsidRPr="002E4477">
        <w:rPr>
          <w:rFonts w:eastAsia="Dotum"/>
          <w:szCs w:val="28"/>
        </w:rPr>
        <w:t>, y de la derogatoria tácita de la Sal</w:t>
      </w:r>
      <w:r w:rsidR="00E2041A" w:rsidRPr="002E4477">
        <w:rPr>
          <w:rFonts w:eastAsia="Dotum"/>
          <w:szCs w:val="28"/>
        </w:rPr>
        <w:t xml:space="preserve">a Jurisdiccional Disciplinaria </w:t>
      </w:r>
      <w:r w:rsidR="009D41D8" w:rsidRPr="002E4477">
        <w:rPr>
          <w:rFonts w:eastAsia="Dotum"/>
          <w:szCs w:val="28"/>
        </w:rPr>
        <w:t>por mandato de la sentencia de la Corte Constitucional</w:t>
      </w:r>
      <w:r w:rsidR="006679CE" w:rsidRPr="002E4477">
        <w:rPr>
          <w:rFonts w:eastAsia="Dotum"/>
          <w:szCs w:val="28"/>
        </w:rPr>
        <w:t xml:space="preserve"> </w:t>
      </w:r>
      <w:r w:rsidR="004144A3" w:rsidRPr="002E4477">
        <w:rPr>
          <w:rFonts w:eastAsia="Dotum"/>
          <w:szCs w:val="28"/>
        </w:rPr>
        <w:t>previamente reseñada</w:t>
      </w:r>
      <w:r w:rsidR="00E2041A" w:rsidRPr="002E4477">
        <w:rPr>
          <w:rFonts w:eastAsia="Dotum"/>
          <w:szCs w:val="28"/>
        </w:rPr>
        <w:t>,</w:t>
      </w:r>
      <w:r w:rsidR="009D41D8" w:rsidRPr="002E4477">
        <w:rPr>
          <w:rFonts w:eastAsia="Dotum"/>
          <w:szCs w:val="28"/>
        </w:rPr>
        <w:t xml:space="preserve"> el nuevo artículo 254 constitucional </w:t>
      </w:r>
      <w:r w:rsidR="00D83AC6" w:rsidRPr="002E4477">
        <w:rPr>
          <w:rFonts w:eastAsia="Dotum"/>
          <w:szCs w:val="28"/>
        </w:rPr>
        <w:t>t</w:t>
      </w:r>
      <w:r w:rsidRPr="002E4477">
        <w:rPr>
          <w:rFonts w:eastAsia="Dotum"/>
          <w:szCs w:val="28"/>
        </w:rPr>
        <w:t>enía</w:t>
      </w:r>
      <w:r w:rsidR="00D83AC6" w:rsidRPr="002E4477">
        <w:rPr>
          <w:rFonts w:eastAsia="Dotum"/>
          <w:szCs w:val="28"/>
        </w:rPr>
        <w:t xml:space="preserve"> que ver</w:t>
      </w:r>
      <w:r w:rsidR="00BE506E" w:rsidRPr="002E4477">
        <w:rPr>
          <w:rFonts w:eastAsia="Dotum"/>
          <w:szCs w:val="28"/>
        </w:rPr>
        <w:t xml:space="preserve"> </w:t>
      </w:r>
      <w:r w:rsidR="00EF79E3" w:rsidRPr="002E4477">
        <w:rPr>
          <w:rFonts w:eastAsia="Dotum"/>
          <w:szCs w:val="28"/>
        </w:rPr>
        <w:t xml:space="preserve">ahora </w:t>
      </w:r>
      <w:r w:rsidR="00D83AC6" w:rsidRPr="002E4477">
        <w:rPr>
          <w:rFonts w:eastAsia="Dotum"/>
          <w:szCs w:val="28"/>
        </w:rPr>
        <w:t>con el</w:t>
      </w:r>
      <w:r w:rsidRPr="002E4477">
        <w:rPr>
          <w:rFonts w:eastAsia="Dotum"/>
          <w:szCs w:val="28"/>
        </w:rPr>
        <w:t xml:space="preserve"> actual</w:t>
      </w:r>
      <w:r w:rsidR="00D83AC6" w:rsidRPr="002E4477">
        <w:rPr>
          <w:rFonts w:eastAsia="Dotum"/>
          <w:szCs w:val="28"/>
        </w:rPr>
        <w:t xml:space="preserve"> </w:t>
      </w:r>
      <w:r w:rsidR="009D41D8" w:rsidRPr="002E4477">
        <w:rPr>
          <w:rFonts w:eastAsia="Dotum"/>
          <w:szCs w:val="28"/>
        </w:rPr>
        <w:t xml:space="preserve">Consejo Superior de la Judicatura, su integración y </w:t>
      </w:r>
      <w:r w:rsidR="00D83AC6" w:rsidRPr="002E4477">
        <w:rPr>
          <w:rFonts w:eastAsia="Dotum"/>
          <w:szCs w:val="28"/>
        </w:rPr>
        <w:t>e</w:t>
      </w:r>
      <w:r w:rsidR="009D41D8" w:rsidRPr="002E4477">
        <w:rPr>
          <w:rFonts w:eastAsia="Dotum"/>
          <w:szCs w:val="28"/>
        </w:rPr>
        <w:t>l período de 8 años de sus integrantes.</w:t>
      </w:r>
      <w:r w:rsidR="00546C3C" w:rsidRPr="002E4477">
        <w:rPr>
          <w:rFonts w:eastAsia="Dotum"/>
          <w:szCs w:val="28"/>
        </w:rPr>
        <w:t xml:space="preserve"> </w:t>
      </w:r>
      <w:r w:rsidR="00854644" w:rsidRPr="002E4477">
        <w:rPr>
          <w:rFonts w:eastAsia="Dotum"/>
          <w:szCs w:val="28"/>
        </w:rPr>
        <w:t>Por</w:t>
      </w:r>
      <w:r w:rsidR="00546C3C" w:rsidRPr="002E4477">
        <w:rPr>
          <w:rFonts w:eastAsia="Dotum"/>
          <w:szCs w:val="28"/>
        </w:rPr>
        <w:t xml:space="preserve"> lo tanto</w:t>
      </w:r>
      <w:r w:rsidR="00854644" w:rsidRPr="002E4477">
        <w:rPr>
          <w:rFonts w:eastAsia="Dotum"/>
          <w:szCs w:val="28"/>
        </w:rPr>
        <w:t>,</w:t>
      </w:r>
      <w:r w:rsidR="009D41D8" w:rsidRPr="002E4477">
        <w:rPr>
          <w:rFonts w:eastAsia="Dotum"/>
          <w:szCs w:val="28"/>
        </w:rPr>
        <w:t xml:space="preserve"> </w:t>
      </w:r>
      <w:r w:rsidR="00E2041A" w:rsidRPr="002E4477">
        <w:rPr>
          <w:rFonts w:eastAsia="Dotum"/>
          <w:szCs w:val="28"/>
        </w:rPr>
        <w:t xml:space="preserve">ante </w:t>
      </w:r>
      <w:r w:rsidR="009D41D8" w:rsidRPr="002E4477">
        <w:rPr>
          <w:rFonts w:eastAsia="Dotum"/>
          <w:szCs w:val="28"/>
        </w:rPr>
        <w:t>la ausencia de norma constitucional re</w:t>
      </w:r>
      <w:r w:rsidR="00EF79E3" w:rsidRPr="002E4477">
        <w:rPr>
          <w:rFonts w:eastAsia="Dotum"/>
          <w:szCs w:val="28"/>
        </w:rPr>
        <w:t xml:space="preserve">lacionada con </w:t>
      </w:r>
      <w:r w:rsidR="009D41D8" w:rsidRPr="002E4477">
        <w:rPr>
          <w:rFonts w:eastAsia="Dotum"/>
          <w:szCs w:val="28"/>
        </w:rPr>
        <w:t>el período de quienes permanecen en ejercicio de las funciones de la derogada Sala Jurisdiccional Disciplinaria</w:t>
      </w:r>
      <w:r w:rsidR="00890B13" w:rsidRPr="002E4477">
        <w:rPr>
          <w:rFonts w:eastAsia="Dotum"/>
          <w:szCs w:val="28"/>
        </w:rPr>
        <w:t>,</w:t>
      </w:r>
      <w:r w:rsidR="00854644" w:rsidRPr="002E4477">
        <w:rPr>
          <w:rFonts w:eastAsia="Dotum"/>
          <w:szCs w:val="28"/>
        </w:rPr>
        <w:t xml:space="preserve"> </w:t>
      </w:r>
      <w:r w:rsidR="00EF79E3" w:rsidRPr="002E4477">
        <w:rPr>
          <w:rFonts w:eastAsia="Dotum"/>
          <w:szCs w:val="28"/>
        </w:rPr>
        <w:t>lo pertinente frente a ellos según el concepto</w:t>
      </w:r>
      <w:r w:rsidR="009B479C" w:rsidRPr="002E4477">
        <w:rPr>
          <w:rFonts w:eastAsia="Dotum"/>
          <w:szCs w:val="28"/>
        </w:rPr>
        <w:t>,</w:t>
      </w:r>
      <w:r w:rsidR="00EF79E3" w:rsidRPr="002E4477">
        <w:rPr>
          <w:rFonts w:eastAsia="Dotum"/>
          <w:szCs w:val="28"/>
        </w:rPr>
        <w:t xml:space="preserve"> e</w:t>
      </w:r>
      <w:r w:rsidRPr="002E4477">
        <w:rPr>
          <w:rFonts w:eastAsia="Dotum"/>
          <w:szCs w:val="28"/>
        </w:rPr>
        <w:t>ra</w:t>
      </w:r>
      <w:r w:rsidR="00EF79E3" w:rsidRPr="002E4477">
        <w:rPr>
          <w:rFonts w:eastAsia="Dotum"/>
          <w:szCs w:val="28"/>
        </w:rPr>
        <w:t xml:space="preserve"> </w:t>
      </w:r>
      <w:r w:rsidR="006E4EC3" w:rsidRPr="002E4477">
        <w:rPr>
          <w:rFonts w:eastAsia="Dotum"/>
          <w:i/>
          <w:iCs/>
          <w:szCs w:val="28"/>
        </w:rPr>
        <w:t>“simplemente</w:t>
      </w:r>
      <w:r w:rsidR="00E2041A" w:rsidRPr="002E4477">
        <w:rPr>
          <w:rFonts w:eastAsia="Dotum"/>
          <w:i/>
          <w:iCs/>
          <w:szCs w:val="28"/>
        </w:rPr>
        <w:t xml:space="preserve"> </w:t>
      </w:r>
      <w:r w:rsidR="009D41D8" w:rsidRPr="002E4477">
        <w:rPr>
          <w:rFonts w:eastAsia="Dotum"/>
          <w:i/>
          <w:iCs/>
          <w:szCs w:val="28"/>
        </w:rPr>
        <w:t>reafirm</w:t>
      </w:r>
      <w:r w:rsidR="00EF79E3" w:rsidRPr="002E4477">
        <w:rPr>
          <w:rFonts w:eastAsia="Dotum"/>
          <w:i/>
          <w:iCs/>
          <w:szCs w:val="28"/>
        </w:rPr>
        <w:t>[ar]</w:t>
      </w:r>
      <w:r w:rsidR="009D41D8" w:rsidRPr="002E4477">
        <w:rPr>
          <w:rFonts w:eastAsia="Dotum"/>
          <w:i/>
          <w:iCs/>
          <w:szCs w:val="28"/>
        </w:rPr>
        <w:t xml:space="preserve"> su transitoriedad, fundamentada en la igual jerarquía que, conforme al precedente de la jurisprudencia constitucional, tienen las normas permanentes y las normas transitorias</w:t>
      </w:r>
      <w:r w:rsidR="009D41D8" w:rsidRPr="002E4477">
        <w:rPr>
          <w:rFonts w:eastAsia="Dotum"/>
          <w:szCs w:val="28"/>
        </w:rPr>
        <w:t>”</w:t>
      </w:r>
      <w:r w:rsidR="009D41D8" w:rsidRPr="002E4477">
        <w:rPr>
          <w:rStyle w:val="Refdenotaalpie"/>
          <w:rFonts w:eastAsia="Dotum"/>
          <w:szCs w:val="28"/>
        </w:rPr>
        <w:footnoteReference w:id="296"/>
      </w:r>
      <w:r w:rsidR="009D41D8" w:rsidRPr="002E4477">
        <w:rPr>
          <w:rFonts w:eastAsia="Dotum"/>
          <w:szCs w:val="28"/>
        </w:rPr>
        <w:t>.</w:t>
      </w:r>
    </w:p>
    <w:p w14:paraId="2F9B025A" w14:textId="77777777" w:rsidR="004A506D" w:rsidRPr="002E4477" w:rsidRDefault="004A506D" w:rsidP="009D41D8">
      <w:pPr>
        <w:pStyle w:val="Prrafodelista"/>
        <w:tabs>
          <w:tab w:val="left" w:pos="567"/>
        </w:tabs>
        <w:ind w:left="0" w:right="49"/>
        <w:contextualSpacing/>
        <w:jc w:val="both"/>
        <w:rPr>
          <w:rFonts w:eastAsia="Dotum"/>
          <w:szCs w:val="28"/>
        </w:rPr>
      </w:pPr>
    </w:p>
    <w:p w14:paraId="68B60BBD" w14:textId="77777777" w:rsidR="009D41D8" w:rsidRPr="002E4477" w:rsidRDefault="009D41D8" w:rsidP="009D41D8">
      <w:pPr>
        <w:jc w:val="both"/>
        <w:rPr>
          <w:bCs/>
          <w:szCs w:val="28"/>
        </w:rPr>
      </w:pPr>
      <w:r w:rsidRPr="002E4477">
        <w:rPr>
          <w:bCs/>
          <w:szCs w:val="28"/>
        </w:rPr>
        <w:t>Por las razones anotadas, la Sala de Consulta y Servicio Civil</w:t>
      </w:r>
      <w:r w:rsidR="004144A3" w:rsidRPr="002E4477">
        <w:rPr>
          <w:bCs/>
          <w:szCs w:val="28"/>
        </w:rPr>
        <w:t xml:space="preserve"> concluyó que </w:t>
      </w:r>
      <w:r w:rsidRPr="002E4477">
        <w:rPr>
          <w:bCs/>
          <w:szCs w:val="28"/>
        </w:rPr>
        <w:t xml:space="preserve">la permanencia de los magistrados </w:t>
      </w:r>
      <w:r w:rsidR="00D83AC6" w:rsidRPr="002E4477">
        <w:rPr>
          <w:bCs/>
          <w:szCs w:val="28"/>
        </w:rPr>
        <w:t xml:space="preserve">de la Sala Jurisdiccional Disciplinaria estaba </w:t>
      </w:r>
      <w:r w:rsidRPr="002E4477">
        <w:rPr>
          <w:bCs/>
          <w:szCs w:val="28"/>
        </w:rPr>
        <w:t xml:space="preserve">sujeta </w:t>
      </w:r>
      <w:r w:rsidR="004144A3" w:rsidRPr="002E4477">
        <w:rPr>
          <w:bCs/>
          <w:szCs w:val="28"/>
        </w:rPr>
        <w:t xml:space="preserve">entonces, </w:t>
      </w:r>
      <w:r w:rsidRPr="002E4477">
        <w:rPr>
          <w:bCs/>
          <w:szCs w:val="28"/>
        </w:rPr>
        <w:t xml:space="preserve">a la posesión de quienes integren el nuevo órgano </w:t>
      </w:r>
      <w:r w:rsidR="004144A3" w:rsidRPr="002E4477">
        <w:rPr>
          <w:bCs/>
          <w:szCs w:val="28"/>
        </w:rPr>
        <w:t xml:space="preserve">creado por la Carta, y que </w:t>
      </w:r>
      <w:r w:rsidRPr="002E4477">
        <w:rPr>
          <w:bCs/>
          <w:i/>
          <w:iCs/>
          <w:szCs w:val="28"/>
        </w:rPr>
        <w:t xml:space="preserve">“dada su calidad de funcionarios de la Rama Judicial, les  </w:t>
      </w:r>
      <w:r w:rsidR="004144A3" w:rsidRPr="002E4477">
        <w:rPr>
          <w:bCs/>
          <w:i/>
          <w:iCs/>
          <w:szCs w:val="28"/>
        </w:rPr>
        <w:t>[eran]</w:t>
      </w:r>
      <w:r w:rsidRPr="002E4477">
        <w:rPr>
          <w:bCs/>
          <w:i/>
          <w:iCs/>
          <w:szCs w:val="28"/>
        </w:rPr>
        <w:t>aplicables las disposiciones de la Ley 270 de 1996</w:t>
      </w:r>
      <w:r w:rsidRPr="002E4477">
        <w:rPr>
          <w:rStyle w:val="Refdenotaalpie"/>
          <w:bCs/>
          <w:i/>
          <w:iCs/>
          <w:szCs w:val="28"/>
        </w:rPr>
        <w:footnoteReference w:id="297"/>
      </w:r>
      <w:r w:rsidRPr="002E4477">
        <w:rPr>
          <w:bCs/>
          <w:i/>
          <w:iCs/>
          <w:szCs w:val="28"/>
        </w:rPr>
        <w:t xml:space="preserve"> en cuanto a las causales de retiro del servicio - excepción hecha del vencimiento del período- que </w:t>
      </w:r>
      <w:r w:rsidR="004144A3" w:rsidRPr="002E4477">
        <w:rPr>
          <w:bCs/>
          <w:i/>
          <w:iCs/>
          <w:szCs w:val="28"/>
        </w:rPr>
        <w:t>[podía]</w:t>
      </w:r>
      <w:r w:rsidRPr="002E4477">
        <w:rPr>
          <w:bCs/>
          <w:i/>
          <w:iCs/>
          <w:szCs w:val="28"/>
        </w:rPr>
        <w:t xml:space="preserve"> tener ocurrencia antes de que </w:t>
      </w:r>
      <w:r w:rsidR="004144A3" w:rsidRPr="002E4477">
        <w:rPr>
          <w:bCs/>
          <w:i/>
          <w:iCs/>
          <w:szCs w:val="28"/>
        </w:rPr>
        <w:t>[fueran]</w:t>
      </w:r>
      <w:r w:rsidRPr="002E4477">
        <w:rPr>
          <w:bCs/>
          <w:i/>
          <w:iCs/>
          <w:szCs w:val="28"/>
        </w:rPr>
        <w:t xml:space="preserve"> resueltas las dificultades que en la actualidad impiden la integración de la Comisión Nacional de Disciplina Judicial</w:t>
      </w:r>
      <w:r w:rsidRPr="002E4477">
        <w:rPr>
          <w:bCs/>
          <w:szCs w:val="28"/>
        </w:rPr>
        <w:t>”</w:t>
      </w:r>
      <w:r w:rsidRPr="002E4477">
        <w:rPr>
          <w:rStyle w:val="Refdenotaalpie"/>
          <w:bCs/>
          <w:szCs w:val="28"/>
        </w:rPr>
        <w:footnoteReference w:id="298"/>
      </w:r>
      <w:r w:rsidRPr="002E4477">
        <w:rPr>
          <w:bCs/>
          <w:szCs w:val="28"/>
        </w:rPr>
        <w:t>.</w:t>
      </w:r>
    </w:p>
    <w:p w14:paraId="2AED31B8" w14:textId="77777777" w:rsidR="009D41D8" w:rsidRPr="002E4477" w:rsidRDefault="009D41D8" w:rsidP="009D41D8">
      <w:pPr>
        <w:pStyle w:val="Prrafodelista"/>
        <w:tabs>
          <w:tab w:val="left" w:pos="567"/>
        </w:tabs>
        <w:ind w:left="0" w:right="49"/>
        <w:contextualSpacing/>
        <w:jc w:val="both"/>
        <w:rPr>
          <w:bCs/>
          <w:szCs w:val="28"/>
        </w:rPr>
      </w:pPr>
    </w:p>
    <w:p w14:paraId="68993470" w14:textId="77777777" w:rsidR="009D41D8" w:rsidRPr="002E4477" w:rsidRDefault="004144A3" w:rsidP="00962603">
      <w:pPr>
        <w:pStyle w:val="Prrafodelista"/>
        <w:numPr>
          <w:ilvl w:val="0"/>
          <w:numId w:val="10"/>
        </w:numPr>
        <w:contextualSpacing/>
        <w:jc w:val="both"/>
        <w:rPr>
          <w:bCs/>
          <w:szCs w:val="28"/>
        </w:rPr>
      </w:pPr>
      <w:r w:rsidRPr="002E4477">
        <w:rPr>
          <w:bCs/>
          <w:szCs w:val="28"/>
        </w:rPr>
        <w:t>Ahora bien, m</w:t>
      </w:r>
      <w:r w:rsidR="00D50307" w:rsidRPr="002E4477">
        <w:rPr>
          <w:bCs/>
          <w:szCs w:val="28"/>
        </w:rPr>
        <w:t>ediante los conceptos del 18 de junio de 2018</w:t>
      </w:r>
      <w:r w:rsidR="00D97A79" w:rsidRPr="002E4477">
        <w:rPr>
          <w:rStyle w:val="Refdenotaalpie"/>
          <w:bCs/>
          <w:szCs w:val="28"/>
        </w:rPr>
        <w:footnoteReference w:id="299"/>
      </w:r>
      <w:r w:rsidR="00D97A79" w:rsidRPr="002E4477">
        <w:rPr>
          <w:bCs/>
          <w:szCs w:val="28"/>
        </w:rPr>
        <w:t xml:space="preserve"> y del</w:t>
      </w:r>
      <w:r w:rsidR="00D50307" w:rsidRPr="002E4477">
        <w:rPr>
          <w:bCs/>
          <w:szCs w:val="28"/>
        </w:rPr>
        <w:t xml:space="preserve"> 9 de octubre de 2018, dirigido</w:t>
      </w:r>
      <w:r w:rsidR="00D97A79" w:rsidRPr="002E4477">
        <w:rPr>
          <w:bCs/>
          <w:szCs w:val="28"/>
        </w:rPr>
        <w:t>s</w:t>
      </w:r>
      <w:r w:rsidR="00D50307" w:rsidRPr="002E4477">
        <w:rPr>
          <w:bCs/>
          <w:szCs w:val="28"/>
        </w:rPr>
        <w:t xml:space="preserve"> al Ministerio de Justicia y del Derecho</w:t>
      </w:r>
      <w:r w:rsidR="00D50307" w:rsidRPr="002E4477">
        <w:rPr>
          <w:rStyle w:val="Refdenotaalpie"/>
          <w:bCs/>
          <w:szCs w:val="28"/>
        </w:rPr>
        <w:footnoteReference w:id="300"/>
      </w:r>
      <w:r w:rsidR="00D50307" w:rsidRPr="002E4477">
        <w:rPr>
          <w:bCs/>
          <w:szCs w:val="28"/>
        </w:rPr>
        <w:t xml:space="preserve">, </w:t>
      </w:r>
      <w:r w:rsidR="00D97A79" w:rsidRPr="002E4477">
        <w:rPr>
          <w:bCs/>
          <w:szCs w:val="28"/>
        </w:rPr>
        <w:t xml:space="preserve">esa Sala conoció </w:t>
      </w:r>
      <w:r w:rsidR="00F34F52" w:rsidRPr="002E4477">
        <w:rPr>
          <w:bCs/>
          <w:szCs w:val="28"/>
        </w:rPr>
        <w:t>de nuevas</w:t>
      </w:r>
      <w:r w:rsidR="00D97A79" w:rsidRPr="002E4477">
        <w:rPr>
          <w:bCs/>
          <w:szCs w:val="28"/>
        </w:rPr>
        <w:t xml:space="preserve"> y posteriores solicitudes del</w:t>
      </w:r>
      <w:r w:rsidR="00D50307" w:rsidRPr="002E4477">
        <w:rPr>
          <w:szCs w:val="28"/>
          <w:lang w:val="es-ES_tradnl" w:eastAsia="es-CO"/>
        </w:rPr>
        <w:t xml:space="preserve"> Ministro</w:t>
      </w:r>
      <w:r w:rsidR="00F34F52" w:rsidRPr="002E4477">
        <w:rPr>
          <w:szCs w:val="28"/>
          <w:lang w:val="es-ES_tradnl" w:eastAsia="es-CO"/>
        </w:rPr>
        <w:t xml:space="preserve"> de esa cartera</w:t>
      </w:r>
      <w:r w:rsidR="00D97A79" w:rsidRPr="002E4477">
        <w:rPr>
          <w:szCs w:val="28"/>
          <w:lang w:val="es-ES_tradnl" w:eastAsia="es-CO"/>
        </w:rPr>
        <w:t>,</w:t>
      </w:r>
      <w:r w:rsidR="00D50307" w:rsidRPr="002E4477">
        <w:rPr>
          <w:szCs w:val="28"/>
          <w:lang w:val="es-ES_tradnl" w:eastAsia="es-CO"/>
        </w:rPr>
        <w:t xml:space="preserve"> </w:t>
      </w:r>
      <w:r w:rsidR="00D97A79" w:rsidRPr="002E4477">
        <w:rPr>
          <w:szCs w:val="28"/>
          <w:lang w:val="es-ES_tradnl" w:eastAsia="es-CO"/>
        </w:rPr>
        <w:t xml:space="preserve">dirigidas a que </w:t>
      </w:r>
      <w:r w:rsidR="00D50307" w:rsidRPr="002E4477">
        <w:rPr>
          <w:szCs w:val="28"/>
          <w:lang w:val="es-ES_tradnl" w:eastAsia="es-CO"/>
        </w:rPr>
        <w:t>se ampliara el concepto de</w:t>
      </w:r>
      <w:r w:rsidR="00F356BE" w:rsidRPr="002E4477">
        <w:rPr>
          <w:szCs w:val="28"/>
          <w:lang w:val="es-ES_tradnl" w:eastAsia="es-CO"/>
        </w:rPr>
        <w:t>l</w:t>
      </w:r>
      <w:r w:rsidR="00D50307" w:rsidRPr="002E4477">
        <w:rPr>
          <w:szCs w:val="28"/>
          <w:lang w:val="es-ES_tradnl" w:eastAsia="es-CO"/>
        </w:rPr>
        <w:t xml:space="preserve"> 24 de a</w:t>
      </w:r>
      <w:r w:rsidR="00E2041A" w:rsidRPr="002E4477">
        <w:rPr>
          <w:szCs w:val="28"/>
          <w:lang w:val="es-ES_tradnl" w:eastAsia="es-CO"/>
        </w:rPr>
        <w:t xml:space="preserve">bril de 2017, </w:t>
      </w:r>
      <w:r w:rsidR="00D50307" w:rsidRPr="002E4477">
        <w:rPr>
          <w:szCs w:val="28"/>
          <w:lang w:val="es-ES_tradnl" w:eastAsia="es-CO"/>
        </w:rPr>
        <w:t>ante las decisiones de nulidad de los acuerdos y decretos de convocatoria</w:t>
      </w:r>
      <w:r w:rsidR="00D97A79" w:rsidRPr="002E4477">
        <w:rPr>
          <w:szCs w:val="28"/>
          <w:lang w:val="es-ES_tradnl" w:eastAsia="es-CO"/>
        </w:rPr>
        <w:t>, proferidas por el Consejo de Estado</w:t>
      </w:r>
      <w:r w:rsidR="00D50307" w:rsidRPr="002E4477">
        <w:rPr>
          <w:szCs w:val="28"/>
          <w:lang w:val="es-ES_tradnl" w:eastAsia="es-CO"/>
        </w:rPr>
        <w:t xml:space="preserve">. Se destaca </w:t>
      </w:r>
      <w:r w:rsidR="00D97A79" w:rsidRPr="002E4477">
        <w:rPr>
          <w:szCs w:val="28"/>
          <w:lang w:val="es-ES_tradnl" w:eastAsia="es-CO"/>
        </w:rPr>
        <w:t>de</w:t>
      </w:r>
      <w:r w:rsidR="00DB0C0E" w:rsidRPr="002E4477">
        <w:rPr>
          <w:szCs w:val="28"/>
          <w:lang w:val="es-ES_tradnl" w:eastAsia="es-CO"/>
        </w:rPr>
        <w:t xml:space="preserve"> ellos</w:t>
      </w:r>
      <w:r w:rsidR="00D97A79" w:rsidRPr="002E4477">
        <w:rPr>
          <w:szCs w:val="28"/>
          <w:lang w:val="es-ES_tradnl" w:eastAsia="es-CO"/>
        </w:rPr>
        <w:t xml:space="preserve">, </w:t>
      </w:r>
      <w:r w:rsidR="00D50307" w:rsidRPr="002E4477">
        <w:rPr>
          <w:szCs w:val="28"/>
          <w:lang w:val="es-ES_tradnl" w:eastAsia="es-CO"/>
        </w:rPr>
        <w:t xml:space="preserve">la preocupación por la </w:t>
      </w:r>
      <w:r w:rsidR="00E2041A" w:rsidRPr="002E4477">
        <w:rPr>
          <w:szCs w:val="28"/>
          <w:lang w:val="es-ES_tradnl" w:eastAsia="es-CO"/>
        </w:rPr>
        <w:t xml:space="preserve">aparente </w:t>
      </w:r>
      <w:r w:rsidR="00D50307" w:rsidRPr="002E4477">
        <w:rPr>
          <w:szCs w:val="28"/>
          <w:lang w:val="es-ES_tradnl" w:eastAsia="es-CO"/>
        </w:rPr>
        <w:t xml:space="preserve">ausencia de mecanismos de transición </w:t>
      </w:r>
      <w:r w:rsidR="00E2041A" w:rsidRPr="002E4477">
        <w:rPr>
          <w:szCs w:val="28"/>
          <w:lang w:val="es-ES_tradnl" w:eastAsia="es-CO"/>
        </w:rPr>
        <w:t>ante</w:t>
      </w:r>
      <w:r w:rsidR="009A66C8" w:rsidRPr="002E4477">
        <w:rPr>
          <w:szCs w:val="28"/>
          <w:lang w:val="es-ES_tradnl" w:eastAsia="es-CO"/>
        </w:rPr>
        <w:t xml:space="preserve"> estos hechos</w:t>
      </w:r>
      <w:r w:rsidR="00DB0C0E" w:rsidRPr="002E4477">
        <w:rPr>
          <w:szCs w:val="28"/>
          <w:lang w:val="es-ES_tradnl" w:eastAsia="es-CO"/>
        </w:rPr>
        <w:t>,</w:t>
      </w:r>
      <w:r w:rsidR="00E2041A" w:rsidRPr="002E4477">
        <w:rPr>
          <w:szCs w:val="28"/>
          <w:lang w:val="es-ES_tradnl" w:eastAsia="es-CO"/>
        </w:rPr>
        <w:t xml:space="preserve"> </w:t>
      </w:r>
      <w:r w:rsidR="00D50307" w:rsidRPr="002E4477">
        <w:rPr>
          <w:szCs w:val="28"/>
          <w:lang w:val="es-ES_tradnl" w:eastAsia="es-CO"/>
        </w:rPr>
        <w:t xml:space="preserve">y la intranquilidad por la eventual afectación del equilibrio de poderes y del diseño institucional de la Carta, con </w:t>
      </w:r>
      <w:r w:rsidR="009A66C8" w:rsidRPr="002E4477">
        <w:rPr>
          <w:szCs w:val="28"/>
          <w:lang w:val="es-ES_tradnl" w:eastAsia="es-CO"/>
        </w:rPr>
        <w:t xml:space="preserve">la situación de interinidad de </w:t>
      </w:r>
      <w:r w:rsidR="00D50307" w:rsidRPr="002E4477">
        <w:rPr>
          <w:szCs w:val="28"/>
          <w:lang w:val="es-ES_tradnl" w:eastAsia="es-CO"/>
        </w:rPr>
        <w:t xml:space="preserve">las instituciones involucradas. </w:t>
      </w:r>
    </w:p>
    <w:p w14:paraId="587D894C" w14:textId="77777777" w:rsidR="00B25727" w:rsidRPr="002E4477" w:rsidRDefault="00B25727" w:rsidP="009125EE">
      <w:pPr>
        <w:pStyle w:val="NormalWeb"/>
        <w:tabs>
          <w:tab w:val="left" w:pos="426"/>
        </w:tabs>
        <w:spacing w:before="0" w:beforeAutospacing="0" w:after="0" w:afterAutospacing="0"/>
        <w:ind w:right="40"/>
        <w:jc w:val="both"/>
        <w:rPr>
          <w:b/>
          <w:bCs/>
          <w:sz w:val="30"/>
          <w:szCs w:val="30"/>
        </w:rPr>
      </w:pPr>
    </w:p>
    <w:p w14:paraId="630915EE" w14:textId="77777777" w:rsidR="00A7121F" w:rsidRDefault="00A7121F" w:rsidP="009125EE">
      <w:pPr>
        <w:pStyle w:val="NormalWeb"/>
        <w:tabs>
          <w:tab w:val="left" w:pos="426"/>
        </w:tabs>
        <w:spacing w:before="0" w:beforeAutospacing="0" w:after="0" w:afterAutospacing="0"/>
        <w:ind w:right="40"/>
        <w:jc w:val="both"/>
        <w:rPr>
          <w:sz w:val="28"/>
          <w:szCs w:val="28"/>
        </w:rPr>
      </w:pPr>
      <w:r w:rsidRPr="002E4477">
        <w:rPr>
          <w:sz w:val="28"/>
          <w:szCs w:val="28"/>
        </w:rPr>
        <w:t xml:space="preserve">En el primer caso, </w:t>
      </w:r>
      <w:r w:rsidR="009A66C8" w:rsidRPr="002E4477">
        <w:rPr>
          <w:sz w:val="28"/>
          <w:szCs w:val="28"/>
        </w:rPr>
        <w:t xml:space="preserve">por ejemplo, </w:t>
      </w:r>
      <w:r w:rsidRPr="002E4477">
        <w:rPr>
          <w:sz w:val="28"/>
          <w:szCs w:val="28"/>
        </w:rPr>
        <w:t xml:space="preserve">ante la pregunta tendiente a determinar si se afectaba el equilibrio de poderes y el diseño institucional de la Constitución Política con el hecho de que los magistrados de la Sala Jurisdiccional Disciplinaria continuaran en el ejercicio de sus funciones pese al cumplimiento de su período constitucional, la Sala de </w:t>
      </w:r>
      <w:r w:rsidR="009A66C8" w:rsidRPr="002E4477">
        <w:rPr>
          <w:sz w:val="28"/>
          <w:szCs w:val="28"/>
        </w:rPr>
        <w:t>C</w:t>
      </w:r>
      <w:r w:rsidRPr="002E4477">
        <w:rPr>
          <w:sz w:val="28"/>
          <w:szCs w:val="28"/>
        </w:rPr>
        <w:t>onsulta</w:t>
      </w:r>
      <w:r w:rsidR="00F04605" w:rsidRPr="002E4477">
        <w:rPr>
          <w:sz w:val="28"/>
          <w:szCs w:val="28"/>
        </w:rPr>
        <w:t xml:space="preserve"> y Servicio Civil en tales conceptos,</w:t>
      </w:r>
      <w:r w:rsidRPr="002E4477">
        <w:rPr>
          <w:sz w:val="28"/>
          <w:szCs w:val="28"/>
        </w:rPr>
        <w:t xml:space="preserve"> señaló que si bien “</w:t>
      </w:r>
      <w:r w:rsidRPr="002E4477">
        <w:rPr>
          <w:i/>
          <w:iCs/>
          <w:sz w:val="28"/>
          <w:szCs w:val="28"/>
        </w:rPr>
        <w:t>la extensión de la permanencia en los cargos, no significa</w:t>
      </w:r>
      <w:r w:rsidR="009A66C8" w:rsidRPr="002E4477">
        <w:rPr>
          <w:i/>
          <w:iCs/>
          <w:sz w:val="28"/>
          <w:szCs w:val="28"/>
        </w:rPr>
        <w:t>[ba]</w:t>
      </w:r>
      <w:r w:rsidRPr="002E4477">
        <w:rPr>
          <w:i/>
          <w:iCs/>
          <w:sz w:val="28"/>
          <w:szCs w:val="28"/>
        </w:rPr>
        <w:t xml:space="preserve"> a priori que</w:t>
      </w:r>
      <w:r w:rsidR="001960BC" w:rsidRPr="002E4477">
        <w:rPr>
          <w:i/>
          <w:iCs/>
          <w:sz w:val="28"/>
          <w:szCs w:val="28"/>
        </w:rPr>
        <w:t xml:space="preserve"> </w:t>
      </w:r>
      <w:r w:rsidR="009A66C8" w:rsidRPr="002E4477">
        <w:rPr>
          <w:i/>
          <w:iCs/>
          <w:sz w:val="28"/>
          <w:szCs w:val="28"/>
        </w:rPr>
        <w:t xml:space="preserve">[se] </w:t>
      </w:r>
      <w:r w:rsidRPr="002E4477">
        <w:rPr>
          <w:i/>
          <w:iCs/>
          <w:sz w:val="28"/>
          <w:szCs w:val="28"/>
        </w:rPr>
        <w:t xml:space="preserve">afecte el equilibrio de poderes”, </w:t>
      </w:r>
      <w:r w:rsidRPr="002E4477">
        <w:rPr>
          <w:sz w:val="28"/>
          <w:szCs w:val="28"/>
        </w:rPr>
        <w:t>la continuidad de la situación</w:t>
      </w:r>
      <w:r w:rsidR="009A66C8" w:rsidRPr="002E4477">
        <w:rPr>
          <w:sz w:val="28"/>
          <w:szCs w:val="28"/>
        </w:rPr>
        <w:t xml:space="preserve"> sí</w:t>
      </w:r>
      <w:r w:rsidRPr="002E4477">
        <w:rPr>
          <w:sz w:val="28"/>
          <w:szCs w:val="28"/>
        </w:rPr>
        <w:t xml:space="preserve"> </w:t>
      </w:r>
      <w:r w:rsidRPr="002E4477">
        <w:rPr>
          <w:i/>
          <w:iCs/>
          <w:sz w:val="28"/>
          <w:szCs w:val="28"/>
        </w:rPr>
        <w:t>“podría llegar a afectar tal equilibrio, en tanto y en cuanto se permitiría un privilegio personal dentro de unas reglas constitucionales que lo excluyen</w:t>
      </w:r>
      <w:r w:rsidRPr="002E4477">
        <w:rPr>
          <w:sz w:val="28"/>
          <w:szCs w:val="28"/>
        </w:rPr>
        <w:t>”</w:t>
      </w:r>
      <w:r w:rsidR="007B439B" w:rsidRPr="002E4477">
        <w:rPr>
          <w:rStyle w:val="Refdenotaalpie"/>
          <w:sz w:val="28"/>
          <w:szCs w:val="28"/>
        </w:rPr>
        <w:footnoteReference w:id="301"/>
      </w:r>
      <w:r w:rsidRPr="002E4477">
        <w:rPr>
          <w:sz w:val="28"/>
          <w:szCs w:val="28"/>
        </w:rPr>
        <w:t>.</w:t>
      </w:r>
    </w:p>
    <w:p w14:paraId="6E9B25D2" w14:textId="77777777" w:rsidR="005C1C63" w:rsidRPr="002E4477" w:rsidRDefault="005C1C63" w:rsidP="009125EE">
      <w:pPr>
        <w:pStyle w:val="NormalWeb"/>
        <w:tabs>
          <w:tab w:val="left" w:pos="426"/>
        </w:tabs>
        <w:spacing w:before="0" w:beforeAutospacing="0" w:after="0" w:afterAutospacing="0"/>
        <w:ind w:right="40"/>
        <w:jc w:val="both"/>
        <w:rPr>
          <w:sz w:val="28"/>
          <w:szCs w:val="28"/>
        </w:rPr>
      </w:pPr>
    </w:p>
    <w:p w14:paraId="5106EBBD" w14:textId="77777777" w:rsidR="005701CB" w:rsidRDefault="000668B1" w:rsidP="005701CB">
      <w:pPr>
        <w:pStyle w:val="NormalWeb"/>
        <w:tabs>
          <w:tab w:val="left" w:pos="426"/>
        </w:tabs>
        <w:spacing w:before="0" w:beforeAutospacing="0" w:after="0" w:afterAutospacing="0"/>
        <w:ind w:right="40"/>
        <w:jc w:val="both"/>
        <w:rPr>
          <w:sz w:val="28"/>
          <w:szCs w:val="28"/>
        </w:rPr>
      </w:pPr>
      <w:r w:rsidRPr="002E4477">
        <w:rPr>
          <w:sz w:val="28"/>
          <w:szCs w:val="28"/>
        </w:rPr>
        <w:t>Igualmente</w:t>
      </w:r>
      <w:r w:rsidR="007B439B" w:rsidRPr="002E4477">
        <w:rPr>
          <w:sz w:val="28"/>
          <w:szCs w:val="28"/>
        </w:rPr>
        <w:t xml:space="preserve">, </w:t>
      </w:r>
      <w:r w:rsidR="009A66C8" w:rsidRPr="002E4477">
        <w:rPr>
          <w:sz w:val="28"/>
          <w:szCs w:val="28"/>
        </w:rPr>
        <w:t xml:space="preserve">ante </w:t>
      </w:r>
      <w:r w:rsidR="007B439B" w:rsidRPr="002E4477">
        <w:rPr>
          <w:sz w:val="28"/>
          <w:szCs w:val="28"/>
        </w:rPr>
        <w:t xml:space="preserve">la pregunta de cómo se debería proceder en caso de que se generara la </w:t>
      </w:r>
      <w:r w:rsidR="0044728C" w:rsidRPr="002E4477">
        <w:rPr>
          <w:sz w:val="28"/>
          <w:szCs w:val="28"/>
        </w:rPr>
        <w:t>ausencia</w:t>
      </w:r>
      <w:r w:rsidR="007B439B" w:rsidRPr="002E4477">
        <w:rPr>
          <w:sz w:val="28"/>
          <w:szCs w:val="28"/>
        </w:rPr>
        <w:t xml:space="preserve"> de </w:t>
      </w:r>
      <w:r w:rsidR="00C2479E" w:rsidRPr="002E4477">
        <w:rPr>
          <w:sz w:val="28"/>
          <w:szCs w:val="28"/>
        </w:rPr>
        <w:t xml:space="preserve">alguno </w:t>
      </w:r>
      <w:r w:rsidR="007B439B" w:rsidRPr="002E4477">
        <w:rPr>
          <w:sz w:val="28"/>
          <w:szCs w:val="28"/>
        </w:rPr>
        <w:t xml:space="preserve">de </w:t>
      </w:r>
      <w:r w:rsidR="009A66C8" w:rsidRPr="002E4477">
        <w:rPr>
          <w:sz w:val="28"/>
          <w:szCs w:val="28"/>
        </w:rPr>
        <w:t>los</w:t>
      </w:r>
      <w:r w:rsidR="007B439B" w:rsidRPr="002E4477">
        <w:rPr>
          <w:sz w:val="28"/>
          <w:szCs w:val="28"/>
        </w:rPr>
        <w:t xml:space="preserve"> </w:t>
      </w:r>
      <w:r w:rsidR="009A66C8" w:rsidRPr="002E4477">
        <w:rPr>
          <w:sz w:val="28"/>
          <w:szCs w:val="28"/>
        </w:rPr>
        <w:t>m</w:t>
      </w:r>
      <w:r w:rsidR="007B439B" w:rsidRPr="002E4477">
        <w:rPr>
          <w:sz w:val="28"/>
          <w:szCs w:val="28"/>
        </w:rPr>
        <w:t>agistrados</w:t>
      </w:r>
      <w:r w:rsidR="009A66C8" w:rsidRPr="002E4477">
        <w:rPr>
          <w:sz w:val="28"/>
          <w:szCs w:val="28"/>
        </w:rPr>
        <w:t xml:space="preserve"> de la Sala Jurisdiccional</w:t>
      </w:r>
      <w:r w:rsidR="00F04605" w:rsidRPr="002E4477">
        <w:rPr>
          <w:sz w:val="28"/>
          <w:szCs w:val="28"/>
        </w:rPr>
        <w:t xml:space="preserve"> Disciplinaria</w:t>
      </w:r>
      <w:r w:rsidR="007B439B" w:rsidRPr="002E4477">
        <w:rPr>
          <w:sz w:val="28"/>
          <w:szCs w:val="28"/>
        </w:rPr>
        <w:t xml:space="preserve">, </w:t>
      </w:r>
      <w:r w:rsidR="00C2479E" w:rsidRPr="002E4477">
        <w:rPr>
          <w:sz w:val="28"/>
          <w:szCs w:val="28"/>
        </w:rPr>
        <w:t xml:space="preserve">la Sala de Consulta </w:t>
      </w:r>
      <w:r w:rsidR="007B439B" w:rsidRPr="002E4477">
        <w:rPr>
          <w:sz w:val="28"/>
          <w:szCs w:val="28"/>
        </w:rPr>
        <w:t xml:space="preserve">sostuvo </w:t>
      </w:r>
      <w:r w:rsidR="00F04605" w:rsidRPr="002E4477">
        <w:rPr>
          <w:sz w:val="28"/>
          <w:szCs w:val="28"/>
        </w:rPr>
        <w:t>lo siguiente</w:t>
      </w:r>
      <w:r w:rsidR="007B439B" w:rsidRPr="002E4477">
        <w:rPr>
          <w:sz w:val="28"/>
          <w:szCs w:val="28"/>
        </w:rPr>
        <w:t xml:space="preserve">: </w:t>
      </w:r>
    </w:p>
    <w:p w14:paraId="118E94A5" w14:textId="77777777" w:rsidR="005701CB" w:rsidRPr="002E4477" w:rsidRDefault="005701CB" w:rsidP="005701CB">
      <w:pPr>
        <w:pStyle w:val="NormalWeb"/>
        <w:tabs>
          <w:tab w:val="left" w:pos="426"/>
        </w:tabs>
        <w:spacing w:before="0" w:beforeAutospacing="0" w:after="0" w:afterAutospacing="0" w:line="276" w:lineRule="auto"/>
        <w:ind w:right="40"/>
        <w:jc w:val="both"/>
        <w:rPr>
          <w:sz w:val="28"/>
          <w:szCs w:val="28"/>
        </w:rPr>
      </w:pPr>
    </w:p>
    <w:p w14:paraId="25E92F65" w14:textId="77777777" w:rsidR="001960BC" w:rsidRPr="000E05E7" w:rsidRDefault="007B439B" w:rsidP="005701CB">
      <w:pPr>
        <w:pStyle w:val="NormalWeb"/>
        <w:spacing w:before="0" w:beforeAutospacing="0" w:after="0" w:afterAutospacing="0"/>
        <w:ind w:left="284" w:right="40"/>
        <w:jc w:val="both"/>
        <w:rPr>
          <w:i/>
          <w:iCs/>
          <w:sz w:val="26"/>
          <w:szCs w:val="26"/>
        </w:rPr>
      </w:pPr>
      <w:r w:rsidRPr="000E05E7">
        <w:rPr>
          <w:i/>
          <w:iCs/>
          <w:sz w:val="26"/>
          <w:szCs w:val="26"/>
        </w:rPr>
        <w:t xml:space="preserve">“[P]ara la provisión de los empleos que integran dicha Sala, procede [la] aplicación del régimen constitucional y legal </w:t>
      </w:r>
      <w:r w:rsidRPr="000E05E7">
        <w:rPr>
          <w:b/>
          <w:bCs/>
          <w:i/>
          <w:iCs/>
          <w:sz w:val="26"/>
          <w:szCs w:val="26"/>
        </w:rPr>
        <w:t xml:space="preserve">originalmente previsto para tal efecto, esto es, el artículo 254 inciso segundo original de la Constitución de 1991, el cual, </w:t>
      </w:r>
      <w:r w:rsidRPr="000E05E7">
        <w:rPr>
          <w:b/>
          <w:bCs/>
          <w:i/>
          <w:iCs/>
          <w:sz w:val="26"/>
          <w:szCs w:val="26"/>
          <w:u w:val="single"/>
        </w:rPr>
        <w:t xml:space="preserve">si bien no forma parte hoy en día del texto </w:t>
      </w:r>
      <w:r w:rsidR="00161670" w:rsidRPr="000E05E7">
        <w:rPr>
          <w:b/>
          <w:bCs/>
          <w:i/>
          <w:iCs/>
          <w:sz w:val="26"/>
          <w:szCs w:val="26"/>
          <w:u w:val="single"/>
        </w:rPr>
        <w:t>constitucional</w:t>
      </w:r>
      <w:r w:rsidR="00161670" w:rsidRPr="000E05E7">
        <w:rPr>
          <w:b/>
          <w:bCs/>
          <w:i/>
          <w:iCs/>
          <w:sz w:val="26"/>
          <w:szCs w:val="26"/>
        </w:rPr>
        <w:t xml:space="preserve">, </w:t>
      </w:r>
      <w:r w:rsidR="009A66C8" w:rsidRPr="000E05E7">
        <w:rPr>
          <w:b/>
          <w:bCs/>
          <w:i/>
          <w:iCs/>
          <w:sz w:val="26"/>
          <w:szCs w:val="26"/>
        </w:rPr>
        <w:t>continúa produciendo efectos jurídicos</w:t>
      </w:r>
      <w:r w:rsidR="009A66C8" w:rsidRPr="000E05E7">
        <w:rPr>
          <w:i/>
          <w:iCs/>
          <w:sz w:val="26"/>
          <w:szCs w:val="26"/>
        </w:rPr>
        <w:t>, en virtud de la permanencia de la Sala</w:t>
      </w:r>
      <w:r w:rsidRPr="000E05E7">
        <w:rPr>
          <w:i/>
          <w:iCs/>
          <w:sz w:val="26"/>
          <w:szCs w:val="26"/>
        </w:rPr>
        <w:t xml:space="preserve"> Jurisdiccional Disciplinaria, en los términos y por las razones explicadas en este concepto. Además, por razón de </w:t>
      </w:r>
      <w:r w:rsidRPr="000E05E7">
        <w:rPr>
          <w:b/>
          <w:bCs/>
          <w:i/>
          <w:iCs/>
          <w:sz w:val="26"/>
          <w:szCs w:val="26"/>
        </w:rPr>
        <w:t xml:space="preserve">la necesaria aplicación ultractiva de la norma constitucional en cita, </w:t>
      </w:r>
      <w:r w:rsidRPr="000E05E7">
        <w:rPr>
          <w:b/>
          <w:bCs/>
          <w:i/>
          <w:iCs/>
          <w:sz w:val="26"/>
          <w:szCs w:val="26"/>
          <w:u w:val="single"/>
        </w:rPr>
        <w:t xml:space="preserve">debe </w:t>
      </w:r>
      <w:r w:rsidR="00161670" w:rsidRPr="000E05E7">
        <w:rPr>
          <w:b/>
          <w:bCs/>
          <w:i/>
          <w:iCs/>
          <w:sz w:val="26"/>
          <w:szCs w:val="26"/>
          <w:u w:val="single"/>
        </w:rPr>
        <w:t xml:space="preserve">entenderse </w:t>
      </w:r>
      <w:r w:rsidR="009A66C8" w:rsidRPr="000E05E7">
        <w:rPr>
          <w:b/>
          <w:bCs/>
          <w:i/>
          <w:iCs/>
          <w:sz w:val="26"/>
          <w:szCs w:val="26"/>
          <w:u w:val="single"/>
        </w:rPr>
        <w:t xml:space="preserve">vigente el artículo 76, numeral 2 de la </w:t>
      </w:r>
      <w:r w:rsidR="00C2479E" w:rsidRPr="000E05E7">
        <w:rPr>
          <w:b/>
          <w:bCs/>
          <w:i/>
          <w:iCs/>
          <w:sz w:val="26"/>
          <w:szCs w:val="26"/>
          <w:u w:val="single"/>
        </w:rPr>
        <w:t xml:space="preserve">Ley </w:t>
      </w:r>
      <w:r w:rsidR="003F3607" w:rsidRPr="000E05E7">
        <w:rPr>
          <w:b/>
          <w:bCs/>
          <w:i/>
          <w:iCs/>
          <w:sz w:val="26"/>
          <w:szCs w:val="26"/>
          <w:u w:val="single"/>
        </w:rPr>
        <w:t>270 de</w:t>
      </w:r>
      <w:r w:rsidRPr="000E05E7">
        <w:rPr>
          <w:b/>
          <w:bCs/>
          <w:i/>
          <w:iCs/>
          <w:sz w:val="26"/>
          <w:szCs w:val="26"/>
          <w:u w:val="single"/>
        </w:rPr>
        <w:t xml:space="preserve">  1996,  Estatutaria  de  la Administración de Justicia</w:t>
      </w:r>
      <w:r w:rsidRPr="000E05E7">
        <w:rPr>
          <w:i/>
          <w:iCs/>
          <w:sz w:val="26"/>
          <w:szCs w:val="26"/>
        </w:rPr>
        <w:t xml:space="preserve">, y las disposiciones del </w:t>
      </w:r>
      <w:r w:rsidRPr="000E05E7">
        <w:rPr>
          <w:b/>
          <w:bCs/>
          <w:i/>
          <w:iCs/>
          <w:sz w:val="26"/>
          <w:szCs w:val="26"/>
          <w:u w:val="single"/>
        </w:rPr>
        <w:t>Reglamento del Congreso (Ley 5 de 1992)</w:t>
      </w:r>
      <w:r w:rsidRPr="000E05E7">
        <w:rPr>
          <w:i/>
          <w:iCs/>
          <w:sz w:val="26"/>
          <w:szCs w:val="26"/>
        </w:rPr>
        <w:t xml:space="preserve"> que se refieren a este mismo asunto. De manera que, en criterio de la Sala, es procedente que el Congreso de la República provea en propiedad todos los cargos de magistrado de la Sala Jurisdiccional Disciplinaria, previa integración de las ternas correspondientes por el Presidente de la República, conforme a las normas citadas</w:t>
      </w:r>
      <w:r w:rsidR="00161670" w:rsidRPr="000E05E7">
        <w:rPr>
          <w:i/>
          <w:iCs/>
          <w:sz w:val="26"/>
          <w:szCs w:val="26"/>
        </w:rPr>
        <w:t>”</w:t>
      </w:r>
      <w:r w:rsidRPr="000E05E7">
        <w:rPr>
          <w:i/>
          <w:iCs/>
          <w:sz w:val="26"/>
          <w:szCs w:val="26"/>
        </w:rPr>
        <w:t xml:space="preserve">. </w:t>
      </w:r>
      <w:r w:rsidR="001960BC" w:rsidRPr="000E05E7">
        <w:rPr>
          <w:i/>
          <w:iCs/>
          <w:sz w:val="26"/>
          <w:szCs w:val="26"/>
        </w:rPr>
        <w:t>(…)</w:t>
      </w:r>
    </w:p>
    <w:p w14:paraId="7DCC0B08" w14:textId="77777777" w:rsidR="007B439B" w:rsidRDefault="00161670" w:rsidP="000E05E7">
      <w:pPr>
        <w:pStyle w:val="NormalWeb"/>
        <w:spacing w:before="0" w:beforeAutospacing="0" w:after="0" w:afterAutospacing="0"/>
        <w:ind w:left="284" w:right="40"/>
        <w:jc w:val="both"/>
        <w:rPr>
          <w:i/>
          <w:iCs/>
          <w:sz w:val="26"/>
          <w:szCs w:val="26"/>
        </w:rPr>
      </w:pPr>
      <w:r w:rsidRPr="000E05E7">
        <w:rPr>
          <w:i/>
          <w:iCs/>
          <w:sz w:val="26"/>
          <w:szCs w:val="26"/>
        </w:rPr>
        <w:t xml:space="preserve">“Adicionalmente, debe tenerse en cuenta que </w:t>
      </w:r>
      <w:r w:rsidRPr="000E05E7">
        <w:rPr>
          <w:b/>
          <w:bCs/>
          <w:i/>
          <w:iCs/>
          <w:sz w:val="26"/>
          <w:szCs w:val="26"/>
          <w:u w:val="single"/>
        </w:rPr>
        <w:t>la exigencia de regulación legal para el proceso de elección de servidores públicos, adicionada al artículo 126 de la Constitución por el artículo 2º del  Acto  Legislativo  2  de  2015,  no  resulta  jurídicamente  viable  para  la  elección  de  los magistrados de la Sala Jurisdiccional Disciplinaria</w:t>
      </w:r>
      <w:r w:rsidRPr="000E05E7">
        <w:rPr>
          <w:i/>
          <w:iCs/>
          <w:sz w:val="26"/>
          <w:szCs w:val="26"/>
        </w:rPr>
        <w:t>, bajo la consideración de que tales cargos continúan integrando una institución que, a pesar de haber sido suprimida de la Constitución Política, sigue existiendo transitoriamente, para hacer posible el cumplimiento ininterrumpido de varias funciones públicas, según se explicó”</w:t>
      </w:r>
      <w:r w:rsidR="00B2374A" w:rsidRPr="000E05E7">
        <w:rPr>
          <w:rStyle w:val="Refdenotaalpie"/>
          <w:sz w:val="26"/>
          <w:szCs w:val="26"/>
        </w:rPr>
        <w:t xml:space="preserve"> </w:t>
      </w:r>
      <w:r w:rsidR="00B2374A" w:rsidRPr="000E05E7">
        <w:rPr>
          <w:rStyle w:val="Refdenotaalpie"/>
          <w:sz w:val="26"/>
          <w:szCs w:val="26"/>
        </w:rPr>
        <w:footnoteReference w:id="302"/>
      </w:r>
      <w:r w:rsidRPr="000E05E7">
        <w:rPr>
          <w:sz w:val="26"/>
          <w:szCs w:val="26"/>
        </w:rPr>
        <w:t xml:space="preserve">. </w:t>
      </w:r>
      <w:r w:rsidR="00F04605" w:rsidRPr="000E05E7">
        <w:rPr>
          <w:sz w:val="26"/>
          <w:szCs w:val="26"/>
        </w:rPr>
        <w:t>(</w:t>
      </w:r>
      <w:r w:rsidR="00F04605" w:rsidRPr="00563282">
        <w:rPr>
          <w:sz w:val="28"/>
          <w:szCs w:val="28"/>
        </w:rPr>
        <w:t>Negrillas</w:t>
      </w:r>
      <w:r w:rsidR="003F3607" w:rsidRPr="00563282">
        <w:rPr>
          <w:sz w:val="28"/>
          <w:szCs w:val="28"/>
        </w:rPr>
        <w:t xml:space="preserve"> y subrayas</w:t>
      </w:r>
      <w:r w:rsidR="00F04605" w:rsidRPr="00563282">
        <w:rPr>
          <w:sz w:val="28"/>
          <w:szCs w:val="28"/>
        </w:rPr>
        <w:t xml:space="preserve"> fuera del original</w:t>
      </w:r>
      <w:r w:rsidR="00F04605" w:rsidRPr="000E05E7">
        <w:rPr>
          <w:sz w:val="26"/>
          <w:szCs w:val="26"/>
        </w:rPr>
        <w:t>)</w:t>
      </w:r>
      <w:r w:rsidR="003F3607" w:rsidRPr="000E05E7">
        <w:rPr>
          <w:sz w:val="26"/>
          <w:szCs w:val="26"/>
        </w:rPr>
        <w:t>.</w:t>
      </w:r>
      <w:r w:rsidR="00F04605" w:rsidRPr="000E05E7">
        <w:rPr>
          <w:i/>
          <w:iCs/>
          <w:sz w:val="26"/>
          <w:szCs w:val="26"/>
        </w:rPr>
        <w:t xml:space="preserve"> </w:t>
      </w:r>
    </w:p>
    <w:p w14:paraId="17D02DD7" w14:textId="77777777" w:rsidR="007B439B" w:rsidRPr="002E4477" w:rsidRDefault="007B439B" w:rsidP="005701CB">
      <w:pPr>
        <w:pStyle w:val="NormalWeb"/>
        <w:tabs>
          <w:tab w:val="left" w:pos="426"/>
        </w:tabs>
        <w:spacing w:before="0" w:beforeAutospacing="0" w:after="0" w:afterAutospacing="0"/>
        <w:ind w:right="40"/>
        <w:jc w:val="both"/>
        <w:rPr>
          <w:b/>
          <w:bCs/>
          <w:sz w:val="30"/>
          <w:szCs w:val="30"/>
        </w:rPr>
      </w:pPr>
    </w:p>
    <w:p w14:paraId="287B555E" w14:textId="77777777" w:rsidR="0044728C" w:rsidRPr="002E4477" w:rsidRDefault="000C6E54" w:rsidP="005701CB">
      <w:pPr>
        <w:pStyle w:val="NormalWeb"/>
        <w:tabs>
          <w:tab w:val="left" w:pos="426"/>
        </w:tabs>
        <w:spacing w:before="0" w:beforeAutospacing="0" w:after="0" w:afterAutospacing="0"/>
        <w:ind w:right="40"/>
        <w:jc w:val="both"/>
        <w:rPr>
          <w:sz w:val="28"/>
          <w:szCs w:val="28"/>
        </w:rPr>
      </w:pPr>
      <w:r w:rsidRPr="002E4477">
        <w:rPr>
          <w:sz w:val="28"/>
          <w:szCs w:val="28"/>
        </w:rPr>
        <w:t>Se trata de a</w:t>
      </w:r>
      <w:r w:rsidR="000668B1" w:rsidRPr="002E4477">
        <w:rPr>
          <w:sz w:val="28"/>
          <w:szCs w:val="28"/>
        </w:rPr>
        <w:t xml:space="preserve">preciaciones que </w:t>
      </w:r>
      <w:r w:rsidR="001960BC" w:rsidRPr="002E4477">
        <w:rPr>
          <w:sz w:val="28"/>
          <w:szCs w:val="28"/>
        </w:rPr>
        <w:t>dan cuenta de</w:t>
      </w:r>
      <w:r w:rsidRPr="002E4477">
        <w:rPr>
          <w:sz w:val="28"/>
          <w:szCs w:val="28"/>
        </w:rPr>
        <w:t xml:space="preserve"> la </w:t>
      </w:r>
      <w:r w:rsidR="005D1F72" w:rsidRPr="002E4477">
        <w:rPr>
          <w:sz w:val="28"/>
          <w:szCs w:val="28"/>
        </w:rPr>
        <w:t>p</w:t>
      </w:r>
      <w:r w:rsidR="00161670" w:rsidRPr="002E4477">
        <w:rPr>
          <w:sz w:val="28"/>
          <w:szCs w:val="28"/>
        </w:rPr>
        <w:t>aradoja constitucional</w:t>
      </w:r>
      <w:r w:rsidR="003F3607" w:rsidRPr="002E4477">
        <w:rPr>
          <w:sz w:val="28"/>
          <w:szCs w:val="28"/>
        </w:rPr>
        <w:t xml:space="preserve"> </w:t>
      </w:r>
      <w:r w:rsidR="004A506D" w:rsidRPr="002E4477">
        <w:rPr>
          <w:sz w:val="28"/>
          <w:szCs w:val="28"/>
        </w:rPr>
        <w:t>que se</w:t>
      </w:r>
      <w:r w:rsidRPr="002E4477">
        <w:rPr>
          <w:sz w:val="28"/>
          <w:szCs w:val="28"/>
        </w:rPr>
        <w:t xml:space="preserve"> vive en estos momentos frente </w:t>
      </w:r>
      <w:r w:rsidR="00A17A58" w:rsidRPr="002E4477">
        <w:rPr>
          <w:sz w:val="28"/>
          <w:szCs w:val="28"/>
        </w:rPr>
        <w:t>a la arquitectura institucional derivada del Acto Legislativo 02 de 2015</w:t>
      </w:r>
      <w:r w:rsidRPr="002E4477">
        <w:rPr>
          <w:sz w:val="28"/>
          <w:szCs w:val="28"/>
        </w:rPr>
        <w:t>, pues,</w:t>
      </w:r>
      <w:r w:rsidR="0044728C" w:rsidRPr="002E4477">
        <w:rPr>
          <w:sz w:val="28"/>
          <w:szCs w:val="28"/>
        </w:rPr>
        <w:t xml:space="preserve"> </w:t>
      </w:r>
      <w:r w:rsidR="009A66C8" w:rsidRPr="002E4477">
        <w:rPr>
          <w:sz w:val="28"/>
          <w:szCs w:val="28"/>
        </w:rPr>
        <w:t>d</w:t>
      </w:r>
      <w:r w:rsidR="004C5E1B" w:rsidRPr="002E4477">
        <w:rPr>
          <w:sz w:val="28"/>
          <w:szCs w:val="28"/>
        </w:rPr>
        <w:t>e un lado</w:t>
      </w:r>
      <w:r w:rsidR="0044728C" w:rsidRPr="002E4477">
        <w:rPr>
          <w:sz w:val="28"/>
          <w:szCs w:val="28"/>
        </w:rPr>
        <w:t>,</w:t>
      </w:r>
      <w:r w:rsidR="000F290F" w:rsidRPr="002E4477">
        <w:rPr>
          <w:sz w:val="28"/>
          <w:szCs w:val="28"/>
        </w:rPr>
        <w:t xml:space="preserve"> </w:t>
      </w:r>
      <w:r w:rsidRPr="002E4477">
        <w:rPr>
          <w:sz w:val="28"/>
          <w:szCs w:val="28"/>
        </w:rPr>
        <w:t xml:space="preserve">se </w:t>
      </w:r>
      <w:r w:rsidR="001960BC" w:rsidRPr="002E4477">
        <w:rPr>
          <w:sz w:val="28"/>
          <w:szCs w:val="28"/>
        </w:rPr>
        <w:t xml:space="preserve">evidencia </w:t>
      </w:r>
      <w:r w:rsidR="000F290F" w:rsidRPr="002E4477">
        <w:rPr>
          <w:sz w:val="28"/>
          <w:szCs w:val="28"/>
        </w:rPr>
        <w:t>la presunta</w:t>
      </w:r>
      <w:r w:rsidR="00161670" w:rsidRPr="002E4477">
        <w:rPr>
          <w:sz w:val="28"/>
          <w:szCs w:val="28"/>
        </w:rPr>
        <w:t xml:space="preserve"> imposibilidad de darle aplicación a</w:t>
      </w:r>
      <w:r w:rsidR="000F290F" w:rsidRPr="002E4477">
        <w:rPr>
          <w:sz w:val="28"/>
          <w:szCs w:val="28"/>
        </w:rPr>
        <w:t xml:space="preserve"> </w:t>
      </w:r>
      <w:r w:rsidR="00161670" w:rsidRPr="002E4477">
        <w:rPr>
          <w:sz w:val="28"/>
          <w:szCs w:val="28"/>
        </w:rPr>
        <w:t xml:space="preserve">normas constitucionales </w:t>
      </w:r>
      <w:r w:rsidR="00161670" w:rsidRPr="002E4477">
        <w:rPr>
          <w:b/>
          <w:bCs/>
          <w:sz w:val="28"/>
          <w:szCs w:val="28"/>
        </w:rPr>
        <w:t>vigentes</w:t>
      </w:r>
      <w:r w:rsidR="000F290F" w:rsidRPr="002E4477">
        <w:rPr>
          <w:b/>
          <w:bCs/>
          <w:sz w:val="28"/>
          <w:szCs w:val="28"/>
        </w:rPr>
        <w:t xml:space="preserve"> y actuales</w:t>
      </w:r>
      <w:r w:rsidR="00161670" w:rsidRPr="002E4477">
        <w:rPr>
          <w:sz w:val="28"/>
          <w:szCs w:val="28"/>
        </w:rPr>
        <w:t xml:space="preserve"> </w:t>
      </w:r>
      <w:r w:rsidR="000F290F" w:rsidRPr="002E4477">
        <w:rPr>
          <w:sz w:val="28"/>
          <w:szCs w:val="28"/>
        </w:rPr>
        <w:t>relacionadas con la</w:t>
      </w:r>
      <w:r w:rsidR="009A66C8" w:rsidRPr="002E4477">
        <w:rPr>
          <w:sz w:val="28"/>
          <w:szCs w:val="28"/>
        </w:rPr>
        <w:t xml:space="preserve"> conformación y </w:t>
      </w:r>
      <w:r w:rsidR="000F290F" w:rsidRPr="002E4477">
        <w:rPr>
          <w:sz w:val="28"/>
          <w:szCs w:val="28"/>
        </w:rPr>
        <w:t xml:space="preserve">elección de la </w:t>
      </w:r>
      <w:r w:rsidR="004C5E1B" w:rsidRPr="002E4477">
        <w:rPr>
          <w:sz w:val="28"/>
          <w:szCs w:val="28"/>
        </w:rPr>
        <w:t xml:space="preserve">CNDJ, bajo el supuesto </w:t>
      </w:r>
      <w:r w:rsidR="000F290F" w:rsidRPr="002E4477">
        <w:rPr>
          <w:sz w:val="28"/>
          <w:szCs w:val="28"/>
        </w:rPr>
        <w:t>de</w:t>
      </w:r>
      <w:r w:rsidR="00B2374A" w:rsidRPr="002E4477">
        <w:rPr>
          <w:sz w:val="28"/>
          <w:szCs w:val="28"/>
        </w:rPr>
        <w:t xml:space="preserve"> </w:t>
      </w:r>
      <w:r w:rsidR="000F290F" w:rsidRPr="002E4477">
        <w:rPr>
          <w:sz w:val="28"/>
          <w:szCs w:val="28"/>
        </w:rPr>
        <w:t>la</w:t>
      </w:r>
      <w:r w:rsidR="00B2374A" w:rsidRPr="002E4477">
        <w:rPr>
          <w:sz w:val="28"/>
          <w:szCs w:val="28"/>
        </w:rPr>
        <w:t xml:space="preserve"> </w:t>
      </w:r>
      <w:r w:rsidR="0044728C" w:rsidRPr="002E4477">
        <w:rPr>
          <w:sz w:val="28"/>
          <w:szCs w:val="28"/>
        </w:rPr>
        <w:t xml:space="preserve">ausencia </w:t>
      </w:r>
      <w:r w:rsidR="000F290F" w:rsidRPr="002E4477">
        <w:rPr>
          <w:sz w:val="28"/>
          <w:szCs w:val="28"/>
        </w:rPr>
        <w:t>de una ley que regule la convocatoria pública para la definición de las ternas correspondientes</w:t>
      </w:r>
      <w:r w:rsidRPr="002E4477">
        <w:rPr>
          <w:sz w:val="28"/>
          <w:szCs w:val="28"/>
        </w:rPr>
        <w:t xml:space="preserve"> </w:t>
      </w:r>
      <w:r w:rsidR="000F290F" w:rsidRPr="002E4477">
        <w:rPr>
          <w:sz w:val="28"/>
          <w:szCs w:val="28"/>
        </w:rPr>
        <w:t xml:space="preserve">por parte del CSJ; y del otro, paralelamente, </w:t>
      </w:r>
      <w:r w:rsidRPr="002E4477">
        <w:rPr>
          <w:sz w:val="28"/>
          <w:szCs w:val="28"/>
        </w:rPr>
        <w:t xml:space="preserve">existe </w:t>
      </w:r>
      <w:r w:rsidR="000F290F" w:rsidRPr="002E4477">
        <w:rPr>
          <w:sz w:val="28"/>
          <w:szCs w:val="28"/>
        </w:rPr>
        <w:t>la</w:t>
      </w:r>
      <w:r w:rsidR="0044728C" w:rsidRPr="002E4477">
        <w:rPr>
          <w:sz w:val="28"/>
          <w:szCs w:val="28"/>
        </w:rPr>
        <w:t xml:space="preserve"> necesidad de darle </w:t>
      </w:r>
      <w:r w:rsidR="000F290F" w:rsidRPr="002E4477">
        <w:rPr>
          <w:sz w:val="28"/>
          <w:szCs w:val="28"/>
        </w:rPr>
        <w:t xml:space="preserve">aplicación </w:t>
      </w:r>
      <w:r w:rsidR="000F290F" w:rsidRPr="002E4477">
        <w:rPr>
          <w:b/>
          <w:bCs/>
          <w:sz w:val="28"/>
          <w:szCs w:val="28"/>
        </w:rPr>
        <w:t>ultractiva</w:t>
      </w:r>
      <w:r w:rsidR="000F290F" w:rsidRPr="002E4477">
        <w:rPr>
          <w:sz w:val="28"/>
          <w:szCs w:val="28"/>
        </w:rPr>
        <w:t xml:space="preserve"> </w:t>
      </w:r>
      <w:r w:rsidR="005D1F72" w:rsidRPr="002E4477">
        <w:rPr>
          <w:sz w:val="28"/>
          <w:szCs w:val="28"/>
        </w:rPr>
        <w:t>a</w:t>
      </w:r>
      <w:r w:rsidR="000F290F" w:rsidRPr="002E4477">
        <w:rPr>
          <w:sz w:val="28"/>
          <w:szCs w:val="28"/>
        </w:rPr>
        <w:t xml:space="preserve"> normas constitucionales y legales </w:t>
      </w:r>
      <w:r w:rsidR="005D1F72" w:rsidRPr="002E4477">
        <w:rPr>
          <w:b/>
          <w:bCs/>
          <w:sz w:val="28"/>
          <w:szCs w:val="28"/>
        </w:rPr>
        <w:t>derogad</w:t>
      </w:r>
      <w:r w:rsidR="00B2374A" w:rsidRPr="002E4477">
        <w:rPr>
          <w:b/>
          <w:bCs/>
          <w:sz w:val="28"/>
          <w:szCs w:val="28"/>
        </w:rPr>
        <w:t>as</w:t>
      </w:r>
      <w:r w:rsidR="00B2374A" w:rsidRPr="002E4477">
        <w:rPr>
          <w:sz w:val="28"/>
          <w:szCs w:val="28"/>
        </w:rPr>
        <w:t>,</w:t>
      </w:r>
      <w:r w:rsidR="00B2374A" w:rsidRPr="002E4477">
        <w:rPr>
          <w:b/>
          <w:bCs/>
          <w:sz w:val="28"/>
          <w:szCs w:val="28"/>
        </w:rPr>
        <w:t xml:space="preserve"> </w:t>
      </w:r>
      <w:r w:rsidR="00B2374A" w:rsidRPr="002E4477">
        <w:rPr>
          <w:sz w:val="28"/>
          <w:szCs w:val="28"/>
        </w:rPr>
        <w:t xml:space="preserve">con el propósito de mantener </w:t>
      </w:r>
      <w:r w:rsidR="005D1F72" w:rsidRPr="002E4477">
        <w:rPr>
          <w:sz w:val="28"/>
          <w:szCs w:val="28"/>
        </w:rPr>
        <w:t>vi</w:t>
      </w:r>
      <w:r w:rsidR="00B2374A" w:rsidRPr="002E4477">
        <w:rPr>
          <w:sz w:val="28"/>
          <w:szCs w:val="28"/>
        </w:rPr>
        <w:t>vo</w:t>
      </w:r>
      <w:r w:rsidR="005D1F72" w:rsidRPr="002E4477">
        <w:rPr>
          <w:sz w:val="28"/>
          <w:szCs w:val="28"/>
        </w:rPr>
        <w:t xml:space="preserve"> </w:t>
      </w:r>
      <w:r w:rsidR="000F290F" w:rsidRPr="002E4477">
        <w:rPr>
          <w:sz w:val="28"/>
          <w:szCs w:val="28"/>
        </w:rPr>
        <w:t>un organismo</w:t>
      </w:r>
      <w:r w:rsidR="0044728C" w:rsidRPr="002E4477">
        <w:rPr>
          <w:sz w:val="28"/>
          <w:szCs w:val="28"/>
        </w:rPr>
        <w:t>,</w:t>
      </w:r>
      <w:r w:rsidR="000F290F" w:rsidRPr="002E4477">
        <w:rPr>
          <w:sz w:val="28"/>
          <w:szCs w:val="28"/>
        </w:rPr>
        <w:t xml:space="preserve"> </w:t>
      </w:r>
      <w:r w:rsidR="005D1F72" w:rsidRPr="002E4477">
        <w:rPr>
          <w:sz w:val="28"/>
          <w:szCs w:val="28"/>
        </w:rPr>
        <w:t xml:space="preserve">que </w:t>
      </w:r>
      <w:r w:rsidR="0044728C" w:rsidRPr="002E4477">
        <w:rPr>
          <w:sz w:val="28"/>
          <w:szCs w:val="28"/>
        </w:rPr>
        <w:t xml:space="preserve">además, </w:t>
      </w:r>
      <w:r w:rsidRPr="002E4477">
        <w:rPr>
          <w:sz w:val="28"/>
          <w:szCs w:val="28"/>
        </w:rPr>
        <w:t xml:space="preserve">ya </w:t>
      </w:r>
      <w:r w:rsidR="0044728C" w:rsidRPr="002E4477">
        <w:rPr>
          <w:b/>
          <w:bCs/>
          <w:sz w:val="28"/>
          <w:szCs w:val="28"/>
        </w:rPr>
        <w:t xml:space="preserve">no </w:t>
      </w:r>
      <w:r w:rsidR="005D1F72" w:rsidRPr="002E4477">
        <w:rPr>
          <w:b/>
          <w:bCs/>
          <w:sz w:val="28"/>
          <w:szCs w:val="28"/>
        </w:rPr>
        <w:t>existe</w:t>
      </w:r>
      <w:r w:rsidR="005D1F72" w:rsidRPr="002E4477">
        <w:rPr>
          <w:sz w:val="28"/>
          <w:szCs w:val="28"/>
        </w:rPr>
        <w:t xml:space="preserve"> </w:t>
      </w:r>
      <w:r w:rsidR="000F290F" w:rsidRPr="002E4477">
        <w:rPr>
          <w:sz w:val="28"/>
          <w:szCs w:val="28"/>
        </w:rPr>
        <w:t xml:space="preserve">en la Carta </w:t>
      </w:r>
      <w:r w:rsidR="005D1F72" w:rsidRPr="002E4477">
        <w:rPr>
          <w:sz w:val="28"/>
          <w:szCs w:val="28"/>
        </w:rPr>
        <w:t>Política</w:t>
      </w:r>
      <w:r w:rsidR="00136564" w:rsidRPr="002E4477">
        <w:rPr>
          <w:sz w:val="28"/>
          <w:szCs w:val="28"/>
        </w:rPr>
        <w:t>,</w:t>
      </w:r>
      <w:r w:rsidR="00F13D50" w:rsidRPr="002E4477">
        <w:rPr>
          <w:sz w:val="28"/>
          <w:szCs w:val="28"/>
        </w:rPr>
        <w:t xml:space="preserve"> como es la Sala Jurisdiccional Disciplinaria</w:t>
      </w:r>
      <w:r w:rsidR="005D1F72" w:rsidRPr="002E4477">
        <w:rPr>
          <w:sz w:val="28"/>
          <w:szCs w:val="28"/>
        </w:rPr>
        <w:t>.</w:t>
      </w:r>
      <w:r w:rsidR="00A17A58" w:rsidRPr="002E4477">
        <w:rPr>
          <w:sz w:val="28"/>
          <w:szCs w:val="28"/>
        </w:rPr>
        <w:t xml:space="preserve"> </w:t>
      </w:r>
      <w:r w:rsidR="0044728C" w:rsidRPr="002E4477">
        <w:rPr>
          <w:sz w:val="28"/>
          <w:szCs w:val="28"/>
        </w:rPr>
        <w:t>Una contradicción</w:t>
      </w:r>
      <w:r w:rsidR="00A17A58" w:rsidRPr="002E4477">
        <w:rPr>
          <w:sz w:val="28"/>
          <w:szCs w:val="28"/>
        </w:rPr>
        <w:t xml:space="preserve"> </w:t>
      </w:r>
      <w:r w:rsidR="00136564" w:rsidRPr="002E4477">
        <w:rPr>
          <w:sz w:val="28"/>
          <w:szCs w:val="28"/>
        </w:rPr>
        <w:t xml:space="preserve">que </w:t>
      </w:r>
      <w:r w:rsidR="003F3607" w:rsidRPr="002E4477">
        <w:rPr>
          <w:sz w:val="28"/>
          <w:szCs w:val="28"/>
        </w:rPr>
        <w:t xml:space="preserve">no siempre </w:t>
      </w:r>
      <w:r w:rsidR="00136564" w:rsidRPr="002E4477">
        <w:rPr>
          <w:sz w:val="28"/>
          <w:szCs w:val="28"/>
        </w:rPr>
        <w:t xml:space="preserve">es </w:t>
      </w:r>
      <w:r w:rsidR="003F3607" w:rsidRPr="002E4477">
        <w:rPr>
          <w:sz w:val="28"/>
          <w:szCs w:val="28"/>
        </w:rPr>
        <w:t>puesta en evidencia,</w:t>
      </w:r>
      <w:r w:rsidR="00136564" w:rsidRPr="002E4477">
        <w:rPr>
          <w:sz w:val="28"/>
          <w:szCs w:val="28"/>
        </w:rPr>
        <w:t xml:space="preserve"> y</w:t>
      </w:r>
      <w:r w:rsidR="003F3607" w:rsidRPr="002E4477">
        <w:rPr>
          <w:sz w:val="28"/>
          <w:szCs w:val="28"/>
        </w:rPr>
        <w:t xml:space="preserve"> que </w:t>
      </w:r>
      <w:r w:rsidR="00407EE6" w:rsidRPr="002E4477">
        <w:rPr>
          <w:sz w:val="28"/>
          <w:szCs w:val="28"/>
        </w:rPr>
        <w:t xml:space="preserve">destaca </w:t>
      </w:r>
      <w:r w:rsidR="003F3607" w:rsidRPr="002E4477">
        <w:rPr>
          <w:sz w:val="28"/>
          <w:szCs w:val="28"/>
        </w:rPr>
        <w:t xml:space="preserve">una realidad </w:t>
      </w:r>
      <w:r w:rsidR="0044728C" w:rsidRPr="002E4477">
        <w:rPr>
          <w:sz w:val="28"/>
          <w:szCs w:val="28"/>
        </w:rPr>
        <w:t>que</w:t>
      </w:r>
      <w:r w:rsidR="005C1C63">
        <w:rPr>
          <w:sz w:val="28"/>
          <w:szCs w:val="28"/>
        </w:rPr>
        <w:t>,</w:t>
      </w:r>
      <w:r w:rsidR="0044728C" w:rsidRPr="002E4477">
        <w:rPr>
          <w:sz w:val="28"/>
          <w:szCs w:val="28"/>
        </w:rPr>
        <w:t xml:space="preserve"> según el comentado concepto de la Sala de Consulta y Servicio Civil, exige una solución pronta, </w:t>
      </w:r>
      <w:r w:rsidR="00136564" w:rsidRPr="002E4477">
        <w:rPr>
          <w:sz w:val="28"/>
          <w:szCs w:val="28"/>
        </w:rPr>
        <w:t xml:space="preserve">porque: </w:t>
      </w:r>
    </w:p>
    <w:p w14:paraId="1E86BCD6" w14:textId="77777777" w:rsidR="0044728C" w:rsidRPr="002E4477" w:rsidRDefault="0044728C" w:rsidP="005701CB">
      <w:pPr>
        <w:pStyle w:val="NormalWeb"/>
        <w:tabs>
          <w:tab w:val="left" w:pos="426"/>
        </w:tabs>
        <w:spacing w:before="0" w:beforeAutospacing="0" w:after="0" w:afterAutospacing="0" w:line="276" w:lineRule="auto"/>
        <w:ind w:right="40"/>
        <w:jc w:val="both"/>
        <w:rPr>
          <w:sz w:val="28"/>
          <w:szCs w:val="28"/>
        </w:rPr>
      </w:pPr>
    </w:p>
    <w:p w14:paraId="32070E5F" w14:textId="77777777" w:rsidR="0044728C" w:rsidRPr="00563282" w:rsidRDefault="0044728C" w:rsidP="00563282">
      <w:pPr>
        <w:pStyle w:val="NormalWeb"/>
        <w:spacing w:before="0" w:beforeAutospacing="0" w:after="0" w:afterAutospacing="0"/>
        <w:ind w:left="284" w:right="40"/>
        <w:jc w:val="both"/>
        <w:rPr>
          <w:i/>
          <w:iCs/>
          <w:sz w:val="26"/>
          <w:szCs w:val="26"/>
        </w:rPr>
      </w:pPr>
      <w:r w:rsidRPr="00563282">
        <w:rPr>
          <w:i/>
          <w:iCs/>
          <w:sz w:val="26"/>
          <w:szCs w:val="26"/>
        </w:rPr>
        <w:t>“</w:t>
      </w:r>
      <w:r w:rsidRPr="00563282">
        <w:rPr>
          <w:b/>
          <w:bCs/>
          <w:i/>
          <w:iCs/>
          <w:sz w:val="26"/>
          <w:szCs w:val="26"/>
        </w:rPr>
        <w:t xml:space="preserve">No pasa </w:t>
      </w:r>
      <w:r w:rsidR="00A17A58" w:rsidRPr="00563282">
        <w:rPr>
          <w:b/>
          <w:bCs/>
          <w:i/>
          <w:iCs/>
          <w:sz w:val="26"/>
          <w:szCs w:val="26"/>
        </w:rPr>
        <w:t xml:space="preserve">inadvertido </w:t>
      </w:r>
      <w:r w:rsidR="00136564" w:rsidRPr="00563282">
        <w:rPr>
          <w:b/>
          <w:bCs/>
          <w:i/>
          <w:iCs/>
          <w:sz w:val="26"/>
          <w:szCs w:val="26"/>
        </w:rPr>
        <w:t>a la</w:t>
      </w:r>
      <w:r w:rsidRPr="00563282">
        <w:rPr>
          <w:b/>
          <w:bCs/>
          <w:i/>
          <w:iCs/>
          <w:sz w:val="26"/>
          <w:szCs w:val="26"/>
        </w:rPr>
        <w:t xml:space="preserve">  Sala  que  el  Gobierno  Nacional,  el  Congreso  de  la  República  y  el Consejo Superior de la Judicatura tienen el deber constitucional y, por lo mismo, inexcusable, de realizar todas las actuaciones y adoptar todas las decisiones que se requieran para lograr, en el menor  tiempo posible, la efectiva conformación de  la Comisión Nacional  de Disciplina </w:t>
      </w:r>
      <w:r w:rsidR="00975D69" w:rsidRPr="00563282">
        <w:rPr>
          <w:b/>
          <w:bCs/>
          <w:i/>
          <w:iCs/>
          <w:sz w:val="26"/>
          <w:szCs w:val="26"/>
        </w:rPr>
        <w:t>Judicial,</w:t>
      </w:r>
      <w:r w:rsidR="00975D69" w:rsidRPr="00563282">
        <w:rPr>
          <w:i/>
          <w:iCs/>
          <w:sz w:val="26"/>
          <w:szCs w:val="26"/>
        </w:rPr>
        <w:t xml:space="preserve"> mediante</w:t>
      </w:r>
      <w:r w:rsidRPr="00563282">
        <w:rPr>
          <w:i/>
          <w:iCs/>
          <w:sz w:val="26"/>
          <w:szCs w:val="26"/>
        </w:rPr>
        <w:t xml:space="preserve">  la  elección  y  posesión  de  sus  dignatarios.  </w:t>
      </w:r>
    </w:p>
    <w:p w14:paraId="53BF27EE" w14:textId="77777777" w:rsidR="0044728C" w:rsidRPr="00563282" w:rsidRDefault="0044728C" w:rsidP="00563282">
      <w:pPr>
        <w:pStyle w:val="NormalWeb"/>
        <w:spacing w:before="0" w:beforeAutospacing="0" w:after="0" w:afterAutospacing="0"/>
        <w:ind w:left="284" w:right="40"/>
        <w:jc w:val="both"/>
        <w:rPr>
          <w:i/>
          <w:iCs/>
          <w:sz w:val="26"/>
          <w:szCs w:val="26"/>
        </w:rPr>
      </w:pPr>
    </w:p>
    <w:p w14:paraId="676BB1FF" w14:textId="77777777" w:rsidR="00E76323" w:rsidRPr="00563282" w:rsidRDefault="0044728C" w:rsidP="00563282">
      <w:pPr>
        <w:pStyle w:val="NormalWeb"/>
        <w:spacing w:before="0" w:beforeAutospacing="0" w:after="0" w:afterAutospacing="0"/>
        <w:ind w:left="284" w:right="40"/>
        <w:jc w:val="both"/>
        <w:rPr>
          <w:i/>
          <w:iCs/>
          <w:sz w:val="26"/>
          <w:szCs w:val="26"/>
        </w:rPr>
      </w:pPr>
      <w:r w:rsidRPr="00563282">
        <w:rPr>
          <w:i/>
          <w:iCs/>
          <w:sz w:val="26"/>
          <w:szCs w:val="26"/>
        </w:rPr>
        <w:t xml:space="preserve">Este  deber  implica,  en  primer lugar,  según  lo  decidido  por  la Sala Plena  de  lo Contencioso Administrativo  del Consejo  de Estado,  preparar,  presentar  y  tramitar  el  proyecto  de  ley  estatutaria  que  debe  desarrollar  el inciso cuarto del artículo 126 de la Constitución Política, adicionado por el Acto Legislativo 2 de 2015, para establecer el procedimiento y las reglas necesarias para efectuar la convocatoria pública,  la  selección  y  la  presentación  de  las  ternas  necesarias  para  integrar  la  Comisión Nacional de Disciplina Judicial. </w:t>
      </w:r>
    </w:p>
    <w:p w14:paraId="299869FE" w14:textId="77777777" w:rsidR="00E76323" w:rsidRPr="00563282" w:rsidRDefault="00E76323" w:rsidP="00563282">
      <w:pPr>
        <w:pStyle w:val="NormalWeb"/>
        <w:spacing w:before="0" w:beforeAutospacing="0" w:after="0" w:afterAutospacing="0"/>
        <w:ind w:left="284" w:right="40"/>
        <w:jc w:val="both"/>
        <w:rPr>
          <w:i/>
          <w:iCs/>
          <w:sz w:val="26"/>
          <w:szCs w:val="26"/>
        </w:rPr>
      </w:pPr>
    </w:p>
    <w:p w14:paraId="5726ED65" w14:textId="77777777" w:rsidR="0044728C" w:rsidRPr="00E936D2" w:rsidRDefault="0044728C" w:rsidP="00563282">
      <w:pPr>
        <w:pStyle w:val="NormalWeb"/>
        <w:spacing w:before="0" w:beforeAutospacing="0" w:after="0" w:afterAutospacing="0"/>
        <w:ind w:left="284" w:right="40"/>
        <w:jc w:val="both"/>
        <w:rPr>
          <w:sz w:val="28"/>
          <w:szCs w:val="28"/>
        </w:rPr>
      </w:pPr>
      <w:r w:rsidRPr="00563282">
        <w:rPr>
          <w:i/>
          <w:iCs/>
          <w:sz w:val="26"/>
          <w:szCs w:val="26"/>
          <w:u w:val="single"/>
        </w:rPr>
        <w:t>La voluntad del constituyente derivado</w:t>
      </w:r>
      <w:r w:rsidRPr="00563282">
        <w:rPr>
          <w:i/>
          <w:iCs/>
          <w:sz w:val="26"/>
          <w:szCs w:val="26"/>
        </w:rPr>
        <w:t xml:space="preserve">, recogida en el actual artículo 257 A de la Constitución, </w:t>
      </w:r>
      <w:r w:rsidRPr="00563282">
        <w:rPr>
          <w:i/>
          <w:iCs/>
          <w:sz w:val="26"/>
          <w:szCs w:val="26"/>
          <w:u w:val="single"/>
        </w:rPr>
        <w:t>en  el  sentido  de  crear  un  órgano  autónomo  dentro  de  la  Rama  Judicial  encargado  de  la disciplina de los funcionarios y empleados judiciales y de los abogados</w:t>
      </w:r>
      <w:r w:rsidRPr="00563282">
        <w:rPr>
          <w:i/>
          <w:iCs/>
          <w:sz w:val="26"/>
          <w:szCs w:val="26"/>
        </w:rPr>
        <w:t xml:space="preserve">, en aras de mejorar el servicio público de la justicia, </w:t>
      </w:r>
      <w:r w:rsidRPr="00563282">
        <w:rPr>
          <w:b/>
          <w:bCs/>
          <w:i/>
          <w:iCs/>
          <w:sz w:val="26"/>
          <w:szCs w:val="26"/>
          <w:u w:val="single"/>
        </w:rPr>
        <w:t>exige adoptar, por parte de las autoridades competentes y sin ninguna dilación, las medidas urgentes y eficaces que garanticen el propósito buscado con la creación de la mencionada Comisión</w:t>
      </w:r>
      <w:r w:rsidRPr="00563282">
        <w:rPr>
          <w:i/>
          <w:iCs/>
          <w:sz w:val="26"/>
          <w:szCs w:val="26"/>
        </w:rPr>
        <w:t>”.</w:t>
      </w:r>
      <w:r w:rsidR="00E76323" w:rsidRPr="00563282">
        <w:rPr>
          <w:sz w:val="26"/>
          <w:szCs w:val="26"/>
        </w:rPr>
        <w:t xml:space="preserve"> </w:t>
      </w:r>
      <w:r w:rsidR="00E76323" w:rsidRPr="00563282">
        <w:rPr>
          <w:sz w:val="28"/>
          <w:szCs w:val="28"/>
        </w:rPr>
        <w:t>(Subrayas</w:t>
      </w:r>
      <w:r w:rsidR="00F13D50" w:rsidRPr="00563282">
        <w:rPr>
          <w:sz w:val="28"/>
          <w:szCs w:val="28"/>
        </w:rPr>
        <w:t xml:space="preserve"> y negrillas</w:t>
      </w:r>
      <w:r w:rsidR="00E76323" w:rsidRPr="00563282">
        <w:rPr>
          <w:sz w:val="28"/>
          <w:szCs w:val="28"/>
        </w:rPr>
        <w:t xml:space="preserve"> fuera del </w:t>
      </w:r>
      <w:r w:rsidR="00E76323" w:rsidRPr="00E936D2">
        <w:rPr>
          <w:sz w:val="28"/>
          <w:szCs w:val="28"/>
        </w:rPr>
        <w:t>original)</w:t>
      </w:r>
      <w:r w:rsidR="00975D69" w:rsidRPr="00E936D2">
        <w:rPr>
          <w:rStyle w:val="Refdenotaalpie"/>
          <w:sz w:val="28"/>
          <w:szCs w:val="28"/>
        </w:rPr>
        <w:footnoteReference w:id="303"/>
      </w:r>
      <w:r w:rsidR="00E76323" w:rsidRPr="00E936D2">
        <w:rPr>
          <w:sz w:val="28"/>
          <w:szCs w:val="28"/>
        </w:rPr>
        <w:t xml:space="preserve">. </w:t>
      </w:r>
    </w:p>
    <w:p w14:paraId="0B6E1768" w14:textId="77777777" w:rsidR="0044728C" w:rsidRPr="00E936D2" w:rsidRDefault="0044728C" w:rsidP="009125EE">
      <w:pPr>
        <w:pStyle w:val="NormalWeb"/>
        <w:tabs>
          <w:tab w:val="left" w:pos="426"/>
        </w:tabs>
        <w:spacing w:before="0" w:beforeAutospacing="0" w:after="0" w:afterAutospacing="0"/>
        <w:ind w:right="40"/>
        <w:jc w:val="both"/>
        <w:rPr>
          <w:b/>
          <w:bCs/>
          <w:sz w:val="30"/>
          <w:szCs w:val="30"/>
        </w:rPr>
      </w:pPr>
    </w:p>
    <w:p w14:paraId="1984B0D9" w14:textId="77777777" w:rsidR="00F51D6D" w:rsidRPr="00E936D2" w:rsidRDefault="00136564" w:rsidP="00962603">
      <w:pPr>
        <w:pStyle w:val="NormalWeb"/>
        <w:numPr>
          <w:ilvl w:val="0"/>
          <w:numId w:val="10"/>
        </w:numPr>
        <w:tabs>
          <w:tab w:val="left" w:pos="426"/>
        </w:tabs>
        <w:spacing w:before="0" w:beforeAutospacing="0" w:after="0" w:afterAutospacing="0"/>
        <w:ind w:right="40"/>
        <w:jc w:val="both"/>
        <w:rPr>
          <w:sz w:val="28"/>
          <w:szCs w:val="28"/>
        </w:rPr>
      </w:pPr>
      <w:r w:rsidRPr="00E936D2">
        <w:rPr>
          <w:sz w:val="28"/>
          <w:szCs w:val="28"/>
        </w:rPr>
        <w:t xml:space="preserve">En la actualidad, </w:t>
      </w:r>
      <w:r w:rsidR="00F13D50" w:rsidRPr="00E936D2">
        <w:rPr>
          <w:sz w:val="28"/>
          <w:szCs w:val="28"/>
        </w:rPr>
        <w:t>la v</w:t>
      </w:r>
      <w:r w:rsidR="003F3607" w:rsidRPr="00E936D2">
        <w:rPr>
          <w:sz w:val="28"/>
          <w:szCs w:val="28"/>
        </w:rPr>
        <w:t>oluntad</w:t>
      </w:r>
      <w:r w:rsidR="004A506D" w:rsidRPr="00E936D2">
        <w:rPr>
          <w:sz w:val="28"/>
          <w:szCs w:val="28"/>
        </w:rPr>
        <w:t xml:space="preserve"> del constituyente</w:t>
      </w:r>
      <w:r w:rsidR="0083732B" w:rsidRPr="00E936D2">
        <w:rPr>
          <w:sz w:val="28"/>
          <w:szCs w:val="28"/>
        </w:rPr>
        <w:t xml:space="preserve"> </w:t>
      </w:r>
      <w:r w:rsidR="00F13D50" w:rsidRPr="00E936D2">
        <w:rPr>
          <w:sz w:val="28"/>
          <w:szCs w:val="28"/>
        </w:rPr>
        <w:t xml:space="preserve">no ha podido concretarse en la realidad, </w:t>
      </w:r>
      <w:r w:rsidR="003F3607" w:rsidRPr="00E936D2">
        <w:rPr>
          <w:sz w:val="28"/>
          <w:szCs w:val="28"/>
        </w:rPr>
        <w:t>ante las distintas contradicciones que suscita la interpretación de las normas constitucionales involucradas</w:t>
      </w:r>
      <w:r w:rsidR="00B53B1A" w:rsidRPr="00E936D2">
        <w:rPr>
          <w:sz w:val="28"/>
          <w:szCs w:val="28"/>
        </w:rPr>
        <w:t xml:space="preserve"> y la presunta ausencia de una labor legislativa</w:t>
      </w:r>
      <w:r w:rsidR="00DB2377" w:rsidRPr="00E936D2">
        <w:rPr>
          <w:sz w:val="28"/>
          <w:szCs w:val="28"/>
        </w:rPr>
        <w:t xml:space="preserve"> definitiva, </w:t>
      </w:r>
      <w:r w:rsidR="005653E9" w:rsidRPr="00E936D2">
        <w:rPr>
          <w:sz w:val="28"/>
          <w:szCs w:val="28"/>
        </w:rPr>
        <w:t xml:space="preserve">que </w:t>
      </w:r>
      <w:r w:rsidR="00B40693" w:rsidRPr="00E936D2">
        <w:rPr>
          <w:sz w:val="28"/>
          <w:szCs w:val="28"/>
        </w:rPr>
        <w:t>culmine con una ley que</w:t>
      </w:r>
      <w:r w:rsidR="005C1C63" w:rsidRPr="00E936D2">
        <w:rPr>
          <w:sz w:val="28"/>
          <w:szCs w:val="28"/>
        </w:rPr>
        <w:t xml:space="preserve"> reclama el Consejo de Estado para la</w:t>
      </w:r>
      <w:r w:rsidR="005653E9" w:rsidRPr="00E936D2">
        <w:rPr>
          <w:sz w:val="28"/>
          <w:szCs w:val="28"/>
        </w:rPr>
        <w:t xml:space="preserve"> realización de la convocatoria</w:t>
      </w:r>
      <w:r w:rsidR="00B40693" w:rsidRPr="00E936D2">
        <w:rPr>
          <w:sz w:val="28"/>
          <w:szCs w:val="28"/>
        </w:rPr>
        <w:t xml:space="preserve"> para la </w:t>
      </w:r>
      <w:r w:rsidR="00DB2377" w:rsidRPr="00E936D2">
        <w:rPr>
          <w:sz w:val="28"/>
          <w:szCs w:val="28"/>
        </w:rPr>
        <w:t>configuración de la CNDJ</w:t>
      </w:r>
      <w:r w:rsidR="00F13D50" w:rsidRPr="00E936D2">
        <w:rPr>
          <w:sz w:val="28"/>
          <w:szCs w:val="28"/>
        </w:rPr>
        <w:t xml:space="preserve">. </w:t>
      </w:r>
    </w:p>
    <w:p w14:paraId="128133ED" w14:textId="77777777" w:rsidR="005653E9" w:rsidRPr="00725A66" w:rsidRDefault="00836F33" w:rsidP="00AE73EF">
      <w:pPr>
        <w:pStyle w:val="NormalWeb"/>
        <w:tabs>
          <w:tab w:val="left" w:pos="426"/>
        </w:tabs>
        <w:ind w:right="40"/>
        <w:jc w:val="both"/>
        <w:rPr>
          <w:sz w:val="28"/>
          <w:szCs w:val="28"/>
        </w:rPr>
      </w:pPr>
      <w:r w:rsidRPr="00E936D2">
        <w:rPr>
          <w:sz w:val="28"/>
          <w:szCs w:val="28"/>
        </w:rPr>
        <w:t>En este sentido</w:t>
      </w:r>
      <w:r w:rsidR="00DB2377" w:rsidRPr="00E936D2">
        <w:rPr>
          <w:sz w:val="28"/>
          <w:szCs w:val="28"/>
        </w:rPr>
        <w:t xml:space="preserve"> debe destacarse que e</w:t>
      </w:r>
      <w:r w:rsidR="00AE73EF" w:rsidRPr="00E936D2">
        <w:rPr>
          <w:sz w:val="28"/>
          <w:szCs w:val="28"/>
        </w:rPr>
        <w:t>n e</w:t>
      </w:r>
      <w:r w:rsidR="00DB2377" w:rsidRPr="00E936D2">
        <w:rPr>
          <w:sz w:val="28"/>
          <w:szCs w:val="28"/>
        </w:rPr>
        <w:t>l Congreso</w:t>
      </w:r>
      <w:r w:rsidR="00AE73EF" w:rsidRPr="00E936D2">
        <w:rPr>
          <w:sz w:val="28"/>
          <w:szCs w:val="28"/>
        </w:rPr>
        <w:t xml:space="preserve"> de la República se</w:t>
      </w:r>
      <w:r w:rsidR="00DB2377" w:rsidRPr="00E936D2">
        <w:rPr>
          <w:sz w:val="28"/>
          <w:szCs w:val="28"/>
        </w:rPr>
        <w:t xml:space="preserve"> present</w:t>
      </w:r>
      <w:r w:rsidR="00AE73EF" w:rsidRPr="00E936D2">
        <w:rPr>
          <w:sz w:val="28"/>
          <w:szCs w:val="28"/>
        </w:rPr>
        <w:t>aron</w:t>
      </w:r>
      <w:r w:rsidR="005653E9" w:rsidRPr="00E936D2">
        <w:rPr>
          <w:sz w:val="28"/>
          <w:szCs w:val="28"/>
        </w:rPr>
        <w:t xml:space="preserve"> algunos</w:t>
      </w:r>
      <w:r w:rsidR="00AE73EF" w:rsidRPr="00E936D2">
        <w:rPr>
          <w:sz w:val="28"/>
          <w:szCs w:val="28"/>
        </w:rPr>
        <w:t xml:space="preserve"> </w:t>
      </w:r>
      <w:r w:rsidR="00DB2377" w:rsidRPr="00E936D2">
        <w:rPr>
          <w:sz w:val="28"/>
          <w:szCs w:val="28"/>
        </w:rPr>
        <w:t xml:space="preserve">proyectos de ley </w:t>
      </w:r>
      <w:r w:rsidR="00AE73EF" w:rsidRPr="00E936D2">
        <w:rPr>
          <w:sz w:val="28"/>
          <w:szCs w:val="28"/>
        </w:rPr>
        <w:t>dirigidos</w:t>
      </w:r>
      <w:r w:rsidR="00B40693" w:rsidRPr="00E936D2">
        <w:rPr>
          <w:sz w:val="28"/>
          <w:szCs w:val="28"/>
        </w:rPr>
        <w:t xml:space="preserve"> a ese propósito</w:t>
      </w:r>
      <w:r w:rsidR="005653E9" w:rsidRPr="00E936D2">
        <w:rPr>
          <w:sz w:val="28"/>
          <w:szCs w:val="28"/>
        </w:rPr>
        <w:t xml:space="preserve">, pero los </w:t>
      </w:r>
      <w:r w:rsidR="00506F8B" w:rsidRPr="00E936D2">
        <w:rPr>
          <w:sz w:val="28"/>
          <w:szCs w:val="28"/>
        </w:rPr>
        <w:t xml:space="preserve">que se iniciaron en los </w:t>
      </w:r>
      <w:r w:rsidR="005653E9" w:rsidRPr="00E936D2">
        <w:rPr>
          <w:sz w:val="28"/>
          <w:szCs w:val="28"/>
        </w:rPr>
        <w:t xml:space="preserve">años </w:t>
      </w:r>
      <w:r w:rsidR="00506F8B" w:rsidRPr="00E936D2">
        <w:rPr>
          <w:sz w:val="28"/>
          <w:szCs w:val="28"/>
        </w:rPr>
        <w:t xml:space="preserve">inmediatamente </w:t>
      </w:r>
      <w:r w:rsidR="005653E9" w:rsidRPr="00E936D2">
        <w:rPr>
          <w:sz w:val="28"/>
          <w:szCs w:val="28"/>
        </w:rPr>
        <w:t>siguientes a la decisión del Consejo de Estado, no culminaron exitosamente su trámite legislativo</w:t>
      </w:r>
      <w:r w:rsidR="00AE73EF" w:rsidRPr="00E936D2">
        <w:rPr>
          <w:sz w:val="28"/>
          <w:szCs w:val="28"/>
        </w:rPr>
        <w:t>. Entre ellos, puede citarse</w:t>
      </w:r>
      <w:r w:rsidR="005653E9" w:rsidRPr="00E936D2">
        <w:rPr>
          <w:sz w:val="28"/>
          <w:szCs w:val="28"/>
        </w:rPr>
        <w:t xml:space="preserve"> por ejemplo,</w:t>
      </w:r>
      <w:r w:rsidR="00AE73EF" w:rsidRPr="00E936D2">
        <w:rPr>
          <w:sz w:val="28"/>
          <w:szCs w:val="28"/>
        </w:rPr>
        <w:t xml:space="preserve"> el </w:t>
      </w:r>
      <w:r w:rsidR="00AE73EF" w:rsidRPr="00E936D2">
        <w:rPr>
          <w:b/>
          <w:bCs/>
          <w:i/>
          <w:iCs/>
          <w:sz w:val="28"/>
          <w:szCs w:val="28"/>
        </w:rPr>
        <w:t>Proyecto del Ley 064 de 2018 Senado</w:t>
      </w:r>
      <w:r w:rsidR="00593CBB" w:rsidRPr="00E936D2">
        <w:rPr>
          <w:b/>
          <w:bCs/>
          <w:i/>
          <w:iCs/>
          <w:sz w:val="28"/>
          <w:szCs w:val="28"/>
        </w:rPr>
        <w:t xml:space="preserve"> </w:t>
      </w:r>
      <w:r w:rsidR="00593CBB" w:rsidRPr="00E936D2">
        <w:rPr>
          <w:sz w:val="28"/>
          <w:szCs w:val="28"/>
        </w:rPr>
        <w:t xml:space="preserve">de julio </w:t>
      </w:r>
      <w:r w:rsidR="00593CBB" w:rsidRPr="00725A66">
        <w:rPr>
          <w:sz w:val="28"/>
          <w:szCs w:val="28"/>
        </w:rPr>
        <w:t>de 2018,</w:t>
      </w:r>
      <w:r w:rsidR="00AE73EF" w:rsidRPr="00725A66">
        <w:rPr>
          <w:sz w:val="28"/>
          <w:szCs w:val="28"/>
        </w:rPr>
        <w:t xml:space="preserve"> “</w:t>
      </w:r>
      <w:r w:rsidR="00AE73EF" w:rsidRPr="00725A66">
        <w:rPr>
          <w:i/>
          <w:iCs/>
          <w:sz w:val="28"/>
          <w:szCs w:val="28"/>
        </w:rPr>
        <w:t>Por la cual se fijan las reglas de las convocatorias públicas en la rama judicial</w:t>
      </w:r>
      <w:r w:rsidR="00AE73EF" w:rsidRPr="00725A66">
        <w:rPr>
          <w:sz w:val="28"/>
          <w:szCs w:val="28"/>
        </w:rPr>
        <w:t>”</w:t>
      </w:r>
      <w:r w:rsidR="005653E9" w:rsidRPr="00725A66">
        <w:rPr>
          <w:rStyle w:val="Refdenotaalpie"/>
          <w:sz w:val="28"/>
          <w:szCs w:val="28"/>
        </w:rPr>
        <w:t xml:space="preserve"> </w:t>
      </w:r>
      <w:r w:rsidR="005653E9" w:rsidRPr="00725A66">
        <w:rPr>
          <w:rStyle w:val="Refdenotaalpie"/>
          <w:sz w:val="28"/>
          <w:szCs w:val="28"/>
        </w:rPr>
        <w:footnoteReference w:id="304"/>
      </w:r>
      <w:r w:rsidR="00AE73EF" w:rsidRPr="00725A66">
        <w:rPr>
          <w:sz w:val="28"/>
          <w:szCs w:val="28"/>
        </w:rPr>
        <w:t>, promovido por el entonces Ministro de Justicia y del Derecho, Enrique Gil Botero, que</w:t>
      </w:r>
      <w:r w:rsidR="00593CBB" w:rsidRPr="00725A66">
        <w:rPr>
          <w:sz w:val="28"/>
          <w:szCs w:val="28"/>
        </w:rPr>
        <w:t>,</w:t>
      </w:r>
      <w:r w:rsidR="00AE73EF" w:rsidRPr="00725A66">
        <w:rPr>
          <w:sz w:val="28"/>
          <w:szCs w:val="28"/>
        </w:rPr>
        <w:t xml:space="preserve"> </w:t>
      </w:r>
      <w:r w:rsidR="00B40693" w:rsidRPr="00725A66">
        <w:rPr>
          <w:sz w:val="28"/>
          <w:szCs w:val="28"/>
        </w:rPr>
        <w:t xml:space="preserve">no obstante tratarse de una ley ordinaria, fue finalmente </w:t>
      </w:r>
      <w:r w:rsidR="00AE73EF" w:rsidRPr="00725A66">
        <w:rPr>
          <w:sz w:val="28"/>
          <w:szCs w:val="28"/>
        </w:rPr>
        <w:t>archivado por retiro del</w:t>
      </w:r>
      <w:r w:rsidR="00506F8B" w:rsidRPr="00725A66">
        <w:rPr>
          <w:sz w:val="28"/>
          <w:szCs w:val="28"/>
        </w:rPr>
        <w:t xml:space="preserve"> autor</w:t>
      </w:r>
      <w:r w:rsidR="00FE23DC" w:rsidRPr="00725A66">
        <w:rPr>
          <w:rStyle w:val="Refdenotaalpie"/>
          <w:sz w:val="28"/>
          <w:szCs w:val="28"/>
        </w:rPr>
        <w:footnoteReference w:id="305"/>
      </w:r>
      <w:r w:rsidR="00AE73EF" w:rsidRPr="00725A66">
        <w:rPr>
          <w:sz w:val="28"/>
          <w:szCs w:val="28"/>
        </w:rPr>
        <w:t>.</w:t>
      </w:r>
      <w:r w:rsidR="00EA5AA3" w:rsidRPr="00725A66">
        <w:rPr>
          <w:sz w:val="28"/>
          <w:szCs w:val="28"/>
        </w:rPr>
        <w:t xml:space="preserve"> </w:t>
      </w:r>
    </w:p>
    <w:p w14:paraId="01B1BC54" w14:textId="77777777" w:rsidR="00AE73EF" w:rsidRPr="00725A66" w:rsidRDefault="00EA5AA3" w:rsidP="00AE73EF">
      <w:pPr>
        <w:pStyle w:val="NormalWeb"/>
        <w:tabs>
          <w:tab w:val="left" w:pos="426"/>
        </w:tabs>
        <w:ind w:right="40"/>
        <w:jc w:val="both"/>
        <w:rPr>
          <w:sz w:val="28"/>
          <w:szCs w:val="28"/>
        </w:rPr>
      </w:pPr>
      <w:r w:rsidRPr="00725A66">
        <w:rPr>
          <w:sz w:val="28"/>
          <w:szCs w:val="28"/>
        </w:rPr>
        <w:t xml:space="preserve">También </w:t>
      </w:r>
      <w:r w:rsidR="005653E9" w:rsidRPr="00725A66">
        <w:rPr>
          <w:sz w:val="28"/>
          <w:szCs w:val="28"/>
        </w:rPr>
        <w:t xml:space="preserve">puede reseñarse </w:t>
      </w:r>
      <w:r w:rsidRPr="00725A66">
        <w:rPr>
          <w:sz w:val="28"/>
          <w:szCs w:val="28"/>
        </w:rPr>
        <w:t xml:space="preserve">el </w:t>
      </w:r>
      <w:r w:rsidRPr="00725A66">
        <w:rPr>
          <w:b/>
          <w:bCs/>
          <w:i/>
          <w:iCs/>
          <w:sz w:val="28"/>
          <w:szCs w:val="28"/>
        </w:rPr>
        <w:t>Proyecto de Ley 224 de 2019 Senado</w:t>
      </w:r>
      <w:r w:rsidRPr="00725A66">
        <w:rPr>
          <w:sz w:val="28"/>
          <w:szCs w:val="28"/>
        </w:rPr>
        <w:t xml:space="preserve">, </w:t>
      </w:r>
      <w:r w:rsidR="00593CBB" w:rsidRPr="00725A66">
        <w:rPr>
          <w:sz w:val="28"/>
          <w:szCs w:val="28"/>
        </w:rPr>
        <w:t xml:space="preserve">de octubre de 2029, </w:t>
      </w:r>
      <w:r w:rsidR="00506F8B" w:rsidRPr="00725A66">
        <w:rPr>
          <w:sz w:val="28"/>
          <w:szCs w:val="28"/>
        </w:rPr>
        <w:t>“</w:t>
      </w:r>
      <w:r w:rsidR="00506F8B" w:rsidRPr="00725A66">
        <w:rPr>
          <w:i/>
          <w:iCs/>
          <w:sz w:val="28"/>
          <w:szCs w:val="28"/>
        </w:rPr>
        <w:t xml:space="preserve">Por </w:t>
      </w:r>
      <w:r w:rsidR="00B40693" w:rsidRPr="00725A66">
        <w:rPr>
          <w:i/>
          <w:iCs/>
          <w:sz w:val="28"/>
          <w:szCs w:val="28"/>
        </w:rPr>
        <w:t>[el]</w:t>
      </w:r>
      <w:r w:rsidR="00506F8B" w:rsidRPr="00725A66">
        <w:rPr>
          <w:i/>
          <w:iCs/>
          <w:sz w:val="28"/>
          <w:szCs w:val="28"/>
        </w:rPr>
        <w:t xml:space="preserve"> cual se regula la convocatoria pública para elegir magistrados de la Comisión Nacional de Disciplina Judicial</w:t>
      </w:r>
      <w:r w:rsidR="00506F8B" w:rsidRPr="00725A66">
        <w:rPr>
          <w:sz w:val="28"/>
          <w:szCs w:val="28"/>
        </w:rPr>
        <w:t xml:space="preserve">” </w:t>
      </w:r>
      <w:r w:rsidRPr="00725A66">
        <w:rPr>
          <w:sz w:val="28"/>
          <w:szCs w:val="28"/>
        </w:rPr>
        <w:t>presentado por el Senador Carlos Eduardo Enrique Maya y otros</w:t>
      </w:r>
      <w:r w:rsidR="003F4DFE" w:rsidRPr="00725A66">
        <w:rPr>
          <w:rStyle w:val="Refdenotaalpie"/>
          <w:sz w:val="28"/>
          <w:szCs w:val="28"/>
        </w:rPr>
        <w:footnoteReference w:id="306"/>
      </w:r>
      <w:r w:rsidR="00593CBB" w:rsidRPr="00725A66">
        <w:rPr>
          <w:sz w:val="28"/>
          <w:szCs w:val="28"/>
        </w:rPr>
        <w:t>. U</w:t>
      </w:r>
      <w:r w:rsidR="00B40693" w:rsidRPr="00725A66">
        <w:rPr>
          <w:sz w:val="28"/>
          <w:szCs w:val="28"/>
        </w:rPr>
        <w:t>n proyecto</w:t>
      </w:r>
      <w:r w:rsidR="00FE23DC" w:rsidRPr="00725A66">
        <w:rPr>
          <w:sz w:val="28"/>
          <w:szCs w:val="28"/>
        </w:rPr>
        <w:t xml:space="preserve"> </w:t>
      </w:r>
      <w:r w:rsidR="00506F8B" w:rsidRPr="00725A66">
        <w:rPr>
          <w:sz w:val="28"/>
          <w:szCs w:val="28"/>
        </w:rPr>
        <w:t>que en su momento</w:t>
      </w:r>
      <w:r w:rsidR="00FE23DC" w:rsidRPr="00725A66">
        <w:rPr>
          <w:sz w:val="28"/>
          <w:szCs w:val="28"/>
        </w:rPr>
        <w:t xml:space="preserve"> también </w:t>
      </w:r>
      <w:r w:rsidR="00B40693" w:rsidRPr="00725A66">
        <w:rPr>
          <w:sz w:val="28"/>
          <w:szCs w:val="28"/>
        </w:rPr>
        <w:t xml:space="preserve">fue </w:t>
      </w:r>
      <w:r w:rsidR="00506F8B" w:rsidRPr="00725A66">
        <w:rPr>
          <w:sz w:val="28"/>
          <w:szCs w:val="28"/>
        </w:rPr>
        <w:t>archivado</w:t>
      </w:r>
      <w:r w:rsidR="00593CBB" w:rsidRPr="00725A66">
        <w:rPr>
          <w:sz w:val="28"/>
          <w:szCs w:val="28"/>
        </w:rPr>
        <w:t>,</w:t>
      </w:r>
      <w:r w:rsidR="00FE23DC" w:rsidRPr="00725A66">
        <w:rPr>
          <w:sz w:val="28"/>
          <w:szCs w:val="28"/>
        </w:rPr>
        <w:t xml:space="preserve"> por limitaciones en el trámite legislativo.</w:t>
      </w:r>
      <w:r w:rsidR="00506F8B" w:rsidRPr="00725A66">
        <w:rPr>
          <w:sz w:val="28"/>
          <w:szCs w:val="28"/>
        </w:rPr>
        <w:t xml:space="preserve"> </w:t>
      </w:r>
      <w:r w:rsidRPr="00725A66">
        <w:rPr>
          <w:b/>
          <w:bCs/>
          <w:i/>
          <w:iCs/>
          <w:sz w:val="28"/>
          <w:szCs w:val="28"/>
        </w:rPr>
        <w:t xml:space="preserve"> </w:t>
      </w:r>
    </w:p>
    <w:p w14:paraId="1A92A2F5" w14:textId="77777777" w:rsidR="00F21FF8" w:rsidRPr="00725A66" w:rsidRDefault="00FE23DC" w:rsidP="00FE23DC">
      <w:pPr>
        <w:pStyle w:val="NormalWeb"/>
        <w:numPr>
          <w:ilvl w:val="0"/>
          <w:numId w:val="10"/>
        </w:numPr>
        <w:tabs>
          <w:tab w:val="left" w:pos="426"/>
        </w:tabs>
        <w:spacing w:before="0" w:beforeAutospacing="0" w:after="0" w:afterAutospacing="0"/>
        <w:ind w:right="40"/>
        <w:jc w:val="both"/>
        <w:rPr>
          <w:sz w:val="28"/>
          <w:szCs w:val="28"/>
        </w:rPr>
      </w:pPr>
      <w:r w:rsidRPr="00725A66">
        <w:rPr>
          <w:sz w:val="28"/>
          <w:szCs w:val="28"/>
        </w:rPr>
        <w:t>Recientemente, el CSJ en cabeza de su Presidenta</w:t>
      </w:r>
      <w:r w:rsidR="00725A66" w:rsidRPr="00725A66">
        <w:rPr>
          <w:sz w:val="28"/>
          <w:szCs w:val="28"/>
        </w:rPr>
        <w:t>,</w:t>
      </w:r>
      <w:r w:rsidRPr="00725A66">
        <w:rPr>
          <w:sz w:val="28"/>
          <w:szCs w:val="28"/>
        </w:rPr>
        <w:t xml:space="preserve"> Diana Remolina, presentó </w:t>
      </w:r>
      <w:r w:rsidR="00555555" w:rsidRPr="00725A66">
        <w:rPr>
          <w:sz w:val="28"/>
          <w:szCs w:val="28"/>
        </w:rPr>
        <w:t xml:space="preserve">en julio del presente año, </w:t>
      </w:r>
      <w:r w:rsidRPr="00725A66">
        <w:rPr>
          <w:sz w:val="28"/>
          <w:szCs w:val="28"/>
        </w:rPr>
        <w:t xml:space="preserve">un </w:t>
      </w:r>
      <w:r w:rsidR="004D6DEA" w:rsidRPr="00725A66">
        <w:rPr>
          <w:sz w:val="28"/>
          <w:szCs w:val="28"/>
        </w:rPr>
        <w:t>P</w:t>
      </w:r>
      <w:r w:rsidRPr="00725A66">
        <w:rPr>
          <w:sz w:val="28"/>
          <w:szCs w:val="28"/>
        </w:rPr>
        <w:t xml:space="preserve">royecto de </w:t>
      </w:r>
      <w:r w:rsidR="004D6DEA" w:rsidRPr="00725A66">
        <w:rPr>
          <w:sz w:val="28"/>
          <w:szCs w:val="28"/>
        </w:rPr>
        <w:t>L</w:t>
      </w:r>
      <w:r w:rsidRPr="00725A66">
        <w:rPr>
          <w:sz w:val="28"/>
          <w:szCs w:val="28"/>
        </w:rPr>
        <w:t>ey estatutaria</w:t>
      </w:r>
      <w:r w:rsidR="004D6DEA" w:rsidRPr="00725A66">
        <w:rPr>
          <w:sz w:val="28"/>
          <w:szCs w:val="28"/>
        </w:rPr>
        <w:t>,</w:t>
      </w:r>
      <w:r w:rsidR="00725A66" w:rsidRPr="00725A66">
        <w:rPr>
          <w:sz w:val="28"/>
          <w:szCs w:val="28"/>
        </w:rPr>
        <w:t xml:space="preserve"> el cual se radicó con el número</w:t>
      </w:r>
      <w:r w:rsidR="004D6DEA" w:rsidRPr="00725A66">
        <w:rPr>
          <w:sz w:val="28"/>
          <w:szCs w:val="28"/>
        </w:rPr>
        <w:t xml:space="preserve"> </w:t>
      </w:r>
      <w:r w:rsidR="004D6DEA" w:rsidRPr="00725A66">
        <w:rPr>
          <w:b/>
          <w:bCs/>
          <w:i/>
          <w:iCs/>
          <w:sz w:val="28"/>
          <w:szCs w:val="28"/>
        </w:rPr>
        <w:t>295 de 2020 Cámara</w:t>
      </w:r>
      <w:r w:rsidR="004D6DEA" w:rsidRPr="00725A66">
        <w:rPr>
          <w:sz w:val="28"/>
          <w:szCs w:val="28"/>
        </w:rPr>
        <w:t xml:space="preserve"> </w:t>
      </w:r>
      <w:r w:rsidR="00555555" w:rsidRPr="00725A66">
        <w:rPr>
          <w:sz w:val="28"/>
          <w:szCs w:val="28"/>
        </w:rPr>
        <w:t>“</w:t>
      </w:r>
      <w:r w:rsidR="00555555" w:rsidRPr="00725A66">
        <w:rPr>
          <w:i/>
          <w:iCs/>
          <w:sz w:val="28"/>
          <w:szCs w:val="28"/>
        </w:rPr>
        <w:t xml:space="preserve">Por </w:t>
      </w:r>
      <w:r w:rsidR="00B40693" w:rsidRPr="00725A66">
        <w:rPr>
          <w:i/>
          <w:iCs/>
          <w:sz w:val="28"/>
          <w:szCs w:val="28"/>
        </w:rPr>
        <w:t>[el]</w:t>
      </w:r>
      <w:r w:rsidR="00555555" w:rsidRPr="00725A66">
        <w:rPr>
          <w:i/>
          <w:iCs/>
          <w:sz w:val="28"/>
          <w:szCs w:val="28"/>
        </w:rPr>
        <w:t xml:space="preserve"> cual se modifica la Ley 270 de 1996 – Estatutaria de la Administración de Justicia y se dictan otras disposiciones</w:t>
      </w:r>
      <w:r w:rsidR="00555555" w:rsidRPr="00725A66">
        <w:rPr>
          <w:sz w:val="28"/>
          <w:szCs w:val="28"/>
        </w:rPr>
        <w:t>”</w:t>
      </w:r>
      <w:r w:rsidR="00555555" w:rsidRPr="00725A66">
        <w:rPr>
          <w:rStyle w:val="Refdenotaalpie"/>
          <w:sz w:val="28"/>
          <w:szCs w:val="28"/>
        </w:rPr>
        <w:footnoteReference w:id="307"/>
      </w:r>
      <w:r w:rsidR="00555555" w:rsidRPr="00725A66">
        <w:t xml:space="preserve"> </w:t>
      </w:r>
      <w:r w:rsidR="003375AF" w:rsidRPr="00725A66">
        <w:rPr>
          <w:sz w:val="28"/>
          <w:szCs w:val="28"/>
        </w:rPr>
        <w:t xml:space="preserve">que se encuentra en curso, </w:t>
      </w:r>
      <w:r w:rsidRPr="00725A66">
        <w:rPr>
          <w:sz w:val="28"/>
          <w:szCs w:val="28"/>
        </w:rPr>
        <w:t>dirigido</w:t>
      </w:r>
      <w:r w:rsidR="00593CBB" w:rsidRPr="00725A66">
        <w:rPr>
          <w:sz w:val="28"/>
          <w:szCs w:val="28"/>
        </w:rPr>
        <w:t xml:space="preserve"> entre otras cosas,</w:t>
      </w:r>
      <w:r w:rsidRPr="00725A66">
        <w:rPr>
          <w:sz w:val="28"/>
          <w:szCs w:val="28"/>
        </w:rPr>
        <w:t xml:space="preserve"> a</w:t>
      </w:r>
      <w:r w:rsidR="00F21FF8" w:rsidRPr="00725A66">
        <w:rPr>
          <w:sz w:val="28"/>
          <w:szCs w:val="28"/>
        </w:rPr>
        <w:t xml:space="preserve"> hacer los ajustes requeridos para el efecto</w:t>
      </w:r>
      <w:r w:rsidR="003375AF" w:rsidRPr="00725A66">
        <w:rPr>
          <w:sz w:val="28"/>
          <w:szCs w:val="28"/>
        </w:rPr>
        <w:t xml:space="preserve">. </w:t>
      </w:r>
      <w:r w:rsidR="00B40693" w:rsidRPr="00725A66">
        <w:rPr>
          <w:sz w:val="28"/>
          <w:szCs w:val="28"/>
        </w:rPr>
        <w:t xml:space="preserve"> </w:t>
      </w:r>
    </w:p>
    <w:p w14:paraId="06824C94" w14:textId="77777777" w:rsidR="00F21FF8" w:rsidRPr="00725A66" w:rsidRDefault="00F21FF8" w:rsidP="00F21FF8">
      <w:pPr>
        <w:pStyle w:val="NormalWeb"/>
        <w:tabs>
          <w:tab w:val="left" w:pos="426"/>
        </w:tabs>
        <w:spacing w:before="0" w:beforeAutospacing="0" w:after="0" w:afterAutospacing="0"/>
        <w:ind w:right="40"/>
        <w:jc w:val="both"/>
        <w:rPr>
          <w:sz w:val="28"/>
          <w:szCs w:val="28"/>
        </w:rPr>
      </w:pPr>
    </w:p>
    <w:p w14:paraId="4FC07D64" w14:textId="77777777" w:rsidR="00B40693" w:rsidRPr="00725A66" w:rsidRDefault="00F21FF8" w:rsidP="00B40693">
      <w:pPr>
        <w:jc w:val="both"/>
        <w:rPr>
          <w:szCs w:val="28"/>
          <w:lang w:val="es-CO" w:eastAsia="en-US"/>
        </w:rPr>
      </w:pPr>
      <w:r w:rsidRPr="00725A66">
        <w:rPr>
          <w:szCs w:val="28"/>
        </w:rPr>
        <w:t xml:space="preserve">A su vez el Representante Edwar David Rodríguez Rodríguez presentó </w:t>
      </w:r>
      <w:r w:rsidR="007F6569" w:rsidRPr="00725A66">
        <w:rPr>
          <w:szCs w:val="28"/>
        </w:rPr>
        <w:t xml:space="preserve">en agosto de 2020 </w:t>
      </w:r>
      <w:r w:rsidRPr="00725A66">
        <w:rPr>
          <w:szCs w:val="28"/>
        </w:rPr>
        <w:t xml:space="preserve">el  </w:t>
      </w:r>
      <w:r w:rsidRPr="00725A66">
        <w:rPr>
          <w:b/>
          <w:bCs/>
          <w:i/>
          <w:iCs/>
          <w:szCs w:val="28"/>
        </w:rPr>
        <w:t xml:space="preserve">Proyecto de </w:t>
      </w:r>
      <w:r w:rsidR="00B40693" w:rsidRPr="00725A66">
        <w:rPr>
          <w:b/>
          <w:bCs/>
          <w:i/>
          <w:iCs/>
          <w:szCs w:val="28"/>
        </w:rPr>
        <w:t>L</w:t>
      </w:r>
      <w:r w:rsidRPr="00725A66">
        <w:rPr>
          <w:b/>
          <w:bCs/>
          <w:i/>
          <w:iCs/>
          <w:szCs w:val="28"/>
        </w:rPr>
        <w:t>ey 361 de 2020 Cámara</w:t>
      </w:r>
      <w:r w:rsidRPr="00725A66">
        <w:rPr>
          <w:i/>
          <w:iCs/>
          <w:szCs w:val="28"/>
        </w:rPr>
        <w:t xml:space="preserve"> </w:t>
      </w:r>
      <w:r w:rsidR="00B40693" w:rsidRPr="00725A66">
        <w:rPr>
          <w:szCs w:val="28"/>
        </w:rPr>
        <w:t>–</w:t>
      </w:r>
      <w:r w:rsidR="00593CBB" w:rsidRPr="00725A66">
        <w:rPr>
          <w:szCs w:val="28"/>
        </w:rPr>
        <w:t xml:space="preserve"> en calidad de</w:t>
      </w:r>
      <w:r w:rsidR="007F6569" w:rsidRPr="00725A66">
        <w:rPr>
          <w:szCs w:val="28"/>
        </w:rPr>
        <w:t xml:space="preserve"> ley </w:t>
      </w:r>
      <w:r w:rsidR="00B40693" w:rsidRPr="00725A66">
        <w:rPr>
          <w:szCs w:val="28"/>
        </w:rPr>
        <w:t>estatutaria-, “</w:t>
      </w:r>
      <w:r w:rsidR="00B40693" w:rsidRPr="00725A66">
        <w:rPr>
          <w:i/>
          <w:iCs/>
          <w:szCs w:val="28"/>
        </w:rPr>
        <w:t>Por medio del cual se define sistema electoral de los magistrados miembros de la Comisión Nacional de Disciplina Judicial del artículo 257A de la Constitución Política</w:t>
      </w:r>
      <w:r w:rsidR="00B40693" w:rsidRPr="00725A66">
        <w:rPr>
          <w:szCs w:val="28"/>
        </w:rPr>
        <w:t>”</w:t>
      </w:r>
      <w:r w:rsidR="007F6569" w:rsidRPr="00725A66">
        <w:rPr>
          <w:rStyle w:val="Refdenotaalpie"/>
          <w:szCs w:val="28"/>
        </w:rPr>
        <w:footnoteReference w:id="308"/>
      </w:r>
      <w:r w:rsidR="00725A66" w:rsidRPr="00725A66">
        <w:rPr>
          <w:szCs w:val="28"/>
        </w:rPr>
        <w:t xml:space="preserve">; </w:t>
      </w:r>
      <w:r w:rsidR="003375AF" w:rsidRPr="00725A66">
        <w:rPr>
          <w:szCs w:val="28"/>
        </w:rPr>
        <w:t xml:space="preserve">proyecto que </w:t>
      </w:r>
      <w:r w:rsidR="00593CBB" w:rsidRPr="00725A66">
        <w:rPr>
          <w:szCs w:val="28"/>
        </w:rPr>
        <w:t xml:space="preserve">también está en curso. </w:t>
      </w:r>
    </w:p>
    <w:p w14:paraId="269744F0" w14:textId="77777777" w:rsidR="00FE23DC" w:rsidRPr="00725A66" w:rsidRDefault="00FE23DC" w:rsidP="00FE23DC">
      <w:pPr>
        <w:pStyle w:val="NormalWeb"/>
        <w:tabs>
          <w:tab w:val="left" w:pos="426"/>
        </w:tabs>
        <w:spacing w:before="0" w:beforeAutospacing="0" w:after="0" w:afterAutospacing="0"/>
        <w:ind w:right="40"/>
        <w:jc w:val="both"/>
        <w:rPr>
          <w:sz w:val="28"/>
          <w:szCs w:val="28"/>
        </w:rPr>
      </w:pPr>
    </w:p>
    <w:p w14:paraId="143C7C56" w14:textId="77777777" w:rsidR="003F3607" w:rsidRPr="002E4477" w:rsidRDefault="006B001F" w:rsidP="00962603">
      <w:pPr>
        <w:pStyle w:val="NormalWeb"/>
        <w:numPr>
          <w:ilvl w:val="0"/>
          <w:numId w:val="10"/>
        </w:numPr>
        <w:tabs>
          <w:tab w:val="left" w:pos="426"/>
        </w:tabs>
        <w:spacing w:before="0" w:beforeAutospacing="0" w:after="0" w:afterAutospacing="0"/>
        <w:ind w:right="40"/>
        <w:jc w:val="both"/>
        <w:rPr>
          <w:sz w:val="28"/>
          <w:szCs w:val="28"/>
        </w:rPr>
      </w:pPr>
      <w:r w:rsidRPr="00725A66">
        <w:rPr>
          <w:sz w:val="28"/>
          <w:szCs w:val="28"/>
        </w:rPr>
        <w:t>En este contexto</w:t>
      </w:r>
      <w:r w:rsidR="003375AF" w:rsidRPr="00725A66">
        <w:rPr>
          <w:sz w:val="28"/>
          <w:szCs w:val="28"/>
        </w:rPr>
        <w:t xml:space="preserve">, debe </w:t>
      </w:r>
      <w:r w:rsidR="00593CBB" w:rsidRPr="00725A66">
        <w:rPr>
          <w:sz w:val="28"/>
          <w:szCs w:val="28"/>
        </w:rPr>
        <w:t>concluirse</w:t>
      </w:r>
      <w:r w:rsidRPr="00725A66">
        <w:rPr>
          <w:sz w:val="28"/>
          <w:szCs w:val="28"/>
        </w:rPr>
        <w:t xml:space="preserve"> finalmente</w:t>
      </w:r>
      <w:r w:rsidR="00BB3033" w:rsidRPr="00725A66">
        <w:rPr>
          <w:sz w:val="28"/>
          <w:szCs w:val="28"/>
        </w:rPr>
        <w:t xml:space="preserve"> </w:t>
      </w:r>
      <w:r w:rsidR="00593CBB" w:rsidRPr="00725A66">
        <w:rPr>
          <w:sz w:val="28"/>
          <w:szCs w:val="28"/>
        </w:rPr>
        <w:t>que</w:t>
      </w:r>
      <w:r w:rsidRPr="00725A66">
        <w:rPr>
          <w:sz w:val="28"/>
          <w:szCs w:val="28"/>
        </w:rPr>
        <w:t xml:space="preserve"> la providencia objeto de censura, no solo ha favorecido</w:t>
      </w:r>
      <w:r w:rsidR="00B84D0E">
        <w:rPr>
          <w:sz w:val="28"/>
          <w:szCs w:val="28"/>
        </w:rPr>
        <w:t xml:space="preserve"> </w:t>
      </w:r>
      <w:r w:rsidR="00725A66">
        <w:rPr>
          <w:sz w:val="28"/>
          <w:szCs w:val="28"/>
        </w:rPr>
        <w:t xml:space="preserve">a </w:t>
      </w:r>
      <w:r w:rsidR="00B84D0E">
        <w:rPr>
          <w:sz w:val="28"/>
          <w:szCs w:val="28"/>
        </w:rPr>
        <w:t xml:space="preserve">que un órgano cuya duración estaba limitada a un año después de la vigencia de la modificación constitucional siga </w:t>
      </w:r>
      <w:r w:rsidR="00B84D0E" w:rsidRPr="00725A66">
        <w:rPr>
          <w:sz w:val="28"/>
          <w:szCs w:val="28"/>
        </w:rPr>
        <w:t>ejerciendo funciones después de 5 años</w:t>
      </w:r>
      <w:r w:rsidR="00BB3033" w:rsidRPr="00725A66">
        <w:rPr>
          <w:sz w:val="28"/>
          <w:szCs w:val="28"/>
        </w:rPr>
        <w:t>;</w:t>
      </w:r>
      <w:r w:rsidR="00B84D0E" w:rsidRPr="00725A66">
        <w:rPr>
          <w:sz w:val="28"/>
          <w:szCs w:val="28"/>
        </w:rPr>
        <w:t xml:space="preserve"> sino que</w:t>
      </w:r>
      <w:r w:rsidR="00B53B1A" w:rsidRPr="00725A66">
        <w:rPr>
          <w:sz w:val="28"/>
          <w:szCs w:val="28"/>
        </w:rPr>
        <w:t xml:space="preserve"> ha facilitado el incumplimiento de términos constitucionales y</w:t>
      </w:r>
      <w:r w:rsidR="00BB3033" w:rsidRPr="00725A66">
        <w:rPr>
          <w:sz w:val="28"/>
          <w:szCs w:val="28"/>
        </w:rPr>
        <w:t xml:space="preserve"> </w:t>
      </w:r>
      <w:r w:rsidR="00B53B1A" w:rsidRPr="00725A66">
        <w:rPr>
          <w:sz w:val="28"/>
          <w:szCs w:val="28"/>
        </w:rPr>
        <w:t xml:space="preserve">la permanencia por más de 10 años en el cargo de </w:t>
      </w:r>
      <w:r w:rsidR="001E122B" w:rsidRPr="00725A66">
        <w:rPr>
          <w:sz w:val="28"/>
          <w:szCs w:val="28"/>
        </w:rPr>
        <w:t>m</w:t>
      </w:r>
      <w:r w:rsidR="00B53B1A" w:rsidRPr="00725A66">
        <w:rPr>
          <w:sz w:val="28"/>
          <w:szCs w:val="28"/>
        </w:rPr>
        <w:t>agistrados de la Sala Jurisdiccional cuyo periodo constitucional es de 8 años</w:t>
      </w:r>
      <w:r w:rsidR="007F0C9F" w:rsidRPr="00725A66">
        <w:rPr>
          <w:sz w:val="28"/>
          <w:szCs w:val="28"/>
        </w:rPr>
        <w:t>.</w:t>
      </w:r>
      <w:r w:rsidR="00B53B1A" w:rsidRPr="00725A66">
        <w:rPr>
          <w:sz w:val="28"/>
          <w:szCs w:val="28"/>
        </w:rPr>
        <w:t xml:space="preserve"> </w:t>
      </w:r>
      <w:r w:rsidR="00BB3033" w:rsidRPr="00725A66">
        <w:rPr>
          <w:sz w:val="28"/>
          <w:szCs w:val="28"/>
        </w:rPr>
        <w:t>Asimismo</w:t>
      </w:r>
      <w:r w:rsidR="007F0C9F" w:rsidRPr="00725A66">
        <w:rPr>
          <w:sz w:val="28"/>
          <w:szCs w:val="28"/>
        </w:rPr>
        <w:t xml:space="preserve"> </w:t>
      </w:r>
      <w:r w:rsidR="003F3607" w:rsidRPr="00725A66">
        <w:rPr>
          <w:sz w:val="28"/>
          <w:szCs w:val="28"/>
        </w:rPr>
        <w:t xml:space="preserve">mantiene </w:t>
      </w:r>
      <w:r w:rsidR="004A506D" w:rsidRPr="00725A66">
        <w:rPr>
          <w:sz w:val="28"/>
          <w:szCs w:val="28"/>
        </w:rPr>
        <w:t xml:space="preserve">en estado </w:t>
      </w:r>
      <w:r w:rsidR="003F3607" w:rsidRPr="00725A66">
        <w:rPr>
          <w:sz w:val="28"/>
          <w:szCs w:val="28"/>
        </w:rPr>
        <w:t>de interinidad</w:t>
      </w:r>
      <w:r w:rsidR="00265BF7" w:rsidRPr="00725A66">
        <w:rPr>
          <w:sz w:val="28"/>
          <w:szCs w:val="28"/>
        </w:rPr>
        <w:t xml:space="preserve"> permanente:</w:t>
      </w:r>
      <w:r w:rsidR="00B30BA4" w:rsidRPr="00725A66">
        <w:rPr>
          <w:sz w:val="28"/>
          <w:szCs w:val="28"/>
        </w:rPr>
        <w:t xml:space="preserve"> </w:t>
      </w:r>
      <w:r w:rsidR="00265BF7" w:rsidRPr="00725A66">
        <w:rPr>
          <w:b/>
          <w:bCs/>
          <w:sz w:val="28"/>
          <w:szCs w:val="28"/>
        </w:rPr>
        <w:t>(i)</w:t>
      </w:r>
      <w:r w:rsidR="00265BF7" w:rsidRPr="00725A66">
        <w:rPr>
          <w:sz w:val="28"/>
          <w:szCs w:val="28"/>
        </w:rPr>
        <w:t xml:space="preserve"> </w:t>
      </w:r>
      <w:r w:rsidR="003F3607" w:rsidRPr="00725A66">
        <w:rPr>
          <w:sz w:val="28"/>
          <w:szCs w:val="28"/>
        </w:rPr>
        <w:t>a las instituciones transitorias</w:t>
      </w:r>
      <w:r w:rsidR="00265BF7" w:rsidRPr="00725A66">
        <w:rPr>
          <w:sz w:val="28"/>
          <w:szCs w:val="28"/>
        </w:rPr>
        <w:t xml:space="preserve"> que perviven a pesar de no tener funciones previstas en la Carta</w:t>
      </w:r>
      <w:r w:rsidR="00F13D50" w:rsidRPr="00725A66">
        <w:rPr>
          <w:sz w:val="28"/>
          <w:szCs w:val="28"/>
        </w:rPr>
        <w:t xml:space="preserve"> y haber desaparecido de ella como parte de la nueva arquitectura constitucional</w:t>
      </w:r>
      <w:r w:rsidR="00265BF7" w:rsidRPr="00725A66">
        <w:rPr>
          <w:sz w:val="28"/>
          <w:szCs w:val="28"/>
        </w:rPr>
        <w:t xml:space="preserve">; </w:t>
      </w:r>
      <w:r w:rsidR="00265BF7" w:rsidRPr="00725A66">
        <w:rPr>
          <w:b/>
          <w:bCs/>
          <w:sz w:val="28"/>
          <w:szCs w:val="28"/>
        </w:rPr>
        <w:t>(ii)</w:t>
      </w:r>
      <w:r w:rsidR="00265BF7" w:rsidRPr="00725A66">
        <w:rPr>
          <w:sz w:val="28"/>
          <w:szCs w:val="28"/>
        </w:rPr>
        <w:t xml:space="preserve"> a los organismos </w:t>
      </w:r>
      <w:r w:rsidR="00F13D50" w:rsidRPr="00725A66">
        <w:rPr>
          <w:sz w:val="28"/>
          <w:szCs w:val="28"/>
        </w:rPr>
        <w:t xml:space="preserve"> </w:t>
      </w:r>
      <w:r w:rsidR="00265BF7" w:rsidRPr="00725A66">
        <w:rPr>
          <w:sz w:val="28"/>
          <w:szCs w:val="28"/>
        </w:rPr>
        <w:t>seleccionadores, que como el CSJ, alegan haber perdido las competencias constitucionales que les corresponden para acatar el mandato superior mencionado</w:t>
      </w:r>
      <w:r w:rsidR="0083732B" w:rsidRPr="00725A66">
        <w:rPr>
          <w:sz w:val="28"/>
          <w:szCs w:val="28"/>
        </w:rPr>
        <w:t xml:space="preserve"> y previsto por el constituyente</w:t>
      </w:r>
      <w:r w:rsidR="00265BF7" w:rsidRPr="00725A66">
        <w:rPr>
          <w:sz w:val="28"/>
          <w:szCs w:val="28"/>
        </w:rPr>
        <w:t xml:space="preserve">; y </w:t>
      </w:r>
      <w:r w:rsidR="00265BF7" w:rsidRPr="00725A66">
        <w:rPr>
          <w:b/>
          <w:bCs/>
          <w:sz w:val="28"/>
          <w:szCs w:val="28"/>
        </w:rPr>
        <w:t>(iii)</w:t>
      </w:r>
      <w:r w:rsidR="00265BF7" w:rsidRPr="00725A66">
        <w:rPr>
          <w:sz w:val="28"/>
          <w:szCs w:val="28"/>
        </w:rPr>
        <w:t xml:space="preserve"> a las demás entidades del Estado</w:t>
      </w:r>
      <w:r w:rsidR="00F13D50" w:rsidRPr="00725A66">
        <w:rPr>
          <w:sz w:val="28"/>
          <w:szCs w:val="28"/>
        </w:rPr>
        <w:t xml:space="preserve"> y autoridades,</w:t>
      </w:r>
      <w:r w:rsidR="00265BF7" w:rsidRPr="00725A66">
        <w:rPr>
          <w:sz w:val="28"/>
          <w:szCs w:val="28"/>
        </w:rPr>
        <w:t xml:space="preserve"> que deben asegurar en el interregno, la permanencia y funcionamiento adecuado de las </w:t>
      </w:r>
      <w:r w:rsidR="004A506D" w:rsidRPr="00725A66">
        <w:rPr>
          <w:sz w:val="28"/>
          <w:szCs w:val="28"/>
        </w:rPr>
        <w:t xml:space="preserve">entidades </w:t>
      </w:r>
      <w:r w:rsidR="00265BF7" w:rsidRPr="00725A66">
        <w:rPr>
          <w:sz w:val="28"/>
          <w:szCs w:val="28"/>
        </w:rPr>
        <w:t xml:space="preserve">interinas, hasta </w:t>
      </w:r>
      <w:r w:rsidR="00F13D50" w:rsidRPr="00725A66">
        <w:rPr>
          <w:sz w:val="28"/>
          <w:szCs w:val="28"/>
        </w:rPr>
        <w:t>tanto</w:t>
      </w:r>
      <w:r w:rsidR="00265BF7" w:rsidRPr="00725A66">
        <w:rPr>
          <w:sz w:val="28"/>
          <w:szCs w:val="28"/>
        </w:rPr>
        <w:t xml:space="preserve"> el Legislador decida</w:t>
      </w:r>
      <w:r w:rsidR="000D095F" w:rsidRPr="00725A66">
        <w:rPr>
          <w:sz w:val="28"/>
          <w:szCs w:val="28"/>
        </w:rPr>
        <w:t xml:space="preserve"> cumplir</w:t>
      </w:r>
      <w:r w:rsidR="00725A66" w:rsidRPr="00725A66">
        <w:rPr>
          <w:sz w:val="28"/>
          <w:szCs w:val="28"/>
        </w:rPr>
        <w:t xml:space="preserve"> </w:t>
      </w:r>
      <w:r w:rsidR="00265BF7" w:rsidRPr="00725A66">
        <w:rPr>
          <w:sz w:val="28"/>
          <w:szCs w:val="28"/>
        </w:rPr>
        <w:t xml:space="preserve">con </w:t>
      </w:r>
      <w:r w:rsidR="00E673BF" w:rsidRPr="00725A66">
        <w:rPr>
          <w:sz w:val="28"/>
          <w:szCs w:val="28"/>
        </w:rPr>
        <w:t>l</w:t>
      </w:r>
      <w:r w:rsidR="00407EE6" w:rsidRPr="00725A66">
        <w:rPr>
          <w:sz w:val="28"/>
          <w:szCs w:val="28"/>
        </w:rPr>
        <w:t xml:space="preserve">a </w:t>
      </w:r>
      <w:r w:rsidR="00265BF7" w:rsidRPr="00725A66">
        <w:rPr>
          <w:sz w:val="28"/>
          <w:szCs w:val="28"/>
        </w:rPr>
        <w:t>función constitucional</w:t>
      </w:r>
      <w:r w:rsidR="00F13D50" w:rsidRPr="00725A66">
        <w:rPr>
          <w:sz w:val="28"/>
          <w:szCs w:val="28"/>
        </w:rPr>
        <w:t xml:space="preserve"> de re</w:t>
      </w:r>
      <w:r w:rsidR="0083732B" w:rsidRPr="00725A66">
        <w:rPr>
          <w:sz w:val="28"/>
          <w:szCs w:val="28"/>
        </w:rPr>
        <w:t>gular</w:t>
      </w:r>
      <w:r w:rsidR="00F13D50" w:rsidRPr="00725A66">
        <w:rPr>
          <w:sz w:val="28"/>
          <w:szCs w:val="28"/>
        </w:rPr>
        <w:t xml:space="preserve"> </w:t>
      </w:r>
      <w:r w:rsidR="00BB3033" w:rsidRPr="00725A66">
        <w:rPr>
          <w:sz w:val="28"/>
          <w:szCs w:val="28"/>
        </w:rPr>
        <w:t xml:space="preserve">de manera definitiva </w:t>
      </w:r>
      <w:r w:rsidR="00F13D50" w:rsidRPr="00725A66">
        <w:rPr>
          <w:sz w:val="28"/>
          <w:szCs w:val="28"/>
        </w:rPr>
        <w:t>una convocatoria</w:t>
      </w:r>
      <w:r w:rsidR="00136564" w:rsidRPr="00725A66">
        <w:rPr>
          <w:sz w:val="28"/>
          <w:szCs w:val="28"/>
        </w:rPr>
        <w:t xml:space="preserve"> pública, que para el caso de la CNDJ</w:t>
      </w:r>
      <w:r w:rsidR="00B53B1A" w:rsidRPr="00725A66">
        <w:rPr>
          <w:sz w:val="28"/>
          <w:szCs w:val="28"/>
        </w:rPr>
        <w:t>, era una función que</w:t>
      </w:r>
      <w:r w:rsidR="00B53B1A" w:rsidRPr="002E4477">
        <w:rPr>
          <w:sz w:val="28"/>
          <w:szCs w:val="28"/>
        </w:rPr>
        <w:t xml:space="preserve"> le</w:t>
      </w:r>
      <w:r w:rsidR="00136564" w:rsidRPr="002E4477">
        <w:rPr>
          <w:sz w:val="28"/>
          <w:szCs w:val="28"/>
        </w:rPr>
        <w:t xml:space="preserve"> había sido</w:t>
      </w:r>
      <w:r w:rsidR="00F13D50" w:rsidRPr="002E4477">
        <w:rPr>
          <w:sz w:val="28"/>
          <w:szCs w:val="28"/>
        </w:rPr>
        <w:t xml:space="preserve"> asignada </w:t>
      </w:r>
      <w:r w:rsidR="00B53B1A" w:rsidRPr="002E4477">
        <w:rPr>
          <w:sz w:val="28"/>
          <w:szCs w:val="28"/>
        </w:rPr>
        <w:t xml:space="preserve">originalmente </w:t>
      </w:r>
      <w:r w:rsidR="00136564" w:rsidRPr="002E4477">
        <w:rPr>
          <w:sz w:val="28"/>
          <w:szCs w:val="28"/>
        </w:rPr>
        <w:t xml:space="preserve">por el constituyente, </w:t>
      </w:r>
      <w:r w:rsidR="00F13D50" w:rsidRPr="002E4477">
        <w:rPr>
          <w:sz w:val="28"/>
          <w:szCs w:val="28"/>
        </w:rPr>
        <w:t>al Consejo de Gobierno Judicial</w:t>
      </w:r>
      <w:r w:rsidR="00136564" w:rsidRPr="002E4477">
        <w:rPr>
          <w:sz w:val="28"/>
          <w:szCs w:val="28"/>
        </w:rPr>
        <w:t>, hoy CSJ.</w:t>
      </w:r>
      <w:r w:rsidR="00F13D50" w:rsidRPr="002E4477">
        <w:rPr>
          <w:sz w:val="28"/>
          <w:szCs w:val="28"/>
        </w:rPr>
        <w:t xml:space="preserve"> </w:t>
      </w:r>
    </w:p>
    <w:p w14:paraId="6F7ABE37" w14:textId="77777777" w:rsidR="003F3607" w:rsidRPr="002E4477" w:rsidRDefault="003F3607" w:rsidP="00EC0A8F">
      <w:pPr>
        <w:pStyle w:val="NormalWeb"/>
        <w:tabs>
          <w:tab w:val="left" w:pos="426"/>
        </w:tabs>
        <w:spacing w:before="0" w:beforeAutospacing="0" w:after="0" w:afterAutospacing="0" w:line="276" w:lineRule="auto"/>
        <w:ind w:right="40"/>
        <w:jc w:val="both"/>
        <w:rPr>
          <w:sz w:val="30"/>
          <w:szCs w:val="30"/>
        </w:rPr>
      </w:pPr>
    </w:p>
    <w:p w14:paraId="52E02F0D" w14:textId="77777777" w:rsidR="005701CB" w:rsidRDefault="00150AE8" w:rsidP="00150AE8">
      <w:pPr>
        <w:pStyle w:val="NormalWeb"/>
        <w:tabs>
          <w:tab w:val="left" w:pos="284"/>
        </w:tabs>
        <w:spacing w:before="0" w:beforeAutospacing="0" w:after="0" w:afterAutospacing="0"/>
        <w:ind w:right="40"/>
        <w:jc w:val="both"/>
        <w:rPr>
          <w:b/>
          <w:sz w:val="28"/>
          <w:szCs w:val="28"/>
        </w:rPr>
      </w:pPr>
      <w:r w:rsidRPr="002E4477">
        <w:rPr>
          <w:b/>
          <w:sz w:val="28"/>
          <w:szCs w:val="28"/>
        </w:rPr>
        <w:t>La importancia de la seguridad y estabilidad jurídica de la Jurisdicción Disciplinaria</w:t>
      </w:r>
      <w:r w:rsidR="001E1BF1" w:rsidRPr="002E4477">
        <w:rPr>
          <w:b/>
          <w:sz w:val="28"/>
          <w:szCs w:val="28"/>
        </w:rPr>
        <w:t>,</w:t>
      </w:r>
      <w:r w:rsidRPr="002E4477">
        <w:rPr>
          <w:b/>
          <w:sz w:val="28"/>
          <w:szCs w:val="28"/>
        </w:rPr>
        <w:t xml:space="preserve"> en la Rama Judicial</w:t>
      </w:r>
    </w:p>
    <w:p w14:paraId="7D79F54A" w14:textId="77777777" w:rsidR="005701CB" w:rsidRPr="002E4477" w:rsidRDefault="005701CB" w:rsidP="005701CB">
      <w:pPr>
        <w:pStyle w:val="NormalWeb"/>
        <w:tabs>
          <w:tab w:val="left" w:pos="284"/>
        </w:tabs>
        <w:spacing w:before="0" w:beforeAutospacing="0" w:after="0" w:afterAutospacing="0" w:line="276" w:lineRule="auto"/>
        <w:ind w:right="40"/>
        <w:jc w:val="both"/>
        <w:rPr>
          <w:b/>
          <w:sz w:val="28"/>
          <w:szCs w:val="28"/>
        </w:rPr>
      </w:pPr>
    </w:p>
    <w:p w14:paraId="4AC4037B" w14:textId="77777777" w:rsidR="00E67CFD" w:rsidRPr="002E4477" w:rsidRDefault="000C330C" w:rsidP="00962603">
      <w:pPr>
        <w:pStyle w:val="NormalWeb"/>
        <w:numPr>
          <w:ilvl w:val="0"/>
          <w:numId w:val="10"/>
        </w:numPr>
        <w:tabs>
          <w:tab w:val="left" w:pos="284"/>
        </w:tabs>
        <w:spacing w:before="0" w:beforeAutospacing="0" w:after="0" w:afterAutospacing="0"/>
        <w:ind w:right="40"/>
        <w:jc w:val="both"/>
        <w:rPr>
          <w:sz w:val="27"/>
          <w:szCs w:val="27"/>
        </w:rPr>
      </w:pPr>
      <w:r w:rsidRPr="002E4477">
        <w:rPr>
          <w:sz w:val="28"/>
          <w:szCs w:val="28"/>
        </w:rPr>
        <w:t>Definir la responsabilidad disciplinaria de abogados</w:t>
      </w:r>
      <w:r w:rsidR="00745FA6" w:rsidRPr="002E4477">
        <w:rPr>
          <w:sz w:val="28"/>
          <w:szCs w:val="28"/>
        </w:rPr>
        <w:t xml:space="preserve"> y funcionarios judiciales </w:t>
      </w:r>
      <w:r w:rsidR="00725A66">
        <w:rPr>
          <w:sz w:val="28"/>
          <w:szCs w:val="28"/>
        </w:rPr>
        <w:t>(</w:t>
      </w:r>
      <w:r w:rsidR="00745FA6" w:rsidRPr="002E4477">
        <w:rPr>
          <w:sz w:val="28"/>
          <w:szCs w:val="28"/>
        </w:rPr>
        <w:t>entre ellos magistrados,</w:t>
      </w:r>
      <w:r w:rsidRPr="002E4477">
        <w:rPr>
          <w:sz w:val="28"/>
          <w:szCs w:val="28"/>
        </w:rPr>
        <w:t xml:space="preserve"> jueces y fiscales</w:t>
      </w:r>
      <w:r w:rsidR="007A207C" w:rsidRPr="002E4477">
        <w:rPr>
          <w:rStyle w:val="Refdenotaalpie"/>
          <w:sz w:val="28"/>
          <w:szCs w:val="28"/>
        </w:rPr>
        <w:footnoteReference w:id="309"/>
      </w:r>
      <w:r w:rsidR="00725A66">
        <w:rPr>
          <w:sz w:val="28"/>
          <w:szCs w:val="28"/>
        </w:rPr>
        <w:t>)</w:t>
      </w:r>
      <w:r w:rsidR="00745FA6" w:rsidRPr="002E4477">
        <w:rPr>
          <w:sz w:val="28"/>
          <w:szCs w:val="28"/>
        </w:rPr>
        <w:t xml:space="preserve">, así como </w:t>
      </w:r>
      <w:r w:rsidR="003E03D4" w:rsidRPr="002E4477">
        <w:rPr>
          <w:sz w:val="28"/>
          <w:szCs w:val="28"/>
        </w:rPr>
        <w:t>la de</w:t>
      </w:r>
      <w:r w:rsidR="00745FA6" w:rsidRPr="002E4477">
        <w:rPr>
          <w:sz w:val="28"/>
          <w:szCs w:val="28"/>
        </w:rPr>
        <w:t xml:space="preserve"> los empleados de la Rama Judicial</w:t>
      </w:r>
      <w:r w:rsidR="00FE1F57" w:rsidRPr="002E4477">
        <w:rPr>
          <w:rStyle w:val="Refdenotaalpie"/>
          <w:sz w:val="28"/>
          <w:szCs w:val="28"/>
        </w:rPr>
        <w:footnoteReference w:id="310"/>
      </w:r>
      <w:r w:rsidR="00E67CFD" w:rsidRPr="002E4477">
        <w:rPr>
          <w:sz w:val="28"/>
          <w:szCs w:val="28"/>
        </w:rPr>
        <w:t>,</w:t>
      </w:r>
      <w:r w:rsidR="00C21912" w:rsidRPr="002E4477">
        <w:rPr>
          <w:sz w:val="28"/>
          <w:szCs w:val="28"/>
        </w:rPr>
        <w:t xml:space="preserve"> </w:t>
      </w:r>
      <w:r w:rsidR="00745FA6" w:rsidRPr="002E4477">
        <w:rPr>
          <w:sz w:val="28"/>
          <w:szCs w:val="28"/>
        </w:rPr>
        <w:t>es una tarea que le corresponde</w:t>
      </w:r>
      <w:r w:rsidR="00E67CFD" w:rsidRPr="002E4477">
        <w:rPr>
          <w:sz w:val="28"/>
          <w:szCs w:val="28"/>
        </w:rPr>
        <w:t xml:space="preserve"> </w:t>
      </w:r>
      <w:r w:rsidR="00745FA6" w:rsidRPr="002E4477">
        <w:rPr>
          <w:sz w:val="28"/>
          <w:szCs w:val="28"/>
        </w:rPr>
        <w:t>a la Jurisdicción Disciplinaria</w:t>
      </w:r>
      <w:r w:rsidR="003E03D4" w:rsidRPr="002E4477">
        <w:rPr>
          <w:sz w:val="28"/>
          <w:szCs w:val="28"/>
        </w:rPr>
        <w:t xml:space="preserve">. </w:t>
      </w:r>
    </w:p>
    <w:p w14:paraId="5CC6593A" w14:textId="77777777" w:rsidR="00E67CFD" w:rsidRPr="002E4477" w:rsidRDefault="00E67CFD" w:rsidP="00E67CFD">
      <w:pPr>
        <w:pStyle w:val="NormalWeb"/>
        <w:tabs>
          <w:tab w:val="left" w:pos="284"/>
        </w:tabs>
        <w:spacing w:before="0" w:beforeAutospacing="0" w:after="0" w:afterAutospacing="0"/>
        <w:ind w:right="40"/>
        <w:jc w:val="both"/>
        <w:rPr>
          <w:sz w:val="28"/>
          <w:szCs w:val="28"/>
        </w:rPr>
      </w:pPr>
    </w:p>
    <w:p w14:paraId="4059F437" w14:textId="77777777" w:rsidR="00FA502F" w:rsidRPr="002E4477" w:rsidRDefault="003E03D4" w:rsidP="00FA502F">
      <w:pPr>
        <w:pStyle w:val="NormalWeb"/>
        <w:tabs>
          <w:tab w:val="left" w:pos="284"/>
        </w:tabs>
        <w:spacing w:before="0" w:beforeAutospacing="0" w:after="0" w:afterAutospacing="0"/>
        <w:ind w:right="40"/>
        <w:jc w:val="both"/>
        <w:rPr>
          <w:sz w:val="27"/>
          <w:szCs w:val="27"/>
        </w:rPr>
      </w:pPr>
      <w:r w:rsidRPr="002E4477">
        <w:rPr>
          <w:sz w:val="28"/>
          <w:szCs w:val="28"/>
        </w:rPr>
        <w:t xml:space="preserve">Se trata de una labor de significativa relevancia, </w:t>
      </w:r>
      <w:r w:rsidR="006949E6" w:rsidRPr="002E4477">
        <w:rPr>
          <w:sz w:val="28"/>
          <w:szCs w:val="28"/>
        </w:rPr>
        <w:t xml:space="preserve">ya </w:t>
      </w:r>
      <w:r w:rsidR="00E67CFD" w:rsidRPr="002E4477">
        <w:rPr>
          <w:sz w:val="28"/>
          <w:szCs w:val="28"/>
        </w:rPr>
        <w:t>que supone investigar y sancionar</w:t>
      </w:r>
      <w:r w:rsidR="004333A8" w:rsidRPr="002E4477">
        <w:rPr>
          <w:sz w:val="28"/>
          <w:szCs w:val="28"/>
        </w:rPr>
        <w:t>,</w:t>
      </w:r>
      <w:r w:rsidR="00E67CFD" w:rsidRPr="002E4477">
        <w:rPr>
          <w:sz w:val="28"/>
          <w:szCs w:val="28"/>
        </w:rPr>
        <w:t xml:space="preserve"> </w:t>
      </w:r>
      <w:r w:rsidR="0038589F" w:rsidRPr="002E4477">
        <w:rPr>
          <w:sz w:val="28"/>
          <w:szCs w:val="28"/>
        </w:rPr>
        <w:t xml:space="preserve">si es del caso, </w:t>
      </w:r>
      <w:r w:rsidR="00AE3E2A" w:rsidRPr="002E4477">
        <w:rPr>
          <w:sz w:val="28"/>
          <w:szCs w:val="28"/>
        </w:rPr>
        <w:t xml:space="preserve">con fundamento en las exigencias que señale la ley, </w:t>
      </w:r>
      <w:r w:rsidR="00E67CFD" w:rsidRPr="002E4477">
        <w:rPr>
          <w:sz w:val="28"/>
          <w:szCs w:val="28"/>
        </w:rPr>
        <w:t xml:space="preserve">a </w:t>
      </w:r>
      <w:r w:rsidRPr="002E4477">
        <w:rPr>
          <w:sz w:val="28"/>
          <w:szCs w:val="28"/>
        </w:rPr>
        <w:t xml:space="preserve">los </w:t>
      </w:r>
      <w:r w:rsidR="00E67CFD" w:rsidRPr="002E4477">
        <w:rPr>
          <w:sz w:val="28"/>
          <w:szCs w:val="28"/>
        </w:rPr>
        <w:t>abogados</w:t>
      </w:r>
      <w:r w:rsidRPr="002E4477">
        <w:rPr>
          <w:sz w:val="28"/>
          <w:szCs w:val="28"/>
        </w:rPr>
        <w:t xml:space="preserve"> </w:t>
      </w:r>
      <w:r w:rsidR="00C04500" w:rsidRPr="002E4477">
        <w:rPr>
          <w:sz w:val="28"/>
          <w:szCs w:val="28"/>
        </w:rPr>
        <w:t xml:space="preserve">y </w:t>
      </w:r>
      <w:r w:rsidR="00B65E5B" w:rsidRPr="002E4477">
        <w:rPr>
          <w:sz w:val="28"/>
          <w:szCs w:val="28"/>
        </w:rPr>
        <w:t xml:space="preserve">a los </w:t>
      </w:r>
      <w:r w:rsidR="00C04500" w:rsidRPr="002E4477">
        <w:rPr>
          <w:sz w:val="28"/>
          <w:szCs w:val="28"/>
        </w:rPr>
        <w:t>funcionarios</w:t>
      </w:r>
      <w:r w:rsidRPr="002E4477">
        <w:rPr>
          <w:sz w:val="28"/>
          <w:szCs w:val="28"/>
        </w:rPr>
        <w:t xml:space="preserve"> judiciales</w:t>
      </w:r>
      <w:r w:rsidR="00E67CFD" w:rsidRPr="002E4477">
        <w:rPr>
          <w:sz w:val="28"/>
          <w:szCs w:val="28"/>
        </w:rPr>
        <w:t xml:space="preserve"> qu</w:t>
      </w:r>
      <w:r w:rsidR="00C04500" w:rsidRPr="002E4477">
        <w:rPr>
          <w:sz w:val="28"/>
          <w:szCs w:val="28"/>
        </w:rPr>
        <w:t>e</w:t>
      </w:r>
      <w:r w:rsidR="00BB4EC0">
        <w:rPr>
          <w:sz w:val="28"/>
          <w:szCs w:val="28"/>
        </w:rPr>
        <w:t>,</w:t>
      </w:r>
      <w:r w:rsidRPr="002E4477">
        <w:rPr>
          <w:sz w:val="28"/>
          <w:szCs w:val="28"/>
        </w:rPr>
        <w:t xml:space="preserve"> </w:t>
      </w:r>
      <w:r w:rsidR="00C21912" w:rsidRPr="002E4477">
        <w:rPr>
          <w:sz w:val="28"/>
          <w:szCs w:val="28"/>
        </w:rPr>
        <w:t>con su gestión</w:t>
      </w:r>
      <w:r w:rsidR="00AE3E2A" w:rsidRPr="002E4477">
        <w:rPr>
          <w:sz w:val="28"/>
          <w:szCs w:val="28"/>
        </w:rPr>
        <w:t xml:space="preserve"> u omisión</w:t>
      </w:r>
      <w:r w:rsidR="00C21912" w:rsidRPr="002E4477">
        <w:rPr>
          <w:sz w:val="28"/>
          <w:szCs w:val="28"/>
        </w:rPr>
        <w:t xml:space="preserve">, </w:t>
      </w:r>
      <w:r w:rsidR="000938B5" w:rsidRPr="002E4477">
        <w:rPr>
          <w:sz w:val="28"/>
          <w:szCs w:val="28"/>
        </w:rPr>
        <w:t xml:space="preserve">infrinjan </w:t>
      </w:r>
      <w:r w:rsidR="00763C9A" w:rsidRPr="002E4477">
        <w:rPr>
          <w:sz w:val="28"/>
          <w:szCs w:val="28"/>
        </w:rPr>
        <w:t xml:space="preserve">o se desvíen de </w:t>
      </w:r>
      <w:r w:rsidR="000938B5" w:rsidRPr="002E4477">
        <w:rPr>
          <w:sz w:val="28"/>
          <w:szCs w:val="28"/>
        </w:rPr>
        <w:t xml:space="preserve">su deber de </w:t>
      </w:r>
      <w:r w:rsidR="00C04500" w:rsidRPr="002E4477">
        <w:rPr>
          <w:sz w:val="28"/>
          <w:szCs w:val="28"/>
        </w:rPr>
        <w:t>contribu</w:t>
      </w:r>
      <w:r w:rsidR="000938B5" w:rsidRPr="002E4477">
        <w:rPr>
          <w:sz w:val="28"/>
          <w:szCs w:val="28"/>
        </w:rPr>
        <w:t>ir</w:t>
      </w:r>
      <w:r w:rsidR="00C04500" w:rsidRPr="002E4477">
        <w:rPr>
          <w:sz w:val="28"/>
          <w:szCs w:val="28"/>
        </w:rPr>
        <w:t xml:space="preserve"> </w:t>
      </w:r>
      <w:r w:rsidR="00763C9A" w:rsidRPr="002E4477">
        <w:rPr>
          <w:sz w:val="28"/>
          <w:szCs w:val="28"/>
        </w:rPr>
        <w:t xml:space="preserve">de </w:t>
      </w:r>
      <w:r w:rsidR="00B65E5B" w:rsidRPr="002E4477">
        <w:rPr>
          <w:sz w:val="28"/>
          <w:szCs w:val="28"/>
        </w:rPr>
        <w:t xml:space="preserve">una </w:t>
      </w:r>
      <w:r w:rsidR="00763C9A" w:rsidRPr="002E4477">
        <w:rPr>
          <w:sz w:val="28"/>
          <w:szCs w:val="28"/>
        </w:rPr>
        <w:t>manera eficiente</w:t>
      </w:r>
      <w:r w:rsidR="006949E6" w:rsidRPr="002E4477">
        <w:rPr>
          <w:sz w:val="28"/>
          <w:szCs w:val="28"/>
        </w:rPr>
        <w:t>, leal</w:t>
      </w:r>
      <w:r w:rsidR="00763C9A" w:rsidRPr="002E4477">
        <w:rPr>
          <w:sz w:val="28"/>
          <w:szCs w:val="28"/>
        </w:rPr>
        <w:t xml:space="preserve"> y comprometida</w:t>
      </w:r>
      <w:r w:rsidR="00652A84" w:rsidRPr="002E4477">
        <w:rPr>
          <w:sz w:val="28"/>
          <w:szCs w:val="28"/>
        </w:rPr>
        <w:t>,</w:t>
      </w:r>
      <w:r w:rsidR="00B65E5B" w:rsidRPr="002E4477">
        <w:rPr>
          <w:sz w:val="28"/>
          <w:szCs w:val="28"/>
        </w:rPr>
        <w:t xml:space="preserve"> </w:t>
      </w:r>
      <w:r w:rsidR="006949E6" w:rsidRPr="002E4477">
        <w:rPr>
          <w:sz w:val="28"/>
          <w:szCs w:val="28"/>
        </w:rPr>
        <w:t xml:space="preserve">con la adecuada administración de </w:t>
      </w:r>
      <w:r w:rsidR="00B65E5B" w:rsidRPr="002E4477">
        <w:rPr>
          <w:sz w:val="27"/>
          <w:szCs w:val="27"/>
        </w:rPr>
        <w:t>justicia</w:t>
      </w:r>
      <w:r w:rsidR="004333A8" w:rsidRPr="002E4477">
        <w:rPr>
          <w:sz w:val="27"/>
          <w:szCs w:val="27"/>
        </w:rPr>
        <w:t xml:space="preserve">. </w:t>
      </w:r>
    </w:p>
    <w:p w14:paraId="55FABC45" w14:textId="77777777" w:rsidR="00B65E5B" w:rsidRPr="002E4477" w:rsidRDefault="00B65E5B" w:rsidP="00FA502F">
      <w:pPr>
        <w:pStyle w:val="NormalWeb"/>
        <w:tabs>
          <w:tab w:val="left" w:pos="284"/>
        </w:tabs>
        <w:spacing w:before="0" w:beforeAutospacing="0" w:after="0" w:afterAutospacing="0"/>
        <w:ind w:right="40"/>
        <w:jc w:val="both"/>
        <w:rPr>
          <w:sz w:val="28"/>
          <w:szCs w:val="28"/>
        </w:rPr>
      </w:pPr>
    </w:p>
    <w:p w14:paraId="0F157830" w14:textId="77777777" w:rsidR="006949E6" w:rsidRPr="002E4477" w:rsidRDefault="000938B5" w:rsidP="006949E6">
      <w:pPr>
        <w:pStyle w:val="NormalWeb"/>
        <w:tabs>
          <w:tab w:val="left" w:pos="284"/>
        </w:tabs>
        <w:spacing w:before="0" w:beforeAutospacing="0" w:after="0" w:afterAutospacing="0"/>
        <w:ind w:right="40"/>
        <w:jc w:val="both"/>
        <w:rPr>
          <w:sz w:val="27"/>
          <w:szCs w:val="27"/>
        </w:rPr>
      </w:pPr>
      <w:r w:rsidRPr="002E4477">
        <w:rPr>
          <w:sz w:val="28"/>
          <w:szCs w:val="28"/>
        </w:rPr>
        <w:t xml:space="preserve">En Colombia, </w:t>
      </w:r>
      <w:r w:rsidR="00BB4EC0">
        <w:rPr>
          <w:sz w:val="28"/>
          <w:szCs w:val="28"/>
        </w:rPr>
        <w:t>hay</w:t>
      </w:r>
      <w:r w:rsidRPr="002E4477">
        <w:rPr>
          <w:sz w:val="28"/>
          <w:szCs w:val="28"/>
        </w:rPr>
        <w:t xml:space="preserve"> más de 300.000 abogados inscritos y más de 12</w:t>
      </w:r>
      <w:r w:rsidR="0025077D">
        <w:rPr>
          <w:sz w:val="28"/>
          <w:szCs w:val="28"/>
        </w:rPr>
        <w:t>.</w:t>
      </w:r>
      <w:r w:rsidRPr="002E4477">
        <w:rPr>
          <w:sz w:val="28"/>
          <w:szCs w:val="28"/>
        </w:rPr>
        <w:t>000 funcionarios judiciales</w:t>
      </w:r>
      <w:r w:rsidR="008C0064" w:rsidRPr="002E4477">
        <w:rPr>
          <w:rStyle w:val="Refdenotaalpie"/>
          <w:sz w:val="28"/>
          <w:szCs w:val="28"/>
        </w:rPr>
        <w:footnoteReference w:id="311"/>
      </w:r>
      <w:r w:rsidRPr="002E4477">
        <w:rPr>
          <w:sz w:val="28"/>
          <w:szCs w:val="28"/>
        </w:rPr>
        <w:t>,</w:t>
      </w:r>
      <w:r w:rsidR="005543A2" w:rsidRPr="002E4477">
        <w:rPr>
          <w:sz w:val="16"/>
          <w:szCs w:val="16"/>
        </w:rPr>
        <w:t xml:space="preserve"> </w:t>
      </w:r>
      <w:r w:rsidR="00BB4EC0" w:rsidRPr="00BB4EC0">
        <w:rPr>
          <w:sz w:val="28"/>
          <w:szCs w:val="28"/>
        </w:rPr>
        <w:t xml:space="preserve">de ahí que </w:t>
      </w:r>
      <w:r w:rsidR="007D6C6F" w:rsidRPr="002E4477">
        <w:rPr>
          <w:sz w:val="28"/>
          <w:szCs w:val="28"/>
        </w:rPr>
        <w:t>d</w:t>
      </w:r>
      <w:r w:rsidRPr="002E4477">
        <w:rPr>
          <w:sz w:val="28"/>
          <w:szCs w:val="28"/>
        </w:rPr>
        <w:t xml:space="preserve">icho control disciplinario es determinante para fortalecer la legitimidad de </w:t>
      </w:r>
      <w:r w:rsidR="00C77963" w:rsidRPr="002E4477">
        <w:rPr>
          <w:sz w:val="28"/>
          <w:szCs w:val="28"/>
        </w:rPr>
        <w:t>las</w:t>
      </w:r>
      <w:r w:rsidRPr="002E4477">
        <w:rPr>
          <w:sz w:val="28"/>
          <w:szCs w:val="28"/>
        </w:rPr>
        <w:t xml:space="preserve"> instituciones y asegurar la observancia de los principios de moralidad, eficiencia</w:t>
      </w:r>
      <w:r w:rsidR="00763C9A" w:rsidRPr="002E4477">
        <w:rPr>
          <w:sz w:val="28"/>
          <w:szCs w:val="28"/>
        </w:rPr>
        <w:t xml:space="preserve"> y</w:t>
      </w:r>
      <w:r w:rsidRPr="002E4477">
        <w:rPr>
          <w:sz w:val="28"/>
          <w:szCs w:val="28"/>
        </w:rPr>
        <w:t xml:space="preserve"> celeridad en la labor judicial</w:t>
      </w:r>
      <w:r w:rsidR="006949E6" w:rsidRPr="002E4477">
        <w:rPr>
          <w:sz w:val="28"/>
          <w:szCs w:val="28"/>
        </w:rPr>
        <w:t>,</w:t>
      </w:r>
      <w:r w:rsidR="00AE3E2A" w:rsidRPr="002E4477">
        <w:rPr>
          <w:sz w:val="28"/>
          <w:szCs w:val="28"/>
        </w:rPr>
        <w:t xml:space="preserve"> así como </w:t>
      </w:r>
      <w:r w:rsidRPr="002E4477">
        <w:rPr>
          <w:sz w:val="28"/>
          <w:szCs w:val="28"/>
        </w:rPr>
        <w:t>e</w:t>
      </w:r>
      <w:r w:rsidR="00FA502F" w:rsidRPr="002E4477">
        <w:rPr>
          <w:sz w:val="28"/>
          <w:szCs w:val="28"/>
        </w:rPr>
        <w:t>l</w:t>
      </w:r>
      <w:r w:rsidRPr="002E4477">
        <w:rPr>
          <w:sz w:val="28"/>
          <w:szCs w:val="28"/>
        </w:rPr>
        <w:t xml:space="preserve"> desempeño </w:t>
      </w:r>
      <w:r w:rsidR="006949E6" w:rsidRPr="002E4477">
        <w:rPr>
          <w:sz w:val="28"/>
          <w:szCs w:val="28"/>
        </w:rPr>
        <w:t>responsable</w:t>
      </w:r>
      <w:r w:rsidR="00FA502F" w:rsidRPr="002E4477">
        <w:rPr>
          <w:sz w:val="28"/>
          <w:szCs w:val="28"/>
        </w:rPr>
        <w:t xml:space="preserve"> </w:t>
      </w:r>
      <w:r w:rsidRPr="002E4477">
        <w:rPr>
          <w:sz w:val="28"/>
          <w:szCs w:val="28"/>
        </w:rPr>
        <w:t>de quienes fungen como abogados</w:t>
      </w:r>
      <w:r w:rsidR="00B65E5B" w:rsidRPr="002E4477">
        <w:rPr>
          <w:sz w:val="28"/>
          <w:szCs w:val="28"/>
        </w:rPr>
        <w:t>,</w:t>
      </w:r>
      <w:r w:rsidR="004333A8" w:rsidRPr="002E4477">
        <w:rPr>
          <w:sz w:val="28"/>
          <w:szCs w:val="28"/>
        </w:rPr>
        <w:t xml:space="preserve"> ante su deber de asistir</w:t>
      </w:r>
      <w:r w:rsidR="00763C9A" w:rsidRPr="002E4477">
        <w:rPr>
          <w:sz w:val="28"/>
          <w:szCs w:val="28"/>
        </w:rPr>
        <w:t xml:space="preserve"> </w:t>
      </w:r>
      <w:r w:rsidR="004333A8" w:rsidRPr="002E4477">
        <w:rPr>
          <w:sz w:val="28"/>
          <w:szCs w:val="28"/>
        </w:rPr>
        <w:t>profesionalmente</w:t>
      </w:r>
      <w:r w:rsidR="00461EC5" w:rsidRPr="002E4477">
        <w:rPr>
          <w:rStyle w:val="Refdenotaalpie"/>
          <w:bCs/>
          <w:sz w:val="28"/>
          <w:szCs w:val="28"/>
        </w:rPr>
        <w:footnoteReference w:id="312"/>
      </w:r>
      <w:r w:rsidR="00461EC5" w:rsidRPr="002E4477">
        <w:rPr>
          <w:bCs/>
          <w:sz w:val="28"/>
          <w:szCs w:val="28"/>
        </w:rPr>
        <w:t xml:space="preserve"> </w:t>
      </w:r>
      <w:r w:rsidR="004333A8" w:rsidRPr="002E4477">
        <w:rPr>
          <w:sz w:val="28"/>
          <w:szCs w:val="28"/>
        </w:rPr>
        <w:t xml:space="preserve">a quienes propugnan por el </w:t>
      </w:r>
      <w:r w:rsidR="00763C9A" w:rsidRPr="002E4477">
        <w:rPr>
          <w:sz w:val="28"/>
          <w:szCs w:val="28"/>
        </w:rPr>
        <w:t>reconocimiento de</w:t>
      </w:r>
      <w:r w:rsidR="004333A8" w:rsidRPr="002E4477">
        <w:rPr>
          <w:sz w:val="28"/>
          <w:szCs w:val="28"/>
        </w:rPr>
        <w:t xml:space="preserve"> sus</w:t>
      </w:r>
      <w:r w:rsidR="00763C9A" w:rsidRPr="002E4477">
        <w:rPr>
          <w:sz w:val="28"/>
          <w:szCs w:val="28"/>
        </w:rPr>
        <w:t xml:space="preserve"> derechos y la protección de bienes jurídicos </w:t>
      </w:r>
      <w:r w:rsidR="000568F4" w:rsidRPr="002E4477">
        <w:rPr>
          <w:sz w:val="28"/>
          <w:szCs w:val="28"/>
        </w:rPr>
        <w:t>cardinales</w:t>
      </w:r>
      <w:r w:rsidR="00763C9A" w:rsidRPr="002E4477">
        <w:rPr>
          <w:sz w:val="28"/>
          <w:szCs w:val="28"/>
        </w:rPr>
        <w:t xml:space="preserve"> para </w:t>
      </w:r>
      <w:r w:rsidR="00B84D0E">
        <w:rPr>
          <w:sz w:val="28"/>
          <w:szCs w:val="28"/>
        </w:rPr>
        <w:t>l</w:t>
      </w:r>
      <w:r w:rsidR="00763C9A" w:rsidRPr="002E4477">
        <w:rPr>
          <w:sz w:val="28"/>
          <w:szCs w:val="28"/>
        </w:rPr>
        <w:t>a sociedad</w:t>
      </w:r>
      <w:r w:rsidR="00AE3E2A" w:rsidRPr="002E4477">
        <w:rPr>
          <w:sz w:val="28"/>
          <w:szCs w:val="28"/>
        </w:rPr>
        <w:t>.</w:t>
      </w:r>
    </w:p>
    <w:p w14:paraId="45B08A1A" w14:textId="77777777" w:rsidR="006949E6" w:rsidRPr="002E4477" w:rsidRDefault="006949E6" w:rsidP="006949E6">
      <w:pPr>
        <w:pStyle w:val="NormalWeb"/>
        <w:tabs>
          <w:tab w:val="left" w:pos="284"/>
        </w:tabs>
        <w:spacing w:before="0" w:beforeAutospacing="0" w:after="0" w:afterAutospacing="0"/>
        <w:ind w:right="40"/>
        <w:jc w:val="both"/>
        <w:rPr>
          <w:sz w:val="27"/>
          <w:szCs w:val="27"/>
        </w:rPr>
      </w:pPr>
    </w:p>
    <w:p w14:paraId="20AED7EC" w14:textId="77777777" w:rsidR="00461EC5" w:rsidRPr="00B84D0E" w:rsidRDefault="005543A2" w:rsidP="00461EC5">
      <w:pPr>
        <w:pStyle w:val="NormalWeb"/>
        <w:tabs>
          <w:tab w:val="left" w:pos="284"/>
        </w:tabs>
        <w:spacing w:before="0" w:beforeAutospacing="0" w:after="0" w:afterAutospacing="0"/>
        <w:ind w:right="40"/>
        <w:jc w:val="both"/>
        <w:rPr>
          <w:bCs/>
          <w:sz w:val="28"/>
          <w:szCs w:val="28"/>
        </w:rPr>
      </w:pPr>
      <w:r w:rsidRPr="00B84D0E">
        <w:rPr>
          <w:sz w:val="28"/>
          <w:szCs w:val="28"/>
        </w:rPr>
        <w:t xml:space="preserve">En consecuencia, </w:t>
      </w:r>
      <w:r w:rsidR="007A207C" w:rsidRPr="00B84D0E">
        <w:rPr>
          <w:sz w:val="28"/>
          <w:szCs w:val="28"/>
        </w:rPr>
        <w:t xml:space="preserve">dado que </w:t>
      </w:r>
      <w:r w:rsidR="004333A8" w:rsidRPr="00B84D0E">
        <w:rPr>
          <w:sz w:val="28"/>
          <w:szCs w:val="28"/>
        </w:rPr>
        <w:t xml:space="preserve">la </w:t>
      </w:r>
      <w:r w:rsidR="006949E6" w:rsidRPr="00B84D0E">
        <w:rPr>
          <w:sz w:val="28"/>
          <w:szCs w:val="28"/>
        </w:rPr>
        <w:t xml:space="preserve">función pública de </w:t>
      </w:r>
      <w:r w:rsidR="00B65E5B" w:rsidRPr="00B84D0E">
        <w:rPr>
          <w:sz w:val="28"/>
          <w:szCs w:val="28"/>
        </w:rPr>
        <w:t>administra</w:t>
      </w:r>
      <w:r w:rsidR="006949E6" w:rsidRPr="00B84D0E">
        <w:rPr>
          <w:sz w:val="28"/>
          <w:szCs w:val="28"/>
        </w:rPr>
        <w:t>r</w:t>
      </w:r>
      <w:r w:rsidR="00B65E5B" w:rsidRPr="00B84D0E">
        <w:rPr>
          <w:sz w:val="28"/>
          <w:szCs w:val="28"/>
        </w:rPr>
        <w:t xml:space="preserve"> justicia</w:t>
      </w:r>
      <w:r w:rsidR="00AC7F83" w:rsidRPr="00B84D0E">
        <w:rPr>
          <w:sz w:val="28"/>
          <w:szCs w:val="28"/>
        </w:rPr>
        <w:t xml:space="preserve"> es esencial </w:t>
      </w:r>
      <w:r w:rsidR="007A207C" w:rsidRPr="00B84D0E">
        <w:rPr>
          <w:sz w:val="28"/>
          <w:szCs w:val="28"/>
        </w:rPr>
        <w:t xml:space="preserve">en el ordenamiento </w:t>
      </w:r>
      <w:r w:rsidR="00652A84" w:rsidRPr="00B84D0E">
        <w:rPr>
          <w:sz w:val="28"/>
          <w:szCs w:val="28"/>
        </w:rPr>
        <w:t>y</w:t>
      </w:r>
      <w:r w:rsidR="00AC7F83" w:rsidRPr="00B84D0E">
        <w:rPr>
          <w:sz w:val="28"/>
          <w:szCs w:val="28"/>
        </w:rPr>
        <w:t xml:space="preserve"> se configura como</w:t>
      </w:r>
      <w:r w:rsidR="00DB0336" w:rsidRPr="00B84D0E">
        <w:rPr>
          <w:sz w:val="28"/>
          <w:szCs w:val="28"/>
        </w:rPr>
        <w:t xml:space="preserve"> </w:t>
      </w:r>
      <w:r w:rsidR="004333A8" w:rsidRPr="00B84D0E">
        <w:rPr>
          <w:sz w:val="28"/>
          <w:szCs w:val="28"/>
        </w:rPr>
        <w:t>unos de los pilares fundamentales del Estado Social y Democrático de Derecho</w:t>
      </w:r>
      <w:r w:rsidR="00652A84" w:rsidRPr="00B84D0E">
        <w:rPr>
          <w:rStyle w:val="Refdenotaalpie"/>
          <w:sz w:val="28"/>
          <w:szCs w:val="28"/>
        </w:rPr>
        <w:footnoteReference w:id="313"/>
      </w:r>
      <w:r w:rsidR="004333A8" w:rsidRPr="00B84D0E">
        <w:rPr>
          <w:sz w:val="28"/>
          <w:szCs w:val="28"/>
        </w:rPr>
        <w:t>,</w:t>
      </w:r>
      <w:r w:rsidR="007A207C" w:rsidRPr="00B84D0E">
        <w:rPr>
          <w:sz w:val="28"/>
          <w:szCs w:val="28"/>
        </w:rPr>
        <w:t xml:space="preserve"> ella exige </w:t>
      </w:r>
      <w:r w:rsidRPr="00B84D0E">
        <w:rPr>
          <w:sz w:val="28"/>
          <w:szCs w:val="28"/>
        </w:rPr>
        <w:t>que</w:t>
      </w:r>
      <w:r w:rsidR="007A207C" w:rsidRPr="00B84D0E">
        <w:rPr>
          <w:sz w:val="28"/>
          <w:szCs w:val="28"/>
        </w:rPr>
        <w:t xml:space="preserve"> </w:t>
      </w:r>
      <w:r w:rsidR="00C77963" w:rsidRPr="00B84D0E">
        <w:rPr>
          <w:sz w:val="28"/>
          <w:szCs w:val="28"/>
        </w:rPr>
        <w:t xml:space="preserve">quien </w:t>
      </w:r>
      <w:r w:rsidRPr="00B84D0E">
        <w:rPr>
          <w:sz w:val="28"/>
          <w:szCs w:val="28"/>
        </w:rPr>
        <w:t>sea</w:t>
      </w:r>
      <w:r w:rsidR="003576DD" w:rsidRPr="00B84D0E">
        <w:rPr>
          <w:sz w:val="28"/>
          <w:szCs w:val="28"/>
        </w:rPr>
        <w:t xml:space="preserve"> investido</w:t>
      </w:r>
      <w:r w:rsidR="00C77963" w:rsidRPr="00B84D0E">
        <w:rPr>
          <w:sz w:val="28"/>
          <w:szCs w:val="28"/>
        </w:rPr>
        <w:t xml:space="preserve"> </w:t>
      </w:r>
      <w:r w:rsidR="007A207C" w:rsidRPr="00B84D0E">
        <w:rPr>
          <w:sz w:val="28"/>
          <w:szCs w:val="28"/>
        </w:rPr>
        <w:t xml:space="preserve">como juez, </w:t>
      </w:r>
      <w:r w:rsidRPr="00B84D0E">
        <w:rPr>
          <w:sz w:val="28"/>
          <w:szCs w:val="28"/>
        </w:rPr>
        <w:t xml:space="preserve">se comprometa </w:t>
      </w:r>
      <w:r w:rsidR="00F129CC" w:rsidRPr="00BB4EC0">
        <w:rPr>
          <w:sz w:val="28"/>
          <w:szCs w:val="28"/>
        </w:rPr>
        <w:t xml:space="preserve">con el deber de </w:t>
      </w:r>
      <w:r w:rsidR="00652A84" w:rsidRPr="00BB4EC0">
        <w:rPr>
          <w:sz w:val="28"/>
          <w:szCs w:val="28"/>
        </w:rPr>
        <w:t>imparcial</w:t>
      </w:r>
      <w:r w:rsidR="00BB4EC0" w:rsidRPr="00BB4EC0">
        <w:rPr>
          <w:sz w:val="28"/>
          <w:szCs w:val="28"/>
        </w:rPr>
        <w:t>idad</w:t>
      </w:r>
      <w:r w:rsidR="00652A84" w:rsidRPr="00BB4EC0">
        <w:rPr>
          <w:sz w:val="28"/>
          <w:szCs w:val="28"/>
        </w:rPr>
        <w:t>, independ</w:t>
      </w:r>
      <w:r w:rsidR="00BB4EC0" w:rsidRPr="00BB4EC0">
        <w:rPr>
          <w:sz w:val="28"/>
          <w:szCs w:val="28"/>
        </w:rPr>
        <w:t>encia</w:t>
      </w:r>
      <w:r w:rsidR="00FE1F57" w:rsidRPr="00BB4EC0">
        <w:rPr>
          <w:sz w:val="28"/>
          <w:szCs w:val="28"/>
        </w:rPr>
        <w:t xml:space="preserve"> y</w:t>
      </w:r>
      <w:r w:rsidR="00652A84" w:rsidRPr="00BB4EC0">
        <w:rPr>
          <w:sz w:val="28"/>
          <w:szCs w:val="28"/>
        </w:rPr>
        <w:t xml:space="preserve"> au</w:t>
      </w:r>
      <w:r w:rsidR="00BB4EC0" w:rsidRPr="00BB4EC0">
        <w:rPr>
          <w:sz w:val="28"/>
          <w:szCs w:val="28"/>
        </w:rPr>
        <w:t>tonomía</w:t>
      </w:r>
      <w:r w:rsidR="0038589F" w:rsidRPr="00BB4EC0">
        <w:rPr>
          <w:sz w:val="28"/>
          <w:szCs w:val="28"/>
        </w:rPr>
        <w:t xml:space="preserve">, </w:t>
      </w:r>
      <w:r w:rsidR="00FE1F57" w:rsidRPr="00BB4EC0">
        <w:rPr>
          <w:bCs/>
          <w:sz w:val="28"/>
          <w:szCs w:val="28"/>
        </w:rPr>
        <w:t>y</w:t>
      </w:r>
      <w:r w:rsidR="007A207C" w:rsidRPr="00BB4EC0">
        <w:rPr>
          <w:bCs/>
          <w:sz w:val="28"/>
          <w:szCs w:val="28"/>
        </w:rPr>
        <w:t xml:space="preserve"> de </w:t>
      </w:r>
      <w:r w:rsidR="00FE1F57" w:rsidRPr="00BB4EC0">
        <w:rPr>
          <w:bCs/>
          <w:sz w:val="28"/>
          <w:szCs w:val="28"/>
        </w:rPr>
        <w:t>cumplir</w:t>
      </w:r>
      <w:r w:rsidR="00DB0336" w:rsidRPr="00BB4EC0">
        <w:rPr>
          <w:bCs/>
          <w:sz w:val="28"/>
          <w:szCs w:val="28"/>
        </w:rPr>
        <w:t xml:space="preserve"> </w:t>
      </w:r>
      <w:r w:rsidR="00441956" w:rsidRPr="00BB4EC0">
        <w:rPr>
          <w:bCs/>
          <w:sz w:val="28"/>
          <w:szCs w:val="28"/>
        </w:rPr>
        <w:t xml:space="preserve">con </w:t>
      </w:r>
      <w:r w:rsidR="00FE1F57" w:rsidRPr="00BB4EC0">
        <w:rPr>
          <w:bCs/>
          <w:sz w:val="28"/>
          <w:szCs w:val="28"/>
        </w:rPr>
        <w:t>l</w:t>
      </w:r>
      <w:r w:rsidR="00B26D55" w:rsidRPr="00BB4EC0">
        <w:rPr>
          <w:bCs/>
          <w:sz w:val="28"/>
          <w:szCs w:val="28"/>
        </w:rPr>
        <w:t>as</w:t>
      </w:r>
      <w:r w:rsidR="00FE1F57" w:rsidRPr="00BB4EC0">
        <w:rPr>
          <w:bCs/>
          <w:sz w:val="28"/>
          <w:szCs w:val="28"/>
        </w:rPr>
        <w:t xml:space="preserve"> reglas de conducta mínima</w:t>
      </w:r>
      <w:r w:rsidR="00B1327D" w:rsidRPr="00BB4EC0">
        <w:rPr>
          <w:bCs/>
          <w:sz w:val="28"/>
          <w:szCs w:val="28"/>
        </w:rPr>
        <w:t>s</w:t>
      </w:r>
      <w:r w:rsidR="00FE1F57" w:rsidRPr="00BB4EC0">
        <w:rPr>
          <w:bCs/>
          <w:sz w:val="28"/>
          <w:szCs w:val="28"/>
        </w:rPr>
        <w:t xml:space="preserve"> </w:t>
      </w:r>
      <w:r w:rsidR="00981EE3" w:rsidRPr="00BB4EC0">
        <w:rPr>
          <w:bCs/>
          <w:sz w:val="28"/>
          <w:szCs w:val="28"/>
        </w:rPr>
        <w:t xml:space="preserve">que la sociedad espera de quienes desempeñan </w:t>
      </w:r>
      <w:r w:rsidR="00441956" w:rsidRPr="00BB4EC0">
        <w:rPr>
          <w:bCs/>
          <w:sz w:val="28"/>
          <w:szCs w:val="28"/>
        </w:rPr>
        <w:t>esa labor</w:t>
      </w:r>
      <w:r w:rsidR="00981EE3" w:rsidRPr="00BB4EC0">
        <w:rPr>
          <w:bCs/>
          <w:sz w:val="28"/>
          <w:szCs w:val="28"/>
        </w:rPr>
        <w:t>.</w:t>
      </w:r>
      <w:r w:rsidR="00B26D55" w:rsidRPr="00BB4EC0">
        <w:rPr>
          <w:bCs/>
          <w:sz w:val="28"/>
          <w:szCs w:val="28"/>
        </w:rPr>
        <w:t xml:space="preserve"> </w:t>
      </w:r>
      <w:r w:rsidR="00C77963" w:rsidRPr="00BB4EC0">
        <w:rPr>
          <w:sz w:val="28"/>
          <w:szCs w:val="28"/>
        </w:rPr>
        <w:t>A su vez,</w:t>
      </w:r>
      <w:r w:rsidR="007D6C6F" w:rsidRPr="00BB4EC0">
        <w:rPr>
          <w:sz w:val="28"/>
          <w:szCs w:val="28"/>
        </w:rPr>
        <w:t xml:space="preserve"> le</w:t>
      </w:r>
      <w:r w:rsidR="00C77963" w:rsidRPr="00BB4EC0">
        <w:rPr>
          <w:sz w:val="28"/>
          <w:szCs w:val="28"/>
        </w:rPr>
        <w:t xml:space="preserve"> </w:t>
      </w:r>
      <w:r w:rsidR="007A207C" w:rsidRPr="00BB4EC0">
        <w:rPr>
          <w:sz w:val="28"/>
          <w:szCs w:val="28"/>
        </w:rPr>
        <w:t>reclama</w:t>
      </w:r>
      <w:r w:rsidR="00C77963" w:rsidRPr="00BB4EC0">
        <w:rPr>
          <w:sz w:val="28"/>
          <w:szCs w:val="28"/>
        </w:rPr>
        <w:t xml:space="preserve"> </w:t>
      </w:r>
      <w:r w:rsidR="007D6C6F" w:rsidRPr="00BB4EC0">
        <w:rPr>
          <w:sz w:val="28"/>
          <w:szCs w:val="28"/>
        </w:rPr>
        <w:t>a</w:t>
      </w:r>
      <w:r w:rsidR="00981EE3" w:rsidRPr="00BB4EC0">
        <w:rPr>
          <w:sz w:val="28"/>
          <w:szCs w:val="28"/>
        </w:rPr>
        <w:t xml:space="preserve"> los </w:t>
      </w:r>
      <w:r w:rsidR="00C77963" w:rsidRPr="00BB4EC0">
        <w:rPr>
          <w:sz w:val="28"/>
          <w:szCs w:val="28"/>
        </w:rPr>
        <w:t xml:space="preserve">abogados </w:t>
      </w:r>
      <w:r w:rsidR="00652A84" w:rsidRPr="00BB4EC0">
        <w:rPr>
          <w:bCs/>
          <w:sz w:val="28"/>
          <w:szCs w:val="28"/>
        </w:rPr>
        <w:t xml:space="preserve">la sujeción a </w:t>
      </w:r>
      <w:r w:rsidR="007A207C" w:rsidRPr="00BB4EC0">
        <w:rPr>
          <w:bCs/>
          <w:sz w:val="28"/>
          <w:szCs w:val="28"/>
        </w:rPr>
        <w:t xml:space="preserve">las </w:t>
      </w:r>
      <w:r w:rsidR="00652A84" w:rsidRPr="00BB4EC0">
        <w:rPr>
          <w:bCs/>
          <w:sz w:val="28"/>
          <w:szCs w:val="28"/>
        </w:rPr>
        <w:t>exigencias éticas</w:t>
      </w:r>
      <w:r w:rsidR="003576DD" w:rsidRPr="00BB4EC0">
        <w:rPr>
          <w:bCs/>
          <w:sz w:val="28"/>
          <w:szCs w:val="28"/>
        </w:rPr>
        <w:t xml:space="preserve"> </w:t>
      </w:r>
      <w:r w:rsidR="00652A84" w:rsidRPr="00BB4EC0">
        <w:rPr>
          <w:bCs/>
          <w:sz w:val="28"/>
          <w:szCs w:val="28"/>
        </w:rPr>
        <w:t>y normativas</w:t>
      </w:r>
      <w:r w:rsidR="003576DD" w:rsidRPr="00BB4EC0">
        <w:rPr>
          <w:sz w:val="28"/>
          <w:szCs w:val="28"/>
        </w:rPr>
        <w:t xml:space="preserve"> </w:t>
      </w:r>
      <w:r w:rsidR="00FE1F57" w:rsidRPr="00BB4EC0">
        <w:rPr>
          <w:bCs/>
          <w:sz w:val="28"/>
          <w:szCs w:val="28"/>
        </w:rPr>
        <w:t xml:space="preserve">que se imponen en </w:t>
      </w:r>
      <w:r w:rsidR="00B1327D" w:rsidRPr="00BB4EC0">
        <w:rPr>
          <w:bCs/>
          <w:sz w:val="28"/>
          <w:szCs w:val="28"/>
        </w:rPr>
        <w:t xml:space="preserve">su </w:t>
      </w:r>
      <w:r w:rsidR="00FE1F57" w:rsidRPr="00BB4EC0">
        <w:rPr>
          <w:bCs/>
          <w:sz w:val="28"/>
          <w:szCs w:val="28"/>
        </w:rPr>
        <w:t xml:space="preserve">actuar profesional y </w:t>
      </w:r>
      <w:r w:rsidR="003576DD" w:rsidRPr="00BB4EC0">
        <w:rPr>
          <w:sz w:val="28"/>
          <w:szCs w:val="28"/>
        </w:rPr>
        <w:t xml:space="preserve">que </w:t>
      </w:r>
      <w:r w:rsidR="003576DD" w:rsidRPr="00BB4EC0">
        <w:rPr>
          <w:bCs/>
          <w:sz w:val="28"/>
          <w:szCs w:val="28"/>
        </w:rPr>
        <w:t>guían la aplicación del derecho</w:t>
      </w:r>
      <w:r w:rsidR="007D6C6F" w:rsidRPr="00BB4EC0">
        <w:rPr>
          <w:bCs/>
          <w:sz w:val="28"/>
          <w:szCs w:val="28"/>
        </w:rPr>
        <w:t>;</w:t>
      </w:r>
      <w:r w:rsidR="00981EE3" w:rsidRPr="00BB4EC0">
        <w:rPr>
          <w:bCs/>
          <w:sz w:val="28"/>
          <w:szCs w:val="28"/>
        </w:rPr>
        <w:t xml:space="preserve"> </w:t>
      </w:r>
      <w:r w:rsidR="00B1327D" w:rsidRPr="00BB4EC0">
        <w:rPr>
          <w:bCs/>
          <w:sz w:val="28"/>
          <w:szCs w:val="28"/>
        </w:rPr>
        <w:t xml:space="preserve">mientras que </w:t>
      </w:r>
      <w:r w:rsidR="007D6C6F" w:rsidRPr="00BB4EC0">
        <w:rPr>
          <w:bCs/>
          <w:sz w:val="28"/>
          <w:szCs w:val="28"/>
        </w:rPr>
        <w:t xml:space="preserve">a </w:t>
      </w:r>
      <w:r w:rsidR="00981EE3" w:rsidRPr="00BB4EC0">
        <w:rPr>
          <w:bCs/>
          <w:sz w:val="28"/>
          <w:szCs w:val="28"/>
        </w:rPr>
        <w:t xml:space="preserve">los empleados </w:t>
      </w:r>
      <w:r w:rsidR="00441956" w:rsidRPr="00BB4EC0">
        <w:rPr>
          <w:bCs/>
          <w:sz w:val="28"/>
          <w:szCs w:val="28"/>
        </w:rPr>
        <w:t>judiciales</w:t>
      </w:r>
      <w:r w:rsidR="000568F4" w:rsidRPr="00BB4EC0">
        <w:rPr>
          <w:bCs/>
          <w:sz w:val="28"/>
          <w:szCs w:val="28"/>
        </w:rPr>
        <w:t>,</w:t>
      </w:r>
      <w:r w:rsidR="00441956" w:rsidRPr="00BB4EC0">
        <w:rPr>
          <w:bCs/>
          <w:sz w:val="28"/>
          <w:szCs w:val="28"/>
        </w:rPr>
        <w:t xml:space="preserve"> </w:t>
      </w:r>
      <w:r w:rsidR="007D6C6F" w:rsidRPr="00BB4EC0">
        <w:rPr>
          <w:bCs/>
          <w:sz w:val="28"/>
          <w:szCs w:val="28"/>
        </w:rPr>
        <w:t xml:space="preserve">les </w:t>
      </w:r>
      <w:r w:rsidR="00F129CC" w:rsidRPr="00BB4EC0">
        <w:rPr>
          <w:bCs/>
          <w:sz w:val="28"/>
          <w:szCs w:val="28"/>
        </w:rPr>
        <w:t>solicita</w:t>
      </w:r>
      <w:r w:rsidR="007D6C6F" w:rsidRPr="00BB4EC0">
        <w:rPr>
          <w:bCs/>
          <w:sz w:val="28"/>
          <w:szCs w:val="28"/>
        </w:rPr>
        <w:t xml:space="preserve"> </w:t>
      </w:r>
      <w:r w:rsidR="00981EE3" w:rsidRPr="00BB4EC0">
        <w:rPr>
          <w:bCs/>
          <w:sz w:val="28"/>
          <w:szCs w:val="28"/>
        </w:rPr>
        <w:t>el adecuado cumplimiento de sus funciones regladas</w:t>
      </w:r>
      <w:r w:rsidR="00C77963" w:rsidRPr="00BB4EC0">
        <w:rPr>
          <w:bCs/>
          <w:sz w:val="28"/>
          <w:szCs w:val="28"/>
        </w:rPr>
        <w:t>.</w:t>
      </w:r>
      <w:bookmarkStart w:id="30" w:name="_Hlk39644560"/>
      <w:r w:rsidR="007D6C6F" w:rsidRPr="00BB4EC0">
        <w:rPr>
          <w:bCs/>
          <w:sz w:val="28"/>
          <w:szCs w:val="28"/>
        </w:rPr>
        <w:t xml:space="preserve"> </w:t>
      </w:r>
      <w:r w:rsidR="000568F4" w:rsidRPr="00BB4EC0">
        <w:rPr>
          <w:bCs/>
          <w:sz w:val="28"/>
          <w:szCs w:val="28"/>
        </w:rPr>
        <w:t xml:space="preserve">Se trata entonces de una actividad en la que </w:t>
      </w:r>
      <w:r w:rsidR="00DC6280" w:rsidRPr="00BB4EC0">
        <w:rPr>
          <w:bCs/>
          <w:sz w:val="28"/>
          <w:szCs w:val="28"/>
        </w:rPr>
        <w:t xml:space="preserve">confluyen, </w:t>
      </w:r>
      <w:r w:rsidR="00981EE3" w:rsidRPr="00BB4EC0">
        <w:rPr>
          <w:bCs/>
          <w:sz w:val="28"/>
          <w:szCs w:val="28"/>
        </w:rPr>
        <w:t>tanto</w:t>
      </w:r>
      <w:r w:rsidR="00B26D55" w:rsidRPr="00BB4EC0">
        <w:rPr>
          <w:bCs/>
          <w:sz w:val="28"/>
          <w:szCs w:val="28"/>
        </w:rPr>
        <w:t xml:space="preserve"> funcionarios y empleados judiciales</w:t>
      </w:r>
      <w:r w:rsidR="00981EE3" w:rsidRPr="00BB4EC0">
        <w:rPr>
          <w:bCs/>
          <w:sz w:val="28"/>
          <w:szCs w:val="28"/>
        </w:rPr>
        <w:t>,</w:t>
      </w:r>
      <w:r w:rsidR="00441956" w:rsidRPr="00BB4EC0">
        <w:rPr>
          <w:bCs/>
          <w:sz w:val="28"/>
          <w:szCs w:val="28"/>
        </w:rPr>
        <w:t xml:space="preserve"> como abogados</w:t>
      </w:r>
      <w:r w:rsidR="007D6C6F" w:rsidRPr="00BB4EC0">
        <w:rPr>
          <w:bCs/>
          <w:sz w:val="28"/>
          <w:szCs w:val="28"/>
        </w:rPr>
        <w:t xml:space="preserve"> </w:t>
      </w:r>
      <w:r w:rsidR="000568F4" w:rsidRPr="00BB4EC0">
        <w:rPr>
          <w:bCs/>
          <w:sz w:val="28"/>
          <w:szCs w:val="28"/>
        </w:rPr>
        <w:t>que</w:t>
      </w:r>
      <w:r w:rsidR="00BB4EC0">
        <w:rPr>
          <w:bCs/>
          <w:sz w:val="28"/>
          <w:szCs w:val="28"/>
        </w:rPr>
        <w:t>,</w:t>
      </w:r>
      <w:r w:rsidR="000568F4" w:rsidRPr="00BB4EC0">
        <w:rPr>
          <w:bCs/>
          <w:sz w:val="28"/>
          <w:szCs w:val="28"/>
        </w:rPr>
        <w:t xml:space="preserve"> por ese hecho</w:t>
      </w:r>
      <w:r w:rsidR="000D3B1C" w:rsidRPr="00BB4EC0">
        <w:rPr>
          <w:bCs/>
          <w:sz w:val="28"/>
          <w:szCs w:val="28"/>
        </w:rPr>
        <w:t xml:space="preserve">, </w:t>
      </w:r>
      <w:r w:rsidR="00B1327D" w:rsidRPr="00BB4EC0">
        <w:rPr>
          <w:bCs/>
          <w:sz w:val="28"/>
          <w:szCs w:val="28"/>
        </w:rPr>
        <w:t xml:space="preserve">tienen como </w:t>
      </w:r>
      <w:r w:rsidR="007D6C6F" w:rsidRPr="00BB4EC0">
        <w:rPr>
          <w:bCs/>
          <w:sz w:val="28"/>
          <w:szCs w:val="28"/>
        </w:rPr>
        <w:t xml:space="preserve">objetivo </w:t>
      </w:r>
      <w:r w:rsidR="00981EE3" w:rsidRPr="00BB4EC0">
        <w:rPr>
          <w:bCs/>
          <w:sz w:val="28"/>
          <w:szCs w:val="28"/>
        </w:rPr>
        <w:t>común</w:t>
      </w:r>
      <w:r w:rsidR="00B1327D" w:rsidRPr="00BB4EC0">
        <w:rPr>
          <w:bCs/>
          <w:sz w:val="28"/>
          <w:szCs w:val="28"/>
        </w:rPr>
        <w:t xml:space="preserve">, </w:t>
      </w:r>
      <w:r w:rsidR="00981EE3" w:rsidRPr="00BB4EC0">
        <w:rPr>
          <w:bCs/>
          <w:sz w:val="28"/>
          <w:szCs w:val="28"/>
        </w:rPr>
        <w:t xml:space="preserve">apoyar </w:t>
      </w:r>
      <w:r w:rsidR="00DC6280" w:rsidRPr="00BB4EC0">
        <w:rPr>
          <w:bCs/>
          <w:sz w:val="28"/>
          <w:szCs w:val="28"/>
        </w:rPr>
        <w:t xml:space="preserve">a la </w:t>
      </w:r>
      <w:r w:rsidR="00B26D55" w:rsidRPr="00BB4EC0">
        <w:rPr>
          <w:bCs/>
          <w:sz w:val="28"/>
          <w:szCs w:val="28"/>
        </w:rPr>
        <w:t>administración de justicia</w:t>
      </w:r>
      <w:r w:rsidR="00981EE3" w:rsidRPr="00BB4EC0">
        <w:rPr>
          <w:bCs/>
          <w:sz w:val="28"/>
          <w:szCs w:val="28"/>
        </w:rPr>
        <w:t>.</w:t>
      </w:r>
    </w:p>
    <w:p w14:paraId="6E9E2F5B" w14:textId="77777777" w:rsidR="00461EC5" w:rsidRPr="002E4477" w:rsidRDefault="00461EC5" w:rsidP="00461EC5">
      <w:pPr>
        <w:pStyle w:val="NormalWeb"/>
        <w:tabs>
          <w:tab w:val="left" w:pos="284"/>
        </w:tabs>
        <w:spacing w:before="0" w:beforeAutospacing="0" w:after="0" w:afterAutospacing="0"/>
        <w:ind w:right="40"/>
        <w:jc w:val="both"/>
        <w:rPr>
          <w:bCs/>
          <w:sz w:val="28"/>
          <w:szCs w:val="28"/>
        </w:rPr>
      </w:pPr>
    </w:p>
    <w:p w14:paraId="458B9FDB" w14:textId="77777777" w:rsidR="00461EC5" w:rsidRPr="002E4477" w:rsidRDefault="00C36A25" w:rsidP="00962603">
      <w:pPr>
        <w:numPr>
          <w:ilvl w:val="0"/>
          <w:numId w:val="10"/>
        </w:numPr>
        <w:jc w:val="both"/>
        <w:rPr>
          <w:bCs/>
          <w:szCs w:val="28"/>
          <w:lang w:val="es-CO" w:eastAsia="es-CO" w:bidi="bo-CN"/>
        </w:rPr>
      </w:pPr>
      <w:r w:rsidRPr="002E4477">
        <w:rPr>
          <w:bCs/>
          <w:szCs w:val="28"/>
          <w:lang w:val="es-CO" w:eastAsia="es-CO" w:bidi="bo-CN"/>
        </w:rPr>
        <w:t>E</w:t>
      </w:r>
      <w:r w:rsidR="00461EC5" w:rsidRPr="002E4477">
        <w:rPr>
          <w:bCs/>
          <w:szCs w:val="28"/>
          <w:lang w:val="es-CO" w:eastAsia="es-CO" w:bidi="bo-CN"/>
        </w:rPr>
        <w:t>l derecho disciplinario</w:t>
      </w:r>
      <w:r w:rsidRPr="002E4477">
        <w:rPr>
          <w:bCs/>
          <w:szCs w:val="28"/>
          <w:lang w:val="es-CO" w:eastAsia="es-CO" w:bidi="bo-CN"/>
        </w:rPr>
        <w:t>, en consecuencia,</w:t>
      </w:r>
      <w:r w:rsidR="00461EC5" w:rsidRPr="002E4477">
        <w:rPr>
          <w:bCs/>
          <w:szCs w:val="28"/>
          <w:lang w:val="es-CO" w:eastAsia="es-CO" w:bidi="bo-CN"/>
        </w:rPr>
        <w:t xml:space="preserve"> pretende encauzar la conducta del servidor público y del abogado</w:t>
      </w:r>
      <w:r w:rsidR="00BB4EC0">
        <w:rPr>
          <w:bCs/>
          <w:szCs w:val="28"/>
          <w:lang w:val="es-CO" w:eastAsia="es-CO" w:bidi="bo-CN"/>
        </w:rPr>
        <w:t>, qui</w:t>
      </w:r>
      <w:r w:rsidR="0004730A">
        <w:rPr>
          <w:bCs/>
          <w:szCs w:val="28"/>
          <w:lang w:val="es-CO" w:eastAsia="es-CO" w:bidi="bo-CN"/>
        </w:rPr>
        <w:t>é</w:t>
      </w:r>
      <w:r w:rsidR="00BB4EC0">
        <w:rPr>
          <w:bCs/>
          <w:szCs w:val="28"/>
          <w:lang w:val="es-CO" w:eastAsia="es-CO" w:bidi="bo-CN"/>
        </w:rPr>
        <w:t>nes</w:t>
      </w:r>
      <w:r w:rsidR="00461EC5" w:rsidRPr="002E4477">
        <w:rPr>
          <w:bCs/>
          <w:szCs w:val="28"/>
          <w:lang w:val="es-CO" w:eastAsia="es-CO" w:bidi="bo-CN"/>
        </w:rPr>
        <w:t xml:space="preserve"> en el ejercicio de sus competencias</w:t>
      </w:r>
      <w:r w:rsidR="000714FE" w:rsidRPr="002E4477">
        <w:rPr>
          <w:bCs/>
          <w:szCs w:val="28"/>
          <w:lang w:val="es-CO" w:eastAsia="es-CO" w:bidi="bo-CN"/>
        </w:rPr>
        <w:t>,</w:t>
      </w:r>
      <w:r w:rsidR="00FF155F" w:rsidRPr="002E4477">
        <w:rPr>
          <w:bCs/>
          <w:szCs w:val="28"/>
          <w:lang w:val="es-CO" w:eastAsia="es-CO" w:bidi="bo-CN"/>
        </w:rPr>
        <w:t xml:space="preserve"> </w:t>
      </w:r>
      <w:r w:rsidR="00461EC5" w:rsidRPr="002E4477">
        <w:rPr>
          <w:bCs/>
          <w:szCs w:val="28"/>
          <w:lang w:val="es-CO" w:eastAsia="es-CO" w:bidi="bo-CN"/>
        </w:rPr>
        <w:t>se desvía</w:t>
      </w:r>
      <w:r w:rsidR="00BB4EC0">
        <w:rPr>
          <w:bCs/>
          <w:szCs w:val="28"/>
          <w:lang w:val="es-CO" w:eastAsia="es-CO" w:bidi="bo-CN"/>
        </w:rPr>
        <w:t>n</w:t>
      </w:r>
      <w:r w:rsidR="00461EC5" w:rsidRPr="002E4477">
        <w:rPr>
          <w:bCs/>
          <w:szCs w:val="28"/>
          <w:lang w:val="es-CO" w:eastAsia="es-CO" w:bidi="bo-CN"/>
        </w:rPr>
        <w:t xml:space="preserve"> de las </w:t>
      </w:r>
      <w:r w:rsidR="000714FE" w:rsidRPr="002E4477">
        <w:rPr>
          <w:bCs/>
          <w:szCs w:val="28"/>
          <w:lang w:val="es-CO" w:eastAsia="es-CO" w:bidi="bo-CN"/>
        </w:rPr>
        <w:t>reglas</w:t>
      </w:r>
      <w:r w:rsidR="00461EC5" w:rsidRPr="002E4477">
        <w:rPr>
          <w:bCs/>
          <w:szCs w:val="28"/>
          <w:lang w:val="es-CO" w:eastAsia="es-CO" w:bidi="bo-CN"/>
        </w:rPr>
        <w:t xml:space="preserve"> mencionadas,</w:t>
      </w:r>
      <w:r w:rsidR="00BB4EC0">
        <w:rPr>
          <w:bCs/>
          <w:szCs w:val="28"/>
          <w:lang w:val="es-CO" w:eastAsia="es-CO" w:bidi="bo-CN"/>
        </w:rPr>
        <w:t xml:space="preserve"> se separan de los</w:t>
      </w:r>
      <w:r w:rsidR="0004730A">
        <w:rPr>
          <w:bCs/>
          <w:szCs w:val="28"/>
          <w:lang w:val="es-CO" w:eastAsia="es-CO" w:bidi="bo-CN"/>
        </w:rPr>
        <w:t xml:space="preserve"> propósitos legales o constitucionales</w:t>
      </w:r>
      <w:r w:rsidR="00BB4EC0">
        <w:rPr>
          <w:bCs/>
          <w:szCs w:val="28"/>
          <w:lang w:val="es-CO" w:eastAsia="es-CO" w:bidi="bo-CN"/>
        </w:rPr>
        <w:t xml:space="preserve"> </w:t>
      </w:r>
      <w:r w:rsidR="00DC6280" w:rsidRPr="002E4477">
        <w:rPr>
          <w:bCs/>
          <w:szCs w:val="28"/>
          <w:lang w:val="es-CO" w:eastAsia="es-CO" w:bidi="bo-CN"/>
        </w:rPr>
        <w:t>o de los principios que orientan la función pública</w:t>
      </w:r>
      <w:r w:rsidR="00461EC5" w:rsidRPr="002E4477">
        <w:rPr>
          <w:bCs/>
          <w:szCs w:val="28"/>
          <w:lang w:val="es-CO" w:eastAsia="es-CO" w:bidi="bo-CN"/>
        </w:rPr>
        <w:t>.</w:t>
      </w:r>
      <w:r w:rsidR="00DC6280" w:rsidRPr="002E4477">
        <w:rPr>
          <w:bCs/>
          <w:szCs w:val="28"/>
          <w:lang w:val="es-CO" w:eastAsia="es-CO" w:bidi="bo-CN"/>
        </w:rPr>
        <w:t xml:space="preserve"> En el caso de los abogados, la configuración y aplicación de un régimen disciplinario para ellos, responde a un interés público, de conformidad con el artículo 26 </w:t>
      </w:r>
      <w:r w:rsidR="0004730A">
        <w:rPr>
          <w:bCs/>
          <w:szCs w:val="28"/>
          <w:lang w:val="es-CO" w:eastAsia="es-CO" w:bidi="bo-CN"/>
        </w:rPr>
        <w:t>s</w:t>
      </w:r>
      <w:r w:rsidR="00DC6280" w:rsidRPr="002E4477">
        <w:rPr>
          <w:bCs/>
          <w:szCs w:val="28"/>
          <w:lang w:val="es-CO" w:eastAsia="es-CO" w:bidi="bo-CN"/>
        </w:rPr>
        <w:t>uperior.</w:t>
      </w:r>
    </w:p>
    <w:p w14:paraId="188080AF" w14:textId="77777777" w:rsidR="000714FE" w:rsidRPr="002E4477" w:rsidRDefault="000714FE" w:rsidP="000714FE">
      <w:pPr>
        <w:jc w:val="both"/>
        <w:rPr>
          <w:bCs/>
          <w:szCs w:val="28"/>
          <w:lang w:val="es-CO" w:eastAsia="es-CO" w:bidi="bo-CN"/>
        </w:rPr>
      </w:pPr>
    </w:p>
    <w:p w14:paraId="14D5712D" w14:textId="77777777" w:rsidR="000714FE" w:rsidRPr="002E4477" w:rsidRDefault="00DC6280" w:rsidP="000714FE">
      <w:pPr>
        <w:jc w:val="both"/>
        <w:rPr>
          <w:bCs/>
          <w:szCs w:val="28"/>
          <w:lang w:val="es-CO" w:eastAsia="es-CO" w:bidi="bo-CN"/>
        </w:rPr>
      </w:pPr>
      <w:r w:rsidRPr="002E4477">
        <w:rPr>
          <w:bCs/>
          <w:szCs w:val="28"/>
          <w:lang w:val="es-CO" w:eastAsia="es-CO" w:bidi="bo-CN"/>
        </w:rPr>
        <w:t>L</w:t>
      </w:r>
      <w:r w:rsidR="000714FE" w:rsidRPr="002E4477">
        <w:rPr>
          <w:bCs/>
          <w:szCs w:val="28"/>
          <w:lang w:val="es-CO" w:eastAsia="es-CO" w:bidi="bo-CN"/>
        </w:rPr>
        <w:t>a Corte ha establecido</w:t>
      </w:r>
      <w:r w:rsidRPr="002E4477">
        <w:rPr>
          <w:bCs/>
          <w:szCs w:val="28"/>
          <w:lang w:val="es-CO" w:eastAsia="es-CO" w:bidi="bo-CN"/>
        </w:rPr>
        <w:t xml:space="preserve"> </w:t>
      </w:r>
      <w:r w:rsidR="000714FE" w:rsidRPr="002E4477">
        <w:rPr>
          <w:bCs/>
          <w:szCs w:val="28"/>
          <w:lang w:val="es-CO" w:eastAsia="es-CO" w:bidi="bo-CN"/>
        </w:rPr>
        <w:t>que el poder disciplinario, constituye una expresión de la función de control y vigilancia, y su regulación por parte del Legislador debe estar orientada al logro de los fines compatibles con los valores y principios constitucionales</w:t>
      </w:r>
      <w:r w:rsidR="000714FE" w:rsidRPr="002E4477">
        <w:rPr>
          <w:rStyle w:val="Refdenotaalpie"/>
          <w:bCs/>
          <w:szCs w:val="28"/>
          <w:lang w:val="es-CO" w:eastAsia="es-CO" w:bidi="bo-CN"/>
        </w:rPr>
        <w:footnoteReference w:id="314"/>
      </w:r>
      <w:r w:rsidR="000714FE" w:rsidRPr="002E4477">
        <w:rPr>
          <w:bCs/>
          <w:szCs w:val="28"/>
          <w:lang w:val="es-CO" w:eastAsia="es-CO" w:bidi="bo-CN"/>
        </w:rPr>
        <w:t>.</w:t>
      </w:r>
      <w:r w:rsidR="00FB0ED1" w:rsidRPr="002E4477">
        <w:t xml:space="preserve"> </w:t>
      </w:r>
    </w:p>
    <w:p w14:paraId="5B637648" w14:textId="77777777" w:rsidR="00461EC5" w:rsidRPr="002E4477" w:rsidRDefault="00461EC5" w:rsidP="00461EC5">
      <w:pPr>
        <w:jc w:val="both"/>
        <w:rPr>
          <w:bCs/>
          <w:szCs w:val="28"/>
          <w:lang w:val="es-CO" w:eastAsia="es-CO" w:bidi="bo-CN"/>
        </w:rPr>
      </w:pPr>
    </w:p>
    <w:p w14:paraId="11BD8512" w14:textId="77777777" w:rsidR="00461EC5" w:rsidRPr="002E4477" w:rsidRDefault="000D3B1C" w:rsidP="00461EC5">
      <w:pPr>
        <w:jc w:val="both"/>
        <w:rPr>
          <w:bCs/>
          <w:szCs w:val="28"/>
          <w:lang w:val="es-CO" w:eastAsia="es-CO" w:bidi="bo-CN"/>
        </w:rPr>
      </w:pPr>
      <w:r w:rsidRPr="002E4477">
        <w:rPr>
          <w:bCs/>
          <w:szCs w:val="28"/>
          <w:lang w:val="es-CO"/>
        </w:rPr>
        <w:t>C</w:t>
      </w:r>
      <w:r w:rsidR="00461EC5" w:rsidRPr="002E4477">
        <w:rPr>
          <w:bCs/>
          <w:szCs w:val="28"/>
        </w:rPr>
        <w:t xml:space="preserve">omo lo precisó la </w:t>
      </w:r>
      <w:r w:rsidR="00461EC5" w:rsidRPr="002E4477">
        <w:rPr>
          <w:b/>
          <w:szCs w:val="28"/>
        </w:rPr>
        <w:t>Sentencia SU-396 de 20l7</w:t>
      </w:r>
      <w:r w:rsidR="00461EC5" w:rsidRPr="002E4477">
        <w:rPr>
          <w:rStyle w:val="Refdenotaalpie"/>
          <w:b/>
          <w:szCs w:val="28"/>
        </w:rPr>
        <w:footnoteReference w:id="315"/>
      </w:r>
      <w:r w:rsidR="00461EC5" w:rsidRPr="002E4477">
        <w:rPr>
          <w:bCs/>
          <w:szCs w:val="28"/>
        </w:rPr>
        <w:t>, la potestad disciplinaria resulta ser</w:t>
      </w:r>
      <w:r w:rsidRPr="002E4477">
        <w:rPr>
          <w:bCs/>
          <w:szCs w:val="28"/>
        </w:rPr>
        <w:t>,</w:t>
      </w:r>
      <w:r w:rsidR="00DC6280" w:rsidRPr="002E4477">
        <w:rPr>
          <w:bCs/>
          <w:szCs w:val="28"/>
        </w:rPr>
        <w:t xml:space="preserve"> por lo tanto</w:t>
      </w:r>
      <w:r w:rsidR="00461EC5" w:rsidRPr="002E4477">
        <w:rPr>
          <w:bCs/>
          <w:szCs w:val="28"/>
        </w:rPr>
        <w:t xml:space="preserve">: </w:t>
      </w:r>
      <w:r w:rsidR="00461EC5" w:rsidRPr="002E4477">
        <w:rPr>
          <w:b/>
          <w:szCs w:val="28"/>
        </w:rPr>
        <w:t>(i)</w:t>
      </w:r>
      <w:r w:rsidR="00461EC5" w:rsidRPr="002E4477">
        <w:rPr>
          <w:bCs/>
          <w:szCs w:val="28"/>
        </w:rPr>
        <w:t xml:space="preserve"> pública</w:t>
      </w:r>
      <w:r w:rsidR="00FF155F" w:rsidRPr="002E4477">
        <w:rPr>
          <w:bCs/>
          <w:szCs w:val="28"/>
        </w:rPr>
        <w:t xml:space="preserve">, ya </w:t>
      </w:r>
      <w:r w:rsidR="00461EC5" w:rsidRPr="002E4477">
        <w:rPr>
          <w:bCs/>
          <w:szCs w:val="28"/>
        </w:rPr>
        <w:t>que pertenece al Estado y s</w:t>
      </w:r>
      <w:r w:rsidR="00C80E03">
        <w:rPr>
          <w:bCs/>
          <w:szCs w:val="28"/>
        </w:rPr>
        <w:t>o</w:t>
      </w:r>
      <w:r w:rsidR="00461EC5" w:rsidRPr="002E4477">
        <w:rPr>
          <w:bCs/>
          <w:szCs w:val="28"/>
        </w:rPr>
        <w:t xml:space="preserve">lo este puede ejercerla; </w:t>
      </w:r>
      <w:r w:rsidR="00461EC5" w:rsidRPr="002E4477">
        <w:rPr>
          <w:b/>
          <w:szCs w:val="28"/>
        </w:rPr>
        <w:t>(ii)</w:t>
      </w:r>
      <w:r w:rsidR="00461EC5" w:rsidRPr="002E4477">
        <w:rPr>
          <w:bCs/>
          <w:szCs w:val="28"/>
        </w:rPr>
        <w:t xml:space="preserve"> autónoma e independiente de las competencias de las ramas del poder público, y </w:t>
      </w:r>
      <w:r w:rsidR="00461EC5" w:rsidRPr="002E4477">
        <w:rPr>
          <w:b/>
          <w:szCs w:val="28"/>
        </w:rPr>
        <w:t>(iii)</w:t>
      </w:r>
      <w:r w:rsidR="00461EC5" w:rsidRPr="002E4477">
        <w:rPr>
          <w:bCs/>
          <w:szCs w:val="28"/>
        </w:rPr>
        <w:t xml:space="preserve"> una potestad que puede expresarse de tres formas: </w:t>
      </w:r>
      <w:r w:rsidR="00461EC5" w:rsidRPr="002E4477">
        <w:rPr>
          <w:b/>
          <w:szCs w:val="28"/>
        </w:rPr>
        <w:t xml:space="preserve">(a) </w:t>
      </w:r>
      <w:r w:rsidR="00461EC5" w:rsidRPr="002E4477">
        <w:rPr>
          <w:bCs/>
          <w:szCs w:val="28"/>
        </w:rPr>
        <w:t xml:space="preserve">de manera </w:t>
      </w:r>
      <w:r w:rsidR="00461EC5" w:rsidRPr="002E4477">
        <w:rPr>
          <w:bCs/>
          <w:i/>
          <w:iCs/>
          <w:szCs w:val="28"/>
        </w:rPr>
        <w:t>preventiva</w:t>
      </w:r>
      <w:r w:rsidR="00461EC5" w:rsidRPr="002E4477">
        <w:rPr>
          <w:bCs/>
          <w:szCs w:val="28"/>
        </w:rPr>
        <w:t>, al tenor de la descripción anticipada en la ley de todas aquellas conductas que afectan de manera negativa el cumplimiento de la función pública</w:t>
      </w:r>
      <w:r w:rsidR="00FF155F" w:rsidRPr="002E4477">
        <w:rPr>
          <w:bCs/>
          <w:szCs w:val="28"/>
        </w:rPr>
        <w:t>;</w:t>
      </w:r>
      <w:r w:rsidR="00461EC5" w:rsidRPr="002E4477">
        <w:rPr>
          <w:bCs/>
          <w:szCs w:val="28"/>
        </w:rPr>
        <w:t xml:space="preserve"> </w:t>
      </w:r>
      <w:r w:rsidR="00461EC5" w:rsidRPr="002E4477">
        <w:rPr>
          <w:b/>
          <w:szCs w:val="28"/>
        </w:rPr>
        <w:t>(b)</w:t>
      </w:r>
      <w:r w:rsidR="00461EC5" w:rsidRPr="002E4477">
        <w:rPr>
          <w:bCs/>
          <w:szCs w:val="28"/>
        </w:rPr>
        <w:t xml:space="preserve"> Como </w:t>
      </w:r>
      <w:r w:rsidR="00461EC5" w:rsidRPr="002E4477">
        <w:rPr>
          <w:bCs/>
          <w:i/>
          <w:iCs/>
          <w:szCs w:val="28"/>
        </w:rPr>
        <w:t>potestad de control</w:t>
      </w:r>
      <w:r w:rsidR="00461EC5" w:rsidRPr="002E4477">
        <w:rPr>
          <w:bCs/>
          <w:szCs w:val="28"/>
        </w:rPr>
        <w:t xml:space="preserve">, en atención al poder del Estado de vigilar las conductas de quienes desempeñen funciones públicas y </w:t>
      </w:r>
      <w:r w:rsidR="00461EC5" w:rsidRPr="002E4477">
        <w:rPr>
          <w:b/>
          <w:szCs w:val="28"/>
        </w:rPr>
        <w:t xml:space="preserve">(c) </w:t>
      </w:r>
      <w:r w:rsidR="00461EC5" w:rsidRPr="002E4477">
        <w:rPr>
          <w:bCs/>
          <w:szCs w:val="28"/>
        </w:rPr>
        <w:t xml:space="preserve">como </w:t>
      </w:r>
      <w:r w:rsidR="00461EC5" w:rsidRPr="002E4477">
        <w:rPr>
          <w:bCs/>
          <w:i/>
          <w:iCs/>
          <w:szCs w:val="28"/>
        </w:rPr>
        <w:t>potestad sancionatoria</w:t>
      </w:r>
      <w:r w:rsidR="00461EC5" w:rsidRPr="002E4477">
        <w:rPr>
          <w:bCs/>
          <w:szCs w:val="28"/>
        </w:rPr>
        <w:t>, que se expresa cuando el Estado juzga y sanciona a quienes ha</w:t>
      </w:r>
      <w:r w:rsidR="007C63A7" w:rsidRPr="002E4477">
        <w:rPr>
          <w:bCs/>
          <w:szCs w:val="28"/>
        </w:rPr>
        <w:t>ya</w:t>
      </w:r>
      <w:r w:rsidR="00461EC5" w:rsidRPr="002E4477">
        <w:rPr>
          <w:bCs/>
          <w:szCs w:val="28"/>
        </w:rPr>
        <w:t xml:space="preserve">n incumplido sus deberes funcionales acorde con los mandatos constitucionales, legales y reglamentarios que les correspondan. </w:t>
      </w:r>
    </w:p>
    <w:p w14:paraId="2EA6C002" w14:textId="77777777" w:rsidR="00753163" w:rsidRPr="002E4477" w:rsidRDefault="00753163" w:rsidP="00753163">
      <w:pPr>
        <w:jc w:val="both"/>
        <w:rPr>
          <w:bCs/>
          <w:szCs w:val="28"/>
          <w:lang w:val="es-CO" w:eastAsia="es-CO" w:bidi="bo-CN"/>
        </w:rPr>
      </w:pPr>
    </w:p>
    <w:p w14:paraId="4E20D69B" w14:textId="77777777" w:rsidR="005A57D5" w:rsidRPr="002E4477" w:rsidRDefault="000714FE" w:rsidP="00753163">
      <w:pPr>
        <w:jc w:val="both"/>
        <w:rPr>
          <w:bCs/>
          <w:szCs w:val="28"/>
          <w:lang w:val="es-CO" w:eastAsia="es-CO" w:bidi="bo-CN"/>
        </w:rPr>
      </w:pPr>
      <w:r w:rsidRPr="002E4477">
        <w:rPr>
          <w:bCs/>
          <w:szCs w:val="28"/>
          <w:lang w:val="es-CO" w:eastAsia="es-CO" w:bidi="bo-CN"/>
        </w:rPr>
        <w:t>Además, e</w:t>
      </w:r>
      <w:r w:rsidR="005A57D5" w:rsidRPr="002E4477">
        <w:rPr>
          <w:bCs/>
          <w:szCs w:val="28"/>
          <w:lang w:val="es-CO" w:eastAsia="es-CO" w:bidi="bo-CN"/>
        </w:rPr>
        <w:t xml:space="preserve">n relación con el contenido y alcance del derecho disciplinario, la jurisprudencia constitucional ha señalado que su ámbito de regulación comprende: </w:t>
      </w:r>
      <w:r w:rsidR="005A57D5" w:rsidRPr="002E4477">
        <w:rPr>
          <w:b/>
          <w:szCs w:val="28"/>
          <w:lang w:val="es-CO" w:eastAsia="es-CO" w:bidi="bo-CN"/>
        </w:rPr>
        <w:t>(i)</w:t>
      </w:r>
      <w:r w:rsidR="005A57D5" w:rsidRPr="002E4477">
        <w:rPr>
          <w:bCs/>
          <w:szCs w:val="28"/>
          <w:lang w:val="es-CO" w:eastAsia="es-CO" w:bidi="bo-CN"/>
        </w:rPr>
        <w:t xml:space="preserve"> las conductas que configuran falta disciplinaria; </w:t>
      </w:r>
      <w:r w:rsidR="005A57D5" w:rsidRPr="002E4477">
        <w:rPr>
          <w:b/>
          <w:szCs w:val="28"/>
          <w:lang w:val="es-CO" w:eastAsia="es-CO" w:bidi="bo-CN"/>
        </w:rPr>
        <w:t>(ii)</w:t>
      </w:r>
      <w:r w:rsidR="005A57D5" w:rsidRPr="002E4477">
        <w:rPr>
          <w:bCs/>
          <w:szCs w:val="28"/>
          <w:lang w:val="es-CO" w:eastAsia="es-CO" w:bidi="bo-CN"/>
        </w:rPr>
        <w:t xml:space="preserve"> las sanciones aplicables; y </w:t>
      </w:r>
      <w:r w:rsidR="005A57D5" w:rsidRPr="002E4477">
        <w:rPr>
          <w:b/>
          <w:szCs w:val="28"/>
          <w:lang w:val="es-CO" w:eastAsia="es-CO" w:bidi="bo-CN"/>
        </w:rPr>
        <w:t xml:space="preserve">(iii) </w:t>
      </w:r>
      <w:r w:rsidR="005A57D5" w:rsidRPr="002E4477">
        <w:rPr>
          <w:bCs/>
          <w:szCs w:val="28"/>
          <w:lang w:val="es-CO" w:eastAsia="es-CO" w:bidi="bo-CN"/>
        </w:rPr>
        <w:t>las normas sustanciales y procesales que aseguran el debido proceso y regulan el procedimiento a través del cual se deduce la responsabilidad disciplinaria</w:t>
      </w:r>
      <w:r w:rsidR="005A57D5" w:rsidRPr="002E4477">
        <w:rPr>
          <w:rStyle w:val="Refdenotaalpie"/>
          <w:bCs/>
          <w:szCs w:val="28"/>
          <w:lang w:val="es-CO" w:eastAsia="es-CO" w:bidi="bo-CN"/>
        </w:rPr>
        <w:footnoteReference w:id="316"/>
      </w:r>
      <w:r w:rsidR="005A57D5" w:rsidRPr="002E4477">
        <w:rPr>
          <w:bCs/>
          <w:szCs w:val="28"/>
          <w:lang w:val="es-CO" w:eastAsia="es-CO" w:bidi="bo-CN"/>
        </w:rPr>
        <w:t>.</w:t>
      </w:r>
    </w:p>
    <w:p w14:paraId="5CD5D5E5" w14:textId="77777777" w:rsidR="000714FE" w:rsidRPr="002E4477" w:rsidRDefault="000714FE" w:rsidP="00753163">
      <w:pPr>
        <w:jc w:val="both"/>
        <w:rPr>
          <w:bCs/>
          <w:szCs w:val="28"/>
          <w:lang w:val="es-CO" w:eastAsia="es-CO" w:bidi="bo-CN"/>
        </w:rPr>
      </w:pPr>
    </w:p>
    <w:p w14:paraId="127B8703" w14:textId="77777777" w:rsidR="00C36A25" w:rsidRPr="002E4477" w:rsidRDefault="00C36A25" w:rsidP="00962603">
      <w:pPr>
        <w:numPr>
          <w:ilvl w:val="0"/>
          <w:numId w:val="10"/>
        </w:numPr>
        <w:jc w:val="both"/>
        <w:rPr>
          <w:bCs/>
          <w:szCs w:val="28"/>
          <w:lang w:val="es-CO" w:eastAsia="es-CO" w:bidi="bo-CN"/>
        </w:rPr>
      </w:pPr>
      <w:r w:rsidRPr="002E4477">
        <w:rPr>
          <w:bCs/>
          <w:szCs w:val="28"/>
          <w:lang w:val="es-CO" w:eastAsia="es-CO" w:bidi="bo-CN"/>
        </w:rPr>
        <w:t xml:space="preserve"> Debido la trascendencia de la función que desempeñan los funcionarios de la Rama Judicial y los abogados, el poder disciplinario en su caso, se ha judicializado.</w:t>
      </w:r>
      <w:r w:rsidR="006C2EA8" w:rsidRPr="002E4477">
        <w:rPr>
          <w:bCs/>
          <w:szCs w:val="28"/>
          <w:lang w:val="es-CO" w:eastAsia="es-CO" w:bidi="bo-CN"/>
        </w:rPr>
        <w:t xml:space="preserve"> </w:t>
      </w:r>
      <w:r w:rsidRPr="002E4477">
        <w:rPr>
          <w:bCs/>
          <w:szCs w:val="28"/>
          <w:lang w:val="es-CO" w:eastAsia="es-CO" w:bidi="bo-CN"/>
        </w:rPr>
        <w:t>Así, mediante el ejercicio de la función jurisdiccional disciplinaria se resuelven los procesos que</w:t>
      </w:r>
      <w:r w:rsidR="0004730A">
        <w:rPr>
          <w:bCs/>
          <w:szCs w:val="28"/>
          <w:lang w:val="es-CO" w:eastAsia="es-CO" w:bidi="bo-CN"/>
        </w:rPr>
        <w:t>,</w:t>
      </w:r>
      <w:r w:rsidRPr="002E4477">
        <w:rPr>
          <w:bCs/>
          <w:szCs w:val="28"/>
          <w:lang w:val="es-CO" w:eastAsia="es-CO" w:bidi="bo-CN"/>
        </w:rPr>
        <w:t xml:space="preserve"> por infracción a sus regímenes disciplinarios, se adelanten contra los funcionarios de la Rama Judicial</w:t>
      </w:r>
      <w:r w:rsidR="00B84D0E">
        <w:rPr>
          <w:bCs/>
          <w:szCs w:val="28"/>
          <w:lang w:val="es-CO" w:eastAsia="es-CO" w:bidi="bo-CN"/>
        </w:rPr>
        <w:t xml:space="preserve"> (</w:t>
      </w:r>
      <w:r w:rsidRPr="002E4477">
        <w:rPr>
          <w:bCs/>
          <w:szCs w:val="28"/>
          <w:lang w:val="es-CO" w:eastAsia="es-CO" w:bidi="bo-CN"/>
        </w:rPr>
        <w:t>salvo sobre aquellos que gocen de fuero especial según la Constitución Política</w:t>
      </w:r>
      <w:r w:rsidR="00B84D0E">
        <w:rPr>
          <w:bCs/>
          <w:szCs w:val="28"/>
          <w:lang w:val="es-CO" w:eastAsia="es-CO" w:bidi="bo-CN"/>
        </w:rPr>
        <w:t>)</w:t>
      </w:r>
      <w:r w:rsidRPr="002E4477">
        <w:rPr>
          <w:bCs/>
          <w:szCs w:val="28"/>
          <w:lang w:val="es-CO" w:eastAsia="es-CO" w:bidi="bo-CN"/>
        </w:rPr>
        <w:t>, los abogados</w:t>
      </w:r>
      <w:r w:rsidR="006C2EA8" w:rsidRPr="002E4477">
        <w:rPr>
          <w:bCs/>
          <w:szCs w:val="28"/>
          <w:lang w:val="es-CO" w:eastAsia="es-CO" w:bidi="bo-CN"/>
        </w:rPr>
        <w:t>,</w:t>
      </w:r>
      <w:r w:rsidRPr="002E4477">
        <w:rPr>
          <w:bCs/>
          <w:szCs w:val="28"/>
          <w:lang w:val="es-CO" w:eastAsia="es-CO" w:bidi="bo-CN"/>
        </w:rPr>
        <w:t xml:space="preserve"> y aquellas personas que ejerzan función jurisdiccional de manera transitoria u ocasional</w:t>
      </w:r>
      <w:r w:rsidR="006C2EA8" w:rsidRPr="002E4477">
        <w:rPr>
          <w:rStyle w:val="Refdenotaalpie"/>
          <w:bCs/>
          <w:szCs w:val="28"/>
          <w:lang w:val="es-CO" w:eastAsia="es-CO" w:bidi="bo-CN"/>
        </w:rPr>
        <w:footnoteReference w:id="317"/>
      </w:r>
      <w:r w:rsidRPr="002E4477">
        <w:rPr>
          <w:bCs/>
          <w:szCs w:val="28"/>
          <w:lang w:val="es-CO" w:eastAsia="es-CO" w:bidi="bo-CN"/>
        </w:rPr>
        <w:t xml:space="preserve">. </w:t>
      </w:r>
    </w:p>
    <w:p w14:paraId="27F7493F" w14:textId="77777777" w:rsidR="00C36A25" w:rsidRPr="002E4477" w:rsidRDefault="00C36A25" w:rsidP="00753163">
      <w:pPr>
        <w:jc w:val="both"/>
        <w:rPr>
          <w:bCs/>
          <w:szCs w:val="28"/>
          <w:lang w:val="es-CO" w:eastAsia="es-CO" w:bidi="bo-CN"/>
        </w:rPr>
      </w:pPr>
    </w:p>
    <w:p w14:paraId="54C1B07B" w14:textId="77777777" w:rsidR="00461EC5" w:rsidRPr="00B84D0E" w:rsidRDefault="000714FE" w:rsidP="00962603">
      <w:pPr>
        <w:pStyle w:val="NormalWeb"/>
        <w:numPr>
          <w:ilvl w:val="0"/>
          <w:numId w:val="10"/>
        </w:numPr>
        <w:tabs>
          <w:tab w:val="left" w:pos="284"/>
        </w:tabs>
        <w:spacing w:before="0" w:beforeAutospacing="0" w:after="0" w:afterAutospacing="0"/>
        <w:ind w:right="40"/>
        <w:jc w:val="both"/>
        <w:rPr>
          <w:sz w:val="28"/>
          <w:szCs w:val="28"/>
        </w:rPr>
      </w:pPr>
      <w:r w:rsidRPr="00B84D0E">
        <w:rPr>
          <w:bCs/>
          <w:sz w:val="28"/>
          <w:szCs w:val="28"/>
        </w:rPr>
        <w:t xml:space="preserve">Ahora bien, </w:t>
      </w:r>
      <w:r w:rsidR="00D26ECE" w:rsidRPr="00B84D0E">
        <w:rPr>
          <w:sz w:val="28"/>
          <w:szCs w:val="28"/>
        </w:rPr>
        <w:t>la competencia disciplinaria</w:t>
      </w:r>
      <w:r w:rsidR="00FF155F" w:rsidRPr="00B84D0E">
        <w:rPr>
          <w:sz w:val="28"/>
          <w:szCs w:val="28"/>
        </w:rPr>
        <w:t xml:space="preserve"> relacionada con la administración de justicia</w:t>
      </w:r>
      <w:r w:rsidR="00DC6280" w:rsidRPr="00B84D0E">
        <w:rPr>
          <w:sz w:val="28"/>
          <w:szCs w:val="28"/>
        </w:rPr>
        <w:t xml:space="preserve"> y</w:t>
      </w:r>
      <w:r w:rsidR="000A73A7" w:rsidRPr="00B84D0E">
        <w:rPr>
          <w:sz w:val="28"/>
          <w:szCs w:val="28"/>
        </w:rPr>
        <w:t xml:space="preserve"> delegada</w:t>
      </w:r>
      <w:r w:rsidR="00D26ECE" w:rsidRPr="00B84D0E">
        <w:rPr>
          <w:sz w:val="28"/>
          <w:szCs w:val="28"/>
        </w:rPr>
        <w:t xml:space="preserve"> por la Constitución de 1991 al C</w:t>
      </w:r>
      <w:r w:rsidR="00764A0F" w:rsidRPr="00B84D0E">
        <w:rPr>
          <w:sz w:val="28"/>
          <w:szCs w:val="28"/>
        </w:rPr>
        <w:t xml:space="preserve">onsejo </w:t>
      </w:r>
      <w:r w:rsidR="00D26ECE" w:rsidRPr="00B84D0E">
        <w:rPr>
          <w:sz w:val="28"/>
          <w:szCs w:val="28"/>
        </w:rPr>
        <w:t>S</w:t>
      </w:r>
      <w:r w:rsidR="00764A0F" w:rsidRPr="00B84D0E">
        <w:rPr>
          <w:sz w:val="28"/>
          <w:szCs w:val="28"/>
        </w:rPr>
        <w:t xml:space="preserve">uperior de la </w:t>
      </w:r>
      <w:r w:rsidR="00D26ECE" w:rsidRPr="00B84D0E">
        <w:rPr>
          <w:sz w:val="28"/>
          <w:szCs w:val="28"/>
        </w:rPr>
        <w:t>J</w:t>
      </w:r>
      <w:r w:rsidR="00764A0F" w:rsidRPr="00B84D0E">
        <w:rPr>
          <w:sz w:val="28"/>
          <w:szCs w:val="28"/>
        </w:rPr>
        <w:t>udicatura,</w:t>
      </w:r>
      <w:r w:rsidR="00D26ECE" w:rsidRPr="00B84D0E">
        <w:rPr>
          <w:sz w:val="28"/>
          <w:szCs w:val="28"/>
        </w:rPr>
        <w:t xml:space="preserve"> </w:t>
      </w:r>
      <w:r w:rsidR="00FF155F" w:rsidRPr="00B84D0E">
        <w:rPr>
          <w:sz w:val="28"/>
          <w:szCs w:val="28"/>
        </w:rPr>
        <w:t>fue</w:t>
      </w:r>
      <w:r w:rsidR="00D26ECE" w:rsidRPr="00B84D0E">
        <w:rPr>
          <w:sz w:val="28"/>
          <w:szCs w:val="28"/>
        </w:rPr>
        <w:t xml:space="preserve"> desarrollada </w:t>
      </w:r>
      <w:r w:rsidR="00FF155F" w:rsidRPr="0004730A">
        <w:rPr>
          <w:sz w:val="28"/>
          <w:szCs w:val="28"/>
        </w:rPr>
        <w:t>mediante</w:t>
      </w:r>
      <w:r w:rsidR="00D26ECE" w:rsidRPr="0004730A">
        <w:rPr>
          <w:sz w:val="28"/>
          <w:szCs w:val="28"/>
        </w:rPr>
        <w:t xml:space="preserve"> </w:t>
      </w:r>
      <w:r w:rsidR="00461EC5" w:rsidRPr="0004730A">
        <w:rPr>
          <w:sz w:val="28"/>
          <w:szCs w:val="28"/>
        </w:rPr>
        <w:t>la Ley 270 de 1996</w:t>
      </w:r>
      <w:r w:rsidR="00C36A25" w:rsidRPr="0004730A">
        <w:rPr>
          <w:rStyle w:val="Refdenotaalpie"/>
          <w:sz w:val="28"/>
          <w:szCs w:val="28"/>
        </w:rPr>
        <w:footnoteReference w:id="318"/>
      </w:r>
      <w:r w:rsidR="006A4DD0" w:rsidRPr="0004730A">
        <w:rPr>
          <w:sz w:val="28"/>
          <w:szCs w:val="28"/>
        </w:rPr>
        <w:t>.</w:t>
      </w:r>
      <w:r w:rsidR="00DC6280" w:rsidRPr="0004730A">
        <w:rPr>
          <w:sz w:val="28"/>
          <w:szCs w:val="28"/>
        </w:rPr>
        <w:t xml:space="preserve"> Dicha ley, </w:t>
      </w:r>
      <w:r w:rsidR="000D3B1C" w:rsidRPr="0004730A">
        <w:rPr>
          <w:sz w:val="28"/>
          <w:szCs w:val="28"/>
        </w:rPr>
        <w:t xml:space="preserve">le </w:t>
      </w:r>
      <w:r w:rsidR="00FF155F" w:rsidRPr="0004730A">
        <w:rPr>
          <w:sz w:val="28"/>
          <w:szCs w:val="28"/>
        </w:rPr>
        <w:t xml:space="preserve">asignó a </w:t>
      </w:r>
      <w:r w:rsidR="00C87BB3" w:rsidRPr="0004730A">
        <w:rPr>
          <w:sz w:val="28"/>
          <w:szCs w:val="28"/>
        </w:rPr>
        <w:t>la Sala Jurisdiccional Disciplinaria</w:t>
      </w:r>
      <w:r w:rsidR="000A73A7" w:rsidRPr="0004730A">
        <w:rPr>
          <w:sz w:val="28"/>
          <w:szCs w:val="28"/>
        </w:rPr>
        <w:t xml:space="preserve"> d</w:t>
      </w:r>
      <w:r w:rsidR="006A4DD0" w:rsidRPr="0004730A">
        <w:rPr>
          <w:sz w:val="28"/>
          <w:szCs w:val="28"/>
        </w:rPr>
        <w:t xml:space="preserve">el CSJ </w:t>
      </w:r>
      <w:r w:rsidR="00FF155F" w:rsidRPr="0004730A">
        <w:rPr>
          <w:sz w:val="28"/>
          <w:szCs w:val="28"/>
        </w:rPr>
        <w:t>el ejercicio de esa potestad</w:t>
      </w:r>
      <w:r w:rsidR="00DC6280" w:rsidRPr="0004730A">
        <w:rPr>
          <w:sz w:val="28"/>
          <w:szCs w:val="28"/>
        </w:rPr>
        <w:t xml:space="preserve">, </w:t>
      </w:r>
      <w:r w:rsidR="006A4DD0" w:rsidRPr="0004730A">
        <w:rPr>
          <w:sz w:val="28"/>
          <w:szCs w:val="28"/>
        </w:rPr>
        <w:t xml:space="preserve">hasta el cambio introducido por </w:t>
      </w:r>
      <w:r w:rsidR="00B84D0E" w:rsidRPr="0004730A">
        <w:rPr>
          <w:sz w:val="28"/>
          <w:szCs w:val="28"/>
        </w:rPr>
        <w:t>e</w:t>
      </w:r>
      <w:r w:rsidR="006A4DD0" w:rsidRPr="0004730A">
        <w:rPr>
          <w:sz w:val="28"/>
          <w:szCs w:val="28"/>
        </w:rPr>
        <w:t xml:space="preserve">l A.L. 02 de 2015. </w:t>
      </w:r>
      <w:r w:rsidR="00764A0F" w:rsidRPr="0004730A">
        <w:rPr>
          <w:sz w:val="28"/>
          <w:szCs w:val="28"/>
        </w:rPr>
        <w:t>En la distribución de competencias</w:t>
      </w:r>
      <w:r w:rsidR="006A4DD0" w:rsidRPr="0004730A">
        <w:rPr>
          <w:sz w:val="28"/>
          <w:szCs w:val="28"/>
        </w:rPr>
        <w:t xml:space="preserve"> establecida por </w:t>
      </w:r>
      <w:r w:rsidR="00B1327D" w:rsidRPr="0004730A">
        <w:rPr>
          <w:sz w:val="28"/>
          <w:szCs w:val="28"/>
        </w:rPr>
        <w:t>la</w:t>
      </w:r>
      <w:r w:rsidR="00B84D0E" w:rsidRPr="0004730A">
        <w:rPr>
          <w:sz w:val="28"/>
          <w:szCs w:val="28"/>
        </w:rPr>
        <w:t xml:space="preserve"> ley estatutaria</w:t>
      </w:r>
      <w:r w:rsidR="00764A0F" w:rsidRPr="0004730A">
        <w:rPr>
          <w:sz w:val="28"/>
          <w:szCs w:val="28"/>
        </w:rPr>
        <w:t xml:space="preserve">, </w:t>
      </w:r>
      <w:r w:rsidR="00FF155F" w:rsidRPr="0004730A">
        <w:rPr>
          <w:sz w:val="28"/>
          <w:szCs w:val="28"/>
        </w:rPr>
        <w:t xml:space="preserve">le correspondió a esa Sala, </w:t>
      </w:r>
      <w:r w:rsidR="00D26ECE" w:rsidRPr="0004730A">
        <w:rPr>
          <w:sz w:val="28"/>
          <w:szCs w:val="28"/>
        </w:rPr>
        <w:t>en</w:t>
      </w:r>
      <w:r w:rsidR="00C87BB3" w:rsidRPr="0004730A">
        <w:rPr>
          <w:sz w:val="28"/>
          <w:szCs w:val="28"/>
        </w:rPr>
        <w:t xml:space="preserve"> primera instancia</w:t>
      </w:r>
      <w:r w:rsidR="00D26ECE" w:rsidRPr="0004730A">
        <w:rPr>
          <w:sz w:val="28"/>
          <w:szCs w:val="28"/>
        </w:rPr>
        <w:t xml:space="preserve">, </w:t>
      </w:r>
      <w:r w:rsidR="00FF155F" w:rsidRPr="0004730A">
        <w:rPr>
          <w:sz w:val="28"/>
          <w:szCs w:val="28"/>
        </w:rPr>
        <w:t xml:space="preserve">conocer de los </w:t>
      </w:r>
      <w:r w:rsidR="00461EC5" w:rsidRPr="0004730A">
        <w:rPr>
          <w:sz w:val="28"/>
          <w:szCs w:val="28"/>
        </w:rPr>
        <w:t>procesos disciplinarios que se adelanten contra los magistrados de los tribunales y consejos seccionales de la Judicatura, el vicefiscal,</w:t>
      </w:r>
      <w:r w:rsidR="00461EC5" w:rsidRPr="00B84D0E">
        <w:rPr>
          <w:sz w:val="28"/>
          <w:szCs w:val="28"/>
        </w:rPr>
        <w:t xml:space="preserve"> los fiscales delegados ante la Corte Suprema de Justicia y los tribunales (art. 112, numeral 3)</w:t>
      </w:r>
      <w:r w:rsidR="00C87BB3" w:rsidRPr="002E4477">
        <w:rPr>
          <w:rStyle w:val="Refdenotaalpie"/>
          <w:sz w:val="28"/>
          <w:szCs w:val="28"/>
        </w:rPr>
        <w:footnoteReference w:id="319"/>
      </w:r>
      <w:r w:rsidR="00FF155F" w:rsidRPr="00B84D0E">
        <w:rPr>
          <w:sz w:val="28"/>
          <w:szCs w:val="28"/>
        </w:rPr>
        <w:t xml:space="preserve">, de </w:t>
      </w:r>
      <w:r w:rsidR="00B1327D">
        <w:rPr>
          <w:sz w:val="28"/>
          <w:szCs w:val="28"/>
        </w:rPr>
        <w:t xml:space="preserve">acuerdo </w:t>
      </w:r>
      <w:r w:rsidR="00FF155F" w:rsidRPr="00B84D0E">
        <w:rPr>
          <w:sz w:val="28"/>
          <w:szCs w:val="28"/>
        </w:rPr>
        <w:t>con la ley.</w:t>
      </w:r>
      <w:r w:rsidR="00C87BB3" w:rsidRPr="00B84D0E">
        <w:rPr>
          <w:sz w:val="28"/>
          <w:szCs w:val="28"/>
        </w:rPr>
        <w:t xml:space="preserve"> Paralelamente</w:t>
      </w:r>
      <w:r w:rsidR="00FF155F" w:rsidRPr="00B84D0E">
        <w:rPr>
          <w:sz w:val="28"/>
          <w:szCs w:val="28"/>
        </w:rPr>
        <w:t xml:space="preserve">, el mismo estatuto </w:t>
      </w:r>
      <w:r w:rsidR="00461EC5" w:rsidRPr="00B84D0E">
        <w:rPr>
          <w:sz w:val="28"/>
          <w:szCs w:val="28"/>
        </w:rPr>
        <w:t xml:space="preserve">fijó entre las funciones de las salas jurisdiccionales disciplinarias de </w:t>
      </w:r>
      <w:r w:rsidR="00C87BB3" w:rsidRPr="00B84D0E">
        <w:rPr>
          <w:sz w:val="28"/>
          <w:szCs w:val="28"/>
        </w:rPr>
        <w:t xml:space="preserve">los </w:t>
      </w:r>
      <w:r w:rsidR="00461EC5" w:rsidRPr="00B84D0E">
        <w:rPr>
          <w:sz w:val="28"/>
          <w:szCs w:val="28"/>
        </w:rPr>
        <w:t>consejos seccionales de la Judicatura, la de conocer en primera instancia de los procesos disciplinarios contra los jueces y los abogados</w:t>
      </w:r>
      <w:r w:rsidR="006A4DD0" w:rsidRPr="00B84D0E">
        <w:rPr>
          <w:sz w:val="28"/>
          <w:szCs w:val="28"/>
        </w:rPr>
        <w:t>,</w:t>
      </w:r>
      <w:r w:rsidR="00461EC5" w:rsidRPr="00B84D0E">
        <w:rPr>
          <w:sz w:val="28"/>
          <w:szCs w:val="28"/>
        </w:rPr>
        <w:t xml:space="preserve"> por faltas cometidas en el territorio de su jurisdicción (art. 114</w:t>
      </w:r>
      <w:r w:rsidR="00C87BB3" w:rsidRPr="00B84D0E">
        <w:rPr>
          <w:sz w:val="28"/>
          <w:szCs w:val="28"/>
        </w:rPr>
        <w:t>-</w:t>
      </w:r>
      <w:r w:rsidR="00461EC5" w:rsidRPr="00B84D0E">
        <w:rPr>
          <w:sz w:val="28"/>
          <w:szCs w:val="28"/>
        </w:rPr>
        <w:t>2</w:t>
      </w:r>
      <w:r w:rsidR="00D26ECE" w:rsidRPr="002E4477">
        <w:rPr>
          <w:rStyle w:val="Refdenotaalpie"/>
          <w:sz w:val="28"/>
          <w:szCs w:val="28"/>
        </w:rPr>
        <w:footnoteReference w:id="320"/>
      </w:r>
      <w:r w:rsidR="00461EC5" w:rsidRPr="00B84D0E">
        <w:rPr>
          <w:sz w:val="28"/>
          <w:szCs w:val="28"/>
        </w:rPr>
        <w:t>)</w:t>
      </w:r>
      <w:r w:rsidR="00FF155F" w:rsidRPr="00B84D0E">
        <w:rPr>
          <w:sz w:val="28"/>
          <w:szCs w:val="28"/>
        </w:rPr>
        <w:t>.</w:t>
      </w:r>
    </w:p>
    <w:p w14:paraId="259C3A2C" w14:textId="77777777" w:rsidR="006C2EA8" w:rsidRPr="002E4477" w:rsidRDefault="006C2EA8" w:rsidP="000D3B1C">
      <w:pPr>
        <w:pStyle w:val="NormalWeb"/>
        <w:tabs>
          <w:tab w:val="left" w:pos="284"/>
        </w:tabs>
        <w:spacing w:before="0" w:beforeAutospacing="0" w:after="0" w:afterAutospacing="0"/>
        <w:ind w:right="40"/>
        <w:jc w:val="both"/>
        <w:rPr>
          <w:sz w:val="27"/>
          <w:szCs w:val="27"/>
        </w:rPr>
      </w:pPr>
    </w:p>
    <w:p w14:paraId="75707B81" w14:textId="77777777" w:rsidR="006C2EA8" w:rsidRPr="002E4477" w:rsidRDefault="006C2EA8" w:rsidP="000D3B1C">
      <w:pPr>
        <w:pStyle w:val="NormalWeb"/>
        <w:tabs>
          <w:tab w:val="left" w:pos="284"/>
        </w:tabs>
        <w:spacing w:before="0" w:beforeAutospacing="0" w:after="0" w:afterAutospacing="0"/>
        <w:ind w:right="40"/>
        <w:jc w:val="both"/>
        <w:rPr>
          <w:sz w:val="28"/>
          <w:szCs w:val="28"/>
        </w:rPr>
      </w:pPr>
      <w:r w:rsidRPr="002E4477">
        <w:rPr>
          <w:sz w:val="28"/>
          <w:szCs w:val="28"/>
        </w:rPr>
        <w:t>Las providencias que en materia disciplinaria se dicten en relación con funcionarios judiciales son actos jurisdiccionales no susceptibles de acción contencioso</w:t>
      </w:r>
      <w:r w:rsidR="00B84D0E">
        <w:rPr>
          <w:sz w:val="28"/>
          <w:szCs w:val="28"/>
        </w:rPr>
        <w:t xml:space="preserve"> </w:t>
      </w:r>
      <w:r w:rsidRPr="002E4477">
        <w:rPr>
          <w:sz w:val="28"/>
          <w:szCs w:val="28"/>
        </w:rPr>
        <w:t>administrativa</w:t>
      </w:r>
      <w:r w:rsidRPr="002E4477">
        <w:rPr>
          <w:rStyle w:val="Refdenotaalpie"/>
          <w:sz w:val="28"/>
          <w:szCs w:val="28"/>
        </w:rPr>
        <w:footnoteReference w:id="321"/>
      </w:r>
      <w:r w:rsidRPr="002E4477">
        <w:rPr>
          <w:sz w:val="28"/>
          <w:szCs w:val="28"/>
        </w:rPr>
        <w:t>.</w:t>
      </w:r>
    </w:p>
    <w:p w14:paraId="773EF5AD" w14:textId="77777777" w:rsidR="00461EC5" w:rsidRPr="002E4477" w:rsidRDefault="00461EC5" w:rsidP="00FF155F">
      <w:pPr>
        <w:pStyle w:val="NormalWeb"/>
        <w:tabs>
          <w:tab w:val="left" w:pos="284"/>
        </w:tabs>
        <w:spacing w:before="0" w:beforeAutospacing="0" w:after="0" w:afterAutospacing="0"/>
        <w:ind w:right="40"/>
        <w:jc w:val="both"/>
        <w:rPr>
          <w:sz w:val="27"/>
          <w:szCs w:val="27"/>
        </w:rPr>
      </w:pPr>
    </w:p>
    <w:p w14:paraId="4563EAC1" w14:textId="77777777" w:rsidR="00F133A7" w:rsidRPr="002E4477" w:rsidRDefault="00FF155F" w:rsidP="00962603">
      <w:pPr>
        <w:numPr>
          <w:ilvl w:val="0"/>
          <w:numId w:val="10"/>
        </w:numPr>
        <w:tabs>
          <w:tab w:val="left" w:pos="284"/>
        </w:tabs>
        <w:ind w:right="40"/>
        <w:jc w:val="both"/>
        <w:rPr>
          <w:sz w:val="27"/>
          <w:szCs w:val="27"/>
        </w:rPr>
      </w:pPr>
      <w:r w:rsidRPr="002E4477">
        <w:rPr>
          <w:bCs/>
          <w:szCs w:val="28"/>
          <w:lang w:val="es-CO" w:eastAsia="es-CO" w:bidi="bo-CN"/>
        </w:rPr>
        <w:t>En la actualidad,</w:t>
      </w:r>
      <w:r w:rsidR="000D3B1C" w:rsidRPr="002E4477">
        <w:rPr>
          <w:bCs/>
          <w:szCs w:val="28"/>
          <w:lang w:val="es-CO" w:eastAsia="es-CO" w:bidi="bo-CN"/>
        </w:rPr>
        <w:t xml:space="preserve"> como ya se mencionó,</w:t>
      </w:r>
      <w:r w:rsidRPr="002E4477">
        <w:rPr>
          <w:bCs/>
          <w:szCs w:val="28"/>
          <w:lang w:val="es-CO" w:eastAsia="es-CO" w:bidi="bo-CN"/>
        </w:rPr>
        <w:t xml:space="preserve"> </w:t>
      </w:r>
      <w:r w:rsidR="000A73A7" w:rsidRPr="002E4477">
        <w:rPr>
          <w:bCs/>
          <w:szCs w:val="28"/>
          <w:lang w:val="es-CO" w:eastAsia="es-CO" w:bidi="bo-CN"/>
        </w:rPr>
        <w:t xml:space="preserve">la situación de </w:t>
      </w:r>
      <w:r w:rsidRPr="002E4477">
        <w:rPr>
          <w:bCs/>
          <w:szCs w:val="28"/>
          <w:lang w:val="es-CO" w:eastAsia="es-CO" w:bidi="bo-CN"/>
        </w:rPr>
        <w:t>interinidad en que se encuentra la Sala Jurisdiccional Disciplinaria del CSJ</w:t>
      </w:r>
      <w:r w:rsidR="000A73A7" w:rsidRPr="002E4477">
        <w:rPr>
          <w:bCs/>
          <w:szCs w:val="28"/>
          <w:lang w:val="es-CO" w:eastAsia="es-CO" w:bidi="bo-CN"/>
        </w:rPr>
        <w:t>,</w:t>
      </w:r>
      <w:r w:rsidR="000820F5" w:rsidRPr="002E4477">
        <w:rPr>
          <w:bCs/>
          <w:szCs w:val="28"/>
          <w:lang w:val="es-CO" w:eastAsia="es-CO" w:bidi="bo-CN"/>
        </w:rPr>
        <w:t xml:space="preserve"> por la imposibilidad de</w:t>
      </w:r>
      <w:r w:rsidR="000A73A7" w:rsidRPr="002E4477">
        <w:rPr>
          <w:bCs/>
          <w:szCs w:val="28"/>
          <w:lang w:val="es-CO" w:eastAsia="es-CO" w:bidi="bo-CN"/>
        </w:rPr>
        <w:t xml:space="preserve"> que se </w:t>
      </w:r>
      <w:r w:rsidR="000D3B1C" w:rsidRPr="002E4477">
        <w:rPr>
          <w:bCs/>
          <w:szCs w:val="28"/>
          <w:lang w:val="es-CO" w:eastAsia="es-CO" w:bidi="bo-CN"/>
        </w:rPr>
        <w:t>configur</w:t>
      </w:r>
      <w:r w:rsidR="006E02C3" w:rsidRPr="002E4477">
        <w:rPr>
          <w:bCs/>
          <w:szCs w:val="28"/>
          <w:lang w:val="es-CO" w:eastAsia="es-CO" w:bidi="bo-CN"/>
        </w:rPr>
        <w:t>e</w:t>
      </w:r>
      <w:r w:rsidR="000A73A7" w:rsidRPr="002E4477">
        <w:rPr>
          <w:bCs/>
          <w:szCs w:val="28"/>
          <w:lang w:val="es-CO" w:eastAsia="es-CO" w:bidi="bo-CN"/>
        </w:rPr>
        <w:t xml:space="preserve"> </w:t>
      </w:r>
      <w:r w:rsidR="000D3B1C" w:rsidRPr="002E4477">
        <w:rPr>
          <w:bCs/>
          <w:szCs w:val="28"/>
          <w:lang w:val="es-CO" w:eastAsia="es-CO" w:bidi="bo-CN"/>
        </w:rPr>
        <w:t>la CNDJ</w:t>
      </w:r>
      <w:r w:rsidR="000820F5" w:rsidRPr="002E4477">
        <w:rPr>
          <w:bCs/>
          <w:szCs w:val="28"/>
          <w:lang w:val="es-CO" w:eastAsia="es-CO" w:bidi="bo-CN"/>
        </w:rPr>
        <w:t>,</w:t>
      </w:r>
      <w:r w:rsidR="005D23BE" w:rsidRPr="002E4477">
        <w:rPr>
          <w:bCs/>
          <w:szCs w:val="28"/>
          <w:lang w:val="es-CO" w:eastAsia="es-CO" w:bidi="bo-CN"/>
        </w:rPr>
        <w:t xml:space="preserve"> </w:t>
      </w:r>
      <w:r w:rsidR="000A73A7" w:rsidRPr="002E4477">
        <w:rPr>
          <w:bCs/>
          <w:szCs w:val="28"/>
          <w:lang w:val="es-CO" w:eastAsia="es-CO" w:bidi="bo-CN"/>
        </w:rPr>
        <w:t xml:space="preserve">mina la credibilidad </w:t>
      </w:r>
      <w:r w:rsidR="0004730A">
        <w:rPr>
          <w:bCs/>
          <w:szCs w:val="28"/>
          <w:lang w:val="es-CO" w:eastAsia="es-CO" w:bidi="bo-CN"/>
        </w:rPr>
        <w:t>de</w:t>
      </w:r>
      <w:r w:rsidR="00B1327D">
        <w:rPr>
          <w:bCs/>
          <w:szCs w:val="28"/>
          <w:lang w:val="es-CO" w:eastAsia="es-CO" w:bidi="bo-CN"/>
        </w:rPr>
        <w:t xml:space="preserve"> </w:t>
      </w:r>
      <w:r w:rsidR="000A73A7" w:rsidRPr="002E4477">
        <w:rPr>
          <w:bCs/>
          <w:szCs w:val="28"/>
          <w:lang w:val="es-CO" w:eastAsia="es-CO" w:bidi="bo-CN"/>
        </w:rPr>
        <w:t xml:space="preserve">esa institución y </w:t>
      </w:r>
      <w:r w:rsidR="00535CFC" w:rsidRPr="002E4477">
        <w:rPr>
          <w:szCs w:val="28"/>
        </w:rPr>
        <w:t xml:space="preserve">deslegitima </w:t>
      </w:r>
      <w:r w:rsidR="000820F5" w:rsidRPr="002E4477">
        <w:rPr>
          <w:szCs w:val="28"/>
        </w:rPr>
        <w:t xml:space="preserve">notablemente </w:t>
      </w:r>
      <w:r w:rsidR="000A73A7" w:rsidRPr="002E4477">
        <w:rPr>
          <w:szCs w:val="28"/>
        </w:rPr>
        <w:t xml:space="preserve">sus competencias, </w:t>
      </w:r>
      <w:r w:rsidR="005D23BE" w:rsidRPr="002E4477">
        <w:rPr>
          <w:szCs w:val="28"/>
        </w:rPr>
        <w:t xml:space="preserve">a pesar de ser una entidad que viene </w:t>
      </w:r>
      <w:r w:rsidR="005D23BE" w:rsidRPr="002E4477">
        <w:rPr>
          <w:bCs/>
          <w:szCs w:val="28"/>
          <w:lang w:val="es-CO" w:eastAsia="es-CO" w:bidi="bo-CN"/>
        </w:rPr>
        <w:t xml:space="preserve">desempeñando </w:t>
      </w:r>
      <w:r w:rsidR="006E02C3" w:rsidRPr="002E4477">
        <w:rPr>
          <w:bCs/>
          <w:szCs w:val="28"/>
          <w:lang w:val="es-CO" w:eastAsia="es-CO" w:bidi="bo-CN"/>
        </w:rPr>
        <w:t>asidua</w:t>
      </w:r>
      <w:r w:rsidR="00654305" w:rsidRPr="002E4477">
        <w:rPr>
          <w:bCs/>
          <w:szCs w:val="28"/>
          <w:lang w:val="es-CO" w:eastAsia="es-CO" w:bidi="bo-CN"/>
        </w:rPr>
        <w:t xml:space="preserve"> y diligentemente</w:t>
      </w:r>
      <w:r w:rsidR="005D23BE" w:rsidRPr="002E4477">
        <w:rPr>
          <w:bCs/>
          <w:szCs w:val="28"/>
          <w:lang w:val="es-CO" w:eastAsia="es-CO" w:bidi="bo-CN"/>
        </w:rPr>
        <w:t xml:space="preserve"> las funciones designadas, de manera transitoria. </w:t>
      </w:r>
    </w:p>
    <w:p w14:paraId="2531C029" w14:textId="77777777" w:rsidR="00F133A7" w:rsidRPr="002E4477" w:rsidRDefault="00F133A7" w:rsidP="00F133A7">
      <w:pPr>
        <w:tabs>
          <w:tab w:val="left" w:pos="284"/>
        </w:tabs>
        <w:ind w:right="40"/>
        <w:jc w:val="both"/>
        <w:rPr>
          <w:bCs/>
          <w:szCs w:val="28"/>
          <w:lang w:eastAsia="es-CO" w:bidi="bo-CN"/>
        </w:rPr>
      </w:pPr>
    </w:p>
    <w:p w14:paraId="00A5BAC4" w14:textId="77777777" w:rsidR="00F133A7" w:rsidRPr="0004730A" w:rsidRDefault="000714FE" w:rsidP="00F133A7">
      <w:pPr>
        <w:tabs>
          <w:tab w:val="left" w:pos="284"/>
        </w:tabs>
        <w:ind w:right="40"/>
        <w:jc w:val="both"/>
        <w:rPr>
          <w:szCs w:val="28"/>
        </w:rPr>
      </w:pPr>
      <w:r w:rsidRPr="002E4477">
        <w:rPr>
          <w:bCs/>
          <w:szCs w:val="28"/>
          <w:lang w:val="es-CO" w:eastAsia="es-CO" w:bidi="bo-CN"/>
        </w:rPr>
        <w:t>No obstante</w:t>
      </w:r>
      <w:r w:rsidR="006E02C3" w:rsidRPr="002E4477">
        <w:rPr>
          <w:bCs/>
          <w:szCs w:val="28"/>
          <w:lang w:val="es-CO" w:eastAsia="es-CO" w:bidi="bo-CN"/>
        </w:rPr>
        <w:t>,</w:t>
      </w:r>
      <w:r w:rsidR="005D23BE" w:rsidRPr="002E4477">
        <w:rPr>
          <w:bCs/>
          <w:szCs w:val="28"/>
          <w:lang w:val="es-CO" w:eastAsia="es-CO" w:bidi="bo-CN"/>
        </w:rPr>
        <w:t xml:space="preserve"> </w:t>
      </w:r>
      <w:r w:rsidR="005D23BE" w:rsidRPr="002E4477">
        <w:rPr>
          <w:b/>
          <w:szCs w:val="28"/>
          <w:lang w:val="es-CO" w:eastAsia="es-CO" w:bidi="bo-CN"/>
        </w:rPr>
        <w:t>(i)</w:t>
      </w:r>
      <w:r w:rsidR="005D23BE" w:rsidRPr="002E4477">
        <w:rPr>
          <w:bCs/>
          <w:szCs w:val="28"/>
          <w:lang w:val="es-CO" w:eastAsia="es-CO" w:bidi="bo-CN"/>
        </w:rPr>
        <w:t xml:space="preserve"> </w:t>
      </w:r>
      <w:r w:rsidR="000A73A7" w:rsidRPr="002E4477">
        <w:rPr>
          <w:szCs w:val="28"/>
        </w:rPr>
        <w:t>e</w:t>
      </w:r>
      <w:r w:rsidR="005D23BE" w:rsidRPr="002E4477">
        <w:rPr>
          <w:szCs w:val="28"/>
        </w:rPr>
        <w:t xml:space="preserve">l hecho de que la arquitectura constitucional para el caso se encuentre fragmentada; </w:t>
      </w:r>
      <w:r w:rsidR="005D23BE" w:rsidRPr="002E4477">
        <w:rPr>
          <w:b/>
          <w:bCs/>
          <w:szCs w:val="28"/>
        </w:rPr>
        <w:t>(ii)</w:t>
      </w:r>
      <w:r w:rsidR="005D23BE" w:rsidRPr="002E4477">
        <w:rPr>
          <w:szCs w:val="28"/>
        </w:rPr>
        <w:t xml:space="preserve"> que el ejercicio de </w:t>
      </w:r>
      <w:r w:rsidR="00F133A7" w:rsidRPr="002E4477">
        <w:rPr>
          <w:szCs w:val="28"/>
        </w:rPr>
        <w:t xml:space="preserve">la </w:t>
      </w:r>
      <w:r w:rsidR="005D23BE" w:rsidRPr="002E4477">
        <w:rPr>
          <w:szCs w:val="28"/>
        </w:rPr>
        <w:t xml:space="preserve">función </w:t>
      </w:r>
      <w:r w:rsidR="00F133A7" w:rsidRPr="002E4477">
        <w:rPr>
          <w:szCs w:val="28"/>
        </w:rPr>
        <w:t>disciplinaria</w:t>
      </w:r>
      <w:r w:rsidR="006A4DD0" w:rsidRPr="002E4477">
        <w:rPr>
          <w:szCs w:val="28"/>
        </w:rPr>
        <w:t xml:space="preserve"> por parte de algunos magistrados de la Sala Jurisdiccional </w:t>
      </w:r>
      <w:r w:rsidR="005D23BE" w:rsidRPr="002E4477">
        <w:rPr>
          <w:szCs w:val="28"/>
        </w:rPr>
        <w:t>supere el periodo constitucional reglamentari</w:t>
      </w:r>
      <w:r w:rsidR="006A4DD0" w:rsidRPr="002E4477">
        <w:rPr>
          <w:szCs w:val="28"/>
        </w:rPr>
        <w:t>o</w:t>
      </w:r>
      <w:r w:rsidR="00F133A7" w:rsidRPr="002E4477">
        <w:rPr>
          <w:szCs w:val="28"/>
        </w:rPr>
        <w:t xml:space="preserve">; </w:t>
      </w:r>
      <w:r w:rsidR="00F133A7" w:rsidRPr="002E4477">
        <w:rPr>
          <w:b/>
          <w:bCs/>
          <w:szCs w:val="28"/>
        </w:rPr>
        <w:t xml:space="preserve">(iii) </w:t>
      </w:r>
      <w:r w:rsidR="00F133A7" w:rsidRPr="002E4477">
        <w:rPr>
          <w:szCs w:val="28"/>
        </w:rPr>
        <w:t>que el órgano expresamente creado para e</w:t>
      </w:r>
      <w:r w:rsidR="006A4DD0" w:rsidRPr="002E4477">
        <w:rPr>
          <w:szCs w:val="28"/>
        </w:rPr>
        <w:t xml:space="preserve">l efecto por el A.L. 02 de 2015, </w:t>
      </w:r>
      <w:r w:rsidR="00F133A7" w:rsidRPr="002E4477">
        <w:rPr>
          <w:szCs w:val="28"/>
        </w:rPr>
        <w:t>no esté cumpliendo la función</w:t>
      </w:r>
      <w:r w:rsidR="006A4DD0" w:rsidRPr="002E4477">
        <w:rPr>
          <w:szCs w:val="28"/>
        </w:rPr>
        <w:t xml:space="preserve"> que le fue </w:t>
      </w:r>
      <w:r w:rsidR="00B84D0E">
        <w:rPr>
          <w:szCs w:val="28"/>
        </w:rPr>
        <w:t>en</w:t>
      </w:r>
      <w:r w:rsidR="008705CC" w:rsidRPr="002E4477">
        <w:rPr>
          <w:szCs w:val="28"/>
        </w:rPr>
        <w:t xml:space="preserve">comendada, </w:t>
      </w:r>
      <w:r w:rsidR="005D23BE" w:rsidRPr="002E4477">
        <w:rPr>
          <w:szCs w:val="28"/>
        </w:rPr>
        <w:t xml:space="preserve">y </w:t>
      </w:r>
      <w:r w:rsidR="00F133A7" w:rsidRPr="002E4477">
        <w:rPr>
          <w:b/>
          <w:bCs/>
          <w:szCs w:val="28"/>
        </w:rPr>
        <w:t>(iv)</w:t>
      </w:r>
      <w:r w:rsidR="00F133A7" w:rsidRPr="002E4477">
        <w:rPr>
          <w:szCs w:val="28"/>
        </w:rPr>
        <w:t xml:space="preserve"> </w:t>
      </w:r>
      <w:r w:rsidR="005D23BE" w:rsidRPr="002E4477">
        <w:rPr>
          <w:szCs w:val="28"/>
        </w:rPr>
        <w:t>que parezca casi imposible sortear la situación</w:t>
      </w:r>
      <w:r w:rsidR="008705CC" w:rsidRPr="002E4477">
        <w:rPr>
          <w:szCs w:val="28"/>
        </w:rPr>
        <w:t xml:space="preserve"> </w:t>
      </w:r>
      <w:r w:rsidR="005D23BE" w:rsidRPr="002E4477">
        <w:rPr>
          <w:szCs w:val="28"/>
        </w:rPr>
        <w:t xml:space="preserve">ante la ausencia de </w:t>
      </w:r>
      <w:r w:rsidR="00F133A7" w:rsidRPr="002E4477">
        <w:rPr>
          <w:szCs w:val="28"/>
        </w:rPr>
        <w:t xml:space="preserve">una </w:t>
      </w:r>
      <w:r w:rsidR="005D23BE" w:rsidRPr="002E4477">
        <w:rPr>
          <w:szCs w:val="28"/>
        </w:rPr>
        <w:t>intervención</w:t>
      </w:r>
      <w:r w:rsidR="006A4DD0" w:rsidRPr="002E4477">
        <w:rPr>
          <w:szCs w:val="28"/>
        </w:rPr>
        <w:t xml:space="preserve"> directa </w:t>
      </w:r>
      <w:r w:rsidR="005D23BE" w:rsidRPr="002E4477">
        <w:rPr>
          <w:szCs w:val="28"/>
        </w:rPr>
        <w:t>del Legislador</w:t>
      </w:r>
      <w:r w:rsidR="00F133A7" w:rsidRPr="002E4477">
        <w:rPr>
          <w:szCs w:val="28"/>
        </w:rPr>
        <w:t xml:space="preserve"> en el tiempo, </w:t>
      </w:r>
      <w:r w:rsidR="00D0037C" w:rsidRPr="002E4477">
        <w:rPr>
          <w:szCs w:val="28"/>
        </w:rPr>
        <w:t xml:space="preserve">como lo sostiene el Consejo de Estado, </w:t>
      </w:r>
      <w:r w:rsidR="00F133A7" w:rsidRPr="002E4477">
        <w:rPr>
          <w:szCs w:val="28"/>
        </w:rPr>
        <w:t xml:space="preserve">no hace </w:t>
      </w:r>
      <w:r w:rsidR="006A4DD0" w:rsidRPr="002E4477">
        <w:rPr>
          <w:szCs w:val="28"/>
        </w:rPr>
        <w:t xml:space="preserve">más que confirmar la existencia de </w:t>
      </w:r>
      <w:r w:rsidR="006A4DD0" w:rsidRPr="0004730A">
        <w:rPr>
          <w:szCs w:val="28"/>
        </w:rPr>
        <w:t xml:space="preserve">una problemática real </w:t>
      </w:r>
      <w:r w:rsidR="008705CC" w:rsidRPr="0004730A">
        <w:rPr>
          <w:szCs w:val="28"/>
        </w:rPr>
        <w:t>en estas circunstancias</w:t>
      </w:r>
      <w:r w:rsidR="006A4DD0" w:rsidRPr="0004730A">
        <w:rPr>
          <w:szCs w:val="28"/>
        </w:rPr>
        <w:t xml:space="preserve">, que afecta </w:t>
      </w:r>
      <w:r w:rsidR="00654305" w:rsidRPr="0004730A">
        <w:rPr>
          <w:szCs w:val="28"/>
        </w:rPr>
        <w:t>la</w:t>
      </w:r>
      <w:r w:rsidR="006A4DD0" w:rsidRPr="0004730A">
        <w:rPr>
          <w:szCs w:val="28"/>
        </w:rPr>
        <w:t xml:space="preserve"> estabilidad</w:t>
      </w:r>
      <w:r w:rsidR="008705CC" w:rsidRPr="0004730A">
        <w:rPr>
          <w:szCs w:val="28"/>
        </w:rPr>
        <w:t>, credibilidad y seguridad jurídica</w:t>
      </w:r>
      <w:r w:rsidR="00654305" w:rsidRPr="0004730A">
        <w:rPr>
          <w:szCs w:val="28"/>
        </w:rPr>
        <w:t xml:space="preserve"> de esa jurisdicción.</w:t>
      </w:r>
      <w:r w:rsidR="008705CC" w:rsidRPr="0004730A">
        <w:rPr>
          <w:szCs w:val="28"/>
        </w:rPr>
        <w:t xml:space="preserve"> </w:t>
      </w:r>
      <w:r w:rsidR="006A4DD0" w:rsidRPr="0004730A">
        <w:rPr>
          <w:szCs w:val="28"/>
        </w:rPr>
        <w:t xml:space="preserve"> </w:t>
      </w:r>
    </w:p>
    <w:p w14:paraId="70FAAAD2" w14:textId="77777777" w:rsidR="00F133A7" w:rsidRPr="0004730A" w:rsidRDefault="00F133A7" w:rsidP="00F133A7">
      <w:pPr>
        <w:tabs>
          <w:tab w:val="left" w:pos="284"/>
        </w:tabs>
        <w:ind w:right="40"/>
        <w:jc w:val="both"/>
        <w:rPr>
          <w:szCs w:val="28"/>
        </w:rPr>
      </w:pPr>
    </w:p>
    <w:p w14:paraId="5B782E47" w14:textId="77777777" w:rsidR="005A57D5" w:rsidRPr="0004730A" w:rsidRDefault="00B1327D" w:rsidP="006E02C3">
      <w:pPr>
        <w:jc w:val="both"/>
        <w:rPr>
          <w:szCs w:val="28"/>
        </w:rPr>
      </w:pPr>
      <w:r w:rsidRPr="0004730A">
        <w:rPr>
          <w:szCs w:val="28"/>
        </w:rPr>
        <w:t xml:space="preserve">De hecho, como se ha mencionado, </w:t>
      </w:r>
      <w:r w:rsidR="006E02C3" w:rsidRPr="0004730A">
        <w:rPr>
          <w:szCs w:val="28"/>
        </w:rPr>
        <w:t>a</w:t>
      </w:r>
      <w:r w:rsidR="00F133A7" w:rsidRPr="0004730A">
        <w:rPr>
          <w:szCs w:val="28"/>
        </w:rPr>
        <w:t xml:space="preserve">l pensar </w:t>
      </w:r>
      <w:r w:rsidR="002326D5" w:rsidRPr="0004730A">
        <w:rPr>
          <w:szCs w:val="28"/>
        </w:rPr>
        <w:t>en un</w:t>
      </w:r>
      <w:r w:rsidR="00F133A7" w:rsidRPr="0004730A">
        <w:rPr>
          <w:szCs w:val="28"/>
        </w:rPr>
        <w:t xml:space="preserve"> concepto </w:t>
      </w:r>
      <w:r w:rsidR="002326D5" w:rsidRPr="0004730A">
        <w:rPr>
          <w:szCs w:val="28"/>
        </w:rPr>
        <w:t xml:space="preserve">que refleje </w:t>
      </w:r>
      <w:r w:rsidR="0004730A" w:rsidRPr="0004730A">
        <w:rPr>
          <w:szCs w:val="28"/>
        </w:rPr>
        <w:t>l</w:t>
      </w:r>
      <w:r w:rsidR="002326D5" w:rsidRPr="0004730A">
        <w:rPr>
          <w:szCs w:val="28"/>
        </w:rPr>
        <w:t>a realidad</w:t>
      </w:r>
      <w:r w:rsidR="0004730A" w:rsidRPr="0004730A">
        <w:rPr>
          <w:szCs w:val="28"/>
        </w:rPr>
        <w:t xml:space="preserve"> de la jurisdicción disciplinaria</w:t>
      </w:r>
      <w:r w:rsidR="002326D5" w:rsidRPr="0004730A">
        <w:rPr>
          <w:szCs w:val="28"/>
        </w:rPr>
        <w:t xml:space="preserve">, </w:t>
      </w:r>
      <w:r w:rsidRPr="0004730A">
        <w:rPr>
          <w:szCs w:val="28"/>
        </w:rPr>
        <w:t xml:space="preserve">surgen </w:t>
      </w:r>
      <w:r w:rsidR="00654305" w:rsidRPr="0004730A">
        <w:rPr>
          <w:szCs w:val="28"/>
        </w:rPr>
        <w:t xml:space="preserve">palabras como </w:t>
      </w:r>
      <w:r w:rsidR="006E1D10" w:rsidRPr="0004730A">
        <w:rPr>
          <w:szCs w:val="28"/>
        </w:rPr>
        <w:t>“</w:t>
      </w:r>
      <w:r w:rsidR="005A57D5" w:rsidRPr="0004730A">
        <w:rPr>
          <w:szCs w:val="28"/>
        </w:rPr>
        <w:t>bloqueo”</w:t>
      </w:r>
      <w:r w:rsidR="00EA4A00" w:rsidRPr="0004730A">
        <w:rPr>
          <w:szCs w:val="28"/>
        </w:rPr>
        <w:t>,</w:t>
      </w:r>
      <w:r w:rsidR="00654305" w:rsidRPr="0004730A">
        <w:rPr>
          <w:szCs w:val="28"/>
        </w:rPr>
        <w:t xml:space="preserve"> </w:t>
      </w:r>
      <w:r w:rsidR="005A57D5" w:rsidRPr="0004730A">
        <w:rPr>
          <w:szCs w:val="28"/>
        </w:rPr>
        <w:t xml:space="preserve">o </w:t>
      </w:r>
      <w:r w:rsidR="00654305" w:rsidRPr="0004730A">
        <w:rPr>
          <w:szCs w:val="28"/>
        </w:rPr>
        <w:t xml:space="preserve">mejor, </w:t>
      </w:r>
      <w:r w:rsidR="005A57D5" w:rsidRPr="0004730A">
        <w:rPr>
          <w:szCs w:val="28"/>
        </w:rPr>
        <w:t>“crisis</w:t>
      </w:r>
      <w:r w:rsidR="00F133A7" w:rsidRPr="0004730A">
        <w:rPr>
          <w:szCs w:val="28"/>
        </w:rPr>
        <w:t xml:space="preserve"> institucional</w:t>
      </w:r>
      <w:r w:rsidR="000714FE" w:rsidRPr="0004730A">
        <w:rPr>
          <w:szCs w:val="28"/>
        </w:rPr>
        <w:t>”</w:t>
      </w:r>
      <w:r w:rsidRPr="0004730A">
        <w:rPr>
          <w:szCs w:val="28"/>
        </w:rPr>
        <w:t xml:space="preserve"> para describirla</w:t>
      </w:r>
      <w:r w:rsidR="00654305" w:rsidRPr="0004730A">
        <w:rPr>
          <w:szCs w:val="28"/>
        </w:rPr>
        <w:t>. Ante es</w:t>
      </w:r>
      <w:r w:rsidRPr="0004730A">
        <w:rPr>
          <w:szCs w:val="28"/>
        </w:rPr>
        <w:t>t</w:t>
      </w:r>
      <w:r w:rsidR="00654305" w:rsidRPr="0004730A">
        <w:rPr>
          <w:szCs w:val="28"/>
        </w:rPr>
        <w:t>e hecho, desde</w:t>
      </w:r>
      <w:r w:rsidR="00D0037C" w:rsidRPr="0004730A">
        <w:rPr>
          <w:szCs w:val="28"/>
        </w:rPr>
        <w:t xml:space="preserve"> la perspectiva de las ciencias sociales</w:t>
      </w:r>
      <w:r w:rsidR="00EA4A00" w:rsidRPr="0004730A">
        <w:rPr>
          <w:szCs w:val="28"/>
        </w:rPr>
        <w:t>,</w:t>
      </w:r>
      <w:r w:rsidR="00AA5E6F" w:rsidRPr="0004730A">
        <w:rPr>
          <w:szCs w:val="28"/>
        </w:rPr>
        <w:t xml:space="preserve"> </w:t>
      </w:r>
      <w:r w:rsidR="00654305" w:rsidRPr="0004730A">
        <w:rPr>
          <w:szCs w:val="28"/>
        </w:rPr>
        <w:t>Habermas</w:t>
      </w:r>
      <w:r w:rsidR="00EA4A00" w:rsidRPr="0004730A">
        <w:rPr>
          <w:szCs w:val="28"/>
        </w:rPr>
        <w:t xml:space="preserve"> describe con bastante precisión lo que una </w:t>
      </w:r>
      <w:r w:rsidR="00AA5E6F" w:rsidRPr="0004730A">
        <w:rPr>
          <w:szCs w:val="28"/>
        </w:rPr>
        <w:t>crisis significa</w:t>
      </w:r>
      <w:r w:rsidR="00EA4A00" w:rsidRPr="0004730A">
        <w:rPr>
          <w:szCs w:val="28"/>
        </w:rPr>
        <w:t xml:space="preserve"> materialmente</w:t>
      </w:r>
      <w:r w:rsidR="00D0037C" w:rsidRPr="0004730A">
        <w:rPr>
          <w:szCs w:val="28"/>
        </w:rPr>
        <w:t xml:space="preserve">, </w:t>
      </w:r>
      <w:r w:rsidR="00EA4A00" w:rsidRPr="0004730A">
        <w:rPr>
          <w:szCs w:val="28"/>
        </w:rPr>
        <w:t xml:space="preserve">al señalar que ella </w:t>
      </w:r>
      <w:r w:rsidR="006E1D10" w:rsidRPr="0004730A">
        <w:rPr>
          <w:szCs w:val="28"/>
        </w:rPr>
        <w:t xml:space="preserve">surge </w:t>
      </w:r>
      <w:r w:rsidR="00EA4A00" w:rsidRPr="0004730A">
        <w:rPr>
          <w:szCs w:val="28"/>
        </w:rPr>
        <w:t xml:space="preserve">en el momento en que </w:t>
      </w:r>
      <w:r w:rsidR="006E1D10" w:rsidRPr="0004730A">
        <w:rPr>
          <w:szCs w:val="28"/>
        </w:rPr>
        <w:t xml:space="preserve">la estructura de </w:t>
      </w:r>
      <w:r w:rsidR="005A57D5" w:rsidRPr="0004730A">
        <w:rPr>
          <w:szCs w:val="28"/>
        </w:rPr>
        <w:t>un</w:t>
      </w:r>
      <w:r w:rsidR="006E1D10" w:rsidRPr="0004730A">
        <w:rPr>
          <w:szCs w:val="28"/>
        </w:rPr>
        <w:t xml:space="preserve"> sistema</w:t>
      </w:r>
      <w:r w:rsidR="008705CC" w:rsidRPr="0004730A">
        <w:rPr>
          <w:szCs w:val="28"/>
        </w:rPr>
        <w:t>,</w:t>
      </w:r>
      <w:r w:rsidR="006E1D10" w:rsidRPr="0004730A">
        <w:rPr>
          <w:szCs w:val="28"/>
        </w:rPr>
        <w:t xml:space="preserve"> “</w:t>
      </w:r>
      <w:r w:rsidR="006E1D10" w:rsidRPr="0004730A">
        <w:rPr>
          <w:i/>
          <w:iCs/>
          <w:szCs w:val="28"/>
        </w:rPr>
        <w:t>reduce las posibilidades de resolución de los problemas</w:t>
      </w:r>
      <w:r w:rsidR="006E02C3" w:rsidRPr="0004730A">
        <w:rPr>
          <w:i/>
          <w:iCs/>
          <w:szCs w:val="28"/>
        </w:rPr>
        <w:t xml:space="preserve"> que se</w:t>
      </w:r>
      <w:r w:rsidR="005A57D5" w:rsidRPr="0004730A">
        <w:rPr>
          <w:i/>
          <w:iCs/>
          <w:szCs w:val="28"/>
        </w:rPr>
        <w:t xml:space="preserve"> le</w:t>
      </w:r>
      <w:r w:rsidR="006E02C3" w:rsidRPr="0004730A">
        <w:rPr>
          <w:i/>
          <w:iCs/>
          <w:szCs w:val="28"/>
        </w:rPr>
        <w:t xml:space="preserve"> presentan</w:t>
      </w:r>
      <w:r w:rsidR="006E1D10" w:rsidRPr="0004730A">
        <w:rPr>
          <w:i/>
          <w:iCs/>
          <w:szCs w:val="28"/>
        </w:rPr>
        <w:t>, en circunstancias en que ello sería necesario</w:t>
      </w:r>
      <w:r w:rsidR="006E02C3" w:rsidRPr="0004730A">
        <w:rPr>
          <w:i/>
          <w:iCs/>
          <w:szCs w:val="28"/>
        </w:rPr>
        <w:t>,</w:t>
      </w:r>
      <w:r w:rsidR="006E1D10" w:rsidRPr="0004730A">
        <w:rPr>
          <w:i/>
          <w:iCs/>
          <w:szCs w:val="28"/>
        </w:rPr>
        <w:t xml:space="preserve"> para</w:t>
      </w:r>
      <w:r w:rsidR="006E02C3" w:rsidRPr="0004730A">
        <w:rPr>
          <w:i/>
          <w:iCs/>
          <w:szCs w:val="28"/>
        </w:rPr>
        <w:t xml:space="preserve"> asegurar</w:t>
      </w:r>
      <w:r w:rsidR="006E1D10" w:rsidRPr="0004730A">
        <w:rPr>
          <w:i/>
          <w:iCs/>
          <w:szCs w:val="28"/>
        </w:rPr>
        <w:t xml:space="preserve"> la existencia continua del sistema</w:t>
      </w:r>
      <w:r w:rsidR="006E02C3" w:rsidRPr="0004730A">
        <w:rPr>
          <w:szCs w:val="28"/>
        </w:rPr>
        <w:t>”</w:t>
      </w:r>
      <w:r w:rsidR="006E02C3" w:rsidRPr="0004730A">
        <w:rPr>
          <w:rStyle w:val="Refdenotaalpie"/>
          <w:szCs w:val="28"/>
        </w:rPr>
        <w:footnoteReference w:id="322"/>
      </w:r>
      <w:r w:rsidR="006E1D10" w:rsidRPr="0004730A">
        <w:rPr>
          <w:szCs w:val="28"/>
        </w:rPr>
        <w:t xml:space="preserve">. </w:t>
      </w:r>
      <w:r w:rsidR="006E02C3" w:rsidRPr="0004730A">
        <w:rPr>
          <w:szCs w:val="28"/>
        </w:rPr>
        <w:t xml:space="preserve">En </w:t>
      </w:r>
      <w:r w:rsidR="000714FE" w:rsidRPr="0004730A">
        <w:rPr>
          <w:szCs w:val="28"/>
        </w:rPr>
        <w:t>otros</w:t>
      </w:r>
      <w:r w:rsidR="006E02C3" w:rsidRPr="0004730A">
        <w:rPr>
          <w:szCs w:val="28"/>
        </w:rPr>
        <w:t xml:space="preserve"> términos, “</w:t>
      </w:r>
      <w:r w:rsidR="006E02C3" w:rsidRPr="0004730A">
        <w:rPr>
          <w:i/>
          <w:iCs/>
          <w:szCs w:val="28"/>
        </w:rPr>
        <w:t>las crisis son vistas como perturbaciones persistentes de la integración del sistema</w:t>
      </w:r>
      <w:r w:rsidR="006E02C3" w:rsidRPr="0004730A">
        <w:rPr>
          <w:szCs w:val="28"/>
        </w:rPr>
        <w:t>”</w:t>
      </w:r>
      <w:r w:rsidR="006E02C3" w:rsidRPr="0004730A">
        <w:rPr>
          <w:rStyle w:val="Refdenotaalpie"/>
          <w:szCs w:val="28"/>
        </w:rPr>
        <w:footnoteReference w:id="323"/>
      </w:r>
      <w:r w:rsidR="005A57D5" w:rsidRPr="0004730A">
        <w:rPr>
          <w:szCs w:val="28"/>
        </w:rPr>
        <w:t>,</w:t>
      </w:r>
      <w:r w:rsidR="00D0037C" w:rsidRPr="0004730A">
        <w:rPr>
          <w:szCs w:val="28"/>
        </w:rPr>
        <w:t xml:space="preserve"> </w:t>
      </w:r>
      <w:r w:rsidR="00EA4A00" w:rsidRPr="0004730A">
        <w:rPr>
          <w:szCs w:val="28"/>
        </w:rPr>
        <w:t xml:space="preserve">que se consolidan, </w:t>
      </w:r>
      <w:r w:rsidR="005A57D5" w:rsidRPr="0004730A">
        <w:rPr>
          <w:szCs w:val="28"/>
        </w:rPr>
        <w:t>ante la dificultad de encontrar</w:t>
      </w:r>
      <w:r w:rsidR="006C2EA8" w:rsidRPr="0004730A">
        <w:rPr>
          <w:szCs w:val="28"/>
        </w:rPr>
        <w:t xml:space="preserve"> en un momento</w:t>
      </w:r>
      <w:r w:rsidR="00EA4A00" w:rsidRPr="0004730A">
        <w:rPr>
          <w:szCs w:val="28"/>
        </w:rPr>
        <w:t xml:space="preserve"> determinado</w:t>
      </w:r>
      <w:r w:rsidR="006C2EA8" w:rsidRPr="0004730A">
        <w:rPr>
          <w:szCs w:val="28"/>
        </w:rPr>
        <w:t>,</w:t>
      </w:r>
      <w:r w:rsidR="005A57D5" w:rsidRPr="0004730A">
        <w:rPr>
          <w:szCs w:val="28"/>
        </w:rPr>
        <w:t xml:space="preserve"> una solución efectiva</w:t>
      </w:r>
      <w:r w:rsidR="00AA5E6F" w:rsidRPr="0004730A">
        <w:rPr>
          <w:szCs w:val="28"/>
        </w:rPr>
        <w:t>.</w:t>
      </w:r>
    </w:p>
    <w:p w14:paraId="2C944611" w14:textId="77777777" w:rsidR="00AA5E6F" w:rsidRPr="0004730A" w:rsidRDefault="00AA5E6F" w:rsidP="006E02C3">
      <w:pPr>
        <w:jc w:val="both"/>
        <w:rPr>
          <w:szCs w:val="28"/>
        </w:rPr>
      </w:pPr>
    </w:p>
    <w:p w14:paraId="4F50BFB5" w14:textId="77777777" w:rsidR="005A57D5" w:rsidRPr="002E4477" w:rsidRDefault="008705CC" w:rsidP="00962603">
      <w:pPr>
        <w:numPr>
          <w:ilvl w:val="0"/>
          <w:numId w:val="10"/>
        </w:numPr>
        <w:jc w:val="both"/>
        <w:rPr>
          <w:szCs w:val="28"/>
        </w:rPr>
      </w:pPr>
      <w:r w:rsidRPr="0004730A">
        <w:rPr>
          <w:szCs w:val="28"/>
        </w:rPr>
        <w:t xml:space="preserve">Con base en </w:t>
      </w:r>
      <w:r w:rsidR="006C2EA8" w:rsidRPr="0004730A">
        <w:rPr>
          <w:szCs w:val="28"/>
        </w:rPr>
        <w:t>estas premisas</w:t>
      </w:r>
      <w:r w:rsidR="005A57D5" w:rsidRPr="0004730A">
        <w:rPr>
          <w:szCs w:val="28"/>
        </w:rPr>
        <w:t xml:space="preserve">, es </w:t>
      </w:r>
      <w:r w:rsidR="00B1327D" w:rsidRPr="0004730A">
        <w:rPr>
          <w:szCs w:val="28"/>
        </w:rPr>
        <w:t>necesario</w:t>
      </w:r>
      <w:r w:rsidR="005A57D5" w:rsidRPr="0004730A">
        <w:rPr>
          <w:szCs w:val="28"/>
        </w:rPr>
        <w:t xml:space="preserve"> </w:t>
      </w:r>
      <w:r w:rsidR="00D0037C" w:rsidRPr="0004730A">
        <w:rPr>
          <w:szCs w:val="28"/>
        </w:rPr>
        <w:t xml:space="preserve">reconocer </w:t>
      </w:r>
      <w:r w:rsidR="005A57D5" w:rsidRPr="0004730A">
        <w:rPr>
          <w:szCs w:val="28"/>
        </w:rPr>
        <w:t>que para el ejercicio de una función pública tan relevante</w:t>
      </w:r>
      <w:r w:rsidR="007802FE" w:rsidRPr="0004730A">
        <w:rPr>
          <w:szCs w:val="28"/>
        </w:rPr>
        <w:t xml:space="preserve"> como la que le compete</w:t>
      </w:r>
      <w:r w:rsidR="007802FE" w:rsidRPr="002E4477">
        <w:rPr>
          <w:szCs w:val="28"/>
        </w:rPr>
        <w:t xml:space="preserve"> a la CNDJ y que realiza transitoriamente la Sala Jurisdiccional Disciplinaria</w:t>
      </w:r>
      <w:r w:rsidR="00FB0ED1" w:rsidRPr="002E4477">
        <w:rPr>
          <w:szCs w:val="28"/>
        </w:rPr>
        <w:t>,</w:t>
      </w:r>
      <w:r w:rsidR="007802FE" w:rsidRPr="002E4477">
        <w:rPr>
          <w:szCs w:val="28"/>
        </w:rPr>
        <w:t xml:space="preserve"> la</w:t>
      </w:r>
      <w:r w:rsidR="00FB0ED1" w:rsidRPr="002E4477">
        <w:rPr>
          <w:szCs w:val="28"/>
        </w:rPr>
        <w:t xml:space="preserve"> búsqueda de</w:t>
      </w:r>
      <w:r w:rsidR="00AC3FB9" w:rsidRPr="002E4477">
        <w:rPr>
          <w:szCs w:val="28"/>
        </w:rPr>
        <w:t xml:space="preserve"> una salida que promueva la</w:t>
      </w:r>
      <w:r w:rsidR="00FB0ED1" w:rsidRPr="002E4477">
        <w:rPr>
          <w:szCs w:val="28"/>
        </w:rPr>
        <w:t xml:space="preserve"> seguridad jurídica y </w:t>
      </w:r>
      <w:r w:rsidR="00AC3FB9" w:rsidRPr="002E4477">
        <w:rPr>
          <w:szCs w:val="28"/>
        </w:rPr>
        <w:t>la</w:t>
      </w:r>
      <w:r w:rsidR="007802FE" w:rsidRPr="002E4477">
        <w:rPr>
          <w:szCs w:val="28"/>
        </w:rPr>
        <w:t xml:space="preserve"> previsibilidad de las </w:t>
      </w:r>
      <w:r w:rsidR="00AA5E6F" w:rsidRPr="002E4477">
        <w:rPr>
          <w:szCs w:val="28"/>
        </w:rPr>
        <w:t xml:space="preserve">consecuencias </w:t>
      </w:r>
      <w:r w:rsidR="006C2EA8" w:rsidRPr="002E4477">
        <w:rPr>
          <w:szCs w:val="28"/>
        </w:rPr>
        <w:t xml:space="preserve">jurídicas </w:t>
      </w:r>
      <w:r w:rsidR="00AC3FB9" w:rsidRPr="002E4477">
        <w:rPr>
          <w:szCs w:val="28"/>
        </w:rPr>
        <w:t>en esta situación</w:t>
      </w:r>
      <w:r w:rsidR="00D0037C" w:rsidRPr="002E4477">
        <w:rPr>
          <w:szCs w:val="28"/>
        </w:rPr>
        <w:t xml:space="preserve">, </w:t>
      </w:r>
      <w:r w:rsidR="006C2EA8" w:rsidRPr="002E4477">
        <w:rPr>
          <w:szCs w:val="28"/>
        </w:rPr>
        <w:t xml:space="preserve">tanto </w:t>
      </w:r>
      <w:r w:rsidR="00AA5E6F" w:rsidRPr="002E4477">
        <w:rPr>
          <w:szCs w:val="28"/>
        </w:rPr>
        <w:t xml:space="preserve">para el CSJ </w:t>
      </w:r>
      <w:r w:rsidR="006C2EA8" w:rsidRPr="002E4477">
        <w:rPr>
          <w:szCs w:val="28"/>
        </w:rPr>
        <w:t>como para</w:t>
      </w:r>
      <w:r w:rsidR="00AA5E6F" w:rsidRPr="002E4477">
        <w:rPr>
          <w:szCs w:val="28"/>
        </w:rPr>
        <w:t xml:space="preserve"> los usuarios de la jurisdicción disciplinaria, debe ser una prioridad para la Rama Judicial. </w:t>
      </w:r>
    </w:p>
    <w:bookmarkEnd w:id="30"/>
    <w:p w14:paraId="67D7722C" w14:textId="77777777" w:rsidR="006C2EA8" w:rsidRPr="002E4477" w:rsidRDefault="006C2EA8" w:rsidP="00150AE8">
      <w:pPr>
        <w:pStyle w:val="NormalWeb"/>
        <w:tabs>
          <w:tab w:val="left" w:pos="284"/>
        </w:tabs>
        <w:spacing w:before="0" w:beforeAutospacing="0" w:after="0" w:afterAutospacing="0"/>
        <w:ind w:right="40"/>
        <w:jc w:val="both"/>
        <w:rPr>
          <w:sz w:val="28"/>
          <w:szCs w:val="28"/>
        </w:rPr>
      </w:pPr>
    </w:p>
    <w:p w14:paraId="4F43DFA5" w14:textId="77777777" w:rsidR="00150AE8" w:rsidRPr="002E4477" w:rsidRDefault="00B84D0E" w:rsidP="00150AE8">
      <w:pPr>
        <w:pStyle w:val="NormalWeb"/>
        <w:tabs>
          <w:tab w:val="left" w:pos="284"/>
        </w:tabs>
        <w:spacing w:before="0" w:beforeAutospacing="0" w:after="0" w:afterAutospacing="0"/>
        <w:ind w:right="40"/>
        <w:jc w:val="both"/>
        <w:rPr>
          <w:bCs/>
          <w:sz w:val="28"/>
          <w:szCs w:val="28"/>
        </w:rPr>
      </w:pPr>
      <w:r w:rsidRPr="0004730A">
        <w:rPr>
          <w:sz w:val="28"/>
          <w:szCs w:val="28"/>
        </w:rPr>
        <w:t>D</w:t>
      </w:r>
      <w:r w:rsidR="00AC3FB9" w:rsidRPr="0004730A">
        <w:rPr>
          <w:sz w:val="28"/>
          <w:szCs w:val="28"/>
        </w:rPr>
        <w:t xml:space="preserve">e lo contrario, se perpetúa la amenaza que se cierne sobre </w:t>
      </w:r>
      <w:r w:rsidR="00563734" w:rsidRPr="0004730A">
        <w:rPr>
          <w:sz w:val="28"/>
          <w:szCs w:val="28"/>
        </w:rPr>
        <w:t>esta</w:t>
      </w:r>
      <w:r w:rsidR="00AC3FB9" w:rsidRPr="0004730A">
        <w:rPr>
          <w:sz w:val="28"/>
          <w:szCs w:val="28"/>
        </w:rPr>
        <w:t xml:space="preserve"> jurisdicción</w:t>
      </w:r>
      <w:r w:rsidR="00493881" w:rsidRPr="0004730A">
        <w:rPr>
          <w:sz w:val="28"/>
          <w:szCs w:val="28"/>
        </w:rPr>
        <w:t xml:space="preserve"> por su situación de interinidad</w:t>
      </w:r>
      <w:r w:rsidR="00563734" w:rsidRPr="0004730A">
        <w:rPr>
          <w:sz w:val="28"/>
          <w:szCs w:val="28"/>
        </w:rPr>
        <w:t xml:space="preserve">: </w:t>
      </w:r>
      <w:r w:rsidR="00AC3FB9" w:rsidRPr="0004730A">
        <w:rPr>
          <w:sz w:val="28"/>
          <w:szCs w:val="28"/>
        </w:rPr>
        <w:t xml:space="preserve">entre el deber de </w:t>
      </w:r>
      <w:r w:rsidR="00493F12" w:rsidRPr="0004730A">
        <w:rPr>
          <w:sz w:val="28"/>
          <w:szCs w:val="28"/>
        </w:rPr>
        <w:t xml:space="preserve">responder </w:t>
      </w:r>
      <w:r w:rsidR="00563734" w:rsidRPr="0004730A">
        <w:rPr>
          <w:sz w:val="28"/>
          <w:szCs w:val="28"/>
        </w:rPr>
        <w:t xml:space="preserve">a </w:t>
      </w:r>
      <w:r w:rsidR="00493F12" w:rsidRPr="0004730A">
        <w:rPr>
          <w:sz w:val="28"/>
          <w:szCs w:val="28"/>
        </w:rPr>
        <w:t xml:space="preserve">las </w:t>
      </w:r>
      <w:r w:rsidR="00AC3FB9" w:rsidRPr="0004730A">
        <w:rPr>
          <w:sz w:val="28"/>
          <w:szCs w:val="28"/>
        </w:rPr>
        <w:t>demandas de justicia social, control de la corrupción y fortalecimiento de la administración de justicia</w:t>
      </w:r>
      <w:r w:rsidR="00563734" w:rsidRPr="0004730A">
        <w:rPr>
          <w:sz w:val="28"/>
          <w:szCs w:val="28"/>
        </w:rPr>
        <w:t xml:space="preserve"> derivadas de su actividad disciplinaria, de un lado;</w:t>
      </w:r>
      <w:r w:rsidR="00AC3FB9" w:rsidRPr="0004730A">
        <w:rPr>
          <w:sz w:val="28"/>
          <w:szCs w:val="28"/>
        </w:rPr>
        <w:t xml:space="preserve"> y</w:t>
      </w:r>
      <w:r w:rsidR="00563734" w:rsidRPr="0004730A">
        <w:rPr>
          <w:sz w:val="28"/>
          <w:szCs w:val="28"/>
        </w:rPr>
        <w:t xml:space="preserve"> del otro, </w:t>
      </w:r>
      <w:r w:rsidR="00493881" w:rsidRPr="0004730A">
        <w:rPr>
          <w:sz w:val="28"/>
          <w:szCs w:val="28"/>
        </w:rPr>
        <w:t>la obligación de</w:t>
      </w:r>
      <w:r w:rsidR="00AC3FB9" w:rsidRPr="0004730A">
        <w:rPr>
          <w:sz w:val="28"/>
          <w:szCs w:val="28"/>
        </w:rPr>
        <w:t xml:space="preserve"> justificar su gestión, fortalecer su legitimidad y asegurar su idoneidad</w:t>
      </w:r>
      <w:r w:rsidR="00563734" w:rsidRPr="0004730A">
        <w:rPr>
          <w:sz w:val="28"/>
          <w:szCs w:val="28"/>
        </w:rPr>
        <w:t>,</w:t>
      </w:r>
      <w:r w:rsidR="00AC3FB9" w:rsidRPr="0004730A">
        <w:rPr>
          <w:sz w:val="28"/>
          <w:szCs w:val="28"/>
        </w:rPr>
        <w:t xml:space="preserve"> como </w:t>
      </w:r>
      <w:r w:rsidR="00654305" w:rsidRPr="0004730A">
        <w:rPr>
          <w:sz w:val="28"/>
          <w:szCs w:val="28"/>
        </w:rPr>
        <w:t>un</w:t>
      </w:r>
      <w:r w:rsidR="00563734" w:rsidRPr="0004730A">
        <w:rPr>
          <w:sz w:val="28"/>
          <w:szCs w:val="28"/>
        </w:rPr>
        <w:t xml:space="preserve"> </w:t>
      </w:r>
      <w:r w:rsidR="00AC3FB9" w:rsidRPr="0004730A">
        <w:rPr>
          <w:sz w:val="28"/>
          <w:szCs w:val="28"/>
        </w:rPr>
        <w:t>organismo que debe dar ejemplo</w:t>
      </w:r>
      <w:r w:rsidR="00654305" w:rsidRPr="0004730A">
        <w:rPr>
          <w:sz w:val="28"/>
          <w:szCs w:val="28"/>
        </w:rPr>
        <w:t xml:space="preserve"> a funcionarios, abogados y empleados</w:t>
      </w:r>
      <w:r w:rsidR="00EA4A00" w:rsidRPr="0004730A">
        <w:rPr>
          <w:sz w:val="28"/>
          <w:szCs w:val="28"/>
        </w:rPr>
        <w:t>,</w:t>
      </w:r>
      <w:r w:rsidR="00654305" w:rsidRPr="0004730A">
        <w:rPr>
          <w:sz w:val="28"/>
          <w:szCs w:val="28"/>
        </w:rPr>
        <w:t xml:space="preserve"> </w:t>
      </w:r>
      <w:r w:rsidR="00EA4A00" w:rsidRPr="0004730A">
        <w:rPr>
          <w:sz w:val="28"/>
          <w:szCs w:val="28"/>
        </w:rPr>
        <w:t xml:space="preserve">de </w:t>
      </w:r>
      <w:r w:rsidR="00AC3FB9" w:rsidRPr="0004730A">
        <w:rPr>
          <w:sz w:val="28"/>
          <w:szCs w:val="28"/>
        </w:rPr>
        <w:t>sus</w:t>
      </w:r>
      <w:r w:rsidR="00EA4A00" w:rsidRPr="0004730A">
        <w:rPr>
          <w:sz w:val="28"/>
          <w:szCs w:val="28"/>
        </w:rPr>
        <w:t xml:space="preserve"> mismas</w:t>
      </w:r>
      <w:r w:rsidR="00AC3FB9" w:rsidRPr="0004730A">
        <w:rPr>
          <w:sz w:val="28"/>
          <w:szCs w:val="28"/>
        </w:rPr>
        <w:t xml:space="preserve"> atribuciones </w:t>
      </w:r>
      <w:r w:rsidR="00AC3FB9" w:rsidRPr="0004730A">
        <w:rPr>
          <w:bCs/>
          <w:sz w:val="28"/>
          <w:szCs w:val="28"/>
        </w:rPr>
        <w:t>jurisdiccionales disciplinarias.</w:t>
      </w:r>
      <w:r w:rsidR="00AC3FB9" w:rsidRPr="002E4477">
        <w:rPr>
          <w:bCs/>
          <w:sz w:val="28"/>
          <w:szCs w:val="28"/>
        </w:rPr>
        <w:t xml:space="preserve"> </w:t>
      </w:r>
    </w:p>
    <w:p w14:paraId="79E798BA" w14:textId="77777777" w:rsidR="000B6D40" w:rsidRPr="002E4477" w:rsidRDefault="000B6D40" w:rsidP="005701CB">
      <w:pPr>
        <w:pStyle w:val="NormalWeb"/>
        <w:tabs>
          <w:tab w:val="left" w:pos="426"/>
        </w:tabs>
        <w:spacing w:before="0" w:beforeAutospacing="0" w:after="0" w:afterAutospacing="0" w:line="276" w:lineRule="auto"/>
        <w:ind w:right="40"/>
        <w:jc w:val="both"/>
        <w:rPr>
          <w:b/>
          <w:bCs/>
          <w:sz w:val="30"/>
          <w:szCs w:val="30"/>
        </w:rPr>
      </w:pPr>
    </w:p>
    <w:p w14:paraId="44DB04F7" w14:textId="77777777" w:rsidR="009125EE" w:rsidRPr="002E4477" w:rsidRDefault="009125EE" w:rsidP="009125EE">
      <w:pPr>
        <w:pStyle w:val="NormalWeb"/>
        <w:tabs>
          <w:tab w:val="left" w:pos="426"/>
        </w:tabs>
        <w:spacing w:before="0" w:beforeAutospacing="0" w:after="0" w:afterAutospacing="0"/>
        <w:ind w:right="40"/>
        <w:jc w:val="both"/>
        <w:rPr>
          <w:b/>
          <w:bCs/>
          <w:sz w:val="30"/>
          <w:szCs w:val="30"/>
        </w:rPr>
      </w:pPr>
      <w:r w:rsidRPr="002E4477">
        <w:rPr>
          <w:b/>
          <w:bCs/>
          <w:sz w:val="30"/>
          <w:szCs w:val="30"/>
        </w:rPr>
        <w:t>Resolución del caso concreto</w:t>
      </w:r>
    </w:p>
    <w:p w14:paraId="215A5911" w14:textId="77777777" w:rsidR="00177E8E" w:rsidRPr="002E4477" w:rsidRDefault="00177E8E" w:rsidP="005701CB">
      <w:pPr>
        <w:pStyle w:val="Prrafodelista"/>
        <w:spacing w:line="276" w:lineRule="auto"/>
        <w:ind w:left="0"/>
        <w:contextualSpacing/>
        <w:jc w:val="both"/>
        <w:rPr>
          <w:bCs/>
          <w:szCs w:val="28"/>
        </w:rPr>
      </w:pPr>
    </w:p>
    <w:p w14:paraId="221792C8" w14:textId="77777777" w:rsidR="00FE563D" w:rsidRPr="003572A4" w:rsidRDefault="00FE563D" w:rsidP="00FE563D">
      <w:pPr>
        <w:pStyle w:val="NormalWeb"/>
        <w:tabs>
          <w:tab w:val="left" w:pos="426"/>
        </w:tabs>
        <w:spacing w:before="0" w:beforeAutospacing="0" w:after="0" w:afterAutospacing="0"/>
        <w:ind w:right="40"/>
        <w:jc w:val="both"/>
        <w:rPr>
          <w:b/>
          <w:bCs/>
          <w:i/>
          <w:sz w:val="28"/>
          <w:szCs w:val="28"/>
        </w:rPr>
      </w:pPr>
      <w:r w:rsidRPr="00737B63">
        <w:rPr>
          <w:b/>
          <w:bCs/>
          <w:i/>
          <w:sz w:val="28"/>
          <w:szCs w:val="28"/>
        </w:rPr>
        <w:t>La importancia de la acción de tutela contra providencias judiciales y su relevancia</w:t>
      </w:r>
      <w:r w:rsidR="006B4D60" w:rsidRPr="00737B63">
        <w:rPr>
          <w:b/>
          <w:bCs/>
          <w:i/>
          <w:sz w:val="28"/>
          <w:szCs w:val="28"/>
        </w:rPr>
        <w:t xml:space="preserve"> </w:t>
      </w:r>
      <w:r w:rsidRPr="00737B63">
        <w:rPr>
          <w:b/>
          <w:bCs/>
          <w:i/>
          <w:sz w:val="28"/>
          <w:szCs w:val="28"/>
        </w:rPr>
        <w:t>en circunstancias jurídicas complejas</w:t>
      </w:r>
      <w:r w:rsidR="0083732B" w:rsidRPr="00737B63">
        <w:rPr>
          <w:b/>
          <w:bCs/>
          <w:i/>
          <w:sz w:val="28"/>
          <w:szCs w:val="28"/>
        </w:rPr>
        <w:t>,</w:t>
      </w:r>
      <w:r w:rsidRPr="00737B63">
        <w:rPr>
          <w:b/>
          <w:bCs/>
          <w:i/>
          <w:sz w:val="28"/>
          <w:szCs w:val="28"/>
        </w:rPr>
        <w:t xml:space="preserve"> como las </w:t>
      </w:r>
      <w:r w:rsidR="0083732B" w:rsidRPr="00737B63">
        <w:rPr>
          <w:b/>
          <w:bCs/>
          <w:i/>
          <w:sz w:val="28"/>
          <w:szCs w:val="28"/>
        </w:rPr>
        <w:t xml:space="preserve">del </w:t>
      </w:r>
      <w:r w:rsidRPr="00737B63">
        <w:rPr>
          <w:b/>
          <w:bCs/>
          <w:i/>
          <w:sz w:val="28"/>
          <w:szCs w:val="28"/>
        </w:rPr>
        <w:t>presente caso</w:t>
      </w:r>
    </w:p>
    <w:p w14:paraId="7D66BF92" w14:textId="77777777" w:rsidR="00FE563D" w:rsidRPr="002E4477" w:rsidRDefault="00FE563D" w:rsidP="005701CB">
      <w:pPr>
        <w:pStyle w:val="Prrafodelista"/>
        <w:spacing w:line="276" w:lineRule="auto"/>
        <w:ind w:left="0"/>
        <w:contextualSpacing/>
        <w:jc w:val="both"/>
        <w:rPr>
          <w:bCs/>
          <w:szCs w:val="28"/>
        </w:rPr>
      </w:pPr>
    </w:p>
    <w:p w14:paraId="69D037BA" w14:textId="77777777" w:rsidR="00FE563D" w:rsidRPr="00737B63" w:rsidRDefault="00FE563D" w:rsidP="00962603">
      <w:pPr>
        <w:pStyle w:val="Prrafodelista"/>
        <w:numPr>
          <w:ilvl w:val="0"/>
          <w:numId w:val="10"/>
        </w:numPr>
        <w:contextualSpacing/>
        <w:jc w:val="both"/>
        <w:rPr>
          <w:bCs/>
          <w:szCs w:val="28"/>
        </w:rPr>
      </w:pPr>
      <w:r w:rsidRPr="002E4477">
        <w:rPr>
          <w:szCs w:val="28"/>
          <w:lang w:eastAsia="es-CO"/>
        </w:rPr>
        <w:t xml:space="preserve">El artículo 86 de la Constitución Política consagró la acción de tutela como </w:t>
      </w:r>
      <w:r w:rsidR="006B4D60" w:rsidRPr="002E4477">
        <w:rPr>
          <w:szCs w:val="28"/>
          <w:lang w:eastAsia="es-CO"/>
        </w:rPr>
        <w:t xml:space="preserve">un </w:t>
      </w:r>
      <w:r w:rsidRPr="002E4477">
        <w:rPr>
          <w:szCs w:val="28"/>
          <w:lang w:eastAsia="es-CO"/>
        </w:rPr>
        <w:t xml:space="preserve">mecanismo de protección de </w:t>
      </w:r>
      <w:r w:rsidR="006B4D60" w:rsidRPr="002E4477">
        <w:rPr>
          <w:szCs w:val="28"/>
          <w:lang w:eastAsia="es-CO"/>
        </w:rPr>
        <w:t xml:space="preserve">los </w:t>
      </w:r>
      <w:r w:rsidRPr="002E4477">
        <w:rPr>
          <w:szCs w:val="28"/>
          <w:lang w:eastAsia="es-CO"/>
        </w:rPr>
        <w:t xml:space="preserve">derechos fundamentales, cuando quiera que </w:t>
      </w:r>
      <w:r w:rsidR="00F255DB" w:rsidRPr="002E4477">
        <w:rPr>
          <w:szCs w:val="28"/>
          <w:lang w:eastAsia="es-CO"/>
        </w:rPr>
        <w:t xml:space="preserve">ellos </w:t>
      </w:r>
      <w:r w:rsidRPr="002E4477">
        <w:rPr>
          <w:szCs w:val="28"/>
          <w:lang w:eastAsia="es-CO"/>
        </w:rPr>
        <w:t xml:space="preserve">resulten amenazados o vulnerados por la acción u omisión de </w:t>
      </w:r>
      <w:r w:rsidRPr="002E4477">
        <w:rPr>
          <w:b/>
          <w:szCs w:val="28"/>
          <w:lang w:eastAsia="es-CO"/>
        </w:rPr>
        <w:t>cualquier autoridad pública</w:t>
      </w:r>
      <w:r w:rsidRPr="002E4477">
        <w:rPr>
          <w:szCs w:val="28"/>
          <w:lang w:eastAsia="es-CO"/>
        </w:rPr>
        <w:t xml:space="preserve">, incluidas las autoridades judiciales. A esto se suma </w:t>
      </w:r>
      <w:r w:rsidR="0083732B" w:rsidRPr="002E4477">
        <w:rPr>
          <w:szCs w:val="28"/>
          <w:lang w:eastAsia="es-CO"/>
        </w:rPr>
        <w:t xml:space="preserve">el hecho de </w:t>
      </w:r>
      <w:r w:rsidRPr="002E4477">
        <w:rPr>
          <w:szCs w:val="28"/>
          <w:lang w:eastAsia="es-CO"/>
        </w:rPr>
        <w:t xml:space="preserve">que </w:t>
      </w:r>
      <w:r w:rsidR="006B4D60" w:rsidRPr="002E4477">
        <w:rPr>
          <w:szCs w:val="28"/>
        </w:rPr>
        <w:t xml:space="preserve">es </w:t>
      </w:r>
      <w:r w:rsidR="00F255DB" w:rsidRPr="002E4477">
        <w:rPr>
          <w:szCs w:val="28"/>
        </w:rPr>
        <w:t xml:space="preserve">un </w:t>
      </w:r>
      <w:r w:rsidRPr="002E4477">
        <w:rPr>
          <w:szCs w:val="28"/>
        </w:rPr>
        <w:t xml:space="preserve">mecanismo </w:t>
      </w:r>
      <w:r w:rsidR="00F255DB" w:rsidRPr="002E4477">
        <w:rPr>
          <w:szCs w:val="28"/>
        </w:rPr>
        <w:t xml:space="preserve">que permite </w:t>
      </w:r>
      <w:r w:rsidRPr="002E4477">
        <w:rPr>
          <w:szCs w:val="28"/>
        </w:rPr>
        <w:t>garantiza</w:t>
      </w:r>
      <w:r w:rsidR="00F255DB" w:rsidRPr="002E4477">
        <w:rPr>
          <w:szCs w:val="28"/>
        </w:rPr>
        <w:t>r</w:t>
      </w:r>
      <w:r w:rsidRPr="002E4477">
        <w:rPr>
          <w:szCs w:val="28"/>
        </w:rPr>
        <w:t xml:space="preserve"> “</w:t>
      </w:r>
      <w:r w:rsidRPr="002E4477">
        <w:rPr>
          <w:i/>
          <w:szCs w:val="28"/>
        </w:rPr>
        <w:t>la efectividad de los principios, derechos y deberes consagrados en la Constitución</w:t>
      </w:r>
      <w:r w:rsidRPr="00737B63">
        <w:rPr>
          <w:szCs w:val="28"/>
        </w:rPr>
        <w:t>”</w:t>
      </w:r>
      <w:r w:rsidRPr="00737B63">
        <w:rPr>
          <w:rStyle w:val="Refdenotaalpie"/>
          <w:szCs w:val="28"/>
        </w:rPr>
        <w:footnoteReference w:id="324"/>
      </w:r>
      <w:r w:rsidR="00F255DB" w:rsidRPr="00737B63">
        <w:rPr>
          <w:szCs w:val="28"/>
        </w:rPr>
        <w:t xml:space="preserve">, </w:t>
      </w:r>
      <w:r w:rsidR="00EA2BDB" w:rsidRPr="00737B63">
        <w:rPr>
          <w:szCs w:val="28"/>
        </w:rPr>
        <w:t xml:space="preserve">en caso de </w:t>
      </w:r>
      <w:r w:rsidRPr="00737B63">
        <w:rPr>
          <w:szCs w:val="28"/>
        </w:rPr>
        <w:t>que pued</w:t>
      </w:r>
      <w:r w:rsidR="002A2EFC" w:rsidRPr="00737B63">
        <w:rPr>
          <w:szCs w:val="28"/>
        </w:rPr>
        <w:t>a</w:t>
      </w:r>
      <w:r w:rsidR="00F255DB" w:rsidRPr="00737B63">
        <w:rPr>
          <w:szCs w:val="28"/>
        </w:rPr>
        <w:t>n</w:t>
      </w:r>
      <w:r w:rsidRPr="00737B63">
        <w:rPr>
          <w:szCs w:val="28"/>
        </w:rPr>
        <w:t xml:space="preserve"> comprometer</w:t>
      </w:r>
      <w:r w:rsidR="00EA2BDB" w:rsidRPr="00737B63">
        <w:rPr>
          <w:szCs w:val="28"/>
        </w:rPr>
        <w:t>se</w:t>
      </w:r>
      <w:r w:rsidR="00F255DB" w:rsidRPr="00737B63">
        <w:rPr>
          <w:szCs w:val="28"/>
        </w:rPr>
        <w:t xml:space="preserve">, </w:t>
      </w:r>
      <w:r w:rsidR="00E673BF" w:rsidRPr="00737B63">
        <w:rPr>
          <w:szCs w:val="28"/>
        </w:rPr>
        <w:t xml:space="preserve">a partir de una determinación </w:t>
      </w:r>
      <w:r w:rsidRPr="00737B63">
        <w:rPr>
          <w:szCs w:val="28"/>
        </w:rPr>
        <w:t>judicial.</w:t>
      </w:r>
    </w:p>
    <w:p w14:paraId="73F6C5CA" w14:textId="77777777" w:rsidR="00FE563D" w:rsidRPr="002E4477" w:rsidRDefault="00FE563D" w:rsidP="00FE563D">
      <w:pPr>
        <w:shd w:val="clear" w:color="auto" w:fill="FFFFFF"/>
        <w:jc w:val="both"/>
        <w:rPr>
          <w:szCs w:val="28"/>
          <w:lang w:val="es-CO" w:eastAsia="es-CO"/>
        </w:rPr>
      </w:pPr>
    </w:p>
    <w:p w14:paraId="5D0ED3D0" w14:textId="77777777" w:rsidR="00FE563D" w:rsidRPr="002E4477" w:rsidRDefault="00FE563D" w:rsidP="00962603">
      <w:pPr>
        <w:numPr>
          <w:ilvl w:val="0"/>
          <w:numId w:val="10"/>
        </w:numPr>
        <w:shd w:val="clear" w:color="auto" w:fill="FFFFFF"/>
        <w:jc w:val="both"/>
        <w:rPr>
          <w:szCs w:val="28"/>
          <w:lang w:val="es-CO" w:eastAsia="es-CO"/>
        </w:rPr>
      </w:pPr>
      <w:r w:rsidRPr="002E4477">
        <w:rPr>
          <w:szCs w:val="28"/>
          <w:lang w:eastAsia="es-CO"/>
        </w:rPr>
        <w:t>En desarrollo de est</w:t>
      </w:r>
      <w:r w:rsidR="00F255DB" w:rsidRPr="002E4477">
        <w:rPr>
          <w:szCs w:val="28"/>
          <w:lang w:eastAsia="es-CO"/>
        </w:rPr>
        <w:t>e</w:t>
      </w:r>
      <w:r w:rsidRPr="002E4477">
        <w:rPr>
          <w:szCs w:val="28"/>
          <w:lang w:eastAsia="es-CO"/>
        </w:rPr>
        <w:t xml:space="preserve"> precept</w:t>
      </w:r>
      <w:r w:rsidR="00F255DB" w:rsidRPr="002E4477">
        <w:rPr>
          <w:szCs w:val="28"/>
          <w:lang w:eastAsia="es-CO"/>
        </w:rPr>
        <w:t>o</w:t>
      </w:r>
      <w:r w:rsidRPr="002E4477">
        <w:rPr>
          <w:szCs w:val="28"/>
          <w:lang w:eastAsia="es-CO"/>
        </w:rPr>
        <w:t xml:space="preserve">, los artículos 11, 12 y 40 del Decreto Ley 2591 de 1991 </w:t>
      </w:r>
      <w:r w:rsidR="002A2EFC" w:rsidRPr="002E4477">
        <w:rPr>
          <w:szCs w:val="28"/>
          <w:lang w:eastAsia="es-CO"/>
        </w:rPr>
        <w:t>consagraron</w:t>
      </w:r>
      <w:r w:rsidR="00F255DB" w:rsidRPr="002E4477">
        <w:rPr>
          <w:szCs w:val="28"/>
          <w:lang w:eastAsia="es-CO"/>
        </w:rPr>
        <w:t xml:space="preserve"> inicialmente</w:t>
      </w:r>
      <w:r w:rsidRPr="002E4477">
        <w:rPr>
          <w:szCs w:val="28"/>
          <w:lang w:eastAsia="es-CO"/>
        </w:rPr>
        <w:t xml:space="preserve"> la posibilidad de</w:t>
      </w:r>
      <w:r w:rsidR="00CB04B4" w:rsidRPr="002E4477">
        <w:rPr>
          <w:szCs w:val="28"/>
          <w:lang w:eastAsia="es-CO"/>
        </w:rPr>
        <w:t xml:space="preserve"> interponer</w:t>
      </w:r>
      <w:r w:rsidR="00E673BF" w:rsidRPr="002E4477">
        <w:rPr>
          <w:szCs w:val="28"/>
          <w:lang w:eastAsia="es-CO"/>
        </w:rPr>
        <w:t xml:space="preserve"> acciones </w:t>
      </w:r>
      <w:r w:rsidR="006B4D60" w:rsidRPr="002E4477">
        <w:rPr>
          <w:szCs w:val="28"/>
          <w:lang w:eastAsia="es-CO"/>
        </w:rPr>
        <w:t>de tutela</w:t>
      </w:r>
      <w:r w:rsidRPr="002E4477">
        <w:rPr>
          <w:szCs w:val="28"/>
          <w:lang w:eastAsia="es-CO"/>
        </w:rPr>
        <w:t xml:space="preserve"> cuando los jueces emitieran decisiones que vulneraran garantías fundamentales. </w:t>
      </w:r>
      <w:r w:rsidR="00F255DB" w:rsidRPr="002E4477">
        <w:rPr>
          <w:szCs w:val="28"/>
          <w:lang w:eastAsia="es-CO"/>
        </w:rPr>
        <w:t xml:space="preserve"> No obstante</w:t>
      </w:r>
      <w:r w:rsidRPr="002E4477">
        <w:rPr>
          <w:szCs w:val="28"/>
          <w:lang w:eastAsia="es-CO"/>
        </w:rPr>
        <w:t xml:space="preserve"> la Corte Constitucional, mediante</w:t>
      </w:r>
      <w:r w:rsidR="00F255DB" w:rsidRPr="002E4477">
        <w:rPr>
          <w:szCs w:val="28"/>
          <w:lang w:eastAsia="es-CO"/>
        </w:rPr>
        <w:t xml:space="preserve"> la</w:t>
      </w:r>
      <w:r w:rsidRPr="002E4477">
        <w:rPr>
          <w:szCs w:val="28"/>
          <w:lang w:eastAsia="es-CO"/>
        </w:rPr>
        <w:t xml:space="preserve"> </w:t>
      </w:r>
      <w:r w:rsidRPr="002E4477">
        <w:rPr>
          <w:b/>
          <w:szCs w:val="28"/>
          <w:lang w:eastAsia="es-CO"/>
        </w:rPr>
        <w:t>Sentencia C-543 de 1992</w:t>
      </w:r>
      <w:r w:rsidRPr="002E4477">
        <w:rPr>
          <w:szCs w:val="28"/>
          <w:vertAlign w:val="superscript"/>
          <w:lang w:eastAsia="es-CO"/>
        </w:rPr>
        <w:footnoteReference w:id="325"/>
      </w:r>
      <w:r w:rsidRPr="002E4477">
        <w:rPr>
          <w:szCs w:val="28"/>
          <w:lang w:eastAsia="es-CO"/>
        </w:rPr>
        <w:t>, declaró la inexequibilidad de los referidos artículos</w:t>
      </w:r>
      <w:r w:rsidR="00F255DB" w:rsidRPr="002E4477">
        <w:rPr>
          <w:szCs w:val="28"/>
          <w:lang w:eastAsia="es-CO"/>
        </w:rPr>
        <w:t>, porque consideró</w:t>
      </w:r>
      <w:r w:rsidR="00E673BF" w:rsidRPr="002E4477">
        <w:rPr>
          <w:szCs w:val="28"/>
          <w:lang w:eastAsia="es-CO"/>
        </w:rPr>
        <w:t>,</w:t>
      </w:r>
      <w:r w:rsidR="00F255DB" w:rsidRPr="002E4477">
        <w:rPr>
          <w:szCs w:val="28"/>
          <w:lang w:eastAsia="es-CO"/>
        </w:rPr>
        <w:t xml:space="preserve"> en su momento</w:t>
      </w:r>
      <w:r w:rsidR="00E673BF" w:rsidRPr="002E4477">
        <w:rPr>
          <w:szCs w:val="28"/>
          <w:lang w:eastAsia="es-CO"/>
        </w:rPr>
        <w:t>,</w:t>
      </w:r>
      <w:r w:rsidR="00F255DB" w:rsidRPr="002E4477">
        <w:rPr>
          <w:szCs w:val="28"/>
          <w:lang w:eastAsia="es-CO"/>
        </w:rPr>
        <w:t xml:space="preserve"> </w:t>
      </w:r>
      <w:r w:rsidRPr="002E4477">
        <w:rPr>
          <w:szCs w:val="28"/>
          <w:lang w:eastAsia="es-CO"/>
        </w:rPr>
        <w:t>que permitir el ejercicio de la acción de tutela contra providencias judiciales</w:t>
      </w:r>
      <w:r w:rsidR="00F255DB" w:rsidRPr="002E4477">
        <w:rPr>
          <w:szCs w:val="28"/>
          <w:lang w:eastAsia="es-CO"/>
        </w:rPr>
        <w:t>,</w:t>
      </w:r>
      <w:r w:rsidRPr="002E4477">
        <w:rPr>
          <w:szCs w:val="28"/>
          <w:lang w:eastAsia="es-CO"/>
        </w:rPr>
        <w:t xml:space="preserve"> transgredía la autonomía y la independencia judicial y contrariaba los principios de cosa juzgada y seguridad jurídica.</w:t>
      </w:r>
    </w:p>
    <w:p w14:paraId="1CE0AF1A" w14:textId="77777777" w:rsidR="00FE563D" w:rsidRPr="002E4477" w:rsidRDefault="00FE563D" w:rsidP="00FE563D">
      <w:pPr>
        <w:pStyle w:val="Prrafodelista"/>
        <w:rPr>
          <w:szCs w:val="28"/>
          <w:lang w:eastAsia="es-CO"/>
        </w:rPr>
      </w:pPr>
    </w:p>
    <w:p w14:paraId="72AA386E" w14:textId="77777777" w:rsidR="00FE563D" w:rsidRPr="002E4477" w:rsidRDefault="002A2EFC" w:rsidP="00962603">
      <w:pPr>
        <w:numPr>
          <w:ilvl w:val="0"/>
          <w:numId w:val="10"/>
        </w:numPr>
        <w:shd w:val="clear" w:color="auto" w:fill="FFFFFF"/>
        <w:jc w:val="both"/>
        <w:rPr>
          <w:szCs w:val="28"/>
          <w:lang w:val="es-CO" w:eastAsia="es-CO"/>
        </w:rPr>
      </w:pPr>
      <w:r w:rsidRPr="002E4477">
        <w:rPr>
          <w:szCs w:val="28"/>
          <w:lang w:eastAsia="es-CO"/>
        </w:rPr>
        <w:t>A pesar de esa</w:t>
      </w:r>
      <w:r w:rsidR="00FE563D" w:rsidRPr="002E4477">
        <w:rPr>
          <w:szCs w:val="28"/>
          <w:lang w:eastAsia="es-CO"/>
        </w:rPr>
        <w:t xml:space="preserve"> declar</w:t>
      </w:r>
      <w:r w:rsidR="0083732B" w:rsidRPr="002E4477">
        <w:rPr>
          <w:szCs w:val="28"/>
          <w:lang w:eastAsia="es-CO"/>
        </w:rPr>
        <w:t>atoria</w:t>
      </w:r>
      <w:r w:rsidR="00FE563D" w:rsidRPr="002E4477">
        <w:rPr>
          <w:szCs w:val="28"/>
          <w:lang w:eastAsia="es-CO"/>
        </w:rPr>
        <w:t xml:space="preserve"> de inexequibilidad, </w:t>
      </w:r>
      <w:r w:rsidRPr="002E4477">
        <w:rPr>
          <w:szCs w:val="28"/>
          <w:lang w:eastAsia="es-CO"/>
        </w:rPr>
        <w:t>esta Corte</w:t>
      </w:r>
      <w:r w:rsidR="00C96A40" w:rsidRPr="002E4477">
        <w:rPr>
          <w:szCs w:val="28"/>
          <w:lang w:eastAsia="es-CO"/>
        </w:rPr>
        <w:t xml:space="preserve"> tuvo que</w:t>
      </w:r>
      <w:r w:rsidR="00A55AFE" w:rsidRPr="002E4477">
        <w:rPr>
          <w:szCs w:val="28"/>
          <w:lang w:eastAsia="es-CO"/>
        </w:rPr>
        <w:t xml:space="preserve"> </w:t>
      </w:r>
      <w:r w:rsidR="00E673BF" w:rsidRPr="002E4477">
        <w:rPr>
          <w:szCs w:val="28"/>
          <w:lang w:eastAsia="es-CO"/>
        </w:rPr>
        <w:t xml:space="preserve">aceptar </w:t>
      </w:r>
      <w:r w:rsidR="00F255DB" w:rsidRPr="002E4477">
        <w:rPr>
          <w:szCs w:val="28"/>
          <w:lang w:eastAsia="es-CO"/>
        </w:rPr>
        <w:t>en virtud del artículo 86 de la C</w:t>
      </w:r>
      <w:r w:rsidRPr="002E4477">
        <w:rPr>
          <w:szCs w:val="28"/>
          <w:lang w:eastAsia="es-CO"/>
        </w:rPr>
        <w:t>onstitución</w:t>
      </w:r>
      <w:r w:rsidR="00C96A40" w:rsidRPr="002E4477">
        <w:rPr>
          <w:szCs w:val="28"/>
          <w:lang w:eastAsia="es-CO"/>
        </w:rPr>
        <w:t>,</w:t>
      </w:r>
      <w:r w:rsidR="00F255DB" w:rsidRPr="002E4477">
        <w:rPr>
          <w:szCs w:val="28"/>
          <w:lang w:eastAsia="es-CO"/>
        </w:rPr>
        <w:t xml:space="preserve"> </w:t>
      </w:r>
      <w:r w:rsidR="00A55AFE" w:rsidRPr="002E4477">
        <w:rPr>
          <w:szCs w:val="28"/>
          <w:lang w:eastAsia="es-CO"/>
        </w:rPr>
        <w:t>la procedencia</w:t>
      </w:r>
      <w:r w:rsidR="00DA5264">
        <w:rPr>
          <w:szCs w:val="28"/>
          <w:lang w:eastAsia="es-CO"/>
        </w:rPr>
        <w:t xml:space="preserve"> </w:t>
      </w:r>
      <w:r w:rsidR="00A55AFE" w:rsidRPr="002E4477">
        <w:rPr>
          <w:szCs w:val="28"/>
          <w:lang w:eastAsia="es-CO"/>
        </w:rPr>
        <w:t>de la acción de tutela contra cualquier autoridad pública</w:t>
      </w:r>
      <w:r w:rsidR="00C96A40" w:rsidRPr="002E4477">
        <w:rPr>
          <w:szCs w:val="28"/>
          <w:lang w:eastAsia="es-CO"/>
        </w:rPr>
        <w:t xml:space="preserve"> incluyendo a los jueces</w:t>
      </w:r>
      <w:r w:rsidR="00E100D5" w:rsidRPr="002E4477">
        <w:rPr>
          <w:szCs w:val="28"/>
          <w:lang w:eastAsia="es-CO"/>
        </w:rPr>
        <w:t>,</w:t>
      </w:r>
      <w:r w:rsidRPr="002E4477">
        <w:rPr>
          <w:szCs w:val="28"/>
          <w:lang w:eastAsia="es-CO"/>
        </w:rPr>
        <w:t xml:space="preserve"> </w:t>
      </w:r>
      <w:r w:rsidR="00DA5264">
        <w:rPr>
          <w:szCs w:val="28"/>
          <w:lang w:eastAsia="es-CO"/>
        </w:rPr>
        <w:t xml:space="preserve">dado </w:t>
      </w:r>
      <w:r w:rsidRPr="002E4477">
        <w:rPr>
          <w:szCs w:val="28"/>
          <w:lang w:eastAsia="es-CO"/>
        </w:rPr>
        <w:t>e</w:t>
      </w:r>
      <w:r w:rsidR="0083732B" w:rsidRPr="002E4477">
        <w:rPr>
          <w:szCs w:val="28"/>
          <w:lang w:eastAsia="es-CO"/>
        </w:rPr>
        <w:t>l</w:t>
      </w:r>
      <w:r w:rsidR="00E673BF" w:rsidRPr="002E4477">
        <w:rPr>
          <w:szCs w:val="28"/>
          <w:lang w:eastAsia="es-CO"/>
        </w:rPr>
        <w:t xml:space="preserve"> expreso</w:t>
      </w:r>
      <w:r w:rsidR="00E100D5" w:rsidRPr="002E4477">
        <w:rPr>
          <w:szCs w:val="28"/>
          <w:lang w:eastAsia="es-CO"/>
        </w:rPr>
        <w:t xml:space="preserve"> reconocimiento constitucional</w:t>
      </w:r>
      <w:r w:rsidRPr="002E4477">
        <w:rPr>
          <w:szCs w:val="28"/>
          <w:lang w:eastAsia="es-CO"/>
        </w:rPr>
        <w:t xml:space="preserve"> a esa posibilidad</w:t>
      </w:r>
      <w:r w:rsidR="00E673BF" w:rsidRPr="002E4477">
        <w:rPr>
          <w:szCs w:val="28"/>
          <w:lang w:eastAsia="es-CO"/>
        </w:rPr>
        <w:t>.</w:t>
      </w:r>
      <w:r w:rsidR="00C96A40" w:rsidRPr="002E4477">
        <w:rPr>
          <w:szCs w:val="28"/>
          <w:lang w:eastAsia="es-CO"/>
        </w:rPr>
        <w:t xml:space="preserve"> </w:t>
      </w:r>
      <w:r w:rsidR="00E673BF" w:rsidRPr="002E4477">
        <w:rPr>
          <w:szCs w:val="28"/>
          <w:lang w:eastAsia="es-CO"/>
        </w:rPr>
        <w:t>P</w:t>
      </w:r>
      <w:r w:rsidR="00C96A40" w:rsidRPr="002E4477">
        <w:rPr>
          <w:szCs w:val="28"/>
          <w:lang w:eastAsia="es-CO"/>
        </w:rPr>
        <w:t>o</w:t>
      </w:r>
      <w:r w:rsidRPr="002E4477">
        <w:rPr>
          <w:szCs w:val="28"/>
          <w:lang w:eastAsia="es-CO"/>
        </w:rPr>
        <w:t>r lo tanto</w:t>
      </w:r>
      <w:r w:rsidR="0083732B" w:rsidRPr="002E4477">
        <w:rPr>
          <w:szCs w:val="28"/>
          <w:lang w:eastAsia="es-CO"/>
        </w:rPr>
        <w:t xml:space="preserve">, </w:t>
      </w:r>
      <w:r w:rsidR="00CB04B4" w:rsidRPr="002E4477">
        <w:rPr>
          <w:szCs w:val="28"/>
          <w:lang w:eastAsia="es-CO"/>
        </w:rPr>
        <w:t>mantuvo e</w:t>
      </w:r>
      <w:r w:rsidR="00DA5264">
        <w:rPr>
          <w:szCs w:val="28"/>
          <w:lang w:eastAsia="es-CO"/>
        </w:rPr>
        <w:t xml:space="preserve">se </w:t>
      </w:r>
      <w:r w:rsidR="00CB04B4" w:rsidRPr="002E4477">
        <w:rPr>
          <w:szCs w:val="28"/>
          <w:lang w:eastAsia="es-CO"/>
        </w:rPr>
        <w:t>control</w:t>
      </w:r>
      <w:r w:rsidR="008A180F" w:rsidRPr="002E4477">
        <w:rPr>
          <w:szCs w:val="28"/>
          <w:lang w:eastAsia="es-CO"/>
        </w:rPr>
        <w:t xml:space="preserve"> sobre</w:t>
      </w:r>
      <w:r w:rsidR="00CB04B4" w:rsidRPr="002E4477">
        <w:rPr>
          <w:szCs w:val="28"/>
          <w:lang w:eastAsia="es-CO"/>
        </w:rPr>
        <w:t xml:space="preserve"> las </w:t>
      </w:r>
      <w:r w:rsidR="00E100D5" w:rsidRPr="002E4477">
        <w:rPr>
          <w:szCs w:val="28"/>
          <w:lang w:eastAsia="es-CO"/>
        </w:rPr>
        <w:t>providencias judiciales</w:t>
      </w:r>
      <w:r w:rsidR="00FE563D" w:rsidRPr="002E4477">
        <w:rPr>
          <w:szCs w:val="28"/>
          <w:lang w:eastAsia="es-CO"/>
        </w:rPr>
        <w:t xml:space="preserve"> mediante la doctrina de las </w:t>
      </w:r>
      <w:r w:rsidR="00FE563D" w:rsidRPr="002E4477">
        <w:rPr>
          <w:i/>
          <w:szCs w:val="28"/>
          <w:lang w:eastAsia="es-CO"/>
        </w:rPr>
        <w:t>vías de hecho</w:t>
      </w:r>
      <w:r w:rsidR="008A180F" w:rsidRPr="002E4477">
        <w:rPr>
          <w:szCs w:val="28"/>
          <w:lang w:eastAsia="es-CO"/>
        </w:rPr>
        <w:t xml:space="preserve">, que </w:t>
      </w:r>
      <w:r w:rsidR="0024609E" w:rsidRPr="002E4477">
        <w:rPr>
          <w:szCs w:val="28"/>
          <w:lang w:eastAsia="es-CO"/>
        </w:rPr>
        <w:t>permit</w:t>
      </w:r>
      <w:r w:rsidR="00A55AFE" w:rsidRPr="002E4477">
        <w:rPr>
          <w:szCs w:val="28"/>
          <w:lang w:eastAsia="es-CO"/>
        </w:rPr>
        <w:t>ió</w:t>
      </w:r>
      <w:r w:rsidR="0024609E" w:rsidRPr="002E4477">
        <w:rPr>
          <w:szCs w:val="28"/>
          <w:lang w:eastAsia="es-CO"/>
        </w:rPr>
        <w:t xml:space="preserve"> que la acción de tutela pudiera</w:t>
      </w:r>
      <w:r w:rsidR="00FE563D" w:rsidRPr="002E4477">
        <w:rPr>
          <w:szCs w:val="28"/>
          <w:lang w:eastAsia="es-CO"/>
        </w:rPr>
        <w:t xml:space="preserve"> ser invocada contra</w:t>
      </w:r>
      <w:r w:rsidR="008A180F" w:rsidRPr="002E4477">
        <w:rPr>
          <w:szCs w:val="28"/>
          <w:lang w:eastAsia="es-CO"/>
        </w:rPr>
        <w:t xml:space="preserve"> sentencias judiciales</w:t>
      </w:r>
      <w:r w:rsidR="0024609E" w:rsidRPr="002E4477">
        <w:rPr>
          <w:szCs w:val="28"/>
          <w:lang w:eastAsia="es-CO"/>
        </w:rPr>
        <w:t>, cuando ésta</w:t>
      </w:r>
      <w:r w:rsidR="0083732B" w:rsidRPr="002E4477">
        <w:rPr>
          <w:szCs w:val="28"/>
          <w:lang w:eastAsia="es-CO"/>
        </w:rPr>
        <w:t>s</w:t>
      </w:r>
      <w:r w:rsidR="0024609E" w:rsidRPr="002E4477">
        <w:rPr>
          <w:szCs w:val="28"/>
          <w:lang w:eastAsia="es-CO"/>
        </w:rPr>
        <w:t xml:space="preserve"> fuese</w:t>
      </w:r>
      <w:r w:rsidR="008A180F" w:rsidRPr="002E4477">
        <w:rPr>
          <w:szCs w:val="28"/>
          <w:lang w:eastAsia="es-CO"/>
        </w:rPr>
        <w:t>n</w:t>
      </w:r>
      <w:r w:rsidR="0024609E" w:rsidRPr="002E4477">
        <w:rPr>
          <w:szCs w:val="28"/>
          <w:lang w:eastAsia="es-CO"/>
        </w:rPr>
        <w:t xml:space="preserve"> el</w:t>
      </w:r>
      <w:r w:rsidR="00FE563D" w:rsidRPr="002E4477">
        <w:rPr>
          <w:szCs w:val="28"/>
          <w:lang w:eastAsia="es-CO"/>
        </w:rPr>
        <w:t xml:space="preserve"> producto de una manifiesta situación de</w:t>
      </w:r>
      <w:r w:rsidR="00CB04B4" w:rsidRPr="002E4477">
        <w:rPr>
          <w:szCs w:val="28"/>
          <w:lang w:eastAsia="es-CO"/>
        </w:rPr>
        <w:t xml:space="preserve"> arbitrariedad</w:t>
      </w:r>
      <w:r w:rsidR="00FE563D" w:rsidRPr="002E4477">
        <w:rPr>
          <w:szCs w:val="28"/>
          <w:lang w:eastAsia="es-CO"/>
        </w:rPr>
        <w:t xml:space="preserve"> creada por acciones u omisi</w:t>
      </w:r>
      <w:r w:rsidR="0024609E" w:rsidRPr="002E4477">
        <w:rPr>
          <w:szCs w:val="28"/>
          <w:lang w:eastAsia="es-CO"/>
        </w:rPr>
        <w:t xml:space="preserve">ones de los </w:t>
      </w:r>
      <w:r w:rsidR="00C96A40" w:rsidRPr="002E4477">
        <w:rPr>
          <w:szCs w:val="28"/>
          <w:lang w:eastAsia="es-CO"/>
        </w:rPr>
        <w:t>falladores</w:t>
      </w:r>
      <w:r w:rsidR="0024609E" w:rsidRPr="002E4477">
        <w:rPr>
          <w:szCs w:val="28"/>
          <w:lang w:eastAsia="es-CO"/>
        </w:rPr>
        <w:t xml:space="preserve">, </w:t>
      </w:r>
      <w:r w:rsidR="00E673BF" w:rsidRPr="002E4477">
        <w:rPr>
          <w:szCs w:val="28"/>
          <w:lang w:eastAsia="es-CO"/>
        </w:rPr>
        <w:t xml:space="preserve">que </w:t>
      </w:r>
      <w:r w:rsidR="008A180F" w:rsidRPr="002E4477">
        <w:rPr>
          <w:szCs w:val="28"/>
          <w:lang w:eastAsia="es-CO"/>
        </w:rPr>
        <w:t xml:space="preserve">implicaran </w:t>
      </w:r>
      <w:r w:rsidR="0024609E" w:rsidRPr="002E4477">
        <w:rPr>
          <w:szCs w:val="28"/>
          <w:lang w:eastAsia="es-CO"/>
        </w:rPr>
        <w:t>la</w:t>
      </w:r>
      <w:r w:rsidR="00FE563D" w:rsidRPr="002E4477">
        <w:rPr>
          <w:szCs w:val="28"/>
          <w:lang w:eastAsia="es-CO"/>
        </w:rPr>
        <w:t xml:space="preserve"> trasgresión o amenaza </w:t>
      </w:r>
      <w:r w:rsidR="00C96A40" w:rsidRPr="002E4477">
        <w:rPr>
          <w:szCs w:val="28"/>
          <w:lang w:eastAsia="es-CO"/>
        </w:rPr>
        <w:t>a</w:t>
      </w:r>
      <w:r w:rsidR="00FE563D" w:rsidRPr="002E4477">
        <w:rPr>
          <w:szCs w:val="28"/>
          <w:lang w:eastAsia="es-CO"/>
        </w:rPr>
        <w:t xml:space="preserve"> un derecho fundamental.</w:t>
      </w:r>
    </w:p>
    <w:p w14:paraId="0743D8D0" w14:textId="77777777" w:rsidR="00FE563D" w:rsidRPr="002E4477" w:rsidRDefault="00FE563D" w:rsidP="00FE563D">
      <w:pPr>
        <w:pStyle w:val="Prrafodelista"/>
        <w:rPr>
          <w:szCs w:val="28"/>
          <w:lang w:eastAsia="es-CO"/>
        </w:rPr>
      </w:pPr>
    </w:p>
    <w:p w14:paraId="50E158FC" w14:textId="77777777" w:rsidR="00FE563D" w:rsidRPr="002E4477" w:rsidRDefault="000358E0" w:rsidP="00962603">
      <w:pPr>
        <w:numPr>
          <w:ilvl w:val="0"/>
          <w:numId w:val="10"/>
        </w:numPr>
        <w:shd w:val="clear" w:color="auto" w:fill="FFFFFF"/>
        <w:jc w:val="both"/>
        <w:rPr>
          <w:szCs w:val="28"/>
          <w:lang w:val="es-CO" w:eastAsia="es-CO"/>
        </w:rPr>
      </w:pPr>
      <w:r w:rsidRPr="002E4477">
        <w:rPr>
          <w:szCs w:val="28"/>
          <w:lang w:eastAsia="es-CO"/>
        </w:rPr>
        <w:t>Así</w:t>
      </w:r>
      <w:r w:rsidR="00FE563D" w:rsidRPr="002E4477">
        <w:rPr>
          <w:szCs w:val="28"/>
          <w:lang w:eastAsia="es-CO"/>
        </w:rPr>
        <w:t xml:space="preserve">, a partir de 1992 se permitió la procedencia de la acción de tutela </w:t>
      </w:r>
      <w:r w:rsidR="0024609E" w:rsidRPr="002E4477">
        <w:rPr>
          <w:szCs w:val="28"/>
          <w:lang w:eastAsia="es-CO"/>
        </w:rPr>
        <w:t>para controvertir</w:t>
      </w:r>
      <w:r w:rsidR="00FE563D" w:rsidRPr="002E4477">
        <w:rPr>
          <w:szCs w:val="28"/>
          <w:lang w:eastAsia="es-CO"/>
        </w:rPr>
        <w:t xml:space="preserve">, por ejemplo, </w:t>
      </w:r>
      <w:r w:rsidR="008A180F" w:rsidRPr="002E4477">
        <w:rPr>
          <w:szCs w:val="28"/>
          <w:lang w:eastAsia="es-CO"/>
        </w:rPr>
        <w:t>fallos judiciales</w:t>
      </w:r>
      <w:r w:rsidR="00FE563D" w:rsidRPr="002E4477">
        <w:rPr>
          <w:szCs w:val="28"/>
          <w:lang w:eastAsia="es-CO"/>
        </w:rPr>
        <w:t xml:space="preserve"> que se hubieran basado en normas inaplicables, </w:t>
      </w:r>
      <w:r w:rsidR="00A55AFE" w:rsidRPr="002E4477">
        <w:rPr>
          <w:szCs w:val="28"/>
          <w:lang w:eastAsia="es-CO"/>
        </w:rPr>
        <w:t xml:space="preserve">o </w:t>
      </w:r>
      <w:r w:rsidR="00FE563D" w:rsidRPr="002E4477">
        <w:rPr>
          <w:szCs w:val="28"/>
          <w:lang w:eastAsia="es-CO"/>
        </w:rPr>
        <w:t>proferidas con carencia absoluta de competencia</w:t>
      </w:r>
      <w:r w:rsidR="00EA2BDB">
        <w:rPr>
          <w:szCs w:val="28"/>
          <w:lang w:eastAsia="es-CO"/>
        </w:rPr>
        <w:t>,</w:t>
      </w:r>
      <w:r w:rsidR="00FE563D" w:rsidRPr="002E4477">
        <w:rPr>
          <w:szCs w:val="28"/>
          <w:lang w:eastAsia="es-CO"/>
        </w:rPr>
        <w:t xml:space="preserve"> o bajo un procedimiento ajeno al fijado por la legislación vigente. </w:t>
      </w:r>
      <w:r w:rsidR="00303101" w:rsidRPr="002E4477">
        <w:rPr>
          <w:szCs w:val="28"/>
          <w:lang w:eastAsia="es-CO"/>
        </w:rPr>
        <w:t xml:space="preserve">Se trató de </w:t>
      </w:r>
      <w:r w:rsidR="008A180F" w:rsidRPr="002E4477">
        <w:rPr>
          <w:szCs w:val="28"/>
          <w:lang w:eastAsia="es-CO"/>
        </w:rPr>
        <w:t>decisiones</w:t>
      </w:r>
      <w:r w:rsidR="00303101" w:rsidRPr="002E4477">
        <w:rPr>
          <w:szCs w:val="28"/>
          <w:lang w:eastAsia="es-CO"/>
        </w:rPr>
        <w:t xml:space="preserve"> que se </w:t>
      </w:r>
      <w:r w:rsidR="0024609E" w:rsidRPr="002E4477">
        <w:rPr>
          <w:szCs w:val="28"/>
          <w:lang w:eastAsia="es-CO"/>
        </w:rPr>
        <w:t>denomina</w:t>
      </w:r>
      <w:r w:rsidR="00303101" w:rsidRPr="002E4477">
        <w:rPr>
          <w:szCs w:val="28"/>
          <w:lang w:eastAsia="es-CO"/>
        </w:rPr>
        <w:t>ron</w:t>
      </w:r>
      <w:r w:rsidR="0024609E" w:rsidRPr="002E4477">
        <w:rPr>
          <w:szCs w:val="28"/>
          <w:lang w:eastAsia="es-CO"/>
        </w:rPr>
        <w:t xml:space="preserve"> </w:t>
      </w:r>
      <w:r w:rsidR="00FE563D" w:rsidRPr="002E4477">
        <w:rPr>
          <w:i/>
          <w:szCs w:val="28"/>
          <w:lang w:eastAsia="es-CO"/>
        </w:rPr>
        <w:t>vías de hecho</w:t>
      </w:r>
      <w:r w:rsidR="00303101" w:rsidRPr="002E4477">
        <w:rPr>
          <w:i/>
          <w:szCs w:val="28"/>
          <w:lang w:eastAsia="es-CO"/>
        </w:rPr>
        <w:t xml:space="preserve"> </w:t>
      </w:r>
      <w:r w:rsidR="00303101" w:rsidRPr="002E4477">
        <w:rPr>
          <w:iCs/>
          <w:szCs w:val="28"/>
          <w:lang w:eastAsia="es-CO"/>
        </w:rPr>
        <w:t>y que</w:t>
      </w:r>
      <w:r w:rsidR="00CB04B4" w:rsidRPr="002E4477">
        <w:rPr>
          <w:szCs w:val="28"/>
          <w:lang w:eastAsia="es-CO"/>
        </w:rPr>
        <w:t xml:space="preserve"> </w:t>
      </w:r>
      <w:r w:rsidR="00FE563D" w:rsidRPr="002E4477">
        <w:rPr>
          <w:szCs w:val="28"/>
          <w:lang w:eastAsia="es-CO"/>
        </w:rPr>
        <w:t>fueron identificándose caso a caso</w:t>
      </w:r>
      <w:r w:rsidR="00FE563D" w:rsidRPr="002E4477">
        <w:rPr>
          <w:szCs w:val="28"/>
          <w:vertAlign w:val="superscript"/>
          <w:lang w:eastAsia="es-CO"/>
        </w:rPr>
        <w:footnoteReference w:id="326"/>
      </w:r>
      <w:r w:rsidR="00FE563D" w:rsidRPr="002E4477">
        <w:rPr>
          <w:szCs w:val="28"/>
          <w:lang w:eastAsia="es-CO"/>
        </w:rPr>
        <w:t xml:space="preserve">. </w:t>
      </w:r>
    </w:p>
    <w:p w14:paraId="701FA8F1" w14:textId="77777777" w:rsidR="00FE563D" w:rsidRPr="002E4477" w:rsidRDefault="00FE563D" w:rsidP="00FE563D">
      <w:pPr>
        <w:pStyle w:val="Prrafodelista"/>
        <w:rPr>
          <w:szCs w:val="28"/>
          <w:lang w:eastAsia="es-CO"/>
        </w:rPr>
      </w:pPr>
    </w:p>
    <w:p w14:paraId="09A106E3" w14:textId="77777777" w:rsidR="00FE563D" w:rsidRPr="00737B63" w:rsidRDefault="0024609E" w:rsidP="00962603">
      <w:pPr>
        <w:numPr>
          <w:ilvl w:val="0"/>
          <w:numId w:val="10"/>
        </w:numPr>
        <w:shd w:val="clear" w:color="auto" w:fill="FFFFFF"/>
        <w:jc w:val="both"/>
        <w:rPr>
          <w:szCs w:val="28"/>
          <w:lang w:val="es-CO" w:eastAsia="es-CO"/>
        </w:rPr>
      </w:pPr>
      <w:r w:rsidRPr="002E4477">
        <w:rPr>
          <w:szCs w:val="28"/>
          <w:lang w:eastAsia="es-CO"/>
        </w:rPr>
        <w:t>Más adelante</w:t>
      </w:r>
      <w:r w:rsidR="00A55AFE" w:rsidRPr="002E4477">
        <w:rPr>
          <w:szCs w:val="28"/>
          <w:lang w:eastAsia="es-CO"/>
        </w:rPr>
        <w:t xml:space="preserve"> </w:t>
      </w:r>
      <w:r w:rsidR="00C96A40" w:rsidRPr="002E4477">
        <w:rPr>
          <w:szCs w:val="28"/>
          <w:lang w:eastAsia="es-CO"/>
        </w:rPr>
        <w:t xml:space="preserve">sin embargo, </w:t>
      </w:r>
      <w:r w:rsidR="00A55AFE" w:rsidRPr="002E4477">
        <w:rPr>
          <w:szCs w:val="28"/>
          <w:lang w:eastAsia="es-CO"/>
        </w:rPr>
        <w:t xml:space="preserve">con </w:t>
      </w:r>
      <w:r w:rsidR="00FE563D" w:rsidRPr="002E4477">
        <w:rPr>
          <w:szCs w:val="28"/>
          <w:lang w:eastAsia="es-CO"/>
        </w:rPr>
        <w:t xml:space="preserve">la </w:t>
      </w:r>
      <w:r w:rsidR="00FE563D" w:rsidRPr="002E4477">
        <w:rPr>
          <w:b/>
          <w:szCs w:val="28"/>
          <w:lang w:eastAsia="es-CO"/>
        </w:rPr>
        <w:t>Sentencia C-590 de 2005</w:t>
      </w:r>
      <w:r w:rsidR="00FE563D" w:rsidRPr="002E4477">
        <w:rPr>
          <w:szCs w:val="28"/>
          <w:vertAlign w:val="superscript"/>
          <w:lang w:eastAsia="es-CO"/>
        </w:rPr>
        <w:footnoteReference w:id="327"/>
      </w:r>
      <w:r w:rsidR="00FE563D" w:rsidRPr="002E4477">
        <w:rPr>
          <w:szCs w:val="28"/>
          <w:lang w:eastAsia="es-CO"/>
        </w:rPr>
        <w:t xml:space="preserve">, </w:t>
      </w:r>
      <w:r w:rsidR="00A55AFE" w:rsidRPr="002E4477">
        <w:rPr>
          <w:szCs w:val="28"/>
          <w:lang w:eastAsia="es-CO"/>
        </w:rPr>
        <w:t xml:space="preserve">la Corte Constitucional </w:t>
      </w:r>
      <w:r w:rsidRPr="002E4477">
        <w:rPr>
          <w:szCs w:val="28"/>
          <w:lang w:eastAsia="es-CO"/>
        </w:rPr>
        <w:t>replante</w:t>
      </w:r>
      <w:r w:rsidR="00A55AFE" w:rsidRPr="002E4477">
        <w:rPr>
          <w:szCs w:val="28"/>
          <w:lang w:eastAsia="es-CO"/>
        </w:rPr>
        <w:t>ó</w:t>
      </w:r>
      <w:r w:rsidRPr="002E4477">
        <w:rPr>
          <w:szCs w:val="28"/>
          <w:lang w:eastAsia="es-CO"/>
        </w:rPr>
        <w:t xml:space="preserve"> </w:t>
      </w:r>
      <w:r w:rsidR="00A55AFE" w:rsidRPr="002E4477">
        <w:rPr>
          <w:szCs w:val="28"/>
          <w:lang w:eastAsia="es-CO"/>
        </w:rPr>
        <w:t>la</w:t>
      </w:r>
      <w:r w:rsidRPr="002E4477">
        <w:rPr>
          <w:szCs w:val="28"/>
          <w:lang w:eastAsia="es-CO"/>
        </w:rPr>
        <w:t xml:space="preserve"> doctrina anterior</w:t>
      </w:r>
      <w:r w:rsidR="000358E0" w:rsidRPr="00737B63">
        <w:rPr>
          <w:szCs w:val="28"/>
          <w:lang w:eastAsia="es-CO"/>
        </w:rPr>
        <w:t xml:space="preserve">. </w:t>
      </w:r>
      <w:r w:rsidR="00C96A40" w:rsidRPr="00737B63">
        <w:rPr>
          <w:szCs w:val="28"/>
          <w:lang w:eastAsia="es-CO"/>
        </w:rPr>
        <w:t>E</w:t>
      </w:r>
      <w:r w:rsidR="000358E0" w:rsidRPr="00737B63">
        <w:rPr>
          <w:szCs w:val="28"/>
          <w:lang w:eastAsia="es-CO"/>
        </w:rPr>
        <w:t>n esa providencia,</w:t>
      </w:r>
      <w:r w:rsidR="00CB04B4" w:rsidRPr="00737B63">
        <w:rPr>
          <w:szCs w:val="28"/>
        </w:rPr>
        <w:t xml:space="preserve"> </w:t>
      </w:r>
      <w:r w:rsidR="00D317E3" w:rsidRPr="00737B63">
        <w:rPr>
          <w:szCs w:val="28"/>
        </w:rPr>
        <w:t xml:space="preserve">al acoger </w:t>
      </w:r>
      <w:r w:rsidR="00C96A40" w:rsidRPr="00737B63">
        <w:rPr>
          <w:szCs w:val="28"/>
        </w:rPr>
        <w:t xml:space="preserve">los avances de la jurisprudencia en la materia, </w:t>
      </w:r>
      <w:r w:rsidR="00D317E3" w:rsidRPr="00737B63">
        <w:rPr>
          <w:szCs w:val="28"/>
        </w:rPr>
        <w:t xml:space="preserve">esta Corporación </w:t>
      </w:r>
      <w:r w:rsidR="00C96A40" w:rsidRPr="00737B63">
        <w:rPr>
          <w:szCs w:val="28"/>
        </w:rPr>
        <w:t xml:space="preserve">sostuvo </w:t>
      </w:r>
      <w:r w:rsidRPr="00737B63">
        <w:rPr>
          <w:szCs w:val="28"/>
        </w:rPr>
        <w:t xml:space="preserve">que </w:t>
      </w:r>
      <w:r w:rsidR="00FE563D" w:rsidRPr="00737B63">
        <w:rPr>
          <w:szCs w:val="28"/>
        </w:rPr>
        <w:t>la actividad j</w:t>
      </w:r>
      <w:r w:rsidRPr="00737B63">
        <w:rPr>
          <w:szCs w:val="28"/>
        </w:rPr>
        <w:t>urisdiccional debía</w:t>
      </w:r>
      <w:r w:rsidR="00FE563D" w:rsidRPr="00737B63">
        <w:rPr>
          <w:szCs w:val="28"/>
        </w:rPr>
        <w:t xml:space="preserve"> respetar los mandatos constitucionales y legales</w:t>
      </w:r>
      <w:r w:rsidR="00D317E3" w:rsidRPr="00737B63">
        <w:rPr>
          <w:szCs w:val="28"/>
        </w:rPr>
        <w:t>,</w:t>
      </w:r>
      <w:r w:rsidR="00FE563D" w:rsidRPr="00737B63">
        <w:rPr>
          <w:szCs w:val="28"/>
        </w:rPr>
        <w:t xml:space="preserve"> y,</w:t>
      </w:r>
      <w:r w:rsidRPr="00737B63">
        <w:rPr>
          <w:szCs w:val="28"/>
        </w:rPr>
        <w:t xml:space="preserve"> </w:t>
      </w:r>
      <w:r w:rsidR="00FE563D" w:rsidRPr="00737B63">
        <w:rPr>
          <w:szCs w:val="28"/>
        </w:rPr>
        <w:t xml:space="preserve">en consecuencia, </w:t>
      </w:r>
      <w:r w:rsidR="000358E0" w:rsidRPr="00737B63">
        <w:rPr>
          <w:szCs w:val="28"/>
        </w:rPr>
        <w:t xml:space="preserve">que </w:t>
      </w:r>
      <w:r w:rsidR="00FE563D" w:rsidRPr="00737B63">
        <w:rPr>
          <w:szCs w:val="28"/>
        </w:rPr>
        <w:t>las decisiones judicial</w:t>
      </w:r>
      <w:r w:rsidRPr="00737B63">
        <w:rPr>
          <w:szCs w:val="28"/>
        </w:rPr>
        <w:t>es que ocasionalmente se apartaran</w:t>
      </w:r>
      <w:r w:rsidR="00FE563D" w:rsidRPr="00737B63">
        <w:rPr>
          <w:szCs w:val="28"/>
        </w:rPr>
        <w:t xml:space="preserve"> de </w:t>
      </w:r>
      <w:r w:rsidR="00C96A40" w:rsidRPr="00737B63">
        <w:rPr>
          <w:szCs w:val="28"/>
        </w:rPr>
        <w:t>dichos</w:t>
      </w:r>
      <w:r w:rsidR="00FE563D" w:rsidRPr="00737B63">
        <w:rPr>
          <w:szCs w:val="28"/>
        </w:rPr>
        <w:t xml:space="preserve"> mandato</w:t>
      </w:r>
      <w:r w:rsidR="00C96A40" w:rsidRPr="00737B63">
        <w:rPr>
          <w:szCs w:val="28"/>
        </w:rPr>
        <w:t>s</w:t>
      </w:r>
      <w:r w:rsidRPr="00737B63">
        <w:rPr>
          <w:szCs w:val="28"/>
        </w:rPr>
        <w:t xml:space="preserve"> serían</w:t>
      </w:r>
      <w:r w:rsidR="00FE563D" w:rsidRPr="00737B63">
        <w:rPr>
          <w:szCs w:val="28"/>
        </w:rPr>
        <w:t xml:space="preserve"> susceptibles de cuestionarse a través de la acción de tutela</w:t>
      </w:r>
      <w:r w:rsidR="00FE563D" w:rsidRPr="00737B63">
        <w:rPr>
          <w:rStyle w:val="Refdenotaalpie"/>
          <w:szCs w:val="28"/>
        </w:rPr>
        <w:footnoteReference w:id="328"/>
      </w:r>
      <w:r w:rsidR="00FE563D" w:rsidRPr="00737B63">
        <w:rPr>
          <w:szCs w:val="28"/>
        </w:rPr>
        <w:t>.</w:t>
      </w:r>
      <w:r w:rsidRPr="00737B63">
        <w:rPr>
          <w:szCs w:val="28"/>
        </w:rPr>
        <w:t xml:space="preserve"> A partir de allí se introdujeron jurisprudencialmente los</w:t>
      </w:r>
      <w:r w:rsidR="00C96A40" w:rsidRPr="00737B63">
        <w:rPr>
          <w:szCs w:val="28"/>
        </w:rPr>
        <w:t xml:space="preserve"> denominados</w:t>
      </w:r>
      <w:r w:rsidRPr="00737B63">
        <w:rPr>
          <w:szCs w:val="28"/>
        </w:rPr>
        <w:t xml:space="preserve"> </w:t>
      </w:r>
      <w:r w:rsidR="00DA5264" w:rsidRPr="00737B63">
        <w:rPr>
          <w:i/>
          <w:szCs w:val="28"/>
        </w:rPr>
        <w:t>requisitos</w:t>
      </w:r>
      <w:r w:rsidRPr="00737B63">
        <w:rPr>
          <w:i/>
          <w:szCs w:val="28"/>
        </w:rPr>
        <w:t xml:space="preserve"> generales de procedencia </w:t>
      </w:r>
      <w:r w:rsidRPr="00737B63">
        <w:rPr>
          <w:szCs w:val="28"/>
        </w:rPr>
        <w:t>de la acción de tutela</w:t>
      </w:r>
      <w:r w:rsidR="00DA5264" w:rsidRPr="00737B63">
        <w:rPr>
          <w:szCs w:val="28"/>
        </w:rPr>
        <w:t xml:space="preserve"> contra providencias</w:t>
      </w:r>
      <w:r w:rsidRPr="00737B63">
        <w:rPr>
          <w:szCs w:val="28"/>
        </w:rPr>
        <w:t xml:space="preserve">, y los </w:t>
      </w:r>
      <w:r w:rsidRPr="00737B63">
        <w:rPr>
          <w:i/>
          <w:szCs w:val="28"/>
        </w:rPr>
        <w:t>especiales</w:t>
      </w:r>
      <w:r w:rsidR="00906359" w:rsidRPr="00737B63">
        <w:rPr>
          <w:i/>
          <w:szCs w:val="28"/>
        </w:rPr>
        <w:t>,</w:t>
      </w:r>
      <w:r w:rsidRPr="00737B63">
        <w:rPr>
          <w:szCs w:val="28"/>
        </w:rPr>
        <w:t xml:space="preserve"> </w:t>
      </w:r>
      <w:r w:rsidR="000358E0" w:rsidRPr="00737B63">
        <w:rPr>
          <w:szCs w:val="28"/>
        </w:rPr>
        <w:t>-</w:t>
      </w:r>
      <w:r w:rsidR="00EA2BDB" w:rsidRPr="00737B63">
        <w:rPr>
          <w:szCs w:val="28"/>
        </w:rPr>
        <w:t xml:space="preserve"> </w:t>
      </w:r>
      <w:r w:rsidRPr="00737B63">
        <w:rPr>
          <w:szCs w:val="28"/>
        </w:rPr>
        <w:t>de los que se habló con anterioridad</w:t>
      </w:r>
      <w:r w:rsidR="000358E0" w:rsidRPr="00737B63">
        <w:rPr>
          <w:szCs w:val="28"/>
        </w:rPr>
        <w:t xml:space="preserve"> -</w:t>
      </w:r>
      <w:r w:rsidRPr="00737B63">
        <w:rPr>
          <w:szCs w:val="28"/>
        </w:rPr>
        <w:t>, para</w:t>
      </w:r>
      <w:r w:rsidR="008A180F" w:rsidRPr="00737B63">
        <w:rPr>
          <w:szCs w:val="28"/>
        </w:rPr>
        <w:t xml:space="preserve"> </w:t>
      </w:r>
      <w:r w:rsidRPr="00737B63">
        <w:rPr>
          <w:szCs w:val="28"/>
        </w:rPr>
        <w:t xml:space="preserve">dar cuenta de la posibilidad de </w:t>
      </w:r>
      <w:r w:rsidR="000358E0" w:rsidRPr="00737B63">
        <w:rPr>
          <w:szCs w:val="28"/>
        </w:rPr>
        <w:t xml:space="preserve">interponer </w:t>
      </w:r>
      <w:r w:rsidR="00C96A40" w:rsidRPr="00737B63">
        <w:rPr>
          <w:szCs w:val="28"/>
        </w:rPr>
        <w:t>el</w:t>
      </w:r>
      <w:r w:rsidR="008A180F" w:rsidRPr="00737B63">
        <w:rPr>
          <w:szCs w:val="28"/>
        </w:rPr>
        <w:t xml:space="preserve"> </w:t>
      </w:r>
      <w:r w:rsidR="00C96A40" w:rsidRPr="00737B63">
        <w:rPr>
          <w:szCs w:val="28"/>
        </w:rPr>
        <w:t xml:space="preserve">amparo constitucional </w:t>
      </w:r>
      <w:r w:rsidR="00906359" w:rsidRPr="00737B63">
        <w:rPr>
          <w:szCs w:val="28"/>
        </w:rPr>
        <w:t xml:space="preserve">contra sentencias judiciales, ante </w:t>
      </w:r>
      <w:r w:rsidRPr="00737B63">
        <w:rPr>
          <w:szCs w:val="28"/>
        </w:rPr>
        <w:t>"vicios"</w:t>
      </w:r>
      <w:r w:rsidR="00E673BF" w:rsidRPr="00737B63">
        <w:rPr>
          <w:szCs w:val="28"/>
        </w:rPr>
        <w:t xml:space="preserve"> o “defectos”</w:t>
      </w:r>
      <w:r w:rsidR="00906359" w:rsidRPr="00737B63">
        <w:rPr>
          <w:szCs w:val="28"/>
        </w:rPr>
        <w:t xml:space="preserve"> eventuales </w:t>
      </w:r>
      <w:r w:rsidR="00EA2BDB" w:rsidRPr="00737B63">
        <w:rPr>
          <w:szCs w:val="28"/>
        </w:rPr>
        <w:t>de</w:t>
      </w:r>
      <w:r w:rsidR="00C96A40" w:rsidRPr="00737B63">
        <w:rPr>
          <w:szCs w:val="28"/>
        </w:rPr>
        <w:t xml:space="preserve"> </w:t>
      </w:r>
      <w:r w:rsidR="00E100D5" w:rsidRPr="00737B63">
        <w:rPr>
          <w:szCs w:val="28"/>
        </w:rPr>
        <w:t>esas</w:t>
      </w:r>
      <w:r w:rsidR="00906359" w:rsidRPr="00737B63">
        <w:rPr>
          <w:szCs w:val="28"/>
        </w:rPr>
        <w:t xml:space="preserve"> </w:t>
      </w:r>
      <w:r w:rsidR="00E100D5" w:rsidRPr="00737B63">
        <w:rPr>
          <w:szCs w:val="28"/>
        </w:rPr>
        <w:t>decisiones,</w:t>
      </w:r>
      <w:r w:rsidR="008A180F" w:rsidRPr="00737B63">
        <w:rPr>
          <w:szCs w:val="28"/>
        </w:rPr>
        <w:t xml:space="preserve"> en circunstancias en que ellas </w:t>
      </w:r>
      <w:r w:rsidR="00D317E3" w:rsidRPr="00737B63">
        <w:rPr>
          <w:szCs w:val="28"/>
        </w:rPr>
        <w:t xml:space="preserve">resultaran </w:t>
      </w:r>
      <w:r w:rsidRPr="00737B63">
        <w:rPr>
          <w:szCs w:val="28"/>
        </w:rPr>
        <w:t>contrarias a los derechos fundamentales.</w:t>
      </w:r>
    </w:p>
    <w:p w14:paraId="0191E425" w14:textId="77777777" w:rsidR="00FE563D" w:rsidRPr="002E4477" w:rsidRDefault="00FE563D" w:rsidP="00FE563D">
      <w:pPr>
        <w:pStyle w:val="Prrafodelista"/>
        <w:rPr>
          <w:szCs w:val="28"/>
          <w:lang w:val="es-CO"/>
        </w:rPr>
      </w:pPr>
    </w:p>
    <w:p w14:paraId="54EA2353" w14:textId="77777777" w:rsidR="00906359" w:rsidRPr="00E434DD" w:rsidRDefault="0020177C" w:rsidP="00E434DD">
      <w:pPr>
        <w:numPr>
          <w:ilvl w:val="0"/>
          <w:numId w:val="10"/>
        </w:numPr>
        <w:shd w:val="clear" w:color="auto" w:fill="FFFFFF"/>
        <w:jc w:val="both"/>
        <w:rPr>
          <w:szCs w:val="28"/>
          <w:lang w:val="es-CO" w:eastAsia="es-CO"/>
        </w:rPr>
      </w:pPr>
      <w:r w:rsidRPr="002E4477">
        <w:rPr>
          <w:szCs w:val="28"/>
        </w:rPr>
        <w:t xml:space="preserve">Bajo </w:t>
      </w:r>
      <w:r w:rsidR="008A180F" w:rsidRPr="002E4477">
        <w:rPr>
          <w:szCs w:val="28"/>
        </w:rPr>
        <w:t>tales</w:t>
      </w:r>
      <w:r w:rsidRPr="002E4477">
        <w:rPr>
          <w:szCs w:val="28"/>
        </w:rPr>
        <w:t xml:space="preserve"> supuestos, se consolidó la idea de que l</w:t>
      </w:r>
      <w:r w:rsidR="00FE563D" w:rsidRPr="002E4477">
        <w:rPr>
          <w:szCs w:val="28"/>
        </w:rPr>
        <w:t>a acción de tutela contra providencias</w:t>
      </w:r>
      <w:r w:rsidR="000358E0" w:rsidRPr="002E4477">
        <w:rPr>
          <w:szCs w:val="28"/>
        </w:rPr>
        <w:t xml:space="preserve"> judiciales,</w:t>
      </w:r>
      <w:r w:rsidR="00FE563D" w:rsidRPr="002E4477">
        <w:rPr>
          <w:szCs w:val="28"/>
        </w:rPr>
        <w:t xml:space="preserve"> no se dirige a sustituir o suplantar las funciones </w:t>
      </w:r>
      <w:r w:rsidR="00026AA9" w:rsidRPr="002E4477">
        <w:rPr>
          <w:szCs w:val="28"/>
        </w:rPr>
        <w:t>o</w:t>
      </w:r>
      <w:r w:rsidR="00FE563D" w:rsidRPr="002E4477">
        <w:rPr>
          <w:szCs w:val="28"/>
        </w:rPr>
        <w:t xml:space="preserve"> competencias de los</w:t>
      </w:r>
      <w:r w:rsidR="000358E0" w:rsidRPr="002E4477">
        <w:rPr>
          <w:szCs w:val="28"/>
        </w:rPr>
        <w:t xml:space="preserve"> falladores </w:t>
      </w:r>
      <w:r w:rsidRPr="002E4477">
        <w:rPr>
          <w:szCs w:val="28"/>
        </w:rPr>
        <w:t>de instancia,</w:t>
      </w:r>
      <w:r w:rsidR="00FE563D" w:rsidRPr="002E4477">
        <w:rPr>
          <w:szCs w:val="28"/>
        </w:rPr>
        <w:t xml:space="preserve"> sino a enfrentar aquellas situaciones excepcionales en las que estas autoridades incurren en yerros de relevancia constitucional</w:t>
      </w:r>
      <w:r w:rsidR="000358E0" w:rsidRPr="002E4477">
        <w:rPr>
          <w:szCs w:val="28"/>
        </w:rPr>
        <w:t>,</w:t>
      </w:r>
      <w:r w:rsidR="00FE563D" w:rsidRPr="002E4477">
        <w:rPr>
          <w:szCs w:val="28"/>
        </w:rPr>
        <w:t xml:space="preserve"> que implican la incompatibilidad de su</w:t>
      </w:r>
      <w:r w:rsidR="009126C4" w:rsidRPr="002E4477">
        <w:rPr>
          <w:szCs w:val="28"/>
        </w:rPr>
        <w:t>s</w:t>
      </w:r>
      <w:r w:rsidR="00FE563D" w:rsidRPr="002E4477">
        <w:rPr>
          <w:szCs w:val="28"/>
        </w:rPr>
        <w:t xml:space="preserve"> decisi</w:t>
      </w:r>
      <w:r w:rsidR="009126C4" w:rsidRPr="002E4477">
        <w:rPr>
          <w:szCs w:val="28"/>
        </w:rPr>
        <w:t>ones</w:t>
      </w:r>
      <w:r w:rsidR="00FE563D" w:rsidRPr="002E4477">
        <w:rPr>
          <w:szCs w:val="28"/>
        </w:rPr>
        <w:t xml:space="preserve"> con la C</w:t>
      </w:r>
      <w:r w:rsidR="00906359" w:rsidRPr="002E4477">
        <w:rPr>
          <w:szCs w:val="28"/>
        </w:rPr>
        <w:t>arta</w:t>
      </w:r>
      <w:r w:rsidR="00FE563D" w:rsidRPr="002E4477">
        <w:rPr>
          <w:szCs w:val="28"/>
        </w:rPr>
        <w:t xml:space="preserve">. </w:t>
      </w:r>
    </w:p>
    <w:p w14:paraId="355A16B9" w14:textId="77777777" w:rsidR="00E434DD" w:rsidRPr="002E4477" w:rsidRDefault="00E434DD" w:rsidP="00E434DD">
      <w:pPr>
        <w:shd w:val="clear" w:color="auto" w:fill="FFFFFF"/>
        <w:jc w:val="both"/>
        <w:rPr>
          <w:szCs w:val="28"/>
          <w:lang w:val="es-CO" w:eastAsia="es-CO"/>
        </w:rPr>
      </w:pPr>
    </w:p>
    <w:p w14:paraId="5C2687E7" w14:textId="77777777" w:rsidR="00906359" w:rsidRPr="002E4477" w:rsidRDefault="00D317E3" w:rsidP="00962603">
      <w:pPr>
        <w:numPr>
          <w:ilvl w:val="0"/>
          <w:numId w:val="10"/>
        </w:numPr>
        <w:shd w:val="clear" w:color="auto" w:fill="FFFFFF"/>
        <w:jc w:val="both"/>
        <w:rPr>
          <w:szCs w:val="28"/>
        </w:rPr>
      </w:pPr>
      <w:r w:rsidRPr="00737B63">
        <w:rPr>
          <w:szCs w:val="28"/>
        </w:rPr>
        <w:t>E</w:t>
      </w:r>
      <w:r w:rsidR="00906359" w:rsidRPr="00737B63">
        <w:rPr>
          <w:szCs w:val="28"/>
        </w:rPr>
        <w:t xml:space="preserve">n </w:t>
      </w:r>
      <w:r w:rsidR="00E100D5" w:rsidRPr="00737B63">
        <w:rPr>
          <w:szCs w:val="28"/>
        </w:rPr>
        <w:t xml:space="preserve">lo que respecta a </w:t>
      </w:r>
      <w:r w:rsidR="00906359" w:rsidRPr="00737B63">
        <w:rPr>
          <w:szCs w:val="28"/>
        </w:rPr>
        <w:t xml:space="preserve">la acción de tutela contra providencias de </w:t>
      </w:r>
      <w:r w:rsidR="009A1EDD" w:rsidRPr="00737B63">
        <w:rPr>
          <w:szCs w:val="28"/>
        </w:rPr>
        <w:t xml:space="preserve">las </w:t>
      </w:r>
      <w:r w:rsidR="00906359" w:rsidRPr="00737B63">
        <w:rPr>
          <w:szCs w:val="28"/>
        </w:rPr>
        <w:t>Altas Cor</w:t>
      </w:r>
      <w:r w:rsidR="00B10CDD" w:rsidRPr="00737B63">
        <w:rPr>
          <w:szCs w:val="28"/>
        </w:rPr>
        <w:t>tes</w:t>
      </w:r>
      <w:r w:rsidR="00906359" w:rsidRPr="00737B63">
        <w:rPr>
          <w:szCs w:val="28"/>
        </w:rPr>
        <w:t>, l</w:t>
      </w:r>
      <w:r w:rsidR="00FE563D" w:rsidRPr="00737B63">
        <w:rPr>
          <w:szCs w:val="28"/>
        </w:rPr>
        <w:t xml:space="preserve">a </w:t>
      </w:r>
      <w:r w:rsidR="00FE563D" w:rsidRPr="00737B63">
        <w:rPr>
          <w:b/>
          <w:bCs/>
          <w:szCs w:val="28"/>
        </w:rPr>
        <w:t>Sentencia SU-573 de 2017</w:t>
      </w:r>
      <w:r w:rsidR="00E434DD" w:rsidRPr="00737B63">
        <w:rPr>
          <w:rStyle w:val="Refdenotaalpie"/>
          <w:b/>
          <w:bCs/>
          <w:szCs w:val="28"/>
        </w:rPr>
        <w:footnoteReference w:id="329"/>
      </w:r>
      <w:r w:rsidR="00B10CDD" w:rsidRPr="00737B63">
        <w:rPr>
          <w:szCs w:val="28"/>
        </w:rPr>
        <w:t xml:space="preserve"> </w:t>
      </w:r>
      <w:r w:rsidR="00FE563D" w:rsidRPr="00737B63">
        <w:rPr>
          <w:szCs w:val="28"/>
        </w:rPr>
        <w:t xml:space="preserve">sentó jurisprudencia </w:t>
      </w:r>
      <w:r w:rsidR="00B10CDD" w:rsidRPr="00737B63">
        <w:rPr>
          <w:szCs w:val="28"/>
        </w:rPr>
        <w:t xml:space="preserve">sobre </w:t>
      </w:r>
      <w:r w:rsidRPr="00737B63">
        <w:rPr>
          <w:szCs w:val="28"/>
        </w:rPr>
        <w:t xml:space="preserve">el carácter </w:t>
      </w:r>
      <w:r w:rsidR="00FE563D" w:rsidRPr="00737B63">
        <w:rPr>
          <w:szCs w:val="28"/>
        </w:rPr>
        <w:t>excepcional</w:t>
      </w:r>
      <w:r w:rsidRPr="00737B63">
        <w:rPr>
          <w:szCs w:val="28"/>
        </w:rPr>
        <w:t xml:space="preserve"> y restrictivo</w:t>
      </w:r>
      <w:r w:rsidR="00FE563D" w:rsidRPr="00737B63">
        <w:rPr>
          <w:szCs w:val="28"/>
        </w:rPr>
        <w:t xml:space="preserve"> de </w:t>
      </w:r>
      <w:r w:rsidR="00CC2482" w:rsidRPr="00737B63">
        <w:rPr>
          <w:szCs w:val="28"/>
        </w:rPr>
        <w:t xml:space="preserve">la </w:t>
      </w:r>
      <w:r w:rsidR="00FE563D" w:rsidRPr="00737B63">
        <w:rPr>
          <w:szCs w:val="28"/>
        </w:rPr>
        <w:t>tutela</w:t>
      </w:r>
      <w:r w:rsidR="00CC2482" w:rsidRPr="00737B63">
        <w:rPr>
          <w:szCs w:val="28"/>
        </w:rPr>
        <w:t xml:space="preserve"> </w:t>
      </w:r>
      <w:r w:rsidRPr="00737B63">
        <w:rPr>
          <w:szCs w:val="28"/>
        </w:rPr>
        <w:t>contra pronunciamientos de</w:t>
      </w:r>
      <w:r w:rsidR="00FE563D" w:rsidRPr="00737B63">
        <w:rPr>
          <w:szCs w:val="28"/>
        </w:rPr>
        <w:t xml:space="preserve"> la Corte Suprema de Justicia o el Consejo de Estado</w:t>
      </w:r>
      <w:r w:rsidR="00E673BF" w:rsidRPr="00737B63">
        <w:rPr>
          <w:szCs w:val="28"/>
        </w:rPr>
        <w:t>. Lo anterior,</w:t>
      </w:r>
      <w:r w:rsidR="00FE563D" w:rsidRPr="00737B63">
        <w:rPr>
          <w:szCs w:val="28"/>
        </w:rPr>
        <w:t xml:space="preserve"> </w:t>
      </w:r>
      <w:r w:rsidR="00026AA9" w:rsidRPr="00737B63">
        <w:rPr>
          <w:szCs w:val="28"/>
        </w:rPr>
        <w:t xml:space="preserve">en consideración a que </w:t>
      </w:r>
      <w:r w:rsidR="00FE563D" w:rsidRPr="00737B63">
        <w:rPr>
          <w:szCs w:val="28"/>
        </w:rPr>
        <w:t>“</w:t>
      </w:r>
      <w:r w:rsidR="00FE563D" w:rsidRPr="00737B63">
        <w:rPr>
          <w:i/>
          <w:iCs/>
          <w:szCs w:val="28"/>
        </w:rPr>
        <w:t xml:space="preserve">sólo tiene cabida </w:t>
      </w:r>
      <w:r w:rsidR="00026AA9" w:rsidRPr="00737B63">
        <w:rPr>
          <w:i/>
          <w:iCs/>
          <w:szCs w:val="28"/>
        </w:rPr>
        <w:t>[el</w:t>
      </w:r>
      <w:r w:rsidR="00026AA9" w:rsidRPr="00E434DD">
        <w:rPr>
          <w:i/>
          <w:iCs/>
          <w:szCs w:val="28"/>
        </w:rPr>
        <w:t xml:space="preserve"> mencionado amparo] </w:t>
      </w:r>
      <w:r w:rsidR="00FE563D" w:rsidRPr="00E434DD">
        <w:rPr>
          <w:i/>
          <w:iCs/>
          <w:szCs w:val="28"/>
        </w:rPr>
        <w:t>cuando una decisión riñe de manera abierta con la Constitución y es definitivamente incompatible con la jurisprudencia trazada por la Corte Constitucional al definir el alcance y límites de los derechos fundamentales</w:t>
      </w:r>
      <w:r w:rsidR="00487701" w:rsidRPr="00E434DD">
        <w:rPr>
          <w:i/>
          <w:iCs/>
          <w:szCs w:val="28"/>
        </w:rPr>
        <w:t>,</w:t>
      </w:r>
      <w:r w:rsidR="00FE563D" w:rsidRPr="00E434DD">
        <w:rPr>
          <w:i/>
          <w:iCs/>
          <w:szCs w:val="28"/>
        </w:rPr>
        <w:t xml:space="preserve"> o cuando </w:t>
      </w:r>
      <w:r w:rsidR="00026AA9" w:rsidRPr="00E434DD">
        <w:rPr>
          <w:i/>
          <w:iCs/>
          <w:szCs w:val="28"/>
        </w:rPr>
        <w:t>[es contraria]</w:t>
      </w:r>
      <w:r w:rsidR="00FE563D" w:rsidRPr="00E434DD">
        <w:rPr>
          <w:i/>
          <w:iCs/>
          <w:szCs w:val="28"/>
        </w:rPr>
        <w:t xml:space="preserve"> </w:t>
      </w:r>
      <w:r w:rsidR="008C36C8" w:rsidRPr="00E434DD">
        <w:rPr>
          <w:i/>
          <w:iCs/>
          <w:szCs w:val="28"/>
        </w:rPr>
        <w:t>[al]</w:t>
      </w:r>
      <w:r w:rsidR="00FE563D" w:rsidRPr="00E434DD">
        <w:rPr>
          <w:i/>
          <w:iCs/>
          <w:szCs w:val="28"/>
        </w:rPr>
        <w:t xml:space="preserve"> control abstracto de constitucionalidad, esto es, cuando se configura una anomalía de tal entidad que exige la imperiosa intervención del juez constitucional</w:t>
      </w:r>
      <w:r w:rsidR="00FE563D" w:rsidRPr="00437C07">
        <w:rPr>
          <w:szCs w:val="28"/>
        </w:rPr>
        <w:t xml:space="preserve">”. </w:t>
      </w:r>
    </w:p>
    <w:p w14:paraId="4D389ACF" w14:textId="77777777" w:rsidR="00906359" w:rsidRPr="00437C07" w:rsidRDefault="00906359" w:rsidP="00437C07">
      <w:pPr>
        <w:shd w:val="clear" w:color="auto" w:fill="FFFFFF"/>
        <w:jc w:val="both"/>
        <w:rPr>
          <w:szCs w:val="28"/>
        </w:rPr>
      </w:pPr>
    </w:p>
    <w:p w14:paraId="0F97D4A3" w14:textId="77777777" w:rsidR="00906359" w:rsidRDefault="00E673BF" w:rsidP="00437C07">
      <w:pPr>
        <w:shd w:val="clear" w:color="auto" w:fill="FFFFFF"/>
        <w:jc w:val="both"/>
        <w:rPr>
          <w:szCs w:val="28"/>
        </w:rPr>
      </w:pPr>
      <w:r w:rsidRPr="00437C07">
        <w:rPr>
          <w:szCs w:val="28"/>
        </w:rPr>
        <w:t>Se trata</w:t>
      </w:r>
      <w:r w:rsidR="00CC2482" w:rsidRPr="00437C07">
        <w:rPr>
          <w:szCs w:val="28"/>
        </w:rPr>
        <w:t xml:space="preserve"> entonces</w:t>
      </w:r>
      <w:r w:rsidRPr="00437C07">
        <w:rPr>
          <w:szCs w:val="28"/>
        </w:rPr>
        <w:t xml:space="preserve"> de u</w:t>
      </w:r>
      <w:r w:rsidR="00487701" w:rsidRPr="00437C07">
        <w:rPr>
          <w:szCs w:val="28"/>
        </w:rPr>
        <w:t xml:space="preserve">n </w:t>
      </w:r>
      <w:r w:rsidR="00906359" w:rsidRPr="00437C07">
        <w:rPr>
          <w:szCs w:val="28"/>
        </w:rPr>
        <w:t>criterio</w:t>
      </w:r>
      <w:r w:rsidR="00487701" w:rsidRPr="00437C07">
        <w:rPr>
          <w:szCs w:val="28"/>
        </w:rPr>
        <w:t xml:space="preserve"> que</w:t>
      </w:r>
      <w:r w:rsidR="00906359" w:rsidRPr="00437C07">
        <w:rPr>
          <w:szCs w:val="28"/>
        </w:rPr>
        <w:t xml:space="preserve"> </w:t>
      </w:r>
      <w:r w:rsidR="00CB04B4" w:rsidRPr="00437C07">
        <w:rPr>
          <w:szCs w:val="28"/>
        </w:rPr>
        <w:t xml:space="preserve">se </w:t>
      </w:r>
      <w:r w:rsidR="00B10CDD" w:rsidRPr="00437C07">
        <w:rPr>
          <w:szCs w:val="28"/>
        </w:rPr>
        <w:t>considera</w:t>
      </w:r>
      <w:r w:rsidR="00906359" w:rsidRPr="00437C07">
        <w:rPr>
          <w:szCs w:val="28"/>
        </w:rPr>
        <w:t xml:space="preserve"> adicional a</w:t>
      </w:r>
      <w:r w:rsidR="00FE563D" w:rsidRPr="00437C07">
        <w:rPr>
          <w:szCs w:val="28"/>
        </w:rPr>
        <w:t xml:space="preserve"> los requisitos generales y </w:t>
      </w:r>
      <w:r w:rsidR="00B10CDD" w:rsidRPr="00437C07">
        <w:rPr>
          <w:szCs w:val="28"/>
        </w:rPr>
        <w:t xml:space="preserve">a las </w:t>
      </w:r>
      <w:r w:rsidR="00FE563D" w:rsidRPr="00437C07">
        <w:rPr>
          <w:szCs w:val="28"/>
        </w:rPr>
        <w:t>causales específicas de procedencia de la tutela contra providencias judiciales</w:t>
      </w:r>
      <w:r w:rsidR="008C36C8" w:rsidRPr="00437C07">
        <w:rPr>
          <w:szCs w:val="28"/>
        </w:rPr>
        <w:t xml:space="preserve"> </w:t>
      </w:r>
      <w:r w:rsidR="00CC2482" w:rsidRPr="00437C07">
        <w:rPr>
          <w:szCs w:val="28"/>
        </w:rPr>
        <w:t>previamente</w:t>
      </w:r>
      <w:r w:rsidR="008C36C8" w:rsidRPr="00437C07">
        <w:rPr>
          <w:szCs w:val="28"/>
        </w:rPr>
        <w:t xml:space="preserve"> enunciadas</w:t>
      </w:r>
      <w:r w:rsidR="00906359" w:rsidRPr="00437C07">
        <w:rPr>
          <w:szCs w:val="28"/>
        </w:rPr>
        <w:t>,</w:t>
      </w:r>
      <w:r w:rsidR="00FE563D" w:rsidRPr="00437C07">
        <w:rPr>
          <w:szCs w:val="28"/>
        </w:rPr>
        <w:t xml:space="preserve"> </w:t>
      </w:r>
      <w:r w:rsidR="00CB04B4" w:rsidRPr="00437C07">
        <w:rPr>
          <w:szCs w:val="28"/>
        </w:rPr>
        <w:t xml:space="preserve">en la medida en </w:t>
      </w:r>
      <w:r w:rsidR="00FE563D" w:rsidRPr="00437C07">
        <w:rPr>
          <w:szCs w:val="28"/>
        </w:rPr>
        <w:t>que dichas corporaciones</w:t>
      </w:r>
      <w:r w:rsidR="00E24393" w:rsidRPr="00437C07">
        <w:rPr>
          <w:szCs w:val="28"/>
        </w:rPr>
        <w:t xml:space="preserve"> </w:t>
      </w:r>
      <w:r w:rsidR="00FE563D" w:rsidRPr="00437C07">
        <w:rPr>
          <w:szCs w:val="28"/>
        </w:rPr>
        <w:t xml:space="preserve">tienen la </w:t>
      </w:r>
      <w:r w:rsidR="00FE563D" w:rsidRPr="00737B63">
        <w:rPr>
          <w:szCs w:val="28"/>
        </w:rPr>
        <w:t>competencia</w:t>
      </w:r>
      <w:r w:rsidR="00DA439B" w:rsidRPr="00737B63">
        <w:rPr>
          <w:szCs w:val="28"/>
        </w:rPr>
        <w:t xml:space="preserve"> </w:t>
      </w:r>
      <w:r w:rsidR="00072A07" w:rsidRPr="00737B63">
        <w:rPr>
          <w:szCs w:val="28"/>
        </w:rPr>
        <w:t xml:space="preserve">de </w:t>
      </w:r>
      <w:r w:rsidR="00FE563D" w:rsidRPr="00737B63">
        <w:rPr>
          <w:szCs w:val="28"/>
        </w:rPr>
        <w:t xml:space="preserve">“unificar la jurisprudencia en sus respectivas jurisdicciones”. </w:t>
      </w:r>
      <w:r w:rsidR="00CC2482" w:rsidRPr="00737B63">
        <w:rPr>
          <w:szCs w:val="28"/>
        </w:rPr>
        <w:t xml:space="preserve">Por lo tanto, </w:t>
      </w:r>
      <w:r w:rsidR="00FE563D" w:rsidRPr="00737B63">
        <w:rPr>
          <w:szCs w:val="28"/>
        </w:rPr>
        <w:t xml:space="preserve">para determinar </w:t>
      </w:r>
      <w:r w:rsidR="00DA439B" w:rsidRPr="00737B63">
        <w:rPr>
          <w:szCs w:val="28"/>
        </w:rPr>
        <w:t xml:space="preserve">si </w:t>
      </w:r>
      <w:r w:rsidR="00FE563D" w:rsidRPr="00737B63">
        <w:rPr>
          <w:szCs w:val="28"/>
        </w:rPr>
        <w:t xml:space="preserve">la acción de tutela contra </w:t>
      </w:r>
      <w:r w:rsidR="00072A07" w:rsidRPr="00737B63">
        <w:rPr>
          <w:szCs w:val="28"/>
        </w:rPr>
        <w:t>una</w:t>
      </w:r>
      <w:r w:rsidR="00487701" w:rsidRPr="00737B63">
        <w:rPr>
          <w:szCs w:val="28"/>
        </w:rPr>
        <w:t xml:space="preserve"> sentencia </w:t>
      </w:r>
      <w:r w:rsidR="00D75B3D" w:rsidRPr="00737B63">
        <w:rPr>
          <w:szCs w:val="28"/>
        </w:rPr>
        <w:t xml:space="preserve">de una Alta Corte </w:t>
      </w:r>
      <w:r w:rsidR="00DA439B" w:rsidRPr="00737B63">
        <w:rPr>
          <w:szCs w:val="28"/>
        </w:rPr>
        <w:t xml:space="preserve">es procedente o no, se requiere que se </w:t>
      </w:r>
      <w:r w:rsidR="00CC2482" w:rsidRPr="00737B63">
        <w:rPr>
          <w:szCs w:val="28"/>
        </w:rPr>
        <w:t>consoliden</w:t>
      </w:r>
      <w:r w:rsidR="00DA5264" w:rsidRPr="00737B63">
        <w:rPr>
          <w:szCs w:val="28"/>
        </w:rPr>
        <w:t xml:space="preserve"> </w:t>
      </w:r>
      <w:r w:rsidR="00487701" w:rsidRPr="00737B63">
        <w:rPr>
          <w:szCs w:val="28"/>
        </w:rPr>
        <w:t>las</w:t>
      </w:r>
      <w:r w:rsidR="00DA5264" w:rsidRPr="00737B63">
        <w:rPr>
          <w:szCs w:val="28"/>
        </w:rPr>
        <w:t xml:space="preserve"> </w:t>
      </w:r>
      <w:r w:rsidR="00487701" w:rsidRPr="00737B63">
        <w:rPr>
          <w:szCs w:val="28"/>
        </w:rPr>
        <w:t>siguientes tres exigencias</w:t>
      </w:r>
      <w:r w:rsidR="00D75B3D" w:rsidRPr="00737B63">
        <w:rPr>
          <w:szCs w:val="28"/>
        </w:rPr>
        <w:t xml:space="preserve">: </w:t>
      </w:r>
      <w:r w:rsidR="00D75B3D" w:rsidRPr="00737B63">
        <w:rPr>
          <w:b/>
          <w:bCs/>
          <w:szCs w:val="28"/>
        </w:rPr>
        <w:t>(</w:t>
      </w:r>
      <w:r w:rsidR="00FE563D" w:rsidRPr="00737B63">
        <w:rPr>
          <w:b/>
          <w:bCs/>
          <w:szCs w:val="28"/>
        </w:rPr>
        <w:t>i)</w:t>
      </w:r>
      <w:r w:rsidR="00FE563D" w:rsidRPr="00737B63">
        <w:rPr>
          <w:szCs w:val="28"/>
        </w:rPr>
        <w:t xml:space="preserve"> el cumplimiento de los requisitos generales de procedibilidad de la acción de tutela contra providencias judiciales</w:t>
      </w:r>
      <w:r w:rsidR="00DA5264" w:rsidRPr="00737B63">
        <w:rPr>
          <w:szCs w:val="28"/>
        </w:rPr>
        <w:t>, que para el caso que ocupa a la Sala i</w:t>
      </w:r>
      <w:r w:rsidR="00BB0449" w:rsidRPr="00737B63">
        <w:rPr>
          <w:szCs w:val="28"/>
        </w:rPr>
        <w:t>nvolucra</w:t>
      </w:r>
      <w:r w:rsidR="00DA5264" w:rsidRPr="00737B63">
        <w:rPr>
          <w:szCs w:val="28"/>
        </w:rPr>
        <w:t xml:space="preserve">, además, la superación de las exigencias </w:t>
      </w:r>
      <w:r w:rsidR="004325C7" w:rsidRPr="00737B63">
        <w:rPr>
          <w:szCs w:val="28"/>
        </w:rPr>
        <w:t xml:space="preserve">ya reseñadas </w:t>
      </w:r>
      <w:r w:rsidR="00DA5264" w:rsidRPr="00737B63">
        <w:rPr>
          <w:szCs w:val="28"/>
        </w:rPr>
        <w:t>en materia de sentencias de nulidad por inconstitucionalidad</w:t>
      </w:r>
      <w:r w:rsidR="00FE563D" w:rsidRPr="00737B63">
        <w:rPr>
          <w:szCs w:val="28"/>
        </w:rPr>
        <w:t xml:space="preserve">; </w:t>
      </w:r>
      <w:r w:rsidR="00FE563D" w:rsidRPr="00737B63">
        <w:rPr>
          <w:b/>
          <w:bCs/>
          <w:szCs w:val="28"/>
        </w:rPr>
        <w:t xml:space="preserve">(ii) </w:t>
      </w:r>
      <w:r w:rsidR="00FE563D" w:rsidRPr="00737B63">
        <w:rPr>
          <w:szCs w:val="28"/>
        </w:rPr>
        <w:t xml:space="preserve">el cumplimiento de uno de los requisitos especiales de procedencia; y </w:t>
      </w:r>
      <w:r w:rsidR="00FE563D" w:rsidRPr="00737B63">
        <w:rPr>
          <w:b/>
          <w:bCs/>
          <w:szCs w:val="28"/>
        </w:rPr>
        <w:t>(iii)</w:t>
      </w:r>
      <w:r w:rsidR="00FE563D" w:rsidRPr="00737B63">
        <w:rPr>
          <w:szCs w:val="28"/>
        </w:rPr>
        <w:t xml:space="preserve"> la configuración de una anomalía de tal entidad</w:t>
      </w:r>
      <w:r w:rsidR="00D75B3D" w:rsidRPr="00737B63">
        <w:rPr>
          <w:szCs w:val="28"/>
        </w:rPr>
        <w:t>,</w:t>
      </w:r>
      <w:r w:rsidR="00FE563D" w:rsidRPr="00737B63">
        <w:rPr>
          <w:szCs w:val="28"/>
        </w:rPr>
        <w:t xml:space="preserve"> que exija la imperiosa intervención del</w:t>
      </w:r>
      <w:r w:rsidR="00FE563D" w:rsidRPr="002E4477">
        <w:rPr>
          <w:szCs w:val="28"/>
        </w:rPr>
        <w:t xml:space="preserve"> juez constitucional.</w:t>
      </w:r>
    </w:p>
    <w:p w14:paraId="4EC53819" w14:textId="77777777" w:rsidR="00E434DD" w:rsidRPr="00437C07" w:rsidRDefault="00E434DD" w:rsidP="00437C07">
      <w:pPr>
        <w:shd w:val="clear" w:color="auto" w:fill="FFFFFF"/>
        <w:jc w:val="both"/>
        <w:rPr>
          <w:szCs w:val="28"/>
        </w:rPr>
      </w:pPr>
    </w:p>
    <w:p w14:paraId="7F05EA79" w14:textId="77777777" w:rsidR="005737DC" w:rsidRPr="00437C07" w:rsidRDefault="00DA439B" w:rsidP="00962603">
      <w:pPr>
        <w:numPr>
          <w:ilvl w:val="0"/>
          <w:numId w:val="10"/>
        </w:numPr>
        <w:shd w:val="clear" w:color="auto" w:fill="FFFFFF"/>
        <w:jc w:val="both"/>
        <w:rPr>
          <w:szCs w:val="28"/>
        </w:rPr>
      </w:pPr>
      <w:r w:rsidRPr="00437C07">
        <w:rPr>
          <w:szCs w:val="28"/>
        </w:rPr>
        <w:t xml:space="preserve">Ahora bien, </w:t>
      </w:r>
      <w:r w:rsidR="008C136B" w:rsidRPr="00437C07">
        <w:rPr>
          <w:szCs w:val="28"/>
        </w:rPr>
        <w:t>teniendo en cuenta</w:t>
      </w:r>
      <w:r w:rsidR="00FE563D" w:rsidRPr="002E4477">
        <w:rPr>
          <w:szCs w:val="28"/>
        </w:rPr>
        <w:t xml:space="preserve"> las particularidades del asunto sometido a revisión, la Sala Plena</w:t>
      </w:r>
      <w:r w:rsidR="00906359" w:rsidRPr="002E4477">
        <w:rPr>
          <w:szCs w:val="28"/>
        </w:rPr>
        <w:t xml:space="preserve"> </w:t>
      </w:r>
      <w:r w:rsidR="005737DC" w:rsidRPr="002E4477">
        <w:rPr>
          <w:szCs w:val="28"/>
        </w:rPr>
        <w:t xml:space="preserve">de </w:t>
      </w:r>
      <w:r w:rsidR="00487701" w:rsidRPr="002E4477">
        <w:rPr>
          <w:szCs w:val="28"/>
        </w:rPr>
        <w:t xml:space="preserve">la Corte Constitucional </w:t>
      </w:r>
      <w:r w:rsidR="00FE563D" w:rsidRPr="002E4477">
        <w:rPr>
          <w:szCs w:val="28"/>
        </w:rPr>
        <w:t xml:space="preserve">considera necesario </w:t>
      </w:r>
      <w:r w:rsidR="001E124D" w:rsidRPr="002E4477">
        <w:rPr>
          <w:szCs w:val="28"/>
        </w:rPr>
        <w:t>destacar</w:t>
      </w:r>
      <w:r w:rsidR="00C2094C" w:rsidRPr="002E4477">
        <w:rPr>
          <w:szCs w:val="28"/>
        </w:rPr>
        <w:t xml:space="preserve"> </w:t>
      </w:r>
      <w:r w:rsidR="00FE563D" w:rsidRPr="002E4477">
        <w:rPr>
          <w:szCs w:val="28"/>
        </w:rPr>
        <w:t xml:space="preserve">la </w:t>
      </w:r>
      <w:r w:rsidR="001E124D" w:rsidRPr="002E4477">
        <w:rPr>
          <w:szCs w:val="28"/>
        </w:rPr>
        <w:t xml:space="preserve">significativa relevancia </w:t>
      </w:r>
      <w:r w:rsidR="00FE563D" w:rsidRPr="002E4477">
        <w:rPr>
          <w:szCs w:val="28"/>
        </w:rPr>
        <w:t xml:space="preserve">que tiene </w:t>
      </w:r>
      <w:r w:rsidR="005737DC" w:rsidRPr="002E4477">
        <w:rPr>
          <w:szCs w:val="28"/>
        </w:rPr>
        <w:t xml:space="preserve">la </w:t>
      </w:r>
      <w:r w:rsidR="001E124D" w:rsidRPr="002E4477">
        <w:rPr>
          <w:szCs w:val="28"/>
        </w:rPr>
        <w:t xml:space="preserve">institución jurídica </w:t>
      </w:r>
      <w:r w:rsidR="005737DC" w:rsidRPr="002E4477">
        <w:rPr>
          <w:szCs w:val="28"/>
        </w:rPr>
        <w:t>de</w:t>
      </w:r>
      <w:r w:rsidR="001E124D" w:rsidRPr="002E4477">
        <w:rPr>
          <w:szCs w:val="28"/>
        </w:rPr>
        <w:t xml:space="preserve"> la </w:t>
      </w:r>
      <w:r w:rsidRPr="002E4477">
        <w:rPr>
          <w:szCs w:val="28"/>
        </w:rPr>
        <w:t xml:space="preserve">acción de </w:t>
      </w:r>
      <w:r w:rsidR="00FE563D" w:rsidRPr="002E4477">
        <w:rPr>
          <w:szCs w:val="28"/>
        </w:rPr>
        <w:t>tutela contra providencia</w:t>
      </w:r>
      <w:r w:rsidR="004634BE" w:rsidRPr="002E4477">
        <w:rPr>
          <w:szCs w:val="28"/>
        </w:rPr>
        <w:t>s</w:t>
      </w:r>
      <w:r w:rsidR="00FE563D" w:rsidRPr="002E4477">
        <w:rPr>
          <w:szCs w:val="28"/>
        </w:rPr>
        <w:t xml:space="preserve"> judicial</w:t>
      </w:r>
      <w:r w:rsidR="004634BE" w:rsidRPr="002E4477">
        <w:rPr>
          <w:szCs w:val="28"/>
        </w:rPr>
        <w:t>es</w:t>
      </w:r>
      <w:r w:rsidRPr="002E4477">
        <w:rPr>
          <w:szCs w:val="28"/>
        </w:rPr>
        <w:t xml:space="preserve">, </w:t>
      </w:r>
      <w:r w:rsidR="00CC2482" w:rsidRPr="002E4477">
        <w:rPr>
          <w:szCs w:val="28"/>
        </w:rPr>
        <w:t xml:space="preserve">precisamente </w:t>
      </w:r>
      <w:r w:rsidRPr="002E4477">
        <w:rPr>
          <w:szCs w:val="28"/>
        </w:rPr>
        <w:t xml:space="preserve">en </w:t>
      </w:r>
      <w:r w:rsidR="00906359" w:rsidRPr="002E4477">
        <w:rPr>
          <w:szCs w:val="28"/>
        </w:rPr>
        <w:t>c</w:t>
      </w:r>
      <w:r w:rsidR="004634BE" w:rsidRPr="002E4477">
        <w:rPr>
          <w:szCs w:val="28"/>
        </w:rPr>
        <w:t>asos</w:t>
      </w:r>
      <w:r w:rsidR="001E124D" w:rsidRPr="002E4477">
        <w:rPr>
          <w:szCs w:val="28"/>
        </w:rPr>
        <w:t xml:space="preserve"> </w:t>
      </w:r>
      <w:r w:rsidR="004634BE" w:rsidRPr="002E4477">
        <w:rPr>
          <w:szCs w:val="28"/>
        </w:rPr>
        <w:t>como el presente</w:t>
      </w:r>
      <w:r w:rsidR="005737DC" w:rsidRPr="002E4477">
        <w:rPr>
          <w:szCs w:val="28"/>
        </w:rPr>
        <w:t xml:space="preserve">. </w:t>
      </w:r>
    </w:p>
    <w:p w14:paraId="21012A88" w14:textId="77777777" w:rsidR="005737DC" w:rsidRPr="002E4477" w:rsidRDefault="005737DC" w:rsidP="005737DC">
      <w:pPr>
        <w:shd w:val="clear" w:color="auto" w:fill="FFFFFF"/>
        <w:jc w:val="both"/>
        <w:rPr>
          <w:szCs w:val="28"/>
          <w:lang w:val="es-CO"/>
        </w:rPr>
      </w:pPr>
    </w:p>
    <w:p w14:paraId="44C95F93" w14:textId="77777777" w:rsidR="00582B4F" w:rsidRPr="002E4477" w:rsidRDefault="00487701" w:rsidP="005737DC">
      <w:pPr>
        <w:shd w:val="clear" w:color="auto" w:fill="FFFFFF"/>
        <w:jc w:val="both"/>
        <w:rPr>
          <w:szCs w:val="28"/>
        </w:rPr>
      </w:pPr>
      <w:r w:rsidRPr="00737B63">
        <w:rPr>
          <w:szCs w:val="28"/>
        </w:rPr>
        <w:t>En esta oportunidad,</w:t>
      </w:r>
      <w:r w:rsidR="009126C4" w:rsidRPr="00737B63">
        <w:rPr>
          <w:szCs w:val="28"/>
        </w:rPr>
        <w:t xml:space="preserve"> de hecho,</w:t>
      </w:r>
      <w:r w:rsidRPr="00737B63">
        <w:rPr>
          <w:szCs w:val="28"/>
        </w:rPr>
        <w:t xml:space="preserve"> se propone </w:t>
      </w:r>
      <w:r w:rsidR="00C2094C" w:rsidRPr="00737B63">
        <w:rPr>
          <w:szCs w:val="28"/>
        </w:rPr>
        <w:t>esta</w:t>
      </w:r>
      <w:r w:rsidRPr="00737B63">
        <w:rPr>
          <w:szCs w:val="28"/>
        </w:rPr>
        <w:t xml:space="preserve"> acción </w:t>
      </w:r>
      <w:r w:rsidR="00C2094C" w:rsidRPr="00737B63">
        <w:rPr>
          <w:szCs w:val="28"/>
        </w:rPr>
        <w:t>constitucional</w:t>
      </w:r>
      <w:r w:rsidR="009126C4" w:rsidRPr="00737B63">
        <w:rPr>
          <w:szCs w:val="28"/>
        </w:rPr>
        <w:t xml:space="preserve"> </w:t>
      </w:r>
      <w:r w:rsidRPr="00737B63">
        <w:rPr>
          <w:szCs w:val="28"/>
        </w:rPr>
        <w:t xml:space="preserve">como un </w:t>
      </w:r>
      <w:r w:rsidR="001E124D" w:rsidRPr="00737B63">
        <w:rPr>
          <w:szCs w:val="28"/>
        </w:rPr>
        <w:t>camino para</w:t>
      </w:r>
      <w:r w:rsidR="00DA439B" w:rsidRPr="00737B63">
        <w:rPr>
          <w:szCs w:val="28"/>
        </w:rPr>
        <w:t xml:space="preserve"> </w:t>
      </w:r>
      <w:r w:rsidR="00FE563D" w:rsidRPr="00737B63">
        <w:rPr>
          <w:szCs w:val="28"/>
        </w:rPr>
        <w:t>preservar</w:t>
      </w:r>
      <w:r w:rsidR="001E124D" w:rsidRPr="00737B63">
        <w:rPr>
          <w:szCs w:val="28"/>
        </w:rPr>
        <w:t xml:space="preserve"> </w:t>
      </w:r>
      <w:r w:rsidR="00FE563D" w:rsidRPr="00737B63">
        <w:rPr>
          <w:szCs w:val="28"/>
        </w:rPr>
        <w:t>la integridad y supremacía de la C</w:t>
      </w:r>
      <w:r w:rsidR="00C2094C" w:rsidRPr="00737B63">
        <w:rPr>
          <w:szCs w:val="28"/>
        </w:rPr>
        <w:t>arta</w:t>
      </w:r>
      <w:r w:rsidR="005737DC" w:rsidRPr="00737B63">
        <w:rPr>
          <w:szCs w:val="28"/>
        </w:rPr>
        <w:t>, para reivindicar</w:t>
      </w:r>
      <w:r w:rsidR="00FE563D" w:rsidRPr="00737B63">
        <w:rPr>
          <w:szCs w:val="28"/>
        </w:rPr>
        <w:t xml:space="preserve"> </w:t>
      </w:r>
      <w:r w:rsidR="00582B4F" w:rsidRPr="00737B63">
        <w:rPr>
          <w:szCs w:val="28"/>
        </w:rPr>
        <w:t xml:space="preserve">atribuciones </w:t>
      </w:r>
      <w:r w:rsidR="00FE563D" w:rsidRPr="00737B63">
        <w:rPr>
          <w:szCs w:val="28"/>
        </w:rPr>
        <w:t>de</w:t>
      </w:r>
      <w:r w:rsidR="00C2094C" w:rsidRPr="00737B63">
        <w:rPr>
          <w:szCs w:val="28"/>
        </w:rPr>
        <w:t xml:space="preserve">l Tribunal Constitucional </w:t>
      </w:r>
      <w:r w:rsidR="005737DC" w:rsidRPr="00737B63">
        <w:rPr>
          <w:szCs w:val="28"/>
        </w:rPr>
        <w:t xml:space="preserve">en discusión y para recuperar </w:t>
      </w:r>
      <w:r w:rsidR="00DA439B" w:rsidRPr="00737B63">
        <w:rPr>
          <w:szCs w:val="28"/>
        </w:rPr>
        <w:t xml:space="preserve">competencias </w:t>
      </w:r>
      <w:r w:rsidR="008C136B" w:rsidRPr="00737B63">
        <w:rPr>
          <w:szCs w:val="28"/>
        </w:rPr>
        <w:t xml:space="preserve">contendidas </w:t>
      </w:r>
      <w:r w:rsidR="00DA439B" w:rsidRPr="00737B63">
        <w:rPr>
          <w:szCs w:val="28"/>
        </w:rPr>
        <w:t>de órganos constitucionales</w:t>
      </w:r>
      <w:r w:rsidR="00C2094C" w:rsidRPr="00737B63">
        <w:rPr>
          <w:szCs w:val="28"/>
        </w:rPr>
        <w:t xml:space="preserve"> como el CSJ,</w:t>
      </w:r>
      <w:r w:rsidR="00582B4F" w:rsidRPr="00737B63">
        <w:rPr>
          <w:szCs w:val="28"/>
        </w:rPr>
        <w:t xml:space="preserve"> </w:t>
      </w:r>
      <w:r w:rsidR="00C2094C" w:rsidRPr="00737B63">
        <w:rPr>
          <w:szCs w:val="28"/>
        </w:rPr>
        <w:t xml:space="preserve">como </w:t>
      </w:r>
      <w:r w:rsidR="00C2094C" w:rsidRPr="00737B63">
        <w:rPr>
          <w:i/>
          <w:iCs/>
          <w:szCs w:val="28"/>
        </w:rPr>
        <w:t>última ratio</w:t>
      </w:r>
      <w:r w:rsidR="00C2094C" w:rsidRPr="00737B63">
        <w:rPr>
          <w:szCs w:val="28"/>
        </w:rPr>
        <w:t xml:space="preserve"> para la protección de derechos</w:t>
      </w:r>
      <w:r w:rsidR="009126C4" w:rsidRPr="00737B63">
        <w:rPr>
          <w:szCs w:val="28"/>
        </w:rPr>
        <w:t xml:space="preserve"> fundamentales </w:t>
      </w:r>
      <w:r w:rsidR="008C36C8" w:rsidRPr="00737B63">
        <w:rPr>
          <w:szCs w:val="28"/>
        </w:rPr>
        <w:t>vulnerados</w:t>
      </w:r>
      <w:r w:rsidR="009126C4" w:rsidRPr="00737B63">
        <w:rPr>
          <w:szCs w:val="28"/>
        </w:rPr>
        <w:t xml:space="preserve"> y la protección de competencias</w:t>
      </w:r>
      <w:r w:rsidR="00E434DD" w:rsidRPr="00737B63">
        <w:rPr>
          <w:szCs w:val="28"/>
        </w:rPr>
        <w:t xml:space="preserve"> funcionales</w:t>
      </w:r>
      <w:r w:rsidR="009126C4" w:rsidRPr="00737B63">
        <w:rPr>
          <w:szCs w:val="28"/>
        </w:rPr>
        <w:t xml:space="preserve"> de carácter estructural.</w:t>
      </w:r>
      <w:r w:rsidR="008C136B" w:rsidRPr="002E4477">
        <w:rPr>
          <w:szCs w:val="28"/>
        </w:rPr>
        <w:t xml:space="preserve"> </w:t>
      </w:r>
    </w:p>
    <w:p w14:paraId="7C645EC5" w14:textId="77777777" w:rsidR="00582B4F" w:rsidRPr="002E4477" w:rsidRDefault="00582B4F" w:rsidP="005737DC">
      <w:pPr>
        <w:shd w:val="clear" w:color="auto" w:fill="FFFFFF"/>
        <w:jc w:val="both"/>
        <w:rPr>
          <w:szCs w:val="28"/>
        </w:rPr>
      </w:pPr>
    </w:p>
    <w:p w14:paraId="319499A3" w14:textId="77777777" w:rsidR="00001030" w:rsidRPr="00737B63" w:rsidRDefault="00CC2482" w:rsidP="00072A07">
      <w:pPr>
        <w:shd w:val="clear" w:color="auto" w:fill="FFFFFF"/>
        <w:jc w:val="both"/>
        <w:rPr>
          <w:szCs w:val="28"/>
        </w:rPr>
      </w:pPr>
      <w:r w:rsidRPr="002E4477">
        <w:rPr>
          <w:szCs w:val="28"/>
        </w:rPr>
        <w:t xml:space="preserve">De este modo, </w:t>
      </w:r>
      <w:r w:rsidR="001E124D" w:rsidRPr="002E4477">
        <w:rPr>
          <w:szCs w:val="28"/>
        </w:rPr>
        <w:t>independientemente o no del resultado</w:t>
      </w:r>
      <w:r w:rsidR="00714FC3" w:rsidRPr="002E4477">
        <w:rPr>
          <w:szCs w:val="28"/>
        </w:rPr>
        <w:t xml:space="preserve"> </w:t>
      </w:r>
      <w:r w:rsidR="005737DC" w:rsidRPr="002E4477">
        <w:rPr>
          <w:szCs w:val="28"/>
        </w:rPr>
        <w:t xml:space="preserve">final </w:t>
      </w:r>
      <w:r w:rsidR="008C36C8" w:rsidRPr="002E4477">
        <w:rPr>
          <w:szCs w:val="28"/>
        </w:rPr>
        <w:t>de</w:t>
      </w:r>
      <w:r w:rsidR="009126C4" w:rsidRPr="002E4477">
        <w:rPr>
          <w:szCs w:val="28"/>
        </w:rPr>
        <w:t xml:space="preserve"> este</w:t>
      </w:r>
      <w:r w:rsidR="008C36C8" w:rsidRPr="002E4477">
        <w:rPr>
          <w:szCs w:val="28"/>
        </w:rPr>
        <w:t xml:space="preserve"> </w:t>
      </w:r>
      <w:r w:rsidR="005737DC" w:rsidRPr="002E4477">
        <w:rPr>
          <w:szCs w:val="28"/>
        </w:rPr>
        <w:t>proceso</w:t>
      </w:r>
      <w:r w:rsidR="001E124D" w:rsidRPr="002E4477">
        <w:rPr>
          <w:szCs w:val="28"/>
        </w:rPr>
        <w:t xml:space="preserve">, </w:t>
      </w:r>
      <w:r w:rsidR="00487701" w:rsidRPr="002E4477">
        <w:rPr>
          <w:szCs w:val="28"/>
        </w:rPr>
        <w:t xml:space="preserve">es </w:t>
      </w:r>
      <w:r w:rsidR="001E124D" w:rsidRPr="002E4477">
        <w:rPr>
          <w:szCs w:val="28"/>
        </w:rPr>
        <w:t>notable</w:t>
      </w:r>
      <w:r w:rsidR="00714FC3" w:rsidRPr="002E4477">
        <w:rPr>
          <w:szCs w:val="28"/>
        </w:rPr>
        <w:t xml:space="preserve"> </w:t>
      </w:r>
      <w:r w:rsidR="00D951F4" w:rsidRPr="002E4477">
        <w:rPr>
          <w:szCs w:val="28"/>
        </w:rPr>
        <w:t xml:space="preserve">evidenciar </w:t>
      </w:r>
      <w:r w:rsidR="00487701" w:rsidRPr="002E4477">
        <w:rPr>
          <w:szCs w:val="28"/>
        </w:rPr>
        <w:t xml:space="preserve">el </w:t>
      </w:r>
      <w:r w:rsidR="00714FC3" w:rsidRPr="002E4477">
        <w:rPr>
          <w:szCs w:val="28"/>
        </w:rPr>
        <w:t>alcance y</w:t>
      </w:r>
      <w:r w:rsidR="001E124D" w:rsidRPr="002E4477">
        <w:rPr>
          <w:szCs w:val="28"/>
        </w:rPr>
        <w:t xml:space="preserve"> la pertinencia de </w:t>
      </w:r>
      <w:r w:rsidR="00487701" w:rsidRPr="002E4477">
        <w:rPr>
          <w:szCs w:val="28"/>
        </w:rPr>
        <w:t>l</w:t>
      </w:r>
      <w:r w:rsidR="005737DC" w:rsidRPr="002E4477">
        <w:rPr>
          <w:szCs w:val="28"/>
        </w:rPr>
        <w:t>a</w:t>
      </w:r>
      <w:r w:rsidR="001E124D" w:rsidRPr="002E4477">
        <w:rPr>
          <w:szCs w:val="28"/>
        </w:rPr>
        <w:t xml:space="preserve"> institución jurídica</w:t>
      </w:r>
      <w:r w:rsidR="005737DC" w:rsidRPr="002E4477">
        <w:rPr>
          <w:szCs w:val="28"/>
        </w:rPr>
        <w:t xml:space="preserve"> </w:t>
      </w:r>
      <w:r w:rsidR="00487701" w:rsidRPr="002E4477">
        <w:rPr>
          <w:szCs w:val="28"/>
        </w:rPr>
        <w:t xml:space="preserve">de </w:t>
      </w:r>
      <w:r w:rsidR="005737DC" w:rsidRPr="002E4477">
        <w:rPr>
          <w:szCs w:val="28"/>
        </w:rPr>
        <w:t xml:space="preserve">la </w:t>
      </w:r>
      <w:r w:rsidR="005737DC" w:rsidRPr="00737B63">
        <w:rPr>
          <w:szCs w:val="28"/>
        </w:rPr>
        <w:t>tutela</w:t>
      </w:r>
      <w:r w:rsidR="008C136B" w:rsidRPr="00737B63">
        <w:rPr>
          <w:szCs w:val="28"/>
        </w:rPr>
        <w:t xml:space="preserve"> contra providencias</w:t>
      </w:r>
      <w:r w:rsidR="00487701" w:rsidRPr="00737B63">
        <w:rPr>
          <w:szCs w:val="28"/>
        </w:rPr>
        <w:t xml:space="preserve"> judiciales</w:t>
      </w:r>
      <w:r w:rsidR="005737DC" w:rsidRPr="00737B63">
        <w:rPr>
          <w:szCs w:val="28"/>
        </w:rPr>
        <w:t xml:space="preserve">, como </w:t>
      </w:r>
      <w:r w:rsidR="008C136B" w:rsidRPr="00737B63">
        <w:rPr>
          <w:szCs w:val="28"/>
        </w:rPr>
        <w:t xml:space="preserve">expresión o respuesta plausible y necesaria, a </w:t>
      </w:r>
      <w:r w:rsidR="00487701" w:rsidRPr="00737B63">
        <w:rPr>
          <w:szCs w:val="28"/>
        </w:rPr>
        <w:t>situaciones</w:t>
      </w:r>
      <w:r w:rsidR="008C136B" w:rsidRPr="00737B63">
        <w:rPr>
          <w:szCs w:val="28"/>
        </w:rPr>
        <w:t xml:space="preserve"> constitucionales complejas, a través del </w:t>
      </w:r>
      <w:r w:rsidR="005737DC" w:rsidRPr="00737B63">
        <w:rPr>
          <w:szCs w:val="28"/>
        </w:rPr>
        <w:t xml:space="preserve">control concreto de constitucionalidad. </w:t>
      </w:r>
    </w:p>
    <w:p w14:paraId="2CD6D59D" w14:textId="77777777" w:rsidR="00C2094C" w:rsidRPr="00737B63" w:rsidRDefault="00C2094C" w:rsidP="00EA4A00">
      <w:pPr>
        <w:shd w:val="clear" w:color="auto" w:fill="FFFFFF"/>
        <w:jc w:val="both"/>
        <w:rPr>
          <w:szCs w:val="28"/>
          <w:lang w:val="es-CO" w:eastAsia="es-CO"/>
        </w:rPr>
      </w:pPr>
    </w:p>
    <w:p w14:paraId="48CDA1E1" w14:textId="77777777" w:rsidR="005A550D" w:rsidRPr="00737B63" w:rsidRDefault="00E434DD" w:rsidP="004325C7">
      <w:pPr>
        <w:numPr>
          <w:ilvl w:val="0"/>
          <w:numId w:val="10"/>
        </w:numPr>
        <w:shd w:val="clear" w:color="auto" w:fill="FFFFFF"/>
        <w:jc w:val="both"/>
        <w:rPr>
          <w:szCs w:val="28"/>
        </w:rPr>
      </w:pPr>
      <w:r w:rsidRPr="00737B63">
        <w:rPr>
          <w:szCs w:val="28"/>
        </w:rPr>
        <w:t>Por ende</w:t>
      </w:r>
      <w:r w:rsidR="008C36C8" w:rsidRPr="00737B63">
        <w:rPr>
          <w:szCs w:val="28"/>
        </w:rPr>
        <w:t>,</w:t>
      </w:r>
      <w:r w:rsidR="00072A07" w:rsidRPr="00737B63">
        <w:rPr>
          <w:szCs w:val="28"/>
        </w:rPr>
        <w:t xml:space="preserve"> </w:t>
      </w:r>
      <w:r w:rsidR="00CC2482" w:rsidRPr="00737B63">
        <w:rPr>
          <w:szCs w:val="28"/>
        </w:rPr>
        <w:t xml:space="preserve">una vez </w:t>
      </w:r>
      <w:r w:rsidR="005A550D" w:rsidRPr="00737B63">
        <w:rPr>
          <w:szCs w:val="28"/>
        </w:rPr>
        <w:t>revisado</w:t>
      </w:r>
      <w:r w:rsidR="00582B4F" w:rsidRPr="00737B63">
        <w:rPr>
          <w:szCs w:val="28"/>
        </w:rPr>
        <w:t>s</w:t>
      </w:r>
      <w:r w:rsidR="005A550D" w:rsidRPr="00737B63">
        <w:rPr>
          <w:szCs w:val="28"/>
        </w:rPr>
        <w:t xml:space="preserve"> los distintos aspectos teóricos y pr</w:t>
      </w:r>
      <w:r w:rsidR="00582B4F" w:rsidRPr="00737B63">
        <w:rPr>
          <w:szCs w:val="28"/>
        </w:rPr>
        <w:t>ácticos</w:t>
      </w:r>
      <w:r w:rsidR="005A550D" w:rsidRPr="00737B63">
        <w:rPr>
          <w:szCs w:val="28"/>
        </w:rPr>
        <w:t xml:space="preserve"> que intervienen en el conflicto</w:t>
      </w:r>
      <w:r w:rsidR="00D951F4" w:rsidRPr="00737B63">
        <w:rPr>
          <w:szCs w:val="28"/>
        </w:rPr>
        <w:t xml:space="preserve"> que aquí se presenta</w:t>
      </w:r>
      <w:r w:rsidR="005A550D" w:rsidRPr="00737B63">
        <w:rPr>
          <w:szCs w:val="28"/>
        </w:rPr>
        <w:t xml:space="preserve">, así como la </w:t>
      </w:r>
      <w:r w:rsidR="00D951F4" w:rsidRPr="00737B63">
        <w:rPr>
          <w:szCs w:val="28"/>
        </w:rPr>
        <w:t xml:space="preserve">importancia </w:t>
      </w:r>
      <w:r w:rsidR="005A550D" w:rsidRPr="00737B63">
        <w:rPr>
          <w:szCs w:val="28"/>
        </w:rPr>
        <w:t>de la acción de tutela contra providencias</w:t>
      </w:r>
      <w:r w:rsidR="00D951F4" w:rsidRPr="00737B63">
        <w:rPr>
          <w:szCs w:val="28"/>
        </w:rPr>
        <w:t xml:space="preserve"> judiciales</w:t>
      </w:r>
      <w:r w:rsidR="005A550D" w:rsidRPr="00737B63">
        <w:rPr>
          <w:szCs w:val="28"/>
        </w:rPr>
        <w:t>,</w:t>
      </w:r>
      <w:r w:rsidR="00001030" w:rsidRPr="00737B63">
        <w:rPr>
          <w:szCs w:val="28"/>
        </w:rPr>
        <w:t xml:space="preserve"> </w:t>
      </w:r>
      <w:r w:rsidR="004F26C4" w:rsidRPr="00737B63">
        <w:rPr>
          <w:szCs w:val="28"/>
        </w:rPr>
        <w:t xml:space="preserve">entrará la </w:t>
      </w:r>
      <w:r w:rsidR="009125EE" w:rsidRPr="00737B63">
        <w:rPr>
          <w:szCs w:val="28"/>
        </w:rPr>
        <w:t xml:space="preserve">Sala </w:t>
      </w:r>
      <w:r w:rsidR="004F26C4" w:rsidRPr="00737B63">
        <w:rPr>
          <w:szCs w:val="28"/>
        </w:rPr>
        <w:t xml:space="preserve">a considerar </w:t>
      </w:r>
      <w:r w:rsidR="00072A07" w:rsidRPr="00737B63">
        <w:rPr>
          <w:szCs w:val="28"/>
        </w:rPr>
        <w:t xml:space="preserve">a continuación, </w:t>
      </w:r>
      <w:r w:rsidR="004F26C4" w:rsidRPr="00737B63">
        <w:rPr>
          <w:szCs w:val="28"/>
        </w:rPr>
        <w:t>las circunstancias particulares</w:t>
      </w:r>
      <w:r w:rsidRPr="00737B63">
        <w:rPr>
          <w:szCs w:val="28"/>
        </w:rPr>
        <w:t xml:space="preserve"> que dieron lugar a </w:t>
      </w:r>
      <w:r w:rsidR="004325C7" w:rsidRPr="00737B63">
        <w:rPr>
          <w:szCs w:val="28"/>
        </w:rPr>
        <w:t>la compleja</w:t>
      </w:r>
      <w:r w:rsidRPr="00737B63">
        <w:rPr>
          <w:szCs w:val="28"/>
        </w:rPr>
        <w:t xml:space="preserve"> situación</w:t>
      </w:r>
      <w:r w:rsidR="004325C7" w:rsidRPr="00737B63">
        <w:rPr>
          <w:szCs w:val="28"/>
        </w:rPr>
        <w:t xml:space="preserve"> que hoy se presenta</w:t>
      </w:r>
      <w:r w:rsidR="004F26C4" w:rsidRPr="00737B63">
        <w:rPr>
          <w:szCs w:val="28"/>
        </w:rPr>
        <w:t xml:space="preserve">, con la claridad de que se trata de una </w:t>
      </w:r>
      <w:r w:rsidR="00D951F4" w:rsidRPr="00737B63">
        <w:rPr>
          <w:szCs w:val="28"/>
        </w:rPr>
        <w:t xml:space="preserve">controversia </w:t>
      </w:r>
      <w:r w:rsidR="004F26C4" w:rsidRPr="00737B63">
        <w:rPr>
          <w:szCs w:val="28"/>
        </w:rPr>
        <w:t>paradigmática en el orden institucional y jurídico</w:t>
      </w:r>
      <w:r w:rsidR="005A550D" w:rsidRPr="00737B63">
        <w:rPr>
          <w:szCs w:val="28"/>
        </w:rPr>
        <w:t xml:space="preserve"> nacional</w:t>
      </w:r>
      <w:r w:rsidR="004F26C4" w:rsidRPr="00737B63">
        <w:rPr>
          <w:szCs w:val="28"/>
        </w:rPr>
        <w:t>, que requiere de la máxima</w:t>
      </w:r>
      <w:r w:rsidR="005A550D" w:rsidRPr="00737B63">
        <w:rPr>
          <w:szCs w:val="28"/>
        </w:rPr>
        <w:t xml:space="preserve"> </w:t>
      </w:r>
      <w:r w:rsidR="007E2FB0" w:rsidRPr="00737B63">
        <w:rPr>
          <w:szCs w:val="28"/>
        </w:rPr>
        <w:t xml:space="preserve">disposición </w:t>
      </w:r>
      <w:r w:rsidR="000E6B17" w:rsidRPr="00737B63">
        <w:rPr>
          <w:szCs w:val="28"/>
        </w:rPr>
        <w:t xml:space="preserve">de </w:t>
      </w:r>
      <w:r w:rsidR="005A550D" w:rsidRPr="00737B63">
        <w:rPr>
          <w:szCs w:val="28"/>
        </w:rPr>
        <w:t>todas las autoridades</w:t>
      </w:r>
      <w:r w:rsidR="000E6B17" w:rsidRPr="00737B63">
        <w:rPr>
          <w:szCs w:val="28"/>
        </w:rPr>
        <w:t xml:space="preserve"> involucradas</w:t>
      </w:r>
      <w:r w:rsidRPr="00737B63">
        <w:rPr>
          <w:szCs w:val="28"/>
        </w:rPr>
        <w:t>,</w:t>
      </w:r>
      <w:r w:rsidR="004F26C4" w:rsidRPr="00737B63">
        <w:rPr>
          <w:szCs w:val="28"/>
        </w:rPr>
        <w:t xml:space="preserve"> p</w:t>
      </w:r>
      <w:r w:rsidR="000E6B17" w:rsidRPr="00737B63">
        <w:rPr>
          <w:szCs w:val="28"/>
        </w:rPr>
        <w:t>ara</w:t>
      </w:r>
      <w:r w:rsidR="004F26C4" w:rsidRPr="00737B63">
        <w:rPr>
          <w:szCs w:val="28"/>
        </w:rPr>
        <w:t xml:space="preserve"> asegura</w:t>
      </w:r>
      <w:r w:rsidR="00D951F4" w:rsidRPr="00737B63">
        <w:rPr>
          <w:szCs w:val="28"/>
        </w:rPr>
        <w:t>r</w:t>
      </w:r>
      <w:r w:rsidR="00407AE0" w:rsidRPr="00737B63">
        <w:rPr>
          <w:szCs w:val="28"/>
        </w:rPr>
        <w:t xml:space="preserve"> como prioridad</w:t>
      </w:r>
      <w:r w:rsidR="000E6B17" w:rsidRPr="00737B63">
        <w:rPr>
          <w:szCs w:val="28"/>
        </w:rPr>
        <w:t xml:space="preserve">, </w:t>
      </w:r>
      <w:r w:rsidR="00D951F4" w:rsidRPr="00737B63">
        <w:rPr>
          <w:szCs w:val="28"/>
        </w:rPr>
        <w:t xml:space="preserve">más que la prevalencia o no de alguna de las posiciones jurídicas enfrentadas, </w:t>
      </w:r>
      <w:r w:rsidR="004F26C4" w:rsidRPr="00737B63">
        <w:rPr>
          <w:szCs w:val="28"/>
        </w:rPr>
        <w:t xml:space="preserve">el </w:t>
      </w:r>
      <w:r w:rsidR="005A550D" w:rsidRPr="00737B63">
        <w:rPr>
          <w:szCs w:val="28"/>
        </w:rPr>
        <w:t xml:space="preserve">respeto </w:t>
      </w:r>
      <w:r w:rsidR="000E6B17" w:rsidRPr="00737B63">
        <w:rPr>
          <w:szCs w:val="28"/>
        </w:rPr>
        <w:t>por</w:t>
      </w:r>
      <w:r w:rsidR="005A550D" w:rsidRPr="00737B63">
        <w:rPr>
          <w:szCs w:val="28"/>
        </w:rPr>
        <w:t xml:space="preserve"> la C</w:t>
      </w:r>
      <w:r w:rsidR="00D951F4" w:rsidRPr="00737B63">
        <w:rPr>
          <w:szCs w:val="28"/>
        </w:rPr>
        <w:t>arta</w:t>
      </w:r>
      <w:r w:rsidR="005A550D" w:rsidRPr="00737B63">
        <w:rPr>
          <w:szCs w:val="28"/>
        </w:rPr>
        <w:t xml:space="preserve"> Polític</w:t>
      </w:r>
      <w:r w:rsidR="00D951F4" w:rsidRPr="00737B63">
        <w:rPr>
          <w:szCs w:val="28"/>
        </w:rPr>
        <w:t xml:space="preserve">a y </w:t>
      </w:r>
      <w:r w:rsidR="00407AE0" w:rsidRPr="00737B63">
        <w:rPr>
          <w:szCs w:val="28"/>
        </w:rPr>
        <w:t>por</w:t>
      </w:r>
      <w:r w:rsidR="007E2FB0" w:rsidRPr="00737B63">
        <w:rPr>
          <w:szCs w:val="28"/>
        </w:rPr>
        <w:t xml:space="preserve"> </w:t>
      </w:r>
      <w:r w:rsidR="00083181" w:rsidRPr="00737B63">
        <w:rPr>
          <w:szCs w:val="28"/>
        </w:rPr>
        <w:t xml:space="preserve">la </w:t>
      </w:r>
      <w:r w:rsidR="005A550D" w:rsidRPr="00737B63">
        <w:rPr>
          <w:szCs w:val="28"/>
        </w:rPr>
        <w:t xml:space="preserve">voluntad </w:t>
      </w:r>
      <w:r w:rsidR="00D951F4" w:rsidRPr="00737B63">
        <w:rPr>
          <w:szCs w:val="28"/>
        </w:rPr>
        <w:t xml:space="preserve">última </w:t>
      </w:r>
      <w:r w:rsidR="005A550D" w:rsidRPr="00737B63">
        <w:rPr>
          <w:szCs w:val="28"/>
        </w:rPr>
        <w:t xml:space="preserve">del constituyente </w:t>
      </w:r>
      <w:r w:rsidR="00165EA7" w:rsidRPr="00737B63">
        <w:rPr>
          <w:szCs w:val="28"/>
        </w:rPr>
        <w:t xml:space="preserve">dirigida a </w:t>
      </w:r>
      <w:r w:rsidR="00CC2482" w:rsidRPr="00737B63">
        <w:rPr>
          <w:szCs w:val="28"/>
        </w:rPr>
        <w:t xml:space="preserve">consolidar una transformación </w:t>
      </w:r>
      <w:r w:rsidR="00EA4A00" w:rsidRPr="00737B63">
        <w:rPr>
          <w:szCs w:val="28"/>
        </w:rPr>
        <w:t xml:space="preserve">efectiva, </w:t>
      </w:r>
      <w:r w:rsidR="00CC2482" w:rsidRPr="00737B63">
        <w:rPr>
          <w:szCs w:val="28"/>
        </w:rPr>
        <w:t>en materia disciplinaria</w:t>
      </w:r>
      <w:r w:rsidR="008C36C8" w:rsidRPr="00737B63">
        <w:rPr>
          <w:szCs w:val="28"/>
        </w:rPr>
        <w:t xml:space="preserve">. </w:t>
      </w:r>
    </w:p>
    <w:p w14:paraId="13C81746" w14:textId="77777777" w:rsidR="005A550D" w:rsidRPr="00437C07" w:rsidRDefault="005A550D" w:rsidP="00437C07">
      <w:pPr>
        <w:shd w:val="clear" w:color="auto" w:fill="FFFFFF"/>
        <w:jc w:val="both"/>
        <w:rPr>
          <w:szCs w:val="28"/>
        </w:rPr>
      </w:pPr>
    </w:p>
    <w:p w14:paraId="7E31866F" w14:textId="77777777" w:rsidR="008C36C8" w:rsidRPr="00737B63" w:rsidRDefault="005A550D" w:rsidP="00962603">
      <w:pPr>
        <w:numPr>
          <w:ilvl w:val="0"/>
          <w:numId w:val="10"/>
        </w:numPr>
        <w:shd w:val="clear" w:color="auto" w:fill="FFFFFF"/>
        <w:jc w:val="both"/>
        <w:rPr>
          <w:szCs w:val="28"/>
        </w:rPr>
      </w:pPr>
      <w:r w:rsidRPr="00737B63">
        <w:rPr>
          <w:szCs w:val="28"/>
        </w:rPr>
        <w:t>Por consiguiente, el</w:t>
      </w:r>
      <w:r w:rsidR="00083181" w:rsidRPr="00737B63">
        <w:rPr>
          <w:szCs w:val="28"/>
        </w:rPr>
        <w:t xml:space="preserve"> </w:t>
      </w:r>
      <w:r w:rsidRPr="00737B63">
        <w:rPr>
          <w:szCs w:val="28"/>
        </w:rPr>
        <w:t>análisis que sigue se</w:t>
      </w:r>
      <w:r w:rsidR="00083181" w:rsidRPr="00737B63">
        <w:rPr>
          <w:szCs w:val="28"/>
        </w:rPr>
        <w:t xml:space="preserve"> desarrollará evaluando l</w:t>
      </w:r>
      <w:r w:rsidR="000E6B17" w:rsidRPr="00737B63">
        <w:rPr>
          <w:szCs w:val="28"/>
        </w:rPr>
        <w:t>os</w:t>
      </w:r>
      <w:r w:rsidR="00083181" w:rsidRPr="00737B63">
        <w:rPr>
          <w:szCs w:val="28"/>
        </w:rPr>
        <w:t xml:space="preserve"> </w:t>
      </w:r>
      <w:r w:rsidRPr="00737B63">
        <w:rPr>
          <w:szCs w:val="28"/>
        </w:rPr>
        <w:t>distint</w:t>
      </w:r>
      <w:r w:rsidR="000E6B17" w:rsidRPr="00737B63">
        <w:rPr>
          <w:szCs w:val="28"/>
        </w:rPr>
        <w:t>os</w:t>
      </w:r>
      <w:r w:rsidRPr="00737B63">
        <w:rPr>
          <w:szCs w:val="28"/>
        </w:rPr>
        <w:t xml:space="preserve"> </w:t>
      </w:r>
      <w:r w:rsidR="00870878" w:rsidRPr="00737B63">
        <w:rPr>
          <w:szCs w:val="28"/>
        </w:rPr>
        <w:t xml:space="preserve">argumentos </w:t>
      </w:r>
      <w:r w:rsidR="00407AE0" w:rsidRPr="00737B63">
        <w:rPr>
          <w:szCs w:val="28"/>
        </w:rPr>
        <w:t>considerados</w:t>
      </w:r>
      <w:r w:rsidR="00870878" w:rsidRPr="00737B63">
        <w:rPr>
          <w:szCs w:val="28"/>
        </w:rPr>
        <w:t xml:space="preserve"> por los</w:t>
      </w:r>
      <w:r w:rsidR="00083181" w:rsidRPr="00737B63">
        <w:rPr>
          <w:szCs w:val="28"/>
        </w:rPr>
        <w:t xml:space="preserve"> demandantes</w:t>
      </w:r>
      <w:r w:rsidR="00407AE0" w:rsidRPr="00737B63">
        <w:rPr>
          <w:szCs w:val="28"/>
        </w:rPr>
        <w:t xml:space="preserve">, </w:t>
      </w:r>
      <w:r w:rsidR="00D951F4" w:rsidRPr="00737B63">
        <w:rPr>
          <w:szCs w:val="28"/>
        </w:rPr>
        <w:t xml:space="preserve">los </w:t>
      </w:r>
      <w:r w:rsidR="00407AE0" w:rsidRPr="00737B63">
        <w:rPr>
          <w:szCs w:val="28"/>
        </w:rPr>
        <w:t xml:space="preserve">jueces </w:t>
      </w:r>
      <w:r w:rsidR="00D951F4" w:rsidRPr="00737B63">
        <w:rPr>
          <w:szCs w:val="28"/>
        </w:rPr>
        <w:t xml:space="preserve">y </w:t>
      </w:r>
      <w:r w:rsidR="00582B4F" w:rsidRPr="00737B63">
        <w:rPr>
          <w:szCs w:val="28"/>
        </w:rPr>
        <w:t>los intervinientes</w:t>
      </w:r>
      <w:r w:rsidR="00870878" w:rsidRPr="00737B63">
        <w:rPr>
          <w:szCs w:val="28"/>
        </w:rPr>
        <w:t xml:space="preserve"> en el proceso</w:t>
      </w:r>
      <w:r w:rsidRPr="00737B63">
        <w:rPr>
          <w:szCs w:val="28"/>
        </w:rPr>
        <w:t xml:space="preserve">, </w:t>
      </w:r>
      <w:r w:rsidR="00407AE0" w:rsidRPr="00737B63">
        <w:rPr>
          <w:szCs w:val="28"/>
        </w:rPr>
        <w:t xml:space="preserve">con respecto </w:t>
      </w:r>
      <w:r w:rsidR="000E6B17" w:rsidRPr="00737B63">
        <w:rPr>
          <w:szCs w:val="28"/>
        </w:rPr>
        <w:t>a</w:t>
      </w:r>
      <w:r w:rsidR="00870878" w:rsidRPr="00737B63">
        <w:rPr>
          <w:szCs w:val="28"/>
        </w:rPr>
        <w:t xml:space="preserve"> los presuntos vicios existentes en la sentencia del </w:t>
      </w:r>
      <w:r w:rsidR="00582B4F" w:rsidRPr="00737B63">
        <w:rPr>
          <w:szCs w:val="28"/>
        </w:rPr>
        <w:t xml:space="preserve">Consejo de Estado del </w:t>
      </w:r>
      <w:r w:rsidR="00870878" w:rsidRPr="00737B63">
        <w:rPr>
          <w:szCs w:val="28"/>
        </w:rPr>
        <w:t>6 de febrero de 2018</w:t>
      </w:r>
      <w:r w:rsidR="00286BA3" w:rsidRPr="00737B63">
        <w:rPr>
          <w:szCs w:val="28"/>
        </w:rPr>
        <w:t>. E</w:t>
      </w:r>
      <w:r w:rsidR="00292BB1" w:rsidRPr="00737B63">
        <w:rPr>
          <w:szCs w:val="28"/>
        </w:rPr>
        <w:t>l propósito</w:t>
      </w:r>
      <w:r w:rsidR="00FB6212" w:rsidRPr="00737B63">
        <w:rPr>
          <w:szCs w:val="28"/>
        </w:rPr>
        <w:t xml:space="preserve"> </w:t>
      </w:r>
      <w:r w:rsidR="00286BA3" w:rsidRPr="00737B63">
        <w:rPr>
          <w:szCs w:val="28"/>
        </w:rPr>
        <w:t xml:space="preserve">será el de </w:t>
      </w:r>
      <w:r w:rsidR="00072A07" w:rsidRPr="00737B63">
        <w:rPr>
          <w:szCs w:val="28"/>
        </w:rPr>
        <w:t>constatar</w:t>
      </w:r>
      <w:r w:rsidR="00D70DC9" w:rsidRPr="00737B63">
        <w:rPr>
          <w:szCs w:val="28"/>
        </w:rPr>
        <w:t xml:space="preserve"> </w:t>
      </w:r>
      <w:r w:rsidR="00072A07" w:rsidRPr="00737B63">
        <w:rPr>
          <w:szCs w:val="28"/>
        </w:rPr>
        <w:t xml:space="preserve">si efectivamente </w:t>
      </w:r>
      <w:r w:rsidR="00D70DC9" w:rsidRPr="00737B63">
        <w:rPr>
          <w:szCs w:val="28"/>
        </w:rPr>
        <w:t>dicha</w:t>
      </w:r>
      <w:r w:rsidR="00FB6212" w:rsidRPr="00737B63">
        <w:rPr>
          <w:szCs w:val="28"/>
        </w:rPr>
        <w:t xml:space="preserve"> providencia</w:t>
      </w:r>
      <w:r w:rsidR="008C36C8" w:rsidRPr="00737B63">
        <w:rPr>
          <w:szCs w:val="28"/>
        </w:rPr>
        <w:t xml:space="preserve"> </w:t>
      </w:r>
      <w:r w:rsidR="002F44B2" w:rsidRPr="00737B63">
        <w:rPr>
          <w:szCs w:val="28"/>
        </w:rPr>
        <w:t>incurrió</w:t>
      </w:r>
      <w:r w:rsidR="008C36C8" w:rsidRPr="00737B63">
        <w:rPr>
          <w:szCs w:val="28"/>
        </w:rPr>
        <w:t xml:space="preserve"> en</w:t>
      </w:r>
      <w:r w:rsidR="004325C7" w:rsidRPr="00737B63">
        <w:rPr>
          <w:szCs w:val="28"/>
        </w:rPr>
        <w:t xml:space="preserve"> </w:t>
      </w:r>
      <w:r w:rsidR="008C36C8" w:rsidRPr="00737B63">
        <w:rPr>
          <w:szCs w:val="28"/>
        </w:rPr>
        <w:t xml:space="preserve">los defectos que alega el CSJ, </w:t>
      </w:r>
      <w:r w:rsidR="005E310E" w:rsidRPr="00737B63">
        <w:rPr>
          <w:szCs w:val="28"/>
        </w:rPr>
        <w:t xml:space="preserve">como </w:t>
      </w:r>
      <w:r w:rsidR="008C36C8" w:rsidRPr="00737B63">
        <w:rPr>
          <w:szCs w:val="28"/>
        </w:rPr>
        <w:t xml:space="preserve">requisitos especiales de procedencia de la tutela contra </w:t>
      </w:r>
      <w:r w:rsidR="00EA4A00" w:rsidRPr="00737B63">
        <w:rPr>
          <w:szCs w:val="28"/>
        </w:rPr>
        <w:t>providencias</w:t>
      </w:r>
      <w:r w:rsidR="008C36C8" w:rsidRPr="00737B63">
        <w:rPr>
          <w:szCs w:val="28"/>
        </w:rPr>
        <w:t xml:space="preserve"> judiciales</w:t>
      </w:r>
      <w:r w:rsidR="00292BB1" w:rsidRPr="00737B63">
        <w:rPr>
          <w:szCs w:val="28"/>
        </w:rPr>
        <w:t xml:space="preserve">. </w:t>
      </w:r>
    </w:p>
    <w:p w14:paraId="4CFF3E65" w14:textId="77777777" w:rsidR="00165EA7" w:rsidRPr="002E4477" w:rsidRDefault="00165EA7" w:rsidP="005701CB">
      <w:pPr>
        <w:pStyle w:val="Prrafodelista"/>
        <w:spacing w:line="276" w:lineRule="auto"/>
        <w:ind w:left="0"/>
        <w:rPr>
          <w:b/>
          <w:i/>
          <w:szCs w:val="28"/>
        </w:rPr>
      </w:pPr>
    </w:p>
    <w:p w14:paraId="77097C15" w14:textId="77777777" w:rsidR="002F44B2" w:rsidRPr="00737B63" w:rsidRDefault="002F44B2" w:rsidP="008C36C8">
      <w:pPr>
        <w:pStyle w:val="Prrafodelista"/>
        <w:tabs>
          <w:tab w:val="left" w:pos="426"/>
        </w:tabs>
        <w:ind w:left="0" w:right="40"/>
        <w:contextualSpacing/>
        <w:jc w:val="both"/>
        <w:rPr>
          <w:b/>
          <w:i/>
          <w:szCs w:val="28"/>
        </w:rPr>
      </w:pPr>
      <w:bookmarkStart w:id="32" w:name="_Hlk39487826"/>
      <w:r w:rsidRPr="00737B63">
        <w:rPr>
          <w:b/>
          <w:i/>
          <w:szCs w:val="28"/>
        </w:rPr>
        <w:t>Inexistencia de</w:t>
      </w:r>
      <w:r w:rsidR="002C0FEC" w:rsidRPr="00737B63">
        <w:rPr>
          <w:b/>
          <w:i/>
          <w:szCs w:val="28"/>
        </w:rPr>
        <w:t xml:space="preserve"> </w:t>
      </w:r>
      <w:r w:rsidRPr="00737B63">
        <w:rPr>
          <w:b/>
          <w:i/>
          <w:szCs w:val="28"/>
        </w:rPr>
        <w:t>defecto orgánico, sustantivo y</w:t>
      </w:r>
      <w:r w:rsidR="002C0FEC" w:rsidRPr="00737B63">
        <w:rPr>
          <w:b/>
          <w:i/>
          <w:szCs w:val="28"/>
        </w:rPr>
        <w:t>/o</w:t>
      </w:r>
      <w:r w:rsidRPr="00737B63">
        <w:rPr>
          <w:b/>
          <w:i/>
          <w:szCs w:val="28"/>
        </w:rPr>
        <w:t xml:space="preserve"> de desconocimiento del precedente</w:t>
      </w:r>
      <w:r w:rsidR="007257E1" w:rsidRPr="00737B63">
        <w:rPr>
          <w:b/>
          <w:i/>
          <w:szCs w:val="28"/>
        </w:rPr>
        <w:t>,</w:t>
      </w:r>
      <w:r w:rsidR="005D2961" w:rsidRPr="00737B63">
        <w:rPr>
          <w:b/>
          <w:i/>
          <w:szCs w:val="28"/>
        </w:rPr>
        <w:t xml:space="preserve"> y existencia</w:t>
      </w:r>
      <w:r w:rsidR="00AB44A1" w:rsidRPr="00737B63">
        <w:rPr>
          <w:b/>
          <w:i/>
          <w:szCs w:val="28"/>
        </w:rPr>
        <w:t xml:space="preserve"> </w:t>
      </w:r>
      <w:r w:rsidR="005701CB" w:rsidRPr="00737B63">
        <w:rPr>
          <w:b/>
          <w:i/>
          <w:szCs w:val="28"/>
        </w:rPr>
        <w:t xml:space="preserve">defecto </w:t>
      </w:r>
      <w:r w:rsidR="00AF16AB" w:rsidRPr="00737B63">
        <w:rPr>
          <w:b/>
          <w:i/>
          <w:szCs w:val="28"/>
        </w:rPr>
        <w:t xml:space="preserve">denominado </w:t>
      </w:r>
      <w:r w:rsidR="007257E1" w:rsidRPr="00737B63">
        <w:rPr>
          <w:b/>
          <w:i/>
          <w:szCs w:val="28"/>
        </w:rPr>
        <w:t>v</w:t>
      </w:r>
      <w:r w:rsidR="005D2961" w:rsidRPr="00737B63">
        <w:rPr>
          <w:b/>
          <w:i/>
          <w:szCs w:val="28"/>
        </w:rPr>
        <w:t>iolación directa de la Constitución.</w:t>
      </w:r>
    </w:p>
    <w:p w14:paraId="41EA3833" w14:textId="77777777" w:rsidR="00EC330A" w:rsidRPr="00737B63" w:rsidRDefault="00EC330A" w:rsidP="005701CB">
      <w:pPr>
        <w:pStyle w:val="Prrafodelista"/>
        <w:tabs>
          <w:tab w:val="left" w:pos="426"/>
        </w:tabs>
        <w:spacing w:line="276" w:lineRule="auto"/>
        <w:ind w:left="0" w:right="40"/>
        <w:contextualSpacing/>
        <w:jc w:val="both"/>
        <w:rPr>
          <w:bCs/>
          <w:i/>
          <w:szCs w:val="28"/>
        </w:rPr>
      </w:pPr>
    </w:p>
    <w:p w14:paraId="517ADF0F" w14:textId="77777777" w:rsidR="005B38BE" w:rsidRPr="00737B63" w:rsidRDefault="005B38BE" w:rsidP="005B38BE">
      <w:pPr>
        <w:numPr>
          <w:ilvl w:val="0"/>
          <w:numId w:val="10"/>
        </w:numPr>
        <w:jc w:val="both"/>
        <w:rPr>
          <w:bCs/>
          <w:szCs w:val="28"/>
        </w:rPr>
      </w:pPr>
      <w:r w:rsidRPr="00737B63">
        <w:rPr>
          <w:bCs/>
          <w:szCs w:val="28"/>
        </w:rPr>
        <w:t xml:space="preserve">El CSJ alegó en este proceso, la existencia de varios defectos en la providencia del </w:t>
      </w:r>
      <w:r w:rsidR="003572A4" w:rsidRPr="00737B63">
        <w:rPr>
          <w:bCs/>
          <w:szCs w:val="28"/>
        </w:rPr>
        <w:t>6 de febrero del 2018</w:t>
      </w:r>
      <w:r w:rsidRPr="00737B63">
        <w:rPr>
          <w:bCs/>
          <w:szCs w:val="28"/>
        </w:rPr>
        <w:t xml:space="preserve">, consistentes en la aparente </w:t>
      </w:r>
      <w:r w:rsidR="003572A4" w:rsidRPr="00737B63">
        <w:rPr>
          <w:bCs/>
          <w:szCs w:val="28"/>
        </w:rPr>
        <w:t>presencia</w:t>
      </w:r>
      <w:r w:rsidRPr="00737B63">
        <w:rPr>
          <w:bCs/>
          <w:szCs w:val="28"/>
        </w:rPr>
        <w:t xml:space="preserve"> de </w:t>
      </w:r>
      <w:r w:rsidR="005701CB" w:rsidRPr="00737B63">
        <w:rPr>
          <w:bCs/>
          <w:szCs w:val="28"/>
        </w:rPr>
        <w:t xml:space="preserve">los </w:t>
      </w:r>
      <w:r w:rsidRPr="00737B63">
        <w:rPr>
          <w:bCs/>
          <w:szCs w:val="28"/>
        </w:rPr>
        <w:t>defecto</w:t>
      </w:r>
      <w:r w:rsidR="003572A4" w:rsidRPr="00737B63">
        <w:rPr>
          <w:bCs/>
          <w:szCs w:val="28"/>
        </w:rPr>
        <w:t>s</w:t>
      </w:r>
      <w:r w:rsidRPr="00737B63">
        <w:rPr>
          <w:bCs/>
          <w:szCs w:val="28"/>
        </w:rPr>
        <w:t xml:space="preserve"> orgánico</w:t>
      </w:r>
      <w:r w:rsidR="003572A4" w:rsidRPr="00737B63">
        <w:rPr>
          <w:bCs/>
          <w:szCs w:val="28"/>
        </w:rPr>
        <w:t xml:space="preserve">, </w:t>
      </w:r>
      <w:r w:rsidRPr="00737B63">
        <w:rPr>
          <w:bCs/>
          <w:szCs w:val="28"/>
        </w:rPr>
        <w:t>sustantivo</w:t>
      </w:r>
      <w:r w:rsidR="003572A4" w:rsidRPr="00737B63">
        <w:rPr>
          <w:b/>
          <w:i/>
          <w:szCs w:val="28"/>
        </w:rPr>
        <w:t xml:space="preserve"> </w:t>
      </w:r>
      <w:r w:rsidR="003572A4" w:rsidRPr="00737B63">
        <w:rPr>
          <w:bCs/>
          <w:iCs/>
          <w:szCs w:val="28"/>
        </w:rPr>
        <w:t>y</w:t>
      </w:r>
      <w:r w:rsidR="007345F5" w:rsidRPr="00737B63">
        <w:rPr>
          <w:bCs/>
          <w:iCs/>
          <w:szCs w:val="28"/>
        </w:rPr>
        <w:t xml:space="preserve"> de </w:t>
      </w:r>
      <w:r w:rsidR="003572A4" w:rsidRPr="00737B63">
        <w:rPr>
          <w:bCs/>
          <w:iCs/>
          <w:szCs w:val="28"/>
        </w:rPr>
        <w:t>desconocimiento del precedente,</w:t>
      </w:r>
      <w:r w:rsidRPr="00737B63">
        <w:rPr>
          <w:bCs/>
          <w:szCs w:val="28"/>
        </w:rPr>
        <w:t xml:space="preserve"> además </w:t>
      </w:r>
      <w:r w:rsidR="00AF16AB" w:rsidRPr="00737B63">
        <w:rPr>
          <w:bCs/>
          <w:szCs w:val="28"/>
        </w:rPr>
        <w:t xml:space="preserve">del </w:t>
      </w:r>
      <w:r w:rsidR="007257E1" w:rsidRPr="00737B63">
        <w:rPr>
          <w:bCs/>
          <w:szCs w:val="28"/>
        </w:rPr>
        <w:t>relacionado</w:t>
      </w:r>
      <w:r w:rsidR="003572A4" w:rsidRPr="00737B63">
        <w:rPr>
          <w:bCs/>
          <w:szCs w:val="28"/>
        </w:rPr>
        <w:t xml:space="preserve"> </w:t>
      </w:r>
      <w:r w:rsidR="00AF16AB" w:rsidRPr="00737B63">
        <w:rPr>
          <w:bCs/>
          <w:szCs w:val="28"/>
        </w:rPr>
        <w:t>con</w:t>
      </w:r>
      <w:r w:rsidR="003572A4" w:rsidRPr="00737B63">
        <w:rPr>
          <w:bCs/>
          <w:szCs w:val="28"/>
        </w:rPr>
        <w:t xml:space="preserve"> la</w:t>
      </w:r>
      <w:r w:rsidR="00AF16AB" w:rsidRPr="00737B63">
        <w:rPr>
          <w:bCs/>
          <w:szCs w:val="28"/>
        </w:rPr>
        <w:t xml:space="preserve"> presunta</w:t>
      </w:r>
      <w:r w:rsidRPr="00737B63">
        <w:rPr>
          <w:bCs/>
          <w:szCs w:val="28"/>
        </w:rPr>
        <w:t xml:space="preserve"> </w:t>
      </w:r>
      <w:r w:rsidRPr="00737B63">
        <w:rPr>
          <w:b/>
          <w:i/>
          <w:iCs/>
          <w:szCs w:val="28"/>
        </w:rPr>
        <w:t>violación directa de la Constitución</w:t>
      </w:r>
      <w:r w:rsidRPr="00737B63">
        <w:rPr>
          <w:bCs/>
          <w:szCs w:val="28"/>
        </w:rPr>
        <w:t>.</w:t>
      </w:r>
      <w:r w:rsidR="003572A4" w:rsidRPr="00737B63">
        <w:rPr>
          <w:bCs/>
          <w:szCs w:val="28"/>
        </w:rPr>
        <w:t xml:space="preserve"> </w:t>
      </w:r>
      <w:r w:rsidR="00077D7E" w:rsidRPr="00737B63">
        <w:rPr>
          <w:bCs/>
          <w:szCs w:val="28"/>
        </w:rPr>
        <w:t xml:space="preserve">En ese sentido, </w:t>
      </w:r>
      <w:r w:rsidR="003572A4" w:rsidRPr="00737B63">
        <w:rPr>
          <w:bCs/>
          <w:szCs w:val="28"/>
        </w:rPr>
        <w:t xml:space="preserve">la Sala </w:t>
      </w:r>
      <w:r w:rsidR="007710F4" w:rsidRPr="00737B63">
        <w:rPr>
          <w:bCs/>
          <w:szCs w:val="28"/>
        </w:rPr>
        <w:t xml:space="preserve">iniciará con </w:t>
      </w:r>
      <w:r w:rsidR="00AB44A1" w:rsidRPr="00737B63">
        <w:rPr>
          <w:bCs/>
          <w:szCs w:val="28"/>
        </w:rPr>
        <w:t xml:space="preserve">algunas </w:t>
      </w:r>
      <w:r w:rsidR="003572A4" w:rsidRPr="00737B63">
        <w:rPr>
          <w:bCs/>
          <w:szCs w:val="28"/>
        </w:rPr>
        <w:t>precisiones</w:t>
      </w:r>
      <w:r w:rsidR="00AF16AB" w:rsidRPr="00737B63">
        <w:rPr>
          <w:bCs/>
          <w:szCs w:val="28"/>
        </w:rPr>
        <w:t xml:space="preserve">, </w:t>
      </w:r>
      <w:r w:rsidR="00AB44A1" w:rsidRPr="00737B63">
        <w:rPr>
          <w:bCs/>
          <w:szCs w:val="28"/>
        </w:rPr>
        <w:t>por considerar que el defecto que aquí se presenta de manera puntual,</w:t>
      </w:r>
      <w:r w:rsidR="007710F4" w:rsidRPr="00737B63">
        <w:rPr>
          <w:bCs/>
          <w:szCs w:val="28"/>
        </w:rPr>
        <w:t xml:space="preserve"> más que tratarse de alguno de los tres </w:t>
      </w:r>
      <w:r w:rsidR="005701CB" w:rsidRPr="00737B63">
        <w:rPr>
          <w:bCs/>
          <w:szCs w:val="28"/>
        </w:rPr>
        <w:t xml:space="preserve">primeros </w:t>
      </w:r>
      <w:r w:rsidR="007710F4" w:rsidRPr="00737B63">
        <w:rPr>
          <w:bCs/>
          <w:szCs w:val="28"/>
        </w:rPr>
        <w:t>enunciados,</w:t>
      </w:r>
      <w:r w:rsidR="00AB44A1" w:rsidRPr="00737B63">
        <w:rPr>
          <w:bCs/>
          <w:szCs w:val="28"/>
        </w:rPr>
        <w:t xml:space="preserve"> responde</w:t>
      </w:r>
      <w:r w:rsidR="007710F4" w:rsidRPr="00737B63">
        <w:rPr>
          <w:bCs/>
          <w:szCs w:val="28"/>
        </w:rPr>
        <w:t xml:space="preserve"> preferentemente y</w:t>
      </w:r>
      <w:r w:rsidR="00AB44A1" w:rsidRPr="00737B63">
        <w:rPr>
          <w:bCs/>
          <w:szCs w:val="28"/>
        </w:rPr>
        <w:t xml:space="preserve"> por su especialidad, al </w:t>
      </w:r>
      <w:r w:rsidR="00AF16AB" w:rsidRPr="00737B63">
        <w:rPr>
          <w:bCs/>
          <w:szCs w:val="28"/>
        </w:rPr>
        <w:t xml:space="preserve">denominado </w:t>
      </w:r>
      <w:r w:rsidR="005701CB" w:rsidRPr="00737B63">
        <w:rPr>
          <w:bCs/>
          <w:szCs w:val="28"/>
        </w:rPr>
        <w:t xml:space="preserve">defecto de </w:t>
      </w:r>
      <w:r w:rsidR="003572A4" w:rsidRPr="00737B63">
        <w:rPr>
          <w:b/>
          <w:i/>
          <w:iCs/>
          <w:szCs w:val="28"/>
        </w:rPr>
        <w:t>violación directa de la Constitución</w:t>
      </w:r>
      <w:r w:rsidR="003572A4" w:rsidRPr="00737B63">
        <w:rPr>
          <w:bCs/>
          <w:szCs w:val="28"/>
        </w:rPr>
        <w:t>.</w:t>
      </w:r>
    </w:p>
    <w:p w14:paraId="71CC16D1" w14:textId="77777777" w:rsidR="005B38BE" w:rsidRPr="00737B63" w:rsidRDefault="005B38BE" w:rsidP="005B38BE">
      <w:pPr>
        <w:jc w:val="both"/>
        <w:rPr>
          <w:bCs/>
          <w:szCs w:val="28"/>
        </w:rPr>
      </w:pPr>
    </w:p>
    <w:p w14:paraId="3D943DFF" w14:textId="77777777" w:rsidR="002D286B" w:rsidRPr="00737B63" w:rsidRDefault="007710F4" w:rsidP="00A75910">
      <w:pPr>
        <w:numPr>
          <w:ilvl w:val="0"/>
          <w:numId w:val="10"/>
        </w:numPr>
        <w:ind w:right="40"/>
        <w:jc w:val="both"/>
        <w:rPr>
          <w:bCs/>
          <w:szCs w:val="28"/>
        </w:rPr>
      </w:pPr>
      <w:r w:rsidRPr="00737B63">
        <w:rPr>
          <w:bCs/>
          <w:szCs w:val="28"/>
        </w:rPr>
        <w:t xml:space="preserve">Así, en primer lugar, en </w:t>
      </w:r>
      <w:r w:rsidR="002D286B" w:rsidRPr="00737B63">
        <w:rPr>
          <w:bCs/>
          <w:szCs w:val="28"/>
        </w:rPr>
        <w:t xml:space="preserve">lo que atañe al </w:t>
      </w:r>
      <w:r w:rsidR="005B38BE" w:rsidRPr="00737B63">
        <w:rPr>
          <w:b/>
          <w:i/>
          <w:iCs/>
          <w:szCs w:val="28"/>
        </w:rPr>
        <w:t>defecto orgánico</w:t>
      </w:r>
      <w:r w:rsidR="005B38BE" w:rsidRPr="00737B63">
        <w:rPr>
          <w:bCs/>
          <w:szCs w:val="28"/>
        </w:rPr>
        <w:t>, el CSJ</w:t>
      </w:r>
      <w:r w:rsidR="002D286B" w:rsidRPr="00737B63">
        <w:rPr>
          <w:bCs/>
          <w:szCs w:val="28"/>
        </w:rPr>
        <w:t xml:space="preserve"> afirmó en su momento, que </w:t>
      </w:r>
      <w:r w:rsidR="005B38BE" w:rsidRPr="00737B63">
        <w:rPr>
          <w:bCs/>
          <w:szCs w:val="28"/>
        </w:rPr>
        <w:t xml:space="preserve">el análisis que el Consejo de Estado adelantó en la providencia, </w:t>
      </w:r>
      <w:r w:rsidR="007345F5" w:rsidRPr="00737B63">
        <w:rPr>
          <w:bCs/>
          <w:szCs w:val="28"/>
        </w:rPr>
        <w:t xml:space="preserve">en realidad </w:t>
      </w:r>
      <w:r w:rsidR="005B38BE" w:rsidRPr="00737B63">
        <w:rPr>
          <w:bCs/>
          <w:szCs w:val="28"/>
        </w:rPr>
        <w:t>sustituyó al constituyente por desconocer los artículos 257 y 257A</w:t>
      </w:r>
      <w:r w:rsidR="00AB44A1" w:rsidRPr="00737B63">
        <w:rPr>
          <w:bCs/>
          <w:szCs w:val="28"/>
        </w:rPr>
        <w:t xml:space="preserve"> de la Carta</w:t>
      </w:r>
      <w:r w:rsidR="00203777" w:rsidRPr="00737B63">
        <w:rPr>
          <w:bCs/>
          <w:szCs w:val="28"/>
        </w:rPr>
        <w:t xml:space="preserve"> y </w:t>
      </w:r>
      <w:r w:rsidR="007257E1" w:rsidRPr="00737B63">
        <w:rPr>
          <w:bCs/>
          <w:szCs w:val="28"/>
        </w:rPr>
        <w:t xml:space="preserve"> </w:t>
      </w:r>
      <w:r w:rsidR="005B38BE" w:rsidRPr="00737B63">
        <w:rPr>
          <w:bCs/>
          <w:szCs w:val="28"/>
        </w:rPr>
        <w:t xml:space="preserve">el precedente establecido en la Sentencia C-285 de 2016 </w:t>
      </w:r>
      <w:r w:rsidR="00737B63">
        <w:rPr>
          <w:bCs/>
          <w:szCs w:val="28"/>
        </w:rPr>
        <w:t xml:space="preserve">de la </w:t>
      </w:r>
      <w:r w:rsidR="005B38BE" w:rsidRPr="00737B63">
        <w:rPr>
          <w:bCs/>
          <w:szCs w:val="28"/>
        </w:rPr>
        <w:t>Corte Constitucional</w:t>
      </w:r>
      <w:r w:rsidR="007257E1" w:rsidRPr="00737B63">
        <w:rPr>
          <w:bCs/>
          <w:szCs w:val="28"/>
        </w:rPr>
        <w:t>,</w:t>
      </w:r>
      <w:r w:rsidR="005B38BE" w:rsidRPr="00737B63">
        <w:rPr>
          <w:bCs/>
          <w:szCs w:val="28"/>
        </w:rPr>
        <w:t xml:space="preserve"> </w:t>
      </w:r>
      <w:r w:rsidR="00203777" w:rsidRPr="00737B63">
        <w:rPr>
          <w:bCs/>
          <w:szCs w:val="28"/>
        </w:rPr>
        <w:t xml:space="preserve">para luego </w:t>
      </w:r>
      <w:r w:rsidR="005B38BE" w:rsidRPr="00737B63">
        <w:rPr>
          <w:bCs/>
          <w:szCs w:val="28"/>
        </w:rPr>
        <w:t>asign</w:t>
      </w:r>
      <w:r w:rsidR="002D286B" w:rsidRPr="00737B63">
        <w:rPr>
          <w:bCs/>
          <w:szCs w:val="28"/>
        </w:rPr>
        <w:t>arle</w:t>
      </w:r>
      <w:r w:rsidR="005B38BE" w:rsidRPr="00737B63">
        <w:rPr>
          <w:bCs/>
          <w:szCs w:val="28"/>
        </w:rPr>
        <w:t xml:space="preserve"> al Congreso una competencia que la Constitución no le atribuyó</w:t>
      </w:r>
      <w:r w:rsidR="00AB44A1" w:rsidRPr="00737B63">
        <w:rPr>
          <w:bCs/>
          <w:szCs w:val="28"/>
        </w:rPr>
        <w:t>,</w:t>
      </w:r>
      <w:r w:rsidR="00203777" w:rsidRPr="00737B63">
        <w:rPr>
          <w:bCs/>
          <w:szCs w:val="28"/>
        </w:rPr>
        <w:t xml:space="preserve"> en cuanto a la regulación de la convocatoria pública requerida para conformar las ternas </w:t>
      </w:r>
      <w:r w:rsidR="00AB44A1" w:rsidRPr="00737B63">
        <w:rPr>
          <w:bCs/>
          <w:szCs w:val="28"/>
        </w:rPr>
        <w:t xml:space="preserve">necesarias para </w:t>
      </w:r>
      <w:r w:rsidRPr="00737B63">
        <w:rPr>
          <w:bCs/>
          <w:szCs w:val="28"/>
        </w:rPr>
        <w:t>conformar</w:t>
      </w:r>
      <w:r w:rsidR="00203777" w:rsidRPr="00737B63">
        <w:rPr>
          <w:bCs/>
          <w:szCs w:val="28"/>
        </w:rPr>
        <w:t xml:space="preserve"> a la CNDJ. </w:t>
      </w:r>
    </w:p>
    <w:p w14:paraId="7B1B3307" w14:textId="77777777" w:rsidR="00203777" w:rsidRPr="00737B63" w:rsidRDefault="00203777" w:rsidP="00203777">
      <w:pPr>
        <w:ind w:right="40"/>
        <w:jc w:val="both"/>
        <w:rPr>
          <w:bCs/>
          <w:szCs w:val="28"/>
        </w:rPr>
      </w:pPr>
    </w:p>
    <w:p w14:paraId="5D819A1D" w14:textId="77777777" w:rsidR="008F1674" w:rsidRPr="00737B63" w:rsidRDefault="002D286B" w:rsidP="0065585A">
      <w:pPr>
        <w:numPr>
          <w:ilvl w:val="0"/>
          <w:numId w:val="10"/>
        </w:numPr>
        <w:jc w:val="both"/>
        <w:rPr>
          <w:szCs w:val="28"/>
        </w:rPr>
      </w:pPr>
      <w:r w:rsidRPr="00737B63">
        <w:rPr>
          <w:bCs/>
          <w:iCs/>
          <w:szCs w:val="28"/>
        </w:rPr>
        <w:t>En ese sentido, si bien</w:t>
      </w:r>
      <w:r w:rsidR="00077D7E" w:rsidRPr="00737B63">
        <w:rPr>
          <w:iCs/>
        </w:rPr>
        <w:t xml:space="preserve"> la jurisprudencia constitucional ha establecido que el defecto orgánico tiene un carácter</w:t>
      </w:r>
      <w:r w:rsidR="00077D7E" w:rsidRPr="00737B63">
        <w:rPr>
          <w:i/>
          <w:iCs/>
        </w:rPr>
        <w:t xml:space="preserve"> “(i) funcional, cuando la autoridad judicial extralimita de forma manifiesta el ámbito de las competencias otorgadas tanto por la Carta Política como por la ley; o (ii) temporal, cuando los jueces a pesar de contar con ciertas atribuciones para realizar determinada conducta, lo hace por fuera del término consagrado para ello”</w:t>
      </w:r>
      <w:r w:rsidR="00077D7E" w:rsidRPr="00737B63">
        <w:rPr>
          <w:rStyle w:val="Refdenotaalpie"/>
          <w:i/>
          <w:iCs/>
        </w:rPr>
        <w:footnoteReference w:id="330"/>
      </w:r>
      <w:r w:rsidR="00077D7E" w:rsidRPr="00737B63">
        <w:rPr>
          <w:i/>
          <w:iCs/>
        </w:rPr>
        <w:t xml:space="preserve">, </w:t>
      </w:r>
      <w:r w:rsidR="008F1674" w:rsidRPr="00737B63">
        <w:rPr>
          <w:szCs w:val="28"/>
        </w:rPr>
        <w:t xml:space="preserve">también ha señalado que </w:t>
      </w:r>
      <w:r w:rsidR="00A3135E" w:rsidRPr="00737B63">
        <w:rPr>
          <w:szCs w:val="28"/>
        </w:rPr>
        <w:t xml:space="preserve">ese defecto </w:t>
      </w:r>
      <w:r w:rsidR="008F1674" w:rsidRPr="00737B63">
        <w:rPr>
          <w:szCs w:val="28"/>
        </w:rPr>
        <w:t>es fruto del desconocimiento de los artículos 121</w:t>
      </w:r>
      <w:r w:rsidR="0065585A" w:rsidRPr="00737B63">
        <w:rPr>
          <w:szCs w:val="28"/>
        </w:rPr>
        <w:t xml:space="preserve"> y 29</w:t>
      </w:r>
      <w:r w:rsidR="008F1674" w:rsidRPr="00737B63">
        <w:rPr>
          <w:szCs w:val="28"/>
        </w:rPr>
        <w:t xml:space="preserve"> de la Constitución</w:t>
      </w:r>
      <w:r w:rsidR="00376862" w:rsidRPr="00737B63">
        <w:rPr>
          <w:szCs w:val="28"/>
        </w:rPr>
        <w:t>.</w:t>
      </w:r>
      <w:r w:rsidR="008F1674" w:rsidRPr="00737B63">
        <w:rPr>
          <w:szCs w:val="28"/>
        </w:rPr>
        <w:t xml:space="preserve"> </w:t>
      </w:r>
      <w:r w:rsidR="00376862" w:rsidRPr="00737B63">
        <w:rPr>
          <w:szCs w:val="28"/>
        </w:rPr>
        <w:t>E</w:t>
      </w:r>
      <w:r w:rsidR="0065585A" w:rsidRPr="00737B63">
        <w:rPr>
          <w:szCs w:val="28"/>
        </w:rPr>
        <w:t>l primero, por</w:t>
      </w:r>
      <w:r w:rsidR="008F1674" w:rsidRPr="00737B63">
        <w:rPr>
          <w:szCs w:val="28"/>
        </w:rPr>
        <w:t>que dispone que las autoridades del Estado solo pueden ejercer las funciones que les asigna la Constitución y la ley</w:t>
      </w:r>
      <w:r w:rsidR="007710F4" w:rsidRPr="00737B63">
        <w:rPr>
          <w:szCs w:val="28"/>
        </w:rPr>
        <w:t>;</w:t>
      </w:r>
      <w:r w:rsidR="008F1674" w:rsidRPr="00737B63">
        <w:rPr>
          <w:szCs w:val="28"/>
        </w:rPr>
        <w:t xml:space="preserve"> </w:t>
      </w:r>
      <w:r w:rsidR="0065585A" w:rsidRPr="00737B63">
        <w:rPr>
          <w:szCs w:val="28"/>
        </w:rPr>
        <w:t>y el segundo, por</w:t>
      </w:r>
      <w:r w:rsidR="00E70555" w:rsidRPr="00737B63">
        <w:rPr>
          <w:szCs w:val="28"/>
        </w:rPr>
        <w:t xml:space="preserve">que </w:t>
      </w:r>
      <w:r w:rsidR="008F1674" w:rsidRPr="00737B63">
        <w:rPr>
          <w:szCs w:val="28"/>
        </w:rPr>
        <w:t xml:space="preserve">establece que los ciudadanos deben ser juzgados por </w:t>
      </w:r>
      <w:r w:rsidR="0065585A" w:rsidRPr="00737B63">
        <w:rPr>
          <w:szCs w:val="28"/>
        </w:rPr>
        <w:t xml:space="preserve">el </w:t>
      </w:r>
      <w:r w:rsidR="008F1674" w:rsidRPr="00737B63">
        <w:rPr>
          <w:szCs w:val="28"/>
        </w:rPr>
        <w:t xml:space="preserve">juez o tribunal competente, esto es, por quien la Constitución o la ley </w:t>
      </w:r>
      <w:r w:rsidR="000E5F58" w:rsidRPr="00737B63">
        <w:rPr>
          <w:szCs w:val="28"/>
        </w:rPr>
        <w:t>de</w:t>
      </w:r>
      <w:r w:rsidR="008F1674" w:rsidRPr="00737B63">
        <w:rPr>
          <w:szCs w:val="28"/>
        </w:rPr>
        <w:t xml:space="preserve">signó </w:t>
      </w:r>
      <w:r w:rsidR="000E5F58" w:rsidRPr="00737B63">
        <w:rPr>
          <w:szCs w:val="28"/>
        </w:rPr>
        <w:t xml:space="preserve">para el </w:t>
      </w:r>
      <w:r w:rsidR="008F1674" w:rsidRPr="00737B63">
        <w:rPr>
          <w:szCs w:val="28"/>
        </w:rPr>
        <w:t xml:space="preserve">conocimiento de un determinado </w:t>
      </w:r>
      <w:r w:rsidR="000E5F58" w:rsidRPr="00737B63">
        <w:rPr>
          <w:szCs w:val="28"/>
        </w:rPr>
        <w:t>asunto</w:t>
      </w:r>
      <w:r w:rsidR="008F1674" w:rsidRPr="00737B63">
        <w:rPr>
          <w:szCs w:val="28"/>
          <w:vertAlign w:val="superscript"/>
        </w:rPr>
        <w:footnoteReference w:id="331"/>
      </w:r>
      <w:r w:rsidR="008F1674" w:rsidRPr="00737B63">
        <w:rPr>
          <w:szCs w:val="28"/>
        </w:rPr>
        <w:t xml:space="preserve">.  </w:t>
      </w:r>
    </w:p>
    <w:p w14:paraId="50022D11" w14:textId="77777777" w:rsidR="008F1674" w:rsidRPr="00737B63" w:rsidRDefault="008F1674" w:rsidP="008F1674">
      <w:pPr>
        <w:jc w:val="both"/>
        <w:rPr>
          <w:szCs w:val="28"/>
        </w:rPr>
      </w:pPr>
    </w:p>
    <w:p w14:paraId="7E87B98B" w14:textId="77777777" w:rsidR="002D286B" w:rsidRPr="00737B63" w:rsidRDefault="00D814C6" w:rsidP="000E5F58">
      <w:pPr>
        <w:numPr>
          <w:ilvl w:val="0"/>
          <w:numId w:val="10"/>
        </w:numPr>
        <w:tabs>
          <w:tab w:val="left" w:pos="426"/>
        </w:tabs>
        <w:ind w:right="40"/>
        <w:contextualSpacing/>
        <w:jc w:val="both"/>
        <w:rPr>
          <w:bCs/>
          <w:i/>
          <w:szCs w:val="28"/>
        </w:rPr>
      </w:pPr>
      <w:r w:rsidRPr="00737B63">
        <w:t>Bajo estos parámetros,</w:t>
      </w:r>
      <w:r w:rsidR="00A3135E" w:rsidRPr="00737B63">
        <w:t xml:space="preserve"> </w:t>
      </w:r>
      <w:r w:rsidR="00AB44A1" w:rsidRPr="00737B63">
        <w:t>como</w:t>
      </w:r>
      <w:r w:rsidR="00A3135E" w:rsidRPr="00737B63">
        <w:t xml:space="preserve"> la discusión que aquí se plantea gira en torno a una interpretación que orgánicamente s</w:t>
      </w:r>
      <w:r w:rsidR="008A4EBE" w:rsidRPr="00737B63">
        <w:t>í</w:t>
      </w:r>
      <w:r w:rsidR="00A3135E" w:rsidRPr="00737B63">
        <w:t xml:space="preserve"> puede desplegar el Consejo de Estado</w:t>
      </w:r>
      <w:r w:rsidR="00E70555" w:rsidRPr="00737B63">
        <w:t xml:space="preserve"> </w:t>
      </w:r>
      <w:r w:rsidR="00A3135E" w:rsidRPr="00737B63">
        <w:t>como titular del medio de control de la nulidad por inconstitucionalidad</w:t>
      </w:r>
      <w:r w:rsidRPr="00737B63">
        <w:t>,</w:t>
      </w:r>
      <w:r w:rsidR="00C57047" w:rsidRPr="00737B63">
        <w:rPr>
          <w:i/>
          <w:iCs/>
        </w:rPr>
        <w:t xml:space="preserve"> </w:t>
      </w:r>
      <w:r w:rsidR="00A3135E" w:rsidRPr="00737B63">
        <w:t xml:space="preserve">y que </w:t>
      </w:r>
      <w:r w:rsidR="00E70555" w:rsidRPr="00737B63">
        <w:rPr>
          <w:bCs/>
          <w:szCs w:val="28"/>
        </w:rPr>
        <w:t xml:space="preserve">las críticas esgrimidas por el CSJ y atribuidas al defecto mencionado, surgen básicamente de </w:t>
      </w:r>
      <w:r w:rsidR="008A4EBE" w:rsidRPr="00737B63">
        <w:rPr>
          <w:bCs/>
          <w:szCs w:val="28"/>
        </w:rPr>
        <w:t xml:space="preserve">la indebida valoración </w:t>
      </w:r>
      <w:r w:rsidR="00E70555" w:rsidRPr="00737B63">
        <w:rPr>
          <w:bCs/>
          <w:szCs w:val="28"/>
        </w:rPr>
        <w:t xml:space="preserve">dada por la providencia a los artículos constitucionales involucrados, el defecto que </w:t>
      </w:r>
      <w:r w:rsidR="008A4EBE" w:rsidRPr="00737B63">
        <w:rPr>
          <w:bCs/>
          <w:szCs w:val="28"/>
        </w:rPr>
        <w:t xml:space="preserve">realmente </w:t>
      </w:r>
      <w:r w:rsidR="007710F4" w:rsidRPr="00737B63">
        <w:rPr>
          <w:bCs/>
          <w:szCs w:val="28"/>
        </w:rPr>
        <w:t xml:space="preserve">cobija </w:t>
      </w:r>
      <w:r w:rsidR="00E70555" w:rsidRPr="00737B63">
        <w:rPr>
          <w:bCs/>
          <w:szCs w:val="28"/>
        </w:rPr>
        <w:t>los cuestionamientos</w:t>
      </w:r>
      <w:r w:rsidR="007710F4" w:rsidRPr="00737B63">
        <w:rPr>
          <w:bCs/>
          <w:szCs w:val="28"/>
        </w:rPr>
        <w:t xml:space="preserve"> y las objeciones</w:t>
      </w:r>
      <w:r w:rsidR="00E70555" w:rsidRPr="00737B63">
        <w:rPr>
          <w:bCs/>
          <w:szCs w:val="28"/>
        </w:rPr>
        <w:t xml:space="preserve"> del CSJ </w:t>
      </w:r>
      <w:r w:rsidR="00D65E73" w:rsidRPr="00737B63">
        <w:rPr>
          <w:bCs/>
          <w:szCs w:val="28"/>
        </w:rPr>
        <w:t>en este punto</w:t>
      </w:r>
      <w:r w:rsidR="0065585A" w:rsidRPr="00737B63">
        <w:rPr>
          <w:bCs/>
          <w:szCs w:val="28"/>
        </w:rPr>
        <w:t>, es el de</w:t>
      </w:r>
      <w:r w:rsidR="00E70555" w:rsidRPr="00737B63">
        <w:rPr>
          <w:bCs/>
          <w:szCs w:val="28"/>
        </w:rPr>
        <w:t xml:space="preserve"> </w:t>
      </w:r>
      <w:r w:rsidR="00E70555" w:rsidRPr="00737B63">
        <w:rPr>
          <w:bCs/>
          <w:i/>
          <w:iCs/>
          <w:szCs w:val="28"/>
        </w:rPr>
        <w:t>violación directa de la Carta</w:t>
      </w:r>
      <w:r w:rsidRPr="00737B63">
        <w:rPr>
          <w:bCs/>
          <w:szCs w:val="28"/>
        </w:rPr>
        <w:t>.</w:t>
      </w:r>
      <w:r w:rsidR="00D65E73" w:rsidRPr="00737B63">
        <w:rPr>
          <w:bCs/>
          <w:szCs w:val="28"/>
        </w:rPr>
        <w:t xml:space="preserve"> </w:t>
      </w:r>
      <w:r w:rsidR="000E5F58" w:rsidRPr="00737B63">
        <w:rPr>
          <w:bCs/>
          <w:i/>
          <w:szCs w:val="28"/>
        </w:rPr>
        <w:t xml:space="preserve"> </w:t>
      </w:r>
      <w:r w:rsidR="000E5F58" w:rsidRPr="00737B63">
        <w:rPr>
          <w:bCs/>
          <w:iCs/>
          <w:szCs w:val="28"/>
        </w:rPr>
        <w:t>En consecuencia,</w:t>
      </w:r>
      <w:r w:rsidR="000E5F58" w:rsidRPr="00737B63">
        <w:rPr>
          <w:bCs/>
          <w:i/>
          <w:szCs w:val="28"/>
        </w:rPr>
        <w:t xml:space="preserve"> </w:t>
      </w:r>
      <w:r w:rsidR="005701CB" w:rsidRPr="00737B63">
        <w:t xml:space="preserve">como </w:t>
      </w:r>
      <w:r w:rsidR="00AB44A1" w:rsidRPr="00737B63">
        <w:t xml:space="preserve">el </w:t>
      </w:r>
      <w:r w:rsidR="00C57047" w:rsidRPr="00737B63">
        <w:t xml:space="preserve">debate </w:t>
      </w:r>
      <w:r w:rsidR="00AB44A1" w:rsidRPr="00737B63">
        <w:t xml:space="preserve">que aquí se presenta tiene que ver con el </w:t>
      </w:r>
      <w:r w:rsidR="0065585A" w:rsidRPr="00737B63">
        <w:t>alcance de unas normas constitucionales y</w:t>
      </w:r>
      <w:r w:rsidR="00BF4D29" w:rsidRPr="00737B63">
        <w:t xml:space="preserve"> con el respe</w:t>
      </w:r>
      <w:r w:rsidR="005701CB" w:rsidRPr="00737B63">
        <w:t>t</w:t>
      </w:r>
      <w:r w:rsidR="00BF4D29" w:rsidRPr="00737B63">
        <w:t>o a la cosa juzgada constitucional, y</w:t>
      </w:r>
      <w:r w:rsidR="0065585A" w:rsidRPr="00737B63">
        <w:t xml:space="preserve"> </w:t>
      </w:r>
      <w:r w:rsidR="005701CB" w:rsidRPr="00737B63">
        <w:t>no particularmente</w:t>
      </w:r>
      <w:r w:rsidR="0065585A" w:rsidRPr="00737B63">
        <w:t xml:space="preserve"> </w:t>
      </w:r>
      <w:r w:rsidR="00AB44A1" w:rsidRPr="00737B63">
        <w:t>con</w:t>
      </w:r>
      <w:r w:rsidR="0065585A" w:rsidRPr="00737B63">
        <w:t xml:space="preserve"> la</w:t>
      </w:r>
      <w:r w:rsidR="00C57047" w:rsidRPr="00737B63">
        <w:t xml:space="preserve"> carencia o extralimitación real de las competencias del</w:t>
      </w:r>
      <w:r w:rsidR="00077D7E" w:rsidRPr="00737B63">
        <w:t xml:space="preserve"> operador judicial</w:t>
      </w:r>
      <w:r w:rsidR="000E5F58" w:rsidRPr="00737B63">
        <w:t xml:space="preserve"> involucrado</w:t>
      </w:r>
      <w:r w:rsidR="00C57047" w:rsidRPr="00737B63">
        <w:t xml:space="preserve">, </w:t>
      </w:r>
      <w:r w:rsidR="0065585A" w:rsidRPr="00737B63">
        <w:t xml:space="preserve">la Sala concluye que las objeciones </w:t>
      </w:r>
      <w:r w:rsidR="00BF4D29" w:rsidRPr="00737B63">
        <w:t xml:space="preserve">alegadas </w:t>
      </w:r>
      <w:r w:rsidR="007710F4" w:rsidRPr="00737B63">
        <w:t xml:space="preserve">por el CSJ </w:t>
      </w:r>
      <w:r w:rsidRPr="00737B63">
        <w:t xml:space="preserve">como un posible </w:t>
      </w:r>
      <w:r w:rsidR="0065585A" w:rsidRPr="00737B63">
        <w:t xml:space="preserve">defecto orgánico </w:t>
      </w:r>
      <w:r w:rsidR="00376862" w:rsidRPr="00737B63">
        <w:t>corresponden en realidad</w:t>
      </w:r>
      <w:r w:rsidR="005701CB" w:rsidRPr="00737B63">
        <w:t>,</w:t>
      </w:r>
      <w:r w:rsidR="00376862" w:rsidRPr="00737B63">
        <w:t xml:space="preserve"> a un</w:t>
      </w:r>
      <w:r w:rsidR="007710F4" w:rsidRPr="00737B63">
        <w:t xml:space="preserve"> defecto, por</w:t>
      </w:r>
      <w:r w:rsidR="00376862" w:rsidRPr="00737B63">
        <w:t xml:space="preserve"> </w:t>
      </w:r>
      <w:r w:rsidR="00376862" w:rsidRPr="00737B63">
        <w:rPr>
          <w:i/>
          <w:iCs/>
        </w:rPr>
        <w:t>violación directa</w:t>
      </w:r>
      <w:r w:rsidR="0065585A" w:rsidRPr="00737B63">
        <w:rPr>
          <w:i/>
          <w:iCs/>
        </w:rPr>
        <w:t xml:space="preserve"> de la constitución</w:t>
      </w:r>
      <w:r w:rsidR="00737B63">
        <w:t xml:space="preserve">, como quiera que no hay discusión sobre la competencia que tiene el Consejo de Estado para conocer de la nulidad por inconstitucionalidad que se alega de un acto jurídico que no tiene rango de </w:t>
      </w:r>
      <w:r w:rsidR="00737B63" w:rsidRPr="00737B63">
        <w:t>ley.</w:t>
      </w:r>
    </w:p>
    <w:p w14:paraId="37E5F791" w14:textId="77777777" w:rsidR="007D4877" w:rsidRPr="00737B63" w:rsidRDefault="007D4877" w:rsidP="007D4877">
      <w:pPr>
        <w:pStyle w:val="Prrafodelista"/>
        <w:rPr>
          <w:bCs/>
          <w:i/>
          <w:szCs w:val="28"/>
        </w:rPr>
      </w:pPr>
    </w:p>
    <w:p w14:paraId="0C574913" w14:textId="77777777" w:rsidR="007D4877" w:rsidRPr="00737B63" w:rsidRDefault="005701CB" w:rsidP="00E076B0">
      <w:pPr>
        <w:numPr>
          <w:ilvl w:val="0"/>
          <w:numId w:val="10"/>
        </w:numPr>
        <w:tabs>
          <w:tab w:val="left" w:pos="426"/>
        </w:tabs>
        <w:ind w:right="40"/>
        <w:contextualSpacing/>
        <w:jc w:val="both"/>
        <w:rPr>
          <w:bCs/>
          <w:i/>
          <w:szCs w:val="28"/>
        </w:rPr>
      </w:pPr>
      <w:r w:rsidRPr="00737B63">
        <w:rPr>
          <w:bCs/>
          <w:iCs/>
          <w:szCs w:val="28"/>
        </w:rPr>
        <w:t>E</w:t>
      </w:r>
      <w:r w:rsidR="0065585A" w:rsidRPr="00737B63">
        <w:rPr>
          <w:bCs/>
          <w:iCs/>
          <w:szCs w:val="28"/>
        </w:rPr>
        <w:t xml:space="preserve">n </w:t>
      </w:r>
      <w:r w:rsidR="000E5F58" w:rsidRPr="00737B63">
        <w:rPr>
          <w:bCs/>
          <w:iCs/>
          <w:szCs w:val="28"/>
        </w:rPr>
        <w:t>lo que corresponde</w:t>
      </w:r>
      <w:r w:rsidR="0065585A" w:rsidRPr="00737B63">
        <w:rPr>
          <w:bCs/>
          <w:iCs/>
          <w:szCs w:val="28"/>
        </w:rPr>
        <w:t xml:space="preserve"> al </w:t>
      </w:r>
      <w:r w:rsidR="0065585A" w:rsidRPr="00737B63">
        <w:rPr>
          <w:b/>
          <w:i/>
          <w:szCs w:val="28"/>
        </w:rPr>
        <w:t>defecto sustantivo</w:t>
      </w:r>
      <w:r w:rsidR="00E076B0" w:rsidRPr="00737B63">
        <w:rPr>
          <w:b/>
          <w:i/>
          <w:szCs w:val="28"/>
        </w:rPr>
        <w:t xml:space="preserve"> y al desconocimiento del precedente judicial</w:t>
      </w:r>
      <w:r w:rsidR="000B461B" w:rsidRPr="00737B63">
        <w:rPr>
          <w:bCs/>
          <w:iCs/>
          <w:szCs w:val="28"/>
        </w:rPr>
        <w:t xml:space="preserve"> invocados por el CSJ, </w:t>
      </w:r>
      <w:r w:rsidR="00EA1846" w:rsidRPr="00737B63">
        <w:rPr>
          <w:bCs/>
          <w:iCs/>
          <w:szCs w:val="28"/>
        </w:rPr>
        <w:t xml:space="preserve">- el primer caso </w:t>
      </w:r>
      <w:r w:rsidR="000B461B" w:rsidRPr="00737B63">
        <w:rPr>
          <w:bCs/>
          <w:iCs/>
          <w:szCs w:val="28"/>
        </w:rPr>
        <w:t>por</w:t>
      </w:r>
      <w:r w:rsidR="00E076B0" w:rsidRPr="00737B63">
        <w:rPr>
          <w:bCs/>
          <w:iCs/>
          <w:szCs w:val="28"/>
        </w:rPr>
        <w:t xml:space="preserve"> la decisión del Consejo de Estado de aplicar el artículo 126 de la Carta para las convocatorias</w:t>
      </w:r>
      <w:r w:rsidR="007710F4" w:rsidRPr="00737B63">
        <w:rPr>
          <w:bCs/>
          <w:iCs/>
          <w:szCs w:val="28"/>
        </w:rPr>
        <w:t xml:space="preserve"> públicas</w:t>
      </w:r>
      <w:r w:rsidR="000B461B" w:rsidRPr="00737B63">
        <w:rPr>
          <w:bCs/>
          <w:iCs/>
          <w:szCs w:val="28"/>
        </w:rPr>
        <w:t xml:space="preserve"> regladas</w:t>
      </w:r>
      <w:r w:rsidR="00E076B0" w:rsidRPr="00737B63">
        <w:rPr>
          <w:bCs/>
          <w:iCs/>
          <w:szCs w:val="28"/>
        </w:rPr>
        <w:t xml:space="preserve"> y no el 257A superior</w:t>
      </w:r>
      <w:r w:rsidR="00FD1CBE" w:rsidRPr="00737B63">
        <w:rPr>
          <w:bCs/>
          <w:iCs/>
          <w:szCs w:val="28"/>
        </w:rPr>
        <w:t>;</w:t>
      </w:r>
      <w:r w:rsidR="00E076B0" w:rsidRPr="00737B63">
        <w:rPr>
          <w:bCs/>
          <w:iCs/>
          <w:szCs w:val="28"/>
        </w:rPr>
        <w:t xml:space="preserve"> y el segundo</w:t>
      </w:r>
      <w:r w:rsidRPr="00737B63">
        <w:rPr>
          <w:bCs/>
          <w:iCs/>
          <w:szCs w:val="28"/>
        </w:rPr>
        <w:t xml:space="preserve"> caso</w:t>
      </w:r>
      <w:r w:rsidR="00E076B0" w:rsidRPr="00737B63">
        <w:rPr>
          <w:bCs/>
          <w:iCs/>
          <w:szCs w:val="28"/>
        </w:rPr>
        <w:t>, por</w:t>
      </w:r>
      <w:r w:rsidR="00E076B0" w:rsidRPr="00737B63">
        <w:rPr>
          <w:b/>
          <w:iCs/>
          <w:szCs w:val="28"/>
        </w:rPr>
        <w:t xml:space="preserve"> </w:t>
      </w:r>
      <w:r w:rsidR="00F10A35" w:rsidRPr="00737B63">
        <w:rPr>
          <w:bCs/>
          <w:iCs/>
          <w:szCs w:val="28"/>
        </w:rPr>
        <w:t xml:space="preserve">desconocimiento del precedente judicial establecido en la </w:t>
      </w:r>
      <w:r w:rsidR="00F10A35" w:rsidRPr="00737B63">
        <w:rPr>
          <w:b/>
          <w:iCs/>
          <w:szCs w:val="28"/>
        </w:rPr>
        <w:t>Sentencia C-285 de 2016</w:t>
      </w:r>
      <w:r w:rsidR="000B461B" w:rsidRPr="00737B63">
        <w:rPr>
          <w:bCs/>
          <w:iCs/>
          <w:szCs w:val="28"/>
        </w:rPr>
        <w:t xml:space="preserve">, </w:t>
      </w:r>
      <w:r w:rsidR="00EA1846" w:rsidRPr="00737B63">
        <w:rPr>
          <w:bCs/>
          <w:iCs/>
          <w:szCs w:val="28"/>
        </w:rPr>
        <w:t xml:space="preserve">es pertinente precisar </w:t>
      </w:r>
      <w:r w:rsidR="000B461B" w:rsidRPr="00737B63">
        <w:rPr>
          <w:bCs/>
          <w:iCs/>
          <w:szCs w:val="28"/>
        </w:rPr>
        <w:t xml:space="preserve">que de lo que </w:t>
      </w:r>
      <w:r w:rsidRPr="00737B63">
        <w:rPr>
          <w:bCs/>
          <w:iCs/>
          <w:szCs w:val="28"/>
        </w:rPr>
        <w:t>aquí</w:t>
      </w:r>
      <w:r w:rsidR="000B461B" w:rsidRPr="00737B63">
        <w:rPr>
          <w:bCs/>
          <w:iCs/>
          <w:szCs w:val="28"/>
        </w:rPr>
        <w:t xml:space="preserve"> </w:t>
      </w:r>
      <w:r w:rsidR="00EA1846" w:rsidRPr="00737B63">
        <w:rPr>
          <w:bCs/>
          <w:iCs/>
          <w:szCs w:val="28"/>
        </w:rPr>
        <w:t xml:space="preserve">se trata </w:t>
      </w:r>
      <w:r w:rsidRPr="00737B63">
        <w:rPr>
          <w:bCs/>
          <w:iCs/>
          <w:szCs w:val="28"/>
        </w:rPr>
        <w:t>realmente</w:t>
      </w:r>
      <w:r w:rsidR="00EA1846" w:rsidRPr="00737B63">
        <w:rPr>
          <w:bCs/>
          <w:iCs/>
          <w:szCs w:val="28"/>
        </w:rPr>
        <w:t>, es</w:t>
      </w:r>
      <w:r w:rsidRPr="00737B63">
        <w:rPr>
          <w:bCs/>
          <w:iCs/>
          <w:szCs w:val="28"/>
        </w:rPr>
        <w:t xml:space="preserve"> </w:t>
      </w:r>
      <w:r w:rsidR="000B461B" w:rsidRPr="00737B63">
        <w:rPr>
          <w:bCs/>
          <w:iCs/>
          <w:szCs w:val="28"/>
        </w:rPr>
        <w:t xml:space="preserve">de una </w:t>
      </w:r>
      <w:r w:rsidR="000B461B" w:rsidRPr="00737B63">
        <w:rPr>
          <w:b/>
          <w:i/>
          <w:szCs w:val="28"/>
        </w:rPr>
        <w:t>violación directa de la constitución</w:t>
      </w:r>
      <w:r w:rsidR="000B461B" w:rsidRPr="00737B63">
        <w:rPr>
          <w:bCs/>
          <w:iCs/>
          <w:szCs w:val="28"/>
        </w:rPr>
        <w:t xml:space="preserve"> más que de los efectos argüidos</w:t>
      </w:r>
      <w:r w:rsidR="00EA1846" w:rsidRPr="00737B63">
        <w:rPr>
          <w:bCs/>
          <w:iCs/>
          <w:szCs w:val="28"/>
        </w:rPr>
        <w:t xml:space="preserve"> por la entidad demandante. Lo anterior, debido a </w:t>
      </w:r>
      <w:r w:rsidR="000B461B" w:rsidRPr="00737B63">
        <w:rPr>
          <w:bCs/>
          <w:iCs/>
          <w:szCs w:val="28"/>
        </w:rPr>
        <w:t xml:space="preserve">que ambas hipótesis apuntan a la indebida </w:t>
      </w:r>
      <w:r w:rsidRPr="00737B63">
        <w:rPr>
          <w:bCs/>
          <w:iCs/>
          <w:szCs w:val="28"/>
        </w:rPr>
        <w:t xml:space="preserve">interpretación </w:t>
      </w:r>
      <w:r w:rsidR="000B461B" w:rsidRPr="00737B63">
        <w:rPr>
          <w:bCs/>
          <w:iCs/>
          <w:szCs w:val="28"/>
        </w:rPr>
        <w:t xml:space="preserve">de normas constitucionales, a partir de la </w:t>
      </w:r>
      <w:r w:rsidR="00EA1846" w:rsidRPr="00737B63">
        <w:rPr>
          <w:bCs/>
          <w:iCs/>
          <w:szCs w:val="28"/>
        </w:rPr>
        <w:t xml:space="preserve">ausencia de la valoración adecuada a la </w:t>
      </w:r>
      <w:r w:rsidR="000B461B" w:rsidRPr="00737B63">
        <w:rPr>
          <w:bCs/>
          <w:iCs/>
          <w:szCs w:val="28"/>
        </w:rPr>
        <w:t>integración o modulación de la que fueron objeto</w:t>
      </w:r>
      <w:r w:rsidR="00EA1846" w:rsidRPr="00737B63">
        <w:rPr>
          <w:bCs/>
          <w:iCs/>
          <w:szCs w:val="28"/>
        </w:rPr>
        <w:t xml:space="preserve"> los preceptos constitucionales involucrados</w:t>
      </w:r>
      <w:r w:rsidR="000B461B" w:rsidRPr="00737B63">
        <w:rPr>
          <w:bCs/>
          <w:iCs/>
          <w:szCs w:val="28"/>
        </w:rPr>
        <w:t>, a raíz de</w:t>
      </w:r>
      <w:r w:rsidR="00EA1846" w:rsidRPr="00737B63">
        <w:rPr>
          <w:bCs/>
          <w:iCs/>
          <w:szCs w:val="28"/>
        </w:rPr>
        <w:t>l desconocimiento de</w:t>
      </w:r>
      <w:r w:rsidR="000B461B" w:rsidRPr="00737B63">
        <w:rPr>
          <w:bCs/>
          <w:iCs/>
          <w:szCs w:val="28"/>
        </w:rPr>
        <w:t xml:space="preserve"> la r</w:t>
      </w:r>
      <w:r w:rsidR="000B461B" w:rsidRPr="00737B63">
        <w:rPr>
          <w:bCs/>
          <w:i/>
          <w:szCs w:val="28"/>
        </w:rPr>
        <w:t xml:space="preserve">atio decidendi </w:t>
      </w:r>
      <w:r w:rsidR="000B461B" w:rsidRPr="00737B63">
        <w:rPr>
          <w:bCs/>
          <w:iCs/>
          <w:szCs w:val="28"/>
        </w:rPr>
        <w:t xml:space="preserve">de una sentencia </w:t>
      </w:r>
      <w:r w:rsidR="00EA1846" w:rsidRPr="00737B63">
        <w:rPr>
          <w:bCs/>
          <w:iCs/>
          <w:szCs w:val="28"/>
        </w:rPr>
        <w:t xml:space="preserve">de la Corte </w:t>
      </w:r>
      <w:r w:rsidR="000B461B" w:rsidRPr="00737B63">
        <w:rPr>
          <w:bCs/>
          <w:iCs/>
          <w:szCs w:val="28"/>
        </w:rPr>
        <w:t>que hizo tránsito a cosa juzgada</w:t>
      </w:r>
      <w:r w:rsidR="00EA1846" w:rsidRPr="00737B63">
        <w:rPr>
          <w:bCs/>
          <w:iCs/>
          <w:szCs w:val="28"/>
        </w:rPr>
        <w:t xml:space="preserve"> constitucional</w:t>
      </w:r>
      <w:r w:rsidR="000B461B" w:rsidRPr="00737B63">
        <w:rPr>
          <w:bCs/>
          <w:iCs/>
          <w:szCs w:val="28"/>
        </w:rPr>
        <w:t xml:space="preserve">.  </w:t>
      </w:r>
    </w:p>
    <w:p w14:paraId="0B9B17C0" w14:textId="77777777" w:rsidR="004F3CB0" w:rsidRPr="005E60BA" w:rsidRDefault="004F3CB0" w:rsidP="004F3CB0">
      <w:pPr>
        <w:tabs>
          <w:tab w:val="left" w:pos="426"/>
        </w:tabs>
        <w:ind w:right="40"/>
        <w:contextualSpacing/>
        <w:jc w:val="both"/>
        <w:rPr>
          <w:bCs/>
          <w:i/>
          <w:szCs w:val="28"/>
        </w:rPr>
      </w:pPr>
    </w:p>
    <w:p w14:paraId="57EADCEB" w14:textId="77777777" w:rsidR="00E04D0D" w:rsidRPr="005E60BA" w:rsidRDefault="00E076B0" w:rsidP="002364B1">
      <w:pPr>
        <w:jc w:val="both"/>
        <w:rPr>
          <w:iCs/>
        </w:rPr>
      </w:pPr>
      <w:r w:rsidRPr="005E60BA">
        <w:t>En</w:t>
      </w:r>
      <w:r w:rsidR="000B461B" w:rsidRPr="005E60BA">
        <w:t xml:space="preserve"> ese sentido</w:t>
      </w:r>
      <w:r w:rsidR="00EA1846" w:rsidRPr="005E60BA">
        <w:t>, en</w:t>
      </w:r>
      <w:r w:rsidRPr="005E60BA">
        <w:t xml:space="preserve"> cuanto al </w:t>
      </w:r>
      <w:r w:rsidRPr="005E60BA">
        <w:rPr>
          <w:b/>
          <w:bCs/>
        </w:rPr>
        <w:t>defecto sustantivo</w:t>
      </w:r>
      <w:r w:rsidR="002364B1" w:rsidRPr="005E60BA">
        <w:t xml:space="preserve">, </w:t>
      </w:r>
      <w:r w:rsidR="007710F4" w:rsidRPr="005E60BA">
        <w:t xml:space="preserve">debe decirse que </w:t>
      </w:r>
      <w:r w:rsidR="00020CBA" w:rsidRPr="005E60BA">
        <w:t xml:space="preserve">este </w:t>
      </w:r>
      <w:r w:rsidR="002364B1" w:rsidRPr="005E60BA">
        <w:t xml:space="preserve">se funda en la </w:t>
      </w:r>
      <w:r w:rsidR="00F42749" w:rsidRPr="005E60BA">
        <w:rPr>
          <w:rFonts w:eastAsia="SimSun"/>
          <w:iCs/>
          <w:lang w:eastAsia="zh-CN"/>
        </w:rPr>
        <w:t xml:space="preserve">capacidad que tienen las autoridades judiciales para </w:t>
      </w:r>
      <w:r w:rsidR="00F42749" w:rsidRPr="005E60BA">
        <w:rPr>
          <w:iCs/>
        </w:rPr>
        <w:t>interpretar y aplicar normas jurídicas conforme a su autonomía e independencia judicial</w:t>
      </w:r>
      <w:r w:rsidR="00020CBA" w:rsidRPr="005E60BA">
        <w:rPr>
          <w:iCs/>
        </w:rPr>
        <w:t>,</w:t>
      </w:r>
      <w:r w:rsidR="002364B1" w:rsidRPr="005E60BA">
        <w:rPr>
          <w:iCs/>
        </w:rPr>
        <w:t xml:space="preserve"> y </w:t>
      </w:r>
      <w:r w:rsidR="00020CBA" w:rsidRPr="005E60BA">
        <w:rPr>
          <w:iCs/>
        </w:rPr>
        <w:t xml:space="preserve">al </w:t>
      </w:r>
      <w:r w:rsidR="002364B1" w:rsidRPr="005E60BA">
        <w:rPr>
          <w:iCs/>
        </w:rPr>
        <w:t xml:space="preserve">reconocimiento </w:t>
      </w:r>
      <w:r w:rsidR="00F42749" w:rsidRPr="005E60BA">
        <w:rPr>
          <w:iCs/>
        </w:rPr>
        <w:t>paralelo</w:t>
      </w:r>
      <w:r w:rsidR="00FD1CBE" w:rsidRPr="005E60BA">
        <w:rPr>
          <w:iCs/>
        </w:rPr>
        <w:t>,</w:t>
      </w:r>
      <w:r w:rsidR="00F42749" w:rsidRPr="005E60BA">
        <w:rPr>
          <w:iCs/>
        </w:rPr>
        <w:t xml:space="preserve"> de que dicha facultad</w:t>
      </w:r>
      <w:r w:rsidR="00020CBA" w:rsidRPr="005E60BA">
        <w:rPr>
          <w:iCs/>
        </w:rPr>
        <w:t>,</w:t>
      </w:r>
      <w:r w:rsidR="00F42749" w:rsidRPr="005E60BA">
        <w:rPr>
          <w:iCs/>
        </w:rPr>
        <w:t xml:space="preserve"> no es absoluta</w:t>
      </w:r>
      <w:r w:rsidR="00F42749" w:rsidRPr="005E60BA">
        <w:rPr>
          <w:iCs/>
          <w:vertAlign w:val="superscript"/>
        </w:rPr>
        <w:footnoteReference w:id="332"/>
      </w:r>
      <w:r w:rsidR="00FD1CBE" w:rsidRPr="005E60BA">
        <w:rPr>
          <w:iCs/>
        </w:rPr>
        <w:t xml:space="preserve">. </w:t>
      </w:r>
      <w:r w:rsidR="00020CBA" w:rsidRPr="005E60BA">
        <w:rPr>
          <w:szCs w:val="28"/>
          <w:lang w:eastAsia="es-CO"/>
        </w:rPr>
        <w:t xml:space="preserve">Bajo ese supuesto, </w:t>
      </w:r>
      <w:r w:rsidR="00E04D0D" w:rsidRPr="005E60BA">
        <w:t xml:space="preserve">la </w:t>
      </w:r>
      <w:r w:rsidR="004F3CB0" w:rsidRPr="005E60BA">
        <w:t xml:space="preserve">sentencia </w:t>
      </w:r>
      <w:r w:rsidR="004F3CB0" w:rsidRPr="005E60BA">
        <w:rPr>
          <w:b/>
          <w:bCs/>
        </w:rPr>
        <w:t>SU-567 de 2015</w:t>
      </w:r>
      <w:r w:rsidR="00D314C8" w:rsidRPr="005E60BA">
        <w:rPr>
          <w:rStyle w:val="Refdenotaalpie"/>
          <w:b/>
          <w:bCs/>
        </w:rPr>
        <w:footnoteReference w:id="333"/>
      </w:r>
      <w:r w:rsidR="00E04D0D" w:rsidRPr="005E60BA">
        <w:t xml:space="preserve"> </w:t>
      </w:r>
      <w:r w:rsidR="007710F4" w:rsidRPr="005E60BA">
        <w:t xml:space="preserve">sostiene que el </w:t>
      </w:r>
      <w:r w:rsidR="00BF4D29" w:rsidRPr="005E60BA">
        <w:t xml:space="preserve">mencionado </w:t>
      </w:r>
      <w:r w:rsidR="007710F4" w:rsidRPr="005E60BA">
        <w:t xml:space="preserve">defecto </w:t>
      </w:r>
      <w:r w:rsidR="00EA1846" w:rsidRPr="005E60BA">
        <w:t>tiene lugar</w:t>
      </w:r>
      <w:r w:rsidR="007710F4" w:rsidRPr="005E60BA">
        <w:t xml:space="preserve">, </w:t>
      </w:r>
      <w:r w:rsidR="00AC4D56" w:rsidRPr="005E60BA">
        <w:t xml:space="preserve">cuando </w:t>
      </w:r>
      <w:r w:rsidR="00EA1846" w:rsidRPr="005E60BA">
        <w:t>se da</w:t>
      </w:r>
      <w:r w:rsidR="004F3CB0" w:rsidRPr="005E60BA">
        <w:t xml:space="preserve"> “</w:t>
      </w:r>
      <w:r w:rsidR="004F3CB0" w:rsidRPr="005E60BA">
        <w:rPr>
          <w:i/>
          <w:lang w:val="es-ES_tradnl"/>
        </w:rPr>
        <w:t>una insuficiente sustentación o justificación de la actuación</w:t>
      </w:r>
      <w:r w:rsidR="004F3CB0" w:rsidRPr="005E60BA">
        <w:rPr>
          <w:i/>
          <w:vertAlign w:val="superscript"/>
          <w:lang w:val="es-ES_tradnl"/>
        </w:rPr>
        <w:footnoteReference w:id="334"/>
      </w:r>
      <w:r w:rsidR="007710F4" w:rsidRPr="005E60BA">
        <w:rPr>
          <w:i/>
          <w:lang w:val="es-ES_tradnl"/>
        </w:rPr>
        <w:t xml:space="preserve"> </w:t>
      </w:r>
      <w:r w:rsidR="00F42749" w:rsidRPr="005E60BA">
        <w:rPr>
          <w:i/>
          <w:lang w:val="es-ES_tradnl"/>
        </w:rPr>
        <w:t>[judicial]</w:t>
      </w:r>
      <w:r w:rsidR="004F3CB0" w:rsidRPr="005E60BA">
        <w:rPr>
          <w:i/>
          <w:lang w:val="es-ES_tradnl"/>
        </w:rPr>
        <w:t xml:space="preserve"> que afecte derechos fundamentales; (f) cuando se </w:t>
      </w:r>
      <w:r w:rsidR="004F3CB0" w:rsidRPr="005E60BA">
        <w:rPr>
          <w:b/>
          <w:i/>
          <w:lang w:val="es-ES_tradnl"/>
        </w:rPr>
        <w:t>desconoce el precedente judicial</w:t>
      </w:r>
      <w:r w:rsidR="004F3CB0" w:rsidRPr="005E60BA">
        <w:rPr>
          <w:b/>
          <w:bCs/>
          <w:i/>
          <w:vertAlign w:val="superscript"/>
          <w:lang w:val="es-ES_tradnl"/>
        </w:rPr>
        <w:footnoteReference w:id="335"/>
      </w:r>
      <w:r w:rsidR="004F3CB0" w:rsidRPr="005E60BA">
        <w:rPr>
          <w:b/>
          <w:bCs/>
          <w:i/>
          <w:lang w:val="es-ES_tradnl"/>
        </w:rPr>
        <w:t xml:space="preserve"> </w:t>
      </w:r>
      <w:r w:rsidR="004F3CB0" w:rsidRPr="005E60BA">
        <w:rPr>
          <w:i/>
          <w:lang w:val="es-ES_tradnl"/>
        </w:rPr>
        <w:t>sin ofrecer un mínimo razonable de argumentación, que hubiese permitido una decisión diferente;</w:t>
      </w:r>
      <w:r w:rsidR="004F3CB0" w:rsidRPr="005E60BA">
        <w:rPr>
          <w:i/>
          <w:vertAlign w:val="superscript"/>
          <w:lang w:val="es-ES_tradnl"/>
        </w:rPr>
        <w:footnoteReference w:id="336"/>
      </w:r>
      <w:r w:rsidR="004F3CB0" w:rsidRPr="005E60BA">
        <w:rPr>
          <w:i/>
          <w:lang w:val="es-ES_tradnl"/>
        </w:rPr>
        <w:t xml:space="preserve"> o</w:t>
      </w:r>
      <w:r w:rsidR="00376862" w:rsidRPr="005E60BA">
        <w:rPr>
          <w:i/>
          <w:lang w:val="es-ES_tradnl"/>
        </w:rPr>
        <w:t xml:space="preserve"> </w:t>
      </w:r>
      <w:r w:rsidR="004F3CB0" w:rsidRPr="005E60BA">
        <w:rPr>
          <w:i/>
          <w:lang w:val="es-ES_tradnl"/>
        </w:rPr>
        <w:t>(g) cuando el juez se abstiene de aplicar la excepción de inconstitucionalidad ante una violación manifiesta de la Constitución, siempre que se solicite su declaración por alguna de las partes en el proceso.</w:t>
      </w:r>
      <w:r w:rsidR="004F3CB0" w:rsidRPr="005E60BA">
        <w:rPr>
          <w:i/>
          <w:vertAlign w:val="superscript"/>
          <w:lang w:val="es-ES_tradnl"/>
        </w:rPr>
        <w:footnoteReference w:id="337"/>
      </w:r>
      <w:r w:rsidR="004F3CB0" w:rsidRPr="005E60BA">
        <w:rPr>
          <w:lang w:val="es-ES_tradnl"/>
        </w:rPr>
        <w:t>” (</w:t>
      </w:r>
      <w:r w:rsidR="00E04D0D" w:rsidRPr="005E60BA">
        <w:rPr>
          <w:lang w:val="es-ES_tradnl"/>
        </w:rPr>
        <w:t>La negrilla fuera del original</w:t>
      </w:r>
      <w:r w:rsidR="004F3CB0" w:rsidRPr="005E60BA">
        <w:rPr>
          <w:lang w:val="es-ES_tradnl"/>
        </w:rPr>
        <w:t xml:space="preserve">). </w:t>
      </w:r>
    </w:p>
    <w:p w14:paraId="6829F7BD" w14:textId="77777777" w:rsidR="00E04D0D" w:rsidRPr="005E60BA" w:rsidRDefault="00E04D0D" w:rsidP="00E04D0D">
      <w:pPr>
        <w:jc w:val="both"/>
        <w:rPr>
          <w:lang w:val="es-ES_tradnl"/>
        </w:rPr>
      </w:pPr>
    </w:p>
    <w:p w14:paraId="2D11FBBB" w14:textId="77777777" w:rsidR="00351AE9" w:rsidRPr="005E60BA" w:rsidRDefault="007710F4" w:rsidP="00351AE9">
      <w:pPr>
        <w:jc w:val="both"/>
        <w:rPr>
          <w:iCs/>
        </w:rPr>
      </w:pPr>
      <w:r w:rsidRPr="005E60BA">
        <w:rPr>
          <w:lang w:val="es-ES_tradnl"/>
        </w:rPr>
        <w:t xml:space="preserve">A su vez, </w:t>
      </w:r>
      <w:r w:rsidR="00E04D0D" w:rsidRPr="005E60BA">
        <w:rPr>
          <w:lang w:val="es-ES_tradnl"/>
        </w:rPr>
        <w:t>en l</w:t>
      </w:r>
      <w:r w:rsidR="004F3CB0" w:rsidRPr="005E60BA">
        <w:t xml:space="preserve">a </w:t>
      </w:r>
      <w:r w:rsidR="00E04D0D" w:rsidRPr="005E60BA">
        <w:rPr>
          <w:b/>
          <w:bCs/>
        </w:rPr>
        <w:t>S</w:t>
      </w:r>
      <w:r w:rsidR="004F3CB0" w:rsidRPr="005E60BA">
        <w:rPr>
          <w:b/>
          <w:bCs/>
        </w:rPr>
        <w:t>entencia SU-632 de 2017</w:t>
      </w:r>
      <w:r w:rsidR="00962DB4" w:rsidRPr="005E60BA">
        <w:rPr>
          <w:rStyle w:val="Refdenotaalpie"/>
          <w:b/>
          <w:bCs/>
        </w:rPr>
        <w:footnoteReference w:id="338"/>
      </w:r>
      <w:r w:rsidR="00E04D0D" w:rsidRPr="005E60BA">
        <w:t xml:space="preserve"> </w:t>
      </w:r>
      <w:r w:rsidR="00CF1AED" w:rsidRPr="005E60BA">
        <w:t>se reconoci</w:t>
      </w:r>
      <w:r w:rsidR="00020CBA" w:rsidRPr="005E60BA">
        <w:t xml:space="preserve">eron </w:t>
      </w:r>
      <w:r w:rsidR="00827675" w:rsidRPr="005E60BA">
        <w:rPr>
          <w:iCs/>
        </w:rPr>
        <w:t>varias</w:t>
      </w:r>
      <w:r w:rsidR="00E04D0D" w:rsidRPr="005E60BA">
        <w:rPr>
          <w:iCs/>
        </w:rPr>
        <w:t xml:space="preserve"> hipótesis en las que puede configurarse </w:t>
      </w:r>
      <w:r w:rsidR="00B7705A" w:rsidRPr="005E60BA">
        <w:rPr>
          <w:iCs/>
        </w:rPr>
        <w:t xml:space="preserve">dicha </w:t>
      </w:r>
      <w:r w:rsidR="00E04D0D" w:rsidRPr="005E60BA">
        <w:rPr>
          <w:iCs/>
        </w:rPr>
        <w:t>causal</w:t>
      </w:r>
      <w:r w:rsidR="00E04D0D" w:rsidRPr="005E60BA">
        <w:rPr>
          <w:rStyle w:val="Refdenotaalpie"/>
          <w:iCs/>
        </w:rPr>
        <w:footnoteReference w:id="339"/>
      </w:r>
      <w:r w:rsidR="00E04D0D" w:rsidRPr="005E60BA">
        <w:rPr>
          <w:iCs/>
        </w:rPr>
        <w:t>,</w:t>
      </w:r>
      <w:r w:rsidR="00827675" w:rsidRPr="005E60BA">
        <w:rPr>
          <w:iCs/>
        </w:rPr>
        <w:t xml:space="preserve"> </w:t>
      </w:r>
      <w:r w:rsidR="00AF4DF0" w:rsidRPr="005E60BA">
        <w:rPr>
          <w:iCs/>
        </w:rPr>
        <w:t xml:space="preserve">como </w:t>
      </w:r>
      <w:r w:rsidR="00020CBA" w:rsidRPr="005E60BA">
        <w:rPr>
          <w:iCs/>
        </w:rPr>
        <w:t>son,</w:t>
      </w:r>
      <w:r w:rsidR="0097585C" w:rsidRPr="005E60BA">
        <w:rPr>
          <w:iCs/>
        </w:rPr>
        <w:t xml:space="preserve"> entre </w:t>
      </w:r>
      <w:r w:rsidR="00EA1846" w:rsidRPr="005E60BA">
        <w:rPr>
          <w:iCs/>
        </w:rPr>
        <w:t>otras:</w:t>
      </w:r>
      <w:r w:rsidR="00EA1846" w:rsidRPr="005E60BA">
        <w:rPr>
          <w:i/>
        </w:rPr>
        <w:t xml:space="preserve"> “</w:t>
      </w:r>
      <w:r w:rsidR="00351AE9" w:rsidRPr="005E60BA">
        <w:rPr>
          <w:i/>
          <w:szCs w:val="28"/>
          <w:lang w:eastAsia="en-US"/>
        </w:rPr>
        <w:t xml:space="preserve">(i) </w:t>
      </w:r>
      <w:r w:rsidR="00F926BD" w:rsidRPr="005E60BA">
        <w:rPr>
          <w:i/>
          <w:szCs w:val="28"/>
          <w:lang w:eastAsia="en-US"/>
        </w:rPr>
        <w:t>c</w:t>
      </w:r>
      <w:r w:rsidR="00351AE9" w:rsidRPr="005E60BA">
        <w:rPr>
          <w:i/>
          <w:szCs w:val="28"/>
          <w:lang w:eastAsia="en-US"/>
        </w:rPr>
        <w:t>uando existe una</w:t>
      </w:r>
      <w:r w:rsidR="00351AE9" w:rsidRPr="005E60BA">
        <w:rPr>
          <w:b/>
          <w:i/>
          <w:szCs w:val="28"/>
          <w:lang w:eastAsia="en-US"/>
        </w:rPr>
        <w:t xml:space="preserve"> </w:t>
      </w:r>
      <w:r w:rsidR="00351AE9" w:rsidRPr="005E60BA">
        <w:rPr>
          <w:i/>
          <w:szCs w:val="28"/>
          <w:lang w:eastAsia="en-US"/>
        </w:rPr>
        <w:t>carencia absoluta de fundamento jurídico. En este caso la decisión se sustenta en una norma que no existe, que ha sido derogada, o que ha sido declarada inconstitucional</w:t>
      </w:r>
      <w:r w:rsidR="00351AE9" w:rsidRPr="005E60BA">
        <w:rPr>
          <w:i/>
          <w:szCs w:val="28"/>
          <w:vertAlign w:val="superscript"/>
          <w:lang w:eastAsia="en-US"/>
        </w:rPr>
        <w:footnoteReference w:id="340"/>
      </w:r>
      <w:r w:rsidR="00351AE9" w:rsidRPr="005E60BA">
        <w:rPr>
          <w:i/>
          <w:szCs w:val="28"/>
          <w:lang w:eastAsia="en-US"/>
        </w:rPr>
        <w:t>.</w:t>
      </w:r>
      <w:r w:rsidR="00351AE9" w:rsidRPr="005E60BA">
        <w:rPr>
          <w:i/>
        </w:rPr>
        <w:t xml:space="preserve"> </w:t>
      </w:r>
      <w:r w:rsidR="00351AE9" w:rsidRPr="005E60BA">
        <w:rPr>
          <w:i/>
          <w:szCs w:val="28"/>
          <w:lang w:eastAsia="en-US"/>
        </w:rPr>
        <w:t>(ii) La aplicación de una norma requiere interpretación sistemática con otras que no son tenidas en cuenta y resultan necesarias para la decisión adoptada</w:t>
      </w:r>
      <w:r w:rsidR="00351AE9" w:rsidRPr="005E60BA">
        <w:rPr>
          <w:i/>
          <w:szCs w:val="28"/>
          <w:vertAlign w:val="superscript"/>
          <w:lang w:eastAsia="en-US"/>
        </w:rPr>
        <w:footnoteReference w:id="341"/>
      </w:r>
      <w:r w:rsidR="00351AE9" w:rsidRPr="005E60BA">
        <w:rPr>
          <w:i/>
          <w:szCs w:val="28"/>
          <w:lang w:eastAsia="en-US"/>
        </w:rPr>
        <w:t>.</w:t>
      </w:r>
      <w:r w:rsidR="00351AE9" w:rsidRPr="005E60BA">
        <w:rPr>
          <w:i/>
        </w:rPr>
        <w:t xml:space="preserve"> </w:t>
      </w:r>
      <w:r w:rsidR="00351AE9" w:rsidRPr="005E60BA">
        <w:rPr>
          <w:i/>
          <w:szCs w:val="28"/>
          <w:lang w:eastAsia="en-US"/>
        </w:rPr>
        <w:t xml:space="preserve">(iii) Por aplicación de normas constitucionales </w:t>
      </w:r>
      <w:r w:rsidR="001470DA" w:rsidRPr="005E60BA">
        <w:rPr>
          <w:i/>
          <w:szCs w:val="28"/>
          <w:lang w:eastAsia="en-US"/>
        </w:rPr>
        <w:t>pero</w:t>
      </w:r>
      <w:r w:rsidR="00351AE9" w:rsidRPr="005E60BA">
        <w:rPr>
          <w:i/>
          <w:szCs w:val="28"/>
          <w:lang w:eastAsia="en-US"/>
        </w:rPr>
        <w:t xml:space="preserve"> no aplicables al caso concreto. En este evento, la norma no es inconstitucional pero al ser aplicada al caso concreto vulnera derechos fundamentales, razón por lo que debe ser igualmente inaplicada</w:t>
      </w:r>
      <w:r w:rsidR="00351AE9" w:rsidRPr="005E60BA">
        <w:rPr>
          <w:i/>
          <w:szCs w:val="28"/>
          <w:vertAlign w:val="superscript"/>
          <w:lang w:eastAsia="en-US"/>
        </w:rPr>
        <w:footnoteReference w:id="342"/>
      </w:r>
      <w:r w:rsidR="00351AE9" w:rsidRPr="005E60BA">
        <w:rPr>
          <w:i/>
          <w:szCs w:val="28"/>
          <w:lang w:eastAsia="en-US"/>
        </w:rPr>
        <w:t>.(iv) Porque la providencia incurre en incongruencia entre los fundamentos jurídicos y la decisión. Esta situación se configura cuando la resolución del juez no corresponde con las motivaciones expuestas en la providencia</w:t>
      </w:r>
      <w:r w:rsidR="00351AE9" w:rsidRPr="005E60BA">
        <w:rPr>
          <w:i/>
          <w:szCs w:val="28"/>
          <w:vertAlign w:val="superscript"/>
          <w:lang w:eastAsia="en-US"/>
        </w:rPr>
        <w:footnoteReference w:id="343"/>
      </w:r>
      <w:r w:rsidR="00351AE9" w:rsidRPr="005E60BA">
        <w:rPr>
          <w:i/>
          <w:szCs w:val="28"/>
          <w:lang w:eastAsia="en-US"/>
        </w:rPr>
        <w:t xml:space="preserve">.(v) </w:t>
      </w:r>
      <w:r w:rsidR="00351AE9" w:rsidRPr="005E60BA">
        <w:rPr>
          <w:b/>
          <w:bCs/>
          <w:i/>
          <w:szCs w:val="28"/>
          <w:lang w:eastAsia="en-US"/>
        </w:rPr>
        <w:t>Al aplicar una norma cuya interpretación desconoce una sentencia de efectos erga omnes</w:t>
      </w:r>
      <w:r w:rsidR="00351AE9" w:rsidRPr="005E60BA">
        <w:rPr>
          <w:i/>
          <w:szCs w:val="28"/>
          <w:lang w:eastAsia="en-US"/>
        </w:rPr>
        <w:t>. En esta hipótesis se aplica una norma cuyo sentido contraría la ratio decidendi de una sentencia que irradia sus efectos a todo el ordenamiento jurídico</w:t>
      </w:r>
      <w:r w:rsidR="00351AE9" w:rsidRPr="005E60BA">
        <w:rPr>
          <w:i/>
          <w:szCs w:val="28"/>
          <w:vertAlign w:val="superscript"/>
          <w:lang w:eastAsia="en-US"/>
        </w:rPr>
        <w:footnoteReference w:id="344"/>
      </w:r>
      <w:r w:rsidR="0097585C" w:rsidRPr="005E60BA">
        <w:rPr>
          <w:i/>
          <w:szCs w:val="28"/>
          <w:lang w:eastAsia="en-US"/>
        </w:rPr>
        <w:t>,</w:t>
      </w:r>
      <w:r w:rsidR="001470DA" w:rsidRPr="005E60BA">
        <w:rPr>
          <w:i/>
          <w:szCs w:val="28"/>
          <w:lang w:eastAsia="en-US"/>
        </w:rPr>
        <w:t xml:space="preserve"> [</w:t>
      </w:r>
      <w:r w:rsidR="0097585C" w:rsidRPr="005E60BA">
        <w:rPr>
          <w:i/>
          <w:szCs w:val="28"/>
          <w:lang w:eastAsia="en-US"/>
        </w:rPr>
        <w:t>y</w:t>
      </w:r>
      <w:r w:rsidR="001470DA" w:rsidRPr="005E60BA">
        <w:rPr>
          <w:i/>
          <w:szCs w:val="28"/>
          <w:lang w:eastAsia="en-US"/>
        </w:rPr>
        <w:t>]</w:t>
      </w:r>
      <w:r w:rsidR="001470DA" w:rsidRPr="005E60BA">
        <w:rPr>
          <w:i/>
        </w:rPr>
        <w:t xml:space="preserve"> </w:t>
      </w:r>
      <w:r w:rsidR="00351AE9" w:rsidRPr="005E60BA">
        <w:rPr>
          <w:i/>
          <w:szCs w:val="28"/>
          <w:lang w:eastAsia="en-US"/>
        </w:rPr>
        <w:t xml:space="preserve">(vi) </w:t>
      </w:r>
      <w:r w:rsidR="001470DA" w:rsidRPr="005E60BA">
        <w:rPr>
          <w:i/>
          <w:szCs w:val="28"/>
          <w:lang w:eastAsia="en-US"/>
        </w:rPr>
        <w:t>p</w:t>
      </w:r>
      <w:r w:rsidR="00351AE9" w:rsidRPr="005E60BA">
        <w:rPr>
          <w:i/>
          <w:szCs w:val="28"/>
          <w:lang w:eastAsia="en-US"/>
        </w:rPr>
        <w:t>or aplicación de normas abiertamente inconstitucionales, evento en el cual si bien el contenido normativo no ha sido declarado inexequible, este es abiertamente contrario a la constitución</w:t>
      </w:r>
      <w:r w:rsidR="00351AE9" w:rsidRPr="005E60BA">
        <w:rPr>
          <w:i/>
          <w:szCs w:val="28"/>
          <w:vertAlign w:val="superscript"/>
          <w:lang w:eastAsia="en-US"/>
        </w:rPr>
        <w:footnoteReference w:id="345"/>
      </w:r>
      <w:r w:rsidR="00351AE9" w:rsidRPr="005E60BA">
        <w:rPr>
          <w:i/>
          <w:szCs w:val="28"/>
          <w:lang w:eastAsia="en-US"/>
        </w:rPr>
        <w:t>”.</w:t>
      </w:r>
    </w:p>
    <w:p w14:paraId="25F30841" w14:textId="77777777" w:rsidR="00AF4DF0" w:rsidRPr="005E60BA" w:rsidRDefault="00AF4DF0" w:rsidP="00A77629">
      <w:pPr>
        <w:jc w:val="both"/>
        <w:rPr>
          <w:i/>
          <w:sz w:val="20"/>
          <w:lang w:eastAsia="es-CO"/>
        </w:rPr>
      </w:pPr>
    </w:p>
    <w:p w14:paraId="77907EDA" w14:textId="77777777" w:rsidR="00AF4DF0" w:rsidRPr="005E60BA" w:rsidRDefault="00266F8E" w:rsidP="00EA7344">
      <w:pPr>
        <w:numPr>
          <w:ilvl w:val="0"/>
          <w:numId w:val="10"/>
        </w:numPr>
        <w:jc w:val="both"/>
        <w:rPr>
          <w:iCs/>
          <w:szCs w:val="28"/>
          <w:lang w:eastAsia="es-CO"/>
        </w:rPr>
      </w:pPr>
      <w:r w:rsidRPr="005E60BA">
        <w:rPr>
          <w:iCs/>
          <w:szCs w:val="28"/>
          <w:lang w:eastAsia="es-CO"/>
        </w:rPr>
        <w:t xml:space="preserve">De la descripción anterior </w:t>
      </w:r>
      <w:r w:rsidR="00EA7344" w:rsidRPr="005E60BA">
        <w:rPr>
          <w:iCs/>
          <w:szCs w:val="28"/>
          <w:lang w:eastAsia="es-CO"/>
        </w:rPr>
        <w:t>puede verse</w:t>
      </w:r>
      <w:r w:rsidRPr="005E60BA">
        <w:rPr>
          <w:iCs/>
          <w:szCs w:val="28"/>
          <w:lang w:eastAsia="es-CO"/>
        </w:rPr>
        <w:t xml:space="preserve"> particularmente,</w:t>
      </w:r>
      <w:r w:rsidR="00EA7344" w:rsidRPr="005E60BA">
        <w:rPr>
          <w:iCs/>
          <w:szCs w:val="28"/>
          <w:lang w:eastAsia="es-CO"/>
        </w:rPr>
        <w:t xml:space="preserve"> </w:t>
      </w:r>
      <w:r w:rsidRPr="005E60BA">
        <w:rPr>
          <w:iCs/>
          <w:szCs w:val="28"/>
          <w:lang w:eastAsia="es-CO"/>
        </w:rPr>
        <w:t xml:space="preserve">que </w:t>
      </w:r>
      <w:r w:rsidR="00EA7344" w:rsidRPr="005E60BA">
        <w:rPr>
          <w:iCs/>
          <w:szCs w:val="28"/>
          <w:lang w:eastAsia="es-CO"/>
        </w:rPr>
        <w:t xml:space="preserve">el defecto sustantivo puede tener </w:t>
      </w:r>
      <w:r w:rsidRPr="005E60BA">
        <w:rPr>
          <w:iCs/>
          <w:szCs w:val="28"/>
          <w:lang w:eastAsia="es-CO"/>
        </w:rPr>
        <w:t xml:space="preserve">eventualmente </w:t>
      </w:r>
      <w:r w:rsidR="00EA7344" w:rsidRPr="005E60BA">
        <w:rPr>
          <w:iCs/>
          <w:szCs w:val="28"/>
          <w:lang w:eastAsia="es-CO"/>
        </w:rPr>
        <w:t>una estrecha relación con el desconocimiento</w:t>
      </w:r>
      <w:r w:rsidRPr="005E60BA">
        <w:rPr>
          <w:iCs/>
          <w:szCs w:val="28"/>
          <w:lang w:eastAsia="es-CO"/>
        </w:rPr>
        <w:t xml:space="preserve"> de</w:t>
      </w:r>
      <w:r w:rsidR="00EA7344" w:rsidRPr="005E60BA">
        <w:rPr>
          <w:iCs/>
          <w:szCs w:val="28"/>
          <w:lang w:eastAsia="es-CO"/>
        </w:rPr>
        <w:t>l precedente judicial,</w:t>
      </w:r>
      <w:r w:rsidR="00EA7344" w:rsidRPr="005E60BA">
        <w:rPr>
          <w:szCs w:val="28"/>
          <w:lang w:eastAsia="es-CO"/>
        </w:rPr>
        <w:t xml:space="preserve"> en tanto esa causal específica de procedencia de la tutela contra providencias</w:t>
      </w:r>
      <w:r w:rsidRPr="005E60BA">
        <w:rPr>
          <w:szCs w:val="28"/>
          <w:lang w:eastAsia="es-CO"/>
        </w:rPr>
        <w:t xml:space="preserve"> </w:t>
      </w:r>
      <w:r w:rsidR="00EA7344" w:rsidRPr="005E60BA">
        <w:rPr>
          <w:szCs w:val="28"/>
          <w:lang w:eastAsia="es-CO"/>
        </w:rPr>
        <w:t>puede “</w:t>
      </w:r>
      <w:r w:rsidR="00EA7344" w:rsidRPr="005E60BA">
        <w:rPr>
          <w:i/>
          <w:iCs/>
          <w:szCs w:val="28"/>
          <w:lang w:eastAsia="es-CO"/>
        </w:rPr>
        <w:t>configurarse en dos circunstancias posibles:</w:t>
      </w:r>
      <w:r w:rsidR="005F7C83" w:rsidRPr="005E60BA">
        <w:rPr>
          <w:i/>
          <w:iCs/>
          <w:szCs w:val="28"/>
          <w:lang w:eastAsia="es-CO"/>
        </w:rPr>
        <w:t xml:space="preserve"> </w:t>
      </w:r>
      <w:r w:rsidR="00EA7344" w:rsidRPr="005E60BA">
        <w:rPr>
          <w:i/>
          <w:iCs/>
          <w:szCs w:val="28"/>
          <w:lang w:eastAsia="es-CO"/>
        </w:rPr>
        <w:t xml:space="preserve">(i) cuando se demuestra un defecto sustantivo, en la modalidad de desconocimiento del precedente judicial; o (ii) cuando se da el desconocimiento del precedente en forma autónoma”. </w:t>
      </w:r>
      <w:r w:rsidR="00EA7344" w:rsidRPr="005E60BA">
        <w:rPr>
          <w:szCs w:val="28"/>
          <w:lang w:eastAsia="es-CO"/>
        </w:rPr>
        <w:t xml:space="preserve">Según la </w:t>
      </w:r>
      <w:r w:rsidR="00EA7344" w:rsidRPr="005E60BA">
        <w:rPr>
          <w:b/>
          <w:szCs w:val="28"/>
          <w:lang w:eastAsia="es-CO"/>
        </w:rPr>
        <w:t>Sentencia SU-298 de 2015</w:t>
      </w:r>
      <w:r w:rsidR="00EA7344" w:rsidRPr="005E60BA">
        <w:rPr>
          <w:szCs w:val="28"/>
          <w:vertAlign w:val="superscript"/>
          <w:lang w:eastAsia="es-CO"/>
        </w:rPr>
        <w:footnoteReference w:id="346"/>
      </w:r>
      <w:r w:rsidR="00EA7344" w:rsidRPr="005E60BA">
        <w:rPr>
          <w:i/>
          <w:iCs/>
          <w:szCs w:val="28"/>
          <w:lang w:eastAsia="es-CO"/>
        </w:rPr>
        <w:t>,“se trata de situaciones que, en ciertos eventos, no presentan límites enteramente definidos, de modo que se complementan entre sí”</w:t>
      </w:r>
      <w:r w:rsidR="00EA7344" w:rsidRPr="005E60BA">
        <w:rPr>
          <w:szCs w:val="28"/>
          <w:vertAlign w:val="superscript"/>
          <w:lang w:eastAsia="es-CO"/>
        </w:rPr>
        <w:footnoteReference w:id="347"/>
      </w:r>
      <w:r w:rsidR="00EA7344" w:rsidRPr="005E60BA">
        <w:rPr>
          <w:szCs w:val="28"/>
          <w:lang w:eastAsia="es-CO"/>
        </w:rPr>
        <w:t>.</w:t>
      </w:r>
    </w:p>
    <w:p w14:paraId="7D5F57D8" w14:textId="77777777" w:rsidR="003C135A" w:rsidRPr="005E60BA" w:rsidRDefault="003C135A" w:rsidP="00827675">
      <w:pPr>
        <w:jc w:val="both"/>
        <w:rPr>
          <w:lang w:val="es-ES_tradnl"/>
        </w:rPr>
      </w:pPr>
    </w:p>
    <w:p w14:paraId="4DB9F3FA" w14:textId="77777777" w:rsidR="00AE47EA" w:rsidRPr="005E60BA" w:rsidRDefault="002275EA" w:rsidP="00AE47EA">
      <w:pPr>
        <w:numPr>
          <w:ilvl w:val="0"/>
          <w:numId w:val="10"/>
        </w:numPr>
        <w:jc w:val="both"/>
        <w:rPr>
          <w:rFonts w:eastAsia="Calibri"/>
          <w:sz w:val="24"/>
          <w:szCs w:val="24"/>
          <w:lang w:val="es-CO" w:eastAsia="es-CO"/>
        </w:rPr>
      </w:pPr>
      <w:r w:rsidRPr="005E60BA">
        <w:rPr>
          <w:lang w:val="es-ES_tradnl"/>
        </w:rPr>
        <w:t xml:space="preserve">Por otra parte, </w:t>
      </w:r>
      <w:r w:rsidR="00266F8E" w:rsidRPr="005E60BA">
        <w:rPr>
          <w:lang w:val="es-ES_tradnl"/>
        </w:rPr>
        <w:t>en lo que respecta al</w:t>
      </w:r>
      <w:r w:rsidR="006A6E9B" w:rsidRPr="005E60BA">
        <w:rPr>
          <w:szCs w:val="28"/>
          <w:lang w:eastAsia="es-CO"/>
        </w:rPr>
        <w:t xml:space="preserve"> </w:t>
      </w:r>
      <w:r w:rsidR="006A6E9B" w:rsidRPr="005E60BA">
        <w:rPr>
          <w:b/>
          <w:bCs/>
          <w:i/>
          <w:iCs/>
          <w:szCs w:val="28"/>
          <w:lang w:eastAsia="es-CO"/>
        </w:rPr>
        <w:t>precedente judicial</w:t>
      </w:r>
      <w:r w:rsidR="006A6E9B" w:rsidRPr="005E60BA">
        <w:rPr>
          <w:szCs w:val="28"/>
          <w:lang w:eastAsia="es-CO"/>
        </w:rPr>
        <w:t xml:space="preserve"> </w:t>
      </w:r>
      <w:r w:rsidR="00266F8E" w:rsidRPr="005E60BA">
        <w:rPr>
          <w:szCs w:val="28"/>
          <w:lang w:eastAsia="es-CO"/>
        </w:rPr>
        <w:t>debe señalarse, que se trata de</w:t>
      </w:r>
      <w:r w:rsidR="006A6E9B" w:rsidRPr="005E60BA">
        <w:rPr>
          <w:szCs w:val="28"/>
          <w:lang w:eastAsia="es-CO"/>
        </w:rPr>
        <w:t xml:space="preserve"> una figura jurídica que de acuerdo con la </w:t>
      </w:r>
      <w:r w:rsidR="006A6E9B" w:rsidRPr="005E60BA">
        <w:rPr>
          <w:b/>
          <w:bCs/>
          <w:szCs w:val="28"/>
          <w:lang w:eastAsia="es-CO"/>
        </w:rPr>
        <w:t>Sentencia T-109 de 2019</w:t>
      </w:r>
      <w:r w:rsidR="006A6E9B" w:rsidRPr="005E60BA">
        <w:rPr>
          <w:rStyle w:val="Refdenotaalpie"/>
          <w:b/>
          <w:bCs/>
          <w:szCs w:val="28"/>
          <w:lang w:eastAsia="es-CO"/>
        </w:rPr>
        <w:footnoteReference w:id="348"/>
      </w:r>
      <w:r w:rsidR="006A6E9B" w:rsidRPr="005E60BA">
        <w:rPr>
          <w:szCs w:val="28"/>
          <w:lang w:eastAsia="es-CO"/>
        </w:rPr>
        <w:t>, sirve como dispositivo de preservación de la confianza de la ciudadanía en el ordenamiento, pues</w:t>
      </w:r>
      <w:r w:rsidR="001470DA" w:rsidRPr="005E60BA">
        <w:rPr>
          <w:szCs w:val="28"/>
          <w:lang w:eastAsia="es-CO"/>
        </w:rPr>
        <w:t xml:space="preserve">to que </w:t>
      </w:r>
      <w:r w:rsidR="006A6E9B" w:rsidRPr="005E60BA">
        <w:rPr>
          <w:szCs w:val="28"/>
          <w:lang w:eastAsia="es-CO"/>
        </w:rPr>
        <w:t>hace previsibles las consecuencias de los actos de las autoridades judiciales</w:t>
      </w:r>
      <w:r w:rsidR="001470DA" w:rsidRPr="005E60BA">
        <w:rPr>
          <w:szCs w:val="28"/>
          <w:lang w:eastAsia="es-CO"/>
        </w:rPr>
        <w:t xml:space="preserve"> y </w:t>
      </w:r>
      <w:r w:rsidR="006A6E9B" w:rsidRPr="005E60BA">
        <w:rPr>
          <w:szCs w:val="28"/>
          <w:lang w:eastAsia="es-CO"/>
        </w:rPr>
        <w:t>materializa la igualdad en la aplicación del derecho</w:t>
      </w:r>
      <w:r w:rsidR="006A6E9B" w:rsidRPr="005E60BA">
        <w:rPr>
          <w:szCs w:val="28"/>
          <w:vertAlign w:val="superscript"/>
          <w:lang w:eastAsia="es-CO"/>
        </w:rPr>
        <w:footnoteReference w:id="349"/>
      </w:r>
      <w:r w:rsidR="006A6E9B" w:rsidRPr="005E60BA">
        <w:rPr>
          <w:szCs w:val="28"/>
          <w:lang w:eastAsia="es-CO"/>
        </w:rPr>
        <w:t>. En tal sentido, se concibe como “</w:t>
      </w:r>
      <w:r w:rsidR="006A6E9B" w:rsidRPr="005E60BA">
        <w:rPr>
          <w:i/>
          <w:szCs w:val="28"/>
          <w:lang w:eastAsia="es-CO"/>
        </w:rPr>
        <w:t>la sentencia o el conjunto de ellas, anteriores a un caso determinado, que, por su pertinencia y semejanza en los problemas jurídicos resueltos, debe necesariamente considerarse por las autoridades judiciales al momento de emitir un fallo</w:t>
      </w:r>
      <w:r w:rsidR="006A6E9B" w:rsidRPr="005E60BA">
        <w:rPr>
          <w:szCs w:val="28"/>
          <w:lang w:eastAsia="es-CO"/>
        </w:rPr>
        <w:t>”</w:t>
      </w:r>
      <w:r w:rsidR="006A6E9B" w:rsidRPr="005E60BA">
        <w:rPr>
          <w:szCs w:val="28"/>
          <w:vertAlign w:val="superscript"/>
          <w:lang w:eastAsia="es-CO"/>
        </w:rPr>
        <w:footnoteReference w:id="350"/>
      </w:r>
      <w:r w:rsidR="006A6E9B" w:rsidRPr="005E60BA">
        <w:rPr>
          <w:szCs w:val="28"/>
          <w:lang w:eastAsia="es-CO"/>
        </w:rPr>
        <w:t xml:space="preserve">. </w:t>
      </w:r>
    </w:p>
    <w:p w14:paraId="71D1970F" w14:textId="77777777" w:rsidR="00AE47EA" w:rsidRPr="005E60BA" w:rsidRDefault="00AE47EA" w:rsidP="00AE47EA">
      <w:pPr>
        <w:jc w:val="both"/>
        <w:rPr>
          <w:szCs w:val="28"/>
          <w:lang w:val="es-CO" w:eastAsia="es-CO"/>
        </w:rPr>
      </w:pPr>
    </w:p>
    <w:p w14:paraId="109D011B" w14:textId="77777777" w:rsidR="00AE47EA" w:rsidRPr="005E60BA" w:rsidRDefault="001470DA" w:rsidP="00AE47EA">
      <w:pPr>
        <w:tabs>
          <w:tab w:val="left" w:pos="142"/>
          <w:tab w:val="left" w:pos="284"/>
        </w:tabs>
        <w:autoSpaceDE w:val="0"/>
        <w:autoSpaceDN w:val="0"/>
        <w:ind w:right="49"/>
        <w:jc w:val="both"/>
        <w:rPr>
          <w:szCs w:val="28"/>
          <w:lang w:eastAsia="es-CO"/>
        </w:rPr>
      </w:pPr>
      <w:r w:rsidRPr="005E60BA">
        <w:rPr>
          <w:szCs w:val="28"/>
          <w:lang w:val="es-CO" w:eastAsia="es-CO"/>
        </w:rPr>
        <w:t xml:space="preserve">Sin embargo </w:t>
      </w:r>
      <w:r w:rsidR="00AE47EA" w:rsidRPr="005E60BA">
        <w:rPr>
          <w:szCs w:val="28"/>
          <w:lang w:eastAsia="es-CO"/>
        </w:rPr>
        <w:t>el precedente no se identifica</w:t>
      </w:r>
      <w:r w:rsidRPr="005E60BA">
        <w:rPr>
          <w:szCs w:val="28"/>
          <w:lang w:eastAsia="es-CO"/>
        </w:rPr>
        <w:t xml:space="preserve"> directamente</w:t>
      </w:r>
      <w:r w:rsidR="00AE47EA" w:rsidRPr="005E60BA">
        <w:rPr>
          <w:szCs w:val="28"/>
          <w:lang w:eastAsia="es-CO"/>
        </w:rPr>
        <w:t xml:space="preserve"> con la sentencia</w:t>
      </w:r>
      <w:r w:rsidR="00332B28" w:rsidRPr="005E60BA">
        <w:rPr>
          <w:szCs w:val="28"/>
          <w:lang w:eastAsia="es-CO"/>
        </w:rPr>
        <w:t xml:space="preserve"> </w:t>
      </w:r>
      <w:r w:rsidRPr="005E60BA">
        <w:rPr>
          <w:szCs w:val="28"/>
          <w:lang w:eastAsia="es-CO"/>
        </w:rPr>
        <w:t>que precede el caso,</w:t>
      </w:r>
      <w:r w:rsidR="00AE47EA" w:rsidRPr="005E60BA">
        <w:rPr>
          <w:szCs w:val="28"/>
          <w:lang w:eastAsia="es-CO"/>
        </w:rPr>
        <w:t xml:space="preserve"> sino con la regla que de ella se desprende</w:t>
      </w:r>
      <w:r w:rsidR="00AE47EA" w:rsidRPr="005E60BA">
        <w:rPr>
          <w:rStyle w:val="Refdenotaalpie"/>
          <w:szCs w:val="28"/>
          <w:lang w:eastAsia="es-CO"/>
        </w:rPr>
        <w:footnoteReference w:id="351"/>
      </w:r>
      <w:r w:rsidR="00AE47EA" w:rsidRPr="005E60BA">
        <w:rPr>
          <w:szCs w:val="28"/>
          <w:lang w:eastAsia="es-CO"/>
        </w:rPr>
        <w:t xml:space="preserve">. </w:t>
      </w:r>
      <w:r w:rsidRPr="005E60BA">
        <w:rPr>
          <w:szCs w:val="28"/>
          <w:lang w:eastAsia="es-CO"/>
        </w:rPr>
        <w:t xml:space="preserve">De hecho, es por </w:t>
      </w:r>
      <w:r w:rsidR="00AE47EA" w:rsidRPr="005E60BA">
        <w:rPr>
          <w:rFonts w:eastAsia="Calibri"/>
          <w:szCs w:val="28"/>
          <w:lang w:val="es-CO" w:eastAsia="es-CO"/>
        </w:rPr>
        <w:t>ese motivo</w:t>
      </w:r>
      <w:r w:rsidRPr="005E60BA">
        <w:rPr>
          <w:rFonts w:eastAsia="Calibri"/>
          <w:szCs w:val="28"/>
          <w:lang w:val="es-CO" w:eastAsia="es-CO"/>
        </w:rPr>
        <w:t xml:space="preserve"> que</w:t>
      </w:r>
      <w:r w:rsidR="00AE47EA" w:rsidRPr="005E60BA">
        <w:rPr>
          <w:rFonts w:eastAsia="Calibri"/>
          <w:szCs w:val="28"/>
          <w:lang w:val="es-CO" w:eastAsia="es-CO"/>
        </w:rPr>
        <w:t xml:space="preserve"> </w:t>
      </w:r>
      <w:r w:rsidR="00AE47EA" w:rsidRPr="005E60BA">
        <w:rPr>
          <w:szCs w:val="28"/>
          <w:lang w:val="es-ES_tradnl"/>
        </w:rPr>
        <w:t xml:space="preserve">la </w:t>
      </w:r>
      <w:r w:rsidR="00AE47EA" w:rsidRPr="005E60BA">
        <w:rPr>
          <w:szCs w:val="28"/>
        </w:rPr>
        <w:t xml:space="preserve">Corte Constitucional le ha reconocido valor de </w:t>
      </w:r>
      <w:r w:rsidR="00AE47EA" w:rsidRPr="005E60BA">
        <w:rPr>
          <w:b/>
          <w:bCs/>
          <w:i/>
          <w:iCs/>
          <w:szCs w:val="28"/>
        </w:rPr>
        <w:t>precedente judicial</w:t>
      </w:r>
      <w:r w:rsidRPr="005E60BA">
        <w:rPr>
          <w:szCs w:val="28"/>
        </w:rPr>
        <w:t xml:space="preserve">, </w:t>
      </w:r>
      <w:r w:rsidR="00AE47EA" w:rsidRPr="005E60BA">
        <w:rPr>
          <w:szCs w:val="28"/>
        </w:rPr>
        <w:t xml:space="preserve">a la </w:t>
      </w:r>
      <w:r w:rsidR="00AE47EA" w:rsidRPr="005E60BA">
        <w:rPr>
          <w:i/>
          <w:szCs w:val="28"/>
        </w:rPr>
        <w:t>ratio decidendi</w:t>
      </w:r>
      <w:r w:rsidR="00AE47EA" w:rsidRPr="005E60BA">
        <w:rPr>
          <w:rStyle w:val="Refdenotaalpie"/>
          <w:i/>
          <w:szCs w:val="28"/>
        </w:rPr>
        <w:footnoteReference w:id="352"/>
      </w:r>
      <w:r w:rsidR="00AE47EA" w:rsidRPr="005E60BA">
        <w:rPr>
          <w:szCs w:val="28"/>
        </w:rPr>
        <w:t xml:space="preserve"> de</w:t>
      </w:r>
      <w:r w:rsidRPr="005E60BA">
        <w:rPr>
          <w:szCs w:val="28"/>
        </w:rPr>
        <w:t xml:space="preserve"> </w:t>
      </w:r>
      <w:r w:rsidR="005F7C83" w:rsidRPr="005E60BA">
        <w:rPr>
          <w:szCs w:val="28"/>
        </w:rPr>
        <w:t xml:space="preserve">las </w:t>
      </w:r>
      <w:r w:rsidRPr="005E60BA">
        <w:rPr>
          <w:szCs w:val="28"/>
        </w:rPr>
        <w:t>providencias anteriores</w:t>
      </w:r>
      <w:r w:rsidR="005F7C83" w:rsidRPr="005E60BA">
        <w:rPr>
          <w:szCs w:val="28"/>
        </w:rPr>
        <w:t xml:space="preserve"> a un caso similar</w:t>
      </w:r>
      <w:r w:rsidR="00AE47EA" w:rsidRPr="005E60BA">
        <w:rPr>
          <w:szCs w:val="28"/>
        </w:rPr>
        <w:t>, tanto en materia de sentencias de constitucionalidad como en tutela</w:t>
      </w:r>
      <w:r w:rsidR="00AE47EA" w:rsidRPr="005E60BA">
        <w:rPr>
          <w:rStyle w:val="Refdenotaalpie"/>
          <w:szCs w:val="28"/>
        </w:rPr>
        <w:footnoteReference w:id="353"/>
      </w:r>
      <w:r w:rsidR="00332B28" w:rsidRPr="005E60BA">
        <w:rPr>
          <w:szCs w:val="28"/>
        </w:rPr>
        <w:t xml:space="preserve">. </w:t>
      </w:r>
      <w:r w:rsidR="00266F8E" w:rsidRPr="005E60BA">
        <w:rPr>
          <w:szCs w:val="28"/>
        </w:rPr>
        <w:t>En ese sentido s</w:t>
      </w:r>
      <w:r w:rsidR="005F7C83" w:rsidRPr="005E60BA">
        <w:rPr>
          <w:szCs w:val="28"/>
        </w:rPr>
        <w:t>e trata</w:t>
      </w:r>
      <w:r w:rsidR="00266F8E" w:rsidRPr="005E60BA">
        <w:rPr>
          <w:szCs w:val="28"/>
        </w:rPr>
        <w:t>,</w:t>
      </w:r>
      <w:r w:rsidR="005F7C83" w:rsidRPr="005E60BA">
        <w:rPr>
          <w:szCs w:val="28"/>
        </w:rPr>
        <w:t xml:space="preserve"> </w:t>
      </w:r>
      <w:r w:rsidR="004954C1" w:rsidRPr="005E60BA">
        <w:rPr>
          <w:szCs w:val="28"/>
        </w:rPr>
        <w:t>entonces</w:t>
      </w:r>
      <w:r w:rsidR="00266F8E" w:rsidRPr="005E60BA">
        <w:rPr>
          <w:szCs w:val="28"/>
        </w:rPr>
        <w:t>,</w:t>
      </w:r>
      <w:r w:rsidR="004954C1" w:rsidRPr="005E60BA">
        <w:rPr>
          <w:szCs w:val="28"/>
        </w:rPr>
        <w:t xml:space="preserve"> </w:t>
      </w:r>
      <w:r w:rsidR="005F7C83" w:rsidRPr="005E60BA">
        <w:rPr>
          <w:szCs w:val="28"/>
        </w:rPr>
        <w:t xml:space="preserve">de </w:t>
      </w:r>
      <w:r w:rsidR="00AE47EA" w:rsidRPr="005E60BA">
        <w:rPr>
          <w:szCs w:val="28"/>
        </w:rPr>
        <w:t xml:space="preserve">una regla </w:t>
      </w:r>
      <w:r w:rsidR="00AE47EA" w:rsidRPr="005E60BA">
        <w:rPr>
          <w:szCs w:val="28"/>
          <w:lang w:eastAsia="es-CO"/>
        </w:rPr>
        <w:t>extensible a casos futuros</w:t>
      </w:r>
      <w:r w:rsidR="00AE47EA" w:rsidRPr="005E60BA">
        <w:rPr>
          <w:szCs w:val="28"/>
          <w:vertAlign w:val="superscript"/>
          <w:lang w:eastAsia="es-CO"/>
        </w:rPr>
        <w:footnoteReference w:id="354"/>
      </w:r>
      <w:r w:rsidR="00266F8E" w:rsidRPr="005E60BA">
        <w:rPr>
          <w:szCs w:val="28"/>
          <w:lang w:eastAsia="es-CO"/>
        </w:rPr>
        <w:t xml:space="preserve"> que tengan </w:t>
      </w:r>
      <w:r w:rsidR="00AE47EA" w:rsidRPr="005E60BA">
        <w:rPr>
          <w:szCs w:val="28"/>
          <w:lang w:eastAsia="es-CO"/>
        </w:rPr>
        <w:t>identidad jurídica y fáctica</w:t>
      </w:r>
      <w:r w:rsidR="00AE47EA" w:rsidRPr="005E60BA">
        <w:rPr>
          <w:rStyle w:val="Refdenotaalpie"/>
          <w:szCs w:val="28"/>
          <w:lang w:eastAsia="es-CO"/>
        </w:rPr>
        <w:footnoteReference w:id="355"/>
      </w:r>
      <w:r w:rsidR="004954C1" w:rsidRPr="005E60BA">
        <w:rPr>
          <w:szCs w:val="28"/>
          <w:lang w:eastAsia="es-CO"/>
        </w:rPr>
        <w:t>,</w:t>
      </w:r>
      <w:r w:rsidR="00AE47EA" w:rsidRPr="005E60BA">
        <w:rPr>
          <w:szCs w:val="28"/>
          <w:lang w:eastAsia="es-CO"/>
        </w:rPr>
        <w:t xml:space="preserve"> que </w:t>
      </w:r>
      <w:r w:rsidR="004954C1" w:rsidRPr="005E60BA">
        <w:rPr>
          <w:szCs w:val="28"/>
          <w:lang w:eastAsia="es-CO"/>
        </w:rPr>
        <w:t xml:space="preserve">se debe aplicar </w:t>
      </w:r>
      <w:r w:rsidR="00AE47EA" w:rsidRPr="005E60BA">
        <w:rPr>
          <w:szCs w:val="28"/>
          <w:lang w:eastAsia="es-CO"/>
        </w:rPr>
        <w:t xml:space="preserve">a los </w:t>
      </w:r>
      <w:r w:rsidR="005F7C83" w:rsidRPr="005E60BA">
        <w:rPr>
          <w:szCs w:val="28"/>
          <w:lang w:eastAsia="es-CO"/>
        </w:rPr>
        <w:t>procesos</w:t>
      </w:r>
      <w:r w:rsidR="00AE47EA" w:rsidRPr="005E60BA">
        <w:rPr>
          <w:szCs w:val="28"/>
          <w:lang w:eastAsia="es-CO"/>
        </w:rPr>
        <w:t xml:space="preserve"> similares</w:t>
      </w:r>
      <w:r w:rsidR="005F7C83" w:rsidRPr="005E60BA">
        <w:rPr>
          <w:szCs w:val="28"/>
          <w:lang w:eastAsia="es-CO"/>
        </w:rPr>
        <w:t xml:space="preserve"> y</w:t>
      </w:r>
      <w:r w:rsidR="00AE47EA" w:rsidRPr="005E60BA">
        <w:rPr>
          <w:szCs w:val="28"/>
          <w:lang w:eastAsia="es-CO"/>
        </w:rPr>
        <w:t xml:space="preserve"> posteriores objeto de análisis</w:t>
      </w:r>
      <w:r w:rsidR="00332B28" w:rsidRPr="005E60BA">
        <w:rPr>
          <w:rStyle w:val="Refdenotaalpie"/>
          <w:szCs w:val="28"/>
          <w:lang w:eastAsia="es-CO"/>
        </w:rPr>
        <w:footnoteReference w:id="356"/>
      </w:r>
      <w:r w:rsidR="00AE47EA" w:rsidRPr="005E60BA">
        <w:rPr>
          <w:szCs w:val="28"/>
          <w:lang w:eastAsia="es-CO"/>
        </w:rPr>
        <w:t>.</w:t>
      </w:r>
      <w:r w:rsidR="004954C1" w:rsidRPr="005E60BA">
        <w:rPr>
          <w:szCs w:val="28"/>
          <w:lang w:eastAsia="es-CO"/>
        </w:rPr>
        <w:t xml:space="preserve"> </w:t>
      </w:r>
    </w:p>
    <w:p w14:paraId="72401696" w14:textId="77777777" w:rsidR="006A6E9B" w:rsidRPr="005E60BA" w:rsidRDefault="006A6E9B" w:rsidP="006A6E9B">
      <w:pPr>
        <w:tabs>
          <w:tab w:val="left" w:pos="142"/>
          <w:tab w:val="left" w:pos="284"/>
        </w:tabs>
        <w:autoSpaceDE w:val="0"/>
        <w:autoSpaceDN w:val="0"/>
        <w:ind w:right="49"/>
        <w:jc w:val="both"/>
        <w:rPr>
          <w:szCs w:val="28"/>
          <w:lang w:eastAsia="es-CO"/>
        </w:rPr>
      </w:pPr>
    </w:p>
    <w:p w14:paraId="1FAF7806" w14:textId="77777777" w:rsidR="004D21B3" w:rsidRPr="005E60BA" w:rsidRDefault="004D21B3" w:rsidP="004D21B3">
      <w:pPr>
        <w:pStyle w:val="Prrafodelista"/>
        <w:numPr>
          <w:ilvl w:val="0"/>
          <w:numId w:val="10"/>
        </w:numPr>
        <w:tabs>
          <w:tab w:val="left" w:pos="567"/>
        </w:tabs>
        <w:contextualSpacing/>
        <w:jc w:val="both"/>
      </w:pPr>
      <w:r w:rsidRPr="005E60BA">
        <w:rPr>
          <w:szCs w:val="28"/>
        </w:rPr>
        <w:t xml:space="preserve">El respeto al precedente bajo estos supuestos </w:t>
      </w:r>
      <w:r w:rsidR="00B66CD8" w:rsidRPr="005E60BA">
        <w:rPr>
          <w:szCs w:val="28"/>
        </w:rPr>
        <w:t>encuentra</w:t>
      </w:r>
      <w:r w:rsidRPr="005E60BA">
        <w:rPr>
          <w:szCs w:val="28"/>
        </w:rPr>
        <w:t xml:space="preserve"> su razón de ser, en el objetivo de tratar de articular el equilibrio entre la igualdad y la seguridad jurídica, de un lado, y la autonomía e independencia judicial, del otro. Lo anterior, con el propósito de que los falladores: </w:t>
      </w:r>
      <w:r w:rsidRPr="005E60BA">
        <w:rPr>
          <w:b/>
          <w:szCs w:val="28"/>
        </w:rPr>
        <w:t>(i)</w:t>
      </w:r>
      <w:r w:rsidRPr="005E60BA">
        <w:rPr>
          <w:szCs w:val="28"/>
        </w:rPr>
        <w:t xml:space="preserve"> identifiquen el precedente adecuadamente en el sistema jurídico (por su carga de transparencia y coherencia)</w:t>
      </w:r>
      <w:r w:rsidR="00A75910" w:rsidRPr="005E60BA">
        <w:rPr>
          <w:rStyle w:val="Refdenotaalpie"/>
          <w:szCs w:val="28"/>
        </w:rPr>
        <w:footnoteReference w:id="357"/>
      </w:r>
      <w:r w:rsidRPr="005E60BA">
        <w:rPr>
          <w:szCs w:val="28"/>
        </w:rPr>
        <w:t xml:space="preserve">; </w:t>
      </w:r>
      <w:r w:rsidRPr="005E60BA">
        <w:rPr>
          <w:b/>
          <w:szCs w:val="28"/>
        </w:rPr>
        <w:t>(ii)</w:t>
      </w:r>
      <w:r w:rsidRPr="005E60BA">
        <w:rPr>
          <w:szCs w:val="28"/>
        </w:rPr>
        <w:t xml:space="preserve"> sigan, la </w:t>
      </w:r>
      <w:r w:rsidRPr="005E60BA">
        <w:rPr>
          <w:i/>
          <w:szCs w:val="28"/>
        </w:rPr>
        <w:t>ratio decidendi</w:t>
      </w:r>
      <w:r w:rsidRPr="005E60BA">
        <w:rPr>
          <w:szCs w:val="28"/>
        </w:rPr>
        <w:t xml:space="preserve"> de casos análogos anteriores (ante su deber general de seguir el precedente, en atención al principio de igualdad</w:t>
      </w:r>
      <w:r w:rsidR="004954C1" w:rsidRPr="005E60BA">
        <w:rPr>
          <w:rStyle w:val="Refdenotaalpie"/>
          <w:szCs w:val="28"/>
        </w:rPr>
        <w:footnoteReference w:id="358"/>
      </w:r>
      <w:r w:rsidRPr="005E60BA">
        <w:rPr>
          <w:szCs w:val="28"/>
        </w:rPr>
        <w:t xml:space="preserve">), y </w:t>
      </w:r>
      <w:r w:rsidRPr="005E60BA">
        <w:rPr>
          <w:b/>
          <w:szCs w:val="28"/>
        </w:rPr>
        <w:t xml:space="preserve">(iii) </w:t>
      </w:r>
      <w:r w:rsidRPr="005E60BA">
        <w:rPr>
          <w:szCs w:val="28"/>
        </w:rPr>
        <w:t>en el evento de tener razones legítimas para ello,</w:t>
      </w:r>
      <w:r w:rsidR="00DA51CA" w:rsidRPr="005E60BA">
        <w:rPr>
          <w:szCs w:val="28"/>
          <w:lang w:eastAsia="es-CO"/>
        </w:rPr>
        <w:t xml:space="preserve"> </w:t>
      </w:r>
      <w:r w:rsidRPr="005E60BA">
        <w:rPr>
          <w:szCs w:val="28"/>
        </w:rPr>
        <w:t xml:space="preserve">y en los casos en que ello sea posible, argumenten </w:t>
      </w:r>
      <w:r w:rsidR="00706830" w:rsidRPr="005E60BA">
        <w:rPr>
          <w:szCs w:val="28"/>
        </w:rPr>
        <w:t xml:space="preserve">con suficiencia </w:t>
      </w:r>
      <w:r w:rsidRPr="005E60BA">
        <w:rPr>
          <w:szCs w:val="28"/>
        </w:rPr>
        <w:t>los motivos de su separación de las determinaciones previas de sentencias anteriores similares, (carga de argumentación</w:t>
      </w:r>
      <w:r w:rsidRPr="005E60BA">
        <w:rPr>
          <w:vertAlign w:val="superscript"/>
        </w:rPr>
        <w:footnoteReference w:id="359"/>
      </w:r>
      <w:r w:rsidRPr="005E60BA">
        <w:rPr>
          <w:szCs w:val="28"/>
        </w:rPr>
        <w:t>)</w:t>
      </w:r>
      <w:r w:rsidR="00DA51CA" w:rsidRPr="005E60BA">
        <w:rPr>
          <w:szCs w:val="28"/>
        </w:rPr>
        <w:t>,</w:t>
      </w:r>
      <w:r w:rsidRPr="005E60BA">
        <w:rPr>
          <w:szCs w:val="28"/>
        </w:rPr>
        <w:t xml:space="preserve"> </w:t>
      </w:r>
      <w:r w:rsidR="00706830" w:rsidRPr="005E60BA">
        <w:rPr>
          <w:szCs w:val="28"/>
        </w:rPr>
        <w:t xml:space="preserve">por no tratarse de un </w:t>
      </w:r>
      <w:r w:rsidR="00DA51CA" w:rsidRPr="005E60BA">
        <w:rPr>
          <w:szCs w:val="28"/>
          <w:lang w:eastAsia="es-CO"/>
        </w:rPr>
        <w:t xml:space="preserve">deber de aplicación </w:t>
      </w:r>
      <w:r w:rsidR="00706830" w:rsidRPr="005E60BA">
        <w:rPr>
          <w:szCs w:val="28"/>
          <w:lang w:eastAsia="es-CO"/>
        </w:rPr>
        <w:t>de carácter</w:t>
      </w:r>
      <w:r w:rsidR="00DA51CA" w:rsidRPr="005E60BA">
        <w:rPr>
          <w:szCs w:val="28"/>
          <w:lang w:eastAsia="es-CO"/>
        </w:rPr>
        <w:t xml:space="preserve"> absoluto</w:t>
      </w:r>
      <w:r w:rsidR="00DA51CA" w:rsidRPr="005E60BA">
        <w:rPr>
          <w:rStyle w:val="Refdenotaalpie"/>
          <w:szCs w:val="28"/>
          <w:lang w:eastAsia="es-CO"/>
        </w:rPr>
        <w:footnoteReference w:id="360"/>
      </w:r>
      <w:r w:rsidR="00706830" w:rsidRPr="005E60BA">
        <w:rPr>
          <w:szCs w:val="28"/>
          <w:lang w:eastAsia="es-CO"/>
        </w:rPr>
        <w:t>.</w:t>
      </w:r>
    </w:p>
    <w:p w14:paraId="299C37A7" w14:textId="77777777" w:rsidR="00F24047" w:rsidRPr="005E60BA" w:rsidRDefault="00F24047" w:rsidP="00F24047">
      <w:pPr>
        <w:shd w:val="clear" w:color="auto" w:fill="FFFFFF"/>
        <w:jc w:val="both"/>
        <w:rPr>
          <w:szCs w:val="28"/>
        </w:rPr>
      </w:pPr>
    </w:p>
    <w:p w14:paraId="690FC15B" w14:textId="77777777" w:rsidR="00DA51CA" w:rsidRPr="005E60BA" w:rsidRDefault="00706830" w:rsidP="00DA51CA">
      <w:pPr>
        <w:shd w:val="clear" w:color="auto" w:fill="FFFFFF"/>
        <w:jc w:val="both"/>
        <w:rPr>
          <w:szCs w:val="28"/>
        </w:rPr>
      </w:pPr>
      <w:r w:rsidRPr="005E60BA">
        <w:rPr>
          <w:szCs w:val="28"/>
        </w:rPr>
        <w:t>No obstante</w:t>
      </w:r>
      <w:r w:rsidR="00DA51CA" w:rsidRPr="005E60BA">
        <w:rPr>
          <w:szCs w:val="28"/>
        </w:rPr>
        <w:t>, e</w:t>
      </w:r>
      <w:r w:rsidR="00F24047" w:rsidRPr="005E60BA">
        <w:rPr>
          <w:szCs w:val="28"/>
        </w:rPr>
        <w:t>ste tercer aspecto</w:t>
      </w:r>
      <w:r w:rsidR="00DA51CA" w:rsidRPr="005E60BA">
        <w:rPr>
          <w:szCs w:val="28"/>
        </w:rPr>
        <w:t xml:space="preserve"> </w:t>
      </w:r>
      <w:r w:rsidR="00F24047" w:rsidRPr="005E60BA">
        <w:rPr>
          <w:szCs w:val="28"/>
        </w:rPr>
        <w:t xml:space="preserve">no opera </w:t>
      </w:r>
      <w:r w:rsidR="00081E91" w:rsidRPr="005E60BA">
        <w:rPr>
          <w:szCs w:val="28"/>
        </w:rPr>
        <w:t xml:space="preserve">cuando </w:t>
      </w:r>
      <w:r w:rsidR="00F24047" w:rsidRPr="005E60BA">
        <w:rPr>
          <w:szCs w:val="28"/>
        </w:rPr>
        <w:t>se trat</w:t>
      </w:r>
      <w:r w:rsidR="00081E91" w:rsidRPr="005E60BA">
        <w:rPr>
          <w:szCs w:val="28"/>
        </w:rPr>
        <w:t>a</w:t>
      </w:r>
      <w:r w:rsidR="00F24047" w:rsidRPr="005E60BA">
        <w:rPr>
          <w:szCs w:val="28"/>
        </w:rPr>
        <w:t xml:space="preserve"> de una sentencia de control abstracto de constitucionalidad proferida por este Tribunal, porque la fuerza vinculante de la </w:t>
      </w:r>
      <w:r w:rsidR="00F24047" w:rsidRPr="005E60BA">
        <w:rPr>
          <w:i/>
          <w:iCs/>
          <w:szCs w:val="28"/>
        </w:rPr>
        <w:t>cosa juzgada constitucional</w:t>
      </w:r>
      <w:r w:rsidR="00F24047" w:rsidRPr="005E60BA">
        <w:rPr>
          <w:szCs w:val="28"/>
        </w:rPr>
        <w:t xml:space="preserve"> en tales casos y especialmente por sus efectos </w:t>
      </w:r>
      <w:r w:rsidR="00F24047" w:rsidRPr="005E60BA">
        <w:rPr>
          <w:i/>
          <w:iCs/>
          <w:szCs w:val="28"/>
        </w:rPr>
        <w:t>erga omnes,</w:t>
      </w:r>
      <w:r w:rsidR="00081E91" w:rsidRPr="005E60BA">
        <w:rPr>
          <w:szCs w:val="28"/>
        </w:rPr>
        <w:t xml:space="preserve"> </w:t>
      </w:r>
      <w:r w:rsidRPr="005E60BA">
        <w:rPr>
          <w:szCs w:val="28"/>
        </w:rPr>
        <w:t xml:space="preserve">- </w:t>
      </w:r>
      <w:r w:rsidR="00081E91" w:rsidRPr="005E60BA">
        <w:rPr>
          <w:szCs w:val="28"/>
        </w:rPr>
        <w:t>como ya se mencionó</w:t>
      </w:r>
      <w:r w:rsidRPr="005E60BA">
        <w:rPr>
          <w:szCs w:val="28"/>
        </w:rPr>
        <w:t xml:space="preserve"> -</w:t>
      </w:r>
      <w:r w:rsidR="00081E91" w:rsidRPr="005E60BA">
        <w:rPr>
          <w:szCs w:val="28"/>
        </w:rPr>
        <w:t xml:space="preserve">, </w:t>
      </w:r>
      <w:r w:rsidR="00F24047" w:rsidRPr="005E60BA">
        <w:rPr>
          <w:szCs w:val="28"/>
        </w:rPr>
        <w:t>obliga</w:t>
      </w:r>
      <w:r w:rsidR="00DA51CA" w:rsidRPr="005E60BA">
        <w:rPr>
          <w:szCs w:val="28"/>
        </w:rPr>
        <w:t>n</w:t>
      </w:r>
      <w:r w:rsidR="00F24047" w:rsidRPr="005E60BA">
        <w:rPr>
          <w:szCs w:val="28"/>
        </w:rPr>
        <w:t xml:space="preserve"> sin más a los falladores a aceptar lo dispuesto </w:t>
      </w:r>
      <w:r w:rsidR="00F24047" w:rsidRPr="005E60BA">
        <w:rPr>
          <w:i/>
          <w:iCs/>
          <w:szCs w:val="28"/>
        </w:rPr>
        <w:t>en la ratio decidendi</w:t>
      </w:r>
      <w:r w:rsidR="00F24047" w:rsidRPr="005E60BA">
        <w:rPr>
          <w:szCs w:val="28"/>
        </w:rPr>
        <w:t xml:space="preserve"> de las providencias </w:t>
      </w:r>
      <w:r w:rsidR="00DA51CA" w:rsidRPr="005E60BA">
        <w:rPr>
          <w:szCs w:val="28"/>
        </w:rPr>
        <w:t xml:space="preserve">de ese tipo </w:t>
      </w:r>
      <w:r w:rsidR="00F24047" w:rsidRPr="005E60BA">
        <w:rPr>
          <w:szCs w:val="28"/>
        </w:rPr>
        <w:t>proferidas por esta Corporación; de manera tal que la interpretación o integración que defina la Corte en virtud de esas providencias es obligatoria.</w:t>
      </w:r>
    </w:p>
    <w:p w14:paraId="1C79A909" w14:textId="77777777" w:rsidR="00DA51CA" w:rsidRPr="005E60BA" w:rsidRDefault="00DA51CA" w:rsidP="00DA51CA">
      <w:pPr>
        <w:shd w:val="clear" w:color="auto" w:fill="FFFFFF"/>
        <w:jc w:val="both"/>
        <w:rPr>
          <w:szCs w:val="28"/>
        </w:rPr>
      </w:pPr>
    </w:p>
    <w:p w14:paraId="0256841B" w14:textId="77777777" w:rsidR="00C2262A" w:rsidRPr="005E60BA" w:rsidRDefault="00DA51CA" w:rsidP="00DA51CA">
      <w:pPr>
        <w:numPr>
          <w:ilvl w:val="0"/>
          <w:numId w:val="10"/>
        </w:numPr>
        <w:shd w:val="clear" w:color="auto" w:fill="FFFFFF"/>
        <w:jc w:val="both"/>
        <w:rPr>
          <w:szCs w:val="28"/>
          <w:lang w:val="es-CO" w:eastAsia="es-CO"/>
        </w:rPr>
      </w:pPr>
      <w:r w:rsidRPr="005E60BA">
        <w:rPr>
          <w:szCs w:val="28"/>
        </w:rPr>
        <w:t>D</w:t>
      </w:r>
      <w:r w:rsidR="00081E91" w:rsidRPr="005E60BA">
        <w:t xml:space="preserve">e esta forma, </w:t>
      </w:r>
      <w:r w:rsidR="004D21B3" w:rsidRPr="005E60BA">
        <w:rPr>
          <w:szCs w:val="28"/>
        </w:rPr>
        <w:t>t</w:t>
      </w:r>
      <w:r w:rsidR="00F20611" w:rsidRPr="005E60BA">
        <w:rPr>
          <w:szCs w:val="28"/>
        </w:rPr>
        <w:t>ienen fuerza vinculante para las autoridades judiciales,</w:t>
      </w:r>
      <w:r w:rsidR="00376862" w:rsidRPr="005E60BA">
        <w:rPr>
          <w:szCs w:val="28"/>
        </w:rPr>
        <w:t xml:space="preserve"> </w:t>
      </w:r>
      <w:r w:rsidR="00F20611" w:rsidRPr="005E60BA">
        <w:rPr>
          <w:szCs w:val="28"/>
        </w:rPr>
        <w:t xml:space="preserve">tanto las </w:t>
      </w:r>
      <w:r w:rsidR="00F20611" w:rsidRPr="005E60BA">
        <w:rPr>
          <w:i/>
          <w:iCs/>
          <w:szCs w:val="28"/>
        </w:rPr>
        <w:t>sentencias de constitucionalidad que hacen tránsito a cosa juzgada constitucional</w:t>
      </w:r>
      <w:r w:rsidR="00F20611" w:rsidRPr="005E60BA">
        <w:rPr>
          <w:szCs w:val="28"/>
        </w:rPr>
        <w:t>,</w:t>
      </w:r>
      <w:r w:rsidR="00A47C4D" w:rsidRPr="005E60BA">
        <w:rPr>
          <w:szCs w:val="28"/>
        </w:rPr>
        <w:t xml:space="preserve"> -por las razones ya expuestas</w:t>
      </w:r>
      <w:r w:rsidR="00FB1B88" w:rsidRPr="005E60BA">
        <w:rPr>
          <w:szCs w:val="28"/>
        </w:rPr>
        <w:t xml:space="preserve">, </w:t>
      </w:r>
      <w:r w:rsidR="002C4DD7" w:rsidRPr="005E60BA">
        <w:rPr>
          <w:szCs w:val="28"/>
        </w:rPr>
        <w:t xml:space="preserve">de manera </w:t>
      </w:r>
      <w:r w:rsidR="00FB1B88" w:rsidRPr="005E60BA">
        <w:rPr>
          <w:szCs w:val="28"/>
        </w:rPr>
        <w:t>imperativa</w:t>
      </w:r>
      <w:r w:rsidR="00A47C4D" w:rsidRPr="005E60BA">
        <w:rPr>
          <w:szCs w:val="28"/>
        </w:rPr>
        <w:t>-,</w:t>
      </w:r>
      <w:r w:rsidR="00F20611" w:rsidRPr="005E60BA">
        <w:rPr>
          <w:szCs w:val="28"/>
        </w:rPr>
        <w:t xml:space="preserve"> como aquellas providencias que </w:t>
      </w:r>
      <w:r w:rsidR="00A47C4D" w:rsidRPr="005E60BA">
        <w:rPr>
          <w:szCs w:val="28"/>
        </w:rPr>
        <w:t xml:space="preserve">resultan ser </w:t>
      </w:r>
      <w:r w:rsidR="00F20611" w:rsidRPr="005E60BA">
        <w:rPr>
          <w:i/>
          <w:iCs/>
          <w:szCs w:val="28"/>
        </w:rPr>
        <w:t xml:space="preserve">precedente </w:t>
      </w:r>
      <w:r w:rsidR="005D2961" w:rsidRPr="005E60BA">
        <w:rPr>
          <w:szCs w:val="28"/>
        </w:rPr>
        <w:t>para</w:t>
      </w:r>
      <w:r w:rsidR="00A47C4D" w:rsidRPr="005E60BA">
        <w:rPr>
          <w:szCs w:val="28"/>
        </w:rPr>
        <w:t xml:space="preserve"> los casos </w:t>
      </w:r>
      <w:r w:rsidR="005E60BA">
        <w:rPr>
          <w:szCs w:val="28"/>
        </w:rPr>
        <w:t>objeto de</w:t>
      </w:r>
      <w:r w:rsidR="00A47C4D" w:rsidRPr="005E60BA">
        <w:rPr>
          <w:szCs w:val="28"/>
        </w:rPr>
        <w:t xml:space="preserve"> conocimiento</w:t>
      </w:r>
      <w:r w:rsidR="00266F8E" w:rsidRPr="005E60BA">
        <w:rPr>
          <w:szCs w:val="28"/>
        </w:rPr>
        <w:t>. Las segunda</w:t>
      </w:r>
      <w:r w:rsidR="005E60BA">
        <w:rPr>
          <w:szCs w:val="28"/>
        </w:rPr>
        <w:t>s</w:t>
      </w:r>
      <w:r w:rsidR="00266F8E" w:rsidRPr="005E60BA">
        <w:rPr>
          <w:szCs w:val="28"/>
        </w:rPr>
        <w:t xml:space="preserve">, sin embargo, </w:t>
      </w:r>
      <w:r w:rsidR="009D33B1" w:rsidRPr="005E60BA">
        <w:rPr>
          <w:szCs w:val="28"/>
        </w:rPr>
        <w:t xml:space="preserve">si bien </w:t>
      </w:r>
      <w:r w:rsidR="00FB1B88" w:rsidRPr="005E60BA">
        <w:rPr>
          <w:szCs w:val="28"/>
        </w:rPr>
        <w:t>son vinculantes</w:t>
      </w:r>
      <w:r w:rsidR="009D33B1" w:rsidRPr="005E60BA">
        <w:rPr>
          <w:szCs w:val="28"/>
        </w:rPr>
        <w:t>, pueden no ser aplicadas por los falladores en sus decisiones</w:t>
      </w:r>
      <w:r w:rsidR="00266F8E" w:rsidRPr="005E60BA">
        <w:rPr>
          <w:szCs w:val="28"/>
        </w:rPr>
        <w:t xml:space="preserve"> en todos los casos</w:t>
      </w:r>
      <w:r w:rsidR="009D33B1" w:rsidRPr="005E60BA">
        <w:rPr>
          <w:szCs w:val="28"/>
        </w:rPr>
        <w:t xml:space="preserve">, </w:t>
      </w:r>
      <w:r w:rsidR="00266F8E" w:rsidRPr="005E60BA">
        <w:rPr>
          <w:szCs w:val="28"/>
        </w:rPr>
        <w:t xml:space="preserve">porque la autoridad judicial puede evaluar si el </w:t>
      </w:r>
      <w:r w:rsidR="009D33B1" w:rsidRPr="005E60BA">
        <w:rPr>
          <w:szCs w:val="28"/>
        </w:rPr>
        <w:t>precedente aplica</w:t>
      </w:r>
      <w:r w:rsidR="00266F8E" w:rsidRPr="005E60BA">
        <w:rPr>
          <w:szCs w:val="28"/>
        </w:rPr>
        <w:t xml:space="preserve"> o no</w:t>
      </w:r>
      <w:r w:rsidR="009D33B1" w:rsidRPr="005E60BA">
        <w:rPr>
          <w:szCs w:val="28"/>
        </w:rPr>
        <w:t xml:space="preserve"> directamente al caso </w:t>
      </w:r>
      <w:r w:rsidR="00B66CD8" w:rsidRPr="005E60BA">
        <w:rPr>
          <w:szCs w:val="28"/>
        </w:rPr>
        <w:t xml:space="preserve">nuevo </w:t>
      </w:r>
      <w:r w:rsidR="009D33B1" w:rsidRPr="005E60BA">
        <w:rPr>
          <w:szCs w:val="28"/>
        </w:rPr>
        <w:t>por diferencias fácticas</w:t>
      </w:r>
      <w:r w:rsidR="00266F8E" w:rsidRPr="005E60BA">
        <w:rPr>
          <w:szCs w:val="28"/>
        </w:rPr>
        <w:t>,</w:t>
      </w:r>
      <w:r w:rsidR="009D33B1" w:rsidRPr="005E60BA">
        <w:rPr>
          <w:szCs w:val="28"/>
        </w:rPr>
        <w:t xml:space="preserve"> o finalmente, porque la autoridad judicial </w:t>
      </w:r>
      <w:r w:rsidR="00266F8E" w:rsidRPr="005E60BA">
        <w:rPr>
          <w:szCs w:val="28"/>
        </w:rPr>
        <w:t>puede decidir</w:t>
      </w:r>
      <w:r w:rsidR="009D33B1" w:rsidRPr="005E60BA">
        <w:rPr>
          <w:szCs w:val="28"/>
        </w:rPr>
        <w:t xml:space="preserve"> separarse</w:t>
      </w:r>
      <w:r w:rsidR="00266F8E" w:rsidRPr="005E60BA">
        <w:rPr>
          <w:szCs w:val="28"/>
        </w:rPr>
        <w:t xml:space="preserve"> de él en el estudio particular del caso</w:t>
      </w:r>
      <w:r w:rsidR="009D33B1" w:rsidRPr="005E60BA">
        <w:rPr>
          <w:szCs w:val="28"/>
        </w:rPr>
        <w:t xml:space="preserve">, </w:t>
      </w:r>
      <w:r w:rsidR="00B66CD8" w:rsidRPr="005E60BA">
        <w:rPr>
          <w:szCs w:val="28"/>
        </w:rPr>
        <w:t xml:space="preserve">presentando </w:t>
      </w:r>
      <w:r w:rsidR="009D33B1" w:rsidRPr="005E60BA">
        <w:rPr>
          <w:szCs w:val="28"/>
        </w:rPr>
        <w:t>razones poderosas</w:t>
      </w:r>
      <w:r w:rsidR="00266F8E" w:rsidRPr="005E60BA">
        <w:rPr>
          <w:szCs w:val="28"/>
        </w:rPr>
        <w:t xml:space="preserve"> que justifiquen debidamente su motivación</w:t>
      </w:r>
      <w:r w:rsidR="00B66CD8" w:rsidRPr="005E60BA">
        <w:rPr>
          <w:szCs w:val="28"/>
        </w:rPr>
        <w:t xml:space="preserve"> para el efecto</w:t>
      </w:r>
      <w:r w:rsidR="009D33B1" w:rsidRPr="005E60BA">
        <w:rPr>
          <w:szCs w:val="28"/>
        </w:rPr>
        <w:t xml:space="preserve">. </w:t>
      </w:r>
    </w:p>
    <w:p w14:paraId="4C16BE60" w14:textId="77777777" w:rsidR="005D2961" w:rsidRPr="005E60BA" w:rsidRDefault="005D2961" w:rsidP="005D2961">
      <w:pPr>
        <w:jc w:val="both"/>
        <w:rPr>
          <w:lang w:val="es-CO"/>
        </w:rPr>
      </w:pPr>
    </w:p>
    <w:p w14:paraId="1F92360E" w14:textId="77777777" w:rsidR="00E2054D" w:rsidRPr="005E60BA" w:rsidRDefault="00E2054D" w:rsidP="00E2054D">
      <w:pPr>
        <w:numPr>
          <w:ilvl w:val="0"/>
          <w:numId w:val="10"/>
        </w:numPr>
        <w:jc w:val="both"/>
        <w:rPr>
          <w:lang w:val="es-ES_tradnl"/>
        </w:rPr>
      </w:pPr>
      <w:r w:rsidRPr="005E60BA">
        <w:rPr>
          <w:lang w:val="es-ES_tradnl"/>
        </w:rPr>
        <w:t xml:space="preserve">En </w:t>
      </w:r>
      <w:r w:rsidR="00266F8E" w:rsidRPr="005E60BA">
        <w:rPr>
          <w:lang w:val="es-ES_tradnl"/>
        </w:rPr>
        <w:t xml:space="preserve">las circunstancias que ocupan </w:t>
      </w:r>
      <w:r w:rsidRPr="005E60BA">
        <w:rPr>
          <w:lang w:val="es-ES_tradnl"/>
        </w:rPr>
        <w:t>a la Sala</w:t>
      </w:r>
      <w:r w:rsidR="00954C10" w:rsidRPr="005E60BA">
        <w:rPr>
          <w:lang w:val="es-ES_tradnl"/>
        </w:rPr>
        <w:t>,</w:t>
      </w:r>
      <w:r w:rsidRPr="005E60BA">
        <w:rPr>
          <w:lang w:val="es-ES_tradnl"/>
        </w:rPr>
        <w:t xml:space="preserve"> </w:t>
      </w:r>
      <w:r w:rsidR="00954C10" w:rsidRPr="005E60BA">
        <w:rPr>
          <w:lang w:val="es-ES_tradnl"/>
        </w:rPr>
        <w:t xml:space="preserve">es factible </w:t>
      </w:r>
      <w:r w:rsidR="00F44C20" w:rsidRPr="005E60BA">
        <w:rPr>
          <w:lang w:val="es-ES_tradnl"/>
        </w:rPr>
        <w:t>que vari</w:t>
      </w:r>
      <w:r w:rsidR="000B2F3E" w:rsidRPr="005E60BA">
        <w:rPr>
          <w:lang w:val="es-ES_tradnl"/>
        </w:rPr>
        <w:t>a</w:t>
      </w:r>
      <w:r w:rsidR="00F44C20" w:rsidRPr="005E60BA">
        <w:rPr>
          <w:lang w:val="es-ES_tradnl"/>
        </w:rPr>
        <w:t>s de l</w:t>
      </w:r>
      <w:r w:rsidR="000B2F3E" w:rsidRPr="005E60BA">
        <w:rPr>
          <w:lang w:val="es-ES_tradnl"/>
        </w:rPr>
        <w:t>a</w:t>
      </w:r>
      <w:r w:rsidR="00F44C20" w:rsidRPr="005E60BA">
        <w:rPr>
          <w:lang w:val="es-ES_tradnl"/>
        </w:rPr>
        <w:t xml:space="preserve">s causales de configuración de </w:t>
      </w:r>
      <w:r w:rsidR="001C12E7" w:rsidRPr="005E60BA">
        <w:rPr>
          <w:lang w:val="es-ES_tradnl"/>
        </w:rPr>
        <w:t xml:space="preserve">los </w:t>
      </w:r>
      <w:r w:rsidR="00F44C20" w:rsidRPr="005E60BA">
        <w:rPr>
          <w:lang w:val="es-ES_tradnl"/>
        </w:rPr>
        <w:t>defectos</w:t>
      </w:r>
      <w:r w:rsidR="001C12E7" w:rsidRPr="005E60BA">
        <w:rPr>
          <w:lang w:val="es-ES_tradnl"/>
        </w:rPr>
        <w:t xml:space="preserve"> anteriores</w:t>
      </w:r>
      <w:r w:rsidR="00F44C20" w:rsidRPr="005E60BA">
        <w:rPr>
          <w:lang w:val="es-ES_tradnl"/>
        </w:rPr>
        <w:t>, t</w:t>
      </w:r>
      <w:r w:rsidR="00166BDE" w:rsidRPr="005E60BA">
        <w:rPr>
          <w:lang w:val="es-ES_tradnl"/>
        </w:rPr>
        <w:t>engan alguna</w:t>
      </w:r>
      <w:r w:rsidR="00F44C20" w:rsidRPr="005E60BA">
        <w:rPr>
          <w:lang w:val="es-ES_tradnl"/>
        </w:rPr>
        <w:t xml:space="preserve"> relación con los temas invocados por el CSJ</w:t>
      </w:r>
      <w:r w:rsidR="00456810" w:rsidRPr="005E60BA">
        <w:rPr>
          <w:lang w:val="es-ES_tradnl"/>
        </w:rPr>
        <w:t xml:space="preserve"> en esta oportunidad</w:t>
      </w:r>
      <w:r w:rsidR="003179E3" w:rsidRPr="005E60BA">
        <w:rPr>
          <w:lang w:val="es-ES_tradnl"/>
        </w:rPr>
        <w:t xml:space="preserve">, sin que </w:t>
      </w:r>
      <w:r w:rsidR="005E60BA">
        <w:rPr>
          <w:lang w:val="es-ES_tradnl"/>
        </w:rPr>
        <w:t>se adecuen</w:t>
      </w:r>
      <w:r w:rsidR="003179E3" w:rsidRPr="005E60BA">
        <w:rPr>
          <w:lang w:val="es-ES_tradnl"/>
        </w:rPr>
        <w:t xml:space="preserve"> </w:t>
      </w:r>
      <w:r w:rsidR="00B66CD8" w:rsidRPr="005E60BA">
        <w:rPr>
          <w:lang w:val="es-ES_tradnl"/>
        </w:rPr>
        <w:t xml:space="preserve">en ellos </w:t>
      </w:r>
      <w:r w:rsidR="003179E3" w:rsidRPr="005E60BA">
        <w:rPr>
          <w:lang w:val="es-ES_tradnl"/>
        </w:rPr>
        <w:t xml:space="preserve">de manera </w:t>
      </w:r>
      <w:r w:rsidR="004D725E" w:rsidRPr="005E60BA">
        <w:rPr>
          <w:lang w:val="es-ES_tradnl"/>
        </w:rPr>
        <w:t>exacta</w:t>
      </w:r>
      <w:r w:rsidR="00F44C20" w:rsidRPr="005E60BA">
        <w:rPr>
          <w:lang w:val="es-ES_tradnl"/>
        </w:rPr>
        <w:t xml:space="preserve">. </w:t>
      </w:r>
      <w:r w:rsidR="004D725E" w:rsidRPr="005E60BA">
        <w:rPr>
          <w:lang w:val="es-ES_tradnl"/>
        </w:rPr>
        <w:t>Y la razón de eso</w:t>
      </w:r>
      <w:r w:rsidR="005E60BA">
        <w:rPr>
          <w:lang w:val="es-ES_tradnl"/>
        </w:rPr>
        <w:t xml:space="preserve">, </w:t>
      </w:r>
      <w:r w:rsidR="00F44C20" w:rsidRPr="005E60BA">
        <w:rPr>
          <w:lang w:val="es-ES_tradnl"/>
        </w:rPr>
        <w:t xml:space="preserve">como ya </w:t>
      </w:r>
      <w:r w:rsidR="000B2F3E" w:rsidRPr="005E60BA">
        <w:rPr>
          <w:lang w:val="es-ES_tradnl"/>
        </w:rPr>
        <w:t>se mencion</w:t>
      </w:r>
      <w:r w:rsidR="001C12E7" w:rsidRPr="005E60BA">
        <w:rPr>
          <w:lang w:val="es-ES_tradnl"/>
        </w:rPr>
        <w:t>ó</w:t>
      </w:r>
      <w:r w:rsidR="00F44C20" w:rsidRPr="005E60BA">
        <w:rPr>
          <w:lang w:val="es-ES_tradnl"/>
        </w:rPr>
        <w:t xml:space="preserve">, </w:t>
      </w:r>
      <w:r w:rsidR="004D725E" w:rsidRPr="005E60BA">
        <w:rPr>
          <w:lang w:val="es-ES_tradnl"/>
        </w:rPr>
        <w:t xml:space="preserve"> es que </w:t>
      </w:r>
      <w:r w:rsidR="00F44C20" w:rsidRPr="005E60BA">
        <w:rPr>
          <w:lang w:val="es-ES_tradnl"/>
        </w:rPr>
        <w:t xml:space="preserve">lo </w:t>
      </w:r>
      <w:r w:rsidRPr="005E60BA">
        <w:rPr>
          <w:lang w:val="es-ES_tradnl"/>
        </w:rPr>
        <w:t>que aquí se discut</w:t>
      </w:r>
      <w:r w:rsidR="00166BDE" w:rsidRPr="005E60BA">
        <w:rPr>
          <w:lang w:val="es-ES_tradnl"/>
        </w:rPr>
        <w:t xml:space="preserve">e de manera </w:t>
      </w:r>
      <w:r w:rsidR="00166BDE" w:rsidRPr="005E60BA">
        <w:rPr>
          <w:i/>
          <w:iCs/>
          <w:lang w:val="es-ES_tradnl"/>
        </w:rPr>
        <w:t>especial</w:t>
      </w:r>
      <w:r w:rsidR="00166BDE" w:rsidRPr="005E60BA">
        <w:rPr>
          <w:lang w:val="es-ES_tradnl"/>
        </w:rPr>
        <w:t>,</w:t>
      </w:r>
      <w:r w:rsidRPr="005E60BA">
        <w:rPr>
          <w:lang w:val="es-ES_tradnl"/>
        </w:rPr>
        <w:t xml:space="preserve"> tiene que ver directamente con el presunto desconocimiento de una </w:t>
      </w:r>
      <w:r w:rsidRPr="005E60BA">
        <w:rPr>
          <w:i/>
          <w:iCs/>
          <w:lang w:val="es-ES_tradnl"/>
        </w:rPr>
        <w:t>norma constitucional integrada en virtud de una sentencia de constitucionalidad que hizo tránsito a cosa juzgada constitucional</w:t>
      </w:r>
      <w:r w:rsidR="00954C10" w:rsidRPr="005E60BA">
        <w:rPr>
          <w:i/>
          <w:iCs/>
          <w:lang w:val="es-ES_tradnl"/>
        </w:rPr>
        <w:t xml:space="preserve">, </w:t>
      </w:r>
      <w:r w:rsidR="00954C10" w:rsidRPr="005E60BA">
        <w:rPr>
          <w:lang w:val="es-ES_tradnl"/>
        </w:rPr>
        <w:t>más que con la inaplicación de un precedente anterior a un caso nuevo</w:t>
      </w:r>
      <w:r w:rsidR="004954C1" w:rsidRPr="005E60BA">
        <w:rPr>
          <w:lang w:val="es-ES_tradnl"/>
        </w:rPr>
        <w:t>,</w:t>
      </w:r>
      <w:r w:rsidR="004954C1" w:rsidRPr="005E60BA">
        <w:t xml:space="preserve"> </w:t>
      </w:r>
      <w:r w:rsidR="004954C1" w:rsidRPr="005E60BA">
        <w:rPr>
          <w:lang w:val="es-ES_tradnl"/>
        </w:rPr>
        <w:t xml:space="preserve">sin cumplir con la carga argumentativa necesaria, </w:t>
      </w:r>
      <w:r w:rsidR="00954C10" w:rsidRPr="005E60BA">
        <w:rPr>
          <w:lang w:val="es-ES_tradnl"/>
        </w:rPr>
        <w:t xml:space="preserve"> o con la </w:t>
      </w:r>
      <w:r w:rsidR="001C12E7" w:rsidRPr="005E60BA">
        <w:rPr>
          <w:lang w:val="es-ES_tradnl"/>
        </w:rPr>
        <w:t xml:space="preserve">falta de aplicación </w:t>
      </w:r>
      <w:r w:rsidR="00B66CD8" w:rsidRPr="005E60BA">
        <w:rPr>
          <w:lang w:val="es-ES_tradnl"/>
        </w:rPr>
        <w:t xml:space="preserve">o indebida aplicación </w:t>
      </w:r>
      <w:r w:rsidR="001C12E7" w:rsidRPr="005E60BA">
        <w:rPr>
          <w:lang w:val="es-ES_tradnl"/>
        </w:rPr>
        <w:t xml:space="preserve">de </w:t>
      </w:r>
      <w:r w:rsidR="00B66CD8" w:rsidRPr="005E60BA">
        <w:rPr>
          <w:lang w:val="es-ES_tradnl"/>
        </w:rPr>
        <w:t>una</w:t>
      </w:r>
      <w:r w:rsidR="001C12E7" w:rsidRPr="005E60BA">
        <w:rPr>
          <w:lang w:val="es-ES_tradnl"/>
        </w:rPr>
        <w:t xml:space="preserve"> </w:t>
      </w:r>
      <w:r w:rsidR="00954C10" w:rsidRPr="005E60BA">
        <w:rPr>
          <w:i/>
          <w:szCs w:val="28"/>
          <w:lang w:eastAsia="en-US"/>
        </w:rPr>
        <w:t xml:space="preserve">norma </w:t>
      </w:r>
      <w:r w:rsidR="003179E3" w:rsidRPr="005E60BA">
        <w:rPr>
          <w:iCs/>
          <w:szCs w:val="28"/>
          <w:lang w:eastAsia="en-US"/>
        </w:rPr>
        <w:t xml:space="preserve">a </w:t>
      </w:r>
      <w:r w:rsidR="00954C10" w:rsidRPr="005E60BA">
        <w:rPr>
          <w:iCs/>
          <w:szCs w:val="28"/>
          <w:lang w:eastAsia="en-US"/>
        </w:rPr>
        <w:t>circunstancias concretas</w:t>
      </w:r>
      <w:r w:rsidR="00954C10" w:rsidRPr="005E60BA">
        <w:rPr>
          <w:i/>
          <w:szCs w:val="28"/>
          <w:lang w:eastAsia="en-US"/>
        </w:rPr>
        <w:t xml:space="preserve">. </w:t>
      </w:r>
      <w:r w:rsidR="001C12E7" w:rsidRPr="005E60BA">
        <w:rPr>
          <w:iCs/>
          <w:szCs w:val="28"/>
          <w:lang w:eastAsia="en-US"/>
        </w:rPr>
        <w:t>A juicio de la</w:t>
      </w:r>
      <w:r w:rsidR="00166BDE" w:rsidRPr="005E60BA">
        <w:rPr>
          <w:iCs/>
          <w:szCs w:val="28"/>
          <w:lang w:eastAsia="en-US"/>
        </w:rPr>
        <w:t xml:space="preserve"> Sala</w:t>
      </w:r>
      <w:r w:rsidR="001C12E7" w:rsidRPr="005E60BA">
        <w:rPr>
          <w:iCs/>
          <w:szCs w:val="28"/>
          <w:lang w:eastAsia="en-US"/>
        </w:rPr>
        <w:t xml:space="preserve">, </w:t>
      </w:r>
      <w:r w:rsidR="003179E3" w:rsidRPr="005E60BA">
        <w:rPr>
          <w:iCs/>
          <w:szCs w:val="28"/>
          <w:lang w:eastAsia="en-US"/>
        </w:rPr>
        <w:t xml:space="preserve">los hechos </w:t>
      </w:r>
      <w:r w:rsidR="00C32F82" w:rsidRPr="005E60BA">
        <w:rPr>
          <w:iCs/>
          <w:szCs w:val="28"/>
          <w:lang w:eastAsia="en-US"/>
        </w:rPr>
        <w:t xml:space="preserve">que </w:t>
      </w:r>
      <w:r w:rsidR="003179E3" w:rsidRPr="005E60BA">
        <w:rPr>
          <w:iCs/>
          <w:szCs w:val="28"/>
          <w:lang w:eastAsia="en-US"/>
        </w:rPr>
        <w:t xml:space="preserve">aquí </w:t>
      </w:r>
      <w:r w:rsidR="00C32F82" w:rsidRPr="005E60BA">
        <w:rPr>
          <w:iCs/>
          <w:szCs w:val="28"/>
          <w:lang w:eastAsia="en-US"/>
        </w:rPr>
        <w:t>se discuten</w:t>
      </w:r>
      <w:r w:rsidR="003179E3" w:rsidRPr="005E60BA">
        <w:rPr>
          <w:iCs/>
          <w:szCs w:val="28"/>
          <w:lang w:eastAsia="en-US"/>
        </w:rPr>
        <w:t xml:space="preserve">, precisamente por su </w:t>
      </w:r>
      <w:r w:rsidR="003179E3" w:rsidRPr="005E60BA">
        <w:rPr>
          <w:i/>
          <w:szCs w:val="28"/>
          <w:lang w:eastAsia="en-US"/>
        </w:rPr>
        <w:t>especialidad</w:t>
      </w:r>
      <w:r w:rsidR="00266F8E" w:rsidRPr="005E60BA">
        <w:rPr>
          <w:i/>
          <w:szCs w:val="28"/>
          <w:lang w:eastAsia="en-US"/>
        </w:rPr>
        <w:t xml:space="preserve"> </w:t>
      </w:r>
      <w:r w:rsidR="005E60BA">
        <w:rPr>
          <w:i/>
          <w:szCs w:val="28"/>
          <w:lang w:eastAsia="en-US"/>
        </w:rPr>
        <w:t>e</w:t>
      </w:r>
      <w:r w:rsidR="00266F8E" w:rsidRPr="005E60BA">
        <w:rPr>
          <w:i/>
          <w:szCs w:val="28"/>
          <w:lang w:eastAsia="en-US"/>
        </w:rPr>
        <w:t xml:space="preserve"> impacto en la estructura constitucional</w:t>
      </w:r>
      <w:r w:rsidR="003179E3" w:rsidRPr="005E60BA">
        <w:rPr>
          <w:iCs/>
          <w:szCs w:val="28"/>
          <w:lang w:eastAsia="en-US"/>
        </w:rPr>
        <w:t xml:space="preserve">, van más allá de los defectos descritos e </w:t>
      </w:r>
      <w:r w:rsidR="00C32F82" w:rsidRPr="005E60BA">
        <w:rPr>
          <w:iCs/>
          <w:szCs w:val="28"/>
          <w:lang w:eastAsia="en-US"/>
        </w:rPr>
        <w:t xml:space="preserve">involucran </w:t>
      </w:r>
      <w:r w:rsidR="004D725E" w:rsidRPr="005E60BA">
        <w:rPr>
          <w:iCs/>
          <w:szCs w:val="28"/>
          <w:lang w:eastAsia="en-US"/>
        </w:rPr>
        <w:t>realmente</w:t>
      </w:r>
      <w:r w:rsidR="003179E3" w:rsidRPr="005E60BA">
        <w:rPr>
          <w:iCs/>
          <w:szCs w:val="28"/>
          <w:lang w:eastAsia="en-US"/>
        </w:rPr>
        <w:t xml:space="preserve"> una</w:t>
      </w:r>
      <w:r w:rsidR="00C32F82" w:rsidRPr="005E60BA">
        <w:rPr>
          <w:iCs/>
          <w:szCs w:val="28"/>
          <w:lang w:eastAsia="en-US"/>
        </w:rPr>
        <w:t xml:space="preserve"> </w:t>
      </w:r>
      <w:r w:rsidRPr="005E60BA">
        <w:rPr>
          <w:i/>
          <w:iCs/>
          <w:lang w:val="es-ES_tradnl"/>
        </w:rPr>
        <w:t>violación directa de la Constitución</w:t>
      </w:r>
      <w:r w:rsidR="00B66CD8" w:rsidRPr="005E60BA">
        <w:rPr>
          <w:lang w:val="es-ES_tradnl"/>
        </w:rPr>
        <w:t>. P</w:t>
      </w:r>
      <w:r w:rsidR="001C12E7" w:rsidRPr="005E60BA">
        <w:rPr>
          <w:lang w:val="es-ES_tradnl"/>
        </w:rPr>
        <w:t xml:space="preserve">or </w:t>
      </w:r>
      <w:r w:rsidR="00B66CD8" w:rsidRPr="005E60BA">
        <w:rPr>
          <w:lang w:val="es-ES_tradnl"/>
        </w:rPr>
        <w:t>el</w:t>
      </w:r>
      <w:r w:rsidR="001C12E7" w:rsidRPr="005E60BA">
        <w:rPr>
          <w:lang w:val="es-ES_tradnl"/>
        </w:rPr>
        <w:t>lo</w:t>
      </w:r>
      <w:r w:rsidR="00B66CD8" w:rsidRPr="005E60BA">
        <w:rPr>
          <w:lang w:val="es-ES_tradnl"/>
        </w:rPr>
        <w:t xml:space="preserve"> </w:t>
      </w:r>
      <w:r w:rsidR="001C12E7" w:rsidRPr="005E60BA">
        <w:rPr>
          <w:lang w:val="es-ES_tradnl"/>
        </w:rPr>
        <w:t xml:space="preserve">se revisará ese </w:t>
      </w:r>
      <w:r w:rsidR="004D725E" w:rsidRPr="005E60BA">
        <w:rPr>
          <w:lang w:val="es-ES_tradnl"/>
        </w:rPr>
        <w:t>defecto</w:t>
      </w:r>
      <w:r w:rsidR="008E41D3" w:rsidRPr="005E60BA">
        <w:rPr>
          <w:lang w:val="es-ES_tradnl"/>
        </w:rPr>
        <w:t xml:space="preserve"> en </w:t>
      </w:r>
      <w:r w:rsidR="004D725E" w:rsidRPr="005E60BA">
        <w:rPr>
          <w:lang w:val="es-ES_tradnl"/>
        </w:rPr>
        <w:t>concreto</w:t>
      </w:r>
      <w:r w:rsidR="001C12E7" w:rsidRPr="005E60BA">
        <w:rPr>
          <w:lang w:val="es-ES_tradnl"/>
        </w:rPr>
        <w:t xml:space="preserve">, a continuación. </w:t>
      </w:r>
    </w:p>
    <w:p w14:paraId="47308503" w14:textId="77777777" w:rsidR="001C12E7" w:rsidRPr="009C1613" w:rsidRDefault="001C12E7" w:rsidP="00A80BDC">
      <w:pPr>
        <w:pStyle w:val="Prrafodelista"/>
        <w:spacing w:line="276" w:lineRule="auto"/>
        <w:rPr>
          <w:lang w:val="es-ES_tradnl"/>
        </w:rPr>
      </w:pPr>
    </w:p>
    <w:p w14:paraId="2B6B9A55" w14:textId="77777777" w:rsidR="001C12E7" w:rsidRPr="009C1613" w:rsidRDefault="006E6645" w:rsidP="001C12E7">
      <w:pPr>
        <w:jc w:val="both"/>
        <w:rPr>
          <w:b/>
          <w:bCs/>
          <w:i/>
          <w:iCs/>
          <w:lang w:val="es-ES_tradnl"/>
        </w:rPr>
      </w:pPr>
      <w:r w:rsidRPr="009C1613">
        <w:rPr>
          <w:b/>
          <w:bCs/>
          <w:i/>
          <w:iCs/>
          <w:lang w:val="es-ES_tradnl"/>
        </w:rPr>
        <w:t>Existencia de un defecto</w:t>
      </w:r>
      <w:r w:rsidR="00B66CD8" w:rsidRPr="009C1613">
        <w:rPr>
          <w:b/>
          <w:bCs/>
          <w:i/>
          <w:iCs/>
          <w:lang w:val="es-ES_tradnl"/>
        </w:rPr>
        <w:t xml:space="preserve"> </w:t>
      </w:r>
      <w:r w:rsidRPr="009C1613">
        <w:rPr>
          <w:b/>
          <w:bCs/>
          <w:i/>
          <w:iCs/>
          <w:lang w:val="es-ES_tradnl"/>
        </w:rPr>
        <w:t xml:space="preserve">por </w:t>
      </w:r>
      <w:r w:rsidR="002275EA" w:rsidRPr="009C1613">
        <w:rPr>
          <w:b/>
          <w:bCs/>
          <w:i/>
          <w:iCs/>
          <w:lang w:val="es-ES_tradnl"/>
        </w:rPr>
        <w:t>v</w:t>
      </w:r>
      <w:r w:rsidR="001C12E7" w:rsidRPr="009C1613">
        <w:rPr>
          <w:b/>
          <w:bCs/>
          <w:i/>
          <w:iCs/>
          <w:lang w:val="es-ES_tradnl"/>
        </w:rPr>
        <w:t>iolación directa de la Constitución</w:t>
      </w:r>
    </w:p>
    <w:p w14:paraId="5A0C8B57" w14:textId="77777777" w:rsidR="00E2054D" w:rsidRPr="009C1613" w:rsidRDefault="00E2054D" w:rsidP="00A80BDC">
      <w:pPr>
        <w:spacing w:line="276" w:lineRule="auto"/>
        <w:jc w:val="both"/>
        <w:rPr>
          <w:lang w:val="es-ES_tradnl"/>
        </w:rPr>
      </w:pPr>
    </w:p>
    <w:p w14:paraId="2E4A67FE" w14:textId="77777777" w:rsidR="0043433C" w:rsidRPr="009C1613" w:rsidRDefault="0043433C" w:rsidP="0043433C">
      <w:pPr>
        <w:numPr>
          <w:ilvl w:val="0"/>
          <w:numId w:val="10"/>
        </w:numPr>
        <w:tabs>
          <w:tab w:val="left" w:pos="142"/>
          <w:tab w:val="left" w:pos="284"/>
        </w:tabs>
        <w:autoSpaceDE w:val="0"/>
        <w:autoSpaceDN w:val="0"/>
        <w:ind w:right="49"/>
        <w:jc w:val="both"/>
        <w:rPr>
          <w:szCs w:val="28"/>
          <w:lang w:eastAsia="es-CO"/>
        </w:rPr>
      </w:pPr>
      <w:r w:rsidRPr="009C1613">
        <w:rPr>
          <w:szCs w:val="28"/>
          <w:lang w:eastAsia="es-CO"/>
        </w:rPr>
        <w:t xml:space="preserve">En virtud del artículo 4º </w:t>
      </w:r>
      <w:r w:rsidR="009C1613" w:rsidRPr="009C1613">
        <w:rPr>
          <w:szCs w:val="28"/>
          <w:lang w:eastAsia="es-CO"/>
        </w:rPr>
        <w:t>s</w:t>
      </w:r>
      <w:r w:rsidRPr="009C1613">
        <w:rPr>
          <w:szCs w:val="28"/>
          <w:lang w:eastAsia="es-CO"/>
        </w:rPr>
        <w:t>uperior, esta Corporación ha establecido que la Constitución Política tiene</w:t>
      </w:r>
      <w:r w:rsidR="004954C1" w:rsidRPr="009C1613">
        <w:rPr>
          <w:szCs w:val="28"/>
          <w:lang w:eastAsia="es-CO"/>
        </w:rPr>
        <w:t xml:space="preserve"> un</w:t>
      </w:r>
      <w:r w:rsidRPr="009C1613">
        <w:rPr>
          <w:szCs w:val="28"/>
          <w:lang w:eastAsia="es-CO"/>
        </w:rPr>
        <w:t xml:space="preserve"> pleno carácter vinculante y fuerza normativa. Por consiguiente, </w:t>
      </w:r>
      <w:r w:rsidR="00F17CC9" w:rsidRPr="009C1613">
        <w:rPr>
          <w:szCs w:val="28"/>
          <w:lang w:eastAsia="es-CO"/>
        </w:rPr>
        <w:t xml:space="preserve">todos </w:t>
      </w:r>
      <w:r w:rsidRPr="009C1613">
        <w:rPr>
          <w:szCs w:val="28"/>
          <w:lang w:eastAsia="es-CO"/>
        </w:rPr>
        <w:t>los preceptos y mandatos constitucionales son de aplicación directa</w:t>
      </w:r>
      <w:r w:rsidR="004954C1" w:rsidRPr="009C1613">
        <w:rPr>
          <w:szCs w:val="28"/>
          <w:lang w:eastAsia="es-CO"/>
        </w:rPr>
        <w:t xml:space="preserve"> e inmediata</w:t>
      </w:r>
      <w:r w:rsidR="009C1613" w:rsidRPr="009C1613">
        <w:rPr>
          <w:rStyle w:val="Refdenotaalpie"/>
          <w:szCs w:val="28"/>
          <w:lang w:eastAsia="es-CO"/>
        </w:rPr>
        <w:footnoteReference w:id="361"/>
      </w:r>
      <w:r w:rsidR="004954C1" w:rsidRPr="009C1613">
        <w:rPr>
          <w:szCs w:val="28"/>
          <w:lang w:eastAsia="es-CO"/>
        </w:rPr>
        <w:t>.</w:t>
      </w:r>
      <w:r w:rsidRPr="009C1613">
        <w:rPr>
          <w:szCs w:val="28"/>
          <w:lang w:eastAsia="es-CO"/>
        </w:rPr>
        <w:t xml:space="preserve"> </w:t>
      </w:r>
    </w:p>
    <w:p w14:paraId="77843783" w14:textId="77777777" w:rsidR="00B67608" w:rsidRPr="009C1613" w:rsidRDefault="00B67608" w:rsidP="00B67608">
      <w:pPr>
        <w:tabs>
          <w:tab w:val="left" w:pos="142"/>
          <w:tab w:val="left" w:pos="284"/>
        </w:tabs>
        <w:autoSpaceDE w:val="0"/>
        <w:autoSpaceDN w:val="0"/>
        <w:ind w:right="49"/>
        <w:jc w:val="both"/>
        <w:rPr>
          <w:szCs w:val="28"/>
          <w:lang w:eastAsia="es-CO"/>
        </w:rPr>
      </w:pPr>
    </w:p>
    <w:p w14:paraId="26529E4B" w14:textId="77777777" w:rsidR="00F17CC9" w:rsidRPr="009C1613" w:rsidRDefault="00F17CC9" w:rsidP="00F17CC9">
      <w:pPr>
        <w:autoSpaceDN w:val="0"/>
        <w:jc w:val="both"/>
        <w:textAlignment w:val="baseline"/>
        <w:rPr>
          <w:szCs w:val="28"/>
          <w:lang w:eastAsia="es-CO"/>
        </w:rPr>
      </w:pPr>
      <w:r w:rsidRPr="009C1613">
        <w:rPr>
          <w:szCs w:val="28"/>
          <w:lang w:eastAsia="es-CO"/>
        </w:rPr>
        <w:t>Esta fuerza normativa es lo que da fundament</w:t>
      </w:r>
      <w:r w:rsidR="004954C1" w:rsidRPr="009C1613">
        <w:rPr>
          <w:szCs w:val="28"/>
          <w:lang w:eastAsia="es-CO"/>
        </w:rPr>
        <w:t>o a</w:t>
      </w:r>
      <w:r w:rsidRPr="009C1613">
        <w:rPr>
          <w:szCs w:val="28"/>
          <w:lang w:eastAsia="es-CO"/>
        </w:rPr>
        <w:t xml:space="preserve"> la causal específica de procedencia de la acción de tutela contra providencias judiciales por </w:t>
      </w:r>
      <w:r w:rsidRPr="009C1613">
        <w:rPr>
          <w:i/>
          <w:iCs/>
          <w:szCs w:val="28"/>
          <w:lang w:eastAsia="es-CO"/>
        </w:rPr>
        <w:t>violación directa de la Constitución</w:t>
      </w:r>
      <w:r w:rsidRPr="009C1613">
        <w:rPr>
          <w:szCs w:val="28"/>
          <w:lang w:eastAsia="es-CO"/>
        </w:rPr>
        <w:t>, por cuanto es factible que una decisión judicial desconozca o aplique indebidamente tales postulados</w:t>
      </w:r>
      <w:r w:rsidR="006E6645" w:rsidRPr="009C1613">
        <w:rPr>
          <w:szCs w:val="28"/>
          <w:lang w:eastAsia="es-CO"/>
        </w:rPr>
        <w:t xml:space="preserve"> superiores</w:t>
      </w:r>
      <w:r w:rsidRPr="009C1613">
        <w:rPr>
          <w:rStyle w:val="Refdenotaalpie"/>
          <w:szCs w:val="28"/>
          <w:lang w:eastAsia="es-CO"/>
        </w:rPr>
        <w:footnoteReference w:id="362"/>
      </w:r>
      <w:r w:rsidRPr="009C1613">
        <w:rPr>
          <w:szCs w:val="28"/>
          <w:lang w:eastAsia="es-CO"/>
        </w:rPr>
        <w:t>.</w:t>
      </w:r>
    </w:p>
    <w:p w14:paraId="4A8F66E8" w14:textId="77777777" w:rsidR="00F17CC9" w:rsidRPr="009C1613" w:rsidRDefault="00F17CC9" w:rsidP="00F17CC9">
      <w:pPr>
        <w:autoSpaceDN w:val="0"/>
        <w:jc w:val="both"/>
        <w:textAlignment w:val="baseline"/>
        <w:rPr>
          <w:szCs w:val="28"/>
          <w:lang w:eastAsia="es-CO"/>
        </w:rPr>
      </w:pPr>
    </w:p>
    <w:p w14:paraId="7A6BACF1" w14:textId="77777777" w:rsidR="00BF1BC1" w:rsidRPr="009C1613" w:rsidRDefault="00F17CC9" w:rsidP="00C564B4">
      <w:pPr>
        <w:numPr>
          <w:ilvl w:val="0"/>
          <w:numId w:val="10"/>
        </w:numPr>
        <w:tabs>
          <w:tab w:val="left" w:pos="142"/>
          <w:tab w:val="left" w:pos="284"/>
        </w:tabs>
        <w:autoSpaceDE w:val="0"/>
        <w:autoSpaceDN w:val="0"/>
        <w:ind w:right="49"/>
        <w:jc w:val="both"/>
        <w:rPr>
          <w:szCs w:val="28"/>
          <w:lang w:eastAsia="es-CO"/>
        </w:rPr>
      </w:pPr>
      <w:r w:rsidRPr="009C1613">
        <w:rPr>
          <w:szCs w:val="28"/>
          <w:lang w:eastAsia="es-CO"/>
        </w:rPr>
        <w:t xml:space="preserve">Si </w:t>
      </w:r>
      <w:r w:rsidR="004F5F57" w:rsidRPr="009C1613">
        <w:t xml:space="preserve">bien la jurisprudencia de esta Corporación concibió </w:t>
      </w:r>
      <w:r w:rsidR="00E418A8" w:rsidRPr="009C1613">
        <w:t>e</w:t>
      </w:r>
      <w:r w:rsidRPr="009C1613">
        <w:t>ste</w:t>
      </w:r>
      <w:r w:rsidR="00E418A8" w:rsidRPr="009C1613">
        <w:t xml:space="preserve"> defecto </w:t>
      </w:r>
      <w:r w:rsidR="001C12E7" w:rsidRPr="009C1613">
        <w:t xml:space="preserve">en sus orígenes </w:t>
      </w:r>
      <w:r w:rsidR="00A30274" w:rsidRPr="009C1613">
        <w:t>como un</w:t>
      </w:r>
      <w:r w:rsidR="001C12E7" w:rsidRPr="009C1613">
        <w:t xml:space="preserve">o de carácter </w:t>
      </w:r>
      <w:r w:rsidR="00A30274" w:rsidRPr="009C1613">
        <w:t>sustantivo,</w:t>
      </w:r>
      <w:r w:rsidRPr="009C1613">
        <w:t xml:space="preserve"> </w:t>
      </w:r>
      <w:r w:rsidR="0043433C" w:rsidRPr="009C1613">
        <w:t xml:space="preserve">lo cierto es que </w:t>
      </w:r>
      <w:r w:rsidR="00E418A8" w:rsidRPr="009C1613">
        <w:t xml:space="preserve">con la </w:t>
      </w:r>
      <w:r w:rsidR="001C12E7" w:rsidRPr="009C1613">
        <w:rPr>
          <w:b/>
          <w:bCs/>
        </w:rPr>
        <w:t>S</w:t>
      </w:r>
      <w:r w:rsidR="00A30274" w:rsidRPr="009C1613">
        <w:rPr>
          <w:b/>
          <w:bCs/>
        </w:rPr>
        <w:t>entencia T-949 de 2003</w:t>
      </w:r>
      <w:r w:rsidR="0043433C" w:rsidRPr="009C1613">
        <w:rPr>
          <w:rStyle w:val="Refdenotaalpie"/>
          <w:b/>
          <w:bCs/>
        </w:rPr>
        <w:footnoteReference w:id="363"/>
      </w:r>
      <w:r w:rsidR="00A75910" w:rsidRPr="009C1613">
        <w:t xml:space="preserve"> </w:t>
      </w:r>
      <w:r w:rsidR="00A80BDC" w:rsidRPr="009C1613">
        <w:t xml:space="preserve">este defecto </w:t>
      </w:r>
      <w:r w:rsidR="00D238E4" w:rsidRPr="009C1613">
        <w:t xml:space="preserve">se </w:t>
      </w:r>
      <w:r w:rsidR="003A507C" w:rsidRPr="009C1613">
        <w:t xml:space="preserve">identificó </w:t>
      </w:r>
      <w:r w:rsidR="00E418A8" w:rsidRPr="009C1613">
        <w:t xml:space="preserve">como </w:t>
      </w:r>
      <w:r w:rsidR="00A30274" w:rsidRPr="009C1613">
        <w:t xml:space="preserve">una causal </w:t>
      </w:r>
      <w:r w:rsidR="00A75910" w:rsidRPr="009C1613">
        <w:t xml:space="preserve">independiente </w:t>
      </w:r>
      <w:r w:rsidR="00A30274" w:rsidRPr="009C1613">
        <w:t>de procedencia de la acción de tutela contra providencias judiciales</w:t>
      </w:r>
      <w:r w:rsidR="0043433C" w:rsidRPr="009C1613">
        <w:rPr>
          <w:rStyle w:val="Refdenotaalpie"/>
        </w:rPr>
        <w:footnoteReference w:id="364"/>
      </w:r>
      <w:r w:rsidR="00E418A8" w:rsidRPr="009C1613">
        <w:t>.</w:t>
      </w:r>
      <w:r w:rsidR="001E0658" w:rsidRPr="009C1613">
        <w:t xml:space="preserve"> </w:t>
      </w:r>
      <w:r w:rsidR="009C1613" w:rsidRPr="009C1613">
        <w:t>Así,</w:t>
      </w:r>
      <w:r w:rsidR="00950D61" w:rsidRPr="009C1613">
        <w:t xml:space="preserve"> </w:t>
      </w:r>
      <w:r w:rsidR="004954C1" w:rsidRPr="009C1613">
        <w:t>e</w:t>
      </w:r>
      <w:r w:rsidR="006E6645" w:rsidRPr="009C1613">
        <w:t xml:space="preserve">n </w:t>
      </w:r>
      <w:r w:rsidR="00633850" w:rsidRPr="009C1613">
        <w:t xml:space="preserve">la </w:t>
      </w:r>
      <w:r w:rsidR="003A507C" w:rsidRPr="009C1613">
        <w:rPr>
          <w:b/>
          <w:bCs/>
        </w:rPr>
        <w:t>S</w:t>
      </w:r>
      <w:r w:rsidR="00633850" w:rsidRPr="009C1613">
        <w:rPr>
          <w:b/>
          <w:bCs/>
        </w:rPr>
        <w:t>entencia C-590 de 2005</w:t>
      </w:r>
      <w:r w:rsidR="00D238E4" w:rsidRPr="009C1613">
        <w:rPr>
          <w:rStyle w:val="Refdenotaalpie"/>
          <w:b/>
          <w:bCs/>
        </w:rPr>
        <w:footnoteReference w:id="365"/>
      </w:r>
      <w:r w:rsidR="006E6645" w:rsidRPr="009C1613">
        <w:t>, s</w:t>
      </w:r>
      <w:r w:rsidR="00633850" w:rsidRPr="009C1613">
        <w:t xml:space="preserve">e </w:t>
      </w:r>
      <w:r w:rsidR="00A30274" w:rsidRPr="009C1613">
        <w:rPr>
          <w:bCs/>
          <w:lang w:val="es-CO"/>
        </w:rPr>
        <w:t>incluyó</w:t>
      </w:r>
      <w:r w:rsidR="00D238E4" w:rsidRPr="009C1613">
        <w:rPr>
          <w:bCs/>
          <w:lang w:val="es-CO"/>
        </w:rPr>
        <w:t xml:space="preserve"> </w:t>
      </w:r>
      <w:r w:rsidR="006E6645" w:rsidRPr="009C1613">
        <w:rPr>
          <w:bCs/>
          <w:lang w:val="es-CO"/>
        </w:rPr>
        <w:t xml:space="preserve">definitivamente </w:t>
      </w:r>
      <w:r w:rsidR="002275EA" w:rsidRPr="009C1613">
        <w:rPr>
          <w:bCs/>
          <w:lang w:val="es-CO"/>
        </w:rPr>
        <w:t>el</w:t>
      </w:r>
      <w:r w:rsidR="006E6645" w:rsidRPr="009C1613">
        <w:rPr>
          <w:bCs/>
          <w:lang w:val="es-CO"/>
        </w:rPr>
        <w:t xml:space="preserve"> defecto</w:t>
      </w:r>
      <w:r w:rsidR="00A75910" w:rsidRPr="009C1613">
        <w:rPr>
          <w:bCs/>
          <w:lang w:val="es-CO"/>
        </w:rPr>
        <w:t xml:space="preserve"> en </w:t>
      </w:r>
      <w:r w:rsidR="00950D61" w:rsidRPr="009C1613">
        <w:rPr>
          <w:bCs/>
          <w:lang w:val="es-CO"/>
        </w:rPr>
        <w:t>la categoría</w:t>
      </w:r>
      <w:r w:rsidR="00A75910" w:rsidRPr="009C1613">
        <w:rPr>
          <w:bCs/>
          <w:lang w:val="es-CO"/>
        </w:rPr>
        <w:t xml:space="preserve"> </w:t>
      </w:r>
      <w:r w:rsidR="00950D61" w:rsidRPr="009C1613">
        <w:rPr>
          <w:bCs/>
          <w:lang w:val="es-CO"/>
        </w:rPr>
        <w:t xml:space="preserve">de aquellos criterios </w:t>
      </w:r>
      <w:r w:rsidR="00A75910" w:rsidRPr="009C1613">
        <w:rPr>
          <w:bCs/>
          <w:lang w:val="es-CO"/>
        </w:rPr>
        <w:t xml:space="preserve">especiales de procedencia de la </w:t>
      </w:r>
      <w:r w:rsidR="00950D61" w:rsidRPr="009C1613">
        <w:rPr>
          <w:bCs/>
          <w:lang w:val="es-CO"/>
        </w:rPr>
        <w:t xml:space="preserve">acción de </w:t>
      </w:r>
      <w:r w:rsidR="00A75910" w:rsidRPr="009C1613">
        <w:rPr>
          <w:bCs/>
          <w:lang w:val="es-CO"/>
        </w:rPr>
        <w:t>tutela</w:t>
      </w:r>
      <w:r w:rsidR="00950D61" w:rsidRPr="009C1613">
        <w:rPr>
          <w:bCs/>
          <w:lang w:val="es-CO"/>
        </w:rPr>
        <w:t xml:space="preserve"> contra providencias</w:t>
      </w:r>
      <w:r w:rsidR="009C1613" w:rsidRPr="009C1613">
        <w:rPr>
          <w:bCs/>
          <w:lang w:val="es-CO"/>
        </w:rPr>
        <w:t xml:space="preserve"> judiciales</w:t>
      </w:r>
      <w:r w:rsidR="00A75910" w:rsidRPr="009C1613">
        <w:rPr>
          <w:bCs/>
          <w:lang w:val="es-CO"/>
        </w:rPr>
        <w:t xml:space="preserve">, de manera </w:t>
      </w:r>
      <w:r w:rsidR="00A30274" w:rsidRPr="009C1613">
        <w:rPr>
          <w:lang w:val="es-CO"/>
        </w:rPr>
        <w:t>autónom</w:t>
      </w:r>
      <w:r w:rsidR="00A75910" w:rsidRPr="009C1613">
        <w:rPr>
          <w:lang w:val="es-CO"/>
        </w:rPr>
        <w:t>a</w:t>
      </w:r>
      <w:r w:rsidR="00D238E4" w:rsidRPr="009C1613">
        <w:rPr>
          <w:rStyle w:val="Refdenotaalpie"/>
          <w:lang w:val="es-CO"/>
        </w:rPr>
        <w:footnoteReference w:id="366"/>
      </w:r>
      <w:r w:rsidR="00A30274" w:rsidRPr="009C1613">
        <w:rPr>
          <w:lang w:val="es-CO"/>
        </w:rPr>
        <w:t>.</w:t>
      </w:r>
      <w:r w:rsidR="004F5F57" w:rsidRPr="009C1613">
        <w:t xml:space="preserve"> </w:t>
      </w:r>
    </w:p>
    <w:p w14:paraId="0FD69184" w14:textId="77777777" w:rsidR="00BF1BC1" w:rsidRPr="009C1613" w:rsidRDefault="00BF1BC1" w:rsidP="00BF1BC1">
      <w:pPr>
        <w:tabs>
          <w:tab w:val="left" w:pos="142"/>
          <w:tab w:val="left" w:pos="284"/>
        </w:tabs>
        <w:autoSpaceDE w:val="0"/>
        <w:autoSpaceDN w:val="0"/>
        <w:ind w:right="49"/>
        <w:jc w:val="both"/>
        <w:rPr>
          <w:szCs w:val="28"/>
          <w:lang w:eastAsia="es-CO"/>
        </w:rPr>
      </w:pPr>
    </w:p>
    <w:p w14:paraId="35992116" w14:textId="77777777" w:rsidR="00201BD7" w:rsidRPr="009C1613" w:rsidRDefault="00A80BDC" w:rsidP="00201BD7">
      <w:pPr>
        <w:numPr>
          <w:ilvl w:val="0"/>
          <w:numId w:val="10"/>
        </w:numPr>
        <w:jc w:val="both"/>
        <w:rPr>
          <w:shd w:val="clear" w:color="auto" w:fill="FFFFFF"/>
        </w:rPr>
      </w:pPr>
      <w:r w:rsidRPr="009C1613">
        <w:rPr>
          <w:shd w:val="clear" w:color="auto" w:fill="FFFFFF"/>
        </w:rPr>
        <w:t>Ahora bien, s</w:t>
      </w:r>
      <w:r w:rsidR="00503602" w:rsidRPr="009C1613">
        <w:rPr>
          <w:shd w:val="clear" w:color="auto" w:fill="FFFFFF"/>
        </w:rPr>
        <w:t xml:space="preserve">egún la </w:t>
      </w:r>
      <w:r w:rsidR="00201BD7" w:rsidRPr="009C1613">
        <w:rPr>
          <w:b/>
          <w:bCs/>
          <w:shd w:val="clear" w:color="auto" w:fill="FFFFFF"/>
        </w:rPr>
        <w:t>Sentencia</w:t>
      </w:r>
      <w:r w:rsidR="00201BD7" w:rsidRPr="009C1613">
        <w:rPr>
          <w:shd w:val="clear" w:color="auto" w:fill="FFFFFF"/>
        </w:rPr>
        <w:t xml:space="preserve"> </w:t>
      </w:r>
      <w:r w:rsidR="00201BD7" w:rsidRPr="009C1613">
        <w:rPr>
          <w:b/>
          <w:bCs/>
          <w:shd w:val="clear" w:color="auto" w:fill="FFFFFF"/>
        </w:rPr>
        <w:t>T</w:t>
      </w:r>
      <w:r w:rsidR="00503602" w:rsidRPr="009C1613">
        <w:rPr>
          <w:b/>
          <w:bCs/>
          <w:shd w:val="clear" w:color="auto" w:fill="FFFFFF"/>
        </w:rPr>
        <w:t>-</w:t>
      </w:r>
      <w:r w:rsidR="00201BD7" w:rsidRPr="009C1613">
        <w:rPr>
          <w:b/>
          <w:bCs/>
          <w:shd w:val="clear" w:color="auto" w:fill="FFFFFF"/>
        </w:rPr>
        <w:t>10</w:t>
      </w:r>
      <w:r w:rsidR="00503602" w:rsidRPr="009C1613">
        <w:rPr>
          <w:b/>
          <w:bCs/>
          <w:shd w:val="clear" w:color="auto" w:fill="FFFFFF"/>
        </w:rPr>
        <w:t>9 de 201</w:t>
      </w:r>
      <w:r w:rsidR="00201BD7" w:rsidRPr="009C1613">
        <w:rPr>
          <w:b/>
          <w:bCs/>
          <w:shd w:val="clear" w:color="auto" w:fill="FFFFFF"/>
        </w:rPr>
        <w:t>9</w:t>
      </w:r>
      <w:r w:rsidR="00503602" w:rsidRPr="009C1613">
        <w:rPr>
          <w:rStyle w:val="Refdenotaalpie"/>
          <w:shd w:val="clear" w:color="auto" w:fill="FFFFFF"/>
        </w:rPr>
        <w:footnoteReference w:id="367"/>
      </w:r>
      <w:r w:rsidR="00950D61" w:rsidRPr="009C1613">
        <w:rPr>
          <w:shd w:val="clear" w:color="auto" w:fill="FFFFFF"/>
        </w:rPr>
        <w:t>,</w:t>
      </w:r>
      <w:r w:rsidR="00201BD7" w:rsidRPr="009C1613">
        <w:rPr>
          <w:b/>
          <w:bCs/>
          <w:shd w:val="clear" w:color="auto" w:fill="FFFFFF"/>
        </w:rPr>
        <w:t xml:space="preserve"> </w:t>
      </w:r>
      <w:r w:rsidR="00950D61" w:rsidRPr="009C1613">
        <w:rPr>
          <w:shd w:val="clear" w:color="auto" w:fill="FFFFFF"/>
        </w:rPr>
        <w:t xml:space="preserve">se trata de un defecto que se configura, en principio, </w:t>
      </w:r>
      <w:r w:rsidR="00C564B4" w:rsidRPr="009C1613">
        <w:rPr>
          <w:shd w:val="clear" w:color="auto" w:fill="FFFFFF"/>
        </w:rPr>
        <w:t>cuando</w:t>
      </w:r>
      <w:r w:rsidR="00201BD7" w:rsidRPr="009C1613">
        <w:rPr>
          <w:shd w:val="clear" w:color="auto" w:fill="FFFFFF"/>
        </w:rPr>
        <w:t xml:space="preserve"> un juez </w:t>
      </w:r>
      <w:r w:rsidR="00201BD7" w:rsidRPr="009C1613">
        <w:rPr>
          <w:i/>
          <w:shd w:val="clear" w:color="auto" w:fill="FFFFFF"/>
        </w:rPr>
        <w:t xml:space="preserve">“(i) </w:t>
      </w:r>
      <w:r w:rsidR="00201BD7" w:rsidRPr="009C1613">
        <w:rPr>
          <w:b/>
          <w:bCs/>
          <w:i/>
          <w:shd w:val="clear" w:color="auto" w:fill="FFFFFF"/>
        </w:rPr>
        <w:t>deja de aplicar una disposición ius fundamental a un caso concreto</w:t>
      </w:r>
      <w:r w:rsidR="00201BD7" w:rsidRPr="009C1613">
        <w:rPr>
          <w:i/>
          <w:shd w:val="clear" w:color="auto" w:fill="FFFFFF"/>
        </w:rPr>
        <w:t>; o (ii) aplica la ley al margen de los dictados de la Constitución”</w:t>
      </w:r>
      <w:r w:rsidR="00201BD7" w:rsidRPr="009C1613">
        <w:rPr>
          <w:color w:val="000000"/>
          <w:vertAlign w:val="superscript"/>
        </w:rPr>
        <w:footnoteReference w:id="368"/>
      </w:r>
      <w:r w:rsidR="00201BD7" w:rsidRPr="009C1613">
        <w:rPr>
          <w:shd w:val="clear" w:color="auto" w:fill="FFFFFF"/>
        </w:rPr>
        <w:t xml:space="preserve">. </w:t>
      </w:r>
      <w:r w:rsidR="00201BD7" w:rsidRPr="009C1613">
        <w:rPr>
          <w:color w:val="000000"/>
        </w:rPr>
        <w:t xml:space="preserve">También </w:t>
      </w:r>
      <w:r w:rsidRPr="009C1613">
        <w:rPr>
          <w:color w:val="000000"/>
        </w:rPr>
        <w:t xml:space="preserve">ocurre </w:t>
      </w:r>
      <w:r w:rsidR="00201BD7" w:rsidRPr="009C1613">
        <w:rPr>
          <w:color w:val="000000"/>
        </w:rPr>
        <w:t xml:space="preserve">cuando:  </w:t>
      </w:r>
    </w:p>
    <w:p w14:paraId="4E97224E" w14:textId="77777777" w:rsidR="00201BD7" w:rsidRPr="009C1613" w:rsidRDefault="00201BD7" w:rsidP="00201BD7">
      <w:pPr>
        <w:jc w:val="both"/>
        <w:rPr>
          <w:shd w:val="clear" w:color="auto" w:fill="FFFFFF"/>
        </w:rPr>
      </w:pPr>
    </w:p>
    <w:p w14:paraId="170BF7F5" w14:textId="77777777" w:rsidR="00201BD7" w:rsidRPr="009C1613" w:rsidRDefault="00950D61" w:rsidP="00A80BDC">
      <w:pPr>
        <w:shd w:val="clear" w:color="auto" w:fill="FFFFFF"/>
        <w:ind w:left="284"/>
        <w:jc w:val="both"/>
        <w:rPr>
          <w:i/>
          <w:color w:val="000000"/>
          <w:sz w:val="26"/>
          <w:szCs w:val="26"/>
        </w:rPr>
      </w:pPr>
      <w:r w:rsidRPr="009C1613">
        <w:rPr>
          <w:i/>
          <w:color w:val="000000"/>
          <w:sz w:val="26"/>
          <w:szCs w:val="26"/>
        </w:rPr>
        <w:t>“</w:t>
      </w:r>
      <w:r w:rsidR="00201BD7" w:rsidRPr="009C1613">
        <w:rPr>
          <w:i/>
          <w:color w:val="000000"/>
          <w:sz w:val="26"/>
          <w:szCs w:val="26"/>
        </w:rPr>
        <w:t xml:space="preserve">a) En la solución del caso se deja de </w:t>
      </w:r>
      <w:r w:rsidR="00201BD7" w:rsidRPr="009C1613">
        <w:rPr>
          <w:b/>
          <w:bCs/>
          <w:i/>
          <w:color w:val="000000"/>
          <w:sz w:val="26"/>
          <w:szCs w:val="26"/>
        </w:rPr>
        <w:t xml:space="preserve">interpretar y aplicar </w:t>
      </w:r>
      <w:r w:rsidR="00201BD7" w:rsidRPr="009C1613">
        <w:rPr>
          <w:i/>
          <w:color w:val="000000"/>
          <w:sz w:val="26"/>
          <w:szCs w:val="26"/>
        </w:rPr>
        <w:t>una disposición legal de conformidad con el precedente constitucional</w:t>
      </w:r>
      <w:r w:rsidR="00201BD7" w:rsidRPr="009C1613">
        <w:rPr>
          <w:i/>
          <w:color w:val="000000"/>
          <w:sz w:val="26"/>
          <w:szCs w:val="26"/>
          <w:vertAlign w:val="superscript"/>
        </w:rPr>
        <w:footnoteReference w:id="369"/>
      </w:r>
      <w:r w:rsidR="00201BD7" w:rsidRPr="009C1613">
        <w:rPr>
          <w:i/>
          <w:color w:val="000000"/>
          <w:sz w:val="26"/>
          <w:szCs w:val="26"/>
        </w:rPr>
        <w:t xml:space="preserve">; </w:t>
      </w:r>
    </w:p>
    <w:p w14:paraId="413441E1" w14:textId="77777777" w:rsidR="00201BD7" w:rsidRPr="009C1613" w:rsidRDefault="00201BD7" w:rsidP="00A80BDC">
      <w:pPr>
        <w:shd w:val="clear" w:color="auto" w:fill="FFFFFF"/>
        <w:ind w:left="284"/>
        <w:jc w:val="both"/>
        <w:rPr>
          <w:i/>
          <w:color w:val="000000"/>
          <w:sz w:val="26"/>
          <w:szCs w:val="26"/>
        </w:rPr>
      </w:pPr>
    </w:p>
    <w:p w14:paraId="0CD02058" w14:textId="77777777" w:rsidR="00201BD7" w:rsidRPr="009C1613" w:rsidRDefault="00201BD7" w:rsidP="00A80BDC">
      <w:pPr>
        <w:shd w:val="clear" w:color="auto" w:fill="FFFFFF"/>
        <w:ind w:left="284"/>
        <w:jc w:val="both"/>
        <w:rPr>
          <w:i/>
          <w:color w:val="000000"/>
          <w:sz w:val="26"/>
          <w:szCs w:val="26"/>
        </w:rPr>
      </w:pPr>
      <w:r w:rsidRPr="009C1613">
        <w:rPr>
          <w:i/>
          <w:color w:val="000000"/>
          <w:sz w:val="26"/>
          <w:szCs w:val="26"/>
        </w:rPr>
        <w:t xml:space="preserve">b) Se trata de la violación evidente a un derecho fundamental de aplicación </w:t>
      </w:r>
      <w:r w:rsidRPr="009C1613">
        <w:rPr>
          <w:b/>
          <w:bCs/>
          <w:i/>
          <w:color w:val="000000"/>
          <w:sz w:val="26"/>
          <w:szCs w:val="26"/>
        </w:rPr>
        <w:t>inmediata</w:t>
      </w:r>
      <w:bookmarkStart w:id="34" w:name="_ftnref20"/>
      <w:r w:rsidRPr="009C1613">
        <w:rPr>
          <w:i/>
          <w:color w:val="000000"/>
          <w:sz w:val="26"/>
          <w:szCs w:val="26"/>
        </w:rPr>
        <w:t>;</w:t>
      </w:r>
      <w:bookmarkEnd w:id="34"/>
      <w:r w:rsidRPr="009C1613">
        <w:rPr>
          <w:i/>
          <w:color w:val="000000"/>
          <w:sz w:val="26"/>
          <w:szCs w:val="26"/>
        </w:rPr>
        <w:t> </w:t>
      </w:r>
    </w:p>
    <w:p w14:paraId="27758E03" w14:textId="77777777" w:rsidR="00201BD7" w:rsidRPr="009C1613" w:rsidRDefault="00201BD7" w:rsidP="00A80BDC">
      <w:pPr>
        <w:shd w:val="clear" w:color="auto" w:fill="FFFFFF"/>
        <w:ind w:left="284"/>
        <w:jc w:val="both"/>
        <w:rPr>
          <w:i/>
          <w:color w:val="000000"/>
          <w:sz w:val="26"/>
          <w:szCs w:val="26"/>
        </w:rPr>
      </w:pPr>
    </w:p>
    <w:p w14:paraId="63D5CBD9" w14:textId="77777777" w:rsidR="00201BD7" w:rsidRPr="009C1613" w:rsidRDefault="00201BD7" w:rsidP="00A80BDC">
      <w:pPr>
        <w:shd w:val="clear" w:color="auto" w:fill="FFFFFF"/>
        <w:ind w:left="284"/>
        <w:jc w:val="both"/>
        <w:rPr>
          <w:i/>
          <w:color w:val="000000"/>
          <w:sz w:val="26"/>
          <w:szCs w:val="26"/>
        </w:rPr>
      </w:pPr>
      <w:r w:rsidRPr="009C1613">
        <w:rPr>
          <w:i/>
          <w:color w:val="000000"/>
          <w:sz w:val="26"/>
          <w:szCs w:val="26"/>
        </w:rPr>
        <w:t>c) Los jueces, con sus fallos, vulneran derechos fundamentales porque no tienen en cuenta el principio de interpretación conforme con la Constitución</w:t>
      </w:r>
      <w:bookmarkStart w:id="35" w:name="_ftnref21"/>
      <w:r w:rsidRPr="009C1613">
        <w:rPr>
          <w:i/>
          <w:color w:val="000000"/>
          <w:sz w:val="26"/>
          <w:szCs w:val="26"/>
          <w:vertAlign w:val="superscript"/>
        </w:rPr>
        <w:footnoteReference w:id="370"/>
      </w:r>
      <w:bookmarkEnd w:id="35"/>
      <w:r w:rsidRPr="009C1613">
        <w:rPr>
          <w:i/>
          <w:color w:val="000000"/>
          <w:sz w:val="26"/>
          <w:szCs w:val="26"/>
        </w:rPr>
        <w:t xml:space="preserve">; y </w:t>
      </w:r>
    </w:p>
    <w:p w14:paraId="1BFA3DF8" w14:textId="77777777" w:rsidR="00201BD7" w:rsidRPr="0007457A" w:rsidRDefault="00201BD7" w:rsidP="00A80BDC">
      <w:pPr>
        <w:shd w:val="clear" w:color="auto" w:fill="FFFFFF"/>
        <w:ind w:left="284"/>
        <w:jc w:val="both"/>
        <w:rPr>
          <w:i/>
          <w:color w:val="000000"/>
          <w:sz w:val="26"/>
          <w:szCs w:val="26"/>
          <w:highlight w:val="lightGray"/>
        </w:rPr>
      </w:pPr>
    </w:p>
    <w:p w14:paraId="6A28096A" w14:textId="77777777" w:rsidR="00201BD7" w:rsidRPr="009C1613" w:rsidRDefault="00201BD7" w:rsidP="00A80BDC">
      <w:pPr>
        <w:shd w:val="clear" w:color="auto" w:fill="FFFFFF"/>
        <w:ind w:left="284"/>
        <w:jc w:val="both"/>
        <w:rPr>
          <w:i/>
          <w:color w:val="000000"/>
          <w:sz w:val="26"/>
          <w:szCs w:val="26"/>
        </w:rPr>
      </w:pPr>
      <w:r w:rsidRPr="009C1613">
        <w:rPr>
          <w:i/>
          <w:color w:val="000000"/>
          <w:sz w:val="26"/>
          <w:szCs w:val="26"/>
        </w:rPr>
        <w:t>d) Si el juez encuentra, deduce o se le interpela sobre una norma incompatible con la Constitución, y no aplica las disposiciones constitucionales con preferencia a las legales (excepción de inconstitucionalidad</w:t>
      </w:r>
      <w:bookmarkStart w:id="36" w:name="_ftnref22"/>
      <w:r w:rsidRPr="009C1613">
        <w:rPr>
          <w:i/>
          <w:color w:val="000000"/>
          <w:sz w:val="26"/>
          <w:szCs w:val="26"/>
        </w:rPr>
        <w:t>)</w:t>
      </w:r>
      <w:bookmarkEnd w:id="36"/>
      <w:r w:rsidRPr="009C1613">
        <w:rPr>
          <w:i/>
          <w:color w:val="000000"/>
          <w:sz w:val="26"/>
          <w:szCs w:val="26"/>
          <w:vertAlign w:val="superscript"/>
        </w:rPr>
        <w:footnoteReference w:id="371"/>
      </w:r>
      <w:r w:rsidR="00950D61" w:rsidRPr="009C1613">
        <w:rPr>
          <w:i/>
          <w:color w:val="000000"/>
          <w:sz w:val="26"/>
          <w:szCs w:val="26"/>
        </w:rPr>
        <w:t>”.</w:t>
      </w:r>
    </w:p>
    <w:p w14:paraId="1CFE1BCD" w14:textId="77777777" w:rsidR="00201BD7" w:rsidRPr="009C1613" w:rsidRDefault="00201BD7" w:rsidP="00201BD7">
      <w:pPr>
        <w:shd w:val="clear" w:color="auto" w:fill="FFFFFF"/>
        <w:jc w:val="both"/>
        <w:rPr>
          <w:color w:val="000000"/>
        </w:rPr>
      </w:pPr>
    </w:p>
    <w:p w14:paraId="5B7D375A" w14:textId="77777777" w:rsidR="00604F47" w:rsidRPr="009C1613" w:rsidRDefault="002275EA" w:rsidP="00CE42CC">
      <w:pPr>
        <w:numPr>
          <w:ilvl w:val="0"/>
          <w:numId w:val="10"/>
        </w:numPr>
        <w:tabs>
          <w:tab w:val="left" w:pos="142"/>
          <w:tab w:val="left" w:pos="284"/>
        </w:tabs>
        <w:autoSpaceDE w:val="0"/>
        <w:autoSpaceDN w:val="0"/>
        <w:ind w:right="49"/>
        <w:jc w:val="both"/>
        <w:rPr>
          <w:szCs w:val="28"/>
          <w:lang w:eastAsia="es-CO"/>
        </w:rPr>
      </w:pPr>
      <w:r w:rsidRPr="009C1613">
        <w:t>Así las cosas, s</w:t>
      </w:r>
      <w:r w:rsidR="00503602" w:rsidRPr="009C1613">
        <w:t>e trata</w:t>
      </w:r>
      <w:r w:rsidR="0007457A" w:rsidRPr="009C1613">
        <w:t xml:space="preserve"> </w:t>
      </w:r>
      <w:r w:rsidR="00503602" w:rsidRPr="009C1613">
        <w:t xml:space="preserve">de una </w:t>
      </w:r>
      <w:r w:rsidR="00BF1BC1" w:rsidRPr="009C1613">
        <w:t xml:space="preserve">causal de procedencia específica de la acción de tutela </w:t>
      </w:r>
      <w:r w:rsidR="000344E3" w:rsidRPr="009C1613">
        <w:t xml:space="preserve">que </w:t>
      </w:r>
      <w:r w:rsidR="00BF1BC1" w:rsidRPr="009C1613">
        <w:t xml:space="preserve">se genera a partir del desconocimiento </w:t>
      </w:r>
      <w:r w:rsidR="00023289" w:rsidRPr="009C1613">
        <w:t xml:space="preserve">de la Constitución </w:t>
      </w:r>
      <w:r w:rsidR="000344E3" w:rsidRPr="009C1613">
        <w:t>por</w:t>
      </w:r>
      <w:r w:rsidR="00BF1BC1" w:rsidRPr="009C1613">
        <w:t xml:space="preserve"> </w:t>
      </w:r>
      <w:r w:rsidR="0007457A" w:rsidRPr="009C1613">
        <w:t>los</w:t>
      </w:r>
      <w:r w:rsidR="00BF1BC1" w:rsidRPr="009C1613">
        <w:t xml:space="preserve"> jueces</w:t>
      </w:r>
      <w:r w:rsidR="00CE42CC" w:rsidRPr="009C1613">
        <w:t>,</w:t>
      </w:r>
      <w:r w:rsidR="0007457A" w:rsidRPr="009C1613">
        <w:rPr>
          <w:szCs w:val="28"/>
          <w:lang w:eastAsia="es-CO"/>
        </w:rPr>
        <w:t xml:space="preserve"> sea por no considerar en la decisión </w:t>
      </w:r>
      <w:r w:rsidR="00303033" w:rsidRPr="009C1613">
        <w:rPr>
          <w:szCs w:val="28"/>
          <w:lang w:eastAsia="es-CO"/>
        </w:rPr>
        <w:t xml:space="preserve">algún </w:t>
      </w:r>
      <w:r w:rsidR="0007457A" w:rsidRPr="009C1613">
        <w:rPr>
          <w:szCs w:val="28"/>
          <w:lang w:eastAsia="es-CO"/>
        </w:rPr>
        <w:t>precepto superior</w:t>
      </w:r>
      <w:r w:rsidR="00CE42CC" w:rsidRPr="009C1613">
        <w:rPr>
          <w:szCs w:val="28"/>
          <w:lang w:eastAsia="es-CO"/>
        </w:rPr>
        <w:t>;</w:t>
      </w:r>
      <w:r w:rsidR="0007457A" w:rsidRPr="009C1613">
        <w:rPr>
          <w:szCs w:val="28"/>
          <w:lang w:eastAsia="es-CO"/>
        </w:rPr>
        <w:t xml:space="preserve"> por ausencia de aplicación inmediata de normas constitucionales o por la indebida interpretación de</w:t>
      </w:r>
      <w:r w:rsidR="00303033" w:rsidRPr="009C1613">
        <w:rPr>
          <w:szCs w:val="28"/>
          <w:lang w:eastAsia="es-CO"/>
        </w:rPr>
        <w:t xml:space="preserve"> </w:t>
      </w:r>
      <w:r w:rsidR="0007457A" w:rsidRPr="009C1613">
        <w:rPr>
          <w:szCs w:val="28"/>
          <w:lang w:eastAsia="es-CO"/>
        </w:rPr>
        <w:t>disposiciones</w:t>
      </w:r>
      <w:r w:rsidR="00303033" w:rsidRPr="009C1613">
        <w:rPr>
          <w:szCs w:val="28"/>
          <w:lang w:eastAsia="es-CO"/>
        </w:rPr>
        <w:t xml:space="preserve"> constitucionales</w:t>
      </w:r>
      <w:r w:rsidR="00023289" w:rsidRPr="009C1613">
        <w:rPr>
          <w:szCs w:val="28"/>
          <w:lang w:eastAsia="es-CO"/>
        </w:rPr>
        <w:t>,</w:t>
      </w:r>
      <w:r w:rsidR="00CE42CC" w:rsidRPr="009C1613">
        <w:rPr>
          <w:szCs w:val="28"/>
          <w:lang w:eastAsia="es-CO"/>
        </w:rPr>
        <w:t xml:space="preserve"> </w:t>
      </w:r>
      <w:r w:rsidR="00D61C56" w:rsidRPr="009C1613">
        <w:rPr>
          <w:szCs w:val="28"/>
          <w:lang w:eastAsia="es-CO"/>
        </w:rPr>
        <w:t xml:space="preserve">con ocasión, </w:t>
      </w:r>
      <w:r w:rsidR="00023289" w:rsidRPr="009C1613">
        <w:rPr>
          <w:szCs w:val="28"/>
          <w:lang w:eastAsia="es-CO"/>
        </w:rPr>
        <w:t xml:space="preserve">por ejemplo, </w:t>
      </w:r>
      <w:r w:rsidR="00D61C56" w:rsidRPr="009C1613">
        <w:rPr>
          <w:szCs w:val="28"/>
          <w:lang w:eastAsia="es-CO"/>
        </w:rPr>
        <w:t>del</w:t>
      </w:r>
      <w:r w:rsidR="00023289" w:rsidRPr="009C1613">
        <w:rPr>
          <w:szCs w:val="28"/>
          <w:lang w:eastAsia="es-CO"/>
        </w:rPr>
        <w:t xml:space="preserve"> </w:t>
      </w:r>
      <w:r w:rsidR="00CE42CC" w:rsidRPr="009C1613">
        <w:rPr>
          <w:szCs w:val="28"/>
          <w:lang w:eastAsia="es-CO"/>
        </w:rPr>
        <w:t>desconocimiento de decisiones que hicieron tránsito a cosa juzgada constitucional</w:t>
      </w:r>
      <w:r w:rsidR="00A80BDC" w:rsidRPr="009C1613">
        <w:rPr>
          <w:szCs w:val="28"/>
          <w:lang w:eastAsia="es-CO"/>
        </w:rPr>
        <w:t>, que conlleva finalmente a la inaplicación de la Carta.</w:t>
      </w:r>
    </w:p>
    <w:p w14:paraId="6DC15428" w14:textId="77777777" w:rsidR="00604F47" w:rsidRPr="009C1613" w:rsidRDefault="00604F47" w:rsidP="00604F47">
      <w:pPr>
        <w:tabs>
          <w:tab w:val="left" w:pos="142"/>
          <w:tab w:val="left" w:pos="284"/>
        </w:tabs>
        <w:autoSpaceDE w:val="0"/>
        <w:autoSpaceDN w:val="0"/>
        <w:ind w:right="49"/>
        <w:jc w:val="both"/>
        <w:rPr>
          <w:szCs w:val="28"/>
          <w:lang w:eastAsia="es-CO"/>
        </w:rPr>
      </w:pPr>
    </w:p>
    <w:p w14:paraId="2CC661EB" w14:textId="77777777" w:rsidR="00D61C56" w:rsidRPr="009C1613" w:rsidRDefault="002275EA" w:rsidP="00D61C56">
      <w:pPr>
        <w:numPr>
          <w:ilvl w:val="0"/>
          <w:numId w:val="10"/>
        </w:numPr>
        <w:tabs>
          <w:tab w:val="left" w:pos="142"/>
          <w:tab w:val="left" w:pos="284"/>
        </w:tabs>
        <w:autoSpaceDE w:val="0"/>
        <w:autoSpaceDN w:val="0"/>
        <w:ind w:right="49"/>
        <w:jc w:val="both"/>
        <w:rPr>
          <w:b/>
          <w:i/>
          <w:szCs w:val="28"/>
        </w:rPr>
      </w:pPr>
      <w:r w:rsidRPr="009C1613">
        <w:rPr>
          <w:szCs w:val="28"/>
          <w:lang w:eastAsia="es-CO"/>
        </w:rPr>
        <w:t>C</w:t>
      </w:r>
      <w:r w:rsidR="00604F47" w:rsidRPr="009C1613">
        <w:rPr>
          <w:szCs w:val="28"/>
          <w:lang w:eastAsia="es-CO"/>
        </w:rPr>
        <w:t xml:space="preserve">omo este </w:t>
      </w:r>
      <w:r w:rsidR="0007457A" w:rsidRPr="009C1613">
        <w:rPr>
          <w:szCs w:val="28"/>
          <w:lang w:eastAsia="es-CO"/>
        </w:rPr>
        <w:t xml:space="preserve">tipo de </w:t>
      </w:r>
      <w:r w:rsidR="00D61C56" w:rsidRPr="009C1613">
        <w:rPr>
          <w:szCs w:val="28"/>
          <w:lang w:eastAsia="es-CO"/>
        </w:rPr>
        <w:t>defecto</w:t>
      </w:r>
      <w:r w:rsidR="00CE42CC" w:rsidRPr="009C1613">
        <w:rPr>
          <w:szCs w:val="28"/>
          <w:lang w:eastAsia="es-CO"/>
        </w:rPr>
        <w:t xml:space="preserve"> </w:t>
      </w:r>
      <w:r w:rsidR="00604F47" w:rsidRPr="009C1613">
        <w:rPr>
          <w:szCs w:val="28"/>
          <w:lang w:eastAsia="es-CO"/>
        </w:rPr>
        <w:t>o</w:t>
      </w:r>
      <w:r w:rsidR="00CE42CC" w:rsidRPr="009C1613">
        <w:rPr>
          <w:szCs w:val="28"/>
          <w:lang w:eastAsia="es-CO"/>
        </w:rPr>
        <w:t>curre</w:t>
      </w:r>
      <w:r w:rsidR="00604F47" w:rsidRPr="009C1613">
        <w:rPr>
          <w:szCs w:val="28"/>
          <w:lang w:eastAsia="es-CO"/>
        </w:rPr>
        <w:t xml:space="preserve"> generalmente</w:t>
      </w:r>
      <w:r w:rsidR="00CE42CC" w:rsidRPr="009C1613">
        <w:rPr>
          <w:szCs w:val="28"/>
          <w:lang w:eastAsia="es-CO"/>
        </w:rPr>
        <w:t xml:space="preserve"> en </w:t>
      </w:r>
      <w:r w:rsidR="00A80BDC" w:rsidRPr="009C1613">
        <w:rPr>
          <w:szCs w:val="28"/>
          <w:lang w:eastAsia="es-CO"/>
        </w:rPr>
        <w:t>decisiones</w:t>
      </w:r>
      <w:r w:rsidR="00CE42CC" w:rsidRPr="009C1613">
        <w:rPr>
          <w:szCs w:val="28"/>
          <w:lang w:eastAsia="es-CO"/>
        </w:rPr>
        <w:t xml:space="preserve"> judiciales en las que </w:t>
      </w:r>
      <w:r w:rsidR="00A80BDC" w:rsidRPr="009C1613">
        <w:rPr>
          <w:szCs w:val="28"/>
          <w:lang w:eastAsia="es-CO"/>
        </w:rPr>
        <w:t xml:space="preserve">se discute </w:t>
      </w:r>
      <w:r w:rsidR="00CE42CC" w:rsidRPr="009C1613">
        <w:rPr>
          <w:szCs w:val="28"/>
          <w:lang w:eastAsia="es-CO"/>
        </w:rPr>
        <w:t xml:space="preserve">la aplicación de </w:t>
      </w:r>
      <w:r w:rsidR="00023289" w:rsidRPr="009C1613">
        <w:rPr>
          <w:szCs w:val="28"/>
          <w:lang w:eastAsia="es-CO"/>
        </w:rPr>
        <w:t>disposiciones</w:t>
      </w:r>
      <w:r w:rsidR="00CE42CC" w:rsidRPr="009C1613">
        <w:rPr>
          <w:szCs w:val="28"/>
          <w:lang w:eastAsia="es-CO"/>
        </w:rPr>
        <w:t xml:space="preserve"> legales y la </w:t>
      </w:r>
      <w:r w:rsidR="00604F47" w:rsidRPr="009C1613">
        <w:rPr>
          <w:szCs w:val="28"/>
          <w:lang w:eastAsia="es-CO"/>
        </w:rPr>
        <w:t>C</w:t>
      </w:r>
      <w:r w:rsidR="00CE42CC" w:rsidRPr="009C1613">
        <w:rPr>
          <w:szCs w:val="28"/>
          <w:lang w:eastAsia="es-CO"/>
        </w:rPr>
        <w:t xml:space="preserve">onstitución, </w:t>
      </w:r>
      <w:r w:rsidRPr="009C1613">
        <w:rPr>
          <w:szCs w:val="28"/>
          <w:lang w:eastAsia="es-CO"/>
        </w:rPr>
        <w:t xml:space="preserve">lo interesante </w:t>
      </w:r>
      <w:r w:rsidR="00A80BDC" w:rsidRPr="009C1613">
        <w:rPr>
          <w:szCs w:val="28"/>
          <w:lang w:eastAsia="es-CO"/>
        </w:rPr>
        <w:t xml:space="preserve">del </w:t>
      </w:r>
      <w:r w:rsidR="00CE42CC" w:rsidRPr="009C1613">
        <w:rPr>
          <w:szCs w:val="28"/>
          <w:lang w:eastAsia="es-CO"/>
        </w:rPr>
        <w:t>análisis</w:t>
      </w:r>
      <w:r w:rsidR="00A80BDC" w:rsidRPr="009C1613">
        <w:rPr>
          <w:szCs w:val="28"/>
          <w:lang w:eastAsia="es-CO"/>
        </w:rPr>
        <w:t xml:space="preserve"> que convoca a la Sala</w:t>
      </w:r>
      <w:r w:rsidR="005A5F40">
        <w:rPr>
          <w:szCs w:val="28"/>
          <w:lang w:eastAsia="es-CO"/>
        </w:rPr>
        <w:t xml:space="preserve"> en esta oportunidad</w:t>
      </w:r>
      <w:r w:rsidR="00A80BDC" w:rsidRPr="009C1613">
        <w:rPr>
          <w:szCs w:val="28"/>
          <w:lang w:eastAsia="es-CO"/>
        </w:rPr>
        <w:t>,</w:t>
      </w:r>
      <w:r w:rsidR="00D61C56" w:rsidRPr="009C1613">
        <w:rPr>
          <w:szCs w:val="28"/>
          <w:lang w:eastAsia="es-CO"/>
        </w:rPr>
        <w:t xml:space="preserve"> </w:t>
      </w:r>
      <w:r w:rsidRPr="009C1613">
        <w:rPr>
          <w:szCs w:val="28"/>
          <w:lang w:eastAsia="es-CO"/>
        </w:rPr>
        <w:t>es que</w:t>
      </w:r>
      <w:r w:rsidR="00A80BDC" w:rsidRPr="009C1613">
        <w:rPr>
          <w:szCs w:val="28"/>
          <w:lang w:eastAsia="es-CO"/>
        </w:rPr>
        <w:t xml:space="preserve"> </w:t>
      </w:r>
      <w:r w:rsidR="00CE42CC" w:rsidRPr="009C1613">
        <w:rPr>
          <w:szCs w:val="28"/>
          <w:lang w:eastAsia="es-CO"/>
        </w:rPr>
        <w:t xml:space="preserve">se </w:t>
      </w:r>
      <w:r w:rsidRPr="009C1613">
        <w:rPr>
          <w:szCs w:val="28"/>
          <w:lang w:eastAsia="es-CO"/>
        </w:rPr>
        <w:t xml:space="preserve">trata del alcance </w:t>
      </w:r>
      <w:r w:rsidR="00CE42CC" w:rsidRPr="009C1613">
        <w:rPr>
          <w:szCs w:val="28"/>
          <w:lang w:eastAsia="es-CO"/>
        </w:rPr>
        <w:t>de norma</w:t>
      </w:r>
      <w:r w:rsidR="00023289" w:rsidRPr="009C1613">
        <w:rPr>
          <w:szCs w:val="28"/>
          <w:lang w:eastAsia="es-CO"/>
        </w:rPr>
        <w:t>s</w:t>
      </w:r>
      <w:r w:rsidR="00CE42CC" w:rsidRPr="009C1613">
        <w:rPr>
          <w:szCs w:val="28"/>
          <w:lang w:eastAsia="es-CO"/>
        </w:rPr>
        <w:t xml:space="preserve"> constitucional</w:t>
      </w:r>
      <w:r w:rsidR="00023289" w:rsidRPr="009C1613">
        <w:rPr>
          <w:szCs w:val="28"/>
          <w:lang w:eastAsia="es-CO"/>
        </w:rPr>
        <w:t>es</w:t>
      </w:r>
      <w:r w:rsidR="006E676E" w:rsidRPr="009C1613">
        <w:rPr>
          <w:szCs w:val="28"/>
          <w:lang w:eastAsia="es-CO"/>
        </w:rPr>
        <w:t xml:space="preserve"> </w:t>
      </w:r>
      <w:r w:rsidR="00D61C56" w:rsidRPr="009C1613">
        <w:rPr>
          <w:szCs w:val="28"/>
          <w:lang w:eastAsia="es-CO"/>
        </w:rPr>
        <w:t>involucradas</w:t>
      </w:r>
      <w:r w:rsidR="00303033" w:rsidRPr="009C1613">
        <w:rPr>
          <w:szCs w:val="28"/>
          <w:lang w:eastAsia="es-CO"/>
        </w:rPr>
        <w:t xml:space="preserve"> en </w:t>
      </w:r>
      <w:r w:rsidR="005A5F40">
        <w:rPr>
          <w:szCs w:val="28"/>
          <w:lang w:eastAsia="es-CO"/>
        </w:rPr>
        <w:t>una</w:t>
      </w:r>
      <w:r w:rsidR="00303033" w:rsidRPr="009C1613">
        <w:rPr>
          <w:szCs w:val="28"/>
          <w:lang w:eastAsia="es-CO"/>
        </w:rPr>
        <w:t xml:space="preserve"> </w:t>
      </w:r>
      <w:r w:rsidR="005A5F40">
        <w:rPr>
          <w:szCs w:val="28"/>
          <w:lang w:eastAsia="es-CO"/>
        </w:rPr>
        <w:t>sentencia de esta Corporación</w:t>
      </w:r>
      <w:r w:rsidR="00303033" w:rsidRPr="009C1613">
        <w:rPr>
          <w:szCs w:val="28"/>
          <w:lang w:eastAsia="es-CO"/>
        </w:rPr>
        <w:t xml:space="preserve"> y</w:t>
      </w:r>
      <w:r w:rsidR="00D61C56" w:rsidRPr="009C1613">
        <w:rPr>
          <w:szCs w:val="28"/>
          <w:lang w:eastAsia="es-CO"/>
        </w:rPr>
        <w:t xml:space="preserve"> </w:t>
      </w:r>
      <w:r w:rsidR="00023289" w:rsidRPr="009C1613">
        <w:rPr>
          <w:szCs w:val="28"/>
          <w:lang w:eastAsia="es-CO"/>
        </w:rPr>
        <w:t xml:space="preserve">sometidas </w:t>
      </w:r>
      <w:r w:rsidR="00D61C56" w:rsidRPr="009C1613">
        <w:rPr>
          <w:szCs w:val="28"/>
          <w:lang w:eastAsia="es-CO"/>
        </w:rPr>
        <w:t xml:space="preserve">por demás </w:t>
      </w:r>
      <w:r w:rsidR="00023289" w:rsidRPr="009C1613">
        <w:rPr>
          <w:szCs w:val="28"/>
          <w:lang w:eastAsia="es-CO"/>
        </w:rPr>
        <w:t>a</w:t>
      </w:r>
      <w:r w:rsidR="00894F82" w:rsidRPr="009C1613">
        <w:rPr>
          <w:szCs w:val="28"/>
          <w:lang w:eastAsia="es-CO"/>
        </w:rPr>
        <w:t xml:space="preserve"> modulación y al</w:t>
      </w:r>
      <w:r w:rsidR="00023289" w:rsidRPr="009C1613">
        <w:rPr>
          <w:szCs w:val="28"/>
          <w:lang w:eastAsia="es-CO"/>
        </w:rPr>
        <w:t xml:space="preserve"> fenómeno de la cosa juzgada constitucional</w:t>
      </w:r>
      <w:r w:rsidRPr="009C1613">
        <w:rPr>
          <w:szCs w:val="28"/>
          <w:lang w:eastAsia="es-CO"/>
        </w:rPr>
        <w:t>. Por consiguiente,</w:t>
      </w:r>
      <w:r w:rsidR="00023289" w:rsidRPr="009C1613">
        <w:rPr>
          <w:szCs w:val="28"/>
          <w:lang w:eastAsia="es-CO"/>
        </w:rPr>
        <w:t xml:space="preserve"> </w:t>
      </w:r>
      <w:r w:rsidR="00D61C56" w:rsidRPr="009C1613">
        <w:rPr>
          <w:szCs w:val="28"/>
          <w:lang w:eastAsia="es-CO"/>
        </w:rPr>
        <w:t>revisará la Corte a continuación</w:t>
      </w:r>
      <w:r w:rsidR="00A80BDC" w:rsidRPr="009C1613">
        <w:rPr>
          <w:szCs w:val="28"/>
          <w:lang w:eastAsia="es-CO"/>
        </w:rPr>
        <w:t>,</w:t>
      </w:r>
      <w:r w:rsidR="00D61C56" w:rsidRPr="009C1613">
        <w:rPr>
          <w:szCs w:val="28"/>
          <w:lang w:eastAsia="es-CO"/>
        </w:rPr>
        <w:t xml:space="preserve"> las razones que</w:t>
      </w:r>
      <w:r w:rsidR="00894F82" w:rsidRPr="009C1613">
        <w:rPr>
          <w:szCs w:val="28"/>
          <w:lang w:eastAsia="es-CO"/>
        </w:rPr>
        <w:t xml:space="preserve"> la</w:t>
      </w:r>
      <w:r w:rsidR="00D61C56" w:rsidRPr="009C1613">
        <w:rPr>
          <w:szCs w:val="28"/>
          <w:lang w:eastAsia="es-CO"/>
        </w:rPr>
        <w:t xml:space="preserve"> lleva</w:t>
      </w:r>
      <w:r w:rsidR="00894F82" w:rsidRPr="009C1613">
        <w:rPr>
          <w:szCs w:val="28"/>
          <w:lang w:eastAsia="es-CO"/>
        </w:rPr>
        <w:t>n</w:t>
      </w:r>
      <w:r w:rsidR="00D61C56" w:rsidRPr="009C1613">
        <w:rPr>
          <w:szCs w:val="28"/>
          <w:lang w:eastAsia="es-CO"/>
        </w:rPr>
        <w:t xml:space="preserve"> a concluir que</w:t>
      </w:r>
      <w:r w:rsidR="005A5F40">
        <w:rPr>
          <w:szCs w:val="28"/>
          <w:lang w:eastAsia="es-CO"/>
        </w:rPr>
        <w:t>,</w:t>
      </w:r>
      <w:r w:rsidR="00D61C56" w:rsidRPr="009C1613">
        <w:rPr>
          <w:szCs w:val="28"/>
          <w:lang w:eastAsia="es-CO"/>
        </w:rPr>
        <w:t xml:space="preserve"> en la sentencia del 6 de febrero de 2018</w:t>
      </w:r>
      <w:r w:rsidR="005A5F40">
        <w:rPr>
          <w:szCs w:val="28"/>
          <w:lang w:eastAsia="es-CO"/>
        </w:rPr>
        <w:t>,</w:t>
      </w:r>
      <w:r w:rsidR="00D61C56" w:rsidRPr="009C1613">
        <w:rPr>
          <w:szCs w:val="28"/>
          <w:lang w:eastAsia="es-CO"/>
        </w:rPr>
        <w:t xml:space="preserve"> se incurrió en</w:t>
      </w:r>
      <w:r w:rsidR="00894F82" w:rsidRPr="009C1613">
        <w:rPr>
          <w:szCs w:val="28"/>
          <w:lang w:eastAsia="es-CO"/>
        </w:rPr>
        <w:t xml:space="preserve"> un </w:t>
      </w:r>
      <w:r w:rsidR="00D61C56" w:rsidRPr="009C1613">
        <w:rPr>
          <w:szCs w:val="28"/>
          <w:lang w:eastAsia="es-CO"/>
        </w:rPr>
        <w:t xml:space="preserve">defecto </w:t>
      </w:r>
      <w:r w:rsidR="00894F82" w:rsidRPr="009C1613">
        <w:rPr>
          <w:szCs w:val="28"/>
          <w:lang w:eastAsia="es-CO"/>
        </w:rPr>
        <w:t>por</w:t>
      </w:r>
      <w:r w:rsidR="00D61C56" w:rsidRPr="009C1613">
        <w:rPr>
          <w:szCs w:val="28"/>
          <w:lang w:eastAsia="es-CO"/>
        </w:rPr>
        <w:t xml:space="preserve"> </w:t>
      </w:r>
      <w:r w:rsidR="00894F82" w:rsidRPr="009C1613">
        <w:rPr>
          <w:i/>
          <w:iCs/>
          <w:szCs w:val="28"/>
          <w:lang w:eastAsia="es-CO"/>
        </w:rPr>
        <w:t>v</w:t>
      </w:r>
      <w:r w:rsidR="00D61C56" w:rsidRPr="009C1613">
        <w:rPr>
          <w:i/>
          <w:iCs/>
          <w:szCs w:val="28"/>
          <w:lang w:eastAsia="es-CO"/>
        </w:rPr>
        <w:t>iolación directa de la Constitución</w:t>
      </w:r>
      <w:r w:rsidRPr="009C1613">
        <w:rPr>
          <w:szCs w:val="28"/>
          <w:lang w:eastAsia="es-CO"/>
        </w:rPr>
        <w:t xml:space="preserve">. </w:t>
      </w:r>
      <w:r w:rsidR="00D61C56" w:rsidRPr="009C1613">
        <w:rPr>
          <w:szCs w:val="28"/>
          <w:lang w:eastAsia="es-CO"/>
        </w:rPr>
        <w:t xml:space="preserve"> </w:t>
      </w:r>
    </w:p>
    <w:p w14:paraId="51A730B0" w14:textId="77777777" w:rsidR="002F44B2" w:rsidRPr="00C23290" w:rsidRDefault="002F44B2" w:rsidP="00D61C56">
      <w:pPr>
        <w:tabs>
          <w:tab w:val="left" w:pos="142"/>
          <w:tab w:val="left" w:pos="284"/>
        </w:tabs>
        <w:autoSpaceDE w:val="0"/>
        <w:autoSpaceDN w:val="0"/>
        <w:ind w:right="49"/>
        <w:jc w:val="both"/>
        <w:rPr>
          <w:b/>
          <w:i/>
          <w:szCs w:val="28"/>
        </w:rPr>
      </w:pPr>
    </w:p>
    <w:p w14:paraId="1603B23F" w14:textId="77777777" w:rsidR="00A16129" w:rsidRPr="005A5F40" w:rsidRDefault="00EC330A" w:rsidP="008C36C8">
      <w:pPr>
        <w:pStyle w:val="Prrafodelista"/>
        <w:tabs>
          <w:tab w:val="left" w:pos="426"/>
        </w:tabs>
        <w:ind w:left="0" w:right="40"/>
        <w:contextualSpacing/>
        <w:jc w:val="both"/>
        <w:rPr>
          <w:b/>
          <w:szCs w:val="28"/>
        </w:rPr>
      </w:pPr>
      <w:r w:rsidRPr="005A5F40">
        <w:rPr>
          <w:b/>
          <w:i/>
          <w:szCs w:val="28"/>
        </w:rPr>
        <w:t>(i)</w:t>
      </w:r>
      <w:r w:rsidR="00C23290" w:rsidRPr="005A5F40">
        <w:rPr>
          <w:b/>
          <w:i/>
          <w:szCs w:val="28"/>
        </w:rPr>
        <w:t xml:space="preserve"> </w:t>
      </w:r>
      <w:r w:rsidR="00EF3E18" w:rsidRPr="005A5F40">
        <w:rPr>
          <w:b/>
          <w:i/>
          <w:szCs w:val="28"/>
        </w:rPr>
        <w:t xml:space="preserve">Primer argumento. </w:t>
      </w:r>
      <w:r w:rsidR="00181018" w:rsidRPr="005A5F40">
        <w:rPr>
          <w:b/>
          <w:i/>
          <w:szCs w:val="28"/>
        </w:rPr>
        <w:t>Violación directa de la Constitución por</w:t>
      </w:r>
      <w:r w:rsidR="00C23290" w:rsidRPr="005A5F40">
        <w:rPr>
          <w:b/>
          <w:i/>
          <w:szCs w:val="28"/>
        </w:rPr>
        <w:t xml:space="preserve"> </w:t>
      </w:r>
      <w:r w:rsidR="00A80BDC" w:rsidRPr="005A5F40">
        <w:rPr>
          <w:b/>
          <w:i/>
          <w:szCs w:val="28"/>
        </w:rPr>
        <w:t xml:space="preserve">la aplicación “restrictiva” </w:t>
      </w:r>
      <w:r w:rsidR="00B568E4" w:rsidRPr="005A5F40">
        <w:rPr>
          <w:b/>
          <w:i/>
          <w:szCs w:val="28"/>
        </w:rPr>
        <w:t xml:space="preserve">o no aplicación </w:t>
      </w:r>
      <w:r w:rsidR="008E1DE7" w:rsidRPr="005A5F40">
        <w:rPr>
          <w:b/>
          <w:i/>
          <w:szCs w:val="28"/>
        </w:rPr>
        <w:t>de</w:t>
      </w:r>
      <w:r w:rsidR="00D61C56" w:rsidRPr="005A5F40">
        <w:rPr>
          <w:b/>
          <w:i/>
          <w:szCs w:val="28"/>
        </w:rPr>
        <w:t xml:space="preserve">l artículo </w:t>
      </w:r>
      <w:r w:rsidR="008E1DE7" w:rsidRPr="005A5F40">
        <w:rPr>
          <w:b/>
          <w:i/>
          <w:szCs w:val="28"/>
        </w:rPr>
        <w:t>257A de la Carta</w:t>
      </w:r>
      <w:r w:rsidR="00A80BDC" w:rsidRPr="005A5F40">
        <w:rPr>
          <w:b/>
          <w:i/>
          <w:szCs w:val="28"/>
        </w:rPr>
        <w:t xml:space="preserve"> </w:t>
      </w:r>
      <w:r w:rsidR="008E1DE7" w:rsidRPr="005A5F40">
        <w:rPr>
          <w:b/>
          <w:i/>
          <w:szCs w:val="28"/>
        </w:rPr>
        <w:t>y</w:t>
      </w:r>
      <w:r w:rsidR="00A80BDC" w:rsidRPr="005A5F40">
        <w:rPr>
          <w:b/>
          <w:i/>
          <w:szCs w:val="28"/>
        </w:rPr>
        <w:t xml:space="preserve"> </w:t>
      </w:r>
      <w:r w:rsidR="008E1DE7" w:rsidRPr="005A5F40">
        <w:rPr>
          <w:b/>
          <w:i/>
          <w:szCs w:val="28"/>
        </w:rPr>
        <w:t xml:space="preserve">desconocimiento </w:t>
      </w:r>
      <w:r w:rsidR="002F44B2" w:rsidRPr="005A5F40">
        <w:rPr>
          <w:b/>
          <w:i/>
          <w:szCs w:val="28"/>
        </w:rPr>
        <w:t>de</w:t>
      </w:r>
      <w:r w:rsidR="00B568E4" w:rsidRPr="005A5F40">
        <w:rPr>
          <w:b/>
          <w:i/>
          <w:szCs w:val="28"/>
        </w:rPr>
        <w:t>l artículo 243 de la Constitución, por violación de</w:t>
      </w:r>
      <w:r w:rsidR="002F44B2" w:rsidRPr="005A5F40">
        <w:rPr>
          <w:b/>
          <w:i/>
          <w:szCs w:val="28"/>
        </w:rPr>
        <w:t xml:space="preserve"> la cosa juzgada constitucional establecida </w:t>
      </w:r>
      <w:r w:rsidR="008E1DE7" w:rsidRPr="005A5F40">
        <w:rPr>
          <w:b/>
          <w:i/>
          <w:szCs w:val="28"/>
        </w:rPr>
        <w:t>en la Sentencia C-285 de 2016</w:t>
      </w:r>
    </w:p>
    <w:bookmarkEnd w:id="32"/>
    <w:p w14:paraId="26D9DA5A" w14:textId="77777777" w:rsidR="00EB63E2" w:rsidRPr="005A5F40" w:rsidRDefault="00EB63E2" w:rsidP="00885E46">
      <w:pPr>
        <w:pStyle w:val="NormalWeb"/>
        <w:tabs>
          <w:tab w:val="left" w:pos="284"/>
          <w:tab w:val="left" w:pos="426"/>
        </w:tabs>
        <w:spacing w:before="0" w:beforeAutospacing="0" w:after="0" w:afterAutospacing="0"/>
        <w:ind w:right="40"/>
        <w:jc w:val="both"/>
        <w:rPr>
          <w:b/>
          <w:i/>
          <w:iCs/>
          <w:sz w:val="28"/>
          <w:szCs w:val="28"/>
        </w:rPr>
      </w:pPr>
    </w:p>
    <w:p w14:paraId="0E9A82C5" w14:textId="77777777" w:rsidR="00165EA7" w:rsidRPr="005A5F40" w:rsidRDefault="00E34495" w:rsidP="00BB45EB">
      <w:pPr>
        <w:pStyle w:val="NormalWeb"/>
        <w:numPr>
          <w:ilvl w:val="0"/>
          <w:numId w:val="10"/>
        </w:numPr>
        <w:tabs>
          <w:tab w:val="left" w:pos="284"/>
          <w:tab w:val="left" w:pos="426"/>
        </w:tabs>
        <w:spacing w:before="0" w:beforeAutospacing="0" w:after="0" w:afterAutospacing="0"/>
        <w:ind w:right="40"/>
        <w:jc w:val="both"/>
        <w:rPr>
          <w:bCs/>
          <w:i/>
          <w:iCs/>
          <w:sz w:val="28"/>
          <w:szCs w:val="28"/>
        </w:rPr>
      </w:pPr>
      <w:bookmarkStart w:id="37" w:name="_Hlk50720228"/>
      <w:r w:rsidRPr="005A5F40">
        <w:rPr>
          <w:bCs/>
          <w:sz w:val="28"/>
          <w:szCs w:val="28"/>
        </w:rPr>
        <w:t>Los argumentos desplegados tanto por el CSJ como por el Consejo de Estado en la providencia cuestionada</w:t>
      </w:r>
      <w:r w:rsidR="00911F90" w:rsidRPr="005A5F40">
        <w:rPr>
          <w:bCs/>
          <w:sz w:val="28"/>
          <w:szCs w:val="28"/>
        </w:rPr>
        <w:t xml:space="preserve"> para alegar o refutar la posible existencia del defecto enunciado en la sentencia del 6 de febrero de 2018</w:t>
      </w:r>
      <w:r w:rsidRPr="005A5F40">
        <w:rPr>
          <w:bCs/>
          <w:sz w:val="28"/>
          <w:szCs w:val="28"/>
        </w:rPr>
        <w:t xml:space="preserve">, </w:t>
      </w:r>
      <w:r w:rsidR="00C420D2" w:rsidRPr="005A5F40">
        <w:rPr>
          <w:bCs/>
          <w:sz w:val="28"/>
          <w:szCs w:val="28"/>
        </w:rPr>
        <w:t>pueden sintetizarse gráficamente</w:t>
      </w:r>
      <w:r w:rsidR="00911F90" w:rsidRPr="005A5F40">
        <w:rPr>
          <w:bCs/>
          <w:sz w:val="28"/>
          <w:szCs w:val="28"/>
        </w:rPr>
        <w:t>,</w:t>
      </w:r>
      <w:r w:rsidR="00C420D2" w:rsidRPr="005A5F40">
        <w:rPr>
          <w:bCs/>
          <w:sz w:val="28"/>
          <w:szCs w:val="28"/>
        </w:rPr>
        <w:t xml:space="preserve"> de la forma que se expone a continuación</w:t>
      </w:r>
      <w:r w:rsidR="00911F90" w:rsidRPr="005A5F40">
        <w:rPr>
          <w:bCs/>
          <w:sz w:val="28"/>
          <w:szCs w:val="28"/>
        </w:rPr>
        <w:t xml:space="preserve">: </w:t>
      </w:r>
    </w:p>
    <w:bookmarkEnd w:id="37"/>
    <w:p w14:paraId="58976B66" w14:textId="77777777" w:rsidR="00885E46" w:rsidRPr="002E4477" w:rsidRDefault="00885E46" w:rsidP="00A16129">
      <w:pPr>
        <w:pStyle w:val="NormalWeb"/>
        <w:tabs>
          <w:tab w:val="left" w:pos="284"/>
          <w:tab w:val="left" w:pos="426"/>
        </w:tabs>
        <w:spacing w:before="0" w:beforeAutospacing="0" w:after="0" w:afterAutospacing="0"/>
        <w:ind w:right="40"/>
        <w:jc w:val="both"/>
        <w:rPr>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3969"/>
      </w:tblGrid>
      <w:tr w:rsidR="00A16129" w:rsidRPr="002E4477" w14:paraId="3B1E1C27" w14:textId="77777777" w:rsidTr="00763D25">
        <w:trPr>
          <w:trHeight w:val="849"/>
        </w:trPr>
        <w:tc>
          <w:tcPr>
            <w:tcW w:w="993" w:type="dxa"/>
            <w:shd w:val="clear" w:color="auto" w:fill="D9D9D9"/>
          </w:tcPr>
          <w:p w14:paraId="44000BDC" w14:textId="77777777" w:rsidR="00A16129" w:rsidRPr="002E4477" w:rsidRDefault="00A16129" w:rsidP="00E0661F">
            <w:pPr>
              <w:pStyle w:val="NormalWeb"/>
              <w:tabs>
                <w:tab w:val="left" w:pos="284"/>
              </w:tabs>
              <w:spacing w:before="0" w:beforeAutospacing="0" w:after="0" w:afterAutospacing="0"/>
              <w:ind w:left="-105" w:right="40"/>
              <w:jc w:val="center"/>
              <w:rPr>
                <w:b/>
              </w:rPr>
            </w:pPr>
            <w:r w:rsidRPr="002E4477">
              <w:rPr>
                <w:b/>
              </w:rPr>
              <w:t>Art.</w:t>
            </w:r>
          </w:p>
          <w:p w14:paraId="50D3CEAA" w14:textId="77777777" w:rsidR="00A16129" w:rsidRPr="002E4477" w:rsidRDefault="00A16129" w:rsidP="00E0661F">
            <w:pPr>
              <w:pStyle w:val="NormalWeb"/>
              <w:tabs>
                <w:tab w:val="left" w:pos="284"/>
              </w:tabs>
              <w:spacing w:before="0" w:beforeAutospacing="0" w:after="0" w:afterAutospacing="0"/>
              <w:ind w:left="-105" w:right="40"/>
              <w:jc w:val="center"/>
              <w:rPr>
                <w:b/>
              </w:rPr>
            </w:pPr>
            <w:r w:rsidRPr="002E4477">
              <w:rPr>
                <w:b/>
              </w:rPr>
              <w:t xml:space="preserve">C.P. </w:t>
            </w:r>
          </w:p>
          <w:p w14:paraId="68AC1E21" w14:textId="77777777" w:rsidR="00A16129" w:rsidRPr="002E4477" w:rsidRDefault="00A16129" w:rsidP="00E0661F">
            <w:pPr>
              <w:pStyle w:val="NormalWeb"/>
              <w:tabs>
                <w:tab w:val="left" w:pos="284"/>
              </w:tabs>
              <w:spacing w:before="0" w:beforeAutospacing="0" w:after="0" w:afterAutospacing="0"/>
              <w:ind w:left="-105" w:right="40"/>
              <w:jc w:val="center"/>
              <w:rPr>
                <w:b/>
              </w:rPr>
            </w:pPr>
            <w:r w:rsidRPr="002E4477">
              <w:rPr>
                <w:b/>
              </w:rPr>
              <w:t>y ley</w:t>
            </w:r>
          </w:p>
        </w:tc>
        <w:tc>
          <w:tcPr>
            <w:tcW w:w="3827" w:type="dxa"/>
            <w:shd w:val="clear" w:color="auto" w:fill="D9D9D9"/>
          </w:tcPr>
          <w:p w14:paraId="2E0CD80B" w14:textId="77777777" w:rsidR="00A16129" w:rsidRPr="002E4477" w:rsidRDefault="00A16129" w:rsidP="00E0661F">
            <w:pPr>
              <w:pStyle w:val="NormalWeb"/>
              <w:tabs>
                <w:tab w:val="left" w:pos="284"/>
              </w:tabs>
              <w:spacing w:before="0" w:beforeAutospacing="0" w:after="0" w:afterAutospacing="0"/>
              <w:ind w:left="-105" w:right="40"/>
              <w:jc w:val="center"/>
              <w:rPr>
                <w:b/>
              </w:rPr>
            </w:pPr>
            <w:r w:rsidRPr="002E4477">
              <w:rPr>
                <w:b/>
              </w:rPr>
              <w:t>Argumento jurídico</w:t>
            </w:r>
            <w:r w:rsidR="009A1013" w:rsidRPr="002E4477">
              <w:rPr>
                <w:b/>
              </w:rPr>
              <w:t xml:space="preserve"> en</w:t>
            </w:r>
            <w:r w:rsidRPr="002E4477">
              <w:rPr>
                <w:b/>
              </w:rPr>
              <w:t xml:space="preserve"> favor de la providencia </w:t>
            </w:r>
            <w:r w:rsidR="000E6B17" w:rsidRPr="002E4477">
              <w:rPr>
                <w:b/>
              </w:rPr>
              <w:t>del Consejo de Estado</w:t>
            </w:r>
          </w:p>
          <w:p w14:paraId="3DC8E1BB" w14:textId="77777777" w:rsidR="00A16129" w:rsidRPr="002E4477" w:rsidRDefault="00A16129" w:rsidP="00E0661F">
            <w:pPr>
              <w:pStyle w:val="NormalWeb"/>
              <w:tabs>
                <w:tab w:val="left" w:pos="284"/>
              </w:tabs>
              <w:spacing w:before="0" w:beforeAutospacing="0" w:after="0" w:afterAutospacing="0"/>
              <w:ind w:left="-105" w:right="40"/>
              <w:jc w:val="center"/>
              <w:rPr>
                <w:b/>
              </w:rPr>
            </w:pPr>
          </w:p>
        </w:tc>
        <w:tc>
          <w:tcPr>
            <w:tcW w:w="3969" w:type="dxa"/>
            <w:shd w:val="clear" w:color="auto" w:fill="D9D9D9"/>
          </w:tcPr>
          <w:p w14:paraId="5E88A490" w14:textId="77777777" w:rsidR="00A16129" w:rsidRPr="002E4477" w:rsidRDefault="00A16129" w:rsidP="00E0661F">
            <w:pPr>
              <w:pStyle w:val="NormalWeb"/>
              <w:tabs>
                <w:tab w:val="left" w:pos="284"/>
              </w:tabs>
              <w:spacing w:before="0" w:beforeAutospacing="0" w:after="0" w:afterAutospacing="0"/>
              <w:ind w:left="-105" w:right="-86"/>
              <w:jc w:val="center"/>
              <w:rPr>
                <w:b/>
              </w:rPr>
            </w:pPr>
            <w:r w:rsidRPr="002E4477">
              <w:rPr>
                <w:b/>
              </w:rPr>
              <w:t>Argumento que soporta la existencia de</w:t>
            </w:r>
            <w:r w:rsidR="00582B4F" w:rsidRPr="002E4477">
              <w:rPr>
                <w:b/>
              </w:rPr>
              <w:t>l</w:t>
            </w:r>
            <w:r w:rsidR="00F83BB9" w:rsidRPr="002E4477">
              <w:rPr>
                <w:b/>
              </w:rPr>
              <w:t xml:space="preserve"> </w:t>
            </w:r>
            <w:r w:rsidRPr="002E4477">
              <w:rPr>
                <w:b/>
              </w:rPr>
              <w:t>defecto en la providencia</w:t>
            </w:r>
          </w:p>
        </w:tc>
      </w:tr>
      <w:tr w:rsidR="00A16129" w:rsidRPr="002E4477" w14:paraId="30CA924A" w14:textId="77777777" w:rsidTr="00763D25">
        <w:tc>
          <w:tcPr>
            <w:tcW w:w="993" w:type="dxa"/>
            <w:shd w:val="clear" w:color="auto" w:fill="F2F2F2"/>
          </w:tcPr>
          <w:p w14:paraId="0D2AD6F8" w14:textId="77777777" w:rsidR="00A16129" w:rsidRPr="002E4477" w:rsidRDefault="00A16129" w:rsidP="00E0661F">
            <w:pPr>
              <w:pStyle w:val="NormalWeb"/>
              <w:tabs>
                <w:tab w:val="left" w:pos="284"/>
              </w:tabs>
              <w:spacing w:before="0" w:beforeAutospacing="0" w:after="0" w:afterAutospacing="0"/>
              <w:ind w:left="-105" w:right="40"/>
              <w:jc w:val="center"/>
              <w:rPr>
                <w:b/>
              </w:rPr>
            </w:pPr>
          </w:p>
          <w:p w14:paraId="3F85908E" w14:textId="77777777" w:rsidR="00A16129" w:rsidRPr="002E4477" w:rsidRDefault="00A16129" w:rsidP="00E0661F">
            <w:pPr>
              <w:pStyle w:val="NormalWeb"/>
              <w:tabs>
                <w:tab w:val="left" w:pos="284"/>
              </w:tabs>
              <w:spacing w:before="0" w:beforeAutospacing="0" w:after="0" w:afterAutospacing="0"/>
              <w:ind w:left="-105" w:right="40"/>
              <w:jc w:val="center"/>
              <w:rPr>
                <w:b/>
              </w:rPr>
            </w:pPr>
          </w:p>
          <w:p w14:paraId="020774BA" w14:textId="77777777" w:rsidR="00A16129" w:rsidRPr="002E4477" w:rsidRDefault="00A16129" w:rsidP="00E0661F">
            <w:pPr>
              <w:pStyle w:val="NormalWeb"/>
              <w:tabs>
                <w:tab w:val="left" w:pos="284"/>
              </w:tabs>
              <w:spacing w:before="0" w:beforeAutospacing="0" w:after="0" w:afterAutospacing="0"/>
              <w:ind w:left="-105" w:right="40"/>
              <w:jc w:val="center"/>
              <w:rPr>
                <w:b/>
              </w:rPr>
            </w:pPr>
          </w:p>
          <w:p w14:paraId="7315AE94" w14:textId="77777777" w:rsidR="00A16129" w:rsidRPr="002E4477" w:rsidRDefault="00A16129" w:rsidP="00E0661F">
            <w:pPr>
              <w:pStyle w:val="NormalWeb"/>
              <w:tabs>
                <w:tab w:val="left" w:pos="284"/>
              </w:tabs>
              <w:spacing w:before="0" w:beforeAutospacing="0" w:after="0" w:afterAutospacing="0"/>
              <w:ind w:left="-105" w:right="40"/>
              <w:jc w:val="center"/>
              <w:rPr>
                <w:b/>
              </w:rPr>
            </w:pPr>
          </w:p>
          <w:p w14:paraId="21D747A6" w14:textId="77777777" w:rsidR="00A16129" w:rsidRPr="002E4477" w:rsidRDefault="00A16129" w:rsidP="00E0661F">
            <w:pPr>
              <w:pStyle w:val="NormalWeb"/>
              <w:tabs>
                <w:tab w:val="left" w:pos="284"/>
              </w:tabs>
              <w:spacing w:before="0" w:beforeAutospacing="0" w:after="0" w:afterAutospacing="0"/>
              <w:ind w:left="-105" w:right="40"/>
              <w:jc w:val="center"/>
              <w:rPr>
                <w:b/>
              </w:rPr>
            </w:pPr>
          </w:p>
          <w:p w14:paraId="5AE47AA7" w14:textId="77777777" w:rsidR="00A16129" w:rsidRPr="002E4477" w:rsidRDefault="00A16129" w:rsidP="00E0661F">
            <w:pPr>
              <w:pStyle w:val="NormalWeb"/>
              <w:tabs>
                <w:tab w:val="left" w:pos="284"/>
              </w:tabs>
              <w:spacing w:before="0" w:beforeAutospacing="0" w:after="0" w:afterAutospacing="0"/>
              <w:ind w:left="-105" w:right="40"/>
              <w:jc w:val="center"/>
              <w:rPr>
                <w:b/>
              </w:rPr>
            </w:pPr>
          </w:p>
          <w:p w14:paraId="0A424039" w14:textId="77777777" w:rsidR="00A16129" w:rsidRPr="002E4477" w:rsidRDefault="00A16129" w:rsidP="00E0661F">
            <w:pPr>
              <w:pStyle w:val="NormalWeb"/>
              <w:tabs>
                <w:tab w:val="left" w:pos="284"/>
              </w:tabs>
              <w:spacing w:before="0" w:beforeAutospacing="0" w:after="0" w:afterAutospacing="0"/>
              <w:ind w:left="-105" w:right="40"/>
              <w:jc w:val="center"/>
              <w:rPr>
                <w:b/>
              </w:rPr>
            </w:pPr>
          </w:p>
          <w:p w14:paraId="2AA67F3C" w14:textId="77777777" w:rsidR="00A16129" w:rsidRPr="002E4477" w:rsidRDefault="00A16129" w:rsidP="00E0661F">
            <w:pPr>
              <w:pStyle w:val="NormalWeb"/>
              <w:tabs>
                <w:tab w:val="left" w:pos="284"/>
              </w:tabs>
              <w:spacing w:before="0" w:beforeAutospacing="0" w:after="0" w:afterAutospacing="0"/>
              <w:ind w:left="-105" w:right="40"/>
              <w:jc w:val="center"/>
              <w:rPr>
                <w:b/>
              </w:rPr>
            </w:pPr>
            <w:r w:rsidRPr="002E4477">
              <w:rPr>
                <w:b/>
              </w:rPr>
              <w:t xml:space="preserve">Art. </w:t>
            </w:r>
          </w:p>
          <w:p w14:paraId="506BE0EF" w14:textId="77777777" w:rsidR="00A16129" w:rsidRPr="002E4477" w:rsidRDefault="00A16129" w:rsidP="00E0661F">
            <w:pPr>
              <w:pStyle w:val="NormalWeb"/>
              <w:tabs>
                <w:tab w:val="left" w:pos="284"/>
              </w:tabs>
              <w:spacing w:before="0" w:beforeAutospacing="0" w:after="0" w:afterAutospacing="0"/>
              <w:ind w:left="-105" w:right="40"/>
              <w:jc w:val="center"/>
              <w:rPr>
                <w:b/>
              </w:rPr>
            </w:pPr>
            <w:r w:rsidRPr="002E4477">
              <w:rPr>
                <w:b/>
              </w:rPr>
              <w:t>257A</w:t>
            </w:r>
          </w:p>
          <w:p w14:paraId="55A11D3F" w14:textId="77777777" w:rsidR="00A16129" w:rsidRPr="002E4477" w:rsidRDefault="00A16129" w:rsidP="00E0661F">
            <w:pPr>
              <w:pStyle w:val="NormalWeb"/>
              <w:tabs>
                <w:tab w:val="left" w:pos="284"/>
              </w:tabs>
              <w:spacing w:before="0" w:beforeAutospacing="0" w:after="0" w:afterAutospacing="0"/>
              <w:ind w:left="-105" w:right="40"/>
              <w:jc w:val="center"/>
              <w:rPr>
                <w:b/>
              </w:rPr>
            </w:pPr>
            <w:r w:rsidRPr="002E4477">
              <w:rPr>
                <w:b/>
              </w:rPr>
              <w:t>C.P</w:t>
            </w:r>
            <w:r w:rsidRPr="002E4477">
              <w:rPr>
                <w:rStyle w:val="Refdenotaalpie"/>
                <w:b/>
              </w:rPr>
              <w:footnoteReference w:id="372"/>
            </w:r>
          </w:p>
          <w:p w14:paraId="20EBCD5C" w14:textId="77777777" w:rsidR="00A16129" w:rsidRPr="002E4477" w:rsidRDefault="00A16129" w:rsidP="00E0661F">
            <w:pPr>
              <w:ind w:left="-105"/>
              <w:jc w:val="both"/>
              <w:rPr>
                <w:sz w:val="24"/>
                <w:szCs w:val="24"/>
              </w:rPr>
            </w:pPr>
          </w:p>
        </w:tc>
        <w:tc>
          <w:tcPr>
            <w:tcW w:w="3827" w:type="dxa"/>
          </w:tcPr>
          <w:p w14:paraId="1132033D" w14:textId="77777777" w:rsidR="00C420D2" w:rsidRPr="005A5F40" w:rsidRDefault="00A16129" w:rsidP="008E3BE5">
            <w:pPr>
              <w:pStyle w:val="NormalWeb"/>
              <w:tabs>
                <w:tab w:val="left" w:pos="284"/>
              </w:tabs>
              <w:spacing w:before="0" w:beforeAutospacing="0" w:after="0" w:afterAutospacing="0"/>
              <w:ind w:right="40"/>
              <w:jc w:val="both"/>
            </w:pPr>
            <w:bookmarkStart w:id="38" w:name="_Hlk39445216"/>
            <w:r w:rsidRPr="005A5F40">
              <w:t>El artículo 257A de la Carta debe ser</w:t>
            </w:r>
            <w:r w:rsidR="000E6B17" w:rsidRPr="005A5F40">
              <w:t xml:space="preserve"> analizado </w:t>
            </w:r>
            <w:r w:rsidRPr="005A5F40">
              <w:t xml:space="preserve">con “reserva” y de manera "restrictiva", porque la Corte Constitucional se arrogó competencias que no tenía, para darle </w:t>
            </w:r>
            <w:r w:rsidR="005E310E" w:rsidRPr="005A5F40">
              <w:t xml:space="preserve">a esa norma constitucional </w:t>
            </w:r>
            <w:r w:rsidR="00F83BB9" w:rsidRPr="005A5F40">
              <w:t>el</w:t>
            </w:r>
            <w:r w:rsidRPr="005A5F40">
              <w:t xml:space="preserve"> alcance </w:t>
            </w:r>
            <w:r w:rsidR="005E310E" w:rsidRPr="005A5F40">
              <w:t>que</w:t>
            </w:r>
            <w:r w:rsidR="000E6B17" w:rsidRPr="005A5F40">
              <w:t xml:space="preserve"> </w:t>
            </w:r>
            <w:r w:rsidR="005E310E" w:rsidRPr="005A5F40">
              <w:t xml:space="preserve">tiene </w:t>
            </w:r>
            <w:r w:rsidRPr="005A5F40">
              <w:t xml:space="preserve">hoy. La voluntad del </w:t>
            </w:r>
            <w:r w:rsidR="000E6B17" w:rsidRPr="005A5F40">
              <w:t>c</w:t>
            </w:r>
            <w:r w:rsidRPr="005A5F40">
              <w:t xml:space="preserve">onstituyente era desaparecer </w:t>
            </w:r>
            <w:r w:rsidR="00582B4F" w:rsidRPr="005A5F40">
              <w:t>a</w:t>
            </w:r>
            <w:r w:rsidRPr="005A5F40">
              <w:t>l CSJ</w:t>
            </w:r>
            <w:r w:rsidR="00582B4F" w:rsidRPr="005A5F40">
              <w:t>,</w:t>
            </w:r>
            <w:r w:rsidRPr="005A5F40">
              <w:t xml:space="preserve"> y la Corte Constitucional decidió no s</w:t>
            </w:r>
            <w:r w:rsidR="00C80E03">
              <w:t>o</w:t>
            </w:r>
            <w:r w:rsidRPr="005A5F40">
              <w:t xml:space="preserve">lo revivir </w:t>
            </w:r>
            <w:r w:rsidR="00956AD5" w:rsidRPr="005A5F40">
              <w:t>dicha</w:t>
            </w:r>
            <w:r w:rsidRPr="005A5F40">
              <w:t xml:space="preserve"> entidad, sino además</w:t>
            </w:r>
            <w:r w:rsidR="000E6B17" w:rsidRPr="005A5F40">
              <w:t xml:space="preserve"> fortalecerla, porque le</w:t>
            </w:r>
            <w:r w:rsidRPr="005A5F40">
              <w:t xml:space="preserve"> asign</w:t>
            </w:r>
            <w:r w:rsidR="000E6B17" w:rsidRPr="005A5F40">
              <w:t>ó</w:t>
            </w:r>
            <w:r w:rsidRPr="005A5F40">
              <w:t xml:space="preserve"> la configuración de</w:t>
            </w:r>
            <w:r w:rsidR="008E3BE5" w:rsidRPr="005A5F40">
              <w:t xml:space="preserve"> cuatro</w:t>
            </w:r>
            <w:r w:rsidRPr="005A5F40">
              <w:t xml:space="preserve"> de las </w:t>
            </w:r>
            <w:r w:rsidR="008E3BE5" w:rsidRPr="005A5F40">
              <w:t xml:space="preserve">siete </w:t>
            </w:r>
            <w:r w:rsidRPr="005A5F40">
              <w:t xml:space="preserve">ternas de la CNDJ. </w:t>
            </w:r>
          </w:p>
          <w:p w14:paraId="46B2F335" w14:textId="77777777" w:rsidR="00C420D2" w:rsidRPr="005A5F40" w:rsidRDefault="00C420D2" w:rsidP="008E3BE5">
            <w:pPr>
              <w:pStyle w:val="NormalWeb"/>
              <w:tabs>
                <w:tab w:val="left" w:pos="284"/>
              </w:tabs>
              <w:spacing w:before="0" w:beforeAutospacing="0" w:after="0" w:afterAutospacing="0"/>
              <w:ind w:right="40"/>
              <w:jc w:val="both"/>
            </w:pPr>
          </w:p>
          <w:p w14:paraId="5A290CFF" w14:textId="77777777" w:rsidR="00A16129" w:rsidRPr="005A5F40" w:rsidRDefault="00A16129" w:rsidP="008E3BE5">
            <w:pPr>
              <w:pStyle w:val="NormalWeb"/>
              <w:tabs>
                <w:tab w:val="left" w:pos="284"/>
              </w:tabs>
              <w:spacing w:before="0" w:beforeAutospacing="0" w:after="0" w:afterAutospacing="0"/>
              <w:ind w:right="40"/>
              <w:jc w:val="both"/>
            </w:pPr>
            <w:r w:rsidRPr="005A5F40">
              <w:t xml:space="preserve">Por ese motivo, </w:t>
            </w:r>
            <w:r w:rsidR="005E310E" w:rsidRPr="005A5F40">
              <w:t>se trata de una norma constitucional</w:t>
            </w:r>
            <w:r w:rsidRPr="005A5F40">
              <w:t xml:space="preserve"> que debe ser interpretada</w:t>
            </w:r>
            <w:r w:rsidR="00582B4F" w:rsidRPr="005A5F40">
              <w:t xml:space="preserve"> y leída</w:t>
            </w:r>
            <w:r w:rsidR="00292BB1" w:rsidRPr="005A5F40">
              <w:t xml:space="preserve"> por el juez,</w:t>
            </w:r>
            <w:r w:rsidRPr="005A5F40">
              <w:t xml:space="preserve"> de manera “restrictiva”.</w:t>
            </w:r>
          </w:p>
          <w:bookmarkEnd w:id="38"/>
          <w:p w14:paraId="73E47D2F" w14:textId="77777777" w:rsidR="00A16129" w:rsidRPr="005A5F40" w:rsidRDefault="00A16129" w:rsidP="008E3BE5">
            <w:pPr>
              <w:jc w:val="both"/>
              <w:rPr>
                <w:sz w:val="24"/>
                <w:szCs w:val="24"/>
                <w:lang w:val="es-CO"/>
              </w:rPr>
            </w:pPr>
          </w:p>
        </w:tc>
        <w:tc>
          <w:tcPr>
            <w:tcW w:w="3969" w:type="dxa"/>
          </w:tcPr>
          <w:p w14:paraId="1FA35928" w14:textId="77777777" w:rsidR="00D70DC9" w:rsidRPr="005A5F40" w:rsidRDefault="00A16129" w:rsidP="008E3BE5">
            <w:pPr>
              <w:pStyle w:val="NormalWeb"/>
              <w:tabs>
                <w:tab w:val="left" w:pos="284"/>
                <w:tab w:val="left" w:pos="1654"/>
              </w:tabs>
              <w:spacing w:before="0" w:beforeAutospacing="0" w:after="0" w:afterAutospacing="0"/>
              <w:ind w:right="40"/>
              <w:jc w:val="both"/>
            </w:pPr>
            <w:r w:rsidRPr="005A5F40">
              <w:t>El artículo constitucional es plenamente válido porque</w:t>
            </w:r>
            <w:r w:rsidR="00123BF6" w:rsidRPr="005A5F40">
              <w:t xml:space="preserve"> es fruto de la modificación propuesta por el </w:t>
            </w:r>
            <w:r w:rsidR="00D8235D" w:rsidRPr="005A5F40">
              <w:t>A.L. 02 de 2015</w:t>
            </w:r>
            <w:r w:rsidR="00123BF6" w:rsidRPr="005A5F40">
              <w:t xml:space="preserve"> y </w:t>
            </w:r>
            <w:r w:rsidR="00956AD5" w:rsidRPr="005A5F40">
              <w:t xml:space="preserve">es </w:t>
            </w:r>
            <w:r w:rsidR="008E3BE5" w:rsidRPr="005A5F40">
              <w:t xml:space="preserve">el </w:t>
            </w:r>
            <w:r w:rsidR="00123BF6" w:rsidRPr="005A5F40">
              <w:t>resultado de la modulación realizada por la Corte</w:t>
            </w:r>
            <w:r w:rsidR="00D8235D" w:rsidRPr="005A5F40">
              <w:t>, conforme al control constitucional que le corresponde</w:t>
            </w:r>
            <w:r w:rsidR="008E3BE5" w:rsidRPr="005A5F40">
              <w:t>,</w:t>
            </w:r>
            <w:r w:rsidR="00D8235D" w:rsidRPr="005A5F40">
              <w:t xml:space="preserve"> dentro del marco</w:t>
            </w:r>
            <w:r w:rsidR="00123BF6" w:rsidRPr="005A5F40">
              <w:t xml:space="preserve"> </w:t>
            </w:r>
            <w:r w:rsidR="00120BEF" w:rsidRPr="005A5F40">
              <w:t>superior</w:t>
            </w:r>
            <w:r w:rsidR="00292BB1" w:rsidRPr="005A5F40">
              <w:t xml:space="preserve">, </w:t>
            </w:r>
            <w:r w:rsidR="00D70DC9" w:rsidRPr="005A5F40">
              <w:t>en su calidad de</w:t>
            </w:r>
            <w:r w:rsidR="00292BB1" w:rsidRPr="005A5F40">
              <w:t xml:space="preserve"> </w:t>
            </w:r>
            <w:r w:rsidR="00F9211F" w:rsidRPr="005A5F40">
              <w:t>guardiana</w:t>
            </w:r>
            <w:r w:rsidR="00292BB1" w:rsidRPr="005A5F40">
              <w:t xml:space="preserve"> de la Carta</w:t>
            </w:r>
            <w:r w:rsidR="00D8235D" w:rsidRPr="005A5F40">
              <w:t xml:space="preserve">. </w:t>
            </w:r>
            <w:r w:rsidR="00123BF6" w:rsidRPr="005A5F40">
              <w:t>En ese sentido, recoge la</w:t>
            </w:r>
            <w:r w:rsidRPr="005A5F40">
              <w:t xml:space="preserve"> voluntad del </w:t>
            </w:r>
            <w:r w:rsidR="00120BEF" w:rsidRPr="005A5F40">
              <w:t xml:space="preserve">constituyente </w:t>
            </w:r>
            <w:r w:rsidRPr="005A5F40">
              <w:t>de asignarle</w:t>
            </w:r>
            <w:r w:rsidR="005E310E" w:rsidRPr="005A5F40">
              <w:t xml:space="preserve"> al </w:t>
            </w:r>
            <w:r w:rsidR="00956AD5" w:rsidRPr="005A5F40">
              <w:t>órgano que administra la justicia</w:t>
            </w:r>
            <w:r w:rsidR="008E3BE5" w:rsidRPr="005A5F40">
              <w:t>,</w:t>
            </w:r>
            <w:r w:rsidRPr="005A5F40">
              <w:t xml:space="preserve"> una competencia para la reglamentación de </w:t>
            </w:r>
            <w:r w:rsidR="005E310E" w:rsidRPr="005A5F40">
              <w:t>l</w:t>
            </w:r>
            <w:r w:rsidRPr="005A5F40">
              <w:t>a convocatoria necesaria para la configuración de las ternas a la CNDJ</w:t>
            </w:r>
            <w:r w:rsidR="008E3BE5" w:rsidRPr="005A5F40">
              <w:t>.</w:t>
            </w:r>
          </w:p>
          <w:p w14:paraId="58A0085B" w14:textId="77777777" w:rsidR="00E0661F" w:rsidRPr="005A5F40" w:rsidRDefault="00E0661F" w:rsidP="008E3BE5">
            <w:pPr>
              <w:pStyle w:val="NormalWeb"/>
              <w:tabs>
                <w:tab w:val="left" w:pos="284"/>
                <w:tab w:val="left" w:pos="1654"/>
              </w:tabs>
              <w:spacing w:before="0" w:beforeAutospacing="0" w:after="0" w:afterAutospacing="0"/>
              <w:ind w:right="40"/>
              <w:jc w:val="both"/>
            </w:pPr>
          </w:p>
          <w:p w14:paraId="0E6D6713" w14:textId="77777777" w:rsidR="003C6235" w:rsidRPr="005A5F40" w:rsidRDefault="00D8235D" w:rsidP="008E3BE5">
            <w:pPr>
              <w:pStyle w:val="NormalWeb"/>
              <w:tabs>
                <w:tab w:val="left" w:pos="284"/>
                <w:tab w:val="left" w:pos="1654"/>
              </w:tabs>
              <w:spacing w:before="0" w:beforeAutospacing="0" w:after="0" w:afterAutospacing="0"/>
              <w:ind w:right="40"/>
              <w:jc w:val="both"/>
            </w:pPr>
            <w:r w:rsidRPr="005A5F40">
              <w:t>La modulación</w:t>
            </w:r>
            <w:r w:rsidR="008E3BE5" w:rsidRPr="005A5F40">
              <w:t xml:space="preserve"> </w:t>
            </w:r>
            <w:r w:rsidRPr="005A5F40">
              <w:t xml:space="preserve">que realizó la Corte Constitucional en la </w:t>
            </w:r>
            <w:r w:rsidR="00A16129" w:rsidRPr="005A5F40">
              <w:t>Sentencia C-285 de 2016</w:t>
            </w:r>
            <w:r w:rsidRPr="005A5F40">
              <w:t>,</w:t>
            </w:r>
            <w:r w:rsidR="00A16129" w:rsidRPr="005A5F40">
              <w:t xml:space="preserve"> </w:t>
            </w:r>
            <w:r w:rsidR="00956AD5" w:rsidRPr="005A5F40">
              <w:t>buscó darle</w:t>
            </w:r>
            <w:r w:rsidR="00A16129" w:rsidRPr="005A5F40">
              <w:t xml:space="preserve"> sentido al artículo constitucional enunciado,</w:t>
            </w:r>
            <w:r w:rsidR="00120BEF" w:rsidRPr="005A5F40">
              <w:t xml:space="preserve"> al preservar </w:t>
            </w:r>
            <w:r w:rsidRPr="005A5F40">
              <w:t xml:space="preserve">las modificaciones introducidas por el constituyente </w:t>
            </w:r>
            <w:r w:rsidR="00120BEF" w:rsidRPr="005A5F40">
              <w:t>que eran constitucionales</w:t>
            </w:r>
            <w:r w:rsidR="00DE577B" w:rsidRPr="005A5F40">
              <w:t>,</w:t>
            </w:r>
            <w:r w:rsidR="00120BEF" w:rsidRPr="005A5F40">
              <w:t xml:space="preserve"> y mantener los cambios en la arquitectura superior queridos por el constituyente en mención</w:t>
            </w:r>
            <w:r w:rsidRPr="005A5F40">
              <w:t>. Por ende,</w:t>
            </w:r>
            <w:r w:rsidR="00A16129" w:rsidRPr="005A5F40">
              <w:t xml:space="preserve"> ratific</w:t>
            </w:r>
            <w:r w:rsidRPr="005A5F40">
              <w:t>ó</w:t>
            </w:r>
            <w:r w:rsidR="00A16129" w:rsidRPr="005A5F40">
              <w:t xml:space="preserve"> la función que debía desarrollar el CSJ transitoriamente</w:t>
            </w:r>
            <w:r w:rsidR="008E3BE5" w:rsidRPr="005A5F40">
              <w:t>,</w:t>
            </w:r>
            <w:r w:rsidR="00E00A7D" w:rsidRPr="005A5F40">
              <w:t xml:space="preserve"> en cuanto a la reglamentación de la convocatoria</w:t>
            </w:r>
            <w:r w:rsidR="00A16129" w:rsidRPr="005A5F40">
              <w:t xml:space="preserve"> </w:t>
            </w:r>
            <w:r w:rsidR="00120BEF" w:rsidRPr="005A5F40">
              <w:t>para la conformación de la CNDJ.</w:t>
            </w:r>
          </w:p>
          <w:p w14:paraId="1617F97B" w14:textId="77777777" w:rsidR="008E3BE5" w:rsidRPr="005A5F40" w:rsidRDefault="00120BEF" w:rsidP="008E3BE5">
            <w:pPr>
              <w:pStyle w:val="NormalWeb"/>
              <w:tabs>
                <w:tab w:val="left" w:pos="284"/>
                <w:tab w:val="left" w:pos="1654"/>
              </w:tabs>
              <w:spacing w:before="0" w:beforeAutospacing="0" w:after="0" w:afterAutospacing="0"/>
              <w:ind w:right="40"/>
              <w:jc w:val="both"/>
            </w:pPr>
            <w:r w:rsidRPr="005A5F40">
              <w:t xml:space="preserve"> </w:t>
            </w:r>
          </w:p>
        </w:tc>
      </w:tr>
      <w:tr w:rsidR="001639C9" w:rsidRPr="002E4477" w14:paraId="14D3050C" w14:textId="77777777" w:rsidTr="00763D25">
        <w:tc>
          <w:tcPr>
            <w:tcW w:w="993" w:type="dxa"/>
            <w:shd w:val="clear" w:color="auto" w:fill="F2F2F2"/>
          </w:tcPr>
          <w:p w14:paraId="665AF9F8" w14:textId="77777777" w:rsidR="001639C9" w:rsidRPr="002E4477" w:rsidRDefault="001639C9" w:rsidP="00FE39E9">
            <w:pPr>
              <w:pStyle w:val="NormalWeb"/>
              <w:tabs>
                <w:tab w:val="left" w:pos="284"/>
              </w:tabs>
              <w:spacing w:before="0" w:beforeAutospacing="0" w:after="0" w:afterAutospacing="0"/>
              <w:ind w:right="40"/>
              <w:rPr>
                <w:b/>
              </w:rPr>
            </w:pPr>
            <w:r w:rsidRPr="002E4477">
              <w:rPr>
                <w:b/>
              </w:rPr>
              <w:t xml:space="preserve">Art. 18 del A.L </w:t>
            </w:r>
          </w:p>
          <w:p w14:paraId="4B349E2C" w14:textId="77777777" w:rsidR="001639C9" w:rsidRPr="002E4477" w:rsidRDefault="001639C9" w:rsidP="00E0661F">
            <w:pPr>
              <w:pStyle w:val="NormalWeb"/>
              <w:tabs>
                <w:tab w:val="left" w:pos="284"/>
              </w:tabs>
              <w:spacing w:before="0" w:beforeAutospacing="0" w:after="0" w:afterAutospacing="0"/>
              <w:ind w:left="-105" w:right="40"/>
              <w:jc w:val="center"/>
              <w:rPr>
                <w:b/>
              </w:rPr>
            </w:pPr>
          </w:p>
        </w:tc>
        <w:tc>
          <w:tcPr>
            <w:tcW w:w="3827" w:type="dxa"/>
          </w:tcPr>
          <w:p w14:paraId="3CA4DA39" w14:textId="77777777" w:rsidR="001639C9" w:rsidRPr="002E4477" w:rsidRDefault="001639C9" w:rsidP="00FE39E9">
            <w:pPr>
              <w:pStyle w:val="NormalWeb"/>
              <w:tabs>
                <w:tab w:val="left" w:pos="284"/>
              </w:tabs>
              <w:spacing w:before="0" w:beforeAutospacing="0" w:after="0" w:afterAutospacing="0"/>
              <w:ind w:right="40"/>
              <w:jc w:val="both"/>
            </w:pPr>
            <w:r w:rsidRPr="002E4477">
              <w:t>El régimen transitorio en favor de lo reclamado por el CSJ, fue declarado inconstitucional por la Corte Constitucional.</w:t>
            </w:r>
          </w:p>
        </w:tc>
        <w:tc>
          <w:tcPr>
            <w:tcW w:w="3969" w:type="dxa"/>
          </w:tcPr>
          <w:p w14:paraId="1B548730" w14:textId="77777777" w:rsidR="008E3BE5" w:rsidRPr="002E4477" w:rsidRDefault="00956AD5" w:rsidP="008E3BE5">
            <w:pPr>
              <w:pStyle w:val="NormalWeb"/>
              <w:tabs>
                <w:tab w:val="left" w:pos="284"/>
              </w:tabs>
              <w:spacing w:before="0" w:beforeAutospacing="0" w:after="0" w:afterAutospacing="0"/>
              <w:ind w:right="40"/>
              <w:jc w:val="both"/>
            </w:pPr>
            <w:r w:rsidRPr="005A5F40">
              <w:t>Aunque</w:t>
            </w:r>
            <w:r w:rsidR="001639C9" w:rsidRPr="005A5F40">
              <w:t xml:space="preserve"> esta norma fue declarada inexequible</w:t>
            </w:r>
            <w:r w:rsidRPr="005A5F40">
              <w:t xml:space="preserve">, </w:t>
            </w:r>
            <w:r w:rsidR="001639C9" w:rsidRPr="005A5F40">
              <w:t>la sentencia C-285 de 2016 se inhibió de pronunciarse</w:t>
            </w:r>
            <w:r w:rsidR="00894F82" w:rsidRPr="005A5F40">
              <w:t xml:space="preserve"> en el tema de la</w:t>
            </w:r>
            <w:r w:rsidR="001639C9" w:rsidRPr="005A5F40">
              <w:t xml:space="preserve"> configuración de la CNDJ</w:t>
            </w:r>
            <w:r w:rsidRPr="005A5F40">
              <w:t>.</w:t>
            </w:r>
            <w:r w:rsidR="001639C9" w:rsidRPr="005A5F40">
              <w:t xml:space="preserve"> </w:t>
            </w:r>
            <w:r w:rsidR="00894F82" w:rsidRPr="005A5F40">
              <w:t>No obstante, l</w:t>
            </w:r>
            <w:r w:rsidRPr="005A5F40">
              <w:t>a</w:t>
            </w:r>
            <w:r w:rsidR="001639C9" w:rsidRPr="005A5F40">
              <w:t xml:space="preserve"> </w:t>
            </w:r>
            <w:r w:rsidR="001639C9" w:rsidRPr="005A5F40">
              <w:rPr>
                <w:i/>
                <w:iCs/>
              </w:rPr>
              <w:t>ratio decidendi</w:t>
            </w:r>
            <w:r w:rsidRPr="005A5F40">
              <w:rPr>
                <w:i/>
                <w:iCs/>
              </w:rPr>
              <w:t xml:space="preserve"> </w:t>
            </w:r>
            <w:r w:rsidRPr="005A5F40">
              <w:t>de la sentencia reconoció</w:t>
            </w:r>
            <w:r w:rsidR="001639C9" w:rsidRPr="005A5F40">
              <w:t xml:space="preserve"> la pertinencia del procedimiento signado por el </w:t>
            </w:r>
            <w:r w:rsidR="001639C9" w:rsidRPr="00C32E38">
              <w:t>constituyente</w:t>
            </w:r>
            <w:r w:rsidR="00894F82" w:rsidRPr="00C32E38">
              <w:t>,</w:t>
            </w:r>
            <w:r w:rsidR="001639C9" w:rsidRPr="00C32E38">
              <w:t xml:space="preserve"> para </w:t>
            </w:r>
            <w:r w:rsidR="00EA0835" w:rsidRPr="00C32E38">
              <w:t>regular</w:t>
            </w:r>
            <w:r w:rsidR="001639C9" w:rsidRPr="00C32E38">
              <w:t xml:space="preserve"> la</w:t>
            </w:r>
            <w:r w:rsidR="008E3BE5" w:rsidRPr="00C32E38">
              <w:t xml:space="preserve"> convocatoria</w:t>
            </w:r>
            <w:r w:rsidR="00894F82" w:rsidRPr="00C32E38">
              <w:t xml:space="preserve"> pública.</w:t>
            </w:r>
          </w:p>
        </w:tc>
      </w:tr>
    </w:tbl>
    <w:p w14:paraId="7E755135" w14:textId="77777777" w:rsidR="00E34495" w:rsidRPr="002E4477" w:rsidRDefault="00E34495" w:rsidP="00A16129">
      <w:pPr>
        <w:rPr>
          <w:b/>
          <w:i/>
          <w:szCs w:val="28"/>
          <w:lang w:val="es-CO"/>
        </w:rPr>
      </w:pPr>
    </w:p>
    <w:p w14:paraId="75B952C4" w14:textId="77777777" w:rsidR="008A6A6A" w:rsidRPr="00B866F4" w:rsidRDefault="00B866F4" w:rsidP="008A6A6A">
      <w:pPr>
        <w:numPr>
          <w:ilvl w:val="0"/>
          <w:numId w:val="10"/>
        </w:numPr>
        <w:shd w:val="clear" w:color="auto" w:fill="FFFFFF"/>
        <w:jc w:val="both"/>
        <w:rPr>
          <w:szCs w:val="28"/>
        </w:rPr>
      </w:pPr>
      <w:r w:rsidRPr="00B866F4">
        <w:rPr>
          <w:szCs w:val="28"/>
          <w:lang w:val="es-CO"/>
        </w:rPr>
        <w:t>D</w:t>
      </w:r>
      <w:r w:rsidR="00C420D2" w:rsidRPr="00B866F4">
        <w:rPr>
          <w:szCs w:val="28"/>
        </w:rPr>
        <w:t xml:space="preserve">e </w:t>
      </w:r>
      <w:r w:rsidR="00A16129" w:rsidRPr="00B866F4">
        <w:rPr>
          <w:szCs w:val="28"/>
        </w:rPr>
        <w:t xml:space="preserve">acuerdo con los cambios introducidos mediante el A.L 02 de 2015 y la </w:t>
      </w:r>
      <w:r w:rsidR="00F83BB9" w:rsidRPr="00B866F4">
        <w:rPr>
          <w:b/>
          <w:bCs/>
          <w:szCs w:val="28"/>
        </w:rPr>
        <w:t>S</w:t>
      </w:r>
      <w:r w:rsidR="00A16129" w:rsidRPr="00B866F4">
        <w:rPr>
          <w:b/>
          <w:bCs/>
          <w:szCs w:val="28"/>
        </w:rPr>
        <w:t>entencia C-285 de 2016</w:t>
      </w:r>
      <w:r w:rsidR="00A16129" w:rsidRPr="00B866F4">
        <w:rPr>
          <w:szCs w:val="28"/>
        </w:rPr>
        <w:t>,</w:t>
      </w:r>
      <w:r w:rsidR="00894F82" w:rsidRPr="00B866F4">
        <w:rPr>
          <w:szCs w:val="28"/>
        </w:rPr>
        <w:t xml:space="preserve"> el artículo </w:t>
      </w:r>
      <w:r w:rsidR="00A16129" w:rsidRPr="00B866F4">
        <w:rPr>
          <w:szCs w:val="28"/>
        </w:rPr>
        <w:t xml:space="preserve">257A </w:t>
      </w:r>
      <w:r w:rsidR="00C420D2" w:rsidRPr="00B866F4">
        <w:rPr>
          <w:szCs w:val="28"/>
        </w:rPr>
        <w:t xml:space="preserve">quedó configurado con el siguiente </w:t>
      </w:r>
      <w:r w:rsidR="00F83BB9" w:rsidRPr="00B866F4">
        <w:rPr>
          <w:szCs w:val="28"/>
        </w:rPr>
        <w:t>tenor</w:t>
      </w:r>
      <w:r w:rsidR="00894F82" w:rsidRPr="00B866F4">
        <w:rPr>
          <w:szCs w:val="28"/>
        </w:rPr>
        <w:t xml:space="preserve"> literal</w:t>
      </w:r>
      <w:r w:rsidR="00F83BB9" w:rsidRPr="00B866F4">
        <w:rPr>
          <w:szCs w:val="28"/>
        </w:rPr>
        <w:t xml:space="preserve">: </w:t>
      </w:r>
      <w:r w:rsidR="00A16129" w:rsidRPr="00B866F4">
        <w:rPr>
          <w:szCs w:val="28"/>
        </w:rPr>
        <w:t xml:space="preserve"> </w:t>
      </w:r>
    </w:p>
    <w:p w14:paraId="61A9146C" w14:textId="77777777" w:rsidR="00894F82" w:rsidRPr="00B866F4" w:rsidRDefault="00894F82" w:rsidP="00763D25">
      <w:pPr>
        <w:spacing w:before="100" w:beforeAutospacing="1" w:after="100" w:afterAutospacing="1"/>
        <w:ind w:left="284"/>
        <w:jc w:val="both"/>
        <w:rPr>
          <w:rFonts w:eastAsia="Calibri"/>
          <w:i/>
          <w:iCs/>
          <w:sz w:val="26"/>
          <w:szCs w:val="26"/>
          <w:lang w:val="es-CO" w:eastAsia="es-CO"/>
        </w:rPr>
      </w:pPr>
      <w:r w:rsidRPr="00B866F4">
        <w:rPr>
          <w:rFonts w:eastAsia="Calibri"/>
          <w:b/>
          <w:i/>
          <w:iCs/>
          <w:sz w:val="26"/>
          <w:szCs w:val="26"/>
          <w:lang w:val="es-CO" w:eastAsia="es-CO"/>
        </w:rPr>
        <w:t>“ARTÍCULO 257 &lt;257A&gt;.</w:t>
      </w:r>
      <w:r w:rsidRPr="00B866F4">
        <w:rPr>
          <w:rFonts w:eastAsia="Calibri"/>
          <w:i/>
          <w:iCs/>
          <w:sz w:val="26"/>
          <w:szCs w:val="26"/>
          <w:lang w:val="es-CO" w:eastAsia="es-CO"/>
        </w:rPr>
        <w:t xml:space="preserve"> La </w:t>
      </w:r>
      <w:r w:rsidRPr="00B866F4">
        <w:rPr>
          <w:rFonts w:eastAsia="Calibri"/>
          <w:b/>
          <w:i/>
          <w:iCs/>
          <w:sz w:val="26"/>
          <w:szCs w:val="26"/>
          <w:lang w:val="es-CO" w:eastAsia="es-CO"/>
        </w:rPr>
        <w:t>Comisión Nacional de Disciplina Judicial</w:t>
      </w:r>
      <w:r w:rsidRPr="00B866F4">
        <w:rPr>
          <w:rFonts w:eastAsia="Calibri"/>
          <w:i/>
          <w:iCs/>
          <w:sz w:val="26"/>
          <w:szCs w:val="26"/>
          <w:lang w:val="es-CO" w:eastAsia="es-CO"/>
        </w:rPr>
        <w:t xml:space="preserve"> ejercerá la función jurisdiccional disciplinaria sobre los funcionarios y empleados de la Rama Judicial.</w:t>
      </w:r>
    </w:p>
    <w:p w14:paraId="2E8170BE" w14:textId="77777777" w:rsidR="00894F82" w:rsidRPr="00B866F4" w:rsidRDefault="00894F82" w:rsidP="00763D25">
      <w:pPr>
        <w:spacing w:before="100" w:beforeAutospacing="1" w:after="100" w:afterAutospacing="1"/>
        <w:ind w:left="284"/>
        <w:jc w:val="both"/>
        <w:rPr>
          <w:rFonts w:eastAsia="Calibri"/>
          <w:i/>
          <w:iCs/>
          <w:sz w:val="26"/>
          <w:szCs w:val="26"/>
          <w:lang w:eastAsia="en-US"/>
        </w:rPr>
      </w:pPr>
      <w:r w:rsidRPr="00B866F4">
        <w:rPr>
          <w:rFonts w:eastAsia="Calibri"/>
          <w:i/>
          <w:iCs/>
          <w:sz w:val="26"/>
          <w:szCs w:val="26"/>
          <w:lang w:eastAsia="en-US"/>
        </w:rPr>
        <w:t xml:space="preserve">Estará conformada por siete Magistrados, cuatro de los cuales serán </w:t>
      </w:r>
      <w:r w:rsidRPr="00B866F4">
        <w:rPr>
          <w:rFonts w:eastAsia="Calibri"/>
          <w:b/>
          <w:i/>
          <w:iCs/>
          <w:sz w:val="26"/>
          <w:szCs w:val="26"/>
          <w:lang w:eastAsia="en-US"/>
        </w:rPr>
        <w:t>elegidos por el Congreso en Pleno de ternas enviadas por el </w:t>
      </w:r>
      <w:r w:rsidRPr="00B866F4">
        <w:rPr>
          <w:rFonts w:eastAsia="Calibri"/>
          <w:b/>
          <w:bCs/>
          <w:i/>
          <w:iCs/>
          <w:strike/>
          <w:sz w:val="26"/>
          <w:szCs w:val="26"/>
          <w:lang w:eastAsia="en-US"/>
        </w:rPr>
        <w:t>Consejo de Gobierno Judicial</w:t>
      </w:r>
      <w:r w:rsidRPr="00B866F4">
        <w:rPr>
          <w:rFonts w:eastAsia="Calibri"/>
          <w:b/>
          <w:i/>
          <w:iCs/>
          <w:sz w:val="26"/>
          <w:szCs w:val="26"/>
          <w:lang w:eastAsia="en-US"/>
        </w:rPr>
        <w:t> </w:t>
      </w:r>
      <w:r w:rsidRPr="00B866F4">
        <w:rPr>
          <w:rFonts w:eastAsia="Calibri"/>
          <w:b/>
          <w:i/>
          <w:iCs/>
          <w:sz w:val="26"/>
          <w:szCs w:val="26"/>
          <w:u w:val="single"/>
          <w:lang w:eastAsia="en-US"/>
        </w:rPr>
        <w:t>Consejo Superior de la Judicatura</w:t>
      </w:r>
      <w:r w:rsidRPr="00B866F4">
        <w:rPr>
          <w:rFonts w:eastAsia="Calibri"/>
          <w:b/>
          <w:i/>
          <w:iCs/>
          <w:sz w:val="26"/>
          <w:szCs w:val="26"/>
          <w:lang w:eastAsia="en-US"/>
        </w:rPr>
        <w:t> previa convocatoria pública reglada</w:t>
      </w:r>
      <w:r w:rsidRPr="00B866F4">
        <w:rPr>
          <w:rFonts w:eastAsia="Calibri"/>
          <w:i/>
          <w:iCs/>
          <w:sz w:val="26"/>
          <w:szCs w:val="26"/>
          <w:lang w:eastAsia="en-US"/>
        </w:rPr>
        <w:t> </w:t>
      </w:r>
      <w:r w:rsidRPr="00B866F4">
        <w:rPr>
          <w:rFonts w:eastAsia="Calibri"/>
          <w:bCs/>
          <w:i/>
          <w:iCs/>
          <w:strike/>
          <w:sz w:val="26"/>
          <w:szCs w:val="26"/>
          <w:lang w:eastAsia="en-US"/>
        </w:rPr>
        <w:t>adelantada por la Gerencia de la Rama Judicial</w:t>
      </w:r>
      <w:r w:rsidRPr="00B866F4">
        <w:rPr>
          <w:rFonts w:eastAsia="Calibri"/>
          <w:i/>
          <w:iCs/>
          <w:sz w:val="26"/>
          <w:szCs w:val="26"/>
          <w:lang w:eastAsia="en-US"/>
        </w:rPr>
        <w:t>, y tres de los cuales serán elegidos por el Congreso en Pleno de ternas enviadas por el Presidente de la República, previa convocatoria pública reglada. Tendrán periodos personales de ocho años, y deberán cumplir con los mismos requisitos exigidos para ser Magistrado de la Corte Suprema de Justicia.</w:t>
      </w:r>
    </w:p>
    <w:p w14:paraId="36CEE604" w14:textId="77777777" w:rsidR="00894F82" w:rsidRPr="00B866F4" w:rsidRDefault="00894F82" w:rsidP="00763D25">
      <w:pPr>
        <w:spacing w:before="100" w:beforeAutospacing="1" w:after="100" w:afterAutospacing="1"/>
        <w:ind w:left="284"/>
        <w:jc w:val="both"/>
        <w:rPr>
          <w:rFonts w:eastAsia="Calibri"/>
          <w:i/>
          <w:iCs/>
          <w:sz w:val="26"/>
          <w:szCs w:val="26"/>
          <w:lang w:val="es-CO" w:eastAsia="es-CO"/>
        </w:rPr>
      </w:pPr>
      <w:r w:rsidRPr="00B866F4">
        <w:rPr>
          <w:rFonts w:eastAsia="Calibri"/>
          <w:i/>
          <w:iCs/>
          <w:sz w:val="26"/>
          <w:szCs w:val="26"/>
          <w:lang w:val="es-CO" w:eastAsia="es-CO"/>
        </w:rPr>
        <w:t>Los Magistrados de la Comisión Nacional de Disciplina Judicial no podrán ser reelegidos.</w:t>
      </w:r>
    </w:p>
    <w:p w14:paraId="3A5AFBC0" w14:textId="77777777" w:rsidR="00894F82" w:rsidRPr="00B866F4" w:rsidRDefault="00894F82" w:rsidP="00763D25">
      <w:pPr>
        <w:spacing w:before="100" w:beforeAutospacing="1" w:after="100" w:afterAutospacing="1"/>
        <w:ind w:left="284"/>
        <w:jc w:val="both"/>
        <w:rPr>
          <w:rFonts w:eastAsia="Calibri"/>
          <w:i/>
          <w:iCs/>
          <w:sz w:val="26"/>
          <w:szCs w:val="26"/>
          <w:lang w:val="es-CO" w:eastAsia="es-CO"/>
        </w:rPr>
      </w:pPr>
      <w:r w:rsidRPr="00B866F4">
        <w:rPr>
          <w:rFonts w:eastAsia="Calibri"/>
          <w:i/>
          <w:iCs/>
          <w:sz w:val="26"/>
          <w:szCs w:val="26"/>
          <w:lang w:val="es-CO" w:eastAsia="es-CO"/>
        </w:rPr>
        <w:t>Podrá haber Comisiones Seccionales de Disciplina Judicial integradas como lo señale la ley.</w:t>
      </w:r>
    </w:p>
    <w:p w14:paraId="4F78B57D" w14:textId="77777777" w:rsidR="00894F82" w:rsidRPr="00B866F4" w:rsidRDefault="00894F82" w:rsidP="00763D25">
      <w:pPr>
        <w:spacing w:before="100" w:beforeAutospacing="1" w:after="100" w:afterAutospacing="1"/>
        <w:ind w:left="284"/>
        <w:jc w:val="both"/>
        <w:rPr>
          <w:rFonts w:eastAsia="Calibri"/>
          <w:i/>
          <w:iCs/>
          <w:sz w:val="26"/>
          <w:szCs w:val="26"/>
          <w:lang w:val="es-CO" w:eastAsia="es-CO"/>
        </w:rPr>
      </w:pPr>
      <w:r w:rsidRPr="00B866F4">
        <w:rPr>
          <w:rFonts w:eastAsia="Calibri"/>
          <w:i/>
          <w:iCs/>
          <w:sz w:val="26"/>
          <w:szCs w:val="26"/>
          <w:lang w:val="es-CO" w:eastAsia="es-CO"/>
        </w:rPr>
        <w:t>La Comisión Nacional de Disciplina Judicial será la encargada de examinar la conducta y sancionar las faltas de los abogados en ejercicio de su profesión, en la instancia que señale la ley, salvo que esta función se atribuya por la ley a un Colegio de Abogados.</w:t>
      </w:r>
    </w:p>
    <w:p w14:paraId="64D753D9" w14:textId="77777777" w:rsidR="00894F82" w:rsidRPr="00B866F4" w:rsidRDefault="00894F82" w:rsidP="00763D25">
      <w:pPr>
        <w:spacing w:before="100" w:beforeAutospacing="1" w:after="100" w:afterAutospacing="1"/>
        <w:ind w:left="284"/>
        <w:jc w:val="both"/>
        <w:rPr>
          <w:rFonts w:eastAsia="Calibri"/>
          <w:i/>
          <w:iCs/>
          <w:sz w:val="26"/>
          <w:szCs w:val="26"/>
          <w:lang w:val="es-CO" w:eastAsia="es-CO"/>
        </w:rPr>
      </w:pPr>
      <w:r w:rsidRPr="00B866F4">
        <w:rPr>
          <w:rFonts w:eastAsia="Calibri"/>
          <w:b/>
          <w:bCs/>
          <w:i/>
          <w:iCs/>
          <w:sz w:val="26"/>
          <w:szCs w:val="26"/>
          <w:lang w:val="es-CO" w:eastAsia="es-CO"/>
        </w:rPr>
        <w:t>PARÁGRAFO.</w:t>
      </w:r>
      <w:r w:rsidRPr="00B866F4">
        <w:rPr>
          <w:rFonts w:eastAsia="Calibri"/>
          <w:i/>
          <w:iCs/>
          <w:sz w:val="26"/>
          <w:szCs w:val="26"/>
          <w:lang w:val="es-CO" w:eastAsia="es-CO"/>
        </w:rPr>
        <w:t> La Comisión Nacional de Disciplina Judicial y las Comisiones Seccionales de Disciplina Judicial no serán competentes para conocer de acciones de tutela.</w:t>
      </w:r>
    </w:p>
    <w:p w14:paraId="33B8AB10" w14:textId="77777777" w:rsidR="00C56EAB" w:rsidRPr="00B866F4" w:rsidRDefault="00894F82" w:rsidP="00763D25">
      <w:pPr>
        <w:spacing w:before="100" w:beforeAutospacing="1" w:after="100" w:afterAutospacing="1"/>
        <w:ind w:left="284"/>
        <w:jc w:val="both"/>
        <w:rPr>
          <w:rFonts w:eastAsia="Calibri"/>
          <w:i/>
          <w:iCs/>
          <w:sz w:val="26"/>
          <w:szCs w:val="26"/>
          <w:lang w:val="es-CO" w:eastAsia="es-CO"/>
        </w:rPr>
      </w:pPr>
      <w:r w:rsidRPr="00B866F4">
        <w:rPr>
          <w:rFonts w:eastAsia="Calibri"/>
          <w:b/>
          <w:bCs/>
          <w:i/>
          <w:iCs/>
          <w:sz w:val="26"/>
          <w:szCs w:val="26"/>
          <w:lang w:val="es-CO" w:eastAsia="es-CO"/>
        </w:rPr>
        <w:t>PARÁGRAFO TRANSITORIO 1o.</w:t>
      </w:r>
      <w:r w:rsidRPr="00B866F4">
        <w:rPr>
          <w:rFonts w:eastAsia="Calibri"/>
          <w:i/>
          <w:iCs/>
          <w:sz w:val="26"/>
          <w:szCs w:val="26"/>
          <w:lang w:val="es-CO" w:eastAsia="es-CO"/>
        </w:rPr>
        <w:t xml:space="preserve"> Los Magistrados de la </w:t>
      </w:r>
      <w:r w:rsidRPr="00B866F4">
        <w:rPr>
          <w:rFonts w:eastAsia="Calibri"/>
          <w:b/>
          <w:i/>
          <w:iCs/>
          <w:sz w:val="26"/>
          <w:szCs w:val="26"/>
          <w:lang w:val="es-CO" w:eastAsia="es-CO"/>
        </w:rPr>
        <w:t>Comisión Nacional de Disciplina Judicial</w:t>
      </w:r>
      <w:r w:rsidRPr="00B866F4">
        <w:rPr>
          <w:rFonts w:eastAsia="Calibri"/>
          <w:i/>
          <w:iCs/>
          <w:sz w:val="26"/>
          <w:szCs w:val="26"/>
          <w:lang w:val="es-CO" w:eastAsia="es-CO"/>
        </w:rPr>
        <w:t xml:space="preserve"> </w:t>
      </w:r>
      <w:r w:rsidRPr="00B866F4">
        <w:rPr>
          <w:rFonts w:eastAsia="Calibri"/>
          <w:b/>
          <w:i/>
          <w:iCs/>
          <w:sz w:val="26"/>
          <w:szCs w:val="26"/>
          <w:lang w:val="es-CO" w:eastAsia="es-CO"/>
        </w:rPr>
        <w:t>deberán ser elegidos dentro del año siguiente a la vigencia del presente acto legislativo</w:t>
      </w:r>
      <w:r w:rsidRPr="00B866F4">
        <w:rPr>
          <w:rFonts w:eastAsia="Calibri"/>
          <w:i/>
          <w:iCs/>
          <w:sz w:val="26"/>
          <w:szCs w:val="26"/>
          <w:lang w:val="es-CO" w:eastAsia="es-CO"/>
        </w:rPr>
        <w:t xml:space="preserve">. Una vez posesionados, la Comisión Nacional de Disciplina Judicial asumirá los procesos disciplinarios de la Sala Jurisdiccional Disciplinaria del Consejo Superior de la Judicatura. </w:t>
      </w:r>
      <w:r w:rsidRPr="00B866F4">
        <w:rPr>
          <w:rFonts w:eastAsia="Calibri"/>
          <w:b/>
          <w:bCs/>
          <w:i/>
          <w:iCs/>
          <w:sz w:val="26"/>
          <w:szCs w:val="26"/>
          <w:lang w:val="es-CO" w:eastAsia="es-CO"/>
        </w:rPr>
        <w:t>Los actuales Magistrados de la Sala Jurisdiccional Disciplinaria del Consejo Superior de la Judicatura, ejercerán sus funciones hasta el día que se posesionen los miembros de la Comisión Nacional de Disciplina Judicial.</w:t>
      </w:r>
      <w:r w:rsidRPr="00B866F4">
        <w:rPr>
          <w:rFonts w:eastAsia="Calibri"/>
          <w:i/>
          <w:iCs/>
          <w:sz w:val="26"/>
          <w:szCs w:val="26"/>
          <w:lang w:val="es-CO" w:eastAsia="es-CO"/>
        </w:rPr>
        <w:t xml:space="preserve"> Las Salas Disciplinarias de los Consejos Seccionales de la Judicatura serán transformadas en Comisiones Seccionales de Disciplina Judicial. Se garantizarán los derechos de carrera de los Magistrados y empleados de las salas disciplinarias de los Consejos Seccionales de la Judicatura quienes continuarán conociendo de los procesos a su cargo, sin solución de continuidad. (</w:t>
      </w:r>
      <w:r w:rsidRPr="00B866F4">
        <w:rPr>
          <w:rFonts w:eastAsia="Calibri"/>
          <w:i/>
          <w:iCs/>
          <w:sz w:val="26"/>
          <w:szCs w:val="26"/>
          <w:lang w:eastAsia="en-US"/>
        </w:rPr>
        <w:t>Apartes tachados inexequibles, el aparte subrayado corresponde a la corrección introducida en cumplimiento de la Sentencia C-285 de 2016. Las negrillas, fuera del original</w:t>
      </w:r>
      <w:r w:rsidRPr="00B866F4">
        <w:rPr>
          <w:rFonts w:eastAsia="Calibri"/>
          <w:i/>
          <w:iCs/>
          <w:sz w:val="26"/>
          <w:szCs w:val="26"/>
          <w:lang w:val="es-CO" w:eastAsia="es-CO"/>
        </w:rPr>
        <w:t>)”.</w:t>
      </w:r>
    </w:p>
    <w:p w14:paraId="4E87489F" w14:textId="77777777" w:rsidR="002A2882" w:rsidRPr="00B866F4" w:rsidRDefault="00885E46" w:rsidP="00885E46">
      <w:pPr>
        <w:numPr>
          <w:ilvl w:val="0"/>
          <w:numId w:val="10"/>
        </w:numPr>
        <w:shd w:val="clear" w:color="auto" w:fill="FFFFFF"/>
        <w:jc w:val="both"/>
        <w:rPr>
          <w:szCs w:val="28"/>
        </w:rPr>
      </w:pPr>
      <w:r w:rsidRPr="00B866F4">
        <w:rPr>
          <w:szCs w:val="28"/>
        </w:rPr>
        <w:t xml:space="preserve"> </w:t>
      </w:r>
      <w:r w:rsidR="00C420D2" w:rsidRPr="00B866F4">
        <w:rPr>
          <w:szCs w:val="28"/>
        </w:rPr>
        <w:t xml:space="preserve">La </w:t>
      </w:r>
      <w:r w:rsidRPr="00B866F4">
        <w:rPr>
          <w:b/>
          <w:bCs/>
          <w:szCs w:val="28"/>
        </w:rPr>
        <w:t>Sentencia C-285 de 2016</w:t>
      </w:r>
      <w:r w:rsidRPr="00B866F4">
        <w:rPr>
          <w:szCs w:val="28"/>
        </w:rPr>
        <w:t xml:space="preserve">, luego </w:t>
      </w:r>
      <w:r w:rsidR="00F83BB9" w:rsidRPr="00B866F4">
        <w:rPr>
          <w:szCs w:val="28"/>
        </w:rPr>
        <w:t xml:space="preserve">de concluir que el Consejo de Gobierno Judicial y la Gerencia de la Rama Judicial sustituían la Constitución por desconocer </w:t>
      </w:r>
      <w:r w:rsidR="00071F24" w:rsidRPr="00B866F4">
        <w:rPr>
          <w:szCs w:val="28"/>
        </w:rPr>
        <w:t>los principios</w:t>
      </w:r>
      <w:r w:rsidR="00F83BB9" w:rsidRPr="00B866F4">
        <w:rPr>
          <w:szCs w:val="28"/>
        </w:rPr>
        <w:t xml:space="preserve"> de separación de poderes</w:t>
      </w:r>
      <w:r w:rsidR="00976C2A">
        <w:rPr>
          <w:szCs w:val="28"/>
        </w:rPr>
        <w:t xml:space="preserve">, </w:t>
      </w:r>
      <w:r w:rsidR="00F83BB9" w:rsidRPr="00B866F4">
        <w:rPr>
          <w:szCs w:val="28"/>
        </w:rPr>
        <w:t>autonomía e independencia judicial,</w:t>
      </w:r>
      <w:r w:rsidR="002A2882" w:rsidRPr="00B866F4">
        <w:rPr>
          <w:szCs w:val="28"/>
        </w:rPr>
        <w:t xml:space="preserve"> señaló </w:t>
      </w:r>
      <w:r w:rsidR="00DE577B" w:rsidRPr="00B866F4">
        <w:rPr>
          <w:b/>
          <w:bCs/>
          <w:i/>
          <w:iCs/>
          <w:szCs w:val="28"/>
        </w:rPr>
        <w:t>en su parte motiva</w:t>
      </w:r>
      <w:r w:rsidR="00DE577B" w:rsidRPr="00B866F4">
        <w:rPr>
          <w:szCs w:val="28"/>
        </w:rPr>
        <w:t xml:space="preserve">, </w:t>
      </w:r>
      <w:r w:rsidR="002A2882" w:rsidRPr="00B866F4">
        <w:rPr>
          <w:szCs w:val="28"/>
        </w:rPr>
        <w:t>varios e</w:t>
      </w:r>
      <w:r w:rsidR="0065548F" w:rsidRPr="00B866F4">
        <w:rPr>
          <w:szCs w:val="28"/>
        </w:rPr>
        <w:t>lementos</w:t>
      </w:r>
      <w:r w:rsidR="002A2882" w:rsidRPr="00B866F4">
        <w:rPr>
          <w:szCs w:val="28"/>
        </w:rPr>
        <w:t xml:space="preserve"> </w:t>
      </w:r>
      <w:r w:rsidRPr="00B866F4">
        <w:rPr>
          <w:szCs w:val="28"/>
        </w:rPr>
        <w:t xml:space="preserve">a considerar </w:t>
      </w:r>
      <w:r w:rsidR="00DE577B" w:rsidRPr="00B866F4">
        <w:rPr>
          <w:szCs w:val="28"/>
        </w:rPr>
        <w:t xml:space="preserve">en el análisis </w:t>
      </w:r>
      <w:r w:rsidR="00894F82" w:rsidRPr="00B866F4">
        <w:rPr>
          <w:szCs w:val="28"/>
        </w:rPr>
        <w:t xml:space="preserve">e </w:t>
      </w:r>
      <w:r w:rsidR="008937A7" w:rsidRPr="00B866F4">
        <w:rPr>
          <w:szCs w:val="28"/>
        </w:rPr>
        <w:t>interpretación</w:t>
      </w:r>
      <w:r w:rsidR="0035726A" w:rsidRPr="00B866F4">
        <w:rPr>
          <w:szCs w:val="28"/>
        </w:rPr>
        <w:t xml:space="preserve"> </w:t>
      </w:r>
      <w:r w:rsidR="008937A7" w:rsidRPr="00B866F4">
        <w:rPr>
          <w:szCs w:val="28"/>
        </w:rPr>
        <w:t>d</w:t>
      </w:r>
      <w:r w:rsidR="00F9211F" w:rsidRPr="00B866F4">
        <w:rPr>
          <w:szCs w:val="28"/>
        </w:rPr>
        <w:t>el artículo 257A superior</w:t>
      </w:r>
      <w:r w:rsidR="00FC7FA7" w:rsidRPr="00B866F4">
        <w:rPr>
          <w:szCs w:val="28"/>
        </w:rPr>
        <w:t>,</w:t>
      </w:r>
      <w:r w:rsidR="00911F90" w:rsidRPr="00B866F4">
        <w:rPr>
          <w:szCs w:val="28"/>
        </w:rPr>
        <w:t xml:space="preserve"> para su entendimiento final</w:t>
      </w:r>
      <w:r w:rsidR="008937A7" w:rsidRPr="00B866F4">
        <w:rPr>
          <w:szCs w:val="28"/>
        </w:rPr>
        <w:t>.</w:t>
      </w:r>
      <w:r w:rsidR="00DE577B" w:rsidRPr="00B866F4">
        <w:rPr>
          <w:szCs w:val="28"/>
        </w:rPr>
        <w:t xml:space="preserve"> Estos </w:t>
      </w:r>
      <w:r w:rsidR="0065548F" w:rsidRPr="00B866F4">
        <w:rPr>
          <w:szCs w:val="28"/>
        </w:rPr>
        <w:t>aspectos</w:t>
      </w:r>
      <w:r w:rsidR="00DE577B" w:rsidRPr="00B866F4">
        <w:rPr>
          <w:szCs w:val="28"/>
        </w:rPr>
        <w:t xml:space="preserve">, que </w:t>
      </w:r>
      <w:r w:rsidR="004F6F09" w:rsidRPr="00B866F4">
        <w:rPr>
          <w:szCs w:val="28"/>
        </w:rPr>
        <w:t xml:space="preserve">forman parte de la </w:t>
      </w:r>
      <w:r w:rsidR="004F6F09" w:rsidRPr="00B866F4">
        <w:rPr>
          <w:i/>
          <w:iCs/>
          <w:szCs w:val="28"/>
        </w:rPr>
        <w:t>ratio decidendi</w:t>
      </w:r>
      <w:r w:rsidR="004F6F09" w:rsidRPr="00B866F4">
        <w:rPr>
          <w:szCs w:val="28"/>
        </w:rPr>
        <w:t xml:space="preserve"> de </w:t>
      </w:r>
      <w:r w:rsidR="00071F24" w:rsidRPr="00B866F4">
        <w:rPr>
          <w:szCs w:val="28"/>
        </w:rPr>
        <w:t>esa</w:t>
      </w:r>
      <w:r w:rsidR="004F6F09" w:rsidRPr="00B866F4">
        <w:rPr>
          <w:szCs w:val="28"/>
        </w:rPr>
        <w:t xml:space="preserve"> providencia</w:t>
      </w:r>
      <w:r w:rsidR="00E00A7D" w:rsidRPr="00B866F4">
        <w:rPr>
          <w:szCs w:val="28"/>
        </w:rPr>
        <w:t>,</w:t>
      </w:r>
      <w:r w:rsidR="004F6F09" w:rsidRPr="00B866F4">
        <w:rPr>
          <w:szCs w:val="28"/>
        </w:rPr>
        <w:t xml:space="preserve"> y que están inescindiblemente ligados a </w:t>
      </w:r>
      <w:r w:rsidRPr="00B866F4">
        <w:rPr>
          <w:szCs w:val="28"/>
        </w:rPr>
        <w:t>su</w:t>
      </w:r>
      <w:r w:rsidR="004F6F09" w:rsidRPr="00B866F4">
        <w:rPr>
          <w:szCs w:val="28"/>
        </w:rPr>
        <w:t xml:space="preserve"> parte resolutiva</w:t>
      </w:r>
      <w:r w:rsidR="00A80BDC" w:rsidRPr="00B866F4">
        <w:rPr>
          <w:rStyle w:val="Refdenotaalpie"/>
          <w:szCs w:val="28"/>
        </w:rPr>
        <w:footnoteReference w:id="373"/>
      </w:r>
      <w:r w:rsidR="00DE577B" w:rsidRPr="00B866F4">
        <w:rPr>
          <w:szCs w:val="28"/>
        </w:rPr>
        <w:t>, determinan el alcance que el intérprete deb</w:t>
      </w:r>
      <w:r w:rsidRPr="00B866F4">
        <w:rPr>
          <w:szCs w:val="28"/>
        </w:rPr>
        <w:t>ía</w:t>
      </w:r>
      <w:r w:rsidR="00DE577B" w:rsidRPr="00B866F4">
        <w:rPr>
          <w:szCs w:val="28"/>
        </w:rPr>
        <w:t xml:space="preserve"> dar</w:t>
      </w:r>
      <w:r w:rsidRPr="00B866F4">
        <w:rPr>
          <w:szCs w:val="28"/>
        </w:rPr>
        <w:t xml:space="preserve">le </w:t>
      </w:r>
      <w:r w:rsidR="00DE577B" w:rsidRPr="00B866F4">
        <w:rPr>
          <w:szCs w:val="28"/>
        </w:rPr>
        <w:t>a estas normas, en los siguientes términos</w:t>
      </w:r>
      <w:r w:rsidR="004F6F09" w:rsidRPr="00B866F4">
        <w:rPr>
          <w:szCs w:val="28"/>
        </w:rPr>
        <w:t xml:space="preserve">:  </w:t>
      </w:r>
    </w:p>
    <w:p w14:paraId="36F9E45D" w14:textId="77777777" w:rsidR="004F6F09" w:rsidRPr="00885E46" w:rsidRDefault="004F6F09" w:rsidP="00763D25">
      <w:pPr>
        <w:pStyle w:val="Prrafodelista"/>
        <w:spacing w:line="276" w:lineRule="auto"/>
        <w:ind w:left="284"/>
        <w:contextualSpacing/>
        <w:jc w:val="both"/>
        <w:rPr>
          <w:bCs/>
          <w:sz w:val="26"/>
          <w:szCs w:val="26"/>
        </w:rPr>
      </w:pPr>
    </w:p>
    <w:p w14:paraId="2BBA8D24" w14:textId="77777777" w:rsidR="002A2882" w:rsidRPr="00763D25" w:rsidRDefault="002A2882" w:rsidP="00763D25">
      <w:pPr>
        <w:pStyle w:val="Prrafodelista"/>
        <w:ind w:left="284"/>
        <w:jc w:val="both"/>
        <w:rPr>
          <w:i/>
          <w:iCs/>
          <w:sz w:val="26"/>
          <w:szCs w:val="26"/>
          <w:lang w:val="es-ES_tradnl"/>
        </w:rPr>
      </w:pPr>
      <w:r w:rsidRPr="00763D25">
        <w:rPr>
          <w:i/>
          <w:iCs/>
          <w:sz w:val="26"/>
          <w:szCs w:val="26"/>
          <w:lang w:val="es-ES_tradnl"/>
        </w:rPr>
        <w:t xml:space="preserve">“[L]a Sala advierte que, de la conjunción del anterior conjunto de decisiones, sin ninguna consideración adicional, </w:t>
      </w:r>
      <w:r w:rsidRPr="00763D25">
        <w:rPr>
          <w:b/>
          <w:bCs/>
          <w:i/>
          <w:iCs/>
          <w:sz w:val="26"/>
          <w:szCs w:val="26"/>
          <w:u w:val="single"/>
          <w:lang w:val="es-ES_tradnl"/>
        </w:rPr>
        <w:t>se desprendería un desajuste en la armonía del texto constitucional</w:t>
      </w:r>
      <w:r w:rsidRPr="00763D25">
        <w:rPr>
          <w:i/>
          <w:iCs/>
          <w:sz w:val="26"/>
          <w:szCs w:val="26"/>
          <w:u w:val="single"/>
          <w:lang w:val="es-ES_tradnl"/>
        </w:rPr>
        <w:t xml:space="preserve">, como quiera que </w:t>
      </w:r>
      <w:r w:rsidRPr="00763D25">
        <w:rPr>
          <w:b/>
          <w:bCs/>
          <w:i/>
          <w:iCs/>
          <w:sz w:val="26"/>
          <w:szCs w:val="26"/>
          <w:u w:val="single"/>
          <w:lang w:val="es-ES_tradnl"/>
        </w:rPr>
        <w:t>la reviviscencia de algunas disposiciones originales de la Carta</w:t>
      </w:r>
      <w:r w:rsidRPr="00763D25">
        <w:rPr>
          <w:i/>
          <w:iCs/>
          <w:sz w:val="26"/>
          <w:szCs w:val="26"/>
          <w:u w:val="single"/>
          <w:lang w:val="es-ES_tradnl"/>
        </w:rPr>
        <w:t xml:space="preserve"> </w:t>
      </w:r>
      <w:r w:rsidR="004F6F09" w:rsidRPr="00763D25">
        <w:rPr>
          <w:i/>
          <w:iCs/>
          <w:sz w:val="26"/>
          <w:szCs w:val="26"/>
          <w:u w:val="single"/>
          <w:lang w:val="es-ES_tradnl"/>
        </w:rPr>
        <w:t xml:space="preserve">[artículo 257] </w:t>
      </w:r>
      <w:r w:rsidRPr="00763D25">
        <w:rPr>
          <w:i/>
          <w:iCs/>
          <w:sz w:val="26"/>
          <w:szCs w:val="26"/>
          <w:u w:val="single"/>
          <w:lang w:val="es-ES_tradnl"/>
        </w:rPr>
        <w:t>y la permanencia de otras introducidas por la reforma</w:t>
      </w:r>
      <w:r w:rsidR="004F6F09" w:rsidRPr="00763D25">
        <w:rPr>
          <w:i/>
          <w:iCs/>
          <w:sz w:val="26"/>
          <w:szCs w:val="26"/>
          <w:u w:val="single"/>
          <w:lang w:val="es-ES_tradnl"/>
        </w:rPr>
        <w:t xml:space="preserve"> [251-A]</w:t>
      </w:r>
      <w:r w:rsidRPr="00763D25">
        <w:rPr>
          <w:i/>
          <w:iCs/>
          <w:sz w:val="26"/>
          <w:szCs w:val="26"/>
          <w:u w:val="single"/>
          <w:lang w:val="es-ES_tradnl"/>
        </w:rPr>
        <w:t xml:space="preserve">, tendría como consecuencia que surjan: (i) incoherencias en la redacción de la norma fundamental, (ii) </w:t>
      </w:r>
      <w:r w:rsidRPr="00763D25">
        <w:rPr>
          <w:b/>
          <w:bCs/>
          <w:i/>
          <w:iCs/>
          <w:sz w:val="26"/>
          <w:szCs w:val="26"/>
          <w:u w:val="single"/>
          <w:lang w:val="es-ES_tradnl"/>
        </w:rPr>
        <w:t>vacíos aparentes en la distribución de las competencias de los órganos constituidos,</w:t>
      </w:r>
      <w:r w:rsidRPr="00763D25">
        <w:rPr>
          <w:i/>
          <w:iCs/>
          <w:sz w:val="26"/>
          <w:szCs w:val="26"/>
          <w:u w:val="single"/>
          <w:lang w:val="es-ES_tradnl"/>
        </w:rPr>
        <w:t xml:space="preserve"> </w:t>
      </w:r>
      <w:r w:rsidRPr="00763D25">
        <w:rPr>
          <w:i/>
          <w:iCs/>
          <w:sz w:val="26"/>
          <w:szCs w:val="26"/>
          <w:lang w:val="es-ES_tradnl"/>
        </w:rPr>
        <w:t>y (iii) duplicidades en la numeración de los artículos superiores.</w:t>
      </w:r>
    </w:p>
    <w:p w14:paraId="2EC57140" w14:textId="77777777" w:rsidR="002A2882" w:rsidRPr="00763D25" w:rsidRDefault="002A2882" w:rsidP="00763D25">
      <w:pPr>
        <w:pStyle w:val="Prrafodelista"/>
        <w:ind w:left="284"/>
        <w:jc w:val="both"/>
        <w:rPr>
          <w:i/>
          <w:iCs/>
          <w:sz w:val="26"/>
          <w:szCs w:val="26"/>
          <w:lang w:val="es-ES_tradnl"/>
        </w:rPr>
      </w:pPr>
    </w:p>
    <w:p w14:paraId="67966F8D" w14:textId="77777777" w:rsidR="002A2882" w:rsidRPr="00763D25" w:rsidRDefault="002A2882" w:rsidP="00763D25">
      <w:pPr>
        <w:pStyle w:val="Prrafodelista"/>
        <w:ind w:left="284"/>
        <w:jc w:val="both"/>
        <w:rPr>
          <w:i/>
          <w:iCs/>
          <w:sz w:val="26"/>
          <w:szCs w:val="26"/>
          <w:u w:val="single"/>
          <w:lang w:val="es-ES_tradnl"/>
        </w:rPr>
      </w:pPr>
      <w:r w:rsidRPr="00763D25">
        <w:rPr>
          <w:i/>
          <w:iCs/>
          <w:sz w:val="26"/>
          <w:szCs w:val="26"/>
          <w:lang w:val="es-ES_tradnl"/>
        </w:rPr>
        <w:t xml:space="preserve">En ese sentido, este Tribunal </w:t>
      </w:r>
      <w:r w:rsidRPr="00763D25">
        <w:rPr>
          <w:b/>
          <w:bCs/>
          <w:i/>
          <w:iCs/>
          <w:sz w:val="26"/>
          <w:szCs w:val="26"/>
          <w:lang w:val="es-ES_tradnl"/>
        </w:rPr>
        <w:t xml:space="preserve">con el fin de cumplir con su función de guardar la integridad de la Constitución (artículo 241 superior), estima pertinente </w:t>
      </w:r>
      <w:r w:rsidRPr="00763D25">
        <w:rPr>
          <w:b/>
          <w:bCs/>
          <w:i/>
          <w:iCs/>
          <w:sz w:val="26"/>
          <w:szCs w:val="26"/>
          <w:u w:val="single"/>
          <w:lang w:val="es-ES_tradnl"/>
        </w:rPr>
        <w:t>adoptar una serie de medidas</w:t>
      </w:r>
      <w:r w:rsidR="004F6F09" w:rsidRPr="00763D25">
        <w:rPr>
          <w:b/>
          <w:bCs/>
          <w:i/>
          <w:iCs/>
          <w:sz w:val="26"/>
          <w:szCs w:val="26"/>
          <w:lang w:val="es-ES_tradnl"/>
        </w:rPr>
        <w:t xml:space="preserve"> [</w:t>
      </w:r>
      <w:r w:rsidR="00E00A7D" w:rsidRPr="00763D25">
        <w:rPr>
          <w:b/>
          <w:bCs/>
          <w:i/>
          <w:iCs/>
          <w:sz w:val="26"/>
          <w:szCs w:val="26"/>
          <w:lang w:val="es-ES_tradnl"/>
        </w:rPr>
        <w:t>e</w:t>
      </w:r>
      <w:r w:rsidR="004F6F09" w:rsidRPr="00763D25">
        <w:rPr>
          <w:b/>
          <w:bCs/>
          <w:i/>
          <w:iCs/>
          <w:sz w:val="26"/>
          <w:szCs w:val="26"/>
          <w:lang w:val="es-ES_tradnl"/>
        </w:rPr>
        <w:t>fectos]</w:t>
      </w:r>
      <w:r w:rsidRPr="00763D25">
        <w:rPr>
          <w:b/>
          <w:bCs/>
          <w:i/>
          <w:iCs/>
          <w:sz w:val="26"/>
          <w:szCs w:val="26"/>
          <w:lang w:val="es-ES_tradnl"/>
        </w:rPr>
        <w:t xml:space="preserve"> para impedir que la decisión de inexequibilidad parcial</w:t>
      </w:r>
      <w:r w:rsidR="004F6F09" w:rsidRPr="00763D25">
        <w:rPr>
          <w:b/>
          <w:bCs/>
          <w:i/>
          <w:iCs/>
          <w:sz w:val="26"/>
          <w:szCs w:val="26"/>
          <w:lang w:val="es-ES_tradnl"/>
        </w:rPr>
        <w:t xml:space="preserve"> </w:t>
      </w:r>
      <w:r w:rsidR="004F6F09" w:rsidRPr="00763D25">
        <w:rPr>
          <w:i/>
          <w:iCs/>
          <w:sz w:val="26"/>
          <w:szCs w:val="26"/>
          <w:lang w:val="es-ES_tradnl"/>
        </w:rPr>
        <w:t>[</w:t>
      </w:r>
      <w:r w:rsidR="00185224" w:rsidRPr="00763D25">
        <w:rPr>
          <w:i/>
          <w:iCs/>
          <w:sz w:val="26"/>
          <w:szCs w:val="26"/>
          <w:lang w:val="es-ES_tradnl"/>
        </w:rPr>
        <w:t>ya que h</w:t>
      </w:r>
      <w:r w:rsidR="004F6F09" w:rsidRPr="00763D25">
        <w:rPr>
          <w:i/>
          <w:iCs/>
          <w:sz w:val="26"/>
          <w:szCs w:val="26"/>
          <w:lang w:val="es-ES_tradnl"/>
        </w:rPr>
        <w:t>ay normas que quedaron exequibles]</w:t>
      </w:r>
      <w:r w:rsidRPr="00763D25">
        <w:rPr>
          <w:i/>
          <w:iCs/>
          <w:sz w:val="26"/>
          <w:szCs w:val="26"/>
          <w:lang w:val="es-ES_tradnl"/>
        </w:rPr>
        <w:t xml:space="preserve"> </w:t>
      </w:r>
      <w:r w:rsidRPr="00763D25">
        <w:rPr>
          <w:b/>
          <w:bCs/>
          <w:i/>
          <w:iCs/>
          <w:sz w:val="26"/>
          <w:szCs w:val="26"/>
          <w:lang w:val="es-ES_tradnl"/>
        </w:rPr>
        <w:t>del Acto Legislativo 02 de 2015, produzca los aludidos efectos en el texto constitucional y sea factor de inseguridad jurídica, o incluso, de bloqueo constitucional</w:t>
      </w:r>
      <w:r w:rsidRPr="00763D25">
        <w:rPr>
          <w:i/>
          <w:iCs/>
          <w:sz w:val="26"/>
          <w:szCs w:val="26"/>
          <w:lang w:val="es-ES_tradnl"/>
        </w:rPr>
        <w:t xml:space="preserve">". </w:t>
      </w:r>
    </w:p>
    <w:p w14:paraId="1142631F" w14:textId="77777777" w:rsidR="002A2882" w:rsidRPr="00763D25" w:rsidRDefault="002A2882" w:rsidP="00763D25">
      <w:pPr>
        <w:pStyle w:val="Prrafodelista"/>
        <w:ind w:left="284"/>
        <w:jc w:val="both"/>
        <w:rPr>
          <w:i/>
          <w:iCs/>
          <w:sz w:val="26"/>
          <w:szCs w:val="26"/>
          <w:lang w:val="es-ES_tradnl"/>
        </w:rPr>
      </w:pPr>
    </w:p>
    <w:p w14:paraId="3AE14925" w14:textId="77777777" w:rsidR="002A2882" w:rsidRPr="00763D25" w:rsidRDefault="002A2882" w:rsidP="00763D25">
      <w:pPr>
        <w:pStyle w:val="Prrafodelista"/>
        <w:ind w:left="284"/>
        <w:rPr>
          <w:i/>
          <w:iCs/>
          <w:sz w:val="26"/>
          <w:szCs w:val="26"/>
          <w:lang w:val="es-ES_tradnl"/>
        </w:rPr>
      </w:pPr>
      <w:r w:rsidRPr="00763D25">
        <w:rPr>
          <w:i/>
          <w:iCs/>
          <w:sz w:val="26"/>
          <w:szCs w:val="26"/>
          <w:lang w:val="es-ES_tradnl"/>
        </w:rPr>
        <w:t xml:space="preserve">(…) </w:t>
      </w:r>
    </w:p>
    <w:p w14:paraId="6FBFE2B6" w14:textId="77777777" w:rsidR="002A2882" w:rsidRPr="00763D25" w:rsidRDefault="002A2882" w:rsidP="00763D25">
      <w:pPr>
        <w:pStyle w:val="Prrafodelista"/>
        <w:ind w:left="284"/>
        <w:rPr>
          <w:i/>
          <w:iCs/>
          <w:sz w:val="26"/>
          <w:szCs w:val="26"/>
          <w:lang w:val="es-ES_tradnl"/>
        </w:rPr>
      </w:pPr>
    </w:p>
    <w:p w14:paraId="2F694AE4" w14:textId="77777777" w:rsidR="002A2882" w:rsidRPr="00763D25" w:rsidRDefault="002A2882" w:rsidP="00763D25">
      <w:pPr>
        <w:shd w:val="clear" w:color="auto" w:fill="FFFFFF"/>
        <w:ind w:left="284"/>
        <w:jc w:val="both"/>
        <w:rPr>
          <w:i/>
          <w:iCs/>
          <w:sz w:val="26"/>
          <w:szCs w:val="26"/>
          <w:lang w:val="es-CO" w:eastAsia="es-CO"/>
        </w:rPr>
      </w:pPr>
      <w:r w:rsidRPr="00763D25">
        <w:rPr>
          <w:i/>
          <w:iCs/>
          <w:sz w:val="26"/>
          <w:szCs w:val="26"/>
          <w:u w:val="single"/>
          <w:lang w:val="es-ES_tradnl" w:eastAsia="es-CO"/>
        </w:rPr>
        <w:t>"[S]</w:t>
      </w:r>
      <w:r w:rsidRPr="00763D25">
        <w:rPr>
          <w:i/>
          <w:iCs/>
          <w:sz w:val="26"/>
          <w:szCs w:val="26"/>
          <w:u w:val="single"/>
          <w:lang w:val="es-CO" w:eastAsia="es-CO"/>
        </w:rPr>
        <w:t xml:space="preserve">e declarará que en las disposiciones superiores a las que tales artículos aluden, (i) </w:t>
      </w:r>
      <w:r w:rsidRPr="00763D25">
        <w:rPr>
          <w:b/>
          <w:bCs/>
          <w:i/>
          <w:iCs/>
          <w:sz w:val="26"/>
          <w:szCs w:val="26"/>
          <w:u w:val="single"/>
          <w:lang w:val="es-CO" w:eastAsia="es-CO"/>
        </w:rPr>
        <w:t>La expresión “Consejo de Gobierno Judicial” se sustituye por “Consejo Superior de la Judicatura”</w:t>
      </w:r>
      <w:r w:rsidRPr="00763D25">
        <w:rPr>
          <w:i/>
          <w:iCs/>
          <w:sz w:val="26"/>
          <w:szCs w:val="26"/>
          <w:u w:val="single"/>
          <w:lang w:val="es-CO" w:eastAsia="es-CO"/>
        </w:rPr>
        <w:t xml:space="preserve"> y, (ii) </w:t>
      </w:r>
      <w:r w:rsidR="00185224" w:rsidRPr="00763D25">
        <w:rPr>
          <w:b/>
          <w:bCs/>
          <w:i/>
          <w:iCs/>
          <w:sz w:val="26"/>
          <w:szCs w:val="26"/>
          <w:u w:val="single"/>
          <w:lang w:val="es-CO" w:eastAsia="es-CO"/>
        </w:rPr>
        <w:t>s</w:t>
      </w:r>
      <w:r w:rsidRPr="00763D25">
        <w:rPr>
          <w:b/>
          <w:bCs/>
          <w:i/>
          <w:iCs/>
          <w:sz w:val="26"/>
          <w:szCs w:val="26"/>
          <w:u w:val="single"/>
          <w:lang w:val="es-CO" w:eastAsia="es-CO"/>
        </w:rPr>
        <w:t>e suprime la expresión “y adelantada por la Gerencia de la Rama Judicial”.</w:t>
      </w:r>
    </w:p>
    <w:p w14:paraId="756AE085" w14:textId="77777777" w:rsidR="00763D25" w:rsidRDefault="002A2882" w:rsidP="00763D25">
      <w:pPr>
        <w:shd w:val="clear" w:color="auto" w:fill="FFFFFF"/>
        <w:ind w:left="284"/>
        <w:jc w:val="both"/>
        <w:rPr>
          <w:b/>
          <w:bCs/>
          <w:i/>
          <w:iCs/>
          <w:sz w:val="26"/>
          <w:szCs w:val="26"/>
          <w:u w:val="single"/>
          <w:lang w:val="es-CO" w:eastAsia="es-CO"/>
        </w:rPr>
      </w:pPr>
      <w:r w:rsidRPr="00763D25">
        <w:rPr>
          <w:i/>
          <w:iCs/>
          <w:sz w:val="26"/>
          <w:szCs w:val="26"/>
          <w:lang w:val="es-CO" w:eastAsia="es-CO"/>
        </w:rPr>
        <w:t>Al respecto, la Sala aclara que esta determinación, además de conservar la integridad de la Constitución,</w:t>
      </w:r>
      <w:r w:rsidRPr="00763D25">
        <w:rPr>
          <w:b/>
          <w:bCs/>
          <w:i/>
          <w:iCs/>
          <w:sz w:val="26"/>
          <w:szCs w:val="26"/>
          <w:u w:val="single"/>
          <w:lang w:val="es-CO" w:eastAsia="es-CO"/>
        </w:rPr>
        <w:t xml:space="preserve"> pretende salvaguardar el espíritu de las disposiciones de la reforma que no son declaradas inexequibles, pues </w:t>
      </w:r>
      <w:r w:rsidRPr="00763D25">
        <w:rPr>
          <w:i/>
          <w:iCs/>
          <w:sz w:val="26"/>
          <w:szCs w:val="26"/>
          <w:lang w:val="es-CO" w:eastAsia="es-CO"/>
        </w:rPr>
        <w:t>de no hacerse dichas precisiones, ante la expulsión del ordenamiento jurídico de los artículos que consagran el Consejo de Gobierno Judicial y la Gerencia de la Rama Judicial,</w:t>
      </w:r>
      <w:r w:rsidRPr="00763D25">
        <w:rPr>
          <w:b/>
          <w:bCs/>
          <w:i/>
          <w:iCs/>
          <w:sz w:val="26"/>
          <w:szCs w:val="26"/>
          <w:u w:val="single"/>
          <w:lang w:val="es-CO" w:eastAsia="es-CO"/>
        </w:rPr>
        <w:t xml:space="preserve"> no sería posible</w:t>
      </w:r>
      <w:r w:rsidRPr="00763D25">
        <w:rPr>
          <w:i/>
          <w:iCs/>
          <w:sz w:val="26"/>
          <w:szCs w:val="26"/>
          <w:lang w:val="es-CO" w:eastAsia="es-CO"/>
        </w:rPr>
        <w:t xml:space="preserve"> (i) adelantar el proceso de convocatoria y elaboración de las listas de elegibles para la conformación de la Comisión de Aforados (Artículo 8 del Acto Legislativo 02 de 2015, el cual adiciona el artículo 178A al texto de la Constitución</w:t>
      </w:r>
      <w:r w:rsidRPr="00763D25">
        <w:rPr>
          <w:rStyle w:val="Refdenotaalpie"/>
          <w:i/>
          <w:iCs/>
          <w:sz w:val="26"/>
          <w:szCs w:val="26"/>
          <w:lang w:val="es-CO" w:eastAsia="es-CO"/>
        </w:rPr>
        <w:footnoteReference w:id="374"/>
      </w:r>
      <w:r w:rsidRPr="00763D25">
        <w:rPr>
          <w:i/>
          <w:iCs/>
          <w:sz w:val="26"/>
          <w:szCs w:val="26"/>
          <w:lang w:val="es-CO" w:eastAsia="es-CO"/>
        </w:rPr>
        <w:t>), ni, (ii) Adelantar el proceso de convocatoria y elaboración de las listas de elegibles para la conformación de la Corte Suprema de Justicia y del Consejo de Estado (Artículo 11 del Acto Legislativo 02 de 2015, el cual modifica el artículo 231 superior</w:t>
      </w:r>
      <w:r w:rsidRPr="00763D25">
        <w:rPr>
          <w:rStyle w:val="Refdenotaalpie"/>
          <w:i/>
          <w:iCs/>
          <w:sz w:val="26"/>
          <w:szCs w:val="26"/>
          <w:lang w:val="es-CO" w:eastAsia="es-CO"/>
        </w:rPr>
        <w:footnoteReference w:id="375"/>
      </w:r>
      <w:r w:rsidRPr="00763D25">
        <w:rPr>
          <w:i/>
          <w:iCs/>
          <w:sz w:val="26"/>
          <w:szCs w:val="26"/>
          <w:lang w:val="es-CO" w:eastAsia="es-CO"/>
        </w:rPr>
        <w:t>), ni, finalmente,</w:t>
      </w:r>
      <w:r w:rsidRPr="00763D25">
        <w:rPr>
          <w:b/>
          <w:bCs/>
          <w:i/>
          <w:iCs/>
          <w:sz w:val="26"/>
          <w:szCs w:val="26"/>
          <w:lang w:val="es-CO" w:eastAsia="es-CO"/>
        </w:rPr>
        <w:t xml:space="preserve"> (iii) </w:t>
      </w:r>
      <w:r w:rsidRPr="00763D25">
        <w:rPr>
          <w:b/>
          <w:bCs/>
          <w:i/>
          <w:iCs/>
          <w:sz w:val="26"/>
          <w:szCs w:val="26"/>
          <w:u w:val="single"/>
          <w:lang w:val="es-CO" w:eastAsia="es-CO"/>
        </w:rPr>
        <w:t>Adelantar el proceso de convocatoria y elaboración de las listas de elegibles para la conformación de la Comisión Nacional de Disciplina Judicial (Artículo 19 del Acto Legislativo 02 de 2015, que adiciona el artículo 257A al texto de la Carta Política</w:t>
      </w:r>
      <w:r w:rsidRPr="00763D25">
        <w:rPr>
          <w:rStyle w:val="Refdenotaalpie"/>
          <w:b/>
          <w:bCs/>
          <w:i/>
          <w:iCs/>
          <w:sz w:val="26"/>
          <w:szCs w:val="26"/>
          <w:u w:val="single"/>
          <w:lang w:val="es-CO" w:eastAsia="es-CO"/>
        </w:rPr>
        <w:footnoteReference w:id="376"/>
      </w:r>
      <w:r w:rsidRPr="00763D25">
        <w:rPr>
          <w:b/>
          <w:bCs/>
          <w:i/>
          <w:iCs/>
          <w:sz w:val="26"/>
          <w:szCs w:val="26"/>
          <w:u w:val="single"/>
          <w:lang w:val="es-CO" w:eastAsia="es-CO"/>
        </w:rPr>
        <w:t>).</w:t>
      </w:r>
    </w:p>
    <w:p w14:paraId="20344A66" w14:textId="77777777" w:rsidR="00763D25" w:rsidRPr="00763D25" w:rsidRDefault="00763D25" w:rsidP="00763D25">
      <w:pPr>
        <w:shd w:val="clear" w:color="auto" w:fill="FFFFFF"/>
        <w:ind w:left="284"/>
        <w:jc w:val="both"/>
        <w:rPr>
          <w:b/>
          <w:bCs/>
          <w:i/>
          <w:iCs/>
          <w:sz w:val="26"/>
          <w:szCs w:val="26"/>
          <w:u w:val="single"/>
          <w:lang w:val="es-CO" w:eastAsia="es-CO"/>
        </w:rPr>
      </w:pPr>
    </w:p>
    <w:p w14:paraId="1116FD1B" w14:textId="77777777" w:rsidR="009634EB" w:rsidRDefault="002A2882" w:rsidP="00763D25">
      <w:pPr>
        <w:shd w:val="clear" w:color="auto" w:fill="FFFFFF"/>
        <w:ind w:left="284"/>
        <w:jc w:val="both"/>
        <w:rPr>
          <w:b/>
          <w:bCs/>
          <w:i/>
          <w:iCs/>
          <w:sz w:val="26"/>
          <w:szCs w:val="26"/>
          <w:u w:val="single"/>
          <w:lang w:val="es-CO" w:eastAsia="es-CO"/>
        </w:rPr>
      </w:pPr>
      <w:r w:rsidRPr="00763D25">
        <w:rPr>
          <w:i/>
          <w:iCs/>
          <w:sz w:val="26"/>
          <w:szCs w:val="26"/>
          <w:lang w:val="es-CO" w:eastAsia="es-CO"/>
        </w:rPr>
        <w:t>Además</w:t>
      </w:r>
      <w:r w:rsidRPr="00763D25">
        <w:rPr>
          <w:b/>
          <w:bCs/>
          <w:i/>
          <w:iCs/>
          <w:sz w:val="26"/>
          <w:szCs w:val="26"/>
          <w:u w:val="single"/>
          <w:lang w:val="es-CO" w:eastAsia="es-CO"/>
        </w:rPr>
        <w:t xml:space="preserve">, </w:t>
      </w:r>
      <w:bookmarkStart w:id="41" w:name="_Hlk39268379"/>
      <w:r w:rsidRPr="00763D25">
        <w:rPr>
          <w:b/>
          <w:bCs/>
          <w:i/>
          <w:iCs/>
          <w:sz w:val="26"/>
          <w:szCs w:val="26"/>
          <w:u w:val="single"/>
          <w:lang w:val="es-CO" w:eastAsia="es-CO"/>
        </w:rPr>
        <w:t>la decisión de atribuirle al Consejo Superior de la Judicatura las funciones asignadas al Consejo de Gobierno Judicial y a la Gerencia de la Rama Judicial en relación con la conformación de las listas de elegibles</w:t>
      </w:r>
      <w:r w:rsidRPr="00763D25">
        <w:rPr>
          <w:i/>
          <w:iCs/>
          <w:sz w:val="26"/>
          <w:szCs w:val="26"/>
          <w:u w:val="single"/>
          <w:lang w:val="es-CO" w:eastAsia="es-CO"/>
        </w:rPr>
        <w:t xml:space="preserve"> </w:t>
      </w:r>
      <w:bookmarkEnd w:id="41"/>
      <w:r w:rsidRPr="00763D25">
        <w:rPr>
          <w:i/>
          <w:iCs/>
          <w:sz w:val="26"/>
          <w:szCs w:val="26"/>
          <w:u w:val="single"/>
          <w:lang w:val="es-CO" w:eastAsia="es-CO"/>
        </w:rPr>
        <w:t xml:space="preserve">de la Comisión de Aforados, la Corte Suprema de Justicia, el Consejo de Estado </w:t>
      </w:r>
      <w:r w:rsidRPr="00763D25">
        <w:rPr>
          <w:b/>
          <w:bCs/>
          <w:i/>
          <w:iCs/>
          <w:sz w:val="26"/>
          <w:szCs w:val="26"/>
          <w:u w:val="single"/>
          <w:lang w:val="es-CO" w:eastAsia="es-CO"/>
        </w:rPr>
        <w:t>y la Comisión Nacional de Disciplina Judicial, respeta la intención del constituyente derivado de que sea a los órganos de autogobierno judicial a quienes corresponda elaborar las listas para la selección de magistrados, sin perjuicio de que dicha función pueda ser atribuida posteriormente a otros órganos en una eventual reforma constitucional.</w:t>
      </w:r>
      <w:bookmarkStart w:id="42" w:name="_Hlk39268428"/>
    </w:p>
    <w:p w14:paraId="39F8A450" w14:textId="77777777" w:rsidR="00763D25" w:rsidRPr="00763D25" w:rsidRDefault="00763D25" w:rsidP="00763D25">
      <w:pPr>
        <w:shd w:val="clear" w:color="auto" w:fill="FFFFFF"/>
        <w:ind w:left="284"/>
        <w:jc w:val="both"/>
        <w:rPr>
          <w:i/>
          <w:iCs/>
          <w:sz w:val="26"/>
          <w:szCs w:val="26"/>
          <w:u w:val="single"/>
          <w:lang w:val="es-CO" w:eastAsia="es-CO"/>
        </w:rPr>
      </w:pPr>
    </w:p>
    <w:p w14:paraId="12C4710C" w14:textId="77777777" w:rsidR="002A2882" w:rsidRDefault="002A2882" w:rsidP="00763D25">
      <w:pPr>
        <w:shd w:val="clear" w:color="auto" w:fill="FFFFFF"/>
        <w:ind w:left="284"/>
        <w:jc w:val="both"/>
        <w:rPr>
          <w:i/>
          <w:iCs/>
          <w:sz w:val="26"/>
          <w:szCs w:val="26"/>
          <w:lang w:val="es-CO" w:eastAsia="es-CO"/>
        </w:rPr>
      </w:pPr>
      <w:r w:rsidRPr="00763D25">
        <w:rPr>
          <w:i/>
          <w:iCs/>
          <w:sz w:val="26"/>
          <w:szCs w:val="26"/>
          <w:lang w:val="es-CO" w:eastAsia="es-CO"/>
        </w:rPr>
        <w:t xml:space="preserve">En ese sentido, se resalta que </w:t>
      </w:r>
      <w:r w:rsidRPr="00763D25">
        <w:rPr>
          <w:b/>
          <w:bCs/>
          <w:i/>
          <w:iCs/>
          <w:sz w:val="26"/>
          <w:szCs w:val="26"/>
          <w:u w:val="single"/>
          <w:lang w:val="es-CO" w:eastAsia="es-CO"/>
        </w:rPr>
        <w:t>la decisión de la Corte respeta la voluntad de la reforma</w:t>
      </w:r>
      <w:r w:rsidRPr="00763D25">
        <w:rPr>
          <w:i/>
          <w:iCs/>
          <w:sz w:val="26"/>
          <w:szCs w:val="26"/>
          <w:lang w:val="es-CO" w:eastAsia="es-CO"/>
        </w:rPr>
        <w:t xml:space="preserve"> de que </w:t>
      </w:r>
      <w:r w:rsidRPr="00763D25">
        <w:rPr>
          <w:b/>
          <w:bCs/>
          <w:i/>
          <w:iCs/>
          <w:sz w:val="26"/>
          <w:szCs w:val="26"/>
          <w:u w:val="single"/>
          <w:lang w:val="es-CO" w:eastAsia="es-CO"/>
        </w:rPr>
        <w:t>la conformación de las listas esté precedida por una convocatoria pública reglada y de que sea otro órgano distinto al de autogobierno judicial el que decida finalmente la elección de los magistrados, puesto que el Consejo Superior de la Judicatura será el encargado de adelantar el proceso de selección de los candidatos para el respectivo cargo</w:t>
      </w:r>
      <w:r w:rsidRPr="00763D25">
        <w:rPr>
          <w:b/>
          <w:bCs/>
          <w:i/>
          <w:iCs/>
          <w:sz w:val="26"/>
          <w:szCs w:val="26"/>
          <w:lang w:val="es-CO" w:eastAsia="es-CO"/>
        </w:rPr>
        <w:t>,</w:t>
      </w:r>
      <w:r w:rsidRPr="00763D25">
        <w:rPr>
          <w:i/>
          <w:iCs/>
          <w:sz w:val="26"/>
          <w:szCs w:val="26"/>
          <w:lang w:val="es-CO" w:eastAsia="es-CO"/>
        </w:rPr>
        <w:t xml:space="preserve"> para que sean el Congreso de la República, la Corte Suprema de Justicia y el Consejo de Estado quienes determinen la persona que ejercerá la magistratura.</w:t>
      </w:r>
    </w:p>
    <w:p w14:paraId="1531A6FD" w14:textId="77777777" w:rsidR="00763D25" w:rsidRPr="00763D25" w:rsidRDefault="00763D25" w:rsidP="00763D25">
      <w:pPr>
        <w:shd w:val="clear" w:color="auto" w:fill="FFFFFF"/>
        <w:ind w:left="284"/>
        <w:jc w:val="both"/>
        <w:rPr>
          <w:i/>
          <w:iCs/>
          <w:sz w:val="26"/>
          <w:szCs w:val="26"/>
          <w:u w:val="single"/>
          <w:lang w:val="es-CO" w:eastAsia="es-CO"/>
        </w:rPr>
      </w:pPr>
    </w:p>
    <w:bookmarkEnd w:id="42"/>
    <w:p w14:paraId="2CDFF248" w14:textId="77777777" w:rsidR="002A2882" w:rsidRDefault="002A2882" w:rsidP="00763D25">
      <w:pPr>
        <w:shd w:val="clear" w:color="auto" w:fill="FFFFFF"/>
        <w:ind w:left="284"/>
        <w:jc w:val="both"/>
        <w:rPr>
          <w:b/>
          <w:bCs/>
          <w:i/>
          <w:iCs/>
          <w:sz w:val="26"/>
          <w:szCs w:val="26"/>
          <w:lang w:val="es-CO" w:eastAsia="es-CO"/>
        </w:rPr>
      </w:pPr>
      <w:r w:rsidRPr="00763D25">
        <w:rPr>
          <w:b/>
          <w:bCs/>
          <w:i/>
          <w:iCs/>
          <w:sz w:val="26"/>
          <w:szCs w:val="26"/>
          <w:u w:val="single"/>
          <w:lang w:val="es-CO" w:eastAsia="es-CO"/>
        </w:rPr>
        <w:t xml:space="preserve">Así las cosas, </w:t>
      </w:r>
      <w:r w:rsidRPr="00763D25">
        <w:rPr>
          <w:i/>
          <w:iCs/>
          <w:sz w:val="26"/>
          <w:szCs w:val="26"/>
          <w:lang w:val="es-CO" w:eastAsia="es-CO"/>
        </w:rPr>
        <w:t>los artículos 178A, 231</w:t>
      </w:r>
      <w:r w:rsidRPr="00763D25">
        <w:rPr>
          <w:b/>
          <w:bCs/>
          <w:i/>
          <w:iCs/>
          <w:sz w:val="26"/>
          <w:szCs w:val="26"/>
          <w:u w:val="single"/>
          <w:lang w:val="es-CO" w:eastAsia="es-CO"/>
        </w:rPr>
        <w:t xml:space="preserve"> y 257A de la Constitución, en lo que respecta a las anteriores consideraciones, quedarán así</w:t>
      </w:r>
      <w:r w:rsidRPr="00763D25">
        <w:rPr>
          <w:b/>
          <w:bCs/>
          <w:i/>
          <w:iCs/>
          <w:sz w:val="26"/>
          <w:szCs w:val="26"/>
          <w:lang w:val="es-CO" w:eastAsia="es-CO"/>
        </w:rPr>
        <w:t>: </w:t>
      </w:r>
    </w:p>
    <w:p w14:paraId="265E7ABE" w14:textId="77777777" w:rsidR="00763D25" w:rsidRPr="00763D25" w:rsidRDefault="00763D25" w:rsidP="00763D25">
      <w:pPr>
        <w:shd w:val="clear" w:color="auto" w:fill="FFFFFF"/>
        <w:ind w:left="284"/>
        <w:jc w:val="both"/>
        <w:rPr>
          <w:b/>
          <w:bCs/>
          <w:i/>
          <w:iCs/>
          <w:sz w:val="26"/>
          <w:szCs w:val="26"/>
          <w:lang w:val="es-CO" w:eastAsia="es-CO"/>
        </w:rPr>
      </w:pPr>
    </w:p>
    <w:p w14:paraId="1197828C" w14:textId="77777777" w:rsidR="002A2882" w:rsidRPr="00763D25" w:rsidRDefault="002A2882" w:rsidP="00763D25">
      <w:pPr>
        <w:shd w:val="clear" w:color="auto" w:fill="FFFFFF"/>
        <w:ind w:left="284"/>
        <w:jc w:val="both"/>
        <w:rPr>
          <w:i/>
          <w:iCs/>
          <w:sz w:val="26"/>
          <w:szCs w:val="26"/>
          <w:lang w:val="es-CO" w:eastAsia="es-CO"/>
        </w:rPr>
      </w:pPr>
      <w:r w:rsidRPr="00763D25">
        <w:rPr>
          <w:i/>
          <w:iCs/>
          <w:sz w:val="26"/>
          <w:szCs w:val="26"/>
          <w:lang w:val="es-CO" w:eastAsia="es-CO"/>
        </w:rPr>
        <w:t>“Artículo 178A: (…) La Comisión estará conformada por cinco miembros, elegidos por el Congreso en Pleno para periodos personales de ocho años, de listas enviadas por el Consejo Superior de la Judicatura y elaboradas mediante convocatoria pública en los términos que disponga la ley (…).”</w:t>
      </w:r>
    </w:p>
    <w:p w14:paraId="7C77FF2F" w14:textId="77777777" w:rsidR="002A2882" w:rsidRPr="00763D25" w:rsidRDefault="002A2882" w:rsidP="00763D25">
      <w:pPr>
        <w:shd w:val="clear" w:color="auto" w:fill="FFFFFF"/>
        <w:ind w:left="284"/>
        <w:jc w:val="both"/>
        <w:rPr>
          <w:i/>
          <w:iCs/>
          <w:sz w:val="26"/>
          <w:szCs w:val="26"/>
          <w:lang w:val="es-CO" w:eastAsia="es-CO"/>
        </w:rPr>
      </w:pPr>
      <w:r w:rsidRPr="00763D25">
        <w:rPr>
          <w:i/>
          <w:iCs/>
          <w:sz w:val="26"/>
          <w:szCs w:val="26"/>
          <w:lang w:val="es-CO" w:eastAsia="es-CO"/>
        </w:rPr>
        <w:t> </w:t>
      </w:r>
    </w:p>
    <w:p w14:paraId="2285B579" w14:textId="77777777" w:rsidR="002A2882" w:rsidRPr="00763D25" w:rsidRDefault="002A2882" w:rsidP="00763D25">
      <w:pPr>
        <w:shd w:val="clear" w:color="auto" w:fill="FFFFFF"/>
        <w:ind w:left="284"/>
        <w:jc w:val="both"/>
        <w:rPr>
          <w:i/>
          <w:iCs/>
          <w:sz w:val="26"/>
          <w:szCs w:val="26"/>
          <w:lang w:val="es-CO" w:eastAsia="es-CO"/>
        </w:rPr>
      </w:pPr>
      <w:r w:rsidRPr="00763D25">
        <w:rPr>
          <w:i/>
          <w:iCs/>
          <w:sz w:val="26"/>
          <w:szCs w:val="26"/>
          <w:lang w:val="es-CO" w:eastAsia="es-CO"/>
        </w:rPr>
        <w:t>“Artículo 231. Los Magistrados de la Corte Suprema de Justicia y del Consejo de Estado serán elegidos por la respectiva Corporación, previa audiencia pública, de lista de diez elegibles enviada por el Consejo Superior de la Judicatura tras una convocatoria pública reglada de conformidad con la ley (…).”</w:t>
      </w:r>
    </w:p>
    <w:p w14:paraId="7E8F9F1F" w14:textId="77777777" w:rsidR="002A2882" w:rsidRPr="00763D25" w:rsidRDefault="002A2882" w:rsidP="00763D25">
      <w:pPr>
        <w:shd w:val="clear" w:color="auto" w:fill="FFFFFF"/>
        <w:ind w:left="284"/>
        <w:jc w:val="both"/>
        <w:rPr>
          <w:i/>
          <w:iCs/>
          <w:sz w:val="26"/>
          <w:szCs w:val="26"/>
          <w:lang w:val="es-CO" w:eastAsia="es-CO"/>
        </w:rPr>
      </w:pPr>
      <w:r w:rsidRPr="00763D25">
        <w:rPr>
          <w:i/>
          <w:iCs/>
          <w:sz w:val="26"/>
          <w:szCs w:val="26"/>
          <w:lang w:val="es-CO" w:eastAsia="es-CO"/>
        </w:rPr>
        <w:t> </w:t>
      </w:r>
    </w:p>
    <w:p w14:paraId="66D862FE" w14:textId="77777777" w:rsidR="002A2882" w:rsidRPr="00976C2A" w:rsidRDefault="002A2882" w:rsidP="00763D25">
      <w:pPr>
        <w:shd w:val="clear" w:color="auto" w:fill="FFFFFF"/>
        <w:ind w:left="284"/>
        <w:jc w:val="both"/>
        <w:rPr>
          <w:szCs w:val="28"/>
          <w:lang w:val="es-CO" w:eastAsia="es-CO"/>
        </w:rPr>
      </w:pPr>
      <w:r w:rsidRPr="00763D25">
        <w:rPr>
          <w:b/>
          <w:bCs/>
          <w:i/>
          <w:iCs/>
          <w:sz w:val="26"/>
          <w:szCs w:val="26"/>
          <w:u w:val="single"/>
          <w:lang w:val="es-CO" w:eastAsia="es-CO"/>
        </w:rPr>
        <w:t xml:space="preserve">“Artículo 257A. La Comisión Nacional de Disciplina Judicial ejercerá la función jurisdiccional disciplinaria sobre los funcionarios y empleados de la Rama Judicial. Estará conformada por siete Magistrados, cuatro de los cuales serán elegidos por el Congreso en Pleno de ternas enviadas por el Consejo Superior de la Judicatura previa convocatoria pública reglada, y tres de los cuales serán elegidos por el Congreso en Pleno de ternas enviadas por el Presidente de la República, previa convocatoria pública reglada. Tendrán periodos personales de ocho años, y deberán cumplir con los mismos requisitos exigidos para ser Magistrado de la Corte Suprema de Justicia </w:t>
      </w:r>
      <w:r w:rsidRPr="00763D25">
        <w:rPr>
          <w:b/>
          <w:bCs/>
          <w:i/>
          <w:iCs/>
          <w:sz w:val="26"/>
          <w:szCs w:val="26"/>
          <w:lang w:val="es-CO" w:eastAsia="es-CO"/>
        </w:rPr>
        <w:t>(…).</w:t>
      </w:r>
      <w:r w:rsidRPr="00763D25">
        <w:rPr>
          <w:rStyle w:val="Refdenotaalpie"/>
          <w:i/>
          <w:iCs/>
          <w:sz w:val="26"/>
          <w:szCs w:val="26"/>
          <w:lang w:val="es-CO" w:eastAsia="es-CO"/>
        </w:rPr>
        <w:footnoteReference w:id="377"/>
      </w:r>
      <w:r w:rsidRPr="00763D25">
        <w:rPr>
          <w:i/>
          <w:iCs/>
          <w:sz w:val="26"/>
          <w:szCs w:val="26"/>
          <w:lang w:val="es-CO" w:eastAsia="es-CO"/>
        </w:rPr>
        <w:t xml:space="preserve">” </w:t>
      </w:r>
      <w:r w:rsidRPr="00976C2A">
        <w:rPr>
          <w:szCs w:val="28"/>
          <w:lang w:val="es-CO" w:eastAsia="es-CO"/>
        </w:rPr>
        <w:t xml:space="preserve">(Las subrayas y negrillas </w:t>
      </w:r>
      <w:r w:rsidR="00563282" w:rsidRPr="00976C2A">
        <w:rPr>
          <w:szCs w:val="28"/>
          <w:lang w:val="es-CO" w:eastAsia="es-CO"/>
        </w:rPr>
        <w:t>no son</w:t>
      </w:r>
      <w:r w:rsidRPr="00976C2A">
        <w:rPr>
          <w:szCs w:val="28"/>
          <w:lang w:val="es-CO" w:eastAsia="es-CO"/>
        </w:rPr>
        <w:t xml:space="preserve"> original</w:t>
      </w:r>
      <w:r w:rsidR="00563282" w:rsidRPr="00976C2A">
        <w:rPr>
          <w:szCs w:val="28"/>
          <w:lang w:val="es-CO" w:eastAsia="es-CO"/>
        </w:rPr>
        <w:t>es</w:t>
      </w:r>
      <w:r w:rsidRPr="00976C2A">
        <w:rPr>
          <w:szCs w:val="28"/>
          <w:lang w:val="es-CO" w:eastAsia="es-CO"/>
        </w:rPr>
        <w:t>).</w:t>
      </w:r>
      <w:r w:rsidRPr="00976C2A">
        <w:rPr>
          <w:b/>
          <w:szCs w:val="28"/>
          <w:lang w:val="es-CO" w:eastAsia="es-CO"/>
        </w:rPr>
        <w:t xml:space="preserve"> </w:t>
      </w:r>
    </w:p>
    <w:p w14:paraId="165A987F" w14:textId="77777777" w:rsidR="00FC7FA7" w:rsidRPr="002E4477" w:rsidRDefault="00FC7FA7" w:rsidP="00763D25">
      <w:pPr>
        <w:pStyle w:val="Prrafodelista"/>
        <w:spacing w:line="276" w:lineRule="auto"/>
        <w:ind w:left="0"/>
        <w:contextualSpacing/>
        <w:jc w:val="both"/>
        <w:rPr>
          <w:bCs/>
          <w:szCs w:val="28"/>
        </w:rPr>
      </w:pPr>
    </w:p>
    <w:p w14:paraId="2C98FB08" w14:textId="77777777" w:rsidR="003D3E36" w:rsidRPr="00911F90" w:rsidRDefault="00C420D2" w:rsidP="00911F90">
      <w:pPr>
        <w:numPr>
          <w:ilvl w:val="0"/>
          <w:numId w:val="10"/>
        </w:numPr>
        <w:shd w:val="clear" w:color="auto" w:fill="FFFFFF"/>
        <w:jc w:val="both"/>
        <w:rPr>
          <w:szCs w:val="28"/>
        </w:rPr>
      </w:pPr>
      <w:r w:rsidRPr="003D6468">
        <w:rPr>
          <w:szCs w:val="28"/>
        </w:rPr>
        <w:t>E</w:t>
      </w:r>
      <w:r w:rsidR="00911F90" w:rsidRPr="003D6468">
        <w:rPr>
          <w:szCs w:val="28"/>
        </w:rPr>
        <w:t>n efecto, c</w:t>
      </w:r>
      <w:r w:rsidRPr="003D6468">
        <w:rPr>
          <w:szCs w:val="28"/>
        </w:rPr>
        <w:t>omo</w:t>
      </w:r>
      <w:r w:rsidR="003D3E36" w:rsidRPr="003D6468">
        <w:rPr>
          <w:szCs w:val="28"/>
        </w:rPr>
        <w:t xml:space="preserve"> se indicó con anterioridad</w:t>
      </w:r>
      <w:r w:rsidRPr="003D6468">
        <w:rPr>
          <w:szCs w:val="28"/>
        </w:rPr>
        <w:t xml:space="preserve"> en el análisis del fenómeno de la cosa juzgada constitucional</w:t>
      </w:r>
      <w:r w:rsidR="003D3E36" w:rsidRPr="003D6468">
        <w:rPr>
          <w:szCs w:val="28"/>
        </w:rPr>
        <w:t>, un</w:t>
      </w:r>
      <w:r w:rsidRPr="003D6468">
        <w:rPr>
          <w:szCs w:val="28"/>
        </w:rPr>
        <w:t>a</w:t>
      </w:r>
      <w:r w:rsidR="003D3E36" w:rsidRPr="003D6468">
        <w:rPr>
          <w:szCs w:val="28"/>
        </w:rPr>
        <w:t xml:space="preserve"> de</w:t>
      </w:r>
      <w:r w:rsidRPr="003D6468">
        <w:rPr>
          <w:szCs w:val="28"/>
        </w:rPr>
        <w:t xml:space="preserve"> las potestades </w:t>
      </w:r>
      <w:r w:rsidR="00763D25" w:rsidRPr="003D6468">
        <w:rPr>
          <w:szCs w:val="28"/>
        </w:rPr>
        <w:t xml:space="preserve">con las que cuenta </w:t>
      </w:r>
      <w:r w:rsidRPr="003D6468">
        <w:rPr>
          <w:szCs w:val="28"/>
        </w:rPr>
        <w:t xml:space="preserve">esta Corporación en su labor de guardiana de la Carta, es la </w:t>
      </w:r>
      <w:r w:rsidR="0065548F" w:rsidRPr="003D6468">
        <w:rPr>
          <w:szCs w:val="28"/>
        </w:rPr>
        <w:t xml:space="preserve">de </w:t>
      </w:r>
      <w:r w:rsidR="003D3E36" w:rsidRPr="003D6468">
        <w:rPr>
          <w:szCs w:val="28"/>
        </w:rPr>
        <w:t>modula</w:t>
      </w:r>
      <w:r w:rsidR="00911F90" w:rsidRPr="003D6468">
        <w:rPr>
          <w:szCs w:val="28"/>
        </w:rPr>
        <w:t>r</w:t>
      </w:r>
      <w:r w:rsidR="003D3E36" w:rsidRPr="003D6468">
        <w:rPr>
          <w:szCs w:val="28"/>
        </w:rPr>
        <w:t xml:space="preserve"> </w:t>
      </w:r>
      <w:r w:rsidR="00763D25" w:rsidRPr="003D6468">
        <w:rPr>
          <w:szCs w:val="28"/>
        </w:rPr>
        <w:t xml:space="preserve">los efectos de sus </w:t>
      </w:r>
      <w:r w:rsidR="003D3E36" w:rsidRPr="003D6468">
        <w:rPr>
          <w:szCs w:val="28"/>
        </w:rPr>
        <w:t>sentencias</w:t>
      </w:r>
      <w:r w:rsidR="00763D25" w:rsidRPr="003D6468">
        <w:rPr>
          <w:szCs w:val="28"/>
        </w:rPr>
        <w:t>, y por ejemplo, proferir sentencias interpretativas</w:t>
      </w:r>
      <w:r w:rsidR="00343D46" w:rsidRPr="003D6468">
        <w:rPr>
          <w:szCs w:val="28"/>
        </w:rPr>
        <w:t xml:space="preserve">. Una facultad </w:t>
      </w:r>
      <w:r w:rsidRPr="003D6468">
        <w:rPr>
          <w:szCs w:val="28"/>
        </w:rPr>
        <w:t>que</w:t>
      </w:r>
      <w:r w:rsidR="003D6468" w:rsidRPr="003D6468">
        <w:rPr>
          <w:szCs w:val="28"/>
        </w:rPr>
        <w:t>,</w:t>
      </w:r>
      <w:r w:rsidRPr="003D6468">
        <w:rPr>
          <w:szCs w:val="28"/>
        </w:rPr>
        <w:t xml:space="preserve"> en casos como éste, </w:t>
      </w:r>
      <w:r w:rsidR="00343D46" w:rsidRPr="003D6468">
        <w:rPr>
          <w:szCs w:val="28"/>
        </w:rPr>
        <w:t xml:space="preserve">permite </w:t>
      </w:r>
      <w:r w:rsidRPr="003D6468">
        <w:rPr>
          <w:szCs w:val="28"/>
        </w:rPr>
        <w:t xml:space="preserve">la </w:t>
      </w:r>
      <w:r w:rsidR="003D3E36" w:rsidRPr="003D6468">
        <w:rPr>
          <w:szCs w:val="28"/>
        </w:rPr>
        <w:t xml:space="preserve">materialización de </w:t>
      </w:r>
      <w:r w:rsidRPr="003D6468">
        <w:rPr>
          <w:szCs w:val="28"/>
        </w:rPr>
        <w:t xml:space="preserve">la interpretación que la Corte realiza </w:t>
      </w:r>
      <w:r w:rsidR="003D3E36" w:rsidRPr="003D6468">
        <w:rPr>
          <w:szCs w:val="28"/>
        </w:rPr>
        <w:t>en las normas objeto de control, a fin de que la visión constitucionalmente ajustada de ellas</w:t>
      </w:r>
      <w:r w:rsidR="00F9211F" w:rsidRPr="003D6468">
        <w:rPr>
          <w:szCs w:val="28"/>
        </w:rPr>
        <w:t xml:space="preserve"> </w:t>
      </w:r>
      <w:r w:rsidR="003D3E36" w:rsidRPr="003D6468">
        <w:rPr>
          <w:szCs w:val="28"/>
        </w:rPr>
        <w:t>se concrete</w:t>
      </w:r>
      <w:r w:rsidR="00FC4B3F" w:rsidRPr="003D6468">
        <w:rPr>
          <w:szCs w:val="28"/>
        </w:rPr>
        <w:t xml:space="preserve"> en el ordenamiento jurídico y se ajuste a la</w:t>
      </w:r>
      <w:r w:rsidR="003D3E36" w:rsidRPr="003D6468">
        <w:rPr>
          <w:szCs w:val="28"/>
        </w:rPr>
        <w:t xml:space="preserve"> intención de asegurar la supremacía </w:t>
      </w:r>
      <w:r w:rsidR="00F9211F" w:rsidRPr="003D6468">
        <w:rPr>
          <w:szCs w:val="28"/>
        </w:rPr>
        <w:t xml:space="preserve">de </w:t>
      </w:r>
      <w:r w:rsidR="003D3E36" w:rsidRPr="003D6468">
        <w:rPr>
          <w:szCs w:val="28"/>
        </w:rPr>
        <w:t xml:space="preserve">la Carta. </w:t>
      </w:r>
      <w:r w:rsidR="0065548F" w:rsidRPr="003D6468">
        <w:rPr>
          <w:szCs w:val="28"/>
        </w:rPr>
        <w:t>Lo que</w:t>
      </w:r>
      <w:r w:rsidR="003D3E36" w:rsidRPr="003D6468">
        <w:rPr>
          <w:szCs w:val="28"/>
        </w:rPr>
        <w:t xml:space="preserve"> puede significar</w:t>
      </w:r>
      <w:r w:rsidR="008B0484" w:rsidRPr="003D6468">
        <w:rPr>
          <w:szCs w:val="28"/>
        </w:rPr>
        <w:t xml:space="preserve"> </w:t>
      </w:r>
      <w:r w:rsidR="003D6468" w:rsidRPr="003D6468">
        <w:rPr>
          <w:szCs w:val="28"/>
        </w:rPr>
        <w:t>que</w:t>
      </w:r>
      <w:r w:rsidR="008B0484" w:rsidRPr="003D6468">
        <w:rPr>
          <w:szCs w:val="28"/>
        </w:rPr>
        <w:t xml:space="preserve">: (i) </w:t>
      </w:r>
      <w:r w:rsidR="00FC4B3F" w:rsidRPr="003D6468">
        <w:rPr>
          <w:szCs w:val="28"/>
        </w:rPr>
        <w:t xml:space="preserve">que </w:t>
      </w:r>
      <w:r w:rsidR="00382257" w:rsidRPr="003D6468">
        <w:rPr>
          <w:szCs w:val="28"/>
        </w:rPr>
        <w:t>se acoja</w:t>
      </w:r>
      <w:r w:rsidR="003D3E36" w:rsidRPr="003D6468">
        <w:rPr>
          <w:szCs w:val="28"/>
        </w:rPr>
        <w:t xml:space="preserve"> una lectura particular del texto de la norma controlada; </w:t>
      </w:r>
      <w:r w:rsidR="002B3678" w:rsidRPr="003D6468">
        <w:rPr>
          <w:szCs w:val="28"/>
        </w:rPr>
        <w:t xml:space="preserve">(ii) </w:t>
      </w:r>
      <w:r w:rsidR="00FC4B3F" w:rsidRPr="003D6468">
        <w:rPr>
          <w:szCs w:val="28"/>
        </w:rPr>
        <w:t xml:space="preserve">que </w:t>
      </w:r>
      <w:r w:rsidR="00F9211F" w:rsidRPr="003D6468">
        <w:rPr>
          <w:szCs w:val="28"/>
        </w:rPr>
        <w:t xml:space="preserve">se </w:t>
      </w:r>
      <w:r w:rsidR="002B3678" w:rsidRPr="003D6468">
        <w:rPr>
          <w:szCs w:val="28"/>
        </w:rPr>
        <w:t>conside</w:t>
      </w:r>
      <w:r w:rsidR="00F9211F" w:rsidRPr="003D6468">
        <w:rPr>
          <w:szCs w:val="28"/>
        </w:rPr>
        <w:t>re la</w:t>
      </w:r>
      <w:r w:rsidR="003D3E36" w:rsidRPr="003D6468">
        <w:rPr>
          <w:szCs w:val="28"/>
        </w:rPr>
        <w:t xml:space="preserve"> modificación de su tenor literal, generalmente </w:t>
      </w:r>
      <w:r w:rsidR="008B0484" w:rsidRPr="003D6468">
        <w:rPr>
          <w:szCs w:val="28"/>
        </w:rPr>
        <w:t xml:space="preserve">a partir de </w:t>
      </w:r>
      <w:r w:rsidR="00F9211F" w:rsidRPr="003D6468">
        <w:rPr>
          <w:szCs w:val="28"/>
        </w:rPr>
        <w:t xml:space="preserve">la </w:t>
      </w:r>
      <w:r w:rsidR="003D3E36" w:rsidRPr="003D6468">
        <w:rPr>
          <w:szCs w:val="28"/>
        </w:rPr>
        <w:t xml:space="preserve">eliminación de lo que </w:t>
      </w:r>
      <w:r w:rsidR="00F9211F" w:rsidRPr="003D6468">
        <w:rPr>
          <w:szCs w:val="28"/>
        </w:rPr>
        <w:t>resulta</w:t>
      </w:r>
      <w:r w:rsidR="003D3E36" w:rsidRPr="003D6468">
        <w:rPr>
          <w:szCs w:val="28"/>
        </w:rPr>
        <w:t xml:space="preserve"> inconstitucional; (iii) </w:t>
      </w:r>
      <w:r w:rsidR="00FC4B3F" w:rsidRPr="003D6468">
        <w:rPr>
          <w:szCs w:val="28"/>
        </w:rPr>
        <w:t xml:space="preserve">que </w:t>
      </w:r>
      <w:r w:rsidR="00F9211F" w:rsidRPr="003D6468">
        <w:rPr>
          <w:szCs w:val="28"/>
        </w:rPr>
        <w:t xml:space="preserve">se </w:t>
      </w:r>
      <w:r w:rsidR="003D3E36" w:rsidRPr="003D6468">
        <w:rPr>
          <w:szCs w:val="28"/>
        </w:rPr>
        <w:t>gener</w:t>
      </w:r>
      <w:r w:rsidR="00F9211F" w:rsidRPr="003D6468">
        <w:rPr>
          <w:szCs w:val="28"/>
        </w:rPr>
        <w:t>e</w:t>
      </w:r>
      <w:r w:rsidR="003D3E36" w:rsidRPr="003D6468">
        <w:rPr>
          <w:szCs w:val="28"/>
        </w:rPr>
        <w:t xml:space="preserve"> una integración de </w:t>
      </w:r>
      <w:r w:rsidR="008B0484" w:rsidRPr="003D6468">
        <w:rPr>
          <w:szCs w:val="28"/>
        </w:rPr>
        <w:t xml:space="preserve">los </w:t>
      </w:r>
      <w:r w:rsidR="003D3E36" w:rsidRPr="003D6468">
        <w:rPr>
          <w:szCs w:val="28"/>
        </w:rPr>
        <w:t>elementos que completan la premisa</w:t>
      </w:r>
      <w:r w:rsidR="0065548F" w:rsidRPr="003D6468">
        <w:rPr>
          <w:szCs w:val="28"/>
        </w:rPr>
        <w:t>,</w:t>
      </w:r>
      <w:r w:rsidR="003D3E36" w:rsidRPr="003D6468">
        <w:rPr>
          <w:szCs w:val="28"/>
        </w:rPr>
        <w:t xml:space="preserve"> que la hace constitucional</w:t>
      </w:r>
      <w:r w:rsidR="008B0484" w:rsidRPr="003D6468">
        <w:rPr>
          <w:szCs w:val="28"/>
        </w:rPr>
        <w:t>;</w:t>
      </w:r>
      <w:r w:rsidR="003D3E36" w:rsidRPr="003D6468">
        <w:rPr>
          <w:szCs w:val="28"/>
        </w:rPr>
        <w:t xml:space="preserve"> o (iv) incluso, </w:t>
      </w:r>
      <w:r w:rsidR="002B3678" w:rsidRPr="003D6468">
        <w:rPr>
          <w:szCs w:val="28"/>
        </w:rPr>
        <w:t xml:space="preserve">aceptar </w:t>
      </w:r>
      <w:r w:rsidR="003D3E36" w:rsidRPr="003D6468">
        <w:rPr>
          <w:szCs w:val="28"/>
        </w:rPr>
        <w:t>la sustitución de elementos integrantes de</w:t>
      </w:r>
      <w:r w:rsidR="00FC4B3F" w:rsidRPr="003D6468">
        <w:rPr>
          <w:szCs w:val="28"/>
        </w:rPr>
        <w:t>l precepto</w:t>
      </w:r>
      <w:r w:rsidR="003D3E36" w:rsidRPr="003D6468">
        <w:rPr>
          <w:szCs w:val="28"/>
        </w:rPr>
        <w:t xml:space="preserve"> que afectaban su validez, para lograr ese efecto. Se trata de una técnica que forma parte de la actividad cl</w:t>
      </w:r>
      <w:r w:rsidR="002B3678" w:rsidRPr="003D6468">
        <w:rPr>
          <w:szCs w:val="28"/>
        </w:rPr>
        <w:t>ásica que realiza esta Corporación</w:t>
      </w:r>
      <w:r w:rsidR="003D3E36" w:rsidRPr="003D6468">
        <w:rPr>
          <w:szCs w:val="28"/>
        </w:rPr>
        <w:t xml:space="preserve"> en materia de control constitucional</w:t>
      </w:r>
      <w:r w:rsidR="00185224" w:rsidRPr="003D6468">
        <w:rPr>
          <w:szCs w:val="28"/>
        </w:rPr>
        <w:t>,</w:t>
      </w:r>
      <w:r w:rsidR="003D3E36" w:rsidRPr="003D6468">
        <w:rPr>
          <w:szCs w:val="28"/>
        </w:rPr>
        <w:t xml:space="preserve"> y que como </w:t>
      </w:r>
      <w:r w:rsidR="00343D46" w:rsidRPr="003D6468">
        <w:rPr>
          <w:szCs w:val="28"/>
        </w:rPr>
        <w:t>ya se expresó</w:t>
      </w:r>
      <w:r w:rsidR="002B3678" w:rsidRPr="003D6468">
        <w:rPr>
          <w:szCs w:val="28"/>
        </w:rPr>
        <w:t>,</w:t>
      </w:r>
      <w:r w:rsidR="003D3E36" w:rsidRPr="003D6468">
        <w:rPr>
          <w:szCs w:val="28"/>
        </w:rPr>
        <w:t xml:space="preserve"> ha reconocido</w:t>
      </w:r>
      <w:r w:rsidR="002B3678" w:rsidRPr="003D6468">
        <w:rPr>
          <w:szCs w:val="28"/>
        </w:rPr>
        <w:t xml:space="preserve"> también</w:t>
      </w:r>
      <w:r w:rsidR="003D3E36" w:rsidRPr="003D6468">
        <w:rPr>
          <w:szCs w:val="28"/>
        </w:rPr>
        <w:t xml:space="preserve"> el Consejo de Estado</w:t>
      </w:r>
      <w:r w:rsidR="002B3678" w:rsidRPr="003D6468">
        <w:rPr>
          <w:szCs w:val="28"/>
        </w:rPr>
        <w:t xml:space="preserve"> de tiempo atrás,</w:t>
      </w:r>
      <w:r w:rsidR="003D3E36" w:rsidRPr="003D6468">
        <w:rPr>
          <w:szCs w:val="28"/>
        </w:rPr>
        <w:t xml:space="preserve"> en muchas de sus providencias</w:t>
      </w:r>
      <w:r w:rsidR="003D3E36" w:rsidRPr="00911F90">
        <w:rPr>
          <w:szCs w:val="28"/>
        </w:rPr>
        <w:t xml:space="preserve">. </w:t>
      </w:r>
    </w:p>
    <w:p w14:paraId="03E332E8" w14:textId="77777777" w:rsidR="003D3E36" w:rsidRPr="00437C07" w:rsidRDefault="003D3E36" w:rsidP="00437C07">
      <w:pPr>
        <w:shd w:val="clear" w:color="auto" w:fill="FFFFFF"/>
        <w:jc w:val="both"/>
        <w:rPr>
          <w:szCs w:val="28"/>
        </w:rPr>
      </w:pPr>
    </w:p>
    <w:p w14:paraId="3E24AF52" w14:textId="77777777" w:rsidR="00C15C59" w:rsidRPr="003D6468" w:rsidRDefault="002B3678" w:rsidP="00AA7283">
      <w:pPr>
        <w:numPr>
          <w:ilvl w:val="0"/>
          <w:numId w:val="10"/>
        </w:numPr>
        <w:shd w:val="clear" w:color="auto" w:fill="FFFFFF"/>
        <w:jc w:val="both"/>
        <w:rPr>
          <w:szCs w:val="28"/>
        </w:rPr>
      </w:pPr>
      <w:r w:rsidRPr="003D6468">
        <w:rPr>
          <w:szCs w:val="28"/>
        </w:rPr>
        <w:t>Con fundamento en es</w:t>
      </w:r>
      <w:r w:rsidR="00FC1463" w:rsidRPr="003D6468">
        <w:rPr>
          <w:szCs w:val="28"/>
        </w:rPr>
        <w:t>t</w:t>
      </w:r>
      <w:r w:rsidRPr="003D6468">
        <w:rPr>
          <w:szCs w:val="28"/>
        </w:rPr>
        <w:t xml:space="preserve">as consideraciones, </w:t>
      </w:r>
      <w:r w:rsidR="00C15C59" w:rsidRPr="003D6468">
        <w:rPr>
          <w:szCs w:val="28"/>
        </w:rPr>
        <w:t>el resultado final</w:t>
      </w:r>
      <w:r w:rsidRPr="003D6468">
        <w:rPr>
          <w:szCs w:val="28"/>
        </w:rPr>
        <w:t xml:space="preserve"> que se materializa</w:t>
      </w:r>
      <w:r w:rsidR="00FC1463" w:rsidRPr="003D6468">
        <w:rPr>
          <w:szCs w:val="28"/>
        </w:rPr>
        <w:t xml:space="preserve"> a partir del control que realiza la Corte en tales casos, </w:t>
      </w:r>
      <w:r w:rsidR="00C15C59" w:rsidRPr="003D6468">
        <w:rPr>
          <w:szCs w:val="28"/>
        </w:rPr>
        <w:t xml:space="preserve">es una norma </w:t>
      </w:r>
      <w:r w:rsidR="0063197E" w:rsidRPr="003D6468">
        <w:rPr>
          <w:szCs w:val="28"/>
        </w:rPr>
        <w:t>“</w:t>
      </w:r>
      <w:r w:rsidR="00AE583D" w:rsidRPr="003D6468">
        <w:rPr>
          <w:szCs w:val="28"/>
        </w:rPr>
        <w:t>ajustada</w:t>
      </w:r>
      <w:r w:rsidR="0063197E" w:rsidRPr="003D6468">
        <w:rPr>
          <w:szCs w:val="28"/>
        </w:rPr>
        <w:t xml:space="preserve">”, </w:t>
      </w:r>
      <w:r w:rsidR="00C15C59" w:rsidRPr="003D6468">
        <w:rPr>
          <w:szCs w:val="28"/>
        </w:rPr>
        <w:t xml:space="preserve">que debe ser evaluada </w:t>
      </w:r>
      <w:r w:rsidR="003D3E36" w:rsidRPr="003D6468">
        <w:rPr>
          <w:szCs w:val="28"/>
        </w:rPr>
        <w:t xml:space="preserve">y reconocida, </w:t>
      </w:r>
      <w:r w:rsidR="00C15C59" w:rsidRPr="003D6468">
        <w:rPr>
          <w:szCs w:val="28"/>
        </w:rPr>
        <w:t>atendiendo las premisas mencionadas y los condicionamientos de l</w:t>
      </w:r>
      <w:r w:rsidR="00F9211F" w:rsidRPr="003D6468">
        <w:rPr>
          <w:szCs w:val="28"/>
        </w:rPr>
        <w:t>os</w:t>
      </w:r>
      <w:r w:rsidR="00C15C59" w:rsidRPr="003D6468">
        <w:rPr>
          <w:szCs w:val="28"/>
        </w:rPr>
        <w:t xml:space="preserve"> que </w:t>
      </w:r>
      <w:r w:rsidR="00AA7283" w:rsidRPr="003D6468">
        <w:rPr>
          <w:szCs w:val="28"/>
        </w:rPr>
        <w:t>fue</w:t>
      </w:r>
      <w:r w:rsidR="00C15C59" w:rsidRPr="003D6468">
        <w:rPr>
          <w:szCs w:val="28"/>
        </w:rPr>
        <w:t xml:space="preserve"> objeto</w:t>
      </w:r>
      <w:r w:rsidRPr="003D6468">
        <w:rPr>
          <w:szCs w:val="28"/>
        </w:rPr>
        <w:t xml:space="preserve"> por </w:t>
      </w:r>
      <w:r w:rsidR="008B0484" w:rsidRPr="003D6468">
        <w:rPr>
          <w:szCs w:val="28"/>
        </w:rPr>
        <w:t>parte d</w:t>
      </w:r>
      <w:r w:rsidRPr="003D6468">
        <w:rPr>
          <w:szCs w:val="28"/>
        </w:rPr>
        <w:t>el Tribunal Constitucional</w:t>
      </w:r>
      <w:r w:rsidR="0063197E" w:rsidRPr="003D6468">
        <w:rPr>
          <w:szCs w:val="28"/>
        </w:rPr>
        <w:t>,</w:t>
      </w:r>
      <w:r w:rsidR="003D6468">
        <w:rPr>
          <w:szCs w:val="28"/>
        </w:rPr>
        <w:t xml:space="preserve"> porque</w:t>
      </w:r>
      <w:r w:rsidR="0063197E" w:rsidRPr="003D6468">
        <w:rPr>
          <w:szCs w:val="28"/>
        </w:rPr>
        <w:t xml:space="preserve"> </w:t>
      </w:r>
      <w:r w:rsidR="00343D46" w:rsidRPr="003D6468">
        <w:rPr>
          <w:szCs w:val="28"/>
        </w:rPr>
        <w:t>c</w:t>
      </w:r>
      <w:r w:rsidR="003D3E36" w:rsidRPr="003D6468">
        <w:rPr>
          <w:szCs w:val="28"/>
        </w:rPr>
        <w:t xml:space="preserve">omo lo reafirmó </w:t>
      </w:r>
      <w:r w:rsidR="00C15C59" w:rsidRPr="003D6468">
        <w:rPr>
          <w:szCs w:val="28"/>
        </w:rPr>
        <w:t xml:space="preserve">esta Corporación en la </w:t>
      </w:r>
      <w:r w:rsidR="00AD053C" w:rsidRPr="003D6468">
        <w:rPr>
          <w:b/>
          <w:bCs/>
          <w:szCs w:val="28"/>
        </w:rPr>
        <w:t>S</w:t>
      </w:r>
      <w:r w:rsidR="00C15C59" w:rsidRPr="003D6468">
        <w:rPr>
          <w:b/>
          <w:bCs/>
          <w:szCs w:val="28"/>
        </w:rPr>
        <w:t>entencia T-292 de 2006</w:t>
      </w:r>
      <w:r w:rsidR="00C15C59" w:rsidRPr="003D6468">
        <w:rPr>
          <w:rStyle w:val="Refdenotaalpie"/>
          <w:i/>
          <w:iCs/>
          <w:sz w:val="26"/>
          <w:szCs w:val="26"/>
          <w:lang w:val="es-CO" w:eastAsia="es-CO"/>
        </w:rPr>
        <w:footnoteReference w:id="378"/>
      </w:r>
      <w:r w:rsidR="00AA7283" w:rsidRPr="003D6468">
        <w:rPr>
          <w:szCs w:val="28"/>
        </w:rPr>
        <w:t>:</w:t>
      </w:r>
    </w:p>
    <w:p w14:paraId="2066A9BE" w14:textId="77777777" w:rsidR="00C15C59" w:rsidRPr="003D6468" w:rsidRDefault="00C15C59" w:rsidP="002807A3">
      <w:pPr>
        <w:pStyle w:val="Prrafodelista"/>
        <w:ind w:left="0"/>
        <w:contextualSpacing/>
        <w:jc w:val="both"/>
        <w:rPr>
          <w:bCs/>
          <w:szCs w:val="28"/>
        </w:rPr>
      </w:pPr>
    </w:p>
    <w:p w14:paraId="1D8AA668" w14:textId="77777777" w:rsidR="00C15C59" w:rsidRPr="003D6468" w:rsidRDefault="00C15C59" w:rsidP="00763D25">
      <w:pPr>
        <w:ind w:left="284"/>
        <w:jc w:val="both"/>
        <w:rPr>
          <w:i/>
          <w:iCs/>
          <w:sz w:val="26"/>
          <w:szCs w:val="26"/>
          <w:lang w:val="es-CO" w:eastAsia="es-CO"/>
        </w:rPr>
      </w:pPr>
      <w:r w:rsidRPr="003D6468">
        <w:rPr>
          <w:i/>
          <w:iCs/>
          <w:sz w:val="26"/>
          <w:szCs w:val="26"/>
          <w:lang w:val="es-CO" w:eastAsia="es-CO"/>
        </w:rPr>
        <w:t xml:space="preserve">“La seguridad jurídica de un sistema normativo se funda precisamente en </w:t>
      </w:r>
      <w:r w:rsidRPr="003D6468">
        <w:rPr>
          <w:b/>
          <w:bCs/>
          <w:i/>
          <w:iCs/>
          <w:sz w:val="26"/>
          <w:szCs w:val="26"/>
          <w:u w:val="single"/>
          <w:lang w:val="es-CO" w:eastAsia="es-CO"/>
        </w:rPr>
        <w:t>el respeto que se le asigne a las disposiciones constitucionales</w:t>
      </w:r>
      <w:r w:rsidRPr="003D6468">
        <w:rPr>
          <w:i/>
          <w:iCs/>
          <w:sz w:val="26"/>
          <w:szCs w:val="26"/>
          <w:lang w:val="es-CO" w:eastAsia="es-CO"/>
        </w:rPr>
        <w:t xml:space="preserve"> que irradian todo el ordenamiento, y a la unidad y armonía de los diferentes niveles legales, con las disposiciones de la Carta. </w:t>
      </w:r>
      <w:r w:rsidRPr="003D6468">
        <w:rPr>
          <w:b/>
          <w:bCs/>
          <w:i/>
          <w:iCs/>
          <w:sz w:val="26"/>
          <w:szCs w:val="26"/>
          <w:u w:val="single"/>
          <w:lang w:val="es-CO" w:eastAsia="es-CO"/>
        </w:rPr>
        <w:t xml:space="preserve">No reconocer entonces el alcance de los fallos constitucionales vinculantes, sea por desconocimiento, descuido, u omisión, genera en el ordenamiento jurídico colombiano una evidente falta de </w:t>
      </w:r>
      <w:r w:rsidR="0012354A" w:rsidRPr="003D6468">
        <w:rPr>
          <w:b/>
          <w:bCs/>
          <w:i/>
          <w:iCs/>
          <w:sz w:val="26"/>
          <w:szCs w:val="26"/>
          <w:u w:val="single"/>
          <w:lang w:val="es-CO" w:eastAsia="es-CO"/>
        </w:rPr>
        <w:t>coherencia y</w:t>
      </w:r>
      <w:r w:rsidRPr="003D6468">
        <w:rPr>
          <w:b/>
          <w:bCs/>
          <w:i/>
          <w:iCs/>
          <w:sz w:val="26"/>
          <w:szCs w:val="26"/>
          <w:u w:val="single"/>
          <w:lang w:val="es-CO" w:eastAsia="es-CO"/>
        </w:rPr>
        <w:t xml:space="preserve"> de conexión concreta con la Constitución, que finalmente se traduce en contradicciones ilógicas entre la normatividad y la </w:t>
      </w:r>
      <w:r w:rsidR="00D717F5" w:rsidRPr="003D6468">
        <w:rPr>
          <w:b/>
          <w:bCs/>
          <w:i/>
          <w:iCs/>
          <w:sz w:val="26"/>
          <w:szCs w:val="26"/>
          <w:u w:val="single"/>
          <w:lang w:val="es-CO" w:eastAsia="es-CO"/>
        </w:rPr>
        <w:t xml:space="preserve">Carta, </w:t>
      </w:r>
      <w:r w:rsidR="00EA4A00" w:rsidRPr="003D6468">
        <w:rPr>
          <w:b/>
          <w:bCs/>
          <w:i/>
          <w:iCs/>
          <w:sz w:val="26"/>
          <w:szCs w:val="26"/>
          <w:u w:val="single"/>
          <w:lang w:val="es-CO" w:eastAsia="es-CO"/>
        </w:rPr>
        <w:t>que dificultan</w:t>
      </w:r>
      <w:r w:rsidRPr="003D6468">
        <w:rPr>
          <w:b/>
          <w:bCs/>
          <w:i/>
          <w:iCs/>
          <w:sz w:val="26"/>
          <w:szCs w:val="26"/>
          <w:u w:val="single"/>
          <w:lang w:val="es-CO" w:eastAsia="es-CO"/>
        </w:rPr>
        <w:t>  la unidad intrínseca del sistema, y afectan la seguridad jurídica</w:t>
      </w:r>
      <w:r w:rsidRPr="003D6468">
        <w:rPr>
          <w:i/>
          <w:iCs/>
          <w:sz w:val="26"/>
          <w:szCs w:val="26"/>
          <w:lang w:val="es-CO" w:eastAsia="es-CO"/>
        </w:rPr>
        <w:t>. Con ello se perturba además</w:t>
      </w:r>
      <w:r w:rsidR="0012354A" w:rsidRPr="003D6468">
        <w:rPr>
          <w:i/>
          <w:iCs/>
          <w:sz w:val="26"/>
          <w:szCs w:val="26"/>
          <w:lang w:val="es-CO" w:eastAsia="es-CO"/>
        </w:rPr>
        <w:t>,</w:t>
      </w:r>
      <w:r w:rsidRPr="003D6468">
        <w:rPr>
          <w:i/>
          <w:iCs/>
          <w:sz w:val="26"/>
          <w:szCs w:val="26"/>
          <w:lang w:val="es-CO" w:eastAsia="es-CO"/>
        </w:rPr>
        <w:t xml:space="preserve"> la eficiencia y eficacia institucional en su conjunto, en la medida en que se multiplica innecesariamente la gestión de las autoridades judiciales, más aún cuando en definitiva, </w:t>
      </w:r>
      <w:r w:rsidRPr="003D6468">
        <w:rPr>
          <w:b/>
          <w:bCs/>
          <w:i/>
          <w:iCs/>
          <w:sz w:val="26"/>
          <w:szCs w:val="26"/>
          <w:u w:val="single"/>
          <w:lang w:val="es-CO" w:eastAsia="es-CO"/>
        </w:rPr>
        <w:t>la Constitución tiene una fuerza constitucional preeminente que no puede ser negada</w:t>
      </w:r>
      <w:r w:rsidRPr="003D6468">
        <w:rPr>
          <w:i/>
          <w:iCs/>
          <w:sz w:val="26"/>
          <w:szCs w:val="26"/>
          <w:lang w:val="es-CO" w:eastAsia="es-CO"/>
        </w:rPr>
        <w:t>”.</w:t>
      </w:r>
    </w:p>
    <w:p w14:paraId="6B1EA916" w14:textId="77777777" w:rsidR="003F4DC2" w:rsidRPr="003D6468" w:rsidRDefault="003F4DC2" w:rsidP="002807A3">
      <w:pPr>
        <w:pStyle w:val="Prrafodelista"/>
        <w:ind w:left="0"/>
        <w:contextualSpacing/>
        <w:jc w:val="both"/>
        <w:rPr>
          <w:bCs/>
          <w:szCs w:val="28"/>
        </w:rPr>
      </w:pPr>
    </w:p>
    <w:p w14:paraId="1249B1DF" w14:textId="77777777" w:rsidR="00BD4CDD" w:rsidRPr="003D6468" w:rsidRDefault="00BD4CDD" w:rsidP="00962603">
      <w:pPr>
        <w:numPr>
          <w:ilvl w:val="0"/>
          <w:numId w:val="10"/>
        </w:numPr>
        <w:shd w:val="clear" w:color="auto" w:fill="FFFFFF"/>
        <w:jc w:val="both"/>
        <w:rPr>
          <w:bCs/>
          <w:szCs w:val="28"/>
        </w:rPr>
      </w:pPr>
      <w:r w:rsidRPr="003D6468">
        <w:rPr>
          <w:bCs/>
          <w:szCs w:val="28"/>
        </w:rPr>
        <w:t xml:space="preserve">En ese orden de ideas, </w:t>
      </w:r>
      <w:r w:rsidR="008B0484" w:rsidRPr="003D6468">
        <w:rPr>
          <w:bCs/>
          <w:szCs w:val="28"/>
        </w:rPr>
        <w:t xml:space="preserve">si a través de sus competencias constitucionales este Tribunal establece interpretaciones vinculantes </w:t>
      </w:r>
      <w:r w:rsidR="00111550" w:rsidRPr="003D6468">
        <w:rPr>
          <w:bCs/>
          <w:szCs w:val="28"/>
        </w:rPr>
        <w:t>de los</w:t>
      </w:r>
      <w:r w:rsidR="008B0484" w:rsidRPr="003D6468">
        <w:rPr>
          <w:bCs/>
          <w:szCs w:val="28"/>
        </w:rPr>
        <w:t xml:space="preserve"> preceptos de la Carta, incluso cuando se trata de consideraciones establecidas en la parte motiva de </w:t>
      </w:r>
      <w:r w:rsidR="00111550" w:rsidRPr="003D6468">
        <w:rPr>
          <w:bCs/>
          <w:szCs w:val="28"/>
        </w:rPr>
        <w:t>la</w:t>
      </w:r>
      <w:r w:rsidR="008B0484" w:rsidRPr="003D6468">
        <w:rPr>
          <w:bCs/>
          <w:szCs w:val="28"/>
        </w:rPr>
        <w:t xml:space="preserve"> providencia</w:t>
      </w:r>
      <w:r w:rsidR="00111550" w:rsidRPr="003D6468">
        <w:rPr>
          <w:bCs/>
          <w:szCs w:val="28"/>
        </w:rPr>
        <w:t xml:space="preserve"> </w:t>
      </w:r>
      <w:r w:rsidR="008B0484" w:rsidRPr="003D6468">
        <w:rPr>
          <w:bCs/>
          <w:szCs w:val="28"/>
        </w:rPr>
        <w:t xml:space="preserve">que son determinantes para la decisión o que constituyen la </w:t>
      </w:r>
      <w:r w:rsidR="008B0484" w:rsidRPr="003D6468">
        <w:rPr>
          <w:bCs/>
          <w:i/>
          <w:iCs/>
          <w:szCs w:val="28"/>
        </w:rPr>
        <w:t>ratio decidendi</w:t>
      </w:r>
      <w:r w:rsidR="008B0484" w:rsidRPr="003D6468">
        <w:rPr>
          <w:bCs/>
          <w:szCs w:val="28"/>
        </w:rPr>
        <w:t xml:space="preserve"> del fallo, </w:t>
      </w:r>
      <w:r w:rsidR="00111550" w:rsidRPr="003D6468">
        <w:rPr>
          <w:bCs/>
          <w:szCs w:val="28"/>
        </w:rPr>
        <w:t xml:space="preserve">esas consideraciones </w:t>
      </w:r>
      <w:r w:rsidRPr="003D6468">
        <w:rPr>
          <w:bCs/>
          <w:szCs w:val="28"/>
        </w:rPr>
        <w:t>resultan ser fuente de derecho para las autoridades y particulares</w:t>
      </w:r>
      <w:r w:rsidR="008B0484" w:rsidRPr="003D6468">
        <w:rPr>
          <w:rStyle w:val="Refdenotaalpie"/>
          <w:bCs/>
          <w:szCs w:val="28"/>
        </w:rPr>
        <w:footnoteReference w:id="379"/>
      </w:r>
      <w:r w:rsidR="00111550" w:rsidRPr="003D6468">
        <w:rPr>
          <w:bCs/>
          <w:szCs w:val="28"/>
        </w:rPr>
        <w:t xml:space="preserve">, porque le dan sentido y materializan el ajuste interpretativo que requiere </w:t>
      </w:r>
      <w:r w:rsidR="0063197E" w:rsidRPr="003D6468">
        <w:rPr>
          <w:bCs/>
          <w:szCs w:val="28"/>
        </w:rPr>
        <w:t>la</w:t>
      </w:r>
      <w:r w:rsidR="00111550" w:rsidRPr="003D6468">
        <w:rPr>
          <w:bCs/>
          <w:szCs w:val="28"/>
        </w:rPr>
        <w:t xml:space="preserve"> norma, para su permanencia</w:t>
      </w:r>
      <w:r w:rsidR="0063197E" w:rsidRPr="003D6468">
        <w:rPr>
          <w:bCs/>
          <w:szCs w:val="28"/>
        </w:rPr>
        <w:t xml:space="preserve"> o </w:t>
      </w:r>
      <w:r w:rsidR="00277929" w:rsidRPr="003D6468">
        <w:rPr>
          <w:bCs/>
          <w:szCs w:val="28"/>
        </w:rPr>
        <w:t>determinación</w:t>
      </w:r>
      <w:r w:rsidR="00111550" w:rsidRPr="003D6468">
        <w:rPr>
          <w:bCs/>
          <w:szCs w:val="28"/>
        </w:rPr>
        <w:t xml:space="preserve"> en el ordenamiento constitucional.</w:t>
      </w:r>
    </w:p>
    <w:p w14:paraId="30397BAC" w14:textId="77777777" w:rsidR="00BD4CDD" w:rsidRPr="002E4477" w:rsidRDefault="00BD4CDD" w:rsidP="002807A3">
      <w:pPr>
        <w:pStyle w:val="Prrafodelista"/>
        <w:ind w:left="0"/>
        <w:contextualSpacing/>
        <w:jc w:val="both"/>
        <w:rPr>
          <w:bCs/>
          <w:szCs w:val="28"/>
        </w:rPr>
      </w:pPr>
    </w:p>
    <w:p w14:paraId="284A5026" w14:textId="77777777" w:rsidR="003C6235" w:rsidRPr="003D6468" w:rsidRDefault="00565EB6" w:rsidP="00553ADA">
      <w:pPr>
        <w:numPr>
          <w:ilvl w:val="0"/>
          <w:numId w:val="10"/>
        </w:numPr>
        <w:shd w:val="clear" w:color="auto" w:fill="FFFFFF"/>
        <w:contextualSpacing/>
        <w:jc w:val="both"/>
        <w:rPr>
          <w:bCs/>
          <w:szCs w:val="28"/>
        </w:rPr>
      </w:pPr>
      <w:r w:rsidRPr="003D6468">
        <w:rPr>
          <w:bCs/>
          <w:szCs w:val="28"/>
        </w:rPr>
        <w:t xml:space="preserve">Por </w:t>
      </w:r>
      <w:r w:rsidR="008B0484" w:rsidRPr="003D6468">
        <w:rPr>
          <w:bCs/>
          <w:szCs w:val="28"/>
        </w:rPr>
        <w:t>esta razón,</w:t>
      </w:r>
      <w:r w:rsidRPr="003D6468">
        <w:rPr>
          <w:bCs/>
          <w:szCs w:val="28"/>
        </w:rPr>
        <w:t xml:space="preserve"> </w:t>
      </w:r>
      <w:r w:rsidR="0012354A" w:rsidRPr="003D6468">
        <w:rPr>
          <w:bCs/>
          <w:szCs w:val="28"/>
        </w:rPr>
        <w:t>l</w:t>
      </w:r>
      <w:r w:rsidR="00FB6212" w:rsidRPr="003D6468">
        <w:rPr>
          <w:bCs/>
          <w:szCs w:val="28"/>
        </w:rPr>
        <w:t xml:space="preserve">a jurisprudencia constitucional ha identificado formas en que las sentencias del Tribunal Constitucional pueden </w:t>
      </w:r>
      <w:r w:rsidR="00DA3EF9" w:rsidRPr="003D6468">
        <w:rPr>
          <w:bCs/>
          <w:szCs w:val="28"/>
        </w:rPr>
        <w:t>desconocerse</w:t>
      </w:r>
      <w:r w:rsidR="00FB6212" w:rsidRPr="003D6468">
        <w:rPr>
          <w:bCs/>
          <w:szCs w:val="28"/>
        </w:rPr>
        <w:t xml:space="preserve"> por las demás autoridades judiciales, y generar a partir de ahí, la consolidación de los defectos</w:t>
      </w:r>
      <w:r w:rsidR="0012354A" w:rsidRPr="003D6468">
        <w:rPr>
          <w:bCs/>
          <w:szCs w:val="28"/>
        </w:rPr>
        <w:t xml:space="preserve"> especiales</w:t>
      </w:r>
      <w:r w:rsidR="00FB6212" w:rsidRPr="003D6468">
        <w:rPr>
          <w:bCs/>
          <w:szCs w:val="28"/>
        </w:rPr>
        <w:t xml:space="preserve"> descritos. </w:t>
      </w:r>
    </w:p>
    <w:p w14:paraId="45F19367" w14:textId="77777777" w:rsidR="00FB6212" w:rsidRDefault="003C6235" w:rsidP="003C6235">
      <w:pPr>
        <w:shd w:val="clear" w:color="auto" w:fill="FFFFFF"/>
        <w:contextualSpacing/>
        <w:jc w:val="both"/>
        <w:rPr>
          <w:bCs/>
          <w:szCs w:val="28"/>
        </w:rPr>
      </w:pPr>
      <w:r w:rsidRPr="003D6468">
        <w:rPr>
          <w:bCs/>
          <w:szCs w:val="28"/>
        </w:rPr>
        <w:t>En este cas</w:t>
      </w:r>
      <w:r w:rsidR="00AA27A6" w:rsidRPr="003D6468">
        <w:rPr>
          <w:bCs/>
          <w:szCs w:val="28"/>
        </w:rPr>
        <w:t>o</w:t>
      </w:r>
      <w:r w:rsidR="003D6468" w:rsidRPr="003D6468">
        <w:rPr>
          <w:bCs/>
          <w:szCs w:val="28"/>
        </w:rPr>
        <w:t xml:space="preserve">, por </w:t>
      </w:r>
      <w:r w:rsidR="00277929" w:rsidRPr="003D6468">
        <w:rPr>
          <w:bCs/>
          <w:szCs w:val="28"/>
        </w:rPr>
        <w:t>tratarse</w:t>
      </w:r>
      <w:r w:rsidR="003D6468" w:rsidRPr="003D6468">
        <w:rPr>
          <w:bCs/>
          <w:szCs w:val="28"/>
        </w:rPr>
        <w:t xml:space="preserve"> de una sentencia que se apartó</w:t>
      </w:r>
      <w:r w:rsidR="00277929" w:rsidRPr="003D6468">
        <w:rPr>
          <w:bCs/>
          <w:szCs w:val="28"/>
        </w:rPr>
        <w:t xml:space="preserve"> </w:t>
      </w:r>
      <w:r w:rsidR="00BC721F" w:rsidRPr="003D6468">
        <w:rPr>
          <w:bCs/>
          <w:szCs w:val="28"/>
        </w:rPr>
        <w:t xml:space="preserve">del artículo 243 de la Carta al desviar </w:t>
      </w:r>
      <w:r w:rsidR="00AA27A6" w:rsidRPr="003D6468">
        <w:rPr>
          <w:bCs/>
          <w:szCs w:val="28"/>
        </w:rPr>
        <w:t xml:space="preserve">la </w:t>
      </w:r>
      <w:r w:rsidR="00AA27A6" w:rsidRPr="003D6468">
        <w:rPr>
          <w:b/>
          <w:i/>
          <w:iCs/>
          <w:szCs w:val="28"/>
        </w:rPr>
        <w:t>cosa juzgada constitucional</w:t>
      </w:r>
      <w:r w:rsidR="003D6468" w:rsidRPr="003D6468">
        <w:rPr>
          <w:bCs/>
          <w:szCs w:val="28"/>
        </w:rPr>
        <w:t xml:space="preserve"> y</w:t>
      </w:r>
      <w:r w:rsidR="00AA27A6" w:rsidRPr="003D6468">
        <w:rPr>
          <w:bCs/>
          <w:szCs w:val="28"/>
        </w:rPr>
        <w:t xml:space="preserve"> </w:t>
      </w:r>
      <w:r w:rsidR="003D6468" w:rsidRPr="003D6468">
        <w:rPr>
          <w:bCs/>
          <w:szCs w:val="28"/>
        </w:rPr>
        <w:t xml:space="preserve">con </w:t>
      </w:r>
      <w:r w:rsidR="00763D25" w:rsidRPr="003D6468">
        <w:rPr>
          <w:bCs/>
          <w:szCs w:val="28"/>
        </w:rPr>
        <w:t>ello desarticul</w:t>
      </w:r>
      <w:r w:rsidR="003D6468" w:rsidRPr="003D6468">
        <w:rPr>
          <w:bCs/>
          <w:szCs w:val="28"/>
        </w:rPr>
        <w:t>ó la eficacia de</w:t>
      </w:r>
      <w:r w:rsidR="00763D25" w:rsidRPr="003D6468">
        <w:rPr>
          <w:bCs/>
          <w:szCs w:val="28"/>
        </w:rPr>
        <w:t xml:space="preserve"> normas constitucionales</w:t>
      </w:r>
      <w:r w:rsidR="003D6468" w:rsidRPr="003D6468">
        <w:rPr>
          <w:bCs/>
          <w:szCs w:val="28"/>
        </w:rPr>
        <w:t xml:space="preserve"> y de contenidos normativos</w:t>
      </w:r>
      <w:r w:rsidR="00763D25" w:rsidRPr="003D6468">
        <w:rPr>
          <w:bCs/>
          <w:szCs w:val="28"/>
        </w:rPr>
        <w:t xml:space="preserve"> integrad</w:t>
      </w:r>
      <w:r w:rsidR="003D6468" w:rsidRPr="003D6468">
        <w:rPr>
          <w:bCs/>
          <w:szCs w:val="28"/>
        </w:rPr>
        <w:t>o</w:t>
      </w:r>
      <w:r w:rsidR="00763D25" w:rsidRPr="003D6468">
        <w:rPr>
          <w:bCs/>
          <w:szCs w:val="28"/>
        </w:rPr>
        <w:t>s a partir de la interpretación realizada por la Corte</w:t>
      </w:r>
      <w:r w:rsidR="00277929" w:rsidRPr="003D6468">
        <w:rPr>
          <w:bCs/>
          <w:szCs w:val="28"/>
        </w:rPr>
        <w:t xml:space="preserve">, </w:t>
      </w:r>
      <w:r w:rsidR="00AA27A6" w:rsidRPr="003D6468">
        <w:rPr>
          <w:bCs/>
          <w:szCs w:val="28"/>
        </w:rPr>
        <w:t xml:space="preserve">de lo que se trata aquí es de la </w:t>
      </w:r>
      <w:r w:rsidR="00277929" w:rsidRPr="003D6468">
        <w:rPr>
          <w:bCs/>
          <w:szCs w:val="28"/>
        </w:rPr>
        <w:t>vulneración directa de la Carta</w:t>
      </w:r>
      <w:r w:rsidR="003D6468" w:rsidRPr="003D6468">
        <w:rPr>
          <w:bCs/>
          <w:szCs w:val="28"/>
        </w:rPr>
        <w:t>.</w:t>
      </w:r>
    </w:p>
    <w:p w14:paraId="5FB0A8D6" w14:textId="77777777" w:rsidR="001F76CC" w:rsidRPr="001F76CC" w:rsidRDefault="001F76CC" w:rsidP="001F76CC">
      <w:pPr>
        <w:shd w:val="clear" w:color="auto" w:fill="FFFFFF"/>
        <w:contextualSpacing/>
        <w:jc w:val="both"/>
        <w:rPr>
          <w:bCs/>
          <w:szCs w:val="28"/>
        </w:rPr>
      </w:pPr>
    </w:p>
    <w:p w14:paraId="174A1274" w14:textId="77777777" w:rsidR="00FB6212" w:rsidRPr="002E4477" w:rsidRDefault="001F76CC" w:rsidP="00962603">
      <w:pPr>
        <w:numPr>
          <w:ilvl w:val="0"/>
          <w:numId w:val="10"/>
        </w:numPr>
        <w:shd w:val="clear" w:color="auto" w:fill="FFFFFF"/>
        <w:jc w:val="both"/>
        <w:rPr>
          <w:bCs/>
          <w:szCs w:val="28"/>
        </w:rPr>
      </w:pPr>
      <w:r>
        <w:rPr>
          <w:bCs/>
          <w:szCs w:val="28"/>
        </w:rPr>
        <w:t>En ese sentido, l</w:t>
      </w:r>
      <w:r w:rsidR="00FB6212" w:rsidRPr="002E4477">
        <w:rPr>
          <w:bCs/>
          <w:szCs w:val="28"/>
        </w:rPr>
        <w:t xml:space="preserve">a procedencia excepcional de la acción de tutela contra providencias judiciales que, por ejemplo, contrarían la </w:t>
      </w:r>
      <w:r w:rsidR="00FB6212" w:rsidRPr="002E4477">
        <w:rPr>
          <w:bCs/>
          <w:i/>
          <w:iCs/>
          <w:szCs w:val="28"/>
        </w:rPr>
        <w:t>ratio decidendi</w:t>
      </w:r>
      <w:r w:rsidR="00FB6212" w:rsidRPr="002E4477">
        <w:rPr>
          <w:bCs/>
          <w:szCs w:val="28"/>
        </w:rPr>
        <w:t xml:space="preserve"> de las sentencias de constitucionalidad</w:t>
      </w:r>
      <w:r w:rsidR="00AA27A6">
        <w:rPr>
          <w:bCs/>
          <w:szCs w:val="28"/>
        </w:rPr>
        <w:t xml:space="preserve"> que hacen tránsito a cosa juzgada constitucional</w:t>
      </w:r>
      <w:r w:rsidR="00FB6212" w:rsidRPr="002E4477">
        <w:rPr>
          <w:bCs/>
          <w:szCs w:val="28"/>
        </w:rPr>
        <w:t xml:space="preserve">, </w:t>
      </w:r>
      <w:r w:rsidR="00F66F1A" w:rsidRPr="002E4477">
        <w:rPr>
          <w:bCs/>
          <w:szCs w:val="28"/>
        </w:rPr>
        <w:t xml:space="preserve">se justifica, </w:t>
      </w:r>
      <w:r w:rsidR="0012354A" w:rsidRPr="002E4477">
        <w:rPr>
          <w:bCs/>
          <w:szCs w:val="28"/>
        </w:rPr>
        <w:t xml:space="preserve">al ser </w:t>
      </w:r>
      <w:r w:rsidR="00FB6212" w:rsidRPr="002E4477">
        <w:rPr>
          <w:bCs/>
          <w:szCs w:val="28"/>
        </w:rPr>
        <w:t>una herramienta indispensable para que la Corte pueda ejercer en debida forma las funciones que el texto constitucional le confiere</w:t>
      </w:r>
      <w:r w:rsidR="00F66F1A" w:rsidRPr="002E4477">
        <w:rPr>
          <w:bCs/>
          <w:szCs w:val="28"/>
        </w:rPr>
        <w:t>,</w:t>
      </w:r>
      <w:r w:rsidR="00FB6212" w:rsidRPr="002E4477">
        <w:rPr>
          <w:bCs/>
          <w:szCs w:val="28"/>
        </w:rPr>
        <w:t xml:space="preserve"> y garantizar el carácter normativo y supremo de la Constitución. </w:t>
      </w:r>
      <w:r w:rsidR="00E6533F" w:rsidRPr="002E4477">
        <w:rPr>
          <w:bCs/>
          <w:szCs w:val="28"/>
        </w:rPr>
        <w:t>De lo contrario</w:t>
      </w:r>
      <w:r w:rsidR="00FB6212" w:rsidRPr="002E4477">
        <w:rPr>
          <w:bCs/>
          <w:szCs w:val="28"/>
        </w:rPr>
        <w:t xml:space="preserve">, si se aceptara el desconocimiento </w:t>
      </w:r>
      <w:r w:rsidR="00E6533F" w:rsidRPr="002E4477">
        <w:rPr>
          <w:bCs/>
          <w:szCs w:val="28"/>
        </w:rPr>
        <w:t xml:space="preserve">general </w:t>
      </w:r>
      <w:r w:rsidR="00FB6212" w:rsidRPr="002E4477">
        <w:rPr>
          <w:bCs/>
          <w:szCs w:val="28"/>
        </w:rPr>
        <w:t xml:space="preserve">de las sentencias de la Corte Constitucional y no existieran mecanismos para revertir </w:t>
      </w:r>
      <w:r w:rsidR="00C65E16" w:rsidRPr="002E4477">
        <w:rPr>
          <w:bCs/>
          <w:szCs w:val="28"/>
        </w:rPr>
        <w:t xml:space="preserve">las </w:t>
      </w:r>
      <w:r w:rsidR="00FB6212" w:rsidRPr="002E4477">
        <w:rPr>
          <w:bCs/>
          <w:szCs w:val="28"/>
        </w:rPr>
        <w:t xml:space="preserve">actuaciones ajenas al marco constitucional, las consecuencias de esa situación llevarían a poner en tela de juicio la supremacía </w:t>
      </w:r>
      <w:r w:rsidR="00185224" w:rsidRPr="002E4477">
        <w:rPr>
          <w:bCs/>
          <w:szCs w:val="28"/>
        </w:rPr>
        <w:t xml:space="preserve">de la Carta </w:t>
      </w:r>
      <w:r w:rsidR="00111550" w:rsidRPr="002E4477">
        <w:rPr>
          <w:bCs/>
          <w:szCs w:val="28"/>
        </w:rPr>
        <w:t xml:space="preserve">y </w:t>
      </w:r>
      <w:r w:rsidR="00FB6212" w:rsidRPr="002E4477">
        <w:rPr>
          <w:bCs/>
          <w:szCs w:val="28"/>
        </w:rPr>
        <w:t xml:space="preserve">el mandato contenido en los artículos 4º, 241 y 243 </w:t>
      </w:r>
      <w:r w:rsidR="0035726A" w:rsidRPr="002E4477">
        <w:rPr>
          <w:bCs/>
          <w:szCs w:val="28"/>
        </w:rPr>
        <w:t>superiores</w:t>
      </w:r>
      <w:r w:rsidR="00F66F1A" w:rsidRPr="002E4477">
        <w:rPr>
          <w:bCs/>
          <w:szCs w:val="28"/>
        </w:rPr>
        <w:t xml:space="preserve">, </w:t>
      </w:r>
      <w:r w:rsidR="0008474D">
        <w:rPr>
          <w:bCs/>
          <w:szCs w:val="28"/>
        </w:rPr>
        <w:t>con lo que se pone en peligro</w:t>
      </w:r>
      <w:r w:rsidR="00185224" w:rsidRPr="002E4477">
        <w:rPr>
          <w:bCs/>
          <w:szCs w:val="28"/>
        </w:rPr>
        <w:t xml:space="preserve"> la </w:t>
      </w:r>
      <w:r w:rsidR="0035726A" w:rsidRPr="002E4477">
        <w:rPr>
          <w:bCs/>
          <w:szCs w:val="28"/>
        </w:rPr>
        <w:t xml:space="preserve">estructura y articulación </w:t>
      </w:r>
      <w:r w:rsidR="00185224" w:rsidRPr="002E4477">
        <w:rPr>
          <w:bCs/>
          <w:szCs w:val="28"/>
        </w:rPr>
        <w:t>d</w:t>
      </w:r>
      <w:r w:rsidR="00FB6212" w:rsidRPr="002E4477">
        <w:rPr>
          <w:bCs/>
          <w:szCs w:val="28"/>
        </w:rPr>
        <w:t xml:space="preserve">el ordenamiento jurídico en su conjunto. </w:t>
      </w:r>
    </w:p>
    <w:p w14:paraId="0FB2B786" w14:textId="77777777" w:rsidR="00FB6212" w:rsidRPr="002E4477" w:rsidRDefault="00FB6212" w:rsidP="002807A3">
      <w:pPr>
        <w:pStyle w:val="Prrafodelista"/>
        <w:ind w:left="0"/>
        <w:contextualSpacing/>
        <w:jc w:val="both"/>
        <w:rPr>
          <w:bCs/>
          <w:szCs w:val="28"/>
        </w:rPr>
      </w:pPr>
    </w:p>
    <w:p w14:paraId="563738D0" w14:textId="77777777" w:rsidR="00A363C0" w:rsidRPr="0008474D" w:rsidRDefault="003D3E36" w:rsidP="00962603">
      <w:pPr>
        <w:numPr>
          <w:ilvl w:val="0"/>
          <w:numId w:val="10"/>
        </w:numPr>
        <w:shd w:val="clear" w:color="auto" w:fill="FFFFFF"/>
        <w:jc w:val="both"/>
        <w:rPr>
          <w:bCs/>
          <w:szCs w:val="28"/>
        </w:rPr>
      </w:pPr>
      <w:r w:rsidRPr="002E4477">
        <w:rPr>
          <w:bCs/>
          <w:szCs w:val="28"/>
        </w:rPr>
        <w:t xml:space="preserve">En consideración </w:t>
      </w:r>
      <w:r w:rsidR="00DA3EF9">
        <w:rPr>
          <w:bCs/>
          <w:szCs w:val="28"/>
        </w:rPr>
        <w:t>con</w:t>
      </w:r>
      <w:r w:rsidRPr="002E4477">
        <w:rPr>
          <w:bCs/>
          <w:szCs w:val="28"/>
        </w:rPr>
        <w:t xml:space="preserve"> lo anterior, </w:t>
      </w:r>
      <w:r w:rsidR="0012354A" w:rsidRPr="002E4477">
        <w:rPr>
          <w:bCs/>
          <w:szCs w:val="28"/>
        </w:rPr>
        <w:t xml:space="preserve">es </w:t>
      </w:r>
      <w:r w:rsidR="00111550" w:rsidRPr="002E4477">
        <w:rPr>
          <w:bCs/>
          <w:szCs w:val="28"/>
        </w:rPr>
        <w:t xml:space="preserve">necesario </w:t>
      </w:r>
      <w:r w:rsidR="0012354A" w:rsidRPr="002E4477">
        <w:rPr>
          <w:bCs/>
          <w:szCs w:val="28"/>
        </w:rPr>
        <w:t xml:space="preserve">precisar que </w:t>
      </w:r>
      <w:r w:rsidR="009125EE" w:rsidRPr="002E4477">
        <w:rPr>
          <w:bCs/>
          <w:szCs w:val="28"/>
        </w:rPr>
        <w:t>l</w:t>
      </w:r>
      <w:r w:rsidR="0008474D">
        <w:rPr>
          <w:bCs/>
          <w:szCs w:val="28"/>
        </w:rPr>
        <w:t>a mayoría del</w:t>
      </w:r>
      <w:r w:rsidR="009125EE" w:rsidRPr="002E4477">
        <w:rPr>
          <w:bCs/>
          <w:szCs w:val="28"/>
        </w:rPr>
        <w:t xml:space="preserve"> Consejo de Estado</w:t>
      </w:r>
      <w:r w:rsidR="0012354A" w:rsidRPr="002E4477">
        <w:rPr>
          <w:bCs/>
          <w:szCs w:val="28"/>
        </w:rPr>
        <w:t xml:space="preserve"> en este caso,</w:t>
      </w:r>
      <w:r w:rsidR="009125EE" w:rsidRPr="002E4477">
        <w:rPr>
          <w:bCs/>
          <w:szCs w:val="28"/>
        </w:rPr>
        <w:t xml:space="preserve"> </w:t>
      </w:r>
      <w:r w:rsidR="0008474D">
        <w:rPr>
          <w:bCs/>
          <w:szCs w:val="28"/>
        </w:rPr>
        <w:t>no analizó ni consideró</w:t>
      </w:r>
      <w:r w:rsidR="009125EE" w:rsidRPr="002E4477">
        <w:rPr>
          <w:bCs/>
          <w:szCs w:val="28"/>
        </w:rPr>
        <w:t xml:space="preserve"> l</w:t>
      </w:r>
      <w:r w:rsidR="0012354A" w:rsidRPr="002E4477">
        <w:rPr>
          <w:bCs/>
          <w:szCs w:val="28"/>
        </w:rPr>
        <w:t>os alcances de la</w:t>
      </w:r>
      <w:r w:rsidR="009125EE" w:rsidRPr="002E4477">
        <w:rPr>
          <w:bCs/>
          <w:szCs w:val="28"/>
        </w:rPr>
        <w:t xml:space="preserve"> sentencia de la Corte Constitucional</w:t>
      </w:r>
      <w:r w:rsidR="002B3678" w:rsidRPr="002E4477">
        <w:rPr>
          <w:bCs/>
          <w:szCs w:val="28"/>
        </w:rPr>
        <w:t xml:space="preserve"> en mención</w:t>
      </w:r>
      <w:r w:rsidR="0005126D" w:rsidRPr="002E4477">
        <w:rPr>
          <w:bCs/>
          <w:szCs w:val="28"/>
        </w:rPr>
        <w:t>,</w:t>
      </w:r>
      <w:r w:rsidR="0012354A" w:rsidRPr="002E4477">
        <w:rPr>
          <w:bCs/>
          <w:szCs w:val="28"/>
        </w:rPr>
        <w:t xml:space="preserve"> al no</w:t>
      </w:r>
      <w:r w:rsidRPr="002E4477">
        <w:rPr>
          <w:bCs/>
          <w:szCs w:val="28"/>
        </w:rPr>
        <w:t xml:space="preserve"> integr</w:t>
      </w:r>
      <w:r w:rsidR="0012354A" w:rsidRPr="002E4477">
        <w:rPr>
          <w:bCs/>
          <w:szCs w:val="28"/>
        </w:rPr>
        <w:t>ar</w:t>
      </w:r>
      <w:r w:rsidRPr="002E4477">
        <w:rPr>
          <w:bCs/>
          <w:szCs w:val="28"/>
        </w:rPr>
        <w:t xml:space="preserve"> a la interpretaci</w:t>
      </w:r>
      <w:r w:rsidR="002B3678" w:rsidRPr="002E4477">
        <w:rPr>
          <w:bCs/>
          <w:szCs w:val="28"/>
        </w:rPr>
        <w:t xml:space="preserve">ón textual de la </w:t>
      </w:r>
      <w:r w:rsidRPr="002E4477">
        <w:rPr>
          <w:bCs/>
          <w:szCs w:val="28"/>
        </w:rPr>
        <w:t>norma</w:t>
      </w:r>
      <w:r w:rsidR="00C65E16" w:rsidRPr="002E4477">
        <w:rPr>
          <w:bCs/>
          <w:szCs w:val="28"/>
        </w:rPr>
        <w:t>,</w:t>
      </w:r>
      <w:r w:rsidR="00FC1463" w:rsidRPr="002E4477">
        <w:rPr>
          <w:bCs/>
          <w:szCs w:val="28"/>
        </w:rPr>
        <w:t xml:space="preserve"> </w:t>
      </w:r>
      <w:r w:rsidRPr="002E4477">
        <w:rPr>
          <w:bCs/>
          <w:szCs w:val="28"/>
        </w:rPr>
        <w:t>las explicaciones que</w:t>
      </w:r>
      <w:r w:rsidR="00F66F1A" w:rsidRPr="002E4477">
        <w:rPr>
          <w:bCs/>
          <w:szCs w:val="28"/>
        </w:rPr>
        <w:t xml:space="preserve"> es</w:t>
      </w:r>
      <w:r w:rsidR="00F66F1A" w:rsidRPr="0008474D">
        <w:rPr>
          <w:bCs/>
          <w:szCs w:val="28"/>
        </w:rPr>
        <w:t xml:space="preserve">te Tribunal </w:t>
      </w:r>
      <w:r w:rsidRPr="0008474D">
        <w:rPr>
          <w:bCs/>
          <w:szCs w:val="28"/>
        </w:rPr>
        <w:t xml:space="preserve">dio en la </w:t>
      </w:r>
      <w:r w:rsidR="00C65E16" w:rsidRPr="0008474D">
        <w:rPr>
          <w:bCs/>
          <w:szCs w:val="28"/>
        </w:rPr>
        <w:t xml:space="preserve">parte motiva de la </w:t>
      </w:r>
      <w:r w:rsidR="000202AA" w:rsidRPr="00CC4CFC">
        <w:rPr>
          <w:b/>
          <w:szCs w:val="28"/>
        </w:rPr>
        <w:t>S</w:t>
      </w:r>
      <w:r w:rsidR="00185224" w:rsidRPr="00CC4CFC">
        <w:rPr>
          <w:b/>
          <w:szCs w:val="28"/>
        </w:rPr>
        <w:t>entencia</w:t>
      </w:r>
      <w:r w:rsidR="002B3678" w:rsidRPr="00CC4CFC">
        <w:rPr>
          <w:b/>
          <w:szCs w:val="28"/>
        </w:rPr>
        <w:t xml:space="preserve"> C-285 de 2016</w:t>
      </w:r>
      <w:r w:rsidR="0012354A" w:rsidRPr="0008474D">
        <w:rPr>
          <w:bCs/>
          <w:szCs w:val="28"/>
        </w:rPr>
        <w:t xml:space="preserve"> sobre los efectos que debería </w:t>
      </w:r>
      <w:r w:rsidR="000202AA" w:rsidRPr="0008474D">
        <w:rPr>
          <w:bCs/>
          <w:szCs w:val="28"/>
        </w:rPr>
        <w:t xml:space="preserve">tener ese </w:t>
      </w:r>
      <w:r w:rsidR="0035726A" w:rsidRPr="0008474D">
        <w:rPr>
          <w:bCs/>
          <w:szCs w:val="28"/>
        </w:rPr>
        <w:t>precepto</w:t>
      </w:r>
      <w:r w:rsidR="0012354A" w:rsidRPr="0008474D">
        <w:rPr>
          <w:bCs/>
          <w:szCs w:val="28"/>
        </w:rPr>
        <w:t xml:space="preserve"> constitucional</w:t>
      </w:r>
      <w:r w:rsidR="002824FA" w:rsidRPr="0008474D">
        <w:rPr>
          <w:bCs/>
          <w:szCs w:val="28"/>
        </w:rPr>
        <w:t>.</w:t>
      </w:r>
      <w:r w:rsidR="002B3678" w:rsidRPr="0008474D">
        <w:rPr>
          <w:bCs/>
          <w:szCs w:val="28"/>
        </w:rPr>
        <w:t xml:space="preserve"> </w:t>
      </w:r>
    </w:p>
    <w:p w14:paraId="1F8B790D" w14:textId="77777777" w:rsidR="00AA27A6" w:rsidRPr="0008474D" w:rsidRDefault="00AA27A6" w:rsidP="002807A3">
      <w:pPr>
        <w:pStyle w:val="Prrafodelista"/>
        <w:ind w:left="0"/>
        <w:contextualSpacing/>
        <w:jc w:val="both"/>
        <w:rPr>
          <w:bCs/>
          <w:szCs w:val="28"/>
        </w:rPr>
      </w:pPr>
    </w:p>
    <w:p w14:paraId="44AFBA5E" w14:textId="77777777" w:rsidR="00D15481" w:rsidRPr="002E4477" w:rsidRDefault="002B3678" w:rsidP="00962603">
      <w:pPr>
        <w:numPr>
          <w:ilvl w:val="0"/>
          <w:numId w:val="10"/>
        </w:numPr>
        <w:shd w:val="clear" w:color="auto" w:fill="FFFFFF"/>
        <w:jc w:val="both"/>
        <w:rPr>
          <w:bCs/>
          <w:szCs w:val="28"/>
        </w:rPr>
      </w:pPr>
      <w:r w:rsidRPr="0008474D">
        <w:rPr>
          <w:bCs/>
          <w:szCs w:val="28"/>
        </w:rPr>
        <w:t xml:space="preserve">Como se desprende </w:t>
      </w:r>
      <w:r w:rsidR="0008474D">
        <w:rPr>
          <w:bCs/>
          <w:szCs w:val="28"/>
        </w:rPr>
        <w:t>de lo anterior</w:t>
      </w:r>
      <w:r w:rsidRPr="0008474D">
        <w:rPr>
          <w:bCs/>
          <w:szCs w:val="28"/>
        </w:rPr>
        <w:t xml:space="preserve">, el Tribunal Constitucional </w:t>
      </w:r>
      <w:r w:rsidR="00EA0580" w:rsidRPr="0008474D">
        <w:rPr>
          <w:bCs/>
          <w:szCs w:val="28"/>
        </w:rPr>
        <w:t>no s</w:t>
      </w:r>
      <w:r w:rsidR="00C80E03">
        <w:rPr>
          <w:bCs/>
          <w:szCs w:val="28"/>
        </w:rPr>
        <w:t>o</w:t>
      </w:r>
      <w:r w:rsidR="00EA0580" w:rsidRPr="0008474D">
        <w:rPr>
          <w:bCs/>
          <w:szCs w:val="28"/>
        </w:rPr>
        <w:t xml:space="preserve">lo declaró inexequible </w:t>
      </w:r>
      <w:r w:rsidR="00185224" w:rsidRPr="0008474D">
        <w:rPr>
          <w:bCs/>
          <w:szCs w:val="28"/>
        </w:rPr>
        <w:t xml:space="preserve">en esa oportunidad </w:t>
      </w:r>
      <w:r w:rsidR="00EA0580" w:rsidRPr="0008474D">
        <w:rPr>
          <w:bCs/>
          <w:szCs w:val="28"/>
        </w:rPr>
        <w:t>el régimen de transición</w:t>
      </w:r>
      <w:r w:rsidR="003D3E36" w:rsidRPr="0008474D">
        <w:rPr>
          <w:bCs/>
          <w:szCs w:val="28"/>
        </w:rPr>
        <w:t xml:space="preserve"> consagrado en el artículo 18 del A.L.</w:t>
      </w:r>
      <w:r w:rsidR="00FC1463" w:rsidRPr="0008474D">
        <w:rPr>
          <w:bCs/>
          <w:szCs w:val="28"/>
        </w:rPr>
        <w:t xml:space="preserve"> </w:t>
      </w:r>
      <w:r w:rsidRPr="0008474D">
        <w:rPr>
          <w:bCs/>
          <w:szCs w:val="28"/>
        </w:rPr>
        <w:t>0</w:t>
      </w:r>
      <w:r w:rsidR="003D3E36" w:rsidRPr="0008474D">
        <w:rPr>
          <w:bCs/>
          <w:szCs w:val="28"/>
        </w:rPr>
        <w:t>2</w:t>
      </w:r>
      <w:r w:rsidRPr="0008474D">
        <w:rPr>
          <w:bCs/>
          <w:szCs w:val="28"/>
        </w:rPr>
        <w:t xml:space="preserve"> de 2015</w:t>
      </w:r>
      <w:r w:rsidR="00FC1463" w:rsidRPr="0008474D">
        <w:rPr>
          <w:bCs/>
          <w:szCs w:val="28"/>
        </w:rPr>
        <w:t>, único aspecto que</w:t>
      </w:r>
      <w:r w:rsidR="00FC1463" w:rsidRPr="002E4477">
        <w:rPr>
          <w:bCs/>
          <w:szCs w:val="28"/>
        </w:rPr>
        <w:t xml:space="preserve"> valoró </w:t>
      </w:r>
      <w:r w:rsidR="00EA0580" w:rsidRPr="002E4477">
        <w:rPr>
          <w:bCs/>
          <w:szCs w:val="28"/>
        </w:rPr>
        <w:t xml:space="preserve">la decisión </w:t>
      </w:r>
      <w:r w:rsidRPr="002E4477">
        <w:rPr>
          <w:bCs/>
          <w:szCs w:val="28"/>
        </w:rPr>
        <w:t xml:space="preserve">del Consejo de Estado </w:t>
      </w:r>
      <w:r w:rsidR="0043558C" w:rsidRPr="002E4477">
        <w:rPr>
          <w:bCs/>
          <w:szCs w:val="28"/>
        </w:rPr>
        <w:t>de manera irrestricta</w:t>
      </w:r>
      <w:r w:rsidR="00EA0580" w:rsidRPr="002E4477">
        <w:rPr>
          <w:bCs/>
          <w:szCs w:val="28"/>
        </w:rPr>
        <w:t>, sino que paralelamente</w:t>
      </w:r>
      <w:r w:rsidR="0005126D" w:rsidRPr="002E4477">
        <w:rPr>
          <w:bCs/>
          <w:szCs w:val="28"/>
        </w:rPr>
        <w:t xml:space="preserve"> clarificó </w:t>
      </w:r>
      <w:r w:rsidRPr="002E4477">
        <w:rPr>
          <w:bCs/>
          <w:szCs w:val="28"/>
        </w:rPr>
        <w:t>los efectos de</w:t>
      </w:r>
      <w:r w:rsidR="0043558C" w:rsidRPr="002E4477">
        <w:rPr>
          <w:bCs/>
          <w:szCs w:val="28"/>
        </w:rPr>
        <w:t xml:space="preserve"> mucha</w:t>
      </w:r>
      <w:r w:rsidR="00EA0580" w:rsidRPr="002E4477">
        <w:rPr>
          <w:bCs/>
          <w:szCs w:val="28"/>
        </w:rPr>
        <w:t>s de las normas que conservaron su vigencia</w:t>
      </w:r>
      <w:r w:rsidR="0043558C" w:rsidRPr="002E4477">
        <w:rPr>
          <w:bCs/>
          <w:szCs w:val="28"/>
        </w:rPr>
        <w:t xml:space="preserve"> o que </w:t>
      </w:r>
      <w:r w:rsidR="00CC4CFC">
        <w:rPr>
          <w:bCs/>
          <w:szCs w:val="28"/>
        </w:rPr>
        <w:t>pervivieron en el</w:t>
      </w:r>
      <w:r w:rsidR="0043558C" w:rsidRPr="002E4477">
        <w:rPr>
          <w:bCs/>
          <w:szCs w:val="28"/>
        </w:rPr>
        <w:t xml:space="preserve"> ordenamiento jurídico</w:t>
      </w:r>
      <w:r w:rsidR="00185224" w:rsidRPr="002E4477">
        <w:rPr>
          <w:bCs/>
          <w:szCs w:val="28"/>
        </w:rPr>
        <w:t xml:space="preserve">. También </w:t>
      </w:r>
      <w:r w:rsidR="00C65E16" w:rsidRPr="002E4477">
        <w:rPr>
          <w:bCs/>
          <w:szCs w:val="28"/>
        </w:rPr>
        <w:t xml:space="preserve">fijó criterios de </w:t>
      </w:r>
      <w:r w:rsidR="00EA0580" w:rsidRPr="002E4477">
        <w:rPr>
          <w:bCs/>
          <w:szCs w:val="28"/>
        </w:rPr>
        <w:t>interpretación concreta</w:t>
      </w:r>
      <w:r w:rsidR="0005126D" w:rsidRPr="002E4477">
        <w:rPr>
          <w:bCs/>
          <w:szCs w:val="28"/>
        </w:rPr>
        <w:t xml:space="preserve"> para otras</w:t>
      </w:r>
      <w:r w:rsidR="0043558C" w:rsidRPr="002E4477">
        <w:rPr>
          <w:bCs/>
          <w:szCs w:val="28"/>
        </w:rPr>
        <w:t xml:space="preserve">, </w:t>
      </w:r>
      <w:r w:rsidR="0005126D" w:rsidRPr="002E4477">
        <w:rPr>
          <w:bCs/>
          <w:szCs w:val="28"/>
        </w:rPr>
        <w:t xml:space="preserve">y propuso </w:t>
      </w:r>
      <w:r w:rsidRPr="002E4477">
        <w:rPr>
          <w:bCs/>
          <w:szCs w:val="28"/>
        </w:rPr>
        <w:t>frente a cada una de ellas</w:t>
      </w:r>
      <w:r w:rsidR="0043558C" w:rsidRPr="002E4477">
        <w:rPr>
          <w:bCs/>
          <w:szCs w:val="28"/>
        </w:rPr>
        <w:t xml:space="preserve"> un </w:t>
      </w:r>
      <w:r w:rsidR="00EA0580" w:rsidRPr="002E4477">
        <w:rPr>
          <w:bCs/>
          <w:szCs w:val="28"/>
        </w:rPr>
        <w:t>resultado que estim</w:t>
      </w:r>
      <w:r w:rsidRPr="002E4477">
        <w:rPr>
          <w:bCs/>
          <w:szCs w:val="28"/>
        </w:rPr>
        <w:t>ó</w:t>
      </w:r>
      <w:r w:rsidR="0043558C" w:rsidRPr="002E4477">
        <w:rPr>
          <w:bCs/>
          <w:szCs w:val="28"/>
        </w:rPr>
        <w:t xml:space="preserve"> </w:t>
      </w:r>
      <w:r w:rsidR="00EA0580" w:rsidRPr="002E4477">
        <w:rPr>
          <w:bCs/>
          <w:szCs w:val="28"/>
        </w:rPr>
        <w:t>arm</w:t>
      </w:r>
      <w:r w:rsidR="0043558C" w:rsidRPr="002E4477">
        <w:rPr>
          <w:bCs/>
          <w:szCs w:val="28"/>
        </w:rPr>
        <w:t xml:space="preserve">ónico </w:t>
      </w:r>
      <w:r w:rsidR="0005126D" w:rsidRPr="002E4477">
        <w:rPr>
          <w:bCs/>
          <w:szCs w:val="28"/>
        </w:rPr>
        <w:t>con el</w:t>
      </w:r>
      <w:r w:rsidR="00EA0580" w:rsidRPr="002E4477">
        <w:rPr>
          <w:bCs/>
          <w:szCs w:val="28"/>
        </w:rPr>
        <w:t xml:space="preserve"> querer del </w:t>
      </w:r>
      <w:r w:rsidR="0005126D" w:rsidRPr="002E4477">
        <w:rPr>
          <w:bCs/>
          <w:szCs w:val="28"/>
        </w:rPr>
        <w:t>c</w:t>
      </w:r>
      <w:r w:rsidR="00EA0580" w:rsidRPr="002E4477">
        <w:rPr>
          <w:bCs/>
          <w:szCs w:val="28"/>
        </w:rPr>
        <w:t xml:space="preserve">onstituyente </w:t>
      </w:r>
      <w:r w:rsidR="00C65E16" w:rsidRPr="002E4477">
        <w:rPr>
          <w:bCs/>
          <w:szCs w:val="28"/>
        </w:rPr>
        <w:t>y con la Carta del 91</w:t>
      </w:r>
      <w:r w:rsidR="00EA0580" w:rsidRPr="002E4477">
        <w:rPr>
          <w:bCs/>
          <w:szCs w:val="28"/>
        </w:rPr>
        <w:t xml:space="preserve">. </w:t>
      </w:r>
      <w:r w:rsidR="00C65E16" w:rsidRPr="002E4477">
        <w:rPr>
          <w:bCs/>
          <w:szCs w:val="28"/>
        </w:rPr>
        <w:t>Un</w:t>
      </w:r>
      <w:r w:rsidR="00D15481" w:rsidRPr="002E4477">
        <w:rPr>
          <w:bCs/>
          <w:szCs w:val="28"/>
        </w:rPr>
        <w:t xml:space="preserve">a actuación judicial del guardián de la Carta, que </w:t>
      </w:r>
      <w:r w:rsidR="002824FA" w:rsidRPr="002E4477">
        <w:rPr>
          <w:bCs/>
          <w:szCs w:val="28"/>
        </w:rPr>
        <w:t xml:space="preserve">forma parte de </w:t>
      </w:r>
      <w:r w:rsidR="00BD4CDD" w:rsidRPr="002E4477">
        <w:rPr>
          <w:bCs/>
          <w:szCs w:val="28"/>
        </w:rPr>
        <w:t xml:space="preserve">sus </w:t>
      </w:r>
      <w:r w:rsidR="00D15481" w:rsidRPr="002E4477">
        <w:rPr>
          <w:bCs/>
          <w:szCs w:val="28"/>
        </w:rPr>
        <w:t xml:space="preserve">competencias reconocidas de tiempo atrás en materia de control constitucional, </w:t>
      </w:r>
      <w:r w:rsidR="002824FA" w:rsidRPr="002E4477">
        <w:rPr>
          <w:bCs/>
          <w:szCs w:val="28"/>
        </w:rPr>
        <w:t xml:space="preserve">teniendo en cuenta </w:t>
      </w:r>
      <w:r w:rsidR="00D15481" w:rsidRPr="002E4477">
        <w:rPr>
          <w:bCs/>
          <w:szCs w:val="28"/>
        </w:rPr>
        <w:t>que</w:t>
      </w:r>
      <w:r w:rsidR="0035726A" w:rsidRPr="002E4477">
        <w:rPr>
          <w:bCs/>
          <w:szCs w:val="28"/>
        </w:rPr>
        <w:t xml:space="preserve">, como lo ha mencionado </w:t>
      </w:r>
      <w:r w:rsidR="00946BED" w:rsidRPr="0008474D">
        <w:rPr>
          <w:bCs/>
          <w:szCs w:val="28"/>
        </w:rPr>
        <w:t xml:space="preserve">esta Corte </w:t>
      </w:r>
      <w:r w:rsidR="0035726A" w:rsidRPr="0008474D">
        <w:rPr>
          <w:bCs/>
          <w:szCs w:val="28"/>
        </w:rPr>
        <w:t>en</w:t>
      </w:r>
      <w:r w:rsidR="0035726A" w:rsidRPr="002E4477">
        <w:rPr>
          <w:bCs/>
          <w:szCs w:val="28"/>
        </w:rPr>
        <w:t xml:space="preserve"> otras oportunidades</w:t>
      </w:r>
      <w:r w:rsidR="00D15481" w:rsidRPr="002E4477">
        <w:rPr>
          <w:bCs/>
          <w:szCs w:val="28"/>
        </w:rPr>
        <w:t xml:space="preserve">: </w:t>
      </w:r>
    </w:p>
    <w:p w14:paraId="248D8F67" w14:textId="77777777" w:rsidR="00D15481" w:rsidRPr="002E4477" w:rsidRDefault="00D15481" w:rsidP="0028270C">
      <w:pPr>
        <w:pStyle w:val="Prrafodelista"/>
        <w:ind w:left="567"/>
        <w:contextualSpacing/>
        <w:jc w:val="both"/>
        <w:rPr>
          <w:bCs/>
          <w:szCs w:val="28"/>
        </w:rPr>
      </w:pPr>
    </w:p>
    <w:p w14:paraId="65C3216E" w14:textId="77777777" w:rsidR="009125EE" w:rsidRPr="00563282" w:rsidRDefault="00D15481" w:rsidP="00763D25">
      <w:pPr>
        <w:pStyle w:val="Prrafodelista"/>
        <w:ind w:left="284"/>
        <w:contextualSpacing/>
        <w:jc w:val="both"/>
        <w:rPr>
          <w:bCs/>
          <w:sz w:val="26"/>
          <w:szCs w:val="26"/>
        </w:rPr>
      </w:pPr>
      <w:r w:rsidRPr="002E4477">
        <w:rPr>
          <w:bCs/>
          <w:sz w:val="24"/>
          <w:szCs w:val="24"/>
        </w:rPr>
        <w:t xml:space="preserve"> </w:t>
      </w:r>
      <w:r w:rsidRPr="00563282">
        <w:rPr>
          <w:bCs/>
          <w:i/>
          <w:iCs/>
          <w:sz w:val="26"/>
          <w:szCs w:val="26"/>
        </w:rPr>
        <w:t xml:space="preserve">“[E]l juez constitucional cuenta con varias alternativas al momento de adoptar una determinación, ya que su deber es pronunciarse de la forma que mejor permita asegurar la integridad del texto constitucional, </w:t>
      </w:r>
      <w:r w:rsidRPr="00563282">
        <w:rPr>
          <w:b/>
          <w:i/>
          <w:iCs/>
          <w:sz w:val="26"/>
          <w:szCs w:val="26"/>
        </w:rPr>
        <w:t>para lo cual puede modular los efectos de sus sentencias ya sea desde el punto de vista del contenido de la decisión, ya sea desde el punto de vista de sus efectos temporales</w:t>
      </w:r>
      <w:r w:rsidRPr="00563282">
        <w:rPr>
          <w:bCs/>
          <w:sz w:val="26"/>
          <w:szCs w:val="26"/>
        </w:rPr>
        <w:t>”</w:t>
      </w:r>
      <w:r w:rsidRPr="00563282">
        <w:rPr>
          <w:rStyle w:val="Refdenotaalpie"/>
          <w:bCs/>
          <w:sz w:val="26"/>
          <w:szCs w:val="26"/>
        </w:rPr>
        <w:footnoteReference w:id="380"/>
      </w:r>
      <w:r w:rsidR="002824FA" w:rsidRPr="00563282">
        <w:rPr>
          <w:bCs/>
          <w:sz w:val="26"/>
          <w:szCs w:val="26"/>
        </w:rPr>
        <w:t xml:space="preserve"> (Negrillas fuera del original)</w:t>
      </w:r>
      <w:r w:rsidRPr="00563282">
        <w:rPr>
          <w:bCs/>
          <w:sz w:val="26"/>
          <w:szCs w:val="26"/>
        </w:rPr>
        <w:t>.</w:t>
      </w:r>
    </w:p>
    <w:p w14:paraId="09E66FF3" w14:textId="77777777" w:rsidR="004E35B6" w:rsidRPr="002E4477" w:rsidRDefault="004E35B6" w:rsidP="002807A3">
      <w:pPr>
        <w:pStyle w:val="Prrafodelista"/>
        <w:ind w:left="567"/>
        <w:contextualSpacing/>
        <w:jc w:val="both"/>
        <w:rPr>
          <w:bCs/>
          <w:szCs w:val="28"/>
        </w:rPr>
      </w:pPr>
    </w:p>
    <w:p w14:paraId="686181D6" w14:textId="77777777" w:rsidR="007A5D14" w:rsidRPr="00E331E9" w:rsidRDefault="000668B1" w:rsidP="00962603">
      <w:pPr>
        <w:numPr>
          <w:ilvl w:val="0"/>
          <w:numId w:val="10"/>
        </w:numPr>
        <w:shd w:val="clear" w:color="auto" w:fill="FFFFFF"/>
        <w:jc w:val="both"/>
        <w:rPr>
          <w:bCs/>
          <w:szCs w:val="28"/>
        </w:rPr>
      </w:pPr>
      <w:r w:rsidRPr="00E331E9">
        <w:rPr>
          <w:bCs/>
          <w:szCs w:val="28"/>
        </w:rPr>
        <w:t>Por ende</w:t>
      </w:r>
      <w:r w:rsidR="002B3678" w:rsidRPr="00E331E9">
        <w:rPr>
          <w:bCs/>
          <w:szCs w:val="28"/>
        </w:rPr>
        <w:t xml:space="preserve">, </w:t>
      </w:r>
      <w:r w:rsidR="00A363C0" w:rsidRPr="00E331E9">
        <w:rPr>
          <w:bCs/>
          <w:szCs w:val="28"/>
        </w:rPr>
        <w:t>a</w:t>
      </w:r>
      <w:r w:rsidR="002B3678" w:rsidRPr="00E331E9">
        <w:rPr>
          <w:bCs/>
          <w:szCs w:val="28"/>
        </w:rPr>
        <w:t xml:space="preserve">l separar </w:t>
      </w:r>
      <w:r w:rsidR="00946BED" w:rsidRPr="00E331E9">
        <w:rPr>
          <w:bCs/>
          <w:szCs w:val="28"/>
        </w:rPr>
        <w:t>la norma</w:t>
      </w:r>
      <w:r w:rsidR="002B3678" w:rsidRPr="00E331E9">
        <w:rPr>
          <w:bCs/>
          <w:szCs w:val="28"/>
        </w:rPr>
        <w:t xml:space="preserve"> constitucional</w:t>
      </w:r>
      <w:r w:rsidR="00946BED" w:rsidRPr="00E331E9">
        <w:rPr>
          <w:bCs/>
          <w:szCs w:val="28"/>
        </w:rPr>
        <w:t xml:space="preserve"> </w:t>
      </w:r>
      <w:r w:rsidR="002B3678" w:rsidRPr="00E331E9">
        <w:rPr>
          <w:bCs/>
          <w:szCs w:val="28"/>
        </w:rPr>
        <w:t xml:space="preserve">indicada </w:t>
      </w:r>
      <w:r w:rsidR="0005126D" w:rsidRPr="00E331E9">
        <w:rPr>
          <w:bCs/>
          <w:szCs w:val="28"/>
        </w:rPr>
        <w:t>d</w:t>
      </w:r>
      <w:r w:rsidR="002B3678" w:rsidRPr="00E331E9">
        <w:rPr>
          <w:bCs/>
          <w:szCs w:val="28"/>
        </w:rPr>
        <w:t>el análisis correspondiente realizado por la Corte Constitucional</w:t>
      </w:r>
      <w:r w:rsidR="002824FA" w:rsidRPr="00E331E9">
        <w:rPr>
          <w:bCs/>
          <w:szCs w:val="28"/>
        </w:rPr>
        <w:t xml:space="preserve"> en la sentencia modulada</w:t>
      </w:r>
      <w:r w:rsidR="00C65E16" w:rsidRPr="00E331E9">
        <w:rPr>
          <w:bCs/>
          <w:szCs w:val="28"/>
        </w:rPr>
        <w:t>,</w:t>
      </w:r>
      <w:r w:rsidR="002B3678" w:rsidRPr="00E331E9">
        <w:rPr>
          <w:bCs/>
          <w:szCs w:val="28"/>
        </w:rPr>
        <w:t xml:space="preserve"> </w:t>
      </w:r>
      <w:r w:rsidR="00E6533F" w:rsidRPr="00E331E9">
        <w:rPr>
          <w:bCs/>
          <w:szCs w:val="28"/>
        </w:rPr>
        <w:t>e</w:t>
      </w:r>
      <w:r w:rsidR="0005126D" w:rsidRPr="00E331E9">
        <w:rPr>
          <w:bCs/>
          <w:szCs w:val="28"/>
        </w:rPr>
        <w:t xml:space="preserve"> inferir</w:t>
      </w:r>
      <w:r w:rsidR="009125EE" w:rsidRPr="00E331E9">
        <w:rPr>
          <w:iCs/>
          <w:szCs w:val="28"/>
        </w:rPr>
        <w:t xml:space="preserve"> </w:t>
      </w:r>
      <w:r w:rsidR="002B3678" w:rsidRPr="00E331E9">
        <w:rPr>
          <w:iCs/>
          <w:szCs w:val="28"/>
        </w:rPr>
        <w:t xml:space="preserve">que esta Corporación </w:t>
      </w:r>
      <w:r w:rsidR="007A5D14" w:rsidRPr="00E331E9">
        <w:rPr>
          <w:iCs/>
          <w:szCs w:val="28"/>
        </w:rPr>
        <w:t>expulsó del mundo jurídico</w:t>
      </w:r>
      <w:r w:rsidR="0005126D" w:rsidRPr="00E331E9">
        <w:rPr>
          <w:iCs/>
          <w:szCs w:val="28"/>
        </w:rPr>
        <w:t xml:space="preserve"> </w:t>
      </w:r>
      <w:r w:rsidR="00BD4CDD" w:rsidRPr="00E331E9">
        <w:rPr>
          <w:b/>
          <w:bCs/>
          <w:iCs/>
          <w:szCs w:val="28"/>
        </w:rPr>
        <w:t>todas</w:t>
      </w:r>
      <w:r w:rsidR="00BD4CDD" w:rsidRPr="00E331E9">
        <w:rPr>
          <w:iCs/>
          <w:szCs w:val="28"/>
        </w:rPr>
        <w:t xml:space="preserve"> las</w:t>
      </w:r>
      <w:r w:rsidR="0005126D" w:rsidRPr="00E331E9">
        <w:rPr>
          <w:iCs/>
          <w:szCs w:val="28"/>
        </w:rPr>
        <w:t xml:space="preserve"> </w:t>
      </w:r>
      <w:r w:rsidR="002824FA" w:rsidRPr="00E331E9">
        <w:rPr>
          <w:iCs/>
          <w:szCs w:val="28"/>
        </w:rPr>
        <w:t>normas</w:t>
      </w:r>
      <w:r w:rsidR="0005126D" w:rsidRPr="00E331E9">
        <w:rPr>
          <w:iCs/>
          <w:szCs w:val="28"/>
        </w:rPr>
        <w:t xml:space="preserve"> </w:t>
      </w:r>
      <w:r w:rsidR="00A363C0" w:rsidRPr="00E331E9">
        <w:rPr>
          <w:iCs/>
          <w:szCs w:val="28"/>
        </w:rPr>
        <w:t xml:space="preserve">transitorias </w:t>
      </w:r>
      <w:r w:rsidR="0005126D" w:rsidRPr="00E331E9">
        <w:rPr>
          <w:iCs/>
          <w:szCs w:val="28"/>
        </w:rPr>
        <w:t xml:space="preserve">relacionadas con la CNDJ sin ninguna reflexión </w:t>
      </w:r>
      <w:r w:rsidR="00A363C0" w:rsidRPr="00E331E9">
        <w:rPr>
          <w:iCs/>
          <w:szCs w:val="28"/>
        </w:rPr>
        <w:t>sobre los pormenores de la designación de sus miembros</w:t>
      </w:r>
      <w:r w:rsidR="002824FA" w:rsidRPr="00E331E9">
        <w:rPr>
          <w:iCs/>
          <w:szCs w:val="28"/>
        </w:rPr>
        <w:t>,</w:t>
      </w:r>
      <w:r w:rsidR="00407605" w:rsidRPr="00E331E9">
        <w:rPr>
          <w:iCs/>
          <w:szCs w:val="28"/>
        </w:rPr>
        <w:t xml:space="preserve"> el Consejo de Estado</w:t>
      </w:r>
      <w:r w:rsidR="002B3678" w:rsidRPr="00E331E9">
        <w:rPr>
          <w:iCs/>
          <w:szCs w:val="28"/>
        </w:rPr>
        <w:t xml:space="preserve"> </w:t>
      </w:r>
      <w:r w:rsidR="00A363C0" w:rsidRPr="00E331E9">
        <w:rPr>
          <w:iCs/>
          <w:szCs w:val="28"/>
        </w:rPr>
        <w:t>arribó a un resultado</w:t>
      </w:r>
      <w:r w:rsidR="002824FA" w:rsidRPr="00E331E9">
        <w:rPr>
          <w:iCs/>
          <w:szCs w:val="28"/>
        </w:rPr>
        <w:t xml:space="preserve"> en el análisis de esta problemática, </w:t>
      </w:r>
      <w:r w:rsidR="00A363C0" w:rsidRPr="00E331E9">
        <w:rPr>
          <w:iCs/>
          <w:szCs w:val="28"/>
        </w:rPr>
        <w:t xml:space="preserve">que </w:t>
      </w:r>
      <w:r w:rsidR="002B3678" w:rsidRPr="00E331E9">
        <w:rPr>
          <w:iCs/>
          <w:szCs w:val="28"/>
        </w:rPr>
        <w:t xml:space="preserve">no </w:t>
      </w:r>
      <w:r w:rsidR="00C65E16" w:rsidRPr="00E331E9">
        <w:rPr>
          <w:iCs/>
          <w:szCs w:val="28"/>
        </w:rPr>
        <w:t>cor</w:t>
      </w:r>
      <w:r w:rsidR="002B3678" w:rsidRPr="00E331E9">
        <w:rPr>
          <w:iCs/>
          <w:szCs w:val="28"/>
        </w:rPr>
        <w:t>responde</w:t>
      </w:r>
      <w:r w:rsidR="00C65E16" w:rsidRPr="00E331E9">
        <w:rPr>
          <w:iCs/>
          <w:szCs w:val="28"/>
        </w:rPr>
        <w:t xml:space="preserve"> </w:t>
      </w:r>
      <w:r w:rsidR="00E40956" w:rsidRPr="00E331E9">
        <w:rPr>
          <w:iCs/>
          <w:szCs w:val="28"/>
        </w:rPr>
        <w:t xml:space="preserve">a </w:t>
      </w:r>
      <w:r w:rsidR="00E45473" w:rsidRPr="00E331E9">
        <w:rPr>
          <w:iCs/>
          <w:szCs w:val="28"/>
        </w:rPr>
        <w:t xml:space="preserve">la realidad de </w:t>
      </w:r>
      <w:r w:rsidR="002B3678" w:rsidRPr="00E331E9">
        <w:rPr>
          <w:iCs/>
          <w:szCs w:val="28"/>
        </w:rPr>
        <w:t>las normas constitucionales</w:t>
      </w:r>
      <w:r w:rsidR="00407605" w:rsidRPr="00E331E9">
        <w:rPr>
          <w:iCs/>
          <w:szCs w:val="28"/>
        </w:rPr>
        <w:t xml:space="preserve"> descritas</w:t>
      </w:r>
      <w:r w:rsidR="002B3678" w:rsidRPr="00E331E9">
        <w:rPr>
          <w:iCs/>
          <w:szCs w:val="28"/>
        </w:rPr>
        <w:t xml:space="preserve"> </w:t>
      </w:r>
      <w:r w:rsidR="00A363C0" w:rsidRPr="00E331E9">
        <w:rPr>
          <w:iCs/>
          <w:szCs w:val="28"/>
        </w:rPr>
        <w:t xml:space="preserve">y que implica </w:t>
      </w:r>
      <w:r w:rsidR="002B3678" w:rsidRPr="00E331E9">
        <w:rPr>
          <w:iCs/>
          <w:szCs w:val="28"/>
        </w:rPr>
        <w:t>ir</w:t>
      </w:r>
      <w:r w:rsidR="003D3E36" w:rsidRPr="00E331E9">
        <w:rPr>
          <w:iCs/>
          <w:szCs w:val="28"/>
        </w:rPr>
        <w:t xml:space="preserve">respeto </w:t>
      </w:r>
      <w:r w:rsidR="00E40956" w:rsidRPr="00E331E9">
        <w:rPr>
          <w:iCs/>
          <w:szCs w:val="28"/>
        </w:rPr>
        <w:t>por</w:t>
      </w:r>
      <w:r w:rsidR="003D3E36" w:rsidRPr="00E331E9">
        <w:rPr>
          <w:iCs/>
          <w:szCs w:val="28"/>
        </w:rPr>
        <w:t xml:space="preserve"> la cosa juzgada constitucional.</w:t>
      </w:r>
      <w:r w:rsidR="003D3E36" w:rsidRPr="00E331E9">
        <w:rPr>
          <w:i/>
          <w:iCs/>
          <w:szCs w:val="28"/>
        </w:rPr>
        <w:t xml:space="preserve"> </w:t>
      </w:r>
    </w:p>
    <w:p w14:paraId="7FBED04C" w14:textId="77777777" w:rsidR="003D3E36" w:rsidRPr="00E331E9" w:rsidRDefault="003D3E36" w:rsidP="002807A3">
      <w:pPr>
        <w:pStyle w:val="Prrafodelista"/>
        <w:ind w:left="0"/>
        <w:contextualSpacing/>
        <w:jc w:val="both"/>
        <w:rPr>
          <w:bCs/>
          <w:szCs w:val="28"/>
        </w:rPr>
      </w:pPr>
    </w:p>
    <w:p w14:paraId="5649E07B" w14:textId="77777777" w:rsidR="002B3678" w:rsidRPr="00E331E9" w:rsidRDefault="00201F76" w:rsidP="00962603">
      <w:pPr>
        <w:numPr>
          <w:ilvl w:val="0"/>
          <w:numId w:val="10"/>
        </w:numPr>
        <w:shd w:val="clear" w:color="auto" w:fill="FFFFFF"/>
        <w:jc w:val="both"/>
        <w:rPr>
          <w:bCs/>
          <w:szCs w:val="28"/>
        </w:rPr>
      </w:pPr>
      <w:r w:rsidRPr="00E331E9">
        <w:rPr>
          <w:bCs/>
          <w:szCs w:val="28"/>
        </w:rPr>
        <w:t>Los</w:t>
      </w:r>
      <w:r w:rsidR="00946BED" w:rsidRPr="00E331E9">
        <w:rPr>
          <w:bCs/>
          <w:szCs w:val="28"/>
        </w:rPr>
        <w:t xml:space="preserve"> </w:t>
      </w:r>
      <w:r w:rsidRPr="00E331E9">
        <w:rPr>
          <w:bCs/>
          <w:szCs w:val="28"/>
        </w:rPr>
        <w:t xml:space="preserve">diversos </w:t>
      </w:r>
      <w:r w:rsidR="00946BED" w:rsidRPr="00E331E9">
        <w:rPr>
          <w:bCs/>
          <w:szCs w:val="28"/>
        </w:rPr>
        <w:t xml:space="preserve">preceptos constitucionales involucrados </w:t>
      </w:r>
      <w:r w:rsidR="002B3678" w:rsidRPr="00E331E9">
        <w:rPr>
          <w:bCs/>
          <w:szCs w:val="28"/>
        </w:rPr>
        <w:t>deben ser leíd</w:t>
      </w:r>
      <w:r w:rsidR="00946BED" w:rsidRPr="00E331E9">
        <w:rPr>
          <w:bCs/>
          <w:szCs w:val="28"/>
        </w:rPr>
        <w:t>os</w:t>
      </w:r>
      <w:r w:rsidR="002B3678" w:rsidRPr="00E331E9">
        <w:rPr>
          <w:bCs/>
          <w:szCs w:val="28"/>
        </w:rPr>
        <w:t xml:space="preserve"> </w:t>
      </w:r>
      <w:r w:rsidR="00A00DF0" w:rsidRPr="00E331E9">
        <w:rPr>
          <w:bCs/>
          <w:szCs w:val="28"/>
        </w:rPr>
        <w:t xml:space="preserve">acogiendo los </w:t>
      </w:r>
      <w:r w:rsidR="002B3678" w:rsidRPr="00E331E9">
        <w:rPr>
          <w:bCs/>
          <w:szCs w:val="28"/>
        </w:rPr>
        <w:t>efectos previstos por la Corte Constitucional</w:t>
      </w:r>
      <w:r w:rsidR="000668B1" w:rsidRPr="00E331E9">
        <w:rPr>
          <w:bCs/>
          <w:szCs w:val="28"/>
        </w:rPr>
        <w:t xml:space="preserve"> </w:t>
      </w:r>
      <w:r w:rsidR="00A00DF0" w:rsidRPr="00E331E9">
        <w:rPr>
          <w:bCs/>
          <w:szCs w:val="28"/>
        </w:rPr>
        <w:t xml:space="preserve">en la </w:t>
      </w:r>
      <w:r w:rsidR="00A00DF0" w:rsidRPr="00E331E9">
        <w:rPr>
          <w:b/>
          <w:szCs w:val="28"/>
        </w:rPr>
        <w:t>sentencia</w:t>
      </w:r>
      <w:r w:rsidR="004A506D" w:rsidRPr="00E331E9">
        <w:rPr>
          <w:b/>
          <w:szCs w:val="28"/>
        </w:rPr>
        <w:t xml:space="preserve"> C-285 de 2016</w:t>
      </w:r>
      <w:r w:rsidR="00160A04" w:rsidRPr="00E331E9">
        <w:rPr>
          <w:bCs/>
          <w:szCs w:val="28"/>
        </w:rPr>
        <w:t xml:space="preserve">, </w:t>
      </w:r>
      <w:r w:rsidR="002824FA" w:rsidRPr="00E331E9">
        <w:rPr>
          <w:bCs/>
          <w:szCs w:val="28"/>
        </w:rPr>
        <w:t xml:space="preserve">ya que </w:t>
      </w:r>
      <w:r w:rsidR="00E45473" w:rsidRPr="00E331E9">
        <w:rPr>
          <w:bCs/>
          <w:szCs w:val="28"/>
        </w:rPr>
        <w:t>se trata de determinaciones interpretativas que</w:t>
      </w:r>
      <w:r w:rsidR="00160A04" w:rsidRPr="00E331E9">
        <w:rPr>
          <w:bCs/>
          <w:szCs w:val="28"/>
        </w:rPr>
        <w:t xml:space="preserve"> </w:t>
      </w:r>
      <w:r w:rsidR="00556DFB" w:rsidRPr="00E331E9">
        <w:rPr>
          <w:bCs/>
          <w:szCs w:val="28"/>
        </w:rPr>
        <w:t xml:space="preserve">si bien se establecieron en la parte motiva de </w:t>
      </w:r>
      <w:r w:rsidR="00946BED" w:rsidRPr="00E331E9">
        <w:rPr>
          <w:bCs/>
          <w:szCs w:val="28"/>
        </w:rPr>
        <w:t xml:space="preserve">esa </w:t>
      </w:r>
      <w:r w:rsidR="00556DFB" w:rsidRPr="00E331E9">
        <w:rPr>
          <w:bCs/>
          <w:szCs w:val="28"/>
        </w:rPr>
        <w:t xml:space="preserve">providencia, </w:t>
      </w:r>
      <w:r w:rsidR="00160A04" w:rsidRPr="00E331E9">
        <w:rPr>
          <w:bCs/>
          <w:szCs w:val="28"/>
        </w:rPr>
        <w:t>se encuentran ligad</w:t>
      </w:r>
      <w:r w:rsidR="00E45473" w:rsidRPr="00E331E9">
        <w:rPr>
          <w:bCs/>
          <w:szCs w:val="28"/>
        </w:rPr>
        <w:t>a</w:t>
      </w:r>
      <w:r w:rsidR="00160A04" w:rsidRPr="00E331E9">
        <w:rPr>
          <w:bCs/>
          <w:szCs w:val="28"/>
        </w:rPr>
        <w:t xml:space="preserve">s de manera inescindible a </w:t>
      </w:r>
      <w:r w:rsidR="0094598D" w:rsidRPr="00E331E9">
        <w:rPr>
          <w:bCs/>
          <w:szCs w:val="28"/>
        </w:rPr>
        <w:t>su</w:t>
      </w:r>
      <w:r w:rsidR="00160A04" w:rsidRPr="00E331E9">
        <w:rPr>
          <w:bCs/>
          <w:szCs w:val="28"/>
        </w:rPr>
        <w:t xml:space="preserve"> p</w:t>
      </w:r>
      <w:r w:rsidR="00B70BA4" w:rsidRPr="00E331E9">
        <w:rPr>
          <w:bCs/>
          <w:szCs w:val="28"/>
        </w:rPr>
        <w:t>arte resolutiva -</w:t>
      </w:r>
      <w:r w:rsidR="00B70BA4" w:rsidRPr="00E331E9">
        <w:rPr>
          <w:bCs/>
          <w:i/>
          <w:szCs w:val="28"/>
        </w:rPr>
        <w:t>ratio decidendi</w:t>
      </w:r>
      <w:r w:rsidR="00B70BA4" w:rsidRPr="00E331E9">
        <w:rPr>
          <w:bCs/>
          <w:szCs w:val="28"/>
        </w:rPr>
        <w:t>-</w:t>
      </w:r>
      <w:r w:rsidR="00556DFB" w:rsidRPr="00E331E9">
        <w:rPr>
          <w:bCs/>
          <w:szCs w:val="28"/>
        </w:rPr>
        <w:t xml:space="preserve">, por lo que en atención al </w:t>
      </w:r>
      <w:r w:rsidR="00370FED" w:rsidRPr="00E331E9">
        <w:rPr>
          <w:bCs/>
          <w:szCs w:val="28"/>
        </w:rPr>
        <w:t>artículo 243 superior</w:t>
      </w:r>
      <w:r w:rsidR="0094598D" w:rsidRPr="00E331E9">
        <w:rPr>
          <w:bCs/>
          <w:szCs w:val="28"/>
        </w:rPr>
        <w:t xml:space="preserve"> </w:t>
      </w:r>
      <w:r w:rsidR="00E45473" w:rsidRPr="00E331E9">
        <w:rPr>
          <w:bCs/>
          <w:szCs w:val="28"/>
        </w:rPr>
        <w:t>son de consideración obligatoria p</w:t>
      </w:r>
      <w:r w:rsidR="00946BED" w:rsidRPr="00E331E9">
        <w:rPr>
          <w:bCs/>
          <w:szCs w:val="28"/>
        </w:rPr>
        <w:t>ara</w:t>
      </w:r>
      <w:r w:rsidR="00E45473" w:rsidRPr="00E331E9">
        <w:rPr>
          <w:bCs/>
          <w:szCs w:val="28"/>
        </w:rPr>
        <w:t xml:space="preserve"> los intérpretes, con independencia de si los jueces comparten o no </w:t>
      </w:r>
      <w:r w:rsidR="0094598D" w:rsidRPr="00E331E9">
        <w:rPr>
          <w:bCs/>
          <w:szCs w:val="28"/>
        </w:rPr>
        <w:t>las</w:t>
      </w:r>
      <w:r w:rsidR="00E45473" w:rsidRPr="00E331E9">
        <w:rPr>
          <w:bCs/>
          <w:szCs w:val="28"/>
        </w:rPr>
        <w:t xml:space="preserve"> conclusione</w:t>
      </w:r>
      <w:r w:rsidR="006422B1" w:rsidRPr="00E331E9">
        <w:rPr>
          <w:bCs/>
          <w:szCs w:val="28"/>
        </w:rPr>
        <w:t>s a las que arribó la Corte en tales</w:t>
      </w:r>
      <w:r w:rsidR="00016ECE" w:rsidRPr="00E331E9">
        <w:rPr>
          <w:bCs/>
          <w:szCs w:val="28"/>
        </w:rPr>
        <w:t xml:space="preserve"> </w:t>
      </w:r>
      <w:r w:rsidR="0094598D" w:rsidRPr="00E331E9">
        <w:rPr>
          <w:bCs/>
          <w:szCs w:val="28"/>
        </w:rPr>
        <w:t>providencias</w:t>
      </w:r>
      <w:r w:rsidR="00E40956" w:rsidRPr="00E331E9">
        <w:rPr>
          <w:bCs/>
          <w:szCs w:val="28"/>
        </w:rPr>
        <w:t>.</w:t>
      </w:r>
      <w:r w:rsidR="00E45473" w:rsidRPr="00E331E9">
        <w:rPr>
          <w:bCs/>
          <w:szCs w:val="28"/>
        </w:rPr>
        <w:t xml:space="preserve"> </w:t>
      </w:r>
      <w:r w:rsidR="00946BED" w:rsidRPr="00E331E9">
        <w:rPr>
          <w:bCs/>
          <w:szCs w:val="28"/>
        </w:rPr>
        <w:t>De hecho, e</w:t>
      </w:r>
      <w:r w:rsidR="0094598D" w:rsidRPr="00E331E9">
        <w:rPr>
          <w:bCs/>
          <w:szCs w:val="28"/>
        </w:rPr>
        <w:t xml:space="preserve">n los términos de la </w:t>
      </w:r>
      <w:r w:rsidR="00E331E9">
        <w:rPr>
          <w:bCs/>
          <w:szCs w:val="28"/>
        </w:rPr>
        <w:t>s</w:t>
      </w:r>
      <w:r w:rsidR="00E40956" w:rsidRPr="00E331E9">
        <w:rPr>
          <w:bCs/>
          <w:szCs w:val="28"/>
        </w:rPr>
        <w:t>entencia</w:t>
      </w:r>
      <w:r w:rsidR="00556DFB" w:rsidRPr="00E331E9">
        <w:rPr>
          <w:bCs/>
          <w:szCs w:val="28"/>
        </w:rPr>
        <w:t xml:space="preserve"> </w:t>
      </w:r>
      <w:r w:rsidR="00E331E9">
        <w:rPr>
          <w:bCs/>
          <w:szCs w:val="28"/>
        </w:rPr>
        <w:t>de esta Corporación</w:t>
      </w:r>
      <w:r w:rsidR="0094598D" w:rsidRPr="00E331E9">
        <w:rPr>
          <w:bCs/>
          <w:szCs w:val="28"/>
        </w:rPr>
        <w:t>, la lectura del artículo 257A superior exigía considerar</w:t>
      </w:r>
      <w:r w:rsidR="000E0706" w:rsidRPr="00E331E9">
        <w:rPr>
          <w:bCs/>
          <w:szCs w:val="28"/>
        </w:rPr>
        <w:t>, en directa conjunción con la resolutiva de esa providencia</w:t>
      </w:r>
      <w:r w:rsidR="000E0706" w:rsidRPr="00E331E9">
        <w:rPr>
          <w:rStyle w:val="Refdenotaalpie"/>
          <w:bCs/>
          <w:szCs w:val="28"/>
        </w:rPr>
        <w:footnoteReference w:id="381"/>
      </w:r>
      <w:r w:rsidR="000E0706" w:rsidRPr="00E331E9">
        <w:rPr>
          <w:bCs/>
          <w:szCs w:val="28"/>
        </w:rPr>
        <w:t>,</w:t>
      </w:r>
      <w:r w:rsidR="0094598D" w:rsidRPr="00E331E9">
        <w:rPr>
          <w:bCs/>
          <w:szCs w:val="28"/>
        </w:rPr>
        <w:t xml:space="preserve"> las siguientes premisas</w:t>
      </w:r>
      <w:r w:rsidR="000E0706" w:rsidRPr="00E331E9">
        <w:rPr>
          <w:bCs/>
          <w:szCs w:val="28"/>
        </w:rPr>
        <w:t xml:space="preserve"> establecidas en la parte motiva, que</w:t>
      </w:r>
      <w:r w:rsidR="00A86410" w:rsidRPr="00E331E9">
        <w:rPr>
          <w:bCs/>
          <w:szCs w:val="28"/>
        </w:rPr>
        <w:t xml:space="preserve"> al ser </w:t>
      </w:r>
      <w:r w:rsidR="00A86410" w:rsidRPr="00E331E9">
        <w:rPr>
          <w:bCs/>
          <w:i/>
          <w:iCs/>
          <w:szCs w:val="28"/>
        </w:rPr>
        <w:t>ratio decidendi</w:t>
      </w:r>
      <w:r w:rsidR="00A86410" w:rsidRPr="00E331E9">
        <w:rPr>
          <w:bCs/>
          <w:szCs w:val="28"/>
        </w:rPr>
        <w:t>,</w:t>
      </w:r>
      <w:r w:rsidR="000E0706" w:rsidRPr="00E331E9">
        <w:rPr>
          <w:bCs/>
          <w:szCs w:val="28"/>
        </w:rPr>
        <w:t xml:space="preserve"> justificaban la decisión</w:t>
      </w:r>
      <w:r w:rsidR="0094598D" w:rsidRPr="00E331E9">
        <w:rPr>
          <w:bCs/>
          <w:szCs w:val="28"/>
        </w:rPr>
        <w:t xml:space="preserve">: </w:t>
      </w:r>
      <w:r w:rsidR="00370FED" w:rsidRPr="00E331E9">
        <w:rPr>
          <w:bCs/>
          <w:szCs w:val="28"/>
        </w:rPr>
        <w:t xml:space="preserve"> </w:t>
      </w:r>
      <w:r w:rsidR="002B3678" w:rsidRPr="00E331E9">
        <w:rPr>
          <w:bCs/>
          <w:szCs w:val="28"/>
        </w:rPr>
        <w:t xml:space="preserve"> </w:t>
      </w:r>
    </w:p>
    <w:p w14:paraId="6B35A5AC" w14:textId="77777777" w:rsidR="00370FED" w:rsidRPr="002E4477" w:rsidRDefault="00370FED" w:rsidP="002807A3">
      <w:pPr>
        <w:pStyle w:val="Prrafodelista"/>
        <w:ind w:left="0"/>
        <w:contextualSpacing/>
        <w:jc w:val="both"/>
        <w:rPr>
          <w:bCs/>
          <w:szCs w:val="28"/>
        </w:rPr>
      </w:pPr>
    </w:p>
    <w:p w14:paraId="0421B345" w14:textId="77777777" w:rsidR="00370FED" w:rsidRPr="002E4477" w:rsidRDefault="00370FED" w:rsidP="002807A3">
      <w:pPr>
        <w:pStyle w:val="Prrafodelista"/>
        <w:ind w:left="0"/>
        <w:contextualSpacing/>
        <w:jc w:val="both"/>
        <w:rPr>
          <w:bCs/>
          <w:szCs w:val="28"/>
        </w:rPr>
      </w:pPr>
      <w:r w:rsidRPr="002E4477">
        <w:rPr>
          <w:b/>
          <w:bCs/>
          <w:szCs w:val="28"/>
        </w:rPr>
        <w:t>(i)</w:t>
      </w:r>
      <w:r w:rsidRPr="002E4477">
        <w:rPr>
          <w:bCs/>
          <w:szCs w:val="28"/>
        </w:rPr>
        <w:t xml:space="preserve"> El Consejo Superior de la Judicatura debe ahora cumplir las funciones que de conformidad con el A.L. 02 de 2015 le fueron asignadas al Consejo de Gobierno Judicial. </w:t>
      </w:r>
    </w:p>
    <w:p w14:paraId="1BE7143E" w14:textId="77777777" w:rsidR="00370FED" w:rsidRPr="002E4477" w:rsidRDefault="00370FED" w:rsidP="002807A3">
      <w:pPr>
        <w:pStyle w:val="Prrafodelista"/>
        <w:ind w:left="0"/>
        <w:contextualSpacing/>
        <w:jc w:val="both"/>
        <w:rPr>
          <w:bCs/>
          <w:szCs w:val="28"/>
        </w:rPr>
      </w:pPr>
    </w:p>
    <w:p w14:paraId="0B004E84" w14:textId="77777777" w:rsidR="00160A04" w:rsidRPr="002E4477" w:rsidRDefault="00370FED" w:rsidP="002807A3">
      <w:pPr>
        <w:pStyle w:val="Prrafodelista"/>
        <w:ind w:left="0"/>
        <w:contextualSpacing/>
        <w:jc w:val="both"/>
        <w:rPr>
          <w:szCs w:val="28"/>
          <w:lang w:val="es-CO" w:eastAsia="es-CO"/>
        </w:rPr>
      </w:pPr>
      <w:r w:rsidRPr="00E331E9">
        <w:rPr>
          <w:b/>
          <w:bCs/>
          <w:szCs w:val="28"/>
        </w:rPr>
        <w:t>(ii)</w:t>
      </w:r>
      <w:r w:rsidRPr="00E331E9">
        <w:rPr>
          <w:bCs/>
          <w:szCs w:val="28"/>
        </w:rPr>
        <w:t xml:space="preserve"> Para salvaguardar </w:t>
      </w:r>
      <w:r w:rsidRPr="00E331E9">
        <w:rPr>
          <w:b/>
          <w:bCs/>
          <w:szCs w:val="28"/>
        </w:rPr>
        <w:t xml:space="preserve">el espíritu de lo decidido por el </w:t>
      </w:r>
      <w:r w:rsidR="00A00DF0" w:rsidRPr="00E331E9">
        <w:rPr>
          <w:b/>
          <w:bCs/>
          <w:szCs w:val="28"/>
        </w:rPr>
        <w:t>c</w:t>
      </w:r>
      <w:r w:rsidRPr="00E331E9">
        <w:rPr>
          <w:b/>
          <w:bCs/>
          <w:szCs w:val="28"/>
        </w:rPr>
        <w:t>onstituyente</w:t>
      </w:r>
      <w:r w:rsidR="00556DFB" w:rsidRPr="00E331E9">
        <w:rPr>
          <w:b/>
          <w:bCs/>
          <w:szCs w:val="28"/>
        </w:rPr>
        <w:t>,</w:t>
      </w:r>
      <w:r w:rsidRPr="00E331E9">
        <w:rPr>
          <w:b/>
          <w:bCs/>
          <w:szCs w:val="28"/>
        </w:rPr>
        <w:t xml:space="preserve"> en </w:t>
      </w:r>
      <w:r w:rsidR="00A00DF0" w:rsidRPr="00E331E9">
        <w:rPr>
          <w:b/>
          <w:bCs/>
          <w:szCs w:val="28"/>
        </w:rPr>
        <w:t>aquellos aspectos d</w:t>
      </w:r>
      <w:r w:rsidRPr="00E331E9">
        <w:rPr>
          <w:b/>
          <w:bCs/>
          <w:szCs w:val="28"/>
        </w:rPr>
        <w:t>el A.L.</w:t>
      </w:r>
      <w:r w:rsidR="00A00DF0" w:rsidRPr="00E331E9">
        <w:t xml:space="preserve"> </w:t>
      </w:r>
      <w:r w:rsidR="00A00DF0" w:rsidRPr="00E331E9">
        <w:rPr>
          <w:b/>
          <w:bCs/>
          <w:szCs w:val="28"/>
        </w:rPr>
        <w:t xml:space="preserve">02 de 2015 que no contaron con </w:t>
      </w:r>
      <w:r w:rsidR="00E331E9" w:rsidRPr="00E331E9">
        <w:rPr>
          <w:b/>
          <w:bCs/>
          <w:szCs w:val="28"/>
        </w:rPr>
        <w:t>reproche constitucional idóneo</w:t>
      </w:r>
      <w:r w:rsidR="00A00DF0" w:rsidRPr="00E331E9">
        <w:rPr>
          <w:b/>
          <w:bCs/>
          <w:szCs w:val="28"/>
        </w:rPr>
        <w:t xml:space="preserve"> </w:t>
      </w:r>
      <w:r w:rsidR="005D4DEE" w:rsidRPr="00E331E9">
        <w:rPr>
          <w:b/>
          <w:bCs/>
          <w:szCs w:val="28"/>
        </w:rPr>
        <w:t xml:space="preserve">y sobre los que la Corte no </w:t>
      </w:r>
      <w:r w:rsidR="00E331E9" w:rsidRPr="00E331E9">
        <w:rPr>
          <w:b/>
          <w:bCs/>
          <w:szCs w:val="28"/>
        </w:rPr>
        <w:t>analizó</w:t>
      </w:r>
      <w:r w:rsidR="00A00DF0" w:rsidRPr="00E331E9">
        <w:rPr>
          <w:szCs w:val="28"/>
        </w:rPr>
        <w:t>,</w:t>
      </w:r>
      <w:r w:rsidR="00A00DF0" w:rsidRPr="00E331E9">
        <w:rPr>
          <w:b/>
          <w:bCs/>
          <w:szCs w:val="28"/>
        </w:rPr>
        <w:t xml:space="preserve"> </w:t>
      </w:r>
      <w:r w:rsidR="00160A04" w:rsidRPr="00E331E9">
        <w:rPr>
          <w:bCs/>
          <w:szCs w:val="28"/>
        </w:rPr>
        <w:t>se</w:t>
      </w:r>
      <w:r w:rsidRPr="00E331E9">
        <w:rPr>
          <w:bCs/>
          <w:szCs w:val="28"/>
        </w:rPr>
        <w:t xml:space="preserve"> </w:t>
      </w:r>
      <w:r w:rsidR="00160A04" w:rsidRPr="00E331E9">
        <w:rPr>
          <w:bCs/>
          <w:szCs w:val="28"/>
        </w:rPr>
        <w:t>re</w:t>
      </w:r>
      <w:r w:rsidRPr="00E331E9">
        <w:rPr>
          <w:bCs/>
          <w:szCs w:val="28"/>
        </w:rPr>
        <w:t>quiere garantizar que se mantengan los efectos</w:t>
      </w:r>
      <w:r w:rsidR="004448C8" w:rsidRPr="00E331E9">
        <w:rPr>
          <w:bCs/>
          <w:szCs w:val="28"/>
        </w:rPr>
        <w:t xml:space="preserve"> </w:t>
      </w:r>
      <w:r w:rsidRPr="00E331E9">
        <w:rPr>
          <w:bCs/>
          <w:szCs w:val="28"/>
        </w:rPr>
        <w:t>queridos</w:t>
      </w:r>
      <w:r w:rsidR="004448C8" w:rsidRPr="00E331E9">
        <w:rPr>
          <w:bCs/>
          <w:szCs w:val="28"/>
        </w:rPr>
        <w:t xml:space="preserve"> por</w:t>
      </w:r>
      <w:r w:rsidR="00A8304E" w:rsidRPr="00E331E9">
        <w:rPr>
          <w:bCs/>
          <w:szCs w:val="28"/>
        </w:rPr>
        <w:t xml:space="preserve"> </w:t>
      </w:r>
      <w:r w:rsidR="00E331E9" w:rsidRPr="00E331E9">
        <w:rPr>
          <w:bCs/>
          <w:szCs w:val="28"/>
        </w:rPr>
        <w:t xml:space="preserve">el </w:t>
      </w:r>
      <w:r w:rsidR="00201F76" w:rsidRPr="00E331E9">
        <w:rPr>
          <w:bCs/>
          <w:szCs w:val="28"/>
        </w:rPr>
        <w:t xml:space="preserve">constituyente; </w:t>
      </w:r>
      <w:r w:rsidR="005D4DEE" w:rsidRPr="00E331E9">
        <w:rPr>
          <w:bCs/>
          <w:szCs w:val="28"/>
        </w:rPr>
        <w:t xml:space="preserve">lo que significa para el caso concreto, </w:t>
      </w:r>
      <w:r w:rsidR="00E331E9" w:rsidRPr="00E331E9">
        <w:rPr>
          <w:bCs/>
          <w:szCs w:val="28"/>
        </w:rPr>
        <w:t xml:space="preserve">que debía adelantarse </w:t>
      </w:r>
      <w:r w:rsidR="004448C8" w:rsidRPr="00E331E9">
        <w:rPr>
          <w:bCs/>
          <w:szCs w:val="28"/>
        </w:rPr>
        <w:t>plenamente</w:t>
      </w:r>
      <w:r w:rsidR="00160A04" w:rsidRPr="00E331E9">
        <w:rPr>
          <w:bCs/>
          <w:szCs w:val="28"/>
        </w:rPr>
        <w:t xml:space="preserve"> </w:t>
      </w:r>
      <w:r w:rsidRPr="00E331E9">
        <w:rPr>
          <w:bCs/>
          <w:szCs w:val="28"/>
        </w:rPr>
        <w:t>"</w:t>
      </w:r>
      <w:r w:rsidRPr="00E331E9">
        <w:rPr>
          <w:b/>
          <w:bCs/>
          <w:i/>
          <w:szCs w:val="28"/>
          <w:u w:val="single"/>
          <w:lang w:val="es-CO" w:eastAsia="es-CO"/>
        </w:rPr>
        <w:t>el proceso</w:t>
      </w:r>
      <w:r w:rsidRPr="002E4477">
        <w:rPr>
          <w:b/>
          <w:bCs/>
          <w:i/>
          <w:szCs w:val="28"/>
          <w:u w:val="single"/>
          <w:lang w:val="es-CO" w:eastAsia="es-CO"/>
        </w:rPr>
        <w:t xml:space="preserve"> de convocatoria y elaboración</w:t>
      </w:r>
      <w:r w:rsidRPr="002E4477">
        <w:rPr>
          <w:i/>
          <w:szCs w:val="28"/>
          <w:lang w:val="es-CO" w:eastAsia="es-CO"/>
        </w:rPr>
        <w:t xml:space="preserve"> de las listas de elegibles para la conformación de la Comisión Nacional de Disciplina Judicial (Artículo 19 del Acto Legislativo 02 de 2015, que adiciona el artículo 257A al texto de la Carta Política)</w:t>
      </w:r>
      <w:r w:rsidR="00160A04" w:rsidRPr="002E4477">
        <w:rPr>
          <w:i/>
          <w:szCs w:val="28"/>
          <w:lang w:val="es-CO" w:eastAsia="es-CO"/>
        </w:rPr>
        <w:t>"</w:t>
      </w:r>
      <w:r w:rsidR="004448C8" w:rsidRPr="002E4477">
        <w:rPr>
          <w:i/>
          <w:szCs w:val="28"/>
          <w:lang w:val="es-CO" w:eastAsia="es-CO"/>
        </w:rPr>
        <w:t>,</w:t>
      </w:r>
      <w:r w:rsidR="002B3E98" w:rsidRPr="002E4477">
        <w:rPr>
          <w:i/>
          <w:szCs w:val="28"/>
          <w:lang w:val="es-CO" w:eastAsia="es-CO"/>
        </w:rPr>
        <w:t xml:space="preserve"> </w:t>
      </w:r>
      <w:r w:rsidR="004448C8" w:rsidRPr="002E4477">
        <w:rPr>
          <w:iCs/>
          <w:szCs w:val="28"/>
          <w:lang w:val="es-CO" w:eastAsia="es-CO"/>
        </w:rPr>
        <w:t xml:space="preserve">en los términos previstos </w:t>
      </w:r>
      <w:r w:rsidR="002B3E98" w:rsidRPr="002E4477">
        <w:rPr>
          <w:iCs/>
          <w:szCs w:val="28"/>
          <w:lang w:val="es-CO" w:eastAsia="es-CO"/>
        </w:rPr>
        <w:t xml:space="preserve">inicialmente </w:t>
      </w:r>
      <w:r w:rsidR="004448C8" w:rsidRPr="002E4477">
        <w:rPr>
          <w:iCs/>
          <w:szCs w:val="28"/>
          <w:lang w:val="es-CO" w:eastAsia="es-CO"/>
        </w:rPr>
        <w:t xml:space="preserve">por </w:t>
      </w:r>
      <w:r w:rsidR="002B3E98" w:rsidRPr="002E4477">
        <w:rPr>
          <w:iCs/>
          <w:szCs w:val="28"/>
          <w:lang w:val="es-CO" w:eastAsia="es-CO"/>
        </w:rPr>
        <w:t>el</w:t>
      </w:r>
      <w:r w:rsidR="00556DFB" w:rsidRPr="002E4477">
        <w:rPr>
          <w:iCs/>
          <w:szCs w:val="28"/>
          <w:lang w:val="es-CO" w:eastAsia="es-CO"/>
        </w:rPr>
        <w:t xml:space="preserve"> </w:t>
      </w:r>
      <w:r w:rsidR="004448C8" w:rsidRPr="002E4477">
        <w:rPr>
          <w:iCs/>
          <w:szCs w:val="28"/>
          <w:lang w:val="es-CO" w:eastAsia="es-CO"/>
        </w:rPr>
        <w:t>constituyente</w:t>
      </w:r>
      <w:r w:rsidR="004448C8" w:rsidRPr="002E4477">
        <w:rPr>
          <w:i/>
          <w:szCs w:val="28"/>
          <w:lang w:val="es-CO" w:eastAsia="es-CO"/>
        </w:rPr>
        <w:t>.</w:t>
      </w:r>
      <w:r w:rsidR="00160A04" w:rsidRPr="002E4477">
        <w:rPr>
          <w:szCs w:val="28"/>
          <w:lang w:val="es-CO" w:eastAsia="es-CO"/>
        </w:rPr>
        <w:t xml:space="preserve"> </w:t>
      </w:r>
    </w:p>
    <w:p w14:paraId="25D0D614" w14:textId="77777777" w:rsidR="00140D58" w:rsidRPr="002E4477" w:rsidRDefault="00140D58" w:rsidP="002807A3">
      <w:pPr>
        <w:pStyle w:val="Prrafodelista"/>
        <w:ind w:left="0"/>
        <w:contextualSpacing/>
        <w:jc w:val="both"/>
        <w:rPr>
          <w:i/>
          <w:szCs w:val="28"/>
          <w:lang w:val="es-CO" w:eastAsia="es-CO"/>
        </w:rPr>
      </w:pPr>
    </w:p>
    <w:p w14:paraId="57B1729D" w14:textId="77777777" w:rsidR="00D90886" w:rsidRPr="002E4477" w:rsidRDefault="00E331E9" w:rsidP="002807A3">
      <w:pPr>
        <w:pStyle w:val="Prrafodelista"/>
        <w:numPr>
          <w:ilvl w:val="0"/>
          <w:numId w:val="9"/>
        </w:numPr>
        <w:tabs>
          <w:tab w:val="left" w:pos="567"/>
        </w:tabs>
        <w:ind w:left="0" w:firstLine="0"/>
        <w:contextualSpacing/>
        <w:jc w:val="both"/>
        <w:rPr>
          <w:szCs w:val="28"/>
          <w:lang w:val="es-CO" w:eastAsia="es-CO"/>
        </w:rPr>
      </w:pPr>
      <w:r>
        <w:rPr>
          <w:szCs w:val="28"/>
          <w:lang w:val="es-CO" w:eastAsia="es-CO"/>
        </w:rPr>
        <w:t>L</w:t>
      </w:r>
      <w:r w:rsidR="004448C8" w:rsidRPr="002E4477">
        <w:rPr>
          <w:szCs w:val="28"/>
          <w:lang w:val="es-CO" w:eastAsia="es-CO"/>
        </w:rPr>
        <w:t xml:space="preserve">a sentencia C-285 de 2016 </w:t>
      </w:r>
      <w:r w:rsidR="00035B1F" w:rsidRPr="002E4477">
        <w:rPr>
          <w:szCs w:val="28"/>
          <w:lang w:val="es-CO" w:eastAsia="es-CO"/>
        </w:rPr>
        <w:t>consideró necesario p</w:t>
      </w:r>
      <w:r w:rsidR="00160A04" w:rsidRPr="002E4477">
        <w:rPr>
          <w:szCs w:val="28"/>
          <w:lang w:val="es-CO" w:eastAsia="es-CO"/>
        </w:rPr>
        <w:t xml:space="preserve">reservar </w:t>
      </w:r>
      <w:r w:rsidR="00160A04" w:rsidRPr="002E4477">
        <w:rPr>
          <w:b/>
          <w:szCs w:val="28"/>
          <w:u w:val="single"/>
          <w:lang w:val="es-CO" w:eastAsia="es-CO"/>
        </w:rPr>
        <w:t>la voluntad de la reforma</w:t>
      </w:r>
      <w:r w:rsidR="00E40956" w:rsidRPr="002E4477">
        <w:rPr>
          <w:b/>
          <w:szCs w:val="28"/>
          <w:u w:val="single"/>
          <w:lang w:val="es-CO" w:eastAsia="es-CO"/>
        </w:rPr>
        <w:t xml:space="preserve"> </w:t>
      </w:r>
      <w:r w:rsidR="00160A04" w:rsidRPr="002E4477">
        <w:rPr>
          <w:b/>
          <w:szCs w:val="28"/>
          <w:u w:val="single"/>
          <w:lang w:val="es-CO" w:eastAsia="es-CO"/>
        </w:rPr>
        <w:t xml:space="preserve">del </w:t>
      </w:r>
      <w:r w:rsidR="00A00DF0" w:rsidRPr="002E4477">
        <w:rPr>
          <w:b/>
          <w:szCs w:val="28"/>
          <w:u w:val="single"/>
          <w:lang w:val="es-CO" w:eastAsia="es-CO"/>
        </w:rPr>
        <w:t>c</w:t>
      </w:r>
      <w:r w:rsidR="00160A04" w:rsidRPr="002E4477">
        <w:rPr>
          <w:b/>
          <w:szCs w:val="28"/>
          <w:u w:val="single"/>
          <w:lang w:val="es-CO" w:eastAsia="es-CO"/>
        </w:rPr>
        <w:t>onstituyente</w:t>
      </w:r>
      <w:r w:rsidR="00160A04" w:rsidRPr="002E4477">
        <w:rPr>
          <w:szCs w:val="28"/>
          <w:lang w:val="es-CO" w:eastAsia="es-CO"/>
        </w:rPr>
        <w:t xml:space="preserve">, </w:t>
      </w:r>
      <w:r w:rsidR="00035B1F" w:rsidRPr="002E4477">
        <w:rPr>
          <w:szCs w:val="28"/>
          <w:lang w:val="es-CO" w:eastAsia="es-CO"/>
        </w:rPr>
        <w:t xml:space="preserve">y </w:t>
      </w:r>
      <w:r w:rsidR="004448C8" w:rsidRPr="002E4477">
        <w:rPr>
          <w:szCs w:val="28"/>
          <w:lang w:val="es-CO" w:eastAsia="es-CO"/>
        </w:rPr>
        <w:t xml:space="preserve">continuar con el objetivo </w:t>
      </w:r>
      <w:r w:rsidR="00160A04" w:rsidRPr="002E4477">
        <w:rPr>
          <w:szCs w:val="28"/>
          <w:lang w:val="es-CO" w:eastAsia="es-CO"/>
        </w:rPr>
        <w:t>"</w:t>
      </w:r>
      <w:r w:rsidR="00160A04" w:rsidRPr="002E4477">
        <w:rPr>
          <w:i/>
          <w:szCs w:val="28"/>
          <w:lang w:val="es-CO" w:eastAsia="es-CO"/>
        </w:rPr>
        <w:t xml:space="preserve">de que </w:t>
      </w:r>
      <w:r w:rsidR="00160A04" w:rsidRPr="002E4477">
        <w:rPr>
          <w:b/>
          <w:i/>
          <w:szCs w:val="28"/>
          <w:u w:val="single"/>
          <w:lang w:val="es-CO" w:eastAsia="es-CO"/>
        </w:rPr>
        <w:t>la conformación</w:t>
      </w:r>
      <w:r w:rsidR="00160A04" w:rsidRPr="002E4477">
        <w:rPr>
          <w:i/>
          <w:szCs w:val="28"/>
          <w:lang w:val="es-CO" w:eastAsia="es-CO"/>
        </w:rPr>
        <w:t xml:space="preserve"> de las listas est</w:t>
      </w:r>
      <w:r w:rsidR="004448C8" w:rsidRPr="002E4477">
        <w:rPr>
          <w:i/>
          <w:szCs w:val="28"/>
          <w:lang w:val="es-CO" w:eastAsia="es-CO"/>
        </w:rPr>
        <w:t>[uviera]</w:t>
      </w:r>
      <w:r w:rsidR="00160A04" w:rsidRPr="002E4477">
        <w:rPr>
          <w:i/>
          <w:szCs w:val="28"/>
          <w:lang w:val="es-CO" w:eastAsia="es-CO"/>
        </w:rPr>
        <w:t xml:space="preserve"> precedida por una </w:t>
      </w:r>
      <w:r w:rsidR="00160A04" w:rsidRPr="002E4477">
        <w:rPr>
          <w:b/>
          <w:i/>
          <w:szCs w:val="28"/>
          <w:u w:val="single"/>
          <w:lang w:val="es-CO" w:eastAsia="es-CO"/>
        </w:rPr>
        <w:t>convocatoria pública reglada</w:t>
      </w:r>
      <w:r w:rsidR="00160A04" w:rsidRPr="002E4477">
        <w:rPr>
          <w:i/>
          <w:szCs w:val="28"/>
          <w:lang w:val="es-CO" w:eastAsia="es-CO"/>
        </w:rPr>
        <w:t xml:space="preserve"> y de que </w:t>
      </w:r>
      <w:r w:rsidR="004448C8" w:rsidRPr="002E4477">
        <w:rPr>
          <w:i/>
          <w:szCs w:val="28"/>
          <w:lang w:val="es-CO" w:eastAsia="es-CO"/>
        </w:rPr>
        <w:t>[fuera]</w:t>
      </w:r>
      <w:r w:rsidR="00160A04" w:rsidRPr="002E4477">
        <w:rPr>
          <w:i/>
          <w:szCs w:val="28"/>
          <w:lang w:val="es-CO" w:eastAsia="es-CO"/>
        </w:rPr>
        <w:t xml:space="preserve"> otro órgano distinto al de autogobierno judicial el que decid</w:t>
      </w:r>
      <w:r w:rsidR="004448C8" w:rsidRPr="002E4477">
        <w:rPr>
          <w:i/>
          <w:szCs w:val="28"/>
          <w:lang w:val="es-CO" w:eastAsia="es-CO"/>
        </w:rPr>
        <w:t>[iera]</w:t>
      </w:r>
      <w:r w:rsidR="00160A04" w:rsidRPr="002E4477">
        <w:rPr>
          <w:i/>
          <w:szCs w:val="28"/>
          <w:lang w:val="es-CO" w:eastAsia="es-CO"/>
        </w:rPr>
        <w:t xml:space="preserve"> finalmente la elección de los magistrados, puesto que el Consejo Superior de la Judicatura </w:t>
      </w:r>
      <w:r w:rsidR="004448C8" w:rsidRPr="002E4477">
        <w:rPr>
          <w:i/>
          <w:szCs w:val="28"/>
          <w:lang w:val="es-CO" w:eastAsia="es-CO"/>
        </w:rPr>
        <w:t>[e</w:t>
      </w:r>
      <w:r w:rsidR="00D90886" w:rsidRPr="002E4477">
        <w:rPr>
          <w:i/>
          <w:szCs w:val="28"/>
          <w:lang w:val="es-CO" w:eastAsia="es-CO"/>
        </w:rPr>
        <w:t>ra</w:t>
      </w:r>
      <w:r w:rsidR="004448C8" w:rsidRPr="002E4477">
        <w:rPr>
          <w:i/>
          <w:szCs w:val="28"/>
          <w:lang w:val="es-CO" w:eastAsia="es-CO"/>
        </w:rPr>
        <w:t>]</w:t>
      </w:r>
      <w:r w:rsidR="00016ECE" w:rsidRPr="002E4477">
        <w:rPr>
          <w:i/>
          <w:szCs w:val="28"/>
          <w:lang w:val="es-CO" w:eastAsia="es-CO"/>
        </w:rPr>
        <w:t xml:space="preserve"> </w:t>
      </w:r>
      <w:r w:rsidR="00160A04" w:rsidRPr="002E4477">
        <w:rPr>
          <w:i/>
          <w:szCs w:val="28"/>
          <w:lang w:val="es-CO" w:eastAsia="es-CO"/>
        </w:rPr>
        <w:t xml:space="preserve">el encargado de adelantar </w:t>
      </w:r>
      <w:r w:rsidR="00160A04" w:rsidRPr="002E4477">
        <w:rPr>
          <w:b/>
          <w:i/>
          <w:szCs w:val="28"/>
          <w:u w:val="single"/>
          <w:lang w:val="es-CO" w:eastAsia="es-CO"/>
        </w:rPr>
        <w:t>el proceso de selección de los candidatos</w:t>
      </w:r>
      <w:r w:rsidR="00160A04" w:rsidRPr="002E4477">
        <w:rPr>
          <w:i/>
          <w:szCs w:val="28"/>
          <w:lang w:val="es-CO" w:eastAsia="es-CO"/>
        </w:rPr>
        <w:t xml:space="preserve"> para el respectivo cargo</w:t>
      </w:r>
      <w:r w:rsidR="00160A04" w:rsidRPr="002E4477">
        <w:rPr>
          <w:szCs w:val="28"/>
          <w:lang w:val="es-CO" w:eastAsia="es-CO"/>
        </w:rPr>
        <w:t xml:space="preserve">". </w:t>
      </w:r>
    </w:p>
    <w:p w14:paraId="4D86D776" w14:textId="77777777" w:rsidR="00D90886" w:rsidRPr="002E4477" w:rsidRDefault="00D90886" w:rsidP="002807A3">
      <w:pPr>
        <w:pStyle w:val="Prrafodelista"/>
        <w:ind w:left="0"/>
        <w:contextualSpacing/>
        <w:jc w:val="both"/>
        <w:rPr>
          <w:szCs w:val="28"/>
          <w:lang w:val="es-CO" w:eastAsia="es-CO"/>
        </w:rPr>
      </w:pPr>
    </w:p>
    <w:p w14:paraId="4904AF52" w14:textId="77777777" w:rsidR="00DA683A" w:rsidRPr="002E4477" w:rsidRDefault="00E45473" w:rsidP="002807A3">
      <w:pPr>
        <w:pStyle w:val="Prrafodelista"/>
        <w:ind w:left="0"/>
        <w:contextualSpacing/>
        <w:jc w:val="both"/>
        <w:rPr>
          <w:szCs w:val="28"/>
          <w:lang w:val="es-CO" w:eastAsia="es-CO"/>
        </w:rPr>
      </w:pPr>
      <w:r w:rsidRPr="002E4477">
        <w:rPr>
          <w:b/>
          <w:bCs/>
          <w:szCs w:val="28"/>
          <w:lang w:val="es-CO" w:eastAsia="es-CO"/>
        </w:rPr>
        <w:t>(iv)</w:t>
      </w:r>
      <w:r w:rsidRPr="002E4477">
        <w:rPr>
          <w:szCs w:val="28"/>
          <w:lang w:val="es-CO" w:eastAsia="es-CO"/>
        </w:rPr>
        <w:t xml:space="preserve"> </w:t>
      </w:r>
      <w:r w:rsidR="00D90886" w:rsidRPr="002E4477">
        <w:rPr>
          <w:szCs w:val="28"/>
          <w:lang w:val="es-CO" w:eastAsia="es-CO"/>
        </w:rPr>
        <w:t xml:space="preserve">Como el </w:t>
      </w:r>
      <w:r w:rsidR="00D90886" w:rsidRPr="002E4477">
        <w:rPr>
          <w:b/>
          <w:bCs/>
          <w:szCs w:val="28"/>
          <w:lang w:val="es-CO" w:eastAsia="es-CO"/>
        </w:rPr>
        <w:t xml:space="preserve">proceso de </w:t>
      </w:r>
      <w:r w:rsidR="00E22DAE" w:rsidRPr="002E4477">
        <w:rPr>
          <w:b/>
          <w:bCs/>
          <w:szCs w:val="28"/>
          <w:lang w:val="es-CO" w:eastAsia="es-CO"/>
        </w:rPr>
        <w:t>convocatoria y elaboración de la lista de elegibles</w:t>
      </w:r>
      <w:r w:rsidR="00201F76">
        <w:rPr>
          <w:b/>
          <w:bCs/>
          <w:szCs w:val="28"/>
          <w:lang w:val="es-CO" w:eastAsia="es-CO"/>
        </w:rPr>
        <w:t>,</w:t>
      </w:r>
      <w:r w:rsidR="00D90886" w:rsidRPr="002E4477">
        <w:rPr>
          <w:szCs w:val="28"/>
          <w:lang w:val="es-CO" w:eastAsia="es-CO"/>
        </w:rPr>
        <w:t xml:space="preserve"> según la </w:t>
      </w:r>
      <w:r w:rsidR="00D90886" w:rsidRPr="002E4477">
        <w:rPr>
          <w:b/>
          <w:bCs/>
          <w:szCs w:val="28"/>
          <w:lang w:val="es-CO" w:eastAsia="es-CO"/>
        </w:rPr>
        <w:t xml:space="preserve">voluntad </w:t>
      </w:r>
      <w:r w:rsidR="00E76FB8" w:rsidRPr="002E4477">
        <w:rPr>
          <w:b/>
          <w:bCs/>
          <w:szCs w:val="28"/>
          <w:lang w:val="es-CO" w:eastAsia="es-CO"/>
        </w:rPr>
        <w:t xml:space="preserve">constituyente </w:t>
      </w:r>
      <w:r w:rsidR="00016ECE" w:rsidRPr="002E4477">
        <w:rPr>
          <w:b/>
          <w:bCs/>
          <w:szCs w:val="28"/>
          <w:lang w:val="es-CO" w:eastAsia="es-CO"/>
        </w:rPr>
        <w:t>en la</w:t>
      </w:r>
      <w:r w:rsidR="00D90886" w:rsidRPr="002E4477">
        <w:rPr>
          <w:b/>
          <w:bCs/>
          <w:szCs w:val="28"/>
          <w:lang w:val="es-CO" w:eastAsia="es-CO"/>
        </w:rPr>
        <w:t xml:space="preserve"> reforma</w:t>
      </w:r>
      <w:r w:rsidR="00201F76" w:rsidRPr="00201F76">
        <w:rPr>
          <w:szCs w:val="28"/>
          <w:lang w:val="es-CO" w:eastAsia="es-CO"/>
        </w:rPr>
        <w:t>,</w:t>
      </w:r>
      <w:r w:rsidR="00D90886" w:rsidRPr="002E4477">
        <w:rPr>
          <w:szCs w:val="28"/>
          <w:lang w:val="es-CO" w:eastAsia="es-CO"/>
        </w:rPr>
        <w:t xml:space="preserve"> estaba estructurado sobre la base de un </w:t>
      </w:r>
      <w:r w:rsidR="00D90886" w:rsidRPr="002E4477">
        <w:rPr>
          <w:i/>
          <w:iCs/>
          <w:szCs w:val="28"/>
          <w:lang w:val="es-CO" w:eastAsia="es-CO"/>
        </w:rPr>
        <w:t>régimen de transición</w:t>
      </w:r>
      <w:r w:rsidR="00D90886" w:rsidRPr="002E4477">
        <w:rPr>
          <w:szCs w:val="28"/>
          <w:lang w:val="es-CO" w:eastAsia="es-CO"/>
        </w:rPr>
        <w:t xml:space="preserve"> que </w:t>
      </w:r>
      <w:r w:rsidRPr="002E4477">
        <w:rPr>
          <w:szCs w:val="28"/>
          <w:lang w:val="es-CO" w:eastAsia="es-CO"/>
        </w:rPr>
        <w:t>confería competencia</w:t>
      </w:r>
      <w:r w:rsidR="002827E1" w:rsidRPr="002E4477">
        <w:rPr>
          <w:szCs w:val="28"/>
          <w:lang w:val="es-CO" w:eastAsia="es-CO"/>
        </w:rPr>
        <w:t>s</w:t>
      </w:r>
      <w:r w:rsidRPr="002E4477">
        <w:rPr>
          <w:szCs w:val="28"/>
          <w:lang w:val="es-CO" w:eastAsia="es-CO"/>
        </w:rPr>
        <w:t xml:space="preserve"> </w:t>
      </w:r>
      <w:r w:rsidR="002827E1" w:rsidRPr="002E4477">
        <w:rPr>
          <w:szCs w:val="28"/>
          <w:lang w:val="es-CO" w:eastAsia="es-CO"/>
        </w:rPr>
        <w:t xml:space="preserve">al Consejo de Gobierno Judicial </w:t>
      </w:r>
      <w:r w:rsidRPr="002E4477">
        <w:rPr>
          <w:szCs w:val="28"/>
          <w:lang w:val="es-CO" w:eastAsia="es-CO"/>
        </w:rPr>
        <w:t>para la</w:t>
      </w:r>
      <w:r w:rsidR="00D90886" w:rsidRPr="002E4477">
        <w:rPr>
          <w:szCs w:val="28"/>
          <w:lang w:val="es-CO" w:eastAsia="es-CO"/>
        </w:rPr>
        <w:t xml:space="preserve"> reglamentación de </w:t>
      </w:r>
      <w:r w:rsidR="00E81DB9" w:rsidRPr="002E4477">
        <w:rPr>
          <w:szCs w:val="28"/>
          <w:lang w:val="es-CO" w:eastAsia="es-CO"/>
        </w:rPr>
        <w:t>esa</w:t>
      </w:r>
      <w:r w:rsidR="00D90886" w:rsidRPr="002E4477">
        <w:rPr>
          <w:szCs w:val="28"/>
          <w:lang w:val="es-CO" w:eastAsia="es-CO"/>
        </w:rPr>
        <w:t xml:space="preserve"> convocatoria</w:t>
      </w:r>
      <w:r w:rsidR="00035B1F" w:rsidRPr="002E4477">
        <w:rPr>
          <w:szCs w:val="28"/>
          <w:lang w:val="es-CO" w:eastAsia="es-CO"/>
        </w:rPr>
        <w:t>,</w:t>
      </w:r>
      <w:r w:rsidR="00E81DB9" w:rsidRPr="002E4477">
        <w:rPr>
          <w:szCs w:val="28"/>
          <w:lang w:val="es-CO" w:eastAsia="es-CO"/>
        </w:rPr>
        <w:t xml:space="preserve"> el </w:t>
      </w:r>
      <w:r w:rsidR="00E331E9">
        <w:rPr>
          <w:szCs w:val="28"/>
          <w:lang w:val="es-CO" w:eastAsia="es-CO"/>
        </w:rPr>
        <w:t xml:space="preserve">hecho de </w:t>
      </w:r>
      <w:r w:rsidR="00E81DB9" w:rsidRPr="002E4477">
        <w:rPr>
          <w:szCs w:val="28"/>
          <w:lang w:val="es-CO" w:eastAsia="es-CO"/>
        </w:rPr>
        <w:t xml:space="preserve">que </w:t>
      </w:r>
      <w:r w:rsidR="00035B1F" w:rsidRPr="002E4477">
        <w:rPr>
          <w:szCs w:val="28"/>
          <w:lang w:val="es-CO" w:eastAsia="es-CO"/>
        </w:rPr>
        <w:t>pervivi</w:t>
      </w:r>
      <w:r w:rsidR="00E81DB9" w:rsidRPr="002E4477">
        <w:rPr>
          <w:szCs w:val="28"/>
          <w:lang w:val="es-CO" w:eastAsia="es-CO"/>
        </w:rPr>
        <w:t>era</w:t>
      </w:r>
      <w:r w:rsidR="00035B1F" w:rsidRPr="002E4477">
        <w:rPr>
          <w:szCs w:val="28"/>
          <w:lang w:val="es-CO" w:eastAsia="es-CO"/>
        </w:rPr>
        <w:t xml:space="preserve"> </w:t>
      </w:r>
      <w:r w:rsidR="00E81DB9" w:rsidRPr="002E4477">
        <w:rPr>
          <w:szCs w:val="28"/>
          <w:lang w:val="es-CO" w:eastAsia="es-CO"/>
        </w:rPr>
        <w:t xml:space="preserve">el </w:t>
      </w:r>
      <w:r w:rsidR="00E81DB9" w:rsidRPr="002E4477">
        <w:rPr>
          <w:i/>
          <w:iCs/>
          <w:szCs w:val="28"/>
          <w:lang w:val="es-CO" w:eastAsia="es-CO"/>
        </w:rPr>
        <w:t>parágrafo transitorio</w:t>
      </w:r>
      <w:r w:rsidR="00E81DB9" w:rsidRPr="002E4477">
        <w:rPr>
          <w:szCs w:val="28"/>
          <w:lang w:val="es-CO" w:eastAsia="es-CO"/>
        </w:rPr>
        <w:t xml:space="preserve"> del </w:t>
      </w:r>
      <w:r w:rsidR="00035B1F" w:rsidRPr="002E4477">
        <w:rPr>
          <w:szCs w:val="28"/>
          <w:lang w:val="es-CO" w:eastAsia="es-CO"/>
        </w:rPr>
        <w:t>artículo 257A</w:t>
      </w:r>
      <w:r w:rsidR="00E76FB8" w:rsidRPr="002E4477">
        <w:rPr>
          <w:szCs w:val="28"/>
          <w:lang w:val="es-CO" w:eastAsia="es-CO"/>
        </w:rPr>
        <w:t>,</w:t>
      </w:r>
      <w:r w:rsidR="002827E1" w:rsidRPr="002E4477">
        <w:rPr>
          <w:szCs w:val="28"/>
          <w:lang w:val="es-CO" w:eastAsia="es-CO"/>
        </w:rPr>
        <w:t xml:space="preserve"> </w:t>
      </w:r>
      <w:r w:rsidR="00E81DB9" w:rsidRPr="002E4477">
        <w:rPr>
          <w:szCs w:val="28"/>
          <w:lang w:val="es-CO" w:eastAsia="es-CO"/>
        </w:rPr>
        <w:t xml:space="preserve">le daba continuidad a ese proceso en lo pertinente, </w:t>
      </w:r>
      <w:r w:rsidR="00E76FB8" w:rsidRPr="002E4477">
        <w:rPr>
          <w:szCs w:val="28"/>
          <w:lang w:val="es-CO" w:eastAsia="es-CO"/>
        </w:rPr>
        <w:t>no s</w:t>
      </w:r>
      <w:r w:rsidR="00E331E9">
        <w:rPr>
          <w:szCs w:val="28"/>
          <w:lang w:val="es-CO" w:eastAsia="es-CO"/>
        </w:rPr>
        <w:t>o</w:t>
      </w:r>
      <w:r w:rsidR="00E76FB8" w:rsidRPr="002E4477">
        <w:rPr>
          <w:szCs w:val="28"/>
          <w:lang w:val="es-CO" w:eastAsia="es-CO"/>
        </w:rPr>
        <w:t>lo por avalar</w:t>
      </w:r>
      <w:r w:rsidR="00035B1F" w:rsidRPr="002E4477">
        <w:rPr>
          <w:szCs w:val="28"/>
          <w:lang w:val="es-CO" w:eastAsia="es-CO"/>
        </w:rPr>
        <w:t xml:space="preserve"> los lineamientos previstos por el constituyente</w:t>
      </w:r>
      <w:r w:rsidR="00F7190E" w:rsidRPr="002E4477">
        <w:rPr>
          <w:szCs w:val="28"/>
          <w:lang w:val="es-CO" w:eastAsia="es-CO"/>
        </w:rPr>
        <w:t xml:space="preserve"> para conformar la CNDJ</w:t>
      </w:r>
      <w:r w:rsidR="00E76FB8" w:rsidRPr="002E4477">
        <w:rPr>
          <w:szCs w:val="28"/>
          <w:lang w:val="es-CO" w:eastAsia="es-CO"/>
        </w:rPr>
        <w:t>, sino por el</w:t>
      </w:r>
      <w:r w:rsidR="00035B1F" w:rsidRPr="002E4477">
        <w:rPr>
          <w:szCs w:val="28"/>
          <w:lang w:val="es-CO" w:eastAsia="es-CO"/>
        </w:rPr>
        <w:t xml:space="preserve"> </w:t>
      </w:r>
      <w:r w:rsidR="00016ECE" w:rsidRPr="002E4477">
        <w:rPr>
          <w:szCs w:val="28"/>
          <w:lang w:val="es-CO" w:eastAsia="es-CO"/>
        </w:rPr>
        <w:t xml:space="preserve">preciso </w:t>
      </w:r>
      <w:r w:rsidR="00035B1F" w:rsidRPr="002E4477">
        <w:rPr>
          <w:szCs w:val="28"/>
          <w:lang w:val="es-CO" w:eastAsia="es-CO"/>
        </w:rPr>
        <w:t xml:space="preserve">término </w:t>
      </w:r>
      <w:r w:rsidR="00E81DB9" w:rsidRPr="002E4477">
        <w:rPr>
          <w:szCs w:val="28"/>
          <w:lang w:val="es-CO" w:eastAsia="es-CO"/>
        </w:rPr>
        <w:t>de un año</w:t>
      </w:r>
      <w:r w:rsidR="00E76FB8" w:rsidRPr="002E4477">
        <w:rPr>
          <w:szCs w:val="28"/>
          <w:lang w:val="es-CO" w:eastAsia="es-CO"/>
        </w:rPr>
        <w:t xml:space="preserve"> conferido</w:t>
      </w:r>
      <w:r w:rsidR="0062140E" w:rsidRPr="002E4477">
        <w:rPr>
          <w:szCs w:val="28"/>
          <w:lang w:val="es-CO" w:eastAsia="es-CO"/>
        </w:rPr>
        <w:t xml:space="preserve"> en el precepto constitucional</w:t>
      </w:r>
      <w:r w:rsidR="00E76FB8" w:rsidRPr="002E4477">
        <w:rPr>
          <w:szCs w:val="28"/>
          <w:lang w:val="es-CO" w:eastAsia="es-CO"/>
        </w:rPr>
        <w:t xml:space="preserve"> para ese propósito</w:t>
      </w:r>
      <w:r w:rsidR="00E81DB9" w:rsidRPr="002E4477">
        <w:rPr>
          <w:szCs w:val="28"/>
          <w:lang w:val="es-CO" w:eastAsia="es-CO"/>
        </w:rPr>
        <w:t>. El único cambio</w:t>
      </w:r>
      <w:r w:rsidR="00E76FB8" w:rsidRPr="002E4477">
        <w:rPr>
          <w:szCs w:val="28"/>
          <w:lang w:val="es-CO" w:eastAsia="es-CO"/>
        </w:rPr>
        <w:t xml:space="preserve"> reconocido por la </w:t>
      </w:r>
      <w:r w:rsidR="00E81DB9" w:rsidRPr="00E331E9">
        <w:rPr>
          <w:b/>
          <w:bCs/>
          <w:szCs w:val="28"/>
          <w:lang w:val="es-CO" w:eastAsia="es-CO"/>
        </w:rPr>
        <w:t>sentencia C-285 de 2016</w:t>
      </w:r>
      <w:r w:rsidR="00E76FB8" w:rsidRPr="002E4477">
        <w:rPr>
          <w:szCs w:val="28"/>
          <w:lang w:val="es-CO" w:eastAsia="es-CO"/>
        </w:rPr>
        <w:t xml:space="preserve"> </w:t>
      </w:r>
      <w:r w:rsidR="001F24A0" w:rsidRPr="002E4477">
        <w:rPr>
          <w:szCs w:val="28"/>
          <w:lang w:val="es-CO" w:eastAsia="es-CO"/>
        </w:rPr>
        <w:t>frente al</w:t>
      </w:r>
      <w:r w:rsidR="00E76FB8" w:rsidRPr="002E4477">
        <w:rPr>
          <w:szCs w:val="28"/>
          <w:lang w:val="es-CO" w:eastAsia="es-CO"/>
        </w:rPr>
        <w:t xml:space="preserve"> proceso</w:t>
      </w:r>
      <w:r w:rsidR="00016ECE" w:rsidRPr="002E4477">
        <w:rPr>
          <w:szCs w:val="28"/>
          <w:lang w:val="es-CO" w:eastAsia="es-CO"/>
        </w:rPr>
        <w:t xml:space="preserve"> de convocatoria</w:t>
      </w:r>
      <w:r w:rsidR="00E76FB8" w:rsidRPr="002E4477">
        <w:rPr>
          <w:szCs w:val="28"/>
          <w:lang w:val="es-CO" w:eastAsia="es-CO"/>
        </w:rPr>
        <w:t>,</w:t>
      </w:r>
      <w:r w:rsidR="00E81DB9" w:rsidRPr="002E4477">
        <w:rPr>
          <w:szCs w:val="28"/>
          <w:lang w:val="es-CO" w:eastAsia="es-CO"/>
        </w:rPr>
        <w:t xml:space="preserve"> </w:t>
      </w:r>
      <w:r w:rsidR="001F24A0" w:rsidRPr="002E4477">
        <w:rPr>
          <w:szCs w:val="28"/>
          <w:lang w:val="es-CO" w:eastAsia="es-CO"/>
        </w:rPr>
        <w:t>fue entonces,</w:t>
      </w:r>
      <w:r w:rsidR="00F7190E" w:rsidRPr="002E4477">
        <w:rPr>
          <w:szCs w:val="28"/>
          <w:lang w:val="es-CO" w:eastAsia="es-CO"/>
        </w:rPr>
        <w:t xml:space="preserve"> </w:t>
      </w:r>
      <w:r w:rsidR="0062140E" w:rsidRPr="002E4477">
        <w:rPr>
          <w:szCs w:val="28"/>
          <w:lang w:val="es-CO" w:eastAsia="es-CO"/>
        </w:rPr>
        <w:t xml:space="preserve">la autoridad </w:t>
      </w:r>
      <w:r w:rsidRPr="002E4477">
        <w:rPr>
          <w:szCs w:val="28"/>
          <w:lang w:val="es-CO" w:eastAsia="es-CO"/>
        </w:rPr>
        <w:t xml:space="preserve">responsable de </w:t>
      </w:r>
      <w:r w:rsidR="00E76FB8" w:rsidRPr="002E4477">
        <w:rPr>
          <w:szCs w:val="28"/>
          <w:lang w:val="es-CO" w:eastAsia="es-CO"/>
        </w:rPr>
        <w:t>dicha</w:t>
      </w:r>
      <w:r w:rsidRPr="002E4477">
        <w:rPr>
          <w:szCs w:val="28"/>
          <w:lang w:val="es-CO" w:eastAsia="es-CO"/>
        </w:rPr>
        <w:t xml:space="preserve"> reglamentación</w:t>
      </w:r>
      <w:r w:rsidR="0062140E" w:rsidRPr="002E4477">
        <w:rPr>
          <w:szCs w:val="28"/>
          <w:lang w:val="es-CO" w:eastAsia="es-CO"/>
        </w:rPr>
        <w:t xml:space="preserve">, </w:t>
      </w:r>
      <w:r w:rsidR="00016ECE" w:rsidRPr="002E4477">
        <w:rPr>
          <w:szCs w:val="28"/>
          <w:lang w:val="es-CO" w:eastAsia="es-CO"/>
        </w:rPr>
        <w:t xml:space="preserve">ya </w:t>
      </w:r>
      <w:r w:rsidR="0062140E" w:rsidRPr="002E4477">
        <w:rPr>
          <w:szCs w:val="28"/>
          <w:lang w:val="es-CO" w:eastAsia="es-CO"/>
        </w:rPr>
        <w:t>que pas</w:t>
      </w:r>
      <w:r w:rsidR="001F24A0" w:rsidRPr="002E4477">
        <w:rPr>
          <w:szCs w:val="28"/>
          <w:lang w:val="es-CO" w:eastAsia="es-CO"/>
        </w:rPr>
        <w:t>ó de ser</w:t>
      </w:r>
      <w:r w:rsidR="0062140E" w:rsidRPr="002E4477">
        <w:rPr>
          <w:szCs w:val="28"/>
          <w:lang w:val="es-CO" w:eastAsia="es-CO"/>
        </w:rPr>
        <w:t xml:space="preserve"> el </w:t>
      </w:r>
      <w:r w:rsidR="00E76FB8" w:rsidRPr="002E4477">
        <w:rPr>
          <w:szCs w:val="28"/>
          <w:lang w:val="es-CO" w:eastAsia="es-CO"/>
        </w:rPr>
        <w:t>Consejo de Gobierno Judicial</w:t>
      </w:r>
      <w:r w:rsidR="0062140E" w:rsidRPr="002E4477">
        <w:rPr>
          <w:szCs w:val="28"/>
          <w:lang w:val="es-CO" w:eastAsia="es-CO"/>
        </w:rPr>
        <w:t xml:space="preserve"> a</w:t>
      </w:r>
      <w:r w:rsidR="001F24A0" w:rsidRPr="002E4477">
        <w:rPr>
          <w:szCs w:val="28"/>
          <w:lang w:val="es-CO" w:eastAsia="es-CO"/>
        </w:rPr>
        <w:t xml:space="preserve"> ser el</w:t>
      </w:r>
      <w:r w:rsidR="0062140E" w:rsidRPr="002E4477">
        <w:rPr>
          <w:szCs w:val="28"/>
          <w:lang w:val="es-CO" w:eastAsia="es-CO"/>
        </w:rPr>
        <w:t xml:space="preserve"> </w:t>
      </w:r>
      <w:r w:rsidR="00E76FB8" w:rsidRPr="002E4477">
        <w:rPr>
          <w:szCs w:val="28"/>
          <w:lang w:val="es-CO" w:eastAsia="es-CO"/>
        </w:rPr>
        <w:t>CSJ</w:t>
      </w:r>
      <w:r w:rsidR="0062140E" w:rsidRPr="002E4477">
        <w:rPr>
          <w:szCs w:val="28"/>
          <w:lang w:val="es-CO" w:eastAsia="es-CO"/>
        </w:rPr>
        <w:t xml:space="preserve">, en los términos </w:t>
      </w:r>
      <w:r w:rsidR="00016ECE" w:rsidRPr="002E4477">
        <w:rPr>
          <w:szCs w:val="28"/>
          <w:lang w:val="es-CO" w:eastAsia="es-CO"/>
        </w:rPr>
        <w:t>previstos por</w:t>
      </w:r>
      <w:r w:rsidR="0062140E" w:rsidRPr="002E4477">
        <w:rPr>
          <w:szCs w:val="28"/>
          <w:lang w:val="es-CO" w:eastAsia="es-CO"/>
        </w:rPr>
        <w:t xml:space="preserve"> la sentencia indicada. </w:t>
      </w:r>
    </w:p>
    <w:p w14:paraId="53C6B461" w14:textId="77777777" w:rsidR="00DA3EF9" w:rsidRDefault="00DA3EF9" w:rsidP="00DA3EF9">
      <w:pPr>
        <w:pStyle w:val="Prrafodelista"/>
        <w:tabs>
          <w:tab w:val="left" w:pos="567"/>
        </w:tabs>
        <w:ind w:left="0"/>
        <w:contextualSpacing/>
        <w:jc w:val="both"/>
        <w:rPr>
          <w:szCs w:val="28"/>
          <w:lang w:val="es-CO" w:eastAsia="es-CO"/>
        </w:rPr>
      </w:pPr>
    </w:p>
    <w:p w14:paraId="0902D40B" w14:textId="77777777" w:rsidR="00DD2EFD" w:rsidRPr="002E4477" w:rsidRDefault="00016ECE" w:rsidP="00962603">
      <w:pPr>
        <w:numPr>
          <w:ilvl w:val="0"/>
          <w:numId w:val="10"/>
        </w:numPr>
        <w:shd w:val="clear" w:color="auto" w:fill="FFFFFF"/>
        <w:jc w:val="both"/>
        <w:rPr>
          <w:szCs w:val="28"/>
          <w:lang w:val="es-CO" w:eastAsia="es-CO"/>
        </w:rPr>
      </w:pPr>
      <w:r w:rsidRPr="002E4477">
        <w:rPr>
          <w:szCs w:val="28"/>
          <w:lang w:val="es-CO" w:eastAsia="es-CO"/>
        </w:rPr>
        <w:t>La</w:t>
      </w:r>
      <w:r w:rsidR="00DA683A" w:rsidRPr="002E4477">
        <w:rPr>
          <w:szCs w:val="28"/>
          <w:lang w:val="es-CO" w:eastAsia="es-CO"/>
        </w:rPr>
        <w:t xml:space="preserve"> interpretación di</w:t>
      </w:r>
      <w:r w:rsidR="00E81DB9" w:rsidRPr="002E4477">
        <w:rPr>
          <w:szCs w:val="28"/>
          <w:lang w:val="es-CO" w:eastAsia="es-CO"/>
        </w:rPr>
        <w:t>versa</w:t>
      </w:r>
      <w:r w:rsidR="00DA683A" w:rsidRPr="002E4477">
        <w:rPr>
          <w:szCs w:val="28"/>
          <w:lang w:val="es-CO" w:eastAsia="es-CO"/>
        </w:rPr>
        <w:t xml:space="preserve"> </w:t>
      </w:r>
      <w:r w:rsidR="001F24A0" w:rsidRPr="002E4477">
        <w:rPr>
          <w:szCs w:val="28"/>
          <w:lang w:val="es-CO" w:eastAsia="es-CO"/>
        </w:rPr>
        <w:t xml:space="preserve">que realizó </w:t>
      </w:r>
      <w:r w:rsidR="001F24A0" w:rsidRPr="00A72C49">
        <w:rPr>
          <w:szCs w:val="28"/>
          <w:lang w:val="es-CO" w:eastAsia="es-CO"/>
        </w:rPr>
        <w:t>el Consejo de Estado a</w:t>
      </w:r>
      <w:r w:rsidR="00F906F8" w:rsidRPr="00A72C49">
        <w:rPr>
          <w:szCs w:val="28"/>
          <w:lang w:val="es-CO" w:eastAsia="es-CO"/>
        </w:rPr>
        <w:t>l artículo constitucional en estudio</w:t>
      </w:r>
      <w:r w:rsidR="001F24A0" w:rsidRPr="00A72C49">
        <w:rPr>
          <w:szCs w:val="28"/>
          <w:lang w:val="es-CO" w:eastAsia="es-CO"/>
        </w:rPr>
        <w:t>,</w:t>
      </w:r>
      <w:r w:rsidR="00E76FB8" w:rsidRPr="00A72C49">
        <w:rPr>
          <w:szCs w:val="28"/>
          <w:lang w:val="es-CO" w:eastAsia="es-CO"/>
        </w:rPr>
        <w:t xml:space="preserve"> y </w:t>
      </w:r>
      <w:r w:rsidR="00F7190E" w:rsidRPr="00A72C49">
        <w:rPr>
          <w:szCs w:val="28"/>
          <w:lang w:val="es-CO" w:eastAsia="es-CO"/>
        </w:rPr>
        <w:t xml:space="preserve">ajena a lo determinado en la </w:t>
      </w:r>
      <w:r w:rsidR="0062140E" w:rsidRPr="00A72C49">
        <w:rPr>
          <w:szCs w:val="28"/>
          <w:lang w:val="es-CO" w:eastAsia="es-CO"/>
        </w:rPr>
        <w:t>providencia</w:t>
      </w:r>
      <w:r w:rsidR="00F7190E" w:rsidRPr="00A72C49">
        <w:rPr>
          <w:szCs w:val="28"/>
          <w:lang w:val="es-CO" w:eastAsia="es-CO"/>
        </w:rPr>
        <w:t xml:space="preserve"> </w:t>
      </w:r>
      <w:r w:rsidR="00F7190E" w:rsidRPr="00A72C49">
        <w:rPr>
          <w:b/>
          <w:bCs/>
          <w:szCs w:val="28"/>
          <w:lang w:val="es-CO" w:eastAsia="es-CO"/>
        </w:rPr>
        <w:t>C-285 de 2016</w:t>
      </w:r>
      <w:r w:rsidR="001F24A0" w:rsidRPr="00A72C49">
        <w:rPr>
          <w:szCs w:val="28"/>
          <w:lang w:val="es-CO" w:eastAsia="es-CO"/>
        </w:rPr>
        <w:t>,</w:t>
      </w:r>
      <w:r w:rsidRPr="00A72C49">
        <w:rPr>
          <w:szCs w:val="28"/>
          <w:lang w:val="es-CO" w:eastAsia="es-CO"/>
        </w:rPr>
        <w:t xml:space="preserve"> </w:t>
      </w:r>
      <w:r w:rsidR="00DA683A" w:rsidRPr="00A72C49">
        <w:rPr>
          <w:szCs w:val="28"/>
          <w:lang w:val="es-CO" w:eastAsia="es-CO"/>
        </w:rPr>
        <w:t>s</w:t>
      </w:r>
      <w:r w:rsidR="00A72C49">
        <w:rPr>
          <w:szCs w:val="28"/>
          <w:lang w:val="es-CO" w:eastAsia="es-CO"/>
        </w:rPr>
        <w:t>o</w:t>
      </w:r>
      <w:r w:rsidR="00DA683A" w:rsidRPr="00A72C49">
        <w:rPr>
          <w:szCs w:val="28"/>
          <w:lang w:val="es-CO" w:eastAsia="es-CO"/>
        </w:rPr>
        <w:t>lo</w:t>
      </w:r>
      <w:r w:rsidR="00201F76" w:rsidRPr="00A72C49">
        <w:rPr>
          <w:szCs w:val="28"/>
          <w:lang w:val="es-CO" w:eastAsia="es-CO"/>
        </w:rPr>
        <w:t xml:space="preserve"> podría considerarse</w:t>
      </w:r>
      <w:r w:rsidR="001F24A0" w:rsidRPr="00A72C49">
        <w:rPr>
          <w:szCs w:val="28"/>
          <w:lang w:val="es-CO" w:eastAsia="es-CO"/>
        </w:rPr>
        <w:t>,</w:t>
      </w:r>
      <w:r w:rsidR="00DA683A" w:rsidRPr="00A72C49">
        <w:rPr>
          <w:szCs w:val="28"/>
          <w:lang w:val="es-CO" w:eastAsia="es-CO"/>
        </w:rPr>
        <w:t xml:space="preserve"> si </w:t>
      </w:r>
      <w:r w:rsidR="00FB0FE3" w:rsidRPr="00A72C49">
        <w:rPr>
          <w:szCs w:val="28"/>
          <w:lang w:val="es-CO" w:eastAsia="es-CO"/>
        </w:rPr>
        <w:t>el Tribunal Constitucional</w:t>
      </w:r>
      <w:r w:rsidR="00035B1F" w:rsidRPr="00A72C49">
        <w:rPr>
          <w:szCs w:val="28"/>
          <w:lang w:val="es-CO" w:eastAsia="es-CO"/>
        </w:rPr>
        <w:t xml:space="preserve"> </w:t>
      </w:r>
      <w:r w:rsidR="003936A1" w:rsidRPr="00A72C49">
        <w:rPr>
          <w:szCs w:val="28"/>
          <w:lang w:val="es-CO" w:eastAsia="es-CO"/>
        </w:rPr>
        <w:t>en e</w:t>
      </w:r>
      <w:r w:rsidR="00C30C74" w:rsidRPr="00A72C49">
        <w:rPr>
          <w:szCs w:val="28"/>
          <w:lang w:val="es-CO" w:eastAsia="es-CO"/>
        </w:rPr>
        <w:t>l</w:t>
      </w:r>
      <w:r w:rsidR="003936A1" w:rsidRPr="00A72C49">
        <w:rPr>
          <w:szCs w:val="28"/>
          <w:lang w:val="es-CO" w:eastAsia="es-CO"/>
        </w:rPr>
        <w:t xml:space="preserve"> pronunciamiento </w:t>
      </w:r>
      <w:r w:rsidR="00DA683A" w:rsidRPr="00A72C49">
        <w:rPr>
          <w:szCs w:val="28"/>
          <w:lang w:val="es-CO" w:eastAsia="es-CO"/>
        </w:rPr>
        <w:t>hubiese declarado inexequible</w:t>
      </w:r>
      <w:r w:rsidR="00E81DB9" w:rsidRPr="002E4477">
        <w:rPr>
          <w:szCs w:val="28"/>
          <w:lang w:val="es-CO" w:eastAsia="es-CO"/>
        </w:rPr>
        <w:t xml:space="preserve"> </w:t>
      </w:r>
      <w:r w:rsidR="003936A1" w:rsidRPr="002E4477">
        <w:rPr>
          <w:szCs w:val="28"/>
          <w:lang w:val="es-CO" w:eastAsia="es-CO"/>
        </w:rPr>
        <w:t xml:space="preserve">también </w:t>
      </w:r>
      <w:r w:rsidR="00DA683A" w:rsidRPr="002E4477">
        <w:rPr>
          <w:szCs w:val="28"/>
          <w:lang w:val="es-CO" w:eastAsia="es-CO"/>
        </w:rPr>
        <w:t>el parágrafo transitorio del artículo 257A</w:t>
      </w:r>
      <w:r w:rsidR="00035B1F" w:rsidRPr="002E4477">
        <w:rPr>
          <w:szCs w:val="28"/>
          <w:lang w:val="es-CO" w:eastAsia="es-CO"/>
        </w:rPr>
        <w:t xml:space="preserve"> superior</w:t>
      </w:r>
      <w:r w:rsidR="00DA683A" w:rsidRPr="002E4477">
        <w:rPr>
          <w:szCs w:val="28"/>
          <w:lang w:val="es-CO" w:eastAsia="es-CO"/>
        </w:rPr>
        <w:t xml:space="preserve">, </w:t>
      </w:r>
      <w:r w:rsidR="00201B17" w:rsidRPr="002E4477">
        <w:rPr>
          <w:szCs w:val="28"/>
          <w:lang w:val="es-CO" w:eastAsia="es-CO"/>
        </w:rPr>
        <w:t xml:space="preserve">al punto de eliminar </w:t>
      </w:r>
      <w:r w:rsidR="00035B1F" w:rsidRPr="002E4477">
        <w:rPr>
          <w:szCs w:val="28"/>
          <w:lang w:val="es-CO" w:eastAsia="es-CO"/>
        </w:rPr>
        <w:t>en su totalidad</w:t>
      </w:r>
      <w:r w:rsidR="00084227" w:rsidRPr="002E4477">
        <w:rPr>
          <w:szCs w:val="28"/>
          <w:lang w:val="es-CO" w:eastAsia="es-CO"/>
        </w:rPr>
        <w:t xml:space="preserve"> </w:t>
      </w:r>
      <w:r w:rsidR="00FB4BF2" w:rsidRPr="002E4477">
        <w:rPr>
          <w:szCs w:val="28"/>
          <w:lang w:val="es-CO" w:eastAsia="es-CO"/>
        </w:rPr>
        <w:t>el régimen</w:t>
      </w:r>
      <w:r w:rsidR="00201B17" w:rsidRPr="002E4477">
        <w:rPr>
          <w:szCs w:val="28"/>
          <w:lang w:val="es-CO" w:eastAsia="es-CO"/>
        </w:rPr>
        <w:t xml:space="preserve"> de</w:t>
      </w:r>
      <w:r w:rsidR="00FB4BF2" w:rsidRPr="002E4477">
        <w:rPr>
          <w:szCs w:val="28"/>
          <w:lang w:val="es-CO" w:eastAsia="es-CO"/>
        </w:rPr>
        <w:t xml:space="preserve"> tra</w:t>
      </w:r>
      <w:r w:rsidR="00E81DB9" w:rsidRPr="002E4477">
        <w:rPr>
          <w:szCs w:val="28"/>
          <w:lang w:val="es-CO" w:eastAsia="es-CO"/>
        </w:rPr>
        <w:t>nsición</w:t>
      </w:r>
      <w:r w:rsidR="00201B17" w:rsidRPr="002E4477">
        <w:rPr>
          <w:szCs w:val="28"/>
          <w:lang w:val="es-CO" w:eastAsia="es-CO"/>
        </w:rPr>
        <w:t xml:space="preserve"> propuesto</w:t>
      </w:r>
      <w:r w:rsidR="0084631A" w:rsidRPr="002E4477">
        <w:rPr>
          <w:szCs w:val="28"/>
          <w:lang w:val="es-CO" w:eastAsia="es-CO"/>
        </w:rPr>
        <w:t xml:space="preserve"> por el constituyente</w:t>
      </w:r>
      <w:r w:rsidR="00201B17" w:rsidRPr="002E4477">
        <w:rPr>
          <w:szCs w:val="28"/>
          <w:lang w:val="es-CO" w:eastAsia="es-CO"/>
        </w:rPr>
        <w:t>. De</w:t>
      </w:r>
      <w:r w:rsidR="0062140E" w:rsidRPr="002E4477">
        <w:rPr>
          <w:szCs w:val="28"/>
          <w:lang w:val="es-CO" w:eastAsia="es-CO"/>
        </w:rPr>
        <w:t xml:space="preserve"> haber sido es</w:t>
      </w:r>
      <w:r w:rsidR="00FD5664" w:rsidRPr="002E4477">
        <w:rPr>
          <w:szCs w:val="28"/>
          <w:lang w:val="es-CO" w:eastAsia="es-CO"/>
        </w:rPr>
        <w:t>t</w:t>
      </w:r>
      <w:r w:rsidR="0062140E" w:rsidRPr="002E4477">
        <w:rPr>
          <w:szCs w:val="28"/>
          <w:lang w:val="es-CO" w:eastAsia="es-CO"/>
        </w:rPr>
        <w:t>e el caso</w:t>
      </w:r>
      <w:r w:rsidR="00201B17" w:rsidRPr="002E4477">
        <w:rPr>
          <w:szCs w:val="28"/>
          <w:lang w:val="es-CO" w:eastAsia="es-CO"/>
        </w:rPr>
        <w:t xml:space="preserve">, </w:t>
      </w:r>
      <w:r w:rsidRPr="002E4477">
        <w:rPr>
          <w:szCs w:val="28"/>
          <w:lang w:val="es-CO" w:eastAsia="es-CO"/>
        </w:rPr>
        <w:t xml:space="preserve">era posible </w:t>
      </w:r>
      <w:r w:rsidR="00F7190E" w:rsidRPr="002E4477">
        <w:rPr>
          <w:szCs w:val="28"/>
          <w:lang w:val="es-CO" w:eastAsia="es-CO"/>
        </w:rPr>
        <w:t xml:space="preserve">integrar </w:t>
      </w:r>
      <w:r w:rsidR="00140F99" w:rsidRPr="002E4477">
        <w:rPr>
          <w:szCs w:val="28"/>
          <w:lang w:val="es-CO" w:eastAsia="es-CO"/>
        </w:rPr>
        <w:t xml:space="preserve">al </w:t>
      </w:r>
      <w:r w:rsidR="00F7190E" w:rsidRPr="002E4477">
        <w:rPr>
          <w:szCs w:val="28"/>
          <w:lang w:val="es-CO" w:eastAsia="es-CO"/>
        </w:rPr>
        <w:t>análisis otras normas constitucionales como el artículo 126 de la Carta</w:t>
      </w:r>
      <w:r w:rsidR="0062140E" w:rsidRPr="002E4477">
        <w:rPr>
          <w:szCs w:val="28"/>
          <w:lang w:val="es-CO" w:eastAsia="es-CO"/>
        </w:rPr>
        <w:t>,</w:t>
      </w:r>
      <w:r w:rsidR="00F7190E" w:rsidRPr="002E4477">
        <w:rPr>
          <w:szCs w:val="28"/>
          <w:lang w:val="es-CO" w:eastAsia="es-CO"/>
        </w:rPr>
        <w:t xml:space="preserve"> para resolver los </w:t>
      </w:r>
      <w:r w:rsidR="00F906F8" w:rsidRPr="002E4477">
        <w:rPr>
          <w:szCs w:val="28"/>
          <w:lang w:val="es-CO" w:eastAsia="es-CO"/>
        </w:rPr>
        <w:t xml:space="preserve">eventuales </w:t>
      </w:r>
      <w:r w:rsidR="00F7190E" w:rsidRPr="002E4477">
        <w:rPr>
          <w:szCs w:val="28"/>
          <w:lang w:val="es-CO" w:eastAsia="es-CO"/>
        </w:rPr>
        <w:t xml:space="preserve">vacíos </w:t>
      </w:r>
      <w:r w:rsidR="00C61559" w:rsidRPr="002E4477">
        <w:rPr>
          <w:szCs w:val="28"/>
          <w:lang w:val="es-CO" w:eastAsia="es-CO"/>
        </w:rPr>
        <w:t>existentes</w:t>
      </w:r>
      <w:r w:rsidR="0062140E" w:rsidRPr="002E4477">
        <w:rPr>
          <w:szCs w:val="28"/>
          <w:lang w:val="es-CO" w:eastAsia="es-CO"/>
        </w:rPr>
        <w:t>, al estilo de lo propuesto por</w:t>
      </w:r>
      <w:r w:rsidRPr="002E4477">
        <w:rPr>
          <w:szCs w:val="28"/>
          <w:lang w:val="es-CO" w:eastAsia="es-CO"/>
        </w:rPr>
        <w:t xml:space="preserve"> la Sala Plena de lo Contencioso Administrativo</w:t>
      </w:r>
      <w:r w:rsidR="00FD5664" w:rsidRPr="002E4477">
        <w:rPr>
          <w:szCs w:val="28"/>
          <w:lang w:val="es-CO" w:eastAsia="es-CO"/>
        </w:rPr>
        <w:t>.</w:t>
      </w:r>
      <w:r w:rsidR="00084227" w:rsidRPr="002E4477">
        <w:rPr>
          <w:szCs w:val="28"/>
          <w:lang w:val="es-CO" w:eastAsia="es-CO"/>
        </w:rPr>
        <w:t xml:space="preserve"> </w:t>
      </w:r>
    </w:p>
    <w:p w14:paraId="4C8D6590" w14:textId="77777777" w:rsidR="00DD2EFD" w:rsidRPr="002E4477" w:rsidRDefault="00DD2EFD" w:rsidP="002807A3">
      <w:pPr>
        <w:pStyle w:val="Prrafodelista"/>
        <w:ind w:left="0"/>
        <w:contextualSpacing/>
        <w:jc w:val="both"/>
        <w:rPr>
          <w:szCs w:val="28"/>
          <w:lang w:val="es-CO" w:eastAsia="es-CO"/>
        </w:rPr>
      </w:pPr>
    </w:p>
    <w:p w14:paraId="677E2EA9" w14:textId="77777777" w:rsidR="00C531F7" w:rsidRPr="00E331E9" w:rsidRDefault="00084227" w:rsidP="002807A3">
      <w:pPr>
        <w:pStyle w:val="Prrafodelista"/>
        <w:ind w:left="0"/>
        <w:contextualSpacing/>
        <w:jc w:val="both"/>
        <w:rPr>
          <w:szCs w:val="28"/>
          <w:lang w:val="es-CO" w:eastAsia="es-CO"/>
        </w:rPr>
      </w:pPr>
      <w:r w:rsidRPr="00E331E9">
        <w:rPr>
          <w:szCs w:val="28"/>
          <w:lang w:val="es-CO" w:eastAsia="es-CO"/>
        </w:rPr>
        <w:t>No obstante</w:t>
      </w:r>
      <w:r w:rsidR="00F7190E" w:rsidRPr="00E331E9">
        <w:rPr>
          <w:szCs w:val="28"/>
          <w:lang w:val="es-CO" w:eastAsia="es-CO"/>
        </w:rPr>
        <w:t xml:space="preserve">, como </w:t>
      </w:r>
      <w:r w:rsidR="00DA683A" w:rsidRPr="00E331E9">
        <w:rPr>
          <w:szCs w:val="28"/>
          <w:lang w:val="es-CO" w:eastAsia="es-CO"/>
        </w:rPr>
        <w:t>ello no ocurrió</w:t>
      </w:r>
      <w:r w:rsidR="0027239F" w:rsidRPr="00E331E9">
        <w:rPr>
          <w:szCs w:val="28"/>
          <w:lang w:val="es-CO" w:eastAsia="es-CO"/>
        </w:rPr>
        <w:t>,</w:t>
      </w:r>
      <w:r w:rsidR="00DD2EFD" w:rsidRPr="00E331E9">
        <w:rPr>
          <w:szCs w:val="28"/>
          <w:lang w:val="es-CO" w:eastAsia="es-CO"/>
        </w:rPr>
        <w:t xml:space="preserve"> </w:t>
      </w:r>
      <w:r w:rsidRPr="00E331E9">
        <w:rPr>
          <w:szCs w:val="28"/>
          <w:lang w:val="es-CO" w:eastAsia="es-CO"/>
        </w:rPr>
        <w:t xml:space="preserve">y el condicionamiento propuesto </w:t>
      </w:r>
      <w:r w:rsidR="003936A1" w:rsidRPr="00E331E9">
        <w:rPr>
          <w:szCs w:val="28"/>
          <w:lang w:val="es-CO" w:eastAsia="es-CO"/>
        </w:rPr>
        <w:t>por</w:t>
      </w:r>
      <w:r w:rsidRPr="00E331E9">
        <w:rPr>
          <w:szCs w:val="28"/>
          <w:lang w:val="es-CO" w:eastAsia="es-CO"/>
        </w:rPr>
        <w:t xml:space="preserve"> la </w:t>
      </w:r>
      <w:r w:rsidRPr="00E331E9">
        <w:rPr>
          <w:b/>
          <w:bCs/>
          <w:szCs w:val="28"/>
          <w:lang w:val="es-CO" w:eastAsia="es-CO"/>
        </w:rPr>
        <w:t xml:space="preserve">sentencia </w:t>
      </w:r>
      <w:r w:rsidR="00740383" w:rsidRPr="00E331E9">
        <w:rPr>
          <w:b/>
          <w:bCs/>
          <w:szCs w:val="28"/>
          <w:lang w:val="es-CO" w:eastAsia="es-CO"/>
        </w:rPr>
        <w:t>C-285 de 2016</w:t>
      </w:r>
      <w:r w:rsidR="00740383" w:rsidRPr="00E331E9">
        <w:rPr>
          <w:szCs w:val="28"/>
          <w:lang w:val="es-CO" w:eastAsia="es-CO"/>
        </w:rPr>
        <w:t xml:space="preserve"> </w:t>
      </w:r>
      <w:r w:rsidRPr="00E331E9">
        <w:rPr>
          <w:szCs w:val="28"/>
          <w:lang w:val="es-CO" w:eastAsia="es-CO"/>
        </w:rPr>
        <w:t>avaló el querer del constituyente de darle continuidad a la reforma</w:t>
      </w:r>
      <w:r w:rsidR="00DA683A" w:rsidRPr="00E331E9">
        <w:rPr>
          <w:szCs w:val="28"/>
          <w:lang w:val="es-CO" w:eastAsia="es-CO"/>
        </w:rPr>
        <w:t xml:space="preserve"> </w:t>
      </w:r>
      <w:r w:rsidR="003936A1" w:rsidRPr="00E331E9">
        <w:rPr>
          <w:szCs w:val="28"/>
          <w:lang w:val="es-CO" w:eastAsia="es-CO"/>
        </w:rPr>
        <w:t xml:space="preserve">constitucional en este aspecto, </w:t>
      </w:r>
      <w:r w:rsidR="00C531F7" w:rsidRPr="00E331E9">
        <w:rPr>
          <w:szCs w:val="28"/>
          <w:lang w:val="es-CO" w:eastAsia="es-CO"/>
        </w:rPr>
        <w:t xml:space="preserve">y </w:t>
      </w:r>
      <w:r w:rsidR="00E56C47" w:rsidRPr="00E331E9">
        <w:rPr>
          <w:szCs w:val="28"/>
          <w:lang w:val="es-CO" w:eastAsia="es-CO"/>
        </w:rPr>
        <w:t xml:space="preserve">de </w:t>
      </w:r>
      <w:r w:rsidR="00C531F7" w:rsidRPr="00E331E9">
        <w:rPr>
          <w:szCs w:val="28"/>
          <w:lang w:val="es-CO" w:eastAsia="es-CO"/>
        </w:rPr>
        <w:t>reconocer</w:t>
      </w:r>
      <w:r w:rsidR="00DD2EFD" w:rsidRPr="00E331E9">
        <w:rPr>
          <w:szCs w:val="28"/>
          <w:lang w:val="es-CO" w:eastAsia="es-CO"/>
        </w:rPr>
        <w:t xml:space="preserve"> en favor del</w:t>
      </w:r>
      <w:r w:rsidR="00C61559" w:rsidRPr="00E331E9">
        <w:rPr>
          <w:szCs w:val="28"/>
          <w:lang w:val="es-CO" w:eastAsia="es-CO"/>
        </w:rPr>
        <w:t xml:space="preserve"> Consejo de Gobierno Judicial, hoy el</w:t>
      </w:r>
      <w:r w:rsidR="00DD2EFD" w:rsidRPr="00E331E9">
        <w:rPr>
          <w:szCs w:val="28"/>
          <w:lang w:val="es-CO" w:eastAsia="es-CO"/>
        </w:rPr>
        <w:t xml:space="preserve"> CSJ</w:t>
      </w:r>
      <w:r w:rsidR="00C61559" w:rsidRPr="00E331E9">
        <w:rPr>
          <w:szCs w:val="28"/>
          <w:lang w:val="es-CO" w:eastAsia="es-CO"/>
        </w:rPr>
        <w:t>,</w:t>
      </w:r>
      <w:r w:rsidR="00C531F7" w:rsidRPr="00E331E9">
        <w:rPr>
          <w:szCs w:val="28"/>
          <w:lang w:val="es-CO" w:eastAsia="es-CO"/>
        </w:rPr>
        <w:t xml:space="preserve"> la potestad </w:t>
      </w:r>
      <w:r w:rsidR="00CC5B27" w:rsidRPr="00E331E9">
        <w:rPr>
          <w:szCs w:val="28"/>
          <w:lang w:val="es-CO" w:eastAsia="es-CO"/>
        </w:rPr>
        <w:t xml:space="preserve">de realizar </w:t>
      </w:r>
      <w:r w:rsidR="00DD2EFD" w:rsidRPr="00E331E9">
        <w:rPr>
          <w:szCs w:val="28"/>
          <w:lang w:val="es-CO" w:eastAsia="es-CO"/>
        </w:rPr>
        <w:t xml:space="preserve">la </w:t>
      </w:r>
      <w:r w:rsidR="00CC5B27" w:rsidRPr="00E331E9">
        <w:rPr>
          <w:szCs w:val="28"/>
          <w:lang w:val="es-CO" w:eastAsia="es-CO"/>
        </w:rPr>
        <w:t xml:space="preserve">reglamentación </w:t>
      </w:r>
      <w:r w:rsidR="00C61559" w:rsidRPr="00E331E9">
        <w:rPr>
          <w:szCs w:val="28"/>
          <w:lang w:val="es-CO" w:eastAsia="es-CO"/>
        </w:rPr>
        <w:t>de</w:t>
      </w:r>
      <w:r w:rsidR="00CC5B27" w:rsidRPr="00E331E9">
        <w:rPr>
          <w:szCs w:val="28"/>
          <w:lang w:val="es-CO" w:eastAsia="es-CO"/>
        </w:rPr>
        <w:t xml:space="preserve"> la convocatoria</w:t>
      </w:r>
      <w:r w:rsidR="00DD2EFD" w:rsidRPr="00E331E9">
        <w:rPr>
          <w:szCs w:val="28"/>
          <w:lang w:val="es-CO" w:eastAsia="es-CO"/>
        </w:rPr>
        <w:t xml:space="preserve"> enunciada</w:t>
      </w:r>
      <w:r w:rsidR="00CC5B27" w:rsidRPr="00E331E9">
        <w:rPr>
          <w:szCs w:val="28"/>
          <w:lang w:val="es-CO" w:eastAsia="es-CO"/>
        </w:rPr>
        <w:t xml:space="preserve">, </w:t>
      </w:r>
      <w:r w:rsidR="002B5ED1" w:rsidRPr="00E331E9">
        <w:rPr>
          <w:szCs w:val="28"/>
          <w:lang w:val="es-CO" w:eastAsia="es-CO"/>
        </w:rPr>
        <w:t>l</w:t>
      </w:r>
      <w:r w:rsidR="003E563E" w:rsidRPr="00E331E9">
        <w:rPr>
          <w:szCs w:val="28"/>
          <w:lang w:val="es-CO" w:eastAsia="es-CO"/>
        </w:rPr>
        <w:t xml:space="preserve">o cierto es que </w:t>
      </w:r>
      <w:r w:rsidR="004E162C">
        <w:rPr>
          <w:szCs w:val="28"/>
          <w:lang w:val="es-CO" w:eastAsia="es-CO"/>
        </w:rPr>
        <w:t>la</w:t>
      </w:r>
      <w:r w:rsidR="004C3FD1" w:rsidRPr="00E331E9">
        <w:rPr>
          <w:szCs w:val="28"/>
          <w:lang w:val="es-CO" w:eastAsia="es-CO"/>
        </w:rPr>
        <w:t xml:space="preserve"> </w:t>
      </w:r>
      <w:r w:rsidR="00CC5B27" w:rsidRPr="00E331E9">
        <w:rPr>
          <w:szCs w:val="28"/>
          <w:lang w:val="es-CO" w:eastAsia="es-CO"/>
        </w:rPr>
        <w:t>interpretación</w:t>
      </w:r>
      <w:r w:rsidR="004C3FD1" w:rsidRPr="00E331E9">
        <w:rPr>
          <w:szCs w:val="28"/>
          <w:lang w:val="es-CO" w:eastAsia="es-CO"/>
        </w:rPr>
        <w:t xml:space="preserve"> </w:t>
      </w:r>
      <w:r w:rsidR="002B5ED1" w:rsidRPr="00E331E9">
        <w:rPr>
          <w:szCs w:val="28"/>
          <w:lang w:val="es-CO" w:eastAsia="es-CO"/>
        </w:rPr>
        <w:t>que</w:t>
      </w:r>
      <w:r w:rsidR="00140EFC" w:rsidRPr="00E331E9">
        <w:rPr>
          <w:szCs w:val="28"/>
          <w:lang w:val="es-CO" w:eastAsia="es-CO"/>
        </w:rPr>
        <w:t xml:space="preserve"> </w:t>
      </w:r>
      <w:r w:rsidR="002B5ED1" w:rsidRPr="00E331E9">
        <w:rPr>
          <w:szCs w:val="28"/>
          <w:lang w:val="es-CO" w:eastAsia="es-CO"/>
        </w:rPr>
        <w:t>correspondía</w:t>
      </w:r>
      <w:r w:rsidR="00C61559" w:rsidRPr="00E331E9">
        <w:rPr>
          <w:szCs w:val="28"/>
          <w:lang w:val="es-CO" w:eastAsia="es-CO"/>
        </w:rPr>
        <w:t xml:space="preserve"> </w:t>
      </w:r>
      <w:r w:rsidR="00016ECE" w:rsidRPr="00E331E9">
        <w:rPr>
          <w:szCs w:val="28"/>
          <w:lang w:val="es-CO" w:eastAsia="es-CO"/>
        </w:rPr>
        <w:t xml:space="preserve">al </w:t>
      </w:r>
      <w:r w:rsidR="00140EFC" w:rsidRPr="00E331E9">
        <w:rPr>
          <w:szCs w:val="28"/>
          <w:lang w:val="es-CO" w:eastAsia="es-CO"/>
        </w:rPr>
        <w:t>artículo 257A superior</w:t>
      </w:r>
      <w:r w:rsidR="002B5ED1" w:rsidRPr="00E331E9">
        <w:rPr>
          <w:szCs w:val="28"/>
          <w:lang w:val="es-CO" w:eastAsia="es-CO"/>
        </w:rPr>
        <w:t xml:space="preserve">, </w:t>
      </w:r>
      <w:r w:rsidR="00140EFC" w:rsidRPr="00E331E9">
        <w:rPr>
          <w:szCs w:val="28"/>
          <w:lang w:val="es-CO" w:eastAsia="es-CO"/>
        </w:rPr>
        <w:t>exigía</w:t>
      </w:r>
      <w:r w:rsidR="003936A1" w:rsidRPr="00E331E9">
        <w:rPr>
          <w:szCs w:val="28"/>
          <w:lang w:val="es-CO" w:eastAsia="es-CO"/>
        </w:rPr>
        <w:t xml:space="preserve"> </w:t>
      </w:r>
      <w:r w:rsidR="00140EFC" w:rsidRPr="00E331E9">
        <w:rPr>
          <w:szCs w:val="28"/>
          <w:lang w:val="es-CO" w:eastAsia="es-CO"/>
        </w:rPr>
        <w:t xml:space="preserve">reconocerle </w:t>
      </w:r>
      <w:r w:rsidR="003E563E" w:rsidRPr="00E331E9">
        <w:rPr>
          <w:szCs w:val="28"/>
          <w:lang w:val="es-CO" w:eastAsia="es-CO"/>
        </w:rPr>
        <w:t>no s</w:t>
      </w:r>
      <w:r w:rsidR="004E162C">
        <w:rPr>
          <w:szCs w:val="28"/>
          <w:lang w:val="es-CO" w:eastAsia="es-CO"/>
        </w:rPr>
        <w:t>o</w:t>
      </w:r>
      <w:r w:rsidR="003E563E" w:rsidRPr="00E331E9">
        <w:rPr>
          <w:szCs w:val="28"/>
          <w:lang w:val="es-CO" w:eastAsia="es-CO"/>
        </w:rPr>
        <w:t xml:space="preserve">lo </w:t>
      </w:r>
      <w:r w:rsidR="00FD5664" w:rsidRPr="00E331E9">
        <w:rPr>
          <w:szCs w:val="28"/>
          <w:lang w:val="es-CO" w:eastAsia="es-CO"/>
        </w:rPr>
        <w:t xml:space="preserve">un </w:t>
      </w:r>
      <w:r w:rsidR="004C3FD1" w:rsidRPr="00E331E9">
        <w:rPr>
          <w:szCs w:val="28"/>
          <w:lang w:val="es-CO" w:eastAsia="es-CO"/>
        </w:rPr>
        <w:t xml:space="preserve"> </w:t>
      </w:r>
      <w:r w:rsidR="00CC5B27" w:rsidRPr="00E331E9">
        <w:rPr>
          <w:szCs w:val="28"/>
          <w:lang w:val="es-CO" w:eastAsia="es-CO"/>
        </w:rPr>
        <w:t>efecto útil</w:t>
      </w:r>
      <w:r w:rsidR="00140EFC" w:rsidRPr="00E331E9">
        <w:rPr>
          <w:szCs w:val="28"/>
          <w:lang w:val="es-CO" w:eastAsia="es-CO"/>
        </w:rPr>
        <w:t xml:space="preserve"> a</w:t>
      </w:r>
      <w:r w:rsidR="00E17328" w:rsidRPr="00E331E9">
        <w:rPr>
          <w:szCs w:val="28"/>
          <w:lang w:val="es-CO" w:eastAsia="es-CO"/>
        </w:rPr>
        <w:t>l</w:t>
      </w:r>
      <w:r w:rsidR="00140EFC" w:rsidRPr="00E331E9">
        <w:rPr>
          <w:szCs w:val="28"/>
          <w:lang w:val="es-CO" w:eastAsia="es-CO"/>
        </w:rPr>
        <w:t xml:space="preserve"> parágrafo transitorio</w:t>
      </w:r>
      <w:r w:rsidR="00FD5664" w:rsidRPr="00E331E9">
        <w:rPr>
          <w:szCs w:val="28"/>
          <w:lang w:val="es-CO" w:eastAsia="es-CO"/>
        </w:rPr>
        <w:t xml:space="preserve"> que fijaba un término de un año para configurar la CNDJ</w:t>
      </w:r>
      <w:r w:rsidR="0062140E" w:rsidRPr="00E331E9">
        <w:rPr>
          <w:szCs w:val="28"/>
          <w:lang w:val="es-CO" w:eastAsia="es-CO"/>
        </w:rPr>
        <w:t>,</w:t>
      </w:r>
      <w:r w:rsidR="00E17328" w:rsidRPr="00E331E9">
        <w:rPr>
          <w:szCs w:val="28"/>
          <w:lang w:val="es-CO" w:eastAsia="es-CO"/>
        </w:rPr>
        <w:t xml:space="preserve"> </w:t>
      </w:r>
      <w:r w:rsidR="003E563E" w:rsidRPr="00E331E9">
        <w:rPr>
          <w:szCs w:val="28"/>
          <w:lang w:val="es-CO" w:eastAsia="es-CO"/>
        </w:rPr>
        <w:t xml:space="preserve">sino un </w:t>
      </w:r>
      <w:r w:rsidR="003936A1" w:rsidRPr="00E331E9">
        <w:rPr>
          <w:szCs w:val="28"/>
          <w:lang w:val="es-CO" w:eastAsia="es-CO"/>
        </w:rPr>
        <w:t xml:space="preserve">entendimiento </w:t>
      </w:r>
      <w:r w:rsidR="003E563E" w:rsidRPr="00E331E9">
        <w:rPr>
          <w:szCs w:val="28"/>
          <w:lang w:val="es-CO" w:eastAsia="es-CO"/>
        </w:rPr>
        <w:t xml:space="preserve">a esa norma vinculado </w:t>
      </w:r>
      <w:r w:rsidR="001F24A0" w:rsidRPr="00E331E9">
        <w:rPr>
          <w:szCs w:val="28"/>
          <w:lang w:val="es-CO" w:eastAsia="es-CO"/>
        </w:rPr>
        <w:t xml:space="preserve">con </w:t>
      </w:r>
      <w:r w:rsidR="003E563E" w:rsidRPr="00E331E9">
        <w:rPr>
          <w:szCs w:val="28"/>
          <w:lang w:val="es-CO" w:eastAsia="es-CO"/>
        </w:rPr>
        <w:t xml:space="preserve">la </w:t>
      </w:r>
      <w:r w:rsidR="003E563E" w:rsidRPr="00E331E9">
        <w:rPr>
          <w:i/>
          <w:iCs/>
          <w:szCs w:val="28"/>
          <w:lang w:val="es-CO" w:eastAsia="es-CO"/>
        </w:rPr>
        <w:t>ratio decidendi</w:t>
      </w:r>
      <w:r w:rsidR="003E563E" w:rsidRPr="00E331E9">
        <w:rPr>
          <w:szCs w:val="28"/>
          <w:lang w:val="es-CO" w:eastAsia="es-CO"/>
        </w:rPr>
        <w:t xml:space="preserve"> de </w:t>
      </w:r>
      <w:r w:rsidR="00C61559" w:rsidRPr="00E331E9">
        <w:rPr>
          <w:szCs w:val="28"/>
          <w:lang w:val="es-CO" w:eastAsia="es-CO"/>
        </w:rPr>
        <w:t>la sentencia C-285 de 2016</w:t>
      </w:r>
      <w:r w:rsidR="0027239F" w:rsidRPr="00E331E9">
        <w:rPr>
          <w:szCs w:val="28"/>
          <w:lang w:val="es-CO" w:eastAsia="es-CO"/>
        </w:rPr>
        <w:t xml:space="preserve">. </w:t>
      </w:r>
      <w:r w:rsidR="00140EFC" w:rsidRPr="00E331E9">
        <w:rPr>
          <w:szCs w:val="28"/>
          <w:lang w:val="es-CO" w:eastAsia="es-CO"/>
        </w:rPr>
        <w:t xml:space="preserve"> </w:t>
      </w:r>
    </w:p>
    <w:p w14:paraId="6ED0F211" w14:textId="77777777" w:rsidR="00370FED" w:rsidRPr="00E331E9" w:rsidRDefault="00370FED" w:rsidP="002807A3">
      <w:pPr>
        <w:pStyle w:val="Prrafodelista"/>
        <w:ind w:left="0"/>
        <w:contextualSpacing/>
        <w:jc w:val="both"/>
        <w:rPr>
          <w:bCs/>
          <w:szCs w:val="28"/>
          <w:lang w:val="es-CO"/>
        </w:rPr>
      </w:pPr>
    </w:p>
    <w:p w14:paraId="60E36CDC" w14:textId="77777777" w:rsidR="003936A1" w:rsidRPr="00B47D70" w:rsidRDefault="00FD5664" w:rsidP="002807A3">
      <w:pPr>
        <w:pStyle w:val="Prrafodelista"/>
        <w:ind w:left="0"/>
        <w:contextualSpacing/>
        <w:jc w:val="both"/>
        <w:rPr>
          <w:szCs w:val="28"/>
          <w:lang w:val="es-CO" w:eastAsia="es-CO"/>
        </w:rPr>
      </w:pPr>
      <w:r w:rsidRPr="00E331E9">
        <w:rPr>
          <w:szCs w:val="28"/>
          <w:lang w:val="es-CO" w:eastAsia="es-CO"/>
        </w:rPr>
        <w:t xml:space="preserve">Además, </w:t>
      </w:r>
      <w:r w:rsidR="003936A1" w:rsidRPr="00E331E9">
        <w:rPr>
          <w:szCs w:val="28"/>
          <w:lang w:val="es-CO" w:eastAsia="es-CO"/>
        </w:rPr>
        <w:t xml:space="preserve">ya que en ningún momento </w:t>
      </w:r>
      <w:r w:rsidR="0062140E" w:rsidRPr="00E331E9">
        <w:rPr>
          <w:szCs w:val="28"/>
          <w:lang w:val="es-CO" w:eastAsia="es-CO"/>
        </w:rPr>
        <w:t xml:space="preserve">el Tribunal constitucional </w:t>
      </w:r>
      <w:r w:rsidR="004E162C">
        <w:rPr>
          <w:szCs w:val="28"/>
          <w:lang w:val="es-CO" w:eastAsia="es-CO"/>
        </w:rPr>
        <w:t>declaró</w:t>
      </w:r>
      <w:r w:rsidR="003936A1" w:rsidRPr="00E331E9">
        <w:rPr>
          <w:szCs w:val="28"/>
          <w:lang w:val="es-CO" w:eastAsia="es-CO"/>
        </w:rPr>
        <w:t xml:space="preserve"> </w:t>
      </w:r>
      <w:r w:rsidR="003936A1" w:rsidRPr="00B47D70">
        <w:rPr>
          <w:bCs/>
          <w:szCs w:val="28"/>
        </w:rPr>
        <w:t>inexequible la expresión “</w:t>
      </w:r>
      <w:r w:rsidR="003936A1" w:rsidRPr="00B47D70">
        <w:rPr>
          <w:i/>
          <w:iCs/>
          <w:szCs w:val="28"/>
        </w:rPr>
        <w:t>convocatoria pública reglada</w:t>
      </w:r>
      <w:r w:rsidR="003936A1" w:rsidRPr="00B47D70">
        <w:rPr>
          <w:szCs w:val="28"/>
        </w:rPr>
        <w:t>”</w:t>
      </w:r>
      <w:r w:rsidR="003936A1" w:rsidRPr="00B47D70">
        <w:rPr>
          <w:bCs/>
          <w:szCs w:val="28"/>
        </w:rPr>
        <w:t xml:space="preserve"> ni se pronunció en contra </w:t>
      </w:r>
      <w:r w:rsidR="003E563E" w:rsidRPr="00B47D70">
        <w:rPr>
          <w:bCs/>
          <w:szCs w:val="28"/>
        </w:rPr>
        <w:t xml:space="preserve">de </w:t>
      </w:r>
      <w:r w:rsidR="003936A1" w:rsidRPr="00B47D70">
        <w:rPr>
          <w:bCs/>
          <w:szCs w:val="28"/>
        </w:rPr>
        <w:t>ella en su decisi</w:t>
      </w:r>
      <w:r w:rsidRPr="00B47D70">
        <w:rPr>
          <w:bCs/>
          <w:szCs w:val="28"/>
        </w:rPr>
        <w:t>ón</w:t>
      </w:r>
      <w:r w:rsidR="003936A1" w:rsidRPr="00B47D70">
        <w:rPr>
          <w:bCs/>
          <w:szCs w:val="28"/>
        </w:rPr>
        <w:t>, la interpretación final del artículo 257A superior exigía darle sentido y operatividad plena</w:t>
      </w:r>
      <w:r w:rsidR="003E563E" w:rsidRPr="00B47D70">
        <w:rPr>
          <w:bCs/>
          <w:szCs w:val="28"/>
        </w:rPr>
        <w:t>,</w:t>
      </w:r>
      <w:r w:rsidR="003936A1" w:rsidRPr="00B47D70">
        <w:rPr>
          <w:bCs/>
          <w:szCs w:val="28"/>
        </w:rPr>
        <w:t xml:space="preserve"> </w:t>
      </w:r>
      <w:r w:rsidRPr="00B47D70">
        <w:rPr>
          <w:bCs/>
          <w:szCs w:val="28"/>
        </w:rPr>
        <w:t>también</w:t>
      </w:r>
      <w:r w:rsidR="003E563E" w:rsidRPr="00B47D70">
        <w:rPr>
          <w:bCs/>
          <w:szCs w:val="28"/>
        </w:rPr>
        <w:t>,</w:t>
      </w:r>
      <w:r w:rsidRPr="00B47D70">
        <w:rPr>
          <w:bCs/>
          <w:szCs w:val="28"/>
        </w:rPr>
        <w:t xml:space="preserve"> a</w:t>
      </w:r>
      <w:r w:rsidR="003936A1" w:rsidRPr="00B47D70">
        <w:rPr>
          <w:bCs/>
          <w:szCs w:val="28"/>
        </w:rPr>
        <w:t xml:space="preserve"> </w:t>
      </w:r>
      <w:r w:rsidR="0062140E" w:rsidRPr="00B47D70">
        <w:rPr>
          <w:bCs/>
          <w:szCs w:val="28"/>
        </w:rPr>
        <w:t xml:space="preserve">la </w:t>
      </w:r>
      <w:r w:rsidRPr="00B47D70">
        <w:rPr>
          <w:bCs/>
          <w:szCs w:val="28"/>
        </w:rPr>
        <w:t xml:space="preserve">mencionada </w:t>
      </w:r>
      <w:r w:rsidR="0062140E" w:rsidRPr="00B47D70">
        <w:rPr>
          <w:bCs/>
          <w:szCs w:val="28"/>
        </w:rPr>
        <w:t xml:space="preserve">expresión. </w:t>
      </w:r>
      <w:r w:rsidRPr="00B47D70">
        <w:rPr>
          <w:bCs/>
          <w:szCs w:val="28"/>
        </w:rPr>
        <w:t xml:space="preserve">Lo que </w:t>
      </w:r>
      <w:r w:rsidR="0062140E" w:rsidRPr="00B47D70">
        <w:rPr>
          <w:bCs/>
          <w:szCs w:val="28"/>
        </w:rPr>
        <w:t xml:space="preserve">se </w:t>
      </w:r>
      <w:r w:rsidR="003936A1" w:rsidRPr="00B47D70">
        <w:rPr>
          <w:bCs/>
          <w:szCs w:val="28"/>
        </w:rPr>
        <w:t>logró finalmente, a partir de los condicionamientos y modulaciones previstos en la sentencia C-285 de 2016</w:t>
      </w:r>
      <w:r w:rsidR="00016ECE" w:rsidRPr="00B47D70">
        <w:rPr>
          <w:bCs/>
          <w:szCs w:val="28"/>
        </w:rPr>
        <w:t>,</w:t>
      </w:r>
      <w:r w:rsidR="003936A1" w:rsidRPr="00B47D70">
        <w:rPr>
          <w:bCs/>
          <w:szCs w:val="28"/>
        </w:rPr>
        <w:t xml:space="preserve"> </w:t>
      </w:r>
      <w:r w:rsidR="003936A1" w:rsidRPr="00B47D70">
        <w:rPr>
          <w:szCs w:val="28"/>
          <w:lang w:val="es-CO" w:eastAsia="es-CO"/>
        </w:rPr>
        <w:t xml:space="preserve">que </w:t>
      </w:r>
      <w:r w:rsidR="00121551" w:rsidRPr="00B47D70">
        <w:rPr>
          <w:szCs w:val="28"/>
          <w:lang w:val="es-CO" w:eastAsia="es-CO"/>
        </w:rPr>
        <w:t xml:space="preserve">se </w:t>
      </w:r>
      <w:r w:rsidR="003936A1" w:rsidRPr="00B47D70">
        <w:rPr>
          <w:szCs w:val="28"/>
          <w:lang w:val="es-CO" w:eastAsia="es-CO"/>
        </w:rPr>
        <w:t>integraron al sentido último de la disposición constitucional analizad</w:t>
      </w:r>
      <w:r w:rsidR="00121551" w:rsidRPr="00B47D70">
        <w:rPr>
          <w:szCs w:val="28"/>
          <w:lang w:val="es-CO" w:eastAsia="es-CO"/>
        </w:rPr>
        <w:t>a.</w:t>
      </w:r>
    </w:p>
    <w:p w14:paraId="0FD42956" w14:textId="77777777" w:rsidR="003936A1" w:rsidRPr="00B47D70" w:rsidRDefault="003936A1" w:rsidP="002807A3">
      <w:pPr>
        <w:jc w:val="both"/>
        <w:rPr>
          <w:bCs/>
          <w:szCs w:val="28"/>
        </w:rPr>
      </w:pPr>
    </w:p>
    <w:p w14:paraId="594293EB" w14:textId="77777777" w:rsidR="00300CD9" w:rsidRPr="00B47D70" w:rsidRDefault="00300CD9" w:rsidP="00300CD9">
      <w:pPr>
        <w:shd w:val="clear" w:color="auto" w:fill="FFFFFF"/>
        <w:contextualSpacing/>
        <w:jc w:val="both"/>
        <w:rPr>
          <w:bCs/>
          <w:szCs w:val="28"/>
        </w:rPr>
      </w:pPr>
      <w:r w:rsidRPr="00B47D70">
        <w:rPr>
          <w:bCs/>
          <w:szCs w:val="28"/>
        </w:rPr>
        <w:t>La Sala advierte que esa Corporación se apartó de la cosa juzgada constitucional al interpretar el artículo 257A de la Constitución en contravía con las modulaciones expuest</w:t>
      </w:r>
      <w:r w:rsidR="00763D25" w:rsidRPr="00B47D70">
        <w:rPr>
          <w:bCs/>
          <w:szCs w:val="28"/>
        </w:rPr>
        <w:t>a</w:t>
      </w:r>
      <w:r w:rsidRPr="00B47D70">
        <w:rPr>
          <w:bCs/>
          <w:szCs w:val="28"/>
        </w:rPr>
        <w:t xml:space="preserve">s en la Sentencia C-258 de 2016, en la cual se estableció con claridad que el Consejo Superior de la Judicatura asumiría las atribuciones constitucionales que, en su momento, </w:t>
      </w:r>
      <w:r w:rsidR="004E162C" w:rsidRPr="00B47D70">
        <w:rPr>
          <w:bCs/>
          <w:szCs w:val="28"/>
        </w:rPr>
        <w:t>fueron</w:t>
      </w:r>
      <w:r w:rsidRPr="00B47D70">
        <w:rPr>
          <w:bCs/>
          <w:szCs w:val="28"/>
        </w:rPr>
        <w:t xml:space="preserve"> otorgadas al Consejo de  Gobierno Judicial respecto de la elaboración de las ternas para la conformación de la CNDJ, en tanto que dicho Consejo de Gobierno Judicial desapareció del mundo jurídico y </w:t>
      </w:r>
      <w:r w:rsidR="005209D3" w:rsidRPr="00B47D70">
        <w:rPr>
          <w:bCs/>
          <w:szCs w:val="28"/>
        </w:rPr>
        <w:t>f</w:t>
      </w:r>
      <w:r w:rsidRPr="00B47D70">
        <w:rPr>
          <w:bCs/>
          <w:szCs w:val="28"/>
        </w:rPr>
        <w:t xml:space="preserve">rente al Consejo Superior de la Judicatura operó la reviviscencia normativa. </w:t>
      </w:r>
    </w:p>
    <w:p w14:paraId="6A3189BE" w14:textId="77777777" w:rsidR="00300CD9" w:rsidRPr="00B47D70" w:rsidRDefault="00300CD9" w:rsidP="002807A3">
      <w:pPr>
        <w:jc w:val="both"/>
        <w:rPr>
          <w:bCs/>
          <w:szCs w:val="28"/>
        </w:rPr>
      </w:pPr>
    </w:p>
    <w:p w14:paraId="097E2308" w14:textId="77777777" w:rsidR="0084631A" w:rsidRPr="002E4477" w:rsidRDefault="00121551" w:rsidP="00121551">
      <w:pPr>
        <w:numPr>
          <w:ilvl w:val="0"/>
          <w:numId w:val="10"/>
        </w:numPr>
        <w:jc w:val="both"/>
        <w:rPr>
          <w:szCs w:val="28"/>
        </w:rPr>
      </w:pPr>
      <w:r w:rsidRPr="00B47D70">
        <w:rPr>
          <w:bCs/>
          <w:szCs w:val="28"/>
        </w:rPr>
        <w:t>De allí que</w:t>
      </w:r>
      <w:r w:rsidR="004E162C" w:rsidRPr="00B47D70">
        <w:rPr>
          <w:bCs/>
          <w:szCs w:val="28"/>
        </w:rPr>
        <w:t>,</w:t>
      </w:r>
      <w:r w:rsidRPr="00B47D70">
        <w:rPr>
          <w:bCs/>
          <w:szCs w:val="28"/>
        </w:rPr>
        <w:t xml:space="preserve"> </w:t>
      </w:r>
      <w:r w:rsidR="00B47D70" w:rsidRPr="00B47D70">
        <w:rPr>
          <w:bCs/>
          <w:szCs w:val="28"/>
        </w:rPr>
        <w:t>l</w:t>
      </w:r>
      <w:r w:rsidR="004E162C" w:rsidRPr="00B47D70">
        <w:rPr>
          <w:bCs/>
          <w:szCs w:val="28"/>
        </w:rPr>
        <w:t>a</w:t>
      </w:r>
      <w:r w:rsidRPr="00B47D70">
        <w:rPr>
          <w:bCs/>
          <w:szCs w:val="28"/>
        </w:rPr>
        <w:t xml:space="preserve"> Sala </w:t>
      </w:r>
      <w:r w:rsidR="00B47D70" w:rsidRPr="00B47D70">
        <w:rPr>
          <w:bCs/>
          <w:szCs w:val="28"/>
        </w:rPr>
        <w:t>concluya que</w:t>
      </w:r>
      <w:r w:rsidR="00B47D70">
        <w:rPr>
          <w:bCs/>
          <w:szCs w:val="28"/>
        </w:rPr>
        <w:t xml:space="preserve"> la sentencia censurada incurrió en </w:t>
      </w:r>
      <w:r w:rsidRPr="00121551">
        <w:rPr>
          <w:bCs/>
          <w:i/>
          <w:iCs/>
          <w:szCs w:val="28"/>
        </w:rPr>
        <w:t>violación directa de la Carta</w:t>
      </w:r>
      <w:r>
        <w:rPr>
          <w:bCs/>
          <w:szCs w:val="28"/>
        </w:rPr>
        <w:t xml:space="preserve">, </w:t>
      </w:r>
      <w:r w:rsidR="001F24A0" w:rsidRPr="002E4477">
        <w:rPr>
          <w:bCs/>
          <w:szCs w:val="28"/>
        </w:rPr>
        <w:t xml:space="preserve">en la medida en que, </w:t>
      </w:r>
      <w:r w:rsidR="00FD5664" w:rsidRPr="002E4477">
        <w:rPr>
          <w:bCs/>
          <w:szCs w:val="28"/>
        </w:rPr>
        <w:t xml:space="preserve">siguiendo los lineamientos de la </w:t>
      </w:r>
      <w:r w:rsidR="00FD5664" w:rsidRPr="002E4477">
        <w:rPr>
          <w:b/>
          <w:iCs/>
          <w:szCs w:val="28"/>
        </w:rPr>
        <w:t>Sentencia SU-640 de 1998</w:t>
      </w:r>
      <w:r w:rsidR="00FD5664" w:rsidRPr="002E4477">
        <w:rPr>
          <w:rStyle w:val="Refdenotaalpie"/>
          <w:b/>
          <w:iCs/>
          <w:szCs w:val="28"/>
        </w:rPr>
        <w:footnoteReference w:id="382"/>
      </w:r>
      <w:r w:rsidR="00FD5664" w:rsidRPr="002E4477">
        <w:rPr>
          <w:iCs/>
          <w:szCs w:val="28"/>
        </w:rPr>
        <w:t>, “</w:t>
      </w:r>
      <w:r w:rsidR="00FD5664" w:rsidRPr="002E4477">
        <w:rPr>
          <w:i/>
          <w:szCs w:val="28"/>
        </w:rPr>
        <w:t>si el texto de la Constitución se divorcia de la interpretación que del mismo haya dado la Corte Constitucional en ejercicio de sus competencias privativas, (…), la fragmentación hermenéutica que se propiciaría inexorablemente</w:t>
      </w:r>
      <w:r w:rsidR="001E40B7" w:rsidRPr="002E4477">
        <w:rPr>
          <w:i/>
          <w:szCs w:val="28"/>
        </w:rPr>
        <w:t>,</w:t>
      </w:r>
      <w:r w:rsidR="00FD5664" w:rsidRPr="002E4477">
        <w:rPr>
          <w:i/>
          <w:szCs w:val="28"/>
        </w:rPr>
        <w:t xml:space="preserve"> conduciría </w:t>
      </w:r>
      <w:r w:rsidR="00FD5664" w:rsidRPr="002E4477">
        <w:rPr>
          <w:i/>
          <w:szCs w:val="28"/>
          <w:u w:val="single"/>
        </w:rPr>
        <w:t>a la erosión del valor cierto y vinculante de la Constitución</w:t>
      </w:r>
      <w:r w:rsidR="00FD5664" w:rsidRPr="002E4477">
        <w:rPr>
          <w:i/>
          <w:szCs w:val="28"/>
        </w:rPr>
        <w:t>, puesto que entonces habría tantas constituciones como intérpretes</w:t>
      </w:r>
      <w:r w:rsidR="00FD5664" w:rsidRPr="002E4477">
        <w:rPr>
          <w:szCs w:val="28"/>
        </w:rPr>
        <w:t>”</w:t>
      </w:r>
      <w:r w:rsidR="00FD5664" w:rsidRPr="002E4477">
        <w:rPr>
          <w:rStyle w:val="Refdenotaalpie"/>
          <w:szCs w:val="28"/>
        </w:rPr>
        <w:footnoteReference w:id="383"/>
      </w:r>
      <w:r w:rsidR="00FD5664" w:rsidRPr="002E4477">
        <w:rPr>
          <w:szCs w:val="28"/>
        </w:rPr>
        <w:t xml:space="preserve">. </w:t>
      </w:r>
      <w:r w:rsidR="00A72730" w:rsidRPr="002E4477">
        <w:rPr>
          <w:bCs/>
          <w:szCs w:val="28"/>
        </w:rPr>
        <w:t xml:space="preserve">(Subraya fuera del original). </w:t>
      </w:r>
    </w:p>
    <w:p w14:paraId="471297B0" w14:textId="77777777" w:rsidR="003E222B" w:rsidRPr="002E4477" w:rsidRDefault="003E222B" w:rsidP="002807A3">
      <w:pPr>
        <w:jc w:val="both"/>
        <w:rPr>
          <w:szCs w:val="28"/>
        </w:rPr>
      </w:pPr>
    </w:p>
    <w:p w14:paraId="2F52141A" w14:textId="77777777" w:rsidR="00AA06DA" w:rsidRPr="00B47D70" w:rsidRDefault="00DC6F7C" w:rsidP="00121551">
      <w:pPr>
        <w:pStyle w:val="Prrafodelista"/>
        <w:ind w:left="0"/>
        <w:contextualSpacing/>
        <w:jc w:val="both"/>
        <w:rPr>
          <w:bCs/>
          <w:szCs w:val="28"/>
        </w:rPr>
      </w:pPr>
      <w:r w:rsidRPr="002E4477">
        <w:rPr>
          <w:szCs w:val="28"/>
          <w:lang w:eastAsia="es-CO"/>
        </w:rPr>
        <w:t>U</w:t>
      </w:r>
      <w:r w:rsidR="00FD5664" w:rsidRPr="002E4477">
        <w:rPr>
          <w:szCs w:val="28"/>
          <w:lang w:val="es-CO" w:eastAsia="es-CO"/>
        </w:rPr>
        <w:t xml:space="preserve">na </w:t>
      </w:r>
      <w:r w:rsidR="00A46B5F" w:rsidRPr="002E4477">
        <w:rPr>
          <w:bCs/>
          <w:szCs w:val="28"/>
        </w:rPr>
        <w:t>situación</w:t>
      </w:r>
      <w:r w:rsidR="00FD5664" w:rsidRPr="002E4477">
        <w:rPr>
          <w:bCs/>
          <w:szCs w:val="28"/>
        </w:rPr>
        <w:t xml:space="preserve"> que</w:t>
      </w:r>
      <w:r w:rsidR="00A46B5F" w:rsidRPr="002E4477">
        <w:rPr>
          <w:bCs/>
          <w:szCs w:val="28"/>
        </w:rPr>
        <w:t xml:space="preserve"> lleva a </w:t>
      </w:r>
      <w:r w:rsidR="00A72730" w:rsidRPr="002E4477">
        <w:rPr>
          <w:bCs/>
          <w:szCs w:val="28"/>
        </w:rPr>
        <w:t>esta</w:t>
      </w:r>
      <w:r w:rsidR="00A46B5F" w:rsidRPr="002E4477">
        <w:rPr>
          <w:bCs/>
          <w:szCs w:val="28"/>
        </w:rPr>
        <w:t xml:space="preserve"> Sala a re</w:t>
      </w:r>
      <w:r w:rsidR="003E222B" w:rsidRPr="002E4477">
        <w:rPr>
          <w:bCs/>
          <w:szCs w:val="28"/>
        </w:rPr>
        <w:t xml:space="preserve">cordar que todos los jueces constitucionales, independientemente de las limitaciones propias del ejercicio de su profesión y de las posiciones jurídicas divergentes que puedan adoptar, están </w:t>
      </w:r>
      <w:r w:rsidR="003E222B" w:rsidRPr="00B47D70">
        <w:rPr>
          <w:bCs/>
          <w:szCs w:val="28"/>
        </w:rPr>
        <w:t xml:space="preserve">obligados a actuar en consonancia con el fortalecimiento de las </w:t>
      </w:r>
      <w:r w:rsidR="00A46B5F" w:rsidRPr="00B47D70">
        <w:rPr>
          <w:bCs/>
          <w:szCs w:val="28"/>
        </w:rPr>
        <w:t xml:space="preserve">instituciones y </w:t>
      </w:r>
      <w:r w:rsidR="003E222B" w:rsidRPr="00B47D70">
        <w:rPr>
          <w:bCs/>
          <w:szCs w:val="28"/>
        </w:rPr>
        <w:t xml:space="preserve">con </w:t>
      </w:r>
      <w:r w:rsidR="0038793C">
        <w:rPr>
          <w:bCs/>
          <w:szCs w:val="28"/>
        </w:rPr>
        <w:t>la responsabilidad de</w:t>
      </w:r>
      <w:r w:rsidR="003E222B" w:rsidRPr="00B47D70">
        <w:rPr>
          <w:bCs/>
          <w:szCs w:val="28"/>
        </w:rPr>
        <w:t xml:space="preserve"> asegurar </w:t>
      </w:r>
      <w:r w:rsidR="00A46B5F" w:rsidRPr="00B47D70">
        <w:rPr>
          <w:bCs/>
          <w:szCs w:val="28"/>
        </w:rPr>
        <w:t xml:space="preserve">la fuerza vinculante de la Carta, </w:t>
      </w:r>
      <w:r w:rsidR="003E222B" w:rsidRPr="00B47D70">
        <w:rPr>
          <w:bCs/>
          <w:szCs w:val="28"/>
        </w:rPr>
        <w:t xml:space="preserve">sin </w:t>
      </w:r>
      <w:r w:rsidR="00A46B5F" w:rsidRPr="00B47D70">
        <w:rPr>
          <w:bCs/>
          <w:szCs w:val="28"/>
        </w:rPr>
        <w:t>gener</w:t>
      </w:r>
      <w:r w:rsidR="003E222B" w:rsidRPr="00B47D70">
        <w:rPr>
          <w:bCs/>
          <w:szCs w:val="28"/>
        </w:rPr>
        <w:t>ar en lo posible,</w:t>
      </w:r>
      <w:r w:rsidR="00A46B5F" w:rsidRPr="00B47D70">
        <w:rPr>
          <w:bCs/>
          <w:szCs w:val="28"/>
        </w:rPr>
        <w:t xml:space="preserve"> dudas </w:t>
      </w:r>
      <w:r w:rsidR="003E222B" w:rsidRPr="00B47D70">
        <w:rPr>
          <w:bCs/>
          <w:szCs w:val="28"/>
        </w:rPr>
        <w:t xml:space="preserve">concretas </w:t>
      </w:r>
      <w:r w:rsidR="00DA3EF9" w:rsidRPr="00B47D70">
        <w:rPr>
          <w:bCs/>
          <w:szCs w:val="28"/>
        </w:rPr>
        <w:t xml:space="preserve">o incertidumbres indefinidas </w:t>
      </w:r>
      <w:r w:rsidR="00A46B5F" w:rsidRPr="00B47D70">
        <w:rPr>
          <w:bCs/>
          <w:szCs w:val="28"/>
        </w:rPr>
        <w:t xml:space="preserve">sobre su aplicación. </w:t>
      </w:r>
    </w:p>
    <w:p w14:paraId="7ADA0920" w14:textId="77777777" w:rsidR="00AA06DA" w:rsidRPr="00B47D70" w:rsidRDefault="00AA06DA" w:rsidP="002807A3">
      <w:pPr>
        <w:pStyle w:val="Prrafodelista"/>
        <w:ind w:left="0"/>
        <w:contextualSpacing/>
        <w:jc w:val="both"/>
        <w:rPr>
          <w:bCs/>
          <w:szCs w:val="28"/>
        </w:rPr>
      </w:pPr>
    </w:p>
    <w:p w14:paraId="199D0F1B" w14:textId="77777777" w:rsidR="00972721" w:rsidRPr="00B47D70" w:rsidRDefault="003E222B" w:rsidP="002807A3">
      <w:pPr>
        <w:pStyle w:val="Prrafodelista"/>
        <w:ind w:left="0"/>
        <w:contextualSpacing/>
        <w:jc w:val="both"/>
        <w:rPr>
          <w:bCs/>
          <w:szCs w:val="28"/>
        </w:rPr>
      </w:pPr>
      <w:r w:rsidRPr="00B47D70">
        <w:rPr>
          <w:bCs/>
          <w:szCs w:val="28"/>
        </w:rPr>
        <w:t>E</w:t>
      </w:r>
      <w:r w:rsidR="00DC6F7C" w:rsidRPr="00B47D70">
        <w:rPr>
          <w:bCs/>
          <w:szCs w:val="28"/>
        </w:rPr>
        <w:t>llo</w:t>
      </w:r>
      <w:r w:rsidRPr="00B47D70">
        <w:rPr>
          <w:bCs/>
          <w:szCs w:val="28"/>
        </w:rPr>
        <w:t xml:space="preserve"> exige</w:t>
      </w:r>
      <w:r w:rsidR="00AA06DA" w:rsidRPr="00B47D70">
        <w:rPr>
          <w:bCs/>
          <w:szCs w:val="28"/>
        </w:rPr>
        <w:t xml:space="preserve">, </w:t>
      </w:r>
      <w:r w:rsidR="00121551" w:rsidRPr="00B47D70">
        <w:rPr>
          <w:bCs/>
          <w:szCs w:val="28"/>
        </w:rPr>
        <w:t>por una parte</w:t>
      </w:r>
      <w:r w:rsidR="00AA06DA" w:rsidRPr="00B47D70">
        <w:rPr>
          <w:bCs/>
          <w:szCs w:val="28"/>
        </w:rPr>
        <w:t xml:space="preserve">, que </w:t>
      </w:r>
      <w:r w:rsidR="00D92D66" w:rsidRPr="00B47D70">
        <w:rPr>
          <w:bCs/>
          <w:szCs w:val="28"/>
        </w:rPr>
        <w:t>todas las autoridades judiciales</w:t>
      </w:r>
      <w:r w:rsidR="00DC6F7C" w:rsidRPr="00B47D70">
        <w:rPr>
          <w:bCs/>
          <w:szCs w:val="28"/>
        </w:rPr>
        <w:t>, incluyendo la Corte Constitucional, acepten</w:t>
      </w:r>
      <w:r w:rsidR="00A46B5F" w:rsidRPr="00B47D70">
        <w:rPr>
          <w:bCs/>
          <w:szCs w:val="28"/>
        </w:rPr>
        <w:t xml:space="preserve"> las </w:t>
      </w:r>
      <w:r w:rsidR="00B47D70" w:rsidRPr="00B47D70">
        <w:rPr>
          <w:bCs/>
          <w:szCs w:val="28"/>
        </w:rPr>
        <w:t>diferencias</w:t>
      </w:r>
      <w:r w:rsidR="00A46B5F" w:rsidRPr="00B47D70">
        <w:rPr>
          <w:bCs/>
          <w:szCs w:val="28"/>
        </w:rPr>
        <w:t xml:space="preserve"> que fortale</w:t>
      </w:r>
      <w:r w:rsidR="00B47D70" w:rsidRPr="00B47D70">
        <w:rPr>
          <w:bCs/>
          <w:szCs w:val="28"/>
        </w:rPr>
        <w:t>cen</w:t>
      </w:r>
      <w:r w:rsidR="00A46B5F" w:rsidRPr="00B47D70">
        <w:rPr>
          <w:bCs/>
          <w:szCs w:val="28"/>
        </w:rPr>
        <w:t xml:space="preserve"> </w:t>
      </w:r>
      <w:r w:rsidR="00DC6F7C" w:rsidRPr="00B47D70">
        <w:rPr>
          <w:bCs/>
          <w:szCs w:val="28"/>
        </w:rPr>
        <w:t>su</w:t>
      </w:r>
      <w:r w:rsidR="00A46B5F" w:rsidRPr="00B47D70">
        <w:rPr>
          <w:bCs/>
          <w:szCs w:val="28"/>
        </w:rPr>
        <w:t xml:space="preserve"> labor</w:t>
      </w:r>
      <w:r w:rsidR="00AA06DA" w:rsidRPr="00B47D70">
        <w:rPr>
          <w:bCs/>
          <w:szCs w:val="28"/>
        </w:rPr>
        <w:t xml:space="preserve"> </w:t>
      </w:r>
      <w:r w:rsidR="00DC6F7C" w:rsidRPr="00B47D70">
        <w:rPr>
          <w:bCs/>
          <w:szCs w:val="28"/>
        </w:rPr>
        <w:t>institucional</w:t>
      </w:r>
      <w:r w:rsidR="00AA06DA" w:rsidRPr="00B47D70">
        <w:rPr>
          <w:bCs/>
          <w:szCs w:val="28"/>
        </w:rPr>
        <w:t xml:space="preserve"> y que impuls</w:t>
      </w:r>
      <w:r w:rsidR="00B47D70" w:rsidRPr="00B47D70">
        <w:rPr>
          <w:bCs/>
          <w:szCs w:val="28"/>
        </w:rPr>
        <w:t>a</w:t>
      </w:r>
      <w:r w:rsidR="00AA06DA" w:rsidRPr="00B47D70">
        <w:rPr>
          <w:bCs/>
          <w:szCs w:val="28"/>
        </w:rPr>
        <w:t xml:space="preserve">n </w:t>
      </w:r>
      <w:r w:rsidR="00A46B5F" w:rsidRPr="00B47D70">
        <w:rPr>
          <w:bCs/>
          <w:szCs w:val="28"/>
        </w:rPr>
        <w:t>oportunidades proactivas para avanzar en la dirección de asegurar cada día la guarda y la supremacía constitucional</w:t>
      </w:r>
      <w:r w:rsidR="00AA06DA" w:rsidRPr="00B47D70">
        <w:rPr>
          <w:bCs/>
          <w:szCs w:val="28"/>
        </w:rPr>
        <w:t>, y</w:t>
      </w:r>
      <w:r w:rsidR="00121551" w:rsidRPr="00B47D70">
        <w:rPr>
          <w:bCs/>
          <w:szCs w:val="28"/>
        </w:rPr>
        <w:t xml:space="preserve"> por otra</w:t>
      </w:r>
      <w:r w:rsidR="00AA06DA" w:rsidRPr="00B47D70">
        <w:rPr>
          <w:bCs/>
          <w:szCs w:val="28"/>
        </w:rPr>
        <w:t xml:space="preserve">, que se superen las </w:t>
      </w:r>
      <w:r w:rsidR="00121551" w:rsidRPr="00B47D70">
        <w:rPr>
          <w:bCs/>
          <w:szCs w:val="28"/>
        </w:rPr>
        <w:t xml:space="preserve">eventuales </w:t>
      </w:r>
      <w:r w:rsidR="00A46B5F" w:rsidRPr="00B47D70">
        <w:rPr>
          <w:bCs/>
          <w:szCs w:val="28"/>
        </w:rPr>
        <w:t xml:space="preserve">diferencias en asuntos teóricos, </w:t>
      </w:r>
      <w:r w:rsidR="00AA06DA" w:rsidRPr="00B47D70">
        <w:rPr>
          <w:bCs/>
          <w:szCs w:val="28"/>
        </w:rPr>
        <w:t xml:space="preserve">que </w:t>
      </w:r>
      <w:r w:rsidR="00B47D70" w:rsidRPr="00B47D70">
        <w:rPr>
          <w:bCs/>
          <w:szCs w:val="28"/>
        </w:rPr>
        <w:t>lleven al</w:t>
      </w:r>
      <w:r w:rsidR="00AA06DA" w:rsidRPr="00B47D70">
        <w:rPr>
          <w:bCs/>
          <w:szCs w:val="28"/>
        </w:rPr>
        <w:t xml:space="preserve"> </w:t>
      </w:r>
      <w:r w:rsidR="00A46B5F" w:rsidRPr="00B47D70">
        <w:rPr>
          <w:bCs/>
          <w:szCs w:val="28"/>
        </w:rPr>
        <w:t xml:space="preserve">desconocimiento </w:t>
      </w:r>
      <w:r w:rsidR="00AA06DA" w:rsidRPr="00B47D70">
        <w:rPr>
          <w:bCs/>
          <w:iCs/>
          <w:szCs w:val="28"/>
        </w:rPr>
        <w:t xml:space="preserve">de </w:t>
      </w:r>
      <w:r w:rsidR="00A46B5F" w:rsidRPr="00B47D70">
        <w:rPr>
          <w:bCs/>
          <w:szCs w:val="28"/>
        </w:rPr>
        <w:t>la Carta</w:t>
      </w:r>
      <w:r w:rsidR="00972721" w:rsidRPr="00B47D70">
        <w:rPr>
          <w:bCs/>
          <w:szCs w:val="28"/>
        </w:rPr>
        <w:t>.</w:t>
      </w:r>
    </w:p>
    <w:p w14:paraId="395949AA" w14:textId="77777777" w:rsidR="00972721" w:rsidRPr="00B47D70" w:rsidRDefault="00972721" w:rsidP="002807A3">
      <w:pPr>
        <w:pStyle w:val="Prrafodelista"/>
        <w:ind w:left="0"/>
        <w:contextualSpacing/>
        <w:jc w:val="both"/>
        <w:rPr>
          <w:bCs/>
          <w:szCs w:val="28"/>
        </w:rPr>
      </w:pPr>
    </w:p>
    <w:p w14:paraId="316BC3D8" w14:textId="77777777" w:rsidR="00A46B5F" w:rsidRPr="00A74DB1" w:rsidRDefault="00972721" w:rsidP="002807A3">
      <w:pPr>
        <w:pStyle w:val="Prrafodelista"/>
        <w:ind w:left="0"/>
        <w:contextualSpacing/>
        <w:jc w:val="both"/>
        <w:rPr>
          <w:bCs/>
          <w:szCs w:val="28"/>
        </w:rPr>
      </w:pPr>
      <w:r w:rsidRPr="00B47D70">
        <w:rPr>
          <w:bCs/>
          <w:szCs w:val="28"/>
        </w:rPr>
        <w:t>La idea de considerar</w:t>
      </w:r>
      <w:r w:rsidR="00DC6F7C" w:rsidRPr="00B47D70">
        <w:rPr>
          <w:bCs/>
          <w:szCs w:val="28"/>
        </w:rPr>
        <w:t xml:space="preserve"> </w:t>
      </w:r>
      <w:r w:rsidRPr="00B47D70">
        <w:rPr>
          <w:bCs/>
          <w:szCs w:val="28"/>
        </w:rPr>
        <w:t xml:space="preserve">que hay normas constitucionales que pueden ser </w:t>
      </w:r>
      <w:r w:rsidR="00B47D70" w:rsidRPr="00B47D70">
        <w:rPr>
          <w:bCs/>
          <w:szCs w:val="28"/>
        </w:rPr>
        <w:t>leídas</w:t>
      </w:r>
      <w:r w:rsidRPr="00B47D70">
        <w:rPr>
          <w:bCs/>
          <w:szCs w:val="28"/>
        </w:rPr>
        <w:t xml:space="preserve"> con sospecha o que requieren </w:t>
      </w:r>
      <w:r w:rsidR="00A46B5F" w:rsidRPr="00B47D70">
        <w:rPr>
          <w:bCs/>
          <w:szCs w:val="28"/>
        </w:rPr>
        <w:t xml:space="preserve">interpretaciones </w:t>
      </w:r>
      <w:r w:rsidR="00A46B5F" w:rsidRPr="00B47D70">
        <w:rPr>
          <w:szCs w:val="28"/>
        </w:rPr>
        <w:t>"restrictivas"</w:t>
      </w:r>
      <w:r w:rsidR="00121551" w:rsidRPr="00B47D70">
        <w:rPr>
          <w:szCs w:val="28"/>
        </w:rPr>
        <w:t xml:space="preserve"> por las autoridades judiciales</w:t>
      </w:r>
      <w:r w:rsidRPr="00B47D70">
        <w:rPr>
          <w:szCs w:val="28"/>
        </w:rPr>
        <w:t>, puede ser</w:t>
      </w:r>
      <w:r w:rsidR="00DC6F7C" w:rsidRPr="00B47D70">
        <w:rPr>
          <w:szCs w:val="28"/>
        </w:rPr>
        <w:t xml:space="preserve"> una</w:t>
      </w:r>
      <w:r w:rsidR="00DC6F7C" w:rsidRPr="002E4477">
        <w:rPr>
          <w:szCs w:val="28"/>
        </w:rPr>
        <w:t xml:space="preserve"> aproximación a la Carta</w:t>
      </w:r>
      <w:r w:rsidRPr="002E4477">
        <w:rPr>
          <w:szCs w:val="28"/>
        </w:rPr>
        <w:t xml:space="preserve"> </w:t>
      </w:r>
      <w:r w:rsidR="001E40B7" w:rsidRPr="002E4477">
        <w:rPr>
          <w:szCs w:val="28"/>
        </w:rPr>
        <w:t xml:space="preserve">“peligrosa” o </w:t>
      </w:r>
      <w:r w:rsidR="007D5E94" w:rsidRPr="00A74DB1">
        <w:rPr>
          <w:szCs w:val="28"/>
        </w:rPr>
        <w:t xml:space="preserve">una propuesta que puede llegar a ser </w:t>
      </w:r>
      <w:r w:rsidR="001E40B7" w:rsidRPr="00A74DB1">
        <w:rPr>
          <w:szCs w:val="28"/>
        </w:rPr>
        <w:t>indebidamente</w:t>
      </w:r>
      <w:r w:rsidRPr="00A74DB1">
        <w:rPr>
          <w:szCs w:val="28"/>
        </w:rPr>
        <w:t xml:space="preserve"> </w:t>
      </w:r>
      <w:r w:rsidR="00121551" w:rsidRPr="00A74DB1">
        <w:rPr>
          <w:szCs w:val="28"/>
        </w:rPr>
        <w:t xml:space="preserve">considerada </w:t>
      </w:r>
      <w:r w:rsidRPr="00A74DB1">
        <w:rPr>
          <w:szCs w:val="28"/>
        </w:rPr>
        <w:t>por jueces</w:t>
      </w:r>
      <w:r w:rsidR="00121551" w:rsidRPr="00A74DB1">
        <w:rPr>
          <w:szCs w:val="28"/>
        </w:rPr>
        <w:t xml:space="preserve"> de otras instancias</w:t>
      </w:r>
      <w:r w:rsidRPr="00A74DB1">
        <w:rPr>
          <w:szCs w:val="28"/>
        </w:rPr>
        <w:t xml:space="preserve"> y juristas, </w:t>
      </w:r>
      <w:r w:rsidR="00DC6F7C" w:rsidRPr="00A74DB1">
        <w:rPr>
          <w:szCs w:val="28"/>
        </w:rPr>
        <w:t xml:space="preserve">que </w:t>
      </w:r>
      <w:r w:rsidR="007D5E94" w:rsidRPr="00A74DB1">
        <w:rPr>
          <w:szCs w:val="28"/>
        </w:rPr>
        <w:t xml:space="preserve">al final, puede generar </w:t>
      </w:r>
      <w:r w:rsidRPr="00A74DB1">
        <w:rPr>
          <w:szCs w:val="28"/>
        </w:rPr>
        <w:t xml:space="preserve">el efecto no deseado de restarle fuerza vinculante a la Constitución o de cuestionar </w:t>
      </w:r>
      <w:r w:rsidR="00D92D66" w:rsidRPr="00A74DB1">
        <w:rPr>
          <w:szCs w:val="28"/>
        </w:rPr>
        <w:t>en el fondo</w:t>
      </w:r>
      <w:r w:rsidRPr="00A74DB1">
        <w:rPr>
          <w:szCs w:val="28"/>
        </w:rPr>
        <w:t xml:space="preserve"> su legitimidad</w:t>
      </w:r>
      <w:r w:rsidR="00A72730" w:rsidRPr="00A74DB1">
        <w:rPr>
          <w:szCs w:val="28"/>
        </w:rPr>
        <w:t xml:space="preserve">. Una realidad que no puede ser la expresión de la </w:t>
      </w:r>
      <w:r w:rsidR="00DE1687" w:rsidRPr="00A74DB1">
        <w:rPr>
          <w:szCs w:val="28"/>
        </w:rPr>
        <w:t>voluntad</w:t>
      </w:r>
      <w:r w:rsidR="00A72730" w:rsidRPr="00A74DB1">
        <w:rPr>
          <w:szCs w:val="28"/>
        </w:rPr>
        <w:t xml:space="preserve"> </w:t>
      </w:r>
      <w:r w:rsidR="00DA3EF9" w:rsidRPr="00A74DB1">
        <w:rPr>
          <w:szCs w:val="28"/>
        </w:rPr>
        <w:t>válida</w:t>
      </w:r>
      <w:r w:rsidR="00DE1687" w:rsidRPr="00A74DB1">
        <w:rPr>
          <w:szCs w:val="28"/>
        </w:rPr>
        <w:t xml:space="preserve"> de ningún juez constitucional</w:t>
      </w:r>
      <w:r w:rsidR="00DC6F7C" w:rsidRPr="00A74DB1">
        <w:rPr>
          <w:szCs w:val="28"/>
        </w:rPr>
        <w:t>, por los efectos tan adversos que ello</w:t>
      </w:r>
      <w:r w:rsidR="00A72730" w:rsidRPr="00A74DB1">
        <w:rPr>
          <w:szCs w:val="28"/>
        </w:rPr>
        <w:t xml:space="preserve"> traería para el Estado Social de Derecho.</w:t>
      </w:r>
    </w:p>
    <w:p w14:paraId="0E44FB15" w14:textId="77777777" w:rsidR="00A46B5F" w:rsidRPr="00A74DB1" w:rsidRDefault="00A46B5F" w:rsidP="002807A3">
      <w:pPr>
        <w:pStyle w:val="Prrafodelista"/>
        <w:ind w:left="0"/>
        <w:contextualSpacing/>
        <w:jc w:val="both"/>
        <w:rPr>
          <w:bCs/>
          <w:szCs w:val="28"/>
        </w:rPr>
      </w:pPr>
    </w:p>
    <w:p w14:paraId="0760FE4B" w14:textId="77777777" w:rsidR="00382257" w:rsidRPr="00A74DB1" w:rsidRDefault="00972721" w:rsidP="00962603">
      <w:pPr>
        <w:numPr>
          <w:ilvl w:val="0"/>
          <w:numId w:val="10"/>
        </w:numPr>
        <w:shd w:val="clear" w:color="auto" w:fill="FFFFFF"/>
        <w:jc w:val="both"/>
        <w:rPr>
          <w:bCs/>
          <w:szCs w:val="28"/>
        </w:rPr>
      </w:pPr>
      <w:r w:rsidRPr="00A74DB1">
        <w:rPr>
          <w:iCs/>
          <w:szCs w:val="28"/>
        </w:rPr>
        <w:t xml:space="preserve">Por </w:t>
      </w:r>
      <w:r w:rsidR="00DE1687" w:rsidRPr="00A74DB1">
        <w:rPr>
          <w:iCs/>
          <w:szCs w:val="28"/>
        </w:rPr>
        <w:t>consiguiente</w:t>
      </w:r>
      <w:r w:rsidRPr="00A74DB1">
        <w:rPr>
          <w:iCs/>
          <w:szCs w:val="28"/>
        </w:rPr>
        <w:t>, e</w:t>
      </w:r>
      <w:r w:rsidR="00A46B5F" w:rsidRPr="00A74DB1">
        <w:rPr>
          <w:iCs/>
          <w:szCs w:val="28"/>
        </w:rPr>
        <w:t>n este punto</w:t>
      </w:r>
      <w:r w:rsidR="007D5E94" w:rsidRPr="00A74DB1">
        <w:rPr>
          <w:iCs/>
          <w:szCs w:val="28"/>
        </w:rPr>
        <w:t>,</w:t>
      </w:r>
      <w:r w:rsidR="00A72730" w:rsidRPr="00A74DB1">
        <w:rPr>
          <w:iCs/>
          <w:szCs w:val="28"/>
        </w:rPr>
        <w:t xml:space="preserve"> </w:t>
      </w:r>
      <w:r w:rsidR="005350B5" w:rsidRPr="00A74DB1">
        <w:rPr>
          <w:iCs/>
          <w:szCs w:val="28"/>
        </w:rPr>
        <w:t>la Corte</w:t>
      </w:r>
      <w:r w:rsidR="00A46B5F" w:rsidRPr="00A74DB1">
        <w:rPr>
          <w:iCs/>
          <w:szCs w:val="28"/>
        </w:rPr>
        <w:t xml:space="preserve"> Constitucional</w:t>
      </w:r>
      <w:r w:rsidR="005350B5" w:rsidRPr="00A74DB1">
        <w:rPr>
          <w:iCs/>
          <w:szCs w:val="28"/>
        </w:rPr>
        <w:t xml:space="preserve"> </w:t>
      </w:r>
      <w:r w:rsidR="00DA3EF9" w:rsidRPr="00A74DB1">
        <w:rPr>
          <w:iCs/>
          <w:szCs w:val="28"/>
        </w:rPr>
        <w:t>reitera</w:t>
      </w:r>
      <w:r w:rsidR="005350B5" w:rsidRPr="00A74DB1">
        <w:rPr>
          <w:iCs/>
          <w:szCs w:val="28"/>
        </w:rPr>
        <w:t xml:space="preserve"> que las decisiones judicia</w:t>
      </w:r>
      <w:r w:rsidR="00A46B5F" w:rsidRPr="00A74DB1">
        <w:rPr>
          <w:iCs/>
          <w:szCs w:val="28"/>
        </w:rPr>
        <w:t xml:space="preserve">les que desconozcan </w:t>
      </w:r>
      <w:r w:rsidR="007D5E94" w:rsidRPr="00A74DB1">
        <w:rPr>
          <w:iCs/>
          <w:szCs w:val="28"/>
        </w:rPr>
        <w:t xml:space="preserve">la </w:t>
      </w:r>
      <w:r w:rsidR="007D5E94" w:rsidRPr="00A74DB1">
        <w:rPr>
          <w:i/>
          <w:iCs/>
          <w:szCs w:val="28"/>
        </w:rPr>
        <w:t xml:space="preserve">ratio decidendi </w:t>
      </w:r>
      <w:r w:rsidR="007D5E94" w:rsidRPr="00A74DB1">
        <w:rPr>
          <w:iCs/>
          <w:szCs w:val="28"/>
        </w:rPr>
        <w:t xml:space="preserve">de una providencia constitucional en la que se declare </w:t>
      </w:r>
      <w:r w:rsidR="00A46B5F" w:rsidRPr="00A74DB1">
        <w:rPr>
          <w:iCs/>
          <w:szCs w:val="28"/>
        </w:rPr>
        <w:t xml:space="preserve">la </w:t>
      </w:r>
      <w:r w:rsidR="005350B5" w:rsidRPr="00A74DB1">
        <w:rPr>
          <w:iCs/>
          <w:szCs w:val="28"/>
        </w:rPr>
        <w:t>inexequibilidad</w:t>
      </w:r>
      <w:r w:rsidRPr="00A74DB1">
        <w:rPr>
          <w:iCs/>
          <w:szCs w:val="28"/>
        </w:rPr>
        <w:t>,</w:t>
      </w:r>
      <w:r w:rsidR="00BD2054" w:rsidRPr="00A74DB1">
        <w:rPr>
          <w:iCs/>
          <w:szCs w:val="28"/>
        </w:rPr>
        <w:t xml:space="preserve"> la exequibilidad </w:t>
      </w:r>
      <w:r w:rsidR="007D5E94" w:rsidRPr="00A74DB1">
        <w:rPr>
          <w:iCs/>
          <w:szCs w:val="28"/>
        </w:rPr>
        <w:t xml:space="preserve">o la exequibilidad </w:t>
      </w:r>
      <w:r w:rsidR="00BD2054" w:rsidRPr="00A74DB1">
        <w:rPr>
          <w:iCs/>
          <w:szCs w:val="28"/>
        </w:rPr>
        <w:t>condicionada</w:t>
      </w:r>
      <w:r w:rsidR="007D5E94" w:rsidRPr="00A74DB1">
        <w:rPr>
          <w:iCs/>
          <w:szCs w:val="28"/>
        </w:rPr>
        <w:t xml:space="preserve"> de una norma</w:t>
      </w:r>
      <w:r w:rsidR="00A46B5F" w:rsidRPr="00A74DB1">
        <w:rPr>
          <w:iCs/>
          <w:szCs w:val="28"/>
        </w:rPr>
        <w:t>,</w:t>
      </w:r>
      <w:r w:rsidR="00471DBB" w:rsidRPr="00A74DB1">
        <w:rPr>
          <w:iCs/>
          <w:szCs w:val="28"/>
        </w:rPr>
        <w:t xml:space="preserve"> </w:t>
      </w:r>
      <w:r w:rsidR="007D5E94" w:rsidRPr="00A74DB1">
        <w:rPr>
          <w:iCs/>
          <w:szCs w:val="28"/>
        </w:rPr>
        <w:t xml:space="preserve">y con ella el sentido real que la Corte le da a una disposición, en este caso directamente perteneciente a la Carta Política, incurren </w:t>
      </w:r>
      <w:r w:rsidR="00471DBB" w:rsidRPr="00A74DB1">
        <w:rPr>
          <w:iCs/>
          <w:szCs w:val="28"/>
        </w:rPr>
        <w:t xml:space="preserve">en </w:t>
      </w:r>
      <w:r w:rsidR="00471DBB" w:rsidRPr="00A74DB1">
        <w:rPr>
          <w:i/>
          <w:szCs w:val="28"/>
        </w:rPr>
        <w:t>violación directa de la C</w:t>
      </w:r>
      <w:r w:rsidR="007D5E94" w:rsidRPr="00A74DB1">
        <w:rPr>
          <w:i/>
          <w:szCs w:val="28"/>
        </w:rPr>
        <w:t>onstitución</w:t>
      </w:r>
      <w:r w:rsidR="00BD2054" w:rsidRPr="00A74DB1">
        <w:rPr>
          <w:iCs/>
          <w:szCs w:val="28"/>
        </w:rPr>
        <w:t>,</w:t>
      </w:r>
      <w:r w:rsidR="00A46B5F" w:rsidRPr="00A74DB1">
        <w:rPr>
          <w:iCs/>
          <w:szCs w:val="28"/>
        </w:rPr>
        <w:t xml:space="preserve"> como ocurr</w:t>
      </w:r>
      <w:r w:rsidR="00A74DB1">
        <w:rPr>
          <w:iCs/>
          <w:szCs w:val="28"/>
        </w:rPr>
        <w:t>ió en la sentencia objeto de reproche por vía de tutela,</w:t>
      </w:r>
      <w:r w:rsidR="005209D3" w:rsidRPr="00A74DB1">
        <w:rPr>
          <w:iCs/>
          <w:szCs w:val="28"/>
        </w:rPr>
        <w:t xml:space="preserve"> por desconocimiento del mandato del artículo 243 de la Carta y por indebida valoración del artículo 257A superior </w:t>
      </w:r>
      <w:r w:rsidR="00BD2054" w:rsidRPr="00A74DB1">
        <w:rPr>
          <w:iCs/>
          <w:szCs w:val="28"/>
        </w:rPr>
        <w:t xml:space="preserve">. </w:t>
      </w:r>
      <w:r w:rsidR="00DA3EF9" w:rsidRPr="00A74DB1">
        <w:rPr>
          <w:iCs/>
          <w:szCs w:val="28"/>
        </w:rPr>
        <w:t>Ello</w:t>
      </w:r>
      <w:r w:rsidR="00DC6F7C" w:rsidRPr="00A74DB1">
        <w:rPr>
          <w:iCs/>
          <w:szCs w:val="28"/>
        </w:rPr>
        <w:t>,</w:t>
      </w:r>
      <w:r w:rsidR="0051122D" w:rsidRPr="00A74DB1">
        <w:rPr>
          <w:iCs/>
          <w:szCs w:val="28"/>
        </w:rPr>
        <w:t xml:space="preserve"> por cuanto </w:t>
      </w:r>
      <w:r w:rsidR="005350B5" w:rsidRPr="00A74DB1">
        <w:rPr>
          <w:szCs w:val="28"/>
        </w:rPr>
        <w:t xml:space="preserve">aplican </w:t>
      </w:r>
      <w:r w:rsidR="00DC6F7C" w:rsidRPr="00A74DB1">
        <w:rPr>
          <w:szCs w:val="28"/>
        </w:rPr>
        <w:t xml:space="preserve">las normas de forma </w:t>
      </w:r>
      <w:r w:rsidR="005350B5" w:rsidRPr="00A74DB1">
        <w:rPr>
          <w:szCs w:val="28"/>
        </w:rPr>
        <w:t>incompatible con las cláusulas constitucionales</w:t>
      </w:r>
      <w:r w:rsidR="005350B5" w:rsidRPr="00A74DB1">
        <w:rPr>
          <w:rStyle w:val="Refdenotaalpie"/>
          <w:iCs/>
          <w:szCs w:val="28"/>
        </w:rPr>
        <w:footnoteReference w:id="384"/>
      </w:r>
      <w:r w:rsidRPr="00A74DB1">
        <w:rPr>
          <w:iCs/>
          <w:szCs w:val="28"/>
        </w:rPr>
        <w:t xml:space="preserve"> </w:t>
      </w:r>
      <w:r w:rsidR="0051122D" w:rsidRPr="00A74DB1">
        <w:rPr>
          <w:iCs/>
          <w:szCs w:val="28"/>
        </w:rPr>
        <w:t xml:space="preserve">y </w:t>
      </w:r>
      <w:r w:rsidRPr="00A74DB1">
        <w:rPr>
          <w:iCs/>
          <w:szCs w:val="28"/>
        </w:rPr>
        <w:t xml:space="preserve">al apartarse de las consideraciones últimas del órgano de cierre en la materia, </w:t>
      </w:r>
      <w:r w:rsidR="00A46B5F" w:rsidRPr="00A74DB1">
        <w:rPr>
          <w:iCs/>
          <w:szCs w:val="28"/>
        </w:rPr>
        <w:t>contribuy</w:t>
      </w:r>
      <w:r w:rsidRPr="00A74DB1">
        <w:rPr>
          <w:iCs/>
          <w:szCs w:val="28"/>
        </w:rPr>
        <w:t>e</w:t>
      </w:r>
      <w:r w:rsidR="0051122D" w:rsidRPr="00A74DB1">
        <w:rPr>
          <w:iCs/>
          <w:szCs w:val="28"/>
        </w:rPr>
        <w:t>n</w:t>
      </w:r>
      <w:r w:rsidR="00A46B5F" w:rsidRPr="00A74DB1">
        <w:rPr>
          <w:iCs/>
          <w:szCs w:val="28"/>
        </w:rPr>
        <w:t xml:space="preserve"> a </w:t>
      </w:r>
      <w:r w:rsidRPr="00A74DB1">
        <w:rPr>
          <w:iCs/>
          <w:szCs w:val="28"/>
        </w:rPr>
        <w:t>restarle valor</w:t>
      </w:r>
      <w:r w:rsidR="0075793B" w:rsidRPr="00A74DB1">
        <w:rPr>
          <w:iCs/>
          <w:szCs w:val="28"/>
        </w:rPr>
        <w:t xml:space="preserve"> intr</w:t>
      </w:r>
      <w:r w:rsidR="00A46B5F" w:rsidRPr="00A74DB1">
        <w:rPr>
          <w:iCs/>
          <w:szCs w:val="28"/>
        </w:rPr>
        <w:t>ínseco</w:t>
      </w:r>
      <w:r w:rsidR="00BD2054" w:rsidRPr="00A74DB1">
        <w:rPr>
          <w:iCs/>
          <w:szCs w:val="28"/>
        </w:rPr>
        <w:t xml:space="preserve"> a</w:t>
      </w:r>
      <w:r w:rsidR="00A46B5F" w:rsidRPr="00A74DB1">
        <w:rPr>
          <w:iCs/>
          <w:szCs w:val="28"/>
        </w:rPr>
        <w:t xml:space="preserve"> </w:t>
      </w:r>
      <w:r w:rsidR="00BD2054" w:rsidRPr="00A74DB1">
        <w:rPr>
          <w:iCs/>
          <w:szCs w:val="28"/>
        </w:rPr>
        <w:t xml:space="preserve">elementos concretos de la Constitución, </w:t>
      </w:r>
      <w:r w:rsidR="00A46B5F" w:rsidRPr="00A74DB1">
        <w:rPr>
          <w:iCs/>
          <w:szCs w:val="28"/>
        </w:rPr>
        <w:t xml:space="preserve">por no </w:t>
      </w:r>
      <w:r w:rsidR="0051122D" w:rsidRPr="00A74DB1">
        <w:rPr>
          <w:iCs/>
          <w:szCs w:val="28"/>
        </w:rPr>
        <w:t xml:space="preserve">compartir, </w:t>
      </w:r>
      <w:r w:rsidR="00A74DB1">
        <w:rPr>
          <w:iCs/>
          <w:szCs w:val="28"/>
        </w:rPr>
        <w:t xml:space="preserve">como </w:t>
      </w:r>
      <w:r w:rsidR="0051122D" w:rsidRPr="00A74DB1">
        <w:rPr>
          <w:iCs/>
          <w:szCs w:val="28"/>
        </w:rPr>
        <w:t xml:space="preserve">en este caso, </w:t>
      </w:r>
      <w:r w:rsidR="000C2126" w:rsidRPr="00A74DB1">
        <w:rPr>
          <w:iCs/>
          <w:szCs w:val="28"/>
        </w:rPr>
        <w:t>los argumentos proferidos</w:t>
      </w:r>
      <w:r w:rsidR="0051122D" w:rsidRPr="00A74DB1">
        <w:rPr>
          <w:iCs/>
          <w:szCs w:val="28"/>
        </w:rPr>
        <w:t xml:space="preserve"> por la Corte frente al tema de la sustitución constitucional. </w:t>
      </w:r>
    </w:p>
    <w:p w14:paraId="2F08366C" w14:textId="77777777" w:rsidR="00BF2277" w:rsidRPr="002E4477" w:rsidRDefault="00BF2277" w:rsidP="002807A3">
      <w:pPr>
        <w:pStyle w:val="Prrafodelista"/>
        <w:ind w:left="0"/>
        <w:contextualSpacing/>
        <w:jc w:val="both"/>
        <w:rPr>
          <w:iCs/>
          <w:szCs w:val="28"/>
        </w:rPr>
      </w:pPr>
    </w:p>
    <w:p w14:paraId="691CA965" w14:textId="77777777" w:rsidR="00FC4342" w:rsidRPr="002E4477" w:rsidRDefault="00BF2277" w:rsidP="00962603">
      <w:pPr>
        <w:numPr>
          <w:ilvl w:val="0"/>
          <w:numId w:val="10"/>
        </w:numPr>
        <w:shd w:val="clear" w:color="auto" w:fill="FFFFFF"/>
        <w:jc w:val="both"/>
        <w:rPr>
          <w:bCs/>
          <w:szCs w:val="28"/>
        </w:rPr>
      </w:pPr>
      <w:r w:rsidRPr="002E4477">
        <w:rPr>
          <w:iCs/>
          <w:szCs w:val="28"/>
        </w:rPr>
        <w:t>Se concluye, en consecuencia, que el artículo 257A de la Carta no podía ser considerado por el Consejo de Estado como una norma constitucional susceptible de “</w:t>
      </w:r>
      <w:r w:rsidRPr="002E4477">
        <w:rPr>
          <w:i/>
          <w:szCs w:val="28"/>
        </w:rPr>
        <w:t>reserv</w:t>
      </w:r>
      <w:r w:rsidR="00D3064A" w:rsidRPr="002E4477">
        <w:rPr>
          <w:i/>
          <w:szCs w:val="28"/>
        </w:rPr>
        <w:t>a</w:t>
      </w:r>
      <w:r w:rsidRPr="002E4477">
        <w:rPr>
          <w:i/>
          <w:szCs w:val="28"/>
        </w:rPr>
        <w:t xml:space="preserve"> interpretativa</w:t>
      </w:r>
      <w:r w:rsidR="00D3064A" w:rsidRPr="002E4477">
        <w:rPr>
          <w:iCs/>
          <w:szCs w:val="28"/>
        </w:rPr>
        <w:t>”</w:t>
      </w:r>
      <w:r w:rsidRPr="002E4477">
        <w:rPr>
          <w:iCs/>
          <w:szCs w:val="28"/>
        </w:rPr>
        <w:t xml:space="preserve"> </w:t>
      </w:r>
      <w:r w:rsidR="00A72C49">
        <w:rPr>
          <w:iCs/>
          <w:szCs w:val="28"/>
        </w:rPr>
        <w:t>u</w:t>
      </w:r>
      <w:r w:rsidRPr="002E4477">
        <w:rPr>
          <w:iCs/>
          <w:szCs w:val="28"/>
        </w:rPr>
        <w:t xml:space="preserve"> objeto de </w:t>
      </w:r>
      <w:r w:rsidR="00A72C49">
        <w:rPr>
          <w:iCs/>
          <w:szCs w:val="28"/>
        </w:rPr>
        <w:t>interpretación</w:t>
      </w:r>
      <w:r w:rsidRPr="002E4477">
        <w:rPr>
          <w:iCs/>
          <w:szCs w:val="28"/>
        </w:rPr>
        <w:t xml:space="preserve"> "</w:t>
      </w:r>
      <w:r w:rsidRPr="002E4477">
        <w:rPr>
          <w:i/>
          <w:szCs w:val="28"/>
        </w:rPr>
        <w:t>restrictiva</w:t>
      </w:r>
      <w:r w:rsidRPr="002E4477">
        <w:rPr>
          <w:iCs/>
          <w:szCs w:val="28"/>
        </w:rPr>
        <w:t>" y “</w:t>
      </w:r>
      <w:r w:rsidRPr="002E4477">
        <w:rPr>
          <w:i/>
          <w:szCs w:val="28"/>
        </w:rPr>
        <w:t>cuidados</w:t>
      </w:r>
      <w:r w:rsidRPr="002E4477">
        <w:rPr>
          <w:iCs/>
          <w:szCs w:val="28"/>
        </w:rPr>
        <w:t>a”</w:t>
      </w:r>
      <w:r w:rsidR="00FC4342" w:rsidRPr="002E4477">
        <w:rPr>
          <w:iCs/>
          <w:szCs w:val="28"/>
        </w:rPr>
        <w:t>,</w:t>
      </w:r>
      <w:r w:rsidRPr="002E4477">
        <w:rPr>
          <w:iCs/>
          <w:szCs w:val="28"/>
        </w:rPr>
        <w:t xml:space="preserve"> </w:t>
      </w:r>
      <w:r w:rsidR="00D3064A" w:rsidRPr="002E4477">
        <w:rPr>
          <w:iCs/>
          <w:szCs w:val="28"/>
        </w:rPr>
        <w:t xml:space="preserve">por el </w:t>
      </w:r>
      <w:r w:rsidRPr="002E4477">
        <w:rPr>
          <w:iCs/>
          <w:szCs w:val="28"/>
        </w:rPr>
        <w:t xml:space="preserve">hecho de haber sido objeto de una decisión constitucional que el </w:t>
      </w:r>
      <w:r w:rsidR="00A72C49">
        <w:rPr>
          <w:iCs/>
          <w:szCs w:val="28"/>
        </w:rPr>
        <w:t>fallador</w:t>
      </w:r>
      <w:r w:rsidRPr="002E4477">
        <w:rPr>
          <w:iCs/>
          <w:szCs w:val="28"/>
        </w:rPr>
        <w:t xml:space="preserve"> no comparte. </w:t>
      </w:r>
    </w:p>
    <w:p w14:paraId="0B9B7192" w14:textId="77777777" w:rsidR="00FC4342" w:rsidRDefault="00FC4342" w:rsidP="002807A3">
      <w:pPr>
        <w:pStyle w:val="Prrafodelista"/>
        <w:ind w:left="0"/>
        <w:contextualSpacing/>
        <w:jc w:val="both"/>
        <w:rPr>
          <w:iCs/>
          <w:szCs w:val="28"/>
        </w:rPr>
      </w:pPr>
    </w:p>
    <w:p w14:paraId="65609467" w14:textId="77777777" w:rsidR="00A72C49" w:rsidRPr="002E4477" w:rsidRDefault="00A72C49" w:rsidP="002807A3">
      <w:pPr>
        <w:pStyle w:val="Prrafodelista"/>
        <w:ind w:left="0"/>
        <w:contextualSpacing/>
        <w:jc w:val="both"/>
        <w:rPr>
          <w:iCs/>
          <w:szCs w:val="28"/>
        </w:rPr>
      </w:pPr>
    </w:p>
    <w:p w14:paraId="452A0D42" w14:textId="77777777" w:rsidR="005350B5" w:rsidRPr="00A72C49" w:rsidRDefault="00EF3E18" w:rsidP="00FC7FA7">
      <w:pPr>
        <w:numPr>
          <w:ilvl w:val="0"/>
          <w:numId w:val="34"/>
        </w:numPr>
        <w:tabs>
          <w:tab w:val="left" w:pos="284"/>
          <w:tab w:val="left" w:pos="426"/>
          <w:tab w:val="left" w:pos="3119"/>
          <w:tab w:val="left" w:pos="3261"/>
        </w:tabs>
        <w:ind w:left="0" w:firstLine="0"/>
        <w:jc w:val="both"/>
        <w:rPr>
          <w:b/>
          <w:i/>
          <w:szCs w:val="28"/>
          <w:lang w:val="es-CO"/>
        </w:rPr>
      </w:pPr>
      <w:r w:rsidRPr="00A72C49">
        <w:rPr>
          <w:b/>
          <w:i/>
          <w:szCs w:val="28"/>
        </w:rPr>
        <w:t xml:space="preserve">Segundo argumento. </w:t>
      </w:r>
      <w:r w:rsidR="004C3F9F" w:rsidRPr="00A72C49">
        <w:rPr>
          <w:b/>
          <w:i/>
          <w:szCs w:val="28"/>
        </w:rPr>
        <w:t>Violación directa de la Constitución por desconoc</w:t>
      </w:r>
      <w:r w:rsidR="00D13602" w:rsidRPr="00A72C49">
        <w:rPr>
          <w:b/>
          <w:i/>
          <w:szCs w:val="28"/>
        </w:rPr>
        <w:t>imiento de</w:t>
      </w:r>
      <w:r w:rsidR="004C3F9F" w:rsidRPr="00A72C49">
        <w:rPr>
          <w:b/>
          <w:i/>
          <w:szCs w:val="28"/>
        </w:rPr>
        <w:t xml:space="preserve"> una </w:t>
      </w:r>
      <w:r w:rsidR="00EC330A" w:rsidRPr="00A72C49">
        <w:rPr>
          <w:b/>
          <w:i/>
          <w:szCs w:val="28"/>
        </w:rPr>
        <w:t>facultad constitucional autónoma en favor del CS</w:t>
      </w:r>
      <w:r w:rsidR="007D5E94" w:rsidRPr="00A72C49">
        <w:rPr>
          <w:b/>
          <w:i/>
          <w:szCs w:val="28"/>
        </w:rPr>
        <w:t>J</w:t>
      </w:r>
      <w:r w:rsidR="00D61C56" w:rsidRPr="00A72C49">
        <w:rPr>
          <w:b/>
          <w:i/>
          <w:szCs w:val="28"/>
        </w:rPr>
        <w:t xml:space="preserve"> consignada en el artículo 257A</w:t>
      </w:r>
      <w:r w:rsidR="00C23290" w:rsidRPr="00A72C49">
        <w:rPr>
          <w:b/>
          <w:i/>
          <w:szCs w:val="28"/>
        </w:rPr>
        <w:t xml:space="preserve"> </w:t>
      </w:r>
      <w:r w:rsidR="00D13602" w:rsidRPr="00A72C49">
        <w:rPr>
          <w:b/>
          <w:i/>
          <w:szCs w:val="28"/>
        </w:rPr>
        <w:t>y por la indebida aplicación de artículo 126 Constitucional</w:t>
      </w:r>
    </w:p>
    <w:p w14:paraId="794B6EA5" w14:textId="77777777" w:rsidR="00AD053C" w:rsidRPr="00A72C49" w:rsidRDefault="00AD053C" w:rsidP="00471DBB">
      <w:pPr>
        <w:rPr>
          <w:b/>
          <w:i/>
          <w:szCs w:val="28"/>
          <w:lang w:val="es-CO"/>
        </w:rPr>
      </w:pPr>
    </w:p>
    <w:p w14:paraId="5DE0AFB1" w14:textId="77777777" w:rsidR="00751581" w:rsidRPr="00A72C49" w:rsidRDefault="00751581" w:rsidP="00337901">
      <w:pPr>
        <w:jc w:val="both"/>
        <w:rPr>
          <w:b/>
          <w:iCs/>
          <w:szCs w:val="28"/>
          <w:lang w:val="es-CO"/>
        </w:rPr>
      </w:pPr>
      <w:r w:rsidRPr="00A72C49">
        <w:rPr>
          <w:b/>
          <w:i/>
          <w:szCs w:val="28"/>
          <w:lang w:val="es-CO"/>
        </w:rPr>
        <w:t>Consideraciones</w:t>
      </w:r>
      <w:r w:rsidR="00EF3E18" w:rsidRPr="00A72C49">
        <w:rPr>
          <w:b/>
          <w:i/>
          <w:szCs w:val="28"/>
          <w:lang w:val="es-CO"/>
        </w:rPr>
        <w:t xml:space="preserve"> particulares</w:t>
      </w:r>
      <w:r w:rsidRPr="00A72C49">
        <w:rPr>
          <w:b/>
          <w:i/>
          <w:szCs w:val="28"/>
          <w:lang w:val="es-CO"/>
        </w:rPr>
        <w:t xml:space="preserve"> </w:t>
      </w:r>
      <w:r w:rsidR="009D7718" w:rsidRPr="00A72C49">
        <w:rPr>
          <w:b/>
          <w:i/>
          <w:szCs w:val="28"/>
          <w:lang w:val="es-CO"/>
        </w:rPr>
        <w:t xml:space="preserve">sobre el </w:t>
      </w:r>
      <w:r w:rsidRPr="00A72C49">
        <w:rPr>
          <w:b/>
          <w:i/>
          <w:szCs w:val="28"/>
          <w:lang w:val="es-CO"/>
        </w:rPr>
        <w:t>artículo 257A</w:t>
      </w:r>
      <w:r w:rsidR="00EF3E18" w:rsidRPr="00A72C49">
        <w:rPr>
          <w:b/>
          <w:i/>
          <w:szCs w:val="28"/>
          <w:lang w:val="es-CO"/>
        </w:rPr>
        <w:t xml:space="preserve"> de la Carta</w:t>
      </w:r>
      <w:r w:rsidR="00337901" w:rsidRPr="00A72C49">
        <w:rPr>
          <w:b/>
          <w:i/>
          <w:szCs w:val="28"/>
          <w:lang w:val="es-CO"/>
        </w:rPr>
        <w:t xml:space="preserve"> </w:t>
      </w:r>
    </w:p>
    <w:p w14:paraId="0FC10DF8" w14:textId="77777777" w:rsidR="00751581" w:rsidRPr="00A72C49" w:rsidRDefault="00751581" w:rsidP="00471DBB">
      <w:pPr>
        <w:rPr>
          <w:b/>
          <w:i/>
          <w:szCs w:val="28"/>
          <w:lang w:val="es-CO"/>
        </w:rPr>
      </w:pPr>
    </w:p>
    <w:p w14:paraId="7C418F73" w14:textId="77777777" w:rsidR="00AD053C" w:rsidRPr="00A72C49" w:rsidRDefault="003C6235" w:rsidP="003C6235">
      <w:pPr>
        <w:pStyle w:val="NormalWeb"/>
        <w:numPr>
          <w:ilvl w:val="0"/>
          <w:numId w:val="10"/>
        </w:numPr>
        <w:tabs>
          <w:tab w:val="left" w:pos="284"/>
          <w:tab w:val="left" w:pos="426"/>
        </w:tabs>
        <w:spacing w:before="0" w:beforeAutospacing="0" w:after="0" w:afterAutospacing="0"/>
        <w:ind w:right="40"/>
        <w:jc w:val="both"/>
        <w:rPr>
          <w:bCs/>
          <w:i/>
          <w:iCs/>
          <w:sz w:val="28"/>
          <w:szCs w:val="28"/>
        </w:rPr>
      </w:pPr>
      <w:r w:rsidRPr="00A72C49">
        <w:rPr>
          <w:bCs/>
          <w:sz w:val="28"/>
          <w:szCs w:val="28"/>
        </w:rPr>
        <w:t xml:space="preserve">Los argumentos desplegados </w:t>
      </w:r>
      <w:r w:rsidR="00FE39E9" w:rsidRPr="00A72C49">
        <w:rPr>
          <w:bCs/>
          <w:sz w:val="28"/>
          <w:szCs w:val="28"/>
        </w:rPr>
        <w:t xml:space="preserve">por las partes </w:t>
      </w:r>
      <w:r w:rsidRPr="00A72C49">
        <w:rPr>
          <w:bCs/>
          <w:sz w:val="28"/>
          <w:szCs w:val="28"/>
        </w:rPr>
        <w:t xml:space="preserve">para alegar o refutar la posible existencia del defecto enunciado por </w:t>
      </w:r>
      <w:r w:rsidR="0032032E" w:rsidRPr="00A72C49">
        <w:rPr>
          <w:bCs/>
          <w:sz w:val="28"/>
          <w:szCs w:val="28"/>
        </w:rPr>
        <w:t xml:space="preserve">desconocer </w:t>
      </w:r>
      <w:r w:rsidRPr="00A72C49">
        <w:rPr>
          <w:bCs/>
          <w:sz w:val="28"/>
          <w:szCs w:val="28"/>
        </w:rPr>
        <w:t xml:space="preserve">la </w:t>
      </w:r>
      <w:r w:rsidR="00FC7FA7" w:rsidRPr="00A72C49">
        <w:rPr>
          <w:bCs/>
          <w:sz w:val="28"/>
          <w:szCs w:val="28"/>
        </w:rPr>
        <w:t xml:space="preserve">interpretación </w:t>
      </w:r>
      <w:r w:rsidRPr="00A72C49">
        <w:rPr>
          <w:bCs/>
          <w:sz w:val="28"/>
          <w:szCs w:val="28"/>
        </w:rPr>
        <w:t>del artículo 257A superior</w:t>
      </w:r>
      <w:r w:rsidR="009D7718" w:rsidRPr="00A72C49">
        <w:rPr>
          <w:bCs/>
          <w:sz w:val="28"/>
          <w:szCs w:val="28"/>
        </w:rPr>
        <w:t>, en cuanto a la facultad de regulación autónoma del CSJ</w:t>
      </w:r>
      <w:r w:rsidR="00D13602" w:rsidRPr="00A72C49">
        <w:rPr>
          <w:bCs/>
          <w:sz w:val="28"/>
          <w:szCs w:val="28"/>
        </w:rPr>
        <w:t xml:space="preserve"> y </w:t>
      </w:r>
      <w:r w:rsidR="009D7718" w:rsidRPr="00A72C49">
        <w:rPr>
          <w:bCs/>
          <w:sz w:val="28"/>
          <w:szCs w:val="28"/>
        </w:rPr>
        <w:t>la apelación</w:t>
      </w:r>
      <w:r w:rsidR="0032032E" w:rsidRPr="00A72C49">
        <w:rPr>
          <w:bCs/>
          <w:sz w:val="28"/>
          <w:szCs w:val="28"/>
        </w:rPr>
        <w:t xml:space="preserve"> al </w:t>
      </w:r>
      <w:r w:rsidR="00D13602" w:rsidRPr="00A72C49">
        <w:rPr>
          <w:bCs/>
          <w:sz w:val="28"/>
          <w:szCs w:val="28"/>
        </w:rPr>
        <w:t>artículo 126 de la Carta</w:t>
      </w:r>
      <w:r w:rsidR="0032032E" w:rsidRPr="00A72C49">
        <w:rPr>
          <w:bCs/>
          <w:sz w:val="28"/>
          <w:szCs w:val="28"/>
        </w:rPr>
        <w:t xml:space="preserve"> para la reg</w:t>
      </w:r>
      <w:r w:rsidR="009D7718" w:rsidRPr="00A72C49">
        <w:rPr>
          <w:bCs/>
          <w:sz w:val="28"/>
          <w:szCs w:val="28"/>
        </w:rPr>
        <w:t>lamentación</w:t>
      </w:r>
      <w:r w:rsidR="0032032E" w:rsidRPr="00A72C49">
        <w:rPr>
          <w:bCs/>
          <w:sz w:val="28"/>
          <w:szCs w:val="28"/>
        </w:rPr>
        <w:t xml:space="preserve"> de la convocatoria pública</w:t>
      </w:r>
      <w:r w:rsidR="0098291F" w:rsidRPr="00A72C49">
        <w:rPr>
          <w:bCs/>
          <w:sz w:val="28"/>
          <w:szCs w:val="28"/>
        </w:rPr>
        <w:t xml:space="preserve"> correspondien</w:t>
      </w:r>
      <w:r w:rsidR="00813775" w:rsidRPr="00A72C49">
        <w:rPr>
          <w:bCs/>
          <w:sz w:val="28"/>
          <w:szCs w:val="28"/>
        </w:rPr>
        <w:t>t</w:t>
      </w:r>
      <w:r w:rsidR="0098291F" w:rsidRPr="00A72C49">
        <w:rPr>
          <w:bCs/>
          <w:sz w:val="28"/>
          <w:szCs w:val="28"/>
        </w:rPr>
        <w:t>e</w:t>
      </w:r>
      <w:r w:rsidRPr="00A72C49">
        <w:rPr>
          <w:bCs/>
          <w:sz w:val="28"/>
          <w:szCs w:val="28"/>
        </w:rPr>
        <w:t xml:space="preserve">, </w:t>
      </w:r>
      <w:r w:rsidR="00813775" w:rsidRPr="00A72C49">
        <w:rPr>
          <w:bCs/>
          <w:sz w:val="28"/>
          <w:szCs w:val="28"/>
        </w:rPr>
        <w:t>en detrimento</w:t>
      </w:r>
      <w:r w:rsidR="009D7718" w:rsidRPr="00A72C49">
        <w:rPr>
          <w:bCs/>
          <w:sz w:val="28"/>
          <w:szCs w:val="28"/>
        </w:rPr>
        <w:t xml:space="preserve"> aparentemente,</w:t>
      </w:r>
      <w:r w:rsidR="00813775" w:rsidRPr="00A72C49">
        <w:rPr>
          <w:bCs/>
          <w:sz w:val="28"/>
          <w:szCs w:val="28"/>
        </w:rPr>
        <w:t xml:space="preserve"> del querer del constituyente, </w:t>
      </w:r>
      <w:r w:rsidRPr="00A72C49">
        <w:rPr>
          <w:bCs/>
          <w:sz w:val="28"/>
          <w:szCs w:val="28"/>
        </w:rPr>
        <w:t xml:space="preserve">pueden sintetizarse gráficamente, de la siguiente forma: </w:t>
      </w:r>
    </w:p>
    <w:p w14:paraId="7A291CFE" w14:textId="77777777" w:rsidR="003C6235" w:rsidRDefault="003C6235" w:rsidP="00E344B1">
      <w:pPr>
        <w:spacing w:line="276" w:lineRule="auto"/>
        <w:rPr>
          <w:sz w:val="16"/>
          <w:szCs w:val="16"/>
          <w:lang w:val="es-CO"/>
        </w:rPr>
      </w:pPr>
    </w:p>
    <w:p w14:paraId="164A43F9" w14:textId="77777777" w:rsidR="003C6235" w:rsidRPr="002E4477" w:rsidRDefault="003C6235" w:rsidP="00471DBB">
      <w:pPr>
        <w:rPr>
          <w:sz w:val="16"/>
          <w:szCs w:val="16"/>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3038"/>
        <w:gridCol w:w="4394"/>
      </w:tblGrid>
      <w:tr w:rsidR="007C6F2A" w:rsidRPr="00081B05" w14:paraId="2A196283" w14:textId="77777777" w:rsidTr="009D7718">
        <w:tc>
          <w:tcPr>
            <w:tcW w:w="1357" w:type="dxa"/>
            <w:shd w:val="clear" w:color="auto" w:fill="D9D9D9"/>
          </w:tcPr>
          <w:p w14:paraId="3A1E5923" w14:textId="77777777" w:rsidR="00471DBB" w:rsidRPr="0097605B" w:rsidRDefault="00471DBB" w:rsidP="006F75BD">
            <w:pPr>
              <w:pStyle w:val="NormalWeb"/>
              <w:tabs>
                <w:tab w:val="left" w:pos="284"/>
              </w:tabs>
              <w:spacing w:before="0" w:beforeAutospacing="0" w:after="0" w:afterAutospacing="0"/>
              <w:ind w:right="40"/>
              <w:jc w:val="center"/>
              <w:rPr>
                <w:b/>
              </w:rPr>
            </w:pPr>
            <w:r w:rsidRPr="0097605B">
              <w:rPr>
                <w:b/>
              </w:rPr>
              <w:t>Art.</w:t>
            </w:r>
          </w:p>
          <w:p w14:paraId="394E579A" w14:textId="77777777" w:rsidR="00471DBB" w:rsidRPr="0097605B" w:rsidRDefault="00471DBB" w:rsidP="006F75BD">
            <w:pPr>
              <w:pStyle w:val="NormalWeb"/>
              <w:tabs>
                <w:tab w:val="left" w:pos="284"/>
              </w:tabs>
              <w:spacing w:before="0" w:beforeAutospacing="0" w:after="0" w:afterAutospacing="0"/>
              <w:ind w:right="40"/>
              <w:jc w:val="center"/>
              <w:rPr>
                <w:b/>
              </w:rPr>
            </w:pPr>
            <w:r w:rsidRPr="0097605B">
              <w:rPr>
                <w:b/>
              </w:rPr>
              <w:t xml:space="preserve">C.P. </w:t>
            </w:r>
          </w:p>
          <w:p w14:paraId="0D837827" w14:textId="77777777" w:rsidR="00471DBB" w:rsidRPr="0097605B" w:rsidRDefault="00471DBB" w:rsidP="006F75BD">
            <w:pPr>
              <w:pStyle w:val="NormalWeb"/>
              <w:tabs>
                <w:tab w:val="left" w:pos="284"/>
              </w:tabs>
              <w:spacing w:before="0" w:beforeAutospacing="0" w:after="0" w:afterAutospacing="0"/>
              <w:ind w:right="40"/>
              <w:jc w:val="center"/>
              <w:rPr>
                <w:b/>
              </w:rPr>
            </w:pPr>
            <w:r w:rsidRPr="0097605B">
              <w:rPr>
                <w:b/>
              </w:rPr>
              <w:t>y ley</w:t>
            </w:r>
          </w:p>
        </w:tc>
        <w:tc>
          <w:tcPr>
            <w:tcW w:w="3038" w:type="dxa"/>
            <w:shd w:val="clear" w:color="auto" w:fill="D9D9D9"/>
          </w:tcPr>
          <w:p w14:paraId="07A53568" w14:textId="77777777" w:rsidR="00471DBB" w:rsidRPr="0097605B" w:rsidRDefault="00471DBB" w:rsidP="006F75BD">
            <w:pPr>
              <w:pStyle w:val="NormalWeb"/>
              <w:tabs>
                <w:tab w:val="left" w:pos="284"/>
              </w:tabs>
              <w:spacing w:before="0" w:beforeAutospacing="0" w:after="0" w:afterAutospacing="0"/>
              <w:ind w:right="40"/>
              <w:jc w:val="center"/>
              <w:rPr>
                <w:b/>
              </w:rPr>
            </w:pPr>
            <w:r w:rsidRPr="0097605B">
              <w:rPr>
                <w:b/>
              </w:rPr>
              <w:t xml:space="preserve">Argumentos jurídicos a favor de la providencia </w:t>
            </w:r>
            <w:r w:rsidR="003B1406" w:rsidRPr="0097605B">
              <w:rPr>
                <w:b/>
              </w:rPr>
              <w:t>del Consejo de Estado</w:t>
            </w:r>
          </w:p>
        </w:tc>
        <w:tc>
          <w:tcPr>
            <w:tcW w:w="4394" w:type="dxa"/>
            <w:shd w:val="clear" w:color="auto" w:fill="D9D9D9"/>
          </w:tcPr>
          <w:p w14:paraId="67FE83F6" w14:textId="77777777" w:rsidR="00471DBB" w:rsidRPr="0097605B" w:rsidRDefault="00471DBB" w:rsidP="006F75BD">
            <w:pPr>
              <w:pStyle w:val="NormalWeb"/>
              <w:tabs>
                <w:tab w:val="left" w:pos="284"/>
              </w:tabs>
              <w:spacing w:before="0" w:beforeAutospacing="0" w:after="0" w:afterAutospacing="0"/>
              <w:ind w:right="40"/>
              <w:jc w:val="center"/>
              <w:rPr>
                <w:b/>
              </w:rPr>
            </w:pPr>
            <w:r w:rsidRPr="0097605B">
              <w:rPr>
                <w:b/>
              </w:rPr>
              <w:t>Argumentos que soportan la existencia de defecto en la providencia</w:t>
            </w:r>
          </w:p>
        </w:tc>
      </w:tr>
      <w:tr w:rsidR="007C6F2A" w:rsidRPr="00081B05" w14:paraId="670C04AE" w14:textId="77777777" w:rsidTr="009D7718">
        <w:tc>
          <w:tcPr>
            <w:tcW w:w="1357" w:type="dxa"/>
            <w:vMerge w:val="restart"/>
            <w:shd w:val="clear" w:color="auto" w:fill="auto"/>
          </w:tcPr>
          <w:p w14:paraId="2AE515E1" w14:textId="77777777" w:rsidR="00A60ACB" w:rsidRPr="0097605B" w:rsidRDefault="00A60ACB" w:rsidP="00A60ACB">
            <w:pPr>
              <w:pStyle w:val="NormalWeb"/>
              <w:tabs>
                <w:tab w:val="left" w:pos="284"/>
              </w:tabs>
              <w:ind w:right="40"/>
              <w:rPr>
                <w:b/>
              </w:rPr>
            </w:pPr>
          </w:p>
          <w:p w14:paraId="31852DDC" w14:textId="77777777" w:rsidR="00A60ACB" w:rsidRPr="0097605B" w:rsidRDefault="00A60ACB" w:rsidP="00A60ACB">
            <w:pPr>
              <w:pStyle w:val="NormalWeb"/>
              <w:tabs>
                <w:tab w:val="left" w:pos="284"/>
              </w:tabs>
              <w:ind w:right="40"/>
              <w:jc w:val="center"/>
              <w:rPr>
                <w:b/>
                <w:lang w:val="en-US"/>
              </w:rPr>
            </w:pPr>
            <w:r w:rsidRPr="0097605B">
              <w:rPr>
                <w:b/>
                <w:lang w:val="en-US"/>
              </w:rPr>
              <w:t>Art. 257A</w:t>
            </w:r>
          </w:p>
          <w:p w14:paraId="5D3D1195" w14:textId="77777777" w:rsidR="00471DBB" w:rsidRPr="0097605B" w:rsidRDefault="00A60ACB" w:rsidP="00A60ACB">
            <w:pPr>
              <w:pStyle w:val="NormalWeb"/>
              <w:tabs>
                <w:tab w:val="left" w:pos="284"/>
              </w:tabs>
              <w:spacing w:before="0" w:beforeAutospacing="0" w:after="0" w:afterAutospacing="0"/>
              <w:ind w:right="40"/>
              <w:jc w:val="center"/>
              <w:rPr>
                <w:b/>
                <w:lang w:val="en-US"/>
              </w:rPr>
            </w:pPr>
            <w:r w:rsidRPr="0097605B">
              <w:rPr>
                <w:b/>
                <w:lang w:val="en-US"/>
              </w:rPr>
              <w:t>C.P</w:t>
            </w:r>
          </w:p>
          <w:p w14:paraId="0AD877F8" w14:textId="77777777" w:rsidR="00471DBB" w:rsidRPr="0097605B" w:rsidRDefault="00471DBB" w:rsidP="006F75BD">
            <w:pPr>
              <w:pStyle w:val="NormalWeb"/>
              <w:tabs>
                <w:tab w:val="left" w:pos="284"/>
              </w:tabs>
              <w:spacing w:before="0" w:beforeAutospacing="0" w:after="0" w:afterAutospacing="0"/>
              <w:ind w:right="40"/>
              <w:jc w:val="center"/>
              <w:rPr>
                <w:b/>
                <w:lang w:val="en-US"/>
              </w:rPr>
            </w:pPr>
          </w:p>
          <w:p w14:paraId="2D7F1BB8" w14:textId="77777777" w:rsidR="00471DBB" w:rsidRPr="0097605B" w:rsidRDefault="00471DBB" w:rsidP="006F75BD">
            <w:pPr>
              <w:pStyle w:val="NormalWeb"/>
              <w:tabs>
                <w:tab w:val="left" w:pos="284"/>
              </w:tabs>
              <w:spacing w:before="0" w:beforeAutospacing="0" w:after="0" w:afterAutospacing="0"/>
              <w:ind w:right="40"/>
              <w:jc w:val="center"/>
              <w:rPr>
                <w:b/>
                <w:lang w:val="en-US"/>
              </w:rPr>
            </w:pPr>
          </w:p>
          <w:p w14:paraId="00572549" w14:textId="77777777" w:rsidR="00471DBB" w:rsidRPr="0097605B" w:rsidRDefault="00471DBB" w:rsidP="006F75BD">
            <w:pPr>
              <w:pStyle w:val="NormalWeb"/>
              <w:tabs>
                <w:tab w:val="left" w:pos="284"/>
              </w:tabs>
              <w:spacing w:before="0" w:beforeAutospacing="0" w:after="0" w:afterAutospacing="0"/>
              <w:ind w:right="40"/>
              <w:jc w:val="center"/>
              <w:rPr>
                <w:b/>
                <w:lang w:val="en-US"/>
              </w:rPr>
            </w:pPr>
          </w:p>
          <w:p w14:paraId="2A3E00EB" w14:textId="77777777" w:rsidR="00471DBB" w:rsidRPr="0097605B" w:rsidRDefault="00471DBB" w:rsidP="006F75BD">
            <w:pPr>
              <w:pStyle w:val="NormalWeb"/>
              <w:tabs>
                <w:tab w:val="left" w:pos="284"/>
              </w:tabs>
              <w:spacing w:before="0" w:beforeAutospacing="0" w:after="0" w:afterAutospacing="0"/>
              <w:ind w:right="40"/>
              <w:jc w:val="center"/>
              <w:rPr>
                <w:b/>
                <w:lang w:val="en-US"/>
              </w:rPr>
            </w:pPr>
          </w:p>
          <w:p w14:paraId="27B5EEF9" w14:textId="77777777" w:rsidR="00471DBB" w:rsidRPr="0097605B" w:rsidRDefault="00471DBB" w:rsidP="006F75BD">
            <w:pPr>
              <w:pStyle w:val="NormalWeb"/>
              <w:tabs>
                <w:tab w:val="left" w:pos="284"/>
              </w:tabs>
              <w:spacing w:before="0" w:beforeAutospacing="0" w:after="0" w:afterAutospacing="0"/>
              <w:ind w:right="40"/>
              <w:jc w:val="center"/>
              <w:rPr>
                <w:b/>
                <w:lang w:val="en-US"/>
              </w:rPr>
            </w:pPr>
          </w:p>
          <w:p w14:paraId="099D7FC8" w14:textId="77777777" w:rsidR="00471DBB" w:rsidRPr="0097605B" w:rsidRDefault="00471DBB" w:rsidP="006F75BD">
            <w:pPr>
              <w:pStyle w:val="NormalWeb"/>
              <w:tabs>
                <w:tab w:val="left" w:pos="284"/>
              </w:tabs>
              <w:spacing w:before="0" w:beforeAutospacing="0" w:after="0" w:afterAutospacing="0"/>
              <w:ind w:right="40"/>
              <w:jc w:val="center"/>
              <w:rPr>
                <w:b/>
                <w:lang w:val="en-US"/>
              </w:rPr>
            </w:pPr>
          </w:p>
          <w:p w14:paraId="7A3BCD68" w14:textId="77777777" w:rsidR="00471DBB" w:rsidRPr="0097605B" w:rsidRDefault="00471DBB" w:rsidP="006F75BD">
            <w:pPr>
              <w:pStyle w:val="NormalWeb"/>
              <w:tabs>
                <w:tab w:val="left" w:pos="284"/>
              </w:tabs>
              <w:spacing w:before="0" w:beforeAutospacing="0" w:after="0" w:afterAutospacing="0"/>
              <w:ind w:right="40"/>
              <w:jc w:val="center"/>
              <w:rPr>
                <w:b/>
                <w:lang w:val="en-US"/>
              </w:rPr>
            </w:pPr>
          </w:p>
          <w:p w14:paraId="6343FFFF" w14:textId="77777777" w:rsidR="00471DBB" w:rsidRPr="0097605B" w:rsidRDefault="00471DBB" w:rsidP="006F75BD">
            <w:pPr>
              <w:pStyle w:val="NormalWeb"/>
              <w:tabs>
                <w:tab w:val="left" w:pos="284"/>
              </w:tabs>
              <w:spacing w:before="0" w:beforeAutospacing="0" w:after="0" w:afterAutospacing="0"/>
              <w:ind w:right="40"/>
              <w:jc w:val="center"/>
              <w:rPr>
                <w:b/>
                <w:lang w:val="en-US"/>
              </w:rPr>
            </w:pPr>
          </w:p>
          <w:p w14:paraId="42C0C529"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78588278"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769227DB"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600FFCE9"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60665654"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510AACA1"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218D8DB5"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4E821DD6"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70BF86B6"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7E9FEA80"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57F43067"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4DF1BBA7"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4DB8E682"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496FF832"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67917060"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51910763"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43D54C1D"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68D5C4A2"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6BE55B5B"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58EEB076"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57F48930"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5B3FECF9"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3E72F3EF"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5B04EBBE"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66D4C2A5"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0B3C1FFE"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1CA403E8"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5B368A56"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5665E1C7"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1D9375A6"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3D15196D"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6D7D464F"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79FF2B1F"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4D265027"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51DDC6CD"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4420901F" w14:textId="77777777" w:rsidR="00626E1A" w:rsidRPr="0097605B" w:rsidRDefault="00626E1A" w:rsidP="006F75BD">
            <w:pPr>
              <w:pStyle w:val="NormalWeb"/>
              <w:tabs>
                <w:tab w:val="left" w:pos="284"/>
              </w:tabs>
              <w:spacing w:before="0" w:beforeAutospacing="0" w:after="0" w:afterAutospacing="0"/>
              <w:ind w:right="40"/>
              <w:jc w:val="center"/>
              <w:rPr>
                <w:b/>
                <w:lang w:val="en-US"/>
              </w:rPr>
            </w:pPr>
          </w:p>
          <w:p w14:paraId="3045D373" w14:textId="77777777" w:rsidR="00471DBB" w:rsidRPr="0097605B" w:rsidRDefault="00471DBB" w:rsidP="006F75BD">
            <w:pPr>
              <w:pStyle w:val="NormalWeb"/>
              <w:tabs>
                <w:tab w:val="left" w:pos="284"/>
              </w:tabs>
              <w:spacing w:before="0" w:beforeAutospacing="0" w:after="0" w:afterAutospacing="0"/>
              <w:ind w:right="40"/>
              <w:jc w:val="center"/>
              <w:rPr>
                <w:b/>
                <w:lang w:val="en-US"/>
              </w:rPr>
            </w:pPr>
          </w:p>
          <w:p w14:paraId="01CDA29F" w14:textId="77777777" w:rsidR="00471DBB" w:rsidRPr="0097605B" w:rsidRDefault="00471DBB" w:rsidP="006F75BD">
            <w:pPr>
              <w:pStyle w:val="NormalWeb"/>
              <w:tabs>
                <w:tab w:val="left" w:pos="284"/>
              </w:tabs>
              <w:spacing w:before="0" w:beforeAutospacing="0" w:after="0" w:afterAutospacing="0"/>
              <w:ind w:right="40"/>
              <w:jc w:val="center"/>
              <w:rPr>
                <w:b/>
                <w:lang w:val="en-US"/>
              </w:rPr>
            </w:pPr>
            <w:r w:rsidRPr="0097605B">
              <w:rPr>
                <w:b/>
                <w:lang w:val="en-US"/>
              </w:rPr>
              <w:t>Art. 257A</w:t>
            </w:r>
          </w:p>
          <w:p w14:paraId="48E457F2" w14:textId="77777777" w:rsidR="00471DBB" w:rsidRPr="0097605B" w:rsidRDefault="00471DBB" w:rsidP="006F75BD">
            <w:pPr>
              <w:pStyle w:val="NormalWeb"/>
              <w:tabs>
                <w:tab w:val="left" w:pos="284"/>
              </w:tabs>
              <w:spacing w:before="0" w:beforeAutospacing="0" w:after="0" w:afterAutospacing="0"/>
              <w:ind w:right="40"/>
              <w:jc w:val="center"/>
              <w:rPr>
                <w:b/>
                <w:lang w:val="en-US"/>
              </w:rPr>
            </w:pPr>
            <w:r w:rsidRPr="0097605B">
              <w:rPr>
                <w:b/>
                <w:lang w:val="en-US"/>
              </w:rPr>
              <w:t>C.P</w:t>
            </w:r>
          </w:p>
        </w:tc>
        <w:tc>
          <w:tcPr>
            <w:tcW w:w="3038" w:type="dxa"/>
            <w:shd w:val="clear" w:color="auto" w:fill="auto"/>
          </w:tcPr>
          <w:p w14:paraId="7B0EC2DE" w14:textId="77777777" w:rsidR="00690320" w:rsidRPr="0097605B" w:rsidRDefault="00690320" w:rsidP="006F75BD">
            <w:pPr>
              <w:pStyle w:val="NormalWeb"/>
              <w:tabs>
                <w:tab w:val="left" w:pos="284"/>
              </w:tabs>
              <w:spacing w:before="0" w:beforeAutospacing="0" w:after="0" w:afterAutospacing="0"/>
              <w:ind w:right="40"/>
              <w:jc w:val="both"/>
              <w:rPr>
                <w:lang w:val="en-US"/>
              </w:rPr>
            </w:pPr>
          </w:p>
          <w:p w14:paraId="0056BB55" w14:textId="77777777" w:rsidR="00471DBB" w:rsidRPr="0097605B" w:rsidRDefault="00471DBB" w:rsidP="006F75BD">
            <w:pPr>
              <w:pStyle w:val="NormalWeb"/>
              <w:tabs>
                <w:tab w:val="left" w:pos="284"/>
              </w:tabs>
              <w:spacing w:before="0" w:beforeAutospacing="0" w:after="0" w:afterAutospacing="0"/>
              <w:ind w:right="40"/>
              <w:jc w:val="both"/>
              <w:rPr>
                <w:b/>
              </w:rPr>
            </w:pPr>
            <w:r w:rsidRPr="0097605B">
              <w:t xml:space="preserve">El artículo 257A de la Carta es una </w:t>
            </w:r>
            <w:r w:rsidRPr="0097605B">
              <w:rPr>
                <w:b/>
              </w:rPr>
              <w:t>norma incompleta</w:t>
            </w:r>
            <w:r w:rsidR="000C2126" w:rsidRPr="0097605B">
              <w:rPr>
                <w:b/>
              </w:rPr>
              <w:t>.</w:t>
            </w:r>
            <w:r w:rsidRPr="0097605B">
              <w:t xml:space="preserve"> </w:t>
            </w:r>
            <w:r w:rsidR="000C2126" w:rsidRPr="0097605B">
              <w:t>S</w:t>
            </w:r>
            <w:r w:rsidRPr="0097605B">
              <w:t xml:space="preserve">i bien le da la competencia al CSJ para presentar 4 ternas en la elección de la CNDJ, </w:t>
            </w:r>
            <w:r w:rsidRPr="0097605B">
              <w:rPr>
                <w:b/>
                <w:bCs/>
              </w:rPr>
              <w:t>no autoriza de manera expresa</w:t>
            </w:r>
            <w:r w:rsidR="003A7B75" w:rsidRPr="0097605B">
              <w:rPr>
                <w:b/>
                <w:bCs/>
              </w:rPr>
              <w:t xml:space="preserve"> a ninguna autoridad,</w:t>
            </w:r>
            <w:r w:rsidRPr="0097605B">
              <w:t xml:space="preserve"> para realizar la “</w:t>
            </w:r>
            <w:r w:rsidRPr="0097605B">
              <w:rPr>
                <w:i/>
              </w:rPr>
              <w:t>convocatoria pública reglada</w:t>
            </w:r>
            <w:r w:rsidRPr="0097605B">
              <w:t xml:space="preserve">”. Por lo tanto, hay un </w:t>
            </w:r>
            <w:r w:rsidRPr="0097605B">
              <w:rPr>
                <w:b/>
                <w:bCs/>
              </w:rPr>
              <w:t>vacío normativo</w:t>
            </w:r>
            <w:r w:rsidRPr="0097605B">
              <w:t xml:space="preserve"> evidente frente a esa competencia, que </w:t>
            </w:r>
            <w:r w:rsidRPr="0097605B">
              <w:rPr>
                <w:b/>
                <w:bCs/>
              </w:rPr>
              <w:t xml:space="preserve">debe ser llenado </w:t>
            </w:r>
            <w:r w:rsidR="003A7B75" w:rsidRPr="0097605B">
              <w:rPr>
                <w:b/>
                <w:bCs/>
              </w:rPr>
              <w:t>con</w:t>
            </w:r>
            <w:r w:rsidRPr="0097605B">
              <w:rPr>
                <w:b/>
                <w:bCs/>
              </w:rPr>
              <w:t xml:space="preserve"> la regla general</w:t>
            </w:r>
            <w:r w:rsidRPr="0097605B">
              <w:t xml:space="preserve"> </w:t>
            </w:r>
            <w:r w:rsidRPr="0097605B">
              <w:rPr>
                <w:b/>
                <w:bCs/>
              </w:rPr>
              <w:t>contenida en el artículo 126-4 superior</w:t>
            </w:r>
            <w:r w:rsidRPr="0097605B">
              <w:t>, que establece que es el Legislador quien debe regular la convocatoria pública</w:t>
            </w:r>
            <w:r w:rsidR="003A7B75" w:rsidRPr="0097605B">
              <w:t xml:space="preserve"> mencionada.</w:t>
            </w:r>
          </w:p>
        </w:tc>
        <w:tc>
          <w:tcPr>
            <w:tcW w:w="4394" w:type="dxa"/>
            <w:shd w:val="clear" w:color="auto" w:fill="auto"/>
          </w:tcPr>
          <w:p w14:paraId="1A5D68F3" w14:textId="77777777" w:rsidR="00690320" w:rsidRPr="0097605B" w:rsidRDefault="00690320" w:rsidP="006F75BD">
            <w:pPr>
              <w:pStyle w:val="NormalWeb"/>
              <w:tabs>
                <w:tab w:val="left" w:pos="284"/>
              </w:tabs>
              <w:spacing w:before="0" w:beforeAutospacing="0" w:after="0" w:afterAutospacing="0"/>
              <w:ind w:right="40"/>
              <w:jc w:val="both"/>
            </w:pPr>
          </w:p>
          <w:p w14:paraId="0C8FE72F" w14:textId="77777777" w:rsidR="00A60ACB" w:rsidRPr="0097605B" w:rsidRDefault="00471DBB" w:rsidP="00DE1687">
            <w:pPr>
              <w:pStyle w:val="NormalWeb"/>
              <w:tabs>
                <w:tab w:val="left" w:pos="284"/>
              </w:tabs>
              <w:spacing w:before="0" w:beforeAutospacing="0" w:after="0" w:afterAutospacing="0"/>
              <w:ind w:right="40"/>
              <w:jc w:val="both"/>
            </w:pPr>
            <w:r w:rsidRPr="0097605B">
              <w:t xml:space="preserve">La lectura del artículo </w:t>
            </w:r>
            <w:r w:rsidR="003B1406" w:rsidRPr="0097605B">
              <w:t>constitucional</w:t>
            </w:r>
            <w:r w:rsidR="00DE1687" w:rsidRPr="0097605B">
              <w:t xml:space="preserve"> en los términos indicados por la sentencia C-285 de 2016,</w:t>
            </w:r>
            <w:r w:rsidR="003B1406" w:rsidRPr="0097605B">
              <w:t xml:space="preserve"> </w:t>
            </w:r>
            <w:r w:rsidRPr="0097605B">
              <w:t xml:space="preserve">confiere al CSJ </w:t>
            </w:r>
            <w:r w:rsidRPr="0097605B">
              <w:rPr>
                <w:b/>
              </w:rPr>
              <w:t xml:space="preserve">competencia </w:t>
            </w:r>
            <w:r w:rsidRPr="0097605B">
              <w:t xml:space="preserve">para reglamentar la </w:t>
            </w:r>
            <w:r w:rsidR="00A60ACB" w:rsidRPr="0097605B">
              <w:t xml:space="preserve">convocatoria relacionada con </w:t>
            </w:r>
            <w:r w:rsidRPr="0097605B">
              <w:t>la integración de las ternas</w:t>
            </w:r>
            <w:r w:rsidR="003A7B75" w:rsidRPr="0097605B">
              <w:t xml:space="preserve"> señaladas</w:t>
            </w:r>
            <w:r w:rsidRPr="0097605B">
              <w:t>, conforme a</w:t>
            </w:r>
            <w:r w:rsidR="00A60ACB" w:rsidRPr="0097605B">
              <w:t>l texto</w:t>
            </w:r>
            <w:r w:rsidRPr="0097605B">
              <w:t xml:space="preserve"> literal</w:t>
            </w:r>
            <w:r w:rsidR="000C2126" w:rsidRPr="0097605B">
              <w:t xml:space="preserve"> del artículo</w:t>
            </w:r>
            <w:r w:rsidR="00626E1A" w:rsidRPr="0097605B">
              <w:t xml:space="preserve"> 257A de la Carta</w:t>
            </w:r>
            <w:r w:rsidR="000C2126" w:rsidRPr="0097605B">
              <w:t>, a</w:t>
            </w:r>
            <w:r w:rsidR="00626E1A" w:rsidRPr="0097605B">
              <w:t xml:space="preserve"> su </w:t>
            </w:r>
            <w:r w:rsidR="000C2126" w:rsidRPr="0097605B">
              <w:t>parágrafo transitorio</w:t>
            </w:r>
            <w:r w:rsidR="00DE1687" w:rsidRPr="0097605B">
              <w:t>.</w:t>
            </w:r>
          </w:p>
          <w:p w14:paraId="07A49AB3" w14:textId="77777777" w:rsidR="00A60ACB" w:rsidRPr="0097605B" w:rsidRDefault="00A60ACB" w:rsidP="00DE1687">
            <w:pPr>
              <w:pStyle w:val="NormalWeb"/>
              <w:tabs>
                <w:tab w:val="left" w:pos="284"/>
              </w:tabs>
              <w:spacing w:before="0" w:beforeAutospacing="0" w:after="0" w:afterAutospacing="0"/>
              <w:ind w:right="40"/>
              <w:jc w:val="both"/>
            </w:pPr>
          </w:p>
          <w:p w14:paraId="50CF7988" w14:textId="77777777" w:rsidR="003A7B75" w:rsidRPr="0097605B" w:rsidRDefault="00471DBB" w:rsidP="006F75BD">
            <w:pPr>
              <w:pStyle w:val="NormalWeb"/>
              <w:tabs>
                <w:tab w:val="left" w:pos="284"/>
              </w:tabs>
              <w:spacing w:before="0" w:beforeAutospacing="0" w:after="0" w:afterAutospacing="0"/>
              <w:ind w:right="40"/>
              <w:jc w:val="both"/>
            </w:pPr>
            <w:r w:rsidRPr="0097605B">
              <w:t xml:space="preserve">Se trata de una </w:t>
            </w:r>
            <w:r w:rsidRPr="0097605B">
              <w:rPr>
                <w:b/>
              </w:rPr>
              <w:t>facultad constitucional autónoma</w:t>
            </w:r>
            <w:r w:rsidRPr="0097605B">
              <w:t>, que le permite</w:t>
            </w:r>
            <w:r w:rsidR="000C2126" w:rsidRPr="0097605B">
              <w:t xml:space="preserve"> al CSJ</w:t>
            </w:r>
            <w:r w:rsidRPr="0097605B">
              <w:t xml:space="preserve"> reglamentar de manera directa la convocatoria para el primer grupo de candidatos a magistrados </w:t>
            </w:r>
            <w:r w:rsidR="00626E1A" w:rsidRPr="0097605B">
              <w:t>de</w:t>
            </w:r>
            <w:r w:rsidRPr="0097605B">
              <w:t xml:space="preserve"> la CNDJ, </w:t>
            </w:r>
            <w:r w:rsidR="003B1406" w:rsidRPr="0097605B">
              <w:t>de acuerdo con el</w:t>
            </w:r>
            <w:r w:rsidRPr="0097605B">
              <w:t xml:space="preserve"> querer </w:t>
            </w:r>
            <w:r w:rsidR="00626E1A" w:rsidRPr="0097605B">
              <w:t xml:space="preserve">original </w:t>
            </w:r>
            <w:r w:rsidRPr="0097605B">
              <w:t xml:space="preserve">del </w:t>
            </w:r>
            <w:r w:rsidR="003B1406" w:rsidRPr="0097605B">
              <w:t>c</w:t>
            </w:r>
            <w:r w:rsidRPr="0097605B">
              <w:t>onstituyente</w:t>
            </w:r>
            <w:r w:rsidR="003B1406" w:rsidRPr="0097605B">
              <w:t>.</w:t>
            </w:r>
            <w:r w:rsidR="00A60ACB" w:rsidRPr="0097605B">
              <w:t xml:space="preserve"> </w:t>
            </w:r>
          </w:p>
          <w:p w14:paraId="427644C2" w14:textId="77777777" w:rsidR="00813775" w:rsidRDefault="00813775" w:rsidP="006F75BD">
            <w:pPr>
              <w:pStyle w:val="NormalWeb"/>
              <w:tabs>
                <w:tab w:val="left" w:pos="284"/>
              </w:tabs>
              <w:spacing w:before="0" w:beforeAutospacing="0" w:after="0" w:afterAutospacing="0"/>
              <w:ind w:right="40"/>
              <w:jc w:val="both"/>
            </w:pPr>
          </w:p>
          <w:p w14:paraId="4E38972C" w14:textId="77777777" w:rsidR="001D5D8D" w:rsidRDefault="0032032E" w:rsidP="006F75BD">
            <w:pPr>
              <w:pStyle w:val="NormalWeb"/>
              <w:tabs>
                <w:tab w:val="left" w:pos="284"/>
              </w:tabs>
              <w:spacing w:before="0" w:beforeAutospacing="0" w:after="0" w:afterAutospacing="0"/>
              <w:ind w:right="40"/>
              <w:jc w:val="both"/>
            </w:pPr>
            <w:r w:rsidRPr="00A72C49">
              <w:t xml:space="preserve">A diferencia de múltiples normas constitucionales, </w:t>
            </w:r>
            <w:r w:rsidR="00813775" w:rsidRPr="00A72C49">
              <w:t xml:space="preserve">el precepto, textualmente, </w:t>
            </w:r>
            <w:r w:rsidRPr="00A72C49">
              <w:t>no establece que sea “reglada” por ley.</w:t>
            </w:r>
          </w:p>
          <w:p w14:paraId="6C0C64DF" w14:textId="77777777" w:rsidR="0032032E" w:rsidRPr="0097605B" w:rsidRDefault="0032032E" w:rsidP="006F75BD">
            <w:pPr>
              <w:pStyle w:val="NormalWeb"/>
              <w:tabs>
                <w:tab w:val="left" w:pos="284"/>
              </w:tabs>
              <w:spacing w:before="0" w:beforeAutospacing="0" w:after="0" w:afterAutospacing="0"/>
              <w:ind w:right="40"/>
              <w:jc w:val="both"/>
            </w:pPr>
          </w:p>
          <w:p w14:paraId="3286C2D0" w14:textId="77777777" w:rsidR="00BF2277" w:rsidRDefault="003A7B75" w:rsidP="001D5D8D">
            <w:pPr>
              <w:pStyle w:val="NormalWeb"/>
              <w:tabs>
                <w:tab w:val="left" w:pos="284"/>
              </w:tabs>
              <w:spacing w:before="0" w:beforeAutospacing="0" w:after="0" w:afterAutospacing="0"/>
              <w:ind w:right="40"/>
              <w:jc w:val="both"/>
            </w:pPr>
            <w:r w:rsidRPr="0097605B">
              <w:t xml:space="preserve">En ese orden de ideas, </w:t>
            </w:r>
            <w:r w:rsidR="003B1406" w:rsidRPr="0097605B">
              <w:t>el artículo 257</w:t>
            </w:r>
            <w:r w:rsidR="00291EEC" w:rsidRPr="0097605B">
              <w:t>A</w:t>
            </w:r>
            <w:r w:rsidRPr="0097605B">
              <w:t>,</w:t>
            </w:r>
            <w:r w:rsidR="003B1406" w:rsidRPr="0097605B">
              <w:t xml:space="preserve"> </w:t>
            </w:r>
            <w:r w:rsidR="00A60ACB" w:rsidRPr="0097605B">
              <w:t xml:space="preserve">en sí mismo, </w:t>
            </w:r>
            <w:r w:rsidR="003B1406" w:rsidRPr="0097605B">
              <w:t>no contiene vacío normativo</w:t>
            </w:r>
            <w:r w:rsidR="00393D12" w:rsidRPr="0097605B">
              <w:t xml:space="preserve"> alguno, </w:t>
            </w:r>
            <w:r w:rsidR="00626E1A" w:rsidRPr="0097605B">
              <w:t xml:space="preserve">ya </w:t>
            </w:r>
            <w:r w:rsidR="00393D12" w:rsidRPr="0097605B">
              <w:t>que su texto debe complementarse con las precisiones hechas por la Corte</w:t>
            </w:r>
            <w:r w:rsidR="000C2126" w:rsidRPr="0097605B">
              <w:t xml:space="preserve"> Constitucional</w:t>
            </w:r>
            <w:r w:rsidR="00393D12" w:rsidRPr="0097605B">
              <w:t xml:space="preserve"> en la providencia en mención</w:t>
            </w:r>
            <w:r w:rsidR="000C2126" w:rsidRPr="0097605B">
              <w:t>.</w:t>
            </w:r>
          </w:p>
          <w:p w14:paraId="76EC6C84" w14:textId="77777777" w:rsidR="0032032E" w:rsidRPr="0097605B" w:rsidRDefault="0032032E" w:rsidP="001D5D8D">
            <w:pPr>
              <w:pStyle w:val="NormalWeb"/>
              <w:tabs>
                <w:tab w:val="left" w:pos="284"/>
              </w:tabs>
              <w:spacing w:before="0" w:beforeAutospacing="0" w:after="0" w:afterAutospacing="0"/>
              <w:ind w:right="40"/>
              <w:jc w:val="both"/>
            </w:pPr>
          </w:p>
        </w:tc>
      </w:tr>
      <w:tr w:rsidR="007C6F2A" w:rsidRPr="00081B05" w14:paraId="79FB0F36" w14:textId="77777777" w:rsidTr="009D7718">
        <w:tc>
          <w:tcPr>
            <w:tcW w:w="1357" w:type="dxa"/>
            <w:vMerge/>
            <w:shd w:val="clear" w:color="auto" w:fill="D9D9D9"/>
          </w:tcPr>
          <w:p w14:paraId="531C6372" w14:textId="77777777" w:rsidR="00471DBB" w:rsidRPr="0097605B" w:rsidRDefault="00471DBB" w:rsidP="006F75BD">
            <w:pPr>
              <w:pStyle w:val="NormalWeb"/>
              <w:tabs>
                <w:tab w:val="left" w:pos="284"/>
              </w:tabs>
              <w:spacing w:before="0" w:beforeAutospacing="0" w:after="0" w:afterAutospacing="0"/>
              <w:ind w:right="40"/>
              <w:jc w:val="center"/>
              <w:rPr>
                <w:b/>
              </w:rPr>
            </w:pPr>
          </w:p>
        </w:tc>
        <w:tc>
          <w:tcPr>
            <w:tcW w:w="3038" w:type="dxa"/>
          </w:tcPr>
          <w:p w14:paraId="031FFD43" w14:textId="77777777" w:rsidR="00471DBB" w:rsidRPr="0097605B" w:rsidRDefault="003B1406" w:rsidP="006F75BD">
            <w:pPr>
              <w:jc w:val="both"/>
              <w:rPr>
                <w:sz w:val="24"/>
                <w:szCs w:val="24"/>
              </w:rPr>
            </w:pPr>
            <w:r w:rsidRPr="0097605B">
              <w:rPr>
                <w:sz w:val="24"/>
                <w:szCs w:val="24"/>
              </w:rPr>
              <w:t xml:space="preserve">La convocatoria pública no puede ser reglada mediante un </w:t>
            </w:r>
            <w:r w:rsidR="00471DBB" w:rsidRPr="0097605B">
              <w:rPr>
                <w:b/>
                <w:sz w:val="24"/>
                <w:szCs w:val="24"/>
              </w:rPr>
              <w:t>reglamento autónomo</w:t>
            </w:r>
            <w:r w:rsidR="00471DBB" w:rsidRPr="0097605B">
              <w:rPr>
                <w:sz w:val="24"/>
                <w:szCs w:val="24"/>
              </w:rPr>
              <w:t xml:space="preserve"> derivado de la Constitución, </w:t>
            </w:r>
            <w:r w:rsidR="000C2126" w:rsidRPr="0097605B">
              <w:rPr>
                <w:sz w:val="24"/>
                <w:szCs w:val="24"/>
              </w:rPr>
              <w:t>por</w:t>
            </w:r>
            <w:r w:rsidR="00471DBB" w:rsidRPr="0097605B">
              <w:rPr>
                <w:sz w:val="24"/>
                <w:szCs w:val="24"/>
              </w:rPr>
              <w:t>que</w:t>
            </w:r>
            <w:r w:rsidRPr="0097605B">
              <w:rPr>
                <w:sz w:val="24"/>
                <w:szCs w:val="24"/>
              </w:rPr>
              <w:t xml:space="preserve"> </w:t>
            </w:r>
            <w:r w:rsidR="00626E1A" w:rsidRPr="0097605B">
              <w:rPr>
                <w:sz w:val="24"/>
                <w:szCs w:val="24"/>
              </w:rPr>
              <w:t>sin norma</w:t>
            </w:r>
            <w:r w:rsidR="00EE52AA" w:rsidRPr="0097605B">
              <w:rPr>
                <w:sz w:val="24"/>
                <w:szCs w:val="24"/>
              </w:rPr>
              <w:t xml:space="preserve"> expresa, </w:t>
            </w:r>
            <w:r w:rsidR="000C2126" w:rsidRPr="0097605B">
              <w:rPr>
                <w:sz w:val="24"/>
                <w:szCs w:val="24"/>
              </w:rPr>
              <w:t xml:space="preserve">se </w:t>
            </w:r>
            <w:r w:rsidRPr="0097605B">
              <w:rPr>
                <w:sz w:val="24"/>
                <w:szCs w:val="24"/>
              </w:rPr>
              <w:t xml:space="preserve">requiere </w:t>
            </w:r>
            <w:r w:rsidR="00FE3C03" w:rsidRPr="0097605B">
              <w:rPr>
                <w:sz w:val="24"/>
                <w:szCs w:val="24"/>
              </w:rPr>
              <w:t>una</w:t>
            </w:r>
            <w:r w:rsidRPr="0097605B">
              <w:rPr>
                <w:sz w:val="24"/>
                <w:szCs w:val="24"/>
              </w:rPr>
              <w:t xml:space="preserve"> ley, </w:t>
            </w:r>
            <w:r w:rsidR="00FE3C03" w:rsidRPr="0097605B">
              <w:rPr>
                <w:sz w:val="24"/>
                <w:szCs w:val="24"/>
              </w:rPr>
              <w:t xml:space="preserve">que </w:t>
            </w:r>
            <w:r w:rsidRPr="0097605B">
              <w:rPr>
                <w:sz w:val="24"/>
                <w:szCs w:val="24"/>
              </w:rPr>
              <w:t xml:space="preserve">aún no se ha expedido. </w:t>
            </w:r>
            <w:r w:rsidR="00471DBB" w:rsidRPr="0097605B">
              <w:rPr>
                <w:sz w:val="24"/>
                <w:szCs w:val="24"/>
              </w:rPr>
              <w:t xml:space="preserve"> </w:t>
            </w:r>
          </w:p>
          <w:p w14:paraId="7D439594" w14:textId="77777777" w:rsidR="00D4351E" w:rsidRPr="0097605B" w:rsidRDefault="00D4351E" w:rsidP="006F75BD">
            <w:pPr>
              <w:jc w:val="both"/>
              <w:rPr>
                <w:sz w:val="24"/>
                <w:szCs w:val="24"/>
              </w:rPr>
            </w:pPr>
          </w:p>
        </w:tc>
        <w:tc>
          <w:tcPr>
            <w:tcW w:w="4394" w:type="dxa"/>
          </w:tcPr>
          <w:p w14:paraId="24CE4F59" w14:textId="77777777" w:rsidR="00471DBB" w:rsidRPr="0097605B" w:rsidRDefault="00471DBB" w:rsidP="006F75BD">
            <w:pPr>
              <w:jc w:val="both"/>
              <w:rPr>
                <w:sz w:val="24"/>
                <w:szCs w:val="24"/>
              </w:rPr>
            </w:pPr>
            <w:r w:rsidRPr="0097605B">
              <w:rPr>
                <w:sz w:val="24"/>
                <w:szCs w:val="24"/>
              </w:rPr>
              <w:t xml:space="preserve">El CSJ tiene una </w:t>
            </w:r>
            <w:r w:rsidRPr="0097605B">
              <w:rPr>
                <w:b/>
                <w:sz w:val="24"/>
                <w:szCs w:val="24"/>
              </w:rPr>
              <w:t>facultad constitucional autónoma</w:t>
            </w:r>
            <w:r w:rsidR="00813775">
              <w:rPr>
                <w:b/>
                <w:sz w:val="24"/>
                <w:szCs w:val="24"/>
              </w:rPr>
              <w:t xml:space="preserve"> </w:t>
            </w:r>
            <w:r w:rsidRPr="0097605B">
              <w:rPr>
                <w:sz w:val="24"/>
                <w:szCs w:val="24"/>
              </w:rPr>
              <w:t>que le permite reglamentar de manera directa</w:t>
            </w:r>
            <w:r w:rsidR="00A60ACB" w:rsidRPr="0097605B">
              <w:rPr>
                <w:sz w:val="24"/>
                <w:szCs w:val="24"/>
              </w:rPr>
              <w:t>,</w:t>
            </w:r>
            <w:r w:rsidR="000C2126" w:rsidRPr="0097605B">
              <w:rPr>
                <w:sz w:val="24"/>
                <w:szCs w:val="24"/>
              </w:rPr>
              <w:t xml:space="preserve"> la</w:t>
            </w:r>
            <w:r w:rsidR="00A60ACB" w:rsidRPr="0097605B">
              <w:rPr>
                <w:sz w:val="24"/>
                <w:szCs w:val="24"/>
              </w:rPr>
              <w:t xml:space="preserve"> primera</w:t>
            </w:r>
            <w:r w:rsidRPr="0097605B">
              <w:rPr>
                <w:sz w:val="24"/>
                <w:szCs w:val="24"/>
              </w:rPr>
              <w:t xml:space="preserve"> convocatoria</w:t>
            </w:r>
            <w:r w:rsidR="00626E1A" w:rsidRPr="0097605B">
              <w:rPr>
                <w:sz w:val="24"/>
                <w:szCs w:val="24"/>
              </w:rPr>
              <w:t>, en virtud de la norma constitucional enunciada, interpretada conforme a la modulación realizada por la Corte Constitucional.</w:t>
            </w:r>
          </w:p>
          <w:p w14:paraId="19C6C833" w14:textId="77777777" w:rsidR="00626E1A" w:rsidRPr="0097605B" w:rsidRDefault="00626E1A" w:rsidP="006F75BD">
            <w:pPr>
              <w:jc w:val="both"/>
              <w:rPr>
                <w:sz w:val="24"/>
                <w:szCs w:val="24"/>
              </w:rPr>
            </w:pPr>
          </w:p>
        </w:tc>
      </w:tr>
      <w:tr w:rsidR="007C6F2A" w:rsidRPr="00081B05" w14:paraId="43C6A5E9" w14:textId="77777777" w:rsidTr="009D7718">
        <w:tc>
          <w:tcPr>
            <w:tcW w:w="1357" w:type="dxa"/>
            <w:vMerge/>
            <w:shd w:val="clear" w:color="auto" w:fill="D9D9D9"/>
          </w:tcPr>
          <w:p w14:paraId="2F837DC9" w14:textId="77777777" w:rsidR="00471DBB" w:rsidRPr="0097605B" w:rsidRDefault="00471DBB" w:rsidP="006F75BD">
            <w:pPr>
              <w:pStyle w:val="NormalWeb"/>
              <w:tabs>
                <w:tab w:val="left" w:pos="284"/>
              </w:tabs>
              <w:spacing w:before="0" w:beforeAutospacing="0" w:after="0" w:afterAutospacing="0"/>
              <w:ind w:right="40"/>
              <w:jc w:val="center"/>
              <w:rPr>
                <w:b/>
              </w:rPr>
            </w:pPr>
          </w:p>
        </w:tc>
        <w:tc>
          <w:tcPr>
            <w:tcW w:w="3038" w:type="dxa"/>
          </w:tcPr>
          <w:p w14:paraId="627D4289" w14:textId="77777777" w:rsidR="003A7B75" w:rsidRPr="0097605B" w:rsidRDefault="00471DBB" w:rsidP="006F75BD">
            <w:pPr>
              <w:pStyle w:val="NormalWeb"/>
              <w:tabs>
                <w:tab w:val="left" w:pos="284"/>
              </w:tabs>
              <w:spacing w:before="0" w:beforeAutospacing="0" w:after="0" w:afterAutospacing="0"/>
              <w:ind w:right="40"/>
              <w:jc w:val="both"/>
            </w:pPr>
            <w:r w:rsidRPr="0097605B">
              <w:t>La norma no puede ser interpretada textualmente</w:t>
            </w:r>
            <w:r w:rsidR="00FE3C03" w:rsidRPr="0097605B">
              <w:t>,</w:t>
            </w:r>
            <w:r w:rsidRPr="0097605B">
              <w:t xml:space="preserve"> porque </w:t>
            </w:r>
            <w:r w:rsidRPr="0097605B">
              <w:rPr>
                <w:b/>
              </w:rPr>
              <w:t>la Corte le atribuyó competencias a</w:t>
            </w:r>
            <w:r w:rsidR="00FE3C03" w:rsidRPr="0097605B">
              <w:rPr>
                <w:b/>
              </w:rPr>
              <w:t>l CSJ</w:t>
            </w:r>
            <w:r w:rsidRPr="0097605B">
              <w:rPr>
                <w:b/>
              </w:rPr>
              <w:t xml:space="preserve"> que no le habían sido asignadas por el </w:t>
            </w:r>
            <w:r w:rsidR="00FE3C03" w:rsidRPr="0097605B">
              <w:rPr>
                <w:b/>
              </w:rPr>
              <w:t>c</w:t>
            </w:r>
            <w:r w:rsidRPr="0097605B">
              <w:rPr>
                <w:b/>
              </w:rPr>
              <w:t>onstituyente</w:t>
            </w:r>
            <w:r w:rsidRPr="0097605B">
              <w:t>, arrogándose ella misma, unas competencias para reformar la C</w:t>
            </w:r>
            <w:r w:rsidR="00FE3C03" w:rsidRPr="0097605B">
              <w:t>arta,</w:t>
            </w:r>
            <w:r w:rsidRPr="0097605B">
              <w:t xml:space="preserve"> que no t</w:t>
            </w:r>
            <w:r w:rsidR="003A7B75" w:rsidRPr="0097605B">
              <w:t>enía</w:t>
            </w:r>
            <w:r w:rsidRPr="0097605B">
              <w:t>.</w:t>
            </w:r>
            <w:r w:rsidR="00EE52AA" w:rsidRPr="0097605B">
              <w:t xml:space="preserve"> </w:t>
            </w:r>
          </w:p>
          <w:p w14:paraId="7A6E7CA6" w14:textId="77777777" w:rsidR="001D5D8D" w:rsidRPr="0097605B" w:rsidRDefault="001D5D8D" w:rsidP="006F75BD">
            <w:pPr>
              <w:pStyle w:val="NormalWeb"/>
              <w:tabs>
                <w:tab w:val="left" w:pos="284"/>
              </w:tabs>
              <w:spacing w:before="0" w:beforeAutospacing="0" w:after="0" w:afterAutospacing="0"/>
              <w:ind w:right="40"/>
              <w:jc w:val="both"/>
            </w:pPr>
          </w:p>
          <w:p w14:paraId="7BB0E84F" w14:textId="77777777" w:rsidR="00D4351E" w:rsidRPr="0097605B" w:rsidRDefault="000C2126" w:rsidP="003A7B75">
            <w:pPr>
              <w:pStyle w:val="NormalWeb"/>
              <w:tabs>
                <w:tab w:val="left" w:pos="284"/>
              </w:tabs>
              <w:spacing w:before="0" w:beforeAutospacing="0" w:after="0" w:afterAutospacing="0"/>
              <w:ind w:right="40"/>
              <w:jc w:val="both"/>
              <w:rPr>
                <w:b/>
              </w:rPr>
            </w:pPr>
            <w:r w:rsidRPr="0097605B">
              <w:t xml:space="preserve">Por </w:t>
            </w:r>
            <w:r w:rsidR="00EE52AA" w:rsidRPr="0097605B">
              <w:t>consiguiente,</w:t>
            </w:r>
            <w:r w:rsidRPr="0097605B">
              <w:t xml:space="preserve"> l</w:t>
            </w:r>
            <w:r w:rsidR="00471DBB" w:rsidRPr="0097605B">
              <w:t>a Sentencia C-285 de 2016</w:t>
            </w:r>
            <w:r w:rsidR="00FE3C03" w:rsidRPr="0097605B">
              <w:t xml:space="preserve"> es </w:t>
            </w:r>
            <w:r w:rsidR="00471DBB" w:rsidRPr="0097605B">
              <w:rPr>
                <w:b/>
              </w:rPr>
              <w:t>simplemente una providencia</w:t>
            </w:r>
            <w:r w:rsidR="00AD3D4D" w:rsidRPr="0097605B">
              <w:rPr>
                <w:b/>
              </w:rPr>
              <w:t xml:space="preserve"> </w:t>
            </w:r>
            <w:r w:rsidR="003A7B75" w:rsidRPr="0097605B">
              <w:rPr>
                <w:b/>
              </w:rPr>
              <w:t xml:space="preserve">más </w:t>
            </w:r>
            <w:r w:rsidR="00471DBB" w:rsidRPr="0097605B">
              <w:rPr>
                <w:b/>
              </w:rPr>
              <w:t>que trata de darle operatividad</w:t>
            </w:r>
            <w:r w:rsidR="00471DBB" w:rsidRPr="0097605B">
              <w:t xml:space="preserve"> a un Acto Legislativ</w:t>
            </w:r>
            <w:r w:rsidRPr="0097605B">
              <w:t>o</w:t>
            </w:r>
            <w:r w:rsidR="003A7B75" w:rsidRPr="0097605B">
              <w:t xml:space="preserve">. </w:t>
            </w:r>
          </w:p>
        </w:tc>
        <w:tc>
          <w:tcPr>
            <w:tcW w:w="4394" w:type="dxa"/>
          </w:tcPr>
          <w:p w14:paraId="4CCD1037" w14:textId="77777777" w:rsidR="00471DBB" w:rsidRPr="0097605B" w:rsidRDefault="00626E1A" w:rsidP="006F75BD">
            <w:pPr>
              <w:pStyle w:val="NormalWeb"/>
              <w:tabs>
                <w:tab w:val="left" w:pos="284"/>
              </w:tabs>
              <w:spacing w:before="0" w:beforeAutospacing="0" w:after="0" w:afterAutospacing="0"/>
              <w:ind w:right="40"/>
              <w:jc w:val="both"/>
            </w:pPr>
            <w:r w:rsidRPr="0097605B">
              <w:rPr>
                <w:b/>
              </w:rPr>
              <w:t xml:space="preserve">Correspondió a la voluntad del constituyente, concederle al Consejo de Gobierno Judicial, la potestad de regular </w:t>
            </w:r>
            <w:r w:rsidR="006A7D76" w:rsidRPr="0097605B">
              <w:rPr>
                <w:b/>
              </w:rPr>
              <w:t>la</w:t>
            </w:r>
            <w:r w:rsidRPr="0097605B">
              <w:rPr>
                <w:b/>
              </w:rPr>
              <w:t xml:space="preserve"> convocatoria pública inicial,</w:t>
            </w:r>
            <w:r w:rsidRPr="0097605B">
              <w:t xml:space="preserve"> para </w:t>
            </w:r>
            <w:r w:rsidR="003A7B75" w:rsidRPr="0097605B">
              <w:t>conformar la</w:t>
            </w:r>
            <w:r w:rsidRPr="0097605B">
              <w:t xml:space="preserve">  CNDJ</w:t>
            </w:r>
            <w:r w:rsidR="00471DBB" w:rsidRPr="0097605B">
              <w:t xml:space="preserve">, </w:t>
            </w:r>
            <w:r w:rsidR="00FE3C03" w:rsidRPr="0097605B">
              <w:t xml:space="preserve">al tenor de lo visto en </w:t>
            </w:r>
            <w:r w:rsidR="00471DBB" w:rsidRPr="0097605B">
              <w:t>los antecedentes del A.L 02 de 2015</w:t>
            </w:r>
            <w:r w:rsidRPr="0097605B">
              <w:t>.</w:t>
            </w:r>
          </w:p>
          <w:p w14:paraId="71F3EF03" w14:textId="77777777" w:rsidR="00AD3D4D" w:rsidRPr="0097605B" w:rsidRDefault="00AD3D4D" w:rsidP="006F75BD">
            <w:pPr>
              <w:pStyle w:val="NormalWeb"/>
              <w:tabs>
                <w:tab w:val="left" w:pos="284"/>
              </w:tabs>
              <w:spacing w:before="0" w:beforeAutospacing="0" w:after="0" w:afterAutospacing="0"/>
              <w:ind w:right="40"/>
              <w:jc w:val="both"/>
            </w:pPr>
          </w:p>
          <w:p w14:paraId="3625288C" w14:textId="77777777" w:rsidR="00417600" w:rsidRDefault="00AD3D4D" w:rsidP="001D5D8D">
            <w:pPr>
              <w:pStyle w:val="NormalWeb"/>
              <w:tabs>
                <w:tab w:val="left" w:pos="284"/>
              </w:tabs>
              <w:spacing w:before="0" w:beforeAutospacing="0" w:after="0" w:afterAutospacing="0"/>
              <w:ind w:right="40"/>
              <w:jc w:val="both"/>
            </w:pPr>
            <w:r w:rsidRPr="0097605B">
              <w:t>La sentencia de la Corte Constitucional</w:t>
            </w:r>
            <w:r w:rsidR="00417600" w:rsidRPr="0097605B">
              <w:t xml:space="preserve"> al interpretar el artículo 257A de la Carta y darle operatividad a la reforma propuesta por el constituyente</w:t>
            </w:r>
            <w:r w:rsidR="00EE52AA" w:rsidRPr="0097605B">
              <w:t>, contrario a lo señalado por el Consejo de Estado,</w:t>
            </w:r>
            <w:r w:rsidRPr="0097605B">
              <w:t xml:space="preserve"> s</w:t>
            </w:r>
            <w:r w:rsidR="00C80E03">
              <w:t>o</w:t>
            </w:r>
            <w:r w:rsidRPr="0097605B">
              <w:t>lo</w:t>
            </w:r>
            <w:r w:rsidR="00EE52AA" w:rsidRPr="0097605B">
              <w:t xml:space="preserve"> ratificó</w:t>
            </w:r>
            <w:r w:rsidR="00417600" w:rsidRPr="0097605B">
              <w:t xml:space="preserve"> </w:t>
            </w:r>
            <w:r w:rsidR="00EE52AA" w:rsidRPr="0097605B">
              <w:t xml:space="preserve">la voluntad original del Legislador en cuanto al procedimiento a adoptar para </w:t>
            </w:r>
            <w:r w:rsidR="00417600" w:rsidRPr="0097605B">
              <w:t>la conformación de la CNDJ, salvo por el hecho de que asignó</w:t>
            </w:r>
            <w:r w:rsidRPr="0097605B">
              <w:t xml:space="preserve"> al CSJ las competencias </w:t>
            </w:r>
            <w:r w:rsidR="00417600" w:rsidRPr="0097605B">
              <w:t xml:space="preserve">del </w:t>
            </w:r>
            <w:r w:rsidRPr="0097605B">
              <w:t xml:space="preserve">Consejo de Gobierno Judicial, ante la </w:t>
            </w:r>
            <w:r w:rsidR="00417600" w:rsidRPr="0097605B">
              <w:t xml:space="preserve">necesidad de hacer </w:t>
            </w:r>
            <w:r w:rsidR="001D5D8D" w:rsidRPr="0097605B">
              <w:t>eficaz</w:t>
            </w:r>
            <w:r w:rsidR="00417600" w:rsidRPr="0097605B">
              <w:t xml:space="preserve"> la disposición enunciada. </w:t>
            </w:r>
          </w:p>
          <w:p w14:paraId="4A915069" w14:textId="77777777" w:rsidR="00D75156" w:rsidRPr="0097605B" w:rsidRDefault="00D75156" w:rsidP="001D5D8D">
            <w:pPr>
              <w:pStyle w:val="NormalWeb"/>
              <w:tabs>
                <w:tab w:val="left" w:pos="284"/>
              </w:tabs>
              <w:spacing w:before="0" w:beforeAutospacing="0" w:after="0" w:afterAutospacing="0"/>
              <w:ind w:right="40"/>
              <w:jc w:val="both"/>
            </w:pPr>
          </w:p>
        </w:tc>
      </w:tr>
      <w:tr w:rsidR="00D13602" w:rsidRPr="00081B05" w14:paraId="1C0C8102" w14:textId="77777777" w:rsidTr="009D7718">
        <w:tc>
          <w:tcPr>
            <w:tcW w:w="1357" w:type="dxa"/>
            <w:shd w:val="clear" w:color="auto" w:fill="auto"/>
          </w:tcPr>
          <w:p w14:paraId="36D7A659" w14:textId="77777777" w:rsidR="00D13602" w:rsidRPr="002E4477" w:rsidRDefault="00D13602" w:rsidP="00D13602">
            <w:pPr>
              <w:pStyle w:val="NormalWeb"/>
              <w:tabs>
                <w:tab w:val="left" w:pos="284"/>
              </w:tabs>
              <w:spacing w:before="0" w:beforeAutospacing="0" w:after="0" w:afterAutospacing="0"/>
              <w:ind w:right="40"/>
              <w:jc w:val="center"/>
              <w:rPr>
                <w:b/>
              </w:rPr>
            </w:pPr>
          </w:p>
          <w:p w14:paraId="0A1581D9" w14:textId="77777777" w:rsidR="00D13602" w:rsidRPr="002E4477" w:rsidRDefault="00D13602" w:rsidP="00D13602">
            <w:pPr>
              <w:pStyle w:val="NormalWeb"/>
              <w:tabs>
                <w:tab w:val="left" w:pos="284"/>
              </w:tabs>
              <w:spacing w:before="0" w:beforeAutospacing="0" w:after="0" w:afterAutospacing="0"/>
              <w:ind w:right="40"/>
              <w:jc w:val="center"/>
              <w:rPr>
                <w:b/>
              </w:rPr>
            </w:pPr>
            <w:r w:rsidRPr="002E4477">
              <w:rPr>
                <w:b/>
              </w:rPr>
              <w:t>Art. 126</w:t>
            </w:r>
          </w:p>
          <w:p w14:paraId="76230951" w14:textId="77777777" w:rsidR="00D13602" w:rsidRPr="002E4477" w:rsidRDefault="00D13602" w:rsidP="00D13602">
            <w:pPr>
              <w:pStyle w:val="NormalWeb"/>
              <w:tabs>
                <w:tab w:val="left" w:pos="284"/>
              </w:tabs>
              <w:spacing w:before="0" w:beforeAutospacing="0" w:after="0" w:afterAutospacing="0"/>
              <w:ind w:right="40"/>
              <w:jc w:val="center"/>
              <w:rPr>
                <w:b/>
              </w:rPr>
            </w:pPr>
            <w:r w:rsidRPr="002E4477">
              <w:rPr>
                <w:b/>
              </w:rPr>
              <w:t>C.P.</w:t>
            </w:r>
          </w:p>
          <w:p w14:paraId="39295E10" w14:textId="77777777" w:rsidR="00D13602" w:rsidRPr="0097605B" w:rsidRDefault="00D13602" w:rsidP="00D13602">
            <w:pPr>
              <w:pStyle w:val="NormalWeb"/>
              <w:tabs>
                <w:tab w:val="left" w:pos="284"/>
              </w:tabs>
              <w:spacing w:before="0" w:beforeAutospacing="0" w:after="0" w:afterAutospacing="0"/>
              <w:ind w:right="40"/>
              <w:jc w:val="center"/>
              <w:rPr>
                <w:b/>
              </w:rPr>
            </w:pPr>
          </w:p>
        </w:tc>
        <w:tc>
          <w:tcPr>
            <w:tcW w:w="3038" w:type="dxa"/>
            <w:shd w:val="clear" w:color="auto" w:fill="auto"/>
          </w:tcPr>
          <w:p w14:paraId="030A6C8D" w14:textId="77777777" w:rsidR="00D13602" w:rsidRPr="002E4477" w:rsidRDefault="00D13602" w:rsidP="00D13602">
            <w:pPr>
              <w:pStyle w:val="NormalWeb"/>
              <w:tabs>
                <w:tab w:val="left" w:pos="284"/>
              </w:tabs>
              <w:spacing w:before="0" w:beforeAutospacing="0" w:after="0" w:afterAutospacing="0"/>
              <w:ind w:right="40"/>
              <w:jc w:val="both"/>
              <w:rPr>
                <w:b/>
              </w:rPr>
            </w:pPr>
          </w:p>
          <w:p w14:paraId="41F2FD71" w14:textId="77777777" w:rsidR="00D13602" w:rsidRPr="002E4477" w:rsidRDefault="00D13602" w:rsidP="00D13602">
            <w:pPr>
              <w:pStyle w:val="NormalWeb"/>
              <w:tabs>
                <w:tab w:val="left" w:pos="284"/>
              </w:tabs>
              <w:spacing w:before="0" w:beforeAutospacing="0" w:after="0" w:afterAutospacing="0"/>
              <w:ind w:right="40"/>
              <w:jc w:val="both"/>
            </w:pPr>
            <w:r w:rsidRPr="002E4477">
              <w:t xml:space="preserve">Este artículo determina una </w:t>
            </w:r>
            <w:r w:rsidRPr="002E4477">
              <w:rPr>
                <w:b/>
              </w:rPr>
              <w:t>regla general para la elección de servidores públicos atribuida a las corporaciones públicas</w:t>
            </w:r>
            <w:r w:rsidRPr="002E4477">
              <w:t xml:space="preserve">. Señala que </w:t>
            </w:r>
            <w:r w:rsidRPr="002E4477">
              <w:rPr>
                <w:b/>
              </w:rPr>
              <w:t>la convocatoria debe hacerse por ley,</w:t>
            </w:r>
            <w:r w:rsidRPr="002E4477">
              <w:t xml:space="preserve"> considerando requisitos y procedimientos que garanticen los </w:t>
            </w:r>
            <w:r w:rsidRPr="002E4477">
              <w:rPr>
                <w:b/>
              </w:rPr>
              <w:t>principios de publicidad, transparencia, participación ciudadana, equidad de género y criterios de mérito para su selección</w:t>
            </w:r>
            <w:r w:rsidRPr="002E4477">
              <w:t xml:space="preserve">. </w:t>
            </w:r>
          </w:p>
          <w:p w14:paraId="21F1B5F1" w14:textId="77777777" w:rsidR="00D13602" w:rsidRPr="002E4477" w:rsidRDefault="00D13602" w:rsidP="00D13602">
            <w:pPr>
              <w:pStyle w:val="NormalWeb"/>
              <w:tabs>
                <w:tab w:val="left" w:pos="284"/>
              </w:tabs>
              <w:spacing w:before="0" w:beforeAutospacing="0" w:after="0" w:afterAutospacing="0"/>
              <w:ind w:right="40"/>
              <w:jc w:val="both"/>
            </w:pPr>
          </w:p>
          <w:p w14:paraId="50DD9985" w14:textId="77777777" w:rsidR="00D13602" w:rsidRPr="002E4477" w:rsidRDefault="00D13602" w:rsidP="0032032E">
            <w:pPr>
              <w:pStyle w:val="NormalWeb"/>
              <w:tabs>
                <w:tab w:val="left" w:pos="284"/>
              </w:tabs>
              <w:spacing w:before="0" w:beforeAutospacing="0" w:after="0" w:afterAutospacing="0"/>
              <w:ind w:right="40"/>
              <w:jc w:val="both"/>
            </w:pPr>
            <w:r w:rsidRPr="002E4477">
              <w:t xml:space="preserve">Según el Consejo de Estado es un artículo que debe aplicarse necesariamente, ante el vacío que aqueja al artículo 257A de la Carta. </w:t>
            </w:r>
          </w:p>
          <w:p w14:paraId="60575B48" w14:textId="77777777" w:rsidR="00D13602" w:rsidRPr="0097605B" w:rsidRDefault="00D13602" w:rsidP="00D13602">
            <w:pPr>
              <w:pStyle w:val="NormalWeb"/>
              <w:tabs>
                <w:tab w:val="left" w:pos="284"/>
              </w:tabs>
              <w:spacing w:before="0" w:beforeAutospacing="0" w:after="0" w:afterAutospacing="0"/>
              <w:ind w:right="40"/>
              <w:jc w:val="both"/>
            </w:pPr>
          </w:p>
        </w:tc>
        <w:tc>
          <w:tcPr>
            <w:tcW w:w="4394" w:type="dxa"/>
            <w:shd w:val="clear" w:color="auto" w:fill="auto"/>
          </w:tcPr>
          <w:p w14:paraId="1255BC70" w14:textId="77777777" w:rsidR="00D13602" w:rsidRPr="002E4477" w:rsidRDefault="00D13602" w:rsidP="00D13602">
            <w:pPr>
              <w:pStyle w:val="NormalWeb"/>
              <w:tabs>
                <w:tab w:val="left" w:pos="284"/>
              </w:tabs>
              <w:spacing w:before="0" w:beforeAutospacing="0" w:after="0" w:afterAutospacing="0"/>
              <w:ind w:right="40"/>
              <w:jc w:val="both"/>
              <w:rPr>
                <w:b/>
              </w:rPr>
            </w:pPr>
          </w:p>
          <w:p w14:paraId="7E2AE203" w14:textId="77777777" w:rsidR="00D13602" w:rsidRDefault="00D13602" w:rsidP="00D13602">
            <w:pPr>
              <w:pStyle w:val="NormalWeb"/>
              <w:tabs>
                <w:tab w:val="left" w:pos="284"/>
              </w:tabs>
              <w:spacing w:before="0" w:beforeAutospacing="0" w:after="0" w:afterAutospacing="0"/>
              <w:ind w:right="40"/>
              <w:jc w:val="both"/>
            </w:pPr>
            <w:r w:rsidRPr="002E4477">
              <w:t xml:space="preserve">Se trata de una norma constitucional plenamente válida para la generalidad de las designaciones de servidores públicos, atribuida a corporaciones públicas. </w:t>
            </w:r>
            <w:r w:rsidRPr="002E4477">
              <w:rPr>
                <w:b/>
              </w:rPr>
              <w:t>Establece una regla general</w:t>
            </w:r>
            <w:r w:rsidRPr="002E4477">
              <w:t>,</w:t>
            </w:r>
            <w:r w:rsidRPr="002E4477">
              <w:rPr>
                <w:b/>
              </w:rPr>
              <w:t xml:space="preserve"> </w:t>
            </w:r>
            <w:r w:rsidRPr="002E4477">
              <w:t xml:space="preserve">pero no afecta la elección de otros funcionarios que tienen reglas constitucionales de selección concretas y específicas. </w:t>
            </w:r>
          </w:p>
          <w:p w14:paraId="4E2D7850" w14:textId="77777777" w:rsidR="0032032E" w:rsidRPr="002E4477" w:rsidRDefault="0032032E" w:rsidP="00D13602">
            <w:pPr>
              <w:pStyle w:val="NormalWeb"/>
              <w:tabs>
                <w:tab w:val="left" w:pos="284"/>
              </w:tabs>
              <w:spacing w:before="0" w:beforeAutospacing="0" w:after="0" w:afterAutospacing="0"/>
              <w:ind w:right="40"/>
              <w:jc w:val="both"/>
            </w:pPr>
          </w:p>
          <w:p w14:paraId="416D6C34" w14:textId="77777777" w:rsidR="00D13602" w:rsidRPr="002E4477" w:rsidRDefault="00D13602" w:rsidP="00D13602">
            <w:pPr>
              <w:pStyle w:val="NormalWeb"/>
              <w:tabs>
                <w:tab w:val="left" w:pos="284"/>
              </w:tabs>
              <w:spacing w:before="0" w:beforeAutospacing="0" w:after="0" w:afterAutospacing="0"/>
              <w:ind w:right="40"/>
              <w:jc w:val="both"/>
            </w:pPr>
          </w:p>
          <w:p w14:paraId="1DDCEA3F" w14:textId="77777777" w:rsidR="00D13602" w:rsidRPr="002E4477" w:rsidRDefault="00D13602" w:rsidP="00D13602">
            <w:pPr>
              <w:pStyle w:val="NormalWeb"/>
              <w:tabs>
                <w:tab w:val="left" w:pos="284"/>
              </w:tabs>
              <w:spacing w:before="0" w:beforeAutospacing="0" w:after="0" w:afterAutospacing="0"/>
              <w:ind w:right="40"/>
              <w:jc w:val="both"/>
            </w:pPr>
            <w:r w:rsidRPr="002E4477">
              <w:t xml:space="preserve">Para el caso de la designación transitoria de los miembros de la  CNDJ por parte del CSJ y la reglamentación de la convocatoria correspondiente, no se podía aplicar esta regla general, porque el procedimiento transitorio de selección de los miembros de la CNDJ es de naturaleza especial.  </w:t>
            </w:r>
          </w:p>
          <w:p w14:paraId="3F13472E" w14:textId="77777777" w:rsidR="00D13602" w:rsidRPr="002E4477" w:rsidRDefault="00D13602" w:rsidP="00D13602">
            <w:pPr>
              <w:pStyle w:val="NormalWeb"/>
              <w:tabs>
                <w:tab w:val="left" w:pos="284"/>
              </w:tabs>
              <w:spacing w:before="0" w:beforeAutospacing="0" w:after="0" w:afterAutospacing="0"/>
              <w:ind w:right="40"/>
              <w:jc w:val="both"/>
            </w:pPr>
          </w:p>
          <w:p w14:paraId="619E96CF" w14:textId="77777777" w:rsidR="00D13602" w:rsidRPr="0097605B" w:rsidRDefault="00D13602" w:rsidP="00D13602">
            <w:pPr>
              <w:pStyle w:val="NormalWeb"/>
              <w:tabs>
                <w:tab w:val="left" w:pos="284"/>
              </w:tabs>
              <w:spacing w:before="0" w:beforeAutospacing="0" w:after="0" w:afterAutospacing="0"/>
              <w:ind w:right="40"/>
              <w:jc w:val="both"/>
              <w:rPr>
                <w:b/>
              </w:rPr>
            </w:pPr>
          </w:p>
        </w:tc>
      </w:tr>
    </w:tbl>
    <w:p w14:paraId="26BDDC3B" w14:textId="77777777" w:rsidR="00D4351E" w:rsidRPr="00081B05" w:rsidRDefault="00D4351E" w:rsidP="00471DBB">
      <w:pPr>
        <w:pStyle w:val="Prrafodelista"/>
        <w:ind w:left="0"/>
        <w:contextualSpacing/>
        <w:jc w:val="both"/>
        <w:rPr>
          <w:b/>
          <w:bCs/>
          <w:i/>
          <w:sz w:val="26"/>
          <w:szCs w:val="26"/>
        </w:rPr>
      </w:pPr>
    </w:p>
    <w:p w14:paraId="5CB6873E" w14:textId="77777777" w:rsidR="00A73E40" w:rsidRPr="002E4477" w:rsidRDefault="00A73E40" w:rsidP="00471DBB">
      <w:pPr>
        <w:pStyle w:val="Prrafodelista"/>
        <w:ind w:left="0"/>
        <w:contextualSpacing/>
        <w:jc w:val="both"/>
        <w:rPr>
          <w:b/>
          <w:bCs/>
          <w:i/>
          <w:sz w:val="16"/>
          <w:szCs w:val="16"/>
        </w:rPr>
      </w:pPr>
    </w:p>
    <w:p w14:paraId="616F3E1F" w14:textId="77777777" w:rsidR="0075793B" w:rsidRPr="00A72C49" w:rsidRDefault="0075793B" w:rsidP="00813775">
      <w:pPr>
        <w:pStyle w:val="Prrafodelista"/>
        <w:numPr>
          <w:ilvl w:val="0"/>
          <w:numId w:val="10"/>
        </w:numPr>
        <w:contextualSpacing/>
        <w:jc w:val="both"/>
        <w:rPr>
          <w:bCs/>
          <w:szCs w:val="28"/>
        </w:rPr>
      </w:pPr>
      <w:r w:rsidRPr="00A72C49">
        <w:rPr>
          <w:bCs/>
          <w:szCs w:val="28"/>
        </w:rPr>
        <w:t xml:space="preserve">El análisis </w:t>
      </w:r>
      <w:r w:rsidR="00D3064A" w:rsidRPr="00A72C49">
        <w:rPr>
          <w:bCs/>
          <w:szCs w:val="28"/>
        </w:rPr>
        <w:t xml:space="preserve">literal </w:t>
      </w:r>
      <w:r w:rsidR="00417600" w:rsidRPr="00A72C49">
        <w:rPr>
          <w:bCs/>
          <w:szCs w:val="28"/>
        </w:rPr>
        <w:t>de las normas constitucionales</w:t>
      </w:r>
      <w:r w:rsidR="003A7B75" w:rsidRPr="00A72C49">
        <w:rPr>
          <w:bCs/>
          <w:szCs w:val="28"/>
        </w:rPr>
        <w:t xml:space="preserve"> que</w:t>
      </w:r>
      <w:r w:rsidR="00D3064A" w:rsidRPr="00A72C49">
        <w:rPr>
          <w:bCs/>
          <w:szCs w:val="28"/>
        </w:rPr>
        <w:t xml:space="preserve"> </w:t>
      </w:r>
      <w:r w:rsidRPr="00A72C49">
        <w:rPr>
          <w:bCs/>
          <w:szCs w:val="28"/>
        </w:rPr>
        <w:t>hace el Consejo de Estado</w:t>
      </w:r>
      <w:r w:rsidR="002D3980" w:rsidRPr="00A72C49">
        <w:rPr>
          <w:bCs/>
          <w:szCs w:val="28"/>
        </w:rPr>
        <w:t xml:space="preserve"> en este caso</w:t>
      </w:r>
      <w:r w:rsidR="003A7B75" w:rsidRPr="00A72C49">
        <w:rPr>
          <w:szCs w:val="28"/>
        </w:rPr>
        <w:t>,</w:t>
      </w:r>
      <w:r w:rsidR="001B6E4B" w:rsidRPr="00A72C49">
        <w:rPr>
          <w:bCs/>
          <w:szCs w:val="28"/>
        </w:rPr>
        <w:t xml:space="preserve"> </w:t>
      </w:r>
      <w:r w:rsidR="0051122D" w:rsidRPr="00A72C49">
        <w:rPr>
          <w:szCs w:val="28"/>
        </w:rPr>
        <w:t xml:space="preserve">sin el condicionamiento propuesto por la Corte Constitucional y sin el reconocimiento del querer del constituyente, </w:t>
      </w:r>
      <w:r w:rsidR="002C7EDD" w:rsidRPr="00A72C49">
        <w:rPr>
          <w:bCs/>
          <w:szCs w:val="28"/>
        </w:rPr>
        <w:t>p</w:t>
      </w:r>
      <w:r w:rsidR="00291EEC" w:rsidRPr="00A72C49">
        <w:rPr>
          <w:bCs/>
          <w:szCs w:val="28"/>
        </w:rPr>
        <w:t>odría</w:t>
      </w:r>
      <w:r w:rsidR="00417600" w:rsidRPr="00A72C49">
        <w:rPr>
          <w:bCs/>
          <w:szCs w:val="28"/>
        </w:rPr>
        <w:t xml:space="preserve"> </w:t>
      </w:r>
      <w:r w:rsidR="002D3980" w:rsidRPr="00A72C49">
        <w:rPr>
          <w:bCs/>
          <w:szCs w:val="28"/>
        </w:rPr>
        <w:t xml:space="preserve">llevar desde una perspectiva </w:t>
      </w:r>
      <w:r w:rsidR="003A7B75" w:rsidRPr="00A72C49">
        <w:rPr>
          <w:bCs/>
          <w:szCs w:val="28"/>
        </w:rPr>
        <w:t>eminentemente forma</w:t>
      </w:r>
      <w:r w:rsidR="002D3980" w:rsidRPr="00A72C49">
        <w:rPr>
          <w:bCs/>
          <w:szCs w:val="28"/>
        </w:rPr>
        <w:t xml:space="preserve">l, a identificar un </w:t>
      </w:r>
      <w:r w:rsidR="00813775" w:rsidRPr="00A72C49">
        <w:rPr>
          <w:bCs/>
          <w:szCs w:val="28"/>
        </w:rPr>
        <w:t xml:space="preserve">presunto </w:t>
      </w:r>
      <w:r w:rsidR="002D3980" w:rsidRPr="00A72C49">
        <w:rPr>
          <w:bCs/>
          <w:szCs w:val="28"/>
        </w:rPr>
        <w:t xml:space="preserve">vacío normativo en </w:t>
      </w:r>
      <w:r w:rsidR="00FF5171" w:rsidRPr="00A72C49">
        <w:rPr>
          <w:bCs/>
          <w:szCs w:val="28"/>
        </w:rPr>
        <w:t xml:space="preserve"> texto d</w:t>
      </w:r>
      <w:r w:rsidR="002D3980" w:rsidRPr="00A72C49">
        <w:rPr>
          <w:bCs/>
          <w:szCs w:val="28"/>
        </w:rPr>
        <w:t xml:space="preserve">el </w:t>
      </w:r>
      <w:r w:rsidR="009A33C3" w:rsidRPr="00A72C49">
        <w:rPr>
          <w:bCs/>
          <w:szCs w:val="28"/>
        </w:rPr>
        <w:t>artículo 257A superior</w:t>
      </w:r>
      <w:r w:rsidR="003A7B75" w:rsidRPr="00A72C49">
        <w:rPr>
          <w:bCs/>
          <w:szCs w:val="28"/>
        </w:rPr>
        <w:t>,</w:t>
      </w:r>
      <w:r w:rsidRPr="00A72C49">
        <w:rPr>
          <w:bCs/>
          <w:szCs w:val="28"/>
        </w:rPr>
        <w:t xml:space="preserve"> </w:t>
      </w:r>
      <w:r w:rsidR="002D3980" w:rsidRPr="00A72C49">
        <w:rPr>
          <w:bCs/>
          <w:szCs w:val="28"/>
        </w:rPr>
        <w:t xml:space="preserve">ante </w:t>
      </w:r>
      <w:r w:rsidR="0099252F" w:rsidRPr="00A72C49">
        <w:rPr>
          <w:bCs/>
          <w:szCs w:val="28"/>
        </w:rPr>
        <w:t>l</w:t>
      </w:r>
      <w:r w:rsidR="009A33C3" w:rsidRPr="00A72C49">
        <w:rPr>
          <w:bCs/>
          <w:szCs w:val="28"/>
        </w:rPr>
        <w:t xml:space="preserve">a aparente </w:t>
      </w:r>
      <w:r w:rsidR="005A0B40" w:rsidRPr="00A72C49">
        <w:rPr>
          <w:bCs/>
          <w:szCs w:val="28"/>
        </w:rPr>
        <w:t xml:space="preserve">ausencia de determinación de la </w:t>
      </w:r>
      <w:r w:rsidR="00DA18A7" w:rsidRPr="00A72C49">
        <w:rPr>
          <w:bCs/>
          <w:szCs w:val="28"/>
        </w:rPr>
        <w:t xml:space="preserve">autoridad competente para proferir la reglamentación </w:t>
      </w:r>
      <w:r w:rsidR="0099252F" w:rsidRPr="00A72C49">
        <w:rPr>
          <w:bCs/>
          <w:szCs w:val="28"/>
        </w:rPr>
        <w:t xml:space="preserve">necesaria para </w:t>
      </w:r>
      <w:r w:rsidR="009A33C3" w:rsidRPr="00A72C49">
        <w:rPr>
          <w:bCs/>
          <w:szCs w:val="28"/>
        </w:rPr>
        <w:t>la realización de</w:t>
      </w:r>
      <w:r w:rsidR="00DA18A7" w:rsidRPr="00A72C49">
        <w:rPr>
          <w:bCs/>
          <w:szCs w:val="28"/>
        </w:rPr>
        <w:t xml:space="preserve"> la convocatoria pública reglada</w:t>
      </w:r>
      <w:r w:rsidR="00F2262C" w:rsidRPr="00A72C49">
        <w:rPr>
          <w:bCs/>
          <w:szCs w:val="28"/>
        </w:rPr>
        <w:t>.</w:t>
      </w:r>
      <w:r w:rsidR="00FF5171" w:rsidRPr="00A72C49">
        <w:rPr>
          <w:bCs/>
          <w:szCs w:val="28"/>
        </w:rPr>
        <w:t xml:space="preserve"> </w:t>
      </w:r>
      <w:r w:rsidR="00F2262C" w:rsidRPr="00A72C49">
        <w:rPr>
          <w:bCs/>
          <w:szCs w:val="28"/>
        </w:rPr>
        <w:t>Lo</w:t>
      </w:r>
      <w:r w:rsidR="00480754" w:rsidRPr="00A72C49">
        <w:rPr>
          <w:bCs/>
          <w:szCs w:val="28"/>
        </w:rPr>
        <w:t xml:space="preserve"> </w:t>
      </w:r>
      <w:r w:rsidR="00FF5171" w:rsidRPr="00A72C49">
        <w:rPr>
          <w:bCs/>
          <w:szCs w:val="28"/>
        </w:rPr>
        <w:t xml:space="preserve">que habilitaría al </w:t>
      </w:r>
      <w:r w:rsidR="00DF23D0" w:rsidRPr="00A72C49">
        <w:rPr>
          <w:bCs/>
          <w:szCs w:val="28"/>
        </w:rPr>
        <w:t>juez</w:t>
      </w:r>
      <w:r w:rsidR="00FF5171" w:rsidRPr="00A72C49">
        <w:rPr>
          <w:bCs/>
          <w:szCs w:val="28"/>
        </w:rPr>
        <w:t xml:space="preserve"> a acudir a otras normas constitucionales adicionales, para favorecer una interpretación complementaria. </w:t>
      </w:r>
    </w:p>
    <w:p w14:paraId="03AF1AFC" w14:textId="77777777" w:rsidR="00813775" w:rsidRDefault="00813775" w:rsidP="00813775">
      <w:pPr>
        <w:pStyle w:val="Prrafodelista"/>
        <w:ind w:left="0"/>
        <w:contextualSpacing/>
        <w:jc w:val="both"/>
        <w:rPr>
          <w:bCs/>
          <w:szCs w:val="28"/>
        </w:rPr>
      </w:pPr>
    </w:p>
    <w:p w14:paraId="6FAAE25A" w14:textId="77777777" w:rsidR="00B16181" w:rsidRDefault="00BD41D0" w:rsidP="00C275F3">
      <w:pPr>
        <w:pStyle w:val="Prrafodelista"/>
        <w:numPr>
          <w:ilvl w:val="0"/>
          <w:numId w:val="10"/>
        </w:numPr>
        <w:contextualSpacing/>
        <w:jc w:val="both"/>
        <w:rPr>
          <w:bCs/>
          <w:szCs w:val="28"/>
        </w:rPr>
      </w:pPr>
      <w:r w:rsidRPr="00813775">
        <w:rPr>
          <w:bCs/>
          <w:szCs w:val="28"/>
        </w:rPr>
        <w:t>No</w:t>
      </w:r>
      <w:r w:rsidR="00A1680B" w:rsidRPr="00813775">
        <w:rPr>
          <w:bCs/>
          <w:szCs w:val="28"/>
        </w:rPr>
        <w:t xml:space="preserve"> </w:t>
      </w:r>
      <w:r w:rsidRPr="00813775">
        <w:rPr>
          <w:bCs/>
          <w:szCs w:val="28"/>
        </w:rPr>
        <w:t>obstante</w:t>
      </w:r>
      <w:r w:rsidR="0075793B" w:rsidRPr="00813775">
        <w:rPr>
          <w:bCs/>
          <w:szCs w:val="28"/>
        </w:rPr>
        <w:t xml:space="preserve">, </w:t>
      </w:r>
      <w:r w:rsidR="002D3980" w:rsidRPr="00813775">
        <w:rPr>
          <w:bCs/>
          <w:szCs w:val="28"/>
        </w:rPr>
        <w:t xml:space="preserve">como se mencionó con anterioridad, </w:t>
      </w:r>
      <w:r w:rsidR="00A1680B" w:rsidRPr="00813775">
        <w:rPr>
          <w:bCs/>
          <w:szCs w:val="28"/>
        </w:rPr>
        <w:t>al seguir</w:t>
      </w:r>
      <w:r w:rsidR="0075793B" w:rsidRPr="00813775">
        <w:rPr>
          <w:bCs/>
          <w:szCs w:val="28"/>
        </w:rPr>
        <w:t xml:space="preserve"> los lineamiento</w:t>
      </w:r>
      <w:r w:rsidR="002C7EDD" w:rsidRPr="00813775">
        <w:rPr>
          <w:bCs/>
          <w:szCs w:val="28"/>
        </w:rPr>
        <w:t>s</w:t>
      </w:r>
      <w:r w:rsidR="00A1680B" w:rsidRPr="00813775">
        <w:rPr>
          <w:bCs/>
          <w:szCs w:val="28"/>
        </w:rPr>
        <w:t xml:space="preserve"> previstos en la parte motiva de la </w:t>
      </w:r>
      <w:r w:rsidR="00A1680B" w:rsidRPr="00A72C49">
        <w:rPr>
          <w:b/>
          <w:szCs w:val="28"/>
        </w:rPr>
        <w:t xml:space="preserve">sentencia </w:t>
      </w:r>
      <w:r w:rsidR="005A0B40" w:rsidRPr="00A72C49">
        <w:rPr>
          <w:b/>
          <w:szCs w:val="28"/>
        </w:rPr>
        <w:t>C-285 de 2016</w:t>
      </w:r>
      <w:r w:rsidR="005A0B40" w:rsidRPr="00813775">
        <w:rPr>
          <w:bCs/>
          <w:szCs w:val="28"/>
        </w:rPr>
        <w:t xml:space="preserve"> y</w:t>
      </w:r>
      <w:r w:rsidR="003A7B75" w:rsidRPr="00813775">
        <w:rPr>
          <w:bCs/>
          <w:szCs w:val="28"/>
        </w:rPr>
        <w:t xml:space="preserve"> </w:t>
      </w:r>
      <w:r w:rsidR="005A0B40" w:rsidRPr="00813775">
        <w:rPr>
          <w:bCs/>
          <w:szCs w:val="28"/>
        </w:rPr>
        <w:t xml:space="preserve">los objetivos del constituyente </w:t>
      </w:r>
      <w:r w:rsidR="003A7B75" w:rsidRPr="00813775">
        <w:rPr>
          <w:bCs/>
          <w:szCs w:val="28"/>
        </w:rPr>
        <w:t>respecto de</w:t>
      </w:r>
      <w:r w:rsidR="00B16181" w:rsidRPr="00813775">
        <w:rPr>
          <w:bCs/>
          <w:szCs w:val="28"/>
        </w:rPr>
        <w:t xml:space="preserve"> </w:t>
      </w:r>
      <w:r w:rsidR="003A7B75" w:rsidRPr="00813775">
        <w:rPr>
          <w:bCs/>
          <w:szCs w:val="28"/>
        </w:rPr>
        <w:t>la reforma</w:t>
      </w:r>
      <w:r w:rsidR="00FF5171" w:rsidRPr="00813775">
        <w:rPr>
          <w:bCs/>
          <w:szCs w:val="28"/>
        </w:rPr>
        <w:t xml:space="preserve"> planteada</w:t>
      </w:r>
      <w:r w:rsidR="003A7B75" w:rsidRPr="00813775">
        <w:rPr>
          <w:bCs/>
          <w:szCs w:val="28"/>
        </w:rPr>
        <w:t xml:space="preserve">, </w:t>
      </w:r>
      <w:r w:rsidR="00B16181" w:rsidRPr="00813775">
        <w:rPr>
          <w:bCs/>
          <w:szCs w:val="28"/>
        </w:rPr>
        <w:t xml:space="preserve">el intérprete puede comprender que </w:t>
      </w:r>
      <w:r w:rsidR="005A0B40" w:rsidRPr="00813775">
        <w:rPr>
          <w:bCs/>
          <w:szCs w:val="28"/>
        </w:rPr>
        <w:t xml:space="preserve">el </w:t>
      </w:r>
      <w:r w:rsidR="0075793B" w:rsidRPr="00813775">
        <w:rPr>
          <w:bCs/>
          <w:szCs w:val="28"/>
        </w:rPr>
        <w:t>A</w:t>
      </w:r>
      <w:r w:rsidR="00B16181" w:rsidRPr="00813775">
        <w:rPr>
          <w:bCs/>
          <w:szCs w:val="28"/>
        </w:rPr>
        <w:t>.</w:t>
      </w:r>
      <w:r w:rsidR="00FE3C03" w:rsidRPr="00813775">
        <w:rPr>
          <w:bCs/>
          <w:szCs w:val="28"/>
        </w:rPr>
        <w:t>L</w:t>
      </w:r>
      <w:r w:rsidR="00B16181" w:rsidRPr="00813775">
        <w:rPr>
          <w:bCs/>
          <w:szCs w:val="28"/>
        </w:rPr>
        <w:t>. 02 de 2015</w:t>
      </w:r>
      <w:r w:rsidR="0075793B" w:rsidRPr="00813775">
        <w:rPr>
          <w:bCs/>
          <w:szCs w:val="28"/>
        </w:rPr>
        <w:t xml:space="preserve"> </w:t>
      </w:r>
      <w:r w:rsidR="00873FFC" w:rsidRPr="00813775">
        <w:rPr>
          <w:bCs/>
          <w:szCs w:val="28"/>
        </w:rPr>
        <w:t xml:space="preserve">sí </w:t>
      </w:r>
      <w:r w:rsidR="005A0B40" w:rsidRPr="00813775">
        <w:rPr>
          <w:bCs/>
          <w:szCs w:val="28"/>
        </w:rPr>
        <w:t xml:space="preserve">quería </w:t>
      </w:r>
      <w:r w:rsidR="0075793B" w:rsidRPr="00813775">
        <w:rPr>
          <w:bCs/>
          <w:szCs w:val="28"/>
        </w:rPr>
        <w:t>asignarle competencias al</w:t>
      </w:r>
      <w:r w:rsidRPr="00813775">
        <w:rPr>
          <w:bCs/>
          <w:szCs w:val="28"/>
        </w:rPr>
        <w:t xml:space="preserve"> </w:t>
      </w:r>
      <w:r w:rsidR="00DA18A7" w:rsidRPr="00813775">
        <w:rPr>
          <w:bCs/>
          <w:szCs w:val="28"/>
        </w:rPr>
        <w:t xml:space="preserve">Consejo de Gobierno Judicial </w:t>
      </w:r>
      <w:r w:rsidR="00A72C49">
        <w:rPr>
          <w:bCs/>
          <w:szCs w:val="28"/>
        </w:rPr>
        <w:t>(</w:t>
      </w:r>
      <w:r w:rsidR="00DA18A7" w:rsidRPr="00813775">
        <w:rPr>
          <w:bCs/>
          <w:szCs w:val="28"/>
        </w:rPr>
        <w:t xml:space="preserve">hoy </w:t>
      </w:r>
      <w:r w:rsidRPr="00813775">
        <w:rPr>
          <w:bCs/>
          <w:szCs w:val="28"/>
        </w:rPr>
        <w:t>Consejo Superior de la Judicatura</w:t>
      </w:r>
      <w:r w:rsidR="00A72C49">
        <w:rPr>
          <w:bCs/>
          <w:szCs w:val="28"/>
        </w:rPr>
        <w:t>)</w:t>
      </w:r>
      <w:r w:rsidR="006B313F" w:rsidRPr="00813775">
        <w:rPr>
          <w:bCs/>
          <w:szCs w:val="28"/>
        </w:rPr>
        <w:t>,</w:t>
      </w:r>
      <w:r w:rsidRPr="00813775">
        <w:rPr>
          <w:bCs/>
          <w:szCs w:val="28"/>
        </w:rPr>
        <w:t xml:space="preserve"> para</w:t>
      </w:r>
      <w:r w:rsidR="00D77597" w:rsidRPr="00813775">
        <w:rPr>
          <w:bCs/>
          <w:szCs w:val="28"/>
        </w:rPr>
        <w:t xml:space="preserve"> reglamentar la convocatoria </w:t>
      </w:r>
      <w:r w:rsidR="00FF5171" w:rsidRPr="00813775">
        <w:rPr>
          <w:bCs/>
          <w:szCs w:val="28"/>
        </w:rPr>
        <w:t xml:space="preserve">descrita </w:t>
      </w:r>
      <w:r w:rsidR="00D77597" w:rsidRPr="00813775">
        <w:rPr>
          <w:bCs/>
          <w:szCs w:val="28"/>
        </w:rPr>
        <w:t xml:space="preserve">y </w:t>
      </w:r>
      <w:r w:rsidR="00FF5171" w:rsidRPr="00813775">
        <w:rPr>
          <w:bCs/>
          <w:szCs w:val="28"/>
        </w:rPr>
        <w:t xml:space="preserve">definir </w:t>
      </w:r>
      <w:r w:rsidR="00480754" w:rsidRPr="00813775">
        <w:rPr>
          <w:bCs/>
          <w:szCs w:val="28"/>
        </w:rPr>
        <w:t xml:space="preserve">así </w:t>
      </w:r>
      <w:r w:rsidR="005A0B40" w:rsidRPr="00813775">
        <w:rPr>
          <w:bCs/>
          <w:szCs w:val="28"/>
        </w:rPr>
        <w:t xml:space="preserve">las ternas necesarias para la elección de </w:t>
      </w:r>
      <w:r w:rsidRPr="00813775">
        <w:rPr>
          <w:bCs/>
          <w:szCs w:val="28"/>
        </w:rPr>
        <w:t>los magistrados de</w:t>
      </w:r>
      <w:r w:rsidR="00DA18A7" w:rsidRPr="00813775">
        <w:rPr>
          <w:bCs/>
          <w:szCs w:val="28"/>
        </w:rPr>
        <w:t xml:space="preserve"> la</w:t>
      </w:r>
      <w:r w:rsidRPr="00813775">
        <w:rPr>
          <w:bCs/>
          <w:szCs w:val="28"/>
        </w:rPr>
        <w:t xml:space="preserve"> CNDJ,</w:t>
      </w:r>
      <w:r w:rsidR="00B16181" w:rsidRPr="00813775">
        <w:rPr>
          <w:bCs/>
          <w:szCs w:val="28"/>
        </w:rPr>
        <w:t xml:space="preserve"> </w:t>
      </w:r>
      <w:r w:rsidR="003166D0" w:rsidRPr="00813775">
        <w:rPr>
          <w:bCs/>
          <w:szCs w:val="28"/>
        </w:rPr>
        <w:t xml:space="preserve">con el fin </w:t>
      </w:r>
      <w:r w:rsidR="00291EEC" w:rsidRPr="00813775">
        <w:rPr>
          <w:bCs/>
          <w:szCs w:val="28"/>
        </w:rPr>
        <w:t xml:space="preserve">de habilitar </w:t>
      </w:r>
      <w:r w:rsidRPr="00813775">
        <w:rPr>
          <w:bCs/>
          <w:szCs w:val="28"/>
        </w:rPr>
        <w:t xml:space="preserve">el </w:t>
      </w:r>
      <w:r w:rsidR="002C7EDD" w:rsidRPr="00813775">
        <w:rPr>
          <w:bCs/>
          <w:szCs w:val="28"/>
        </w:rPr>
        <w:t>tránsito</w:t>
      </w:r>
      <w:r w:rsidRPr="00813775">
        <w:rPr>
          <w:bCs/>
          <w:szCs w:val="28"/>
        </w:rPr>
        <w:t xml:space="preserve"> de una institucionalidad derogada a una nueva</w:t>
      </w:r>
      <w:r w:rsidR="00FF5171" w:rsidRPr="00813775">
        <w:rPr>
          <w:bCs/>
          <w:szCs w:val="28"/>
        </w:rPr>
        <w:t>, en un tiempo perentorio</w:t>
      </w:r>
      <w:r w:rsidR="0099252F" w:rsidRPr="00813775">
        <w:rPr>
          <w:bCs/>
          <w:szCs w:val="28"/>
        </w:rPr>
        <w:t xml:space="preserve">. </w:t>
      </w:r>
    </w:p>
    <w:p w14:paraId="09BA885D" w14:textId="77777777" w:rsidR="009D7718" w:rsidRDefault="009D7718" w:rsidP="009D7718">
      <w:pPr>
        <w:pStyle w:val="Prrafodelista"/>
        <w:tabs>
          <w:tab w:val="left" w:pos="567"/>
        </w:tabs>
        <w:ind w:left="0"/>
        <w:contextualSpacing/>
        <w:jc w:val="both"/>
        <w:rPr>
          <w:bCs/>
          <w:szCs w:val="28"/>
        </w:rPr>
      </w:pPr>
    </w:p>
    <w:p w14:paraId="540E2064" w14:textId="77777777" w:rsidR="009D7718" w:rsidRPr="00A72C49" w:rsidRDefault="009D7718" w:rsidP="009D7718">
      <w:pPr>
        <w:pStyle w:val="Prrafodelista"/>
        <w:tabs>
          <w:tab w:val="left" w:pos="567"/>
        </w:tabs>
        <w:ind w:left="0"/>
        <w:contextualSpacing/>
        <w:jc w:val="both"/>
        <w:rPr>
          <w:bCs/>
          <w:szCs w:val="28"/>
        </w:rPr>
      </w:pPr>
      <w:r w:rsidRPr="002E4477">
        <w:rPr>
          <w:bCs/>
          <w:szCs w:val="28"/>
        </w:rPr>
        <w:t xml:space="preserve">Ese alcance de la reforma, propuesto por el constituyente y avalado por la sentencia C-285 de 2016 como criterio interpretativo del artículo 257A, eliminó el vacío normativo formalmente detectado por el Consejo de Estado en este caso, al reconocer y valorar la </w:t>
      </w:r>
      <w:r>
        <w:rPr>
          <w:bCs/>
          <w:szCs w:val="28"/>
        </w:rPr>
        <w:t>decisión</w:t>
      </w:r>
      <w:r w:rsidRPr="002E4477">
        <w:rPr>
          <w:bCs/>
          <w:szCs w:val="28"/>
        </w:rPr>
        <w:t xml:space="preserve"> original del constituyente para la conformación de la </w:t>
      </w:r>
      <w:r w:rsidRPr="00A72C49">
        <w:rPr>
          <w:bCs/>
          <w:szCs w:val="28"/>
        </w:rPr>
        <w:t xml:space="preserve">CNDJ, que incluía el reconocimiento de la reglamentación de la convocatoria en cabeza del Consejo de Gobierno Judicial, hoy CSJ. </w:t>
      </w:r>
    </w:p>
    <w:p w14:paraId="3CFD768B" w14:textId="77777777" w:rsidR="009D7718" w:rsidRPr="00A72C49" w:rsidRDefault="009D7718" w:rsidP="009D7718">
      <w:pPr>
        <w:pStyle w:val="Prrafodelista"/>
        <w:rPr>
          <w:bCs/>
          <w:szCs w:val="28"/>
        </w:rPr>
      </w:pPr>
    </w:p>
    <w:p w14:paraId="62B980A5" w14:textId="77777777" w:rsidR="009D7718" w:rsidRPr="00A72C49" w:rsidRDefault="00E70B89" w:rsidP="00C275F3">
      <w:pPr>
        <w:pStyle w:val="Prrafodelista"/>
        <w:numPr>
          <w:ilvl w:val="0"/>
          <w:numId w:val="10"/>
        </w:numPr>
        <w:contextualSpacing/>
        <w:jc w:val="both"/>
        <w:rPr>
          <w:bCs/>
          <w:szCs w:val="28"/>
        </w:rPr>
      </w:pPr>
      <w:r w:rsidRPr="00A72C49">
        <w:rPr>
          <w:bCs/>
          <w:szCs w:val="28"/>
        </w:rPr>
        <w:t xml:space="preserve">De este modo, </w:t>
      </w:r>
      <w:r w:rsidR="00A72C49" w:rsidRPr="00A72C49">
        <w:rPr>
          <w:bCs/>
          <w:szCs w:val="28"/>
        </w:rPr>
        <w:t xml:space="preserve">al </w:t>
      </w:r>
      <w:r w:rsidR="005A0B40" w:rsidRPr="00A72C49">
        <w:rPr>
          <w:bCs/>
          <w:szCs w:val="28"/>
        </w:rPr>
        <w:t>d</w:t>
      </w:r>
      <w:r w:rsidR="00BD41D0" w:rsidRPr="00A72C49">
        <w:rPr>
          <w:bCs/>
          <w:szCs w:val="28"/>
        </w:rPr>
        <w:t>esconocer</w:t>
      </w:r>
      <w:r w:rsidR="00F2262C" w:rsidRPr="00A72C49">
        <w:rPr>
          <w:bCs/>
          <w:szCs w:val="28"/>
        </w:rPr>
        <w:t xml:space="preserve"> </w:t>
      </w:r>
      <w:r w:rsidR="00F2262C" w:rsidRPr="00A72C49">
        <w:rPr>
          <w:iCs/>
          <w:szCs w:val="28"/>
        </w:rPr>
        <w:t>la</w:t>
      </w:r>
      <w:r w:rsidR="00F2262C" w:rsidRPr="00A72C49">
        <w:rPr>
          <w:b/>
          <w:bCs/>
          <w:i/>
          <w:szCs w:val="28"/>
        </w:rPr>
        <w:t xml:space="preserve"> ratio decidendi</w:t>
      </w:r>
      <w:r w:rsidR="00F2262C" w:rsidRPr="00A72C49">
        <w:rPr>
          <w:b/>
          <w:bCs/>
          <w:iCs/>
          <w:szCs w:val="28"/>
        </w:rPr>
        <w:t xml:space="preserve">  </w:t>
      </w:r>
      <w:r w:rsidR="00F2262C" w:rsidRPr="00A72C49">
        <w:rPr>
          <w:iCs/>
          <w:szCs w:val="28"/>
        </w:rPr>
        <w:t>de la sentencia</w:t>
      </w:r>
      <w:r w:rsidR="00F2262C" w:rsidRPr="00A72C49">
        <w:rPr>
          <w:b/>
          <w:bCs/>
          <w:iCs/>
          <w:szCs w:val="28"/>
        </w:rPr>
        <w:t xml:space="preserve"> </w:t>
      </w:r>
      <w:r w:rsidR="00F2262C" w:rsidRPr="00A72C49">
        <w:rPr>
          <w:bCs/>
          <w:iCs/>
          <w:szCs w:val="28"/>
        </w:rPr>
        <w:t>C-285 de 2016</w:t>
      </w:r>
      <w:r w:rsidR="00480754" w:rsidRPr="00A72C49">
        <w:rPr>
          <w:bCs/>
          <w:iCs/>
          <w:szCs w:val="28"/>
        </w:rPr>
        <w:t xml:space="preserve">, </w:t>
      </w:r>
      <w:r w:rsidR="00480754" w:rsidRPr="00A72C49">
        <w:rPr>
          <w:bCs/>
          <w:szCs w:val="28"/>
        </w:rPr>
        <w:t xml:space="preserve">sobre la base de </w:t>
      </w:r>
      <w:r w:rsidR="000A576B" w:rsidRPr="00A72C49">
        <w:rPr>
          <w:bCs/>
          <w:szCs w:val="28"/>
        </w:rPr>
        <w:t>la presunta</w:t>
      </w:r>
      <w:r w:rsidR="002C7EDD" w:rsidRPr="00A72C49">
        <w:rPr>
          <w:bCs/>
          <w:szCs w:val="28"/>
        </w:rPr>
        <w:t xml:space="preserve"> imposibilidad de los j</w:t>
      </w:r>
      <w:r w:rsidR="00117C47" w:rsidRPr="00A72C49">
        <w:rPr>
          <w:bCs/>
          <w:szCs w:val="28"/>
        </w:rPr>
        <w:t xml:space="preserve">ueces </w:t>
      </w:r>
      <w:r w:rsidR="006B313F" w:rsidRPr="00A72C49">
        <w:rPr>
          <w:bCs/>
          <w:szCs w:val="28"/>
        </w:rPr>
        <w:t>de</w:t>
      </w:r>
      <w:r w:rsidR="00117C47" w:rsidRPr="00A72C49">
        <w:rPr>
          <w:bCs/>
          <w:szCs w:val="28"/>
        </w:rPr>
        <w:t xml:space="preserve"> adelantar un </w:t>
      </w:r>
      <w:r w:rsidR="002C7EDD" w:rsidRPr="00A72C49">
        <w:rPr>
          <w:bCs/>
          <w:szCs w:val="28"/>
        </w:rPr>
        <w:t xml:space="preserve">análisis de </w:t>
      </w:r>
      <w:r w:rsidR="00AE7BCF" w:rsidRPr="00A72C49">
        <w:rPr>
          <w:bCs/>
          <w:szCs w:val="28"/>
        </w:rPr>
        <w:t>"</w:t>
      </w:r>
      <w:r w:rsidR="002C7EDD" w:rsidRPr="00A72C49">
        <w:rPr>
          <w:bCs/>
          <w:szCs w:val="28"/>
        </w:rPr>
        <w:t>conveniencia</w:t>
      </w:r>
      <w:r w:rsidR="00AE7BCF" w:rsidRPr="00A72C49">
        <w:rPr>
          <w:bCs/>
          <w:szCs w:val="28"/>
        </w:rPr>
        <w:t>"</w:t>
      </w:r>
      <w:r w:rsidR="00117C47" w:rsidRPr="00A72C49">
        <w:rPr>
          <w:bCs/>
          <w:szCs w:val="28"/>
        </w:rPr>
        <w:t>,</w:t>
      </w:r>
      <w:r w:rsidR="00F2262C" w:rsidRPr="00A72C49">
        <w:rPr>
          <w:bCs/>
          <w:szCs w:val="28"/>
        </w:rPr>
        <w:t xml:space="preserve"> </w:t>
      </w:r>
      <w:r w:rsidR="00A72C49" w:rsidRPr="00A72C49">
        <w:rPr>
          <w:bCs/>
          <w:szCs w:val="28"/>
        </w:rPr>
        <w:t xml:space="preserve">el Consejo de Estado </w:t>
      </w:r>
      <w:r w:rsidR="00F2262C" w:rsidRPr="00A72C49">
        <w:rPr>
          <w:bCs/>
          <w:szCs w:val="28"/>
        </w:rPr>
        <w:t>logr</w:t>
      </w:r>
      <w:r w:rsidR="00947EDB" w:rsidRPr="00A72C49">
        <w:rPr>
          <w:bCs/>
          <w:szCs w:val="28"/>
        </w:rPr>
        <w:t>ó</w:t>
      </w:r>
      <w:r w:rsidR="00F2262C" w:rsidRPr="00A72C49">
        <w:rPr>
          <w:bCs/>
          <w:szCs w:val="28"/>
        </w:rPr>
        <w:t xml:space="preserve"> en </w:t>
      </w:r>
      <w:r w:rsidR="00117C47" w:rsidRPr="00A72C49">
        <w:rPr>
          <w:bCs/>
          <w:szCs w:val="28"/>
        </w:rPr>
        <w:t>real</w:t>
      </w:r>
      <w:r w:rsidR="00F2262C" w:rsidRPr="00A72C49">
        <w:rPr>
          <w:bCs/>
          <w:szCs w:val="28"/>
        </w:rPr>
        <w:t>idad una</w:t>
      </w:r>
      <w:r w:rsidR="00117C47" w:rsidRPr="00A72C49">
        <w:rPr>
          <w:bCs/>
          <w:szCs w:val="28"/>
        </w:rPr>
        <w:t xml:space="preserve"> desarticulación institucional, que no s</w:t>
      </w:r>
      <w:r w:rsidR="00C80E03">
        <w:rPr>
          <w:bCs/>
          <w:szCs w:val="28"/>
        </w:rPr>
        <w:t>o</w:t>
      </w:r>
      <w:r w:rsidR="00117C47" w:rsidRPr="00A72C49">
        <w:rPr>
          <w:bCs/>
          <w:szCs w:val="28"/>
        </w:rPr>
        <w:t xml:space="preserve">lo es </w:t>
      </w:r>
      <w:r w:rsidR="00AE7BCF" w:rsidRPr="00A72C49">
        <w:rPr>
          <w:bCs/>
          <w:szCs w:val="28"/>
        </w:rPr>
        <w:t>contrari</w:t>
      </w:r>
      <w:r w:rsidR="00D77597" w:rsidRPr="00A72C49">
        <w:rPr>
          <w:bCs/>
          <w:szCs w:val="28"/>
        </w:rPr>
        <w:t>a</w:t>
      </w:r>
      <w:r w:rsidR="00AE7BCF" w:rsidRPr="00A72C49">
        <w:rPr>
          <w:bCs/>
          <w:szCs w:val="28"/>
        </w:rPr>
        <w:t xml:space="preserve"> a la voluntad </w:t>
      </w:r>
      <w:r w:rsidR="00117C47" w:rsidRPr="00A72C49">
        <w:rPr>
          <w:bCs/>
          <w:szCs w:val="28"/>
        </w:rPr>
        <w:t xml:space="preserve">original </w:t>
      </w:r>
      <w:r w:rsidR="00AE7BCF" w:rsidRPr="00A72C49">
        <w:rPr>
          <w:bCs/>
          <w:szCs w:val="28"/>
        </w:rPr>
        <w:t xml:space="preserve">del </w:t>
      </w:r>
      <w:r w:rsidR="00AB029F" w:rsidRPr="00A72C49">
        <w:rPr>
          <w:bCs/>
          <w:szCs w:val="28"/>
        </w:rPr>
        <w:t>c</w:t>
      </w:r>
      <w:r w:rsidR="00AE7BCF" w:rsidRPr="00A72C49">
        <w:rPr>
          <w:bCs/>
          <w:szCs w:val="28"/>
        </w:rPr>
        <w:t>onstituyente</w:t>
      </w:r>
      <w:r w:rsidR="00117C47" w:rsidRPr="00A72C49">
        <w:rPr>
          <w:bCs/>
          <w:szCs w:val="28"/>
        </w:rPr>
        <w:t>, sino</w:t>
      </w:r>
      <w:r w:rsidR="00AE7BCF" w:rsidRPr="00A72C49">
        <w:rPr>
          <w:bCs/>
          <w:szCs w:val="28"/>
        </w:rPr>
        <w:t xml:space="preserve"> a lo dispuesto por esta Corporación en </w:t>
      </w:r>
      <w:r w:rsidR="00D77597" w:rsidRPr="00A72C49">
        <w:rPr>
          <w:bCs/>
          <w:szCs w:val="28"/>
        </w:rPr>
        <w:t>la</w:t>
      </w:r>
      <w:r w:rsidR="00AE7BCF" w:rsidRPr="00A72C49">
        <w:rPr>
          <w:bCs/>
          <w:szCs w:val="28"/>
        </w:rPr>
        <w:t xml:space="preserve"> </w:t>
      </w:r>
      <w:r w:rsidR="00D77597" w:rsidRPr="00A72C49">
        <w:rPr>
          <w:bCs/>
          <w:szCs w:val="28"/>
        </w:rPr>
        <w:t xml:space="preserve">misma </w:t>
      </w:r>
      <w:r w:rsidR="00AE7BCF" w:rsidRPr="00A72C49">
        <w:rPr>
          <w:bCs/>
          <w:szCs w:val="28"/>
        </w:rPr>
        <w:t xml:space="preserve">providencia. </w:t>
      </w:r>
    </w:p>
    <w:p w14:paraId="01892518" w14:textId="77777777" w:rsidR="009D7718" w:rsidRPr="00A72C49" w:rsidRDefault="009D7718" w:rsidP="009D7718">
      <w:pPr>
        <w:pStyle w:val="Prrafodelista"/>
        <w:ind w:left="0"/>
        <w:contextualSpacing/>
        <w:jc w:val="both"/>
        <w:rPr>
          <w:bCs/>
          <w:szCs w:val="28"/>
        </w:rPr>
      </w:pPr>
    </w:p>
    <w:p w14:paraId="0560B375" w14:textId="77777777" w:rsidR="009D7718" w:rsidRPr="00A72C49" w:rsidRDefault="008F118E" w:rsidP="00C275F3">
      <w:pPr>
        <w:pStyle w:val="Prrafodelista"/>
        <w:numPr>
          <w:ilvl w:val="0"/>
          <w:numId w:val="10"/>
        </w:numPr>
        <w:contextualSpacing/>
        <w:jc w:val="both"/>
        <w:rPr>
          <w:bCs/>
          <w:szCs w:val="28"/>
        </w:rPr>
      </w:pPr>
      <w:r w:rsidRPr="00A72C49">
        <w:rPr>
          <w:bCs/>
          <w:szCs w:val="28"/>
        </w:rPr>
        <w:t>Por ende</w:t>
      </w:r>
      <w:r w:rsidR="00AE7BCF" w:rsidRPr="00A72C49">
        <w:rPr>
          <w:bCs/>
          <w:szCs w:val="28"/>
        </w:rPr>
        <w:t xml:space="preserve">, no es de recibo el argumento del Consejo de Estado </w:t>
      </w:r>
      <w:r w:rsidR="00AB029F" w:rsidRPr="00A72C49">
        <w:rPr>
          <w:bCs/>
          <w:szCs w:val="28"/>
        </w:rPr>
        <w:t xml:space="preserve">en cuanto afirma </w:t>
      </w:r>
      <w:r w:rsidR="00AE7BCF" w:rsidRPr="00A72C49">
        <w:rPr>
          <w:bCs/>
          <w:szCs w:val="28"/>
        </w:rPr>
        <w:t>que</w:t>
      </w:r>
      <w:r w:rsidR="00117C47" w:rsidRPr="00A72C49">
        <w:rPr>
          <w:bCs/>
          <w:szCs w:val="28"/>
        </w:rPr>
        <w:t xml:space="preserve"> el artículo 257A es </w:t>
      </w:r>
      <w:r w:rsidR="00AE7BCF" w:rsidRPr="00A72C49">
        <w:rPr>
          <w:bCs/>
          <w:szCs w:val="28"/>
        </w:rPr>
        <w:t>una norma</w:t>
      </w:r>
      <w:r w:rsidR="00974779" w:rsidRPr="00A72C49">
        <w:rPr>
          <w:bCs/>
          <w:szCs w:val="28"/>
        </w:rPr>
        <w:t xml:space="preserve"> incompleta. Se trata de </w:t>
      </w:r>
      <w:r w:rsidR="00D4351E" w:rsidRPr="00A72C49">
        <w:rPr>
          <w:bCs/>
          <w:szCs w:val="28"/>
        </w:rPr>
        <w:t xml:space="preserve">una </w:t>
      </w:r>
      <w:r w:rsidR="00AB029F" w:rsidRPr="00A72C49">
        <w:rPr>
          <w:bCs/>
          <w:szCs w:val="28"/>
        </w:rPr>
        <w:t xml:space="preserve">conclusión </w:t>
      </w:r>
      <w:r w:rsidR="00974779" w:rsidRPr="00A72C49">
        <w:rPr>
          <w:bCs/>
          <w:szCs w:val="28"/>
        </w:rPr>
        <w:t xml:space="preserve">que </w:t>
      </w:r>
      <w:r w:rsidR="00AE7BCF" w:rsidRPr="00A72C49">
        <w:rPr>
          <w:bCs/>
          <w:szCs w:val="28"/>
        </w:rPr>
        <w:t>s</w:t>
      </w:r>
      <w:r w:rsidR="00C80E03">
        <w:rPr>
          <w:bCs/>
          <w:szCs w:val="28"/>
        </w:rPr>
        <w:t>o</w:t>
      </w:r>
      <w:r w:rsidR="00AE7BCF" w:rsidRPr="00A72C49">
        <w:rPr>
          <w:bCs/>
          <w:szCs w:val="28"/>
        </w:rPr>
        <w:t>l</w:t>
      </w:r>
      <w:r w:rsidR="00C80E03">
        <w:rPr>
          <w:bCs/>
          <w:szCs w:val="28"/>
        </w:rPr>
        <w:t>amente</w:t>
      </w:r>
      <w:r w:rsidR="00117C47" w:rsidRPr="00A72C49">
        <w:rPr>
          <w:bCs/>
          <w:szCs w:val="28"/>
        </w:rPr>
        <w:t xml:space="preserve"> tiene sentido cuando se separa el precepto superior</w:t>
      </w:r>
      <w:r w:rsidR="00AE7BCF" w:rsidRPr="00A72C49">
        <w:rPr>
          <w:bCs/>
          <w:szCs w:val="28"/>
        </w:rPr>
        <w:t xml:space="preserve"> de su interpretación </w:t>
      </w:r>
      <w:r w:rsidR="001D5D8D" w:rsidRPr="00A72C49">
        <w:rPr>
          <w:bCs/>
          <w:szCs w:val="28"/>
        </w:rPr>
        <w:t>integral</w:t>
      </w:r>
      <w:r w:rsidR="00AE7BCF" w:rsidRPr="00A72C49">
        <w:rPr>
          <w:bCs/>
          <w:szCs w:val="28"/>
        </w:rPr>
        <w:t>, esto es</w:t>
      </w:r>
      <w:r w:rsidR="00851E86" w:rsidRPr="00A72C49">
        <w:rPr>
          <w:bCs/>
          <w:szCs w:val="28"/>
        </w:rPr>
        <w:t>,</w:t>
      </w:r>
      <w:r w:rsidR="00AE7BCF" w:rsidRPr="00A72C49">
        <w:rPr>
          <w:bCs/>
          <w:szCs w:val="28"/>
        </w:rPr>
        <w:t xml:space="preserve"> </w:t>
      </w:r>
      <w:r w:rsidRPr="00A72C49">
        <w:rPr>
          <w:bCs/>
          <w:szCs w:val="28"/>
        </w:rPr>
        <w:t xml:space="preserve">del </w:t>
      </w:r>
      <w:r w:rsidR="001D5D8D" w:rsidRPr="00A72C49">
        <w:rPr>
          <w:bCs/>
          <w:szCs w:val="28"/>
        </w:rPr>
        <w:t xml:space="preserve">parágrafo transitorio y del </w:t>
      </w:r>
      <w:r w:rsidRPr="00A72C49">
        <w:rPr>
          <w:bCs/>
          <w:szCs w:val="28"/>
        </w:rPr>
        <w:t>alcance fijado p</w:t>
      </w:r>
      <w:r w:rsidR="00E70B89" w:rsidRPr="00A72C49">
        <w:rPr>
          <w:bCs/>
          <w:szCs w:val="28"/>
        </w:rPr>
        <w:t>or la Corte</w:t>
      </w:r>
      <w:r w:rsidR="00D77597" w:rsidRPr="00A72C49">
        <w:rPr>
          <w:bCs/>
          <w:szCs w:val="28"/>
        </w:rPr>
        <w:t xml:space="preserve"> </w:t>
      </w:r>
      <w:r w:rsidRPr="00A72C49">
        <w:rPr>
          <w:bCs/>
          <w:szCs w:val="28"/>
        </w:rPr>
        <w:t>en la parte motiva de la sentencia</w:t>
      </w:r>
      <w:r w:rsidR="00DA18A7" w:rsidRPr="00A72C49">
        <w:rPr>
          <w:bCs/>
          <w:szCs w:val="28"/>
        </w:rPr>
        <w:t xml:space="preserve"> C-285 de 2016</w:t>
      </w:r>
      <w:r w:rsidR="004F2925" w:rsidRPr="00A72C49">
        <w:rPr>
          <w:bCs/>
          <w:szCs w:val="28"/>
        </w:rPr>
        <w:t>,</w:t>
      </w:r>
      <w:r w:rsidRPr="00A72C49">
        <w:rPr>
          <w:bCs/>
          <w:szCs w:val="28"/>
        </w:rPr>
        <w:t xml:space="preserve"> </w:t>
      </w:r>
      <w:r w:rsidR="00E70B89" w:rsidRPr="00A72C49">
        <w:rPr>
          <w:bCs/>
          <w:szCs w:val="28"/>
        </w:rPr>
        <w:t xml:space="preserve">que es una </w:t>
      </w:r>
      <w:r w:rsidRPr="00A72C49">
        <w:rPr>
          <w:bCs/>
          <w:szCs w:val="28"/>
        </w:rPr>
        <w:t xml:space="preserve">justificación inescindible </w:t>
      </w:r>
      <w:r w:rsidR="00E70B89" w:rsidRPr="00A72C49">
        <w:rPr>
          <w:bCs/>
          <w:szCs w:val="28"/>
        </w:rPr>
        <w:t xml:space="preserve">frente a </w:t>
      </w:r>
      <w:r w:rsidRPr="00A72C49">
        <w:rPr>
          <w:bCs/>
          <w:szCs w:val="28"/>
        </w:rPr>
        <w:t>la resolutiva</w:t>
      </w:r>
      <w:r w:rsidR="00E70B89" w:rsidRPr="00A72C49">
        <w:rPr>
          <w:bCs/>
          <w:szCs w:val="28"/>
        </w:rPr>
        <w:t xml:space="preserve">, amparada bajo el criterio de </w:t>
      </w:r>
      <w:r w:rsidR="00AE7BCF" w:rsidRPr="00A72C49">
        <w:rPr>
          <w:bCs/>
          <w:szCs w:val="28"/>
        </w:rPr>
        <w:t xml:space="preserve">cosa juzgada constitucional. </w:t>
      </w:r>
    </w:p>
    <w:p w14:paraId="69D149A6" w14:textId="77777777" w:rsidR="009D7718" w:rsidRPr="00A72C49" w:rsidRDefault="009D7718" w:rsidP="009D7718">
      <w:pPr>
        <w:pStyle w:val="Prrafodelista"/>
        <w:rPr>
          <w:bCs/>
          <w:szCs w:val="28"/>
        </w:rPr>
      </w:pPr>
    </w:p>
    <w:p w14:paraId="1D0348D8" w14:textId="77777777" w:rsidR="009D7718" w:rsidRDefault="00974779" w:rsidP="00C275F3">
      <w:pPr>
        <w:pStyle w:val="Prrafodelista"/>
        <w:numPr>
          <w:ilvl w:val="0"/>
          <w:numId w:val="10"/>
        </w:numPr>
        <w:contextualSpacing/>
        <w:jc w:val="both"/>
        <w:rPr>
          <w:bCs/>
          <w:szCs w:val="28"/>
        </w:rPr>
      </w:pPr>
      <w:r w:rsidRPr="00A72C49">
        <w:rPr>
          <w:bCs/>
          <w:szCs w:val="28"/>
        </w:rPr>
        <w:t>De esta forma, la presunta ausencia de elementos que permitan determinar a quién le corresponde la reglamentación de la convocatoria</w:t>
      </w:r>
      <w:r w:rsidR="006B313F" w:rsidRPr="00A72C49">
        <w:rPr>
          <w:bCs/>
          <w:szCs w:val="28"/>
        </w:rPr>
        <w:t xml:space="preserve"> inicial</w:t>
      </w:r>
      <w:r w:rsidRPr="00A72C49">
        <w:rPr>
          <w:bCs/>
          <w:szCs w:val="28"/>
        </w:rPr>
        <w:t xml:space="preserve"> dentro del ordenamiento constitucional</w:t>
      </w:r>
      <w:r w:rsidR="006B313F" w:rsidRPr="00A72C49">
        <w:rPr>
          <w:bCs/>
          <w:szCs w:val="28"/>
        </w:rPr>
        <w:t xml:space="preserve"> actual</w:t>
      </w:r>
      <w:r w:rsidRPr="00A72C49">
        <w:rPr>
          <w:bCs/>
          <w:szCs w:val="28"/>
        </w:rPr>
        <w:t>, es un argumento que se desvirtúa, al integrar</w:t>
      </w:r>
      <w:r w:rsidR="005B4334" w:rsidRPr="00A72C49">
        <w:rPr>
          <w:bCs/>
          <w:szCs w:val="28"/>
        </w:rPr>
        <w:t xml:space="preserve"> </w:t>
      </w:r>
      <w:r w:rsidR="00947EDB" w:rsidRPr="00A72C49">
        <w:rPr>
          <w:bCs/>
          <w:i/>
          <w:iCs/>
          <w:szCs w:val="28"/>
        </w:rPr>
        <w:t>la ratio decidendi</w:t>
      </w:r>
      <w:r w:rsidR="005B4334" w:rsidRPr="00A72C49">
        <w:rPr>
          <w:bCs/>
          <w:i/>
          <w:iCs/>
          <w:szCs w:val="28"/>
        </w:rPr>
        <w:t xml:space="preserve"> </w:t>
      </w:r>
      <w:r w:rsidR="005B4334" w:rsidRPr="00A72C49">
        <w:rPr>
          <w:bCs/>
          <w:szCs w:val="28"/>
        </w:rPr>
        <w:t>o</w:t>
      </w:r>
      <w:r w:rsidR="005B4334" w:rsidRPr="00A72C49">
        <w:rPr>
          <w:bCs/>
          <w:i/>
          <w:iCs/>
          <w:szCs w:val="28"/>
        </w:rPr>
        <w:t xml:space="preserve"> </w:t>
      </w:r>
      <w:r w:rsidR="005B4334" w:rsidRPr="00A72C49">
        <w:rPr>
          <w:bCs/>
          <w:szCs w:val="28"/>
        </w:rPr>
        <w:t>la regla de</w:t>
      </w:r>
      <w:r w:rsidR="00A72C49" w:rsidRPr="00A72C49">
        <w:rPr>
          <w:bCs/>
          <w:szCs w:val="28"/>
        </w:rPr>
        <w:t>rivada del análisis que hizo</w:t>
      </w:r>
      <w:r w:rsidR="005B4334" w:rsidRPr="00A72C49">
        <w:rPr>
          <w:bCs/>
          <w:szCs w:val="28"/>
        </w:rPr>
        <w:t xml:space="preserve"> la sentencia </w:t>
      </w:r>
      <w:r w:rsidR="003000BF" w:rsidRPr="00A72C49">
        <w:rPr>
          <w:bCs/>
          <w:szCs w:val="28"/>
        </w:rPr>
        <w:t xml:space="preserve"> C-285 de 2016 </w:t>
      </w:r>
      <w:r w:rsidR="005B4334" w:rsidRPr="00A72C49">
        <w:rPr>
          <w:bCs/>
          <w:szCs w:val="28"/>
        </w:rPr>
        <w:t xml:space="preserve">al </w:t>
      </w:r>
      <w:r w:rsidRPr="00A72C49">
        <w:rPr>
          <w:bCs/>
          <w:i/>
          <w:iCs/>
          <w:szCs w:val="28"/>
        </w:rPr>
        <w:t xml:space="preserve">precepto </w:t>
      </w:r>
      <w:r w:rsidR="005B4334" w:rsidRPr="00A72C49">
        <w:rPr>
          <w:bCs/>
          <w:i/>
          <w:iCs/>
          <w:szCs w:val="28"/>
        </w:rPr>
        <w:t xml:space="preserve">superior </w:t>
      </w:r>
      <w:r w:rsidRPr="00A72C49">
        <w:rPr>
          <w:bCs/>
          <w:i/>
          <w:iCs/>
          <w:szCs w:val="28"/>
        </w:rPr>
        <w:t>enunciado</w:t>
      </w:r>
      <w:r w:rsidR="00AE7BCF" w:rsidRPr="00A72C49">
        <w:rPr>
          <w:bCs/>
          <w:szCs w:val="28"/>
        </w:rPr>
        <w:t xml:space="preserve"> </w:t>
      </w:r>
      <w:r w:rsidR="008A2D46" w:rsidRPr="00A72C49">
        <w:rPr>
          <w:bCs/>
          <w:szCs w:val="28"/>
        </w:rPr>
        <w:t xml:space="preserve">(Art. 257A </w:t>
      </w:r>
      <w:r w:rsidR="00851E86" w:rsidRPr="00A72C49">
        <w:rPr>
          <w:bCs/>
          <w:szCs w:val="28"/>
        </w:rPr>
        <w:t>C.P.)</w:t>
      </w:r>
      <w:r w:rsidR="004F2925" w:rsidRPr="00A72C49">
        <w:rPr>
          <w:bCs/>
          <w:szCs w:val="28"/>
        </w:rPr>
        <w:t>.</w:t>
      </w:r>
      <w:r w:rsidRPr="00A72C49">
        <w:rPr>
          <w:bCs/>
          <w:szCs w:val="28"/>
        </w:rPr>
        <w:t xml:space="preserve"> </w:t>
      </w:r>
      <w:r w:rsidR="004F2925" w:rsidRPr="00A72C49">
        <w:rPr>
          <w:bCs/>
          <w:szCs w:val="28"/>
        </w:rPr>
        <w:t xml:space="preserve">Lo que </w:t>
      </w:r>
      <w:r w:rsidRPr="00A72C49">
        <w:rPr>
          <w:bCs/>
          <w:szCs w:val="28"/>
        </w:rPr>
        <w:t>pone en evidencia que en quien recae l</w:t>
      </w:r>
      <w:r w:rsidR="00AE7BCF" w:rsidRPr="00A72C49">
        <w:rPr>
          <w:bCs/>
          <w:szCs w:val="28"/>
        </w:rPr>
        <w:t xml:space="preserve">a competencia autónoma </w:t>
      </w:r>
      <w:r w:rsidRPr="00A72C49">
        <w:rPr>
          <w:bCs/>
          <w:szCs w:val="28"/>
        </w:rPr>
        <w:t>para realizar esa convocatoria</w:t>
      </w:r>
      <w:r w:rsidR="005B4334" w:rsidRPr="00A72C49">
        <w:rPr>
          <w:bCs/>
          <w:szCs w:val="28"/>
        </w:rPr>
        <w:t xml:space="preserve"> descrita</w:t>
      </w:r>
      <w:r w:rsidRPr="00A72C49">
        <w:rPr>
          <w:bCs/>
          <w:szCs w:val="28"/>
        </w:rPr>
        <w:t>, es</w:t>
      </w:r>
      <w:r w:rsidR="008F118E" w:rsidRPr="00A72C49">
        <w:rPr>
          <w:bCs/>
          <w:szCs w:val="28"/>
        </w:rPr>
        <w:t xml:space="preserve"> </w:t>
      </w:r>
      <w:r w:rsidR="00A72C49">
        <w:rPr>
          <w:bCs/>
          <w:szCs w:val="28"/>
        </w:rPr>
        <w:t xml:space="preserve">a la autoridad convocante, en este caso entonces </w:t>
      </w:r>
      <w:r w:rsidRPr="00A72C49">
        <w:rPr>
          <w:bCs/>
          <w:szCs w:val="28"/>
        </w:rPr>
        <w:t xml:space="preserve">al CSJ </w:t>
      </w:r>
      <w:r w:rsidR="00AE7BCF" w:rsidRPr="00A72C49">
        <w:rPr>
          <w:bCs/>
          <w:szCs w:val="28"/>
        </w:rPr>
        <w:t>en los términos</w:t>
      </w:r>
      <w:r w:rsidR="005B4334" w:rsidRPr="00A72C49">
        <w:rPr>
          <w:bCs/>
          <w:szCs w:val="28"/>
        </w:rPr>
        <w:t xml:space="preserve"> enunciados</w:t>
      </w:r>
      <w:r w:rsidR="00AE7BCF" w:rsidRPr="00A72C49">
        <w:rPr>
          <w:bCs/>
          <w:szCs w:val="28"/>
        </w:rPr>
        <w:t>. Lo anterior</w:t>
      </w:r>
      <w:r w:rsidRPr="00A72C49">
        <w:rPr>
          <w:bCs/>
          <w:szCs w:val="28"/>
        </w:rPr>
        <w:t>,</w:t>
      </w:r>
      <w:r w:rsidR="00AE7BCF" w:rsidRPr="00A72C49">
        <w:rPr>
          <w:bCs/>
          <w:szCs w:val="28"/>
        </w:rPr>
        <w:t xml:space="preserve"> </w:t>
      </w:r>
      <w:r w:rsidR="000C1BD7" w:rsidRPr="00A72C49">
        <w:rPr>
          <w:bCs/>
          <w:szCs w:val="28"/>
        </w:rPr>
        <w:t>para</w:t>
      </w:r>
      <w:r w:rsidR="006B313F" w:rsidRPr="00A72C49">
        <w:rPr>
          <w:bCs/>
          <w:szCs w:val="28"/>
        </w:rPr>
        <w:t xml:space="preserve"> </w:t>
      </w:r>
      <w:r w:rsidR="00AE7BCF" w:rsidRPr="00A72C49">
        <w:rPr>
          <w:bCs/>
          <w:szCs w:val="28"/>
        </w:rPr>
        <w:t>darle sentido a la arquitectu</w:t>
      </w:r>
      <w:r w:rsidRPr="00A72C49">
        <w:rPr>
          <w:bCs/>
          <w:szCs w:val="28"/>
        </w:rPr>
        <w:t>ra constitucional que surgió con el</w:t>
      </w:r>
      <w:r w:rsidR="00AE7BCF" w:rsidRPr="00A72C49">
        <w:rPr>
          <w:bCs/>
          <w:szCs w:val="28"/>
        </w:rPr>
        <w:t xml:space="preserve"> qu</w:t>
      </w:r>
      <w:r w:rsidRPr="00A72C49">
        <w:rPr>
          <w:bCs/>
          <w:szCs w:val="28"/>
        </w:rPr>
        <w:t xml:space="preserve">erer del </w:t>
      </w:r>
      <w:r w:rsidR="00AB029F" w:rsidRPr="00A72C49">
        <w:rPr>
          <w:bCs/>
          <w:szCs w:val="28"/>
        </w:rPr>
        <w:t>c</w:t>
      </w:r>
      <w:r w:rsidRPr="00A72C49">
        <w:rPr>
          <w:bCs/>
          <w:szCs w:val="28"/>
        </w:rPr>
        <w:t>onstituyente de 2015</w:t>
      </w:r>
      <w:r w:rsidR="004F2925" w:rsidRPr="009D7718">
        <w:rPr>
          <w:bCs/>
          <w:szCs w:val="28"/>
        </w:rPr>
        <w:t>, quien pretendía darle solución</w:t>
      </w:r>
      <w:r w:rsidR="006B313F" w:rsidRPr="009D7718">
        <w:rPr>
          <w:bCs/>
          <w:szCs w:val="28"/>
        </w:rPr>
        <w:t xml:space="preserve"> de continuidad a las instituciones, a sus funciones intrínsecas y a los derechos de quienes las integran, </w:t>
      </w:r>
      <w:r w:rsidRPr="009D7718">
        <w:rPr>
          <w:bCs/>
          <w:szCs w:val="28"/>
        </w:rPr>
        <w:t xml:space="preserve">bajo un esquema de </w:t>
      </w:r>
      <w:r w:rsidR="008A2D46" w:rsidRPr="009D7718">
        <w:rPr>
          <w:bCs/>
          <w:szCs w:val="28"/>
        </w:rPr>
        <w:t>transición</w:t>
      </w:r>
      <w:r w:rsidRPr="009D7718">
        <w:rPr>
          <w:bCs/>
          <w:szCs w:val="28"/>
        </w:rPr>
        <w:t xml:space="preserve">, </w:t>
      </w:r>
      <w:r w:rsidR="006B313F" w:rsidRPr="009D7718">
        <w:rPr>
          <w:bCs/>
          <w:szCs w:val="28"/>
        </w:rPr>
        <w:t xml:space="preserve">al tenor de los lineamientos de interpretación previstos en </w:t>
      </w:r>
      <w:r w:rsidR="004F2925" w:rsidRPr="009D7718">
        <w:rPr>
          <w:bCs/>
          <w:szCs w:val="28"/>
        </w:rPr>
        <w:t>esa</w:t>
      </w:r>
      <w:r w:rsidR="006B313F" w:rsidRPr="009D7718">
        <w:rPr>
          <w:bCs/>
          <w:szCs w:val="28"/>
        </w:rPr>
        <w:t xml:space="preserve"> sentencia. </w:t>
      </w:r>
    </w:p>
    <w:p w14:paraId="220E5166" w14:textId="77777777" w:rsidR="009D7718" w:rsidRDefault="009D7718" w:rsidP="009D7718">
      <w:pPr>
        <w:pStyle w:val="Prrafodelista"/>
        <w:rPr>
          <w:bCs/>
          <w:szCs w:val="28"/>
          <w:highlight w:val="lightGray"/>
        </w:rPr>
      </w:pPr>
    </w:p>
    <w:p w14:paraId="1A55821C" w14:textId="77777777" w:rsidR="009D7718" w:rsidRDefault="005B4334" w:rsidP="009D7718">
      <w:pPr>
        <w:pStyle w:val="Prrafodelista"/>
        <w:numPr>
          <w:ilvl w:val="0"/>
          <w:numId w:val="10"/>
        </w:numPr>
        <w:contextualSpacing/>
        <w:jc w:val="both"/>
        <w:rPr>
          <w:bCs/>
          <w:szCs w:val="28"/>
        </w:rPr>
      </w:pPr>
      <w:r w:rsidRPr="00A72C49">
        <w:rPr>
          <w:bCs/>
          <w:szCs w:val="28"/>
        </w:rPr>
        <w:t>De hecho</w:t>
      </w:r>
      <w:r w:rsidR="00F35D77" w:rsidRPr="00A72C49">
        <w:rPr>
          <w:bCs/>
          <w:szCs w:val="28"/>
        </w:rPr>
        <w:t>,</w:t>
      </w:r>
      <w:r w:rsidR="00F35D77" w:rsidRPr="009D7718">
        <w:rPr>
          <w:bCs/>
          <w:szCs w:val="28"/>
        </w:rPr>
        <w:t xml:space="preserve"> es importante recordar que</w:t>
      </w:r>
      <w:r w:rsidR="000C1BD7" w:rsidRPr="009D7718">
        <w:rPr>
          <w:bCs/>
          <w:szCs w:val="28"/>
        </w:rPr>
        <w:t xml:space="preserve"> el</w:t>
      </w:r>
      <w:r w:rsidR="00434BBA" w:rsidRPr="009D7718">
        <w:rPr>
          <w:bCs/>
          <w:szCs w:val="28"/>
        </w:rPr>
        <w:t xml:space="preserve"> constituyente </w:t>
      </w:r>
      <w:r w:rsidR="00C04023" w:rsidRPr="009D7718">
        <w:rPr>
          <w:bCs/>
          <w:szCs w:val="28"/>
        </w:rPr>
        <w:t>estableció</w:t>
      </w:r>
      <w:r w:rsidR="00655B85" w:rsidRPr="009D7718">
        <w:rPr>
          <w:bCs/>
          <w:szCs w:val="28"/>
        </w:rPr>
        <w:t xml:space="preserve"> </w:t>
      </w:r>
      <w:r w:rsidR="008F118E" w:rsidRPr="009D7718">
        <w:rPr>
          <w:b/>
          <w:szCs w:val="28"/>
        </w:rPr>
        <w:t>tres</w:t>
      </w:r>
      <w:r w:rsidR="00655B85" w:rsidRPr="009D7718">
        <w:rPr>
          <w:b/>
          <w:szCs w:val="28"/>
        </w:rPr>
        <w:t xml:space="preserve"> objetivos</w:t>
      </w:r>
      <w:r w:rsidR="00C04023" w:rsidRPr="009D7718">
        <w:rPr>
          <w:bCs/>
          <w:szCs w:val="28"/>
        </w:rPr>
        <w:t xml:space="preserve"> </w:t>
      </w:r>
      <w:r w:rsidR="00655B85" w:rsidRPr="009D7718">
        <w:rPr>
          <w:bCs/>
          <w:szCs w:val="28"/>
        </w:rPr>
        <w:t xml:space="preserve">concretos </w:t>
      </w:r>
      <w:r w:rsidR="00C04023" w:rsidRPr="009D7718">
        <w:rPr>
          <w:bCs/>
          <w:szCs w:val="28"/>
        </w:rPr>
        <w:t>en el A.L. 02 de 2015</w:t>
      </w:r>
      <w:r w:rsidR="00655B85" w:rsidRPr="009D7718">
        <w:rPr>
          <w:bCs/>
          <w:szCs w:val="28"/>
        </w:rPr>
        <w:t xml:space="preserve"> en lo concerniente a </w:t>
      </w:r>
      <w:r w:rsidR="002D420A" w:rsidRPr="009D7718">
        <w:rPr>
          <w:bCs/>
          <w:szCs w:val="28"/>
        </w:rPr>
        <w:t xml:space="preserve">la </w:t>
      </w:r>
      <w:r w:rsidR="00655B85" w:rsidRPr="009D7718">
        <w:rPr>
          <w:bCs/>
          <w:szCs w:val="28"/>
        </w:rPr>
        <w:t xml:space="preserve">designación de los </w:t>
      </w:r>
      <w:r w:rsidR="002F2B05" w:rsidRPr="009D7718">
        <w:rPr>
          <w:bCs/>
          <w:szCs w:val="28"/>
        </w:rPr>
        <w:t xml:space="preserve">magistrados </w:t>
      </w:r>
      <w:r w:rsidR="00655B85" w:rsidRPr="009D7718">
        <w:rPr>
          <w:bCs/>
          <w:szCs w:val="28"/>
        </w:rPr>
        <w:t>de la CNDJ</w:t>
      </w:r>
      <w:r w:rsidR="002D420A" w:rsidRPr="009D7718">
        <w:rPr>
          <w:bCs/>
          <w:szCs w:val="28"/>
        </w:rPr>
        <w:t>,</w:t>
      </w:r>
      <w:r w:rsidR="002F2B05" w:rsidRPr="009D7718">
        <w:rPr>
          <w:bCs/>
          <w:szCs w:val="28"/>
        </w:rPr>
        <w:t xml:space="preserve"> por</w:t>
      </w:r>
      <w:r w:rsidR="002D420A" w:rsidRPr="009D7718">
        <w:rPr>
          <w:bCs/>
          <w:szCs w:val="28"/>
        </w:rPr>
        <w:t xml:space="preserve"> parte de</w:t>
      </w:r>
      <w:r w:rsidR="002F2B05" w:rsidRPr="009D7718">
        <w:rPr>
          <w:bCs/>
          <w:szCs w:val="28"/>
        </w:rPr>
        <w:t xml:space="preserve"> los nuevos organismos creados </w:t>
      </w:r>
      <w:r w:rsidR="002D420A" w:rsidRPr="009D7718">
        <w:rPr>
          <w:bCs/>
          <w:szCs w:val="28"/>
        </w:rPr>
        <w:t>con</w:t>
      </w:r>
      <w:r w:rsidR="002F2B05" w:rsidRPr="009D7718">
        <w:rPr>
          <w:bCs/>
          <w:szCs w:val="28"/>
        </w:rPr>
        <w:t xml:space="preserve"> la reforma</w:t>
      </w:r>
      <w:r w:rsidR="00655B85" w:rsidRPr="009D7718">
        <w:rPr>
          <w:bCs/>
          <w:szCs w:val="28"/>
        </w:rPr>
        <w:t xml:space="preserve">: </w:t>
      </w:r>
      <w:r w:rsidR="00655B85" w:rsidRPr="009D7718">
        <w:rPr>
          <w:b/>
          <w:szCs w:val="28"/>
        </w:rPr>
        <w:t>(i)</w:t>
      </w:r>
      <w:r w:rsidR="002F2B05" w:rsidRPr="009D7718">
        <w:rPr>
          <w:bCs/>
          <w:szCs w:val="28"/>
        </w:rPr>
        <w:t xml:space="preserve"> </w:t>
      </w:r>
      <w:r w:rsidR="001C59C1" w:rsidRPr="009D7718">
        <w:rPr>
          <w:bCs/>
          <w:szCs w:val="28"/>
        </w:rPr>
        <w:t>conformar la CNDJ a partir de la elección de sus miembros</w:t>
      </w:r>
      <w:r w:rsidR="002F2B05" w:rsidRPr="009D7718">
        <w:rPr>
          <w:bCs/>
          <w:szCs w:val="28"/>
        </w:rPr>
        <w:t xml:space="preserve"> por el Congreso</w:t>
      </w:r>
      <w:r w:rsidR="001C59C1" w:rsidRPr="009D7718">
        <w:rPr>
          <w:bCs/>
          <w:szCs w:val="28"/>
        </w:rPr>
        <w:t>, de ternas enviadas</w:t>
      </w:r>
      <w:r w:rsidR="00EB0A42" w:rsidRPr="009D7718">
        <w:rPr>
          <w:bCs/>
          <w:szCs w:val="28"/>
        </w:rPr>
        <w:t xml:space="preserve">, </w:t>
      </w:r>
      <w:r w:rsidR="000C1BD7" w:rsidRPr="009D7718">
        <w:rPr>
          <w:bCs/>
          <w:szCs w:val="28"/>
        </w:rPr>
        <w:t>para el</w:t>
      </w:r>
      <w:r w:rsidR="002D420A" w:rsidRPr="009D7718">
        <w:rPr>
          <w:bCs/>
          <w:szCs w:val="28"/>
        </w:rPr>
        <w:t xml:space="preserve"> caso,</w:t>
      </w:r>
      <w:r w:rsidR="001C59C1" w:rsidRPr="009D7718">
        <w:rPr>
          <w:bCs/>
          <w:szCs w:val="28"/>
        </w:rPr>
        <w:t xml:space="preserve"> por el </w:t>
      </w:r>
      <w:r w:rsidR="001C59C1" w:rsidRPr="009D7718">
        <w:rPr>
          <w:bCs/>
          <w:i/>
          <w:iCs/>
          <w:szCs w:val="28"/>
        </w:rPr>
        <w:t>Consejo de Gobierno Judicial</w:t>
      </w:r>
      <w:r w:rsidR="000C1BD7" w:rsidRPr="009D7718">
        <w:rPr>
          <w:bCs/>
          <w:szCs w:val="28"/>
        </w:rPr>
        <w:t xml:space="preserve">; </w:t>
      </w:r>
      <w:r w:rsidR="005635B4" w:rsidRPr="009D7718">
        <w:rPr>
          <w:b/>
          <w:szCs w:val="28"/>
        </w:rPr>
        <w:t>(</w:t>
      </w:r>
      <w:r w:rsidR="001C59C1" w:rsidRPr="009D7718">
        <w:rPr>
          <w:b/>
          <w:szCs w:val="28"/>
        </w:rPr>
        <w:t>ii)</w:t>
      </w:r>
      <w:r w:rsidR="000C1BD7" w:rsidRPr="009D7718">
        <w:rPr>
          <w:b/>
          <w:szCs w:val="28"/>
        </w:rPr>
        <w:t xml:space="preserve"> </w:t>
      </w:r>
      <w:r w:rsidR="000C1BD7" w:rsidRPr="009D7718">
        <w:rPr>
          <w:bCs/>
          <w:szCs w:val="28"/>
        </w:rPr>
        <w:t>lo anterior,</w:t>
      </w:r>
      <w:r w:rsidR="001C59C1" w:rsidRPr="009D7718">
        <w:rPr>
          <w:bCs/>
          <w:szCs w:val="28"/>
        </w:rPr>
        <w:t xml:space="preserve"> previa convocatoria pública reglada</w:t>
      </w:r>
      <w:r w:rsidR="00302877" w:rsidRPr="009D7718">
        <w:rPr>
          <w:bCs/>
          <w:szCs w:val="28"/>
        </w:rPr>
        <w:t xml:space="preserve"> también</w:t>
      </w:r>
      <w:r w:rsidR="003F2990" w:rsidRPr="009D7718">
        <w:rPr>
          <w:bCs/>
          <w:szCs w:val="28"/>
        </w:rPr>
        <w:t xml:space="preserve"> por el</w:t>
      </w:r>
      <w:r w:rsidR="00C727E7" w:rsidRPr="009D7718">
        <w:rPr>
          <w:bCs/>
          <w:szCs w:val="28"/>
        </w:rPr>
        <w:t xml:space="preserve"> </w:t>
      </w:r>
      <w:r w:rsidR="003F2990" w:rsidRPr="009D7718">
        <w:rPr>
          <w:bCs/>
          <w:szCs w:val="28"/>
        </w:rPr>
        <w:t>mismo Consejo de Gobierno Judicial</w:t>
      </w:r>
      <w:r w:rsidR="003F2990" w:rsidRPr="002E4477">
        <w:rPr>
          <w:rStyle w:val="Refdenotaalpie"/>
          <w:bCs/>
          <w:szCs w:val="28"/>
        </w:rPr>
        <w:footnoteReference w:id="385"/>
      </w:r>
      <w:r w:rsidR="0032294F" w:rsidRPr="009D7718">
        <w:rPr>
          <w:bCs/>
          <w:szCs w:val="28"/>
        </w:rPr>
        <w:t xml:space="preserve">, </w:t>
      </w:r>
      <w:r w:rsidR="00C727E7" w:rsidRPr="009D7718">
        <w:rPr>
          <w:bCs/>
          <w:szCs w:val="28"/>
        </w:rPr>
        <w:t>y</w:t>
      </w:r>
      <w:r w:rsidR="001C59C1" w:rsidRPr="009D7718">
        <w:rPr>
          <w:bCs/>
          <w:szCs w:val="28"/>
        </w:rPr>
        <w:t xml:space="preserve"> adelantada por la </w:t>
      </w:r>
      <w:r w:rsidR="001C59C1" w:rsidRPr="009D7718">
        <w:rPr>
          <w:bCs/>
          <w:i/>
          <w:iCs/>
          <w:szCs w:val="28"/>
        </w:rPr>
        <w:t>Gerencia de la Rama Judicial</w:t>
      </w:r>
      <w:r w:rsidR="0031087C" w:rsidRPr="009D7718">
        <w:rPr>
          <w:bCs/>
          <w:szCs w:val="28"/>
        </w:rPr>
        <w:t xml:space="preserve">, </w:t>
      </w:r>
      <w:r w:rsidR="002D420A" w:rsidRPr="009D7718">
        <w:rPr>
          <w:b/>
          <w:szCs w:val="28"/>
        </w:rPr>
        <w:t>(iii)</w:t>
      </w:r>
      <w:r w:rsidR="002D420A" w:rsidRPr="009D7718">
        <w:rPr>
          <w:bCs/>
          <w:szCs w:val="28"/>
        </w:rPr>
        <w:t xml:space="preserve"> dentro del año siguiente a la vigencia del A</w:t>
      </w:r>
      <w:r w:rsidR="0032294F" w:rsidRPr="009D7718">
        <w:rPr>
          <w:bCs/>
          <w:szCs w:val="28"/>
        </w:rPr>
        <w:t>.</w:t>
      </w:r>
      <w:r w:rsidR="002D420A" w:rsidRPr="009D7718">
        <w:rPr>
          <w:bCs/>
          <w:szCs w:val="28"/>
        </w:rPr>
        <w:t>L</w:t>
      </w:r>
      <w:r w:rsidR="0032294F" w:rsidRPr="009D7718">
        <w:rPr>
          <w:bCs/>
          <w:szCs w:val="28"/>
        </w:rPr>
        <w:t>.</w:t>
      </w:r>
      <w:r w:rsidR="0031087C" w:rsidRPr="009D7718">
        <w:rPr>
          <w:bCs/>
          <w:szCs w:val="28"/>
        </w:rPr>
        <w:t xml:space="preserve"> </w:t>
      </w:r>
      <w:r w:rsidR="0032294F" w:rsidRPr="009D7718">
        <w:rPr>
          <w:bCs/>
          <w:szCs w:val="28"/>
        </w:rPr>
        <w:t>02 de 2015</w:t>
      </w:r>
      <w:r w:rsidR="002D420A" w:rsidRPr="009D7718">
        <w:rPr>
          <w:bCs/>
          <w:szCs w:val="28"/>
        </w:rPr>
        <w:t xml:space="preserve">. </w:t>
      </w:r>
    </w:p>
    <w:p w14:paraId="5D6D2DA8" w14:textId="77777777" w:rsidR="009D7718" w:rsidRDefault="009D7718" w:rsidP="009D7718">
      <w:pPr>
        <w:pStyle w:val="Prrafodelista"/>
        <w:rPr>
          <w:bCs/>
          <w:szCs w:val="28"/>
        </w:rPr>
      </w:pPr>
    </w:p>
    <w:p w14:paraId="407D7CCB" w14:textId="77777777" w:rsidR="009D7718" w:rsidRDefault="009D7718" w:rsidP="009D7718">
      <w:pPr>
        <w:pStyle w:val="Prrafodelista"/>
        <w:ind w:left="0"/>
        <w:contextualSpacing/>
        <w:jc w:val="both"/>
        <w:rPr>
          <w:bCs/>
          <w:szCs w:val="28"/>
        </w:rPr>
      </w:pPr>
      <w:r w:rsidRPr="00F71D1E">
        <w:rPr>
          <w:bCs/>
          <w:szCs w:val="28"/>
        </w:rPr>
        <w:t>Una descripción que no permite inferir la necesidad</w:t>
      </w:r>
      <w:r w:rsidRPr="009D7718">
        <w:rPr>
          <w:bCs/>
          <w:szCs w:val="28"/>
        </w:rPr>
        <w:t xml:space="preserve"> de una ley previa para la reglamentación de la convocatoria pública reglada, en la medida en que se trataba de un trámite asignado expresamente a</w:t>
      </w:r>
      <w:r w:rsidR="00F71D1E">
        <w:rPr>
          <w:bCs/>
          <w:szCs w:val="28"/>
        </w:rPr>
        <w:t xml:space="preserve"> </w:t>
      </w:r>
      <w:r w:rsidRPr="009D7718">
        <w:rPr>
          <w:bCs/>
          <w:szCs w:val="28"/>
        </w:rPr>
        <w:t>l</w:t>
      </w:r>
      <w:r w:rsidR="00F71D1E">
        <w:rPr>
          <w:bCs/>
          <w:szCs w:val="28"/>
        </w:rPr>
        <w:t>a autoridad convocante, en este caso al</w:t>
      </w:r>
      <w:r w:rsidRPr="009D7718">
        <w:rPr>
          <w:bCs/>
          <w:szCs w:val="28"/>
        </w:rPr>
        <w:t xml:space="preserve"> Consejo de Gobierno Judicial. </w:t>
      </w:r>
    </w:p>
    <w:p w14:paraId="29294DC4" w14:textId="77777777" w:rsidR="009D7718" w:rsidRPr="009D7718" w:rsidRDefault="009D7718" w:rsidP="009D7718">
      <w:pPr>
        <w:pStyle w:val="Prrafodelista"/>
        <w:ind w:left="0"/>
        <w:contextualSpacing/>
        <w:jc w:val="both"/>
        <w:rPr>
          <w:bCs/>
          <w:szCs w:val="28"/>
        </w:rPr>
      </w:pPr>
    </w:p>
    <w:p w14:paraId="30991FC3" w14:textId="77777777" w:rsidR="00337901" w:rsidRDefault="003F2990" w:rsidP="009D7718">
      <w:pPr>
        <w:pStyle w:val="Prrafodelista"/>
        <w:numPr>
          <w:ilvl w:val="0"/>
          <w:numId w:val="10"/>
        </w:numPr>
        <w:contextualSpacing/>
        <w:jc w:val="both"/>
        <w:rPr>
          <w:bCs/>
          <w:szCs w:val="28"/>
        </w:rPr>
      </w:pPr>
      <w:r w:rsidRPr="009D7718">
        <w:rPr>
          <w:bCs/>
          <w:szCs w:val="28"/>
        </w:rPr>
        <w:t xml:space="preserve">Ahora bien, una lectura </w:t>
      </w:r>
      <w:r w:rsidR="0032294F" w:rsidRPr="009D7718">
        <w:rPr>
          <w:bCs/>
          <w:szCs w:val="28"/>
        </w:rPr>
        <w:t xml:space="preserve">descontextualizada </w:t>
      </w:r>
      <w:r w:rsidRPr="009D7718">
        <w:rPr>
          <w:bCs/>
          <w:szCs w:val="28"/>
        </w:rPr>
        <w:t>de</w:t>
      </w:r>
      <w:r w:rsidR="009E69CE" w:rsidRPr="009D7718">
        <w:rPr>
          <w:bCs/>
          <w:szCs w:val="28"/>
        </w:rPr>
        <w:t>l artículo 257A superior</w:t>
      </w:r>
      <w:r w:rsidR="008F5E42" w:rsidRPr="009D7718">
        <w:rPr>
          <w:bCs/>
          <w:szCs w:val="28"/>
        </w:rPr>
        <w:t>, limitada esta vez a</w:t>
      </w:r>
      <w:r w:rsidR="00EC61D1" w:rsidRPr="009D7718">
        <w:rPr>
          <w:bCs/>
          <w:szCs w:val="28"/>
        </w:rPr>
        <w:t>l texto resultante de</w:t>
      </w:r>
      <w:r w:rsidR="000C149C" w:rsidRPr="009D7718">
        <w:rPr>
          <w:bCs/>
          <w:szCs w:val="28"/>
        </w:rPr>
        <w:t>l análisis</w:t>
      </w:r>
      <w:r w:rsidR="00EC61D1" w:rsidRPr="009D7718">
        <w:rPr>
          <w:bCs/>
          <w:szCs w:val="28"/>
        </w:rPr>
        <w:t xml:space="preserve"> de la parte </w:t>
      </w:r>
      <w:r w:rsidRPr="009D7718">
        <w:rPr>
          <w:bCs/>
          <w:szCs w:val="28"/>
        </w:rPr>
        <w:t xml:space="preserve">resolutiva de la </w:t>
      </w:r>
      <w:r w:rsidRPr="009D7718">
        <w:rPr>
          <w:b/>
          <w:szCs w:val="28"/>
        </w:rPr>
        <w:t>Sentencia C-285 de 2016</w:t>
      </w:r>
      <w:r w:rsidR="008F5E42" w:rsidRPr="009D7718">
        <w:rPr>
          <w:bCs/>
          <w:szCs w:val="28"/>
        </w:rPr>
        <w:t xml:space="preserve"> y sin</w:t>
      </w:r>
      <w:r w:rsidR="000C1BD7" w:rsidRPr="009D7718">
        <w:rPr>
          <w:bCs/>
          <w:szCs w:val="28"/>
        </w:rPr>
        <w:t xml:space="preserve"> tomar en </w:t>
      </w:r>
      <w:r w:rsidR="008F5E42" w:rsidRPr="009D7718">
        <w:rPr>
          <w:bCs/>
          <w:szCs w:val="28"/>
        </w:rPr>
        <w:t xml:space="preserve">cuenta </w:t>
      </w:r>
      <w:r w:rsidR="000C149C" w:rsidRPr="009D7718">
        <w:rPr>
          <w:bCs/>
          <w:szCs w:val="28"/>
        </w:rPr>
        <w:t>su</w:t>
      </w:r>
      <w:r w:rsidR="009E69CE" w:rsidRPr="009D7718">
        <w:rPr>
          <w:bCs/>
          <w:szCs w:val="28"/>
        </w:rPr>
        <w:t xml:space="preserve"> </w:t>
      </w:r>
      <w:r w:rsidR="00DD4DED" w:rsidRPr="009D7718">
        <w:rPr>
          <w:bCs/>
          <w:szCs w:val="28"/>
        </w:rPr>
        <w:t>parte</w:t>
      </w:r>
      <w:r w:rsidRPr="009D7718">
        <w:rPr>
          <w:bCs/>
          <w:szCs w:val="28"/>
        </w:rPr>
        <w:t xml:space="preserve"> motiva</w:t>
      </w:r>
      <w:r w:rsidR="00DD4DED" w:rsidRPr="009D7718">
        <w:rPr>
          <w:bCs/>
          <w:szCs w:val="28"/>
        </w:rPr>
        <w:t>,</w:t>
      </w:r>
      <w:r w:rsidR="00F35D77" w:rsidRPr="009D7718">
        <w:rPr>
          <w:bCs/>
          <w:szCs w:val="28"/>
        </w:rPr>
        <w:t xml:space="preserve"> </w:t>
      </w:r>
      <w:r w:rsidR="00EC61D1" w:rsidRPr="009D7718">
        <w:rPr>
          <w:bCs/>
          <w:szCs w:val="28"/>
        </w:rPr>
        <w:t>su</w:t>
      </w:r>
      <w:r w:rsidR="00133EAE" w:rsidRPr="009D7718">
        <w:rPr>
          <w:bCs/>
          <w:szCs w:val="28"/>
        </w:rPr>
        <w:t>po</w:t>
      </w:r>
      <w:r w:rsidR="00EC61D1" w:rsidRPr="009D7718">
        <w:rPr>
          <w:bCs/>
          <w:szCs w:val="28"/>
        </w:rPr>
        <w:t>n</w:t>
      </w:r>
      <w:r w:rsidR="00133EAE" w:rsidRPr="009D7718">
        <w:rPr>
          <w:bCs/>
          <w:szCs w:val="28"/>
        </w:rPr>
        <w:t xml:space="preserve">dría </w:t>
      </w:r>
      <w:r w:rsidR="000C149C" w:rsidRPr="009D7718">
        <w:rPr>
          <w:bCs/>
          <w:szCs w:val="28"/>
        </w:rPr>
        <w:t xml:space="preserve">como </w:t>
      </w:r>
      <w:r w:rsidR="00133EAE" w:rsidRPr="009D7718">
        <w:rPr>
          <w:bCs/>
          <w:szCs w:val="28"/>
        </w:rPr>
        <w:t xml:space="preserve">conclusión </w:t>
      </w:r>
      <w:r w:rsidR="000C149C" w:rsidRPr="009D7718">
        <w:rPr>
          <w:bCs/>
          <w:szCs w:val="28"/>
        </w:rPr>
        <w:t>básica</w:t>
      </w:r>
      <w:r w:rsidR="00E842C4">
        <w:rPr>
          <w:bCs/>
          <w:szCs w:val="28"/>
        </w:rPr>
        <w:t xml:space="preserve">, </w:t>
      </w:r>
      <w:r w:rsidR="000C149C" w:rsidRPr="009D7718">
        <w:rPr>
          <w:bCs/>
          <w:szCs w:val="28"/>
        </w:rPr>
        <w:t xml:space="preserve">tal y </w:t>
      </w:r>
      <w:r w:rsidR="00133EAE" w:rsidRPr="009D7718">
        <w:rPr>
          <w:bCs/>
          <w:szCs w:val="28"/>
        </w:rPr>
        <w:t xml:space="preserve">como lo hizo el Consejo de Estado, </w:t>
      </w:r>
      <w:r w:rsidRPr="009D7718">
        <w:rPr>
          <w:bCs/>
          <w:szCs w:val="28"/>
        </w:rPr>
        <w:t>que</w:t>
      </w:r>
      <w:r w:rsidR="000C149C" w:rsidRPr="009D7718">
        <w:rPr>
          <w:bCs/>
          <w:szCs w:val="28"/>
        </w:rPr>
        <w:t xml:space="preserve"> la Corte Constitucional decidió sustraer del ordenamiento jurídico </w:t>
      </w:r>
      <w:r w:rsidR="000C149C" w:rsidRPr="009D7718">
        <w:rPr>
          <w:b/>
          <w:szCs w:val="28"/>
        </w:rPr>
        <w:t xml:space="preserve">toda </w:t>
      </w:r>
      <w:r w:rsidR="000C149C" w:rsidRPr="009D7718">
        <w:rPr>
          <w:bCs/>
          <w:szCs w:val="28"/>
        </w:rPr>
        <w:t xml:space="preserve">la regulación transitoria, ante </w:t>
      </w:r>
      <w:r w:rsidRPr="009D7718">
        <w:rPr>
          <w:bCs/>
          <w:szCs w:val="28"/>
        </w:rPr>
        <w:t>la declara</w:t>
      </w:r>
      <w:r w:rsidR="000C149C" w:rsidRPr="009D7718">
        <w:rPr>
          <w:bCs/>
          <w:szCs w:val="28"/>
        </w:rPr>
        <w:t>ción</w:t>
      </w:r>
      <w:r w:rsidRPr="009D7718">
        <w:rPr>
          <w:bCs/>
          <w:szCs w:val="28"/>
        </w:rPr>
        <w:t xml:space="preserve"> de inconstitucionalidad </w:t>
      </w:r>
      <w:r w:rsidR="00703E0B" w:rsidRPr="009D7718">
        <w:rPr>
          <w:bCs/>
          <w:szCs w:val="28"/>
        </w:rPr>
        <w:t>del artículo 18 del Acto Legislativo</w:t>
      </w:r>
      <w:r w:rsidR="00133EAE" w:rsidRPr="009D7718">
        <w:rPr>
          <w:bCs/>
          <w:szCs w:val="28"/>
        </w:rPr>
        <w:t xml:space="preserve">. Una conclusión </w:t>
      </w:r>
      <w:r w:rsidR="00A407B4" w:rsidRPr="009D7718">
        <w:rPr>
          <w:bCs/>
          <w:szCs w:val="28"/>
        </w:rPr>
        <w:t>que</w:t>
      </w:r>
      <w:r w:rsidR="000C149C" w:rsidRPr="009D7718">
        <w:rPr>
          <w:bCs/>
          <w:szCs w:val="28"/>
        </w:rPr>
        <w:t xml:space="preserve"> </w:t>
      </w:r>
      <w:r w:rsidR="005D042C" w:rsidRPr="009D7718">
        <w:rPr>
          <w:bCs/>
          <w:szCs w:val="28"/>
        </w:rPr>
        <w:t xml:space="preserve">le </w:t>
      </w:r>
      <w:r w:rsidR="00A407B4" w:rsidRPr="009D7718">
        <w:rPr>
          <w:bCs/>
          <w:szCs w:val="28"/>
        </w:rPr>
        <w:t>permitiría</w:t>
      </w:r>
      <w:r w:rsidR="00270215" w:rsidRPr="009D7718">
        <w:rPr>
          <w:bCs/>
          <w:szCs w:val="28"/>
        </w:rPr>
        <w:t xml:space="preserve"> </w:t>
      </w:r>
      <w:r w:rsidR="00A407B4" w:rsidRPr="009D7718">
        <w:rPr>
          <w:bCs/>
          <w:szCs w:val="28"/>
        </w:rPr>
        <w:t xml:space="preserve">justificar </w:t>
      </w:r>
      <w:r w:rsidR="009E69CE" w:rsidRPr="009D7718">
        <w:rPr>
          <w:bCs/>
          <w:szCs w:val="28"/>
        </w:rPr>
        <w:t xml:space="preserve">la necesidad </w:t>
      </w:r>
      <w:r w:rsidR="008F5E42" w:rsidRPr="009D7718">
        <w:rPr>
          <w:bCs/>
          <w:szCs w:val="28"/>
        </w:rPr>
        <w:t xml:space="preserve">eventual </w:t>
      </w:r>
      <w:r w:rsidR="009E69CE" w:rsidRPr="009D7718">
        <w:rPr>
          <w:bCs/>
          <w:szCs w:val="28"/>
        </w:rPr>
        <w:t xml:space="preserve">de acudir </w:t>
      </w:r>
      <w:r w:rsidR="008F5E42" w:rsidRPr="009D7718">
        <w:rPr>
          <w:bCs/>
          <w:szCs w:val="28"/>
        </w:rPr>
        <w:t xml:space="preserve">directamente </w:t>
      </w:r>
      <w:r w:rsidR="009E69CE" w:rsidRPr="009D7718">
        <w:rPr>
          <w:bCs/>
          <w:szCs w:val="28"/>
        </w:rPr>
        <w:t xml:space="preserve">al </w:t>
      </w:r>
      <w:r w:rsidR="00DE7AB9" w:rsidRPr="009D7718">
        <w:rPr>
          <w:bCs/>
          <w:szCs w:val="28"/>
        </w:rPr>
        <w:t>L</w:t>
      </w:r>
      <w:r w:rsidR="009E69CE" w:rsidRPr="009D7718">
        <w:rPr>
          <w:bCs/>
          <w:szCs w:val="28"/>
        </w:rPr>
        <w:t>egislador</w:t>
      </w:r>
      <w:r w:rsidR="005D042C" w:rsidRPr="009D7718">
        <w:rPr>
          <w:bCs/>
          <w:szCs w:val="28"/>
        </w:rPr>
        <w:t xml:space="preserve"> para interpretar el artículo 2</w:t>
      </w:r>
      <w:r w:rsidR="00E842C4">
        <w:rPr>
          <w:bCs/>
          <w:szCs w:val="28"/>
        </w:rPr>
        <w:t>5</w:t>
      </w:r>
      <w:r w:rsidR="005D042C" w:rsidRPr="009D7718">
        <w:rPr>
          <w:bCs/>
          <w:szCs w:val="28"/>
        </w:rPr>
        <w:t>7A superior</w:t>
      </w:r>
      <w:r w:rsidR="008F5E42" w:rsidRPr="009D7718">
        <w:rPr>
          <w:bCs/>
          <w:szCs w:val="28"/>
        </w:rPr>
        <w:t>,</w:t>
      </w:r>
      <w:r w:rsidR="009E69CE" w:rsidRPr="009D7718">
        <w:rPr>
          <w:bCs/>
          <w:szCs w:val="28"/>
        </w:rPr>
        <w:t xml:space="preserve"> </w:t>
      </w:r>
      <w:r w:rsidR="0084271E" w:rsidRPr="009D7718">
        <w:rPr>
          <w:bCs/>
          <w:szCs w:val="28"/>
        </w:rPr>
        <w:t xml:space="preserve">ante la ausencia </w:t>
      </w:r>
      <w:r w:rsidR="005D042C" w:rsidRPr="009D7718">
        <w:rPr>
          <w:bCs/>
          <w:szCs w:val="28"/>
        </w:rPr>
        <w:t xml:space="preserve">aparente </w:t>
      </w:r>
      <w:r w:rsidR="0084271E" w:rsidRPr="009D7718">
        <w:rPr>
          <w:bCs/>
          <w:szCs w:val="28"/>
        </w:rPr>
        <w:t xml:space="preserve">de </w:t>
      </w:r>
      <w:r w:rsidR="005D042C" w:rsidRPr="009D7718">
        <w:rPr>
          <w:bCs/>
          <w:szCs w:val="28"/>
        </w:rPr>
        <w:t xml:space="preserve">las </w:t>
      </w:r>
      <w:r w:rsidR="0084271E" w:rsidRPr="009D7718">
        <w:rPr>
          <w:bCs/>
          <w:szCs w:val="28"/>
        </w:rPr>
        <w:t>disposiciones transitorias</w:t>
      </w:r>
      <w:r w:rsidR="008F5E42" w:rsidRPr="009D7718">
        <w:rPr>
          <w:bCs/>
          <w:szCs w:val="28"/>
        </w:rPr>
        <w:t xml:space="preserve"> sobre la regulación de la convocatoria.</w:t>
      </w:r>
    </w:p>
    <w:p w14:paraId="7D644138" w14:textId="77777777" w:rsidR="00337901" w:rsidRDefault="00337901" w:rsidP="00337901">
      <w:pPr>
        <w:pStyle w:val="Prrafodelista"/>
        <w:ind w:left="0"/>
        <w:contextualSpacing/>
        <w:jc w:val="both"/>
        <w:rPr>
          <w:bCs/>
          <w:szCs w:val="28"/>
        </w:rPr>
      </w:pPr>
    </w:p>
    <w:p w14:paraId="0A270931" w14:textId="77777777" w:rsidR="00337901" w:rsidRDefault="005D042C" w:rsidP="00337901">
      <w:pPr>
        <w:pStyle w:val="Prrafodelista"/>
        <w:ind w:left="0"/>
        <w:contextualSpacing/>
        <w:jc w:val="both"/>
        <w:rPr>
          <w:bCs/>
          <w:szCs w:val="28"/>
        </w:rPr>
      </w:pPr>
      <w:r w:rsidRPr="00337901">
        <w:rPr>
          <w:bCs/>
          <w:szCs w:val="28"/>
        </w:rPr>
        <w:t>Sin embargo</w:t>
      </w:r>
      <w:r w:rsidR="0048462F" w:rsidRPr="00337901">
        <w:rPr>
          <w:bCs/>
          <w:szCs w:val="28"/>
        </w:rPr>
        <w:t xml:space="preserve">, </w:t>
      </w:r>
      <w:r w:rsidR="00A407B4" w:rsidRPr="00337901">
        <w:rPr>
          <w:bCs/>
          <w:szCs w:val="28"/>
        </w:rPr>
        <w:t xml:space="preserve">se trata de </w:t>
      </w:r>
      <w:r w:rsidR="00EB0A42" w:rsidRPr="00337901">
        <w:rPr>
          <w:bCs/>
          <w:szCs w:val="28"/>
        </w:rPr>
        <w:t xml:space="preserve">nuevo de </w:t>
      </w:r>
      <w:r w:rsidR="00A407B4" w:rsidRPr="00337901">
        <w:rPr>
          <w:bCs/>
          <w:szCs w:val="28"/>
        </w:rPr>
        <w:t>una</w:t>
      </w:r>
      <w:r w:rsidR="009E69CE" w:rsidRPr="00337901">
        <w:rPr>
          <w:bCs/>
          <w:szCs w:val="28"/>
        </w:rPr>
        <w:t xml:space="preserve"> interpretación </w:t>
      </w:r>
      <w:r w:rsidR="00A407B4" w:rsidRPr="00337901">
        <w:rPr>
          <w:bCs/>
          <w:szCs w:val="28"/>
        </w:rPr>
        <w:t xml:space="preserve">normativa que </w:t>
      </w:r>
      <w:r w:rsidR="0048462F" w:rsidRPr="00337901">
        <w:rPr>
          <w:bCs/>
          <w:szCs w:val="28"/>
        </w:rPr>
        <w:t xml:space="preserve">desconoce </w:t>
      </w:r>
      <w:r w:rsidR="001D5D8D" w:rsidRPr="00337901">
        <w:rPr>
          <w:bCs/>
          <w:szCs w:val="28"/>
        </w:rPr>
        <w:t xml:space="preserve">el contenido del parágrafo transitorio del artículo 257A superior y </w:t>
      </w:r>
      <w:r w:rsidR="0048462F" w:rsidRPr="00337901">
        <w:rPr>
          <w:bCs/>
          <w:szCs w:val="28"/>
        </w:rPr>
        <w:t xml:space="preserve">los condicionamientos </w:t>
      </w:r>
      <w:r w:rsidR="00A407B4" w:rsidRPr="00337901">
        <w:rPr>
          <w:bCs/>
          <w:szCs w:val="28"/>
        </w:rPr>
        <w:t xml:space="preserve">fijados </w:t>
      </w:r>
      <w:r w:rsidR="00727019" w:rsidRPr="00337901">
        <w:rPr>
          <w:bCs/>
          <w:szCs w:val="28"/>
        </w:rPr>
        <w:t xml:space="preserve">por </w:t>
      </w:r>
      <w:r w:rsidR="0048462F" w:rsidRPr="00337901">
        <w:rPr>
          <w:bCs/>
          <w:szCs w:val="28"/>
        </w:rPr>
        <w:t xml:space="preserve">la sentencia </w:t>
      </w:r>
      <w:r w:rsidRPr="00337901">
        <w:rPr>
          <w:bCs/>
          <w:szCs w:val="28"/>
        </w:rPr>
        <w:t>C-285 de 2016 en su parte motiva</w:t>
      </w:r>
      <w:r w:rsidR="00E842C4">
        <w:rPr>
          <w:bCs/>
          <w:szCs w:val="28"/>
        </w:rPr>
        <w:t xml:space="preserve"> y resolutiva</w:t>
      </w:r>
      <w:r w:rsidR="001D5D8D" w:rsidRPr="00337901">
        <w:rPr>
          <w:bCs/>
          <w:szCs w:val="28"/>
        </w:rPr>
        <w:t xml:space="preserve">. Ahora, es indudable que </w:t>
      </w:r>
      <w:r w:rsidR="00727019" w:rsidRPr="00337901">
        <w:rPr>
          <w:bCs/>
          <w:szCs w:val="28"/>
        </w:rPr>
        <w:t xml:space="preserve">las normas </w:t>
      </w:r>
      <w:r w:rsidR="000E6FD9" w:rsidRPr="00337901">
        <w:rPr>
          <w:bCs/>
          <w:szCs w:val="28"/>
        </w:rPr>
        <w:t xml:space="preserve">superiores </w:t>
      </w:r>
      <w:r w:rsidR="00727019" w:rsidRPr="00337901">
        <w:rPr>
          <w:bCs/>
          <w:szCs w:val="28"/>
        </w:rPr>
        <w:t>correspondientes</w:t>
      </w:r>
      <w:r w:rsidR="00777F32" w:rsidRPr="00337901">
        <w:rPr>
          <w:bCs/>
          <w:szCs w:val="28"/>
        </w:rPr>
        <w:t xml:space="preserve"> ofrec</w:t>
      </w:r>
      <w:r w:rsidR="001D5D8D" w:rsidRPr="00337901">
        <w:rPr>
          <w:bCs/>
          <w:szCs w:val="28"/>
        </w:rPr>
        <w:t xml:space="preserve">ían </w:t>
      </w:r>
      <w:r w:rsidR="00727019" w:rsidRPr="00337901">
        <w:rPr>
          <w:bCs/>
          <w:szCs w:val="28"/>
        </w:rPr>
        <w:t>dificultades</w:t>
      </w:r>
      <w:r w:rsidR="00797805" w:rsidRPr="00337901">
        <w:rPr>
          <w:bCs/>
          <w:szCs w:val="28"/>
        </w:rPr>
        <w:t xml:space="preserve"> interpretativas</w:t>
      </w:r>
      <w:r w:rsidR="0048462F" w:rsidRPr="00337901">
        <w:rPr>
          <w:bCs/>
          <w:szCs w:val="28"/>
        </w:rPr>
        <w:t xml:space="preserve"> que deb</w:t>
      </w:r>
      <w:r w:rsidR="001D5D8D" w:rsidRPr="00337901">
        <w:rPr>
          <w:bCs/>
          <w:szCs w:val="28"/>
        </w:rPr>
        <w:t>ieron</w:t>
      </w:r>
      <w:r w:rsidR="0048462F" w:rsidRPr="00337901">
        <w:rPr>
          <w:bCs/>
          <w:szCs w:val="28"/>
        </w:rPr>
        <w:t xml:space="preserve"> ser analizadas</w:t>
      </w:r>
      <w:r w:rsidR="001D5D8D" w:rsidRPr="00337901">
        <w:rPr>
          <w:bCs/>
          <w:szCs w:val="28"/>
        </w:rPr>
        <w:t xml:space="preserve"> con una visión integral de la norma a interpretar y del verdadero sentido de la modificación</w:t>
      </w:r>
      <w:r w:rsidR="00777F32" w:rsidRPr="00337901">
        <w:rPr>
          <w:bCs/>
          <w:szCs w:val="28"/>
        </w:rPr>
        <w:t>.</w:t>
      </w:r>
      <w:r w:rsidR="00792D27" w:rsidRPr="00337901">
        <w:rPr>
          <w:bCs/>
          <w:szCs w:val="28"/>
        </w:rPr>
        <w:t xml:space="preserve"> </w:t>
      </w:r>
    </w:p>
    <w:p w14:paraId="16985C6B" w14:textId="77777777" w:rsidR="00337901" w:rsidRDefault="00337901" w:rsidP="00337901">
      <w:pPr>
        <w:pStyle w:val="Prrafodelista"/>
        <w:rPr>
          <w:bCs/>
          <w:szCs w:val="28"/>
        </w:rPr>
      </w:pPr>
    </w:p>
    <w:p w14:paraId="6E1E3083" w14:textId="77777777" w:rsidR="00DC3348" w:rsidRDefault="005D042C" w:rsidP="00337901">
      <w:pPr>
        <w:pStyle w:val="Prrafodelista"/>
        <w:ind w:left="0"/>
        <w:contextualSpacing/>
        <w:jc w:val="both"/>
        <w:rPr>
          <w:bCs/>
          <w:szCs w:val="28"/>
        </w:rPr>
      </w:pPr>
      <w:r w:rsidRPr="00337901">
        <w:rPr>
          <w:bCs/>
          <w:szCs w:val="28"/>
        </w:rPr>
        <w:t>Así</w:t>
      </w:r>
      <w:r w:rsidR="00792D27" w:rsidRPr="00337901">
        <w:rPr>
          <w:bCs/>
          <w:szCs w:val="28"/>
        </w:rPr>
        <w:t>,</w:t>
      </w:r>
      <w:r w:rsidR="00777F32" w:rsidRPr="00337901">
        <w:rPr>
          <w:bCs/>
          <w:szCs w:val="28"/>
        </w:rPr>
        <w:t xml:space="preserve"> si el interés de la Corte Constitucional </w:t>
      </w:r>
      <w:r w:rsidR="0084271E" w:rsidRPr="00337901">
        <w:rPr>
          <w:bCs/>
          <w:szCs w:val="28"/>
        </w:rPr>
        <w:t xml:space="preserve">con su decisión frente al artículo 18 del A.L. 02 de 2015 </w:t>
      </w:r>
      <w:r w:rsidR="00777F32" w:rsidRPr="00337901">
        <w:rPr>
          <w:bCs/>
          <w:szCs w:val="28"/>
        </w:rPr>
        <w:t xml:space="preserve">era eliminar </w:t>
      </w:r>
      <w:r w:rsidR="00792D27" w:rsidRPr="00337901">
        <w:rPr>
          <w:bCs/>
          <w:szCs w:val="28"/>
        </w:rPr>
        <w:t xml:space="preserve">en su totalidad </w:t>
      </w:r>
      <w:r w:rsidR="00777F32" w:rsidRPr="00337901">
        <w:rPr>
          <w:bCs/>
          <w:szCs w:val="28"/>
        </w:rPr>
        <w:t>el procedimiento de designación de la CNDJ</w:t>
      </w:r>
      <w:r w:rsidR="0048462F" w:rsidRPr="00337901">
        <w:rPr>
          <w:bCs/>
          <w:szCs w:val="28"/>
        </w:rPr>
        <w:t xml:space="preserve"> prescrito en el A</w:t>
      </w:r>
      <w:r w:rsidR="0084271E" w:rsidRPr="00337901">
        <w:rPr>
          <w:bCs/>
          <w:szCs w:val="28"/>
        </w:rPr>
        <w:t xml:space="preserve">cto Legislativo </w:t>
      </w:r>
      <w:r w:rsidR="00B3515F" w:rsidRPr="00337901">
        <w:rPr>
          <w:bCs/>
          <w:szCs w:val="28"/>
        </w:rPr>
        <w:t xml:space="preserve">enunciado, </w:t>
      </w:r>
      <w:r w:rsidR="000E6FD9" w:rsidRPr="00337901">
        <w:rPr>
          <w:bCs/>
          <w:szCs w:val="28"/>
        </w:rPr>
        <w:t>como parece suponerlo el Consejo de Estado</w:t>
      </w:r>
      <w:r w:rsidR="00B3515F" w:rsidRPr="00337901">
        <w:rPr>
          <w:bCs/>
          <w:szCs w:val="28"/>
        </w:rPr>
        <w:t>,</w:t>
      </w:r>
      <w:r w:rsidR="00777F32" w:rsidRPr="00337901">
        <w:rPr>
          <w:bCs/>
          <w:szCs w:val="28"/>
        </w:rPr>
        <w:t xml:space="preserve"> ¿por qué el Tribunal </w:t>
      </w:r>
      <w:r w:rsidR="0048462F" w:rsidRPr="00337901">
        <w:rPr>
          <w:bCs/>
          <w:szCs w:val="28"/>
        </w:rPr>
        <w:t xml:space="preserve">Constitucional </w:t>
      </w:r>
      <w:r w:rsidR="00777F32" w:rsidRPr="00337901">
        <w:rPr>
          <w:bCs/>
          <w:szCs w:val="28"/>
        </w:rPr>
        <w:t>conservó la vigencia del parágrafo transitorio del artículo 257A superior, que fijaba un término perentorio de un año para la configuración transitoria de</w:t>
      </w:r>
      <w:r w:rsidR="00727019" w:rsidRPr="00337901">
        <w:rPr>
          <w:bCs/>
          <w:szCs w:val="28"/>
        </w:rPr>
        <w:t xml:space="preserve"> la</w:t>
      </w:r>
      <w:r w:rsidR="00777F32" w:rsidRPr="00337901">
        <w:rPr>
          <w:bCs/>
          <w:szCs w:val="28"/>
        </w:rPr>
        <w:t xml:space="preserve"> CNDJ? ¿Para qué dejar vigente una norma constitucional de esa naturaleza, si el resultado final</w:t>
      </w:r>
      <w:r w:rsidR="00393CD7" w:rsidRPr="00337901">
        <w:rPr>
          <w:bCs/>
          <w:szCs w:val="28"/>
        </w:rPr>
        <w:t>,</w:t>
      </w:r>
      <w:r w:rsidR="00777F32" w:rsidRPr="00337901">
        <w:rPr>
          <w:bCs/>
          <w:szCs w:val="28"/>
        </w:rPr>
        <w:t xml:space="preserve"> </w:t>
      </w:r>
      <w:r w:rsidR="00393CD7" w:rsidRPr="00337901">
        <w:rPr>
          <w:bCs/>
          <w:szCs w:val="28"/>
        </w:rPr>
        <w:t xml:space="preserve">ante la imposibilidad de reglamentar oportunamente la convocatoria pública necesaria para conformar la CNDJ, </w:t>
      </w:r>
      <w:r w:rsidR="00777F32" w:rsidRPr="00337901">
        <w:rPr>
          <w:bCs/>
          <w:szCs w:val="28"/>
        </w:rPr>
        <w:t>era el de negarle cualquier efecto útil a</w:t>
      </w:r>
      <w:r w:rsidR="00792D27" w:rsidRPr="00337901">
        <w:rPr>
          <w:bCs/>
          <w:szCs w:val="28"/>
        </w:rPr>
        <w:t>l precepto</w:t>
      </w:r>
      <w:r w:rsidR="00727019" w:rsidRPr="00337901">
        <w:rPr>
          <w:bCs/>
          <w:szCs w:val="28"/>
        </w:rPr>
        <w:t xml:space="preserve"> superior</w:t>
      </w:r>
      <w:r w:rsidR="000E6FD9" w:rsidRPr="00337901">
        <w:rPr>
          <w:bCs/>
          <w:szCs w:val="28"/>
        </w:rPr>
        <w:t xml:space="preserve"> enunciado</w:t>
      </w:r>
      <w:r w:rsidR="00777F32" w:rsidRPr="00337901">
        <w:rPr>
          <w:bCs/>
          <w:szCs w:val="28"/>
        </w:rPr>
        <w:t>?</w:t>
      </w:r>
      <w:r w:rsidR="00792D27" w:rsidRPr="00337901">
        <w:rPr>
          <w:bCs/>
          <w:szCs w:val="28"/>
        </w:rPr>
        <w:t xml:space="preserve"> ¿No sería esa una determinación materialmente contraria a lo señalado por la Corte </w:t>
      </w:r>
      <w:r w:rsidR="00797805" w:rsidRPr="00337901">
        <w:rPr>
          <w:bCs/>
          <w:szCs w:val="28"/>
        </w:rPr>
        <w:t xml:space="preserve">Constitucional </w:t>
      </w:r>
      <w:r w:rsidR="00792D27" w:rsidRPr="00337901">
        <w:rPr>
          <w:bCs/>
          <w:szCs w:val="28"/>
        </w:rPr>
        <w:t>en la parte motiva de la sentencia C-285 de 2016, en lo concerniente a su propósito de respetar</w:t>
      </w:r>
      <w:r w:rsidR="0048462F" w:rsidRPr="00337901">
        <w:rPr>
          <w:bCs/>
          <w:szCs w:val="28"/>
        </w:rPr>
        <w:t xml:space="preserve"> </w:t>
      </w:r>
      <w:r w:rsidR="00792D27" w:rsidRPr="00337901">
        <w:rPr>
          <w:bCs/>
          <w:szCs w:val="28"/>
        </w:rPr>
        <w:t xml:space="preserve">el espíritu de la reforma </w:t>
      </w:r>
      <w:r w:rsidR="001D5D8D" w:rsidRPr="00337901">
        <w:rPr>
          <w:bCs/>
          <w:szCs w:val="28"/>
        </w:rPr>
        <w:t>constitucional</w:t>
      </w:r>
      <w:r w:rsidR="0048462F" w:rsidRPr="00337901">
        <w:rPr>
          <w:bCs/>
          <w:szCs w:val="28"/>
        </w:rPr>
        <w:t>,</w:t>
      </w:r>
      <w:r w:rsidR="00792D27" w:rsidRPr="00337901">
        <w:rPr>
          <w:bCs/>
          <w:szCs w:val="28"/>
        </w:rPr>
        <w:t xml:space="preserve"> en</w:t>
      </w:r>
      <w:r w:rsidR="00393CD7" w:rsidRPr="00337901">
        <w:rPr>
          <w:bCs/>
          <w:szCs w:val="28"/>
        </w:rPr>
        <w:t xml:space="preserve"> cuanto a la designación de los miembros de la CNDJ</w:t>
      </w:r>
      <w:r w:rsidR="00E842C4">
        <w:rPr>
          <w:bCs/>
          <w:szCs w:val="28"/>
        </w:rPr>
        <w:t xml:space="preserve"> y a su inhibición respecto de la creación de ese ente judicial</w:t>
      </w:r>
      <w:r w:rsidR="00792D27" w:rsidRPr="00337901">
        <w:rPr>
          <w:bCs/>
          <w:szCs w:val="28"/>
        </w:rPr>
        <w:t xml:space="preserve">? ¿Cómo podría cumplirse el </w:t>
      </w:r>
      <w:r w:rsidR="00A53E12" w:rsidRPr="00337901">
        <w:rPr>
          <w:bCs/>
          <w:szCs w:val="28"/>
        </w:rPr>
        <w:t>objetivo final del constituyente d</w:t>
      </w:r>
      <w:r w:rsidR="0048462F" w:rsidRPr="00337901">
        <w:rPr>
          <w:bCs/>
          <w:szCs w:val="28"/>
        </w:rPr>
        <w:t xml:space="preserve">e </w:t>
      </w:r>
      <w:r w:rsidR="00A53E12" w:rsidRPr="00337901">
        <w:rPr>
          <w:bCs/>
          <w:szCs w:val="28"/>
        </w:rPr>
        <w:t xml:space="preserve">consolidar </w:t>
      </w:r>
      <w:r w:rsidR="00393CD7" w:rsidRPr="00337901">
        <w:rPr>
          <w:bCs/>
          <w:szCs w:val="28"/>
        </w:rPr>
        <w:t>esa</w:t>
      </w:r>
      <w:r w:rsidR="00A53E12" w:rsidRPr="00337901">
        <w:rPr>
          <w:bCs/>
          <w:szCs w:val="28"/>
        </w:rPr>
        <w:t xml:space="preserve"> nueva arquitectura en materia disciplinaria, en el término perentorio de un año</w:t>
      </w:r>
      <w:r w:rsidR="00792D27" w:rsidRPr="00337901">
        <w:rPr>
          <w:bCs/>
          <w:szCs w:val="28"/>
        </w:rPr>
        <w:t xml:space="preserve">, sin las facultades </w:t>
      </w:r>
      <w:r w:rsidR="007A37EE" w:rsidRPr="00337901">
        <w:rPr>
          <w:bCs/>
          <w:szCs w:val="28"/>
        </w:rPr>
        <w:t>de regulación</w:t>
      </w:r>
      <w:r w:rsidR="00792D27" w:rsidRPr="00337901">
        <w:rPr>
          <w:bCs/>
          <w:szCs w:val="28"/>
        </w:rPr>
        <w:t xml:space="preserve"> asignadas </w:t>
      </w:r>
      <w:r w:rsidR="00E842C4">
        <w:rPr>
          <w:bCs/>
          <w:szCs w:val="28"/>
        </w:rPr>
        <w:t>directamente a las autoridades convocantes</w:t>
      </w:r>
      <w:r w:rsidR="00792D27" w:rsidRPr="00337901">
        <w:rPr>
          <w:bCs/>
          <w:szCs w:val="28"/>
        </w:rPr>
        <w:t xml:space="preserve">? </w:t>
      </w:r>
    </w:p>
    <w:p w14:paraId="173801E9" w14:textId="77777777" w:rsidR="00337901" w:rsidRDefault="00337901" w:rsidP="00337901">
      <w:pPr>
        <w:pStyle w:val="Prrafodelista"/>
        <w:ind w:left="0"/>
        <w:contextualSpacing/>
        <w:jc w:val="both"/>
        <w:rPr>
          <w:bCs/>
          <w:szCs w:val="28"/>
        </w:rPr>
      </w:pPr>
    </w:p>
    <w:p w14:paraId="5AAE05E9" w14:textId="77777777" w:rsidR="00DC3348" w:rsidRPr="00E842C4" w:rsidRDefault="00777F32" w:rsidP="00337901">
      <w:pPr>
        <w:pStyle w:val="Prrafodelista"/>
        <w:ind w:left="0"/>
        <w:contextualSpacing/>
        <w:jc w:val="both"/>
        <w:rPr>
          <w:bCs/>
          <w:szCs w:val="28"/>
        </w:rPr>
      </w:pPr>
      <w:r w:rsidRPr="00337901">
        <w:rPr>
          <w:bCs/>
          <w:szCs w:val="28"/>
        </w:rPr>
        <w:t xml:space="preserve">Como en materia </w:t>
      </w:r>
      <w:r w:rsidR="00792D27" w:rsidRPr="00E842C4">
        <w:rPr>
          <w:bCs/>
          <w:szCs w:val="28"/>
        </w:rPr>
        <w:t>hermenéutica</w:t>
      </w:r>
      <w:r w:rsidRPr="00E842C4">
        <w:rPr>
          <w:bCs/>
          <w:szCs w:val="28"/>
        </w:rPr>
        <w:t xml:space="preserve"> es necesario </w:t>
      </w:r>
      <w:r w:rsidR="00797805" w:rsidRPr="00E842C4">
        <w:rPr>
          <w:bCs/>
          <w:szCs w:val="28"/>
        </w:rPr>
        <w:t>acoger</w:t>
      </w:r>
      <w:r w:rsidRPr="00E842C4">
        <w:rPr>
          <w:bCs/>
          <w:szCs w:val="28"/>
        </w:rPr>
        <w:t xml:space="preserve"> aquellas interpretaciones que dan eficacia al texto constitucional, que le conceden un efecto útil</w:t>
      </w:r>
      <w:r w:rsidR="00792D27" w:rsidRPr="00E842C4">
        <w:rPr>
          <w:bCs/>
          <w:szCs w:val="28"/>
        </w:rPr>
        <w:t xml:space="preserve">, </w:t>
      </w:r>
      <w:r w:rsidR="0048462F" w:rsidRPr="00E842C4">
        <w:rPr>
          <w:bCs/>
          <w:szCs w:val="28"/>
        </w:rPr>
        <w:t>que generan</w:t>
      </w:r>
      <w:r w:rsidR="00DE7AB9" w:rsidRPr="00E842C4">
        <w:rPr>
          <w:bCs/>
          <w:szCs w:val="28"/>
        </w:rPr>
        <w:t xml:space="preserve"> el menor daño</w:t>
      </w:r>
      <w:r w:rsidR="007A37EE" w:rsidRPr="00E842C4">
        <w:rPr>
          <w:bCs/>
          <w:szCs w:val="28"/>
        </w:rPr>
        <w:t xml:space="preserve"> posible</w:t>
      </w:r>
      <w:r w:rsidR="00DE7AB9" w:rsidRPr="00E842C4">
        <w:rPr>
          <w:bCs/>
          <w:szCs w:val="28"/>
        </w:rPr>
        <w:t xml:space="preserve"> y que </w:t>
      </w:r>
      <w:r w:rsidR="00DC3348" w:rsidRPr="00E842C4">
        <w:rPr>
          <w:bCs/>
          <w:szCs w:val="28"/>
        </w:rPr>
        <w:t>ofrece</w:t>
      </w:r>
      <w:r w:rsidR="0048462F" w:rsidRPr="00E842C4">
        <w:rPr>
          <w:bCs/>
          <w:szCs w:val="28"/>
        </w:rPr>
        <w:t>n</w:t>
      </w:r>
      <w:r w:rsidR="00DC3348" w:rsidRPr="00E842C4">
        <w:rPr>
          <w:bCs/>
          <w:szCs w:val="28"/>
        </w:rPr>
        <w:t xml:space="preserve"> resultados funcionales</w:t>
      </w:r>
      <w:r w:rsidR="00335A34" w:rsidRPr="00E842C4">
        <w:rPr>
          <w:bCs/>
          <w:szCs w:val="28"/>
        </w:rPr>
        <w:t xml:space="preserve"> sin sacrificar </w:t>
      </w:r>
      <w:r w:rsidR="00727019" w:rsidRPr="00E842C4">
        <w:rPr>
          <w:bCs/>
          <w:szCs w:val="28"/>
        </w:rPr>
        <w:t>la</w:t>
      </w:r>
      <w:r w:rsidR="00335A34" w:rsidRPr="00E842C4">
        <w:rPr>
          <w:bCs/>
          <w:szCs w:val="28"/>
        </w:rPr>
        <w:t xml:space="preserve"> efectividad</w:t>
      </w:r>
      <w:r w:rsidR="00727019" w:rsidRPr="00E842C4">
        <w:rPr>
          <w:bCs/>
          <w:szCs w:val="28"/>
        </w:rPr>
        <w:t xml:space="preserve"> de las normas</w:t>
      </w:r>
      <w:r w:rsidR="00335A34" w:rsidRPr="00E842C4">
        <w:rPr>
          <w:bCs/>
          <w:szCs w:val="28"/>
        </w:rPr>
        <w:t xml:space="preserve">, </w:t>
      </w:r>
      <w:r w:rsidR="0048462F" w:rsidRPr="00E842C4">
        <w:rPr>
          <w:bCs/>
          <w:szCs w:val="28"/>
        </w:rPr>
        <w:t>era menester entonces</w:t>
      </w:r>
      <w:r w:rsidR="00393CD7" w:rsidRPr="00E842C4">
        <w:rPr>
          <w:bCs/>
          <w:szCs w:val="28"/>
        </w:rPr>
        <w:t xml:space="preserve"> revisar </w:t>
      </w:r>
      <w:r w:rsidR="0048462F" w:rsidRPr="00E842C4">
        <w:rPr>
          <w:bCs/>
          <w:szCs w:val="28"/>
        </w:rPr>
        <w:t xml:space="preserve">la modulación </w:t>
      </w:r>
      <w:r w:rsidR="00727019" w:rsidRPr="00E842C4">
        <w:rPr>
          <w:bCs/>
          <w:szCs w:val="28"/>
        </w:rPr>
        <w:t>propuesta por esta Cor</w:t>
      </w:r>
      <w:r w:rsidR="000E6FD9" w:rsidRPr="00E842C4">
        <w:rPr>
          <w:bCs/>
          <w:szCs w:val="28"/>
        </w:rPr>
        <w:t>poración</w:t>
      </w:r>
      <w:r w:rsidR="00727019" w:rsidRPr="00E842C4">
        <w:rPr>
          <w:bCs/>
          <w:szCs w:val="28"/>
        </w:rPr>
        <w:t xml:space="preserve"> </w:t>
      </w:r>
      <w:r w:rsidR="0048462F" w:rsidRPr="00E842C4">
        <w:rPr>
          <w:bCs/>
          <w:szCs w:val="28"/>
        </w:rPr>
        <w:t>a los efectos</w:t>
      </w:r>
      <w:r w:rsidR="00335A34" w:rsidRPr="00E842C4">
        <w:rPr>
          <w:bCs/>
          <w:szCs w:val="28"/>
        </w:rPr>
        <w:t xml:space="preserve"> de la declaratoria de inconstitucionalidad</w:t>
      </w:r>
      <w:r w:rsidR="0048462F" w:rsidRPr="00E842C4">
        <w:rPr>
          <w:bCs/>
          <w:szCs w:val="28"/>
        </w:rPr>
        <w:t xml:space="preserve"> prevista en la</w:t>
      </w:r>
      <w:r w:rsidR="00335A34" w:rsidRPr="00E842C4">
        <w:rPr>
          <w:bCs/>
          <w:szCs w:val="28"/>
        </w:rPr>
        <w:t xml:space="preserve"> sentencia</w:t>
      </w:r>
      <w:r w:rsidR="0048462F" w:rsidRPr="00E842C4">
        <w:rPr>
          <w:bCs/>
          <w:szCs w:val="28"/>
        </w:rPr>
        <w:t xml:space="preserve"> C-285 de 2016</w:t>
      </w:r>
      <w:r w:rsidR="00335A34" w:rsidRPr="00E842C4">
        <w:rPr>
          <w:bCs/>
          <w:szCs w:val="28"/>
        </w:rPr>
        <w:t xml:space="preserve">, </w:t>
      </w:r>
      <w:r w:rsidR="007A37EE" w:rsidRPr="00E842C4">
        <w:rPr>
          <w:bCs/>
          <w:szCs w:val="28"/>
        </w:rPr>
        <w:t>y así</w:t>
      </w:r>
      <w:r w:rsidR="00335A34" w:rsidRPr="00E842C4">
        <w:rPr>
          <w:bCs/>
          <w:szCs w:val="28"/>
        </w:rPr>
        <w:t xml:space="preserve"> entender</w:t>
      </w:r>
      <w:r w:rsidR="007A37EE" w:rsidRPr="00E842C4">
        <w:rPr>
          <w:bCs/>
          <w:szCs w:val="28"/>
        </w:rPr>
        <w:t xml:space="preserve"> mejor</w:t>
      </w:r>
      <w:r w:rsidR="00393CD7" w:rsidRPr="00E842C4">
        <w:rPr>
          <w:bCs/>
          <w:szCs w:val="28"/>
        </w:rPr>
        <w:t xml:space="preserve"> </w:t>
      </w:r>
      <w:r w:rsidR="000E6FD9" w:rsidRPr="00E842C4">
        <w:rPr>
          <w:bCs/>
          <w:szCs w:val="28"/>
        </w:rPr>
        <w:t xml:space="preserve">la </w:t>
      </w:r>
      <w:r w:rsidR="00393CD7" w:rsidRPr="00E842C4">
        <w:rPr>
          <w:bCs/>
          <w:szCs w:val="28"/>
        </w:rPr>
        <w:t>interpreta</w:t>
      </w:r>
      <w:r w:rsidR="000E6FD9" w:rsidRPr="00E842C4">
        <w:rPr>
          <w:bCs/>
          <w:szCs w:val="28"/>
        </w:rPr>
        <w:t xml:space="preserve">ción que la Corte </w:t>
      </w:r>
      <w:r w:rsidR="00797805" w:rsidRPr="00E842C4">
        <w:rPr>
          <w:bCs/>
          <w:szCs w:val="28"/>
        </w:rPr>
        <w:t xml:space="preserve">había determinado </w:t>
      </w:r>
      <w:r w:rsidR="000E6FD9" w:rsidRPr="00E842C4">
        <w:rPr>
          <w:bCs/>
          <w:szCs w:val="28"/>
        </w:rPr>
        <w:t xml:space="preserve">para </w:t>
      </w:r>
      <w:r w:rsidR="00393CD7" w:rsidRPr="00E842C4">
        <w:rPr>
          <w:bCs/>
          <w:szCs w:val="28"/>
        </w:rPr>
        <w:t>dichas normas</w:t>
      </w:r>
      <w:r w:rsidR="003000BF" w:rsidRPr="00E842C4">
        <w:rPr>
          <w:bCs/>
          <w:szCs w:val="28"/>
        </w:rPr>
        <w:t xml:space="preserve"> en su </w:t>
      </w:r>
      <w:r w:rsidR="003000BF" w:rsidRPr="00E842C4">
        <w:rPr>
          <w:bCs/>
          <w:i/>
          <w:iCs/>
          <w:szCs w:val="28"/>
        </w:rPr>
        <w:t>ratio decidendi</w:t>
      </w:r>
      <w:r w:rsidR="00393CD7" w:rsidRPr="00E842C4">
        <w:rPr>
          <w:bCs/>
          <w:szCs w:val="28"/>
        </w:rPr>
        <w:t xml:space="preserve">, </w:t>
      </w:r>
      <w:r w:rsidR="000E6FD9" w:rsidRPr="00E842C4">
        <w:rPr>
          <w:bCs/>
          <w:szCs w:val="28"/>
        </w:rPr>
        <w:t xml:space="preserve">con el propósito de </w:t>
      </w:r>
      <w:r w:rsidR="00393CD7" w:rsidRPr="00E842C4">
        <w:rPr>
          <w:bCs/>
          <w:szCs w:val="28"/>
        </w:rPr>
        <w:t>evitar vacíos</w:t>
      </w:r>
      <w:r w:rsidR="00727019" w:rsidRPr="00E842C4">
        <w:rPr>
          <w:bCs/>
          <w:szCs w:val="28"/>
        </w:rPr>
        <w:t xml:space="preserve"> </w:t>
      </w:r>
      <w:r w:rsidR="000E6FD9" w:rsidRPr="00E842C4">
        <w:rPr>
          <w:bCs/>
          <w:szCs w:val="28"/>
        </w:rPr>
        <w:t xml:space="preserve">o bloqueos, a partir de </w:t>
      </w:r>
      <w:r w:rsidR="007A37EE" w:rsidRPr="00E842C4">
        <w:rPr>
          <w:bCs/>
          <w:szCs w:val="28"/>
        </w:rPr>
        <w:t>un</w:t>
      </w:r>
      <w:r w:rsidR="000E6FD9" w:rsidRPr="00E842C4">
        <w:rPr>
          <w:bCs/>
          <w:szCs w:val="28"/>
        </w:rPr>
        <w:t xml:space="preserve"> inadecuado entendimiento de </w:t>
      </w:r>
      <w:r w:rsidR="00797805" w:rsidRPr="00E842C4">
        <w:rPr>
          <w:bCs/>
          <w:szCs w:val="28"/>
        </w:rPr>
        <w:t>las mismas</w:t>
      </w:r>
      <w:r w:rsidR="00B3515F" w:rsidRPr="00E842C4">
        <w:rPr>
          <w:bCs/>
          <w:szCs w:val="28"/>
        </w:rPr>
        <w:t xml:space="preserve">. </w:t>
      </w:r>
    </w:p>
    <w:p w14:paraId="6125934F" w14:textId="77777777" w:rsidR="00D75156" w:rsidRPr="00E842C4" w:rsidRDefault="00D75156" w:rsidP="00337901">
      <w:pPr>
        <w:pStyle w:val="Prrafodelista"/>
        <w:ind w:left="0"/>
        <w:contextualSpacing/>
        <w:jc w:val="both"/>
        <w:rPr>
          <w:bCs/>
          <w:szCs w:val="28"/>
        </w:rPr>
      </w:pPr>
    </w:p>
    <w:p w14:paraId="79912B77" w14:textId="77777777" w:rsidR="0032294F" w:rsidRDefault="000E6FD9" w:rsidP="00337901">
      <w:pPr>
        <w:pStyle w:val="Prrafodelista"/>
        <w:ind w:left="0"/>
        <w:contextualSpacing/>
        <w:jc w:val="both"/>
        <w:rPr>
          <w:bCs/>
          <w:szCs w:val="28"/>
        </w:rPr>
      </w:pPr>
      <w:r w:rsidRPr="00E842C4">
        <w:rPr>
          <w:bCs/>
          <w:szCs w:val="28"/>
        </w:rPr>
        <w:t>Desde es</w:t>
      </w:r>
      <w:r w:rsidR="00B3515F" w:rsidRPr="00E842C4">
        <w:rPr>
          <w:bCs/>
          <w:szCs w:val="28"/>
        </w:rPr>
        <w:t>t</w:t>
      </w:r>
      <w:r w:rsidRPr="00E842C4">
        <w:rPr>
          <w:bCs/>
          <w:szCs w:val="28"/>
        </w:rPr>
        <w:t>a perspectiva</w:t>
      </w:r>
      <w:r w:rsidR="00393CD7" w:rsidRPr="00E842C4">
        <w:rPr>
          <w:bCs/>
          <w:szCs w:val="28"/>
        </w:rPr>
        <w:t xml:space="preserve">, </w:t>
      </w:r>
      <w:r w:rsidR="00335A34" w:rsidRPr="00E842C4">
        <w:rPr>
          <w:bCs/>
          <w:szCs w:val="28"/>
        </w:rPr>
        <w:t xml:space="preserve">al revisar la </w:t>
      </w:r>
      <w:r w:rsidR="00335A34" w:rsidRPr="00E842C4">
        <w:rPr>
          <w:b/>
          <w:szCs w:val="28"/>
        </w:rPr>
        <w:t xml:space="preserve">sentencia </w:t>
      </w:r>
      <w:r w:rsidR="00797805" w:rsidRPr="00E842C4">
        <w:rPr>
          <w:b/>
          <w:szCs w:val="28"/>
        </w:rPr>
        <w:t>C-285 de 2016</w:t>
      </w:r>
      <w:r w:rsidR="00797805" w:rsidRPr="00E842C4">
        <w:rPr>
          <w:bCs/>
          <w:szCs w:val="28"/>
        </w:rPr>
        <w:t xml:space="preserve"> </w:t>
      </w:r>
      <w:r w:rsidR="00335A34" w:rsidRPr="00E842C4">
        <w:rPr>
          <w:bCs/>
          <w:szCs w:val="28"/>
        </w:rPr>
        <w:t>resulta</w:t>
      </w:r>
      <w:r w:rsidR="00865F7B" w:rsidRPr="00E842C4">
        <w:rPr>
          <w:bCs/>
          <w:szCs w:val="28"/>
        </w:rPr>
        <w:t xml:space="preserve"> claro que </w:t>
      </w:r>
      <w:r w:rsidR="00393CD7" w:rsidRPr="00E842C4">
        <w:rPr>
          <w:bCs/>
          <w:szCs w:val="28"/>
        </w:rPr>
        <w:t>eliminar el régimen de transición previsto</w:t>
      </w:r>
      <w:r w:rsidR="00393CD7" w:rsidRPr="00337901">
        <w:rPr>
          <w:bCs/>
          <w:szCs w:val="28"/>
        </w:rPr>
        <w:t xml:space="preserve"> por el constituyente para las designaciones</w:t>
      </w:r>
      <w:r w:rsidRPr="00337901">
        <w:rPr>
          <w:bCs/>
          <w:szCs w:val="28"/>
        </w:rPr>
        <w:t xml:space="preserve"> de los miembros de la CNDJ</w:t>
      </w:r>
      <w:r w:rsidR="00393CD7" w:rsidRPr="00337901">
        <w:rPr>
          <w:bCs/>
          <w:szCs w:val="28"/>
        </w:rPr>
        <w:t xml:space="preserve">, </w:t>
      </w:r>
      <w:r w:rsidR="00703E0B" w:rsidRPr="00337901">
        <w:rPr>
          <w:bCs/>
          <w:szCs w:val="28"/>
        </w:rPr>
        <w:t xml:space="preserve">nunca fue el </w:t>
      </w:r>
      <w:r w:rsidR="003679FD" w:rsidRPr="00337901">
        <w:rPr>
          <w:bCs/>
          <w:szCs w:val="28"/>
        </w:rPr>
        <w:t>objetivo</w:t>
      </w:r>
      <w:r w:rsidR="00393CD7" w:rsidRPr="00337901">
        <w:rPr>
          <w:bCs/>
          <w:szCs w:val="28"/>
        </w:rPr>
        <w:t xml:space="preserve"> último</w:t>
      </w:r>
      <w:r w:rsidR="0032294F" w:rsidRPr="00337901">
        <w:rPr>
          <w:bCs/>
          <w:szCs w:val="28"/>
        </w:rPr>
        <w:t xml:space="preserve"> de</w:t>
      </w:r>
      <w:r w:rsidR="003679FD" w:rsidRPr="00337901">
        <w:rPr>
          <w:bCs/>
          <w:szCs w:val="28"/>
        </w:rPr>
        <w:t xml:space="preserve"> la providencia descrita</w:t>
      </w:r>
      <w:r w:rsidR="004F2925" w:rsidRPr="00337901">
        <w:rPr>
          <w:bCs/>
          <w:szCs w:val="28"/>
        </w:rPr>
        <w:t>,</w:t>
      </w:r>
      <w:r w:rsidR="003679FD" w:rsidRPr="00337901">
        <w:rPr>
          <w:bCs/>
          <w:szCs w:val="28"/>
        </w:rPr>
        <w:t xml:space="preserve"> ni de</w:t>
      </w:r>
      <w:r w:rsidR="00C0059C" w:rsidRPr="00337901">
        <w:rPr>
          <w:bCs/>
          <w:szCs w:val="28"/>
        </w:rPr>
        <w:t xml:space="preserve"> la interpretación asignada a las normas constitucionales</w:t>
      </w:r>
      <w:r w:rsidR="00865F7B" w:rsidRPr="00337901">
        <w:rPr>
          <w:bCs/>
          <w:szCs w:val="28"/>
        </w:rPr>
        <w:t xml:space="preserve"> sobrevi</w:t>
      </w:r>
      <w:r w:rsidR="003A6A14" w:rsidRPr="00337901">
        <w:rPr>
          <w:bCs/>
          <w:szCs w:val="28"/>
        </w:rPr>
        <w:t>vi</w:t>
      </w:r>
      <w:r w:rsidR="00865F7B" w:rsidRPr="00337901">
        <w:rPr>
          <w:bCs/>
          <w:szCs w:val="28"/>
        </w:rPr>
        <w:t>entes</w:t>
      </w:r>
      <w:r w:rsidR="00C0059C" w:rsidRPr="00337901">
        <w:rPr>
          <w:bCs/>
          <w:szCs w:val="28"/>
        </w:rPr>
        <w:t xml:space="preserve">, </w:t>
      </w:r>
      <w:r w:rsidR="00C36A84" w:rsidRPr="00337901">
        <w:rPr>
          <w:bCs/>
          <w:szCs w:val="28"/>
        </w:rPr>
        <w:t>en especial</w:t>
      </w:r>
      <w:r w:rsidR="00335A34" w:rsidRPr="00337901">
        <w:rPr>
          <w:bCs/>
          <w:szCs w:val="28"/>
        </w:rPr>
        <w:t>,</w:t>
      </w:r>
      <w:r w:rsidR="00EC61D1" w:rsidRPr="00337901">
        <w:rPr>
          <w:bCs/>
          <w:szCs w:val="28"/>
        </w:rPr>
        <w:t xml:space="preserve"> </w:t>
      </w:r>
      <w:r w:rsidR="007A37EE" w:rsidRPr="00337901">
        <w:rPr>
          <w:bCs/>
          <w:szCs w:val="28"/>
        </w:rPr>
        <w:t xml:space="preserve">dada </w:t>
      </w:r>
      <w:r w:rsidR="00C36A84" w:rsidRPr="00337901">
        <w:rPr>
          <w:bCs/>
          <w:szCs w:val="28"/>
        </w:rPr>
        <w:t>la existencia de disposiciones transitorias en el artículo 257A superior</w:t>
      </w:r>
      <w:r w:rsidR="00393CD7" w:rsidRPr="00337901">
        <w:rPr>
          <w:bCs/>
          <w:szCs w:val="28"/>
        </w:rPr>
        <w:t xml:space="preserve"> que aseguraban</w:t>
      </w:r>
      <w:r w:rsidRPr="00337901">
        <w:rPr>
          <w:bCs/>
          <w:szCs w:val="28"/>
        </w:rPr>
        <w:t xml:space="preserve"> la transición</w:t>
      </w:r>
      <w:r w:rsidR="00B3515F" w:rsidRPr="00337901">
        <w:rPr>
          <w:bCs/>
          <w:szCs w:val="28"/>
        </w:rPr>
        <w:t xml:space="preserve"> y su relevancia</w:t>
      </w:r>
      <w:r w:rsidR="00C36A84" w:rsidRPr="00337901">
        <w:rPr>
          <w:bCs/>
          <w:szCs w:val="28"/>
        </w:rPr>
        <w:t xml:space="preserve">, </w:t>
      </w:r>
      <w:r w:rsidR="0032294F" w:rsidRPr="00337901">
        <w:rPr>
          <w:bCs/>
          <w:szCs w:val="28"/>
        </w:rPr>
        <w:t xml:space="preserve">como lo </w:t>
      </w:r>
      <w:r w:rsidR="003679FD" w:rsidRPr="00337901">
        <w:rPr>
          <w:bCs/>
          <w:szCs w:val="28"/>
        </w:rPr>
        <w:t xml:space="preserve">reconoce </w:t>
      </w:r>
      <w:r w:rsidR="00865F7B" w:rsidRPr="00337901">
        <w:rPr>
          <w:bCs/>
          <w:szCs w:val="28"/>
        </w:rPr>
        <w:t>e</w:t>
      </w:r>
      <w:r w:rsidR="003A6A14" w:rsidRPr="00337901">
        <w:rPr>
          <w:bCs/>
          <w:szCs w:val="28"/>
        </w:rPr>
        <w:t>l</w:t>
      </w:r>
      <w:r w:rsidR="003679FD" w:rsidRPr="00337901">
        <w:rPr>
          <w:bCs/>
          <w:szCs w:val="28"/>
        </w:rPr>
        <w:t xml:space="preserve"> mism</w:t>
      </w:r>
      <w:r w:rsidR="00865F7B" w:rsidRPr="00337901">
        <w:rPr>
          <w:bCs/>
          <w:szCs w:val="28"/>
        </w:rPr>
        <w:t>o</w:t>
      </w:r>
      <w:r w:rsidR="0032294F" w:rsidRPr="00337901">
        <w:rPr>
          <w:bCs/>
          <w:szCs w:val="28"/>
        </w:rPr>
        <w:t xml:space="preserve"> </w:t>
      </w:r>
      <w:r w:rsidR="00865F7B" w:rsidRPr="00337901">
        <w:rPr>
          <w:bCs/>
          <w:szCs w:val="28"/>
        </w:rPr>
        <w:t>fallo</w:t>
      </w:r>
      <w:r w:rsidR="003A6A14" w:rsidRPr="00337901">
        <w:rPr>
          <w:bCs/>
          <w:szCs w:val="28"/>
        </w:rPr>
        <w:t xml:space="preserve"> que se discute</w:t>
      </w:r>
      <w:r w:rsidR="00B3515F" w:rsidRPr="00337901">
        <w:rPr>
          <w:bCs/>
          <w:szCs w:val="28"/>
        </w:rPr>
        <w:t>.</w:t>
      </w:r>
      <w:r w:rsidR="00797805" w:rsidRPr="00337901">
        <w:rPr>
          <w:bCs/>
          <w:szCs w:val="28"/>
        </w:rPr>
        <w:t xml:space="preserve"> </w:t>
      </w:r>
      <w:r w:rsidR="00B3515F" w:rsidRPr="00337901">
        <w:rPr>
          <w:bCs/>
          <w:szCs w:val="28"/>
        </w:rPr>
        <w:t>L</w:t>
      </w:r>
      <w:r w:rsidR="0032294F" w:rsidRPr="00337901">
        <w:rPr>
          <w:bCs/>
          <w:szCs w:val="28"/>
        </w:rPr>
        <w:t xml:space="preserve">as razones </w:t>
      </w:r>
      <w:r w:rsidR="00797805" w:rsidRPr="00337901">
        <w:rPr>
          <w:bCs/>
          <w:szCs w:val="28"/>
        </w:rPr>
        <w:t xml:space="preserve">que </w:t>
      </w:r>
      <w:r w:rsidR="007A37EE" w:rsidRPr="00337901">
        <w:rPr>
          <w:bCs/>
          <w:szCs w:val="28"/>
        </w:rPr>
        <w:t xml:space="preserve">sustentan </w:t>
      </w:r>
      <w:r w:rsidR="00797805" w:rsidRPr="00337901">
        <w:rPr>
          <w:bCs/>
          <w:szCs w:val="28"/>
        </w:rPr>
        <w:t>es</w:t>
      </w:r>
      <w:r w:rsidR="00B3515F" w:rsidRPr="00337901">
        <w:rPr>
          <w:bCs/>
          <w:szCs w:val="28"/>
        </w:rPr>
        <w:t>t</w:t>
      </w:r>
      <w:r w:rsidR="00797805" w:rsidRPr="00337901">
        <w:rPr>
          <w:bCs/>
          <w:szCs w:val="28"/>
        </w:rPr>
        <w:t xml:space="preserve">a </w:t>
      </w:r>
      <w:r w:rsidR="007A37EE" w:rsidRPr="00337901">
        <w:rPr>
          <w:bCs/>
          <w:szCs w:val="28"/>
        </w:rPr>
        <w:t>realidad</w:t>
      </w:r>
      <w:r w:rsidR="00B3515F" w:rsidRPr="00337901">
        <w:rPr>
          <w:bCs/>
          <w:szCs w:val="28"/>
        </w:rPr>
        <w:t xml:space="preserve"> </w:t>
      </w:r>
      <w:r w:rsidR="00797805" w:rsidRPr="00337901">
        <w:rPr>
          <w:bCs/>
          <w:szCs w:val="28"/>
        </w:rPr>
        <w:t xml:space="preserve">son las siguientes: </w:t>
      </w:r>
    </w:p>
    <w:p w14:paraId="513D7867" w14:textId="77777777" w:rsidR="00337901" w:rsidRDefault="00337901" w:rsidP="00337901">
      <w:pPr>
        <w:pStyle w:val="Prrafodelista"/>
        <w:ind w:left="0"/>
        <w:contextualSpacing/>
        <w:jc w:val="both"/>
        <w:rPr>
          <w:bCs/>
          <w:szCs w:val="28"/>
        </w:rPr>
      </w:pPr>
    </w:p>
    <w:p w14:paraId="3E40F124" w14:textId="77777777" w:rsidR="00337901" w:rsidRPr="009D7718" w:rsidRDefault="00337901" w:rsidP="00337901">
      <w:pPr>
        <w:pStyle w:val="Prrafodelista"/>
        <w:numPr>
          <w:ilvl w:val="0"/>
          <w:numId w:val="27"/>
        </w:numPr>
        <w:tabs>
          <w:tab w:val="left" w:pos="426"/>
        </w:tabs>
        <w:ind w:left="0" w:firstLine="0"/>
        <w:contextualSpacing/>
        <w:jc w:val="both"/>
        <w:rPr>
          <w:bCs/>
          <w:szCs w:val="28"/>
        </w:rPr>
      </w:pPr>
      <w:r w:rsidRPr="009D7718">
        <w:rPr>
          <w:bCs/>
          <w:szCs w:val="28"/>
        </w:rPr>
        <w:t xml:space="preserve">La Corte Constitucional se abstuvo de pronunciarse de fondo y con efectos de cosa juzgada, sobre el proceso de designación de los miembros del CNDJ. De este modo, el trámite transitorio previsto en la reforma, relacionado con la reglamentación de la convocatoria pública reglada, no podía ser considerado </w:t>
      </w:r>
      <w:r w:rsidRPr="009D7718">
        <w:rPr>
          <w:bCs/>
          <w:i/>
          <w:iCs/>
          <w:szCs w:val="28"/>
        </w:rPr>
        <w:t>prima facie</w:t>
      </w:r>
      <w:r w:rsidRPr="009D7718">
        <w:rPr>
          <w:bCs/>
          <w:szCs w:val="28"/>
        </w:rPr>
        <w:t xml:space="preserve"> contrario a la Carta ni cobijado en sentido estricto, por las razones y fundamentos que justificaron la inexequibilidad de las normas revisadas por esta Corporación</w:t>
      </w:r>
      <w:r w:rsidRPr="002E4477">
        <w:rPr>
          <w:rStyle w:val="Refdenotaalpie"/>
          <w:bCs/>
          <w:szCs w:val="28"/>
        </w:rPr>
        <w:footnoteReference w:id="386"/>
      </w:r>
      <w:r w:rsidRPr="009D7718">
        <w:rPr>
          <w:bCs/>
          <w:szCs w:val="28"/>
        </w:rPr>
        <w:t xml:space="preserve"> en esa sentencia, en la medida en que el pronunciamiento constitucional concreto sobre ellas fue de carácter inhibitorio.</w:t>
      </w:r>
    </w:p>
    <w:p w14:paraId="5C6FD73B" w14:textId="77777777" w:rsidR="00337901" w:rsidRPr="002E4477" w:rsidRDefault="00337901" w:rsidP="00337901">
      <w:pPr>
        <w:pStyle w:val="Prrafodelista"/>
        <w:tabs>
          <w:tab w:val="left" w:pos="284"/>
        </w:tabs>
        <w:ind w:left="0"/>
        <w:contextualSpacing/>
        <w:jc w:val="both"/>
        <w:rPr>
          <w:bCs/>
          <w:szCs w:val="28"/>
        </w:rPr>
      </w:pPr>
    </w:p>
    <w:p w14:paraId="49A0D484" w14:textId="77777777" w:rsidR="00337901" w:rsidRDefault="00E842C4" w:rsidP="00337901">
      <w:pPr>
        <w:pStyle w:val="Prrafodelista"/>
        <w:numPr>
          <w:ilvl w:val="0"/>
          <w:numId w:val="27"/>
        </w:numPr>
        <w:tabs>
          <w:tab w:val="left" w:pos="426"/>
        </w:tabs>
        <w:ind w:left="0" w:firstLine="0"/>
        <w:contextualSpacing/>
        <w:jc w:val="both"/>
        <w:rPr>
          <w:bCs/>
          <w:szCs w:val="28"/>
        </w:rPr>
      </w:pPr>
      <w:r>
        <w:rPr>
          <w:bCs/>
          <w:szCs w:val="28"/>
        </w:rPr>
        <w:t>L</w:t>
      </w:r>
      <w:r w:rsidR="00337901" w:rsidRPr="002E4477">
        <w:rPr>
          <w:bCs/>
          <w:szCs w:val="28"/>
        </w:rPr>
        <w:t>as razones que llevaron a la inconstitucionalidad del artículo 18 del Acto Legislativo, no estaban ligadas al tema de la convocatoria y conformación de las ternas para la elección de la CNDJ. De allí que los efectos establecidos en la parte motiva de la sentencia C-285 de 2016 respecto de las normas que pervivieron, y la interpretación que la Corte le concedió a tales disposiciones con el propósito de darle continuidad a la intención del constituyente de conformar a la CNDJ, tienen validez y deben respetarse, en la medida en que no hay incongruencia alguna en la decisión constitucional de eliminar el artículo 18 del Acto Legislativo por las razones que en su momento afectaron esa norma, y darle vigor paralelamente al procedimiento de designación de las ternas correspondientes, a partir de</w:t>
      </w:r>
      <w:r w:rsidR="00337901">
        <w:rPr>
          <w:bCs/>
          <w:szCs w:val="28"/>
        </w:rPr>
        <w:t xml:space="preserve"> </w:t>
      </w:r>
      <w:r w:rsidR="00337901" w:rsidRPr="002E4477">
        <w:rPr>
          <w:bCs/>
          <w:szCs w:val="28"/>
        </w:rPr>
        <w:t>l</w:t>
      </w:r>
      <w:r w:rsidR="00337901">
        <w:rPr>
          <w:bCs/>
          <w:szCs w:val="28"/>
        </w:rPr>
        <w:t>o previsto en el</w:t>
      </w:r>
      <w:r w:rsidR="00337901" w:rsidRPr="002E4477">
        <w:rPr>
          <w:bCs/>
          <w:szCs w:val="28"/>
        </w:rPr>
        <w:t xml:space="preserve"> parágrafo transitorio del artículo 257A superior y el resto de esa disposición. Lo anterior, acogiendo la interpretación material del objetivo propuesto por el constituyente en el tema de la configuración perentoria de la CNDJ, conforme a la </w:t>
      </w:r>
      <w:r w:rsidR="00337901" w:rsidRPr="002E4477">
        <w:rPr>
          <w:b/>
          <w:szCs w:val="28"/>
        </w:rPr>
        <w:t>Sentencia C-285 de 2016</w:t>
      </w:r>
      <w:r w:rsidR="00337901" w:rsidRPr="002E4477">
        <w:rPr>
          <w:bCs/>
          <w:szCs w:val="28"/>
        </w:rPr>
        <w:t xml:space="preserve">. </w:t>
      </w:r>
    </w:p>
    <w:p w14:paraId="3A059CE0" w14:textId="77777777" w:rsidR="00337901" w:rsidRPr="002E4477" w:rsidRDefault="00337901" w:rsidP="00337901">
      <w:pPr>
        <w:pStyle w:val="Prrafodelista"/>
        <w:tabs>
          <w:tab w:val="left" w:pos="426"/>
        </w:tabs>
        <w:ind w:left="0"/>
        <w:contextualSpacing/>
        <w:jc w:val="both"/>
        <w:rPr>
          <w:bCs/>
          <w:szCs w:val="28"/>
        </w:rPr>
      </w:pPr>
    </w:p>
    <w:p w14:paraId="04601DD0" w14:textId="77777777" w:rsidR="00337901" w:rsidRDefault="00337901" w:rsidP="00337901">
      <w:pPr>
        <w:pStyle w:val="Prrafodelista"/>
        <w:numPr>
          <w:ilvl w:val="0"/>
          <w:numId w:val="27"/>
        </w:numPr>
        <w:tabs>
          <w:tab w:val="left" w:pos="426"/>
        </w:tabs>
        <w:ind w:left="0" w:firstLine="0"/>
        <w:contextualSpacing/>
        <w:jc w:val="both"/>
        <w:rPr>
          <w:bCs/>
          <w:szCs w:val="28"/>
        </w:rPr>
      </w:pPr>
      <w:r>
        <w:rPr>
          <w:bCs/>
          <w:szCs w:val="28"/>
        </w:rPr>
        <w:t xml:space="preserve"> </w:t>
      </w:r>
      <w:r w:rsidRPr="002E4477">
        <w:rPr>
          <w:bCs/>
          <w:szCs w:val="28"/>
        </w:rPr>
        <w:t>De acuerdo con lo expuesto, era necesario en el análisis de las disposiciones constitucionales que sobrevivieron, entre ellas el artículo 257A de la Carta, acoger la interpretación que hizo la Corte Constitucional en la parte motiva de la</w:t>
      </w:r>
      <w:r w:rsidRPr="002E4477">
        <w:rPr>
          <w:b/>
          <w:szCs w:val="28"/>
        </w:rPr>
        <w:t xml:space="preserve"> Sentencia C-285 de 2016</w:t>
      </w:r>
      <w:r w:rsidRPr="002E4477">
        <w:rPr>
          <w:bCs/>
          <w:szCs w:val="28"/>
        </w:rPr>
        <w:t>. Lo anterior, para evitar “</w:t>
      </w:r>
      <w:r w:rsidRPr="002E4477">
        <w:rPr>
          <w:b/>
          <w:i/>
          <w:iCs/>
          <w:szCs w:val="28"/>
        </w:rPr>
        <w:t>incoherencias y vacíos</w:t>
      </w:r>
      <w:r w:rsidRPr="002E4477">
        <w:rPr>
          <w:bCs/>
          <w:szCs w:val="28"/>
        </w:rPr>
        <w:t xml:space="preserve">” constitucionales en la reflexión futura sobre estas normas y sobre la consolidación de la nueva institucionalidad creada a partir del A.L. 02 de 2015 en materia disciplinaria, como esa misma sentencia lo previó.   </w:t>
      </w:r>
    </w:p>
    <w:p w14:paraId="76645F45" w14:textId="77777777" w:rsidR="00337901" w:rsidRPr="002E4477" w:rsidRDefault="00337901" w:rsidP="00337901">
      <w:pPr>
        <w:pStyle w:val="Prrafodelista"/>
        <w:tabs>
          <w:tab w:val="left" w:pos="426"/>
        </w:tabs>
        <w:ind w:left="0"/>
        <w:contextualSpacing/>
        <w:jc w:val="both"/>
        <w:rPr>
          <w:bCs/>
          <w:szCs w:val="28"/>
        </w:rPr>
      </w:pPr>
    </w:p>
    <w:p w14:paraId="03A7C871" w14:textId="77777777" w:rsidR="00337901" w:rsidRPr="009D7718" w:rsidRDefault="00337901" w:rsidP="00337901">
      <w:pPr>
        <w:pStyle w:val="Prrafodelista"/>
        <w:numPr>
          <w:ilvl w:val="0"/>
          <w:numId w:val="27"/>
        </w:numPr>
        <w:tabs>
          <w:tab w:val="left" w:pos="426"/>
        </w:tabs>
        <w:ind w:left="0" w:firstLine="0"/>
        <w:contextualSpacing/>
        <w:jc w:val="both"/>
        <w:rPr>
          <w:bCs/>
          <w:szCs w:val="28"/>
        </w:rPr>
      </w:pPr>
      <w:r>
        <w:rPr>
          <w:bCs/>
          <w:szCs w:val="28"/>
        </w:rPr>
        <w:t xml:space="preserve"> </w:t>
      </w:r>
      <w:r w:rsidRPr="002E4477">
        <w:rPr>
          <w:bCs/>
          <w:szCs w:val="28"/>
        </w:rPr>
        <w:t xml:space="preserve">De allí que la Corte Constitucional en la parte motiva de esa decisión, al pronunciarse sobre los efectos e interpretación que le correspondía al artículo 257A de la Carta, reafirmó </w:t>
      </w:r>
      <w:r w:rsidRPr="002E4477">
        <w:rPr>
          <w:b/>
          <w:szCs w:val="28"/>
        </w:rPr>
        <w:t>(a)</w:t>
      </w:r>
      <w:r w:rsidRPr="002E4477">
        <w:rPr>
          <w:bCs/>
          <w:szCs w:val="28"/>
        </w:rPr>
        <w:t xml:space="preserve"> el interés de </w:t>
      </w:r>
      <w:r w:rsidRPr="002E4477">
        <w:rPr>
          <w:b/>
          <w:szCs w:val="28"/>
        </w:rPr>
        <w:t>salvaguardar “</w:t>
      </w:r>
      <w:r w:rsidRPr="002E4477">
        <w:rPr>
          <w:b/>
          <w:i/>
          <w:iCs/>
          <w:szCs w:val="28"/>
        </w:rPr>
        <w:t>el espíritu de las disposiciones de la reforma que no [fueron] declaradas inexequibles</w:t>
      </w:r>
      <w:r w:rsidRPr="002E4477">
        <w:rPr>
          <w:b/>
          <w:szCs w:val="28"/>
        </w:rPr>
        <w:t>”</w:t>
      </w:r>
      <w:r w:rsidRPr="002E4477">
        <w:rPr>
          <w:bCs/>
          <w:szCs w:val="28"/>
        </w:rPr>
        <w:t xml:space="preserve">, </w:t>
      </w:r>
      <w:r w:rsidRPr="002E4477">
        <w:rPr>
          <w:szCs w:val="28"/>
        </w:rPr>
        <w:t>esto es, el de aquellas normas que no fueron objeto de debate y de pronunciamiento constitucional en los términos ya expuestos</w:t>
      </w:r>
      <w:r w:rsidRPr="002E4477">
        <w:rPr>
          <w:bCs/>
          <w:szCs w:val="28"/>
        </w:rPr>
        <w:t xml:space="preserve">. También, </w:t>
      </w:r>
      <w:r w:rsidRPr="002E4477">
        <w:rPr>
          <w:b/>
          <w:szCs w:val="28"/>
        </w:rPr>
        <w:t xml:space="preserve">(b) </w:t>
      </w:r>
      <w:r w:rsidRPr="002E4477">
        <w:rPr>
          <w:bCs/>
          <w:szCs w:val="28"/>
        </w:rPr>
        <w:t>el deber de</w:t>
      </w:r>
      <w:r w:rsidRPr="002E4477">
        <w:rPr>
          <w:b/>
          <w:szCs w:val="28"/>
        </w:rPr>
        <w:t xml:space="preserve"> </w:t>
      </w:r>
      <w:r w:rsidRPr="002E4477">
        <w:rPr>
          <w:bCs/>
          <w:szCs w:val="28"/>
        </w:rPr>
        <w:t>fijar el alcance de las disposiciones constitucionales que quedaron vigentes,</w:t>
      </w:r>
      <w:r w:rsidRPr="002E4477">
        <w:rPr>
          <w:b/>
          <w:szCs w:val="28"/>
        </w:rPr>
        <w:t xml:space="preserve"> </w:t>
      </w:r>
      <w:r w:rsidRPr="002E4477">
        <w:rPr>
          <w:bCs/>
          <w:szCs w:val="28"/>
        </w:rPr>
        <w:t xml:space="preserve">para evitar que fuese imposible adelantar </w:t>
      </w:r>
      <w:r w:rsidRPr="002E4477">
        <w:rPr>
          <w:b/>
          <w:szCs w:val="28"/>
        </w:rPr>
        <w:t>“</w:t>
      </w:r>
      <w:r w:rsidRPr="002E4477">
        <w:rPr>
          <w:b/>
          <w:i/>
          <w:iCs/>
          <w:szCs w:val="28"/>
          <w:u w:val="single"/>
        </w:rPr>
        <w:t>el proceso de</w:t>
      </w:r>
      <w:r w:rsidRPr="002E4477">
        <w:rPr>
          <w:b/>
          <w:i/>
          <w:iCs/>
          <w:szCs w:val="28"/>
        </w:rPr>
        <w:t xml:space="preserve"> </w:t>
      </w:r>
      <w:r w:rsidRPr="002E4477">
        <w:rPr>
          <w:b/>
          <w:i/>
          <w:iCs/>
          <w:szCs w:val="28"/>
          <w:u w:val="single"/>
        </w:rPr>
        <w:t>convocatoria</w:t>
      </w:r>
      <w:r w:rsidRPr="002E4477">
        <w:rPr>
          <w:b/>
          <w:i/>
          <w:iCs/>
          <w:szCs w:val="28"/>
        </w:rPr>
        <w:t xml:space="preserve"> y </w:t>
      </w:r>
      <w:r w:rsidRPr="002E4477">
        <w:rPr>
          <w:b/>
          <w:i/>
          <w:iCs/>
          <w:szCs w:val="28"/>
          <w:u w:val="single"/>
        </w:rPr>
        <w:t>elaboración</w:t>
      </w:r>
      <w:r w:rsidRPr="002E4477">
        <w:rPr>
          <w:b/>
          <w:i/>
          <w:iCs/>
          <w:szCs w:val="28"/>
        </w:rPr>
        <w:t xml:space="preserve"> de la lista de elegibles para la conformación de la CNDJ”</w:t>
      </w:r>
      <w:r w:rsidRPr="002E4477">
        <w:rPr>
          <w:bCs/>
          <w:szCs w:val="28"/>
        </w:rPr>
        <w:t xml:space="preserve">, ante la </w:t>
      </w:r>
      <w:r w:rsidRPr="002E4477">
        <w:rPr>
          <w:b/>
          <w:szCs w:val="28"/>
        </w:rPr>
        <w:t>supresión</w:t>
      </w:r>
      <w:r w:rsidRPr="002E4477">
        <w:rPr>
          <w:bCs/>
          <w:szCs w:val="28"/>
        </w:rPr>
        <w:t xml:space="preserve"> de algunas de las autoridades obligadas; y </w:t>
      </w:r>
      <w:r w:rsidRPr="002E4477">
        <w:rPr>
          <w:b/>
          <w:szCs w:val="28"/>
        </w:rPr>
        <w:t>(c)</w:t>
      </w:r>
      <w:r w:rsidRPr="002E4477">
        <w:rPr>
          <w:bCs/>
          <w:szCs w:val="28"/>
        </w:rPr>
        <w:t xml:space="preserve"> confirmar la decisión de atribuirle al Consejo Superior de la Judicatura las funciones asignadas al Consejo de Gobierno Judicial y a la Gerencia de la Rama Judicial con respecto a “</w:t>
      </w:r>
      <w:r w:rsidRPr="002E4477">
        <w:rPr>
          <w:b/>
          <w:i/>
          <w:iCs/>
          <w:szCs w:val="28"/>
        </w:rPr>
        <w:t xml:space="preserve">la </w:t>
      </w:r>
      <w:r w:rsidRPr="002E4477">
        <w:rPr>
          <w:b/>
          <w:i/>
          <w:iCs/>
          <w:szCs w:val="28"/>
          <w:u w:val="single"/>
        </w:rPr>
        <w:t>conformación</w:t>
      </w:r>
      <w:r w:rsidRPr="002E4477">
        <w:rPr>
          <w:b/>
          <w:i/>
          <w:iCs/>
          <w:szCs w:val="28"/>
        </w:rPr>
        <w:t xml:space="preserve"> de las listas de elegibles</w:t>
      </w:r>
      <w:r w:rsidRPr="002E4477">
        <w:rPr>
          <w:bCs/>
          <w:szCs w:val="28"/>
        </w:rPr>
        <w:t>” de la CNDJ, bajo el argumento de que con ello se “</w:t>
      </w:r>
      <w:r w:rsidRPr="002E4477">
        <w:rPr>
          <w:b/>
          <w:i/>
          <w:iCs/>
          <w:szCs w:val="28"/>
        </w:rPr>
        <w:t xml:space="preserve">respeta[ba] la intención del constituyente derivado de que [fueran] los órganos de autogobierno judicial a quienes </w:t>
      </w:r>
      <w:r w:rsidRPr="002E4477">
        <w:rPr>
          <w:b/>
          <w:i/>
          <w:iCs/>
          <w:szCs w:val="28"/>
          <w:u w:val="single"/>
        </w:rPr>
        <w:t>correspondiera elaborar las listas</w:t>
      </w:r>
      <w:r w:rsidRPr="002E4477">
        <w:rPr>
          <w:bCs/>
          <w:szCs w:val="28"/>
        </w:rPr>
        <w:t>”,  de acuerdo con “</w:t>
      </w:r>
      <w:r w:rsidRPr="002E4477">
        <w:rPr>
          <w:b/>
          <w:i/>
          <w:iCs/>
          <w:szCs w:val="28"/>
        </w:rPr>
        <w:t>la voluntad de la reforma</w:t>
      </w:r>
      <w:r w:rsidRPr="002E4477">
        <w:rPr>
          <w:bCs/>
          <w:szCs w:val="28"/>
        </w:rPr>
        <w:t>”,  a fin de que “</w:t>
      </w:r>
      <w:r w:rsidRPr="002E4477">
        <w:rPr>
          <w:b/>
          <w:i/>
          <w:iCs/>
          <w:szCs w:val="28"/>
        </w:rPr>
        <w:t xml:space="preserve">la conformación de las listas </w:t>
      </w:r>
      <w:r w:rsidRPr="002E4477">
        <w:rPr>
          <w:b/>
          <w:i/>
          <w:iCs/>
          <w:szCs w:val="28"/>
          <w:u w:val="single"/>
        </w:rPr>
        <w:t>est[uviera] precedida por una convocatoria pública reglada</w:t>
      </w:r>
      <w:r w:rsidRPr="002E4477">
        <w:rPr>
          <w:b/>
          <w:i/>
          <w:iCs/>
          <w:szCs w:val="28"/>
        </w:rPr>
        <w:t xml:space="preserve"> y de que [fuera] otro órgano distinto al de autogobierno judicial el que decid[iera] finalmente la elección de los magistrados, puesto que el </w:t>
      </w:r>
      <w:r w:rsidRPr="002E4477">
        <w:rPr>
          <w:b/>
          <w:i/>
          <w:iCs/>
          <w:szCs w:val="28"/>
          <w:u w:val="single"/>
        </w:rPr>
        <w:t>Consejo Superior de la Judicatura ser[ía] el encargado de adelantar el proceso de selección de los candidatos para el respectivo cargo”</w:t>
      </w:r>
      <w:r w:rsidRPr="002E4477">
        <w:rPr>
          <w:bCs/>
          <w:i/>
          <w:iCs/>
          <w:szCs w:val="28"/>
        </w:rPr>
        <w:t xml:space="preserve">. </w:t>
      </w:r>
    </w:p>
    <w:p w14:paraId="56C13997" w14:textId="77777777" w:rsidR="00337901" w:rsidRPr="009D7718" w:rsidRDefault="00337901" w:rsidP="00337901">
      <w:pPr>
        <w:pStyle w:val="Prrafodelista"/>
        <w:tabs>
          <w:tab w:val="left" w:pos="426"/>
        </w:tabs>
        <w:ind w:left="0"/>
        <w:contextualSpacing/>
        <w:jc w:val="both"/>
        <w:rPr>
          <w:bCs/>
          <w:szCs w:val="28"/>
        </w:rPr>
      </w:pPr>
    </w:p>
    <w:p w14:paraId="4DCB4BF1" w14:textId="77777777" w:rsidR="00337901" w:rsidRPr="009D7718" w:rsidRDefault="00337901" w:rsidP="00337901">
      <w:pPr>
        <w:pStyle w:val="Prrafodelista"/>
        <w:numPr>
          <w:ilvl w:val="0"/>
          <w:numId w:val="27"/>
        </w:numPr>
        <w:tabs>
          <w:tab w:val="left" w:pos="426"/>
        </w:tabs>
        <w:ind w:left="0" w:firstLine="0"/>
        <w:contextualSpacing/>
        <w:jc w:val="both"/>
        <w:rPr>
          <w:bCs/>
          <w:szCs w:val="28"/>
        </w:rPr>
      </w:pPr>
      <w:r w:rsidRPr="009D7718">
        <w:rPr>
          <w:bCs/>
          <w:szCs w:val="28"/>
        </w:rPr>
        <w:t xml:space="preserve">En consecuencia, como la sentencia </w:t>
      </w:r>
      <w:r w:rsidR="00E842C4">
        <w:rPr>
          <w:bCs/>
          <w:szCs w:val="28"/>
        </w:rPr>
        <w:t xml:space="preserve">de esta Corporación </w:t>
      </w:r>
      <w:r w:rsidRPr="009D7718">
        <w:rPr>
          <w:bCs/>
          <w:szCs w:val="28"/>
        </w:rPr>
        <w:t xml:space="preserve">alude al deber de respetar como parte de la interpretación del artículo 257A de la Carta, </w:t>
      </w:r>
      <w:r w:rsidRPr="009D7718">
        <w:rPr>
          <w:b/>
          <w:szCs w:val="28"/>
        </w:rPr>
        <w:t xml:space="preserve">el querer del constituyente </w:t>
      </w:r>
      <w:r w:rsidRPr="009D7718">
        <w:rPr>
          <w:bCs/>
          <w:szCs w:val="28"/>
        </w:rPr>
        <w:t xml:space="preserve">en </w:t>
      </w:r>
      <w:r w:rsidRPr="009D7718">
        <w:rPr>
          <w:b/>
          <w:szCs w:val="28"/>
        </w:rPr>
        <w:t>el proceso de convocatoria</w:t>
      </w:r>
      <w:r w:rsidRPr="009D7718">
        <w:rPr>
          <w:bCs/>
          <w:szCs w:val="28"/>
        </w:rPr>
        <w:t xml:space="preserve"> y </w:t>
      </w:r>
      <w:r w:rsidRPr="009D7718">
        <w:rPr>
          <w:b/>
          <w:szCs w:val="28"/>
        </w:rPr>
        <w:t>elaboración de la lista de elegibles</w:t>
      </w:r>
      <w:r w:rsidRPr="009D7718">
        <w:rPr>
          <w:bCs/>
          <w:szCs w:val="28"/>
        </w:rPr>
        <w:t xml:space="preserve"> para la selección de los miembros de la CNDJ, y el parágrafo transitorio </w:t>
      </w:r>
      <w:r w:rsidR="00E842C4">
        <w:rPr>
          <w:bCs/>
          <w:szCs w:val="28"/>
        </w:rPr>
        <w:t>dispone</w:t>
      </w:r>
      <w:r w:rsidRPr="009D7718">
        <w:rPr>
          <w:bCs/>
          <w:szCs w:val="28"/>
        </w:rPr>
        <w:t xml:space="preserve"> además que </w:t>
      </w:r>
      <w:r w:rsidRPr="009D7718">
        <w:rPr>
          <w:b/>
          <w:szCs w:val="28"/>
        </w:rPr>
        <w:t xml:space="preserve">el proceso de selección </w:t>
      </w:r>
      <w:r w:rsidRPr="009D7718">
        <w:rPr>
          <w:bCs/>
          <w:szCs w:val="28"/>
        </w:rPr>
        <w:t>de la CNDJ debe darse en tan s</w:t>
      </w:r>
      <w:r w:rsidR="00C80E03">
        <w:rPr>
          <w:bCs/>
          <w:szCs w:val="28"/>
        </w:rPr>
        <w:t>o</w:t>
      </w:r>
      <w:r w:rsidRPr="009D7718">
        <w:rPr>
          <w:bCs/>
          <w:szCs w:val="28"/>
        </w:rPr>
        <w:t xml:space="preserve">lo un año, es claro que la sentencia descrita, en este aspecto, propone una interpretación de la norma en la que reconoce continuidad en el procedimiento de conformación de la CNDJ establecido inicialmente por el constituyente, aunque no así de la autoridad encargada del cumplimiento de tales mandatos, que </w:t>
      </w:r>
      <w:r w:rsidR="00E842C4">
        <w:rPr>
          <w:bCs/>
          <w:szCs w:val="28"/>
        </w:rPr>
        <w:t xml:space="preserve">para el caso objeto de estudio </w:t>
      </w:r>
      <w:r w:rsidRPr="009D7718">
        <w:rPr>
          <w:bCs/>
          <w:szCs w:val="28"/>
        </w:rPr>
        <w:t xml:space="preserve">pasa a ser ahora, el CSJ. </w:t>
      </w:r>
    </w:p>
    <w:p w14:paraId="0B2D4095" w14:textId="77777777" w:rsidR="00337901" w:rsidRDefault="00337901" w:rsidP="00337901">
      <w:pPr>
        <w:pStyle w:val="Prrafodelista"/>
        <w:ind w:left="0"/>
        <w:contextualSpacing/>
        <w:jc w:val="both"/>
        <w:rPr>
          <w:bCs/>
          <w:szCs w:val="28"/>
        </w:rPr>
      </w:pPr>
    </w:p>
    <w:p w14:paraId="62135A69" w14:textId="77777777" w:rsidR="00337901" w:rsidRDefault="00337901" w:rsidP="00337901">
      <w:pPr>
        <w:pStyle w:val="Prrafodelista"/>
        <w:ind w:left="0"/>
        <w:contextualSpacing/>
        <w:jc w:val="both"/>
        <w:rPr>
          <w:bCs/>
          <w:szCs w:val="28"/>
        </w:rPr>
      </w:pPr>
      <w:r w:rsidRPr="002E4477">
        <w:rPr>
          <w:bCs/>
          <w:szCs w:val="28"/>
        </w:rPr>
        <w:t xml:space="preserve">La Corte Constitucional en cuanto al proceso de reglamentación de la convocatoria y selección de las ternas indicadas, modificó entonces, solo lo correspondiente a </w:t>
      </w:r>
      <w:r w:rsidRPr="002E4477">
        <w:rPr>
          <w:b/>
          <w:szCs w:val="28"/>
        </w:rPr>
        <w:t xml:space="preserve">la autoridad designada </w:t>
      </w:r>
      <w:r w:rsidRPr="002E4477">
        <w:rPr>
          <w:bCs/>
          <w:szCs w:val="28"/>
        </w:rPr>
        <w:t>para cumplir dicha función</w:t>
      </w:r>
      <w:r w:rsidR="00E842C4">
        <w:rPr>
          <w:b/>
          <w:szCs w:val="28"/>
        </w:rPr>
        <w:t xml:space="preserve"> </w:t>
      </w:r>
      <w:r w:rsidR="00E842C4" w:rsidRPr="00E842C4">
        <w:rPr>
          <w:bCs/>
          <w:szCs w:val="28"/>
        </w:rPr>
        <w:t>(</w:t>
      </w:r>
      <w:r w:rsidRPr="002E4477">
        <w:rPr>
          <w:bCs/>
          <w:szCs w:val="28"/>
        </w:rPr>
        <w:t xml:space="preserve">esto es, el </w:t>
      </w:r>
      <w:r w:rsidRPr="002E4477">
        <w:rPr>
          <w:bCs/>
          <w:i/>
          <w:iCs/>
          <w:szCs w:val="28"/>
        </w:rPr>
        <w:t xml:space="preserve">Consejo de Gobierno Judicial, </w:t>
      </w:r>
      <w:r w:rsidRPr="002E4477">
        <w:rPr>
          <w:bCs/>
          <w:szCs w:val="28"/>
        </w:rPr>
        <w:t>al que sustituyó por el CSJ</w:t>
      </w:r>
      <w:r w:rsidR="00E842C4">
        <w:rPr>
          <w:bCs/>
          <w:szCs w:val="28"/>
        </w:rPr>
        <w:t>).</w:t>
      </w:r>
      <w:r w:rsidRPr="002E4477">
        <w:rPr>
          <w:bCs/>
          <w:szCs w:val="28"/>
        </w:rPr>
        <w:t xml:space="preserve"> </w:t>
      </w:r>
      <w:r w:rsidR="00E842C4">
        <w:rPr>
          <w:bCs/>
          <w:szCs w:val="28"/>
        </w:rPr>
        <w:t>Así,</w:t>
      </w:r>
      <w:r w:rsidRPr="002E4477">
        <w:rPr>
          <w:bCs/>
          <w:szCs w:val="28"/>
        </w:rPr>
        <w:t xml:space="preserve"> en línea con la inhibición declarada en la</w:t>
      </w:r>
      <w:r w:rsidR="00E842C4">
        <w:rPr>
          <w:bCs/>
          <w:szCs w:val="28"/>
        </w:rPr>
        <w:t xml:space="preserve"> parte</w:t>
      </w:r>
      <w:r w:rsidRPr="002E4477">
        <w:rPr>
          <w:bCs/>
          <w:szCs w:val="28"/>
        </w:rPr>
        <w:t xml:space="preserve"> resolutiva y lo previsto en el parágrafo transitorio que sobrevivió, no alteró el </w:t>
      </w:r>
      <w:r w:rsidRPr="002E4477">
        <w:rPr>
          <w:b/>
          <w:szCs w:val="28"/>
        </w:rPr>
        <w:t xml:space="preserve">procedimiento </w:t>
      </w:r>
      <w:r w:rsidRPr="002E4477">
        <w:rPr>
          <w:bCs/>
          <w:szCs w:val="28"/>
        </w:rPr>
        <w:t>creado por el constituyente dirigido a reglamentar la convocatoria pública y conformar las ternas, dado que acogió lo previsto originalmente por el constituyente en estas materias.</w:t>
      </w:r>
    </w:p>
    <w:p w14:paraId="1B805686" w14:textId="77777777" w:rsidR="00D75156" w:rsidRPr="002E4477" w:rsidRDefault="00D75156" w:rsidP="00337901">
      <w:pPr>
        <w:pStyle w:val="Prrafodelista"/>
        <w:ind w:left="0"/>
        <w:contextualSpacing/>
        <w:jc w:val="both"/>
        <w:rPr>
          <w:bCs/>
          <w:szCs w:val="28"/>
        </w:rPr>
      </w:pPr>
    </w:p>
    <w:p w14:paraId="25840722" w14:textId="77777777" w:rsidR="00337901" w:rsidRPr="002E4477" w:rsidRDefault="00337901" w:rsidP="00337901">
      <w:pPr>
        <w:pStyle w:val="Prrafodelista"/>
        <w:ind w:left="0"/>
        <w:contextualSpacing/>
        <w:jc w:val="both"/>
        <w:rPr>
          <w:bCs/>
          <w:szCs w:val="28"/>
        </w:rPr>
      </w:pPr>
      <w:r w:rsidRPr="00E842C4">
        <w:rPr>
          <w:bCs/>
          <w:szCs w:val="28"/>
        </w:rPr>
        <w:t xml:space="preserve">Lo anterior, en consideración a que en la modulación de la norma que pervivió, </w:t>
      </w:r>
      <w:r w:rsidR="00D75156" w:rsidRPr="00E842C4">
        <w:rPr>
          <w:bCs/>
          <w:szCs w:val="28"/>
        </w:rPr>
        <w:t>esto es, del artículo 257A de la Carta, -</w:t>
      </w:r>
      <w:r w:rsidRPr="00E842C4">
        <w:rPr>
          <w:bCs/>
          <w:szCs w:val="28"/>
        </w:rPr>
        <w:t xml:space="preserve">con base en la interpretación </w:t>
      </w:r>
      <w:r w:rsidR="00D75156" w:rsidRPr="00E842C4">
        <w:rPr>
          <w:bCs/>
          <w:szCs w:val="28"/>
        </w:rPr>
        <w:t xml:space="preserve">adelantada por la Corte en </w:t>
      </w:r>
      <w:r w:rsidRPr="00E842C4">
        <w:rPr>
          <w:bCs/>
          <w:szCs w:val="28"/>
        </w:rPr>
        <w:t>la parte motiva</w:t>
      </w:r>
      <w:r w:rsidR="00D75156" w:rsidRPr="00E842C4">
        <w:rPr>
          <w:bCs/>
          <w:szCs w:val="28"/>
        </w:rPr>
        <w:t xml:space="preserve"> de la sentencia -, esta Corporación </w:t>
      </w:r>
      <w:r w:rsidRPr="00E842C4">
        <w:rPr>
          <w:bCs/>
          <w:szCs w:val="28"/>
        </w:rPr>
        <w:t>decidió preservar el proceso de convocatoria y elaboración de listas</w:t>
      </w:r>
      <w:r w:rsidRPr="002E4477">
        <w:rPr>
          <w:bCs/>
          <w:szCs w:val="28"/>
        </w:rPr>
        <w:t xml:space="preserve"> para la selección de los miembros del CNDJ, conforme al espíritu de la reforma y no afectarlo, llenado así los posibles vacíos que pudieran darse en su interpretación final, en los términos de lo enunciado en la sentencia C-285 de 2016.  </w:t>
      </w:r>
    </w:p>
    <w:p w14:paraId="55125C85" w14:textId="77777777" w:rsidR="00337901" w:rsidRPr="002E4477" w:rsidRDefault="00337901" w:rsidP="00337901">
      <w:pPr>
        <w:pStyle w:val="Prrafodelista"/>
        <w:ind w:left="0"/>
        <w:contextualSpacing/>
        <w:jc w:val="both"/>
        <w:rPr>
          <w:bCs/>
          <w:szCs w:val="28"/>
        </w:rPr>
      </w:pPr>
    </w:p>
    <w:p w14:paraId="3C744ADC" w14:textId="77777777" w:rsidR="00337901" w:rsidRDefault="00337901" w:rsidP="00337901">
      <w:pPr>
        <w:pStyle w:val="Prrafodelista"/>
        <w:ind w:left="0"/>
        <w:contextualSpacing/>
        <w:jc w:val="both"/>
        <w:rPr>
          <w:bCs/>
          <w:szCs w:val="28"/>
        </w:rPr>
      </w:pPr>
      <w:r w:rsidRPr="002E4477">
        <w:rPr>
          <w:bCs/>
          <w:szCs w:val="28"/>
        </w:rPr>
        <w:t xml:space="preserve">Desde este punto de vista, el artículo 257A de la Constitución, integrado por los condicionamientos descritos en la parte motiva de la </w:t>
      </w:r>
      <w:r w:rsidRPr="00E76B05">
        <w:rPr>
          <w:b/>
          <w:szCs w:val="28"/>
        </w:rPr>
        <w:t>sentencia C-285 de 2016</w:t>
      </w:r>
      <w:r w:rsidRPr="002E4477">
        <w:rPr>
          <w:bCs/>
          <w:szCs w:val="28"/>
        </w:rPr>
        <w:t xml:space="preserve">, y conforme al texto constitucional sobreviviente de naturaleza transitoria incluido en </w:t>
      </w:r>
      <w:r>
        <w:rPr>
          <w:bCs/>
          <w:szCs w:val="28"/>
        </w:rPr>
        <w:t xml:space="preserve">el </w:t>
      </w:r>
      <w:r w:rsidRPr="002E4477">
        <w:rPr>
          <w:bCs/>
          <w:szCs w:val="28"/>
        </w:rPr>
        <w:t xml:space="preserve">parágrafo transitorio, autoriza que: </w:t>
      </w:r>
      <w:r w:rsidRPr="002E4477">
        <w:rPr>
          <w:b/>
          <w:szCs w:val="28"/>
        </w:rPr>
        <w:t>(a)</w:t>
      </w:r>
      <w:r w:rsidRPr="002E4477">
        <w:rPr>
          <w:bCs/>
          <w:szCs w:val="28"/>
        </w:rPr>
        <w:t xml:space="preserve"> la convocatoria pública sea reglada y realizada por los órganos de autogobierno correspondientes según el espíritu de la reforma, dentro del año siguiente a la expedición del Acto Legislativo, </w:t>
      </w:r>
      <w:r w:rsidRPr="002E4477">
        <w:rPr>
          <w:b/>
          <w:szCs w:val="28"/>
        </w:rPr>
        <w:t>(b)</w:t>
      </w:r>
      <w:r w:rsidRPr="002E4477">
        <w:rPr>
          <w:bCs/>
          <w:szCs w:val="28"/>
        </w:rPr>
        <w:t xml:space="preserve"> </w:t>
      </w:r>
      <w:r>
        <w:rPr>
          <w:bCs/>
          <w:szCs w:val="28"/>
        </w:rPr>
        <w:t>la reglamentación</w:t>
      </w:r>
      <w:r w:rsidRPr="002E4477">
        <w:rPr>
          <w:bCs/>
          <w:szCs w:val="28"/>
        </w:rPr>
        <w:t xml:space="preserve"> sea proferida por el ahora CSJ, acudiendo </w:t>
      </w:r>
      <w:r w:rsidRPr="002E4477">
        <w:rPr>
          <w:b/>
          <w:szCs w:val="28"/>
        </w:rPr>
        <w:t>(c)</w:t>
      </w:r>
      <w:r w:rsidRPr="002E4477">
        <w:rPr>
          <w:bCs/>
          <w:szCs w:val="28"/>
        </w:rPr>
        <w:t xml:space="preserve"> al trámite previsto originalmente por el constituyente conforme a la reforma original, lo que supone que la reglamentación de la convocatoria correspondiente sea proferida p</w:t>
      </w:r>
      <w:r w:rsidR="00E76B05">
        <w:rPr>
          <w:bCs/>
          <w:szCs w:val="28"/>
        </w:rPr>
        <w:t>a</w:t>
      </w:r>
      <w:r w:rsidRPr="002E4477">
        <w:rPr>
          <w:bCs/>
          <w:szCs w:val="28"/>
        </w:rPr>
        <w:t>r</w:t>
      </w:r>
      <w:r w:rsidR="00E76B05">
        <w:rPr>
          <w:bCs/>
          <w:szCs w:val="28"/>
        </w:rPr>
        <w:t>a el caso de las ternas que integra</w:t>
      </w:r>
      <w:r w:rsidRPr="002E4477">
        <w:rPr>
          <w:bCs/>
          <w:szCs w:val="28"/>
        </w:rPr>
        <w:t xml:space="preserve"> el CSJ, - antes el </w:t>
      </w:r>
      <w:r w:rsidRPr="002E4477">
        <w:rPr>
          <w:bCs/>
          <w:i/>
          <w:iCs/>
          <w:szCs w:val="28"/>
        </w:rPr>
        <w:t>Consejo de Gobierno Judicial</w:t>
      </w:r>
      <w:r w:rsidRPr="002E4477">
        <w:rPr>
          <w:bCs/>
          <w:szCs w:val="28"/>
        </w:rPr>
        <w:t>-, para la configuración de la CNDJ.</w:t>
      </w:r>
    </w:p>
    <w:p w14:paraId="5468AD04" w14:textId="77777777" w:rsidR="00337901" w:rsidRPr="002E4477" w:rsidRDefault="00337901" w:rsidP="00337901">
      <w:pPr>
        <w:pStyle w:val="Prrafodelista"/>
        <w:ind w:left="0"/>
        <w:contextualSpacing/>
        <w:jc w:val="both"/>
        <w:rPr>
          <w:bCs/>
          <w:szCs w:val="28"/>
        </w:rPr>
      </w:pPr>
    </w:p>
    <w:p w14:paraId="4EC25D27" w14:textId="77777777" w:rsidR="00337901" w:rsidRPr="002E4477" w:rsidRDefault="00337901" w:rsidP="00337901">
      <w:pPr>
        <w:pStyle w:val="Prrafodelista"/>
        <w:numPr>
          <w:ilvl w:val="0"/>
          <w:numId w:val="27"/>
        </w:numPr>
        <w:tabs>
          <w:tab w:val="left" w:pos="567"/>
        </w:tabs>
        <w:ind w:left="0" w:firstLine="0"/>
        <w:contextualSpacing/>
        <w:jc w:val="both"/>
        <w:rPr>
          <w:bCs/>
          <w:szCs w:val="28"/>
        </w:rPr>
      </w:pPr>
      <w:r w:rsidRPr="002E4477">
        <w:rPr>
          <w:bCs/>
          <w:szCs w:val="28"/>
        </w:rPr>
        <w:t xml:space="preserve">Esta interpretación prevista para el artículo 257A superior en la parte motiva de la sentencia C-285 de 2016, responde al contexto y finalidad con que la norma fue producida, y no contradice la declaratoria de inexequibilidad del artículo 18 del A.L. 02 de 2015, porque como ya lo señaló la Sala, no es cierto que </w:t>
      </w:r>
      <w:r w:rsidRPr="002E4477">
        <w:rPr>
          <w:b/>
          <w:szCs w:val="28"/>
        </w:rPr>
        <w:t xml:space="preserve">todo </w:t>
      </w:r>
      <w:r w:rsidRPr="002E4477">
        <w:rPr>
          <w:bCs/>
          <w:szCs w:val="28"/>
        </w:rPr>
        <w:t xml:space="preserve">el régimen de transición fuese declarado inexequible según la sentencia, en la medida en que algunos aspectos de este procedimiento pervivieron literalmente en el artículo 19 del A.L 02 de 2015. </w:t>
      </w:r>
    </w:p>
    <w:p w14:paraId="117C6DD3" w14:textId="77777777" w:rsidR="00337901" w:rsidRPr="002E4477" w:rsidRDefault="00337901" w:rsidP="00337901">
      <w:pPr>
        <w:pStyle w:val="Prrafodelista"/>
        <w:tabs>
          <w:tab w:val="left" w:pos="567"/>
        </w:tabs>
        <w:ind w:left="0"/>
        <w:contextualSpacing/>
        <w:jc w:val="both"/>
        <w:rPr>
          <w:bCs/>
          <w:szCs w:val="28"/>
        </w:rPr>
      </w:pPr>
    </w:p>
    <w:p w14:paraId="6D8DE428" w14:textId="77777777" w:rsidR="00337901" w:rsidRPr="002E4477" w:rsidRDefault="00337901" w:rsidP="00337901">
      <w:pPr>
        <w:pStyle w:val="Prrafodelista"/>
        <w:tabs>
          <w:tab w:val="left" w:pos="567"/>
        </w:tabs>
        <w:ind w:left="0"/>
        <w:contextualSpacing/>
        <w:jc w:val="both"/>
        <w:rPr>
          <w:bCs/>
          <w:szCs w:val="28"/>
        </w:rPr>
      </w:pPr>
      <w:r w:rsidRPr="002E4477">
        <w:rPr>
          <w:bCs/>
          <w:szCs w:val="28"/>
        </w:rPr>
        <w:t>Los presuntos vacíos derivados de ese hecho, fueron entonces ajustados con la interpretación que la Corte ofreció en la parte motiva de la sentencia C-285 de 2016 sobre el alcance del procedimiento de selección correspondiente, frente al que no existía pronunciamiento constitucional de fondo.</w:t>
      </w:r>
    </w:p>
    <w:p w14:paraId="7776CEAF" w14:textId="77777777" w:rsidR="00337901" w:rsidRPr="002E4477" w:rsidRDefault="00337901" w:rsidP="00337901">
      <w:pPr>
        <w:pStyle w:val="Prrafodelista"/>
        <w:ind w:left="0"/>
        <w:contextualSpacing/>
        <w:jc w:val="both"/>
        <w:rPr>
          <w:bCs/>
          <w:szCs w:val="28"/>
        </w:rPr>
      </w:pPr>
    </w:p>
    <w:p w14:paraId="23E40F07" w14:textId="77777777" w:rsidR="00337901" w:rsidRPr="002E4477" w:rsidRDefault="00337901" w:rsidP="00337901">
      <w:pPr>
        <w:pStyle w:val="Prrafodelista"/>
        <w:ind w:left="0"/>
        <w:contextualSpacing/>
        <w:jc w:val="both"/>
        <w:rPr>
          <w:bCs/>
          <w:szCs w:val="28"/>
        </w:rPr>
      </w:pPr>
      <w:r w:rsidRPr="002E4477">
        <w:rPr>
          <w:bCs/>
          <w:szCs w:val="28"/>
        </w:rPr>
        <w:t xml:space="preserve">De hecho, como el Tribunal constitucional no se pronunció sobre este tema y frente a él no recaía cosa juzgada constitucional, era factible para la Corte ajustar la interpretación de la norma sobreviviente, al objetivo de darle cumplimiento efectivo a la reforma </w:t>
      </w:r>
      <w:r w:rsidR="00E76B05">
        <w:rPr>
          <w:bCs/>
          <w:szCs w:val="28"/>
        </w:rPr>
        <w:t>constitucional</w:t>
      </w:r>
      <w:r w:rsidRPr="002E4477">
        <w:rPr>
          <w:bCs/>
          <w:szCs w:val="28"/>
        </w:rPr>
        <w:t xml:space="preserve">, al punto de conferirle efecto útil al parágrafo transitorio del artículo 257A </w:t>
      </w:r>
      <w:r w:rsidR="00E76B05">
        <w:rPr>
          <w:bCs/>
          <w:szCs w:val="28"/>
        </w:rPr>
        <w:t>superior</w:t>
      </w:r>
      <w:r w:rsidRPr="002E4477">
        <w:rPr>
          <w:bCs/>
          <w:szCs w:val="28"/>
        </w:rPr>
        <w:t>. De allí que con la modulación realizada en la sentencia C-285 de 2016, se le diera viabilidad a la continuidad del proceso de elección previsto por el constituyente desde el inicio, a fin de cumplir con los objetivos originales de la reforma, en relación con la CNDJ.</w:t>
      </w:r>
    </w:p>
    <w:p w14:paraId="7F215854" w14:textId="77777777" w:rsidR="00337901" w:rsidRDefault="00337901" w:rsidP="00337901">
      <w:pPr>
        <w:pStyle w:val="Prrafodelista"/>
        <w:ind w:left="0"/>
        <w:contextualSpacing/>
        <w:jc w:val="both"/>
        <w:rPr>
          <w:bCs/>
          <w:szCs w:val="28"/>
        </w:rPr>
      </w:pPr>
    </w:p>
    <w:p w14:paraId="3D469816" w14:textId="77777777" w:rsidR="00337901" w:rsidRPr="00337901" w:rsidRDefault="00C769E6" w:rsidP="00337901">
      <w:pPr>
        <w:pStyle w:val="Prrafodelista"/>
        <w:numPr>
          <w:ilvl w:val="0"/>
          <w:numId w:val="10"/>
        </w:numPr>
        <w:contextualSpacing/>
        <w:jc w:val="both"/>
        <w:rPr>
          <w:bCs/>
          <w:szCs w:val="28"/>
        </w:rPr>
      </w:pPr>
      <w:r w:rsidRPr="00337901">
        <w:rPr>
          <w:bCs/>
          <w:szCs w:val="28"/>
        </w:rPr>
        <w:t>Por lo tanto, en consideración</w:t>
      </w:r>
      <w:r w:rsidR="005C17A4" w:rsidRPr="00337901">
        <w:rPr>
          <w:bCs/>
          <w:szCs w:val="28"/>
        </w:rPr>
        <w:t xml:space="preserve"> a los supuestos enunciados, es claro que </w:t>
      </w:r>
      <w:r w:rsidR="006E1F11" w:rsidRPr="00337901">
        <w:rPr>
          <w:szCs w:val="28"/>
        </w:rPr>
        <w:t xml:space="preserve">el </w:t>
      </w:r>
      <w:r w:rsidR="003C44B0" w:rsidRPr="00337901">
        <w:rPr>
          <w:szCs w:val="28"/>
        </w:rPr>
        <w:t>c</w:t>
      </w:r>
      <w:r w:rsidR="006E1F11" w:rsidRPr="00337901">
        <w:rPr>
          <w:szCs w:val="28"/>
        </w:rPr>
        <w:t xml:space="preserve">onstituyente </w:t>
      </w:r>
      <w:r w:rsidR="00BE25C9" w:rsidRPr="00337901">
        <w:rPr>
          <w:szCs w:val="28"/>
        </w:rPr>
        <w:t>n</w:t>
      </w:r>
      <w:r w:rsidR="005C17A4" w:rsidRPr="00337901">
        <w:rPr>
          <w:szCs w:val="28"/>
        </w:rPr>
        <w:t>i</w:t>
      </w:r>
      <w:r w:rsidR="00BE25C9" w:rsidRPr="00337901">
        <w:rPr>
          <w:szCs w:val="28"/>
        </w:rPr>
        <w:t xml:space="preserve"> </w:t>
      </w:r>
      <w:r w:rsidR="006E1F11" w:rsidRPr="00337901">
        <w:rPr>
          <w:szCs w:val="28"/>
        </w:rPr>
        <w:t>omit</w:t>
      </w:r>
      <w:r w:rsidR="003C44B0" w:rsidRPr="00337901">
        <w:rPr>
          <w:szCs w:val="28"/>
        </w:rPr>
        <w:t>ió</w:t>
      </w:r>
      <w:r w:rsidR="006E1F11" w:rsidRPr="00337901">
        <w:rPr>
          <w:szCs w:val="28"/>
        </w:rPr>
        <w:t xml:space="preserve"> designar al Legislador </w:t>
      </w:r>
      <w:r w:rsidR="00BE25C9" w:rsidRPr="00337901">
        <w:rPr>
          <w:szCs w:val="28"/>
        </w:rPr>
        <w:t>co</w:t>
      </w:r>
      <w:r w:rsidR="006E1F11" w:rsidRPr="00337901">
        <w:rPr>
          <w:szCs w:val="28"/>
        </w:rPr>
        <w:t xml:space="preserve">mo regulador inicial de </w:t>
      </w:r>
      <w:r w:rsidR="00942027" w:rsidRPr="00337901">
        <w:rPr>
          <w:szCs w:val="28"/>
        </w:rPr>
        <w:t>l</w:t>
      </w:r>
      <w:r w:rsidR="006E1F11" w:rsidRPr="00337901">
        <w:rPr>
          <w:szCs w:val="28"/>
        </w:rPr>
        <w:t>a primera convocatoria</w:t>
      </w:r>
      <w:r w:rsidR="003C44B0" w:rsidRPr="00337901">
        <w:rPr>
          <w:szCs w:val="28"/>
        </w:rPr>
        <w:t xml:space="preserve">, </w:t>
      </w:r>
      <w:r w:rsidR="00942027" w:rsidRPr="00337901">
        <w:rPr>
          <w:szCs w:val="28"/>
        </w:rPr>
        <w:t>ni era necesario acudir a criterios general</w:t>
      </w:r>
      <w:r w:rsidR="005C17A4" w:rsidRPr="00337901">
        <w:rPr>
          <w:szCs w:val="28"/>
        </w:rPr>
        <w:t xml:space="preserve">es de naturaleza competencial para darle sentido al </w:t>
      </w:r>
      <w:r w:rsidR="00BE25C9" w:rsidRPr="00337901">
        <w:rPr>
          <w:szCs w:val="28"/>
        </w:rPr>
        <w:t>artículo 257A superior</w:t>
      </w:r>
      <w:r w:rsidR="005C17A4" w:rsidRPr="00337901">
        <w:rPr>
          <w:szCs w:val="28"/>
        </w:rPr>
        <w:t xml:space="preserve">, </w:t>
      </w:r>
      <w:r w:rsidR="007126F0" w:rsidRPr="00337901">
        <w:rPr>
          <w:szCs w:val="28"/>
        </w:rPr>
        <w:t>por</w:t>
      </w:r>
      <w:r w:rsidR="005C17A4" w:rsidRPr="00337901">
        <w:rPr>
          <w:szCs w:val="28"/>
        </w:rPr>
        <w:t>que</w:t>
      </w:r>
      <w:r w:rsidR="007126F0" w:rsidRPr="00337901">
        <w:rPr>
          <w:szCs w:val="28"/>
        </w:rPr>
        <w:t xml:space="preserve"> este,</w:t>
      </w:r>
      <w:r w:rsidR="005C17A4" w:rsidRPr="00337901">
        <w:rPr>
          <w:szCs w:val="28"/>
        </w:rPr>
        <w:t xml:space="preserve"> </w:t>
      </w:r>
      <w:r w:rsidR="00DC2F0A" w:rsidRPr="00337901">
        <w:rPr>
          <w:szCs w:val="28"/>
        </w:rPr>
        <w:t xml:space="preserve">debido a </w:t>
      </w:r>
      <w:r w:rsidR="005C17A4" w:rsidRPr="00337901">
        <w:rPr>
          <w:szCs w:val="28"/>
        </w:rPr>
        <w:t xml:space="preserve">su </w:t>
      </w:r>
      <w:r w:rsidR="00942027" w:rsidRPr="00337901">
        <w:rPr>
          <w:szCs w:val="28"/>
        </w:rPr>
        <w:t>condicionamiento</w:t>
      </w:r>
      <w:r w:rsidR="009A6AF8" w:rsidRPr="00337901">
        <w:rPr>
          <w:szCs w:val="28"/>
        </w:rPr>
        <w:t>,</w:t>
      </w:r>
      <w:r w:rsidR="001E2ED0" w:rsidRPr="00337901">
        <w:rPr>
          <w:szCs w:val="28"/>
        </w:rPr>
        <w:t xml:space="preserve"> no adolecía de ningún vacío </w:t>
      </w:r>
      <w:r w:rsidR="00DC2F0A" w:rsidRPr="00337901">
        <w:rPr>
          <w:szCs w:val="28"/>
        </w:rPr>
        <w:t xml:space="preserve">en cuanto a la </w:t>
      </w:r>
      <w:r w:rsidR="001E2ED0" w:rsidRPr="00337901">
        <w:rPr>
          <w:szCs w:val="28"/>
        </w:rPr>
        <w:t xml:space="preserve">determinación </w:t>
      </w:r>
      <w:r w:rsidR="00DC2F0A" w:rsidRPr="00337901">
        <w:rPr>
          <w:szCs w:val="28"/>
        </w:rPr>
        <w:t xml:space="preserve">de </w:t>
      </w:r>
      <w:r w:rsidR="001E2ED0" w:rsidRPr="00337901">
        <w:rPr>
          <w:szCs w:val="28"/>
        </w:rPr>
        <w:t xml:space="preserve">la competencia del CSJ para adelantar la reglamentación </w:t>
      </w:r>
      <w:r w:rsidR="00800EAC" w:rsidRPr="00337901">
        <w:rPr>
          <w:szCs w:val="28"/>
        </w:rPr>
        <w:t xml:space="preserve">a </w:t>
      </w:r>
      <w:r w:rsidR="001E2ED0" w:rsidRPr="00337901">
        <w:rPr>
          <w:szCs w:val="28"/>
        </w:rPr>
        <w:t>la convocatoria pública reglada</w:t>
      </w:r>
      <w:r w:rsidR="00FF4169" w:rsidRPr="00337901">
        <w:rPr>
          <w:szCs w:val="28"/>
        </w:rPr>
        <w:t xml:space="preserve"> </w:t>
      </w:r>
      <w:r w:rsidR="00E76B05">
        <w:rPr>
          <w:szCs w:val="28"/>
        </w:rPr>
        <w:t xml:space="preserve">que le </w:t>
      </w:r>
      <w:r w:rsidR="00FF4169" w:rsidRPr="00337901">
        <w:rPr>
          <w:szCs w:val="28"/>
        </w:rPr>
        <w:t>correspond</w:t>
      </w:r>
      <w:r w:rsidR="00E76B05">
        <w:rPr>
          <w:szCs w:val="28"/>
        </w:rPr>
        <w:t>e</w:t>
      </w:r>
      <w:r w:rsidR="001E2ED0" w:rsidRPr="00337901">
        <w:rPr>
          <w:szCs w:val="28"/>
        </w:rPr>
        <w:t xml:space="preserve">. </w:t>
      </w:r>
      <w:r w:rsidR="00993B53" w:rsidRPr="00337901">
        <w:rPr>
          <w:szCs w:val="28"/>
        </w:rPr>
        <w:t xml:space="preserve"> </w:t>
      </w:r>
      <w:bookmarkStart w:id="43" w:name="_Hlk39324735"/>
    </w:p>
    <w:p w14:paraId="58454A59" w14:textId="77777777" w:rsidR="00337901" w:rsidRDefault="00337901" w:rsidP="00337901">
      <w:pPr>
        <w:pStyle w:val="Prrafodelista"/>
        <w:ind w:left="0"/>
        <w:contextualSpacing/>
        <w:jc w:val="both"/>
        <w:rPr>
          <w:bCs/>
          <w:szCs w:val="28"/>
        </w:rPr>
      </w:pPr>
    </w:p>
    <w:p w14:paraId="754227AC" w14:textId="77777777" w:rsidR="00337901" w:rsidRPr="00337901" w:rsidRDefault="00337901" w:rsidP="00337901">
      <w:pPr>
        <w:pStyle w:val="Prrafodelista"/>
        <w:ind w:left="0"/>
        <w:contextualSpacing/>
        <w:jc w:val="both"/>
        <w:rPr>
          <w:bCs/>
          <w:szCs w:val="28"/>
        </w:rPr>
      </w:pPr>
      <w:r w:rsidRPr="00337901">
        <w:rPr>
          <w:szCs w:val="28"/>
        </w:rPr>
        <w:t>Una convocatoria, que como se ha mencionado, podía realizarse, -dado su carácter derivado de la Carta-, bajo las reglas de un reglamento autónomo, en atención a la premura de darle paso a una nueva institucionalidad, sin desconocer lo establecido en el artículo 126 superior, por tratarse este último de una norma que establece una regla general, innecesaria, ante una norma constitucional</w:t>
      </w:r>
      <w:r w:rsidR="0007353F">
        <w:rPr>
          <w:szCs w:val="28"/>
        </w:rPr>
        <w:t xml:space="preserve">, </w:t>
      </w:r>
      <w:r w:rsidRPr="00337901">
        <w:rPr>
          <w:szCs w:val="28"/>
        </w:rPr>
        <w:t xml:space="preserve">que fue modulada, para ser aplicada. </w:t>
      </w:r>
    </w:p>
    <w:p w14:paraId="05F8EE8B" w14:textId="77777777" w:rsidR="00337901" w:rsidRDefault="00337901" w:rsidP="00337901">
      <w:pPr>
        <w:pStyle w:val="Prrafodelista"/>
        <w:rPr>
          <w:bCs/>
          <w:szCs w:val="28"/>
        </w:rPr>
      </w:pPr>
    </w:p>
    <w:bookmarkEnd w:id="43"/>
    <w:p w14:paraId="39E4041E" w14:textId="77777777" w:rsidR="00337901" w:rsidRPr="00E76B05" w:rsidRDefault="00CD7DAB" w:rsidP="00337901">
      <w:pPr>
        <w:pStyle w:val="Prrafodelista"/>
        <w:numPr>
          <w:ilvl w:val="0"/>
          <w:numId w:val="10"/>
        </w:numPr>
        <w:contextualSpacing/>
        <w:jc w:val="both"/>
        <w:rPr>
          <w:bCs/>
          <w:szCs w:val="28"/>
        </w:rPr>
      </w:pPr>
      <w:r w:rsidRPr="00337901">
        <w:rPr>
          <w:szCs w:val="28"/>
          <w:lang w:val="es-CO"/>
        </w:rPr>
        <w:t xml:space="preserve">En mérito de lo expuesto, </w:t>
      </w:r>
      <w:r w:rsidR="00C769E6" w:rsidRPr="00337901">
        <w:rPr>
          <w:szCs w:val="28"/>
          <w:lang w:val="es-CO"/>
        </w:rPr>
        <w:t xml:space="preserve">como el Consejo de Estado se separó de la interpretación material de la norma constitucional mencionada </w:t>
      </w:r>
      <w:r w:rsidR="006B15D0" w:rsidRPr="00337901">
        <w:rPr>
          <w:szCs w:val="28"/>
          <w:lang w:val="es-CO"/>
        </w:rPr>
        <w:t xml:space="preserve">establecida en </w:t>
      </w:r>
      <w:r w:rsidR="00C769E6" w:rsidRPr="00337901">
        <w:rPr>
          <w:szCs w:val="28"/>
          <w:lang w:val="es-CO"/>
        </w:rPr>
        <w:t xml:space="preserve">la sentencia C-285 de 2016,  y desconoció que </w:t>
      </w:r>
      <w:r w:rsidRPr="00337901">
        <w:rPr>
          <w:szCs w:val="28"/>
          <w:lang w:val="es-CO"/>
        </w:rPr>
        <w:t xml:space="preserve">la Corte Constitucional </w:t>
      </w:r>
      <w:r w:rsidR="00893743" w:rsidRPr="00337901">
        <w:rPr>
          <w:szCs w:val="28"/>
          <w:lang w:val="es-CO"/>
        </w:rPr>
        <w:t>modificó</w:t>
      </w:r>
      <w:r w:rsidRPr="00337901">
        <w:rPr>
          <w:szCs w:val="28"/>
          <w:lang w:val="es-CO"/>
        </w:rPr>
        <w:t xml:space="preserve"> la autoridad </w:t>
      </w:r>
      <w:r w:rsidR="00893743" w:rsidRPr="00337901">
        <w:rPr>
          <w:szCs w:val="28"/>
          <w:lang w:val="es-CO"/>
        </w:rPr>
        <w:t>que debía adelantar el procedimiento de convocatoria</w:t>
      </w:r>
      <w:r w:rsidR="00C769E6" w:rsidRPr="00337901">
        <w:rPr>
          <w:szCs w:val="28"/>
          <w:lang w:val="es-CO"/>
        </w:rPr>
        <w:t xml:space="preserve"> pero </w:t>
      </w:r>
      <w:r w:rsidRPr="00337901">
        <w:rPr>
          <w:szCs w:val="28"/>
          <w:lang w:val="es-CO"/>
        </w:rPr>
        <w:t xml:space="preserve">no </w:t>
      </w:r>
      <w:r w:rsidR="00C769E6" w:rsidRPr="00337901">
        <w:rPr>
          <w:szCs w:val="28"/>
          <w:lang w:val="es-CO"/>
        </w:rPr>
        <w:t xml:space="preserve">así </w:t>
      </w:r>
      <w:r w:rsidRPr="00337901">
        <w:rPr>
          <w:szCs w:val="28"/>
          <w:lang w:val="es-CO"/>
        </w:rPr>
        <w:t>el procedimiento que</w:t>
      </w:r>
      <w:r w:rsidR="004660D9" w:rsidRPr="00337901">
        <w:rPr>
          <w:szCs w:val="28"/>
          <w:lang w:val="es-CO"/>
        </w:rPr>
        <w:t xml:space="preserve"> debía surtirse</w:t>
      </w:r>
      <w:r w:rsidRPr="00337901">
        <w:rPr>
          <w:szCs w:val="28"/>
          <w:lang w:val="es-CO"/>
        </w:rPr>
        <w:t xml:space="preserve"> </w:t>
      </w:r>
      <w:r w:rsidR="00C769E6" w:rsidRPr="00337901">
        <w:rPr>
          <w:szCs w:val="28"/>
          <w:lang w:val="es-CO"/>
        </w:rPr>
        <w:t>para hacer efectiva la configuración de la CNDJ en el término de un año</w:t>
      </w:r>
      <w:r w:rsidR="00800EAC" w:rsidRPr="00337901">
        <w:rPr>
          <w:szCs w:val="28"/>
          <w:lang w:val="es-CO"/>
        </w:rPr>
        <w:t xml:space="preserve"> previsto en la norma constitucional</w:t>
      </w:r>
      <w:r w:rsidR="00C769E6" w:rsidRPr="00337901">
        <w:rPr>
          <w:szCs w:val="28"/>
          <w:lang w:val="es-CO"/>
        </w:rPr>
        <w:t>,</w:t>
      </w:r>
      <w:r w:rsidR="00EF2110" w:rsidRPr="00337901">
        <w:rPr>
          <w:szCs w:val="28"/>
          <w:lang w:val="es-CO"/>
        </w:rPr>
        <w:t xml:space="preserve"> la Sala Plena de lo Contencioso Administrativo</w:t>
      </w:r>
      <w:r w:rsidR="00C769E6" w:rsidRPr="00337901">
        <w:rPr>
          <w:szCs w:val="28"/>
          <w:lang w:val="es-CO"/>
        </w:rPr>
        <w:t xml:space="preserve"> desconoció finalmente el </w:t>
      </w:r>
      <w:r w:rsidR="00893743" w:rsidRPr="00337901">
        <w:rPr>
          <w:szCs w:val="28"/>
          <w:lang w:val="es-CO"/>
        </w:rPr>
        <w:t xml:space="preserve">artículo </w:t>
      </w:r>
      <w:r w:rsidR="00893743" w:rsidRPr="00E76B05">
        <w:rPr>
          <w:szCs w:val="28"/>
          <w:lang w:val="es-CO"/>
        </w:rPr>
        <w:t xml:space="preserve">257A </w:t>
      </w:r>
      <w:r w:rsidR="00C769E6" w:rsidRPr="00E76B05">
        <w:rPr>
          <w:szCs w:val="28"/>
          <w:lang w:val="es-CO"/>
        </w:rPr>
        <w:t>de la Carta, que debía ser interpretado</w:t>
      </w:r>
      <w:r w:rsidR="00EF2110" w:rsidRPr="00E76B05">
        <w:rPr>
          <w:szCs w:val="28"/>
          <w:lang w:val="es-CO"/>
        </w:rPr>
        <w:t xml:space="preserve"> y valorado en</w:t>
      </w:r>
      <w:r w:rsidR="00C769E6" w:rsidRPr="00E76B05">
        <w:rPr>
          <w:szCs w:val="28"/>
          <w:lang w:val="es-CO"/>
        </w:rPr>
        <w:t xml:space="preserve"> consideración a la </w:t>
      </w:r>
      <w:r w:rsidR="00751581" w:rsidRPr="00E76B05">
        <w:rPr>
          <w:i/>
          <w:iCs/>
          <w:szCs w:val="28"/>
          <w:lang w:val="es-CO"/>
        </w:rPr>
        <w:t>ratio decidendi</w:t>
      </w:r>
      <w:r w:rsidR="00751581" w:rsidRPr="00E76B05">
        <w:rPr>
          <w:szCs w:val="28"/>
          <w:lang w:val="es-CO"/>
        </w:rPr>
        <w:t xml:space="preserve"> de la </w:t>
      </w:r>
      <w:r w:rsidR="00C769E6" w:rsidRPr="00E76B05">
        <w:rPr>
          <w:szCs w:val="28"/>
          <w:lang w:val="es-CO"/>
        </w:rPr>
        <w:t>decisión</w:t>
      </w:r>
      <w:r w:rsidR="00217C59" w:rsidRPr="00E76B05">
        <w:rPr>
          <w:szCs w:val="28"/>
          <w:lang w:val="es-CO"/>
        </w:rPr>
        <w:t xml:space="preserve"> constitucional</w:t>
      </w:r>
      <w:r w:rsidR="00C769E6" w:rsidRPr="00E76B05">
        <w:rPr>
          <w:szCs w:val="28"/>
          <w:lang w:val="es-CO"/>
        </w:rPr>
        <w:t xml:space="preserve"> vinculante</w:t>
      </w:r>
      <w:r w:rsidR="00800EAC" w:rsidRPr="00E76B05">
        <w:rPr>
          <w:szCs w:val="28"/>
          <w:lang w:val="es-CO"/>
        </w:rPr>
        <w:t xml:space="preserve"> previamente reseñada. </w:t>
      </w:r>
      <w:r w:rsidR="00C769E6" w:rsidRPr="00E76B05">
        <w:rPr>
          <w:szCs w:val="28"/>
          <w:lang w:val="es-CO"/>
        </w:rPr>
        <w:t xml:space="preserve"> </w:t>
      </w:r>
    </w:p>
    <w:p w14:paraId="7B7EC085" w14:textId="77777777" w:rsidR="00337901" w:rsidRPr="00E76B05" w:rsidRDefault="00337901" w:rsidP="00337901">
      <w:pPr>
        <w:pStyle w:val="Prrafodelista"/>
        <w:ind w:left="0"/>
        <w:contextualSpacing/>
        <w:jc w:val="both"/>
        <w:rPr>
          <w:bCs/>
          <w:szCs w:val="28"/>
        </w:rPr>
      </w:pPr>
    </w:p>
    <w:p w14:paraId="48ACB569" w14:textId="77777777" w:rsidR="00337901" w:rsidRPr="00E76B05" w:rsidRDefault="00FF4169" w:rsidP="00337901">
      <w:pPr>
        <w:pStyle w:val="Prrafodelista"/>
        <w:numPr>
          <w:ilvl w:val="0"/>
          <w:numId w:val="10"/>
        </w:numPr>
        <w:contextualSpacing/>
        <w:jc w:val="both"/>
        <w:rPr>
          <w:bCs/>
          <w:szCs w:val="28"/>
        </w:rPr>
      </w:pPr>
      <w:r w:rsidRPr="00E76B05">
        <w:rPr>
          <w:szCs w:val="28"/>
          <w:lang w:val="es-CO"/>
        </w:rPr>
        <w:t>La</w:t>
      </w:r>
      <w:r w:rsidR="0068471A" w:rsidRPr="00E76B05">
        <w:rPr>
          <w:szCs w:val="28"/>
          <w:lang w:val="es-CO"/>
        </w:rPr>
        <w:t xml:space="preserve"> </w:t>
      </w:r>
      <w:r w:rsidR="00CA50A7" w:rsidRPr="00E76B05">
        <w:rPr>
          <w:szCs w:val="28"/>
          <w:lang w:val="es-CO"/>
        </w:rPr>
        <w:t>oposición a</w:t>
      </w:r>
      <w:r w:rsidR="00751581" w:rsidRPr="00E76B05">
        <w:rPr>
          <w:szCs w:val="28"/>
          <w:lang w:val="es-CO"/>
        </w:rPr>
        <w:t xml:space="preserve"> la interpretación </w:t>
      </w:r>
      <w:r w:rsidR="00CA50A7" w:rsidRPr="00E76B05">
        <w:rPr>
          <w:szCs w:val="28"/>
          <w:lang w:val="es-CO"/>
        </w:rPr>
        <w:t>establecid</w:t>
      </w:r>
      <w:r w:rsidR="00751581" w:rsidRPr="00E76B05">
        <w:rPr>
          <w:szCs w:val="28"/>
          <w:lang w:val="es-CO"/>
        </w:rPr>
        <w:t>a</w:t>
      </w:r>
      <w:r w:rsidR="00CA50A7" w:rsidRPr="00E76B05">
        <w:rPr>
          <w:szCs w:val="28"/>
          <w:lang w:val="es-CO"/>
        </w:rPr>
        <w:t xml:space="preserve"> </w:t>
      </w:r>
      <w:r w:rsidR="009B561F" w:rsidRPr="00E76B05">
        <w:rPr>
          <w:szCs w:val="28"/>
          <w:lang w:val="es-CO"/>
        </w:rPr>
        <w:t xml:space="preserve">por la Corte </w:t>
      </w:r>
      <w:r w:rsidR="00893743" w:rsidRPr="00E76B05">
        <w:rPr>
          <w:szCs w:val="28"/>
          <w:lang w:val="es-CO"/>
        </w:rPr>
        <w:t xml:space="preserve">Constitucional </w:t>
      </w:r>
      <w:r w:rsidR="00217C59" w:rsidRPr="00E76B05">
        <w:rPr>
          <w:szCs w:val="28"/>
          <w:lang w:val="es-CO"/>
        </w:rPr>
        <w:t xml:space="preserve">con </w:t>
      </w:r>
      <w:r w:rsidR="00893743" w:rsidRPr="00E76B05">
        <w:rPr>
          <w:szCs w:val="28"/>
          <w:lang w:val="es-CO"/>
        </w:rPr>
        <w:t xml:space="preserve">respecto </w:t>
      </w:r>
      <w:r w:rsidR="00751581" w:rsidRPr="00E76B05">
        <w:rPr>
          <w:szCs w:val="28"/>
          <w:lang w:val="es-CO"/>
        </w:rPr>
        <w:t xml:space="preserve">al </w:t>
      </w:r>
      <w:r w:rsidR="00893743" w:rsidRPr="00E76B05">
        <w:rPr>
          <w:szCs w:val="28"/>
          <w:lang w:val="es-CO"/>
        </w:rPr>
        <w:t>artículo 257A</w:t>
      </w:r>
      <w:r w:rsidR="00800EAC" w:rsidRPr="00E76B05">
        <w:rPr>
          <w:szCs w:val="28"/>
          <w:lang w:val="es-CO"/>
        </w:rPr>
        <w:t xml:space="preserve"> en </w:t>
      </w:r>
      <w:r w:rsidR="0068471A" w:rsidRPr="00E76B05">
        <w:rPr>
          <w:szCs w:val="28"/>
          <w:lang w:val="es-CO"/>
        </w:rPr>
        <w:t>la</w:t>
      </w:r>
      <w:r w:rsidR="00800EAC" w:rsidRPr="00E76B05">
        <w:rPr>
          <w:szCs w:val="28"/>
          <w:lang w:val="es-CO"/>
        </w:rPr>
        <w:t xml:space="preserve"> </w:t>
      </w:r>
      <w:r w:rsidR="00800EAC" w:rsidRPr="00E76B05">
        <w:rPr>
          <w:b/>
          <w:bCs/>
          <w:szCs w:val="28"/>
          <w:lang w:val="es-CO"/>
        </w:rPr>
        <w:t>sentencia C-285</w:t>
      </w:r>
      <w:r w:rsidR="00EF2110" w:rsidRPr="00E76B05">
        <w:rPr>
          <w:b/>
          <w:bCs/>
          <w:szCs w:val="28"/>
          <w:lang w:val="es-CO"/>
        </w:rPr>
        <w:t xml:space="preserve"> </w:t>
      </w:r>
      <w:r w:rsidR="00800EAC" w:rsidRPr="00E76B05">
        <w:rPr>
          <w:b/>
          <w:bCs/>
          <w:szCs w:val="28"/>
          <w:lang w:val="es-CO"/>
        </w:rPr>
        <w:t>de 2016</w:t>
      </w:r>
      <w:r w:rsidR="006B15D0" w:rsidRPr="00E76B05">
        <w:rPr>
          <w:szCs w:val="28"/>
          <w:lang w:val="es-CO"/>
        </w:rPr>
        <w:t>,</w:t>
      </w:r>
      <w:r w:rsidR="00800EAC" w:rsidRPr="00E76B05">
        <w:rPr>
          <w:szCs w:val="28"/>
          <w:lang w:val="es-CO"/>
        </w:rPr>
        <w:t xml:space="preserve"> y la idea de que </w:t>
      </w:r>
      <w:r w:rsidR="00751581" w:rsidRPr="00E76B05">
        <w:rPr>
          <w:szCs w:val="28"/>
          <w:lang w:val="es-CO"/>
        </w:rPr>
        <w:t xml:space="preserve">este Tribunal </w:t>
      </w:r>
      <w:r w:rsidR="00800EAC" w:rsidRPr="00E76B05">
        <w:rPr>
          <w:szCs w:val="28"/>
          <w:lang w:val="es-CO"/>
        </w:rPr>
        <w:t xml:space="preserve">se abrogó competencias constituyentes que no tenía </w:t>
      </w:r>
      <w:r w:rsidR="006B15D0" w:rsidRPr="00E76B05">
        <w:rPr>
          <w:szCs w:val="28"/>
          <w:lang w:val="es-CO"/>
        </w:rPr>
        <w:t>por haber</w:t>
      </w:r>
      <w:r w:rsidR="0068471A" w:rsidRPr="00E76B05">
        <w:rPr>
          <w:szCs w:val="28"/>
          <w:lang w:val="es-CO"/>
        </w:rPr>
        <w:t xml:space="preserve"> </w:t>
      </w:r>
      <w:r w:rsidR="00EF2110" w:rsidRPr="00E76B05">
        <w:rPr>
          <w:szCs w:val="28"/>
          <w:lang w:val="es-CO"/>
        </w:rPr>
        <w:t xml:space="preserve">señalado la existencia de una sustitución constitucional y haber </w:t>
      </w:r>
      <w:r w:rsidR="00A5464B" w:rsidRPr="00E76B05">
        <w:rPr>
          <w:szCs w:val="28"/>
          <w:lang w:val="es-CO"/>
        </w:rPr>
        <w:t>interpretado</w:t>
      </w:r>
      <w:r w:rsidR="00EF2110" w:rsidRPr="00E76B05">
        <w:rPr>
          <w:szCs w:val="28"/>
          <w:lang w:val="es-CO"/>
        </w:rPr>
        <w:t xml:space="preserve"> la reforma constitucional</w:t>
      </w:r>
      <w:r w:rsidR="00751581" w:rsidRPr="00E76B05">
        <w:rPr>
          <w:szCs w:val="28"/>
          <w:lang w:val="es-CO"/>
        </w:rPr>
        <w:t xml:space="preserve"> </w:t>
      </w:r>
      <w:r w:rsidR="00EF2110" w:rsidRPr="00E76B05">
        <w:rPr>
          <w:szCs w:val="28"/>
          <w:lang w:val="es-CO"/>
        </w:rPr>
        <w:t xml:space="preserve">con el </w:t>
      </w:r>
      <w:r w:rsidR="00217C59" w:rsidRPr="00E76B05">
        <w:rPr>
          <w:szCs w:val="28"/>
          <w:lang w:val="es-CO"/>
        </w:rPr>
        <w:t>propósito de</w:t>
      </w:r>
      <w:r w:rsidR="00EF2110" w:rsidRPr="00E76B05">
        <w:rPr>
          <w:szCs w:val="28"/>
          <w:lang w:val="es-CO"/>
        </w:rPr>
        <w:t xml:space="preserve"> asegurar la </w:t>
      </w:r>
      <w:r w:rsidR="00A5464B" w:rsidRPr="00E76B05">
        <w:rPr>
          <w:szCs w:val="28"/>
          <w:lang w:val="es-CO"/>
        </w:rPr>
        <w:t>aplicación</w:t>
      </w:r>
      <w:r w:rsidR="006B15D0" w:rsidRPr="00E76B05">
        <w:rPr>
          <w:szCs w:val="28"/>
          <w:lang w:val="es-CO"/>
        </w:rPr>
        <w:t xml:space="preserve"> </w:t>
      </w:r>
      <w:r w:rsidR="00EF2110" w:rsidRPr="00E76B05">
        <w:rPr>
          <w:szCs w:val="28"/>
          <w:lang w:val="es-CO"/>
        </w:rPr>
        <w:t>d</w:t>
      </w:r>
      <w:r w:rsidR="006B15D0" w:rsidRPr="00E76B05">
        <w:rPr>
          <w:szCs w:val="28"/>
          <w:lang w:val="es-CO"/>
        </w:rPr>
        <w:t>e las normas</w:t>
      </w:r>
      <w:r w:rsidR="00EF2110" w:rsidRPr="00E76B05">
        <w:rPr>
          <w:szCs w:val="28"/>
          <w:lang w:val="es-CO"/>
        </w:rPr>
        <w:t xml:space="preserve"> sobrevivientes</w:t>
      </w:r>
      <w:r w:rsidR="006B15D0" w:rsidRPr="00E76B05">
        <w:rPr>
          <w:szCs w:val="28"/>
          <w:lang w:val="es-CO"/>
        </w:rPr>
        <w:t xml:space="preserve">, </w:t>
      </w:r>
      <w:r w:rsidR="00893743" w:rsidRPr="00E76B05">
        <w:rPr>
          <w:szCs w:val="28"/>
          <w:lang w:val="es-CO"/>
        </w:rPr>
        <w:t xml:space="preserve">generó por parte del Consejo de Estado </w:t>
      </w:r>
      <w:r w:rsidR="00217C59" w:rsidRPr="00E76B05">
        <w:rPr>
          <w:szCs w:val="28"/>
          <w:lang w:val="es-CO"/>
        </w:rPr>
        <w:t xml:space="preserve">una postura que facilitó una interpretación </w:t>
      </w:r>
      <w:r w:rsidR="009B561F" w:rsidRPr="00E76B05">
        <w:rPr>
          <w:szCs w:val="28"/>
          <w:lang w:val="es-CO"/>
        </w:rPr>
        <w:t>desintegra</w:t>
      </w:r>
      <w:r w:rsidR="00217C59" w:rsidRPr="00E76B05">
        <w:rPr>
          <w:szCs w:val="28"/>
          <w:lang w:val="es-CO"/>
        </w:rPr>
        <w:t>dora</w:t>
      </w:r>
      <w:r w:rsidR="009B561F" w:rsidRPr="00E76B05">
        <w:rPr>
          <w:szCs w:val="28"/>
          <w:lang w:val="es-CO"/>
        </w:rPr>
        <w:t xml:space="preserve"> de la disposición constitucional</w:t>
      </w:r>
      <w:r w:rsidR="00893743" w:rsidRPr="00E76B05">
        <w:rPr>
          <w:szCs w:val="28"/>
          <w:lang w:val="es-CO"/>
        </w:rPr>
        <w:t xml:space="preserve"> descrita y la desarticulación </w:t>
      </w:r>
      <w:r w:rsidR="00217C59" w:rsidRPr="00E76B05">
        <w:rPr>
          <w:szCs w:val="28"/>
          <w:lang w:val="es-CO"/>
        </w:rPr>
        <w:t xml:space="preserve">paralela </w:t>
      </w:r>
      <w:r w:rsidR="00893743" w:rsidRPr="00E76B05">
        <w:rPr>
          <w:szCs w:val="28"/>
          <w:lang w:val="es-CO"/>
        </w:rPr>
        <w:t>de la propuesta del constituyente</w:t>
      </w:r>
      <w:r w:rsidR="00217C59" w:rsidRPr="00E76B05">
        <w:rPr>
          <w:szCs w:val="28"/>
          <w:lang w:val="es-CO"/>
        </w:rPr>
        <w:t>,</w:t>
      </w:r>
      <w:r w:rsidR="00893743" w:rsidRPr="00E76B05">
        <w:rPr>
          <w:szCs w:val="28"/>
          <w:lang w:val="es-CO"/>
        </w:rPr>
        <w:t xml:space="preserve"> con relación a la configuración del CNDJ</w:t>
      </w:r>
      <w:r w:rsidR="00EF2110" w:rsidRPr="00E76B05">
        <w:rPr>
          <w:szCs w:val="28"/>
          <w:lang w:val="es-CO"/>
        </w:rPr>
        <w:t>.</w:t>
      </w:r>
      <w:r w:rsidR="00CA50A7" w:rsidRPr="00E76B05">
        <w:rPr>
          <w:szCs w:val="28"/>
          <w:lang w:val="es-CO"/>
        </w:rPr>
        <w:t xml:space="preserve"> </w:t>
      </w:r>
      <w:r w:rsidR="00EF2110" w:rsidRPr="00E76B05">
        <w:rPr>
          <w:szCs w:val="28"/>
          <w:lang w:val="es-CO"/>
        </w:rPr>
        <w:t>Lo anterior, en</w:t>
      </w:r>
      <w:r w:rsidR="00CA50A7" w:rsidRPr="00E76B05">
        <w:rPr>
          <w:szCs w:val="28"/>
          <w:lang w:val="es-CO"/>
        </w:rPr>
        <w:t xml:space="preserve"> desmedro</w:t>
      </w:r>
      <w:r w:rsidR="00EF2110" w:rsidRPr="00E76B05">
        <w:rPr>
          <w:szCs w:val="28"/>
          <w:lang w:val="es-CO"/>
        </w:rPr>
        <w:t xml:space="preserve"> </w:t>
      </w:r>
      <w:r w:rsidR="00CA50A7" w:rsidRPr="00E76B05">
        <w:rPr>
          <w:szCs w:val="28"/>
          <w:lang w:val="es-CO"/>
        </w:rPr>
        <w:t xml:space="preserve">de la </w:t>
      </w:r>
      <w:r w:rsidR="00800EAC" w:rsidRPr="00E76B05">
        <w:rPr>
          <w:szCs w:val="28"/>
          <w:lang w:val="es-CO"/>
        </w:rPr>
        <w:t xml:space="preserve">armonía institucional de la Carta y de la </w:t>
      </w:r>
      <w:r w:rsidR="00CA50A7" w:rsidRPr="00E76B05">
        <w:rPr>
          <w:szCs w:val="28"/>
          <w:lang w:val="es-CO"/>
        </w:rPr>
        <w:t>cosa juzgada constitucional</w:t>
      </w:r>
      <w:r w:rsidR="00751581" w:rsidRPr="00E76B05">
        <w:rPr>
          <w:szCs w:val="28"/>
          <w:lang w:val="es-CO"/>
        </w:rPr>
        <w:t>.</w:t>
      </w:r>
      <w:r w:rsidR="00800EAC" w:rsidRPr="00E76B05">
        <w:rPr>
          <w:szCs w:val="28"/>
          <w:lang w:val="es-CO"/>
        </w:rPr>
        <w:t xml:space="preserve"> </w:t>
      </w:r>
    </w:p>
    <w:p w14:paraId="24B86A2B" w14:textId="77777777" w:rsidR="00337901" w:rsidRDefault="00337901" w:rsidP="00337901">
      <w:pPr>
        <w:pStyle w:val="Prrafodelista"/>
        <w:rPr>
          <w:szCs w:val="28"/>
          <w:lang w:val="es-CO"/>
        </w:rPr>
      </w:pPr>
    </w:p>
    <w:p w14:paraId="51CDB21C" w14:textId="77777777" w:rsidR="00337901" w:rsidRPr="00337901" w:rsidRDefault="00B4274F" w:rsidP="00337901">
      <w:pPr>
        <w:pStyle w:val="Prrafodelista"/>
        <w:numPr>
          <w:ilvl w:val="0"/>
          <w:numId w:val="10"/>
        </w:numPr>
        <w:contextualSpacing/>
        <w:jc w:val="both"/>
        <w:rPr>
          <w:bCs/>
          <w:szCs w:val="28"/>
        </w:rPr>
      </w:pPr>
      <w:r w:rsidRPr="00337901">
        <w:rPr>
          <w:szCs w:val="28"/>
          <w:lang w:val="es-CO"/>
        </w:rPr>
        <w:t xml:space="preserve">La posición del Consejo de Estado, tendiente entonces a desestimar el valor de la sentencia constitucional reseñada, </w:t>
      </w:r>
      <w:r w:rsidR="00795350">
        <w:rPr>
          <w:szCs w:val="28"/>
          <w:lang w:val="es-CO"/>
        </w:rPr>
        <w:t>con lo que desvirtuó</w:t>
      </w:r>
      <w:r w:rsidRPr="00337901">
        <w:rPr>
          <w:szCs w:val="28"/>
          <w:lang w:val="es-CO"/>
        </w:rPr>
        <w:t xml:space="preserve"> la función interpretativa de la Corte Constitucional que le permite actualizar en cada momento histórico el correcto entendimiento de la Carta, desconoce que la interpretación que lleva a cabo </w:t>
      </w:r>
      <w:r w:rsidR="009B46C8" w:rsidRPr="00337901">
        <w:rPr>
          <w:szCs w:val="28"/>
          <w:lang w:val="es-CO"/>
        </w:rPr>
        <w:t>esta Corporación</w:t>
      </w:r>
      <w:r w:rsidRPr="00337901">
        <w:rPr>
          <w:szCs w:val="28"/>
          <w:lang w:val="es-CO"/>
        </w:rPr>
        <w:t xml:space="preserve"> no es externa al texto de la </w:t>
      </w:r>
      <w:r w:rsidR="00656710" w:rsidRPr="00337901">
        <w:rPr>
          <w:szCs w:val="28"/>
          <w:lang w:val="es-CO"/>
        </w:rPr>
        <w:t xml:space="preserve">Constitución, </w:t>
      </w:r>
      <w:r w:rsidR="009B46C8" w:rsidRPr="00337901">
        <w:rPr>
          <w:szCs w:val="28"/>
          <w:lang w:val="es-CO"/>
        </w:rPr>
        <w:t xml:space="preserve">en la medida en que las </w:t>
      </w:r>
      <w:r w:rsidRPr="00337901">
        <w:rPr>
          <w:szCs w:val="28"/>
          <w:lang w:val="es-CO"/>
        </w:rPr>
        <w:t>sentencias</w:t>
      </w:r>
      <w:r w:rsidR="00EF2110" w:rsidRPr="00337901">
        <w:rPr>
          <w:szCs w:val="28"/>
          <w:lang w:val="es-CO"/>
        </w:rPr>
        <w:t xml:space="preserve"> de constitucionalidad</w:t>
      </w:r>
      <w:r w:rsidRPr="00337901">
        <w:rPr>
          <w:szCs w:val="28"/>
          <w:lang w:val="es-CO"/>
        </w:rPr>
        <w:t xml:space="preserve"> de la</w:t>
      </w:r>
      <w:r w:rsidR="009B46C8" w:rsidRPr="00337901">
        <w:rPr>
          <w:szCs w:val="28"/>
          <w:lang w:val="es-CO"/>
        </w:rPr>
        <w:t xml:space="preserve"> </w:t>
      </w:r>
      <w:r w:rsidRPr="00337901">
        <w:rPr>
          <w:szCs w:val="28"/>
          <w:lang w:val="es-CO"/>
        </w:rPr>
        <w:t>Corte por ministerio de</w:t>
      </w:r>
      <w:r w:rsidR="00656710" w:rsidRPr="00337901">
        <w:rPr>
          <w:szCs w:val="28"/>
          <w:lang w:val="es-CO"/>
        </w:rPr>
        <w:t xml:space="preserve">l propio texto superior, </w:t>
      </w:r>
      <w:r w:rsidRPr="00337901">
        <w:rPr>
          <w:szCs w:val="28"/>
          <w:lang w:val="es-CO"/>
        </w:rPr>
        <w:t>son fuentes obligatorias para discernir cabalmente el contenido de</w:t>
      </w:r>
      <w:r w:rsidR="00656710" w:rsidRPr="00337901">
        <w:rPr>
          <w:szCs w:val="28"/>
          <w:lang w:val="es-CO"/>
        </w:rPr>
        <w:t xml:space="preserve"> </w:t>
      </w:r>
      <w:r w:rsidRPr="00337901">
        <w:rPr>
          <w:szCs w:val="28"/>
          <w:lang w:val="es-CO"/>
        </w:rPr>
        <w:t>l</w:t>
      </w:r>
      <w:r w:rsidR="00656710" w:rsidRPr="00337901">
        <w:rPr>
          <w:szCs w:val="28"/>
          <w:lang w:val="es-CO"/>
        </w:rPr>
        <w:t xml:space="preserve">a </w:t>
      </w:r>
      <w:r w:rsidR="009B46C8" w:rsidRPr="00337901">
        <w:rPr>
          <w:szCs w:val="28"/>
          <w:lang w:val="es-CO"/>
        </w:rPr>
        <w:t>Carta</w:t>
      </w:r>
      <w:r w:rsidR="00656710" w:rsidRPr="00337901">
        <w:rPr>
          <w:szCs w:val="28"/>
          <w:lang w:val="es-CO"/>
        </w:rPr>
        <w:t>.</w:t>
      </w:r>
      <w:r w:rsidRPr="00337901">
        <w:rPr>
          <w:szCs w:val="28"/>
          <w:lang w:val="es-CO"/>
        </w:rPr>
        <w:t xml:space="preserve"> De manera tal que la interpretación </w:t>
      </w:r>
      <w:r w:rsidR="00656710" w:rsidRPr="00337901">
        <w:rPr>
          <w:szCs w:val="28"/>
          <w:lang w:val="es-CO"/>
        </w:rPr>
        <w:t>que realiza</w:t>
      </w:r>
      <w:r w:rsidRPr="00337901">
        <w:rPr>
          <w:szCs w:val="28"/>
          <w:lang w:val="es-CO"/>
        </w:rPr>
        <w:t xml:space="preserve"> esta Cor</w:t>
      </w:r>
      <w:r w:rsidR="009B46C8" w:rsidRPr="00337901">
        <w:rPr>
          <w:szCs w:val="28"/>
          <w:lang w:val="es-CO"/>
        </w:rPr>
        <w:t>poración,</w:t>
      </w:r>
      <w:r w:rsidRPr="00337901">
        <w:rPr>
          <w:szCs w:val="28"/>
          <w:lang w:val="es-CO"/>
        </w:rPr>
        <w:t xml:space="preserve"> </w:t>
      </w:r>
      <w:r w:rsidRPr="00337901">
        <w:rPr>
          <w:i/>
          <w:iCs/>
          <w:szCs w:val="28"/>
          <w:lang w:val="es-CO"/>
        </w:rPr>
        <w:t>“cuan</w:t>
      </w:r>
      <w:r w:rsidR="00EF2110" w:rsidRPr="00337901">
        <w:rPr>
          <w:i/>
          <w:iCs/>
          <w:szCs w:val="28"/>
          <w:lang w:val="es-CO"/>
        </w:rPr>
        <w:t>d</w:t>
      </w:r>
      <w:r w:rsidRPr="00337901">
        <w:rPr>
          <w:i/>
          <w:iCs/>
          <w:szCs w:val="28"/>
          <w:lang w:val="es-CO"/>
        </w:rPr>
        <w:t>o desentraña el significado de la C</w:t>
      </w:r>
      <w:r w:rsidR="009B46C8" w:rsidRPr="00337901">
        <w:rPr>
          <w:i/>
          <w:iCs/>
          <w:szCs w:val="28"/>
          <w:lang w:val="es-CO"/>
        </w:rPr>
        <w:t>onstitución</w:t>
      </w:r>
      <w:r w:rsidRPr="00337901">
        <w:rPr>
          <w:i/>
          <w:iCs/>
          <w:szCs w:val="28"/>
          <w:lang w:val="es-CO"/>
        </w:rPr>
        <w:t>, no puede tener valor opcional o puramente ilustrativo, puesto que sirve de vehículo insustituible para que ella adquiera el status activo de norma de normas y como tal se constituya en el vértice y al mismo tiempo en el eje del entero ordenamiento jurídico</w:t>
      </w:r>
      <w:r w:rsidR="00656710" w:rsidRPr="00337901">
        <w:rPr>
          <w:i/>
          <w:iCs/>
          <w:szCs w:val="28"/>
          <w:lang w:val="es-CO"/>
        </w:rPr>
        <w:t>”</w:t>
      </w:r>
      <w:r w:rsidR="00656710" w:rsidRPr="002E4477">
        <w:rPr>
          <w:rStyle w:val="Refdenotaalpie"/>
          <w:i/>
          <w:iCs/>
          <w:szCs w:val="28"/>
          <w:lang w:val="es-CO"/>
        </w:rPr>
        <w:footnoteReference w:id="387"/>
      </w:r>
      <w:r w:rsidRPr="00337901">
        <w:rPr>
          <w:szCs w:val="28"/>
          <w:lang w:val="es-CO"/>
        </w:rPr>
        <w:t xml:space="preserve">. </w:t>
      </w:r>
    </w:p>
    <w:p w14:paraId="5B36C8BE" w14:textId="77777777" w:rsidR="00337901" w:rsidRDefault="00337901" w:rsidP="00337901">
      <w:pPr>
        <w:pStyle w:val="Prrafodelista"/>
        <w:rPr>
          <w:szCs w:val="28"/>
          <w:lang w:val="es-CO"/>
        </w:rPr>
      </w:pPr>
    </w:p>
    <w:p w14:paraId="5FC0026E" w14:textId="77777777" w:rsidR="00337901" w:rsidRPr="00795350" w:rsidRDefault="00337901" w:rsidP="00337901">
      <w:pPr>
        <w:pStyle w:val="Prrafodelista"/>
        <w:ind w:left="0"/>
        <w:contextualSpacing/>
        <w:jc w:val="both"/>
        <w:rPr>
          <w:bCs/>
          <w:szCs w:val="28"/>
        </w:rPr>
      </w:pPr>
      <w:r w:rsidRPr="00337901">
        <w:rPr>
          <w:szCs w:val="28"/>
          <w:lang w:val="es-CO"/>
        </w:rPr>
        <w:t xml:space="preserve">En este sentido, siguiendo lo enunciado en la </w:t>
      </w:r>
      <w:r w:rsidRPr="00337901">
        <w:rPr>
          <w:b/>
          <w:bCs/>
          <w:szCs w:val="28"/>
          <w:lang w:val="es-CO"/>
        </w:rPr>
        <w:t>Sentencia SU-640 de 1998</w:t>
      </w:r>
      <w:r w:rsidRPr="002E4477">
        <w:rPr>
          <w:rStyle w:val="Refdenotaalpie"/>
          <w:szCs w:val="28"/>
          <w:lang w:val="es-CO"/>
        </w:rPr>
        <w:footnoteReference w:id="388"/>
      </w:r>
      <w:r w:rsidRPr="00337901">
        <w:rPr>
          <w:szCs w:val="28"/>
          <w:lang w:val="es-CO"/>
        </w:rPr>
        <w:t xml:space="preserve">, las </w:t>
      </w:r>
      <w:r w:rsidRPr="00795350">
        <w:rPr>
          <w:szCs w:val="28"/>
          <w:lang w:val="es-CO"/>
        </w:rPr>
        <w:t>tareas que cumple la Corte Constitucional como guardiana de la Constitución, desde el punto de vista interpretativo, “</w:t>
      </w:r>
      <w:r w:rsidRPr="00795350">
        <w:rPr>
          <w:i/>
          <w:iCs/>
          <w:szCs w:val="28"/>
          <w:lang w:val="es-CO"/>
        </w:rPr>
        <w:t>son únicas, y ningún otro órgano puede realizarlas en los mismos términos</w:t>
      </w:r>
      <w:r w:rsidRPr="00795350">
        <w:rPr>
          <w:szCs w:val="28"/>
          <w:lang w:val="es-CO"/>
        </w:rPr>
        <w:t>”. Por consiguiente, la interpretación de la Constitución plasmada en una sentencia de la Corte Constitucional prevalece sobre cualquier otra interpretación, y en este caso predomina sobre aquella que realizó el Consejo de Estado, porque a diferencia de lo que acontece con las demás instancias judiciales, es la Corte Constitucional quien tienen la potestad, como órgano de cierre de la jurisdicción constitucional, de interpretar la norma superior de acuerdo a sus competencias, en atención a la cosa juzgada constitucional, con independencia de las críticas que puedan surgir frente a esa labor institucional.</w:t>
      </w:r>
    </w:p>
    <w:p w14:paraId="642A14E5" w14:textId="77777777" w:rsidR="00337901" w:rsidRPr="00795350" w:rsidRDefault="00337901" w:rsidP="00337901">
      <w:pPr>
        <w:pStyle w:val="Prrafodelista"/>
        <w:rPr>
          <w:szCs w:val="28"/>
          <w:lang w:val="es-CO"/>
        </w:rPr>
      </w:pPr>
    </w:p>
    <w:p w14:paraId="3D70745A" w14:textId="77777777" w:rsidR="00337901" w:rsidRPr="00795350" w:rsidRDefault="005974C8" w:rsidP="00337901">
      <w:pPr>
        <w:pStyle w:val="Prrafodelista"/>
        <w:numPr>
          <w:ilvl w:val="0"/>
          <w:numId w:val="10"/>
        </w:numPr>
        <w:contextualSpacing/>
        <w:jc w:val="both"/>
        <w:rPr>
          <w:bCs/>
          <w:szCs w:val="28"/>
        </w:rPr>
      </w:pPr>
      <w:r w:rsidRPr="00795350">
        <w:rPr>
          <w:szCs w:val="28"/>
          <w:lang w:val="es-CO"/>
        </w:rPr>
        <w:t xml:space="preserve">Por las razones anteriores, esta Corporación concluye que el artículo 257A de la Carta no es una norma incompleta, ni se enfrenta a </w:t>
      </w:r>
      <w:r w:rsidR="008C4BF7" w:rsidRPr="00795350">
        <w:rPr>
          <w:szCs w:val="28"/>
          <w:lang w:val="es-CO"/>
        </w:rPr>
        <w:t>un</w:t>
      </w:r>
      <w:r w:rsidRPr="00795350">
        <w:rPr>
          <w:szCs w:val="28"/>
          <w:lang w:val="es-CO"/>
        </w:rPr>
        <w:t xml:space="preserve"> vacío normativo que </w:t>
      </w:r>
      <w:r w:rsidR="007126F0" w:rsidRPr="00795350">
        <w:rPr>
          <w:szCs w:val="28"/>
          <w:lang w:val="es-CO"/>
        </w:rPr>
        <w:t>obligue al intérprete a a</w:t>
      </w:r>
      <w:r w:rsidRPr="00795350">
        <w:rPr>
          <w:szCs w:val="28"/>
          <w:lang w:val="es-CO"/>
        </w:rPr>
        <w:t xml:space="preserve">cudir a la regla general del artículo 126 superior, teniendo en cuenta que el régimen </w:t>
      </w:r>
      <w:r w:rsidR="008C4BF7" w:rsidRPr="00795350">
        <w:rPr>
          <w:szCs w:val="28"/>
          <w:lang w:val="es-CO"/>
        </w:rPr>
        <w:t xml:space="preserve">al que alude </w:t>
      </w:r>
      <w:r w:rsidR="00A5464B" w:rsidRPr="00795350">
        <w:rPr>
          <w:szCs w:val="28"/>
          <w:lang w:val="es-CO"/>
        </w:rPr>
        <w:t>su parágrafo</w:t>
      </w:r>
      <w:r w:rsidRPr="00795350">
        <w:rPr>
          <w:szCs w:val="28"/>
          <w:lang w:val="es-CO"/>
        </w:rPr>
        <w:t xml:space="preserve">, acoge el espíritu de la reforma del constituyente de acuerdo </w:t>
      </w:r>
      <w:r w:rsidR="008C4BF7" w:rsidRPr="00795350">
        <w:rPr>
          <w:szCs w:val="28"/>
          <w:lang w:val="es-CO"/>
        </w:rPr>
        <w:t>con</w:t>
      </w:r>
      <w:r w:rsidRPr="00795350">
        <w:rPr>
          <w:szCs w:val="28"/>
          <w:lang w:val="es-CO"/>
        </w:rPr>
        <w:t xml:space="preserve"> la </w:t>
      </w:r>
      <w:r w:rsidR="007126F0" w:rsidRPr="00795350">
        <w:rPr>
          <w:b/>
          <w:bCs/>
          <w:szCs w:val="28"/>
          <w:lang w:val="es-CO"/>
        </w:rPr>
        <w:t>S</w:t>
      </w:r>
      <w:r w:rsidRPr="00795350">
        <w:rPr>
          <w:b/>
          <w:bCs/>
          <w:szCs w:val="28"/>
          <w:lang w:val="es-CO"/>
        </w:rPr>
        <w:t>entencia C-285 de 2016</w:t>
      </w:r>
      <w:r w:rsidR="008C4BF7" w:rsidRPr="00795350">
        <w:rPr>
          <w:szCs w:val="28"/>
          <w:lang w:val="es-CO"/>
        </w:rPr>
        <w:t>. Y en ese sentido,</w:t>
      </w:r>
      <w:r w:rsidRPr="00795350">
        <w:rPr>
          <w:szCs w:val="28"/>
          <w:lang w:val="es-CO"/>
        </w:rPr>
        <w:t xml:space="preserve"> </w:t>
      </w:r>
      <w:r w:rsidR="008C4BF7" w:rsidRPr="00795350">
        <w:rPr>
          <w:szCs w:val="28"/>
          <w:lang w:val="es-CO"/>
        </w:rPr>
        <w:t xml:space="preserve">integra a la norma constitucional el </w:t>
      </w:r>
      <w:r w:rsidRPr="00795350">
        <w:rPr>
          <w:szCs w:val="28"/>
          <w:lang w:val="es-CO"/>
        </w:rPr>
        <w:t xml:space="preserve">procedimiento </w:t>
      </w:r>
      <w:r w:rsidR="008C4BF7" w:rsidRPr="00795350">
        <w:rPr>
          <w:szCs w:val="28"/>
          <w:lang w:val="es-CO"/>
        </w:rPr>
        <w:t xml:space="preserve">transitorio previsto en la reforma </w:t>
      </w:r>
      <w:r w:rsidRPr="00795350">
        <w:rPr>
          <w:szCs w:val="28"/>
          <w:lang w:val="es-CO"/>
        </w:rPr>
        <w:t>para la selección de los miembros de la CNDJ</w:t>
      </w:r>
      <w:r w:rsidR="008C4BF7" w:rsidRPr="00795350">
        <w:rPr>
          <w:szCs w:val="28"/>
          <w:lang w:val="es-CO"/>
        </w:rPr>
        <w:t>, conforme a lo dispuesto por el constituyente</w:t>
      </w:r>
      <w:r w:rsidRPr="00795350">
        <w:rPr>
          <w:szCs w:val="28"/>
          <w:lang w:val="es-CO"/>
        </w:rPr>
        <w:t xml:space="preserve">. </w:t>
      </w:r>
    </w:p>
    <w:p w14:paraId="1E2C6E66" w14:textId="77777777" w:rsidR="00337901" w:rsidRPr="00795350" w:rsidRDefault="00337901" w:rsidP="00337901">
      <w:pPr>
        <w:pStyle w:val="Prrafodelista"/>
        <w:ind w:left="0"/>
        <w:contextualSpacing/>
        <w:jc w:val="both"/>
        <w:rPr>
          <w:bCs/>
          <w:szCs w:val="28"/>
        </w:rPr>
      </w:pPr>
    </w:p>
    <w:p w14:paraId="29940065" w14:textId="77777777" w:rsidR="00337901" w:rsidRPr="00795350" w:rsidRDefault="00337901" w:rsidP="00337901">
      <w:pPr>
        <w:pStyle w:val="Prrafodelista"/>
        <w:ind w:left="0"/>
        <w:contextualSpacing/>
        <w:jc w:val="both"/>
        <w:rPr>
          <w:bCs/>
          <w:szCs w:val="28"/>
        </w:rPr>
      </w:pPr>
      <w:r w:rsidRPr="00795350">
        <w:rPr>
          <w:szCs w:val="28"/>
          <w:lang w:val="es-CO"/>
        </w:rPr>
        <w:t>En consecuencia, la regulación de la “</w:t>
      </w:r>
      <w:r w:rsidRPr="00795350">
        <w:rPr>
          <w:i/>
          <w:iCs/>
          <w:szCs w:val="28"/>
          <w:lang w:val="es-CO"/>
        </w:rPr>
        <w:t>convocatoria pública reglada</w:t>
      </w:r>
      <w:r w:rsidRPr="00795350">
        <w:rPr>
          <w:szCs w:val="28"/>
          <w:lang w:val="es-CO"/>
        </w:rPr>
        <w:t xml:space="preserve">” corresponde ahora al CSJ, para la designación de las ternas </w:t>
      </w:r>
      <w:r w:rsidR="00795350" w:rsidRPr="00795350">
        <w:rPr>
          <w:szCs w:val="28"/>
          <w:lang w:val="es-CO"/>
        </w:rPr>
        <w:t>que le competen para integrar</w:t>
      </w:r>
      <w:r w:rsidRPr="00795350">
        <w:rPr>
          <w:szCs w:val="28"/>
          <w:lang w:val="es-CO"/>
        </w:rPr>
        <w:t xml:space="preserve"> la CNDJ. </w:t>
      </w:r>
    </w:p>
    <w:p w14:paraId="2DDFE527" w14:textId="77777777" w:rsidR="00337901" w:rsidRPr="00795350" w:rsidRDefault="00337901" w:rsidP="00337901">
      <w:pPr>
        <w:pStyle w:val="Prrafodelista"/>
        <w:tabs>
          <w:tab w:val="left" w:pos="426"/>
        </w:tabs>
        <w:ind w:left="0" w:right="40"/>
        <w:contextualSpacing/>
        <w:jc w:val="both"/>
        <w:rPr>
          <w:b/>
          <w:i/>
          <w:szCs w:val="28"/>
        </w:rPr>
      </w:pPr>
    </w:p>
    <w:p w14:paraId="0166E76F" w14:textId="77777777" w:rsidR="00337901" w:rsidRPr="002E4477" w:rsidRDefault="00337901" w:rsidP="00337901">
      <w:pPr>
        <w:pStyle w:val="Prrafodelista"/>
        <w:tabs>
          <w:tab w:val="left" w:pos="426"/>
        </w:tabs>
        <w:ind w:left="0" w:right="40"/>
        <w:contextualSpacing/>
        <w:jc w:val="both"/>
        <w:rPr>
          <w:b/>
          <w:i/>
          <w:szCs w:val="28"/>
        </w:rPr>
      </w:pPr>
      <w:r w:rsidRPr="00E75B81">
        <w:rPr>
          <w:b/>
          <w:i/>
          <w:szCs w:val="28"/>
        </w:rPr>
        <w:t>Consideraciones sobre los artículos 257 y 257A de la Carta y su relación con el artículo 126 superior</w:t>
      </w:r>
    </w:p>
    <w:p w14:paraId="63C92DC4" w14:textId="77777777" w:rsidR="00337901" w:rsidRPr="00337901" w:rsidRDefault="00337901" w:rsidP="00337901">
      <w:pPr>
        <w:pStyle w:val="Prrafodelista"/>
        <w:ind w:left="0"/>
        <w:contextualSpacing/>
        <w:jc w:val="both"/>
        <w:rPr>
          <w:bCs/>
          <w:szCs w:val="28"/>
        </w:rPr>
      </w:pPr>
    </w:p>
    <w:p w14:paraId="37EDAAFF" w14:textId="77777777" w:rsidR="00C23290" w:rsidRPr="00337901" w:rsidRDefault="00C23290" w:rsidP="00337901">
      <w:pPr>
        <w:pStyle w:val="Prrafodelista"/>
        <w:numPr>
          <w:ilvl w:val="0"/>
          <w:numId w:val="10"/>
        </w:numPr>
        <w:contextualSpacing/>
        <w:jc w:val="both"/>
        <w:rPr>
          <w:bCs/>
          <w:szCs w:val="28"/>
        </w:rPr>
      </w:pPr>
      <w:r w:rsidRPr="00337901">
        <w:rPr>
          <w:iCs/>
          <w:szCs w:val="28"/>
          <w:lang w:val="es-CO"/>
        </w:rPr>
        <w:t xml:space="preserve">Ante el resurgimiento constitucional del CSJ y del </w:t>
      </w:r>
      <w:r w:rsidRPr="00337901">
        <w:rPr>
          <w:b/>
          <w:bCs/>
          <w:iCs/>
          <w:szCs w:val="28"/>
          <w:lang w:val="es-CO"/>
        </w:rPr>
        <w:t>artículo 257 superior</w:t>
      </w:r>
      <w:r w:rsidRPr="00337901">
        <w:rPr>
          <w:iCs/>
          <w:szCs w:val="28"/>
          <w:lang w:val="es-CO"/>
        </w:rPr>
        <w:t xml:space="preserve"> que le reconoce a esa entidad atribuciones constitucionales concretas con “</w:t>
      </w:r>
      <w:r w:rsidRPr="00337901">
        <w:rPr>
          <w:i/>
          <w:szCs w:val="28"/>
          <w:lang w:val="es-CO"/>
        </w:rPr>
        <w:t>sujeción a la ley</w:t>
      </w:r>
      <w:r w:rsidRPr="00337901">
        <w:rPr>
          <w:iCs/>
          <w:szCs w:val="28"/>
          <w:lang w:val="es-CO"/>
        </w:rPr>
        <w:t>”, considera la Sala que</w:t>
      </w:r>
      <w:r w:rsidR="00E75B81">
        <w:rPr>
          <w:iCs/>
          <w:szCs w:val="28"/>
          <w:lang w:val="es-CO"/>
        </w:rPr>
        <w:t>,</w:t>
      </w:r>
      <w:r w:rsidRPr="00337901">
        <w:rPr>
          <w:iCs/>
          <w:szCs w:val="28"/>
          <w:lang w:val="es-CO"/>
        </w:rPr>
        <w:t xml:space="preserve"> en oposición al planteamiento del Consejo de Estado, es plena la operatividad de la Ley Estatutaria de la Administración de Justicia - Ley 270 de 1996 -, en lo que se refiere a la regulación de las funciones que le son propias al Consejo Superior de la Judicatura, en virtud de la Carta. </w:t>
      </w:r>
    </w:p>
    <w:p w14:paraId="33C5C211" w14:textId="77777777" w:rsidR="00337901" w:rsidRPr="00337901" w:rsidRDefault="00337901" w:rsidP="00337901">
      <w:pPr>
        <w:pStyle w:val="Prrafodelista"/>
        <w:ind w:left="0"/>
        <w:contextualSpacing/>
        <w:jc w:val="both"/>
        <w:rPr>
          <w:bCs/>
          <w:szCs w:val="28"/>
        </w:rPr>
      </w:pPr>
    </w:p>
    <w:p w14:paraId="44B2E051" w14:textId="77777777" w:rsidR="00337901" w:rsidRPr="00E75B81" w:rsidRDefault="00841A20" w:rsidP="00841A20">
      <w:pPr>
        <w:pStyle w:val="Prrafodelista"/>
        <w:numPr>
          <w:ilvl w:val="0"/>
          <w:numId w:val="10"/>
        </w:numPr>
        <w:contextualSpacing/>
        <w:jc w:val="both"/>
        <w:rPr>
          <w:bCs/>
          <w:szCs w:val="28"/>
        </w:rPr>
      </w:pPr>
      <w:r w:rsidRPr="00E75B81">
        <w:rPr>
          <w:iCs/>
          <w:szCs w:val="28"/>
          <w:lang w:val="es-CO"/>
        </w:rPr>
        <w:t xml:space="preserve">Dado que el artículo 257 superior revivió al texto constitucional como resultado del control adelantado por la Corte y así lo hicieron a su vez las competencias del CSJ consagradas en la Carta es lógico que se trate de competencias que claramente están vigentes. Y junto con ellas, también las de la Ley Estatutaria de la Administración de Justicia que desarrollan el artículo constitucional mencionado. </w:t>
      </w:r>
    </w:p>
    <w:p w14:paraId="1D544A9C" w14:textId="77777777" w:rsidR="002C7B6D" w:rsidRPr="00E75B81" w:rsidRDefault="002C7B6D" w:rsidP="002C7B6D">
      <w:pPr>
        <w:pStyle w:val="Prrafodelista"/>
        <w:rPr>
          <w:bCs/>
          <w:szCs w:val="28"/>
        </w:rPr>
      </w:pPr>
    </w:p>
    <w:p w14:paraId="45BF0B94" w14:textId="77777777" w:rsidR="00337901" w:rsidRPr="002C7B6D" w:rsidRDefault="00841A20" w:rsidP="002C7B6D">
      <w:pPr>
        <w:pStyle w:val="Prrafodelista"/>
        <w:numPr>
          <w:ilvl w:val="0"/>
          <w:numId w:val="10"/>
        </w:numPr>
        <w:contextualSpacing/>
        <w:jc w:val="both"/>
        <w:rPr>
          <w:bCs/>
          <w:szCs w:val="28"/>
        </w:rPr>
      </w:pPr>
      <w:r w:rsidRPr="00E75B81">
        <w:rPr>
          <w:iCs/>
          <w:szCs w:val="28"/>
          <w:lang w:val="es-CO"/>
        </w:rPr>
        <w:t>Sobre este aspecto en concreto vale la pena recordar que</w:t>
      </w:r>
      <w:r w:rsidR="00E75B81">
        <w:rPr>
          <w:iCs/>
          <w:szCs w:val="28"/>
          <w:lang w:val="es-CO"/>
        </w:rPr>
        <w:t>,</w:t>
      </w:r>
      <w:r w:rsidRPr="00E75B81">
        <w:rPr>
          <w:iCs/>
          <w:szCs w:val="28"/>
          <w:lang w:val="es-CO"/>
        </w:rPr>
        <w:t xml:space="preserve"> en atención al cambio constitucional descrito, algunos elementos de la Ley 270 de 1996 pueden haber experimentado algún tipo de derogatoria tácita</w:t>
      </w:r>
      <w:r w:rsidRPr="00E75B81">
        <w:rPr>
          <w:rStyle w:val="Refdenotaalpie"/>
          <w:iCs/>
          <w:szCs w:val="28"/>
          <w:lang w:val="es-CO"/>
        </w:rPr>
        <w:footnoteReference w:id="389"/>
      </w:r>
      <w:r w:rsidRPr="00E75B81">
        <w:rPr>
          <w:iCs/>
          <w:szCs w:val="28"/>
          <w:lang w:val="es-CO"/>
        </w:rPr>
        <w:t xml:space="preserve"> como resultado de la transformación superior, que es un fenómeno que ocurre cuando una nueva disposición “</w:t>
      </w:r>
      <w:r w:rsidRPr="00E75B81">
        <w:rPr>
          <w:i/>
          <w:szCs w:val="28"/>
          <w:lang w:val="es-CO"/>
        </w:rPr>
        <w:t>regula un determinado hecho o fenómeno de manera diferente a la ley anterior, sin señalar expresamente</w:t>
      </w:r>
      <w:r w:rsidRPr="002C7B6D">
        <w:rPr>
          <w:i/>
          <w:szCs w:val="28"/>
          <w:lang w:val="es-CO"/>
        </w:rPr>
        <w:t xml:space="preserve"> qué disposiciones quedan sin efectos, lo que implica que sólo pierden vigencia aquellas que sean incompatibles con la nueva regulación”</w:t>
      </w:r>
      <w:r w:rsidRPr="002E4477">
        <w:rPr>
          <w:rStyle w:val="Refdenotaalpie"/>
          <w:i/>
          <w:szCs w:val="28"/>
          <w:lang w:val="es-CO"/>
        </w:rPr>
        <w:footnoteReference w:id="390"/>
      </w:r>
      <w:r w:rsidRPr="002C7B6D">
        <w:rPr>
          <w:iCs/>
          <w:szCs w:val="28"/>
          <w:lang w:val="es-CO"/>
        </w:rPr>
        <w:t>. En tales casos, es necesario acudir a la interpretación de las normas correspondientes, para establecer qué aspectos han perdido vigencia y cuáles no, ante las modificaciones constitucionales.</w:t>
      </w:r>
    </w:p>
    <w:p w14:paraId="4D2BFC7D" w14:textId="77777777" w:rsidR="00337901" w:rsidRDefault="00337901" w:rsidP="00337901">
      <w:pPr>
        <w:pStyle w:val="Prrafodelista"/>
        <w:rPr>
          <w:iCs/>
          <w:szCs w:val="28"/>
          <w:lang w:val="es-CO"/>
        </w:rPr>
      </w:pPr>
    </w:p>
    <w:p w14:paraId="2B822B71" w14:textId="77777777" w:rsidR="00337901" w:rsidRPr="00E75B81" w:rsidRDefault="00841A20" w:rsidP="00553ADA">
      <w:pPr>
        <w:pStyle w:val="Prrafodelista"/>
        <w:numPr>
          <w:ilvl w:val="0"/>
          <w:numId w:val="10"/>
        </w:numPr>
        <w:contextualSpacing/>
        <w:jc w:val="both"/>
        <w:rPr>
          <w:bCs/>
          <w:szCs w:val="28"/>
        </w:rPr>
      </w:pPr>
      <w:r w:rsidRPr="00E75B81">
        <w:rPr>
          <w:iCs/>
          <w:szCs w:val="28"/>
          <w:lang w:val="es-CO"/>
        </w:rPr>
        <w:t>Atendiendo estas premisas, tenemos que el artículo 79 de la Ley 270 de 1996</w:t>
      </w:r>
      <w:r w:rsidRPr="002E4477">
        <w:rPr>
          <w:rStyle w:val="Refdenotaalpie"/>
          <w:iCs/>
          <w:szCs w:val="28"/>
          <w:lang w:val="es-CO"/>
        </w:rPr>
        <w:footnoteReference w:id="391"/>
      </w:r>
      <w:r w:rsidRPr="00E75B81">
        <w:rPr>
          <w:iCs/>
          <w:szCs w:val="28"/>
          <w:lang w:val="es-CO"/>
        </w:rPr>
        <w:t xml:space="preserve"> determina las funciones concretas del Consejo Superior de la Judicatura, conforme a lo establecido en el artículo 257 de la Carta.</w:t>
      </w:r>
      <w:r w:rsidR="00E75B81">
        <w:rPr>
          <w:iCs/>
          <w:szCs w:val="28"/>
          <w:lang w:val="es-CO"/>
        </w:rPr>
        <w:t xml:space="preserve"> </w:t>
      </w:r>
      <w:r w:rsidRPr="00E75B81">
        <w:rPr>
          <w:iCs/>
          <w:szCs w:val="28"/>
          <w:lang w:val="es-CO"/>
        </w:rPr>
        <w:t xml:space="preserve">En el caso particular de los reglamentos que el CSJ puede expedir, el artículo 79-3 de la Ley Estatutaria desarrolla lo previsto en el artículo 257-3 superior. </w:t>
      </w:r>
    </w:p>
    <w:p w14:paraId="3BC95456" w14:textId="77777777" w:rsidR="00337901" w:rsidRDefault="00337901" w:rsidP="00337901">
      <w:pPr>
        <w:pStyle w:val="Prrafodelista"/>
        <w:rPr>
          <w:iCs/>
          <w:szCs w:val="28"/>
          <w:lang w:val="es-CO"/>
        </w:rPr>
      </w:pPr>
    </w:p>
    <w:p w14:paraId="35B52941" w14:textId="77777777" w:rsidR="00841A20" w:rsidRPr="002C7B6D" w:rsidRDefault="00841A20" w:rsidP="00841A20">
      <w:pPr>
        <w:pStyle w:val="Prrafodelista"/>
        <w:numPr>
          <w:ilvl w:val="0"/>
          <w:numId w:val="10"/>
        </w:numPr>
        <w:contextualSpacing/>
        <w:jc w:val="both"/>
        <w:rPr>
          <w:bCs/>
          <w:szCs w:val="28"/>
        </w:rPr>
      </w:pPr>
      <w:r w:rsidRPr="00337901">
        <w:rPr>
          <w:iCs/>
          <w:szCs w:val="28"/>
          <w:lang w:val="es-CO"/>
        </w:rPr>
        <w:t xml:space="preserve">De la lectura atenta de tales normas, no se evidencia entonces una pérdida de vigencia de las disposiciones que desarrollan las funciones constitucionales en favor del CSJ relacionadas con la expedición de los reglamentos correspondientes, por lo que no se requiere en modo alguno la aplicación analógica de normas, sino el desarrollo de aquellas debidamente habilitadas, por el Legislador estatutario.    </w:t>
      </w:r>
    </w:p>
    <w:p w14:paraId="01FC7D6E" w14:textId="77777777" w:rsidR="002C7B6D" w:rsidRPr="002C7B6D" w:rsidRDefault="002C7B6D" w:rsidP="002C7B6D">
      <w:pPr>
        <w:pStyle w:val="Prrafodelista"/>
        <w:ind w:left="0"/>
        <w:contextualSpacing/>
        <w:jc w:val="both"/>
        <w:rPr>
          <w:bCs/>
          <w:szCs w:val="28"/>
        </w:rPr>
      </w:pPr>
    </w:p>
    <w:p w14:paraId="4E649E21" w14:textId="77777777" w:rsidR="002C7B6D" w:rsidRPr="002C7B6D" w:rsidRDefault="00841A20" w:rsidP="009C6DEB">
      <w:pPr>
        <w:pStyle w:val="Prrafodelista"/>
        <w:numPr>
          <w:ilvl w:val="0"/>
          <w:numId w:val="10"/>
        </w:numPr>
        <w:contextualSpacing/>
        <w:jc w:val="both"/>
        <w:rPr>
          <w:bCs/>
          <w:szCs w:val="28"/>
        </w:rPr>
      </w:pPr>
      <w:r w:rsidRPr="002C7B6D">
        <w:rPr>
          <w:iCs/>
          <w:szCs w:val="28"/>
          <w:lang w:val="es-CO"/>
        </w:rPr>
        <w:t xml:space="preserve">Sobre esa base, a diferencia de lo señalado por el Consejo de Estado, se trata entonces de competencias directamente reguladas en la Ley 270 de 1996, que están vigentes, y que la Corte Constitucional no atribuyó al CSJ, ni que este se arrojó voluntariamente, como lo sostiene la providencia cuestionada. </w:t>
      </w:r>
    </w:p>
    <w:p w14:paraId="05134889" w14:textId="77777777" w:rsidR="002C7B6D" w:rsidRDefault="002C7B6D" w:rsidP="002C7B6D">
      <w:pPr>
        <w:pStyle w:val="Prrafodelista"/>
        <w:rPr>
          <w:szCs w:val="28"/>
          <w:lang w:val="es-CO"/>
        </w:rPr>
      </w:pPr>
    </w:p>
    <w:p w14:paraId="4FD27381" w14:textId="77777777" w:rsidR="002C7B6D" w:rsidRDefault="00841A20" w:rsidP="009C6DEB">
      <w:pPr>
        <w:pStyle w:val="Prrafodelista"/>
        <w:numPr>
          <w:ilvl w:val="0"/>
          <w:numId w:val="10"/>
        </w:numPr>
        <w:contextualSpacing/>
        <w:jc w:val="both"/>
        <w:rPr>
          <w:bCs/>
          <w:szCs w:val="28"/>
        </w:rPr>
      </w:pPr>
      <w:r w:rsidRPr="002C7B6D">
        <w:rPr>
          <w:szCs w:val="28"/>
          <w:lang w:val="es-CO"/>
        </w:rPr>
        <w:t xml:space="preserve"> </w:t>
      </w:r>
      <w:r w:rsidR="009C6DEB" w:rsidRPr="00E75B81">
        <w:rPr>
          <w:iCs/>
          <w:szCs w:val="28"/>
          <w:lang w:val="es-CO"/>
        </w:rPr>
        <w:t xml:space="preserve">Por otra parte, </w:t>
      </w:r>
      <w:r w:rsidR="00C56F6C" w:rsidRPr="00E75B81">
        <w:rPr>
          <w:iCs/>
          <w:szCs w:val="28"/>
          <w:lang w:val="es-CO"/>
        </w:rPr>
        <w:t xml:space="preserve">y </w:t>
      </w:r>
      <w:r w:rsidR="00C23290" w:rsidRPr="00E75B81">
        <w:rPr>
          <w:iCs/>
          <w:szCs w:val="28"/>
          <w:lang w:val="es-CO"/>
        </w:rPr>
        <w:t xml:space="preserve">a diferencia de lo </w:t>
      </w:r>
      <w:r w:rsidR="002C7B6D" w:rsidRPr="00E75B81">
        <w:rPr>
          <w:iCs/>
          <w:szCs w:val="28"/>
          <w:lang w:val="es-CO"/>
        </w:rPr>
        <w:t>estimado también</w:t>
      </w:r>
      <w:r w:rsidR="00C23290" w:rsidRPr="00E75B81">
        <w:rPr>
          <w:iCs/>
          <w:szCs w:val="28"/>
          <w:lang w:val="es-CO"/>
        </w:rPr>
        <w:t xml:space="preserve"> por la Sala Plena</w:t>
      </w:r>
      <w:r w:rsidR="00C23290" w:rsidRPr="002C7B6D">
        <w:rPr>
          <w:iCs/>
          <w:szCs w:val="28"/>
          <w:lang w:val="es-CO"/>
        </w:rPr>
        <w:t xml:space="preserve"> de lo Contencioso Administrativo, </w:t>
      </w:r>
      <w:r w:rsidR="00772CA4" w:rsidRPr="002C7B6D">
        <w:rPr>
          <w:iCs/>
          <w:szCs w:val="28"/>
          <w:lang w:val="es-CO"/>
        </w:rPr>
        <w:t xml:space="preserve">lo cierto es que el </w:t>
      </w:r>
      <w:r w:rsidR="00772CA4" w:rsidRPr="002C7B6D">
        <w:rPr>
          <w:b/>
          <w:bCs/>
          <w:iCs/>
          <w:szCs w:val="28"/>
          <w:lang w:val="es-CO"/>
        </w:rPr>
        <w:t>artículo 126-4</w:t>
      </w:r>
      <w:r w:rsidR="00772CA4" w:rsidRPr="002C7B6D">
        <w:rPr>
          <w:iCs/>
          <w:szCs w:val="28"/>
          <w:lang w:val="es-CO"/>
        </w:rPr>
        <w:t xml:space="preserve"> superior, al ser una norma constitucional que establece reglas de carácter general para concursos no reglados por la ley, no prevalece sobre las disposiciones superiores que definen competencias concretas en favor de ciertos órganos constitucionales o que establecen mecanismos particulares para la elección de sus miembros, ni tampoco frente a reglas especiales como las fijadas en la Ley Estatutaria de la Administración de Justicia -Ley 270 de 1996-, que son el desarrollo de normas constitucionales concretas. </w:t>
      </w:r>
    </w:p>
    <w:p w14:paraId="57A5FD7E" w14:textId="77777777" w:rsidR="002C7B6D" w:rsidRDefault="002C7B6D" w:rsidP="002C7B6D">
      <w:pPr>
        <w:pStyle w:val="Prrafodelista"/>
        <w:rPr>
          <w:iCs/>
          <w:szCs w:val="28"/>
          <w:lang w:val="es-CO"/>
        </w:rPr>
      </w:pPr>
    </w:p>
    <w:p w14:paraId="15FABE9E" w14:textId="77777777" w:rsidR="002C7B6D" w:rsidRPr="002C7B6D" w:rsidRDefault="009C6DEB" w:rsidP="009C6DEB">
      <w:pPr>
        <w:pStyle w:val="Prrafodelista"/>
        <w:numPr>
          <w:ilvl w:val="0"/>
          <w:numId w:val="10"/>
        </w:numPr>
        <w:contextualSpacing/>
        <w:jc w:val="both"/>
        <w:rPr>
          <w:bCs/>
          <w:szCs w:val="28"/>
        </w:rPr>
      </w:pPr>
      <w:r w:rsidRPr="002C7B6D">
        <w:rPr>
          <w:iCs/>
          <w:szCs w:val="28"/>
          <w:lang w:val="es-CO"/>
        </w:rPr>
        <w:t xml:space="preserve">Es más, el mismo artículo 126-4 de la Carta, no obstante irradiar todo el ordenamiento jurídico como lo señala el Consejo de Estado, reconoce el carácter supletorio de las reglas que él mismo establece en materia de convocatorias, al precisar en su texto, que las premisas que propone de manera general operan en todos los casos, </w:t>
      </w:r>
      <w:r w:rsidRPr="002C7B6D">
        <w:rPr>
          <w:b/>
          <w:bCs/>
          <w:iCs/>
          <w:szCs w:val="28"/>
          <w:lang w:val="es-CO"/>
        </w:rPr>
        <w:t>“</w:t>
      </w:r>
      <w:r w:rsidRPr="002C7B6D">
        <w:rPr>
          <w:b/>
          <w:bCs/>
          <w:i/>
          <w:szCs w:val="28"/>
          <w:lang w:val="es-CO"/>
        </w:rPr>
        <w:t>salvo</w:t>
      </w:r>
      <w:r w:rsidRPr="002C7B6D">
        <w:rPr>
          <w:b/>
          <w:bCs/>
          <w:iCs/>
          <w:szCs w:val="28"/>
          <w:lang w:val="es-CO"/>
        </w:rPr>
        <w:t>”</w:t>
      </w:r>
      <w:r w:rsidRPr="002C7B6D">
        <w:rPr>
          <w:iCs/>
          <w:szCs w:val="28"/>
          <w:lang w:val="es-CO"/>
        </w:rPr>
        <w:t xml:space="preserve"> en los </w:t>
      </w:r>
      <w:r w:rsidRPr="002C7B6D">
        <w:rPr>
          <w:b/>
          <w:bCs/>
          <w:iCs/>
          <w:szCs w:val="28"/>
          <w:lang w:val="es-CO"/>
        </w:rPr>
        <w:t>“</w:t>
      </w:r>
      <w:r w:rsidRPr="002C7B6D">
        <w:rPr>
          <w:b/>
          <w:bCs/>
          <w:i/>
          <w:szCs w:val="28"/>
          <w:lang w:val="es-CO"/>
        </w:rPr>
        <w:t>concursos regulados por la ley”</w:t>
      </w:r>
      <w:r w:rsidRPr="002C7B6D">
        <w:rPr>
          <w:iCs/>
          <w:szCs w:val="28"/>
          <w:lang w:val="es-CO"/>
        </w:rPr>
        <w:t xml:space="preserve">. Es decir, si existen concursos o procesos de selección ya debidamente regulados por el Legislador, el artículo 126-4 constitucional no deroga automáticamente aquellos ya configurados, acorde con su contenido literal. </w:t>
      </w:r>
    </w:p>
    <w:p w14:paraId="4F6F5FD5" w14:textId="77777777" w:rsidR="002C7B6D" w:rsidRDefault="002C7B6D" w:rsidP="002C7B6D">
      <w:pPr>
        <w:pStyle w:val="Prrafodelista"/>
        <w:ind w:left="0"/>
        <w:contextualSpacing/>
        <w:jc w:val="both"/>
        <w:rPr>
          <w:iCs/>
          <w:szCs w:val="28"/>
          <w:lang w:val="es-CO"/>
        </w:rPr>
      </w:pPr>
    </w:p>
    <w:p w14:paraId="7EBC3D33" w14:textId="77777777" w:rsidR="002C7B6D" w:rsidRDefault="009C6DEB" w:rsidP="002C7B6D">
      <w:pPr>
        <w:pStyle w:val="Prrafodelista"/>
        <w:ind w:left="0"/>
        <w:contextualSpacing/>
        <w:jc w:val="both"/>
        <w:rPr>
          <w:bCs/>
          <w:szCs w:val="28"/>
        </w:rPr>
      </w:pPr>
      <w:r w:rsidRPr="002C7B6D">
        <w:rPr>
          <w:iCs/>
          <w:szCs w:val="28"/>
          <w:lang w:val="es-CO"/>
        </w:rPr>
        <w:t>Una precisión que es importante, porque si la norma no puede incidir directamente en aquellos concursos ya regulados de manera general por la ley, difícilmente puede operar de manera automática en procesos de designación o elección de funcionarios consagrados en la Carta, o regulados ya, por ley especial. Lo que no significa que los principios o criterios que esta norma constitucional establece y que son orientadores de esa gestión, no puedan ser considerados en los procesos de selección que corresponda o que el Legislador estatutario los acoja en nuevas normas que se expidan hacia el futuro</w:t>
      </w:r>
      <w:r w:rsidRPr="002C7B6D">
        <w:rPr>
          <w:i/>
          <w:szCs w:val="28"/>
          <w:lang w:val="es-CO"/>
        </w:rPr>
        <w:t xml:space="preserve">. </w:t>
      </w:r>
      <w:r w:rsidR="00C80E03">
        <w:rPr>
          <w:iCs/>
          <w:szCs w:val="28"/>
          <w:lang w:val="es-CO"/>
        </w:rPr>
        <w:t>Únicamente</w:t>
      </w:r>
      <w:r w:rsidRPr="002C7B6D">
        <w:rPr>
          <w:iCs/>
          <w:szCs w:val="28"/>
          <w:lang w:val="es-CO"/>
        </w:rPr>
        <w:t xml:space="preserve"> implica que los procesos de selección no regulados, deben ceñirse inexorablemente a las reglas establecidas en el artículo 126-4 de la Carta, que involucran la realización de convocatorias públicas regladas por el Legislador, que fijen procedimientos y requisitos orientados al cumplimiento de los principios de publicidad, transparencia, participación ciudadana, equidad de género y criterios de mérito en la selección.</w:t>
      </w:r>
    </w:p>
    <w:p w14:paraId="1684D108" w14:textId="77777777" w:rsidR="00D75156" w:rsidRDefault="00D75156" w:rsidP="00D75156">
      <w:pPr>
        <w:pStyle w:val="Prrafodelista"/>
        <w:ind w:left="0"/>
        <w:rPr>
          <w:iCs/>
          <w:szCs w:val="28"/>
          <w:lang w:val="es-CO"/>
        </w:rPr>
      </w:pPr>
    </w:p>
    <w:p w14:paraId="0053CAFF" w14:textId="77777777" w:rsidR="002C7B6D" w:rsidRPr="00E75B81" w:rsidRDefault="009C6DEB" w:rsidP="0004321A">
      <w:pPr>
        <w:pStyle w:val="Prrafodelista"/>
        <w:numPr>
          <w:ilvl w:val="0"/>
          <w:numId w:val="10"/>
        </w:numPr>
        <w:contextualSpacing/>
        <w:jc w:val="both"/>
        <w:rPr>
          <w:bCs/>
          <w:szCs w:val="28"/>
        </w:rPr>
      </w:pPr>
      <w:r w:rsidRPr="00E75B81">
        <w:rPr>
          <w:rFonts w:eastAsia="Calibri"/>
          <w:szCs w:val="28"/>
        </w:rPr>
        <w:t>Ahora bien</w:t>
      </w:r>
      <w:r w:rsidR="0004321A" w:rsidRPr="00E75B81">
        <w:rPr>
          <w:rFonts w:eastAsia="Calibri"/>
          <w:szCs w:val="28"/>
        </w:rPr>
        <w:t xml:space="preserve">, </w:t>
      </w:r>
      <w:r w:rsidR="00D75156" w:rsidRPr="00E75B81">
        <w:rPr>
          <w:rFonts w:eastAsia="Calibri"/>
          <w:szCs w:val="28"/>
        </w:rPr>
        <w:t xml:space="preserve">en cuanto a la </w:t>
      </w:r>
      <w:r w:rsidR="00D75156" w:rsidRPr="00E75B81">
        <w:rPr>
          <w:rFonts w:eastAsia="Calibri"/>
          <w:b/>
          <w:bCs/>
          <w:i/>
          <w:iCs/>
          <w:szCs w:val="28"/>
        </w:rPr>
        <w:t>convocatoria pública reglada</w:t>
      </w:r>
      <w:r w:rsidR="00D75156" w:rsidRPr="00E75B81">
        <w:rPr>
          <w:rFonts w:eastAsia="Calibri"/>
          <w:szCs w:val="28"/>
        </w:rPr>
        <w:t xml:space="preserve">, </w:t>
      </w:r>
      <w:r w:rsidR="0004321A" w:rsidRPr="00E75B81">
        <w:rPr>
          <w:rFonts w:eastAsia="Calibri"/>
          <w:szCs w:val="28"/>
        </w:rPr>
        <w:t>hay que resaltar que el inciso 4° del artículo 126 de la Constitución señala</w:t>
      </w:r>
      <w:r w:rsidR="002C7B6D" w:rsidRPr="00E75B81">
        <w:rPr>
          <w:rFonts w:eastAsia="Calibri"/>
          <w:szCs w:val="28"/>
        </w:rPr>
        <w:t xml:space="preserve"> en particular</w:t>
      </w:r>
      <w:r w:rsidR="0004321A" w:rsidRPr="00E75B81">
        <w:rPr>
          <w:rFonts w:eastAsia="Calibri"/>
          <w:szCs w:val="28"/>
        </w:rPr>
        <w:t xml:space="preserve"> que </w:t>
      </w:r>
      <w:r w:rsidR="0004321A" w:rsidRPr="00E75B81">
        <w:rPr>
          <w:rFonts w:eastAsia="Calibri"/>
          <w:i/>
          <w:szCs w:val="28"/>
        </w:rPr>
        <w:t>“la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r w:rsidR="0004321A" w:rsidRPr="00E75B81">
        <w:rPr>
          <w:rFonts w:eastAsia="Calibri"/>
          <w:szCs w:val="28"/>
        </w:rPr>
        <w:t>.</w:t>
      </w:r>
    </w:p>
    <w:p w14:paraId="299F36C2" w14:textId="77777777" w:rsidR="002C7B6D" w:rsidRPr="00E75B81" w:rsidRDefault="002C7B6D" w:rsidP="002C7B6D">
      <w:pPr>
        <w:pStyle w:val="Prrafodelista"/>
        <w:ind w:left="0"/>
        <w:contextualSpacing/>
        <w:jc w:val="both"/>
        <w:rPr>
          <w:bCs/>
          <w:szCs w:val="28"/>
        </w:rPr>
      </w:pPr>
    </w:p>
    <w:p w14:paraId="5C048B11" w14:textId="77777777" w:rsidR="0004321A" w:rsidRPr="00E75B81" w:rsidRDefault="0004321A" w:rsidP="0004321A">
      <w:pPr>
        <w:pStyle w:val="Prrafodelista"/>
        <w:numPr>
          <w:ilvl w:val="0"/>
          <w:numId w:val="10"/>
        </w:numPr>
        <w:contextualSpacing/>
        <w:jc w:val="both"/>
        <w:rPr>
          <w:bCs/>
          <w:szCs w:val="28"/>
        </w:rPr>
      </w:pPr>
      <w:r w:rsidRPr="00E75B81">
        <w:rPr>
          <w:rFonts w:eastAsia="Calibri"/>
          <w:szCs w:val="28"/>
        </w:rPr>
        <w:t>La “</w:t>
      </w:r>
      <w:r w:rsidRPr="00E75B81">
        <w:rPr>
          <w:rFonts w:eastAsia="Calibri"/>
          <w:b/>
          <w:bCs/>
          <w:i/>
          <w:iCs/>
          <w:szCs w:val="28"/>
        </w:rPr>
        <w:t>convocatoria pública reglada</w:t>
      </w:r>
      <w:r w:rsidRPr="00E75B81">
        <w:rPr>
          <w:rFonts w:eastAsia="Calibri"/>
          <w:szCs w:val="28"/>
        </w:rPr>
        <w:t xml:space="preserve">” se encuentra entonces dirigida a buscar y </w:t>
      </w:r>
      <w:r w:rsidR="00D75156" w:rsidRPr="00E75B81">
        <w:rPr>
          <w:rFonts w:eastAsia="Calibri"/>
          <w:szCs w:val="28"/>
        </w:rPr>
        <w:t xml:space="preserve">definir </w:t>
      </w:r>
      <w:r w:rsidRPr="00E75B81">
        <w:rPr>
          <w:rFonts w:eastAsia="Calibri"/>
          <w:szCs w:val="28"/>
        </w:rPr>
        <w:t xml:space="preserve">a los candidatos que van a ser parte de un proceso de selección posterior. En ese sentido la norma constitucional a la que se hace referencia, fija cuatro reglas en torno a la elección de servidores públicos, en los casos en los que tal elección es competencia de alguna corporación pública. En primer lugar, la obligación de adelantar convocatorias públicas para </w:t>
      </w:r>
      <w:r w:rsidR="00E75B81">
        <w:rPr>
          <w:rFonts w:eastAsia="Calibri"/>
          <w:szCs w:val="28"/>
        </w:rPr>
        <w:t xml:space="preserve">llamar y </w:t>
      </w:r>
      <w:r w:rsidRPr="00E75B81">
        <w:rPr>
          <w:rFonts w:eastAsia="Calibri"/>
          <w:szCs w:val="28"/>
        </w:rPr>
        <w:t>definir candidatos. En segundo lugar, la necesidad de que dichas convocatorias públicas estén regladas</w:t>
      </w:r>
      <w:r w:rsidR="00E75B81">
        <w:rPr>
          <w:rFonts w:eastAsia="Calibri"/>
          <w:szCs w:val="28"/>
        </w:rPr>
        <w:t xml:space="preserve"> para definir, previa a su elección, las reglas en el proceso de selección de candidatos</w:t>
      </w:r>
      <w:r w:rsidRPr="00E75B81">
        <w:rPr>
          <w:rFonts w:eastAsia="Calibri"/>
          <w:szCs w:val="28"/>
        </w:rPr>
        <w:t>. En tercer lugar, el imperativo de que la reglamentación de las convocatorias públicas se haga vía ley en sentido material y formal. En cuarto lugar, el mandato de que aquella ley que reglamente las convocatorias públicas contenga requisitos y procedimientos que materialicen los principios de publicidad, transparencia, participación ciudadana y equidad de género, además que fije criterios de mérito para la selección.</w:t>
      </w:r>
    </w:p>
    <w:p w14:paraId="3557E431" w14:textId="77777777" w:rsidR="002C7B6D" w:rsidRPr="00E75B81" w:rsidRDefault="002C7B6D" w:rsidP="002C7B6D">
      <w:pPr>
        <w:pStyle w:val="Prrafodelista"/>
        <w:rPr>
          <w:bCs/>
          <w:szCs w:val="28"/>
        </w:rPr>
      </w:pPr>
    </w:p>
    <w:p w14:paraId="07D9FD8D" w14:textId="77777777" w:rsidR="002C7B6D" w:rsidRPr="00E75B81" w:rsidRDefault="0004321A" w:rsidP="009C6DEB">
      <w:pPr>
        <w:pStyle w:val="Prrafodelista"/>
        <w:numPr>
          <w:ilvl w:val="0"/>
          <w:numId w:val="10"/>
        </w:numPr>
        <w:contextualSpacing/>
        <w:jc w:val="both"/>
        <w:rPr>
          <w:bCs/>
          <w:szCs w:val="28"/>
        </w:rPr>
      </w:pPr>
      <w:r w:rsidRPr="00E75B81">
        <w:rPr>
          <w:rFonts w:eastAsia="Calibri"/>
          <w:szCs w:val="28"/>
        </w:rPr>
        <w:t>La primera regla enunciada, consistente en desarrollar convocatorias públicas para definir los candidatos para proveer cargos, es un deber que se le impone a las corporaciones públicas con competencia para elegir servidores públicos. La segunda, tercera y cuarta regla son mandatos dirigidos al Legislador en el sentido de reglamentar las convocatorias públicas e incluir algunos contenidos particulares en dicha reglamentación.</w:t>
      </w:r>
    </w:p>
    <w:p w14:paraId="50E0C437" w14:textId="77777777" w:rsidR="002C7B6D" w:rsidRPr="00E75B81" w:rsidRDefault="002C7B6D" w:rsidP="002C7B6D">
      <w:pPr>
        <w:pStyle w:val="Prrafodelista"/>
        <w:rPr>
          <w:rFonts w:eastAsia="Calibri"/>
          <w:szCs w:val="28"/>
        </w:rPr>
      </w:pPr>
    </w:p>
    <w:p w14:paraId="59D46272" w14:textId="77777777" w:rsidR="002C7B6D" w:rsidRPr="00E75B81" w:rsidRDefault="0004321A" w:rsidP="0004321A">
      <w:pPr>
        <w:pStyle w:val="Prrafodelista"/>
        <w:numPr>
          <w:ilvl w:val="0"/>
          <w:numId w:val="10"/>
        </w:numPr>
        <w:contextualSpacing/>
        <w:jc w:val="both"/>
        <w:rPr>
          <w:bCs/>
          <w:szCs w:val="28"/>
        </w:rPr>
      </w:pPr>
      <w:r w:rsidRPr="00E75B81">
        <w:rPr>
          <w:rFonts w:eastAsia="Calibri"/>
          <w:szCs w:val="28"/>
        </w:rPr>
        <w:t>Paralelamente, el artículo 257A superior también alude a un mecanismo especial de elección de servidores públicos. Esta norma constitucional se refiere específicamente a la elección de los siete Magistrados de la CNDJ. En concreto, el artículo 257A señala que será el Congreso en pleno el encargado de elegir a los Magistrados de esta corporación pública –la</w:t>
      </w:r>
      <w:r w:rsidRPr="00E75B81">
        <w:t xml:space="preserve"> </w:t>
      </w:r>
      <w:r w:rsidRPr="00E75B81">
        <w:rPr>
          <w:rFonts w:eastAsia="Calibri"/>
          <w:szCs w:val="28"/>
        </w:rPr>
        <w:t xml:space="preserve">CNDJ– de cuatro ternas que presente el Consejo Superior de la Judicatura y de tres ternas que presente el Presidente de la República. </w:t>
      </w:r>
    </w:p>
    <w:p w14:paraId="43D1A1E8" w14:textId="77777777" w:rsidR="002C7B6D" w:rsidRPr="00E75B81" w:rsidRDefault="002C7B6D" w:rsidP="002C7B6D">
      <w:pPr>
        <w:pStyle w:val="Prrafodelista"/>
        <w:rPr>
          <w:rFonts w:eastAsia="Calibri"/>
          <w:szCs w:val="28"/>
        </w:rPr>
      </w:pPr>
    </w:p>
    <w:p w14:paraId="5C3D09BC" w14:textId="77777777" w:rsidR="0004321A" w:rsidRPr="00E75B81" w:rsidRDefault="0004321A" w:rsidP="002C7B6D">
      <w:pPr>
        <w:pStyle w:val="Prrafodelista"/>
        <w:ind w:left="0"/>
        <w:contextualSpacing/>
        <w:jc w:val="both"/>
        <w:rPr>
          <w:bCs/>
          <w:szCs w:val="28"/>
        </w:rPr>
      </w:pPr>
      <w:r w:rsidRPr="00E75B81">
        <w:rPr>
          <w:rFonts w:eastAsia="Calibri"/>
          <w:szCs w:val="28"/>
        </w:rPr>
        <w:t>Asimismo, el artículo 257A constitucional dispone que, para la conformación de las ternas por parte del Consejo Superior de la Judicatura y el Presidente de la República, estos deben realizar convocatorias públicas, las cuales deberán ser regladas, sin indicar a qué autoridad le corresponde dicha reglamentación.</w:t>
      </w:r>
    </w:p>
    <w:p w14:paraId="2CAB63F0" w14:textId="77777777" w:rsidR="002C7B6D" w:rsidRPr="00E75B81" w:rsidRDefault="002C7B6D" w:rsidP="002C7B6D">
      <w:pPr>
        <w:pStyle w:val="Prrafodelista"/>
        <w:rPr>
          <w:bCs/>
          <w:szCs w:val="28"/>
        </w:rPr>
      </w:pPr>
    </w:p>
    <w:p w14:paraId="4625C494" w14:textId="77777777" w:rsidR="002C7B6D" w:rsidRPr="00E75B81" w:rsidRDefault="0004321A" w:rsidP="0004321A">
      <w:pPr>
        <w:pStyle w:val="Prrafodelista"/>
        <w:numPr>
          <w:ilvl w:val="0"/>
          <w:numId w:val="10"/>
        </w:numPr>
        <w:contextualSpacing/>
        <w:jc w:val="both"/>
        <w:rPr>
          <w:bCs/>
          <w:szCs w:val="28"/>
        </w:rPr>
      </w:pPr>
      <w:r w:rsidRPr="00E75B81">
        <w:rPr>
          <w:rFonts w:eastAsia="Calibri"/>
          <w:szCs w:val="28"/>
        </w:rPr>
        <w:t>En este sentido, los artículos 126 y 257A aluden a la necesidad de agotar convocatorias públicas. La finalidad de estas convocatorias es dotar de publicidad y trasparencia el proceso de elección de servidores públicos y garantizar la igualdad de oportunidades de todos los ciudadanos de ingresar al servicio público. Sin embargo, los momentos en los que se deben ejecutar estas convocatorias en los procesos de elección de servidores públicos son distintos. En el caso del artículo 126, la convocatoria tiene como propósito identificar un conjunto de aspirantes, de los cuales se hace la elección para llenar la vacante a proveer. En el caso del artículo 257A, la convocatoria tiene como finalidad, no elegir al servidor público, sino conformar las ternas para que sea el Congreso en pleno quien haga la elección a partir de las mencionadas ternas.</w:t>
      </w:r>
    </w:p>
    <w:p w14:paraId="31F34C2A" w14:textId="77777777" w:rsidR="002C7B6D" w:rsidRPr="00E75B81" w:rsidRDefault="002C7B6D" w:rsidP="002C7B6D">
      <w:pPr>
        <w:pStyle w:val="Prrafodelista"/>
        <w:ind w:left="0"/>
        <w:contextualSpacing/>
        <w:jc w:val="both"/>
        <w:rPr>
          <w:bCs/>
          <w:szCs w:val="28"/>
        </w:rPr>
      </w:pPr>
    </w:p>
    <w:p w14:paraId="5DBDBE66" w14:textId="77777777" w:rsidR="002C7B6D" w:rsidRPr="00E75B81" w:rsidRDefault="0004321A" w:rsidP="00841A20">
      <w:pPr>
        <w:pStyle w:val="Prrafodelista"/>
        <w:numPr>
          <w:ilvl w:val="0"/>
          <w:numId w:val="10"/>
        </w:numPr>
        <w:contextualSpacing/>
        <w:jc w:val="both"/>
        <w:rPr>
          <w:bCs/>
          <w:szCs w:val="28"/>
        </w:rPr>
      </w:pPr>
      <w:r w:rsidRPr="00E75B81">
        <w:rPr>
          <w:rFonts w:eastAsia="Calibri"/>
          <w:szCs w:val="28"/>
        </w:rPr>
        <w:t>Desde esta perspectiva, la Sala encuentra que existen dos normas constitucionales que se refieren a la necesidad de hacer convocatorias públicas regladas para elegir servidores públicos: una que le adjudica expresamente tal reglamentación al Legislador y otra que guarda silencio sobre la autoridad encargada de la reglamentación.</w:t>
      </w:r>
    </w:p>
    <w:p w14:paraId="533E3269" w14:textId="77777777" w:rsidR="002C7B6D" w:rsidRPr="00E75B81" w:rsidRDefault="002C7B6D" w:rsidP="002C7B6D">
      <w:pPr>
        <w:pStyle w:val="Prrafodelista"/>
        <w:rPr>
          <w:rFonts w:eastAsia="Calibri"/>
          <w:szCs w:val="28"/>
        </w:rPr>
      </w:pPr>
    </w:p>
    <w:p w14:paraId="1420BA71" w14:textId="77777777" w:rsidR="00841A20" w:rsidRPr="00E75B81" w:rsidRDefault="00841A20" w:rsidP="00841A20">
      <w:pPr>
        <w:pStyle w:val="Prrafodelista"/>
        <w:numPr>
          <w:ilvl w:val="0"/>
          <w:numId w:val="10"/>
        </w:numPr>
        <w:contextualSpacing/>
        <w:jc w:val="both"/>
        <w:rPr>
          <w:bCs/>
          <w:szCs w:val="28"/>
        </w:rPr>
      </w:pPr>
      <w:r w:rsidRPr="00E75B81">
        <w:rPr>
          <w:rFonts w:eastAsia="Calibri"/>
          <w:szCs w:val="28"/>
        </w:rPr>
        <w:t>Estas diferencias y similitudes entre los artículos 126 y 257A, se ilustran en el siguiente cuadro.</w:t>
      </w:r>
    </w:p>
    <w:p w14:paraId="469D41CA" w14:textId="77777777" w:rsidR="002C7B6D" w:rsidRPr="002C7B6D" w:rsidRDefault="002C7B6D" w:rsidP="002C7B6D">
      <w:pPr>
        <w:pStyle w:val="Prrafodelista"/>
        <w:ind w:left="0"/>
        <w:contextualSpacing/>
        <w:jc w:val="both"/>
        <w:rPr>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43"/>
        <w:gridCol w:w="2944"/>
      </w:tblGrid>
      <w:tr w:rsidR="002C7B6D" w:rsidRPr="00E02FB2" w14:paraId="18636A3A" w14:textId="77777777" w:rsidTr="00566B75">
        <w:tc>
          <w:tcPr>
            <w:tcW w:w="2835" w:type="dxa"/>
            <w:tcBorders>
              <w:top w:val="single" w:sz="4" w:space="0" w:color="auto"/>
              <w:left w:val="single" w:sz="4" w:space="0" w:color="auto"/>
              <w:bottom w:val="single" w:sz="4" w:space="0" w:color="auto"/>
              <w:right w:val="single" w:sz="4" w:space="0" w:color="auto"/>
            </w:tcBorders>
            <w:shd w:val="clear" w:color="auto" w:fill="D0CECE"/>
          </w:tcPr>
          <w:p w14:paraId="19F1B9D4" w14:textId="77777777" w:rsidR="002C7B6D" w:rsidRPr="00E02FB2" w:rsidRDefault="002C7B6D" w:rsidP="00566B75">
            <w:pPr>
              <w:pStyle w:val="Prrafodelista"/>
              <w:ind w:left="0"/>
              <w:jc w:val="both"/>
              <w:rPr>
                <w:rFonts w:eastAsia="Calibri"/>
                <w:sz w:val="24"/>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D0CECE"/>
            <w:hideMark/>
          </w:tcPr>
          <w:p w14:paraId="6972AC84" w14:textId="77777777" w:rsidR="002C7B6D" w:rsidRPr="00E02FB2" w:rsidRDefault="002C7B6D" w:rsidP="00566B75">
            <w:pPr>
              <w:pStyle w:val="Prrafodelista"/>
              <w:ind w:left="0"/>
              <w:jc w:val="center"/>
              <w:rPr>
                <w:rFonts w:eastAsia="Calibri"/>
                <w:b/>
                <w:sz w:val="24"/>
                <w:szCs w:val="24"/>
              </w:rPr>
            </w:pPr>
            <w:r w:rsidRPr="00E02FB2">
              <w:rPr>
                <w:rFonts w:eastAsia="Calibri"/>
                <w:b/>
                <w:sz w:val="24"/>
                <w:szCs w:val="24"/>
              </w:rPr>
              <w:t>Artículo 126</w:t>
            </w:r>
          </w:p>
        </w:tc>
        <w:tc>
          <w:tcPr>
            <w:tcW w:w="2944" w:type="dxa"/>
            <w:tcBorders>
              <w:top w:val="single" w:sz="4" w:space="0" w:color="auto"/>
              <w:left w:val="single" w:sz="4" w:space="0" w:color="auto"/>
              <w:bottom w:val="single" w:sz="4" w:space="0" w:color="auto"/>
              <w:right w:val="single" w:sz="4" w:space="0" w:color="auto"/>
            </w:tcBorders>
            <w:shd w:val="clear" w:color="auto" w:fill="D0CECE"/>
            <w:hideMark/>
          </w:tcPr>
          <w:p w14:paraId="6F512E20" w14:textId="77777777" w:rsidR="002C7B6D" w:rsidRPr="00E02FB2" w:rsidRDefault="002C7B6D" w:rsidP="00566B75">
            <w:pPr>
              <w:pStyle w:val="Prrafodelista"/>
              <w:ind w:left="0"/>
              <w:jc w:val="center"/>
              <w:rPr>
                <w:rFonts w:eastAsia="Calibri"/>
                <w:b/>
                <w:sz w:val="24"/>
                <w:szCs w:val="24"/>
              </w:rPr>
            </w:pPr>
            <w:r w:rsidRPr="00E02FB2">
              <w:rPr>
                <w:rFonts w:eastAsia="Calibri"/>
                <w:b/>
                <w:sz w:val="24"/>
                <w:szCs w:val="24"/>
              </w:rPr>
              <w:t>Artículo 257A</w:t>
            </w:r>
          </w:p>
        </w:tc>
      </w:tr>
      <w:tr w:rsidR="002C7B6D" w:rsidRPr="00E02FB2" w14:paraId="6F64978A" w14:textId="77777777" w:rsidTr="00566B75">
        <w:tc>
          <w:tcPr>
            <w:tcW w:w="2835" w:type="dxa"/>
            <w:tcBorders>
              <w:top w:val="single" w:sz="4" w:space="0" w:color="auto"/>
              <w:left w:val="single" w:sz="4" w:space="0" w:color="auto"/>
              <w:bottom w:val="single" w:sz="4" w:space="0" w:color="auto"/>
              <w:right w:val="single" w:sz="4" w:space="0" w:color="auto"/>
            </w:tcBorders>
            <w:shd w:val="clear" w:color="auto" w:fill="D0CECE"/>
            <w:hideMark/>
          </w:tcPr>
          <w:p w14:paraId="38EEFC6D" w14:textId="77777777" w:rsidR="002C7B6D" w:rsidRPr="00E02FB2" w:rsidRDefault="002C7B6D" w:rsidP="00566B75">
            <w:pPr>
              <w:pStyle w:val="Prrafodelista"/>
              <w:ind w:left="0"/>
              <w:jc w:val="both"/>
              <w:rPr>
                <w:rFonts w:eastAsia="Calibri"/>
                <w:b/>
                <w:sz w:val="24"/>
                <w:szCs w:val="24"/>
              </w:rPr>
            </w:pPr>
            <w:r w:rsidRPr="00E02FB2">
              <w:rPr>
                <w:rFonts w:eastAsia="Calibri"/>
                <w:b/>
                <w:sz w:val="24"/>
                <w:szCs w:val="24"/>
              </w:rPr>
              <w:t>Ámbito de aplicación de la norma</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4356B4C5" w14:textId="77777777" w:rsidR="002C7B6D" w:rsidRPr="00E02FB2" w:rsidRDefault="002C7B6D" w:rsidP="00566B75">
            <w:pPr>
              <w:pStyle w:val="Prrafodelista"/>
              <w:ind w:left="0"/>
              <w:jc w:val="both"/>
              <w:rPr>
                <w:rFonts w:eastAsia="Calibri"/>
                <w:sz w:val="24"/>
                <w:szCs w:val="24"/>
              </w:rPr>
            </w:pPr>
            <w:r w:rsidRPr="00E02FB2">
              <w:rPr>
                <w:rFonts w:eastAsia="Calibri"/>
                <w:sz w:val="24"/>
                <w:szCs w:val="24"/>
              </w:rPr>
              <w:t>Regla general para la elección de servidores públicos por parte de corporaciones públicas, aplicable en casos de ausencia de norma especial.</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14:paraId="7061B4DE" w14:textId="77777777" w:rsidR="002C7B6D" w:rsidRPr="00E02FB2" w:rsidRDefault="002C7B6D" w:rsidP="00566B75">
            <w:pPr>
              <w:pStyle w:val="Prrafodelista"/>
              <w:ind w:left="0"/>
              <w:jc w:val="both"/>
              <w:rPr>
                <w:rFonts w:eastAsia="Calibri"/>
                <w:sz w:val="24"/>
                <w:szCs w:val="24"/>
              </w:rPr>
            </w:pPr>
            <w:r w:rsidRPr="00E02FB2">
              <w:rPr>
                <w:rFonts w:eastAsia="Calibri"/>
                <w:sz w:val="24"/>
                <w:szCs w:val="24"/>
              </w:rPr>
              <w:t>Regla especial para la elección de magistrados de la Comisión Nacional de Disciplina Judicial.</w:t>
            </w:r>
          </w:p>
        </w:tc>
      </w:tr>
      <w:tr w:rsidR="002C7B6D" w:rsidRPr="00E02FB2" w14:paraId="7CD5FDCA" w14:textId="77777777" w:rsidTr="00566B75">
        <w:tc>
          <w:tcPr>
            <w:tcW w:w="2835" w:type="dxa"/>
            <w:tcBorders>
              <w:top w:val="single" w:sz="4" w:space="0" w:color="auto"/>
              <w:left w:val="single" w:sz="4" w:space="0" w:color="auto"/>
              <w:bottom w:val="single" w:sz="4" w:space="0" w:color="auto"/>
              <w:right w:val="single" w:sz="4" w:space="0" w:color="auto"/>
            </w:tcBorders>
            <w:shd w:val="clear" w:color="auto" w:fill="D0CECE"/>
            <w:hideMark/>
          </w:tcPr>
          <w:p w14:paraId="011682BF" w14:textId="77777777" w:rsidR="002C7B6D" w:rsidRPr="00E02FB2" w:rsidRDefault="002C7B6D" w:rsidP="00566B75">
            <w:pPr>
              <w:pStyle w:val="Prrafodelista"/>
              <w:ind w:left="0"/>
              <w:jc w:val="both"/>
              <w:rPr>
                <w:rFonts w:eastAsia="Calibri"/>
                <w:b/>
                <w:sz w:val="24"/>
                <w:szCs w:val="24"/>
              </w:rPr>
            </w:pPr>
            <w:r w:rsidRPr="00E02FB2">
              <w:rPr>
                <w:rFonts w:eastAsia="Calibri"/>
                <w:b/>
                <w:sz w:val="24"/>
                <w:szCs w:val="24"/>
              </w:rPr>
              <w:t>Convocatoria pública reglada</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57A2855E" w14:textId="77777777" w:rsidR="002C7B6D" w:rsidRPr="00E02FB2" w:rsidRDefault="002C7B6D" w:rsidP="00566B75">
            <w:pPr>
              <w:pStyle w:val="Prrafodelista"/>
              <w:ind w:left="0"/>
              <w:jc w:val="both"/>
              <w:rPr>
                <w:rFonts w:eastAsia="Calibri"/>
                <w:sz w:val="24"/>
                <w:szCs w:val="24"/>
              </w:rPr>
            </w:pPr>
            <w:r w:rsidRPr="00E02FB2">
              <w:rPr>
                <w:rFonts w:eastAsia="Calibri"/>
                <w:sz w:val="24"/>
                <w:szCs w:val="24"/>
              </w:rPr>
              <w:t>Sí</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14:paraId="10E358E5" w14:textId="77777777" w:rsidR="002C7B6D" w:rsidRPr="00E02FB2" w:rsidRDefault="002C7B6D" w:rsidP="00566B75">
            <w:pPr>
              <w:pStyle w:val="Prrafodelista"/>
              <w:ind w:left="0"/>
              <w:jc w:val="both"/>
              <w:rPr>
                <w:rFonts w:eastAsia="Calibri"/>
                <w:sz w:val="24"/>
                <w:szCs w:val="24"/>
              </w:rPr>
            </w:pPr>
            <w:r w:rsidRPr="00E02FB2">
              <w:rPr>
                <w:rFonts w:eastAsia="Calibri"/>
                <w:sz w:val="24"/>
                <w:szCs w:val="24"/>
              </w:rPr>
              <w:t>Sí</w:t>
            </w:r>
          </w:p>
        </w:tc>
      </w:tr>
      <w:tr w:rsidR="002C7B6D" w:rsidRPr="00E02FB2" w14:paraId="7D88AF1C" w14:textId="77777777" w:rsidTr="00566B75">
        <w:tc>
          <w:tcPr>
            <w:tcW w:w="2835" w:type="dxa"/>
            <w:tcBorders>
              <w:top w:val="single" w:sz="4" w:space="0" w:color="auto"/>
              <w:left w:val="single" w:sz="4" w:space="0" w:color="auto"/>
              <w:bottom w:val="single" w:sz="4" w:space="0" w:color="auto"/>
              <w:right w:val="single" w:sz="4" w:space="0" w:color="auto"/>
            </w:tcBorders>
            <w:shd w:val="clear" w:color="auto" w:fill="D0CECE"/>
            <w:hideMark/>
          </w:tcPr>
          <w:p w14:paraId="38761BDB" w14:textId="77777777" w:rsidR="002C7B6D" w:rsidRPr="00E02FB2" w:rsidRDefault="002C7B6D" w:rsidP="00566B75">
            <w:pPr>
              <w:pStyle w:val="Prrafodelista"/>
              <w:ind w:left="0"/>
              <w:jc w:val="both"/>
              <w:rPr>
                <w:rFonts w:eastAsia="Calibri"/>
                <w:b/>
                <w:sz w:val="24"/>
                <w:szCs w:val="24"/>
              </w:rPr>
            </w:pPr>
            <w:r w:rsidRPr="00E02FB2">
              <w:rPr>
                <w:rFonts w:eastAsia="Calibri"/>
                <w:b/>
                <w:sz w:val="24"/>
                <w:szCs w:val="24"/>
              </w:rPr>
              <w:t>¿Quién reglamenta la convocatoria pública?</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26176293" w14:textId="77777777" w:rsidR="002C7B6D" w:rsidRPr="00E02FB2" w:rsidRDefault="002C7B6D" w:rsidP="00566B75">
            <w:pPr>
              <w:pStyle w:val="Prrafodelista"/>
              <w:ind w:left="0"/>
              <w:jc w:val="both"/>
              <w:rPr>
                <w:rFonts w:eastAsia="Calibri"/>
                <w:sz w:val="24"/>
                <w:szCs w:val="24"/>
              </w:rPr>
            </w:pPr>
            <w:r w:rsidRPr="00E02FB2">
              <w:rPr>
                <w:rFonts w:eastAsia="Calibri"/>
                <w:sz w:val="24"/>
                <w:szCs w:val="24"/>
              </w:rPr>
              <w:t>El Legislador.</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14:paraId="6A2D55DA" w14:textId="77777777" w:rsidR="002C7B6D" w:rsidRPr="00E02FB2" w:rsidRDefault="002C7B6D" w:rsidP="00566B75">
            <w:pPr>
              <w:pStyle w:val="Prrafodelista"/>
              <w:ind w:left="0"/>
              <w:jc w:val="both"/>
              <w:rPr>
                <w:rFonts w:eastAsia="Calibri"/>
                <w:sz w:val="24"/>
                <w:szCs w:val="24"/>
              </w:rPr>
            </w:pPr>
            <w:r w:rsidRPr="00E02FB2">
              <w:rPr>
                <w:rFonts w:eastAsia="Calibri"/>
                <w:sz w:val="24"/>
                <w:szCs w:val="24"/>
              </w:rPr>
              <w:t>La norma no señala a ninguna autoridad</w:t>
            </w:r>
            <w:r w:rsidR="00E02FB2">
              <w:rPr>
                <w:rFonts w:eastAsia="Calibri"/>
                <w:sz w:val="24"/>
                <w:szCs w:val="24"/>
              </w:rPr>
              <w:t>, por lo que se infiere que la referencia es a los convocantes.</w:t>
            </w:r>
          </w:p>
          <w:p w14:paraId="68436BBA" w14:textId="77777777" w:rsidR="002C7B6D" w:rsidRPr="00E02FB2" w:rsidRDefault="002C7B6D" w:rsidP="00566B75">
            <w:pPr>
              <w:pStyle w:val="Prrafodelista"/>
              <w:ind w:left="0"/>
              <w:jc w:val="both"/>
              <w:rPr>
                <w:rFonts w:eastAsia="Calibri"/>
                <w:sz w:val="24"/>
                <w:szCs w:val="24"/>
              </w:rPr>
            </w:pPr>
          </w:p>
        </w:tc>
      </w:tr>
      <w:tr w:rsidR="002C7B6D" w:rsidRPr="00E02FB2" w14:paraId="72732DFC" w14:textId="77777777" w:rsidTr="00566B75">
        <w:tc>
          <w:tcPr>
            <w:tcW w:w="2835" w:type="dxa"/>
            <w:tcBorders>
              <w:top w:val="single" w:sz="4" w:space="0" w:color="auto"/>
              <w:left w:val="single" w:sz="4" w:space="0" w:color="auto"/>
              <w:bottom w:val="single" w:sz="4" w:space="0" w:color="auto"/>
              <w:right w:val="single" w:sz="4" w:space="0" w:color="auto"/>
            </w:tcBorders>
            <w:shd w:val="clear" w:color="auto" w:fill="D0CECE"/>
            <w:hideMark/>
          </w:tcPr>
          <w:p w14:paraId="7FB2BEA1" w14:textId="77777777" w:rsidR="002C7B6D" w:rsidRPr="00E02FB2" w:rsidRDefault="002C7B6D" w:rsidP="00566B75">
            <w:pPr>
              <w:pStyle w:val="Prrafodelista"/>
              <w:ind w:left="0"/>
              <w:jc w:val="both"/>
              <w:rPr>
                <w:rFonts w:eastAsia="Calibri"/>
                <w:b/>
                <w:sz w:val="24"/>
                <w:szCs w:val="24"/>
              </w:rPr>
            </w:pPr>
            <w:r w:rsidRPr="00E02FB2">
              <w:rPr>
                <w:rFonts w:eastAsia="Calibri"/>
                <w:b/>
                <w:sz w:val="24"/>
                <w:szCs w:val="24"/>
              </w:rPr>
              <w:t>Principios que deben guiar la reglamentación de la convocatoria pública</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07481144" w14:textId="77777777" w:rsidR="002C7B6D" w:rsidRPr="00E02FB2" w:rsidRDefault="002C7B6D" w:rsidP="00566B75">
            <w:pPr>
              <w:pStyle w:val="Prrafodelista"/>
              <w:ind w:left="0"/>
              <w:jc w:val="both"/>
              <w:rPr>
                <w:rFonts w:eastAsia="Calibri"/>
                <w:sz w:val="24"/>
                <w:szCs w:val="24"/>
              </w:rPr>
            </w:pPr>
            <w:r w:rsidRPr="00E02FB2">
              <w:rPr>
                <w:rFonts w:eastAsia="Calibri"/>
                <w:sz w:val="24"/>
                <w:szCs w:val="24"/>
              </w:rPr>
              <w:t>Publicidad, transparencia, participación ciudadana, equidad de género y criterios de mérito.</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14:paraId="72CB0B08" w14:textId="77777777" w:rsidR="002C7B6D" w:rsidRPr="00E02FB2" w:rsidRDefault="002C7B6D" w:rsidP="00566B75">
            <w:pPr>
              <w:pStyle w:val="Prrafodelista"/>
              <w:ind w:left="0"/>
              <w:jc w:val="both"/>
              <w:rPr>
                <w:rFonts w:eastAsia="Calibri"/>
                <w:sz w:val="24"/>
                <w:szCs w:val="24"/>
              </w:rPr>
            </w:pPr>
            <w:r w:rsidRPr="00E02FB2">
              <w:rPr>
                <w:rFonts w:eastAsia="Calibri"/>
                <w:sz w:val="24"/>
                <w:szCs w:val="24"/>
              </w:rPr>
              <w:t>Publicidad, transparencia, participación ciudadana, equidad de género y criterios de mérito.</w:t>
            </w:r>
          </w:p>
        </w:tc>
      </w:tr>
      <w:tr w:rsidR="002C7B6D" w:rsidRPr="00E02FB2" w14:paraId="5CC1A04D" w14:textId="77777777" w:rsidTr="00566B75">
        <w:tc>
          <w:tcPr>
            <w:tcW w:w="2835" w:type="dxa"/>
            <w:tcBorders>
              <w:top w:val="single" w:sz="4" w:space="0" w:color="auto"/>
              <w:left w:val="single" w:sz="4" w:space="0" w:color="auto"/>
              <w:bottom w:val="single" w:sz="4" w:space="0" w:color="auto"/>
              <w:right w:val="single" w:sz="4" w:space="0" w:color="auto"/>
            </w:tcBorders>
            <w:shd w:val="clear" w:color="auto" w:fill="D0CECE"/>
            <w:hideMark/>
          </w:tcPr>
          <w:p w14:paraId="47B814F5" w14:textId="77777777" w:rsidR="002C7B6D" w:rsidRPr="00E02FB2" w:rsidRDefault="002C7B6D" w:rsidP="00566B75">
            <w:pPr>
              <w:pStyle w:val="Prrafodelista"/>
              <w:ind w:left="0"/>
              <w:jc w:val="both"/>
              <w:rPr>
                <w:rFonts w:eastAsia="Calibri"/>
                <w:b/>
                <w:sz w:val="24"/>
                <w:szCs w:val="24"/>
              </w:rPr>
            </w:pPr>
            <w:r w:rsidRPr="00E02FB2">
              <w:rPr>
                <w:rFonts w:eastAsia="Calibri"/>
                <w:b/>
                <w:sz w:val="24"/>
                <w:szCs w:val="24"/>
              </w:rPr>
              <w:t>Objetivo de la convocatoria pública</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7C08D0F1" w14:textId="77777777" w:rsidR="002C7B6D" w:rsidRPr="00E02FB2" w:rsidRDefault="002C7B6D" w:rsidP="00566B75">
            <w:pPr>
              <w:pStyle w:val="Prrafodelista"/>
              <w:ind w:left="0"/>
              <w:jc w:val="both"/>
              <w:rPr>
                <w:rFonts w:eastAsia="Calibri"/>
                <w:sz w:val="24"/>
                <w:szCs w:val="24"/>
              </w:rPr>
            </w:pPr>
            <w:r w:rsidRPr="00E02FB2">
              <w:rPr>
                <w:rFonts w:eastAsia="Calibri"/>
                <w:sz w:val="24"/>
                <w:szCs w:val="24"/>
              </w:rPr>
              <w:t xml:space="preserve">Definir candidatos para elegir servidores públicos.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14:paraId="7944BADD" w14:textId="77777777" w:rsidR="002C7B6D" w:rsidRPr="00E02FB2" w:rsidRDefault="002C7B6D" w:rsidP="00566B75">
            <w:pPr>
              <w:pStyle w:val="Prrafodelista"/>
              <w:ind w:left="0"/>
              <w:jc w:val="both"/>
              <w:rPr>
                <w:rFonts w:eastAsia="Calibri"/>
                <w:sz w:val="24"/>
                <w:szCs w:val="24"/>
              </w:rPr>
            </w:pPr>
            <w:r w:rsidRPr="00E02FB2">
              <w:rPr>
                <w:rFonts w:eastAsia="Calibri"/>
                <w:sz w:val="24"/>
                <w:szCs w:val="24"/>
              </w:rPr>
              <w:t>Definir candidatos para integrar las ternas para elegir magistrados de la Comisión Nacional de Disciplina Judicial.</w:t>
            </w:r>
          </w:p>
        </w:tc>
      </w:tr>
    </w:tbl>
    <w:p w14:paraId="0B2F9918" w14:textId="77777777" w:rsidR="002C7B6D" w:rsidRPr="00E02FB2" w:rsidRDefault="002C7B6D" w:rsidP="002C7B6D">
      <w:pPr>
        <w:pStyle w:val="Prrafodelista"/>
        <w:rPr>
          <w:bCs/>
          <w:szCs w:val="28"/>
        </w:rPr>
      </w:pPr>
    </w:p>
    <w:p w14:paraId="3C10EF82" w14:textId="77777777" w:rsidR="0004321A" w:rsidRPr="00E02FB2" w:rsidRDefault="0004321A" w:rsidP="009C6DEB">
      <w:pPr>
        <w:pStyle w:val="Prrafodelista"/>
        <w:numPr>
          <w:ilvl w:val="0"/>
          <w:numId w:val="10"/>
        </w:numPr>
        <w:contextualSpacing/>
        <w:jc w:val="both"/>
        <w:rPr>
          <w:bCs/>
          <w:szCs w:val="28"/>
        </w:rPr>
      </w:pPr>
      <w:r w:rsidRPr="00E02FB2">
        <w:rPr>
          <w:rFonts w:eastAsia="Calibri"/>
          <w:szCs w:val="28"/>
        </w:rPr>
        <w:t xml:space="preserve"> En este orden de ideas, el inciso 4° del mismo precepto, define una regla general para la elección de servidores públicos por parte de corporaciones públicas, en tanto que el artículo 257A contiene una regla especial para la</w:t>
      </w:r>
      <w:r w:rsidR="00E02FB2">
        <w:rPr>
          <w:rFonts w:eastAsia="Calibri"/>
          <w:szCs w:val="28"/>
        </w:rPr>
        <w:t xml:space="preserve"> conformación de las ternas dirigidas a la</w:t>
      </w:r>
      <w:r w:rsidRPr="00E02FB2">
        <w:rPr>
          <w:rFonts w:eastAsia="Calibri"/>
          <w:szCs w:val="28"/>
        </w:rPr>
        <w:t xml:space="preserve"> elección específicamente de los Magistrados de la Comisión Nacional de Disciplina Judicial.</w:t>
      </w:r>
    </w:p>
    <w:p w14:paraId="70C11422" w14:textId="77777777" w:rsidR="002C7B6D" w:rsidRPr="00E02FB2" w:rsidRDefault="002C7B6D" w:rsidP="002C7B6D">
      <w:pPr>
        <w:pStyle w:val="Prrafodelista"/>
        <w:ind w:left="0"/>
        <w:contextualSpacing/>
        <w:jc w:val="both"/>
        <w:rPr>
          <w:bCs/>
          <w:szCs w:val="28"/>
        </w:rPr>
      </w:pPr>
    </w:p>
    <w:p w14:paraId="3A2E4840" w14:textId="77777777" w:rsidR="0004321A" w:rsidRPr="00E02FB2" w:rsidRDefault="0004321A" w:rsidP="002C7B6D">
      <w:pPr>
        <w:pStyle w:val="Prrafodelista"/>
        <w:ind w:left="0"/>
        <w:contextualSpacing/>
        <w:jc w:val="both"/>
        <w:rPr>
          <w:bCs/>
          <w:szCs w:val="28"/>
        </w:rPr>
      </w:pPr>
      <w:r w:rsidRPr="00E02FB2">
        <w:rPr>
          <w:rFonts w:eastAsia="Calibri"/>
          <w:szCs w:val="28"/>
        </w:rPr>
        <w:t xml:space="preserve">En ese sentido, ratifica la Sala lo ya mencionado, relacionado con que ante la ausencia de una norma constitucional especial que regule la elección de servidores públicos por parte de corporaciones públicas, debe acudirse a la regla general del inciso 4° del artículo 126. Sin </w:t>
      </w:r>
      <w:r w:rsidR="009C6DEB" w:rsidRPr="00E02FB2">
        <w:rPr>
          <w:rFonts w:eastAsia="Calibri"/>
          <w:szCs w:val="28"/>
        </w:rPr>
        <w:t>embargo, en</w:t>
      </w:r>
      <w:r w:rsidRPr="00E02FB2">
        <w:rPr>
          <w:rFonts w:eastAsia="Calibri"/>
          <w:szCs w:val="28"/>
        </w:rPr>
        <w:t xml:space="preserve"> la elección de los Magistrados de la CNDJ, el procedimiento de elección cuenta con norma especial: el artículo 257A.</w:t>
      </w:r>
    </w:p>
    <w:p w14:paraId="1C96884F" w14:textId="77777777" w:rsidR="002C7B6D" w:rsidRPr="00E02FB2" w:rsidRDefault="002C7B6D" w:rsidP="002C7B6D">
      <w:pPr>
        <w:pStyle w:val="Prrafodelista"/>
        <w:rPr>
          <w:bCs/>
          <w:szCs w:val="28"/>
        </w:rPr>
      </w:pPr>
    </w:p>
    <w:p w14:paraId="55F7F5FF" w14:textId="77777777" w:rsidR="0004321A" w:rsidRPr="00E02FB2" w:rsidRDefault="0004321A" w:rsidP="0004321A">
      <w:pPr>
        <w:pStyle w:val="Prrafodelista"/>
        <w:numPr>
          <w:ilvl w:val="0"/>
          <w:numId w:val="10"/>
        </w:numPr>
        <w:contextualSpacing/>
        <w:jc w:val="both"/>
        <w:rPr>
          <w:bCs/>
          <w:szCs w:val="28"/>
        </w:rPr>
      </w:pPr>
      <w:r w:rsidRPr="00E02FB2">
        <w:rPr>
          <w:rFonts w:eastAsia="Calibri"/>
          <w:szCs w:val="28"/>
        </w:rPr>
        <w:t>En todo caso, como ya se</w:t>
      </w:r>
      <w:r w:rsidR="0074494E" w:rsidRPr="00E02FB2">
        <w:rPr>
          <w:rFonts w:eastAsia="Calibri"/>
          <w:szCs w:val="28"/>
        </w:rPr>
        <w:t xml:space="preserve"> precisó</w:t>
      </w:r>
      <w:r w:rsidRPr="00E02FB2">
        <w:rPr>
          <w:rFonts w:eastAsia="Calibri"/>
          <w:szCs w:val="28"/>
        </w:rPr>
        <w:t>, los principios generales que deben orientar la reglamentación de las convocatorias públicas para la conformación de ternas para elección de</w:t>
      </w:r>
      <w:r w:rsidRPr="00E02FB2">
        <w:t xml:space="preserve"> </w:t>
      </w:r>
      <w:r w:rsidRPr="00E02FB2">
        <w:rPr>
          <w:rFonts w:eastAsia="Calibri"/>
          <w:szCs w:val="28"/>
        </w:rPr>
        <w:t xml:space="preserve">los magistrados de la Comisión Nacional de Disciplina Judicial son aquellos recogidos en el artículo 126 de la Carta, esto es, </w:t>
      </w:r>
      <w:r w:rsidRPr="00E02FB2">
        <w:rPr>
          <w:rFonts w:eastAsia="Calibri"/>
          <w:i/>
          <w:szCs w:val="28"/>
        </w:rPr>
        <w:t>“los principios de publicidad, transparencia, participación ciudadana, equidad de género y criterios de mérito”</w:t>
      </w:r>
      <w:r w:rsidRPr="00E02FB2">
        <w:rPr>
          <w:rFonts w:eastAsia="Calibri"/>
          <w:szCs w:val="28"/>
        </w:rPr>
        <w:t>. Lo anterior obedece a que el artículo 126 es la regla general en materia de elección de servidores públicos por parte de corporaciones públicas, luego, los principios allí consignados constituyen un marco general que siempre debe tenerse en cuenta</w:t>
      </w:r>
      <w:r w:rsidR="00E02FB2">
        <w:rPr>
          <w:rFonts w:eastAsia="Calibri"/>
          <w:szCs w:val="28"/>
        </w:rPr>
        <w:t>, en tanto que concretan y desarrollan otras normas constitucionales que los hacen imperativos</w:t>
      </w:r>
      <w:r w:rsidRPr="00E02FB2">
        <w:rPr>
          <w:rFonts w:eastAsia="Calibri"/>
          <w:szCs w:val="28"/>
        </w:rPr>
        <w:t xml:space="preserve">. </w:t>
      </w:r>
    </w:p>
    <w:p w14:paraId="24A5136D" w14:textId="77777777" w:rsidR="002C7B6D" w:rsidRPr="00E02FB2" w:rsidRDefault="002C7B6D" w:rsidP="002C7B6D">
      <w:pPr>
        <w:pStyle w:val="Prrafodelista"/>
        <w:ind w:left="0"/>
        <w:contextualSpacing/>
        <w:jc w:val="both"/>
        <w:rPr>
          <w:bCs/>
          <w:szCs w:val="28"/>
        </w:rPr>
      </w:pPr>
    </w:p>
    <w:p w14:paraId="6BE703A1" w14:textId="77777777" w:rsidR="002C7B6D" w:rsidRPr="00E02FB2" w:rsidRDefault="0004321A" w:rsidP="00565153">
      <w:pPr>
        <w:pStyle w:val="Prrafodelista"/>
        <w:numPr>
          <w:ilvl w:val="0"/>
          <w:numId w:val="10"/>
        </w:numPr>
        <w:contextualSpacing/>
        <w:jc w:val="both"/>
        <w:rPr>
          <w:bCs/>
          <w:szCs w:val="28"/>
        </w:rPr>
      </w:pPr>
      <w:r w:rsidRPr="00E02FB2">
        <w:rPr>
          <w:rFonts w:eastAsia="Calibri"/>
          <w:szCs w:val="28"/>
        </w:rPr>
        <w:t xml:space="preserve">Adicionalmente, la lógica de las convocatorias públicas, por definición, es justamente materializar estos principios, ya que ellas suponen darle un carácter público a los procesos de selección, en las que cualquier ciudadano puede participar, bien sea postulándose o ejerciendo veeduría; </w:t>
      </w:r>
      <w:r w:rsidR="00E02FB2">
        <w:rPr>
          <w:rFonts w:eastAsia="Calibri"/>
          <w:szCs w:val="28"/>
        </w:rPr>
        <w:t xml:space="preserve">en tanto que </w:t>
      </w:r>
      <w:r w:rsidRPr="00E02FB2">
        <w:rPr>
          <w:rFonts w:eastAsia="Calibri"/>
          <w:szCs w:val="28"/>
        </w:rPr>
        <w:t xml:space="preserve">los procesos </w:t>
      </w:r>
      <w:r w:rsidR="00E02FB2">
        <w:rPr>
          <w:rFonts w:eastAsia="Calibri"/>
          <w:szCs w:val="28"/>
        </w:rPr>
        <w:t>deben desarrollarse de cara al país</w:t>
      </w:r>
      <w:r w:rsidRPr="00E02FB2">
        <w:rPr>
          <w:rFonts w:eastAsia="Calibri"/>
          <w:szCs w:val="28"/>
        </w:rPr>
        <w:t xml:space="preserve"> y no a través de procedimientos internos y secretos; en las que se abre la posibilidad de que muchas personas con diferentes orígenes, distintas ideologías, diversos antecedentes profesionales, etc. se presenten, lo que alimenta la diversidad y el pluralismo, a la vez que permite privilegia la equidad de género y el mérito.    </w:t>
      </w:r>
    </w:p>
    <w:p w14:paraId="188318D3" w14:textId="77777777" w:rsidR="002C7B6D" w:rsidRDefault="002C7B6D" w:rsidP="002C7B6D">
      <w:pPr>
        <w:pStyle w:val="Prrafodelista"/>
        <w:rPr>
          <w:szCs w:val="28"/>
        </w:rPr>
      </w:pPr>
    </w:p>
    <w:p w14:paraId="785C0854" w14:textId="77777777" w:rsidR="002C7B6D" w:rsidRDefault="00565153" w:rsidP="00565153">
      <w:pPr>
        <w:pStyle w:val="Prrafodelista"/>
        <w:numPr>
          <w:ilvl w:val="0"/>
          <w:numId w:val="10"/>
        </w:numPr>
        <w:contextualSpacing/>
        <w:jc w:val="both"/>
        <w:rPr>
          <w:bCs/>
          <w:szCs w:val="28"/>
        </w:rPr>
      </w:pPr>
      <w:r w:rsidRPr="002C7B6D">
        <w:rPr>
          <w:szCs w:val="28"/>
        </w:rPr>
        <w:t xml:space="preserve">En vista de todo lo expuesto, es pertinente señalar que el artículo 126 superior </w:t>
      </w:r>
      <w:r w:rsidRPr="002C7B6D">
        <w:rPr>
          <w:b/>
          <w:bCs/>
          <w:i/>
          <w:iCs/>
          <w:szCs w:val="28"/>
        </w:rPr>
        <w:t>no podía ser interpretado</w:t>
      </w:r>
      <w:r w:rsidRPr="002C7B6D">
        <w:rPr>
          <w:szCs w:val="28"/>
        </w:rPr>
        <w:t xml:space="preserve"> automáticamente como una disposición constitucional de la que se deriva la derogatoria general de todos los procesos de selección de servidores públicos atribuidos a Corporaciones Públicas previamente regulados por el Legislador, que no incluyan los principios enunciados en esa disposición, cuando aluden a convocatorias públicas, ya que ello no se desprende de su tenor literal.  </w:t>
      </w:r>
    </w:p>
    <w:p w14:paraId="7DB868C3" w14:textId="77777777" w:rsidR="002C7B6D" w:rsidRDefault="002C7B6D" w:rsidP="002C7B6D">
      <w:pPr>
        <w:pStyle w:val="Prrafodelista"/>
        <w:rPr>
          <w:szCs w:val="28"/>
        </w:rPr>
      </w:pPr>
    </w:p>
    <w:p w14:paraId="2697F08F" w14:textId="77777777" w:rsidR="002C7B6D" w:rsidRPr="002C7B6D" w:rsidRDefault="00565153" w:rsidP="00565153">
      <w:pPr>
        <w:pStyle w:val="Prrafodelista"/>
        <w:numPr>
          <w:ilvl w:val="0"/>
          <w:numId w:val="10"/>
        </w:numPr>
        <w:contextualSpacing/>
        <w:jc w:val="both"/>
        <w:rPr>
          <w:bCs/>
          <w:szCs w:val="28"/>
        </w:rPr>
      </w:pPr>
      <w:r w:rsidRPr="002C7B6D">
        <w:rPr>
          <w:szCs w:val="28"/>
        </w:rPr>
        <w:t xml:space="preserve">Tampoco significa la imposibilidad de realizar concursos o elecciones en procesos de selección </w:t>
      </w:r>
      <w:r w:rsidRPr="002C7B6D">
        <w:rPr>
          <w:i/>
          <w:iCs/>
          <w:szCs w:val="28"/>
        </w:rPr>
        <w:t>ya regulados</w:t>
      </w:r>
      <w:r w:rsidRPr="002C7B6D">
        <w:rPr>
          <w:szCs w:val="28"/>
        </w:rPr>
        <w:t xml:space="preserve"> por el Legislador que no den cuenta de estos principios de manera expresa</w:t>
      </w:r>
      <w:r w:rsidR="00E02FB2">
        <w:rPr>
          <w:szCs w:val="28"/>
        </w:rPr>
        <w:t xml:space="preserve">, </w:t>
      </w:r>
      <w:r w:rsidRPr="002C7B6D">
        <w:rPr>
          <w:szCs w:val="28"/>
        </w:rPr>
        <w:t xml:space="preserve">hasta tanto el Legislador profiera las normas correspondientes en los distintos regímenes en que ello sea necesario, pues ello </w:t>
      </w:r>
      <w:r w:rsidR="00E02FB2">
        <w:rPr>
          <w:szCs w:val="28"/>
        </w:rPr>
        <w:t>supondría</w:t>
      </w:r>
      <w:r w:rsidRPr="002C7B6D">
        <w:rPr>
          <w:szCs w:val="28"/>
        </w:rPr>
        <w:t xml:space="preserve"> la parálisis en elecciones puntuales y bloqueos institucionales, bajo e</w:t>
      </w:r>
      <w:r w:rsidRPr="00E02FB2">
        <w:rPr>
          <w:szCs w:val="28"/>
        </w:rPr>
        <w:t>l supuesto de que las reglas pertinentes no se ajustan a los lineamientos del ar</w:t>
      </w:r>
      <w:r w:rsidRPr="002C7B6D">
        <w:rPr>
          <w:szCs w:val="28"/>
        </w:rPr>
        <w:t xml:space="preserve">tículo 126-4 de la Carta. </w:t>
      </w:r>
    </w:p>
    <w:p w14:paraId="2DF47132" w14:textId="77777777" w:rsidR="002C7B6D" w:rsidRDefault="002C7B6D" w:rsidP="002C7B6D">
      <w:pPr>
        <w:pStyle w:val="Prrafodelista"/>
        <w:ind w:left="0"/>
        <w:contextualSpacing/>
        <w:jc w:val="both"/>
        <w:rPr>
          <w:bCs/>
          <w:szCs w:val="28"/>
        </w:rPr>
      </w:pPr>
    </w:p>
    <w:p w14:paraId="15A75D70" w14:textId="77777777" w:rsidR="00565153" w:rsidRPr="00E02FB2" w:rsidRDefault="00565153" w:rsidP="002C7B6D">
      <w:pPr>
        <w:pStyle w:val="Prrafodelista"/>
        <w:ind w:left="0"/>
        <w:contextualSpacing/>
        <w:jc w:val="both"/>
        <w:rPr>
          <w:bCs/>
          <w:szCs w:val="28"/>
        </w:rPr>
      </w:pPr>
      <w:r w:rsidRPr="002C7B6D">
        <w:rPr>
          <w:szCs w:val="28"/>
        </w:rPr>
        <w:t>Una interpretación semejante, que propugna por la derogatoria legal generalizada de todos los procesos de selección involucrados que presenten convocatorias públicas, en virtud del artículo 126-4 de la Carta, genera un efecto que</w:t>
      </w:r>
      <w:r w:rsidR="00E02FB2">
        <w:rPr>
          <w:szCs w:val="28"/>
        </w:rPr>
        <w:t>,</w:t>
      </w:r>
      <w:r w:rsidRPr="002C7B6D">
        <w:rPr>
          <w:szCs w:val="28"/>
        </w:rPr>
        <w:t xml:space="preserve"> a juicio de la Sala, no s</w:t>
      </w:r>
      <w:r w:rsidR="00C80E03">
        <w:rPr>
          <w:szCs w:val="28"/>
        </w:rPr>
        <w:t>o</w:t>
      </w:r>
      <w:r w:rsidRPr="002C7B6D">
        <w:rPr>
          <w:szCs w:val="28"/>
        </w:rPr>
        <w:t xml:space="preserve">lo no responde al tenor literal del precepto, sino que tampoco se compadece con la intención original de la reforma, que es la de hacer de la convocatoria pública el mecanismo adecuado para la </w:t>
      </w:r>
      <w:r w:rsidRPr="00E02FB2">
        <w:rPr>
          <w:szCs w:val="28"/>
        </w:rPr>
        <w:t>realización de los procesos de selección.</w:t>
      </w:r>
    </w:p>
    <w:p w14:paraId="50B85619" w14:textId="77777777" w:rsidR="002C7B6D" w:rsidRPr="00E02FB2" w:rsidRDefault="002C7B6D" w:rsidP="002C7B6D">
      <w:pPr>
        <w:pStyle w:val="Prrafodelista"/>
        <w:rPr>
          <w:bCs/>
          <w:szCs w:val="28"/>
        </w:rPr>
      </w:pPr>
    </w:p>
    <w:p w14:paraId="4ACBD0B4" w14:textId="77777777" w:rsidR="00565153" w:rsidRPr="00E02FB2" w:rsidRDefault="00565153" w:rsidP="00565153">
      <w:pPr>
        <w:pStyle w:val="Prrafodelista"/>
        <w:numPr>
          <w:ilvl w:val="0"/>
          <w:numId w:val="10"/>
        </w:numPr>
        <w:contextualSpacing/>
        <w:jc w:val="both"/>
        <w:rPr>
          <w:bCs/>
          <w:szCs w:val="28"/>
        </w:rPr>
      </w:pPr>
      <w:r w:rsidRPr="00E02FB2">
        <w:rPr>
          <w:szCs w:val="28"/>
        </w:rPr>
        <w:t xml:space="preserve">Es más, una interpretación con estos alcances desborda las competencias de los jueces constitucionales en estas materias, porque invaden tácitamente las competencias constitucionales del Legislador para decidir lo que debe ser regulado o no en estos concursos públicos, al extender el tema a todos los niveles jurídicos involucrados, cuando ya el Legislador se ha pronunciado sobre muchos de ellos. </w:t>
      </w:r>
      <w:r w:rsidR="00E02FB2" w:rsidRPr="00E02FB2">
        <w:rPr>
          <w:szCs w:val="28"/>
        </w:rPr>
        <w:t>De igual manera</w:t>
      </w:r>
      <w:r w:rsidRPr="00E02FB2">
        <w:rPr>
          <w:szCs w:val="28"/>
        </w:rPr>
        <w:t xml:space="preserve">, porque se compromete la estructura configurativa de los cuerpos colegiados y sus funciones, al interferir en los modos de selección de todos los servidores públicos, cuando el Legislador ya ha </w:t>
      </w:r>
      <w:r w:rsidR="00B425B9" w:rsidRPr="00E02FB2">
        <w:rPr>
          <w:szCs w:val="28"/>
        </w:rPr>
        <w:t xml:space="preserve">establecido </w:t>
      </w:r>
      <w:r w:rsidRPr="00E02FB2">
        <w:rPr>
          <w:szCs w:val="28"/>
        </w:rPr>
        <w:t>sus competencias</w:t>
      </w:r>
      <w:r w:rsidR="00B425B9" w:rsidRPr="00E02FB2">
        <w:rPr>
          <w:szCs w:val="28"/>
        </w:rPr>
        <w:t>.</w:t>
      </w:r>
    </w:p>
    <w:p w14:paraId="08125825" w14:textId="77777777" w:rsidR="002C7B6D" w:rsidRPr="002C7B6D" w:rsidRDefault="002C7B6D" w:rsidP="002C7B6D">
      <w:pPr>
        <w:pStyle w:val="Prrafodelista"/>
        <w:ind w:left="0"/>
        <w:contextualSpacing/>
        <w:jc w:val="both"/>
        <w:rPr>
          <w:bCs/>
          <w:szCs w:val="28"/>
        </w:rPr>
      </w:pPr>
    </w:p>
    <w:p w14:paraId="42CC333F" w14:textId="77777777" w:rsidR="00565153" w:rsidRPr="00C81CC3" w:rsidRDefault="00565153" w:rsidP="00565153">
      <w:pPr>
        <w:pStyle w:val="Prrafodelista"/>
        <w:numPr>
          <w:ilvl w:val="0"/>
          <w:numId w:val="10"/>
        </w:numPr>
        <w:contextualSpacing/>
        <w:jc w:val="both"/>
        <w:rPr>
          <w:bCs/>
          <w:szCs w:val="28"/>
        </w:rPr>
      </w:pPr>
      <w:r w:rsidRPr="00C81CC3">
        <w:rPr>
          <w:szCs w:val="28"/>
        </w:rPr>
        <w:t xml:space="preserve">En ese sentido, vale la pena recordar que uno de los criterios de interpretación en materia constitucional que destaca Konrad Hesse, dirigido precisamente a orientar las relaciones entre el juez constitucional y el Legislador en materia interpretativa, es el que él denomina, criterio de </w:t>
      </w:r>
      <w:r w:rsidRPr="00C81CC3">
        <w:rPr>
          <w:i/>
          <w:iCs/>
          <w:szCs w:val="28"/>
        </w:rPr>
        <w:t>corrección funcional</w:t>
      </w:r>
      <w:r w:rsidRPr="00C81CC3">
        <w:rPr>
          <w:szCs w:val="28"/>
        </w:rPr>
        <w:t xml:space="preserve">. En palabras de Hesse: </w:t>
      </w:r>
    </w:p>
    <w:p w14:paraId="2ED6CD62" w14:textId="77777777" w:rsidR="002C7B6D" w:rsidRDefault="002C7B6D" w:rsidP="002C7B6D">
      <w:pPr>
        <w:pStyle w:val="Prrafodelista"/>
        <w:tabs>
          <w:tab w:val="left" w:pos="709"/>
        </w:tabs>
        <w:ind w:left="0"/>
        <w:jc w:val="both"/>
        <w:rPr>
          <w:i/>
          <w:iCs/>
          <w:sz w:val="26"/>
          <w:szCs w:val="26"/>
        </w:rPr>
      </w:pPr>
    </w:p>
    <w:p w14:paraId="0191E5BF" w14:textId="77777777" w:rsidR="002C7B6D" w:rsidRPr="004D2E1E" w:rsidRDefault="002C7B6D" w:rsidP="002C7B6D">
      <w:pPr>
        <w:pStyle w:val="Prrafodelista"/>
        <w:tabs>
          <w:tab w:val="left" w:pos="709"/>
        </w:tabs>
        <w:ind w:left="284"/>
        <w:jc w:val="both"/>
        <w:rPr>
          <w:i/>
          <w:iCs/>
          <w:sz w:val="26"/>
          <w:szCs w:val="26"/>
        </w:rPr>
      </w:pPr>
      <w:r w:rsidRPr="004D2E1E">
        <w:rPr>
          <w:i/>
          <w:iCs/>
          <w:sz w:val="26"/>
          <w:szCs w:val="26"/>
        </w:rPr>
        <w:t>“Si la Constitución regula de una determinada manera el cometido respectivo de los agentes de las funciones estatales, el órgano de interpretación debe mantenerse en el marco de las funciones a él encomendadas; dicho órgano no deberá modificar la distribución de las funciones a través del modo y del resultado de dicha interpretación. Esto es aplicable en particular a las relaciones entre el legislador y el tribunal constitucional, puesto que al tribunal constitucional solo le corresponde frente al legislador, una función de control, le está vedada una interpretación que condujese a una restricción de la libertad conformadora del legislador más allá de los límites establecidos por la Constitución (…).”</w:t>
      </w:r>
      <w:r w:rsidRPr="004D2E1E">
        <w:rPr>
          <w:rStyle w:val="Refdenotaalpie"/>
          <w:i/>
          <w:iCs/>
          <w:sz w:val="26"/>
          <w:szCs w:val="26"/>
        </w:rPr>
        <w:footnoteReference w:id="392"/>
      </w:r>
    </w:p>
    <w:p w14:paraId="55278C41" w14:textId="77777777" w:rsidR="002C7B6D" w:rsidRDefault="002C7B6D" w:rsidP="002C7B6D">
      <w:pPr>
        <w:pStyle w:val="Prrafodelista"/>
        <w:rPr>
          <w:bCs/>
          <w:szCs w:val="28"/>
        </w:rPr>
      </w:pPr>
    </w:p>
    <w:p w14:paraId="693C7879" w14:textId="77777777" w:rsidR="002C7B6D" w:rsidRPr="00C52B85" w:rsidRDefault="00565153" w:rsidP="00F83AB6">
      <w:pPr>
        <w:pStyle w:val="Prrafodelista"/>
        <w:ind w:left="0"/>
        <w:contextualSpacing/>
        <w:jc w:val="both"/>
        <w:rPr>
          <w:bCs/>
          <w:szCs w:val="28"/>
        </w:rPr>
      </w:pPr>
      <w:r w:rsidRPr="002C7B6D">
        <w:rPr>
          <w:szCs w:val="28"/>
        </w:rPr>
        <w:t xml:space="preserve">Bajo esa óptica, como el Consejo de </w:t>
      </w:r>
      <w:r w:rsidRPr="00C52B85">
        <w:rPr>
          <w:szCs w:val="28"/>
        </w:rPr>
        <w:t>Estado funge como juez constitucional en casos como el que ocupa a la Sala, se le aplican a él también las restricciones que podrían exigirse del Tribunal constitucional y los límites que le son propios al segundo, en materia interpretativa</w:t>
      </w:r>
      <w:r w:rsidR="002C7B6D" w:rsidRPr="00C52B85">
        <w:rPr>
          <w:szCs w:val="28"/>
        </w:rPr>
        <w:t>.</w:t>
      </w:r>
    </w:p>
    <w:p w14:paraId="4FE69D9C" w14:textId="77777777" w:rsidR="002C7B6D" w:rsidRPr="00C52B85" w:rsidRDefault="002C7B6D" w:rsidP="002C7B6D">
      <w:pPr>
        <w:pStyle w:val="Prrafodelista"/>
        <w:ind w:left="0"/>
        <w:contextualSpacing/>
        <w:jc w:val="both"/>
        <w:rPr>
          <w:bCs/>
          <w:szCs w:val="28"/>
        </w:rPr>
      </w:pPr>
    </w:p>
    <w:p w14:paraId="5D3959D7" w14:textId="77777777" w:rsidR="00565153" w:rsidRPr="00C251CA" w:rsidRDefault="00565153" w:rsidP="002C7B6D">
      <w:pPr>
        <w:pStyle w:val="Prrafodelista"/>
        <w:numPr>
          <w:ilvl w:val="0"/>
          <w:numId w:val="10"/>
        </w:numPr>
        <w:contextualSpacing/>
        <w:jc w:val="both"/>
        <w:rPr>
          <w:bCs/>
          <w:szCs w:val="28"/>
        </w:rPr>
      </w:pPr>
      <w:r w:rsidRPr="00C52B85">
        <w:rPr>
          <w:szCs w:val="28"/>
        </w:rPr>
        <w:t>Por todo lo anterior, la Sala</w:t>
      </w:r>
      <w:r w:rsidR="00B425B9" w:rsidRPr="00C52B85">
        <w:rPr>
          <w:szCs w:val="28"/>
        </w:rPr>
        <w:t xml:space="preserve"> </w:t>
      </w:r>
      <w:r w:rsidR="00E02FB2" w:rsidRPr="00C52B85">
        <w:rPr>
          <w:szCs w:val="28"/>
        </w:rPr>
        <w:t xml:space="preserve">concluye </w:t>
      </w:r>
      <w:r w:rsidR="00B425B9" w:rsidRPr="00C52B85">
        <w:rPr>
          <w:szCs w:val="28"/>
        </w:rPr>
        <w:t>que:</w:t>
      </w:r>
      <w:r w:rsidRPr="00C52B85">
        <w:rPr>
          <w:szCs w:val="28"/>
        </w:rPr>
        <w:t xml:space="preserve"> </w:t>
      </w:r>
      <w:r w:rsidR="00B425B9" w:rsidRPr="00C52B85">
        <w:rPr>
          <w:b/>
          <w:bCs/>
          <w:iCs/>
          <w:szCs w:val="28"/>
        </w:rPr>
        <w:t>(i)</w:t>
      </w:r>
      <w:r w:rsidR="00B425B9" w:rsidRPr="00C52B85">
        <w:rPr>
          <w:iCs/>
          <w:szCs w:val="28"/>
        </w:rPr>
        <w:t xml:space="preserve"> </w:t>
      </w:r>
      <w:r w:rsidR="00B425B9" w:rsidRPr="00C52B85">
        <w:rPr>
          <w:szCs w:val="28"/>
          <w:lang w:val="es-CO"/>
        </w:rPr>
        <w:t xml:space="preserve">el ajuste al artículo 257A de la Carta, propuesto en la sentencia C-285 de 2016, habilitaba al CSJ a proferir un decreto constitucional autónomo para regular la convocatoria para proveer las ternas </w:t>
      </w:r>
      <w:r w:rsidR="00C52B85" w:rsidRPr="00C52B85">
        <w:rPr>
          <w:szCs w:val="28"/>
          <w:lang w:val="es-CO"/>
        </w:rPr>
        <w:t>que a esa entidad correspondía elaborar</w:t>
      </w:r>
      <w:r w:rsidR="00B425B9" w:rsidRPr="00C52B85">
        <w:rPr>
          <w:szCs w:val="28"/>
          <w:lang w:val="es-CO"/>
        </w:rPr>
        <w:t xml:space="preserve"> para la configuración del CNDJ. Con base en esa consideración especial</w:t>
      </w:r>
      <w:r w:rsidR="00B425B9" w:rsidRPr="002C7B6D">
        <w:rPr>
          <w:szCs w:val="28"/>
          <w:lang w:val="es-CO"/>
        </w:rPr>
        <w:t xml:space="preserve">, la regla general de exigencia legal previa para la convocatoria pública en mención establecida en el artículo 126 superior, de naturaleza supletoria, no era necesaria en el caso concreto, por las razones previamente expuestas. </w:t>
      </w:r>
      <w:r w:rsidR="00B425B9" w:rsidRPr="002C7B6D">
        <w:rPr>
          <w:b/>
          <w:bCs/>
          <w:szCs w:val="28"/>
          <w:lang w:val="es-CO"/>
        </w:rPr>
        <w:t>(ii)</w:t>
      </w:r>
      <w:r w:rsidR="00B425B9" w:rsidRPr="002C7B6D">
        <w:rPr>
          <w:szCs w:val="28"/>
          <w:lang w:val="es-CO"/>
        </w:rPr>
        <w:t xml:space="preserve"> </w:t>
      </w:r>
      <w:r w:rsidR="00B425B9" w:rsidRPr="002C7B6D">
        <w:rPr>
          <w:szCs w:val="28"/>
        </w:rPr>
        <w:t xml:space="preserve">si bien es cierto el artículo </w:t>
      </w:r>
      <w:r w:rsidR="00B425B9" w:rsidRPr="00C52B85">
        <w:rPr>
          <w:szCs w:val="28"/>
        </w:rPr>
        <w:t xml:space="preserve">126 constitucional establece una regla general en cuanto a la regulación por ley de las convocatorias públicas en los procesos de elección de servidores, públicos, no es menos cierto que, conforme al tenor literal de la misma norma, no se rigen por esas reglas “los concursos regulados por la ley” ni aquellos que gozan de </w:t>
      </w:r>
      <w:r w:rsidR="00A52C03" w:rsidRPr="00C52B85">
        <w:rPr>
          <w:szCs w:val="28"/>
        </w:rPr>
        <w:t xml:space="preserve">un régimen de carácter especial, como es </w:t>
      </w:r>
      <w:r w:rsidR="00B425B9" w:rsidRPr="00C52B85">
        <w:rPr>
          <w:szCs w:val="28"/>
        </w:rPr>
        <w:t>el caso de la CNDJ</w:t>
      </w:r>
      <w:r w:rsidR="00A52C03" w:rsidRPr="00C52B85">
        <w:rPr>
          <w:szCs w:val="28"/>
        </w:rPr>
        <w:t xml:space="preserve">, por disposición del artículo 257A </w:t>
      </w:r>
      <w:r w:rsidR="00F83AB6" w:rsidRPr="00C52B85">
        <w:rPr>
          <w:szCs w:val="28"/>
        </w:rPr>
        <w:t>constitucional</w:t>
      </w:r>
      <w:r w:rsidR="00B425B9" w:rsidRPr="00C52B85">
        <w:rPr>
          <w:szCs w:val="28"/>
        </w:rPr>
        <w:t xml:space="preserve">. </w:t>
      </w:r>
      <w:r w:rsidR="00B425B9" w:rsidRPr="00C52B85">
        <w:rPr>
          <w:b/>
          <w:bCs/>
          <w:iCs/>
          <w:szCs w:val="28"/>
        </w:rPr>
        <w:t>(i</w:t>
      </w:r>
      <w:r w:rsidR="00C52B85">
        <w:rPr>
          <w:b/>
          <w:bCs/>
          <w:iCs/>
          <w:szCs w:val="28"/>
        </w:rPr>
        <w:t>i</w:t>
      </w:r>
      <w:r w:rsidR="00B425B9" w:rsidRPr="00C52B85">
        <w:rPr>
          <w:b/>
          <w:bCs/>
          <w:iCs/>
          <w:szCs w:val="28"/>
        </w:rPr>
        <w:t xml:space="preserve">i) </w:t>
      </w:r>
      <w:r w:rsidR="00C52B85" w:rsidRPr="00C52B85">
        <w:rPr>
          <w:iCs/>
          <w:szCs w:val="28"/>
        </w:rPr>
        <w:t xml:space="preserve">La diferencia establecida en el tenor literal </w:t>
      </w:r>
      <w:r w:rsidR="00C52B85">
        <w:rPr>
          <w:iCs/>
          <w:szCs w:val="28"/>
        </w:rPr>
        <w:t xml:space="preserve">tanto </w:t>
      </w:r>
      <w:r w:rsidR="00C52B85" w:rsidRPr="00C52B85">
        <w:rPr>
          <w:iCs/>
          <w:szCs w:val="28"/>
        </w:rPr>
        <w:t xml:space="preserve">del artículo 126, que exige convocatoria pública </w:t>
      </w:r>
      <w:r w:rsidR="00C52B85">
        <w:rPr>
          <w:iCs/>
          <w:szCs w:val="28"/>
        </w:rPr>
        <w:t>“</w:t>
      </w:r>
      <w:r w:rsidR="00C52B85" w:rsidRPr="00C52B85">
        <w:rPr>
          <w:iCs/>
          <w:szCs w:val="28"/>
        </w:rPr>
        <w:t>reglada por la ley</w:t>
      </w:r>
      <w:r w:rsidR="00C52B85">
        <w:rPr>
          <w:iCs/>
          <w:szCs w:val="28"/>
        </w:rPr>
        <w:t>” para la elección de servidores públicos</w:t>
      </w:r>
      <w:r w:rsidR="00C52B85" w:rsidRPr="00C52B85">
        <w:rPr>
          <w:iCs/>
          <w:szCs w:val="28"/>
        </w:rPr>
        <w:t xml:space="preserve">, </w:t>
      </w:r>
      <w:r w:rsidR="00C52B85">
        <w:rPr>
          <w:iCs/>
          <w:szCs w:val="28"/>
        </w:rPr>
        <w:t>como</w:t>
      </w:r>
      <w:r w:rsidR="00C52B85" w:rsidRPr="00C52B85">
        <w:rPr>
          <w:iCs/>
          <w:szCs w:val="28"/>
        </w:rPr>
        <w:t xml:space="preserve"> del artículo 257A sobre convocatoria pública </w:t>
      </w:r>
      <w:r w:rsidR="00C52B85">
        <w:rPr>
          <w:iCs/>
          <w:szCs w:val="28"/>
        </w:rPr>
        <w:t>“</w:t>
      </w:r>
      <w:r w:rsidR="00C52B85" w:rsidRPr="00C52B85">
        <w:rPr>
          <w:iCs/>
          <w:szCs w:val="28"/>
        </w:rPr>
        <w:t>reglada, permitían mostrar la distinción que hizo el constituyente para efectos de la regulación de la convocatoria que tienen los competentes para integrar las ternas del CNDJ, pese a lo cual el Consejo de Estado no le dio efecto útil ni a la norma especial ni a dicha diferencia.</w:t>
      </w:r>
      <w:r w:rsidR="00C52B85" w:rsidRPr="00C52B85">
        <w:rPr>
          <w:b/>
          <w:bCs/>
          <w:iCs/>
          <w:szCs w:val="28"/>
        </w:rPr>
        <w:t xml:space="preserve"> </w:t>
      </w:r>
      <w:r w:rsidR="00C52B85" w:rsidRPr="00C52B85">
        <w:rPr>
          <w:b/>
          <w:bCs/>
          <w:szCs w:val="28"/>
          <w:lang w:val="es-CO"/>
        </w:rPr>
        <w:t>(i</w:t>
      </w:r>
      <w:r w:rsidR="00C52B85">
        <w:rPr>
          <w:b/>
          <w:bCs/>
          <w:szCs w:val="28"/>
          <w:lang w:val="es-CO"/>
        </w:rPr>
        <w:t>v</w:t>
      </w:r>
      <w:r w:rsidR="00C52B85" w:rsidRPr="00C52B85">
        <w:rPr>
          <w:b/>
          <w:bCs/>
          <w:szCs w:val="28"/>
          <w:lang w:val="es-CO"/>
        </w:rPr>
        <w:t xml:space="preserve">) </w:t>
      </w:r>
      <w:r w:rsidR="00B425B9" w:rsidRPr="00C52B85">
        <w:rPr>
          <w:szCs w:val="28"/>
          <w:lang w:val="es-CO"/>
        </w:rPr>
        <w:t>En ese sentido, mientras el Legislador no regule de manera diversa lo ya establecido en la normativa correspondiente, el CSJ conserva sus competencias constitucionales y legales para reglamentar la convocatoria pública a que se refiere el artículo 257A de la Carta, acogiendo, eso sí, los principios designados en el artículo 126 superior, que no pierden su fuerza orientadora en los mencionados procesos de selección</w:t>
      </w:r>
      <w:r w:rsidR="00C52B85" w:rsidRPr="00C52B85">
        <w:rPr>
          <w:szCs w:val="28"/>
          <w:lang w:val="es-CO"/>
        </w:rPr>
        <w:t>, por tratarse de la concretización de otras normas constitucionales que los consagran</w:t>
      </w:r>
      <w:r w:rsidR="00B425B9" w:rsidRPr="00C52B85">
        <w:rPr>
          <w:szCs w:val="28"/>
          <w:lang w:val="es-CO"/>
        </w:rPr>
        <w:t xml:space="preserve">. </w:t>
      </w:r>
      <w:r w:rsidR="00B425B9" w:rsidRPr="00C52B85">
        <w:rPr>
          <w:b/>
          <w:bCs/>
          <w:szCs w:val="28"/>
          <w:lang w:val="es-CO"/>
        </w:rPr>
        <w:t>(</w:t>
      </w:r>
      <w:r w:rsidR="00C251CA">
        <w:rPr>
          <w:b/>
          <w:bCs/>
          <w:szCs w:val="28"/>
          <w:lang w:val="es-CO"/>
        </w:rPr>
        <w:t>v</w:t>
      </w:r>
      <w:r w:rsidR="00B425B9" w:rsidRPr="00C52B85">
        <w:rPr>
          <w:b/>
          <w:bCs/>
          <w:szCs w:val="28"/>
          <w:lang w:val="es-CO"/>
        </w:rPr>
        <w:t xml:space="preserve">) </w:t>
      </w:r>
      <w:r w:rsidR="00B425B9" w:rsidRPr="00C52B85">
        <w:rPr>
          <w:szCs w:val="28"/>
          <w:lang w:val="es-CO"/>
        </w:rPr>
        <w:t>Por</w:t>
      </w:r>
      <w:r w:rsidR="00B425B9" w:rsidRPr="002C7B6D">
        <w:rPr>
          <w:szCs w:val="28"/>
          <w:lang w:val="es-CO"/>
        </w:rPr>
        <w:t xml:space="preserve"> tanto, </w:t>
      </w:r>
      <w:r w:rsidR="00B425B9" w:rsidRPr="002C7B6D">
        <w:rPr>
          <w:iCs/>
          <w:szCs w:val="28"/>
          <w:lang w:val="es-CO"/>
        </w:rPr>
        <w:t xml:space="preserve">para esta Corporación no era necesaria la expedición de una nueva </w:t>
      </w:r>
      <w:r w:rsidR="00C52B85">
        <w:rPr>
          <w:iCs/>
          <w:szCs w:val="28"/>
          <w:lang w:val="es-CO"/>
        </w:rPr>
        <w:t xml:space="preserve">y eventual </w:t>
      </w:r>
      <w:r w:rsidR="00B425B9" w:rsidRPr="002C7B6D">
        <w:rPr>
          <w:iCs/>
          <w:szCs w:val="28"/>
          <w:lang w:val="es-CO"/>
        </w:rPr>
        <w:t xml:space="preserve">ley estatutaria que se </w:t>
      </w:r>
      <w:r w:rsidR="00B425B9" w:rsidRPr="00C251CA">
        <w:rPr>
          <w:iCs/>
          <w:szCs w:val="28"/>
          <w:lang w:val="es-CO"/>
        </w:rPr>
        <w:t xml:space="preserve">ajuste a los lineamientos del artículo 126-4 superior, en la medida en que como esa misma entidad lo reconoció, el artículo 126 de la Carta fija reglas generales en estas materias, mientras que las normas constitucionales indicadas y la ley estatutaria, por ser normas especiales en lo que respecta a la Rama Judicial, prevalecen en el análisis de la situación planteada. </w:t>
      </w:r>
      <w:r w:rsidR="00B425B9" w:rsidRPr="00C251CA">
        <w:rPr>
          <w:szCs w:val="28"/>
        </w:rPr>
        <w:t>La exigencia amb</w:t>
      </w:r>
      <w:r w:rsidR="007A75A9" w:rsidRPr="00C251CA">
        <w:rPr>
          <w:szCs w:val="28"/>
        </w:rPr>
        <w:t>i</w:t>
      </w:r>
      <w:r w:rsidR="00B425B9" w:rsidRPr="00C251CA">
        <w:rPr>
          <w:szCs w:val="28"/>
        </w:rPr>
        <w:t>g</w:t>
      </w:r>
      <w:r w:rsidR="007A75A9" w:rsidRPr="00C251CA">
        <w:rPr>
          <w:szCs w:val="28"/>
        </w:rPr>
        <w:t>ü</w:t>
      </w:r>
      <w:r w:rsidR="00B425B9" w:rsidRPr="00C251CA">
        <w:rPr>
          <w:szCs w:val="28"/>
        </w:rPr>
        <w:t>a de que todos estos cambios en los procesos de selección se realicen por vía estatutaria implicaría establecer a través de la jurisprudencia, una reserva de ley, que no s</w:t>
      </w:r>
      <w:r w:rsidR="00C80E03" w:rsidRPr="00C251CA">
        <w:rPr>
          <w:szCs w:val="28"/>
        </w:rPr>
        <w:t>o</w:t>
      </w:r>
      <w:r w:rsidR="00B425B9" w:rsidRPr="00C251CA">
        <w:rPr>
          <w:szCs w:val="28"/>
        </w:rPr>
        <w:t>lo no fue prevista por el constituyente, sino que no se desprende de la lectura literal de la disposición constitucional interpretada.</w:t>
      </w:r>
    </w:p>
    <w:p w14:paraId="7C3863B8" w14:textId="77777777" w:rsidR="00F83AB6" w:rsidRPr="00C251CA" w:rsidRDefault="00F83AB6" w:rsidP="00F83AB6">
      <w:pPr>
        <w:spacing w:line="276" w:lineRule="auto"/>
        <w:jc w:val="both"/>
        <w:rPr>
          <w:b/>
          <w:i/>
          <w:szCs w:val="28"/>
          <w:lang w:val="es-CO"/>
        </w:rPr>
      </w:pPr>
    </w:p>
    <w:p w14:paraId="1A568926" w14:textId="77777777" w:rsidR="00F83AB6" w:rsidRPr="00C251CA" w:rsidRDefault="00F83AB6" w:rsidP="00F83AB6">
      <w:pPr>
        <w:jc w:val="both"/>
        <w:rPr>
          <w:b/>
          <w:i/>
          <w:szCs w:val="28"/>
          <w:lang w:val="es-CO"/>
        </w:rPr>
      </w:pPr>
      <w:r w:rsidRPr="00C251CA">
        <w:rPr>
          <w:b/>
          <w:i/>
          <w:szCs w:val="28"/>
          <w:lang w:val="es-CO"/>
        </w:rPr>
        <w:t xml:space="preserve">(iii) Tercer Argumento. </w:t>
      </w:r>
      <w:r w:rsidRPr="00C251CA">
        <w:rPr>
          <w:b/>
          <w:i/>
          <w:iCs/>
          <w:szCs w:val="28"/>
        </w:rPr>
        <w:t xml:space="preserve">Violación directa de la Constitución por desconocimiento de una norma constitucional inaplicada </w:t>
      </w:r>
      <w:bookmarkStart w:id="44" w:name="_Hlk50756243"/>
      <w:r w:rsidRPr="00C251CA">
        <w:rPr>
          <w:b/>
          <w:i/>
          <w:iCs/>
          <w:szCs w:val="28"/>
        </w:rPr>
        <w:t xml:space="preserve">– </w:t>
      </w:r>
      <w:bookmarkEnd w:id="44"/>
      <w:r w:rsidRPr="00C251CA">
        <w:rPr>
          <w:b/>
          <w:i/>
          <w:iCs/>
          <w:szCs w:val="28"/>
        </w:rPr>
        <w:t xml:space="preserve">el parágrafo transitorio del art. 257A de la Constitución </w:t>
      </w:r>
    </w:p>
    <w:p w14:paraId="04D841A9" w14:textId="77777777" w:rsidR="00F83AB6" w:rsidRPr="00C251CA" w:rsidRDefault="00F83AB6" w:rsidP="00F83AB6">
      <w:pPr>
        <w:spacing w:line="276" w:lineRule="auto"/>
        <w:rPr>
          <w:b/>
          <w:i/>
          <w:sz w:val="24"/>
          <w:szCs w:val="24"/>
          <w:lang w:val="es-CO"/>
        </w:rPr>
      </w:pPr>
    </w:p>
    <w:p w14:paraId="775BB57A" w14:textId="77777777" w:rsidR="00F83AB6" w:rsidRPr="00C251CA" w:rsidRDefault="00F83AB6" w:rsidP="00F83AB6">
      <w:pPr>
        <w:pStyle w:val="NormalWeb"/>
        <w:numPr>
          <w:ilvl w:val="0"/>
          <w:numId w:val="10"/>
        </w:numPr>
        <w:tabs>
          <w:tab w:val="left" w:pos="284"/>
          <w:tab w:val="left" w:pos="426"/>
        </w:tabs>
        <w:spacing w:before="0" w:beforeAutospacing="0" w:after="0" w:afterAutospacing="0"/>
        <w:ind w:right="40"/>
        <w:jc w:val="both"/>
        <w:rPr>
          <w:bCs/>
          <w:sz w:val="28"/>
          <w:szCs w:val="28"/>
        </w:rPr>
      </w:pPr>
      <w:r w:rsidRPr="00C251CA">
        <w:rPr>
          <w:bCs/>
          <w:sz w:val="28"/>
          <w:szCs w:val="28"/>
        </w:rPr>
        <w:t xml:space="preserve">Los argumentos desplegados por las partes para alegar o refutar la posible existencia del defecto enunciado por inaplicar el parágrafo transitorio del Artículo 257A, en detrimento del querer del constituyente, pueden sintetizarse gráficamente, de la siguiente forma: </w:t>
      </w:r>
    </w:p>
    <w:p w14:paraId="144DF54C" w14:textId="77777777" w:rsidR="00F83AB6" w:rsidRPr="00C073C7" w:rsidRDefault="00F83AB6" w:rsidP="00F83AB6">
      <w:pPr>
        <w:spacing w:line="276" w:lineRule="auto"/>
        <w:rPr>
          <w:b/>
          <w:iCs/>
          <w:sz w:val="24"/>
          <w:szCs w:val="24"/>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3210"/>
        <w:gridCol w:w="4253"/>
      </w:tblGrid>
      <w:tr w:rsidR="00F83AB6" w:rsidRPr="002E4477" w14:paraId="227374B1" w14:textId="77777777" w:rsidTr="00566B75">
        <w:tc>
          <w:tcPr>
            <w:tcW w:w="1326" w:type="dxa"/>
            <w:shd w:val="clear" w:color="auto" w:fill="D9D9D9"/>
          </w:tcPr>
          <w:p w14:paraId="0DC80E59" w14:textId="77777777" w:rsidR="00F83AB6" w:rsidRPr="002E4477" w:rsidRDefault="00F83AB6" w:rsidP="00566B75">
            <w:pPr>
              <w:pStyle w:val="NormalWeb"/>
              <w:tabs>
                <w:tab w:val="left" w:pos="284"/>
              </w:tabs>
              <w:spacing w:before="0" w:beforeAutospacing="0" w:after="0" w:afterAutospacing="0"/>
              <w:ind w:right="40"/>
              <w:jc w:val="center"/>
              <w:rPr>
                <w:b/>
              </w:rPr>
            </w:pPr>
            <w:r w:rsidRPr="002E4477">
              <w:rPr>
                <w:b/>
              </w:rPr>
              <w:t>Art.</w:t>
            </w:r>
          </w:p>
          <w:p w14:paraId="4EDB267A" w14:textId="77777777" w:rsidR="00F83AB6" w:rsidRPr="002E4477" w:rsidRDefault="00F83AB6" w:rsidP="00566B75">
            <w:pPr>
              <w:pStyle w:val="NormalWeb"/>
              <w:tabs>
                <w:tab w:val="left" w:pos="284"/>
              </w:tabs>
              <w:spacing w:before="0" w:beforeAutospacing="0" w:after="0" w:afterAutospacing="0"/>
              <w:ind w:right="40"/>
              <w:jc w:val="center"/>
              <w:rPr>
                <w:b/>
              </w:rPr>
            </w:pPr>
          </w:p>
        </w:tc>
        <w:tc>
          <w:tcPr>
            <w:tcW w:w="3210" w:type="dxa"/>
            <w:shd w:val="clear" w:color="auto" w:fill="D9D9D9"/>
          </w:tcPr>
          <w:p w14:paraId="485FEE5C" w14:textId="77777777" w:rsidR="00F83AB6" w:rsidRPr="002E4477" w:rsidRDefault="00F83AB6" w:rsidP="00566B75">
            <w:pPr>
              <w:pStyle w:val="NormalWeb"/>
              <w:tabs>
                <w:tab w:val="left" w:pos="284"/>
              </w:tabs>
              <w:spacing w:before="0" w:beforeAutospacing="0" w:after="0" w:afterAutospacing="0"/>
              <w:ind w:right="40"/>
              <w:jc w:val="center"/>
              <w:rPr>
                <w:b/>
              </w:rPr>
            </w:pPr>
            <w:r w:rsidRPr="002E4477">
              <w:rPr>
                <w:b/>
              </w:rPr>
              <w:t>Argumentos jurídicos a favor de la providencia atacada en tutela</w:t>
            </w:r>
          </w:p>
        </w:tc>
        <w:tc>
          <w:tcPr>
            <w:tcW w:w="4253" w:type="dxa"/>
            <w:shd w:val="clear" w:color="auto" w:fill="D9D9D9"/>
          </w:tcPr>
          <w:p w14:paraId="234829AC" w14:textId="77777777" w:rsidR="00F83AB6" w:rsidRPr="002E4477" w:rsidRDefault="00F83AB6" w:rsidP="00566B75">
            <w:pPr>
              <w:pStyle w:val="NormalWeb"/>
              <w:tabs>
                <w:tab w:val="left" w:pos="284"/>
              </w:tabs>
              <w:spacing w:before="0" w:beforeAutospacing="0" w:after="0" w:afterAutospacing="0"/>
              <w:ind w:right="40"/>
              <w:jc w:val="center"/>
              <w:rPr>
                <w:b/>
              </w:rPr>
            </w:pPr>
            <w:r w:rsidRPr="002E4477">
              <w:rPr>
                <w:b/>
              </w:rPr>
              <w:t>Argumentos que soportan la existencia de defecto en la providencia</w:t>
            </w:r>
          </w:p>
        </w:tc>
      </w:tr>
      <w:tr w:rsidR="00F83AB6" w:rsidRPr="002E4477" w14:paraId="3D6BD489" w14:textId="77777777" w:rsidTr="00566B75">
        <w:tc>
          <w:tcPr>
            <w:tcW w:w="1326" w:type="dxa"/>
            <w:shd w:val="clear" w:color="auto" w:fill="D9D9D9"/>
          </w:tcPr>
          <w:p w14:paraId="42506F89" w14:textId="77777777" w:rsidR="00F83AB6" w:rsidRPr="002E4477" w:rsidRDefault="00F83AB6" w:rsidP="00566B75">
            <w:pPr>
              <w:pStyle w:val="NormalWeb"/>
              <w:tabs>
                <w:tab w:val="left" w:pos="284"/>
              </w:tabs>
              <w:spacing w:before="0" w:beforeAutospacing="0" w:after="0" w:afterAutospacing="0"/>
              <w:ind w:right="40"/>
              <w:jc w:val="center"/>
              <w:rPr>
                <w:b/>
              </w:rPr>
            </w:pPr>
          </w:p>
          <w:p w14:paraId="22D3AE51" w14:textId="77777777" w:rsidR="00F83AB6" w:rsidRPr="002E4477" w:rsidRDefault="00F83AB6" w:rsidP="00566B75">
            <w:pPr>
              <w:pStyle w:val="NormalWeb"/>
              <w:tabs>
                <w:tab w:val="left" w:pos="284"/>
              </w:tabs>
              <w:spacing w:before="0" w:beforeAutospacing="0" w:after="0" w:afterAutospacing="0"/>
              <w:ind w:right="40"/>
              <w:jc w:val="center"/>
              <w:rPr>
                <w:b/>
                <w:lang w:val="en-US"/>
              </w:rPr>
            </w:pPr>
            <w:r w:rsidRPr="002E4477">
              <w:rPr>
                <w:b/>
                <w:lang w:val="en-US"/>
              </w:rPr>
              <w:t>Art.</w:t>
            </w:r>
          </w:p>
          <w:p w14:paraId="2DD32135" w14:textId="77777777" w:rsidR="00F83AB6" w:rsidRPr="002E4477" w:rsidRDefault="00F83AB6" w:rsidP="00566B75">
            <w:pPr>
              <w:pStyle w:val="NormalWeb"/>
              <w:tabs>
                <w:tab w:val="left" w:pos="284"/>
              </w:tabs>
              <w:spacing w:before="0" w:beforeAutospacing="0" w:after="0" w:afterAutospacing="0"/>
              <w:ind w:right="40"/>
              <w:jc w:val="center"/>
              <w:rPr>
                <w:b/>
                <w:lang w:val="en-US"/>
              </w:rPr>
            </w:pPr>
            <w:r w:rsidRPr="002E4477">
              <w:rPr>
                <w:b/>
                <w:lang w:val="en-US"/>
              </w:rPr>
              <w:t>257A</w:t>
            </w:r>
          </w:p>
          <w:p w14:paraId="17ADC88C" w14:textId="77777777" w:rsidR="00F83AB6" w:rsidRPr="002E4477" w:rsidRDefault="00F83AB6" w:rsidP="00566B75">
            <w:pPr>
              <w:pStyle w:val="NormalWeb"/>
              <w:tabs>
                <w:tab w:val="left" w:pos="284"/>
              </w:tabs>
              <w:spacing w:before="0" w:beforeAutospacing="0" w:after="0" w:afterAutospacing="0"/>
              <w:ind w:right="40"/>
              <w:jc w:val="center"/>
              <w:rPr>
                <w:b/>
                <w:lang w:val="en-US"/>
              </w:rPr>
            </w:pPr>
            <w:r w:rsidRPr="002E4477">
              <w:rPr>
                <w:b/>
                <w:lang w:val="en-US"/>
              </w:rPr>
              <w:t xml:space="preserve">C.P </w:t>
            </w:r>
          </w:p>
          <w:p w14:paraId="00F3519E" w14:textId="77777777" w:rsidR="00F83AB6" w:rsidRPr="002E4477" w:rsidRDefault="00F83AB6" w:rsidP="00566B75">
            <w:pPr>
              <w:pStyle w:val="NormalWeb"/>
              <w:tabs>
                <w:tab w:val="left" w:pos="284"/>
              </w:tabs>
              <w:spacing w:before="0" w:beforeAutospacing="0" w:after="0" w:afterAutospacing="0"/>
              <w:ind w:right="40"/>
              <w:jc w:val="center"/>
              <w:rPr>
                <w:b/>
                <w:lang w:val="en-US"/>
              </w:rPr>
            </w:pPr>
          </w:p>
          <w:p w14:paraId="118EDB11" w14:textId="77777777" w:rsidR="00F83AB6" w:rsidRPr="002E4477" w:rsidRDefault="00F83AB6" w:rsidP="00566B75">
            <w:pPr>
              <w:pStyle w:val="NormalWeb"/>
              <w:tabs>
                <w:tab w:val="left" w:pos="284"/>
              </w:tabs>
              <w:spacing w:before="0" w:beforeAutospacing="0" w:after="0" w:afterAutospacing="0"/>
              <w:ind w:right="40"/>
              <w:jc w:val="center"/>
              <w:rPr>
                <w:b/>
                <w:lang w:val="en-US"/>
              </w:rPr>
            </w:pPr>
            <w:r w:rsidRPr="002E4477">
              <w:rPr>
                <w:b/>
                <w:lang w:val="en-US"/>
              </w:rPr>
              <w:t>Par.  Trans.</w:t>
            </w:r>
          </w:p>
          <w:p w14:paraId="3076C54A" w14:textId="77777777" w:rsidR="00F83AB6" w:rsidRPr="002E4477" w:rsidRDefault="00F83AB6" w:rsidP="00566B75">
            <w:pPr>
              <w:pStyle w:val="NormalWeb"/>
              <w:tabs>
                <w:tab w:val="left" w:pos="284"/>
              </w:tabs>
              <w:spacing w:before="0" w:beforeAutospacing="0" w:after="0" w:afterAutospacing="0"/>
              <w:ind w:right="40"/>
              <w:jc w:val="center"/>
              <w:rPr>
                <w:b/>
              </w:rPr>
            </w:pPr>
            <w:r w:rsidRPr="002E4477">
              <w:rPr>
                <w:b/>
              </w:rPr>
              <w:t xml:space="preserve">No </w:t>
            </w:r>
          </w:p>
          <w:p w14:paraId="577B6A02" w14:textId="77777777" w:rsidR="00F83AB6" w:rsidRPr="002E4477" w:rsidRDefault="00F83AB6" w:rsidP="00566B75">
            <w:pPr>
              <w:pStyle w:val="NormalWeb"/>
              <w:tabs>
                <w:tab w:val="left" w:pos="284"/>
              </w:tabs>
              <w:spacing w:before="0" w:beforeAutospacing="0" w:after="0" w:afterAutospacing="0"/>
              <w:ind w:right="40"/>
              <w:jc w:val="center"/>
              <w:rPr>
                <w:b/>
              </w:rPr>
            </w:pPr>
            <w:r w:rsidRPr="002E4477">
              <w:rPr>
                <w:b/>
              </w:rPr>
              <w:t>1</w:t>
            </w:r>
          </w:p>
        </w:tc>
        <w:tc>
          <w:tcPr>
            <w:tcW w:w="3210" w:type="dxa"/>
          </w:tcPr>
          <w:p w14:paraId="349EA0D0" w14:textId="77777777" w:rsidR="00F83AB6" w:rsidRPr="002E4477" w:rsidRDefault="00F83AB6" w:rsidP="00566B75">
            <w:pPr>
              <w:pStyle w:val="NormalWeb"/>
              <w:tabs>
                <w:tab w:val="left" w:pos="284"/>
              </w:tabs>
              <w:spacing w:before="0" w:beforeAutospacing="0" w:after="0" w:afterAutospacing="0"/>
              <w:ind w:right="40"/>
              <w:jc w:val="both"/>
            </w:pPr>
          </w:p>
          <w:p w14:paraId="448C11B2" w14:textId="77777777" w:rsidR="00F83AB6" w:rsidRPr="002E4477" w:rsidRDefault="00F83AB6" w:rsidP="00566B75">
            <w:pPr>
              <w:pStyle w:val="NormalWeb"/>
              <w:tabs>
                <w:tab w:val="left" w:pos="284"/>
              </w:tabs>
              <w:spacing w:before="0" w:beforeAutospacing="0" w:after="0" w:afterAutospacing="0"/>
              <w:ind w:right="40"/>
              <w:jc w:val="both"/>
            </w:pPr>
            <w:r w:rsidRPr="002E4477">
              <w:t>El parágrafo transitorio s</w:t>
            </w:r>
            <w:r w:rsidR="00C80E03">
              <w:t>o</w:t>
            </w:r>
            <w:r w:rsidRPr="002E4477">
              <w:t xml:space="preserve">lo establece un </w:t>
            </w:r>
            <w:r w:rsidRPr="002E4477">
              <w:rPr>
                <w:b/>
              </w:rPr>
              <w:t>límite de tiempo</w:t>
            </w:r>
            <w:r w:rsidRPr="002E4477">
              <w:t xml:space="preserve"> para que se configure la CNDJ pero no le concede competencias al CSJ.</w:t>
            </w:r>
          </w:p>
          <w:p w14:paraId="4C8FB41A" w14:textId="77777777" w:rsidR="00F83AB6" w:rsidRPr="002E4477" w:rsidRDefault="00F83AB6" w:rsidP="00566B75">
            <w:pPr>
              <w:pStyle w:val="NormalWeb"/>
              <w:tabs>
                <w:tab w:val="left" w:pos="284"/>
              </w:tabs>
              <w:spacing w:before="0" w:beforeAutospacing="0" w:after="0" w:afterAutospacing="0"/>
              <w:ind w:right="40"/>
              <w:jc w:val="both"/>
            </w:pPr>
          </w:p>
          <w:p w14:paraId="3FFD2C80" w14:textId="77777777" w:rsidR="00F83AB6" w:rsidRPr="002E4477" w:rsidRDefault="00F83AB6" w:rsidP="00566B75">
            <w:pPr>
              <w:pStyle w:val="NormalWeb"/>
              <w:tabs>
                <w:tab w:val="left" w:pos="284"/>
              </w:tabs>
              <w:spacing w:before="0" w:beforeAutospacing="0" w:after="0" w:afterAutospacing="0"/>
              <w:ind w:right="40"/>
              <w:jc w:val="both"/>
            </w:pPr>
            <w:bookmarkStart w:id="45" w:name="_Hlk39474908"/>
            <w:r w:rsidRPr="002E4477">
              <w:t>Además, no puede ser usado para revivir competencias establecidas en un régimen transitorio (Art. 18 del A.L No 2 de 2015) que la Corte Constitucional declaró inexequible expresamente en la Sentencia C-285 de 2015.</w:t>
            </w:r>
          </w:p>
          <w:p w14:paraId="6EA10948" w14:textId="77777777" w:rsidR="00F83AB6" w:rsidRPr="002E4477" w:rsidRDefault="00F83AB6" w:rsidP="00566B75">
            <w:pPr>
              <w:pStyle w:val="NormalWeb"/>
              <w:tabs>
                <w:tab w:val="left" w:pos="284"/>
              </w:tabs>
              <w:spacing w:before="0" w:beforeAutospacing="0" w:after="0" w:afterAutospacing="0"/>
              <w:ind w:right="40"/>
              <w:jc w:val="both"/>
            </w:pPr>
          </w:p>
          <w:p w14:paraId="32EE06BE" w14:textId="77777777" w:rsidR="00F83AB6" w:rsidRPr="002E4477" w:rsidRDefault="00F83AB6" w:rsidP="00566B75">
            <w:pPr>
              <w:pStyle w:val="NormalWeb"/>
              <w:tabs>
                <w:tab w:val="left" w:pos="284"/>
              </w:tabs>
              <w:spacing w:before="0" w:beforeAutospacing="0" w:after="0" w:afterAutospacing="0"/>
              <w:ind w:right="40"/>
              <w:jc w:val="both"/>
            </w:pPr>
            <w:r w:rsidRPr="002E4477">
              <w:t>No puede el juez por vía interpretativa, asignar competencias.</w:t>
            </w:r>
          </w:p>
          <w:bookmarkEnd w:id="45"/>
          <w:p w14:paraId="70857CF7" w14:textId="77777777" w:rsidR="00F83AB6" w:rsidRPr="002E4477" w:rsidRDefault="00F83AB6" w:rsidP="00566B75">
            <w:pPr>
              <w:pStyle w:val="NormalWeb"/>
              <w:tabs>
                <w:tab w:val="left" w:pos="284"/>
              </w:tabs>
              <w:spacing w:before="0" w:beforeAutospacing="0" w:after="0" w:afterAutospacing="0"/>
              <w:ind w:right="40"/>
              <w:jc w:val="both"/>
              <w:rPr>
                <w:b/>
              </w:rPr>
            </w:pPr>
          </w:p>
        </w:tc>
        <w:tc>
          <w:tcPr>
            <w:tcW w:w="4253" w:type="dxa"/>
          </w:tcPr>
          <w:p w14:paraId="4C17F6AE" w14:textId="77777777" w:rsidR="00F83AB6" w:rsidRPr="002E4477" w:rsidRDefault="00F83AB6" w:rsidP="00566B75">
            <w:pPr>
              <w:pStyle w:val="NormalWeb"/>
              <w:tabs>
                <w:tab w:val="left" w:pos="284"/>
              </w:tabs>
              <w:spacing w:before="0" w:beforeAutospacing="0" w:after="0" w:afterAutospacing="0"/>
              <w:ind w:right="40"/>
              <w:jc w:val="both"/>
            </w:pPr>
          </w:p>
          <w:p w14:paraId="4E5F613A" w14:textId="77777777" w:rsidR="00F83AB6" w:rsidRPr="002E4477" w:rsidRDefault="00F83AB6" w:rsidP="00566B75">
            <w:pPr>
              <w:pStyle w:val="NormalWeb"/>
              <w:tabs>
                <w:tab w:val="left" w:pos="284"/>
              </w:tabs>
              <w:spacing w:before="0" w:beforeAutospacing="0" w:after="0" w:afterAutospacing="0"/>
              <w:ind w:right="40"/>
              <w:jc w:val="both"/>
              <w:rPr>
                <w:b/>
              </w:rPr>
            </w:pPr>
            <w:r w:rsidRPr="002E4477">
              <w:t xml:space="preserve">No reconocer el valor de este parágrafo implica desconocer la </w:t>
            </w:r>
            <w:r w:rsidRPr="002E4477">
              <w:rPr>
                <w:b/>
              </w:rPr>
              <w:t xml:space="preserve">voluntad del constituyente </w:t>
            </w:r>
            <w:r w:rsidRPr="002E4477">
              <w:t>y las razones que tuvo para ordenar la conformación de la primera CNDJ en un plazo definido.</w:t>
            </w:r>
            <w:r w:rsidRPr="002E4477">
              <w:rPr>
                <w:b/>
              </w:rPr>
              <w:t xml:space="preserve"> Con ello, se</w:t>
            </w:r>
            <w:r w:rsidRPr="002E4477">
              <w:t xml:space="preserve"> </w:t>
            </w:r>
            <w:r w:rsidRPr="002E4477">
              <w:rPr>
                <w:b/>
              </w:rPr>
              <w:t>deja inane y sin cumplimiento una norma constitucional perentoria, que pierde su efecto útil.</w:t>
            </w:r>
          </w:p>
          <w:p w14:paraId="3C21DD1D" w14:textId="77777777" w:rsidR="00F83AB6" w:rsidRPr="002E4477" w:rsidRDefault="00F83AB6" w:rsidP="00566B75">
            <w:pPr>
              <w:pStyle w:val="NormalWeb"/>
              <w:tabs>
                <w:tab w:val="left" w:pos="284"/>
              </w:tabs>
              <w:spacing w:before="0" w:beforeAutospacing="0" w:after="0" w:afterAutospacing="0"/>
              <w:ind w:right="40"/>
              <w:jc w:val="both"/>
            </w:pPr>
          </w:p>
          <w:p w14:paraId="7A2C82B7" w14:textId="77777777" w:rsidR="00F83AB6" w:rsidRPr="002E4477" w:rsidRDefault="00F83AB6" w:rsidP="00566B75">
            <w:pPr>
              <w:pStyle w:val="NormalWeb"/>
              <w:tabs>
                <w:tab w:val="left" w:pos="284"/>
              </w:tabs>
              <w:spacing w:before="0" w:beforeAutospacing="0" w:after="0" w:afterAutospacing="0"/>
              <w:ind w:right="40"/>
              <w:jc w:val="both"/>
            </w:pPr>
            <w:r w:rsidRPr="002E4477">
              <w:t xml:space="preserve">La fijación de un tiempo límite previsto en este artículo para la designación de la primera CNDJ, junto con la interpretación de la norma realizada en la sentencia C-285 de 2016, aunado al querer del constituyente de realizar este cambio, dan cuenta de que la competencia para la reglamentación de la convocatoria pública enunciada correspondía, como lo hace ahora, al CSJ. Esa conclusión tiene fuerza vinculante, porque se trata de una decisión del órgano de cierre de la Constitución, que no asigna competencia sino que le da validez a aquellas que habían sido ya asignadas originalmente por el constituyente. </w:t>
            </w:r>
          </w:p>
          <w:p w14:paraId="189F96E0" w14:textId="77777777" w:rsidR="00F83AB6" w:rsidRPr="002E4477" w:rsidRDefault="00F83AB6" w:rsidP="00566B75">
            <w:pPr>
              <w:pStyle w:val="NormalWeb"/>
              <w:tabs>
                <w:tab w:val="left" w:pos="284"/>
              </w:tabs>
              <w:spacing w:before="0" w:beforeAutospacing="0" w:after="0" w:afterAutospacing="0"/>
              <w:ind w:right="40"/>
              <w:jc w:val="both"/>
            </w:pPr>
          </w:p>
        </w:tc>
      </w:tr>
    </w:tbl>
    <w:p w14:paraId="6CC55858" w14:textId="77777777" w:rsidR="00F83AB6" w:rsidRPr="002E4477" w:rsidRDefault="00F83AB6" w:rsidP="00F83AB6">
      <w:pPr>
        <w:pStyle w:val="Prrafodelista"/>
        <w:ind w:left="0"/>
        <w:contextualSpacing/>
        <w:jc w:val="both"/>
        <w:rPr>
          <w:i/>
          <w:szCs w:val="28"/>
          <w:lang w:val="es-CO"/>
        </w:rPr>
      </w:pPr>
    </w:p>
    <w:p w14:paraId="158A49CA" w14:textId="77777777" w:rsidR="00566B75" w:rsidRPr="00C251CA" w:rsidRDefault="00F83AB6" w:rsidP="00566B75">
      <w:pPr>
        <w:pStyle w:val="Prrafodelista"/>
        <w:numPr>
          <w:ilvl w:val="0"/>
          <w:numId w:val="10"/>
        </w:numPr>
        <w:tabs>
          <w:tab w:val="left" w:pos="567"/>
        </w:tabs>
        <w:contextualSpacing/>
        <w:jc w:val="both"/>
        <w:rPr>
          <w:szCs w:val="28"/>
          <w:lang w:val="es-CO"/>
        </w:rPr>
      </w:pPr>
      <w:r>
        <w:rPr>
          <w:szCs w:val="28"/>
          <w:lang w:val="es-CO"/>
        </w:rPr>
        <w:t xml:space="preserve"> </w:t>
      </w:r>
      <w:r w:rsidRPr="002E4477">
        <w:rPr>
          <w:szCs w:val="28"/>
          <w:lang w:val="es-CO"/>
        </w:rPr>
        <w:t xml:space="preserve">En virtud del condicionamiento realizado por la Corte Constitucional en la sentencia </w:t>
      </w:r>
      <w:r>
        <w:rPr>
          <w:szCs w:val="28"/>
          <w:lang w:val="es-CO"/>
        </w:rPr>
        <w:t>tantas veces referida</w:t>
      </w:r>
      <w:r w:rsidRPr="00C251CA">
        <w:rPr>
          <w:szCs w:val="28"/>
          <w:lang w:val="es-CO"/>
        </w:rPr>
        <w:t>, el parágrafo transitorio del artículo 257A superior dejó vigente un límite de tiempo de un año, para cumplir con las designaciones que la misma norma constitucional reconoce. Se trata de un límite temporal para articular la institucionalidad creada por el constituyente, que quedó vigente, al que había que darle aplicación real y que permitía en consecuencia, como se verá bajo el acápite siguiente, darle viabilidad a la labor de regulación consagrada en cabeza del CSJ.</w:t>
      </w:r>
    </w:p>
    <w:p w14:paraId="753D83A0" w14:textId="77777777" w:rsidR="00F83AB6" w:rsidRPr="00C251CA" w:rsidRDefault="00F83AB6" w:rsidP="00F83AB6">
      <w:pPr>
        <w:pStyle w:val="Prrafodelista"/>
        <w:tabs>
          <w:tab w:val="left" w:pos="567"/>
        </w:tabs>
        <w:ind w:left="0"/>
        <w:contextualSpacing/>
        <w:jc w:val="both"/>
        <w:rPr>
          <w:szCs w:val="28"/>
          <w:lang w:val="es-CO"/>
        </w:rPr>
      </w:pPr>
    </w:p>
    <w:p w14:paraId="53EF88A2" w14:textId="77777777" w:rsidR="00F83AB6" w:rsidRPr="00C251CA" w:rsidRDefault="00A51661" w:rsidP="00F83AB6">
      <w:pPr>
        <w:pStyle w:val="Prrafodelista"/>
        <w:numPr>
          <w:ilvl w:val="0"/>
          <w:numId w:val="10"/>
        </w:numPr>
        <w:tabs>
          <w:tab w:val="left" w:pos="567"/>
        </w:tabs>
        <w:contextualSpacing/>
        <w:jc w:val="both"/>
        <w:rPr>
          <w:szCs w:val="28"/>
          <w:lang w:val="es-CO"/>
        </w:rPr>
      </w:pPr>
      <w:r w:rsidRPr="00C251CA">
        <w:rPr>
          <w:szCs w:val="28"/>
          <w:lang w:val="es-CO"/>
        </w:rPr>
        <w:t xml:space="preserve">Como bien lo indicó el CSJ, la norma constitucional </w:t>
      </w:r>
      <w:r w:rsidR="00A55DA1" w:rsidRPr="00C251CA">
        <w:rPr>
          <w:szCs w:val="28"/>
          <w:lang w:val="es-CO"/>
        </w:rPr>
        <w:t xml:space="preserve">descrita </w:t>
      </w:r>
      <w:r w:rsidR="00851E86" w:rsidRPr="00C251CA">
        <w:rPr>
          <w:szCs w:val="28"/>
          <w:lang w:val="es-CO"/>
        </w:rPr>
        <w:t xml:space="preserve">es una prueba de esa voluntad, </w:t>
      </w:r>
      <w:r w:rsidR="005F0F4C" w:rsidRPr="00C251CA">
        <w:rPr>
          <w:szCs w:val="28"/>
          <w:lang w:val="es-CO"/>
        </w:rPr>
        <w:t xml:space="preserve">pues </w:t>
      </w:r>
      <w:r w:rsidRPr="00C251CA">
        <w:rPr>
          <w:szCs w:val="28"/>
          <w:lang w:val="es-CO"/>
        </w:rPr>
        <w:t xml:space="preserve">da cuenta de la necesidad de </w:t>
      </w:r>
      <w:r w:rsidR="00483ADB" w:rsidRPr="00C251CA">
        <w:rPr>
          <w:szCs w:val="28"/>
          <w:lang w:val="es-CO"/>
        </w:rPr>
        <w:t>la</w:t>
      </w:r>
      <w:r w:rsidRPr="00C251CA">
        <w:rPr>
          <w:szCs w:val="28"/>
          <w:lang w:val="es-CO"/>
        </w:rPr>
        <w:t xml:space="preserve"> transición institucional planeada</w:t>
      </w:r>
      <w:r w:rsidR="00F83AB6" w:rsidRPr="00C251CA">
        <w:rPr>
          <w:szCs w:val="28"/>
          <w:lang w:val="es-CO"/>
        </w:rPr>
        <w:t xml:space="preserve">, </w:t>
      </w:r>
      <w:r w:rsidR="00996D87">
        <w:rPr>
          <w:szCs w:val="28"/>
          <w:lang w:val="es-CO"/>
        </w:rPr>
        <w:t>de ahí que</w:t>
      </w:r>
      <w:r w:rsidR="00F83AB6" w:rsidRPr="00C251CA">
        <w:rPr>
          <w:szCs w:val="28"/>
          <w:lang w:val="es-CO"/>
        </w:rPr>
        <w:t xml:space="preserve"> debía </w:t>
      </w:r>
      <w:r w:rsidR="0029734B" w:rsidRPr="00C251CA">
        <w:rPr>
          <w:szCs w:val="28"/>
          <w:lang w:val="es-CO"/>
        </w:rPr>
        <w:t>dársele</w:t>
      </w:r>
      <w:r w:rsidR="00F83AB6" w:rsidRPr="00C251CA">
        <w:rPr>
          <w:szCs w:val="28"/>
          <w:lang w:val="es-CO"/>
        </w:rPr>
        <w:t xml:space="preserve"> un </w:t>
      </w:r>
      <w:r w:rsidR="0029734B" w:rsidRPr="00C251CA">
        <w:rPr>
          <w:szCs w:val="28"/>
          <w:lang w:val="es-CO"/>
        </w:rPr>
        <w:t xml:space="preserve">sentido que </w:t>
      </w:r>
      <w:r w:rsidR="00996D87">
        <w:rPr>
          <w:szCs w:val="28"/>
          <w:lang w:val="es-CO"/>
        </w:rPr>
        <w:t xml:space="preserve">tenga en cuenta </w:t>
      </w:r>
      <w:r w:rsidR="0029734B" w:rsidRPr="00C251CA">
        <w:rPr>
          <w:szCs w:val="28"/>
          <w:lang w:val="es-CO"/>
        </w:rPr>
        <w:t>su vigencia y operatividad</w:t>
      </w:r>
      <w:r w:rsidR="00763624" w:rsidRPr="00C251CA">
        <w:rPr>
          <w:szCs w:val="28"/>
          <w:lang w:val="es-CO"/>
        </w:rPr>
        <w:t>. De esta forma, esa disposición</w:t>
      </w:r>
      <w:r w:rsidRPr="00C251CA">
        <w:rPr>
          <w:szCs w:val="28"/>
          <w:lang w:val="es-CO"/>
        </w:rPr>
        <w:t xml:space="preserve"> requería una interpretación consecuente con su efecto útil y con </w:t>
      </w:r>
      <w:r w:rsidR="0029734B" w:rsidRPr="00C251CA">
        <w:rPr>
          <w:szCs w:val="28"/>
          <w:lang w:val="es-CO"/>
        </w:rPr>
        <w:t>el alcance interpretativo que le dio la Corte</w:t>
      </w:r>
      <w:r w:rsidRPr="00C251CA">
        <w:rPr>
          <w:szCs w:val="28"/>
          <w:lang w:val="es-CO"/>
        </w:rPr>
        <w:t>, que</w:t>
      </w:r>
      <w:r w:rsidR="0029734B" w:rsidRPr="00C251CA">
        <w:rPr>
          <w:szCs w:val="28"/>
          <w:lang w:val="es-CO"/>
        </w:rPr>
        <w:t xml:space="preserve"> son consideraciones de la sentencia de constitucionalidad que </w:t>
      </w:r>
      <w:r w:rsidRPr="00C251CA">
        <w:rPr>
          <w:szCs w:val="28"/>
          <w:lang w:val="es-CO"/>
        </w:rPr>
        <w:t xml:space="preserve">el </w:t>
      </w:r>
      <w:r w:rsidR="00851E86" w:rsidRPr="00C251CA">
        <w:rPr>
          <w:szCs w:val="28"/>
          <w:lang w:val="es-CO"/>
        </w:rPr>
        <w:t xml:space="preserve">Consejo de Estado no </w:t>
      </w:r>
      <w:r w:rsidR="0016735C" w:rsidRPr="00C251CA">
        <w:rPr>
          <w:szCs w:val="28"/>
          <w:lang w:val="es-CO"/>
        </w:rPr>
        <w:t>consideró</w:t>
      </w:r>
      <w:r w:rsidR="00851E86" w:rsidRPr="00C251CA">
        <w:rPr>
          <w:szCs w:val="28"/>
          <w:lang w:val="es-CO"/>
        </w:rPr>
        <w:t xml:space="preserve">. </w:t>
      </w:r>
      <w:r w:rsidR="0029734B" w:rsidRPr="00C251CA">
        <w:rPr>
          <w:szCs w:val="28"/>
          <w:lang w:val="es-CO"/>
        </w:rPr>
        <w:t>De este modo</w:t>
      </w:r>
      <w:r w:rsidR="0016735C" w:rsidRPr="00C251CA">
        <w:rPr>
          <w:szCs w:val="28"/>
          <w:lang w:val="es-CO"/>
        </w:rPr>
        <w:t>, e</w:t>
      </w:r>
      <w:r w:rsidR="00851E86" w:rsidRPr="00C251CA">
        <w:rPr>
          <w:szCs w:val="28"/>
          <w:lang w:val="es-CO"/>
        </w:rPr>
        <w:t xml:space="preserve">l análisis </w:t>
      </w:r>
      <w:r w:rsidRPr="00C251CA">
        <w:rPr>
          <w:szCs w:val="28"/>
          <w:lang w:val="es-CO"/>
        </w:rPr>
        <w:t>de la norma</w:t>
      </w:r>
      <w:r w:rsidR="0029734B" w:rsidRPr="00C251CA">
        <w:rPr>
          <w:szCs w:val="28"/>
          <w:lang w:val="es-CO"/>
        </w:rPr>
        <w:t xml:space="preserve"> indicada</w:t>
      </w:r>
      <w:r w:rsidR="007126F0" w:rsidRPr="00C251CA">
        <w:rPr>
          <w:szCs w:val="28"/>
          <w:lang w:val="es-CO"/>
        </w:rPr>
        <w:t xml:space="preserve">, tomando en consideración </w:t>
      </w:r>
      <w:r w:rsidR="00996D87">
        <w:rPr>
          <w:szCs w:val="28"/>
          <w:lang w:val="es-CO"/>
        </w:rPr>
        <w:t xml:space="preserve">únicamente </w:t>
      </w:r>
      <w:r w:rsidRPr="00C251CA">
        <w:rPr>
          <w:szCs w:val="28"/>
          <w:lang w:val="es-CO"/>
        </w:rPr>
        <w:t>la inexequibilidad del artículo 18 del A.L.</w:t>
      </w:r>
      <w:r w:rsidR="00E72C35" w:rsidRPr="00C251CA">
        <w:rPr>
          <w:szCs w:val="28"/>
          <w:lang w:val="es-CO"/>
        </w:rPr>
        <w:t xml:space="preserve"> </w:t>
      </w:r>
      <w:r w:rsidRPr="00C251CA">
        <w:rPr>
          <w:szCs w:val="28"/>
          <w:lang w:val="es-CO"/>
        </w:rPr>
        <w:t>02 de 2016</w:t>
      </w:r>
      <w:r w:rsidR="005F0F4C" w:rsidRPr="00C251CA">
        <w:rPr>
          <w:szCs w:val="28"/>
          <w:lang w:val="es-CO"/>
        </w:rPr>
        <w:t xml:space="preserve"> y sin evaluar la </w:t>
      </w:r>
      <w:r w:rsidR="00F606EE" w:rsidRPr="00C251CA">
        <w:rPr>
          <w:szCs w:val="28"/>
          <w:lang w:val="es-CO"/>
        </w:rPr>
        <w:t>exequibilidad</w:t>
      </w:r>
      <w:r w:rsidR="005F0F4C" w:rsidRPr="00C251CA">
        <w:rPr>
          <w:szCs w:val="28"/>
          <w:lang w:val="es-CO"/>
        </w:rPr>
        <w:t xml:space="preserve"> condicionada</w:t>
      </w:r>
      <w:r w:rsidR="00F606EE" w:rsidRPr="00C251CA">
        <w:rPr>
          <w:szCs w:val="28"/>
          <w:lang w:val="es-CO"/>
        </w:rPr>
        <w:t xml:space="preserve"> del artículo 19 del A</w:t>
      </w:r>
      <w:r w:rsidR="005F0F4C" w:rsidRPr="00C251CA">
        <w:rPr>
          <w:szCs w:val="28"/>
          <w:lang w:val="es-CO"/>
        </w:rPr>
        <w:t>cto Legislativo</w:t>
      </w:r>
      <w:r w:rsidR="007126F0" w:rsidRPr="00C251CA">
        <w:rPr>
          <w:szCs w:val="28"/>
          <w:lang w:val="es-CO"/>
        </w:rPr>
        <w:t xml:space="preserve"> y las razones de la inhibición de esta Corporación frente al tema general de la configuración de la CNDJ</w:t>
      </w:r>
      <w:r w:rsidR="005F0F4C" w:rsidRPr="00C251CA">
        <w:rPr>
          <w:szCs w:val="28"/>
          <w:lang w:val="es-CO"/>
        </w:rPr>
        <w:t>,</w:t>
      </w:r>
      <w:r w:rsidR="00F606EE" w:rsidRPr="00C251CA">
        <w:rPr>
          <w:szCs w:val="28"/>
          <w:lang w:val="es-CO"/>
        </w:rPr>
        <w:t xml:space="preserve"> s</w:t>
      </w:r>
      <w:r w:rsidR="00C80E03" w:rsidRPr="00C251CA">
        <w:rPr>
          <w:szCs w:val="28"/>
          <w:lang w:val="es-CO"/>
        </w:rPr>
        <w:t>olamente</w:t>
      </w:r>
      <w:r w:rsidR="00F606EE" w:rsidRPr="00C251CA">
        <w:rPr>
          <w:szCs w:val="28"/>
          <w:lang w:val="es-CO"/>
        </w:rPr>
        <w:t xml:space="preserve"> pu</w:t>
      </w:r>
      <w:r w:rsidR="0016735C" w:rsidRPr="00C251CA">
        <w:rPr>
          <w:szCs w:val="28"/>
          <w:lang w:val="es-CO"/>
        </w:rPr>
        <w:t>do</w:t>
      </w:r>
      <w:r w:rsidR="00F606EE" w:rsidRPr="00C251CA">
        <w:rPr>
          <w:szCs w:val="28"/>
          <w:lang w:val="es-CO"/>
        </w:rPr>
        <w:t xml:space="preserve"> generar finalmente</w:t>
      </w:r>
      <w:r w:rsidR="009B694A" w:rsidRPr="00C251CA">
        <w:rPr>
          <w:szCs w:val="28"/>
          <w:lang w:val="es-CO"/>
        </w:rPr>
        <w:t>,</w:t>
      </w:r>
      <w:r w:rsidR="00F606EE" w:rsidRPr="00C251CA">
        <w:rPr>
          <w:szCs w:val="28"/>
          <w:lang w:val="es-CO"/>
        </w:rPr>
        <w:t xml:space="preserve"> una interpretación sesgada de la </w:t>
      </w:r>
      <w:r w:rsidR="00E72C35" w:rsidRPr="00C251CA">
        <w:rPr>
          <w:szCs w:val="28"/>
          <w:lang w:val="es-CO"/>
        </w:rPr>
        <w:t>disposición constitucional</w:t>
      </w:r>
      <w:r w:rsidR="00483ADB" w:rsidRPr="00C251CA">
        <w:rPr>
          <w:szCs w:val="28"/>
          <w:lang w:val="es-CO"/>
        </w:rPr>
        <w:t>,</w:t>
      </w:r>
      <w:r w:rsidR="00E72C35" w:rsidRPr="00C251CA">
        <w:rPr>
          <w:szCs w:val="28"/>
          <w:lang w:val="es-CO"/>
        </w:rPr>
        <w:t xml:space="preserve"> como en efecto </w:t>
      </w:r>
      <w:r w:rsidR="00483ADB" w:rsidRPr="00C251CA">
        <w:rPr>
          <w:szCs w:val="28"/>
          <w:lang w:val="es-CO"/>
        </w:rPr>
        <w:t>ocurrió</w:t>
      </w:r>
      <w:r w:rsidR="00E72C35" w:rsidRPr="00C251CA">
        <w:rPr>
          <w:szCs w:val="28"/>
          <w:lang w:val="es-CO"/>
        </w:rPr>
        <w:t>.</w:t>
      </w:r>
      <w:r w:rsidR="00F606EE" w:rsidRPr="00C251CA">
        <w:rPr>
          <w:szCs w:val="28"/>
          <w:lang w:val="es-CO"/>
        </w:rPr>
        <w:t xml:space="preserve"> </w:t>
      </w:r>
    </w:p>
    <w:p w14:paraId="2759A444" w14:textId="77777777" w:rsidR="00566B75" w:rsidRPr="00C251CA" w:rsidRDefault="00566B75" w:rsidP="00566B75">
      <w:pPr>
        <w:pStyle w:val="Prrafodelista"/>
        <w:rPr>
          <w:szCs w:val="28"/>
          <w:lang w:val="es-CO"/>
        </w:rPr>
      </w:pPr>
    </w:p>
    <w:p w14:paraId="34FF9062" w14:textId="77777777" w:rsidR="00F83AB6" w:rsidRPr="00996D87" w:rsidRDefault="00F83AB6" w:rsidP="00566B75">
      <w:pPr>
        <w:pStyle w:val="Prrafodelista"/>
        <w:numPr>
          <w:ilvl w:val="0"/>
          <w:numId w:val="10"/>
        </w:numPr>
        <w:tabs>
          <w:tab w:val="left" w:pos="567"/>
        </w:tabs>
        <w:contextualSpacing/>
        <w:jc w:val="both"/>
        <w:rPr>
          <w:szCs w:val="28"/>
          <w:lang w:val="es-CO"/>
        </w:rPr>
      </w:pPr>
      <w:r w:rsidRPr="00C251CA">
        <w:rPr>
          <w:szCs w:val="28"/>
        </w:rPr>
        <w:t xml:space="preserve">Según </w:t>
      </w:r>
      <w:r w:rsidR="0016735C" w:rsidRPr="00C251CA">
        <w:rPr>
          <w:szCs w:val="28"/>
        </w:rPr>
        <w:t xml:space="preserve">se ha precisado </w:t>
      </w:r>
      <w:r w:rsidR="00A33FA1" w:rsidRPr="00C251CA">
        <w:rPr>
          <w:szCs w:val="28"/>
        </w:rPr>
        <w:t>en otros apartes de esta providencia, tanto</w:t>
      </w:r>
      <w:r w:rsidR="00483ADB" w:rsidRPr="00C251CA">
        <w:rPr>
          <w:szCs w:val="28"/>
        </w:rPr>
        <w:t xml:space="preserve"> el artículo 257A superior y </w:t>
      </w:r>
      <w:r w:rsidR="00A33FA1" w:rsidRPr="00C251CA">
        <w:rPr>
          <w:szCs w:val="28"/>
        </w:rPr>
        <w:t xml:space="preserve">su </w:t>
      </w:r>
      <w:r w:rsidR="00483ADB" w:rsidRPr="00C251CA">
        <w:rPr>
          <w:szCs w:val="28"/>
        </w:rPr>
        <w:t xml:space="preserve">parágrafo transitorio, </w:t>
      </w:r>
      <w:r w:rsidR="00A33FA1" w:rsidRPr="00C251CA">
        <w:rPr>
          <w:szCs w:val="28"/>
        </w:rPr>
        <w:t>que</w:t>
      </w:r>
      <w:r w:rsidR="00483ADB" w:rsidRPr="00C251CA">
        <w:rPr>
          <w:szCs w:val="28"/>
        </w:rPr>
        <w:t xml:space="preserve"> establece </w:t>
      </w:r>
      <w:r w:rsidR="00A33FA1" w:rsidRPr="00C251CA">
        <w:rPr>
          <w:szCs w:val="28"/>
        </w:rPr>
        <w:t>el</w:t>
      </w:r>
      <w:r w:rsidR="00483ADB" w:rsidRPr="00C251CA">
        <w:rPr>
          <w:szCs w:val="28"/>
        </w:rPr>
        <w:t xml:space="preserve"> </w:t>
      </w:r>
      <w:r w:rsidR="00483ADB" w:rsidRPr="00C251CA">
        <w:rPr>
          <w:b/>
          <w:szCs w:val="28"/>
        </w:rPr>
        <w:t>límite de tiempo</w:t>
      </w:r>
      <w:r w:rsidR="00483ADB" w:rsidRPr="00C251CA">
        <w:rPr>
          <w:szCs w:val="28"/>
        </w:rPr>
        <w:t xml:space="preserve"> para la configuración de la CNDJ</w:t>
      </w:r>
      <w:r w:rsidR="00A33FA1" w:rsidRPr="00C251CA">
        <w:rPr>
          <w:szCs w:val="28"/>
        </w:rPr>
        <w:t>, como la sentencia C-285 de 2016 que moduló la mencionada norma constitucional, acogieron</w:t>
      </w:r>
      <w:r w:rsidR="00A33FA1" w:rsidRPr="00566B75">
        <w:rPr>
          <w:szCs w:val="28"/>
        </w:rPr>
        <w:t xml:space="preserve"> el procedimiento diseñado por el constituyente para cumplir con las obligaciones institucionales transitorias asignadas al Consejo de Gobierno Judicial, </w:t>
      </w:r>
      <w:r w:rsidR="007C50A7" w:rsidRPr="00566B75">
        <w:rPr>
          <w:szCs w:val="28"/>
        </w:rPr>
        <w:t>por lo que</w:t>
      </w:r>
      <w:r w:rsidR="00A33FA1" w:rsidRPr="00566B75">
        <w:rPr>
          <w:szCs w:val="28"/>
        </w:rPr>
        <w:t xml:space="preserve"> la reglamentación </w:t>
      </w:r>
      <w:r w:rsidR="007C50A7" w:rsidRPr="00566B75">
        <w:rPr>
          <w:szCs w:val="28"/>
        </w:rPr>
        <w:t xml:space="preserve">de la convocatoria pública </w:t>
      </w:r>
      <w:r w:rsidR="00996D87">
        <w:rPr>
          <w:szCs w:val="28"/>
        </w:rPr>
        <w:t>para</w:t>
      </w:r>
      <w:r w:rsidR="00A33FA1" w:rsidRPr="00566B75">
        <w:rPr>
          <w:szCs w:val="28"/>
        </w:rPr>
        <w:t xml:space="preserve"> </w:t>
      </w:r>
      <w:r w:rsidR="007C50A7" w:rsidRPr="00566B75">
        <w:rPr>
          <w:szCs w:val="28"/>
        </w:rPr>
        <w:t xml:space="preserve">la </w:t>
      </w:r>
      <w:r w:rsidR="00A33FA1" w:rsidRPr="00566B75">
        <w:rPr>
          <w:szCs w:val="28"/>
        </w:rPr>
        <w:t xml:space="preserve">configuración </w:t>
      </w:r>
      <w:r w:rsidR="007C50A7" w:rsidRPr="00566B75">
        <w:rPr>
          <w:szCs w:val="28"/>
        </w:rPr>
        <w:t xml:space="preserve">de las ternas </w:t>
      </w:r>
      <w:r w:rsidR="00996D87">
        <w:rPr>
          <w:szCs w:val="28"/>
        </w:rPr>
        <w:t>a cargo del</w:t>
      </w:r>
      <w:r w:rsidR="00A33FA1" w:rsidRPr="00566B75">
        <w:rPr>
          <w:szCs w:val="28"/>
        </w:rPr>
        <w:t xml:space="preserve"> CSJ,</w:t>
      </w:r>
      <w:r w:rsidR="00996D87">
        <w:rPr>
          <w:szCs w:val="28"/>
        </w:rPr>
        <w:t xml:space="preserve"> </w:t>
      </w:r>
      <w:r w:rsidR="00996D87" w:rsidRPr="00566B75">
        <w:rPr>
          <w:szCs w:val="28"/>
        </w:rPr>
        <w:t>se encuentra en cabeza de</w:t>
      </w:r>
      <w:r w:rsidR="00996D87">
        <w:rPr>
          <w:szCs w:val="28"/>
        </w:rPr>
        <w:t xml:space="preserve"> la misma entidad,</w:t>
      </w:r>
      <w:r w:rsidR="00A33FA1" w:rsidRPr="00566B75">
        <w:rPr>
          <w:szCs w:val="28"/>
        </w:rPr>
        <w:t xml:space="preserve"> conforme </w:t>
      </w:r>
      <w:r w:rsidR="00BE7F11" w:rsidRPr="00566B75">
        <w:rPr>
          <w:szCs w:val="28"/>
        </w:rPr>
        <w:t xml:space="preserve">a </w:t>
      </w:r>
      <w:r w:rsidR="007C50A7" w:rsidRPr="00566B75">
        <w:rPr>
          <w:szCs w:val="28"/>
        </w:rPr>
        <w:t>la</w:t>
      </w:r>
      <w:r w:rsidR="00BE7F11" w:rsidRPr="00566B75">
        <w:rPr>
          <w:szCs w:val="28"/>
        </w:rPr>
        <w:t xml:space="preserve"> sentencia mencionada de </w:t>
      </w:r>
      <w:r w:rsidR="00A33FA1" w:rsidRPr="00566B75">
        <w:rPr>
          <w:szCs w:val="28"/>
        </w:rPr>
        <w:t xml:space="preserve">la Corte Constitucional. </w:t>
      </w:r>
      <w:r w:rsidR="00A52C03" w:rsidRPr="00566B75">
        <w:rPr>
          <w:szCs w:val="28"/>
        </w:rPr>
        <w:t>L</w:t>
      </w:r>
      <w:r w:rsidR="00BE7F11" w:rsidRPr="00566B75">
        <w:rPr>
          <w:szCs w:val="28"/>
        </w:rPr>
        <w:t xml:space="preserve">a inescindible conexión entre la parte motiva y resolutiva de la </w:t>
      </w:r>
      <w:r w:rsidR="00BE7F11" w:rsidRPr="00566B75">
        <w:rPr>
          <w:b/>
          <w:bCs/>
          <w:szCs w:val="28"/>
        </w:rPr>
        <w:t>sentencia C-285 de 2016</w:t>
      </w:r>
      <w:r w:rsidR="00BE7F11" w:rsidRPr="00566B75">
        <w:rPr>
          <w:szCs w:val="28"/>
        </w:rPr>
        <w:t xml:space="preserve"> y la fuerza vinculante de la </w:t>
      </w:r>
      <w:r w:rsidR="00BE7F11" w:rsidRPr="00566B75">
        <w:rPr>
          <w:i/>
          <w:iCs/>
          <w:szCs w:val="28"/>
        </w:rPr>
        <w:t>ratio decidendi</w:t>
      </w:r>
      <w:r w:rsidR="00BE7F11" w:rsidRPr="00566B75">
        <w:rPr>
          <w:szCs w:val="28"/>
        </w:rPr>
        <w:t xml:space="preserve"> de esa providencia, dan cuenta de que la interpretación </w:t>
      </w:r>
      <w:r w:rsidR="004A38B7" w:rsidRPr="00566B75">
        <w:rPr>
          <w:szCs w:val="28"/>
        </w:rPr>
        <w:t>adelantada</w:t>
      </w:r>
      <w:r w:rsidR="00BE7F11" w:rsidRPr="00566B75">
        <w:rPr>
          <w:szCs w:val="28"/>
        </w:rPr>
        <w:t xml:space="preserve"> </w:t>
      </w:r>
      <w:r w:rsidR="004A38B7" w:rsidRPr="00566B75">
        <w:rPr>
          <w:szCs w:val="28"/>
        </w:rPr>
        <w:t xml:space="preserve">por </w:t>
      </w:r>
      <w:r w:rsidR="00BE7F11" w:rsidRPr="00566B75">
        <w:rPr>
          <w:szCs w:val="28"/>
        </w:rPr>
        <w:t xml:space="preserve">la Corte frente a la norma </w:t>
      </w:r>
      <w:r w:rsidR="004434E7" w:rsidRPr="00566B75">
        <w:rPr>
          <w:szCs w:val="28"/>
        </w:rPr>
        <w:t>constitucional</w:t>
      </w:r>
      <w:r w:rsidR="00BE7F11" w:rsidRPr="00566B75">
        <w:rPr>
          <w:szCs w:val="28"/>
        </w:rPr>
        <w:t xml:space="preserve"> </w:t>
      </w:r>
      <w:r w:rsidR="007C50A7" w:rsidRPr="00566B75">
        <w:rPr>
          <w:szCs w:val="28"/>
        </w:rPr>
        <w:t xml:space="preserve">descrita, </w:t>
      </w:r>
      <w:r w:rsidR="00BE7F11" w:rsidRPr="00566B75">
        <w:rPr>
          <w:szCs w:val="28"/>
        </w:rPr>
        <w:t>era la vía</w:t>
      </w:r>
      <w:r w:rsidR="007C50A7" w:rsidRPr="00566B75">
        <w:rPr>
          <w:szCs w:val="28"/>
        </w:rPr>
        <w:t xml:space="preserve"> interpretativa</w:t>
      </w:r>
      <w:r w:rsidR="00BE7F11" w:rsidRPr="00566B75">
        <w:rPr>
          <w:szCs w:val="28"/>
        </w:rPr>
        <w:t xml:space="preserve"> necesaria para darle un sentido completo y coherente a l</w:t>
      </w:r>
      <w:r w:rsidR="004434E7" w:rsidRPr="00566B75">
        <w:rPr>
          <w:szCs w:val="28"/>
        </w:rPr>
        <w:t xml:space="preserve">o dispuesto por la Carta y por el </w:t>
      </w:r>
      <w:r w:rsidR="004434E7" w:rsidRPr="00996D87">
        <w:rPr>
          <w:szCs w:val="28"/>
        </w:rPr>
        <w:t>constituyente</w:t>
      </w:r>
      <w:r w:rsidR="0029734B" w:rsidRPr="00996D87">
        <w:rPr>
          <w:szCs w:val="28"/>
        </w:rPr>
        <w:t>, como se verá en el siguiente punto.</w:t>
      </w:r>
    </w:p>
    <w:p w14:paraId="4B52C49C" w14:textId="77777777" w:rsidR="00566B75" w:rsidRPr="00996D87" w:rsidRDefault="00566B75" w:rsidP="00566B75">
      <w:pPr>
        <w:pStyle w:val="Prrafodelista"/>
        <w:rPr>
          <w:szCs w:val="28"/>
          <w:lang w:val="es-CO"/>
        </w:rPr>
      </w:pPr>
    </w:p>
    <w:p w14:paraId="414D79AD" w14:textId="77777777" w:rsidR="00BE7F11" w:rsidRPr="00996D87" w:rsidRDefault="004434E7" w:rsidP="00566B75">
      <w:pPr>
        <w:pStyle w:val="Prrafodelista"/>
        <w:numPr>
          <w:ilvl w:val="0"/>
          <w:numId w:val="10"/>
        </w:numPr>
        <w:tabs>
          <w:tab w:val="left" w:pos="567"/>
        </w:tabs>
        <w:contextualSpacing/>
        <w:jc w:val="both"/>
        <w:rPr>
          <w:szCs w:val="28"/>
          <w:lang w:val="es-CO"/>
        </w:rPr>
      </w:pPr>
      <w:r w:rsidRPr="00996D87">
        <w:rPr>
          <w:szCs w:val="28"/>
        </w:rPr>
        <w:t>De allí que e</w:t>
      </w:r>
      <w:r w:rsidR="00BE7F11" w:rsidRPr="00996D87">
        <w:rPr>
          <w:szCs w:val="28"/>
        </w:rPr>
        <w:t xml:space="preserve">n contraposición a lo </w:t>
      </w:r>
      <w:r w:rsidRPr="00996D87">
        <w:rPr>
          <w:szCs w:val="28"/>
        </w:rPr>
        <w:t xml:space="preserve">enunciado </w:t>
      </w:r>
      <w:r w:rsidR="00BE7F11" w:rsidRPr="00996D87">
        <w:rPr>
          <w:szCs w:val="28"/>
        </w:rPr>
        <w:t>por</w:t>
      </w:r>
      <w:r w:rsidR="007C50A7" w:rsidRPr="00996D87">
        <w:rPr>
          <w:szCs w:val="28"/>
        </w:rPr>
        <w:t xml:space="preserve"> la Sala Plena de lo Contencioso Administrativo</w:t>
      </w:r>
      <w:r w:rsidR="00BE7F11" w:rsidRPr="00996D87">
        <w:rPr>
          <w:szCs w:val="28"/>
        </w:rPr>
        <w:t>, no se tra</w:t>
      </w:r>
      <w:r w:rsidR="00EF3E18" w:rsidRPr="00996D87">
        <w:rPr>
          <w:szCs w:val="28"/>
        </w:rPr>
        <w:t>taba</w:t>
      </w:r>
      <w:r w:rsidR="00BE7F11" w:rsidRPr="00996D87">
        <w:rPr>
          <w:szCs w:val="28"/>
        </w:rPr>
        <w:t xml:space="preserve"> de asignar </w:t>
      </w:r>
      <w:r w:rsidR="009878E3" w:rsidRPr="00996D87">
        <w:rPr>
          <w:szCs w:val="28"/>
        </w:rPr>
        <w:t>sin más</w:t>
      </w:r>
      <w:r w:rsidR="004A38B7" w:rsidRPr="00996D87">
        <w:rPr>
          <w:szCs w:val="28"/>
        </w:rPr>
        <w:t>,</w:t>
      </w:r>
      <w:r w:rsidR="009878E3" w:rsidRPr="00996D87">
        <w:rPr>
          <w:szCs w:val="28"/>
        </w:rPr>
        <w:t xml:space="preserve"> </w:t>
      </w:r>
      <w:r w:rsidR="00BE7F11" w:rsidRPr="00996D87">
        <w:rPr>
          <w:szCs w:val="28"/>
        </w:rPr>
        <w:t>competencias</w:t>
      </w:r>
      <w:r w:rsidRPr="00996D87">
        <w:rPr>
          <w:szCs w:val="28"/>
        </w:rPr>
        <w:t xml:space="preserve"> inexistentes</w:t>
      </w:r>
      <w:r w:rsidR="00BE7F11" w:rsidRPr="00996D87">
        <w:rPr>
          <w:szCs w:val="28"/>
        </w:rPr>
        <w:t xml:space="preserve"> por vía interpretativa</w:t>
      </w:r>
      <w:r w:rsidR="0029734B" w:rsidRPr="00996D87">
        <w:rPr>
          <w:szCs w:val="28"/>
        </w:rPr>
        <w:t xml:space="preserve"> </w:t>
      </w:r>
      <w:r w:rsidR="00283923" w:rsidRPr="00996D87">
        <w:rPr>
          <w:szCs w:val="28"/>
        </w:rPr>
        <w:t xml:space="preserve">a partir de una referencia temporal </w:t>
      </w:r>
      <w:r w:rsidR="004A38B7" w:rsidRPr="00996D87">
        <w:rPr>
          <w:szCs w:val="28"/>
        </w:rPr>
        <w:t xml:space="preserve">y </w:t>
      </w:r>
      <w:r w:rsidR="00BE7F11" w:rsidRPr="00996D87">
        <w:rPr>
          <w:szCs w:val="28"/>
        </w:rPr>
        <w:t>en desmedro de la Carta, sino por el contrario,</w:t>
      </w:r>
      <w:r w:rsidRPr="00996D87">
        <w:rPr>
          <w:szCs w:val="28"/>
        </w:rPr>
        <w:t xml:space="preserve"> de</w:t>
      </w:r>
      <w:r w:rsidR="00BE7F11" w:rsidRPr="00996D87">
        <w:rPr>
          <w:szCs w:val="28"/>
        </w:rPr>
        <w:t xml:space="preserve"> acoger la fuerza vinculante de la</w:t>
      </w:r>
      <w:r w:rsidR="003332BB" w:rsidRPr="00996D87">
        <w:rPr>
          <w:szCs w:val="28"/>
        </w:rPr>
        <w:t>s normas constitucionales que están vigentes y de la</w:t>
      </w:r>
      <w:r w:rsidR="00BE7F11" w:rsidRPr="00996D87">
        <w:rPr>
          <w:szCs w:val="28"/>
        </w:rPr>
        <w:t xml:space="preserve"> jurisprudencia constitucional, conforme al artículo 243 </w:t>
      </w:r>
      <w:r w:rsidR="00283923" w:rsidRPr="00996D87">
        <w:rPr>
          <w:szCs w:val="28"/>
        </w:rPr>
        <w:t>superior</w:t>
      </w:r>
      <w:r w:rsidR="00BE7F11" w:rsidRPr="00996D87">
        <w:rPr>
          <w:szCs w:val="28"/>
        </w:rPr>
        <w:t xml:space="preserve">, </w:t>
      </w:r>
      <w:r w:rsidR="0029734B" w:rsidRPr="00996D87">
        <w:rPr>
          <w:szCs w:val="28"/>
        </w:rPr>
        <w:t xml:space="preserve">respetando la interpretación de esta Corporación amparada en cuanto al sentido del artículo indicado, </w:t>
      </w:r>
      <w:r w:rsidR="00553ADA">
        <w:rPr>
          <w:szCs w:val="28"/>
        </w:rPr>
        <w:t>por</w:t>
      </w:r>
      <w:r w:rsidR="00BE7F11" w:rsidRPr="00996D87">
        <w:rPr>
          <w:szCs w:val="28"/>
        </w:rPr>
        <w:t xml:space="preserve"> el fenómeno de la cosa juzgada constitucional. </w:t>
      </w:r>
    </w:p>
    <w:p w14:paraId="77EFAA6F" w14:textId="77777777" w:rsidR="0007353F" w:rsidRPr="00566B75" w:rsidRDefault="0007353F" w:rsidP="0007353F">
      <w:pPr>
        <w:pStyle w:val="Prrafodelista"/>
        <w:tabs>
          <w:tab w:val="left" w:pos="567"/>
        </w:tabs>
        <w:ind w:left="0"/>
        <w:contextualSpacing/>
        <w:jc w:val="both"/>
        <w:rPr>
          <w:szCs w:val="28"/>
          <w:lang w:val="es-CO"/>
        </w:rPr>
      </w:pPr>
    </w:p>
    <w:p w14:paraId="406A6A5F" w14:textId="77777777" w:rsidR="00566B75" w:rsidRPr="002E4477" w:rsidRDefault="00566B75" w:rsidP="00566B75">
      <w:pPr>
        <w:pStyle w:val="NormalWeb"/>
        <w:tabs>
          <w:tab w:val="left" w:pos="284"/>
          <w:tab w:val="left" w:pos="426"/>
        </w:tabs>
        <w:spacing w:before="0" w:beforeAutospacing="0" w:after="0" w:afterAutospacing="0"/>
        <w:ind w:right="40"/>
        <w:jc w:val="both"/>
        <w:rPr>
          <w:i/>
          <w:iCs/>
          <w:sz w:val="28"/>
          <w:szCs w:val="28"/>
        </w:rPr>
      </w:pPr>
      <w:r>
        <w:rPr>
          <w:b/>
          <w:i/>
          <w:iCs/>
          <w:sz w:val="28"/>
          <w:szCs w:val="28"/>
        </w:rPr>
        <w:t xml:space="preserve">(iv) Cuarto argumento. </w:t>
      </w:r>
      <w:r w:rsidRPr="002E4477">
        <w:rPr>
          <w:b/>
          <w:i/>
          <w:iCs/>
          <w:sz w:val="28"/>
          <w:szCs w:val="28"/>
        </w:rPr>
        <w:t>Violación directa de la Constitución</w:t>
      </w:r>
      <w:r>
        <w:rPr>
          <w:b/>
          <w:i/>
          <w:iCs/>
          <w:sz w:val="28"/>
          <w:szCs w:val="28"/>
        </w:rPr>
        <w:t xml:space="preserve"> por indebida interpretación constitucional</w:t>
      </w:r>
    </w:p>
    <w:p w14:paraId="4D7F96B4" w14:textId="77777777" w:rsidR="00566B75" w:rsidRPr="002E4477" w:rsidRDefault="00566B75" w:rsidP="00566B75">
      <w:pPr>
        <w:pStyle w:val="NormalWeb"/>
        <w:tabs>
          <w:tab w:val="left" w:pos="284"/>
        </w:tabs>
        <w:spacing w:before="0" w:beforeAutospacing="0" w:after="0" w:afterAutospacing="0"/>
        <w:ind w:right="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3686"/>
      </w:tblGrid>
      <w:tr w:rsidR="00566B75" w:rsidRPr="002E4477" w14:paraId="7EC05861" w14:textId="77777777" w:rsidTr="00566B75">
        <w:tc>
          <w:tcPr>
            <w:tcW w:w="1985" w:type="dxa"/>
            <w:shd w:val="clear" w:color="auto" w:fill="BFBFBF"/>
          </w:tcPr>
          <w:p w14:paraId="32C54937" w14:textId="77777777" w:rsidR="00566B75" w:rsidRPr="002E4477" w:rsidRDefault="00566B75" w:rsidP="00566B75">
            <w:pPr>
              <w:pStyle w:val="NormalWeb"/>
              <w:tabs>
                <w:tab w:val="left" w:pos="284"/>
              </w:tabs>
              <w:spacing w:before="0" w:beforeAutospacing="0" w:after="0" w:afterAutospacing="0"/>
              <w:ind w:right="40"/>
              <w:jc w:val="center"/>
              <w:rPr>
                <w:b/>
              </w:rPr>
            </w:pPr>
            <w:r w:rsidRPr="002E4477">
              <w:rPr>
                <w:b/>
              </w:rPr>
              <w:t>Principios</w:t>
            </w:r>
          </w:p>
        </w:tc>
        <w:tc>
          <w:tcPr>
            <w:tcW w:w="3118" w:type="dxa"/>
            <w:shd w:val="clear" w:color="auto" w:fill="BFBFBF"/>
          </w:tcPr>
          <w:p w14:paraId="559683F1" w14:textId="77777777" w:rsidR="00566B75" w:rsidRPr="002E4477" w:rsidRDefault="00566B75" w:rsidP="00566B75">
            <w:pPr>
              <w:pStyle w:val="NormalWeb"/>
              <w:tabs>
                <w:tab w:val="left" w:pos="284"/>
              </w:tabs>
              <w:spacing w:before="0" w:beforeAutospacing="0" w:after="0" w:afterAutospacing="0"/>
              <w:ind w:right="40"/>
              <w:jc w:val="center"/>
              <w:rPr>
                <w:b/>
              </w:rPr>
            </w:pPr>
            <w:r w:rsidRPr="002E4477">
              <w:rPr>
                <w:b/>
              </w:rPr>
              <w:t>Argumentos a favor de la providencia del Consejo de Estado</w:t>
            </w:r>
          </w:p>
        </w:tc>
        <w:tc>
          <w:tcPr>
            <w:tcW w:w="3686" w:type="dxa"/>
            <w:shd w:val="clear" w:color="auto" w:fill="BFBFBF"/>
          </w:tcPr>
          <w:p w14:paraId="0A50A0E7" w14:textId="77777777" w:rsidR="00566B75" w:rsidRPr="002E4477" w:rsidRDefault="00566B75" w:rsidP="00566B75">
            <w:pPr>
              <w:pStyle w:val="NormalWeb"/>
              <w:tabs>
                <w:tab w:val="left" w:pos="284"/>
              </w:tabs>
              <w:spacing w:before="0" w:beforeAutospacing="0" w:after="0" w:afterAutospacing="0"/>
              <w:ind w:right="40"/>
              <w:jc w:val="center"/>
              <w:rPr>
                <w:b/>
              </w:rPr>
            </w:pPr>
            <w:r w:rsidRPr="002E4477">
              <w:rPr>
                <w:b/>
              </w:rPr>
              <w:t>Argumentos que soportan la existencia de defecto en la providencia</w:t>
            </w:r>
          </w:p>
          <w:p w14:paraId="5239640E" w14:textId="77777777" w:rsidR="00566B75" w:rsidRPr="002E4477" w:rsidRDefault="00566B75" w:rsidP="00566B75">
            <w:pPr>
              <w:pStyle w:val="NormalWeb"/>
              <w:tabs>
                <w:tab w:val="left" w:pos="284"/>
              </w:tabs>
              <w:spacing w:before="0" w:beforeAutospacing="0" w:after="0" w:afterAutospacing="0"/>
              <w:ind w:right="40"/>
              <w:jc w:val="center"/>
              <w:rPr>
                <w:b/>
              </w:rPr>
            </w:pPr>
          </w:p>
        </w:tc>
      </w:tr>
      <w:tr w:rsidR="00566B75" w:rsidRPr="002E4477" w14:paraId="7AA2000D" w14:textId="77777777" w:rsidTr="00566B75">
        <w:tc>
          <w:tcPr>
            <w:tcW w:w="1985" w:type="dxa"/>
            <w:shd w:val="clear" w:color="auto" w:fill="auto"/>
          </w:tcPr>
          <w:p w14:paraId="340B85A3" w14:textId="77777777" w:rsidR="00566B75" w:rsidRPr="002E4477" w:rsidRDefault="00566B75" w:rsidP="00566B75">
            <w:pPr>
              <w:pStyle w:val="NormalWeb"/>
              <w:tabs>
                <w:tab w:val="left" w:pos="284"/>
              </w:tabs>
              <w:spacing w:before="0" w:beforeAutospacing="0" w:after="0" w:afterAutospacing="0"/>
              <w:ind w:right="40"/>
              <w:jc w:val="both"/>
            </w:pPr>
            <w:r w:rsidRPr="002E4477">
              <w:t>Principio de no distinción, previsto en el Código Civil</w:t>
            </w:r>
          </w:p>
        </w:tc>
        <w:tc>
          <w:tcPr>
            <w:tcW w:w="3118" w:type="dxa"/>
            <w:shd w:val="clear" w:color="auto" w:fill="auto"/>
          </w:tcPr>
          <w:p w14:paraId="3912968E" w14:textId="77777777" w:rsidR="00566B75" w:rsidRPr="002E4477" w:rsidRDefault="00566B75" w:rsidP="00566B75">
            <w:pPr>
              <w:pStyle w:val="NormalWeb"/>
              <w:tabs>
                <w:tab w:val="left" w:pos="284"/>
              </w:tabs>
              <w:spacing w:before="0" w:beforeAutospacing="0" w:after="0" w:afterAutospacing="0"/>
              <w:ind w:right="40"/>
              <w:jc w:val="both"/>
            </w:pPr>
            <w:r w:rsidRPr="002E4477">
              <w:t xml:space="preserve">Este criterio interpretativo está en desuso. La interpretación debe aludir al contexto normativo. </w:t>
            </w:r>
          </w:p>
        </w:tc>
        <w:tc>
          <w:tcPr>
            <w:tcW w:w="3686" w:type="dxa"/>
            <w:shd w:val="clear" w:color="auto" w:fill="auto"/>
          </w:tcPr>
          <w:p w14:paraId="1926A559" w14:textId="77777777" w:rsidR="00566B75" w:rsidRPr="002E4477" w:rsidRDefault="00566B75" w:rsidP="00566B75">
            <w:pPr>
              <w:pStyle w:val="NormalWeb"/>
              <w:tabs>
                <w:tab w:val="left" w:pos="284"/>
              </w:tabs>
              <w:spacing w:before="0" w:beforeAutospacing="0" w:after="0" w:afterAutospacing="0"/>
              <w:ind w:right="40"/>
              <w:jc w:val="both"/>
            </w:pPr>
            <w:r w:rsidRPr="002E4477">
              <w:t>Para el CSJ</w:t>
            </w:r>
            <w:r>
              <w:t>,</w:t>
            </w:r>
            <w:r w:rsidRPr="002E4477">
              <w:t xml:space="preserve"> el Consejo de Estado debió acoger el principio que reza que “</w:t>
            </w:r>
            <w:r w:rsidRPr="003332BB">
              <w:rPr>
                <w:i/>
                <w:iCs/>
              </w:rPr>
              <w:t>cuando la norma no distingue, no le corresponde distinguir al intérprete</w:t>
            </w:r>
            <w:r w:rsidRPr="002E4477">
              <w:t xml:space="preserve">”, para no desatender el sentido del artículo 257A.  </w:t>
            </w:r>
          </w:p>
        </w:tc>
      </w:tr>
      <w:tr w:rsidR="00566B75" w:rsidRPr="002E4477" w14:paraId="63D63E86" w14:textId="77777777" w:rsidTr="00566B75">
        <w:tc>
          <w:tcPr>
            <w:tcW w:w="1985" w:type="dxa"/>
            <w:shd w:val="clear" w:color="auto" w:fill="auto"/>
          </w:tcPr>
          <w:p w14:paraId="33E8DFD2" w14:textId="77777777" w:rsidR="00566B75" w:rsidRPr="002E4477" w:rsidRDefault="00566B75" w:rsidP="00566B75">
            <w:pPr>
              <w:pStyle w:val="NormalWeb"/>
              <w:tabs>
                <w:tab w:val="left" w:pos="284"/>
              </w:tabs>
              <w:spacing w:before="0" w:beforeAutospacing="0" w:after="0" w:afterAutospacing="0"/>
              <w:ind w:right="40"/>
              <w:jc w:val="both"/>
            </w:pPr>
            <w:r w:rsidRPr="002E4477">
              <w:t>Interpretación sistemática</w:t>
            </w:r>
          </w:p>
        </w:tc>
        <w:tc>
          <w:tcPr>
            <w:tcW w:w="3118" w:type="dxa"/>
            <w:shd w:val="clear" w:color="auto" w:fill="auto"/>
          </w:tcPr>
          <w:p w14:paraId="07DF40C0" w14:textId="77777777" w:rsidR="00566B75" w:rsidRPr="002E4477" w:rsidRDefault="00566B75" w:rsidP="00566B75">
            <w:pPr>
              <w:pStyle w:val="NormalWeb"/>
              <w:tabs>
                <w:tab w:val="left" w:pos="284"/>
              </w:tabs>
              <w:spacing w:before="0" w:beforeAutospacing="0" w:after="0" w:afterAutospacing="0"/>
              <w:ind w:right="40"/>
              <w:jc w:val="both"/>
            </w:pPr>
            <w:r w:rsidRPr="002E4477">
              <w:t>El Consejo de Estado considera que adelantó en este caso una interpretación sistemática, atendiendo los artículos 126, 152, 257, 257A de la Carta.</w:t>
            </w:r>
          </w:p>
        </w:tc>
        <w:tc>
          <w:tcPr>
            <w:tcW w:w="3686" w:type="dxa"/>
            <w:shd w:val="clear" w:color="auto" w:fill="auto"/>
          </w:tcPr>
          <w:p w14:paraId="1AC3C7D7" w14:textId="77777777" w:rsidR="00566B75" w:rsidRPr="002E4477" w:rsidRDefault="00566B75" w:rsidP="00566B75">
            <w:pPr>
              <w:jc w:val="both"/>
              <w:rPr>
                <w:sz w:val="24"/>
                <w:szCs w:val="24"/>
              </w:rPr>
            </w:pPr>
            <w:r w:rsidRPr="002E4477">
              <w:rPr>
                <w:sz w:val="24"/>
                <w:szCs w:val="24"/>
              </w:rPr>
              <w:t xml:space="preserve">La interpretación sistemática que realizó el Consejo de Estado omitió considerar el </w:t>
            </w:r>
            <w:r>
              <w:rPr>
                <w:sz w:val="24"/>
                <w:szCs w:val="24"/>
              </w:rPr>
              <w:t>p</w:t>
            </w:r>
            <w:r w:rsidRPr="002E4477">
              <w:rPr>
                <w:sz w:val="24"/>
                <w:szCs w:val="24"/>
              </w:rPr>
              <w:t>arágrafo del artículo 257A superior y el artículo 254 de la Carta, al desconocer la existencia de una transición entre entidades</w:t>
            </w:r>
            <w:r>
              <w:rPr>
                <w:sz w:val="24"/>
                <w:szCs w:val="24"/>
              </w:rPr>
              <w:t xml:space="preserve">, que permitían la ocupación de la magistratura por un período </w:t>
            </w:r>
            <w:r w:rsidRPr="002E4477">
              <w:rPr>
                <w:sz w:val="24"/>
                <w:szCs w:val="24"/>
              </w:rPr>
              <w:t xml:space="preserve">superior al determinado en la Constitución. </w:t>
            </w:r>
          </w:p>
        </w:tc>
      </w:tr>
      <w:tr w:rsidR="00566B75" w:rsidRPr="002E4477" w14:paraId="035F9D1C" w14:textId="77777777" w:rsidTr="00566B75">
        <w:tc>
          <w:tcPr>
            <w:tcW w:w="1985" w:type="dxa"/>
            <w:shd w:val="clear" w:color="auto" w:fill="auto"/>
          </w:tcPr>
          <w:p w14:paraId="2D297618" w14:textId="77777777" w:rsidR="00566B75" w:rsidRPr="002E4477" w:rsidRDefault="00566B75" w:rsidP="00566B75">
            <w:pPr>
              <w:pStyle w:val="NormalWeb"/>
              <w:tabs>
                <w:tab w:val="left" w:pos="284"/>
              </w:tabs>
              <w:spacing w:before="0" w:beforeAutospacing="0" w:after="0" w:afterAutospacing="0"/>
              <w:ind w:right="40"/>
              <w:jc w:val="both"/>
            </w:pPr>
            <w:r w:rsidRPr="002E4477">
              <w:t>Interpretación exegética</w:t>
            </w:r>
          </w:p>
        </w:tc>
        <w:tc>
          <w:tcPr>
            <w:tcW w:w="3118" w:type="dxa"/>
            <w:shd w:val="clear" w:color="auto" w:fill="auto"/>
          </w:tcPr>
          <w:p w14:paraId="2AA44146" w14:textId="77777777" w:rsidR="00566B75" w:rsidRPr="002E4477" w:rsidRDefault="00566B75" w:rsidP="00566B75">
            <w:pPr>
              <w:pStyle w:val="NormalWeb"/>
              <w:tabs>
                <w:tab w:val="left" w:pos="284"/>
              </w:tabs>
              <w:spacing w:before="0" w:beforeAutospacing="0" w:after="0" w:afterAutospacing="0"/>
              <w:ind w:right="40"/>
              <w:jc w:val="both"/>
            </w:pPr>
            <w:r w:rsidRPr="002E4477">
              <w:t xml:space="preserve">Una interpretación textual de la norma da cuenta de un vacío en ella en cuanto a la competencia. </w:t>
            </w:r>
          </w:p>
        </w:tc>
        <w:tc>
          <w:tcPr>
            <w:tcW w:w="3686" w:type="dxa"/>
            <w:shd w:val="clear" w:color="auto" w:fill="auto"/>
          </w:tcPr>
          <w:p w14:paraId="7A68EA00" w14:textId="77777777" w:rsidR="00566B75" w:rsidRPr="002E4477" w:rsidRDefault="00566B75" w:rsidP="00566B75">
            <w:pPr>
              <w:pStyle w:val="NormalWeb"/>
              <w:tabs>
                <w:tab w:val="left" w:pos="284"/>
              </w:tabs>
              <w:spacing w:before="0" w:beforeAutospacing="0" w:after="0" w:afterAutospacing="0"/>
              <w:ind w:right="40"/>
              <w:jc w:val="both"/>
            </w:pPr>
            <w:r w:rsidRPr="002E4477">
              <w:t xml:space="preserve">La interpretación exegética del artículo 257A supone que las ternas deben ser integradas por el CSJ previa convocatoria reglada, </w:t>
            </w:r>
            <w:r w:rsidRPr="00553ADA">
              <w:t xml:space="preserve">sin que ello equivalga a que la regulación dependa necesariamente del Legislador. Menos, si lo previsto en la sentencia C-285 de 2016 que hizo tránsito a cosa juzgada constitucional, de acuerdo con su </w:t>
            </w:r>
            <w:r w:rsidRPr="00553ADA">
              <w:rPr>
                <w:i/>
                <w:iCs/>
              </w:rPr>
              <w:t>ratio decidendi</w:t>
            </w:r>
            <w:r w:rsidRPr="00553ADA">
              <w:t>, resolvió esa  duda.</w:t>
            </w:r>
          </w:p>
          <w:p w14:paraId="25E5FE75" w14:textId="77777777" w:rsidR="00566B75" w:rsidRPr="002E4477" w:rsidRDefault="00566B75" w:rsidP="00566B75">
            <w:pPr>
              <w:pStyle w:val="NormalWeb"/>
              <w:tabs>
                <w:tab w:val="left" w:pos="284"/>
              </w:tabs>
              <w:spacing w:before="0" w:beforeAutospacing="0" w:after="0" w:afterAutospacing="0"/>
              <w:ind w:right="40"/>
              <w:jc w:val="both"/>
            </w:pPr>
          </w:p>
        </w:tc>
      </w:tr>
      <w:tr w:rsidR="00566B75" w:rsidRPr="002E4477" w14:paraId="14703A83" w14:textId="77777777" w:rsidTr="00566B75">
        <w:tc>
          <w:tcPr>
            <w:tcW w:w="1985" w:type="dxa"/>
            <w:shd w:val="clear" w:color="auto" w:fill="auto"/>
          </w:tcPr>
          <w:p w14:paraId="061ADD0B" w14:textId="77777777" w:rsidR="00566B75" w:rsidRPr="002E4477" w:rsidRDefault="00566B75" w:rsidP="00566B75">
            <w:pPr>
              <w:pStyle w:val="NormalWeb"/>
              <w:tabs>
                <w:tab w:val="left" w:pos="284"/>
              </w:tabs>
              <w:spacing w:before="0" w:beforeAutospacing="0" w:after="0" w:afterAutospacing="0"/>
              <w:ind w:right="40"/>
              <w:jc w:val="both"/>
            </w:pPr>
            <w:r w:rsidRPr="002E4477">
              <w:t>Voluntad del Constituyente</w:t>
            </w:r>
          </w:p>
        </w:tc>
        <w:tc>
          <w:tcPr>
            <w:tcW w:w="3118" w:type="dxa"/>
            <w:shd w:val="clear" w:color="auto" w:fill="auto"/>
          </w:tcPr>
          <w:p w14:paraId="4F9EA65E" w14:textId="77777777" w:rsidR="00566B75" w:rsidRPr="002E4477" w:rsidRDefault="00566B75" w:rsidP="00566B75">
            <w:pPr>
              <w:pStyle w:val="NormalWeb"/>
              <w:tabs>
                <w:tab w:val="left" w:pos="284"/>
              </w:tabs>
              <w:spacing w:before="0" w:beforeAutospacing="0" w:after="0" w:afterAutospacing="0"/>
              <w:ind w:right="40"/>
              <w:jc w:val="both"/>
            </w:pPr>
            <w:r w:rsidRPr="002E4477">
              <w:t>Era eliminar el CSJ</w:t>
            </w:r>
          </w:p>
        </w:tc>
        <w:tc>
          <w:tcPr>
            <w:tcW w:w="3686" w:type="dxa"/>
            <w:shd w:val="clear" w:color="auto" w:fill="auto"/>
          </w:tcPr>
          <w:p w14:paraId="146146E8" w14:textId="77777777" w:rsidR="00566B75" w:rsidRPr="002E4477" w:rsidRDefault="00566B75" w:rsidP="00566B75">
            <w:pPr>
              <w:pStyle w:val="NormalWeb"/>
              <w:tabs>
                <w:tab w:val="left" w:pos="284"/>
              </w:tabs>
              <w:spacing w:before="0" w:beforeAutospacing="0" w:after="0" w:afterAutospacing="0"/>
              <w:ind w:right="40"/>
              <w:jc w:val="both"/>
            </w:pPr>
            <w:r w:rsidRPr="002E4477">
              <w:t>Era atribuirle funciones transitorias al Consejo de Gobierno Judicial, hoy CSJ, para conformar la primera CNDJ</w:t>
            </w:r>
            <w:r>
              <w:t xml:space="preserve"> e introducir una reforma sustantiva al régimen disciplinario de abogados y servidores judiciales.</w:t>
            </w:r>
          </w:p>
          <w:p w14:paraId="72E9F530" w14:textId="77777777" w:rsidR="00566B75" w:rsidRPr="002E4477" w:rsidRDefault="00566B75" w:rsidP="00566B75">
            <w:pPr>
              <w:pStyle w:val="NormalWeb"/>
              <w:tabs>
                <w:tab w:val="left" w:pos="284"/>
              </w:tabs>
              <w:spacing w:before="0" w:beforeAutospacing="0" w:after="0" w:afterAutospacing="0"/>
              <w:ind w:right="40"/>
              <w:jc w:val="both"/>
            </w:pPr>
          </w:p>
        </w:tc>
      </w:tr>
      <w:tr w:rsidR="00566B75" w:rsidRPr="002E4477" w14:paraId="6FD797E1" w14:textId="77777777" w:rsidTr="00566B75">
        <w:tc>
          <w:tcPr>
            <w:tcW w:w="1985" w:type="dxa"/>
            <w:shd w:val="clear" w:color="auto" w:fill="auto"/>
          </w:tcPr>
          <w:p w14:paraId="308161AC" w14:textId="77777777" w:rsidR="00566B75" w:rsidRPr="002E4477" w:rsidRDefault="00566B75" w:rsidP="00566B75">
            <w:pPr>
              <w:pStyle w:val="NormalWeb"/>
              <w:tabs>
                <w:tab w:val="left" w:pos="284"/>
              </w:tabs>
              <w:spacing w:before="0" w:beforeAutospacing="0" w:after="0" w:afterAutospacing="0"/>
              <w:ind w:right="40"/>
              <w:jc w:val="both"/>
            </w:pPr>
            <w:r w:rsidRPr="002E4477">
              <w:t>Estado de los Magistrados de la Sala Jurisdiccional Disciplinaria</w:t>
            </w:r>
          </w:p>
        </w:tc>
        <w:tc>
          <w:tcPr>
            <w:tcW w:w="3118" w:type="dxa"/>
            <w:shd w:val="clear" w:color="auto" w:fill="auto"/>
          </w:tcPr>
          <w:p w14:paraId="6E8CD228" w14:textId="77777777" w:rsidR="00566B75" w:rsidRPr="002E4477" w:rsidRDefault="00566B75" w:rsidP="00566B75">
            <w:pPr>
              <w:pStyle w:val="NormalWeb"/>
              <w:tabs>
                <w:tab w:val="left" w:pos="284"/>
              </w:tabs>
              <w:spacing w:before="0" w:beforeAutospacing="0" w:after="0" w:afterAutospacing="0"/>
              <w:ind w:right="40"/>
              <w:jc w:val="both"/>
            </w:pPr>
            <w:r w:rsidRPr="002E4477">
              <w:t>La situación actual de esos Magistrados es un hecho que escapa al control del juez constitucional y que le corresponde</w:t>
            </w:r>
            <w:r>
              <w:t xml:space="preserve"> </w:t>
            </w:r>
            <w:r w:rsidRPr="002E4477">
              <w:t xml:space="preserve">solucionar exclusivamente al Legislador. </w:t>
            </w:r>
          </w:p>
        </w:tc>
        <w:tc>
          <w:tcPr>
            <w:tcW w:w="3686" w:type="dxa"/>
            <w:shd w:val="clear" w:color="auto" w:fill="auto"/>
          </w:tcPr>
          <w:p w14:paraId="2B673E18" w14:textId="77777777" w:rsidR="00566B75" w:rsidRPr="002E4477" w:rsidRDefault="00566B75" w:rsidP="00566B75">
            <w:pPr>
              <w:pStyle w:val="NormalWeb"/>
              <w:tabs>
                <w:tab w:val="left" w:pos="284"/>
              </w:tabs>
              <w:spacing w:before="0" w:beforeAutospacing="0" w:after="0" w:afterAutospacing="0"/>
              <w:ind w:right="40"/>
              <w:jc w:val="both"/>
            </w:pPr>
            <w:r w:rsidRPr="002E4477">
              <w:t xml:space="preserve">La interpretación debería tomar en consideración esta realidad, pues hay una entidad prevista por la Carta anterior, que ya no se encuentra vigente en el régimen constitucional actual, que está ejerciendo las funciones que le competen a otro organismo constitucional vigente, por un periodo de tiempo superior al que le corresponde, lo que </w:t>
            </w:r>
            <w:r>
              <w:t>genera</w:t>
            </w:r>
            <w:r w:rsidRPr="002E4477">
              <w:t xml:space="preserve"> una situación institucional abiertamente contraria al texto superior. </w:t>
            </w:r>
          </w:p>
          <w:p w14:paraId="32C5F869" w14:textId="77777777" w:rsidR="00566B75" w:rsidRPr="002E4477" w:rsidRDefault="00566B75" w:rsidP="00566B75">
            <w:pPr>
              <w:pStyle w:val="NormalWeb"/>
              <w:tabs>
                <w:tab w:val="left" w:pos="284"/>
              </w:tabs>
              <w:spacing w:before="0" w:beforeAutospacing="0" w:after="0" w:afterAutospacing="0"/>
              <w:ind w:right="40"/>
              <w:jc w:val="both"/>
            </w:pPr>
          </w:p>
        </w:tc>
      </w:tr>
      <w:tr w:rsidR="00566B75" w:rsidRPr="002E4477" w14:paraId="5ED7F978" w14:textId="77777777" w:rsidTr="00566B75">
        <w:tc>
          <w:tcPr>
            <w:tcW w:w="1985" w:type="dxa"/>
            <w:shd w:val="clear" w:color="auto" w:fill="auto"/>
          </w:tcPr>
          <w:p w14:paraId="3CEA745F" w14:textId="77777777" w:rsidR="00566B75" w:rsidRPr="002E4477" w:rsidRDefault="00566B75" w:rsidP="00566B75">
            <w:pPr>
              <w:pStyle w:val="NormalWeb"/>
              <w:tabs>
                <w:tab w:val="left" w:pos="284"/>
              </w:tabs>
              <w:spacing w:before="0" w:beforeAutospacing="0" w:after="0" w:afterAutospacing="0"/>
              <w:ind w:right="40"/>
              <w:jc w:val="both"/>
            </w:pPr>
            <w:r w:rsidRPr="002E4477">
              <w:t xml:space="preserve">Efecto útil </w:t>
            </w:r>
          </w:p>
        </w:tc>
        <w:tc>
          <w:tcPr>
            <w:tcW w:w="3118" w:type="dxa"/>
            <w:shd w:val="clear" w:color="auto" w:fill="auto"/>
          </w:tcPr>
          <w:p w14:paraId="097F2E11" w14:textId="77777777" w:rsidR="00566B75" w:rsidRPr="002E4477" w:rsidRDefault="00566B75" w:rsidP="00566B75">
            <w:pPr>
              <w:pStyle w:val="NormalWeb"/>
              <w:tabs>
                <w:tab w:val="left" w:pos="284"/>
              </w:tabs>
              <w:spacing w:before="0" w:beforeAutospacing="0" w:after="0" w:afterAutospacing="0"/>
              <w:ind w:right="40"/>
              <w:jc w:val="both"/>
            </w:pPr>
          </w:p>
        </w:tc>
        <w:tc>
          <w:tcPr>
            <w:tcW w:w="3686" w:type="dxa"/>
            <w:shd w:val="clear" w:color="auto" w:fill="auto"/>
          </w:tcPr>
          <w:p w14:paraId="6F16F593" w14:textId="77777777" w:rsidR="00566B75" w:rsidRPr="002E4477" w:rsidRDefault="00566B75" w:rsidP="00566B75">
            <w:pPr>
              <w:pStyle w:val="NormalWeb"/>
              <w:tabs>
                <w:tab w:val="left" w:pos="284"/>
              </w:tabs>
              <w:spacing w:before="0" w:beforeAutospacing="0" w:after="0" w:afterAutospacing="0"/>
              <w:ind w:right="40"/>
              <w:jc w:val="both"/>
            </w:pPr>
            <w:r w:rsidRPr="00553ADA">
              <w:t>En la interpretación del Parágrafo Transitorio No 1 del artículo 257A superior, se descuidó este principio, al punto que</w:t>
            </w:r>
            <w:r w:rsidRPr="002E4477">
              <w:t xml:space="preserve"> la norma constitucional resultó inane y ha sido abiertamente incumplida por todas las autoridades estatales encargadas de darle sentido.</w:t>
            </w:r>
          </w:p>
        </w:tc>
      </w:tr>
    </w:tbl>
    <w:p w14:paraId="1E8A4E2E" w14:textId="77777777" w:rsidR="00566B75" w:rsidRDefault="00566B75" w:rsidP="00566B75">
      <w:pPr>
        <w:pStyle w:val="Prrafodelista"/>
        <w:rPr>
          <w:szCs w:val="28"/>
          <w:lang w:val="es-CO"/>
        </w:rPr>
      </w:pPr>
    </w:p>
    <w:p w14:paraId="3AE60F88" w14:textId="77777777" w:rsidR="00941426" w:rsidRPr="00553ADA" w:rsidRDefault="006F16F1" w:rsidP="00C275F3">
      <w:pPr>
        <w:pStyle w:val="Prrafodelista"/>
        <w:numPr>
          <w:ilvl w:val="0"/>
          <w:numId w:val="10"/>
        </w:numPr>
        <w:tabs>
          <w:tab w:val="left" w:pos="567"/>
        </w:tabs>
        <w:contextualSpacing/>
        <w:jc w:val="both"/>
        <w:rPr>
          <w:szCs w:val="28"/>
          <w:lang w:val="es-CO"/>
        </w:rPr>
      </w:pPr>
      <w:r w:rsidRPr="00566B75">
        <w:rPr>
          <w:szCs w:val="28"/>
        </w:rPr>
        <w:t xml:space="preserve">En </w:t>
      </w:r>
      <w:r w:rsidR="00941426" w:rsidRPr="00566B75">
        <w:rPr>
          <w:szCs w:val="28"/>
        </w:rPr>
        <w:t xml:space="preserve">la </w:t>
      </w:r>
      <w:r w:rsidR="00941426" w:rsidRPr="00553ADA">
        <w:rPr>
          <w:szCs w:val="28"/>
        </w:rPr>
        <w:t>interpretación constitucional,</w:t>
      </w:r>
      <w:r w:rsidRPr="00553ADA">
        <w:rPr>
          <w:szCs w:val="28"/>
        </w:rPr>
        <w:t xml:space="preserve"> </w:t>
      </w:r>
      <w:r w:rsidR="005344D4" w:rsidRPr="00553ADA">
        <w:rPr>
          <w:szCs w:val="28"/>
        </w:rPr>
        <w:t xml:space="preserve">aunado </w:t>
      </w:r>
      <w:r w:rsidRPr="00553ADA">
        <w:rPr>
          <w:szCs w:val="28"/>
        </w:rPr>
        <w:t xml:space="preserve">al análisis textual </w:t>
      </w:r>
      <w:r w:rsidR="005207D9" w:rsidRPr="00553ADA">
        <w:rPr>
          <w:szCs w:val="28"/>
        </w:rPr>
        <w:t xml:space="preserve">de </w:t>
      </w:r>
      <w:r w:rsidRPr="00553ADA">
        <w:rPr>
          <w:szCs w:val="28"/>
        </w:rPr>
        <w:t>las disposiciones superiores</w:t>
      </w:r>
      <w:r w:rsidR="00ED5A57" w:rsidRPr="00553ADA">
        <w:rPr>
          <w:szCs w:val="28"/>
        </w:rPr>
        <w:t xml:space="preserve"> que van a ser evaluadas</w:t>
      </w:r>
      <w:r w:rsidR="005344D4" w:rsidRPr="00553ADA">
        <w:rPr>
          <w:szCs w:val="28"/>
        </w:rPr>
        <w:t xml:space="preserve">, uno de los primeros elementos a considerar en el </w:t>
      </w:r>
      <w:r w:rsidR="00E02F1D" w:rsidRPr="00553ADA">
        <w:rPr>
          <w:szCs w:val="28"/>
        </w:rPr>
        <w:t>examen</w:t>
      </w:r>
      <w:r w:rsidR="008D02FA" w:rsidRPr="00553ADA">
        <w:rPr>
          <w:szCs w:val="28"/>
        </w:rPr>
        <w:t xml:space="preserve"> hermenéutico</w:t>
      </w:r>
      <w:r w:rsidR="00ED5A57" w:rsidRPr="00553ADA">
        <w:rPr>
          <w:szCs w:val="28"/>
        </w:rPr>
        <w:t>,</w:t>
      </w:r>
      <w:r w:rsidR="005344D4" w:rsidRPr="00553ADA">
        <w:rPr>
          <w:szCs w:val="28"/>
        </w:rPr>
        <w:t xml:space="preserve"> </w:t>
      </w:r>
      <w:r w:rsidR="00941426" w:rsidRPr="00553ADA">
        <w:rPr>
          <w:szCs w:val="28"/>
        </w:rPr>
        <w:t>es la cosa juzgada constitucional</w:t>
      </w:r>
      <w:r w:rsidR="00ED5A57" w:rsidRPr="00553ADA">
        <w:rPr>
          <w:szCs w:val="28"/>
        </w:rPr>
        <w:t xml:space="preserve">. Esa aproximación le </w:t>
      </w:r>
      <w:r w:rsidR="00E02F1D" w:rsidRPr="00553ADA">
        <w:rPr>
          <w:szCs w:val="28"/>
        </w:rPr>
        <w:t>permite al intérprete a</w:t>
      </w:r>
      <w:r w:rsidR="00941426" w:rsidRPr="00553ADA">
        <w:rPr>
          <w:szCs w:val="28"/>
        </w:rPr>
        <w:t xml:space="preserve"> partir de </w:t>
      </w:r>
      <w:r w:rsidR="00ED5A57" w:rsidRPr="00553ADA">
        <w:rPr>
          <w:szCs w:val="28"/>
        </w:rPr>
        <w:t>las determinaciones que haya tomado la Corte Constitucional</w:t>
      </w:r>
      <w:r w:rsidR="005256BE" w:rsidRPr="00553ADA">
        <w:rPr>
          <w:szCs w:val="28"/>
        </w:rPr>
        <w:t xml:space="preserve">, </w:t>
      </w:r>
      <w:r w:rsidR="003C0D50" w:rsidRPr="00553ADA">
        <w:rPr>
          <w:szCs w:val="28"/>
        </w:rPr>
        <w:t>valorar</w:t>
      </w:r>
      <w:r w:rsidR="00ED5A57" w:rsidRPr="00553ADA">
        <w:rPr>
          <w:szCs w:val="28"/>
        </w:rPr>
        <w:t xml:space="preserve"> los alcances de</w:t>
      </w:r>
      <w:r w:rsidR="00E02F1D" w:rsidRPr="00553ADA">
        <w:rPr>
          <w:szCs w:val="28"/>
        </w:rPr>
        <w:t xml:space="preserve"> la norma que estime conducentes</w:t>
      </w:r>
      <w:r w:rsidR="00ED5A57" w:rsidRPr="00553ADA">
        <w:rPr>
          <w:szCs w:val="28"/>
        </w:rPr>
        <w:t xml:space="preserve"> </w:t>
      </w:r>
      <w:r w:rsidR="003C0D50" w:rsidRPr="00553ADA">
        <w:rPr>
          <w:szCs w:val="28"/>
        </w:rPr>
        <w:t xml:space="preserve">conforme a la </w:t>
      </w:r>
      <w:r w:rsidR="003C0D50" w:rsidRPr="00553ADA">
        <w:rPr>
          <w:i/>
          <w:iCs/>
          <w:szCs w:val="28"/>
        </w:rPr>
        <w:t>ratio decidendi</w:t>
      </w:r>
      <w:r w:rsidR="003C0D50" w:rsidRPr="00553ADA">
        <w:rPr>
          <w:szCs w:val="28"/>
        </w:rPr>
        <w:t xml:space="preserve">  del fallo constitucional, </w:t>
      </w:r>
      <w:r w:rsidR="00ED5A57" w:rsidRPr="00553ADA">
        <w:rPr>
          <w:szCs w:val="28"/>
        </w:rPr>
        <w:t xml:space="preserve">para realizar una lectura ajustada a la </w:t>
      </w:r>
      <w:r w:rsidR="003C0D50" w:rsidRPr="00553ADA">
        <w:rPr>
          <w:szCs w:val="28"/>
        </w:rPr>
        <w:t>Carta.</w:t>
      </w:r>
    </w:p>
    <w:p w14:paraId="26EE9F90" w14:textId="77777777" w:rsidR="00566B75" w:rsidRPr="00553ADA" w:rsidRDefault="00566B75" w:rsidP="00566B75">
      <w:pPr>
        <w:pStyle w:val="Prrafodelista"/>
        <w:tabs>
          <w:tab w:val="left" w:pos="567"/>
        </w:tabs>
        <w:ind w:left="0"/>
        <w:contextualSpacing/>
        <w:jc w:val="both"/>
        <w:rPr>
          <w:szCs w:val="28"/>
          <w:lang w:val="es-CO"/>
        </w:rPr>
      </w:pPr>
    </w:p>
    <w:p w14:paraId="2B6C11E8" w14:textId="77777777" w:rsidR="00566B75" w:rsidRPr="00553ADA" w:rsidRDefault="00941426" w:rsidP="00566B75">
      <w:pPr>
        <w:pStyle w:val="Prrafodelista"/>
        <w:numPr>
          <w:ilvl w:val="0"/>
          <w:numId w:val="10"/>
        </w:numPr>
        <w:tabs>
          <w:tab w:val="left" w:pos="567"/>
        </w:tabs>
        <w:contextualSpacing/>
        <w:jc w:val="both"/>
        <w:rPr>
          <w:szCs w:val="28"/>
          <w:lang w:val="es-CO"/>
        </w:rPr>
      </w:pPr>
      <w:r w:rsidRPr="00553ADA">
        <w:rPr>
          <w:szCs w:val="28"/>
          <w:lang w:val="es-CO"/>
        </w:rPr>
        <w:t xml:space="preserve">Desde esta perspectiva, el desconocimiento </w:t>
      </w:r>
      <w:r w:rsidR="005256BE" w:rsidRPr="00553ADA">
        <w:rPr>
          <w:szCs w:val="28"/>
          <w:lang w:val="es-CO"/>
        </w:rPr>
        <w:t xml:space="preserve">por parte del Consejo de Estado </w:t>
      </w:r>
      <w:r w:rsidRPr="00553ADA">
        <w:rPr>
          <w:szCs w:val="28"/>
          <w:lang w:val="es-CO"/>
        </w:rPr>
        <w:t>de</w:t>
      </w:r>
      <w:r w:rsidR="003C0D50" w:rsidRPr="00553ADA">
        <w:rPr>
          <w:szCs w:val="28"/>
          <w:lang w:val="es-CO"/>
        </w:rPr>
        <w:t xml:space="preserve"> la modulación interpretativa </w:t>
      </w:r>
      <w:r w:rsidRPr="00553ADA">
        <w:rPr>
          <w:szCs w:val="28"/>
          <w:lang w:val="es-CO"/>
        </w:rPr>
        <w:t>propuest</w:t>
      </w:r>
      <w:r w:rsidR="003C0D50" w:rsidRPr="00553ADA">
        <w:rPr>
          <w:szCs w:val="28"/>
          <w:lang w:val="es-CO"/>
        </w:rPr>
        <w:t>a</w:t>
      </w:r>
      <w:r w:rsidRPr="00553ADA">
        <w:rPr>
          <w:szCs w:val="28"/>
          <w:lang w:val="es-CO"/>
        </w:rPr>
        <w:t xml:space="preserve"> por </w:t>
      </w:r>
      <w:r w:rsidR="008D02FA" w:rsidRPr="00553ADA">
        <w:rPr>
          <w:szCs w:val="28"/>
          <w:lang w:val="es-CO"/>
        </w:rPr>
        <w:t xml:space="preserve">esta Corporación </w:t>
      </w:r>
      <w:r w:rsidRPr="00553ADA">
        <w:rPr>
          <w:szCs w:val="28"/>
          <w:lang w:val="es-CO"/>
        </w:rPr>
        <w:t xml:space="preserve">a las normas </w:t>
      </w:r>
      <w:r w:rsidR="005256BE" w:rsidRPr="00553ADA">
        <w:rPr>
          <w:szCs w:val="28"/>
          <w:lang w:val="es-CO"/>
        </w:rPr>
        <w:t>superiores involucradas</w:t>
      </w:r>
      <w:r w:rsidR="00841A82" w:rsidRPr="00553ADA">
        <w:rPr>
          <w:szCs w:val="28"/>
          <w:lang w:val="es-CO"/>
        </w:rPr>
        <w:t xml:space="preserve"> en e</w:t>
      </w:r>
      <w:r w:rsidR="008D02FA" w:rsidRPr="00553ADA">
        <w:rPr>
          <w:szCs w:val="28"/>
          <w:lang w:val="es-CO"/>
        </w:rPr>
        <w:t>l</w:t>
      </w:r>
      <w:r w:rsidR="00841A82" w:rsidRPr="00553ADA">
        <w:rPr>
          <w:szCs w:val="28"/>
          <w:lang w:val="es-CO"/>
        </w:rPr>
        <w:t xml:space="preserve"> caso</w:t>
      </w:r>
      <w:r w:rsidR="008D02FA" w:rsidRPr="00553ADA">
        <w:rPr>
          <w:szCs w:val="28"/>
          <w:lang w:val="es-CO"/>
        </w:rPr>
        <w:t>,</w:t>
      </w:r>
      <w:r w:rsidR="009B694A" w:rsidRPr="00553ADA">
        <w:rPr>
          <w:szCs w:val="28"/>
          <w:lang w:val="es-CO"/>
        </w:rPr>
        <w:t xml:space="preserve"> conforme a la sentencia tantas veces mencionada</w:t>
      </w:r>
      <w:r w:rsidR="00841A82" w:rsidRPr="00553ADA">
        <w:rPr>
          <w:szCs w:val="28"/>
          <w:lang w:val="es-CO"/>
        </w:rPr>
        <w:t>,</w:t>
      </w:r>
      <w:r w:rsidRPr="00553ADA">
        <w:rPr>
          <w:szCs w:val="28"/>
          <w:lang w:val="es-CO"/>
        </w:rPr>
        <w:t xml:space="preserve"> desvirt</w:t>
      </w:r>
      <w:r w:rsidR="00E02F1D" w:rsidRPr="00553ADA">
        <w:rPr>
          <w:szCs w:val="28"/>
          <w:lang w:val="es-CO"/>
        </w:rPr>
        <w:t>uó</w:t>
      </w:r>
      <w:r w:rsidR="005256BE" w:rsidRPr="00553ADA">
        <w:rPr>
          <w:szCs w:val="28"/>
          <w:lang w:val="es-CO"/>
        </w:rPr>
        <w:t xml:space="preserve"> </w:t>
      </w:r>
      <w:r w:rsidR="00841A82" w:rsidRPr="00553ADA">
        <w:rPr>
          <w:szCs w:val="28"/>
          <w:lang w:val="es-CO"/>
        </w:rPr>
        <w:t xml:space="preserve">la pertinencia y validez del </w:t>
      </w:r>
      <w:r w:rsidRPr="00553ADA">
        <w:rPr>
          <w:szCs w:val="28"/>
          <w:lang w:val="es-CO"/>
        </w:rPr>
        <w:t xml:space="preserve">análisis </w:t>
      </w:r>
      <w:r w:rsidR="006F16F1" w:rsidRPr="00553ADA">
        <w:rPr>
          <w:szCs w:val="28"/>
          <w:lang w:val="es-CO"/>
        </w:rPr>
        <w:t>inicial</w:t>
      </w:r>
      <w:r w:rsidR="005256BE" w:rsidRPr="00553ADA">
        <w:rPr>
          <w:szCs w:val="28"/>
          <w:lang w:val="es-CO"/>
        </w:rPr>
        <w:t xml:space="preserve"> realizado por esa </w:t>
      </w:r>
      <w:r w:rsidR="003C0D50" w:rsidRPr="00553ADA">
        <w:rPr>
          <w:szCs w:val="28"/>
          <w:lang w:val="es-CO"/>
        </w:rPr>
        <w:t>C</w:t>
      </w:r>
      <w:r w:rsidR="00E02F1D" w:rsidRPr="00553ADA">
        <w:rPr>
          <w:szCs w:val="28"/>
          <w:lang w:val="es-CO"/>
        </w:rPr>
        <w:t>orporación,</w:t>
      </w:r>
      <w:r w:rsidR="005256BE" w:rsidRPr="00553ADA">
        <w:rPr>
          <w:szCs w:val="28"/>
          <w:lang w:val="es-CO"/>
        </w:rPr>
        <w:t xml:space="preserve"> al desconocer en su aproximación jurídica</w:t>
      </w:r>
      <w:r w:rsidR="00E02F1D" w:rsidRPr="00553ADA">
        <w:rPr>
          <w:szCs w:val="28"/>
          <w:lang w:val="es-CO"/>
        </w:rPr>
        <w:t>,</w:t>
      </w:r>
      <w:r w:rsidR="006F16F1" w:rsidRPr="00553ADA">
        <w:rPr>
          <w:szCs w:val="28"/>
          <w:lang w:val="es-CO"/>
        </w:rPr>
        <w:t xml:space="preserve"> </w:t>
      </w:r>
      <w:r w:rsidR="005256BE" w:rsidRPr="00553ADA">
        <w:rPr>
          <w:szCs w:val="28"/>
          <w:lang w:val="es-CO"/>
        </w:rPr>
        <w:t xml:space="preserve">los alcances y efectos </w:t>
      </w:r>
      <w:r w:rsidR="00841A82" w:rsidRPr="00553ADA">
        <w:rPr>
          <w:szCs w:val="28"/>
          <w:lang w:val="es-CO"/>
        </w:rPr>
        <w:t>materiales</w:t>
      </w:r>
      <w:r w:rsidR="005C33B3" w:rsidRPr="00553ADA">
        <w:rPr>
          <w:szCs w:val="28"/>
          <w:lang w:val="es-CO"/>
        </w:rPr>
        <w:t xml:space="preserve"> valorados </w:t>
      </w:r>
      <w:r w:rsidR="003332BB" w:rsidRPr="00553ADA">
        <w:rPr>
          <w:szCs w:val="28"/>
          <w:lang w:val="es-CO"/>
        </w:rPr>
        <w:t>por esta Cor</w:t>
      </w:r>
      <w:r w:rsidR="003C0D50" w:rsidRPr="00553ADA">
        <w:rPr>
          <w:szCs w:val="28"/>
          <w:lang w:val="es-CO"/>
        </w:rPr>
        <w:t>te</w:t>
      </w:r>
      <w:r w:rsidR="003332BB" w:rsidRPr="00553ADA">
        <w:rPr>
          <w:szCs w:val="28"/>
          <w:lang w:val="es-CO"/>
        </w:rPr>
        <w:t xml:space="preserve"> </w:t>
      </w:r>
      <w:r w:rsidR="005C33B3" w:rsidRPr="00553ADA">
        <w:rPr>
          <w:szCs w:val="28"/>
          <w:lang w:val="es-CO"/>
        </w:rPr>
        <w:t>con respecto</w:t>
      </w:r>
      <w:r w:rsidR="00841A82" w:rsidRPr="00553ADA">
        <w:rPr>
          <w:szCs w:val="28"/>
          <w:lang w:val="es-CO"/>
        </w:rPr>
        <w:t xml:space="preserve"> </w:t>
      </w:r>
      <w:r w:rsidR="005C33B3" w:rsidRPr="00553ADA">
        <w:rPr>
          <w:szCs w:val="28"/>
          <w:lang w:val="es-CO"/>
        </w:rPr>
        <w:t>al</w:t>
      </w:r>
      <w:r w:rsidR="00841A82" w:rsidRPr="00553ADA">
        <w:rPr>
          <w:szCs w:val="28"/>
          <w:lang w:val="es-CO"/>
        </w:rPr>
        <w:t xml:space="preserve"> artículo 257A superior</w:t>
      </w:r>
      <w:r w:rsidR="005C33B3" w:rsidRPr="00553ADA">
        <w:rPr>
          <w:szCs w:val="28"/>
          <w:lang w:val="es-CO"/>
        </w:rPr>
        <w:t xml:space="preserve"> y</w:t>
      </w:r>
      <w:r w:rsidR="00841A82" w:rsidRPr="00553ADA">
        <w:rPr>
          <w:szCs w:val="28"/>
          <w:lang w:val="es-CO"/>
        </w:rPr>
        <w:t xml:space="preserve"> consignados en la sentencia C-285 de 2016.</w:t>
      </w:r>
      <w:r w:rsidR="00BE0D2C" w:rsidRPr="00553ADA">
        <w:rPr>
          <w:szCs w:val="28"/>
        </w:rPr>
        <w:t xml:space="preserve"> </w:t>
      </w:r>
    </w:p>
    <w:p w14:paraId="6BF7CCC4" w14:textId="77777777" w:rsidR="00566B75" w:rsidRDefault="00566B75" w:rsidP="00566B75">
      <w:pPr>
        <w:pStyle w:val="Prrafodelista"/>
        <w:tabs>
          <w:tab w:val="left" w:pos="567"/>
        </w:tabs>
        <w:ind w:left="0"/>
        <w:contextualSpacing/>
        <w:jc w:val="both"/>
        <w:rPr>
          <w:szCs w:val="28"/>
        </w:rPr>
      </w:pPr>
    </w:p>
    <w:p w14:paraId="1C777317" w14:textId="77777777" w:rsidR="00566B75" w:rsidRPr="00566B75" w:rsidRDefault="003158A0" w:rsidP="00566B75">
      <w:pPr>
        <w:pStyle w:val="Prrafodelista"/>
        <w:tabs>
          <w:tab w:val="left" w:pos="567"/>
        </w:tabs>
        <w:ind w:left="0"/>
        <w:contextualSpacing/>
        <w:jc w:val="both"/>
        <w:rPr>
          <w:szCs w:val="28"/>
          <w:lang w:val="es-CO"/>
        </w:rPr>
      </w:pPr>
      <w:r w:rsidRPr="00566B75">
        <w:rPr>
          <w:szCs w:val="28"/>
        </w:rPr>
        <w:t xml:space="preserve">En ese orden de ideas, como lo </w:t>
      </w:r>
      <w:r w:rsidR="005C33B3" w:rsidRPr="00566B75">
        <w:rPr>
          <w:szCs w:val="28"/>
        </w:rPr>
        <w:t xml:space="preserve">señaló </w:t>
      </w:r>
      <w:r w:rsidRPr="00566B75">
        <w:rPr>
          <w:szCs w:val="28"/>
        </w:rPr>
        <w:t xml:space="preserve">la </w:t>
      </w:r>
      <w:r w:rsidRPr="00566B75">
        <w:rPr>
          <w:b/>
          <w:bCs/>
          <w:szCs w:val="28"/>
        </w:rPr>
        <w:t>Sentencia C-054 de 2016</w:t>
      </w:r>
      <w:r w:rsidRPr="002E4477">
        <w:rPr>
          <w:rStyle w:val="Refdenotaalpie"/>
          <w:szCs w:val="28"/>
        </w:rPr>
        <w:footnoteReference w:id="393"/>
      </w:r>
      <w:r w:rsidRPr="00566B75">
        <w:rPr>
          <w:szCs w:val="28"/>
        </w:rPr>
        <w:t xml:space="preserve">, </w:t>
      </w:r>
      <w:r w:rsidR="00BE0D2C" w:rsidRPr="00566B75">
        <w:rPr>
          <w:szCs w:val="28"/>
        </w:rPr>
        <w:t>"</w:t>
      </w:r>
      <w:r w:rsidR="00BE0D2C" w:rsidRPr="00566B75">
        <w:rPr>
          <w:i/>
          <w:iCs/>
          <w:szCs w:val="28"/>
        </w:rPr>
        <w:t>la utilización de los métodos tradicionales de interpretación en casos concretos [es] admisible, a condición de que los resultados hermenéuticos sean compatibles con las restricciones formales y materiales de validez que impone la Constitución. En consecuencia, el intérprete deber desechar aquellas opciones interpretativas que contradigan la Carta, incluso cuando las mismas sean un ejercicio razonable de las fórmulas de interpretación mencionadas". (Negrillas y subrayas fuera del original)</w:t>
      </w:r>
    </w:p>
    <w:p w14:paraId="2D8704CF" w14:textId="77777777" w:rsidR="00566B75" w:rsidRDefault="00566B75" w:rsidP="00566B75">
      <w:pPr>
        <w:pStyle w:val="Prrafodelista"/>
        <w:rPr>
          <w:i/>
          <w:iCs/>
          <w:szCs w:val="28"/>
        </w:rPr>
      </w:pPr>
    </w:p>
    <w:p w14:paraId="2FD04FAB" w14:textId="77777777" w:rsidR="00B206DF" w:rsidRPr="00566B75" w:rsidRDefault="00841A82" w:rsidP="00C275F3">
      <w:pPr>
        <w:pStyle w:val="Prrafodelista"/>
        <w:numPr>
          <w:ilvl w:val="0"/>
          <w:numId w:val="10"/>
        </w:numPr>
        <w:tabs>
          <w:tab w:val="left" w:pos="567"/>
        </w:tabs>
        <w:contextualSpacing/>
        <w:jc w:val="both"/>
        <w:rPr>
          <w:szCs w:val="28"/>
          <w:lang w:val="es-CO"/>
        </w:rPr>
      </w:pPr>
      <w:r w:rsidRPr="00566B75">
        <w:rPr>
          <w:szCs w:val="28"/>
        </w:rPr>
        <w:t xml:space="preserve">Ahora bien, la Sala recuerda que </w:t>
      </w:r>
      <w:r w:rsidR="00941426" w:rsidRPr="00566B75">
        <w:rPr>
          <w:szCs w:val="28"/>
        </w:rPr>
        <w:t>ante vacíos</w:t>
      </w:r>
      <w:r w:rsidR="003158A0" w:rsidRPr="00566B75">
        <w:rPr>
          <w:szCs w:val="28"/>
        </w:rPr>
        <w:t xml:space="preserve"> normativos</w:t>
      </w:r>
      <w:r w:rsidR="00941426" w:rsidRPr="00566B75">
        <w:rPr>
          <w:szCs w:val="28"/>
        </w:rPr>
        <w:t xml:space="preserve"> derivados directamente de dudas u obscuridades que se evidencien en las</w:t>
      </w:r>
      <w:r w:rsidR="003158A0" w:rsidRPr="00566B75">
        <w:rPr>
          <w:szCs w:val="28"/>
        </w:rPr>
        <w:t xml:space="preserve"> disposiciones constitucionales,</w:t>
      </w:r>
      <w:r w:rsidR="00403A47" w:rsidRPr="00566B75">
        <w:rPr>
          <w:szCs w:val="28"/>
        </w:rPr>
        <w:t xml:space="preserve"> el criterio de interpretación histórico</w:t>
      </w:r>
      <w:r w:rsidR="005C33B3" w:rsidRPr="00566B75">
        <w:rPr>
          <w:szCs w:val="28"/>
        </w:rPr>
        <w:t xml:space="preserve"> también</w:t>
      </w:r>
      <w:r w:rsidR="00403A47" w:rsidRPr="00566B75">
        <w:rPr>
          <w:szCs w:val="28"/>
        </w:rPr>
        <w:t xml:space="preserve"> es perfectamente aplicable</w:t>
      </w:r>
      <w:r w:rsidR="003158A0" w:rsidRPr="00566B75">
        <w:rPr>
          <w:szCs w:val="28"/>
        </w:rPr>
        <w:t>.</w:t>
      </w:r>
      <w:r w:rsidR="00403A47" w:rsidRPr="00566B75">
        <w:rPr>
          <w:szCs w:val="28"/>
        </w:rPr>
        <w:t xml:space="preserve"> </w:t>
      </w:r>
      <w:r w:rsidR="003158A0" w:rsidRPr="00566B75">
        <w:rPr>
          <w:szCs w:val="28"/>
        </w:rPr>
        <w:t>D</w:t>
      </w:r>
      <w:r w:rsidR="00403A47" w:rsidRPr="00566B75">
        <w:rPr>
          <w:szCs w:val="28"/>
        </w:rPr>
        <w:t>e ahí que</w:t>
      </w:r>
      <w:r w:rsidR="003158A0" w:rsidRPr="00566B75">
        <w:rPr>
          <w:szCs w:val="28"/>
        </w:rPr>
        <w:t xml:space="preserve"> una</w:t>
      </w:r>
      <w:r w:rsidR="00941426" w:rsidRPr="00566B75">
        <w:rPr>
          <w:szCs w:val="28"/>
        </w:rPr>
        <w:t xml:space="preserve"> fuente directa </w:t>
      </w:r>
      <w:r w:rsidR="005C33B3" w:rsidRPr="00566B75">
        <w:rPr>
          <w:szCs w:val="28"/>
        </w:rPr>
        <w:t xml:space="preserve">para la </w:t>
      </w:r>
      <w:r w:rsidR="00941426" w:rsidRPr="00566B75">
        <w:rPr>
          <w:szCs w:val="28"/>
        </w:rPr>
        <w:t xml:space="preserve">resolución de tales conflictos </w:t>
      </w:r>
      <w:r w:rsidR="00403A47" w:rsidRPr="00566B75">
        <w:rPr>
          <w:szCs w:val="28"/>
        </w:rPr>
        <w:t>pueda llegar a ser,</w:t>
      </w:r>
      <w:r w:rsidR="00941426" w:rsidRPr="00566B75">
        <w:rPr>
          <w:szCs w:val="28"/>
        </w:rPr>
        <w:t xml:space="preserve"> </w:t>
      </w:r>
      <w:r w:rsidR="00553ADA">
        <w:rPr>
          <w:szCs w:val="28"/>
        </w:rPr>
        <w:t>la revisión de</w:t>
      </w:r>
      <w:r w:rsidR="00B81851" w:rsidRPr="00566B75">
        <w:rPr>
          <w:szCs w:val="28"/>
        </w:rPr>
        <w:t xml:space="preserve"> </w:t>
      </w:r>
      <w:r w:rsidR="00941426" w:rsidRPr="00566B75">
        <w:rPr>
          <w:szCs w:val="28"/>
        </w:rPr>
        <w:t xml:space="preserve">la voluntad </w:t>
      </w:r>
      <w:r w:rsidR="006F16F1" w:rsidRPr="00566B75">
        <w:rPr>
          <w:szCs w:val="28"/>
        </w:rPr>
        <w:t xml:space="preserve">concreta </w:t>
      </w:r>
      <w:r w:rsidR="00941426" w:rsidRPr="00566B75">
        <w:rPr>
          <w:szCs w:val="28"/>
        </w:rPr>
        <w:t xml:space="preserve">del </w:t>
      </w:r>
      <w:r w:rsidR="00403A47" w:rsidRPr="00566B75">
        <w:rPr>
          <w:szCs w:val="28"/>
        </w:rPr>
        <w:t>c</w:t>
      </w:r>
      <w:r w:rsidR="00941426" w:rsidRPr="00566B75">
        <w:rPr>
          <w:szCs w:val="28"/>
        </w:rPr>
        <w:t>onstituyente</w:t>
      </w:r>
      <w:r w:rsidR="00B206DF" w:rsidRPr="00566B75">
        <w:rPr>
          <w:szCs w:val="28"/>
        </w:rPr>
        <w:t>, en casos de transformación constitucional.</w:t>
      </w:r>
    </w:p>
    <w:p w14:paraId="658D1E1F" w14:textId="77777777" w:rsidR="00566B75" w:rsidRPr="00566B75" w:rsidRDefault="00566B75" w:rsidP="00566B75">
      <w:pPr>
        <w:pStyle w:val="Prrafodelista"/>
        <w:tabs>
          <w:tab w:val="left" w:pos="567"/>
        </w:tabs>
        <w:ind w:left="0"/>
        <w:contextualSpacing/>
        <w:jc w:val="both"/>
        <w:rPr>
          <w:szCs w:val="28"/>
          <w:lang w:val="es-CO"/>
        </w:rPr>
      </w:pPr>
    </w:p>
    <w:p w14:paraId="71C984A5" w14:textId="77777777" w:rsidR="00941426" w:rsidRPr="00553ADA" w:rsidRDefault="00B206DF" w:rsidP="00B206DF">
      <w:pPr>
        <w:pStyle w:val="Prrafodelista"/>
        <w:numPr>
          <w:ilvl w:val="0"/>
          <w:numId w:val="10"/>
        </w:numPr>
        <w:tabs>
          <w:tab w:val="left" w:pos="567"/>
        </w:tabs>
        <w:contextualSpacing/>
        <w:jc w:val="both"/>
        <w:rPr>
          <w:szCs w:val="28"/>
          <w:lang w:val="es-CO"/>
        </w:rPr>
      </w:pPr>
      <w:r w:rsidRPr="00566B75">
        <w:rPr>
          <w:szCs w:val="28"/>
        </w:rPr>
        <w:t xml:space="preserve">Bajo ese supuesto, </w:t>
      </w:r>
      <w:r w:rsidRPr="00553ADA">
        <w:rPr>
          <w:szCs w:val="28"/>
        </w:rPr>
        <w:t xml:space="preserve">el </w:t>
      </w:r>
      <w:r w:rsidR="006F16F1" w:rsidRPr="00553ADA">
        <w:rPr>
          <w:szCs w:val="28"/>
        </w:rPr>
        <w:t>d</w:t>
      </w:r>
      <w:r w:rsidR="00941426" w:rsidRPr="00553ADA">
        <w:rPr>
          <w:szCs w:val="28"/>
        </w:rPr>
        <w:t>esconocer</w:t>
      </w:r>
      <w:r w:rsidRPr="00553ADA">
        <w:rPr>
          <w:szCs w:val="28"/>
        </w:rPr>
        <w:t xml:space="preserve"> </w:t>
      </w:r>
      <w:r w:rsidRPr="00553ADA">
        <w:rPr>
          <w:i/>
          <w:iCs/>
          <w:szCs w:val="28"/>
        </w:rPr>
        <w:t>a priori</w:t>
      </w:r>
      <w:r w:rsidR="00941426" w:rsidRPr="00553ADA">
        <w:rPr>
          <w:szCs w:val="28"/>
        </w:rPr>
        <w:t xml:space="preserve"> </w:t>
      </w:r>
      <w:r w:rsidRPr="00553ADA">
        <w:rPr>
          <w:szCs w:val="28"/>
        </w:rPr>
        <w:t>lo prescrito por el</w:t>
      </w:r>
      <w:r w:rsidR="00941426" w:rsidRPr="00553ADA">
        <w:rPr>
          <w:szCs w:val="28"/>
        </w:rPr>
        <w:t xml:space="preserve"> autor de las modificaciones </w:t>
      </w:r>
      <w:r w:rsidR="007964CB" w:rsidRPr="00553ADA">
        <w:rPr>
          <w:szCs w:val="28"/>
        </w:rPr>
        <w:t>superiores y</w:t>
      </w:r>
      <w:r w:rsidR="00941426" w:rsidRPr="00553ADA">
        <w:rPr>
          <w:szCs w:val="28"/>
        </w:rPr>
        <w:t xml:space="preserve"> su legitimidad en la expresión de esa voluntad, </w:t>
      </w:r>
      <w:r w:rsidR="005C33B3" w:rsidRPr="00553ADA">
        <w:rPr>
          <w:szCs w:val="28"/>
        </w:rPr>
        <w:t xml:space="preserve">también </w:t>
      </w:r>
      <w:r w:rsidRPr="00553ADA">
        <w:rPr>
          <w:szCs w:val="28"/>
        </w:rPr>
        <w:t xml:space="preserve">puede </w:t>
      </w:r>
      <w:r w:rsidR="005C33B3" w:rsidRPr="00553ADA">
        <w:rPr>
          <w:szCs w:val="28"/>
        </w:rPr>
        <w:t>considerarse un</w:t>
      </w:r>
      <w:r w:rsidR="00941426" w:rsidRPr="00553ADA">
        <w:rPr>
          <w:szCs w:val="28"/>
        </w:rPr>
        <w:t xml:space="preserve"> yerro interpretativo importante, especial</w:t>
      </w:r>
      <w:r w:rsidR="005C33B3" w:rsidRPr="00553ADA">
        <w:rPr>
          <w:szCs w:val="28"/>
        </w:rPr>
        <w:t>mente</w:t>
      </w:r>
      <w:r w:rsidR="00941426" w:rsidRPr="00553ADA">
        <w:rPr>
          <w:szCs w:val="28"/>
        </w:rPr>
        <w:t xml:space="preserve"> si </w:t>
      </w:r>
      <w:r w:rsidRPr="00553ADA">
        <w:rPr>
          <w:szCs w:val="28"/>
        </w:rPr>
        <w:t xml:space="preserve">las </w:t>
      </w:r>
      <w:r w:rsidR="00941426" w:rsidRPr="00553ADA">
        <w:rPr>
          <w:szCs w:val="28"/>
        </w:rPr>
        <w:t>de</w:t>
      </w:r>
      <w:r w:rsidRPr="00553ADA">
        <w:rPr>
          <w:szCs w:val="28"/>
        </w:rPr>
        <w:t xml:space="preserve">terminaciones del constituyente eran relevantes para </w:t>
      </w:r>
      <w:r w:rsidR="005C33B3" w:rsidRPr="00553ADA">
        <w:rPr>
          <w:szCs w:val="28"/>
        </w:rPr>
        <w:t xml:space="preserve">superar las dudas en la interpretación, </w:t>
      </w:r>
      <w:r w:rsidRPr="00553ADA">
        <w:rPr>
          <w:szCs w:val="28"/>
        </w:rPr>
        <w:t xml:space="preserve">en circunstancias </w:t>
      </w:r>
      <w:r w:rsidR="005C33B3" w:rsidRPr="00553ADA">
        <w:rPr>
          <w:szCs w:val="28"/>
        </w:rPr>
        <w:t xml:space="preserve">de </w:t>
      </w:r>
      <w:r w:rsidRPr="00553ADA">
        <w:rPr>
          <w:szCs w:val="28"/>
        </w:rPr>
        <w:t xml:space="preserve">transformación constitucional en desarrollo. A </w:t>
      </w:r>
      <w:r w:rsidR="00941426" w:rsidRPr="00553ADA">
        <w:rPr>
          <w:szCs w:val="28"/>
        </w:rPr>
        <w:t>continuación revisar</w:t>
      </w:r>
      <w:r w:rsidRPr="00553ADA">
        <w:rPr>
          <w:szCs w:val="28"/>
        </w:rPr>
        <w:t>á la Sala, en consecuencia,</w:t>
      </w:r>
      <w:r w:rsidR="00941426" w:rsidRPr="00553ADA">
        <w:rPr>
          <w:szCs w:val="28"/>
        </w:rPr>
        <w:t xml:space="preserve"> la posición del </w:t>
      </w:r>
      <w:r w:rsidR="00632523" w:rsidRPr="00553ADA">
        <w:rPr>
          <w:szCs w:val="28"/>
        </w:rPr>
        <w:t>c</w:t>
      </w:r>
      <w:r w:rsidR="00941426" w:rsidRPr="00553ADA">
        <w:rPr>
          <w:szCs w:val="28"/>
        </w:rPr>
        <w:t>onstituyente</w:t>
      </w:r>
      <w:r w:rsidR="00B81851" w:rsidRPr="00553ADA">
        <w:rPr>
          <w:szCs w:val="28"/>
        </w:rPr>
        <w:t>, en concreto,</w:t>
      </w:r>
      <w:r w:rsidR="00941426" w:rsidRPr="00553ADA">
        <w:rPr>
          <w:szCs w:val="28"/>
        </w:rPr>
        <w:t xml:space="preserve"> </w:t>
      </w:r>
      <w:r w:rsidR="00632523" w:rsidRPr="00553ADA">
        <w:rPr>
          <w:szCs w:val="28"/>
        </w:rPr>
        <w:t xml:space="preserve">con respecto </w:t>
      </w:r>
      <w:r w:rsidRPr="00553ADA">
        <w:rPr>
          <w:szCs w:val="28"/>
        </w:rPr>
        <w:t>a la reglamentación de la convocatoria pública correspondiente</w:t>
      </w:r>
      <w:r w:rsidR="00877C01" w:rsidRPr="00553ADA">
        <w:rPr>
          <w:szCs w:val="28"/>
        </w:rPr>
        <w:t>,</w:t>
      </w:r>
      <w:r w:rsidRPr="00553ADA">
        <w:rPr>
          <w:szCs w:val="28"/>
        </w:rPr>
        <w:t xml:space="preserve"> en el caso de la</w:t>
      </w:r>
      <w:r w:rsidR="005C33B3" w:rsidRPr="00553ADA">
        <w:rPr>
          <w:szCs w:val="28"/>
        </w:rPr>
        <w:t xml:space="preserve"> creación de la</w:t>
      </w:r>
      <w:r w:rsidRPr="00553ADA">
        <w:rPr>
          <w:szCs w:val="28"/>
        </w:rPr>
        <w:t xml:space="preserve"> CNDJ, de acuerdo con </w:t>
      </w:r>
      <w:r w:rsidR="005C33B3" w:rsidRPr="00553ADA">
        <w:rPr>
          <w:szCs w:val="28"/>
        </w:rPr>
        <w:t>los antecedentes d</w:t>
      </w:r>
      <w:r w:rsidRPr="00553ADA">
        <w:rPr>
          <w:szCs w:val="28"/>
        </w:rPr>
        <w:t xml:space="preserve">el </w:t>
      </w:r>
      <w:r w:rsidR="00941426" w:rsidRPr="00553ADA">
        <w:rPr>
          <w:szCs w:val="28"/>
        </w:rPr>
        <w:t>A.L. 02 de 2015</w:t>
      </w:r>
      <w:r w:rsidR="005C33B3" w:rsidRPr="00553ADA">
        <w:rPr>
          <w:szCs w:val="28"/>
        </w:rPr>
        <w:t xml:space="preserve">. Brevemente sobre este tema puede decirse lo siguiente:  </w:t>
      </w:r>
      <w:r w:rsidR="00941426" w:rsidRPr="00553ADA">
        <w:rPr>
          <w:szCs w:val="28"/>
        </w:rPr>
        <w:t xml:space="preserve"> </w:t>
      </w:r>
    </w:p>
    <w:p w14:paraId="5AF291AB" w14:textId="77777777" w:rsidR="00566B75" w:rsidRPr="00553ADA" w:rsidRDefault="00566B75" w:rsidP="00566B75">
      <w:pPr>
        <w:jc w:val="both"/>
        <w:rPr>
          <w:b/>
          <w:szCs w:val="28"/>
        </w:rPr>
      </w:pPr>
    </w:p>
    <w:p w14:paraId="26CB4455" w14:textId="77777777" w:rsidR="00566B75" w:rsidRPr="00553ADA" w:rsidRDefault="00566B75" w:rsidP="00566B75">
      <w:pPr>
        <w:ind w:left="284"/>
        <w:jc w:val="both"/>
        <w:rPr>
          <w:rFonts w:eastAsia="Calibri"/>
          <w:szCs w:val="28"/>
          <w:lang w:val="es-MX" w:eastAsia="en-US"/>
        </w:rPr>
      </w:pPr>
      <w:r w:rsidRPr="00553ADA">
        <w:rPr>
          <w:b/>
          <w:szCs w:val="28"/>
        </w:rPr>
        <w:t>(i)</w:t>
      </w:r>
      <w:r w:rsidRPr="00553ADA">
        <w:rPr>
          <w:szCs w:val="28"/>
        </w:rPr>
        <w:t xml:space="preserve"> En relación con la expresión </w:t>
      </w:r>
      <w:r w:rsidRPr="00553ADA">
        <w:rPr>
          <w:b/>
          <w:szCs w:val="28"/>
        </w:rPr>
        <w:t xml:space="preserve">convocatoria pública reglada, </w:t>
      </w:r>
      <w:r w:rsidRPr="00553ADA">
        <w:rPr>
          <w:rFonts w:eastAsia="Calibri"/>
          <w:szCs w:val="28"/>
          <w:lang w:val="es-MX" w:eastAsia="en-US"/>
        </w:rPr>
        <w:t>desde su primera versión, el proyecto de acto legislativo</w:t>
      </w:r>
      <w:r w:rsidRPr="00553ADA">
        <w:rPr>
          <w:rFonts w:eastAsia="Calibri"/>
          <w:szCs w:val="28"/>
          <w:vertAlign w:val="superscript"/>
          <w:lang w:val="es-MX" w:eastAsia="en-US"/>
        </w:rPr>
        <w:footnoteReference w:id="394"/>
      </w:r>
      <w:r w:rsidRPr="00553ADA">
        <w:rPr>
          <w:rFonts w:eastAsia="Calibri"/>
          <w:szCs w:val="28"/>
          <w:lang w:val="es-MX" w:eastAsia="en-US"/>
        </w:rPr>
        <w:t xml:space="preserve"> que culminó con la reforma constitucional analizada, incorporó una norma general que tenía como propósito </w:t>
      </w:r>
      <w:r w:rsidR="00553ADA">
        <w:rPr>
          <w:rFonts w:eastAsia="Calibri"/>
          <w:szCs w:val="28"/>
          <w:lang w:val="es-MX" w:eastAsia="en-US"/>
        </w:rPr>
        <w:t>imponer</w:t>
      </w:r>
      <w:r w:rsidRPr="00553ADA">
        <w:rPr>
          <w:rFonts w:eastAsia="Calibri"/>
          <w:szCs w:val="28"/>
          <w:lang w:val="es-MX" w:eastAsia="en-US"/>
        </w:rPr>
        <w:t xml:space="preserve"> una convocatoria pública para la escogencia de servidores públicos cuya designación correspondiera tanto a corporaciones públicas</w:t>
      </w:r>
      <w:r w:rsidRPr="00553ADA">
        <w:rPr>
          <w:rFonts w:eastAsia="Calibri"/>
          <w:szCs w:val="28"/>
          <w:vertAlign w:val="superscript"/>
          <w:lang w:val="es-MX" w:eastAsia="en-US"/>
        </w:rPr>
        <w:footnoteReference w:id="395"/>
      </w:r>
      <w:r w:rsidRPr="00553ADA">
        <w:rPr>
          <w:rFonts w:eastAsia="Calibri"/>
          <w:szCs w:val="28"/>
          <w:lang w:val="es-MX" w:eastAsia="en-US"/>
        </w:rPr>
        <w:t xml:space="preserve"> como a organismos colegiados, en los términos posteriormente consagrados en el artículo 126 superior.</w:t>
      </w:r>
    </w:p>
    <w:p w14:paraId="5F094A57" w14:textId="77777777" w:rsidR="00566B75" w:rsidRPr="00553ADA" w:rsidRDefault="00566B75" w:rsidP="00566B75">
      <w:pPr>
        <w:jc w:val="both"/>
        <w:rPr>
          <w:rFonts w:eastAsia="Calibri"/>
          <w:szCs w:val="28"/>
          <w:lang w:val="es-MX" w:eastAsia="en-US"/>
        </w:rPr>
      </w:pPr>
    </w:p>
    <w:p w14:paraId="0275E72B" w14:textId="77777777" w:rsidR="00566B75" w:rsidRPr="002E4477" w:rsidRDefault="00566B75" w:rsidP="00566B75">
      <w:pPr>
        <w:ind w:left="284"/>
        <w:jc w:val="both"/>
        <w:rPr>
          <w:rFonts w:eastAsia="Calibri"/>
          <w:szCs w:val="28"/>
          <w:lang w:val="es-MX" w:eastAsia="en-US"/>
        </w:rPr>
      </w:pPr>
      <w:r w:rsidRPr="00553ADA">
        <w:rPr>
          <w:rFonts w:eastAsia="Calibri"/>
          <w:szCs w:val="28"/>
          <w:lang w:val="es-MX" w:eastAsia="en-US"/>
        </w:rPr>
        <w:t>No obstante, más adelante se incluyeron modificaciones sustanciales al texto aprobado por la plenaria de la Cámara de Representantes</w:t>
      </w:r>
      <w:r w:rsidRPr="00553ADA">
        <w:rPr>
          <w:rFonts w:eastAsia="Calibri"/>
          <w:szCs w:val="28"/>
          <w:vertAlign w:val="superscript"/>
          <w:lang w:val="es-MX" w:eastAsia="en-US"/>
        </w:rPr>
        <w:footnoteReference w:id="396"/>
      </w:r>
      <w:r w:rsidRPr="00553ADA">
        <w:rPr>
          <w:rFonts w:eastAsia="Calibri"/>
          <w:szCs w:val="28"/>
          <w:lang w:val="es-MX" w:eastAsia="en-US"/>
        </w:rPr>
        <w:t>, que fueron adoptadas por la Comisión</w:t>
      </w:r>
      <w:r w:rsidRPr="002E4477">
        <w:rPr>
          <w:rFonts w:eastAsia="Calibri"/>
          <w:szCs w:val="28"/>
          <w:lang w:val="es-MX" w:eastAsia="en-US"/>
        </w:rPr>
        <w:t xml:space="preserve"> Primera del Senado, así: </w:t>
      </w:r>
      <w:r w:rsidRPr="002E4477">
        <w:rPr>
          <w:rFonts w:eastAsia="Calibri"/>
          <w:b/>
          <w:bCs/>
          <w:szCs w:val="28"/>
          <w:lang w:val="es-MX" w:eastAsia="en-US"/>
        </w:rPr>
        <w:t>(a)</w:t>
      </w:r>
      <w:r w:rsidRPr="002E4477">
        <w:rPr>
          <w:rFonts w:eastAsia="Calibri"/>
          <w:szCs w:val="28"/>
          <w:lang w:val="es-MX" w:eastAsia="en-US"/>
        </w:rPr>
        <w:t xml:space="preserve"> se circunscribió el alcance de la exigencia de la convocatoria pública reglada, a las corporaciones públicas, y se suprimió la expresión </w:t>
      </w:r>
      <w:r w:rsidRPr="002E4477">
        <w:rPr>
          <w:rFonts w:eastAsia="Calibri"/>
          <w:i/>
          <w:iCs/>
          <w:szCs w:val="28"/>
          <w:lang w:val="es-MX" w:eastAsia="en-US"/>
        </w:rPr>
        <w:t>“</w:t>
      </w:r>
      <w:r w:rsidRPr="002E4477">
        <w:rPr>
          <w:rFonts w:eastAsia="Calibri"/>
          <w:i/>
          <w:iCs/>
          <w:szCs w:val="28"/>
          <w:u w:val="single"/>
          <w:lang w:val="es-MX" w:eastAsia="en-US"/>
        </w:rPr>
        <w:t>cualquier otro organismo colegiado</w:t>
      </w:r>
      <w:r w:rsidRPr="002E4477">
        <w:rPr>
          <w:rFonts w:eastAsia="Calibri"/>
          <w:i/>
          <w:iCs/>
          <w:szCs w:val="28"/>
          <w:lang w:val="es-MX" w:eastAsia="en-US"/>
        </w:rPr>
        <w:t>”</w:t>
      </w:r>
      <w:r w:rsidRPr="002E4477">
        <w:rPr>
          <w:rFonts w:eastAsia="Calibri"/>
          <w:szCs w:val="28"/>
          <w:lang w:val="es-MX" w:eastAsia="en-US"/>
        </w:rPr>
        <w:t xml:space="preserve">. También se sustituyó la idea de realizar en tales casos un proceso de selección, para concentrar el inicio de la elección en </w:t>
      </w:r>
      <w:r w:rsidRPr="002E4477">
        <w:rPr>
          <w:rFonts w:eastAsia="Calibri"/>
          <w:b/>
          <w:bCs/>
          <w:szCs w:val="28"/>
          <w:lang w:val="es-MX" w:eastAsia="en-US"/>
        </w:rPr>
        <w:t>(b)</w:t>
      </w:r>
      <w:r w:rsidRPr="002E4477">
        <w:rPr>
          <w:rFonts w:eastAsia="Calibri"/>
          <w:szCs w:val="28"/>
          <w:lang w:val="es-MX" w:eastAsia="en-US"/>
        </w:rPr>
        <w:t xml:space="preserve"> la convocatoria pública, que era la que debía definir el procedimiento para el proceso correspondiente.</w:t>
      </w:r>
    </w:p>
    <w:p w14:paraId="0031FDE5" w14:textId="77777777" w:rsidR="00566B75" w:rsidRDefault="00566B75" w:rsidP="00566B75">
      <w:pPr>
        <w:jc w:val="both"/>
        <w:rPr>
          <w:rFonts w:eastAsia="Calibri"/>
          <w:b/>
          <w:bCs/>
          <w:szCs w:val="28"/>
          <w:lang w:val="es-MX" w:eastAsia="en-US"/>
        </w:rPr>
      </w:pPr>
    </w:p>
    <w:p w14:paraId="18E5E02F" w14:textId="77777777" w:rsidR="00566B75" w:rsidRPr="002E4477" w:rsidRDefault="00566B75" w:rsidP="00566B75">
      <w:pPr>
        <w:ind w:left="284"/>
        <w:jc w:val="both"/>
        <w:rPr>
          <w:rFonts w:eastAsia="Calibri"/>
          <w:szCs w:val="28"/>
          <w:lang w:val="es-MX" w:eastAsia="en-US"/>
        </w:rPr>
      </w:pPr>
      <w:r w:rsidRPr="00064ED0">
        <w:rPr>
          <w:rFonts w:eastAsia="Calibri"/>
          <w:b/>
          <w:bCs/>
          <w:szCs w:val="28"/>
          <w:lang w:val="es-MX" w:eastAsia="en-US"/>
        </w:rPr>
        <w:t>(ii)</w:t>
      </w:r>
      <w:r w:rsidRPr="00064ED0">
        <w:rPr>
          <w:rFonts w:eastAsia="Calibri"/>
          <w:szCs w:val="28"/>
          <w:lang w:val="es-MX" w:eastAsia="en-US"/>
        </w:rPr>
        <w:t xml:space="preserve"> Posteriormente en el trámite</w:t>
      </w:r>
      <w:r w:rsidRPr="002E4477">
        <w:rPr>
          <w:rFonts w:eastAsia="Calibri"/>
          <w:szCs w:val="28"/>
          <w:lang w:val="es-MX" w:eastAsia="en-US"/>
        </w:rPr>
        <w:t xml:space="preserve"> legislativo, se introdujo una proposición para calificar como </w:t>
      </w:r>
      <w:r w:rsidRPr="002E4477">
        <w:rPr>
          <w:rFonts w:eastAsia="Calibri"/>
          <w:i/>
          <w:iCs/>
          <w:szCs w:val="28"/>
          <w:lang w:val="es-MX" w:eastAsia="en-US"/>
        </w:rPr>
        <w:t>“reglada por la ley”</w:t>
      </w:r>
      <w:r w:rsidRPr="002E4477">
        <w:rPr>
          <w:rFonts w:eastAsia="Calibri"/>
          <w:szCs w:val="28"/>
          <w:lang w:val="es-MX" w:eastAsia="en-US"/>
        </w:rPr>
        <w:t xml:space="preserve"> a la convocatoria pública que debían adelantar las corporaciones públicas</w:t>
      </w:r>
      <w:r w:rsidRPr="002E4477">
        <w:rPr>
          <w:rFonts w:eastAsia="Calibri"/>
          <w:szCs w:val="28"/>
          <w:vertAlign w:val="superscript"/>
          <w:lang w:val="es-MX" w:eastAsia="en-US"/>
        </w:rPr>
        <w:footnoteReference w:id="397"/>
      </w:r>
      <w:r w:rsidRPr="002E4477">
        <w:rPr>
          <w:rFonts w:eastAsia="Calibri"/>
          <w:szCs w:val="28"/>
          <w:lang w:val="es-MX" w:eastAsia="en-US"/>
        </w:rPr>
        <w:t>. Ahora bien, aunque en el curso del debate no se explicó el significado concreto de esta expresión</w:t>
      </w:r>
      <w:r w:rsidRPr="002E4477">
        <w:rPr>
          <w:rFonts w:eastAsia="Calibri"/>
          <w:szCs w:val="28"/>
          <w:vertAlign w:val="superscript"/>
          <w:lang w:val="es-MX" w:eastAsia="en-US"/>
        </w:rPr>
        <w:footnoteReference w:id="398"/>
      </w:r>
      <w:r w:rsidRPr="002E4477">
        <w:rPr>
          <w:rFonts w:eastAsia="Calibri"/>
          <w:szCs w:val="28"/>
          <w:lang w:val="es-MX" w:eastAsia="en-US"/>
        </w:rPr>
        <w:t>, sí se discutió en torno a la posible redundancia que podría significar su inclusión dentro de la norma constitucional</w:t>
      </w:r>
      <w:r w:rsidRPr="002E4477">
        <w:rPr>
          <w:rFonts w:eastAsia="Calibri"/>
          <w:szCs w:val="28"/>
          <w:vertAlign w:val="superscript"/>
          <w:lang w:val="es-MX" w:eastAsia="en-US"/>
        </w:rPr>
        <w:footnoteReference w:id="399"/>
      </w:r>
      <w:r w:rsidRPr="002E4477">
        <w:rPr>
          <w:rFonts w:eastAsia="Calibri"/>
          <w:szCs w:val="28"/>
          <w:lang w:val="es-MX" w:eastAsia="en-US"/>
        </w:rPr>
        <w:t xml:space="preserve">. Sin embargo, en la ponencia del último debate en Cámara se propuso la introducción de la expresión </w:t>
      </w:r>
      <w:r w:rsidRPr="002E4477">
        <w:rPr>
          <w:rFonts w:eastAsia="Calibri"/>
          <w:i/>
          <w:iCs/>
          <w:szCs w:val="28"/>
          <w:lang w:val="es-MX" w:eastAsia="en-US"/>
        </w:rPr>
        <w:t>“reglada por la ley”</w:t>
      </w:r>
      <w:r w:rsidRPr="002E4477">
        <w:rPr>
          <w:rFonts w:eastAsia="Calibri"/>
          <w:szCs w:val="28"/>
          <w:lang w:val="es-MX" w:eastAsia="en-US"/>
        </w:rPr>
        <w:t xml:space="preserve">, en los siguientes términos: </w:t>
      </w:r>
    </w:p>
    <w:p w14:paraId="45D63912" w14:textId="77777777" w:rsidR="00566B75" w:rsidRPr="002E4477" w:rsidRDefault="00566B75" w:rsidP="00566B75">
      <w:pPr>
        <w:ind w:left="284"/>
        <w:jc w:val="both"/>
        <w:rPr>
          <w:rFonts w:eastAsia="Calibri"/>
          <w:szCs w:val="28"/>
          <w:lang w:val="es-MX" w:eastAsia="en-US"/>
        </w:rPr>
      </w:pPr>
    </w:p>
    <w:p w14:paraId="4658347E" w14:textId="77777777" w:rsidR="00566B75" w:rsidRPr="0055329A" w:rsidRDefault="00566B75" w:rsidP="00566B75">
      <w:pPr>
        <w:ind w:left="284"/>
        <w:jc w:val="both"/>
        <w:rPr>
          <w:rFonts w:eastAsia="Calibri"/>
          <w:i/>
          <w:sz w:val="26"/>
          <w:szCs w:val="26"/>
          <w:lang w:val="es-MX" w:eastAsia="en-US"/>
        </w:rPr>
      </w:pPr>
      <w:r w:rsidRPr="0055329A">
        <w:rPr>
          <w:rFonts w:eastAsia="Calibri"/>
          <w:i/>
          <w:iCs/>
          <w:sz w:val="26"/>
          <w:szCs w:val="26"/>
          <w:lang w:val="es-MX" w:eastAsia="en-US"/>
        </w:rPr>
        <w:t>“Frente a este artículo se incluye únicamente la calificación de “reglada por la ley” a la convocatoria pública que se impone para las elecciones de funcionarios atribuidas a las corporaciones públicas, con la finalidad de fortalecer los sistemas de elección de cuerpos colegiados de índole público”</w:t>
      </w:r>
      <w:r w:rsidRPr="0055329A">
        <w:rPr>
          <w:rFonts w:eastAsia="Calibri"/>
          <w:i/>
          <w:iCs/>
          <w:sz w:val="26"/>
          <w:szCs w:val="26"/>
          <w:vertAlign w:val="superscript"/>
          <w:lang w:val="es-MX" w:eastAsia="en-US"/>
        </w:rPr>
        <w:footnoteReference w:id="400"/>
      </w:r>
      <w:r w:rsidRPr="0055329A">
        <w:rPr>
          <w:rFonts w:eastAsia="Calibri"/>
          <w:i/>
          <w:sz w:val="26"/>
          <w:szCs w:val="26"/>
          <w:lang w:val="es-MX" w:eastAsia="en-US"/>
        </w:rPr>
        <w:t>.</w:t>
      </w:r>
    </w:p>
    <w:p w14:paraId="40E28E28" w14:textId="77777777" w:rsidR="00566B75" w:rsidRDefault="00566B75" w:rsidP="00566B75">
      <w:pPr>
        <w:ind w:left="284"/>
        <w:jc w:val="both"/>
        <w:rPr>
          <w:rFonts w:eastAsia="Calibri"/>
          <w:i/>
          <w:sz w:val="25"/>
          <w:szCs w:val="25"/>
          <w:lang w:val="es-MX" w:eastAsia="en-US"/>
        </w:rPr>
      </w:pPr>
    </w:p>
    <w:p w14:paraId="4E7459D7" w14:textId="77777777" w:rsidR="00566B75" w:rsidRDefault="00566B75" w:rsidP="00566B75">
      <w:pPr>
        <w:ind w:left="284"/>
        <w:jc w:val="both"/>
        <w:rPr>
          <w:rFonts w:eastAsia="Calibri"/>
          <w:i/>
          <w:sz w:val="25"/>
          <w:szCs w:val="25"/>
          <w:lang w:val="es-MX" w:eastAsia="en-US"/>
        </w:rPr>
      </w:pPr>
      <w:r w:rsidRPr="002E4477">
        <w:rPr>
          <w:rFonts w:eastAsia="Calibri"/>
          <w:b/>
          <w:bCs/>
          <w:szCs w:val="28"/>
          <w:lang w:val="es-CO" w:eastAsia="en-US"/>
        </w:rPr>
        <w:t>(iii)</w:t>
      </w:r>
      <w:r w:rsidRPr="002E4477">
        <w:rPr>
          <w:rFonts w:eastAsia="Calibri"/>
          <w:szCs w:val="28"/>
          <w:lang w:val="es-CO" w:eastAsia="en-US"/>
        </w:rPr>
        <w:t xml:space="preserve"> Adicionalmente, durante uno de los últimos debates relacionados con A.L. 02 de 2015 en la Cámara, se propuso que, en lugar de derogar el artículo 256 de la Constitución (sobre el CSJ), se incluyera en esa norma la definición de la expresión </w:t>
      </w:r>
      <w:r w:rsidRPr="002E4477">
        <w:rPr>
          <w:rFonts w:eastAsia="Calibri"/>
          <w:i/>
          <w:iCs/>
          <w:szCs w:val="28"/>
          <w:lang w:val="es-CO" w:eastAsia="en-US"/>
        </w:rPr>
        <w:t>“convocatoria pública reglada”</w:t>
      </w:r>
      <w:r w:rsidRPr="002E4477">
        <w:rPr>
          <w:rFonts w:eastAsia="Calibri"/>
          <w:szCs w:val="28"/>
          <w:lang w:val="es-CO" w:eastAsia="en-US"/>
        </w:rPr>
        <w:t>, pues la clara intención del constituyente era que el órgano competente para la elección inicial de las ternas, hiciera la convocatoria</w:t>
      </w:r>
      <w:r w:rsidRPr="002E4477">
        <w:rPr>
          <w:rFonts w:eastAsia="Calibri"/>
          <w:szCs w:val="28"/>
          <w:vertAlign w:val="superscript"/>
          <w:lang w:val="es-CO" w:eastAsia="en-US"/>
        </w:rPr>
        <w:footnoteReference w:id="401"/>
      </w:r>
      <w:r w:rsidRPr="002E4477">
        <w:rPr>
          <w:rFonts w:eastAsia="Calibri"/>
          <w:szCs w:val="28"/>
          <w:lang w:val="es-CO" w:eastAsia="en-US"/>
        </w:rPr>
        <w:t xml:space="preserve">. </w:t>
      </w:r>
    </w:p>
    <w:p w14:paraId="60A7679E" w14:textId="77777777" w:rsidR="00566B75" w:rsidRDefault="00566B75" w:rsidP="00566B75">
      <w:pPr>
        <w:ind w:left="284"/>
        <w:jc w:val="both"/>
        <w:rPr>
          <w:rFonts w:eastAsia="Calibri"/>
          <w:szCs w:val="28"/>
          <w:lang w:val="es-MX" w:eastAsia="en-US"/>
        </w:rPr>
      </w:pPr>
    </w:p>
    <w:p w14:paraId="113F026D" w14:textId="77777777" w:rsidR="00566B75" w:rsidRPr="00566B75" w:rsidRDefault="00566B75" w:rsidP="00566B75">
      <w:pPr>
        <w:ind w:left="284"/>
        <w:jc w:val="both"/>
        <w:rPr>
          <w:rFonts w:eastAsia="Calibri"/>
          <w:i/>
          <w:sz w:val="25"/>
          <w:szCs w:val="25"/>
          <w:lang w:val="es-MX" w:eastAsia="en-US"/>
        </w:rPr>
      </w:pPr>
      <w:r w:rsidRPr="002E4477">
        <w:rPr>
          <w:rFonts w:eastAsia="Calibri"/>
          <w:szCs w:val="28"/>
          <w:lang w:val="es-CO" w:eastAsia="en-US"/>
        </w:rPr>
        <w:t xml:space="preserve">Con todo, es pertinente señalar que en ninguno de los debates del proyecto que culminó con la expedición del A.L. 02 de 2015, se especificó el contenido del deber de llevar a cabo una convocatoria pública reglada </w:t>
      </w:r>
      <w:r w:rsidRPr="002E4477">
        <w:rPr>
          <w:rFonts w:eastAsia="Calibri"/>
          <w:i/>
          <w:szCs w:val="28"/>
          <w:lang w:val="es-CO" w:eastAsia="en-US"/>
        </w:rPr>
        <w:t xml:space="preserve">específicamente por la ley, </w:t>
      </w:r>
      <w:r w:rsidRPr="002E4477">
        <w:rPr>
          <w:rFonts w:eastAsia="Calibri"/>
          <w:iCs/>
          <w:szCs w:val="28"/>
          <w:lang w:val="es-CO" w:eastAsia="en-US"/>
        </w:rPr>
        <w:t>para la elección de los magistrados de la CNDJ</w:t>
      </w:r>
      <w:r w:rsidRPr="002E4477">
        <w:rPr>
          <w:rFonts w:eastAsia="Calibri"/>
          <w:i/>
          <w:szCs w:val="28"/>
          <w:lang w:val="es-CO" w:eastAsia="en-US"/>
        </w:rPr>
        <w:t>,</w:t>
      </w:r>
      <w:r w:rsidRPr="002E4477">
        <w:rPr>
          <w:rFonts w:eastAsia="Calibri"/>
          <w:szCs w:val="28"/>
          <w:lang w:val="es-CO" w:eastAsia="en-US"/>
        </w:rPr>
        <w:t xml:space="preserve"> y tampoco se precisó si el propósito del constituyente era el de establecer </w:t>
      </w:r>
      <w:r w:rsidRPr="002E4477">
        <w:rPr>
          <w:rFonts w:eastAsia="Calibri"/>
          <w:i/>
          <w:szCs w:val="28"/>
          <w:lang w:val="es-CO" w:eastAsia="en-US"/>
        </w:rPr>
        <w:t>una reserva legal</w:t>
      </w:r>
      <w:r w:rsidRPr="002E4477">
        <w:rPr>
          <w:rFonts w:eastAsia="Calibri"/>
          <w:szCs w:val="28"/>
          <w:lang w:val="es-CO" w:eastAsia="en-US"/>
        </w:rPr>
        <w:t xml:space="preserve"> sobre todas las convocatorias o respecto de cada una de ellas. </w:t>
      </w:r>
    </w:p>
    <w:p w14:paraId="394CC3E6" w14:textId="77777777" w:rsidR="00566B75" w:rsidRDefault="00566B75" w:rsidP="00566B75">
      <w:pPr>
        <w:jc w:val="both"/>
        <w:rPr>
          <w:rFonts w:eastAsia="Calibri"/>
          <w:szCs w:val="28"/>
          <w:lang w:val="es-CO" w:eastAsia="en-US"/>
        </w:rPr>
      </w:pPr>
    </w:p>
    <w:p w14:paraId="51042027" w14:textId="77777777" w:rsidR="00566B75" w:rsidRPr="002E4477" w:rsidRDefault="00566B75" w:rsidP="00566B75">
      <w:pPr>
        <w:ind w:left="284"/>
        <w:jc w:val="both"/>
        <w:rPr>
          <w:rFonts w:eastAsia="Calibri"/>
          <w:szCs w:val="28"/>
          <w:lang w:val="es-CO" w:eastAsia="en-US"/>
        </w:rPr>
      </w:pPr>
      <w:r w:rsidRPr="002E4477">
        <w:rPr>
          <w:rFonts w:eastAsia="Calibri"/>
          <w:szCs w:val="28"/>
          <w:lang w:val="es-CO" w:eastAsia="en-US"/>
        </w:rPr>
        <w:t xml:space="preserve">En ese sentido, no se trató, como parece considerarlo el Consejo de Estado, de una exigencia central e inexorable del constituyente en la reforma indicada. Por el contrario, a diferencia de lo signado para el proceso de elección de otros funcionarios, el constituyente expresamente limitó en el caso de la CNDJ la idea de que la convocatoria pública reglada tuviera que serlo por ley, eliminando esta exigencia expresa que sí incluyó de manera concreta para la elección de </w:t>
      </w:r>
      <w:r w:rsidR="0055329A">
        <w:rPr>
          <w:rFonts w:eastAsia="Calibri"/>
          <w:szCs w:val="28"/>
          <w:lang w:val="es-CO" w:eastAsia="en-US"/>
        </w:rPr>
        <w:t>servidores públicos</w:t>
      </w:r>
      <w:r w:rsidRPr="002E4477">
        <w:rPr>
          <w:rFonts w:eastAsia="Calibri"/>
          <w:szCs w:val="28"/>
          <w:lang w:val="es-CO" w:eastAsia="en-US"/>
        </w:rPr>
        <w:t>, en otros casos</w:t>
      </w:r>
      <w:r w:rsidRPr="002E4477">
        <w:rPr>
          <w:rStyle w:val="Refdenotaalpie"/>
          <w:rFonts w:eastAsia="Calibri"/>
          <w:szCs w:val="28"/>
          <w:lang w:val="es-CO" w:eastAsia="en-US"/>
        </w:rPr>
        <w:footnoteReference w:id="402"/>
      </w:r>
      <w:r w:rsidRPr="002E4477">
        <w:rPr>
          <w:rFonts w:eastAsia="Calibri"/>
          <w:szCs w:val="28"/>
          <w:lang w:val="es-CO" w:eastAsia="en-US"/>
        </w:rPr>
        <w:t xml:space="preserve">.  </w:t>
      </w:r>
    </w:p>
    <w:p w14:paraId="26524A97" w14:textId="77777777" w:rsidR="00566B75" w:rsidRPr="002E4477" w:rsidRDefault="00566B75" w:rsidP="00566B75">
      <w:pPr>
        <w:ind w:left="284"/>
        <w:jc w:val="both"/>
        <w:rPr>
          <w:rFonts w:eastAsia="Calibri"/>
          <w:szCs w:val="28"/>
          <w:lang w:val="es-MX" w:eastAsia="en-US"/>
        </w:rPr>
      </w:pPr>
    </w:p>
    <w:p w14:paraId="3E045534" w14:textId="77777777" w:rsidR="00566B75" w:rsidRDefault="00566B75" w:rsidP="00566B75">
      <w:pPr>
        <w:ind w:left="284"/>
        <w:jc w:val="both"/>
        <w:rPr>
          <w:rFonts w:eastAsia="Calibri"/>
          <w:szCs w:val="28"/>
          <w:lang w:val="es-CO" w:eastAsia="en-US"/>
        </w:rPr>
      </w:pPr>
      <w:r w:rsidRPr="002E4477">
        <w:rPr>
          <w:rFonts w:eastAsia="Calibri"/>
          <w:b/>
          <w:bCs/>
          <w:szCs w:val="28"/>
          <w:lang w:val="es-CO" w:eastAsia="en-US"/>
        </w:rPr>
        <w:t>(iv)</w:t>
      </w:r>
      <w:r w:rsidRPr="002E4477">
        <w:rPr>
          <w:rFonts w:eastAsia="Calibri"/>
          <w:szCs w:val="28"/>
          <w:lang w:val="es-CO" w:eastAsia="en-US"/>
        </w:rPr>
        <w:t xml:space="preserve"> En lo que se refiere a los </w:t>
      </w:r>
      <w:r>
        <w:rPr>
          <w:rFonts w:eastAsia="Calibri"/>
          <w:szCs w:val="28"/>
          <w:lang w:val="es-CO" w:eastAsia="en-US"/>
        </w:rPr>
        <w:t>m</w:t>
      </w:r>
      <w:r w:rsidRPr="002E4477">
        <w:rPr>
          <w:rFonts w:eastAsia="Calibri"/>
          <w:szCs w:val="28"/>
          <w:lang w:val="es-CO" w:eastAsia="en-US"/>
        </w:rPr>
        <w:t>agistrados de la CNDJ</w:t>
      </w:r>
      <w:r w:rsidRPr="002E4477">
        <w:rPr>
          <w:rFonts w:eastAsia="Calibri"/>
          <w:bCs/>
          <w:szCs w:val="28"/>
          <w:lang w:val="es-CO" w:eastAsia="en-US"/>
        </w:rPr>
        <w:t>,</w:t>
      </w:r>
      <w:r w:rsidRPr="002E4477">
        <w:rPr>
          <w:rFonts w:eastAsia="Calibri"/>
          <w:b/>
          <w:bCs/>
          <w:szCs w:val="28"/>
          <w:lang w:val="es-CO" w:eastAsia="en-US"/>
        </w:rPr>
        <w:t xml:space="preserve"> </w:t>
      </w:r>
      <w:r w:rsidRPr="002E4477">
        <w:rPr>
          <w:rFonts w:eastAsia="Calibri"/>
          <w:bCs/>
          <w:szCs w:val="28"/>
          <w:lang w:val="es-CO" w:eastAsia="en-US"/>
        </w:rPr>
        <w:t>d</w:t>
      </w:r>
      <w:r w:rsidRPr="002E4477">
        <w:rPr>
          <w:rFonts w:eastAsia="Calibri"/>
          <w:szCs w:val="28"/>
          <w:lang w:val="es-CO" w:eastAsia="en-US"/>
        </w:rPr>
        <w:t>urante el trámite de aprobación del A.L. 02 de 2015 se discutieron varios aspectos relacionados con el órgano que habría de reemplazar a la Sala Jurisdiccional Disciplinaria del Consejo Superior de la Judicatura, particularmente en relación con la modificación de su forma de elección, que era uno de los principales objetivos de la reforma</w:t>
      </w:r>
      <w:r w:rsidRPr="002E4477">
        <w:rPr>
          <w:rFonts w:eastAsia="Calibri"/>
          <w:szCs w:val="28"/>
          <w:vertAlign w:val="superscript"/>
          <w:lang w:val="es-CO" w:eastAsia="en-US"/>
        </w:rPr>
        <w:footnoteReference w:id="403"/>
      </w:r>
      <w:r w:rsidRPr="002E4477">
        <w:rPr>
          <w:rFonts w:eastAsia="Calibri"/>
          <w:szCs w:val="28"/>
          <w:lang w:val="es-CO" w:eastAsia="en-US"/>
        </w:rPr>
        <w:t xml:space="preserve">. </w:t>
      </w:r>
    </w:p>
    <w:p w14:paraId="47457745" w14:textId="77777777" w:rsidR="00566B75" w:rsidRDefault="00566B75" w:rsidP="00566B75">
      <w:pPr>
        <w:ind w:left="284"/>
        <w:jc w:val="both"/>
        <w:rPr>
          <w:rFonts w:eastAsia="Calibri"/>
          <w:szCs w:val="28"/>
          <w:lang w:val="es-CO" w:eastAsia="en-US"/>
        </w:rPr>
      </w:pPr>
    </w:p>
    <w:p w14:paraId="4EFD6191" w14:textId="77777777" w:rsidR="00566B75" w:rsidRDefault="00566B75" w:rsidP="00566B75">
      <w:pPr>
        <w:ind w:left="284"/>
        <w:jc w:val="both"/>
        <w:rPr>
          <w:rFonts w:eastAsia="Calibri"/>
          <w:szCs w:val="28"/>
          <w:lang w:val="es-CO" w:eastAsia="en-US"/>
        </w:rPr>
      </w:pPr>
      <w:r w:rsidRPr="002E4477">
        <w:rPr>
          <w:rFonts w:eastAsia="Calibri"/>
          <w:szCs w:val="28"/>
          <w:lang w:val="es-CO" w:eastAsia="en-US"/>
        </w:rPr>
        <w:t xml:space="preserve">Aunque en un principio se planteó que los miembros de la CNDJ deberían ser designados directamente por el Presidente de la República, lo cierto es que a partir del </w:t>
      </w:r>
      <w:r w:rsidRPr="002E4477">
        <w:rPr>
          <w:rFonts w:eastAsia="Calibri"/>
          <w:b/>
          <w:bCs/>
          <w:szCs w:val="28"/>
          <w:lang w:val="es-CO" w:eastAsia="en-US"/>
        </w:rPr>
        <w:t>segundo debate</w:t>
      </w:r>
      <w:r w:rsidRPr="002E4477">
        <w:rPr>
          <w:rFonts w:eastAsia="Calibri"/>
          <w:szCs w:val="28"/>
          <w:lang w:val="es-CO" w:eastAsia="en-US"/>
        </w:rPr>
        <w:t xml:space="preserve"> legislativo en Cámara, se mantuvo la competencia en el Congreso en </w:t>
      </w:r>
      <w:r>
        <w:rPr>
          <w:rFonts w:eastAsia="Calibri"/>
          <w:szCs w:val="28"/>
          <w:lang w:val="es-CO" w:eastAsia="en-US"/>
        </w:rPr>
        <w:t>P</w:t>
      </w:r>
      <w:r w:rsidRPr="002E4477">
        <w:rPr>
          <w:rFonts w:eastAsia="Calibri"/>
          <w:szCs w:val="28"/>
          <w:lang w:val="es-CO" w:eastAsia="en-US"/>
        </w:rPr>
        <w:t xml:space="preserve">leno. También, a lo largo de los debates, se conservó la atribución de designar a los dos órganos de gobierno y administración de la Rama Judicial creados con la reforma, para cumplir distintas funciones en el proceso de elegir algunas de las ternas de los candidatos a esa </w:t>
      </w:r>
      <w:r>
        <w:rPr>
          <w:rFonts w:eastAsia="Calibri"/>
          <w:szCs w:val="28"/>
          <w:lang w:val="es-CO" w:eastAsia="en-US"/>
        </w:rPr>
        <w:t>C</w:t>
      </w:r>
      <w:r w:rsidRPr="002E4477">
        <w:rPr>
          <w:rFonts w:eastAsia="Calibri"/>
          <w:szCs w:val="28"/>
          <w:lang w:val="es-CO" w:eastAsia="en-US"/>
        </w:rPr>
        <w:t>orporación</w:t>
      </w:r>
    </w:p>
    <w:p w14:paraId="6994C6CC" w14:textId="77777777" w:rsidR="00566B75" w:rsidRDefault="00566B75" w:rsidP="00566B75">
      <w:pPr>
        <w:jc w:val="both"/>
        <w:rPr>
          <w:rFonts w:eastAsia="Calibri"/>
          <w:b/>
          <w:bCs/>
          <w:szCs w:val="28"/>
          <w:lang w:val="es-CO" w:eastAsia="en-US"/>
        </w:rPr>
      </w:pPr>
    </w:p>
    <w:p w14:paraId="0B9B791F" w14:textId="77777777" w:rsidR="00566B75" w:rsidRDefault="00566B75" w:rsidP="00566B75">
      <w:pPr>
        <w:ind w:left="284"/>
        <w:jc w:val="both"/>
        <w:rPr>
          <w:rFonts w:eastAsia="Calibri"/>
          <w:szCs w:val="28"/>
          <w:lang w:val="es-CO" w:eastAsia="en-US"/>
        </w:rPr>
      </w:pPr>
      <w:r w:rsidRPr="002E4477">
        <w:rPr>
          <w:rFonts w:eastAsia="Calibri"/>
          <w:b/>
          <w:bCs/>
          <w:szCs w:val="28"/>
          <w:lang w:val="es-CO" w:eastAsia="en-US"/>
        </w:rPr>
        <w:t>(v)</w:t>
      </w:r>
      <w:r w:rsidRPr="002E4477">
        <w:rPr>
          <w:rFonts w:eastAsia="Calibri"/>
          <w:szCs w:val="28"/>
          <w:lang w:val="es-CO" w:eastAsia="en-US"/>
        </w:rPr>
        <w:t xml:space="preserve"> Asimismo, el constituyente trató de definir un proceso previo para la conformación de las ternas que serían presentadas al Congreso. En este sentido, la ponencia para el primer debate en el Senado precisó que la designación de los ternados debía estar precedida de un </w:t>
      </w:r>
      <w:r w:rsidRPr="002E4477">
        <w:rPr>
          <w:rFonts w:eastAsia="Calibri"/>
          <w:i/>
          <w:iCs/>
          <w:szCs w:val="28"/>
          <w:lang w:val="es-CO" w:eastAsia="en-US"/>
        </w:rPr>
        <w:t>“concurso de méritos por oposición, adelantado por la Dirección de la Magistratura”</w:t>
      </w:r>
      <w:r w:rsidRPr="002E4477">
        <w:rPr>
          <w:rFonts w:eastAsia="Calibri"/>
          <w:szCs w:val="28"/>
          <w:vertAlign w:val="superscript"/>
          <w:lang w:val="es-CO" w:eastAsia="en-US"/>
        </w:rPr>
        <w:footnoteReference w:id="404"/>
      </w:r>
      <w:r w:rsidRPr="002E4477">
        <w:rPr>
          <w:rFonts w:eastAsia="Calibri"/>
          <w:szCs w:val="28"/>
          <w:lang w:val="es-CO" w:eastAsia="en-US"/>
        </w:rPr>
        <w:t xml:space="preserve">. Sobre este particular, una de las senadoras ponentes explicó que el propósito de esa modificación constitucional era eliminar el </w:t>
      </w:r>
      <w:r w:rsidRPr="002E4477">
        <w:rPr>
          <w:rFonts w:eastAsia="Calibri"/>
          <w:i/>
          <w:iCs/>
          <w:szCs w:val="28"/>
          <w:lang w:val="es-CO" w:eastAsia="en-US"/>
        </w:rPr>
        <w:t xml:space="preserve">“origen político” </w:t>
      </w:r>
      <w:r w:rsidRPr="002E4477">
        <w:rPr>
          <w:rFonts w:eastAsia="Calibri"/>
          <w:szCs w:val="28"/>
          <w:lang w:val="es-CO" w:eastAsia="en-US"/>
        </w:rPr>
        <w:t xml:space="preserve">que, en su opinión, tuvieron los </w:t>
      </w:r>
      <w:r>
        <w:rPr>
          <w:rFonts w:eastAsia="Calibri"/>
          <w:szCs w:val="28"/>
          <w:lang w:val="es-CO" w:eastAsia="en-US"/>
        </w:rPr>
        <w:t>m</w:t>
      </w:r>
      <w:r w:rsidRPr="002E4477">
        <w:rPr>
          <w:rFonts w:eastAsia="Calibri"/>
          <w:szCs w:val="28"/>
          <w:lang w:val="es-CO" w:eastAsia="en-US"/>
        </w:rPr>
        <w:t>agistrados de la Sala Jurisdiccional Disciplinaria del Consejo Superior de la Judicatura</w:t>
      </w:r>
      <w:r w:rsidRPr="002E4477">
        <w:rPr>
          <w:rFonts w:eastAsia="Calibri"/>
          <w:szCs w:val="28"/>
          <w:vertAlign w:val="superscript"/>
          <w:lang w:val="es-CO" w:eastAsia="en-US"/>
        </w:rPr>
        <w:footnoteReference w:id="405"/>
      </w:r>
      <w:r w:rsidRPr="002E4477">
        <w:rPr>
          <w:rFonts w:eastAsia="Calibri"/>
          <w:szCs w:val="28"/>
          <w:lang w:val="es-CO" w:eastAsia="en-US"/>
        </w:rPr>
        <w:t xml:space="preserve">. </w:t>
      </w:r>
    </w:p>
    <w:p w14:paraId="66825B26" w14:textId="77777777" w:rsidR="00566B75" w:rsidRDefault="00566B75" w:rsidP="00566B75">
      <w:pPr>
        <w:ind w:left="284"/>
        <w:jc w:val="both"/>
        <w:rPr>
          <w:rFonts w:eastAsia="Calibri"/>
          <w:szCs w:val="28"/>
          <w:lang w:val="es-CO" w:eastAsia="en-US"/>
        </w:rPr>
      </w:pPr>
    </w:p>
    <w:p w14:paraId="31EFA62F" w14:textId="77777777" w:rsidR="00566B75" w:rsidRPr="00566B75" w:rsidRDefault="00566B75" w:rsidP="00566B75">
      <w:pPr>
        <w:ind w:left="284"/>
        <w:jc w:val="both"/>
        <w:rPr>
          <w:rFonts w:eastAsia="Calibri"/>
          <w:szCs w:val="28"/>
          <w:lang w:val="es-CO" w:eastAsia="en-US"/>
        </w:rPr>
      </w:pPr>
      <w:r w:rsidRPr="002E4477">
        <w:rPr>
          <w:rFonts w:eastAsia="Calibri"/>
          <w:szCs w:val="28"/>
          <w:lang w:val="es-CO" w:eastAsia="en-US"/>
        </w:rPr>
        <w:t xml:space="preserve">Igualmente, durante el primer debate en el Senado, se agregó que la elección que le correspondía al Congreso de la República debía efectuarse </w:t>
      </w:r>
      <w:r w:rsidRPr="002E4477">
        <w:rPr>
          <w:rFonts w:eastAsia="Calibri"/>
          <w:i/>
          <w:iCs/>
          <w:szCs w:val="28"/>
          <w:lang w:val="es-CO" w:eastAsia="en-US"/>
        </w:rPr>
        <w:t>“libremente”</w:t>
      </w:r>
      <w:r w:rsidRPr="002E4477">
        <w:rPr>
          <w:rFonts w:eastAsia="Calibri"/>
          <w:szCs w:val="28"/>
          <w:lang w:val="es-CO" w:eastAsia="en-US"/>
        </w:rPr>
        <w:t>, para indicar que dicha corporación pública tenía la posibilidad de escoger entre cualquiera de los integrantes de la terna, sin importar el puesto que hubiese ocupado la persona en el concurso de méritos inicialmente considerado</w:t>
      </w:r>
      <w:r w:rsidRPr="002E4477">
        <w:rPr>
          <w:rFonts w:eastAsia="Calibri"/>
          <w:szCs w:val="28"/>
          <w:vertAlign w:val="superscript"/>
          <w:lang w:val="es-CO" w:eastAsia="en-US"/>
        </w:rPr>
        <w:footnoteReference w:id="406"/>
      </w:r>
      <w:r w:rsidRPr="002E4477">
        <w:rPr>
          <w:rFonts w:eastAsia="Calibri"/>
          <w:szCs w:val="28"/>
          <w:lang w:val="es-CO" w:eastAsia="en-US"/>
        </w:rPr>
        <w:t>.</w:t>
      </w:r>
    </w:p>
    <w:p w14:paraId="51C729B2" w14:textId="77777777" w:rsidR="00566B75" w:rsidRPr="002E4477" w:rsidRDefault="00566B75" w:rsidP="00566B75">
      <w:pPr>
        <w:ind w:left="284"/>
        <w:jc w:val="both"/>
        <w:rPr>
          <w:rFonts w:eastAsia="Calibri"/>
          <w:szCs w:val="28"/>
          <w:lang w:val="es-CO" w:eastAsia="en-US"/>
        </w:rPr>
      </w:pPr>
    </w:p>
    <w:p w14:paraId="60977C96" w14:textId="77777777" w:rsidR="00566B75" w:rsidRPr="002E4477" w:rsidRDefault="00566B75" w:rsidP="00566B75">
      <w:pPr>
        <w:ind w:left="284"/>
        <w:jc w:val="both"/>
        <w:rPr>
          <w:rFonts w:eastAsia="Calibri"/>
          <w:szCs w:val="28"/>
          <w:lang w:val="es-CO" w:eastAsia="en-US"/>
        </w:rPr>
      </w:pPr>
      <w:r w:rsidRPr="002E4477">
        <w:rPr>
          <w:rFonts w:eastAsia="Calibri"/>
          <w:szCs w:val="28"/>
          <w:lang w:val="es-CO" w:eastAsia="en-US"/>
        </w:rPr>
        <w:t xml:space="preserve">En ese sentido, la Plenaria del Senado de la República mantuvo el sistema de escogencia de los </w:t>
      </w:r>
      <w:r>
        <w:rPr>
          <w:rFonts w:eastAsia="Calibri"/>
          <w:szCs w:val="28"/>
          <w:lang w:val="es-CO" w:eastAsia="en-US"/>
        </w:rPr>
        <w:t>M</w:t>
      </w:r>
      <w:r w:rsidRPr="002E4477">
        <w:rPr>
          <w:rFonts w:eastAsia="Calibri"/>
          <w:szCs w:val="28"/>
          <w:lang w:val="es-CO" w:eastAsia="en-US"/>
        </w:rPr>
        <w:t>agistrados, consistente en un “</w:t>
      </w:r>
      <w:r w:rsidRPr="002E4477">
        <w:rPr>
          <w:rFonts w:eastAsia="Calibri"/>
          <w:i/>
          <w:iCs/>
          <w:szCs w:val="28"/>
          <w:lang w:val="es-CO" w:eastAsia="en-US"/>
        </w:rPr>
        <w:t>concurso de méritos adelantado por el Consejo de Gobierno Judicial</w:t>
      </w:r>
      <w:r w:rsidRPr="002E4477">
        <w:rPr>
          <w:rFonts w:eastAsia="Calibri"/>
          <w:szCs w:val="28"/>
          <w:lang w:val="es-CO" w:eastAsia="en-US"/>
        </w:rPr>
        <w:t>” y su posterior elección por el Congreso de la República</w:t>
      </w:r>
      <w:r w:rsidRPr="002E4477">
        <w:rPr>
          <w:rFonts w:eastAsia="Calibri"/>
          <w:szCs w:val="28"/>
          <w:vertAlign w:val="superscript"/>
          <w:lang w:val="es-CO" w:eastAsia="en-US"/>
        </w:rPr>
        <w:footnoteReference w:id="407"/>
      </w:r>
      <w:r w:rsidRPr="002E4477">
        <w:rPr>
          <w:rFonts w:eastAsia="Calibri"/>
          <w:szCs w:val="28"/>
          <w:lang w:val="es-CO" w:eastAsia="en-US"/>
        </w:rPr>
        <w:t>.</w:t>
      </w:r>
    </w:p>
    <w:p w14:paraId="2E93680D" w14:textId="77777777" w:rsidR="00566B75" w:rsidRDefault="00566B75" w:rsidP="00566B75">
      <w:pPr>
        <w:ind w:left="284"/>
        <w:jc w:val="both"/>
        <w:rPr>
          <w:rFonts w:eastAsia="Calibri"/>
          <w:b/>
          <w:bCs/>
          <w:szCs w:val="28"/>
          <w:lang w:val="es-CO" w:eastAsia="en-US"/>
        </w:rPr>
      </w:pPr>
    </w:p>
    <w:p w14:paraId="680B813A" w14:textId="77777777" w:rsidR="00566B75" w:rsidRDefault="00566B75" w:rsidP="00566B75">
      <w:pPr>
        <w:ind w:left="284"/>
        <w:jc w:val="both"/>
        <w:rPr>
          <w:rFonts w:eastAsia="Calibri"/>
          <w:szCs w:val="28"/>
          <w:lang w:val="es-CO" w:eastAsia="en-US"/>
        </w:rPr>
      </w:pPr>
      <w:r w:rsidRPr="002E4477">
        <w:rPr>
          <w:rFonts w:eastAsia="Calibri"/>
          <w:b/>
          <w:bCs/>
          <w:szCs w:val="28"/>
          <w:lang w:val="es-CO" w:eastAsia="en-US"/>
        </w:rPr>
        <w:t>(vi)</w:t>
      </w:r>
      <w:r w:rsidRPr="002E4477">
        <w:rPr>
          <w:rFonts w:eastAsia="Calibri"/>
          <w:szCs w:val="28"/>
          <w:lang w:val="es-CO" w:eastAsia="en-US"/>
        </w:rPr>
        <w:t xml:space="preserve"> Sin embargo, en la ponencia para primer debate en </w:t>
      </w:r>
      <w:r>
        <w:rPr>
          <w:rFonts w:eastAsia="Calibri"/>
          <w:szCs w:val="28"/>
          <w:lang w:val="es-CO" w:eastAsia="en-US"/>
        </w:rPr>
        <w:t>s</w:t>
      </w:r>
      <w:r w:rsidRPr="002E4477">
        <w:rPr>
          <w:rFonts w:eastAsia="Calibri"/>
          <w:szCs w:val="28"/>
          <w:lang w:val="es-CO" w:eastAsia="en-US"/>
        </w:rPr>
        <w:t xml:space="preserve">egunda </w:t>
      </w:r>
      <w:r>
        <w:rPr>
          <w:rFonts w:eastAsia="Calibri"/>
          <w:szCs w:val="28"/>
          <w:lang w:val="es-CO" w:eastAsia="en-US"/>
        </w:rPr>
        <w:t>v</w:t>
      </w:r>
      <w:r w:rsidRPr="002E4477">
        <w:rPr>
          <w:rFonts w:eastAsia="Calibri"/>
          <w:szCs w:val="28"/>
          <w:lang w:val="es-CO" w:eastAsia="en-US"/>
        </w:rPr>
        <w:t xml:space="preserve">uelta en Cámara, se propuso </w:t>
      </w:r>
      <w:r w:rsidRPr="002E4477">
        <w:rPr>
          <w:rFonts w:eastAsia="Calibri"/>
          <w:i/>
          <w:iCs/>
          <w:szCs w:val="28"/>
          <w:lang w:val="es-CO" w:eastAsia="en-US"/>
        </w:rPr>
        <w:t>“modificar el mecanismo de elección de los Magistrados de la Comisión Nacional de Disciplina Judicial, para que el Presidente de la República nomine tres de las siete ternas de las cuales serán nombrados estos Magistrados”</w:t>
      </w:r>
      <w:r w:rsidRPr="002E4477">
        <w:rPr>
          <w:rFonts w:eastAsia="Calibri"/>
          <w:szCs w:val="28"/>
          <w:vertAlign w:val="superscript"/>
          <w:lang w:val="es-CO" w:eastAsia="en-US"/>
        </w:rPr>
        <w:footnoteReference w:id="408"/>
      </w:r>
      <w:r>
        <w:rPr>
          <w:rFonts w:eastAsia="Calibri"/>
          <w:i/>
          <w:iCs/>
          <w:szCs w:val="28"/>
          <w:lang w:val="es-CO" w:eastAsia="en-US"/>
        </w:rPr>
        <w:t xml:space="preserve"> </w:t>
      </w:r>
      <w:r w:rsidRPr="002E4477">
        <w:rPr>
          <w:rFonts w:eastAsia="Calibri"/>
          <w:szCs w:val="28"/>
          <w:lang w:val="es-CO" w:eastAsia="en-US"/>
        </w:rPr>
        <w:t>y se introdujo un cambio sustancial adicional en el texto, pues se prescindió del concurso de méritos, que se sustituyó finalmente por una “</w:t>
      </w:r>
      <w:r w:rsidRPr="002E4477">
        <w:rPr>
          <w:rFonts w:eastAsia="Calibri"/>
          <w:i/>
          <w:iCs/>
          <w:szCs w:val="28"/>
          <w:lang w:val="es-CO" w:eastAsia="en-US"/>
        </w:rPr>
        <w:t>convocatoria pública previa</w:t>
      </w:r>
      <w:r w:rsidRPr="002E4477">
        <w:rPr>
          <w:rFonts w:eastAsia="Calibri"/>
          <w:szCs w:val="28"/>
          <w:lang w:val="es-CO" w:eastAsia="en-US"/>
        </w:rPr>
        <w:t>”</w:t>
      </w:r>
      <w:r w:rsidRPr="002E4477">
        <w:rPr>
          <w:rFonts w:eastAsia="Calibri"/>
          <w:szCs w:val="28"/>
          <w:vertAlign w:val="superscript"/>
          <w:lang w:val="es-CO" w:eastAsia="en-US"/>
        </w:rPr>
        <w:footnoteReference w:id="409"/>
      </w:r>
      <w:r w:rsidRPr="002E4477">
        <w:rPr>
          <w:rFonts w:eastAsia="Calibri"/>
          <w:szCs w:val="28"/>
          <w:lang w:val="es-CO" w:eastAsia="en-US"/>
        </w:rPr>
        <w:t>. Esta última modificación, no fue fundamentada más allá de su referencia en la ponencia, ni tampoco fue objeto de mayor discusión en la Comisión Primera de la Cámara de Representantes</w:t>
      </w:r>
      <w:r w:rsidRPr="002E4477">
        <w:rPr>
          <w:rFonts w:eastAsia="Calibri"/>
          <w:szCs w:val="28"/>
          <w:vertAlign w:val="superscript"/>
          <w:lang w:val="es-CO" w:eastAsia="en-US"/>
        </w:rPr>
        <w:footnoteReference w:id="410"/>
      </w:r>
      <w:r w:rsidRPr="002E4477">
        <w:rPr>
          <w:rFonts w:eastAsia="Calibri"/>
          <w:szCs w:val="28"/>
          <w:lang w:val="es-CO" w:eastAsia="en-US"/>
        </w:rPr>
        <w:t xml:space="preserve">, aunque sí fue fruto de la modificación de una atribución previamente asignada al Consejo de Gobierno Judicial, como era el desarrollo del concurso de méritos. </w:t>
      </w:r>
    </w:p>
    <w:p w14:paraId="1C698B5A" w14:textId="77777777" w:rsidR="003E6CCB" w:rsidRPr="002E4477" w:rsidRDefault="003E6CCB" w:rsidP="00566B75">
      <w:pPr>
        <w:ind w:left="284"/>
        <w:jc w:val="both"/>
        <w:rPr>
          <w:rFonts w:eastAsia="Calibri"/>
          <w:szCs w:val="28"/>
          <w:lang w:val="es-CO" w:eastAsia="en-US"/>
        </w:rPr>
      </w:pPr>
    </w:p>
    <w:p w14:paraId="1813CA26" w14:textId="77777777" w:rsidR="00566B75" w:rsidRDefault="00566B75" w:rsidP="003E6CCB">
      <w:pPr>
        <w:ind w:left="284"/>
        <w:jc w:val="both"/>
        <w:rPr>
          <w:rFonts w:eastAsia="Calibri"/>
          <w:szCs w:val="28"/>
          <w:lang w:val="es-CO" w:eastAsia="en-US"/>
        </w:rPr>
      </w:pPr>
      <w:r w:rsidRPr="002E4477">
        <w:rPr>
          <w:rFonts w:eastAsia="Calibri"/>
          <w:b/>
          <w:bCs/>
          <w:szCs w:val="28"/>
          <w:lang w:val="es-CO" w:eastAsia="en-US"/>
        </w:rPr>
        <w:t>(vii)</w:t>
      </w:r>
      <w:r w:rsidRPr="002E4477">
        <w:rPr>
          <w:rFonts w:eastAsia="Calibri"/>
          <w:szCs w:val="28"/>
          <w:lang w:val="es-CO" w:eastAsia="en-US"/>
        </w:rPr>
        <w:t xml:space="preserve"> Por último, en la ponencia para segundo debate en la Cámara de Representantes, en la segunda vuelta, se consideró que uno de los ajustes que debían realizarse al texto de la reforma constitucional consistía en </w:t>
      </w:r>
      <w:r w:rsidRPr="002E4477">
        <w:rPr>
          <w:rFonts w:eastAsia="Calibri"/>
          <w:i/>
          <w:iCs/>
          <w:szCs w:val="28"/>
          <w:lang w:val="es-CO" w:eastAsia="en-US"/>
        </w:rPr>
        <w:t>“</w:t>
      </w:r>
      <w:r w:rsidRPr="002E4477">
        <w:rPr>
          <w:rFonts w:eastAsia="Calibri"/>
          <w:i/>
          <w:iCs/>
          <w:szCs w:val="28"/>
          <w:u w:val="single"/>
          <w:lang w:val="es-CO" w:eastAsia="en-US"/>
        </w:rPr>
        <w:t>[</w:t>
      </w:r>
      <w:r w:rsidRPr="002E4477">
        <w:rPr>
          <w:rFonts w:eastAsia="Calibri"/>
          <w:i/>
          <w:iCs/>
          <w:szCs w:val="28"/>
          <w:lang w:val="es-CO" w:eastAsia="en-US"/>
        </w:rPr>
        <w:t>e]stablecer, - como con los magistrados de las altas cortes -, que los magistrados de la Comisión Nacional de Disciplina Judicial [fueran] elegidos de ternas conformadas por convocatoria pública reglada”</w:t>
      </w:r>
      <w:r w:rsidRPr="002E4477">
        <w:rPr>
          <w:rFonts w:eastAsia="Calibri"/>
          <w:szCs w:val="28"/>
          <w:vertAlign w:val="superscript"/>
          <w:lang w:val="es-CO" w:eastAsia="en-US"/>
        </w:rPr>
        <w:footnoteReference w:id="411"/>
      </w:r>
      <w:r w:rsidRPr="002E4477">
        <w:rPr>
          <w:rFonts w:eastAsia="Calibri"/>
          <w:szCs w:val="28"/>
          <w:lang w:val="es-CO" w:eastAsia="en-US"/>
        </w:rPr>
        <w:t xml:space="preserve">. Sobre este punto, conviene anotar, que el A.L. 02 de 2015 modificó el artículo 231 de la Constitución Política para </w:t>
      </w:r>
      <w:r>
        <w:rPr>
          <w:rFonts w:eastAsia="Calibri"/>
          <w:szCs w:val="28"/>
          <w:lang w:val="es-CO" w:eastAsia="en-US"/>
        </w:rPr>
        <w:t>modificar algunas reglas en</w:t>
      </w:r>
      <w:r w:rsidRPr="002E4477">
        <w:rPr>
          <w:rFonts w:eastAsia="Calibri"/>
          <w:szCs w:val="28"/>
          <w:lang w:val="es-CO" w:eastAsia="en-US"/>
        </w:rPr>
        <w:t xml:space="preserve"> la elección de los magistrados de la Corte Suprema de Justicia y del Consejo de Estado, pero con ellos hizo una distinción muy concreta frente a la elección de los miembros de la CNDJ, pues para esta elección señaló que la </w:t>
      </w:r>
      <w:r w:rsidRPr="002E4477">
        <w:rPr>
          <w:rFonts w:eastAsia="Calibri"/>
          <w:i/>
          <w:iCs/>
          <w:szCs w:val="28"/>
          <w:lang w:val="es-CO" w:eastAsia="en-US"/>
        </w:rPr>
        <w:t xml:space="preserve">“convocatoria pública reglada” </w:t>
      </w:r>
      <w:r w:rsidRPr="002E4477">
        <w:rPr>
          <w:rFonts w:eastAsia="Calibri"/>
          <w:szCs w:val="28"/>
          <w:lang w:val="es-CO" w:eastAsia="en-US"/>
        </w:rPr>
        <w:t>debía serlo de</w:t>
      </w:r>
      <w:r w:rsidRPr="002E4477">
        <w:rPr>
          <w:rFonts w:eastAsia="Calibri"/>
          <w:i/>
          <w:iCs/>
          <w:szCs w:val="28"/>
          <w:lang w:val="es-CO" w:eastAsia="en-US"/>
        </w:rPr>
        <w:t xml:space="preserve"> “conformidad con la ley”</w:t>
      </w:r>
      <w:r w:rsidRPr="002E4477">
        <w:rPr>
          <w:rFonts w:eastAsia="Calibri"/>
          <w:szCs w:val="28"/>
          <w:vertAlign w:val="superscript"/>
          <w:lang w:val="es-CO" w:eastAsia="en-US"/>
        </w:rPr>
        <w:footnoteReference w:id="412"/>
      </w:r>
      <w:r w:rsidRPr="002E4477">
        <w:rPr>
          <w:rFonts w:eastAsia="Calibri"/>
          <w:szCs w:val="28"/>
          <w:lang w:val="es-CO" w:eastAsia="en-US"/>
        </w:rPr>
        <w:t xml:space="preserve"> y para el caso de la integración de las ternas para magistrados de la CNDJ</w:t>
      </w:r>
      <w:r w:rsidRPr="002E4477">
        <w:rPr>
          <w:rFonts w:eastAsia="Calibri"/>
          <w:szCs w:val="28"/>
          <w:vertAlign w:val="superscript"/>
          <w:lang w:val="es-CO" w:eastAsia="en-US"/>
        </w:rPr>
        <w:footnoteReference w:id="413"/>
      </w:r>
      <w:r w:rsidRPr="002E4477">
        <w:rPr>
          <w:rFonts w:eastAsia="Calibri"/>
          <w:szCs w:val="28"/>
          <w:lang w:val="es-CO" w:eastAsia="en-US"/>
        </w:rPr>
        <w:t xml:space="preserve"> se abstuvo directamente de hacer esa precisión. Por lo que se insiste en la especificidad de la regulación de la convocatoria, que en este caso propuso el constituyente en mención.</w:t>
      </w:r>
    </w:p>
    <w:p w14:paraId="4A3ECE19" w14:textId="77777777" w:rsidR="003E6CCB" w:rsidRPr="003E6CCB" w:rsidRDefault="003E6CCB" w:rsidP="003E6CCB">
      <w:pPr>
        <w:ind w:left="284"/>
        <w:jc w:val="both"/>
        <w:rPr>
          <w:rFonts w:eastAsia="Calibri"/>
          <w:szCs w:val="28"/>
          <w:lang w:val="es-CO" w:eastAsia="en-US"/>
        </w:rPr>
      </w:pPr>
    </w:p>
    <w:p w14:paraId="66757B0F" w14:textId="77777777" w:rsidR="003E6CCB" w:rsidRPr="002E4477" w:rsidRDefault="003E6CCB" w:rsidP="003E6CCB">
      <w:pPr>
        <w:ind w:left="284"/>
        <w:jc w:val="both"/>
        <w:rPr>
          <w:rFonts w:eastAsia="Calibri"/>
          <w:bCs/>
          <w:szCs w:val="28"/>
          <w:lang w:val="es-CO" w:eastAsia="en-US"/>
        </w:rPr>
      </w:pPr>
      <w:r w:rsidRPr="002E4477">
        <w:rPr>
          <w:rFonts w:eastAsia="Calibri"/>
          <w:b/>
          <w:bCs/>
          <w:szCs w:val="28"/>
          <w:lang w:val="es-CO" w:eastAsia="en-US"/>
        </w:rPr>
        <w:t xml:space="preserve">(viii) </w:t>
      </w:r>
      <w:r w:rsidRPr="002E4477">
        <w:rPr>
          <w:rFonts w:eastAsia="Calibri"/>
          <w:bCs/>
          <w:szCs w:val="28"/>
          <w:lang w:val="es-CO" w:eastAsia="en-US"/>
        </w:rPr>
        <w:t xml:space="preserve">En cuanto a la existencia de </w:t>
      </w:r>
      <w:r w:rsidRPr="002E4477">
        <w:rPr>
          <w:rFonts w:eastAsia="Calibri"/>
          <w:szCs w:val="28"/>
          <w:lang w:val="es-CO" w:eastAsia="en-US"/>
        </w:rPr>
        <w:t>un</w:t>
      </w:r>
      <w:r w:rsidRPr="002E4477">
        <w:rPr>
          <w:rFonts w:eastAsia="Calibri"/>
          <w:b/>
          <w:bCs/>
          <w:szCs w:val="28"/>
          <w:lang w:val="es-CO" w:eastAsia="en-US"/>
        </w:rPr>
        <w:t xml:space="preserve"> “régimen de transición”</w:t>
      </w:r>
      <w:r w:rsidRPr="002E4477">
        <w:rPr>
          <w:rFonts w:eastAsia="Calibri"/>
          <w:bCs/>
          <w:szCs w:val="28"/>
          <w:lang w:val="es-CO" w:eastAsia="en-US"/>
        </w:rPr>
        <w:t xml:space="preserve"> para la eliminación de la Sala Jurisdiccional Disciplinaria del Consejo Superior de la Judicatura y la entrada en funcionamiento de la CNDJ, debe decirse que </w:t>
      </w:r>
      <w:r w:rsidRPr="002E4477">
        <w:rPr>
          <w:rFonts w:eastAsia="Calibri"/>
          <w:szCs w:val="28"/>
          <w:lang w:val="es-CO" w:eastAsia="en-US"/>
        </w:rPr>
        <w:t xml:space="preserve">desde el inicio del proceso de reforma constitucional, el constituyente mostró su interés en adoptar mecanismos para facilitar la transición entre la Sala Jurisdiccional Disciplinaria del Consejo Superior de la Judicatura y la nueva </w:t>
      </w:r>
      <w:r>
        <w:rPr>
          <w:rFonts w:eastAsia="Calibri"/>
          <w:szCs w:val="28"/>
          <w:lang w:val="es-CO" w:eastAsia="en-US"/>
        </w:rPr>
        <w:t>C</w:t>
      </w:r>
      <w:r w:rsidRPr="002E4477">
        <w:rPr>
          <w:rFonts w:eastAsia="Calibri"/>
          <w:szCs w:val="28"/>
          <w:lang w:val="es-CO" w:eastAsia="en-US"/>
        </w:rPr>
        <w:t>orporación.</w:t>
      </w:r>
    </w:p>
    <w:p w14:paraId="43FED075" w14:textId="77777777" w:rsidR="003E6CCB" w:rsidRPr="002E4477" w:rsidRDefault="003E6CCB" w:rsidP="003E6CCB">
      <w:pPr>
        <w:ind w:left="284"/>
        <w:jc w:val="both"/>
        <w:rPr>
          <w:rFonts w:eastAsia="Calibri"/>
          <w:szCs w:val="28"/>
          <w:lang w:val="es-CO" w:eastAsia="en-US"/>
        </w:rPr>
      </w:pPr>
    </w:p>
    <w:p w14:paraId="218FE276" w14:textId="77777777" w:rsidR="003E6CCB" w:rsidRPr="002E4477" w:rsidRDefault="003E6CCB" w:rsidP="003E6CCB">
      <w:pPr>
        <w:ind w:left="284"/>
        <w:jc w:val="both"/>
        <w:rPr>
          <w:rFonts w:eastAsia="Calibri"/>
          <w:szCs w:val="28"/>
          <w:lang w:val="es-CO" w:eastAsia="en-US"/>
        </w:rPr>
      </w:pPr>
      <w:r w:rsidRPr="002E4477">
        <w:rPr>
          <w:rFonts w:eastAsia="Calibri"/>
          <w:szCs w:val="28"/>
          <w:lang w:val="es-CO" w:eastAsia="en-US"/>
        </w:rPr>
        <w:t xml:space="preserve">Dicha preocupación comenzó a evidenciarse en la ponencia para el primer debate en Cámara, en la cual se fijó </w:t>
      </w:r>
      <w:r w:rsidRPr="002E4477">
        <w:rPr>
          <w:rFonts w:eastAsia="Calibri"/>
          <w:i/>
          <w:iCs/>
          <w:szCs w:val="28"/>
          <w:lang w:val="es-CO" w:eastAsia="en-US"/>
        </w:rPr>
        <w:t>“un régimen de transición para la actual Sala Jurisdiccional Disciplinaria y los Consejos Seccionales de la Judicatura que evitará traumatismos en relación con los procesos disciplinarios y garantizará los derechos adquiridos de los magistrados de carrera”</w:t>
      </w:r>
      <w:r w:rsidRPr="002E4477">
        <w:rPr>
          <w:rFonts w:eastAsia="Calibri"/>
          <w:szCs w:val="28"/>
          <w:vertAlign w:val="superscript"/>
          <w:lang w:val="es-CO" w:eastAsia="en-US"/>
        </w:rPr>
        <w:footnoteReference w:id="414"/>
      </w:r>
      <w:r w:rsidRPr="002E4477">
        <w:rPr>
          <w:rFonts w:eastAsia="Calibri"/>
          <w:szCs w:val="28"/>
          <w:lang w:val="es-CO" w:eastAsia="en-US"/>
        </w:rPr>
        <w:t>.</w:t>
      </w:r>
    </w:p>
    <w:p w14:paraId="27EF870F" w14:textId="77777777" w:rsidR="003E6CCB" w:rsidRDefault="003E6CCB" w:rsidP="003E6CCB">
      <w:pPr>
        <w:jc w:val="both"/>
        <w:rPr>
          <w:rFonts w:eastAsia="Calibri"/>
          <w:szCs w:val="28"/>
          <w:lang w:val="es-CO" w:eastAsia="en-US"/>
        </w:rPr>
      </w:pPr>
    </w:p>
    <w:p w14:paraId="2B1D1B26" w14:textId="77777777" w:rsidR="003E6CCB" w:rsidRPr="002E4477" w:rsidRDefault="003E6CCB" w:rsidP="003E6CCB">
      <w:pPr>
        <w:ind w:left="284"/>
        <w:jc w:val="both"/>
        <w:rPr>
          <w:rFonts w:eastAsia="Calibri"/>
          <w:szCs w:val="28"/>
          <w:lang w:val="es-CO" w:eastAsia="en-US"/>
        </w:rPr>
      </w:pPr>
      <w:r w:rsidRPr="002E4477">
        <w:rPr>
          <w:rFonts w:eastAsia="Calibri"/>
          <w:szCs w:val="28"/>
          <w:lang w:val="es-CO" w:eastAsia="en-US"/>
        </w:rPr>
        <w:t>Posteriormente, durante el</w:t>
      </w:r>
      <w:r w:rsidRPr="002E4477">
        <w:rPr>
          <w:rFonts w:eastAsia="Calibri"/>
          <w:b/>
          <w:bCs/>
          <w:szCs w:val="28"/>
          <w:lang w:val="es-CO" w:eastAsia="en-US"/>
        </w:rPr>
        <w:t xml:space="preserve"> </w:t>
      </w:r>
      <w:r w:rsidRPr="002E4477">
        <w:rPr>
          <w:rFonts w:eastAsia="Calibri"/>
          <w:szCs w:val="28"/>
          <w:lang w:val="es-CO" w:eastAsia="en-US"/>
        </w:rPr>
        <w:t>debate en el Senado, varios parlamentarios insistieron en la necesidad de suprimir completamente a la Sala Disciplinaria del Consejo Superior de la Judicatura</w:t>
      </w:r>
      <w:r w:rsidRPr="002E4477">
        <w:rPr>
          <w:rFonts w:eastAsia="Calibri"/>
          <w:szCs w:val="28"/>
          <w:vertAlign w:val="superscript"/>
          <w:lang w:val="es-CO" w:eastAsia="en-US"/>
        </w:rPr>
        <w:footnoteReference w:id="415"/>
      </w:r>
      <w:r w:rsidRPr="002E4477">
        <w:rPr>
          <w:rFonts w:eastAsia="Calibri"/>
          <w:szCs w:val="28"/>
          <w:lang w:val="es-CO" w:eastAsia="en-US"/>
        </w:rPr>
        <w:t>. En este sentido, se propusieron dos alternativas para garantizar la transición entre dicha Sala y la Comisión Nacional de Disciplina Judicial</w:t>
      </w:r>
      <w:r w:rsidRPr="002E4477">
        <w:rPr>
          <w:rFonts w:eastAsia="Calibri"/>
          <w:szCs w:val="28"/>
          <w:vertAlign w:val="superscript"/>
          <w:lang w:val="es-CO" w:eastAsia="en-US"/>
        </w:rPr>
        <w:footnoteReference w:id="416"/>
      </w:r>
      <w:r w:rsidRPr="002E4477">
        <w:rPr>
          <w:rFonts w:eastAsia="Calibri"/>
          <w:szCs w:val="28"/>
          <w:lang w:val="es-CO" w:eastAsia="en-US"/>
        </w:rPr>
        <w:t xml:space="preserve">: </w:t>
      </w:r>
      <w:r w:rsidRPr="002E4477">
        <w:rPr>
          <w:rFonts w:eastAsia="Calibri"/>
          <w:b/>
          <w:bCs/>
          <w:szCs w:val="28"/>
          <w:lang w:val="es-CO" w:eastAsia="en-US"/>
        </w:rPr>
        <w:t>(a)</w:t>
      </w:r>
      <w:r w:rsidRPr="002E4477">
        <w:rPr>
          <w:rFonts w:eastAsia="Calibri"/>
          <w:szCs w:val="28"/>
          <w:lang w:val="es-CO" w:eastAsia="en-US"/>
        </w:rPr>
        <w:t xml:space="preserve"> por una parte, establecer que los </w:t>
      </w:r>
      <w:r>
        <w:rPr>
          <w:rFonts w:eastAsia="Calibri"/>
          <w:szCs w:val="28"/>
          <w:lang w:val="es-CO" w:eastAsia="en-US"/>
        </w:rPr>
        <w:t>m</w:t>
      </w:r>
      <w:r w:rsidRPr="002E4477">
        <w:rPr>
          <w:rFonts w:eastAsia="Calibri"/>
          <w:szCs w:val="28"/>
          <w:lang w:val="es-CO" w:eastAsia="en-US"/>
        </w:rPr>
        <w:t>agistrados de la Sala Jurisdiccional Disciplinaria del Consejo Superior de la Judicatura continuarían en sus cargos hasta que culminaran sus períodos y, conforme se fueran generando nuevas vacantes, se aplicaran las nuevas reglas de elección</w:t>
      </w:r>
      <w:r w:rsidRPr="002E4477">
        <w:rPr>
          <w:rFonts w:eastAsia="Calibri"/>
          <w:szCs w:val="28"/>
          <w:vertAlign w:val="superscript"/>
          <w:lang w:val="es-CO" w:eastAsia="en-US"/>
        </w:rPr>
        <w:footnoteReference w:id="417"/>
      </w:r>
      <w:r w:rsidRPr="002E4477">
        <w:rPr>
          <w:rFonts w:eastAsia="Calibri"/>
          <w:szCs w:val="28"/>
          <w:lang w:val="es-CO" w:eastAsia="en-US"/>
        </w:rPr>
        <w:t xml:space="preserve">. Esta alternativa implicaba que los </w:t>
      </w:r>
      <w:r>
        <w:rPr>
          <w:rFonts w:eastAsia="Calibri"/>
          <w:szCs w:val="28"/>
          <w:lang w:val="es-CO" w:eastAsia="en-US"/>
        </w:rPr>
        <w:t>m</w:t>
      </w:r>
      <w:r w:rsidRPr="002E4477">
        <w:rPr>
          <w:rFonts w:eastAsia="Calibri"/>
          <w:szCs w:val="28"/>
          <w:lang w:val="es-CO" w:eastAsia="en-US"/>
        </w:rPr>
        <w:t>agistrados de la citada Sala Jurisdiccional pasaran a conformar la CNDJ</w:t>
      </w:r>
      <w:r w:rsidRPr="002E4477">
        <w:rPr>
          <w:rFonts w:eastAsia="Calibri"/>
          <w:szCs w:val="28"/>
          <w:vertAlign w:val="superscript"/>
          <w:lang w:val="es-CO" w:eastAsia="en-US"/>
        </w:rPr>
        <w:footnoteReference w:id="418"/>
      </w:r>
      <w:r w:rsidRPr="002E4477">
        <w:rPr>
          <w:rFonts w:eastAsia="Calibri"/>
          <w:szCs w:val="28"/>
          <w:lang w:val="es-CO" w:eastAsia="en-US"/>
        </w:rPr>
        <w:t xml:space="preserve">. La segunda opción </w:t>
      </w:r>
      <w:r w:rsidRPr="002E4477">
        <w:rPr>
          <w:rFonts w:eastAsia="Calibri"/>
          <w:b/>
          <w:bCs/>
          <w:szCs w:val="28"/>
          <w:lang w:val="es-CO" w:eastAsia="en-US"/>
        </w:rPr>
        <w:t xml:space="preserve">(b) </w:t>
      </w:r>
      <w:r w:rsidRPr="002E4477">
        <w:rPr>
          <w:rFonts w:eastAsia="Calibri"/>
          <w:szCs w:val="28"/>
          <w:lang w:val="es-CO" w:eastAsia="en-US"/>
        </w:rPr>
        <w:t xml:space="preserve">fue disponer que en el término de un año debía entrar en funcionamiento la CNDJ, con lo cual se suprimía la Sala Jurisdiccional Disciplinaria del Consejo Superior de la Judicatura y los </w:t>
      </w:r>
      <w:r>
        <w:rPr>
          <w:rFonts w:eastAsia="Calibri"/>
          <w:szCs w:val="28"/>
          <w:lang w:val="es-CO" w:eastAsia="en-US"/>
        </w:rPr>
        <w:t>m</w:t>
      </w:r>
      <w:r w:rsidRPr="002E4477">
        <w:rPr>
          <w:rFonts w:eastAsia="Calibri"/>
          <w:szCs w:val="28"/>
          <w:lang w:val="es-CO" w:eastAsia="en-US"/>
        </w:rPr>
        <w:t xml:space="preserve">agistrados de la nueva </w:t>
      </w:r>
      <w:r>
        <w:rPr>
          <w:rFonts w:eastAsia="Calibri"/>
          <w:szCs w:val="28"/>
          <w:lang w:val="es-CO" w:eastAsia="en-US"/>
        </w:rPr>
        <w:t>C</w:t>
      </w:r>
      <w:r w:rsidRPr="002E4477">
        <w:rPr>
          <w:rFonts w:eastAsia="Calibri"/>
          <w:szCs w:val="28"/>
          <w:lang w:val="es-CO" w:eastAsia="en-US"/>
        </w:rPr>
        <w:t xml:space="preserve">orporación serían designados desde el principio, con las reglas adoptadas en la reforma. </w:t>
      </w:r>
    </w:p>
    <w:p w14:paraId="16A74C56" w14:textId="77777777" w:rsidR="003E6CCB" w:rsidRPr="002E4477" w:rsidRDefault="003E6CCB" w:rsidP="003E6CCB">
      <w:pPr>
        <w:ind w:left="567"/>
        <w:jc w:val="both"/>
        <w:rPr>
          <w:rFonts w:eastAsia="Calibri"/>
          <w:szCs w:val="28"/>
          <w:lang w:val="es-CO" w:eastAsia="en-US"/>
        </w:rPr>
      </w:pPr>
    </w:p>
    <w:p w14:paraId="2B283651" w14:textId="77777777" w:rsidR="003E6CCB" w:rsidRPr="002E4477" w:rsidRDefault="003E6CCB" w:rsidP="003E6CCB">
      <w:pPr>
        <w:ind w:left="284"/>
        <w:jc w:val="both"/>
        <w:rPr>
          <w:rFonts w:eastAsia="Calibri"/>
          <w:szCs w:val="28"/>
          <w:lang w:val="es-CO" w:eastAsia="en-US"/>
        </w:rPr>
      </w:pPr>
      <w:r w:rsidRPr="002E4477">
        <w:rPr>
          <w:rFonts w:eastAsia="Calibri"/>
          <w:szCs w:val="28"/>
          <w:lang w:val="es-CO" w:eastAsia="en-US"/>
        </w:rPr>
        <w:t xml:space="preserve">El Congreso de la República, a partir del sexto debate y hasta la versión final del acto legislativo, acogió la segunda opción reseñada, que daba cuenta de la necesidad de establecer un término perentorio para la entrada en funcionamiento de la </w:t>
      </w:r>
      <w:r w:rsidR="0055329A">
        <w:rPr>
          <w:rFonts w:eastAsia="Calibri"/>
          <w:szCs w:val="28"/>
          <w:lang w:val="es-CO" w:eastAsia="en-US"/>
        </w:rPr>
        <w:t>CNDJ</w:t>
      </w:r>
      <w:r w:rsidRPr="002E4477">
        <w:rPr>
          <w:rFonts w:eastAsia="Calibri"/>
          <w:szCs w:val="28"/>
          <w:lang w:val="es-CO" w:eastAsia="en-US"/>
        </w:rPr>
        <w:t>. En relación con el asunto, el senador Roy Barreras indicó:</w:t>
      </w:r>
    </w:p>
    <w:p w14:paraId="40B8884F" w14:textId="77777777" w:rsidR="003E6CCB" w:rsidRDefault="003E6CCB" w:rsidP="003E6CCB">
      <w:pPr>
        <w:ind w:left="284"/>
        <w:jc w:val="both"/>
        <w:rPr>
          <w:rFonts w:eastAsia="Calibri"/>
          <w:b/>
          <w:bCs/>
          <w:szCs w:val="28"/>
          <w:lang w:val="es-CO" w:eastAsia="en-US"/>
        </w:rPr>
      </w:pPr>
    </w:p>
    <w:p w14:paraId="02521219" w14:textId="77777777" w:rsidR="003E6CCB" w:rsidRPr="0055329A" w:rsidRDefault="003E6CCB" w:rsidP="003E6CCB">
      <w:pPr>
        <w:ind w:left="284"/>
        <w:jc w:val="both"/>
        <w:rPr>
          <w:rFonts w:eastAsia="Calibri"/>
          <w:i/>
          <w:iCs/>
          <w:szCs w:val="28"/>
          <w:lang w:val="es-CO" w:eastAsia="en-US"/>
        </w:rPr>
      </w:pPr>
      <w:r w:rsidRPr="0055329A">
        <w:rPr>
          <w:rFonts w:eastAsia="Calibri"/>
          <w:i/>
          <w:iCs/>
          <w:szCs w:val="28"/>
          <w:lang w:val="es-CO" w:eastAsia="en-US"/>
        </w:rPr>
        <w:t>“[M]ientras se crea la nueva Comisión Nacional de Disciplina, que no dice en cuánto tiempo hay que crearla, estos señores se quedan sentados allí eternamente, porque esto no le pone plazos ni términos, se quedan hasta que terminen su proceso, es más, por mandato de la Constitución quedan vitalicios los señores de la Judicatura, porque esta Constitución que estamos construyendo no le pone término.</w:t>
      </w:r>
    </w:p>
    <w:p w14:paraId="218D02EE" w14:textId="77777777" w:rsidR="003E6CCB" w:rsidRPr="0055329A" w:rsidRDefault="003E6CCB" w:rsidP="003E6CCB">
      <w:pPr>
        <w:ind w:left="284"/>
        <w:jc w:val="both"/>
        <w:rPr>
          <w:rFonts w:eastAsia="Calibri"/>
          <w:i/>
          <w:iCs/>
          <w:szCs w:val="28"/>
          <w:lang w:val="es-CO" w:eastAsia="en-US"/>
        </w:rPr>
      </w:pPr>
    </w:p>
    <w:p w14:paraId="39B620A2" w14:textId="77777777" w:rsidR="003E6CCB" w:rsidRPr="0055329A" w:rsidRDefault="003E6CCB" w:rsidP="003E6CCB">
      <w:pPr>
        <w:ind w:left="284"/>
        <w:jc w:val="both"/>
        <w:rPr>
          <w:rFonts w:eastAsia="Calibri"/>
          <w:szCs w:val="28"/>
          <w:lang w:val="es-CO" w:eastAsia="en-US"/>
        </w:rPr>
      </w:pPr>
      <w:r w:rsidRPr="0055329A">
        <w:rPr>
          <w:rFonts w:eastAsia="Calibri"/>
          <w:i/>
          <w:iCs/>
          <w:szCs w:val="28"/>
          <w:lang w:val="es-CO" w:eastAsia="en-US"/>
        </w:rPr>
        <w:t>Entonces yo sugeriría (…) que incluyamos en el artículo un término de transitoriedad que exija la elección de esta Comisión Nacional como ordena este artículo 20 y le pongamos un límite al ejercicio de estos señores del Consejo actual de la Judicatura, Sala Disciplinaria”</w:t>
      </w:r>
      <w:r w:rsidRPr="0055329A">
        <w:rPr>
          <w:rFonts w:eastAsia="Calibri"/>
          <w:szCs w:val="28"/>
          <w:vertAlign w:val="superscript"/>
          <w:lang w:val="es-CO" w:eastAsia="en-US"/>
        </w:rPr>
        <w:footnoteReference w:id="419"/>
      </w:r>
      <w:r w:rsidRPr="0055329A">
        <w:rPr>
          <w:rFonts w:eastAsia="Calibri"/>
          <w:szCs w:val="28"/>
          <w:lang w:val="es-CO" w:eastAsia="en-US"/>
        </w:rPr>
        <w:t>.</w:t>
      </w:r>
    </w:p>
    <w:p w14:paraId="1B0EABDD" w14:textId="77777777" w:rsidR="003E6CCB" w:rsidRDefault="003E6CCB" w:rsidP="003E6CCB">
      <w:pPr>
        <w:jc w:val="both"/>
        <w:rPr>
          <w:rFonts w:eastAsia="Calibri"/>
          <w:szCs w:val="28"/>
          <w:lang w:val="es-CO" w:eastAsia="en-US"/>
        </w:rPr>
      </w:pPr>
    </w:p>
    <w:p w14:paraId="1CE3FBED" w14:textId="77777777" w:rsidR="0055329A" w:rsidRDefault="003E6CCB" w:rsidP="003E6CCB">
      <w:pPr>
        <w:ind w:left="284"/>
        <w:jc w:val="both"/>
        <w:rPr>
          <w:rFonts w:eastAsia="Calibri"/>
          <w:szCs w:val="28"/>
          <w:lang w:val="es-CO" w:eastAsia="en-US"/>
        </w:rPr>
      </w:pPr>
      <w:r w:rsidRPr="002E4477">
        <w:rPr>
          <w:rFonts w:eastAsia="Calibri"/>
          <w:szCs w:val="28"/>
          <w:lang w:val="es-CO" w:eastAsia="en-US"/>
        </w:rPr>
        <w:t xml:space="preserve">El término que se propuso fue de un año, para la entrada en funcionamiento de la </w:t>
      </w:r>
      <w:r w:rsidR="0055329A">
        <w:rPr>
          <w:rFonts w:eastAsia="Calibri"/>
          <w:szCs w:val="28"/>
          <w:lang w:val="es-CO" w:eastAsia="en-US"/>
        </w:rPr>
        <w:t>CNDJ</w:t>
      </w:r>
      <w:r w:rsidRPr="002E4477">
        <w:rPr>
          <w:rFonts w:eastAsia="Calibri"/>
          <w:szCs w:val="28"/>
          <w:lang w:val="es-CO" w:eastAsia="en-US"/>
        </w:rPr>
        <w:t xml:space="preserve">. El citado plazo fue acogido por la plenaria del Senado de la República en el sexto debate, en el cual se avaló una proposición sustitutiva que modificó el parágrafo transitorio de la norma. Este cambio fue explicado por la senadora Daira de Jesús Galvis Méndez del siguiente modo: </w:t>
      </w:r>
    </w:p>
    <w:p w14:paraId="7144873D" w14:textId="77777777" w:rsidR="0055329A" w:rsidRDefault="0055329A" w:rsidP="003E6CCB">
      <w:pPr>
        <w:ind w:left="284"/>
        <w:jc w:val="both"/>
        <w:rPr>
          <w:rFonts w:eastAsia="Calibri"/>
          <w:szCs w:val="28"/>
          <w:lang w:val="es-CO" w:eastAsia="en-US"/>
        </w:rPr>
      </w:pPr>
    </w:p>
    <w:p w14:paraId="6D052EB0" w14:textId="77777777" w:rsidR="003E6CCB" w:rsidRPr="002E4477" w:rsidRDefault="003E6CCB" w:rsidP="003E6CCB">
      <w:pPr>
        <w:ind w:left="284"/>
        <w:jc w:val="both"/>
        <w:rPr>
          <w:rFonts w:eastAsia="Calibri"/>
          <w:szCs w:val="28"/>
          <w:lang w:val="es-CO" w:eastAsia="en-US"/>
        </w:rPr>
      </w:pPr>
      <w:r w:rsidRPr="002E4477">
        <w:rPr>
          <w:rFonts w:eastAsia="Calibri"/>
          <w:i/>
          <w:iCs/>
          <w:szCs w:val="28"/>
          <w:lang w:val="es-CO" w:eastAsia="en-US"/>
        </w:rPr>
        <w:t>“existe un término que es el de un año, de esta manera se le facilita a la mayor parte de Magistrados que están para salir del Consejo Superior de la Judicatura (sic), pero al tiempo no se interrumpe la función, porque la Comisión Nacional Disciplinaria (sic) de Disciplina Judicial va a entrar a asumir de manera inmediata los procesos que están cursando en la Sala Jurisdiccional y Disciplinaria (sic) que fuera objeto de modificación”</w:t>
      </w:r>
      <w:r w:rsidRPr="002E4477">
        <w:rPr>
          <w:rFonts w:eastAsia="Calibri"/>
          <w:szCs w:val="28"/>
          <w:vertAlign w:val="superscript"/>
          <w:lang w:val="es-CO" w:eastAsia="en-US"/>
        </w:rPr>
        <w:footnoteReference w:id="420"/>
      </w:r>
      <w:r w:rsidRPr="002E4477">
        <w:rPr>
          <w:rFonts w:eastAsia="Calibri"/>
          <w:szCs w:val="28"/>
          <w:lang w:val="es-CO" w:eastAsia="en-US"/>
        </w:rPr>
        <w:t>.</w:t>
      </w:r>
    </w:p>
    <w:p w14:paraId="7ADCF5C4" w14:textId="77777777" w:rsidR="003E6CCB" w:rsidRPr="002E4477" w:rsidRDefault="003E6CCB" w:rsidP="003E6CCB">
      <w:pPr>
        <w:ind w:left="567"/>
        <w:jc w:val="both"/>
        <w:rPr>
          <w:rFonts w:eastAsia="Calibri"/>
          <w:szCs w:val="28"/>
          <w:lang w:val="es-CO" w:eastAsia="en-US"/>
        </w:rPr>
      </w:pPr>
    </w:p>
    <w:p w14:paraId="09CD6CB3" w14:textId="77777777" w:rsidR="003E6CCB" w:rsidRPr="002E4477" w:rsidRDefault="003E6CCB" w:rsidP="003E6CCB">
      <w:pPr>
        <w:ind w:left="284"/>
        <w:jc w:val="both"/>
        <w:rPr>
          <w:rFonts w:eastAsia="Calibri"/>
          <w:szCs w:val="28"/>
          <w:lang w:val="es-CO" w:eastAsia="en-US"/>
        </w:rPr>
      </w:pPr>
      <w:r w:rsidRPr="002E4477">
        <w:rPr>
          <w:rFonts w:eastAsia="Calibri"/>
          <w:szCs w:val="28"/>
          <w:lang w:val="es-CO" w:eastAsia="en-US"/>
        </w:rPr>
        <w:t xml:space="preserve">Finalmente, en la Cámara de Representantes se introdujo una proposición para que la Sala Jurisdiccional Disciplinaria del Consejo Superior de la Judicatura cesara sus funciones únicamente cuando se posesionaran los </w:t>
      </w:r>
      <w:r>
        <w:rPr>
          <w:rFonts w:eastAsia="Calibri"/>
          <w:szCs w:val="28"/>
          <w:lang w:val="es-CO" w:eastAsia="en-US"/>
        </w:rPr>
        <w:t>m</w:t>
      </w:r>
      <w:r w:rsidRPr="002E4477">
        <w:rPr>
          <w:rFonts w:eastAsia="Calibri"/>
          <w:szCs w:val="28"/>
          <w:lang w:val="es-CO" w:eastAsia="en-US"/>
        </w:rPr>
        <w:t>agistrados de la Comisión Nacional de Disciplina Judicial</w:t>
      </w:r>
      <w:r w:rsidRPr="002E4477">
        <w:rPr>
          <w:rFonts w:eastAsia="Calibri"/>
          <w:szCs w:val="28"/>
          <w:vertAlign w:val="superscript"/>
          <w:lang w:val="es-CO" w:eastAsia="en-US"/>
        </w:rPr>
        <w:footnoteReference w:id="421"/>
      </w:r>
      <w:r w:rsidRPr="002E4477">
        <w:rPr>
          <w:rFonts w:eastAsia="Calibri"/>
          <w:szCs w:val="28"/>
          <w:lang w:val="es-CO" w:eastAsia="en-US"/>
        </w:rPr>
        <w:t xml:space="preserve">. En este marco, durante la discusión, los congresistas manifestaron su intención de establecer un término de un año para que las funciones del antiguo órgano fueran asumidas por la nueva </w:t>
      </w:r>
      <w:r>
        <w:rPr>
          <w:rFonts w:eastAsia="Calibri"/>
          <w:szCs w:val="28"/>
          <w:lang w:val="es-CO" w:eastAsia="en-US"/>
        </w:rPr>
        <w:t>C</w:t>
      </w:r>
      <w:r w:rsidRPr="002E4477">
        <w:rPr>
          <w:rFonts w:eastAsia="Calibri"/>
          <w:szCs w:val="28"/>
          <w:lang w:val="es-CO" w:eastAsia="en-US"/>
        </w:rPr>
        <w:t xml:space="preserve">orporación, como un lapso de tiempo que tenía dos propósitos: el primero, que la mayoría de miembros de la Sala Jurisdiccional Disciplinaria concluyeran sus períodos constitucionales; y el segundo, que los </w:t>
      </w:r>
      <w:r w:rsidRPr="002E4477">
        <w:rPr>
          <w:rFonts w:eastAsia="Calibri"/>
          <w:i/>
          <w:iCs/>
          <w:szCs w:val="28"/>
          <w:lang w:val="es-CO" w:eastAsia="en-US"/>
        </w:rPr>
        <w:t>órganos de gobierno y administración</w:t>
      </w:r>
      <w:r w:rsidRPr="002E4477">
        <w:rPr>
          <w:rFonts w:eastAsia="Calibri"/>
          <w:szCs w:val="28"/>
          <w:lang w:val="es-CO" w:eastAsia="en-US"/>
        </w:rPr>
        <w:t xml:space="preserve"> de la Rama Judicial dispusieran del tiempo suficiente para </w:t>
      </w:r>
      <w:r w:rsidRPr="002E4477">
        <w:rPr>
          <w:rFonts w:eastAsia="Calibri"/>
          <w:i/>
          <w:iCs/>
          <w:szCs w:val="28"/>
          <w:lang w:val="es-CO" w:eastAsia="en-US"/>
        </w:rPr>
        <w:t>organizar el concurso de méritos o la convocatoria pública previa</w:t>
      </w:r>
      <w:r w:rsidRPr="002E4477">
        <w:rPr>
          <w:rFonts w:eastAsia="Calibri"/>
          <w:szCs w:val="28"/>
          <w:lang w:val="es-CO" w:eastAsia="en-US"/>
        </w:rPr>
        <w:t>, para la designación de las ternas respectivas.</w:t>
      </w:r>
    </w:p>
    <w:p w14:paraId="28CFB252" w14:textId="77777777" w:rsidR="003E6CCB" w:rsidRPr="002E4477" w:rsidRDefault="003E6CCB" w:rsidP="003E6CCB">
      <w:pPr>
        <w:ind w:left="567"/>
        <w:jc w:val="both"/>
        <w:rPr>
          <w:rFonts w:eastAsia="Calibri"/>
          <w:szCs w:val="28"/>
          <w:lang w:val="es-CO" w:eastAsia="en-US"/>
        </w:rPr>
      </w:pPr>
    </w:p>
    <w:p w14:paraId="42F8BC78" w14:textId="77777777" w:rsidR="003E6CCB" w:rsidRPr="002E4477" w:rsidRDefault="003E6CCB" w:rsidP="003E6CCB">
      <w:pPr>
        <w:ind w:left="284"/>
        <w:jc w:val="both"/>
        <w:rPr>
          <w:rFonts w:eastAsia="Calibri"/>
          <w:szCs w:val="28"/>
          <w:lang w:val="es-CO" w:eastAsia="en-US"/>
        </w:rPr>
      </w:pPr>
      <w:r w:rsidRPr="002E4477">
        <w:rPr>
          <w:rFonts w:eastAsia="Calibri"/>
          <w:b/>
          <w:bCs/>
          <w:szCs w:val="28"/>
          <w:lang w:val="es-CO" w:eastAsia="en-US"/>
        </w:rPr>
        <w:t>(ix)</w:t>
      </w:r>
      <w:r w:rsidRPr="002E4477">
        <w:rPr>
          <w:rFonts w:eastAsia="Calibri"/>
          <w:szCs w:val="28"/>
          <w:lang w:val="es-CO" w:eastAsia="en-US"/>
        </w:rPr>
        <w:t xml:space="preserve"> Estos antecedentes le permiten a la Sala concluir, a partir del trámite legislativo del A.L. 02 de 2015, que el querer del constituyente frente a esta reforma, era: </w:t>
      </w:r>
      <w:r w:rsidRPr="002E4477">
        <w:rPr>
          <w:rFonts w:eastAsia="Calibri"/>
          <w:b/>
          <w:bCs/>
          <w:szCs w:val="28"/>
          <w:lang w:val="es-CO" w:eastAsia="en-US"/>
        </w:rPr>
        <w:t>(a)</w:t>
      </w:r>
      <w:r w:rsidRPr="002E4477">
        <w:rPr>
          <w:rFonts w:eastAsia="Calibri"/>
          <w:szCs w:val="28"/>
          <w:lang w:val="es-CO" w:eastAsia="en-US"/>
        </w:rPr>
        <w:t xml:space="preserve"> conceder a</w:t>
      </w:r>
      <w:r w:rsidR="00FE2375">
        <w:rPr>
          <w:rFonts w:eastAsia="Calibri"/>
          <w:szCs w:val="28"/>
          <w:lang w:val="es-CO" w:eastAsia="en-US"/>
        </w:rPr>
        <w:t xml:space="preserve"> los convocantes y, para el caso objeto de estudio, a</w:t>
      </w:r>
      <w:r w:rsidRPr="002E4477">
        <w:rPr>
          <w:rFonts w:eastAsia="Calibri"/>
          <w:szCs w:val="28"/>
          <w:lang w:val="es-CO" w:eastAsia="en-US"/>
        </w:rPr>
        <w:t xml:space="preserve">l Consejo de Gobierno Judicial, hoy el CSJ, la facultad de regular las convocatorias públicas correspondientes para designar las ternas y no asignarle al </w:t>
      </w:r>
      <w:r>
        <w:rPr>
          <w:rFonts w:eastAsia="Calibri"/>
          <w:szCs w:val="28"/>
          <w:lang w:val="es-CO" w:eastAsia="en-US"/>
        </w:rPr>
        <w:t>L</w:t>
      </w:r>
      <w:r w:rsidRPr="002E4477">
        <w:rPr>
          <w:rFonts w:eastAsia="Calibri"/>
          <w:szCs w:val="28"/>
          <w:lang w:val="es-CO" w:eastAsia="en-US"/>
        </w:rPr>
        <w:t xml:space="preserve">egislador esa función, por expresa diferenciación con otros procesos de selección. Además, </w:t>
      </w:r>
      <w:r w:rsidRPr="002E4477">
        <w:rPr>
          <w:rFonts w:eastAsia="Calibri"/>
          <w:b/>
          <w:bCs/>
          <w:szCs w:val="28"/>
          <w:lang w:val="es-CO" w:eastAsia="en-US"/>
        </w:rPr>
        <w:t xml:space="preserve">(b) </w:t>
      </w:r>
      <w:r w:rsidRPr="002E4477">
        <w:rPr>
          <w:rFonts w:eastAsia="Calibri"/>
          <w:szCs w:val="28"/>
          <w:lang w:val="es-CO" w:eastAsia="en-US"/>
        </w:rPr>
        <w:t>su interés desde siempre</w:t>
      </w:r>
      <w:r>
        <w:rPr>
          <w:rFonts w:eastAsia="Calibri"/>
          <w:szCs w:val="28"/>
          <w:lang w:val="es-CO" w:eastAsia="en-US"/>
        </w:rPr>
        <w:t>,</w:t>
      </w:r>
      <w:r w:rsidRPr="002E4477">
        <w:rPr>
          <w:rFonts w:eastAsia="Calibri"/>
          <w:szCs w:val="28"/>
          <w:lang w:val="es-CO" w:eastAsia="en-US"/>
        </w:rPr>
        <w:t xml:space="preserve"> fue facilitar la transitoriedad de la Sala Jurisdiccional Disciplinaria del CSJ a la CNDJ de una manera limitada en el tiempo, para evitar precisamente situaciones como la que ahora acontece. </w:t>
      </w:r>
    </w:p>
    <w:p w14:paraId="5B6328C6" w14:textId="77777777" w:rsidR="003E6CCB" w:rsidRPr="00566B75" w:rsidRDefault="003E6CCB" w:rsidP="003E6CCB">
      <w:pPr>
        <w:spacing w:line="276" w:lineRule="auto"/>
        <w:jc w:val="both"/>
        <w:rPr>
          <w:rFonts w:eastAsia="Calibri"/>
          <w:b/>
          <w:bCs/>
          <w:szCs w:val="28"/>
          <w:lang w:val="es-CO" w:eastAsia="en-US"/>
        </w:rPr>
      </w:pPr>
    </w:p>
    <w:p w14:paraId="06202453" w14:textId="77777777" w:rsidR="00F13D9D" w:rsidRPr="00FE2375" w:rsidRDefault="001774AE" w:rsidP="003E6CCB">
      <w:pPr>
        <w:pStyle w:val="Prrafodelista"/>
        <w:numPr>
          <w:ilvl w:val="0"/>
          <w:numId w:val="10"/>
        </w:numPr>
        <w:tabs>
          <w:tab w:val="left" w:pos="567"/>
        </w:tabs>
        <w:contextualSpacing/>
        <w:jc w:val="both"/>
        <w:rPr>
          <w:szCs w:val="28"/>
          <w:lang w:val="es-CO"/>
        </w:rPr>
      </w:pPr>
      <w:r w:rsidRPr="00FE2375">
        <w:rPr>
          <w:szCs w:val="28"/>
        </w:rPr>
        <w:t>Por último,</w:t>
      </w:r>
      <w:r w:rsidR="00B73F8F" w:rsidRPr="00FE2375">
        <w:rPr>
          <w:szCs w:val="28"/>
        </w:rPr>
        <w:t xml:space="preserve"> </w:t>
      </w:r>
      <w:r w:rsidR="00941426" w:rsidRPr="00FE2375">
        <w:rPr>
          <w:szCs w:val="28"/>
        </w:rPr>
        <w:t xml:space="preserve">en </w:t>
      </w:r>
      <w:r w:rsidR="00034F4C" w:rsidRPr="00FE2375">
        <w:rPr>
          <w:szCs w:val="28"/>
        </w:rPr>
        <w:t xml:space="preserve">lo que respecta al defecto en estudio y su relación con la presunta </w:t>
      </w:r>
      <w:r w:rsidR="00941426" w:rsidRPr="00FE2375">
        <w:rPr>
          <w:szCs w:val="28"/>
        </w:rPr>
        <w:t xml:space="preserve">interpretación sistemática </w:t>
      </w:r>
      <w:r w:rsidR="00034F4C" w:rsidRPr="00FE2375">
        <w:rPr>
          <w:szCs w:val="28"/>
        </w:rPr>
        <w:t xml:space="preserve">que el Consejo de Estado propone como forma de definir la aplicación o no de otras normas constitucionales presuntamente involucradas, </w:t>
      </w:r>
      <w:r w:rsidR="00941426" w:rsidRPr="00FE2375">
        <w:rPr>
          <w:szCs w:val="28"/>
        </w:rPr>
        <w:t>lo cierto es que ante el desconocimiento de</w:t>
      </w:r>
      <w:r w:rsidR="00034F4C" w:rsidRPr="00FE2375">
        <w:rPr>
          <w:szCs w:val="28"/>
        </w:rPr>
        <w:t xml:space="preserve"> la modulación de la sentencia constitucional analizada y por ende de</w:t>
      </w:r>
      <w:r w:rsidR="00941426" w:rsidRPr="00FE2375">
        <w:rPr>
          <w:szCs w:val="28"/>
        </w:rPr>
        <w:t xml:space="preserve"> la cosa juzgada constitucional, e</w:t>
      </w:r>
      <w:r w:rsidR="00B73F8F" w:rsidRPr="00FE2375">
        <w:rPr>
          <w:szCs w:val="28"/>
        </w:rPr>
        <w:t>l</w:t>
      </w:r>
      <w:r w:rsidR="00941426" w:rsidRPr="00FE2375">
        <w:rPr>
          <w:szCs w:val="28"/>
        </w:rPr>
        <w:t xml:space="preserve"> proceso interpretativo que se propuso en la providencia </w:t>
      </w:r>
      <w:r w:rsidR="00F13D9D" w:rsidRPr="00FE2375">
        <w:rPr>
          <w:szCs w:val="28"/>
        </w:rPr>
        <w:t>acusada</w:t>
      </w:r>
      <w:r w:rsidR="00B73F8F" w:rsidRPr="00FE2375">
        <w:rPr>
          <w:szCs w:val="28"/>
        </w:rPr>
        <w:t xml:space="preserve"> </w:t>
      </w:r>
      <w:r w:rsidR="00941426" w:rsidRPr="00FE2375">
        <w:rPr>
          <w:szCs w:val="28"/>
        </w:rPr>
        <w:t>result</w:t>
      </w:r>
      <w:r w:rsidR="00B73F8F" w:rsidRPr="00FE2375">
        <w:rPr>
          <w:szCs w:val="28"/>
        </w:rPr>
        <w:t>ó</w:t>
      </w:r>
      <w:r w:rsidR="00941426" w:rsidRPr="00FE2375">
        <w:rPr>
          <w:szCs w:val="28"/>
        </w:rPr>
        <w:t xml:space="preserve"> inadecuado. </w:t>
      </w:r>
      <w:r w:rsidR="00324CFA" w:rsidRPr="00FE2375">
        <w:rPr>
          <w:szCs w:val="28"/>
        </w:rPr>
        <w:t xml:space="preserve">Las razones especificadas por la Corte, en la parte motiva </w:t>
      </w:r>
      <w:r w:rsidR="005A4CE6" w:rsidRPr="00FE2375">
        <w:rPr>
          <w:szCs w:val="28"/>
        </w:rPr>
        <w:t xml:space="preserve">de </w:t>
      </w:r>
      <w:r w:rsidR="00941426" w:rsidRPr="00FE2375">
        <w:rPr>
          <w:szCs w:val="28"/>
        </w:rPr>
        <w:t xml:space="preserve">la sentencia C-285 de 2016, </w:t>
      </w:r>
      <w:r w:rsidR="00633F0B" w:rsidRPr="00FE2375">
        <w:rPr>
          <w:szCs w:val="28"/>
        </w:rPr>
        <w:t xml:space="preserve">que hizo tránsito a cosa juzgada constitucional, </w:t>
      </w:r>
      <w:r w:rsidR="00941426" w:rsidRPr="00FE2375">
        <w:rPr>
          <w:szCs w:val="28"/>
        </w:rPr>
        <w:t xml:space="preserve">habilitaban al CSJ para hacer la convocatoria pública reglada </w:t>
      </w:r>
      <w:r w:rsidR="00FE2375" w:rsidRPr="00FE2375">
        <w:rPr>
          <w:szCs w:val="28"/>
        </w:rPr>
        <w:t>para conformar las ternas que le competen</w:t>
      </w:r>
      <w:r w:rsidR="00034F4C" w:rsidRPr="00FE2375">
        <w:rPr>
          <w:szCs w:val="28"/>
        </w:rPr>
        <w:t xml:space="preserve">, que corresponden también a lo previamente analizado, como la voluntad del constituyente. </w:t>
      </w:r>
    </w:p>
    <w:p w14:paraId="1A1E4950" w14:textId="77777777" w:rsidR="003E6CCB" w:rsidRPr="00FE2375" w:rsidRDefault="003E6CCB" w:rsidP="003E6CCB">
      <w:pPr>
        <w:pStyle w:val="Prrafodelista"/>
        <w:tabs>
          <w:tab w:val="left" w:pos="567"/>
        </w:tabs>
        <w:ind w:left="0"/>
        <w:contextualSpacing/>
        <w:jc w:val="both"/>
        <w:rPr>
          <w:szCs w:val="28"/>
          <w:lang w:val="es-CO"/>
        </w:rPr>
      </w:pPr>
    </w:p>
    <w:p w14:paraId="16EF4EA4" w14:textId="77777777" w:rsidR="002B4671" w:rsidRPr="00034F76" w:rsidRDefault="003E6CCB" w:rsidP="00B461C0">
      <w:pPr>
        <w:pStyle w:val="Prrafodelista"/>
        <w:numPr>
          <w:ilvl w:val="0"/>
          <w:numId w:val="10"/>
        </w:numPr>
        <w:jc w:val="both"/>
        <w:rPr>
          <w:szCs w:val="28"/>
        </w:rPr>
      </w:pPr>
      <w:r w:rsidRPr="00FE2375">
        <w:rPr>
          <w:szCs w:val="28"/>
        </w:rPr>
        <w:t>Este hecho hacía innecesario entonces, desde la perspectiva del querer del constituyente, acudir al artículo 126 superior para complementar una norma cuyo texto ya incluía un proceder</w:t>
      </w:r>
      <w:r w:rsidRPr="002E4477">
        <w:rPr>
          <w:szCs w:val="28"/>
        </w:rPr>
        <w:t xml:space="preserve"> concreto y especial para la regulación </w:t>
      </w:r>
      <w:r w:rsidRPr="00FE2375">
        <w:rPr>
          <w:szCs w:val="28"/>
        </w:rPr>
        <w:t>de la convocatoria pública reglada, avalado tanto por la sentencia C-285 de 2016, como por el constituyente del 2015. Una aproximación soportada también, por el parágrafo transitorio del artículo 257A que el Consejo de Estado desestimó sin más</w:t>
      </w:r>
      <w:r w:rsidR="00B461C0" w:rsidRPr="00FE2375">
        <w:rPr>
          <w:szCs w:val="28"/>
        </w:rPr>
        <w:t>,</w:t>
      </w:r>
      <w:r w:rsidRPr="00FE2375">
        <w:rPr>
          <w:szCs w:val="28"/>
        </w:rPr>
        <w:t xml:space="preserve"> y que establecía un término de un año para </w:t>
      </w:r>
      <w:r w:rsidR="00B461C0" w:rsidRPr="00FE2375">
        <w:rPr>
          <w:szCs w:val="28"/>
        </w:rPr>
        <w:t>la</w:t>
      </w:r>
      <w:r w:rsidRPr="00FE2375">
        <w:rPr>
          <w:szCs w:val="28"/>
        </w:rPr>
        <w:t xml:space="preserve"> elección </w:t>
      </w:r>
      <w:r w:rsidR="00B461C0" w:rsidRPr="00FE2375">
        <w:rPr>
          <w:szCs w:val="28"/>
        </w:rPr>
        <w:t xml:space="preserve">correspondiente. Una selección que </w:t>
      </w:r>
      <w:r w:rsidRPr="00FE2375">
        <w:rPr>
          <w:szCs w:val="28"/>
        </w:rPr>
        <w:t xml:space="preserve">realizada </w:t>
      </w:r>
      <w:r w:rsidR="00B461C0" w:rsidRPr="00FE2375">
        <w:rPr>
          <w:szCs w:val="28"/>
        </w:rPr>
        <w:t>a partir de las facultades conferidas</w:t>
      </w:r>
      <w:r w:rsidR="00034F76">
        <w:rPr>
          <w:szCs w:val="28"/>
        </w:rPr>
        <w:t>, en este caso,</w:t>
      </w:r>
      <w:r w:rsidR="00B461C0" w:rsidRPr="00FE2375">
        <w:rPr>
          <w:szCs w:val="28"/>
        </w:rPr>
        <w:t xml:space="preserve"> al </w:t>
      </w:r>
      <w:r w:rsidRPr="00FE2375">
        <w:rPr>
          <w:szCs w:val="28"/>
        </w:rPr>
        <w:t xml:space="preserve">CSJ era </w:t>
      </w:r>
      <w:r w:rsidR="00B461C0" w:rsidRPr="00FE2375">
        <w:rPr>
          <w:szCs w:val="28"/>
        </w:rPr>
        <w:t xml:space="preserve">perfectamente </w:t>
      </w:r>
      <w:r w:rsidRPr="00FE2375">
        <w:rPr>
          <w:szCs w:val="28"/>
        </w:rPr>
        <w:t>p</w:t>
      </w:r>
      <w:r w:rsidR="00B461C0" w:rsidRPr="00FE2375">
        <w:rPr>
          <w:szCs w:val="28"/>
        </w:rPr>
        <w:t>osible de asumir sin mayores inconvenientes en ese periodo</w:t>
      </w:r>
      <w:r w:rsidRPr="00FE2375">
        <w:rPr>
          <w:szCs w:val="28"/>
        </w:rPr>
        <w:t xml:space="preserve">, pero </w:t>
      </w:r>
      <w:r w:rsidR="00B461C0" w:rsidRPr="00FE2375">
        <w:rPr>
          <w:szCs w:val="28"/>
        </w:rPr>
        <w:t xml:space="preserve">que, bajo las exigencias impuestas por el Consejo de Estado a partir del artículo </w:t>
      </w:r>
      <w:r w:rsidRPr="00FE2375">
        <w:rPr>
          <w:szCs w:val="28"/>
        </w:rPr>
        <w:t>126</w:t>
      </w:r>
      <w:r w:rsidR="00B461C0" w:rsidRPr="00FE2375">
        <w:rPr>
          <w:szCs w:val="28"/>
        </w:rPr>
        <w:t xml:space="preserve"> superior, exigía el cumplimiento de múltiples etapas difíciles de acomodar en un periodo tan corto</w:t>
      </w:r>
      <w:r w:rsidR="002B4671" w:rsidRPr="00FE2375">
        <w:rPr>
          <w:szCs w:val="28"/>
        </w:rPr>
        <w:t>,</w:t>
      </w:r>
      <w:r w:rsidR="00B461C0" w:rsidRPr="00FE2375">
        <w:rPr>
          <w:szCs w:val="28"/>
        </w:rPr>
        <w:t xml:space="preserve"> sin riesgo </w:t>
      </w:r>
      <w:r w:rsidR="002B4671" w:rsidRPr="00FE2375">
        <w:rPr>
          <w:szCs w:val="28"/>
        </w:rPr>
        <w:t xml:space="preserve">de un real </w:t>
      </w:r>
      <w:r w:rsidR="00B461C0" w:rsidRPr="00FE2375">
        <w:rPr>
          <w:szCs w:val="28"/>
        </w:rPr>
        <w:t>incumplimiento, como</w:t>
      </w:r>
      <w:r w:rsidRPr="00FE2375">
        <w:rPr>
          <w:szCs w:val="28"/>
        </w:rPr>
        <w:t xml:space="preserve"> </w:t>
      </w:r>
      <w:r w:rsidR="00B461C0" w:rsidRPr="00FE2375">
        <w:rPr>
          <w:szCs w:val="28"/>
        </w:rPr>
        <w:t xml:space="preserve">podían ser </w:t>
      </w:r>
      <w:r w:rsidRPr="00FE2375">
        <w:rPr>
          <w:rFonts w:eastAsia="Calibri"/>
          <w:szCs w:val="28"/>
          <w:lang w:eastAsia="en-US"/>
        </w:rPr>
        <w:t xml:space="preserve">(i) </w:t>
      </w:r>
      <w:r w:rsidR="00B461C0" w:rsidRPr="00FE2375">
        <w:rPr>
          <w:rFonts w:eastAsia="Calibri"/>
          <w:szCs w:val="28"/>
          <w:lang w:eastAsia="en-US"/>
        </w:rPr>
        <w:t>el trámite</w:t>
      </w:r>
      <w:r w:rsidRPr="00FE2375">
        <w:rPr>
          <w:rFonts w:eastAsia="Calibri"/>
          <w:szCs w:val="28"/>
          <w:lang w:eastAsia="en-US"/>
        </w:rPr>
        <w:t xml:space="preserve"> y apr</w:t>
      </w:r>
      <w:r w:rsidR="00B461C0" w:rsidRPr="00FE2375">
        <w:rPr>
          <w:rFonts w:eastAsia="Calibri"/>
          <w:szCs w:val="28"/>
          <w:lang w:eastAsia="en-US"/>
        </w:rPr>
        <w:t>obación de</w:t>
      </w:r>
      <w:r w:rsidRPr="00FE2375">
        <w:rPr>
          <w:rFonts w:eastAsia="Calibri"/>
          <w:szCs w:val="28"/>
          <w:lang w:eastAsia="en-US"/>
        </w:rPr>
        <w:t xml:space="preserve"> la ley que reglament</w:t>
      </w:r>
      <w:r w:rsidR="00B461C0" w:rsidRPr="00FE2375">
        <w:rPr>
          <w:rFonts w:eastAsia="Calibri"/>
          <w:szCs w:val="28"/>
          <w:lang w:eastAsia="en-US"/>
        </w:rPr>
        <w:t>aba</w:t>
      </w:r>
      <w:r w:rsidRPr="00FE2375">
        <w:rPr>
          <w:rFonts w:eastAsia="Calibri"/>
          <w:szCs w:val="28"/>
          <w:lang w:eastAsia="en-US"/>
        </w:rPr>
        <w:t xml:space="preserve"> la convocatoria</w:t>
      </w:r>
      <w:r w:rsidR="00B461C0" w:rsidRPr="00FE2375">
        <w:rPr>
          <w:rFonts w:eastAsia="Calibri"/>
          <w:szCs w:val="28"/>
          <w:lang w:eastAsia="en-US"/>
        </w:rPr>
        <w:t>;</w:t>
      </w:r>
      <w:r w:rsidRPr="00FE2375">
        <w:rPr>
          <w:rFonts w:eastAsia="Calibri"/>
          <w:szCs w:val="28"/>
          <w:lang w:eastAsia="en-US"/>
        </w:rPr>
        <w:t xml:space="preserve"> (ii) la </w:t>
      </w:r>
      <w:r w:rsidR="00B461C0" w:rsidRPr="00FE2375">
        <w:rPr>
          <w:rFonts w:eastAsia="Calibri"/>
          <w:szCs w:val="28"/>
          <w:lang w:eastAsia="en-US"/>
        </w:rPr>
        <w:t xml:space="preserve">expedición oportuna de la </w:t>
      </w:r>
      <w:r w:rsidRPr="00FE2375">
        <w:rPr>
          <w:rFonts w:eastAsia="Calibri"/>
          <w:szCs w:val="28"/>
          <w:lang w:eastAsia="en-US"/>
        </w:rPr>
        <w:t>convocatoria por las entidades competentes</w:t>
      </w:r>
      <w:r w:rsidR="00B461C0" w:rsidRPr="00FE2375">
        <w:rPr>
          <w:rFonts w:eastAsia="Calibri"/>
          <w:szCs w:val="28"/>
          <w:lang w:eastAsia="en-US"/>
        </w:rPr>
        <w:t>;</w:t>
      </w:r>
      <w:r w:rsidRPr="00FE2375">
        <w:rPr>
          <w:rFonts w:eastAsia="Calibri"/>
          <w:szCs w:val="28"/>
          <w:lang w:eastAsia="en-US"/>
        </w:rPr>
        <w:t xml:space="preserve"> (iii) </w:t>
      </w:r>
      <w:r w:rsidR="00B461C0" w:rsidRPr="00FE2375">
        <w:rPr>
          <w:rFonts w:eastAsia="Calibri"/>
          <w:szCs w:val="28"/>
          <w:lang w:eastAsia="en-US"/>
        </w:rPr>
        <w:t xml:space="preserve">el deber de </w:t>
      </w:r>
      <w:r w:rsidRPr="00FE2375">
        <w:rPr>
          <w:rFonts w:eastAsia="Calibri"/>
          <w:szCs w:val="28"/>
          <w:lang w:eastAsia="en-US"/>
        </w:rPr>
        <w:t xml:space="preserve">aquellas </w:t>
      </w:r>
      <w:r w:rsidR="00B461C0" w:rsidRPr="00FE2375">
        <w:rPr>
          <w:rFonts w:eastAsia="Calibri"/>
          <w:szCs w:val="28"/>
          <w:lang w:eastAsia="en-US"/>
        </w:rPr>
        <w:t>de surtir a partir d</w:t>
      </w:r>
      <w:r w:rsidRPr="00FE2375">
        <w:rPr>
          <w:rFonts w:eastAsia="Calibri"/>
          <w:szCs w:val="28"/>
          <w:lang w:eastAsia="en-US"/>
        </w:rPr>
        <w:t xml:space="preserve">el procedimiento interno de conformación de las </w:t>
      </w:r>
      <w:r w:rsidRPr="00034F76">
        <w:rPr>
          <w:rFonts w:eastAsia="Calibri"/>
          <w:szCs w:val="28"/>
          <w:lang w:eastAsia="en-US"/>
        </w:rPr>
        <w:t xml:space="preserve">ternas y (iv) </w:t>
      </w:r>
      <w:r w:rsidR="00B461C0" w:rsidRPr="00034F76">
        <w:rPr>
          <w:rFonts w:eastAsia="Calibri"/>
          <w:szCs w:val="28"/>
          <w:lang w:eastAsia="en-US"/>
        </w:rPr>
        <w:t xml:space="preserve">la posterior decisión del </w:t>
      </w:r>
      <w:r w:rsidRPr="00034F76">
        <w:rPr>
          <w:rFonts w:eastAsia="Calibri"/>
          <w:szCs w:val="28"/>
          <w:lang w:eastAsia="en-US"/>
        </w:rPr>
        <w:t xml:space="preserve">Congreso de la República </w:t>
      </w:r>
      <w:r w:rsidR="00B461C0" w:rsidRPr="00034F76">
        <w:rPr>
          <w:rFonts w:eastAsia="Calibri"/>
          <w:szCs w:val="28"/>
          <w:lang w:eastAsia="en-US"/>
        </w:rPr>
        <w:t>de elegir</w:t>
      </w:r>
      <w:r w:rsidRPr="00034F76">
        <w:rPr>
          <w:rFonts w:eastAsia="Calibri"/>
          <w:szCs w:val="28"/>
          <w:lang w:eastAsia="en-US"/>
        </w:rPr>
        <w:t xml:space="preserve"> a los Magistrados que </w:t>
      </w:r>
      <w:r w:rsidR="00B461C0" w:rsidRPr="00034F76">
        <w:rPr>
          <w:rFonts w:eastAsia="Calibri"/>
          <w:szCs w:val="28"/>
          <w:lang w:eastAsia="en-US"/>
        </w:rPr>
        <w:t>debían posesionarse.</w:t>
      </w:r>
      <w:r w:rsidR="002B4671" w:rsidRPr="00034F76">
        <w:rPr>
          <w:rFonts w:eastAsia="Calibri"/>
          <w:szCs w:val="28"/>
          <w:lang w:eastAsia="en-US"/>
        </w:rPr>
        <w:t xml:space="preserve"> Lo anterior, sin contar con el hecho mismo de que la ambigüedad en la providencia del Consejo de Estado, hizo suponer a muchos que el trámite exigible era además, el de una ley estatutaria. </w:t>
      </w:r>
    </w:p>
    <w:p w14:paraId="75A8B57A" w14:textId="77777777" w:rsidR="002E0042" w:rsidRPr="00034F76" w:rsidRDefault="002E0042" w:rsidP="002E0042">
      <w:pPr>
        <w:pStyle w:val="Prrafodelista"/>
        <w:ind w:left="0"/>
        <w:jc w:val="both"/>
        <w:rPr>
          <w:szCs w:val="28"/>
        </w:rPr>
      </w:pPr>
    </w:p>
    <w:p w14:paraId="64470998" w14:textId="77777777" w:rsidR="003E6CCB" w:rsidRPr="00034F76" w:rsidRDefault="002B4671" w:rsidP="002B4671">
      <w:pPr>
        <w:pStyle w:val="Prrafodelista"/>
        <w:numPr>
          <w:ilvl w:val="0"/>
          <w:numId w:val="10"/>
        </w:numPr>
        <w:jc w:val="both"/>
        <w:rPr>
          <w:szCs w:val="28"/>
        </w:rPr>
      </w:pPr>
      <w:r w:rsidRPr="00034F76">
        <w:rPr>
          <w:rFonts w:eastAsia="Calibri"/>
          <w:szCs w:val="28"/>
          <w:lang w:eastAsia="en-US"/>
        </w:rPr>
        <w:t>Se trató entonces de una</w:t>
      </w:r>
      <w:r w:rsidR="00B461C0" w:rsidRPr="00034F76">
        <w:rPr>
          <w:rFonts w:ascii="Arial" w:eastAsia="Calibri" w:hAnsi="Arial" w:cs="Arial"/>
          <w:sz w:val="26"/>
          <w:szCs w:val="26"/>
          <w:lang w:eastAsia="en-US"/>
        </w:rPr>
        <w:t xml:space="preserve"> </w:t>
      </w:r>
      <w:r w:rsidR="003E6CCB" w:rsidRPr="00034F76">
        <w:rPr>
          <w:szCs w:val="28"/>
        </w:rPr>
        <w:t>interpretación "sistemática", que desconoció el valor mismo del parágrafo transitorio indicado</w:t>
      </w:r>
      <w:r w:rsidRPr="00034F76">
        <w:rPr>
          <w:szCs w:val="28"/>
        </w:rPr>
        <w:t>, el alcance dado por el constituyente a esa vocación de transitoriedad estipulada en el precepto constitucional</w:t>
      </w:r>
      <w:r w:rsidR="002E0042" w:rsidRPr="00034F76">
        <w:rPr>
          <w:szCs w:val="28"/>
        </w:rPr>
        <w:t xml:space="preserve"> en mención;</w:t>
      </w:r>
      <w:r w:rsidRPr="00034F76">
        <w:rPr>
          <w:szCs w:val="28"/>
        </w:rPr>
        <w:t xml:space="preserve"> la interpretación normativa realizada por Corte que avalaba el cumplimiento de </w:t>
      </w:r>
      <w:r w:rsidR="00034F76">
        <w:rPr>
          <w:szCs w:val="28"/>
        </w:rPr>
        <w:t>la voluntad constituyente</w:t>
      </w:r>
      <w:r w:rsidRPr="00034F76">
        <w:rPr>
          <w:szCs w:val="28"/>
        </w:rPr>
        <w:t xml:space="preserve"> frente a esa disposición</w:t>
      </w:r>
      <w:r w:rsidR="002E0042" w:rsidRPr="00034F76">
        <w:rPr>
          <w:szCs w:val="28"/>
        </w:rPr>
        <w:t>, conforme a la sentencia que hizo tránsito a cosa juzgada constitucional</w:t>
      </w:r>
      <w:r w:rsidRPr="00034F76">
        <w:rPr>
          <w:szCs w:val="28"/>
        </w:rPr>
        <w:t>,</w:t>
      </w:r>
      <w:r w:rsidR="003E6CCB" w:rsidRPr="00034F76">
        <w:rPr>
          <w:szCs w:val="28"/>
        </w:rPr>
        <w:t xml:space="preserve"> y </w:t>
      </w:r>
      <w:r w:rsidRPr="00034F76">
        <w:rPr>
          <w:szCs w:val="28"/>
        </w:rPr>
        <w:t>finalmente</w:t>
      </w:r>
      <w:r w:rsidR="002E0042" w:rsidRPr="00034F76">
        <w:rPr>
          <w:szCs w:val="28"/>
        </w:rPr>
        <w:t>,</w:t>
      </w:r>
      <w:r w:rsidR="003E6CCB" w:rsidRPr="00034F76">
        <w:rPr>
          <w:szCs w:val="28"/>
        </w:rPr>
        <w:t xml:space="preserve"> </w:t>
      </w:r>
      <w:r w:rsidR="0038793C">
        <w:rPr>
          <w:szCs w:val="28"/>
        </w:rPr>
        <w:t xml:space="preserve">desconoció </w:t>
      </w:r>
      <w:r w:rsidR="003E6CCB" w:rsidRPr="00034F76">
        <w:rPr>
          <w:szCs w:val="28"/>
        </w:rPr>
        <w:t>el principio del efecto útil en la interpretación de esa norma constitucional</w:t>
      </w:r>
      <w:r w:rsidR="002E0042" w:rsidRPr="00034F76">
        <w:rPr>
          <w:szCs w:val="28"/>
        </w:rPr>
        <w:t xml:space="preserve">, </w:t>
      </w:r>
      <w:r w:rsidR="00034F76">
        <w:rPr>
          <w:szCs w:val="28"/>
        </w:rPr>
        <w:t>generando</w:t>
      </w:r>
      <w:r w:rsidR="002E0042" w:rsidRPr="00034F76">
        <w:rPr>
          <w:szCs w:val="28"/>
        </w:rPr>
        <w:t xml:space="preserve"> como se ha visto, la configuración de un </w:t>
      </w:r>
      <w:r w:rsidR="002E0042" w:rsidRPr="00034F76">
        <w:rPr>
          <w:b/>
          <w:bCs/>
          <w:i/>
          <w:iCs/>
          <w:szCs w:val="28"/>
        </w:rPr>
        <w:t xml:space="preserve">bloqueo institucional </w:t>
      </w:r>
      <w:r w:rsidR="00A45F6D">
        <w:rPr>
          <w:b/>
          <w:bCs/>
          <w:i/>
          <w:iCs/>
          <w:szCs w:val="28"/>
        </w:rPr>
        <w:t>in</w:t>
      </w:r>
      <w:r w:rsidR="002E0042" w:rsidRPr="00034F76">
        <w:rPr>
          <w:b/>
          <w:bCs/>
          <w:i/>
          <w:iCs/>
          <w:szCs w:val="28"/>
        </w:rPr>
        <w:t>constitucional</w:t>
      </w:r>
      <w:r w:rsidR="002E0042" w:rsidRPr="00034F76">
        <w:rPr>
          <w:szCs w:val="28"/>
        </w:rPr>
        <w:t xml:space="preserve">, con efecto en diferentes aspectos de la estructura y funcionamiento de la Constitución. </w:t>
      </w:r>
    </w:p>
    <w:p w14:paraId="14480B3A" w14:textId="77777777" w:rsidR="002E0042" w:rsidRDefault="002E0042" w:rsidP="002E0042">
      <w:pPr>
        <w:pStyle w:val="Prrafodelista"/>
        <w:tabs>
          <w:tab w:val="left" w:pos="426"/>
        </w:tabs>
        <w:ind w:left="0" w:right="40"/>
        <w:contextualSpacing/>
        <w:jc w:val="both"/>
        <w:rPr>
          <w:b/>
          <w:i/>
          <w:szCs w:val="28"/>
        </w:rPr>
      </w:pPr>
    </w:p>
    <w:p w14:paraId="2AE35EFA" w14:textId="77777777" w:rsidR="002E0042" w:rsidRPr="002E4477" w:rsidRDefault="002E0042" w:rsidP="002E0042">
      <w:pPr>
        <w:pStyle w:val="Prrafodelista"/>
        <w:tabs>
          <w:tab w:val="left" w:pos="426"/>
        </w:tabs>
        <w:ind w:left="0" w:right="40"/>
        <w:contextualSpacing/>
        <w:jc w:val="both"/>
        <w:rPr>
          <w:b/>
          <w:i/>
          <w:szCs w:val="28"/>
        </w:rPr>
      </w:pPr>
      <w:r w:rsidRPr="00564572">
        <w:rPr>
          <w:b/>
          <w:i/>
          <w:szCs w:val="28"/>
        </w:rPr>
        <w:t>Conclusiones de la Sala: la providencia del Consejo de Estado incurrió en un defecto por violación directa de la Constitución</w:t>
      </w:r>
      <w:r w:rsidRPr="002E4477">
        <w:rPr>
          <w:b/>
          <w:i/>
          <w:szCs w:val="28"/>
        </w:rPr>
        <w:t xml:space="preserve"> </w:t>
      </w:r>
    </w:p>
    <w:p w14:paraId="6FBF6B6B" w14:textId="77777777" w:rsidR="002E0042" w:rsidRDefault="002E0042" w:rsidP="002E0042">
      <w:pPr>
        <w:pStyle w:val="Prrafodelista"/>
        <w:rPr>
          <w:szCs w:val="28"/>
        </w:rPr>
      </w:pPr>
    </w:p>
    <w:p w14:paraId="1D88D678" w14:textId="77777777" w:rsidR="00A52C03" w:rsidRPr="00034F76" w:rsidRDefault="00A52C03" w:rsidP="002E0042">
      <w:pPr>
        <w:pStyle w:val="Prrafodelista"/>
        <w:numPr>
          <w:ilvl w:val="0"/>
          <w:numId w:val="10"/>
        </w:numPr>
        <w:jc w:val="both"/>
        <w:rPr>
          <w:szCs w:val="28"/>
        </w:rPr>
      </w:pPr>
      <w:r w:rsidRPr="00034F76">
        <w:rPr>
          <w:szCs w:val="28"/>
        </w:rPr>
        <w:t xml:space="preserve">Este Tribunal termina su examen en el caso concreto, con una observación general: con independencia de las distintas opiniones que tengan los jueces sobre </w:t>
      </w:r>
      <w:r w:rsidR="00633F0B" w:rsidRPr="00034F76">
        <w:rPr>
          <w:szCs w:val="28"/>
        </w:rPr>
        <w:t>la</w:t>
      </w:r>
      <w:r w:rsidRPr="00034F76">
        <w:rPr>
          <w:szCs w:val="28"/>
        </w:rPr>
        <w:t xml:space="preserve"> jurisprudencia o las diferencias teóricas o académicas que puedan eventualmente existir en estos temas, es a esta Corporación</w:t>
      </w:r>
      <w:r w:rsidR="002E0042" w:rsidRPr="00034F76">
        <w:rPr>
          <w:szCs w:val="28"/>
        </w:rPr>
        <w:t>,</w:t>
      </w:r>
      <w:r w:rsidRPr="00034F76">
        <w:rPr>
          <w:szCs w:val="28"/>
        </w:rPr>
        <w:t xml:space="preserve"> </w:t>
      </w:r>
      <w:r w:rsidR="002E0042" w:rsidRPr="00034F76">
        <w:rPr>
          <w:szCs w:val="28"/>
        </w:rPr>
        <w:t xml:space="preserve">de manera exclusiva, </w:t>
      </w:r>
      <w:r w:rsidRPr="00034F76">
        <w:rPr>
          <w:szCs w:val="28"/>
        </w:rPr>
        <w:t xml:space="preserve">a quien le compete proferir sentencias que hacen tránsito a cosa juzgada constitucional, debido a su calidad de órgano de cierre de la jurisdicción constitucional. </w:t>
      </w:r>
    </w:p>
    <w:p w14:paraId="259870F8" w14:textId="77777777" w:rsidR="002E0042" w:rsidRPr="00034F76" w:rsidRDefault="002E0042" w:rsidP="002E0042">
      <w:pPr>
        <w:pStyle w:val="Prrafodelista"/>
        <w:ind w:left="0"/>
        <w:jc w:val="both"/>
        <w:rPr>
          <w:szCs w:val="28"/>
        </w:rPr>
      </w:pPr>
    </w:p>
    <w:p w14:paraId="6432967C" w14:textId="77777777" w:rsidR="00A52C03" w:rsidRPr="00034F76" w:rsidRDefault="00A52C03" w:rsidP="002E0042">
      <w:pPr>
        <w:pStyle w:val="Prrafodelista"/>
        <w:numPr>
          <w:ilvl w:val="0"/>
          <w:numId w:val="10"/>
        </w:numPr>
        <w:jc w:val="both"/>
        <w:rPr>
          <w:szCs w:val="28"/>
        </w:rPr>
      </w:pPr>
      <w:r w:rsidRPr="00034F76">
        <w:rPr>
          <w:szCs w:val="28"/>
        </w:rPr>
        <w:t>El efecto concreto de esta realidad, implica que toda interpretación que se oponga a lo precisado por este Tribunal con relación al alcance de las normas superiores</w:t>
      </w:r>
      <w:r w:rsidR="002E0042" w:rsidRPr="00034F76">
        <w:rPr>
          <w:szCs w:val="28"/>
        </w:rPr>
        <w:t xml:space="preserve">, conforme a la </w:t>
      </w:r>
      <w:r w:rsidR="002E0042" w:rsidRPr="00034F76">
        <w:rPr>
          <w:i/>
          <w:iCs/>
          <w:szCs w:val="28"/>
        </w:rPr>
        <w:t>ratio decidendi</w:t>
      </w:r>
      <w:r w:rsidR="002E0042" w:rsidRPr="00034F76">
        <w:rPr>
          <w:szCs w:val="28"/>
        </w:rPr>
        <w:t xml:space="preserve"> de sus fallos de control constitucional que hacen tránsito a la c</w:t>
      </w:r>
      <w:r w:rsidR="002E0042" w:rsidRPr="00034F76">
        <w:rPr>
          <w:i/>
          <w:iCs/>
          <w:szCs w:val="28"/>
        </w:rPr>
        <w:t>osa juzgada constitucional</w:t>
      </w:r>
      <w:r w:rsidR="002E0042" w:rsidRPr="00034F76">
        <w:rPr>
          <w:szCs w:val="28"/>
        </w:rPr>
        <w:t xml:space="preserve">, </w:t>
      </w:r>
      <w:r w:rsidRPr="00034F76">
        <w:rPr>
          <w:szCs w:val="28"/>
        </w:rPr>
        <w:t xml:space="preserve">debe ceder necesariamente ante las consideraciones establecidas por esta Corporación en </w:t>
      </w:r>
      <w:r w:rsidR="002E0042" w:rsidRPr="00034F76">
        <w:rPr>
          <w:szCs w:val="28"/>
        </w:rPr>
        <w:t>esas</w:t>
      </w:r>
      <w:r w:rsidRPr="00034F76">
        <w:rPr>
          <w:szCs w:val="28"/>
        </w:rPr>
        <w:t xml:space="preserve"> providencias. Y la razón no es otra que asegurar una interpretación uniforme de la Carta, que le dé un sentido único a sus preceptos. Una visión unitaria, que garantice por parte de todos los intérpretes una comprensión unívoca de la Constitución</w:t>
      </w:r>
      <w:r w:rsidR="00034F76">
        <w:rPr>
          <w:szCs w:val="28"/>
        </w:rPr>
        <w:t xml:space="preserve">, </w:t>
      </w:r>
      <w:r w:rsidRPr="00034F76">
        <w:rPr>
          <w:szCs w:val="28"/>
        </w:rPr>
        <w:t xml:space="preserve">una coherencia </w:t>
      </w:r>
      <w:r w:rsidR="00034F76">
        <w:rPr>
          <w:szCs w:val="28"/>
        </w:rPr>
        <w:t xml:space="preserve">y certeza </w:t>
      </w:r>
      <w:r w:rsidRPr="00034F76">
        <w:rPr>
          <w:szCs w:val="28"/>
        </w:rPr>
        <w:t>del ordenamiento jurídico colombiano.</w:t>
      </w:r>
    </w:p>
    <w:p w14:paraId="03C3FC53" w14:textId="77777777" w:rsidR="00982FCC" w:rsidRDefault="00982FCC" w:rsidP="00982FCC">
      <w:pPr>
        <w:pStyle w:val="Prrafodelista"/>
        <w:rPr>
          <w:szCs w:val="28"/>
        </w:rPr>
      </w:pPr>
    </w:p>
    <w:p w14:paraId="10B3B780" w14:textId="77777777" w:rsidR="00982FCC" w:rsidRDefault="00A52C03" w:rsidP="00A52C03">
      <w:pPr>
        <w:pStyle w:val="Prrafodelista"/>
        <w:numPr>
          <w:ilvl w:val="0"/>
          <w:numId w:val="10"/>
        </w:numPr>
        <w:jc w:val="both"/>
        <w:rPr>
          <w:szCs w:val="28"/>
        </w:rPr>
      </w:pPr>
      <w:r w:rsidRPr="00982FCC">
        <w:rPr>
          <w:szCs w:val="28"/>
        </w:rPr>
        <w:t xml:space="preserve">Estas razones llevan a la Corte Constitucional a afirmar que, como </w:t>
      </w:r>
      <w:r w:rsidR="00034F76">
        <w:rPr>
          <w:szCs w:val="28"/>
        </w:rPr>
        <w:t>g</w:t>
      </w:r>
      <w:r w:rsidRPr="00982FCC">
        <w:rPr>
          <w:szCs w:val="28"/>
        </w:rPr>
        <w:t>uardiana de la Carta, está perfectamente habilitada para proferir sentencias interpretativas frente a demandas ciudadanas presentadas en contra de actos reformatorios de la Constitución, en los términos del artículo 241-1 superior.</w:t>
      </w:r>
    </w:p>
    <w:p w14:paraId="59935794" w14:textId="77777777" w:rsidR="00982FCC" w:rsidRDefault="00982FCC" w:rsidP="00982FCC">
      <w:pPr>
        <w:pStyle w:val="Prrafodelista"/>
        <w:rPr>
          <w:szCs w:val="28"/>
        </w:rPr>
      </w:pPr>
    </w:p>
    <w:p w14:paraId="0493BDCF" w14:textId="77777777" w:rsidR="00A52C03" w:rsidRPr="00034F76" w:rsidRDefault="00A52C03" w:rsidP="00A52C03">
      <w:pPr>
        <w:pStyle w:val="Prrafodelista"/>
        <w:numPr>
          <w:ilvl w:val="0"/>
          <w:numId w:val="10"/>
        </w:numPr>
        <w:jc w:val="both"/>
        <w:rPr>
          <w:szCs w:val="28"/>
        </w:rPr>
      </w:pPr>
      <w:r w:rsidRPr="00982FCC">
        <w:rPr>
          <w:szCs w:val="28"/>
        </w:rPr>
        <w:t xml:space="preserve"> Tales atribuciones, propias del control constitucional que le compete y que este </w:t>
      </w:r>
      <w:r w:rsidRPr="00034F76">
        <w:rPr>
          <w:szCs w:val="28"/>
        </w:rPr>
        <w:t xml:space="preserve">Tribunal viene desarrollando desde hace décadas en su jurisprudencia, hacen de la sustitución constitucional y de la modulación de sentencias parte de la doctrina clásica constitucional en estas materias, es decir, </w:t>
      </w:r>
      <w:r w:rsidR="00034F76" w:rsidRPr="00034F76">
        <w:rPr>
          <w:szCs w:val="28"/>
        </w:rPr>
        <w:t>corresponde a</w:t>
      </w:r>
      <w:r w:rsidRPr="00034F76">
        <w:rPr>
          <w:szCs w:val="28"/>
        </w:rPr>
        <w:t xml:space="preserve"> la práctica común del juez constitucional y del ordenamiento jurídico en su conjunto en las temáticas correspondientes.  </w:t>
      </w:r>
    </w:p>
    <w:p w14:paraId="32E55709" w14:textId="77777777" w:rsidR="00982FCC" w:rsidRPr="00034F76" w:rsidRDefault="00982FCC" w:rsidP="00982FCC">
      <w:pPr>
        <w:pStyle w:val="Prrafodelista"/>
        <w:rPr>
          <w:szCs w:val="28"/>
        </w:rPr>
      </w:pPr>
    </w:p>
    <w:p w14:paraId="2348CDE3" w14:textId="77777777" w:rsidR="00A52C03" w:rsidRPr="00034F76" w:rsidRDefault="00A52C03" w:rsidP="00A52C03">
      <w:pPr>
        <w:pStyle w:val="Prrafodelista"/>
        <w:numPr>
          <w:ilvl w:val="0"/>
          <w:numId w:val="10"/>
        </w:numPr>
        <w:jc w:val="both"/>
        <w:rPr>
          <w:szCs w:val="28"/>
        </w:rPr>
      </w:pPr>
      <w:r w:rsidRPr="00034F76">
        <w:rPr>
          <w:szCs w:val="28"/>
        </w:rPr>
        <w:t>En ese orden de ideas, la modulación</w:t>
      </w:r>
      <w:r w:rsidR="000F2BD4" w:rsidRPr="00034F76">
        <w:rPr>
          <w:szCs w:val="28"/>
        </w:rPr>
        <w:t xml:space="preserve"> interpretativa</w:t>
      </w:r>
      <w:r w:rsidRPr="00034F76">
        <w:rPr>
          <w:szCs w:val="28"/>
        </w:rPr>
        <w:t xml:space="preserve"> propuesta por la Corte Constitucional en la </w:t>
      </w:r>
      <w:r w:rsidRPr="00034F76">
        <w:rPr>
          <w:b/>
          <w:bCs/>
          <w:szCs w:val="28"/>
        </w:rPr>
        <w:t>Sentencia C-285 de 2016</w:t>
      </w:r>
      <w:r w:rsidRPr="00034F76">
        <w:rPr>
          <w:szCs w:val="28"/>
        </w:rPr>
        <w:t xml:space="preserve">, </w:t>
      </w:r>
      <w:r w:rsidR="00732E35" w:rsidRPr="00034F76">
        <w:rPr>
          <w:szCs w:val="28"/>
        </w:rPr>
        <w:t xml:space="preserve">que es una providencia amparada por la cosa juzgada constitucional, </w:t>
      </w:r>
      <w:r w:rsidRPr="00034F76">
        <w:rPr>
          <w:szCs w:val="28"/>
        </w:rPr>
        <w:t xml:space="preserve">estaba dirigida a asegurar un entendimiento ajustado de las normas modificatorias sobrevivientes a la integridad de la reforma inicialmente planteada por el constituyente, con el fin de facilitar que en los asuntos ligados a la creación del nuevo modelo de </w:t>
      </w:r>
      <w:r w:rsidR="00034F76" w:rsidRPr="00034F76">
        <w:rPr>
          <w:szCs w:val="28"/>
        </w:rPr>
        <w:t>j</w:t>
      </w:r>
      <w:r w:rsidRPr="00034F76">
        <w:rPr>
          <w:szCs w:val="28"/>
        </w:rPr>
        <w:t xml:space="preserve">urisdicción disciplinaria y enunciados en el A.L 02 de 2015, se surtiera </w:t>
      </w:r>
      <w:r w:rsidR="00034F76" w:rsidRPr="00034F76">
        <w:rPr>
          <w:szCs w:val="28"/>
        </w:rPr>
        <w:t>el</w:t>
      </w:r>
      <w:r w:rsidRPr="00034F76">
        <w:rPr>
          <w:szCs w:val="28"/>
        </w:rPr>
        <w:t xml:space="preserve"> tránsito constitucional esperado, de acuerdo al espíritu de la reforma original. </w:t>
      </w:r>
    </w:p>
    <w:p w14:paraId="3B0F3A3B" w14:textId="77777777" w:rsidR="00982FCC" w:rsidRPr="00034F76" w:rsidRDefault="00982FCC" w:rsidP="00982FCC">
      <w:pPr>
        <w:pStyle w:val="Prrafodelista"/>
        <w:rPr>
          <w:szCs w:val="28"/>
        </w:rPr>
      </w:pPr>
    </w:p>
    <w:p w14:paraId="5239CF2F" w14:textId="77777777" w:rsidR="00A52C03" w:rsidRDefault="00A52C03" w:rsidP="00982FCC">
      <w:pPr>
        <w:pStyle w:val="Prrafodelista"/>
        <w:ind w:left="0"/>
        <w:jc w:val="both"/>
        <w:rPr>
          <w:szCs w:val="28"/>
        </w:rPr>
      </w:pPr>
      <w:r w:rsidRPr="00034F76">
        <w:rPr>
          <w:szCs w:val="28"/>
        </w:rPr>
        <w:t>Ello exigía de los jueces constitucionales con posterioridad a esa decisión, aco</w:t>
      </w:r>
      <w:r w:rsidR="00B84BD0">
        <w:rPr>
          <w:szCs w:val="28"/>
        </w:rPr>
        <w:t>ger en su análisis subsiguiente</w:t>
      </w:r>
      <w:r w:rsidR="004F181C" w:rsidRPr="00034F76">
        <w:rPr>
          <w:szCs w:val="28"/>
        </w:rPr>
        <w:t>,</w:t>
      </w:r>
      <w:r w:rsidRPr="00034F76">
        <w:rPr>
          <w:szCs w:val="28"/>
        </w:rPr>
        <w:t xml:space="preserve"> una interpretación ajustada a este propósito, que vinculara el artículo 257A superior con la sentencia C-285 de 2016, incluyendo en ello la </w:t>
      </w:r>
      <w:r w:rsidRPr="00034F76">
        <w:rPr>
          <w:i/>
          <w:iCs/>
          <w:szCs w:val="28"/>
        </w:rPr>
        <w:t xml:space="preserve">ratio decidendi </w:t>
      </w:r>
      <w:r w:rsidRPr="00034F76">
        <w:rPr>
          <w:szCs w:val="28"/>
        </w:rPr>
        <w:t xml:space="preserve">de </w:t>
      </w:r>
      <w:r w:rsidR="004F181C" w:rsidRPr="00034F76">
        <w:rPr>
          <w:szCs w:val="28"/>
        </w:rPr>
        <w:t>esa</w:t>
      </w:r>
      <w:r w:rsidRPr="00034F76">
        <w:rPr>
          <w:szCs w:val="28"/>
        </w:rPr>
        <w:t xml:space="preserve"> sentencia, para darle viabilidad a la reforma planteada. La oposición del Consejo de Estado a lo fijado por la Corte Constitucional en esa providencia, no s</w:t>
      </w:r>
      <w:r w:rsidR="00C80E03" w:rsidRPr="00034F76">
        <w:rPr>
          <w:szCs w:val="28"/>
        </w:rPr>
        <w:t>o</w:t>
      </w:r>
      <w:r w:rsidRPr="00034F76">
        <w:rPr>
          <w:szCs w:val="28"/>
        </w:rPr>
        <w:t>lo desatendió la interpretación vinculante que el intérprete debía aplicar en el caso concreto,</w:t>
      </w:r>
      <w:r w:rsidR="004F181C" w:rsidRPr="00034F76">
        <w:rPr>
          <w:szCs w:val="28"/>
        </w:rPr>
        <w:t xml:space="preserve"> y con ello la </w:t>
      </w:r>
      <w:r w:rsidR="004F181C" w:rsidRPr="00034F76">
        <w:rPr>
          <w:i/>
          <w:iCs/>
          <w:szCs w:val="28"/>
        </w:rPr>
        <w:t>ratio decidendi</w:t>
      </w:r>
      <w:r w:rsidR="004F181C" w:rsidRPr="00034F76">
        <w:rPr>
          <w:szCs w:val="28"/>
        </w:rPr>
        <w:t xml:space="preserve"> de la sentencia amparada por la cosa juzgada constitucional que moduló la interpretación de la norma constitucional, </w:t>
      </w:r>
      <w:r w:rsidRPr="00034F76">
        <w:rPr>
          <w:szCs w:val="28"/>
        </w:rPr>
        <w:t xml:space="preserve">sino que su entendimiento separado, contribuyó además al resultado </w:t>
      </w:r>
      <w:r w:rsidR="00732E35" w:rsidRPr="00034F76">
        <w:rPr>
          <w:szCs w:val="28"/>
        </w:rPr>
        <w:t>inesperado</w:t>
      </w:r>
      <w:r w:rsidR="00034F76">
        <w:rPr>
          <w:szCs w:val="28"/>
        </w:rPr>
        <w:t xml:space="preserve"> e inconstitucional</w:t>
      </w:r>
      <w:r w:rsidR="00732E35" w:rsidRPr="00034F76">
        <w:rPr>
          <w:szCs w:val="28"/>
        </w:rPr>
        <w:t xml:space="preserve"> de </w:t>
      </w:r>
      <w:r w:rsidRPr="00034F76">
        <w:rPr>
          <w:szCs w:val="28"/>
        </w:rPr>
        <w:t>favorecer la interinidad de un órgano constitucional que debía ser creado de manera perentoria en el término de un año, que luego de más</w:t>
      </w:r>
      <w:r w:rsidRPr="00982FCC">
        <w:rPr>
          <w:szCs w:val="28"/>
        </w:rPr>
        <w:t xml:space="preserve"> de 5 años no ha podido empezar a funcionar</w:t>
      </w:r>
      <w:r w:rsidR="000C1BCF">
        <w:rPr>
          <w:szCs w:val="28"/>
        </w:rPr>
        <w:t xml:space="preserve"> y con ello a perpetuar en el cargo de magistrado a personas que, por disposición de la Constitución, solo pueden ocupar esa dignidad por el término de 8 años</w:t>
      </w:r>
      <w:r w:rsidRPr="00982FCC">
        <w:rPr>
          <w:szCs w:val="28"/>
        </w:rPr>
        <w:t xml:space="preserve">. </w:t>
      </w:r>
    </w:p>
    <w:p w14:paraId="0ECE318B" w14:textId="77777777" w:rsidR="00982FCC" w:rsidRDefault="00982FCC" w:rsidP="00982FCC">
      <w:pPr>
        <w:pStyle w:val="Prrafodelista"/>
        <w:rPr>
          <w:szCs w:val="28"/>
        </w:rPr>
      </w:pPr>
    </w:p>
    <w:p w14:paraId="174F5174" w14:textId="77777777" w:rsidR="00A52C03" w:rsidRDefault="00A52C03" w:rsidP="00A52C03">
      <w:pPr>
        <w:pStyle w:val="Prrafodelista"/>
        <w:numPr>
          <w:ilvl w:val="0"/>
          <w:numId w:val="10"/>
        </w:numPr>
        <w:jc w:val="both"/>
        <w:rPr>
          <w:szCs w:val="28"/>
        </w:rPr>
      </w:pPr>
      <w:r w:rsidRPr="00982FCC">
        <w:rPr>
          <w:szCs w:val="28"/>
        </w:rPr>
        <w:t xml:space="preserve">El Consejo Superior de la Judicatura, en consecuencia, sí tenía competencia para proferir el </w:t>
      </w:r>
      <w:r w:rsidR="000C1BCF">
        <w:rPr>
          <w:szCs w:val="28"/>
        </w:rPr>
        <w:t>a</w:t>
      </w:r>
      <w:r w:rsidRPr="00982FCC">
        <w:rPr>
          <w:szCs w:val="28"/>
        </w:rPr>
        <w:t xml:space="preserve">cuerdo controvertido, porque </w:t>
      </w:r>
      <w:r w:rsidRPr="00982FCC">
        <w:rPr>
          <w:i/>
          <w:iCs/>
          <w:szCs w:val="28"/>
        </w:rPr>
        <w:t>la ratio decidendi</w:t>
      </w:r>
      <w:r w:rsidRPr="00982FCC">
        <w:rPr>
          <w:szCs w:val="28"/>
        </w:rPr>
        <w:t xml:space="preserve"> de la </w:t>
      </w:r>
      <w:r w:rsidRPr="000C1BCF">
        <w:rPr>
          <w:b/>
          <w:bCs/>
          <w:szCs w:val="28"/>
        </w:rPr>
        <w:t>sentencia C-285 de 2016</w:t>
      </w:r>
      <w:r w:rsidRPr="00982FCC">
        <w:rPr>
          <w:szCs w:val="28"/>
        </w:rPr>
        <w:t xml:space="preserve"> le daba sentido al artículo 257A de la Carta, y le permitía entonces interpretar válidamente que la competencia para reglamentar la “</w:t>
      </w:r>
      <w:r w:rsidRPr="00982FCC">
        <w:rPr>
          <w:i/>
          <w:iCs/>
          <w:szCs w:val="28"/>
        </w:rPr>
        <w:t>convocatoria pública reglada</w:t>
      </w:r>
      <w:r w:rsidRPr="00982FCC">
        <w:rPr>
          <w:szCs w:val="28"/>
        </w:rPr>
        <w:t>” fijada por ese artículo constitucional, correspondía al Consejo de Gobierno Judicial, hoy CSJ. De este modo, el CSJ no usurpó funciones del Legislador en cuanto a la regulación de la convocatoria</w:t>
      </w:r>
      <w:r w:rsidR="000C1BCF">
        <w:rPr>
          <w:szCs w:val="28"/>
        </w:rPr>
        <w:t xml:space="preserve"> para conformar las ternas a su cargo</w:t>
      </w:r>
      <w:r w:rsidRPr="00982FCC">
        <w:rPr>
          <w:szCs w:val="28"/>
        </w:rPr>
        <w:t>, sino que siguió simplemente la interpretación propuesta por la Corte Constitucional en la sentencia C-285 de 2016, que como se ha dicho, integró la norma constitucional, dándole viabilidad a su gestión</w:t>
      </w:r>
      <w:r w:rsidR="00982FCC">
        <w:rPr>
          <w:szCs w:val="28"/>
        </w:rPr>
        <w:t>.</w:t>
      </w:r>
    </w:p>
    <w:p w14:paraId="58F48C35" w14:textId="77777777" w:rsidR="00982FCC" w:rsidRDefault="00982FCC" w:rsidP="00982FCC">
      <w:pPr>
        <w:pStyle w:val="Prrafodelista"/>
        <w:ind w:left="0"/>
        <w:jc w:val="both"/>
        <w:rPr>
          <w:szCs w:val="28"/>
        </w:rPr>
      </w:pPr>
    </w:p>
    <w:p w14:paraId="38B3A884" w14:textId="77777777" w:rsidR="00982FCC" w:rsidRDefault="00A52C03" w:rsidP="00A52C03">
      <w:pPr>
        <w:pStyle w:val="Prrafodelista"/>
        <w:numPr>
          <w:ilvl w:val="0"/>
          <w:numId w:val="10"/>
        </w:numPr>
        <w:jc w:val="both"/>
        <w:rPr>
          <w:szCs w:val="28"/>
        </w:rPr>
      </w:pPr>
      <w:r w:rsidRPr="00982FCC">
        <w:rPr>
          <w:szCs w:val="28"/>
        </w:rPr>
        <w:t xml:space="preserve">Así las cosas, teniendo en cuenta que no era necesario acudir a normas supletorias para llenar ningún vacío normativo, evidentemente no se usurparon competencias del Legislador. El </w:t>
      </w:r>
      <w:r w:rsidR="000C1BCF">
        <w:rPr>
          <w:szCs w:val="28"/>
        </w:rPr>
        <w:t>a</w:t>
      </w:r>
      <w:r w:rsidRPr="00982FCC">
        <w:rPr>
          <w:szCs w:val="28"/>
        </w:rPr>
        <w:t xml:space="preserve">cuerdo acusado simplemente fue proferido, de conformidad con el querer del constituyente y lo enunciado en el artículo 257A de la Carta. </w:t>
      </w:r>
    </w:p>
    <w:p w14:paraId="5F54B2EF" w14:textId="77777777" w:rsidR="00982FCC" w:rsidRDefault="00982FCC" w:rsidP="00982FCC">
      <w:pPr>
        <w:pStyle w:val="Prrafodelista"/>
        <w:rPr>
          <w:szCs w:val="28"/>
        </w:rPr>
      </w:pPr>
    </w:p>
    <w:p w14:paraId="4F6152A4" w14:textId="77777777" w:rsidR="00982FCC" w:rsidRPr="000C1BCF" w:rsidRDefault="00A52C03" w:rsidP="00982FCC">
      <w:pPr>
        <w:pStyle w:val="Prrafodelista"/>
        <w:numPr>
          <w:ilvl w:val="0"/>
          <w:numId w:val="10"/>
        </w:numPr>
        <w:jc w:val="both"/>
        <w:rPr>
          <w:szCs w:val="28"/>
        </w:rPr>
      </w:pPr>
      <w:r w:rsidRPr="00982FCC">
        <w:rPr>
          <w:szCs w:val="28"/>
        </w:rPr>
        <w:t xml:space="preserve">Un hecho que no es óbice para que, si el Congreso lo estima conveniente, pueda entrar a regular en cualquier momento el tema a profundidad, ya que como se dijo al analizar el alcance limitado de los decretos autónomos, el Legislador siempre tiene la potestad de modificar o desplazar </w:t>
      </w:r>
      <w:r w:rsidRPr="000C1BCF">
        <w:rPr>
          <w:szCs w:val="28"/>
        </w:rPr>
        <w:t>tales decretos, en los términos previamente enunciados en esta providencia.</w:t>
      </w:r>
    </w:p>
    <w:p w14:paraId="63AC32EB" w14:textId="77777777" w:rsidR="00982FCC" w:rsidRPr="000C1BCF" w:rsidRDefault="00982FCC" w:rsidP="00982FCC">
      <w:pPr>
        <w:pStyle w:val="Prrafodelista"/>
        <w:rPr>
          <w:szCs w:val="28"/>
        </w:rPr>
      </w:pPr>
    </w:p>
    <w:p w14:paraId="602A5D4D" w14:textId="77777777" w:rsidR="00003462" w:rsidRPr="00982FCC" w:rsidRDefault="009B694A" w:rsidP="00982FCC">
      <w:pPr>
        <w:pStyle w:val="Prrafodelista"/>
        <w:numPr>
          <w:ilvl w:val="0"/>
          <w:numId w:val="10"/>
        </w:numPr>
        <w:jc w:val="both"/>
        <w:rPr>
          <w:szCs w:val="28"/>
        </w:rPr>
      </w:pPr>
      <w:r w:rsidRPr="000C1BCF">
        <w:rPr>
          <w:szCs w:val="28"/>
        </w:rPr>
        <w:t xml:space="preserve">De acuerdo con lo mencionado hasta el momento el Consejo de Estado incurrió </w:t>
      </w:r>
      <w:r w:rsidR="00982FCC" w:rsidRPr="000C1BCF">
        <w:rPr>
          <w:szCs w:val="28"/>
        </w:rPr>
        <w:t xml:space="preserve">entonces </w:t>
      </w:r>
      <w:r w:rsidRPr="000C1BCF">
        <w:rPr>
          <w:szCs w:val="28"/>
        </w:rPr>
        <w:t>en</w:t>
      </w:r>
      <w:r w:rsidR="00982FCC" w:rsidRPr="000C1BCF">
        <w:rPr>
          <w:szCs w:val="28"/>
        </w:rPr>
        <w:t xml:space="preserve"> </w:t>
      </w:r>
      <w:r w:rsidR="00564572" w:rsidRPr="000C1BCF">
        <w:rPr>
          <w:b/>
          <w:bCs/>
          <w:i/>
          <w:iCs/>
          <w:szCs w:val="28"/>
        </w:rPr>
        <w:t>violación directa de la Constitución</w:t>
      </w:r>
      <w:r w:rsidRPr="000C1BCF">
        <w:rPr>
          <w:szCs w:val="28"/>
        </w:rPr>
        <w:t xml:space="preserve"> en la providencia</w:t>
      </w:r>
      <w:r w:rsidR="001526CD" w:rsidRPr="000C1BCF">
        <w:rPr>
          <w:szCs w:val="28"/>
        </w:rPr>
        <w:t xml:space="preserve"> acusada. Lo anterior,</w:t>
      </w:r>
      <w:r w:rsidR="00312B88" w:rsidRPr="000C1BCF">
        <w:rPr>
          <w:szCs w:val="28"/>
        </w:rPr>
        <w:t xml:space="preserve"> debido a que</w:t>
      </w:r>
      <w:r w:rsidR="00003462" w:rsidRPr="000C1BCF">
        <w:rPr>
          <w:szCs w:val="28"/>
        </w:rPr>
        <w:t xml:space="preserve"> </w:t>
      </w:r>
      <w:r w:rsidR="00003462" w:rsidRPr="000C1BCF">
        <w:rPr>
          <w:b/>
          <w:bCs/>
          <w:szCs w:val="28"/>
        </w:rPr>
        <w:t>(i</w:t>
      </w:r>
      <w:r w:rsidR="008632F3" w:rsidRPr="000C1BCF">
        <w:rPr>
          <w:b/>
          <w:bCs/>
          <w:szCs w:val="28"/>
        </w:rPr>
        <w:t>)</w:t>
      </w:r>
      <w:r w:rsidR="008632F3" w:rsidRPr="000C1BCF">
        <w:rPr>
          <w:szCs w:val="28"/>
        </w:rPr>
        <w:t xml:space="preserve"> interpretó</w:t>
      </w:r>
      <w:r w:rsidRPr="000C1BCF">
        <w:rPr>
          <w:szCs w:val="28"/>
        </w:rPr>
        <w:t xml:space="preserve"> in</w:t>
      </w:r>
      <w:r w:rsidR="00312B88" w:rsidRPr="000C1BCF">
        <w:rPr>
          <w:szCs w:val="28"/>
        </w:rPr>
        <w:t>adecuadamente</w:t>
      </w:r>
      <w:r w:rsidRPr="000C1BCF">
        <w:rPr>
          <w:szCs w:val="28"/>
        </w:rPr>
        <w:t xml:space="preserve"> el artículo 257A de la</w:t>
      </w:r>
      <w:r w:rsidRPr="00982FCC">
        <w:rPr>
          <w:szCs w:val="28"/>
        </w:rPr>
        <w:t xml:space="preserve"> Carta y </w:t>
      </w:r>
      <w:r w:rsidR="00312B88" w:rsidRPr="00982FCC">
        <w:rPr>
          <w:szCs w:val="28"/>
        </w:rPr>
        <w:t xml:space="preserve">le </w:t>
      </w:r>
      <w:r w:rsidRPr="00982FCC">
        <w:rPr>
          <w:szCs w:val="28"/>
        </w:rPr>
        <w:t>d</w:t>
      </w:r>
      <w:r w:rsidR="00312B88" w:rsidRPr="00982FCC">
        <w:rPr>
          <w:szCs w:val="28"/>
        </w:rPr>
        <w:t xml:space="preserve">io un alcance que la norma no tenía. </w:t>
      </w:r>
      <w:r w:rsidR="00003462" w:rsidRPr="00982FCC">
        <w:rPr>
          <w:szCs w:val="28"/>
        </w:rPr>
        <w:t xml:space="preserve">En efecto, </w:t>
      </w:r>
      <w:r w:rsidR="00034F4C" w:rsidRPr="00982FCC">
        <w:rPr>
          <w:szCs w:val="28"/>
        </w:rPr>
        <w:t>d</w:t>
      </w:r>
      <w:r w:rsidR="00312B88" w:rsidRPr="00982FCC">
        <w:rPr>
          <w:szCs w:val="28"/>
        </w:rPr>
        <w:t>esconoció en el proceso interpretativo lo dicho en la Sentencia C-285 de 2016, que declaró algunos apartes del A.L 02 de 2015 inexequibles y otros no, pero que en la parte motiva</w:t>
      </w:r>
      <w:r w:rsidR="00034F4C" w:rsidRPr="00982FCC">
        <w:rPr>
          <w:szCs w:val="28"/>
        </w:rPr>
        <w:t xml:space="preserve"> de la providencia, definió el sentido que debía dársele a las normas constitucionales sobrevivientes, entre ella</w:t>
      </w:r>
      <w:r w:rsidR="00003462" w:rsidRPr="00982FCC">
        <w:rPr>
          <w:szCs w:val="28"/>
        </w:rPr>
        <w:t>s</w:t>
      </w:r>
      <w:r w:rsidR="00034F4C" w:rsidRPr="00982FCC">
        <w:rPr>
          <w:szCs w:val="28"/>
        </w:rPr>
        <w:t xml:space="preserve"> el artículo 257A de la Carta, </w:t>
      </w:r>
      <w:r w:rsidR="00003462" w:rsidRPr="00982FCC">
        <w:rPr>
          <w:szCs w:val="28"/>
        </w:rPr>
        <w:t xml:space="preserve">con el fin de materializar los objetivos de la reforma propuesta por el constituyente en relación con la selección de los </w:t>
      </w:r>
      <w:r w:rsidR="00982FCC">
        <w:rPr>
          <w:szCs w:val="28"/>
        </w:rPr>
        <w:t>M</w:t>
      </w:r>
      <w:r w:rsidR="00003462" w:rsidRPr="00982FCC">
        <w:rPr>
          <w:szCs w:val="28"/>
        </w:rPr>
        <w:t>agistrados de la CNDJ</w:t>
      </w:r>
      <w:r w:rsidR="00564572" w:rsidRPr="00982FCC">
        <w:rPr>
          <w:szCs w:val="28"/>
        </w:rPr>
        <w:t>;</w:t>
      </w:r>
      <w:r w:rsidR="00003462" w:rsidRPr="00982FCC">
        <w:rPr>
          <w:szCs w:val="28"/>
        </w:rPr>
        <w:t xml:space="preserve"> </w:t>
      </w:r>
      <w:r w:rsidR="00003462" w:rsidRPr="00982FCC">
        <w:rPr>
          <w:b/>
          <w:bCs/>
          <w:szCs w:val="28"/>
        </w:rPr>
        <w:t>(ii)</w:t>
      </w:r>
      <w:r w:rsidR="00003462" w:rsidRPr="00982FCC">
        <w:rPr>
          <w:szCs w:val="28"/>
        </w:rPr>
        <w:t xml:space="preserve"> </w:t>
      </w:r>
      <w:r w:rsidR="00564572" w:rsidRPr="00982FCC">
        <w:rPr>
          <w:szCs w:val="28"/>
        </w:rPr>
        <w:t xml:space="preserve">el deber del intérprete constitucional </w:t>
      </w:r>
      <w:r w:rsidR="00003462" w:rsidRPr="00982FCC">
        <w:rPr>
          <w:szCs w:val="28"/>
        </w:rPr>
        <w:t xml:space="preserve">no era entonces desestimar la providencia de la Corte y sus alcances, por ser contrarios a posiciones del Consejo de Estado relacionadas con la sustitución constitucional, </w:t>
      </w:r>
      <w:r w:rsidR="008632F3" w:rsidRPr="00982FCC">
        <w:rPr>
          <w:szCs w:val="28"/>
        </w:rPr>
        <w:t>sino acoger</w:t>
      </w:r>
      <w:r w:rsidR="00312B88" w:rsidRPr="00982FCC">
        <w:rPr>
          <w:szCs w:val="28"/>
        </w:rPr>
        <w:t xml:space="preserve"> la</w:t>
      </w:r>
      <w:r w:rsidR="00003462" w:rsidRPr="00982FCC">
        <w:rPr>
          <w:szCs w:val="28"/>
        </w:rPr>
        <w:t xml:space="preserve"> </w:t>
      </w:r>
      <w:r w:rsidR="00003462" w:rsidRPr="00982FCC">
        <w:rPr>
          <w:i/>
          <w:iCs/>
          <w:szCs w:val="28"/>
        </w:rPr>
        <w:t>ratio decidendi</w:t>
      </w:r>
      <w:r w:rsidR="00003462" w:rsidRPr="00982FCC">
        <w:rPr>
          <w:szCs w:val="28"/>
        </w:rPr>
        <w:t xml:space="preserve"> de esa sentencia, amparada por la </w:t>
      </w:r>
      <w:r w:rsidR="00312B88" w:rsidRPr="00982FCC">
        <w:rPr>
          <w:szCs w:val="28"/>
        </w:rPr>
        <w:t>cosa juzgada constitucional</w:t>
      </w:r>
      <w:r w:rsidR="00003462" w:rsidRPr="00982FCC">
        <w:rPr>
          <w:szCs w:val="28"/>
        </w:rPr>
        <w:t>,</w:t>
      </w:r>
      <w:r w:rsidR="00312B88" w:rsidRPr="00982FCC">
        <w:rPr>
          <w:szCs w:val="28"/>
        </w:rPr>
        <w:t xml:space="preserve"> para darle sentido a la norma superior </w:t>
      </w:r>
      <w:r w:rsidR="00003462" w:rsidRPr="00982FCC">
        <w:rPr>
          <w:szCs w:val="28"/>
        </w:rPr>
        <w:t>reseñada</w:t>
      </w:r>
      <w:r w:rsidR="00564572" w:rsidRPr="00982FCC">
        <w:rPr>
          <w:szCs w:val="28"/>
        </w:rPr>
        <w:t xml:space="preserve">; </w:t>
      </w:r>
      <w:r w:rsidRPr="00982FCC">
        <w:rPr>
          <w:b/>
          <w:bCs/>
          <w:szCs w:val="28"/>
        </w:rPr>
        <w:t>(ii</w:t>
      </w:r>
      <w:r w:rsidR="00003462" w:rsidRPr="00982FCC">
        <w:rPr>
          <w:b/>
          <w:bCs/>
          <w:szCs w:val="28"/>
        </w:rPr>
        <w:t>i</w:t>
      </w:r>
      <w:r w:rsidRPr="00982FCC">
        <w:rPr>
          <w:b/>
          <w:bCs/>
          <w:szCs w:val="28"/>
        </w:rPr>
        <w:t xml:space="preserve">) </w:t>
      </w:r>
      <w:r w:rsidR="00564572" w:rsidRPr="00982FCC">
        <w:rPr>
          <w:szCs w:val="28"/>
        </w:rPr>
        <w:t xml:space="preserve">porque </w:t>
      </w:r>
      <w:r w:rsidRPr="00982FCC">
        <w:rPr>
          <w:szCs w:val="28"/>
        </w:rPr>
        <w:t xml:space="preserve">desconocer </w:t>
      </w:r>
      <w:r w:rsidR="001526CD" w:rsidRPr="00982FCC">
        <w:rPr>
          <w:szCs w:val="28"/>
        </w:rPr>
        <w:t>aspectos inescindibles de la parte motiva de la Sentencia C-285 de 2016 que nutrían la interpretación última de la disposición constitucional enunciada</w:t>
      </w:r>
      <w:r w:rsidR="00003462" w:rsidRPr="00982FCC">
        <w:rPr>
          <w:szCs w:val="28"/>
        </w:rPr>
        <w:t xml:space="preserve"> implicó olvidar que si bien la parte resolutiva de las sentencias de constitucionalidad es definitivamente obligatoria, lo es también </w:t>
      </w:r>
      <w:r w:rsidR="00564572" w:rsidRPr="00982FCC">
        <w:rPr>
          <w:szCs w:val="28"/>
        </w:rPr>
        <w:t>su</w:t>
      </w:r>
      <w:r w:rsidR="00003462" w:rsidRPr="00982FCC">
        <w:rPr>
          <w:szCs w:val="28"/>
        </w:rPr>
        <w:t xml:space="preserve"> parte motiva y su fuerza es también vinculante, cuando “</w:t>
      </w:r>
      <w:r w:rsidR="00150AE8" w:rsidRPr="00982FCC">
        <w:rPr>
          <w:i/>
          <w:szCs w:val="28"/>
        </w:rPr>
        <w:t>los conceptos consignados en esta parte guarden una relación estrecha, directa e inescindible con la parte resolutiva; en otras palabras, aquella parte de la argumentación que se considere absolutamente básica, necesaria e indispensable para servir de soporte directo a la parte resolutiva de las sentencias y que incida directamente en ella</w:t>
      </w:r>
      <w:r w:rsidR="00003462" w:rsidRPr="00982FCC">
        <w:rPr>
          <w:i/>
          <w:szCs w:val="28"/>
        </w:rPr>
        <w:t>, es obligatoria”</w:t>
      </w:r>
      <w:r w:rsidR="00003462" w:rsidRPr="009B3BCE">
        <w:rPr>
          <w:rStyle w:val="Refdenotaalpie"/>
          <w:i/>
          <w:szCs w:val="28"/>
        </w:rPr>
        <w:footnoteReference w:id="422"/>
      </w:r>
      <w:r w:rsidR="00003462" w:rsidRPr="00982FCC">
        <w:rPr>
          <w:i/>
          <w:szCs w:val="28"/>
        </w:rPr>
        <w:t>.</w:t>
      </w:r>
    </w:p>
    <w:p w14:paraId="544A3D72" w14:textId="77777777" w:rsidR="00982FCC" w:rsidRPr="00982FCC" w:rsidRDefault="00982FCC" w:rsidP="00982FCC">
      <w:pPr>
        <w:pStyle w:val="Prrafodelista"/>
        <w:ind w:left="0"/>
        <w:jc w:val="both"/>
        <w:rPr>
          <w:szCs w:val="28"/>
        </w:rPr>
      </w:pPr>
    </w:p>
    <w:p w14:paraId="3F241C86" w14:textId="77777777" w:rsidR="008632F3" w:rsidRPr="000C1BCF" w:rsidRDefault="004B3299" w:rsidP="00982FCC">
      <w:pPr>
        <w:pStyle w:val="Prrafodelista"/>
        <w:numPr>
          <w:ilvl w:val="0"/>
          <w:numId w:val="10"/>
        </w:numPr>
        <w:jc w:val="both"/>
        <w:rPr>
          <w:szCs w:val="28"/>
        </w:rPr>
      </w:pPr>
      <w:r w:rsidRPr="000C1BCF">
        <w:rPr>
          <w:bCs/>
          <w:iCs/>
          <w:szCs w:val="28"/>
          <w:lang w:val="es-CO"/>
        </w:rPr>
        <w:t xml:space="preserve">Más allá de tratarse entonces </w:t>
      </w:r>
      <w:r w:rsidR="00982FCC" w:rsidRPr="000C1BCF">
        <w:rPr>
          <w:bCs/>
          <w:iCs/>
          <w:szCs w:val="28"/>
          <w:lang w:val="es-CO"/>
        </w:rPr>
        <w:t xml:space="preserve">de otros defectos de procedencia de la tutela contra providencias judiciales, </w:t>
      </w:r>
      <w:r w:rsidR="008632F3" w:rsidRPr="000C1BCF">
        <w:rPr>
          <w:bCs/>
          <w:iCs/>
          <w:szCs w:val="28"/>
          <w:lang w:val="es-CO"/>
        </w:rPr>
        <w:t xml:space="preserve">como lo alegó el CSJ, </w:t>
      </w:r>
      <w:r w:rsidRPr="000C1BCF">
        <w:rPr>
          <w:bCs/>
          <w:iCs/>
          <w:szCs w:val="28"/>
          <w:lang w:val="es-CO"/>
        </w:rPr>
        <w:t>de lo que se trat</w:t>
      </w:r>
      <w:r w:rsidR="00982FCC" w:rsidRPr="000C1BCF">
        <w:rPr>
          <w:bCs/>
          <w:iCs/>
          <w:szCs w:val="28"/>
          <w:lang w:val="es-CO"/>
        </w:rPr>
        <w:t>ó aquí fue d</w:t>
      </w:r>
      <w:r w:rsidR="008632F3" w:rsidRPr="000C1BCF">
        <w:rPr>
          <w:bCs/>
          <w:iCs/>
          <w:szCs w:val="28"/>
          <w:lang w:val="es-CO"/>
        </w:rPr>
        <w:t>el</w:t>
      </w:r>
      <w:r w:rsidRPr="000C1BCF">
        <w:rPr>
          <w:bCs/>
          <w:iCs/>
          <w:szCs w:val="28"/>
          <w:lang w:val="es-CO"/>
        </w:rPr>
        <w:t xml:space="preserve"> desconocimiento de una providencia con efectos vinculantes</w:t>
      </w:r>
      <w:r w:rsidR="008632F3" w:rsidRPr="000C1BCF">
        <w:rPr>
          <w:bCs/>
          <w:iCs/>
          <w:szCs w:val="28"/>
          <w:lang w:val="es-CO"/>
        </w:rPr>
        <w:t xml:space="preserve"> de obligatorio cumplimiento, </w:t>
      </w:r>
      <w:r w:rsidR="00674EB9" w:rsidRPr="000C1BCF">
        <w:rPr>
          <w:bCs/>
          <w:iCs/>
          <w:szCs w:val="28"/>
          <w:lang w:val="es-CO"/>
        </w:rPr>
        <w:t xml:space="preserve">que hizo tránsito a cosa juzgada constitucional, </w:t>
      </w:r>
      <w:r w:rsidR="000F2BD4" w:rsidRPr="000C1BCF">
        <w:rPr>
          <w:bCs/>
          <w:iCs/>
          <w:szCs w:val="28"/>
          <w:lang w:val="es-CO"/>
        </w:rPr>
        <w:t xml:space="preserve">a partir de la cual se determinó </w:t>
      </w:r>
      <w:r w:rsidR="008632F3" w:rsidRPr="000C1BCF">
        <w:rPr>
          <w:bCs/>
          <w:iCs/>
          <w:szCs w:val="28"/>
          <w:lang w:val="es-CO"/>
        </w:rPr>
        <w:t>el alcance de</w:t>
      </w:r>
      <w:r w:rsidR="000F2BD4" w:rsidRPr="000C1BCF">
        <w:rPr>
          <w:bCs/>
          <w:iCs/>
          <w:szCs w:val="28"/>
          <w:lang w:val="es-CO"/>
        </w:rPr>
        <w:t xml:space="preserve"> varias</w:t>
      </w:r>
      <w:r w:rsidR="008632F3" w:rsidRPr="000C1BCF">
        <w:rPr>
          <w:bCs/>
          <w:iCs/>
          <w:szCs w:val="28"/>
          <w:lang w:val="es-CO"/>
        </w:rPr>
        <w:t xml:space="preserve"> norma</w:t>
      </w:r>
      <w:r w:rsidR="000F2BD4" w:rsidRPr="000C1BCF">
        <w:rPr>
          <w:bCs/>
          <w:iCs/>
          <w:szCs w:val="28"/>
          <w:lang w:val="es-CO"/>
        </w:rPr>
        <w:t>s</w:t>
      </w:r>
      <w:r w:rsidR="008632F3" w:rsidRPr="000C1BCF">
        <w:rPr>
          <w:bCs/>
          <w:iCs/>
          <w:szCs w:val="28"/>
          <w:lang w:val="es-CO"/>
        </w:rPr>
        <w:t xml:space="preserve"> </w:t>
      </w:r>
      <w:r w:rsidR="00982FCC" w:rsidRPr="000C1BCF">
        <w:rPr>
          <w:bCs/>
          <w:iCs/>
          <w:szCs w:val="28"/>
          <w:lang w:val="es-CO"/>
        </w:rPr>
        <w:t>constitucional</w:t>
      </w:r>
      <w:r w:rsidR="000F2BD4" w:rsidRPr="000C1BCF">
        <w:rPr>
          <w:bCs/>
          <w:iCs/>
          <w:szCs w:val="28"/>
          <w:lang w:val="es-CO"/>
        </w:rPr>
        <w:t>es</w:t>
      </w:r>
      <w:r w:rsidR="00306984" w:rsidRPr="000C1BCF">
        <w:rPr>
          <w:bCs/>
          <w:iCs/>
          <w:szCs w:val="28"/>
          <w:lang w:val="es-CO"/>
        </w:rPr>
        <w:t xml:space="preserve"> concreta</w:t>
      </w:r>
      <w:r w:rsidR="000F2BD4" w:rsidRPr="000C1BCF">
        <w:rPr>
          <w:bCs/>
          <w:iCs/>
          <w:szCs w:val="28"/>
          <w:lang w:val="es-CO"/>
        </w:rPr>
        <w:t xml:space="preserve">s y se le dio sentido a una articulación constitucional, que al ser desestimada por el Consejo de Estado en su sentencia, le restó valor a normas constitucionales vigentes y operantes y favoreció la consolidación final de un </w:t>
      </w:r>
      <w:r w:rsidR="000F2BD4" w:rsidRPr="000C1BCF">
        <w:rPr>
          <w:b/>
          <w:i/>
          <w:szCs w:val="28"/>
          <w:lang w:val="es-CO"/>
        </w:rPr>
        <w:t xml:space="preserve">bloqueo institucional </w:t>
      </w:r>
      <w:r w:rsidR="00A45F6D">
        <w:rPr>
          <w:b/>
          <w:i/>
          <w:szCs w:val="28"/>
          <w:lang w:val="es-CO"/>
        </w:rPr>
        <w:t>in</w:t>
      </w:r>
      <w:r w:rsidR="000F2BD4" w:rsidRPr="000C1BCF">
        <w:rPr>
          <w:b/>
          <w:i/>
          <w:szCs w:val="28"/>
          <w:lang w:val="es-CO"/>
        </w:rPr>
        <w:t>constitucional</w:t>
      </w:r>
      <w:r w:rsidR="00674EB9" w:rsidRPr="000C1BCF">
        <w:rPr>
          <w:bCs/>
          <w:iCs/>
          <w:szCs w:val="28"/>
          <w:lang w:val="es-CO"/>
        </w:rPr>
        <w:t>.</w:t>
      </w:r>
      <w:r w:rsidR="000F2BD4" w:rsidRPr="000C1BCF">
        <w:rPr>
          <w:bCs/>
          <w:iCs/>
          <w:szCs w:val="28"/>
          <w:lang w:val="es-CO"/>
        </w:rPr>
        <w:t xml:space="preserve"> Por lo que se consolidó la violación directa de la Constitución, lo que le da respuesta </w:t>
      </w:r>
      <w:r w:rsidR="000C1BCF">
        <w:rPr>
          <w:bCs/>
          <w:iCs/>
          <w:szCs w:val="28"/>
          <w:lang w:val="es-CO"/>
        </w:rPr>
        <w:t>a</w:t>
      </w:r>
      <w:r w:rsidR="000F2BD4" w:rsidRPr="000C1BCF">
        <w:rPr>
          <w:bCs/>
          <w:iCs/>
          <w:szCs w:val="28"/>
          <w:lang w:val="es-CO"/>
        </w:rPr>
        <w:t xml:space="preserve"> los problemas jurídicos de fondo</w:t>
      </w:r>
      <w:r w:rsidR="000C1BCF">
        <w:rPr>
          <w:bCs/>
          <w:iCs/>
          <w:szCs w:val="28"/>
          <w:lang w:val="es-CO"/>
        </w:rPr>
        <w:t xml:space="preserve"> que planteó esta Sala al inicio del presente estudio</w:t>
      </w:r>
      <w:r w:rsidR="000F2BD4" w:rsidRPr="000C1BCF">
        <w:rPr>
          <w:bCs/>
          <w:iCs/>
          <w:szCs w:val="28"/>
          <w:lang w:val="es-CO"/>
        </w:rPr>
        <w:t>.</w:t>
      </w:r>
    </w:p>
    <w:p w14:paraId="67671FE9" w14:textId="77777777" w:rsidR="00982FCC" w:rsidRPr="000C1BCF" w:rsidRDefault="00982FCC" w:rsidP="00982FCC">
      <w:pPr>
        <w:pStyle w:val="Prrafodelista"/>
        <w:rPr>
          <w:szCs w:val="28"/>
        </w:rPr>
      </w:pPr>
    </w:p>
    <w:p w14:paraId="7A4028AC" w14:textId="77777777" w:rsidR="00A3147E" w:rsidRPr="000C1BCF" w:rsidRDefault="000F2BD4" w:rsidP="00982FCC">
      <w:pPr>
        <w:pStyle w:val="Prrafodelista"/>
        <w:numPr>
          <w:ilvl w:val="0"/>
          <w:numId w:val="10"/>
        </w:numPr>
        <w:jc w:val="both"/>
        <w:rPr>
          <w:szCs w:val="28"/>
        </w:rPr>
      </w:pPr>
      <w:r w:rsidRPr="000C1BCF">
        <w:rPr>
          <w:lang w:eastAsia="en-US"/>
        </w:rPr>
        <w:t>De este modo,</w:t>
      </w:r>
      <w:r w:rsidR="00982FCC" w:rsidRPr="000C1BCF">
        <w:rPr>
          <w:lang w:eastAsia="en-US"/>
        </w:rPr>
        <w:t xml:space="preserve"> en </w:t>
      </w:r>
      <w:r w:rsidR="00C67D65" w:rsidRPr="000C1BCF">
        <w:rPr>
          <w:lang w:eastAsia="en-US"/>
        </w:rPr>
        <w:t xml:space="preserve">el caso del control abstracto de constitucionalidad, </w:t>
      </w:r>
      <w:r w:rsidRPr="000C1BCF">
        <w:rPr>
          <w:lang w:eastAsia="en-US"/>
        </w:rPr>
        <w:t>se concluye que</w:t>
      </w:r>
      <w:r w:rsidR="000C1BCF">
        <w:rPr>
          <w:lang w:eastAsia="en-US"/>
        </w:rPr>
        <w:t>,</w:t>
      </w:r>
      <w:r w:rsidRPr="000C1BCF">
        <w:rPr>
          <w:lang w:eastAsia="en-US"/>
        </w:rPr>
        <w:t xml:space="preserve"> </w:t>
      </w:r>
      <w:r w:rsidR="00A3147E" w:rsidRPr="000C1BCF">
        <w:rPr>
          <w:iCs/>
          <w:szCs w:val="28"/>
          <w:lang w:val="es-CO"/>
        </w:rPr>
        <w:t xml:space="preserve">si una norma es declarada exequible </w:t>
      </w:r>
      <w:r w:rsidRPr="000C1BCF">
        <w:rPr>
          <w:iCs/>
          <w:szCs w:val="28"/>
          <w:lang w:val="es-CO"/>
        </w:rPr>
        <w:t xml:space="preserve">con precisiones interpretativas o </w:t>
      </w:r>
      <w:r w:rsidR="00A3147E" w:rsidRPr="000C1BCF">
        <w:rPr>
          <w:iCs/>
          <w:szCs w:val="28"/>
          <w:lang w:val="es-CO"/>
        </w:rPr>
        <w:t xml:space="preserve">de manera condicionada, </w:t>
      </w:r>
      <w:r w:rsidR="00A3147E" w:rsidRPr="000C1BCF">
        <w:rPr>
          <w:i/>
          <w:szCs w:val="28"/>
          <w:lang w:val="es-CO"/>
        </w:rPr>
        <w:t>“los operadores jurídicos tienen la obligación de utilizar el enunciado legal con la prescripción adicionada por parte de la Corte, puesto que ést</w:t>
      </w:r>
      <w:r w:rsidR="00C67D65" w:rsidRPr="000C1BCF">
        <w:rPr>
          <w:i/>
          <w:szCs w:val="28"/>
          <w:lang w:val="es-CO"/>
        </w:rPr>
        <w:t>a</w:t>
      </w:r>
      <w:r w:rsidR="00A3147E" w:rsidRPr="000C1BCF">
        <w:rPr>
          <w:i/>
          <w:szCs w:val="28"/>
          <w:lang w:val="es-CO"/>
        </w:rPr>
        <w:t xml:space="preserve"> hace parte de la norma, al ser considerada el único significado que respeta el ordenamiento superior”</w:t>
      </w:r>
      <w:r w:rsidR="00C67D65" w:rsidRPr="000C1BCF">
        <w:rPr>
          <w:rStyle w:val="Refdenotaalpie"/>
          <w:i/>
          <w:szCs w:val="28"/>
          <w:lang w:val="es-CO"/>
        </w:rPr>
        <w:footnoteReference w:id="423"/>
      </w:r>
      <w:r w:rsidR="00A3147E" w:rsidRPr="000C1BCF">
        <w:rPr>
          <w:iCs/>
          <w:szCs w:val="28"/>
          <w:lang w:val="es-CO"/>
        </w:rPr>
        <w:t xml:space="preserve">. </w:t>
      </w:r>
      <w:r w:rsidRPr="000C1BCF">
        <w:rPr>
          <w:iCs/>
          <w:szCs w:val="28"/>
          <w:lang w:val="es-CO"/>
        </w:rPr>
        <w:t xml:space="preserve">Lo propio ocurre con las precisiones interpretativas que hace la Corte en la </w:t>
      </w:r>
      <w:r w:rsidRPr="000C1BCF">
        <w:rPr>
          <w:i/>
          <w:szCs w:val="28"/>
          <w:lang w:val="es-CO"/>
        </w:rPr>
        <w:t>ratio decidendi</w:t>
      </w:r>
      <w:r w:rsidRPr="000C1BCF">
        <w:rPr>
          <w:iCs/>
          <w:szCs w:val="28"/>
          <w:lang w:val="es-CO"/>
        </w:rPr>
        <w:t xml:space="preserve"> de las sentencias de constitucionalidad amparadas por la cosa juzgada constitucional. </w:t>
      </w:r>
    </w:p>
    <w:p w14:paraId="0A65586E" w14:textId="77777777" w:rsidR="00C77E35" w:rsidRPr="000C1BCF" w:rsidRDefault="00C77E35" w:rsidP="00C77E35">
      <w:pPr>
        <w:jc w:val="both"/>
        <w:rPr>
          <w:szCs w:val="28"/>
          <w:lang w:val="es-CO"/>
        </w:rPr>
      </w:pPr>
    </w:p>
    <w:p w14:paraId="6CFE36DF" w14:textId="77777777" w:rsidR="00C77E35" w:rsidRPr="002E4477" w:rsidRDefault="00C77E35" w:rsidP="00C77E35">
      <w:pPr>
        <w:jc w:val="both"/>
        <w:rPr>
          <w:szCs w:val="28"/>
          <w:lang w:val="es-CO"/>
        </w:rPr>
      </w:pPr>
      <w:r w:rsidRPr="000C1BCF">
        <w:rPr>
          <w:szCs w:val="28"/>
          <w:lang w:val="es-CO"/>
        </w:rPr>
        <w:t>Así, cuando los jueces simplemente ignoran o contrarían una sentencia de esta naturaleza, “</w:t>
      </w:r>
      <w:r w:rsidRPr="000C1BCF">
        <w:rPr>
          <w:i/>
          <w:iCs/>
          <w:szCs w:val="28"/>
          <w:lang w:val="es-CO"/>
        </w:rPr>
        <w:t>violan la Constitución, en</w:t>
      </w:r>
      <w:r w:rsidRPr="000C1BCF">
        <w:rPr>
          <w:i/>
          <w:szCs w:val="28"/>
          <w:lang w:val="es-CO"/>
        </w:rPr>
        <w:t xml:space="preserve"> cuanto la aplican de manera contraria a aquélla en que ha sido entendida por el juez de constitucionalidad a través de la doctrina constitucional que le corresponde fijar</w:t>
      </w:r>
      <w:r w:rsidRPr="000C1BCF">
        <w:rPr>
          <w:szCs w:val="28"/>
          <w:lang w:val="es-CO"/>
        </w:rPr>
        <w:t>”</w:t>
      </w:r>
      <w:r w:rsidRPr="000C1BCF">
        <w:rPr>
          <w:rStyle w:val="Refdenotaalpie"/>
          <w:szCs w:val="28"/>
          <w:lang w:val="es-CO"/>
        </w:rPr>
        <w:footnoteReference w:id="424"/>
      </w:r>
      <w:r w:rsidRPr="000C1BCF">
        <w:rPr>
          <w:szCs w:val="28"/>
          <w:lang w:val="es-CO"/>
        </w:rPr>
        <w:t xml:space="preserve"> y por lo tanto incurren, como el Consejo de Estado en este caso, en </w:t>
      </w:r>
      <w:r w:rsidRPr="000C1BCF">
        <w:rPr>
          <w:bdr w:val="none" w:sz="0" w:space="0" w:color="auto" w:frame="1"/>
        </w:rPr>
        <w:t>un defecto por violación de la Constitución, que se constituye en una causal específica de procedencia de la acción de tutela contra providencias judiciales.</w:t>
      </w:r>
    </w:p>
    <w:p w14:paraId="6F8BEAB7" w14:textId="77777777" w:rsidR="00C77E35" w:rsidRDefault="00C77E35" w:rsidP="00C77E35">
      <w:pPr>
        <w:jc w:val="both"/>
        <w:rPr>
          <w:b/>
          <w:bCs/>
          <w:i/>
          <w:iCs/>
          <w:szCs w:val="28"/>
        </w:rPr>
      </w:pPr>
    </w:p>
    <w:p w14:paraId="65B86949" w14:textId="77777777" w:rsidR="00C77E35" w:rsidRPr="00EE11AF" w:rsidRDefault="00C77E35" w:rsidP="00C77E35">
      <w:pPr>
        <w:jc w:val="both"/>
        <w:rPr>
          <w:b/>
          <w:bCs/>
          <w:i/>
          <w:iCs/>
          <w:szCs w:val="28"/>
        </w:rPr>
      </w:pPr>
      <w:r w:rsidRPr="00EE11AF">
        <w:rPr>
          <w:b/>
          <w:bCs/>
          <w:i/>
          <w:iCs/>
          <w:szCs w:val="28"/>
        </w:rPr>
        <w:t>Consideraciones finales</w:t>
      </w:r>
    </w:p>
    <w:p w14:paraId="6EAC0AA1" w14:textId="77777777" w:rsidR="00C77E35" w:rsidRDefault="00C77E35" w:rsidP="00C77E35">
      <w:pPr>
        <w:pStyle w:val="Prrafodelista"/>
        <w:rPr>
          <w:szCs w:val="28"/>
        </w:rPr>
      </w:pPr>
    </w:p>
    <w:p w14:paraId="5920BF05" w14:textId="77777777" w:rsidR="00E95870" w:rsidRPr="000C1BCF" w:rsidRDefault="00E95870" w:rsidP="00C77E35">
      <w:pPr>
        <w:pStyle w:val="Prrafodelista"/>
        <w:numPr>
          <w:ilvl w:val="0"/>
          <w:numId w:val="10"/>
        </w:numPr>
        <w:jc w:val="both"/>
        <w:rPr>
          <w:szCs w:val="28"/>
        </w:rPr>
      </w:pPr>
      <w:r w:rsidRPr="000C1BCF">
        <w:rPr>
          <w:bCs/>
          <w:szCs w:val="28"/>
          <w:lang w:eastAsia="es-CO" w:bidi="bo-CN"/>
        </w:rPr>
        <w:t>La Sala Plena de la Corte Constitucional, en consideración a lo expuesto, concluye finalmente que</w:t>
      </w:r>
      <w:r w:rsidR="000C1BCF">
        <w:rPr>
          <w:bCs/>
          <w:szCs w:val="28"/>
          <w:lang w:eastAsia="es-CO" w:bidi="bo-CN"/>
        </w:rPr>
        <w:t>,</w:t>
      </w:r>
      <w:r w:rsidRPr="000C1BCF">
        <w:rPr>
          <w:bCs/>
          <w:szCs w:val="28"/>
          <w:lang w:eastAsia="es-CO" w:bidi="bo-CN"/>
        </w:rPr>
        <w:t xml:space="preserve"> con la sentencia del 6 de febrero de 2018, el Consejo de Estado incurrió en </w:t>
      </w:r>
      <w:r w:rsidR="00C77E35" w:rsidRPr="000C1BCF">
        <w:rPr>
          <w:bCs/>
          <w:szCs w:val="28"/>
          <w:lang w:eastAsia="es-CO" w:bidi="bo-CN"/>
        </w:rPr>
        <w:t xml:space="preserve">el defecto de </w:t>
      </w:r>
      <w:r w:rsidRPr="000C1BCF">
        <w:rPr>
          <w:bCs/>
          <w:i/>
          <w:iCs/>
          <w:szCs w:val="28"/>
          <w:lang w:eastAsia="es-CO" w:bidi="bo-CN"/>
        </w:rPr>
        <w:t>violación directa de la Constitución</w:t>
      </w:r>
      <w:r w:rsidR="00C77E35" w:rsidRPr="000C1BCF">
        <w:rPr>
          <w:bCs/>
          <w:szCs w:val="28"/>
          <w:lang w:eastAsia="es-CO" w:bidi="bo-CN"/>
        </w:rPr>
        <w:t>,</w:t>
      </w:r>
      <w:r w:rsidRPr="000C1BCF">
        <w:rPr>
          <w:bCs/>
          <w:szCs w:val="28"/>
          <w:lang w:eastAsia="es-CO" w:bidi="bo-CN"/>
        </w:rPr>
        <w:t xml:space="preserve"> porque desconoció el alcance </w:t>
      </w:r>
      <w:r w:rsidR="00C77E35" w:rsidRPr="000C1BCF">
        <w:rPr>
          <w:bCs/>
          <w:szCs w:val="28"/>
          <w:lang w:eastAsia="es-CO" w:bidi="bo-CN"/>
        </w:rPr>
        <w:t>dado al</w:t>
      </w:r>
      <w:r w:rsidRPr="000C1BCF">
        <w:rPr>
          <w:bCs/>
          <w:szCs w:val="28"/>
          <w:lang w:eastAsia="es-CO" w:bidi="bo-CN"/>
        </w:rPr>
        <w:t xml:space="preserve"> artículo 257A superior </w:t>
      </w:r>
      <w:r w:rsidR="00007C4B" w:rsidRPr="000C1BCF">
        <w:rPr>
          <w:bCs/>
          <w:szCs w:val="28"/>
          <w:lang w:eastAsia="es-CO" w:bidi="bo-CN"/>
        </w:rPr>
        <w:t>conforme a</w:t>
      </w:r>
      <w:r w:rsidRPr="000C1BCF">
        <w:rPr>
          <w:bCs/>
          <w:szCs w:val="28"/>
          <w:lang w:eastAsia="es-CO" w:bidi="bo-CN"/>
        </w:rPr>
        <w:t xml:space="preserve"> la sentencia C-285 de 2016</w:t>
      </w:r>
      <w:r w:rsidR="00007C4B" w:rsidRPr="000C1BCF">
        <w:rPr>
          <w:bCs/>
          <w:szCs w:val="28"/>
          <w:lang w:eastAsia="es-CO" w:bidi="bo-CN"/>
        </w:rPr>
        <w:t>, lo que hace procedente la tutela contra providencias judiciales</w:t>
      </w:r>
      <w:r w:rsidRPr="000C1BCF">
        <w:rPr>
          <w:bCs/>
          <w:szCs w:val="28"/>
          <w:lang w:eastAsia="es-CO" w:bidi="bo-CN"/>
        </w:rPr>
        <w:t>.</w:t>
      </w:r>
      <w:r w:rsidR="00007C4B" w:rsidRPr="000C1BCF">
        <w:rPr>
          <w:bCs/>
          <w:szCs w:val="28"/>
          <w:lang w:eastAsia="es-CO" w:bidi="bo-CN"/>
        </w:rPr>
        <w:t xml:space="preserve"> </w:t>
      </w:r>
      <w:r w:rsidRPr="000C1BCF">
        <w:rPr>
          <w:bCs/>
          <w:szCs w:val="28"/>
          <w:lang w:eastAsia="es-CO" w:bidi="bo-CN"/>
        </w:rPr>
        <w:t xml:space="preserve">Por este motivo, la Corte Constitucional dejará sin efectos </w:t>
      </w:r>
      <w:r w:rsidR="00007C4B" w:rsidRPr="000C1BCF">
        <w:rPr>
          <w:bCs/>
          <w:szCs w:val="28"/>
          <w:lang w:eastAsia="es-CO" w:bidi="bo-CN"/>
        </w:rPr>
        <w:t xml:space="preserve">el fallo en mención </w:t>
      </w:r>
      <w:r w:rsidRPr="000C1BCF">
        <w:rPr>
          <w:bCs/>
          <w:szCs w:val="28"/>
          <w:lang w:eastAsia="es-CO" w:bidi="bo-CN"/>
        </w:rPr>
        <w:t xml:space="preserve">y, por las razones que </w:t>
      </w:r>
      <w:r w:rsidR="00007C4B" w:rsidRPr="000C1BCF">
        <w:rPr>
          <w:bCs/>
          <w:szCs w:val="28"/>
          <w:lang w:eastAsia="es-CO" w:bidi="bo-CN"/>
        </w:rPr>
        <w:t xml:space="preserve">a continuación </w:t>
      </w:r>
      <w:r w:rsidRPr="000C1BCF">
        <w:rPr>
          <w:bCs/>
          <w:szCs w:val="28"/>
          <w:lang w:eastAsia="es-CO" w:bidi="bo-CN"/>
        </w:rPr>
        <w:t xml:space="preserve">se explican, ordenará al CSJ que emita los actos administrativos en ejercicio de sus atribuciones constitucionales para reglamentar la convocatoria pública que le permitirá a esa Corporación definir las </w:t>
      </w:r>
      <w:r w:rsidR="000C1BCF">
        <w:rPr>
          <w:bCs/>
          <w:szCs w:val="28"/>
          <w:lang w:eastAsia="es-CO" w:bidi="bo-CN"/>
        </w:rPr>
        <w:t xml:space="preserve">cuatro </w:t>
      </w:r>
      <w:r w:rsidRPr="000C1BCF">
        <w:rPr>
          <w:bCs/>
          <w:szCs w:val="28"/>
          <w:lang w:eastAsia="es-CO" w:bidi="bo-CN"/>
        </w:rPr>
        <w:t xml:space="preserve">ternas que deben ser enviadas al Congreso, para la elección de los Magistrados de la futura CNDJ. </w:t>
      </w:r>
    </w:p>
    <w:p w14:paraId="584CF875" w14:textId="77777777" w:rsidR="00C77E35" w:rsidRPr="000C1BCF" w:rsidRDefault="00C77E35" w:rsidP="00C77E35">
      <w:pPr>
        <w:pStyle w:val="Prrafodelista"/>
        <w:ind w:left="0"/>
        <w:jc w:val="both"/>
        <w:rPr>
          <w:szCs w:val="28"/>
        </w:rPr>
      </w:pPr>
    </w:p>
    <w:p w14:paraId="1BE491F3" w14:textId="77777777" w:rsidR="00E95870" w:rsidRPr="000C1BCF" w:rsidRDefault="00A6349F" w:rsidP="00C77E35">
      <w:pPr>
        <w:pStyle w:val="Prrafodelista"/>
        <w:numPr>
          <w:ilvl w:val="0"/>
          <w:numId w:val="10"/>
        </w:numPr>
        <w:jc w:val="both"/>
        <w:rPr>
          <w:szCs w:val="28"/>
        </w:rPr>
      </w:pPr>
      <w:r w:rsidRPr="000C1BCF">
        <w:rPr>
          <w:bCs/>
          <w:szCs w:val="28"/>
          <w:lang w:eastAsia="es-CO" w:bidi="bo-CN"/>
        </w:rPr>
        <w:t xml:space="preserve">Ahora bien, aunque </w:t>
      </w:r>
      <w:r w:rsidR="00007C4B" w:rsidRPr="000C1BCF">
        <w:rPr>
          <w:bCs/>
          <w:szCs w:val="28"/>
          <w:lang w:eastAsia="es-CO" w:bidi="bo-CN"/>
        </w:rPr>
        <w:t xml:space="preserve">el </w:t>
      </w:r>
      <w:r w:rsidR="00E95870" w:rsidRPr="000C1BCF">
        <w:rPr>
          <w:bCs/>
          <w:szCs w:val="28"/>
          <w:lang w:eastAsia="es-CO" w:bidi="bo-CN"/>
        </w:rPr>
        <w:t xml:space="preserve">Acuerdo adoptado por el CSJ </w:t>
      </w:r>
      <w:r w:rsidR="00007C4B" w:rsidRPr="000C1BCF">
        <w:rPr>
          <w:bCs/>
          <w:szCs w:val="28"/>
          <w:lang w:eastAsia="es-CO" w:bidi="bo-CN"/>
        </w:rPr>
        <w:t xml:space="preserve">y cobijado por la decisión del Consejo de Estado </w:t>
      </w:r>
      <w:r w:rsidR="00E95870" w:rsidRPr="000C1BCF">
        <w:rPr>
          <w:bCs/>
          <w:szCs w:val="28"/>
          <w:lang w:eastAsia="es-CO" w:bidi="bo-CN"/>
        </w:rPr>
        <w:t xml:space="preserve">fue proferido </w:t>
      </w:r>
      <w:r w:rsidR="00C13228" w:rsidRPr="000C1BCF">
        <w:rPr>
          <w:bCs/>
          <w:szCs w:val="28"/>
          <w:lang w:eastAsia="es-CO" w:bidi="bo-CN"/>
        </w:rPr>
        <w:t xml:space="preserve">en su momento con base </w:t>
      </w:r>
      <w:r w:rsidR="00E95870" w:rsidRPr="000C1BCF">
        <w:rPr>
          <w:bCs/>
          <w:szCs w:val="28"/>
          <w:lang w:eastAsia="es-CO" w:bidi="bo-CN"/>
        </w:rPr>
        <w:t>en la competencia que le otorga el artículo 257A de la Constitución</w:t>
      </w:r>
      <w:r w:rsidRPr="000C1BCF">
        <w:rPr>
          <w:bCs/>
          <w:szCs w:val="28"/>
          <w:lang w:eastAsia="es-CO" w:bidi="bo-CN"/>
        </w:rPr>
        <w:t>,</w:t>
      </w:r>
      <w:r w:rsidR="00C13228" w:rsidRPr="000C1BCF">
        <w:rPr>
          <w:bCs/>
          <w:szCs w:val="28"/>
          <w:lang w:eastAsia="es-CO" w:bidi="bo-CN"/>
        </w:rPr>
        <w:t xml:space="preserve"> </w:t>
      </w:r>
      <w:r w:rsidRPr="000C1BCF">
        <w:rPr>
          <w:bCs/>
          <w:szCs w:val="28"/>
          <w:lang w:eastAsia="es-CO" w:bidi="bo-CN"/>
        </w:rPr>
        <w:t>podría concluirse que</w:t>
      </w:r>
      <w:r w:rsidR="00201866">
        <w:rPr>
          <w:bCs/>
          <w:szCs w:val="28"/>
          <w:lang w:eastAsia="es-CO" w:bidi="bo-CN"/>
        </w:rPr>
        <w:t>,</w:t>
      </w:r>
      <w:r w:rsidRPr="000C1BCF">
        <w:rPr>
          <w:bCs/>
          <w:szCs w:val="28"/>
          <w:lang w:eastAsia="es-CO" w:bidi="bo-CN"/>
        </w:rPr>
        <w:t xml:space="preserve"> como consecuencia de la presente tutela</w:t>
      </w:r>
      <w:r w:rsidR="00C13228" w:rsidRPr="000C1BCF">
        <w:rPr>
          <w:bCs/>
          <w:szCs w:val="28"/>
          <w:lang w:eastAsia="es-CO" w:bidi="bo-CN"/>
        </w:rPr>
        <w:t>,</w:t>
      </w:r>
      <w:r w:rsidRPr="000C1BCF">
        <w:rPr>
          <w:bCs/>
          <w:szCs w:val="28"/>
          <w:lang w:eastAsia="es-CO" w:bidi="bo-CN"/>
        </w:rPr>
        <w:t xml:space="preserve"> </w:t>
      </w:r>
      <w:r w:rsidR="00C13228" w:rsidRPr="000C1BCF">
        <w:rPr>
          <w:bCs/>
          <w:szCs w:val="28"/>
          <w:lang w:eastAsia="es-CO" w:bidi="bo-CN"/>
        </w:rPr>
        <w:t xml:space="preserve">al dejarse sin efectos la </w:t>
      </w:r>
      <w:r w:rsidRPr="000C1BCF">
        <w:rPr>
          <w:bCs/>
          <w:szCs w:val="28"/>
          <w:lang w:eastAsia="es-CO" w:bidi="bo-CN"/>
        </w:rPr>
        <w:t>sentencia que declaró su nulidad</w:t>
      </w:r>
      <w:r w:rsidR="00C13228" w:rsidRPr="000C1BCF">
        <w:rPr>
          <w:bCs/>
          <w:szCs w:val="28"/>
          <w:lang w:eastAsia="es-CO" w:bidi="bo-CN"/>
        </w:rPr>
        <w:t xml:space="preserve">, el mencionado </w:t>
      </w:r>
      <w:r w:rsidR="00201866">
        <w:rPr>
          <w:bCs/>
          <w:szCs w:val="28"/>
          <w:lang w:eastAsia="es-CO" w:bidi="bo-CN"/>
        </w:rPr>
        <w:t>a</w:t>
      </w:r>
      <w:r w:rsidR="00C13228" w:rsidRPr="000C1BCF">
        <w:rPr>
          <w:bCs/>
          <w:szCs w:val="28"/>
          <w:lang w:eastAsia="es-CO" w:bidi="bo-CN"/>
        </w:rPr>
        <w:t>cuerdo recobra</w:t>
      </w:r>
      <w:r w:rsidR="00201866">
        <w:rPr>
          <w:bCs/>
          <w:szCs w:val="28"/>
          <w:lang w:eastAsia="es-CO" w:bidi="bo-CN"/>
        </w:rPr>
        <w:t xml:space="preserve"> </w:t>
      </w:r>
      <w:r w:rsidR="00201866" w:rsidRPr="000C1BCF">
        <w:rPr>
          <w:bCs/>
          <w:szCs w:val="28"/>
          <w:lang w:eastAsia="es-CO" w:bidi="bo-CN"/>
        </w:rPr>
        <w:t>validez y vigencia</w:t>
      </w:r>
      <w:r w:rsidR="00C13228" w:rsidRPr="000C1BCF">
        <w:rPr>
          <w:bCs/>
          <w:szCs w:val="28"/>
          <w:lang w:eastAsia="es-CO" w:bidi="bo-CN"/>
        </w:rPr>
        <w:t>.</w:t>
      </w:r>
    </w:p>
    <w:p w14:paraId="2ABFCAE8" w14:textId="77777777" w:rsidR="00947CF0" w:rsidRPr="000C1BCF" w:rsidRDefault="00947CF0" w:rsidP="00947CF0">
      <w:pPr>
        <w:pStyle w:val="Prrafodelista"/>
        <w:rPr>
          <w:szCs w:val="28"/>
        </w:rPr>
      </w:pPr>
    </w:p>
    <w:p w14:paraId="1AD7DF87" w14:textId="77777777" w:rsidR="00947CF0" w:rsidRPr="000C1BCF" w:rsidRDefault="00947CF0" w:rsidP="00947CF0">
      <w:pPr>
        <w:pStyle w:val="Prrafodelista"/>
        <w:numPr>
          <w:ilvl w:val="0"/>
          <w:numId w:val="10"/>
        </w:numPr>
        <w:jc w:val="both"/>
        <w:rPr>
          <w:szCs w:val="28"/>
        </w:rPr>
      </w:pPr>
      <w:r w:rsidRPr="000C1BCF">
        <w:rPr>
          <w:bCs/>
          <w:szCs w:val="28"/>
          <w:lang w:eastAsia="es-CO" w:bidi="bo-CN"/>
        </w:rPr>
        <w:t>No obstante</w:t>
      </w:r>
      <w:r w:rsidR="00201866">
        <w:rPr>
          <w:bCs/>
          <w:szCs w:val="28"/>
          <w:lang w:eastAsia="es-CO" w:bidi="bo-CN"/>
        </w:rPr>
        <w:t>,</w:t>
      </w:r>
      <w:r w:rsidRPr="000C1BCF">
        <w:rPr>
          <w:bCs/>
          <w:szCs w:val="28"/>
          <w:lang w:eastAsia="es-CO" w:bidi="bo-CN"/>
        </w:rPr>
        <w:t xml:space="preserve"> a juicio de la Corte</w:t>
      </w:r>
      <w:r w:rsidR="00201866">
        <w:rPr>
          <w:bCs/>
          <w:szCs w:val="28"/>
          <w:lang w:eastAsia="es-CO" w:bidi="bo-CN"/>
        </w:rPr>
        <w:t xml:space="preserve"> ese </w:t>
      </w:r>
      <w:r w:rsidR="00201866" w:rsidRPr="000C1BCF">
        <w:rPr>
          <w:bCs/>
          <w:szCs w:val="28"/>
          <w:lang w:eastAsia="es-CO" w:bidi="bo-CN"/>
        </w:rPr>
        <w:t xml:space="preserve">acto administrativo </w:t>
      </w:r>
      <w:r w:rsidR="00E95870" w:rsidRPr="000C1BCF">
        <w:rPr>
          <w:bCs/>
          <w:szCs w:val="28"/>
          <w:lang w:eastAsia="es-CO" w:bidi="bo-CN"/>
        </w:rPr>
        <w:t>perdió su fuerza ejecutoria</w:t>
      </w:r>
      <w:r w:rsidR="00677337" w:rsidRPr="000C1BCF">
        <w:rPr>
          <w:bCs/>
          <w:szCs w:val="28"/>
          <w:lang w:eastAsia="es-CO" w:bidi="bo-CN"/>
        </w:rPr>
        <w:t xml:space="preserve">, por las razones que a continuación se presentan: </w:t>
      </w:r>
    </w:p>
    <w:p w14:paraId="66A70F30" w14:textId="77777777" w:rsidR="00947CF0" w:rsidRPr="000C1BCF" w:rsidRDefault="00947CF0" w:rsidP="00947CF0">
      <w:pPr>
        <w:pStyle w:val="Prrafodelista"/>
        <w:rPr>
          <w:szCs w:val="28"/>
        </w:rPr>
      </w:pPr>
    </w:p>
    <w:p w14:paraId="31FE99C7" w14:textId="77777777" w:rsidR="00947CF0" w:rsidRPr="000C1BCF" w:rsidRDefault="00677337" w:rsidP="00947CF0">
      <w:pPr>
        <w:pStyle w:val="Prrafodelista"/>
        <w:ind w:left="0"/>
        <w:jc w:val="both"/>
        <w:rPr>
          <w:bCs/>
          <w:szCs w:val="28"/>
          <w:lang w:eastAsia="es-CO" w:bidi="bo-CN"/>
        </w:rPr>
      </w:pPr>
      <w:r w:rsidRPr="000C1BCF">
        <w:rPr>
          <w:b/>
          <w:szCs w:val="28"/>
          <w:lang w:eastAsia="es-CO" w:bidi="bo-CN"/>
        </w:rPr>
        <w:t>(i)</w:t>
      </w:r>
      <w:r w:rsidRPr="000C1BCF">
        <w:rPr>
          <w:bCs/>
          <w:szCs w:val="28"/>
          <w:lang w:eastAsia="es-CO" w:bidi="bo-CN"/>
        </w:rPr>
        <w:t xml:space="preserve"> </w:t>
      </w:r>
      <w:r w:rsidR="00E95870" w:rsidRPr="000C1BCF">
        <w:rPr>
          <w:bCs/>
          <w:szCs w:val="28"/>
          <w:lang w:eastAsia="es-CO" w:bidi="bo-CN"/>
        </w:rPr>
        <w:t>E</w:t>
      </w:r>
      <w:r w:rsidR="00947CF0" w:rsidRPr="000C1BCF">
        <w:rPr>
          <w:bCs/>
          <w:szCs w:val="28"/>
          <w:lang w:eastAsia="es-CO" w:bidi="bo-CN"/>
        </w:rPr>
        <w:t>n efecto, el</w:t>
      </w:r>
      <w:r w:rsidR="00E95870" w:rsidRPr="000C1BCF">
        <w:rPr>
          <w:bCs/>
          <w:szCs w:val="28"/>
          <w:lang w:eastAsia="es-CO" w:bidi="bo-CN"/>
        </w:rPr>
        <w:t xml:space="preserve"> artículo 91, numeral 2° de la Ley 1437 de 2011</w:t>
      </w:r>
      <w:r w:rsidRPr="000C1BCF">
        <w:rPr>
          <w:rStyle w:val="Refdenotaalpie"/>
          <w:bCs/>
          <w:szCs w:val="28"/>
          <w:lang w:eastAsia="es-CO" w:bidi="bo-CN"/>
        </w:rPr>
        <w:footnoteReference w:id="425"/>
      </w:r>
      <w:r w:rsidR="00E95870" w:rsidRPr="000C1BCF">
        <w:rPr>
          <w:bCs/>
          <w:szCs w:val="28"/>
          <w:lang w:eastAsia="es-CO" w:bidi="bo-CN"/>
        </w:rPr>
        <w:t xml:space="preserve"> prevé que los actos administrativos en firme perderán obligatoriedad y, por lo tanto, no podrá</w:t>
      </w:r>
      <w:r w:rsidR="00D07D36" w:rsidRPr="000C1BCF">
        <w:rPr>
          <w:bCs/>
          <w:szCs w:val="28"/>
          <w:lang w:eastAsia="es-CO" w:bidi="bo-CN"/>
        </w:rPr>
        <w:t>n</w:t>
      </w:r>
      <w:r w:rsidR="00E95870" w:rsidRPr="000C1BCF">
        <w:rPr>
          <w:bCs/>
          <w:szCs w:val="28"/>
          <w:lang w:eastAsia="es-CO" w:bidi="bo-CN"/>
        </w:rPr>
        <w:t xml:space="preserve"> ser ejecutados “</w:t>
      </w:r>
      <w:r w:rsidR="00E95870" w:rsidRPr="000C1BCF">
        <w:rPr>
          <w:bCs/>
          <w:i/>
          <w:iCs/>
          <w:szCs w:val="28"/>
          <w:lang w:eastAsia="es-CO" w:bidi="bo-CN"/>
        </w:rPr>
        <w:t>cuando desaparezcan sus fundamentos de hecho o de derecho</w:t>
      </w:r>
      <w:r w:rsidR="00E95870" w:rsidRPr="000C1BCF">
        <w:rPr>
          <w:bCs/>
          <w:szCs w:val="28"/>
          <w:lang w:eastAsia="es-CO" w:bidi="bo-CN"/>
        </w:rPr>
        <w:t xml:space="preserve">”. Esta causal, que la jurisprudencia y la doctrina denominan el </w:t>
      </w:r>
      <w:r w:rsidR="00E95870" w:rsidRPr="000C1BCF">
        <w:rPr>
          <w:b/>
          <w:i/>
          <w:iCs/>
          <w:szCs w:val="28"/>
          <w:lang w:eastAsia="es-CO" w:bidi="bo-CN"/>
        </w:rPr>
        <w:t>decaimiento del acto administrativo</w:t>
      </w:r>
      <w:r w:rsidR="00E95870" w:rsidRPr="000C1BCF">
        <w:rPr>
          <w:bCs/>
          <w:szCs w:val="28"/>
          <w:lang w:eastAsia="es-CO" w:bidi="bo-CN"/>
        </w:rPr>
        <w:t>, se configura cuando “</w:t>
      </w:r>
      <w:r w:rsidR="00E95870" w:rsidRPr="000C1BCF">
        <w:rPr>
          <w:bCs/>
          <w:i/>
          <w:iCs/>
          <w:szCs w:val="28"/>
          <w:lang w:eastAsia="es-CO" w:bidi="bo-CN"/>
        </w:rPr>
        <w:t xml:space="preserve">ya no </w:t>
      </w:r>
      <w:bookmarkStart w:id="46" w:name="_Hlk50799911"/>
      <w:r w:rsidR="00E95870" w:rsidRPr="000C1BCF">
        <w:rPr>
          <w:bCs/>
          <w:i/>
          <w:iCs/>
          <w:szCs w:val="28"/>
          <w:lang w:eastAsia="es-CO" w:bidi="bo-CN"/>
        </w:rPr>
        <w:t>existen las circunstancias de modo, tiempo y lugar que le sirvieron de base</w:t>
      </w:r>
      <w:bookmarkEnd w:id="46"/>
      <w:r w:rsidR="00E95870" w:rsidRPr="000C1BCF">
        <w:rPr>
          <w:bCs/>
          <w:szCs w:val="28"/>
          <w:lang w:eastAsia="es-CO" w:bidi="bo-CN"/>
        </w:rPr>
        <w:t>” o cuando ocurre “</w:t>
      </w:r>
      <w:r w:rsidR="00E95870" w:rsidRPr="000C1BCF">
        <w:rPr>
          <w:bCs/>
          <w:i/>
          <w:iCs/>
          <w:szCs w:val="28"/>
          <w:lang w:eastAsia="es-CO" w:bidi="bo-CN"/>
        </w:rPr>
        <w:t>a) la derogación o modificación de la norma legal en que se fundó el acto administrativo; b) la declaratoria de inexequibilidad de la norma constitucional o legal hecha por el juez que ejerce el control de constitucionalidad,(…); o c) la declaratoria de nulidad del acto administrativo de carácter general en que se fundamenta la decisión de contenido individual o particular</w:t>
      </w:r>
      <w:r w:rsidR="00E95870" w:rsidRPr="000C1BCF">
        <w:rPr>
          <w:bCs/>
          <w:szCs w:val="28"/>
          <w:lang w:eastAsia="es-CO" w:bidi="bo-CN"/>
        </w:rPr>
        <w:t>”</w:t>
      </w:r>
      <w:r w:rsidR="00E95870" w:rsidRPr="000C1BCF">
        <w:rPr>
          <w:vertAlign w:val="superscript"/>
          <w:lang w:eastAsia="es-CO" w:bidi="bo-CN"/>
        </w:rPr>
        <w:footnoteReference w:id="426"/>
      </w:r>
      <w:r w:rsidR="00E95870" w:rsidRPr="000C1BCF">
        <w:rPr>
          <w:bCs/>
          <w:szCs w:val="28"/>
          <w:lang w:eastAsia="es-CO" w:bidi="bo-CN"/>
        </w:rPr>
        <w:t xml:space="preserve">. </w:t>
      </w:r>
    </w:p>
    <w:p w14:paraId="0F5E2C01" w14:textId="77777777" w:rsidR="008B457B" w:rsidRPr="000C1BCF" w:rsidRDefault="008B457B" w:rsidP="00947CF0">
      <w:pPr>
        <w:pStyle w:val="Prrafodelista"/>
        <w:ind w:left="0"/>
        <w:jc w:val="both"/>
        <w:rPr>
          <w:bCs/>
          <w:szCs w:val="28"/>
          <w:lang w:eastAsia="es-CO" w:bidi="bo-CN"/>
        </w:rPr>
      </w:pPr>
    </w:p>
    <w:p w14:paraId="2ACAEB7F" w14:textId="77777777" w:rsidR="00E9243B" w:rsidRPr="000C1BCF" w:rsidRDefault="008B457B" w:rsidP="00BC721F">
      <w:pPr>
        <w:pStyle w:val="Prrafodelista"/>
        <w:numPr>
          <w:ilvl w:val="0"/>
          <w:numId w:val="10"/>
        </w:numPr>
        <w:tabs>
          <w:tab w:val="left" w:pos="284"/>
        </w:tabs>
        <w:ind w:right="40"/>
        <w:jc w:val="both"/>
        <w:rPr>
          <w:bCs/>
          <w:szCs w:val="28"/>
          <w:lang w:eastAsia="es-CO" w:bidi="bo-CN"/>
        </w:rPr>
      </w:pPr>
      <w:r w:rsidRPr="000C1BCF">
        <w:rPr>
          <w:bCs/>
          <w:szCs w:val="28"/>
          <w:lang w:eastAsia="es-CO" w:bidi="bo-CN"/>
        </w:rPr>
        <w:t xml:space="preserve">En el </w:t>
      </w:r>
      <w:r w:rsidR="00677337" w:rsidRPr="000C1BCF">
        <w:rPr>
          <w:bCs/>
          <w:szCs w:val="28"/>
          <w:lang w:eastAsia="es-CO" w:bidi="bo-CN"/>
        </w:rPr>
        <w:t xml:space="preserve">caso </w:t>
      </w:r>
      <w:r w:rsidRPr="000C1BCF">
        <w:rPr>
          <w:bCs/>
          <w:szCs w:val="28"/>
          <w:lang w:eastAsia="es-CO" w:bidi="bo-CN"/>
        </w:rPr>
        <w:t xml:space="preserve">del Acuerdo PSAA16-10548 del 27 de julio de 2016, si bien </w:t>
      </w:r>
      <w:r w:rsidR="00D07D36" w:rsidRPr="000C1BCF">
        <w:rPr>
          <w:bCs/>
          <w:szCs w:val="28"/>
          <w:lang w:eastAsia="es-CO" w:bidi="bo-CN"/>
        </w:rPr>
        <w:t xml:space="preserve">podría pensarse que </w:t>
      </w:r>
      <w:r w:rsidRPr="000C1BCF">
        <w:rPr>
          <w:bCs/>
          <w:szCs w:val="28"/>
          <w:lang w:eastAsia="es-CO" w:bidi="bo-CN"/>
        </w:rPr>
        <w:t>sus fundamentos de derecho no han sido en principio</w:t>
      </w:r>
      <w:r w:rsidR="00E9243B" w:rsidRPr="000C1BCF">
        <w:rPr>
          <w:bCs/>
          <w:szCs w:val="28"/>
          <w:lang w:eastAsia="es-CO" w:bidi="bo-CN"/>
        </w:rPr>
        <w:t>,</w:t>
      </w:r>
      <w:r w:rsidRPr="000C1BCF">
        <w:rPr>
          <w:bCs/>
          <w:szCs w:val="28"/>
          <w:lang w:eastAsia="es-CO" w:bidi="bo-CN"/>
        </w:rPr>
        <w:t xml:space="preserve"> alterados</w:t>
      </w:r>
      <w:r w:rsidRPr="000C1BCF">
        <w:rPr>
          <w:rStyle w:val="Refdenotaalpie"/>
          <w:bCs/>
          <w:szCs w:val="28"/>
          <w:lang w:eastAsia="es-CO" w:bidi="bo-CN"/>
        </w:rPr>
        <w:footnoteReference w:id="427"/>
      </w:r>
      <w:r w:rsidR="000D393E" w:rsidRPr="000C1BCF">
        <w:rPr>
          <w:bCs/>
          <w:szCs w:val="28"/>
          <w:lang w:eastAsia="es-CO" w:bidi="bo-CN"/>
        </w:rPr>
        <w:t xml:space="preserve">, </w:t>
      </w:r>
      <w:r w:rsidR="00E9243B" w:rsidRPr="000C1BCF">
        <w:rPr>
          <w:bCs/>
          <w:szCs w:val="28"/>
          <w:lang w:eastAsia="es-CO" w:bidi="bo-CN"/>
        </w:rPr>
        <w:t xml:space="preserve">por cuanto la decisión de la Corte avaló la posición del CSJ en el debate sobre sus competencias constitucionales, lo cierto es que esa conclusión es imprecisa, </w:t>
      </w:r>
      <w:r w:rsidR="0038793C">
        <w:rPr>
          <w:bCs/>
          <w:szCs w:val="28"/>
          <w:lang w:eastAsia="es-CO" w:bidi="bo-CN"/>
        </w:rPr>
        <w:t>pues</w:t>
      </w:r>
      <w:r w:rsidR="00E9243B" w:rsidRPr="000C1BCF">
        <w:rPr>
          <w:bCs/>
          <w:szCs w:val="28"/>
          <w:lang w:eastAsia="es-CO" w:bidi="bo-CN"/>
        </w:rPr>
        <w:t xml:space="preserve"> </w:t>
      </w:r>
      <w:r w:rsidR="00201866">
        <w:rPr>
          <w:bCs/>
          <w:szCs w:val="28"/>
          <w:lang w:eastAsia="es-CO" w:bidi="bo-CN"/>
        </w:rPr>
        <w:t>el</w:t>
      </w:r>
      <w:r w:rsidR="00E9243B" w:rsidRPr="000C1BCF">
        <w:rPr>
          <w:bCs/>
          <w:szCs w:val="28"/>
          <w:lang w:eastAsia="es-CO" w:bidi="bo-CN"/>
        </w:rPr>
        <w:t xml:space="preserve"> objetivo de esta sentencia </w:t>
      </w:r>
      <w:r w:rsidR="0038793C">
        <w:rPr>
          <w:bCs/>
          <w:szCs w:val="28"/>
          <w:lang w:eastAsia="es-CO" w:bidi="bo-CN"/>
        </w:rPr>
        <w:t>es</w:t>
      </w:r>
      <w:r w:rsidR="00201866">
        <w:rPr>
          <w:bCs/>
          <w:szCs w:val="28"/>
          <w:lang w:eastAsia="es-CO" w:bidi="bo-CN"/>
        </w:rPr>
        <w:t>, principalmente, el de rescatar las</w:t>
      </w:r>
      <w:r w:rsidR="00E9243B" w:rsidRPr="000C1BCF">
        <w:rPr>
          <w:bCs/>
          <w:szCs w:val="28"/>
          <w:lang w:eastAsia="es-CO" w:bidi="bo-CN"/>
        </w:rPr>
        <w:t xml:space="preserve"> atribuciones constitucionales que en realidad tiene el CSJ en virtud de la Carta. Eso supone desde una perspectiva interpretativa que</w:t>
      </w:r>
      <w:r w:rsidR="0038793C">
        <w:rPr>
          <w:bCs/>
          <w:szCs w:val="28"/>
          <w:lang w:eastAsia="es-CO" w:bidi="bo-CN"/>
        </w:rPr>
        <w:t>,</w:t>
      </w:r>
      <w:r w:rsidR="00E9243B" w:rsidRPr="000C1BCF">
        <w:rPr>
          <w:bCs/>
          <w:szCs w:val="28"/>
          <w:lang w:eastAsia="es-CO" w:bidi="bo-CN"/>
        </w:rPr>
        <w:t xml:space="preserve"> en sentido estricto</w:t>
      </w:r>
      <w:r w:rsidR="006079DE" w:rsidRPr="000C1BCF">
        <w:rPr>
          <w:bCs/>
          <w:szCs w:val="28"/>
          <w:lang w:eastAsia="es-CO" w:bidi="bo-CN"/>
        </w:rPr>
        <w:t>,</w:t>
      </w:r>
      <w:r w:rsidR="00E9243B" w:rsidRPr="000C1BCF">
        <w:rPr>
          <w:bCs/>
          <w:szCs w:val="28"/>
          <w:lang w:eastAsia="es-CO" w:bidi="bo-CN"/>
        </w:rPr>
        <w:t xml:space="preserve"> los fundamentos constitucionales del acto atacado no </w:t>
      </w:r>
      <w:r w:rsidR="00201866">
        <w:rPr>
          <w:bCs/>
          <w:szCs w:val="28"/>
          <w:lang w:eastAsia="es-CO" w:bidi="bo-CN"/>
        </w:rPr>
        <w:t xml:space="preserve">necesariamente </w:t>
      </w:r>
      <w:r w:rsidR="00E9243B" w:rsidRPr="000C1BCF">
        <w:rPr>
          <w:bCs/>
          <w:szCs w:val="28"/>
          <w:lang w:eastAsia="es-CO" w:bidi="bo-CN"/>
        </w:rPr>
        <w:t xml:space="preserve">son los mismos </w:t>
      </w:r>
      <w:r w:rsidR="006079DE" w:rsidRPr="000C1BCF">
        <w:rPr>
          <w:bCs/>
          <w:szCs w:val="28"/>
          <w:lang w:eastAsia="es-CO" w:bidi="bo-CN"/>
        </w:rPr>
        <w:t>que los que operan en</w:t>
      </w:r>
      <w:r w:rsidR="00E9243B" w:rsidRPr="000C1BCF">
        <w:rPr>
          <w:bCs/>
          <w:szCs w:val="28"/>
          <w:lang w:eastAsia="es-CO" w:bidi="bo-CN"/>
        </w:rPr>
        <w:t xml:space="preserve"> la actualidad </w:t>
      </w:r>
      <w:r w:rsidR="006079DE" w:rsidRPr="000C1BCF">
        <w:rPr>
          <w:bCs/>
          <w:szCs w:val="28"/>
          <w:lang w:eastAsia="es-CO" w:bidi="bo-CN"/>
        </w:rPr>
        <w:t xml:space="preserve">en cuanto al alcance del artículo 257A superior, por lo </w:t>
      </w:r>
      <w:r w:rsidR="00E9243B" w:rsidRPr="000C1BCF">
        <w:rPr>
          <w:bCs/>
          <w:szCs w:val="28"/>
          <w:lang w:eastAsia="es-CO" w:bidi="bo-CN"/>
        </w:rPr>
        <w:t xml:space="preserve">que </w:t>
      </w:r>
      <w:r w:rsidR="00201866">
        <w:rPr>
          <w:bCs/>
          <w:szCs w:val="28"/>
          <w:lang w:eastAsia="es-CO" w:bidi="bo-CN"/>
        </w:rPr>
        <w:t>podrían modificarse para acoger</w:t>
      </w:r>
      <w:r w:rsidR="00E9243B" w:rsidRPr="000C1BCF">
        <w:rPr>
          <w:bCs/>
          <w:szCs w:val="28"/>
          <w:lang w:eastAsia="es-CO" w:bidi="bo-CN"/>
        </w:rPr>
        <w:t xml:space="preserve"> todas las aristas de este debate, hacia el futuro, para avanzar en claridades </w:t>
      </w:r>
      <w:r w:rsidR="006079DE" w:rsidRPr="000C1BCF">
        <w:rPr>
          <w:bCs/>
          <w:szCs w:val="28"/>
          <w:lang w:eastAsia="es-CO" w:bidi="bo-CN"/>
        </w:rPr>
        <w:t xml:space="preserve">institucionales que requiere </w:t>
      </w:r>
      <w:r w:rsidR="00E9243B" w:rsidRPr="000C1BCF">
        <w:rPr>
          <w:bCs/>
          <w:szCs w:val="28"/>
          <w:lang w:eastAsia="es-CO" w:bidi="bo-CN"/>
        </w:rPr>
        <w:t>la Rama Judicial</w:t>
      </w:r>
      <w:r w:rsidR="0038793C">
        <w:rPr>
          <w:bCs/>
          <w:szCs w:val="28"/>
          <w:lang w:eastAsia="es-CO" w:bidi="bo-CN"/>
        </w:rPr>
        <w:t>.</w:t>
      </w:r>
    </w:p>
    <w:p w14:paraId="45B92567" w14:textId="77777777" w:rsidR="00B55DFC" w:rsidRPr="000C1BCF" w:rsidRDefault="00B55DFC" w:rsidP="00B55DFC">
      <w:pPr>
        <w:pStyle w:val="Prrafodelista"/>
        <w:tabs>
          <w:tab w:val="left" w:pos="284"/>
        </w:tabs>
        <w:ind w:left="0" w:right="40"/>
        <w:jc w:val="both"/>
        <w:rPr>
          <w:bCs/>
          <w:szCs w:val="28"/>
          <w:lang w:eastAsia="es-CO" w:bidi="bo-CN"/>
        </w:rPr>
      </w:pPr>
    </w:p>
    <w:p w14:paraId="6ADCB815" w14:textId="77777777" w:rsidR="006079DE" w:rsidRPr="000C1BCF" w:rsidRDefault="00E9243B" w:rsidP="00B55DFC">
      <w:pPr>
        <w:pStyle w:val="Prrafodelista"/>
        <w:tabs>
          <w:tab w:val="left" w:pos="284"/>
        </w:tabs>
        <w:ind w:left="0" w:right="40"/>
        <w:jc w:val="both"/>
        <w:rPr>
          <w:bCs/>
          <w:szCs w:val="28"/>
          <w:lang w:eastAsia="es-CO" w:bidi="bo-CN"/>
        </w:rPr>
      </w:pPr>
      <w:r w:rsidRPr="000C1BCF">
        <w:rPr>
          <w:bCs/>
          <w:szCs w:val="28"/>
          <w:lang w:eastAsia="es-CO" w:bidi="bo-CN"/>
        </w:rPr>
        <w:t>O</w:t>
      </w:r>
      <w:r w:rsidR="008B457B" w:rsidRPr="000C1BCF">
        <w:rPr>
          <w:bCs/>
          <w:szCs w:val="28"/>
          <w:lang w:eastAsia="es-CO" w:bidi="bo-CN"/>
        </w:rPr>
        <w:t>curre lo mismo</w:t>
      </w:r>
      <w:r w:rsidRPr="000C1BCF">
        <w:rPr>
          <w:bCs/>
          <w:szCs w:val="28"/>
          <w:lang w:eastAsia="es-CO" w:bidi="bo-CN"/>
        </w:rPr>
        <w:t>, para</w:t>
      </w:r>
      <w:r w:rsidR="006079DE" w:rsidRPr="000C1BCF">
        <w:rPr>
          <w:bCs/>
          <w:szCs w:val="28"/>
          <w:lang w:eastAsia="es-CO" w:bidi="bo-CN"/>
        </w:rPr>
        <w:t>lelamente</w:t>
      </w:r>
      <w:r w:rsidRPr="000C1BCF">
        <w:rPr>
          <w:bCs/>
          <w:szCs w:val="28"/>
          <w:lang w:eastAsia="es-CO" w:bidi="bo-CN"/>
        </w:rPr>
        <w:t>,</w:t>
      </w:r>
      <w:r w:rsidR="008B457B" w:rsidRPr="000C1BCF">
        <w:rPr>
          <w:bCs/>
          <w:szCs w:val="28"/>
          <w:lang w:eastAsia="es-CO" w:bidi="bo-CN"/>
        </w:rPr>
        <w:t xml:space="preserve"> con los fundamentos de hecho del acto</w:t>
      </w:r>
      <w:r w:rsidRPr="000C1BCF">
        <w:rPr>
          <w:bCs/>
          <w:szCs w:val="28"/>
          <w:lang w:eastAsia="es-CO" w:bidi="bo-CN"/>
        </w:rPr>
        <w:t xml:space="preserve"> en mención</w:t>
      </w:r>
      <w:r w:rsidR="008B457B" w:rsidRPr="000C1BCF">
        <w:rPr>
          <w:bCs/>
          <w:szCs w:val="28"/>
          <w:lang w:eastAsia="es-CO" w:bidi="bo-CN"/>
        </w:rPr>
        <w:t>, pues las circunstancias que justifica</w:t>
      </w:r>
      <w:r w:rsidR="00677337" w:rsidRPr="000C1BCF">
        <w:rPr>
          <w:bCs/>
          <w:szCs w:val="28"/>
          <w:lang w:eastAsia="es-CO" w:bidi="bo-CN"/>
        </w:rPr>
        <w:t xml:space="preserve">ron inicialmente su </w:t>
      </w:r>
      <w:r w:rsidR="003851B5" w:rsidRPr="000C1BCF">
        <w:rPr>
          <w:bCs/>
          <w:szCs w:val="28"/>
          <w:lang w:eastAsia="es-CO" w:bidi="bo-CN"/>
        </w:rPr>
        <w:t xml:space="preserve">expedición, por el paso de los años se han </w:t>
      </w:r>
      <w:r w:rsidR="006A44B9" w:rsidRPr="000C1BCF">
        <w:rPr>
          <w:bCs/>
          <w:szCs w:val="28"/>
          <w:lang w:eastAsia="es-CO" w:bidi="bo-CN"/>
        </w:rPr>
        <w:t xml:space="preserve">venido </w:t>
      </w:r>
      <w:r w:rsidR="003851B5" w:rsidRPr="000C1BCF">
        <w:rPr>
          <w:bCs/>
          <w:szCs w:val="28"/>
          <w:lang w:eastAsia="es-CO" w:bidi="bo-CN"/>
        </w:rPr>
        <w:t>modifica</w:t>
      </w:r>
      <w:r w:rsidR="006A44B9" w:rsidRPr="000C1BCF">
        <w:rPr>
          <w:bCs/>
          <w:szCs w:val="28"/>
          <w:lang w:eastAsia="es-CO" w:bidi="bo-CN"/>
        </w:rPr>
        <w:t>n</w:t>
      </w:r>
      <w:r w:rsidR="003851B5" w:rsidRPr="000C1BCF">
        <w:rPr>
          <w:bCs/>
          <w:szCs w:val="28"/>
          <w:lang w:eastAsia="es-CO" w:bidi="bo-CN"/>
        </w:rPr>
        <w:t xml:space="preserve">do. </w:t>
      </w:r>
      <w:r w:rsidR="006A44B9" w:rsidRPr="000C1BCF">
        <w:rPr>
          <w:bCs/>
          <w:szCs w:val="28"/>
          <w:lang w:eastAsia="es-CO" w:bidi="bo-CN"/>
        </w:rPr>
        <w:t>En efecto, al momento en que se emitió el</w:t>
      </w:r>
      <w:r w:rsidRPr="000C1BCF">
        <w:rPr>
          <w:bCs/>
          <w:szCs w:val="28"/>
          <w:lang w:eastAsia="es-CO" w:bidi="bo-CN"/>
        </w:rPr>
        <w:t xml:space="preserve"> </w:t>
      </w:r>
      <w:r w:rsidR="00201866">
        <w:rPr>
          <w:bCs/>
          <w:szCs w:val="28"/>
          <w:lang w:eastAsia="es-CO" w:bidi="bo-CN"/>
        </w:rPr>
        <w:t>a</w:t>
      </w:r>
      <w:r w:rsidRPr="000C1BCF">
        <w:rPr>
          <w:bCs/>
          <w:szCs w:val="28"/>
          <w:lang w:eastAsia="es-CO" w:bidi="bo-CN"/>
        </w:rPr>
        <w:t>cuerdo señalado</w:t>
      </w:r>
      <w:r w:rsidR="006A44B9" w:rsidRPr="000C1BCF">
        <w:rPr>
          <w:bCs/>
          <w:szCs w:val="28"/>
          <w:lang w:eastAsia="es-CO" w:bidi="bo-CN"/>
        </w:rPr>
        <w:t xml:space="preserve">, no se había producido el </w:t>
      </w:r>
      <w:r w:rsidR="006A44B9" w:rsidRPr="000C1BCF">
        <w:rPr>
          <w:b/>
          <w:i/>
          <w:iCs/>
          <w:szCs w:val="28"/>
          <w:lang w:eastAsia="es-CO" w:bidi="bo-CN"/>
        </w:rPr>
        <w:t xml:space="preserve">bloqueo institucional </w:t>
      </w:r>
      <w:r w:rsidR="00A45F6D">
        <w:rPr>
          <w:b/>
          <w:i/>
          <w:iCs/>
          <w:szCs w:val="28"/>
          <w:lang w:eastAsia="es-CO" w:bidi="bo-CN"/>
        </w:rPr>
        <w:t>in</w:t>
      </w:r>
      <w:r w:rsidRPr="000C1BCF">
        <w:rPr>
          <w:b/>
          <w:i/>
          <w:iCs/>
          <w:szCs w:val="28"/>
          <w:lang w:eastAsia="es-CO" w:bidi="bo-CN"/>
        </w:rPr>
        <w:t xml:space="preserve">constitucional </w:t>
      </w:r>
      <w:r w:rsidR="006A44B9" w:rsidRPr="000C1BCF">
        <w:rPr>
          <w:bCs/>
          <w:szCs w:val="28"/>
          <w:lang w:eastAsia="es-CO" w:bidi="bo-CN"/>
        </w:rPr>
        <w:t>que hoy existe con ocasión de la interpretación</w:t>
      </w:r>
      <w:r w:rsidR="006079DE" w:rsidRPr="000C1BCF">
        <w:rPr>
          <w:bCs/>
          <w:szCs w:val="28"/>
          <w:lang w:eastAsia="es-CO" w:bidi="bo-CN"/>
        </w:rPr>
        <w:t xml:space="preserve"> que realizó </w:t>
      </w:r>
      <w:r w:rsidR="006A44B9" w:rsidRPr="000C1BCF">
        <w:rPr>
          <w:bCs/>
          <w:szCs w:val="28"/>
          <w:lang w:eastAsia="es-CO" w:bidi="bo-CN"/>
        </w:rPr>
        <w:t>la Sala Plena del Consejo de Estado en los términos ya mencionados</w:t>
      </w:r>
      <w:r w:rsidR="00394D40" w:rsidRPr="000C1BCF">
        <w:rPr>
          <w:bCs/>
          <w:szCs w:val="28"/>
          <w:lang w:eastAsia="es-CO" w:bidi="bo-CN"/>
        </w:rPr>
        <w:t xml:space="preserve">, ni la alteración institucional de las funciones constitucionales disciplinarias. </w:t>
      </w:r>
    </w:p>
    <w:p w14:paraId="308EEB66" w14:textId="77777777" w:rsidR="00B55DFC" w:rsidRPr="000C1BCF" w:rsidRDefault="00B55DFC" w:rsidP="00B55DFC">
      <w:pPr>
        <w:pStyle w:val="Prrafodelista"/>
        <w:rPr>
          <w:bCs/>
          <w:szCs w:val="28"/>
          <w:lang w:eastAsia="es-CO" w:bidi="bo-CN"/>
        </w:rPr>
      </w:pPr>
    </w:p>
    <w:p w14:paraId="75E985F0" w14:textId="77777777" w:rsidR="00B55DFC" w:rsidRPr="000C1BCF" w:rsidRDefault="00394D40" w:rsidP="006079DE">
      <w:pPr>
        <w:pStyle w:val="Prrafodelista"/>
        <w:numPr>
          <w:ilvl w:val="0"/>
          <w:numId w:val="10"/>
        </w:numPr>
        <w:tabs>
          <w:tab w:val="left" w:pos="284"/>
        </w:tabs>
        <w:ind w:right="40"/>
        <w:jc w:val="both"/>
        <w:rPr>
          <w:bCs/>
          <w:szCs w:val="28"/>
          <w:lang w:eastAsia="es-CO" w:bidi="bo-CN"/>
        </w:rPr>
      </w:pPr>
      <w:r w:rsidRPr="000C1BCF">
        <w:rPr>
          <w:bCs/>
          <w:szCs w:val="28"/>
          <w:lang w:eastAsia="es-CO" w:bidi="bo-CN"/>
        </w:rPr>
        <w:t xml:space="preserve">Por lo tanto, </w:t>
      </w:r>
      <w:r w:rsidR="006079DE" w:rsidRPr="000C1BCF">
        <w:rPr>
          <w:bCs/>
          <w:szCs w:val="28"/>
          <w:lang w:eastAsia="es-CO" w:bidi="bo-CN"/>
        </w:rPr>
        <w:t xml:space="preserve">dada la claridad que ahora existe frente a las distintas aristas relacionadas con la interpretación del artículo 257A superior y </w:t>
      </w:r>
      <w:r w:rsidRPr="000C1BCF">
        <w:rPr>
          <w:bCs/>
          <w:szCs w:val="28"/>
          <w:lang w:eastAsia="es-CO" w:bidi="bo-CN"/>
        </w:rPr>
        <w:t xml:space="preserve">de </w:t>
      </w:r>
      <w:r w:rsidR="006079DE" w:rsidRPr="000C1BCF">
        <w:rPr>
          <w:bCs/>
          <w:szCs w:val="28"/>
          <w:lang w:eastAsia="es-CO" w:bidi="bo-CN"/>
        </w:rPr>
        <w:t xml:space="preserve">la </w:t>
      </w:r>
      <w:r w:rsidR="006079DE" w:rsidRPr="000C1BCF">
        <w:rPr>
          <w:bCs/>
          <w:i/>
          <w:iCs/>
          <w:szCs w:val="28"/>
          <w:lang w:eastAsia="es-CO" w:bidi="bo-CN"/>
        </w:rPr>
        <w:t>convocatoria pública reglada</w:t>
      </w:r>
      <w:r w:rsidR="006079DE" w:rsidRPr="000C1BCF">
        <w:rPr>
          <w:bCs/>
          <w:szCs w:val="28"/>
          <w:lang w:eastAsia="es-CO" w:bidi="bo-CN"/>
        </w:rPr>
        <w:t xml:space="preserve"> </w:t>
      </w:r>
      <w:r w:rsidR="00201866">
        <w:rPr>
          <w:bCs/>
          <w:szCs w:val="28"/>
          <w:lang w:eastAsia="es-CO" w:bidi="bo-CN"/>
        </w:rPr>
        <w:t xml:space="preserve">con los principios constitucionales que buscan asegurar la transparencia, </w:t>
      </w:r>
      <w:r w:rsidR="008C6583">
        <w:rPr>
          <w:bCs/>
          <w:szCs w:val="28"/>
          <w:lang w:eastAsia="es-CO" w:bidi="bo-CN"/>
        </w:rPr>
        <w:t xml:space="preserve">moralidad, </w:t>
      </w:r>
      <w:r w:rsidR="00201866">
        <w:rPr>
          <w:bCs/>
          <w:szCs w:val="28"/>
          <w:lang w:eastAsia="es-CO" w:bidi="bo-CN"/>
        </w:rPr>
        <w:t>objetividad, equidad de género, igualdad de oportunidades y celeridad, entre otras</w:t>
      </w:r>
      <w:r w:rsidR="00B55DFC" w:rsidRPr="000C1BCF">
        <w:rPr>
          <w:bCs/>
          <w:szCs w:val="28"/>
          <w:lang w:eastAsia="es-CO" w:bidi="bo-CN"/>
        </w:rPr>
        <w:t xml:space="preserve">, así como el </w:t>
      </w:r>
      <w:r w:rsidR="006079DE" w:rsidRPr="000C1BCF">
        <w:rPr>
          <w:bCs/>
          <w:szCs w:val="28"/>
          <w:lang w:eastAsia="es-CO" w:bidi="bo-CN"/>
        </w:rPr>
        <w:t xml:space="preserve">interés de superación </w:t>
      </w:r>
      <w:r w:rsidR="006079DE" w:rsidRPr="000C1BCF">
        <w:rPr>
          <w:bCs/>
          <w:i/>
          <w:iCs/>
          <w:szCs w:val="28"/>
          <w:lang w:eastAsia="es-CO" w:bidi="bo-CN"/>
        </w:rPr>
        <w:t xml:space="preserve">del bloque institucional </w:t>
      </w:r>
      <w:r w:rsidR="00A45F6D">
        <w:rPr>
          <w:bCs/>
          <w:i/>
          <w:iCs/>
          <w:szCs w:val="28"/>
          <w:lang w:eastAsia="es-CO" w:bidi="bo-CN"/>
        </w:rPr>
        <w:t>in</w:t>
      </w:r>
      <w:r w:rsidR="006079DE" w:rsidRPr="000C1BCF">
        <w:rPr>
          <w:bCs/>
          <w:i/>
          <w:iCs/>
          <w:szCs w:val="28"/>
          <w:lang w:eastAsia="es-CO" w:bidi="bo-CN"/>
        </w:rPr>
        <w:t>constitucional</w:t>
      </w:r>
      <w:r w:rsidR="006079DE" w:rsidRPr="000C1BCF">
        <w:rPr>
          <w:bCs/>
          <w:szCs w:val="28"/>
          <w:lang w:eastAsia="es-CO" w:bidi="bo-CN"/>
        </w:rPr>
        <w:t xml:space="preserve"> que se ha derivado de los hechos objeto de análisis,</w:t>
      </w:r>
      <w:r w:rsidR="00B55DFC" w:rsidRPr="000C1BCF">
        <w:rPr>
          <w:bCs/>
          <w:szCs w:val="28"/>
          <w:lang w:eastAsia="es-CO" w:bidi="bo-CN"/>
        </w:rPr>
        <w:t xml:space="preserve"> es factible concluir </w:t>
      </w:r>
      <w:r w:rsidR="00B55DFC" w:rsidRPr="000C1BCF">
        <w:rPr>
          <w:bCs/>
          <w:i/>
          <w:iCs/>
          <w:szCs w:val="28"/>
          <w:lang w:eastAsia="es-CO" w:bidi="bo-CN"/>
        </w:rPr>
        <w:t>las circunstancias de modo, que le sirvieron de base</w:t>
      </w:r>
      <w:r w:rsidR="00B55DFC" w:rsidRPr="000C1BCF">
        <w:rPr>
          <w:bCs/>
          <w:szCs w:val="28"/>
          <w:lang w:eastAsia="es-CO" w:bidi="bo-CN"/>
        </w:rPr>
        <w:t xml:space="preserve"> para la expedición del Acuerdo PSAA16-10548 del 27 de julio de 2016 en realidad se han modificado. </w:t>
      </w:r>
    </w:p>
    <w:p w14:paraId="1AC438E2" w14:textId="77777777" w:rsidR="00B55DFC" w:rsidRPr="000C1BCF" w:rsidRDefault="00B55DFC" w:rsidP="00B55DFC">
      <w:pPr>
        <w:pStyle w:val="Prrafodelista"/>
        <w:tabs>
          <w:tab w:val="left" w:pos="284"/>
        </w:tabs>
        <w:ind w:left="0" w:right="40"/>
        <w:jc w:val="both"/>
        <w:rPr>
          <w:bCs/>
          <w:szCs w:val="28"/>
          <w:lang w:eastAsia="es-CO" w:bidi="bo-CN"/>
        </w:rPr>
      </w:pPr>
    </w:p>
    <w:p w14:paraId="74C6F0C4" w14:textId="77777777" w:rsidR="00E95870" w:rsidRPr="000C1BCF" w:rsidRDefault="00B55DFC" w:rsidP="006079DE">
      <w:pPr>
        <w:pStyle w:val="Prrafodelista"/>
        <w:numPr>
          <w:ilvl w:val="0"/>
          <w:numId w:val="10"/>
        </w:numPr>
        <w:tabs>
          <w:tab w:val="left" w:pos="284"/>
        </w:tabs>
        <w:ind w:right="40"/>
        <w:jc w:val="both"/>
        <w:rPr>
          <w:bCs/>
          <w:szCs w:val="28"/>
          <w:lang w:eastAsia="es-CO" w:bidi="bo-CN"/>
        </w:rPr>
      </w:pPr>
      <w:r w:rsidRPr="000C1BCF">
        <w:rPr>
          <w:bCs/>
          <w:szCs w:val="28"/>
          <w:lang w:eastAsia="es-CO" w:bidi="bo-CN"/>
        </w:rPr>
        <w:t>Un hecho que permite concluir que el Acuerdo PSAA16-10548 del 27 de julio de 2016</w:t>
      </w:r>
      <w:r w:rsidR="00924349" w:rsidRPr="000C1BCF">
        <w:rPr>
          <w:bCs/>
          <w:szCs w:val="28"/>
          <w:lang w:eastAsia="es-CO" w:bidi="bo-CN"/>
        </w:rPr>
        <w:t xml:space="preserve"> </w:t>
      </w:r>
      <w:r w:rsidR="00E95870" w:rsidRPr="000C1BCF">
        <w:rPr>
          <w:bCs/>
          <w:szCs w:val="28"/>
          <w:lang w:eastAsia="es-CO" w:bidi="bo-CN"/>
        </w:rPr>
        <w:t>perdió su fuerza ejecutoria</w:t>
      </w:r>
      <w:r w:rsidR="00196B26">
        <w:rPr>
          <w:bCs/>
          <w:szCs w:val="28"/>
          <w:lang w:eastAsia="es-CO" w:bidi="bo-CN"/>
        </w:rPr>
        <w:t xml:space="preserve"> y que resulta más consecuente</w:t>
      </w:r>
      <w:r w:rsidR="00474720">
        <w:rPr>
          <w:bCs/>
          <w:szCs w:val="28"/>
          <w:lang w:eastAsia="es-CO" w:bidi="bo-CN"/>
        </w:rPr>
        <w:t xml:space="preserve"> no disponer la reviviscencia del mismo,</w:t>
      </w:r>
      <w:r w:rsidR="00196B26">
        <w:rPr>
          <w:bCs/>
          <w:szCs w:val="28"/>
          <w:lang w:eastAsia="es-CO" w:bidi="bo-CN"/>
        </w:rPr>
        <w:t xml:space="preserve"> es la alteración en </w:t>
      </w:r>
      <w:r w:rsidR="00E95870" w:rsidRPr="000C1BCF">
        <w:rPr>
          <w:bCs/>
          <w:szCs w:val="28"/>
          <w:lang w:eastAsia="es-CO" w:bidi="bo-CN"/>
        </w:rPr>
        <w:t>la</w:t>
      </w:r>
      <w:r w:rsidR="00924349" w:rsidRPr="000C1BCF">
        <w:rPr>
          <w:bCs/>
          <w:szCs w:val="28"/>
          <w:lang w:eastAsia="es-CO" w:bidi="bo-CN"/>
        </w:rPr>
        <w:t xml:space="preserve"> realidad de las</w:t>
      </w:r>
      <w:r w:rsidR="00E95870" w:rsidRPr="000C1BCF">
        <w:rPr>
          <w:bCs/>
          <w:szCs w:val="28"/>
          <w:lang w:eastAsia="es-CO" w:bidi="bo-CN"/>
        </w:rPr>
        <w:t xml:space="preserve"> circunstancias </w:t>
      </w:r>
      <w:r w:rsidR="00924349" w:rsidRPr="000C1BCF">
        <w:rPr>
          <w:bCs/>
          <w:szCs w:val="28"/>
          <w:lang w:eastAsia="es-CO" w:bidi="bo-CN"/>
        </w:rPr>
        <w:t>que se han gestado desde su expedición</w:t>
      </w:r>
      <w:r w:rsidR="00474720">
        <w:rPr>
          <w:bCs/>
          <w:szCs w:val="28"/>
          <w:lang w:eastAsia="es-CO" w:bidi="bo-CN"/>
        </w:rPr>
        <w:t>. Es claro que las autoridades convocantes han cambiado, que la interinidad en la Sala Disciplinaria del Consejo Superior de la Judicatura ha agravado la situación de la jurisdicción disciplinaria</w:t>
      </w:r>
      <w:r w:rsidR="00924349" w:rsidRPr="000C1BCF">
        <w:rPr>
          <w:bCs/>
          <w:szCs w:val="28"/>
          <w:lang w:eastAsia="es-CO" w:bidi="bo-CN"/>
        </w:rPr>
        <w:t xml:space="preserve"> y </w:t>
      </w:r>
      <w:r w:rsidR="00474720">
        <w:rPr>
          <w:bCs/>
          <w:szCs w:val="28"/>
          <w:lang w:eastAsia="es-CO" w:bidi="bo-CN"/>
        </w:rPr>
        <w:t xml:space="preserve">dada la urgencia que </w:t>
      </w:r>
      <w:r w:rsidR="00924349" w:rsidRPr="000C1BCF">
        <w:rPr>
          <w:bCs/>
          <w:szCs w:val="28"/>
          <w:lang w:eastAsia="es-CO" w:bidi="bo-CN"/>
        </w:rPr>
        <w:t>se adopten remedios definitivos para fortalecer la institucionalidad general de la Rama</w:t>
      </w:r>
      <w:r w:rsidR="00201866">
        <w:rPr>
          <w:bCs/>
          <w:szCs w:val="28"/>
          <w:lang w:eastAsia="es-CO" w:bidi="bo-CN"/>
        </w:rPr>
        <w:t xml:space="preserve"> Judicial</w:t>
      </w:r>
      <w:r w:rsidR="00924349" w:rsidRPr="000C1BCF">
        <w:rPr>
          <w:bCs/>
          <w:szCs w:val="28"/>
          <w:lang w:eastAsia="es-CO" w:bidi="bo-CN"/>
        </w:rPr>
        <w:t xml:space="preserve"> y </w:t>
      </w:r>
      <w:r w:rsidR="00E95870" w:rsidRPr="000C1BCF">
        <w:rPr>
          <w:bCs/>
          <w:szCs w:val="28"/>
          <w:lang w:eastAsia="es-CO" w:bidi="bo-CN"/>
        </w:rPr>
        <w:t xml:space="preserve">proteger los derechos del CSJ, </w:t>
      </w:r>
      <w:r w:rsidR="00474720">
        <w:rPr>
          <w:bCs/>
          <w:szCs w:val="28"/>
          <w:lang w:eastAsia="es-CO" w:bidi="bo-CN"/>
        </w:rPr>
        <w:t xml:space="preserve">es razonable entender que es necesario expedir </w:t>
      </w:r>
      <w:r w:rsidR="00E95870" w:rsidRPr="000C1BCF">
        <w:rPr>
          <w:bCs/>
          <w:szCs w:val="28"/>
          <w:lang w:eastAsia="es-CO" w:bidi="bo-CN"/>
        </w:rPr>
        <w:t xml:space="preserve">nuevos actos </w:t>
      </w:r>
      <w:r w:rsidR="00474720">
        <w:rPr>
          <w:bCs/>
          <w:szCs w:val="28"/>
          <w:lang w:eastAsia="es-CO" w:bidi="bo-CN"/>
        </w:rPr>
        <w:t xml:space="preserve">jurídicos </w:t>
      </w:r>
      <w:r w:rsidR="00E95870" w:rsidRPr="000C1BCF">
        <w:rPr>
          <w:bCs/>
          <w:szCs w:val="28"/>
          <w:lang w:eastAsia="es-CO" w:bidi="bo-CN"/>
        </w:rPr>
        <w:t xml:space="preserve">que cumplan con el mandato constitucional de </w:t>
      </w:r>
      <w:r w:rsidR="00201866">
        <w:rPr>
          <w:bCs/>
          <w:szCs w:val="28"/>
          <w:lang w:eastAsia="es-CO" w:bidi="bo-CN"/>
        </w:rPr>
        <w:t xml:space="preserve">contribuir a la conformación de </w:t>
      </w:r>
      <w:r w:rsidR="00E95870" w:rsidRPr="000C1BCF">
        <w:rPr>
          <w:bCs/>
          <w:szCs w:val="28"/>
          <w:lang w:eastAsia="es-CO" w:bidi="bo-CN"/>
        </w:rPr>
        <w:t xml:space="preserve">la CNDJ. </w:t>
      </w:r>
    </w:p>
    <w:p w14:paraId="0F0F9807" w14:textId="77777777" w:rsidR="00924349" w:rsidRPr="00924349" w:rsidRDefault="00924349" w:rsidP="00924349">
      <w:pPr>
        <w:pStyle w:val="Prrafodelista"/>
        <w:tabs>
          <w:tab w:val="left" w:pos="284"/>
        </w:tabs>
        <w:ind w:left="0" w:right="40"/>
        <w:jc w:val="both"/>
        <w:rPr>
          <w:bCs/>
          <w:szCs w:val="28"/>
          <w:highlight w:val="lightGray"/>
          <w:lang w:eastAsia="es-CO" w:bidi="bo-CN"/>
        </w:rPr>
      </w:pPr>
    </w:p>
    <w:p w14:paraId="6447EBBB" w14:textId="77777777" w:rsidR="00A34BDF" w:rsidRDefault="00EE11AF" w:rsidP="002979B2">
      <w:pPr>
        <w:pStyle w:val="Prrafodelista"/>
        <w:numPr>
          <w:ilvl w:val="0"/>
          <w:numId w:val="10"/>
        </w:numPr>
        <w:tabs>
          <w:tab w:val="left" w:pos="284"/>
        </w:tabs>
        <w:ind w:right="40"/>
        <w:jc w:val="both"/>
        <w:rPr>
          <w:bCs/>
          <w:szCs w:val="28"/>
          <w:lang w:eastAsia="es-CO" w:bidi="bo-CN"/>
        </w:rPr>
      </w:pPr>
      <w:r w:rsidRPr="00924349">
        <w:rPr>
          <w:bCs/>
          <w:szCs w:val="28"/>
          <w:lang w:eastAsia="es-CO" w:bidi="bo-CN"/>
        </w:rPr>
        <w:t xml:space="preserve">En cuanto a la petición dirigida a que la Corte Constitucional extienda los efectos de este fallo a la sentencia proferida por el Consejo de Estado que anuló el Decreto del Presidente, </w:t>
      </w:r>
      <w:r w:rsidR="000C1C7C" w:rsidRPr="00924349">
        <w:rPr>
          <w:bCs/>
          <w:szCs w:val="28"/>
          <w:lang w:eastAsia="es-CO" w:bidi="bo-CN"/>
        </w:rPr>
        <w:t xml:space="preserve">esta Sala no puede concederla. En efecto, pese a que es </w:t>
      </w:r>
      <w:r w:rsidRPr="00924349">
        <w:rPr>
          <w:bCs/>
          <w:szCs w:val="28"/>
          <w:lang w:eastAsia="es-CO" w:bidi="bo-CN"/>
        </w:rPr>
        <w:t>cierto que en esta providencia se estudió si el CSJ</w:t>
      </w:r>
      <w:r w:rsidR="00201866">
        <w:rPr>
          <w:bCs/>
          <w:szCs w:val="28"/>
          <w:lang w:eastAsia="es-CO" w:bidi="bo-CN"/>
        </w:rPr>
        <w:t>, como una de las autoridades que contribuyen a conformar el nuevo órgano jurisdiccional,</w:t>
      </w:r>
      <w:r w:rsidRPr="00924349">
        <w:rPr>
          <w:bCs/>
          <w:szCs w:val="28"/>
          <w:lang w:eastAsia="es-CO" w:bidi="bo-CN"/>
        </w:rPr>
        <w:t xml:space="preserve"> podía reglamentar o no la convocatoria pública descrita, </w:t>
      </w:r>
      <w:r w:rsidR="000C1C7C" w:rsidRPr="00924349">
        <w:rPr>
          <w:bCs/>
          <w:szCs w:val="28"/>
          <w:lang w:eastAsia="es-CO" w:bidi="bo-CN"/>
        </w:rPr>
        <w:t>n</w:t>
      </w:r>
      <w:r w:rsidRPr="00924349">
        <w:rPr>
          <w:bCs/>
          <w:szCs w:val="28"/>
          <w:lang w:eastAsia="es-CO" w:bidi="bo-CN"/>
        </w:rPr>
        <w:t xml:space="preserve">o </w:t>
      </w:r>
      <w:r w:rsidR="000C1C7C" w:rsidRPr="00924349">
        <w:rPr>
          <w:bCs/>
          <w:szCs w:val="28"/>
          <w:lang w:eastAsia="es-CO" w:bidi="bo-CN"/>
        </w:rPr>
        <w:t>analizó</w:t>
      </w:r>
      <w:r w:rsidRPr="00924349">
        <w:rPr>
          <w:bCs/>
          <w:szCs w:val="28"/>
          <w:lang w:eastAsia="es-CO" w:bidi="bo-CN"/>
        </w:rPr>
        <w:t xml:space="preserve"> la situación concreta del Presidente, por lo que se trata de un evento fáctico y normativo diverso, que no ha sido objeto de debate ni de estudio en esta oportunidad. </w:t>
      </w:r>
    </w:p>
    <w:p w14:paraId="362B3EB3" w14:textId="77777777" w:rsidR="00A34BDF" w:rsidRDefault="00A34BDF" w:rsidP="00A34BDF">
      <w:pPr>
        <w:pStyle w:val="Prrafodelista"/>
        <w:rPr>
          <w:bCs/>
          <w:szCs w:val="28"/>
          <w:lang w:eastAsia="es-CO" w:bidi="bo-CN"/>
        </w:rPr>
      </w:pPr>
    </w:p>
    <w:p w14:paraId="341123BB" w14:textId="77777777" w:rsidR="00A34BDF" w:rsidRDefault="00A34BDF" w:rsidP="00A34BDF">
      <w:pPr>
        <w:pStyle w:val="Prrafodelista"/>
        <w:tabs>
          <w:tab w:val="left" w:pos="284"/>
        </w:tabs>
        <w:ind w:left="0" w:right="40"/>
        <w:jc w:val="both"/>
        <w:rPr>
          <w:bCs/>
          <w:szCs w:val="28"/>
          <w:lang w:eastAsia="es-CO" w:bidi="bo-CN"/>
        </w:rPr>
      </w:pPr>
      <w:r>
        <w:rPr>
          <w:bCs/>
          <w:szCs w:val="28"/>
          <w:lang w:eastAsia="es-CO" w:bidi="bo-CN"/>
        </w:rPr>
        <w:t>Sin embargo</w:t>
      </w:r>
      <w:r w:rsidR="00EE11AF" w:rsidRPr="00A34BDF">
        <w:rPr>
          <w:bCs/>
          <w:szCs w:val="28"/>
          <w:lang w:eastAsia="es-CO" w:bidi="bo-CN"/>
        </w:rPr>
        <w:t xml:space="preserve">, </w:t>
      </w:r>
      <w:r>
        <w:rPr>
          <w:bCs/>
          <w:szCs w:val="28"/>
          <w:lang w:eastAsia="es-CO" w:bidi="bo-CN"/>
        </w:rPr>
        <w:t>como</w:t>
      </w:r>
      <w:r w:rsidR="00EE11AF" w:rsidRPr="00A34BDF">
        <w:rPr>
          <w:bCs/>
          <w:szCs w:val="28"/>
          <w:lang w:eastAsia="es-CO" w:bidi="bo-CN"/>
        </w:rPr>
        <w:t xml:space="preserve"> </w:t>
      </w:r>
      <w:r w:rsidR="00201866" w:rsidRPr="00A34BDF">
        <w:rPr>
          <w:bCs/>
          <w:szCs w:val="28"/>
          <w:lang w:eastAsia="es-CO" w:bidi="bo-CN"/>
        </w:rPr>
        <w:t xml:space="preserve">esta sentencia dejó en claro que </w:t>
      </w:r>
      <w:r w:rsidR="00EE11AF" w:rsidRPr="00A34BDF">
        <w:rPr>
          <w:bCs/>
          <w:szCs w:val="28"/>
          <w:lang w:eastAsia="es-CO" w:bidi="bo-CN"/>
        </w:rPr>
        <w:t xml:space="preserve">el CSJ tiene la competencia constitucional para elaborar de manera concreta </w:t>
      </w:r>
      <w:r w:rsidR="00B26C7D" w:rsidRPr="00A34BDF">
        <w:rPr>
          <w:bCs/>
          <w:szCs w:val="28"/>
          <w:lang w:eastAsia="es-CO" w:bidi="bo-CN"/>
        </w:rPr>
        <w:t>un</w:t>
      </w:r>
      <w:r w:rsidR="00EE11AF" w:rsidRPr="00A34BDF">
        <w:rPr>
          <w:bCs/>
          <w:szCs w:val="28"/>
          <w:lang w:eastAsia="es-CO" w:bidi="bo-CN"/>
        </w:rPr>
        <w:t xml:space="preserve"> reglamento necesario para adelantar la convocatoria pública </w:t>
      </w:r>
      <w:r w:rsidR="00DC3998" w:rsidRPr="00A34BDF">
        <w:rPr>
          <w:bCs/>
          <w:szCs w:val="28"/>
          <w:lang w:eastAsia="es-CO" w:bidi="bo-CN"/>
        </w:rPr>
        <w:t xml:space="preserve">a su cargo, </w:t>
      </w:r>
      <w:r w:rsidR="00EE11AF" w:rsidRPr="00A34BDF">
        <w:rPr>
          <w:bCs/>
          <w:szCs w:val="28"/>
          <w:lang w:eastAsia="es-CO" w:bidi="bo-CN"/>
        </w:rPr>
        <w:t>siguiendo los lineamientos constitucionales y de ley, nada obsta para que el Presidente</w:t>
      </w:r>
      <w:r>
        <w:rPr>
          <w:bCs/>
          <w:szCs w:val="28"/>
          <w:lang w:eastAsia="es-CO" w:bidi="bo-CN"/>
        </w:rPr>
        <w:t xml:space="preserve"> de la República</w:t>
      </w:r>
      <w:r w:rsidR="00367047" w:rsidRPr="00A34BDF">
        <w:rPr>
          <w:bCs/>
          <w:szCs w:val="28"/>
          <w:lang w:eastAsia="es-CO" w:bidi="bo-CN"/>
        </w:rPr>
        <w:t>,</w:t>
      </w:r>
      <w:r w:rsidR="00EE11AF" w:rsidRPr="00A34BDF">
        <w:rPr>
          <w:bCs/>
          <w:szCs w:val="28"/>
          <w:lang w:eastAsia="es-CO" w:bidi="bo-CN"/>
        </w:rPr>
        <w:t xml:space="preserve"> </w:t>
      </w:r>
      <w:r w:rsidR="002979B2" w:rsidRPr="00A34BDF">
        <w:rPr>
          <w:bCs/>
          <w:szCs w:val="28"/>
          <w:lang w:eastAsia="es-CO" w:bidi="bo-CN"/>
        </w:rPr>
        <w:t xml:space="preserve">al considerar los alcances interpretativos </w:t>
      </w:r>
      <w:r w:rsidR="00DA10ED" w:rsidRPr="00A34BDF">
        <w:rPr>
          <w:bCs/>
          <w:szCs w:val="28"/>
          <w:lang w:eastAsia="es-CO" w:bidi="bo-CN"/>
        </w:rPr>
        <w:t xml:space="preserve">que </w:t>
      </w:r>
      <w:r w:rsidR="002979B2" w:rsidRPr="00A34BDF">
        <w:rPr>
          <w:bCs/>
          <w:szCs w:val="28"/>
          <w:lang w:eastAsia="es-CO" w:bidi="bo-CN"/>
        </w:rPr>
        <w:t xml:space="preserve">en realidad tiene la </w:t>
      </w:r>
      <w:r w:rsidR="002979B2" w:rsidRPr="00A34BDF">
        <w:rPr>
          <w:bCs/>
          <w:i/>
          <w:iCs/>
          <w:szCs w:val="28"/>
          <w:lang w:eastAsia="es-CO" w:bidi="bo-CN"/>
        </w:rPr>
        <w:t>convocatoria pública reglada</w:t>
      </w:r>
      <w:r w:rsidR="002979B2" w:rsidRPr="00A34BDF">
        <w:rPr>
          <w:bCs/>
          <w:szCs w:val="28"/>
          <w:lang w:eastAsia="es-CO" w:bidi="bo-CN"/>
        </w:rPr>
        <w:t xml:space="preserve"> en los términos del artículo 257A superior, </w:t>
      </w:r>
      <w:r w:rsidR="00DC3998" w:rsidRPr="00A34BDF">
        <w:rPr>
          <w:bCs/>
          <w:szCs w:val="28"/>
          <w:lang w:eastAsia="es-CO" w:bidi="bo-CN"/>
        </w:rPr>
        <w:t xml:space="preserve">realice la convocatoria pública reglada y </w:t>
      </w:r>
      <w:r w:rsidR="00EE11AF" w:rsidRPr="00A34BDF">
        <w:rPr>
          <w:bCs/>
          <w:szCs w:val="28"/>
          <w:lang w:eastAsia="es-CO" w:bidi="bo-CN"/>
        </w:rPr>
        <w:t>elabore las ternas que le corresponden</w:t>
      </w:r>
      <w:r w:rsidR="00DA10ED" w:rsidRPr="00A34BDF">
        <w:rPr>
          <w:bCs/>
          <w:szCs w:val="28"/>
          <w:lang w:eastAsia="es-CO" w:bidi="bo-CN"/>
        </w:rPr>
        <w:t xml:space="preserve"> en virtud </w:t>
      </w:r>
      <w:r w:rsidR="00DC3998" w:rsidRPr="00A34BDF">
        <w:rPr>
          <w:bCs/>
          <w:szCs w:val="28"/>
          <w:lang w:eastAsia="es-CO" w:bidi="bo-CN"/>
        </w:rPr>
        <w:t>de lo dispuesto en la Constitución</w:t>
      </w:r>
      <w:r w:rsidR="00DA10ED" w:rsidRPr="00A34BDF">
        <w:rPr>
          <w:bCs/>
          <w:szCs w:val="28"/>
          <w:lang w:eastAsia="es-CO" w:bidi="bo-CN"/>
        </w:rPr>
        <w:t xml:space="preserve">, a fin de garantizar la operatividad de la CNDJ y superar el </w:t>
      </w:r>
      <w:r w:rsidR="00DA10ED" w:rsidRPr="00A34BDF">
        <w:rPr>
          <w:bCs/>
          <w:i/>
          <w:iCs/>
          <w:szCs w:val="28"/>
          <w:lang w:eastAsia="es-CO" w:bidi="bo-CN"/>
        </w:rPr>
        <w:t xml:space="preserve">bloqueo institucional </w:t>
      </w:r>
      <w:r>
        <w:rPr>
          <w:bCs/>
          <w:i/>
          <w:iCs/>
          <w:szCs w:val="28"/>
          <w:lang w:eastAsia="es-CO" w:bidi="bo-CN"/>
        </w:rPr>
        <w:t>in</w:t>
      </w:r>
      <w:r w:rsidR="00DA10ED" w:rsidRPr="00A34BDF">
        <w:rPr>
          <w:bCs/>
          <w:i/>
          <w:iCs/>
          <w:szCs w:val="28"/>
          <w:lang w:eastAsia="es-CO" w:bidi="bo-CN"/>
        </w:rPr>
        <w:t>constitucional existente</w:t>
      </w:r>
      <w:r w:rsidR="00EE11AF" w:rsidRPr="00A34BDF">
        <w:rPr>
          <w:bCs/>
          <w:szCs w:val="28"/>
          <w:lang w:eastAsia="es-CO" w:bidi="bo-CN"/>
        </w:rPr>
        <w:t xml:space="preserve">. </w:t>
      </w:r>
    </w:p>
    <w:p w14:paraId="10949A73" w14:textId="77777777" w:rsidR="00A34BDF" w:rsidRDefault="00A34BDF" w:rsidP="00A34BDF">
      <w:pPr>
        <w:pStyle w:val="Prrafodelista"/>
        <w:tabs>
          <w:tab w:val="left" w:pos="284"/>
        </w:tabs>
        <w:ind w:left="0" w:right="40"/>
        <w:jc w:val="both"/>
        <w:rPr>
          <w:bCs/>
          <w:szCs w:val="28"/>
          <w:lang w:eastAsia="es-CO" w:bidi="bo-CN"/>
        </w:rPr>
      </w:pPr>
    </w:p>
    <w:p w14:paraId="2FF5D544" w14:textId="77777777" w:rsidR="00B26C7D" w:rsidRPr="00A34BDF" w:rsidRDefault="00EE11AF" w:rsidP="00A34BDF">
      <w:pPr>
        <w:pStyle w:val="Prrafodelista"/>
        <w:tabs>
          <w:tab w:val="left" w:pos="284"/>
        </w:tabs>
        <w:ind w:left="0" w:right="40"/>
        <w:jc w:val="both"/>
        <w:rPr>
          <w:bCs/>
          <w:szCs w:val="28"/>
          <w:lang w:eastAsia="es-CO" w:bidi="bo-CN"/>
        </w:rPr>
      </w:pPr>
      <w:r w:rsidRPr="00A34BDF">
        <w:rPr>
          <w:bCs/>
          <w:szCs w:val="28"/>
          <w:lang w:eastAsia="es-CO" w:bidi="bo-CN"/>
        </w:rPr>
        <w:t>No obstante</w:t>
      </w:r>
      <w:r w:rsidR="00A34BDF">
        <w:rPr>
          <w:bCs/>
          <w:szCs w:val="28"/>
          <w:lang w:eastAsia="es-CO" w:bidi="bo-CN"/>
        </w:rPr>
        <w:t xml:space="preserve"> lo anterior</w:t>
      </w:r>
      <w:r w:rsidRPr="00A34BDF">
        <w:rPr>
          <w:bCs/>
          <w:szCs w:val="28"/>
          <w:lang w:eastAsia="es-CO" w:bidi="bo-CN"/>
        </w:rPr>
        <w:t>, si el Legislador reglamenta el tema</w:t>
      </w:r>
      <w:r w:rsidR="00DC3998" w:rsidRPr="00A34BDF">
        <w:rPr>
          <w:bCs/>
          <w:szCs w:val="28"/>
          <w:lang w:eastAsia="es-CO" w:bidi="bo-CN"/>
        </w:rPr>
        <w:t xml:space="preserve"> para futuras convocatorias</w:t>
      </w:r>
      <w:r w:rsidRPr="00A34BDF">
        <w:rPr>
          <w:bCs/>
          <w:szCs w:val="28"/>
          <w:lang w:eastAsia="es-CO" w:bidi="bo-CN"/>
        </w:rPr>
        <w:t xml:space="preserve">, a partir de la expedición de las normas correspondientes, deroga y desplaza en la materia, la competencia </w:t>
      </w:r>
      <w:r w:rsidR="00367047" w:rsidRPr="00A34BDF">
        <w:rPr>
          <w:bCs/>
          <w:szCs w:val="28"/>
          <w:lang w:eastAsia="es-CO" w:bidi="bo-CN"/>
        </w:rPr>
        <w:t xml:space="preserve">antes </w:t>
      </w:r>
      <w:r w:rsidRPr="00A34BDF">
        <w:rPr>
          <w:bCs/>
          <w:szCs w:val="28"/>
          <w:lang w:eastAsia="es-CO" w:bidi="bo-CN"/>
        </w:rPr>
        <w:t>descrita.</w:t>
      </w:r>
    </w:p>
    <w:p w14:paraId="050360FB" w14:textId="77777777" w:rsidR="00A34BDF" w:rsidRDefault="00A34BDF" w:rsidP="00A34BDF">
      <w:pPr>
        <w:pStyle w:val="Prrafodelista"/>
        <w:tabs>
          <w:tab w:val="left" w:pos="284"/>
        </w:tabs>
        <w:ind w:left="0" w:right="40"/>
        <w:jc w:val="both"/>
        <w:rPr>
          <w:bCs/>
          <w:szCs w:val="28"/>
          <w:lang w:eastAsia="es-CO" w:bidi="bo-CN"/>
        </w:rPr>
      </w:pPr>
    </w:p>
    <w:p w14:paraId="6DAC3767" w14:textId="77777777" w:rsidR="00A34BDF" w:rsidRPr="00A34BDF" w:rsidRDefault="00A34BDF" w:rsidP="00A34BDF">
      <w:pPr>
        <w:pStyle w:val="Prrafodelista"/>
        <w:numPr>
          <w:ilvl w:val="0"/>
          <w:numId w:val="10"/>
        </w:numPr>
        <w:tabs>
          <w:tab w:val="left" w:pos="284"/>
        </w:tabs>
        <w:ind w:right="40"/>
        <w:jc w:val="both"/>
        <w:rPr>
          <w:bCs/>
          <w:szCs w:val="28"/>
          <w:lang w:eastAsia="es-CO" w:bidi="bo-CN"/>
        </w:rPr>
      </w:pPr>
      <w:r>
        <w:rPr>
          <w:bCs/>
          <w:szCs w:val="28"/>
          <w:lang w:eastAsia="es-CO" w:bidi="bo-CN"/>
        </w:rPr>
        <w:t xml:space="preserve">Por las razones expuestas y, en especial, para recuperar las atribuciones constitucionales del CSJ y para superar el bloqueo institucional inconstitucional la Corte Constitucional dispondrá que </w:t>
      </w:r>
      <w:r w:rsidRPr="00A34BDF">
        <w:rPr>
          <w:szCs w:val="28"/>
        </w:rPr>
        <w:t xml:space="preserve">las autoridades a las que se refiere el artículo 257A de la Constitución, dentro de los 2 meses siguientes a la notificación de esta sentencia, </w:t>
      </w:r>
      <w:r w:rsidR="007A7FC5">
        <w:rPr>
          <w:szCs w:val="28"/>
        </w:rPr>
        <w:t>envíen</w:t>
      </w:r>
      <w:r w:rsidRPr="00A34BDF">
        <w:rPr>
          <w:szCs w:val="28"/>
        </w:rPr>
        <w:t xml:space="preserve"> al Congreso de la República, previa convocatoria pública reglada, las ternas que les corresponden conformar, para efectos de que el Congreso de la República proceda a la elección de los Magistrados de la Comisión Nacional de Disciplina Judicial antes de concluir el año en curso.</w:t>
      </w:r>
      <w:r w:rsidR="007A7FC5">
        <w:rPr>
          <w:szCs w:val="28"/>
        </w:rPr>
        <w:t xml:space="preserve"> Esas medidas son indispensables para contribuir a superar los efectos inconstitucionales que aún tiene la interpretación de la Constitución que efectuaron las autoridades encargadas de darle efectividad, pero ello no excluye las responsabilidades particulares que ha generado esta situación.</w:t>
      </w:r>
    </w:p>
    <w:p w14:paraId="02D6496E" w14:textId="77777777" w:rsidR="00A34BDF" w:rsidRDefault="00A34BDF" w:rsidP="002979B2">
      <w:pPr>
        <w:pStyle w:val="Prrafodelista"/>
        <w:tabs>
          <w:tab w:val="left" w:pos="284"/>
        </w:tabs>
        <w:ind w:left="0" w:right="40"/>
        <w:jc w:val="both"/>
        <w:rPr>
          <w:bCs/>
          <w:szCs w:val="28"/>
          <w:lang w:eastAsia="es-CO" w:bidi="bo-CN"/>
        </w:rPr>
      </w:pPr>
    </w:p>
    <w:p w14:paraId="71CBC0B9" w14:textId="77777777" w:rsidR="00B26C7D" w:rsidRDefault="007A7FC5" w:rsidP="00EE11AF">
      <w:pPr>
        <w:pStyle w:val="Prrafodelista"/>
        <w:numPr>
          <w:ilvl w:val="0"/>
          <w:numId w:val="10"/>
        </w:numPr>
        <w:tabs>
          <w:tab w:val="left" w:pos="284"/>
        </w:tabs>
        <w:ind w:right="40"/>
        <w:jc w:val="both"/>
        <w:rPr>
          <w:bCs/>
          <w:szCs w:val="28"/>
          <w:lang w:eastAsia="es-CO" w:bidi="bo-CN"/>
        </w:rPr>
      </w:pPr>
      <w:r>
        <w:rPr>
          <w:bCs/>
          <w:szCs w:val="28"/>
          <w:lang w:eastAsia="es-CO" w:bidi="bo-CN"/>
        </w:rPr>
        <w:t>De otra parte</w:t>
      </w:r>
      <w:r w:rsidR="00EE11AF" w:rsidRPr="00B26C7D">
        <w:rPr>
          <w:bCs/>
          <w:szCs w:val="28"/>
          <w:lang w:eastAsia="es-CO" w:bidi="bo-CN"/>
        </w:rPr>
        <w:t xml:space="preserve">, dadas las características de la función jurisdiccional y la necesidad de mantener la independencia funcional de la Rama Judicial, la Carta de </w:t>
      </w:r>
      <w:r w:rsidR="000C1C7C" w:rsidRPr="00B26C7D">
        <w:rPr>
          <w:bCs/>
          <w:szCs w:val="28"/>
          <w:lang w:eastAsia="es-CO" w:bidi="bo-CN"/>
        </w:rPr>
        <w:t>19</w:t>
      </w:r>
      <w:r w:rsidR="00EE11AF" w:rsidRPr="00B26C7D">
        <w:rPr>
          <w:bCs/>
          <w:szCs w:val="28"/>
          <w:lang w:eastAsia="es-CO" w:bidi="bo-CN"/>
        </w:rPr>
        <w:t>91 quiso someter a los funcionarios judiciales pertenecientes a ella, al control de unos órganos específicos que constituyen hoy la jurisdicción disciplinaria, en consonancia con la autonomía estructural y funcional que le es propia</w:t>
      </w:r>
      <w:r w:rsidR="00EE11AF" w:rsidRPr="00EE11AF">
        <w:rPr>
          <w:rStyle w:val="Refdenotaalpie"/>
          <w:bCs/>
          <w:szCs w:val="28"/>
          <w:lang w:eastAsia="es-CO" w:bidi="bo-CN"/>
        </w:rPr>
        <w:footnoteReference w:id="428"/>
      </w:r>
      <w:r w:rsidR="00EE11AF" w:rsidRPr="00B26C7D">
        <w:rPr>
          <w:bCs/>
          <w:szCs w:val="28"/>
          <w:lang w:eastAsia="es-CO" w:bidi="bo-CN"/>
        </w:rPr>
        <w:t xml:space="preserve">. </w:t>
      </w:r>
    </w:p>
    <w:p w14:paraId="30AD6927" w14:textId="77777777" w:rsidR="00B26C7D" w:rsidRDefault="00B26C7D" w:rsidP="00B26C7D">
      <w:pPr>
        <w:pStyle w:val="Prrafodelista"/>
        <w:rPr>
          <w:bCs/>
          <w:szCs w:val="28"/>
          <w:lang w:eastAsia="es-CO" w:bidi="bo-CN"/>
        </w:rPr>
      </w:pPr>
    </w:p>
    <w:p w14:paraId="07A7D5F6" w14:textId="77777777" w:rsidR="00EE11AF" w:rsidRPr="00B26C7D" w:rsidRDefault="00EE11AF" w:rsidP="00B26C7D">
      <w:pPr>
        <w:pStyle w:val="Prrafodelista"/>
        <w:tabs>
          <w:tab w:val="left" w:pos="284"/>
        </w:tabs>
        <w:ind w:left="0" w:right="40"/>
        <w:jc w:val="both"/>
        <w:rPr>
          <w:bCs/>
          <w:szCs w:val="28"/>
          <w:lang w:eastAsia="es-CO" w:bidi="bo-CN"/>
        </w:rPr>
      </w:pPr>
      <w:r w:rsidRPr="00B26C7D">
        <w:rPr>
          <w:bCs/>
          <w:szCs w:val="28"/>
          <w:lang w:eastAsia="es-CO" w:bidi="bo-CN"/>
        </w:rPr>
        <w:t>Dicho control cobija</w:t>
      </w:r>
      <w:r w:rsidR="000C1C7C" w:rsidRPr="00B26C7D">
        <w:rPr>
          <w:bCs/>
          <w:szCs w:val="28"/>
          <w:lang w:eastAsia="es-CO" w:bidi="bo-CN"/>
        </w:rPr>
        <w:t>,</w:t>
      </w:r>
      <w:r w:rsidRPr="00B26C7D">
        <w:rPr>
          <w:bCs/>
          <w:szCs w:val="28"/>
          <w:lang w:eastAsia="es-CO" w:bidi="bo-CN"/>
        </w:rPr>
        <w:t xml:space="preserve"> como ya vimos, no s</w:t>
      </w:r>
      <w:r w:rsidR="00C80E03">
        <w:rPr>
          <w:bCs/>
          <w:szCs w:val="28"/>
          <w:lang w:eastAsia="es-CO" w:bidi="bo-CN"/>
        </w:rPr>
        <w:t>o</w:t>
      </w:r>
      <w:r w:rsidRPr="00B26C7D">
        <w:rPr>
          <w:bCs/>
          <w:szCs w:val="28"/>
          <w:lang w:eastAsia="es-CO" w:bidi="bo-CN"/>
        </w:rPr>
        <w:t>l</w:t>
      </w:r>
      <w:r w:rsidR="00C80E03">
        <w:rPr>
          <w:bCs/>
          <w:szCs w:val="28"/>
          <w:lang w:eastAsia="es-CO" w:bidi="bo-CN"/>
        </w:rPr>
        <w:t>amente</w:t>
      </w:r>
      <w:r w:rsidRPr="00B26C7D">
        <w:rPr>
          <w:bCs/>
          <w:szCs w:val="28"/>
          <w:lang w:eastAsia="es-CO" w:bidi="bo-CN"/>
        </w:rPr>
        <w:t xml:space="preserve"> a funcionarios y empleados judiciales, sino también a los abogados</w:t>
      </w:r>
      <w:r w:rsidRPr="00EE11AF">
        <w:rPr>
          <w:rStyle w:val="Refdenotaalpie"/>
          <w:bCs/>
          <w:szCs w:val="28"/>
          <w:lang w:eastAsia="es-CO" w:bidi="bo-CN"/>
        </w:rPr>
        <w:footnoteReference w:id="429"/>
      </w:r>
      <w:r w:rsidRPr="00B26C7D">
        <w:rPr>
          <w:bCs/>
          <w:szCs w:val="28"/>
          <w:lang w:eastAsia="es-CO" w:bidi="bo-CN"/>
        </w:rPr>
        <w:t>, que según un informe sobre las sanciones y destituciones impuestas desde 1992 hasta el 31 de marzo del 2019 por la Sala Jurisdiccional Disciplinaria</w:t>
      </w:r>
      <w:r w:rsidRPr="00EE11AF">
        <w:rPr>
          <w:rStyle w:val="Refdenotaalpie"/>
          <w:bCs/>
          <w:szCs w:val="28"/>
          <w:lang w:eastAsia="es-CO" w:bidi="bo-CN"/>
        </w:rPr>
        <w:footnoteReference w:id="430"/>
      </w:r>
      <w:r w:rsidRPr="00B26C7D">
        <w:rPr>
          <w:bCs/>
          <w:szCs w:val="28"/>
          <w:lang w:eastAsia="es-CO" w:bidi="bo-CN"/>
        </w:rPr>
        <w:t xml:space="preserve">, se trata de </w:t>
      </w:r>
      <w:r w:rsidRPr="00B26C7D">
        <w:rPr>
          <w:rStyle w:val="Textoennegrita"/>
          <w:szCs w:val="28"/>
        </w:rPr>
        <w:t>un total de 20.673 profesionales sancionados</w:t>
      </w:r>
      <w:r w:rsidRPr="00EE11AF">
        <w:rPr>
          <w:rStyle w:val="Refdenotaalpie"/>
          <w:szCs w:val="28"/>
        </w:rPr>
        <w:footnoteReference w:id="431"/>
      </w:r>
      <w:r w:rsidRPr="00B26C7D">
        <w:rPr>
          <w:rStyle w:val="Textoennegrita"/>
          <w:szCs w:val="28"/>
        </w:rPr>
        <w:t>.</w:t>
      </w:r>
      <w:r w:rsidRPr="00B26C7D">
        <w:rPr>
          <w:b/>
          <w:bCs/>
          <w:szCs w:val="28"/>
          <w:lang w:eastAsia="es-CO" w:bidi="bo-CN"/>
        </w:rPr>
        <w:t xml:space="preserve"> </w:t>
      </w:r>
      <w:r w:rsidRPr="00B26C7D">
        <w:rPr>
          <w:szCs w:val="28"/>
          <w:lang w:eastAsia="es-CO" w:bidi="bo-CN"/>
        </w:rPr>
        <w:t>El número de</w:t>
      </w:r>
      <w:r w:rsidRPr="00B26C7D">
        <w:rPr>
          <w:b/>
          <w:bCs/>
          <w:szCs w:val="28"/>
          <w:lang w:eastAsia="es-CO" w:bidi="bo-CN"/>
        </w:rPr>
        <w:t xml:space="preserve"> </w:t>
      </w:r>
      <w:r w:rsidRPr="00B26C7D">
        <w:rPr>
          <w:szCs w:val="28"/>
        </w:rPr>
        <w:t>servidores judiciales castigados disciplinariamente según ese mismo informe fue de 2.783 personas</w:t>
      </w:r>
      <w:r w:rsidRPr="00EE11AF">
        <w:rPr>
          <w:rStyle w:val="Refdenotaalpie"/>
          <w:szCs w:val="28"/>
        </w:rPr>
        <w:footnoteReference w:id="432"/>
      </w:r>
      <w:r w:rsidRPr="00B26C7D">
        <w:rPr>
          <w:szCs w:val="28"/>
        </w:rPr>
        <w:t xml:space="preserve">, hasta la fecha previamente mencionada. </w:t>
      </w:r>
    </w:p>
    <w:p w14:paraId="4CC7FB35" w14:textId="77777777" w:rsidR="00B26C7D" w:rsidRDefault="00B26C7D" w:rsidP="00B26C7D">
      <w:pPr>
        <w:pStyle w:val="Prrafodelista"/>
        <w:tabs>
          <w:tab w:val="left" w:pos="284"/>
        </w:tabs>
        <w:ind w:left="0" w:right="40"/>
        <w:jc w:val="both"/>
        <w:rPr>
          <w:bCs/>
          <w:szCs w:val="28"/>
          <w:lang w:eastAsia="es-CO" w:bidi="bo-CN"/>
        </w:rPr>
      </w:pPr>
    </w:p>
    <w:p w14:paraId="2EFD0CFA" w14:textId="77777777" w:rsidR="00EE11AF" w:rsidRPr="007A7FC5" w:rsidRDefault="00EE11AF" w:rsidP="00B26C7D">
      <w:pPr>
        <w:pStyle w:val="Prrafodelista"/>
        <w:tabs>
          <w:tab w:val="left" w:pos="284"/>
        </w:tabs>
        <w:ind w:left="0" w:right="40"/>
        <w:jc w:val="both"/>
        <w:rPr>
          <w:bCs/>
          <w:szCs w:val="28"/>
          <w:lang w:eastAsia="es-CO" w:bidi="bo-CN"/>
        </w:rPr>
      </w:pPr>
      <w:r w:rsidRPr="00B26C7D">
        <w:rPr>
          <w:szCs w:val="28"/>
        </w:rPr>
        <w:t>Como la función disciplinaria pretende precisamente garantizar la obediencia</w:t>
      </w:r>
      <w:r w:rsidR="000C1C7C" w:rsidRPr="00B26C7D">
        <w:rPr>
          <w:szCs w:val="28"/>
        </w:rPr>
        <w:t xml:space="preserve"> al ordenamiento jurídico</w:t>
      </w:r>
      <w:r w:rsidRPr="00B26C7D">
        <w:rPr>
          <w:szCs w:val="28"/>
        </w:rPr>
        <w:t xml:space="preserve">, la disciplina, el comportamiento ético, la moralidad y la eficiencia de los servidores públicos y abogados, con miras a asegurar el buen funcionamiento de los diferentes servicios que prestan y finalmente la adecuada gestión de la administración de justicia, dicha función constituye </w:t>
      </w:r>
      <w:r w:rsidRPr="007A7FC5">
        <w:rPr>
          <w:szCs w:val="28"/>
        </w:rPr>
        <w:t xml:space="preserve">una pieza clave en la labor del Estado de promover una solución adecuada a los conflictos y de garantizar una convivencia pacífica de los asociados. </w:t>
      </w:r>
    </w:p>
    <w:p w14:paraId="3CE79BCD" w14:textId="77777777" w:rsidR="00B26C7D" w:rsidRPr="007A7FC5" w:rsidRDefault="00B26C7D" w:rsidP="00B26C7D">
      <w:pPr>
        <w:pStyle w:val="Prrafodelista"/>
        <w:tabs>
          <w:tab w:val="left" w:pos="284"/>
        </w:tabs>
        <w:ind w:left="0" w:right="40"/>
        <w:jc w:val="both"/>
        <w:rPr>
          <w:bCs/>
          <w:szCs w:val="28"/>
          <w:lang w:eastAsia="es-CO" w:bidi="bo-CN"/>
        </w:rPr>
      </w:pPr>
    </w:p>
    <w:p w14:paraId="1C50DE2B" w14:textId="77777777" w:rsidR="00EE11AF" w:rsidRPr="00B26C7D" w:rsidRDefault="00EE11AF" w:rsidP="00EE11AF">
      <w:pPr>
        <w:pStyle w:val="Prrafodelista"/>
        <w:numPr>
          <w:ilvl w:val="0"/>
          <w:numId w:val="10"/>
        </w:numPr>
        <w:tabs>
          <w:tab w:val="left" w:pos="284"/>
        </w:tabs>
        <w:ind w:right="40"/>
        <w:jc w:val="both"/>
        <w:rPr>
          <w:bCs/>
          <w:szCs w:val="28"/>
          <w:lang w:eastAsia="es-CO" w:bidi="bo-CN"/>
        </w:rPr>
      </w:pPr>
      <w:r w:rsidRPr="007A7FC5">
        <w:rPr>
          <w:szCs w:val="28"/>
        </w:rPr>
        <w:t xml:space="preserve">En ese orden de ideas, teniendo en cuenta que con la situación de interinidad señalada muchos de los procesos de constitución de esa jurisdicción disciplinaria se vieron truncados, se recuerda que corresponde </w:t>
      </w:r>
      <w:r w:rsidR="008C6583" w:rsidRPr="007A7FC5">
        <w:rPr>
          <w:szCs w:val="28"/>
        </w:rPr>
        <w:t>al</w:t>
      </w:r>
      <w:r w:rsidRPr="007A7FC5">
        <w:rPr>
          <w:szCs w:val="28"/>
        </w:rPr>
        <w:t xml:space="preserve"> CSJ la responsabilidad de contribuir en la consolidación de la CNDJ, por lo que le compete la misión de garantizar el personal y los recursos necesarios para responder a los nuevos retos y encargos que se derivan de la modificación constitucional indicada. Se trata de una responsabilidad que requiere </w:t>
      </w:r>
      <w:r w:rsidR="008C6583" w:rsidRPr="007A7FC5">
        <w:rPr>
          <w:szCs w:val="28"/>
        </w:rPr>
        <w:t>el apoyo</w:t>
      </w:r>
      <w:r w:rsidRPr="007A7FC5">
        <w:rPr>
          <w:szCs w:val="28"/>
        </w:rPr>
        <w:t xml:space="preserve"> del Gobierno</w:t>
      </w:r>
      <w:r w:rsidRPr="00B26C7D">
        <w:rPr>
          <w:szCs w:val="28"/>
        </w:rPr>
        <w:t xml:space="preserve"> y del Congreso Nacional para facilitar esa gestión, por lo qu</w:t>
      </w:r>
      <w:r w:rsidRPr="008C6583">
        <w:rPr>
          <w:szCs w:val="28"/>
        </w:rPr>
        <w:t xml:space="preserve">e se </w:t>
      </w:r>
      <w:r w:rsidR="002A4417">
        <w:rPr>
          <w:szCs w:val="28"/>
        </w:rPr>
        <w:t>llama</w:t>
      </w:r>
      <w:r w:rsidR="00B26C7D" w:rsidRPr="008C6583">
        <w:rPr>
          <w:szCs w:val="28"/>
        </w:rPr>
        <w:t xml:space="preserve"> </w:t>
      </w:r>
      <w:r w:rsidRPr="008C6583">
        <w:rPr>
          <w:szCs w:val="28"/>
        </w:rPr>
        <w:t>al Consejo Superior de la Judicat</w:t>
      </w:r>
      <w:r w:rsidR="007E14BA" w:rsidRPr="008C6583">
        <w:rPr>
          <w:szCs w:val="28"/>
        </w:rPr>
        <w:t xml:space="preserve">ura y </w:t>
      </w:r>
      <w:r w:rsidRPr="008C6583">
        <w:rPr>
          <w:szCs w:val="28"/>
        </w:rPr>
        <w:t xml:space="preserve">al Gobierno </w:t>
      </w:r>
      <w:r w:rsidR="002A4417">
        <w:rPr>
          <w:szCs w:val="28"/>
        </w:rPr>
        <w:t>para</w:t>
      </w:r>
      <w:r w:rsidRPr="008C6583">
        <w:rPr>
          <w:szCs w:val="28"/>
        </w:rPr>
        <w:t xml:space="preserve"> que</w:t>
      </w:r>
      <w:r w:rsidR="002A4417">
        <w:rPr>
          <w:szCs w:val="28"/>
        </w:rPr>
        <w:t>,</w:t>
      </w:r>
      <w:r w:rsidRPr="008C6583">
        <w:rPr>
          <w:szCs w:val="28"/>
        </w:rPr>
        <w:t xml:space="preserve"> de una forma mancomunada, de acuerdo con sus competencias</w:t>
      </w:r>
      <w:r w:rsidRPr="00B26C7D">
        <w:rPr>
          <w:szCs w:val="28"/>
        </w:rPr>
        <w:t xml:space="preserve">, apoyen el desarrollo y consolidación definitiva de la jurisdicción disciplinaria, </w:t>
      </w:r>
      <w:r w:rsidR="000C1C7C" w:rsidRPr="00B26C7D">
        <w:rPr>
          <w:szCs w:val="28"/>
        </w:rPr>
        <w:t>en los términos previstos por el A.L. 02 de 2015</w:t>
      </w:r>
      <w:r w:rsidRPr="00B26C7D">
        <w:rPr>
          <w:szCs w:val="28"/>
        </w:rPr>
        <w:t xml:space="preserve">. </w:t>
      </w:r>
    </w:p>
    <w:p w14:paraId="6567D12A" w14:textId="77777777" w:rsidR="00B26C7D" w:rsidRDefault="00B26C7D" w:rsidP="00B26C7D">
      <w:pPr>
        <w:tabs>
          <w:tab w:val="left" w:pos="284"/>
        </w:tabs>
        <w:ind w:right="40"/>
        <w:jc w:val="both"/>
        <w:rPr>
          <w:b/>
          <w:szCs w:val="28"/>
          <w:lang w:eastAsia="es-CO" w:bidi="bo-CN"/>
        </w:rPr>
      </w:pPr>
    </w:p>
    <w:p w14:paraId="5AD02547" w14:textId="77777777" w:rsidR="00EE11AF" w:rsidRPr="00EE11AF" w:rsidRDefault="00EE11AF" w:rsidP="00EE11AF">
      <w:pPr>
        <w:ind w:right="40"/>
        <w:rPr>
          <w:b/>
          <w:bCs/>
          <w:szCs w:val="28"/>
          <w:lang w:eastAsia="es-CO" w:bidi="bo-CN"/>
        </w:rPr>
      </w:pPr>
      <w:r w:rsidRPr="00EE11AF">
        <w:rPr>
          <w:b/>
          <w:bCs/>
          <w:szCs w:val="28"/>
          <w:lang w:eastAsia="es-CO" w:bidi="bo-CN"/>
        </w:rPr>
        <w:t>III. DECISIÓN</w:t>
      </w:r>
    </w:p>
    <w:p w14:paraId="7E32F9A5" w14:textId="77777777" w:rsidR="00EE11AF" w:rsidRPr="00EE11AF" w:rsidRDefault="00EE11AF" w:rsidP="00EE11AF">
      <w:pPr>
        <w:tabs>
          <w:tab w:val="left" w:pos="426"/>
        </w:tabs>
        <w:ind w:right="40"/>
        <w:jc w:val="both"/>
        <w:rPr>
          <w:bCs/>
          <w:szCs w:val="28"/>
          <w:lang w:eastAsia="es-CO" w:bidi="bo-CN"/>
        </w:rPr>
      </w:pPr>
    </w:p>
    <w:p w14:paraId="04A01B84" w14:textId="77777777" w:rsidR="00EE11AF" w:rsidRPr="00EE11AF" w:rsidRDefault="00EE11AF" w:rsidP="00EE11AF">
      <w:pPr>
        <w:tabs>
          <w:tab w:val="left" w:pos="426"/>
        </w:tabs>
        <w:ind w:right="40"/>
        <w:jc w:val="both"/>
        <w:rPr>
          <w:bCs/>
          <w:szCs w:val="28"/>
          <w:lang w:eastAsia="es-CO" w:bidi="bo-CN"/>
        </w:rPr>
      </w:pPr>
      <w:r w:rsidRPr="00EE11AF">
        <w:rPr>
          <w:bCs/>
          <w:szCs w:val="28"/>
          <w:lang w:eastAsia="es-CO" w:bidi="bo-CN"/>
        </w:rPr>
        <w:t>En mérito de lo expuesto, la Sala Plena de la Corte Constitucional, administrando justicia en nombre del pueblo y por mandato de la Constitución,</w:t>
      </w:r>
    </w:p>
    <w:p w14:paraId="0D4C5213" w14:textId="77777777" w:rsidR="00EE11AF" w:rsidRPr="00EE11AF" w:rsidRDefault="00EE11AF" w:rsidP="00EE11AF">
      <w:pPr>
        <w:tabs>
          <w:tab w:val="left" w:pos="426"/>
        </w:tabs>
        <w:ind w:right="40"/>
        <w:jc w:val="both"/>
        <w:rPr>
          <w:bCs/>
          <w:szCs w:val="28"/>
          <w:lang w:eastAsia="es-CO" w:bidi="bo-CN"/>
        </w:rPr>
      </w:pPr>
    </w:p>
    <w:p w14:paraId="43F56271" w14:textId="77777777" w:rsidR="00EE11AF" w:rsidRPr="00EE11AF" w:rsidRDefault="00EE11AF" w:rsidP="00EE11AF">
      <w:pPr>
        <w:tabs>
          <w:tab w:val="left" w:pos="426"/>
        </w:tabs>
        <w:ind w:right="40"/>
        <w:jc w:val="center"/>
        <w:rPr>
          <w:bCs/>
          <w:szCs w:val="28"/>
          <w:lang w:eastAsia="es-CO" w:bidi="bo-CN"/>
        </w:rPr>
      </w:pPr>
      <w:r w:rsidRPr="00EE11AF">
        <w:rPr>
          <w:b/>
          <w:bCs/>
          <w:szCs w:val="28"/>
          <w:lang w:eastAsia="es-CO" w:bidi="bo-CN"/>
        </w:rPr>
        <w:t>RESUELVE</w:t>
      </w:r>
    </w:p>
    <w:p w14:paraId="37CE6417" w14:textId="5A9C7340" w:rsidR="00EE11AF" w:rsidRDefault="00EE11AF" w:rsidP="00EE11AF">
      <w:pPr>
        <w:tabs>
          <w:tab w:val="left" w:pos="426"/>
        </w:tabs>
        <w:ind w:right="40"/>
        <w:jc w:val="center"/>
        <w:rPr>
          <w:bCs/>
          <w:szCs w:val="28"/>
          <w:lang w:eastAsia="es-CO" w:bidi="bo-CN"/>
        </w:rPr>
      </w:pPr>
    </w:p>
    <w:p w14:paraId="3EFE3DC9" w14:textId="77777777" w:rsidR="00701575" w:rsidRPr="00EE11AF" w:rsidRDefault="00701575" w:rsidP="00EE11AF">
      <w:pPr>
        <w:tabs>
          <w:tab w:val="left" w:pos="426"/>
        </w:tabs>
        <w:ind w:right="40"/>
        <w:jc w:val="center"/>
        <w:rPr>
          <w:bCs/>
          <w:szCs w:val="28"/>
          <w:lang w:eastAsia="es-CO" w:bidi="bo-CN"/>
        </w:rPr>
      </w:pPr>
    </w:p>
    <w:p w14:paraId="03E2946F" w14:textId="77777777" w:rsidR="00A34BDF" w:rsidRPr="00EE11AF" w:rsidRDefault="00A34BDF" w:rsidP="00A34BDF">
      <w:pPr>
        <w:jc w:val="both"/>
        <w:rPr>
          <w:szCs w:val="28"/>
        </w:rPr>
      </w:pPr>
      <w:r w:rsidRPr="00EE11AF">
        <w:rPr>
          <w:b/>
          <w:bCs/>
          <w:szCs w:val="28"/>
          <w:lang w:eastAsia="es-CO" w:bidi="bo-CN"/>
        </w:rPr>
        <w:t>PRIMERO. - REVOCAR</w:t>
      </w:r>
      <w:r w:rsidRPr="00EE11AF">
        <w:rPr>
          <w:bCs/>
          <w:szCs w:val="28"/>
          <w:lang w:eastAsia="es-CO" w:bidi="bo-CN"/>
        </w:rPr>
        <w:t xml:space="preserve"> el fallo proferido</w:t>
      </w:r>
      <w:r>
        <w:rPr>
          <w:bCs/>
          <w:szCs w:val="28"/>
          <w:lang w:eastAsia="es-CO" w:bidi="bo-CN"/>
        </w:rPr>
        <w:t>, en segunda instancia,</w:t>
      </w:r>
      <w:r w:rsidRPr="00EE11AF">
        <w:rPr>
          <w:bCs/>
          <w:szCs w:val="28"/>
          <w:lang w:eastAsia="es-CO" w:bidi="bo-CN"/>
        </w:rPr>
        <w:t xml:space="preserve"> por la Sección Cuarta de la Sala Plena de lo Contencioso Administrativo del Consejo de Estado del 30 de mayo de 2019, dentro del expediente T-7.494.532. En su lugar, </w:t>
      </w:r>
      <w:r w:rsidRPr="00EE11AF">
        <w:rPr>
          <w:b/>
          <w:bCs/>
          <w:szCs w:val="28"/>
          <w:lang w:eastAsia="es-CO" w:bidi="bo-CN"/>
        </w:rPr>
        <w:t>CONCEDER</w:t>
      </w:r>
      <w:r w:rsidRPr="00EE11AF">
        <w:rPr>
          <w:bCs/>
          <w:szCs w:val="28"/>
          <w:lang w:eastAsia="es-CO" w:bidi="bo-CN"/>
        </w:rPr>
        <w:t xml:space="preserve"> el amparo de los derechos fundamentales </w:t>
      </w:r>
      <w:r w:rsidRPr="00EE11AF">
        <w:rPr>
          <w:bCs/>
          <w:iCs/>
          <w:szCs w:val="28"/>
          <w:lang w:eastAsia="es-CO" w:bidi="bo-CN"/>
        </w:rPr>
        <w:t xml:space="preserve">al </w:t>
      </w:r>
      <w:r w:rsidRPr="00EE11AF">
        <w:rPr>
          <w:bCs/>
          <w:szCs w:val="28"/>
          <w:lang w:eastAsia="es-CO" w:bidi="bo-CN"/>
        </w:rPr>
        <w:t xml:space="preserve">debido proceso, defensa y </w:t>
      </w:r>
      <w:r>
        <w:rPr>
          <w:bCs/>
          <w:szCs w:val="28"/>
          <w:lang w:eastAsia="es-CO" w:bidi="bo-CN"/>
        </w:rPr>
        <w:t>de</w:t>
      </w:r>
      <w:r w:rsidRPr="00EE11AF">
        <w:rPr>
          <w:bCs/>
          <w:szCs w:val="28"/>
          <w:lang w:eastAsia="es-CO" w:bidi="bo-CN"/>
        </w:rPr>
        <w:t xml:space="preserve"> acceso a la administración de justicia del Consejo Superior de la Judicatura. </w:t>
      </w:r>
    </w:p>
    <w:p w14:paraId="26652424" w14:textId="77777777" w:rsidR="00A34BDF" w:rsidRPr="00EE11AF" w:rsidRDefault="00A34BDF" w:rsidP="00A34BDF">
      <w:pPr>
        <w:jc w:val="both"/>
        <w:rPr>
          <w:bCs/>
          <w:szCs w:val="28"/>
          <w:lang w:eastAsia="es-CO" w:bidi="bo-CN"/>
        </w:rPr>
      </w:pPr>
    </w:p>
    <w:p w14:paraId="11284D4D" w14:textId="77777777" w:rsidR="00A34BDF" w:rsidRPr="00EE11AF" w:rsidRDefault="00A34BDF" w:rsidP="00A34BDF">
      <w:pPr>
        <w:jc w:val="both"/>
        <w:rPr>
          <w:bCs/>
          <w:szCs w:val="28"/>
        </w:rPr>
      </w:pPr>
      <w:r w:rsidRPr="00EE11AF">
        <w:rPr>
          <w:b/>
          <w:bCs/>
          <w:szCs w:val="28"/>
        </w:rPr>
        <w:t>SEGUNDO.-</w:t>
      </w:r>
      <w:r w:rsidRPr="00EE11AF">
        <w:rPr>
          <w:bCs/>
          <w:szCs w:val="28"/>
        </w:rPr>
        <w:t xml:space="preserve"> </w:t>
      </w:r>
      <w:r>
        <w:rPr>
          <w:bCs/>
          <w:szCs w:val="28"/>
        </w:rPr>
        <w:t xml:space="preserve">Como consecuencia de lo anterior, </w:t>
      </w:r>
      <w:r w:rsidRPr="00EE11AF">
        <w:rPr>
          <w:b/>
          <w:szCs w:val="28"/>
        </w:rPr>
        <w:t>DEJAR SIN EFECTOS</w:t>
      </w:r>
      <w:r w:rsidRPr="00EE11AF">
        <w:rPr>
          <w:bCs/>
          <w:szCs w:val="28"/>
        </w:rPr>
        <w:t xml:space="preserve">, </w:t>
      </w:r>
      <w:r w:rsidRPr="00EE11AF">
        <w:rPr>
          <w:szCs w:val="28"/>
          <w:lang w:val="es-ES_tradnl"/>
        </w:rPr>
        <w:t xml:space="preserve">la sentencia del 6 de febrero de 2018 dictada por la Sala Plena de lo Contencioso Administrativo del Consejo de Estado, </w:t>
      </w:r>
      <w:r w:rsidRPr="00EE11AF">
        <w:rPr>
          <w:szCs w:val="28"/>
        </w:rPr>
        <w:t xml:space="preserve">en los términos de esta providencia. </w:t>
      </w:r>
    </w:p>
    <w:p w14:paraId="522A3CBE" w14:textId="77777777" w:rsidR="00A34BDF" w:rsidRPr="00EE11AF" w:rsidRDefault="00A34BDF" w:rsidP="00A34BDF">
      <w:pPr>
        <w:jc w:val="both"/>
        <w:rPr>
          <w:bCs/>
          <w:szCs w:val="28"/>
        </w:rPr>
      </w:pPr>
    </w:p>
    <w:p w14:paraId="39692096" w14:textId="77777777" w:rsidR="00A34BDF" w:rsidRPr="009A412A" w:rsidRDefault="00A34BDF" w:rsidP="00A34BDF">
      <w:pPr>
        <w:jc w:val="both"/>
        <w:rPr>
          <w:b/>
          <w:szCs w:val="28"/>
          <w:lang w:eastAsia="es-CO" w:bidi="bo-CN"/>
        </w:rPr>
      </w:pPr>
      <w:r w:rsidRPr="007F0C77">
        <w:rPr>
          <w:b/>
          <w:bCs/>
          <w:iCs/>
          <w:szCs w:val="28"/>
        </w:rPr>
        <w:t xml:space="preserve">TERCERO.- </w:t>
      </w:r>
      <w:r w:rsidRPr="007F0C77">
        <w:rPr>
          <w:b/>
          <w:szCs w:val="28"/>
          <w:lang w:eastAsia="es-CO" w:bidi="bo-CN"/>
        </w:rPr>
        <w:t>DISPONER</w:t>
      </w:r>
      <w:r w:rsidRPr="007F0C77">
        <w:rPr>
          <w:szCs w:val="28"/>
        </w:rPr>
        <w:t xml:space="preserve"> que las autoridades a las que se refiere el artículo 257A de la Constitución, dentro de los 2 meses siguientes a la notificación de esta sentencia</w:t>
      </w:r>
      <w:r w:rsidR="00681610">
        <w:rPr>
          <w:szCs w:val="28"/>
        </w:rPr>
        <w:t xml:space="preserve"> que realizará la Secretaría General de la Corte Constitucional</w:t>
      </w:r>
      <w:r w:rsidRPr="007F0C77">
        <w:rPr>
          <w:szCs w:val="28"/>
        </w:rPr>
        <w:t>, deberán enviar al Congreso de la República, previa convocatoria pública reglada, las ternas que les corresponden conformar, para efectos de que el Congreso de la República proceda a la elección de los Magistrados de la Comisión Nacional de Disciplina Judicial antes de concluir el año en curso.</w:t>
      </w:r>
    </w:p>
    <w:p w14:paraId="1113F2FC" w14:textId="77777777" w:rsidR="00A34BDF" w:rsidRPr="00EE11AF" w:rsidRDefault="00A34BDF" w:rsidP="00A34BDF">
      <w:pPr>
        <w:tabs>
          <w:tab w:val="left" w:pos="426"/>
        </w:tabs>
        <w:ind w:right="40"/>
        <w:jc w:val="both"/>
        <w:rPr>
          <w:bCs/>
          <w:szCs w:val="28"/>
          <w:lang w:eastAsia="es-CO" w:bidi="bo-CN"/>
        </w:rPr>
      </w:pPr>
    </w:p>
    <w:p w14:paraId="455D74E1" w14:textId="77777777" w:rsidR="00A34BDF" w:rsidRPr="00D077B7" w:rsidRDefault="00A34BDF" w:rsidP="00A34BDF">
      <w:pPr>
        <w:tabs>
          <w:tab w:val="left" w:pos="426"/>
        </w:tabs>
        <w:ind w:right="40"/>
        <w:jc w:val="both"/>
        <w:rPr>
          <w:szCs w:val="28"/>
        </w:rPr>
      </w:pPr>
      <w:r w:rsidRPr="00EE11AF">
        <w:rPr>
          <w:b/>
          <w:bCs/>
          <w:szCs w:val="28"/>
          <w:lang w:eastAsia="es-CO" w:bidi="bo-CN"/>
        </w:rPr>
        <w:t>CUARTO. –</w:t>
      </w:r>
      <w:r>
        <w:rPr>
          <w:b/>
          <w:szCs w:val="28"/>
          <w:lang w:eastAsia="es-CO" w:bidi="bo-CN"/>
        </w:rPr>
        <w:t xml:space="preserve"> </w:t>
      </w:r>
      <w:r w:rsidRPr="00C500D4">
        <w:rPr>
          <w:bCs/>
          <w:szCs w:val="28"/>
          <w:lang w:eastAsia="es-CO" w:bidi="bo-CN"/>
        </w:rPr>
        <w:t xml:space="preserve">Por Secretaría General, </w:t>
      </w:r>
      <w:r w:rsidRPr="00C500D4">
        <w:rPr>
          <w:b/>
          <w:bCs/>
          <w:szCs w:val="28"/>
          <w:lang w:eastAsia="es-CO" w:bidi="bo-CN"/>
        </w:rPr>
        <w:t>LÍBRENSE</w:t>
      </w:r>
      <w:r w:rsidRPr="00C500D4">
        <w:rPr>
          <w:bCs/>
          <w:szCs w:val="28"/>
          <w:lang w:eastAsia="es-CO" w:bidi="bo-CN"/>
        </w:rPr>
        <w:t xml:space="preserve"> las comunicaciones a que se refiere el artículo 36 del decreto 2591 de 1991.</w:t>
      </w:r>
    </w:p>
    <w:p w14:paraId="2D59B295" w14:textId="77777777" w:rsidR="00EE11AF" w:rsidRPr="00C500D4" w:rsidRDefault="00EE11AF" w:rsidP="00EE11AF">
      <w:pPr>
        <w:tabs>
          <w:tab w:val="left" w:pos="426"/>
        </w:tabs>
        <w:ind w:right="40"/>
        <w:jc w:val="both"/>
        <w:rPr>
          <w:bCs/>
          <w:szCs w:val="28"/>
          <w:lang w:eastAsia="es-CO" w:bidi="bo-CN"/>
        </w:rPr>
      </w:pPr>
    </w:p>
    <w:p w14:paraId="6524C59C" w14:textId="77777777" w:rsidR="00EE11AF" w:rsidRPr="00C500D4" w:rsidRDefault="00EE11AF" w:rsidP="00EE11AF">
      <w:pPr>
        <w:tabs>
          <w:tab w:val="left" w:pos="426"/>
        </w:tabs>
        <w:ind w:right="40"/>
        <w:jc w:val="both"/>
        <w:rPr>
          <w:bCs/>
          <w:szCs w:val="28"/>
          <w:lang w:eastAsia="es-CO" w:bidi="bo-CN"/>
        </w:rPr>
      </w:pPr>
      <w:r w:rsidRPr="00C500D4">
        <w:rPr>
          <w:bCs/>
          <w:szCs w:val="28"/>
          <w:lang w:eastAsia="es-CO" w:bidi="bo-CN"/>
        </w:rPr>
        <w:t>Notifíquese, comuníquese y cúmplase.</w:t>
      </w:r>
    </w:p>
    <w:p w14:paraId="4EBDD673" w14:textId="77777777" w:rsidR="00EE11AF" w:rsidRPr="00C500D4" w:rsidRDefault="00EE11AF" w:rsidP="00EE11AF">
      <w:pPr>
        <w:rPr>
          <w:b/>
          <w:i/>
          <w:sz w:val="24"/>
          <w:szCs w:val="24"/>
        </w:rPr>
      </w:pPr>
    </w:p>
    <w:p w14:paraId="695F4AC3" w14:textId="77777777" w:rsidR="007A7FC5" w:rsidRDefault="007A7FC5" w:rsidP="00701575">
      <w:pPr>
        <w:tabs>
          <w:tab w:val="left" w:pos="426"/>
        </w:tabs>
        <w:ind w:right="40"/>
        <w:jc w:val="center"/>
        <w:rPr>
          <w:bCs/>
          <w:szCs w:val="28"/>
          <w:lang w:eastAsia="es-CO" w:bidi="bo-CN"/>
        </w:rPr>
      </w:pPr>
    </w:p>
    <w:p w14:paraId="07C3FD86" w14:textId="77777777" w:rsidR="007A7FC5" w:rsidRPr="00C500D4" w:rsidRDefault="007A7FC5" w:rsidP="00701575">
      <w:pPr>
        <w:tabs>
          <w:tab w:val="left" w:pos="426"/>
        </w:tabs>
        <w:ind w:right="40"/>
        <w:jc w:val="center"/>
        <w:rPr>
          <w:bCs/>
          <w:szCs w:val="28"/>
          <w:lang w:eastAsia="es-CO" w:bidi="bo-CN"/>
        </w:rPr>
      </w:pPr>
    </w:p>
    <w:p w14:paraId="04E1B9A0" w14:textId="77777777" w:rsidR="00367047" w:rsidRPr="00367047" w:rsidRDefault="00367047" w:rsidP="00701575">
      <w:pPr>
        <w:jc w:val="center"/>
        <w:rPr>
          <w:rFonts w:eastAsia="Calibri"/>
          <w:szCs w:val="28"/>
        </w:rPr>
      </w:pPr>
    </w:p>
    <w:p w14:paraId="629AEE96" w14:textId="77777777" w:rsidR="00367047" w:rsidRPr="00367047" w:rsidRDefault="00367047" w:rsidP="00701575">
      <w:pPr>
        <w:jc w:val="center"/>
        <w:rPr>
          <w:rFonts w:eastAsia="Calibri"/>
          <w:szCs w:val="28"/>
        </w:rPr>
      </w:pPr>
      <w:r w:rsidRPr="00367047">
        <w:rPr>
          <w:rFonts w:eastAsia="Calibri"/>
          <w:szCs w:val="28"/>
        </w:rPr>
        <w:t>ALBERTO ROJAS RÍOS</w:t>
      </w:r>
    </w:p>
    <w:p w14:paraId="6CBFEAEC" w14:textId="77777777" w:rsidR="00367047" w:rsidRPr="00367047" w:rsidRDefault="00367047" w:rsidP="00701575">
      <w:pPr>
        <w:jc w:val="center"/>
        <w:rPr>
          <w:rFonts w:eastAsia="Calibri"/>
          <w:szCs w:val="28"/>
        </w:rPr>
      </w:pPr>
      <w:r w:rsidRPr="00367047">
        <w:rPr>
          <w:rFonts w:eastAsia="Calibri"/>
          <w:szCs w:val="28"/>
        </w:rPr>
        <w:t>Presidente</w:t>
      </w:r>
    </w:p>
    <w:p w14:paraId="19A4584C" w14:textId="77777777" w:rsidR="00367047" w:rsidRPr="00367047" w:rsidRDefault="00367047" w:rsidP="00701575">
      <w:pPr>
        <w:jc w:val="center"/>
        <w:rPr>
          <w:rFonts w:eastAsia="Calibri"/>
          <w:szCs w:val="28"/>
        </w:rPr>
      </w:pPr>
    </w:p>
    <w:p w14:paraId="50DC1920" w14:textId="77777777" w:rsidR="00367047" w:rsidRPr="00367047" w:rsidRDefault="00367047" w:rsidP="00701575">
      <w:pPr>
        <w:jc w:val="center"/>
        <w:rPr>
          <w:rFonts w:eastAsia="Calibri"/>
          <w:i/>
          <w:szCs w:val="28"/>
        </w:rPr>
      </w:pPr>
    </w:p>
    <w:p w14:paraId="23FF351B" w14:textId="77777777" w:rsidR="00367047" w:rsidRPr="00367047" w:rsidRDefault="00367047" w:rsidP="00701575">
      <w:pPr>
        <w:jc w:val="center"/>
        <w:rPr>
          <w:rFonts w:eastAsia="Calibri"/>
          <w:i/>
          <w:szCs w:val="28"/>
        </w:rPr>
      </w:pPr>
    </w:p>
    <w:p w14:paraId="10A519D7" w14:textId="3A951233" w:rsidR="00367047" w:rsidRPr="004832B6" w:rsidRDefault="00367047" w:rsidP="00701575">
      <w:pPr>
        <w:jc w:val="center"/>
        <w:rPr>
          <w:rFonts w:eastAsia="Calibri"/>
          <w:i/>
          <w:szCs w:val="28"/>
          <w:lang w:val="es-CO"/>
        </w:rPr>
      </w:pPr>
      <w:r w:rsidRPr="004832B6">
        <w:rPr>
          <w:rStyle w:val="Textoennegrita"/>
          <w:b w:val="0"/>
          <w:bCs w:val="0"/>
          <w:lang w:val="es-CO"/>
        </w:rPr>
        <w:t>RICHARD STEVE RAMÍREZ GRISALES</w:t>
      </w:r>
    </w:p>
    <w:p w14:paraId="28DCF618" w14:textId="77777777" w:rsidR="00367047" w:rsidRPr="00367047" w:rsidRDefault="00367047" w:rsidP="00701575">
      <w:pPr>
        <w:jc w:val="center"/>
        <w:rPr>
          <w:rFonts w:eastAsia="Calibri"/>
          <w:szCs w:val="28"/>
        </w:rPr>
      </w:pPr>
      <w:r w:rsidRPr="00367047">
        <w:rPr>
          <w:rFonts w:eastAsia="Calibri"/>
          <w:szCs w:val="28"/>
        </w:rPr>
        <w:t xml:space="preserve">Magistrado </w:t>
      </w:r>
      <w:r w:rsidRPr="004832B6">
        <w:rPr>
          <w:rStyle w:val="Textoennegrita"/>
          <w:b w:val="0"/>
          <w:bCs w:val="0"/>
          <w:lang w:val="es-CO"/>
        </w:rPr>
        <w:t>(E)</w:t>
      </w:r>
    </w:p>
    <w:p w14:paraId="7405CA1F" w14:textId="77777777" w:rsidR="00367047" w:rsidRDefault="00367047" w:rsidP="00701575">
      <w:pPr>
        <w:jc w:val="center"/>
        <w:rPr>
          <w:rFonts w:eastAsia="Calibri"/>
          <w:szCs w:val="28"/>
        </w:rPr>
      </w:pPr>
    </w:p>
    <w:p w14:paraId="1D27F3AF" w14:textId="77777777" w:rsidR="00DD5817" w:rsidRPr="00367047" w:rsidRDefault="00DD5817" w:rsidP="00701575">
      <w:pPr>
        <w:jc w:val="center"/>
        <w:rPr>
          <w:rFonts w:eastAsia="Calibri"/>
          <w:szCs w:val="28"/>
        </w:rPr>
      </w:pPr>
    </w:p>
    <w:p w14:paraId="20BC541F" w14:textId="77777777" w:rsidR="00367047" w:rsidRPr="00367047" w:rsidRDefault="00367047" w:rsidP="00701575">
      <w:pPr>
        <w:jc w:val="center"/>
        <w:rPr>
          <w:rFonts w:eastAsia="Calibri"/>
          <w:szCs w:val="28"/>
        </w:rPr>
      </w:pPr>
    </w:p>
    <w:p w14:paraId="73F3F10A" w14:textId="77777777" w:rsidR="00367047" w:rsidRPr="00367047" w:rsidRDefault="00367047" w:rsidP="00701575">
      <w:pPr>
        <w:jc w:val="center"/>
        <w:rPr>
          <w:rFonts w:eastAsia="Calibri"/>
          <w:szCs w:val="28"/>
        </w:rPr>
      </w:pPr>
      <w:r w:rsidRPr="00367047">
        <w:rPr>
          <w:rFonts w:eastAsia="Calibri"/>
          <w:szCs w:val="28"/>
        </w:rPr>
        <w:t>DIANA FAJARDO RIVERA</w:t>
      </w:r>
    </w:p>
    <w:p w14:paraId="70730D48" w14:textId="77777777" w:rsidR="00367047" w:rsidRPr="00367047" w:rsidRDefault="00367047" w:rsidP="00701575">
      <w:pPr>
        <w:jc w:val="center"/>
        <w:rPr>
          <w:rFonts w:eastAsia="Calibri"/>
          <w:szCs w:val="28"/>
        </w:rPr>
      </w:pPr>
      <w:r w:rsidRPr="00367047">
        <w:rPr>
          <w:rFonts w:eastAsia="Calibri"/>
          <w:szCs w:val="28"/>
        </w:rPr>
        <w:t>Magistrada</w:t>
      </w:r>
    </w:p>
    <w:p w14:paraId="08D17EB7" w14:textId="77777777" w:rsidR="00367047" w:rsidRPr="00367047" w:rsidRDefault="00367047" w:rsidP="00701575">
      <w:pPr>
        <w:jc w:val="center"/>
        <w:rPr>
          <w:rFonts w:eastAsia="Calibri"/>
          <w:szCs w:val="28"/>
        </w:rPr>
      </w:pPr>
    </w:p>
    <w:p w14:paraId="4112B822" w14:textId="77777777" w:rsidR="00367047" w:rsidRPr="00367047" w:rsidRDefault="00367047" w:rsidP="00701575">
      <w:pPr>
        <w:jc w:val="center"/>
        <w:rPr>
          <w:rFonts w:eastAsia="Calibri"/>
          <w:szCs w:val="28"/>
        </w:rPr>
      </w:pPr>
    </w:p>
    <w:p w14:paraId="062EC45A" w14:textId="77777777" w:rsidR="00367047" w:rsidRPr="00367047" w:rsidRDefault="00367047" w:rsidP="00701575">
      <w:pPr>
        <w:jc w:val="center"/>
        <w:rPr>
          <w:rFonts w:eastAsia="Calibri"/>
          <w:szCs w:val="28"/>
        </w:rPr>
      </w:pPr>
    </w:p>
    <w:p w14:paraId="4B2F558F" w14:textId="77777777" w:rsidR="00367047" w:rsidRPr="00367047" w:rsidRDefault="00367047" w:rsidP="00701575">
      <w:pPr>
        <w:jc w:val="center"/>
        <w:rPr>
          <w:rFonts w:eastAsia="Calibri"/>
          <w:szCs w:val="28"/>
        </w:rPr>
      </w:pPr>
      <w:r w:rsidRPr="00367047">
        <w:rPr>
          <w:rFonts w:eastAsia="Calibri"/>
          <w:szCs w:val="28"/>
        </w:rPr>
        <w:t>LUIS GUILLERMO GUERRERO PÉREZ</w:t>
      </w:r>
    </w:p>
    <w:p w14:paraId="71F236DF" w14:textId="77777777" w:rsidR="00367047" w:rsidRPr="00367047" w:rsidRDefault="00367047" w:rsidP="00701575">
      <w:pPr>
        <w:jc w:val="center"/>
        <w:rPr>
          <w:rFonts w:eastAsia="Calibri"/>
          <w:szCs w:val="28"/>
        </w:rPr>
      </w:pPr>
      <w:r w:rsidRPr="00367047">
        <w:rPr>
          <w:rFonts w:eastAsia="Calibri"/>
          <w:szCs w:val="28"/>
        </w:rPr>
        <w:t>Magistrado</w:t>
      </w:r>
    </w:p>
    <w:p w14:paraId="66A086E7" w14:textId="77777777" w:rsidR="00DD5817" w:rsidRDefault="00DD5817" w:rsidP="00701575">
      <w:pPr>
        <w:jc w:val="center"/>
        <w:rPr>
          <w:rFonts w:eastAsia="Calibri"/>
          <w:szCs w:val="28"/>
        </w:rPr>
      </w:pPr>
    </w:p>
    <w:p w14:paraId="3764380A" w14:textId="77777777" w:rsidR="00DD5817" w:rsidRDefault="00DD5817" w:rsidP="00701575">
      <w:pPr>
        <w:jc w:val="center"/>
        <w:rPr>
          <w:rFonts w:eastAsia="Calibri"/>
          <w:szCs w:val="28"/>
        </w:rPr>
      </w:pPr>
    </w:p>
    <w:p w14:paraId="1AC6B598" w14:textId="77777777" w:rsidR="00DD5817" w:rsidRDefault="00DD5817" w:rsidP="00701575">
      <w:pPr>
        <w:jc w:val="center"/>
        <w:rPr>
          <w:rFonts w:eastAsia="Calibri"/>
          <w:szCs w:val="28"/>
        </w:rPr>
      </w:pPr>
    </w:p>
    <w:p w14:paraId="54315984" w14:textId="77777777" w:rsidR="00367047" w:rsidRPr="00367047" w:rsidRDefault="00367047" w:rsidP="00701575">
      <w:pPr>
        <w:jc w:val="center"/>
        <w:rPr>
          <w:rFonts w:eastAsia="Calibri"/>
          <w:szCs w:val="28"/>
        </w:rPr>
      </w:pPr>
      <w:r w:rsidRPr="00367047">
        <w:rPr>
          <w:rFonts w:eastAsia="Calibri"/>
          <w:szCs w:val="28"/>
        </w:rPr>
        <w:t>ALEJANDRO LINARES CANTILLO</w:t>
      </w:r>
    </w:p>
    <w:p w14:paraId="0443F9DE" w14:textId="77777777" w:rsidR="00367047" w:rsidRPr="00367047" w:rsidRDefault="00367047" w:rsidP="00701575">
      <w:pPr>
        <w:jc w:val="center"/>
        <w:rPr>
          <w:rFonts w:eastAsia="Calibri"/>
          <w:szCs w:val="28"/>
        </w:rPr>
      </w:pPr>
      <w:r w:rsidRPr="00367047">
        <w:rPr>
          <w:rFonts w:eastAsia="Calibri"/>
          <w:szCs w:val="28"/>
        </w:rPr>
        <w:t>Magistrado</w:t>
      </w:r>
    </w:p>
    <w:p w14:paraId="3ED5761E" w14:textId="77777777" w:rsidR="00367047" w:rsidRPr="00701575" w:rsidRDefault="0031597C" w:rsidP="00701575">
      <w:pPr>
        <w:jc w:val="center"/>
        <w:rPr>
          <w:rFonts w:eastAsia="Calibri"/>
          <w:i/>
          <w:iCs/>
          <w:szCs w:val="28"/>
        </w:rPr>
      </w:pPr>
      <w:r w:rsidRPr="00701575">
        <w:rPr>
          <w:rFonts w:eastAsia="Calibri"/>
          <w:i/>
          <w:iCs/>
          <w:szCs w:val="28"/>
        </w:rPr>
        <w:t>(</w:t>
      </w:r>
      <w:r w:rsidR="007A7FC5" w:rsidRPr="00701575">
        <w:rPr>
          <w:rFonts w:eastAsia="Calibri"/>
          <w:i/>
          <w:iCs/>
          <w:szCs w:val="28"/>
        </w:rPr>
        <w:t>con a</w:t>
      </w:r>
      <w:r w:rsidRPr="00701575">
        <w:rPr>
          <w:rFonts w:eastAsia="Calibri"/>
          <w:i/>
          <w:iCs/>
          <w:szCs w:val="28"/>
        </w:rPr>
        <w:t>claración de voto)</w:t>
      </w:r>
    </w:p>
    <w:p w14:paraId="1ADF3A1B" w14:textId="77777777" w:rsidR="00367047" w:rsidRPr="00367047" w:rsidRDefault="00367047" w:rsidP="00701575">
      <w:pPr>
        <w:jc w:val="center"/>
        <w:rPr>
          <w:rFonts w:eastAsia="Calibri"/>
          <w:szCs w:val="28"/>
        </w:rPr>
      </w:pPr>
    </w:p>
    <w:p w14:paraId="00C4D868" w14:textId="77777777" w:rsidR="00DD5817" w:rsidRDefault="00DD5817" w:rsidP="00701575">
      <w:pPr>
        <w:jc w:val="center"/>
        <w:rPr>
          <w:rFonts w:eastAsia="Calibri"/>
          <w:szCs w:val="28"/>
        </w:rPr>
      </w:pPr>
    </w:p>
    <w:p w14:paraId="1AAEC2E8" w14:textId="77777777" w:rsidR="00DD5817" w:rsidRDefault="00DD5817" w:rsidP="00701575">
      <w:pPr>
        <w:jc w:val="center"/>
        <w:rPr>
          <w:rFonts w:eastAsia="Calibri"/>
          <w:szCs w:val="28"/>
        </w:rPr>
      </w:pPr>
    </w:p>
    <w:p w14:paraId="3D780FCE" w14:textId="77777777" w:rsidR="00367047" w:rsidRPr="00367047" w:rsidRDefault="00367047" w:rsidP="00701575">
      <w:pPr>
        <w:jc w:val="center"/>
        <w:rPr>
          <w:rFonts w:eastAsia="Calibri"/>
          <w:szCs w:val="28"/>
        </w:rPr>
      </w:pPr>
      <w:r w:rsidRPr="00367047">
        <w:rPr>
          <w:rFonts w:eastAsia="Calibri"/>
          <w:szCs w:val="28"/>
        </w:rPr>
        <w:t>ANTONIO JOSÉ LIZARAZO OCAMPO</w:t>
      </w:r>
    </w:p>
    <w:p w14:paraId="420328CA" w14:textId="77777777" w:rsidR="00367047" w:rsidRPr="00367047" w:rsidRDefault="00367047" w:rsidP="00701575">
      <w:pPr>
        <w:jc w:val="center"/>
        <w:rPr>
          <w:rFonts w:eastAsia="Calibri"/>
          <w:szCs w:val="28"/>
        </w:rPr>
      </w:pPr>
      <w:r w:rsidRPr="00367047">
        <w:rPr>
          <w:rFonts w:eastAsia="Calibri"/>
          <w:szCs w:val="28"/>
        </w:rPr>
        <w:t>Magistrado</w:t>
      </w:r>
    </w:p>
    <w:p w14:paraId="0E40B28A" w14:textId="77777777" w:rsidR="0031597C" w:rsidRPr="00701575" w:rsidRDefault="0031597C" w:rsidP="00701575">
      <w:pPr>
        <w:jc w:val="center"/>
        <w:rPr>
          <w:rFonts w:eastAsia="Calibri"/>
          <w:i/>
          <w:iCs/>
          <w:szCs w:val="28"/>
        </w:rPr>
      </w:pPr>
      <w:r w:rsidRPr="00701575">
        <w:rPr>
          <w:rFonts w:eastAsia="Calibri"/>
          <w:i/>
          <w:iCs/>
          <w:szCs w:val="28"/>
        </w:rPr>
        <w:t>(</w:t>
      </w:r>
      <w:r w:rsidR="007A7FC5" w:rsidRPr="00701575">
        <w:rPr>
          <w:rFonts w:eastAsia="Calibri"/>
          <w:i/>
          <w:iCs/>
          <w:szCs w:val="28"/>
        </w:rPr>
        <w:t>con a</w:t>
      </w:r>
      <w:r w:rsidRPr="00701575">
        <w:rPr>
          <w:rFonts w:eastAsia="Calibri"/>
          <w:i/>
          <w:iCs/>
          <w:szCs w:val="28"/>
        </w:rPr>
        <w:t>claración de voto)</w:t>
      </w:r>
    </w:p>
    <w:p w14:paraId="630E13D9" w14:textId="77777777" w:rsidR="00367047" w:rsidRPr="00367047" w:rsidRDefault="00367047" w:rsidP="00701575">
      <w:pPr>
        <w:jc w:val="center"/>
        <w:rPr>
          <w:rFonts w:eastAsia="Calibri"/>
          <w:i/>
          <w:szCs w:val="28"/>
        </w:rPr>
      </w:pPr>
    </w:p>
    <w:p w14:paraId="2E1C631F" w14:textId="77777777" w:rsidR="00367047" w:rsidRPr="00367047" w:rsidRDefault="00367047" w:rsidP="00701575">
      <w:pPr>
        <w:jc w:val="center"/>
        <w:rPr>
          <w:rFonts w:eastAsia="Calibri"/>
          <w:szCs w:val="28"/>
        </w:rPr>
      </w:pPr>
    </w:p>
    <w:p w14:paraId="601417A5" w14:textId="77777777" w:rsidR="00367047" w:rsidRPr="00367047" w:rsidRDefault="00367047" w:rsidP="00701575">
      <w:pPr>
        <w:jc w:val="center"/>
        <w:rPr>
          <w:rFonts w:eastAsia="Calibri"/>
          <w:szCs w:val="28"/>
        </w:rPr>
      </w:pPr>
    </w:p>
    <w:p w14:paraId="7DDC0422" w14:textId="77777777" w:rsidR="00367047" w:rsidRPr="00367047" w:rsidRDefault="00367047" w:rsidP="00701575">
      <w:pPr>
        <w:jc w:val="center"/>
        <w:rPr>
          <w:rFonts w:eastAsia="Calibri"/>
          <w:szCs w:val="28"/>
        </w:rPr>
      </w:pPr>
      <w:r w:rsidRPr="00367047">
        <w:rPr>
          <w:rFonts w:eastAsia="Calibri"/>
          <w:szCs w:val="28"/>
        </w:rPr>
        <w:t>GLORIA STELLA ORTIZ DELGADO</w:t>
      </w:r>
    </w:p>
    <w:p w14:paraId="7C977B78" w14:textId="77777777" w:rsidR="00367047" w:rsidRPr="00367047" w:rsidRDefault="00367047" w:rsidP="00701575">
      <w:pPr>
        <w:jc w:val="center"/>
        <w:rPr>
          <w:rFonts w:eastAsia="Calibri"/>
          <w:szCs w:val="28"/>
        </w:rPr>
      </w:pPr>
      <w:r w:rsidRPr="00367047">
        <w:rPr>
          <w:rFonts w:eastAsia="Calibri"/>
          <w:szCs w:val="28"/>
        </w:rPr>
        <w:t>Magistrada</w:t>
      </w:r>
    </w:p>
    <w:p w14:paraId="5A6892D1" w14:textId="77777777" w:rsidR="00367047" w:rsidRPr="00367047" w:rsidRDefault="00367047" w:rsidP="00701575">
      <w:pPr>
        <w:jc w:val="center"/>
        <w:rPr>
          <w:rFonts w:eastAsia="Calibri"/>
          <w:szCs w:val="28"/>
        </w:rPr>
      </w:pPr>
    </w:p>
    <w:p w14:paraId="04AE1ABE" w14:textId="77777777" w:rsidR="00367047" w:rsidRPr="00367047" w:rsidRDefault="00367047" w:rsidP="00701575">
      <w:pPr>
        <w:jc w:val="center"/>
        <w:rPr>
          <w:rFonts w:eastAsia="Calibri"/>
          <w:szCs w:val="28"/>
        </w:rPr>
      </w:pPr>
    </w:p>
    <w:p w14:paraId="2644AD1D" w14:textId="77777777" w:rsidR="00367047" w:rsidRPr="00367047" w:rsidRDefault="00367047" w:rsidP="00701575">
      <w:pPr>
        <w:jc w:val="center"/>
        <w:rPr>
          <w:rFonts w:eastAsia="Calibri"/>
          <w:szCs w:val="28"/>
        </w:rPr>
      </w:pPr>
    </w:p>
    <w:p w14:paraId="33B1ECF4" w14:textId="77777777" w:rsidR="007A7FC5" w:rsidRPr="00701575" w:rsidRDefault="007A7FC5" w:rsidP="00701575">
      <w:pPr>
        <w:jc w:val="center"/>
        <w:rPr>
          <w:rFonts w:eastAsia="Calibri"/>
          <w:i/>
          <w:iCs/>
          <w:szCs w:val="28"/>
        </w:rPr>
      </w:pPr>
      <w:r w:rsidRPr="00701575">
        <w:rPr>
          <w:rFonts w:eastAsia="Calibri"/>
          <w:i/>
          <w:iCs/>
          <w:szCs w:val="28"/>
        </w:rPr>
        <w:t>(Con impedimento Aceptado)</w:t>
      </w:r>
    </w:p>
    <w:p w14:paraId="4BDC280E" w14:textId="77777777" w:rsidR="00367047" w:rsidRPr="00367047" w:rsidRDefault="00367047" w:rsidP="00701575">
      <w:pPr>
        <w:jc w:val="center"/>
        <w:rPr>
          <w:rFonts w:eastAsia="Calibri"/>
          <w:szCs w:val="28"/>
        </w:rPr>
      </w:pPr>
      <w:r w:rsidRPr="00367047">
        <w:rPr>
          <w:rFonts w:eastAsia="Calibri"/>
          <w:szCs w:val="28"/>
        </w:rPr>
        <w:t>CRISTINA PARDO SCHLESINGER</w:t>
      </w:r>
    </w:p>
    <w:p w14:paraId="57F96BA3" w14:textId="77777777" w:rsidR="00367047" w:rsidRPr="00367047" w:rsidRDefault="00367047" w:rsidP="00701575">
      <w:pPr>
        <w:jc w:val="center"/>
        <w:rPr>
          <w:rFonts w:eastAsia="Calibri"/>
          <w:szCs w:val="28"/>
        </w:rPr>
      </w:pPr>
      <w:r w:rsidRPr="00367047">
        <w:rPr>
          <w:rFonts w:eastAsia="Calibri"/>
          <w:szCs w:val="28"/>
        </w:rPr>
        <w:t>Magistrada</w:t>
      </w:r>
    </w:p>
    <w:p w14:paraId="16A34228" w14:textId="77777777" w:rsidR="00367047" w:rsidRPr="00367047" w:rsidRDefault="00367047" w:rsidP="00701575">
      <w:pPr>
        <w:jc w:val="center"/>
        <w:rPr>
          <w:rFonts w:eastAsia="Calibri"/>
          <w:szCs w:val="28"/>
        </w:rPr>
      </w:pPr>
    </w:p>
    <w:p w14:paraId="0E317D81" w14:textId="77777777" w:rsidR="001F6BD7" w:rsidRDefault="001F6BD7" w:rsidP="00701575">
      <w:pPr>
        <w:jc w:val="center"/>
        <w:rPr>
          <w:rFonts w:eastAsia="Calibri"/>
          <w:szCs w:val="28"/>
        </w:rPr>
      </w:pPr>
    </w:p>
    <w:p w14:paraId="1BA879E2" w14:textId="77777777" w:rsidR="001F6BD7" w:rsidRPr="00367047" w:rsidRDefault="001F6BD7" w:rsidP="00701575">
      <w:pPr>
        <w:jc w:val="center"/>
        <w:rPr>
          <w:rFonts w:eastAsia="Calibri"/>
          <w:szCs w:val="28"/>
        </w:rPr>
      </w:pPr>
    </w:p>
    <w:p w14:paraId="29589989" w14:textId="77777777" w:rsidR="00367047" w:rsidRPr="00367047" w:rsidRDefault="00367047" w:rsidP="00701575">
      <w:pPr>
        <w:jc w:val="center"/>
        <w:rPr>
          <w:rFonts w:eastAsia="Calibri"/>
          <w:szCs w:val="28"/>
        </w:rPr>
      </w:pPr>
      <w:r w:rsidRPr="00367047">
        <w:rPr>
          <w:rFonts w:eastAsia="Calibri"/>
          <w:szCs w:val="28"/>
        </w:rPr>
        <w:t>JOSE FERNANDO REYES CUARTAS</w:t>
      </w:r>
    </w:p>
    <w:p w14:paraId="4706ECB8" w14:textId="77777777" w:rsidR="00367047" w:rsidRPr="00367047" w:rsidRDefault="00367047" w:rsidP="00701575">
      <w:pPr>
        <w:jc w:val="center"/>
        <w:rPr>
          <w:rFonts w:eastAsia="Calibri"/>
          <w:szCs w:val="28"/>
        </w:rPr>
      </w:pPr>
      <w:r w:rsidRPr="00367047">
        <w:rPr>
          <w:rFonts w:eastAsia="Calibri"/>
          <w:szCs w:val="28"/>
        </w:rPr>
        <w:t>Magistrado</w:t>
      </w:r>
    </w:p>
    <w:p w14:paraId="6FB4216A" w14:textId="77777777" w:rsidR="00367047" w:rsidRPr="00367047" w:rsidRDefault="00367047" w:rsidP="00701575">
      <w:pPr>
        <w:jc w:val="center"/>
        <w:rPr>
          <w:rFonts w:eastAsia="Calibri"/>
          <w:szCs w:val="28"/>
        </w:rPr>
      </w:pPr>
    </w:p>
    <w:p w14:paraId="6C72BFCA" w14:textId="77777777" w:rsidR="00367047" w:rsidRPr="00367047" w:rsidRDefault="00367047" w:rsidP="00701575">
      <w:pPr>
        <w:jc w:val="center"/>
        <w:rPr>
          <w:rFonts w:eastAsia="Calibri"/>
          <w:szCs w:val="28"/>
        </w:rPr>
      </w:pPr>
    </w:p>
    <w:p w14:paraId="76931B75" w14:textId="77777777" w:rsidR="00701575" w:rsidRDefault="00701575" w:rsidP="00367047">
      <w:pPr>
        <w:jc w:val="center"/>
        <w:rPr>
          <w:rFonts w:eastAsia="SimSun"/>
          <w:szCs w:val="28"/>
          <w:lang w:val="es-ES_tradnl" w:eastAsia="es-CO"/>
        </w:rPr>
      </w:pPr>
    </w:p>
    <w:p w14:paraId="2DCB8330" w14:textId="03E801A0" w:rsidR="00367047" w:rsidRPr="000E59CE" w:rsidRDefault="00367047" w:rsidP="00367047">
      <w:pPr>
        <w:jc w:val="center"/>
        <w:rPr>
          <w:rFonts w:eastAsia="SimSun"/>
          <w:szCs w:val="28"/>
          <w:lang w:val="es-ES_tradnl" w:eastAsia="es-CO"/>
        </w:rPr>
      </w:pPr>
      <w:r w:rsidRPr="000E59CE">
        <w:rPr>
          <w:rFonts w:eastAsia="SimSun"/>
          <w:szCs w:val="28"/>
          <w:lang w:val="es-ES_tradnl" w:eastAsia="es-CO"/>
        </w:rPr>
        <w:t>MARTHA SACHICA MENDEZ</w:t>
      </w:r>
    </w:p>
    <w:p w14:paraId="737489EC" w14:textId="02D61AF5" w:rsidR="00367047" w:rsidRDefault="00367047" w:rsidP="00367047">
      <w:pPr>
        <w:jc w:val="center"/>
        <w:rPr>
          <w:rFonts w:eastAsia="Calibri"/>
          <w:szCs w:val="28"/>
        </w:rPr>
      </w:pPr>
      <w:r w:rsidRPr="00367047">
        <w:rPr>
          <w:rFonts w:eastAsia="Calibri"/>
          <w:szCs w:val="28"/>
        </w:rPr>
        <w:t xml:space="preserve">Secretaria General </w:t>
      </w:r>
    </w:p>
    <w:p w14:paraId="6AD4CD7E" w14:textId="00DC463A" w:rsidR="003D3265" w:rsidRDefault="003D3265" w:rsidP="00367047">
      <w:pPr>
        <w:jc w:val="center"/>
        <w:rPr>
          <w:rFonts w:eastAsia="Calibri"/>
          <w:szCs w:val="28"/>
        </w:rPr>
      </w:pPr>
    </w:p>
    <w:p w14:paraId="1D7ED565" w14:textId="77777777" w:rsidR="003D3265" w:rsidRPr="00367047" w:rsidRDefault="003D3265" w:rsidP="00367047">
      <w:pPr>
        <w:jc w:val="center"/>
        <w:rPr>
          <w:rFonts w:eastAsia="Calibri"/>
          <w:szCs w:val="28"/>
        </w:rPr>
      </w:pPr>
    </w:p>
    <w:sectPr w:rsidR="003D3265" w:rsidRPr="00367047" w:rsidSect="00CE0661">
      <w:headerReference w:type="even" r:id="rId9"/>
      <w:headerReference w:type="default" r:id="rId10"/>
      <w:pgSz w:w="12240" w:h="18720" w:code="14"/>
      <w:pgMar w:top="1701" w:right="1750" w:bottom="1701" w:left="1701" w:header="1134" w:footer="14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7AE78" w14:textId="77777777" w:rsidR="001E26AB" w:rsidRDefault="001E26AB">
      <w:r>
        <w:separator/>
      </w:r>
    </w:p>
  </w:endnote>
  <w:endnote w:type="continuationSeparator" w:id="0">
    <w:p w14:paraId="52BB69AF" w14:textId="77777777" w:rsidR="001E26AB" w:rsidRDefault="001E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DengXian">
    <w:charset w:val="86"/>
    <w:family w:val="script"/>
    <w:pitch w:val="fixed"/>
    <w:sig w:usb0="800002BF" w:usb1="38CF7CFA"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2D0A5" w14:textId="77777777" w:rsidR="001E26AB" w:rsidRDefault="001E26AB">
      <w:r>
        <w:separator/>
      </w:r>
    </w:p>
  </w:footnote>
  <w:footnote w:type="continuationSeparator" w:id="0">
    <w:p w14:paraId="639255C2" w14:textId="77777777" w:rsidR="001E26AB" w:rsidRDefault="001E26AB">
      <w:r>
        <w:continuationSeparator/>
      </w:r>
    </w:p>
  </w:footnote>
  <w:footnote w:id="1">
    <w:p w14:paraId="0E03D32D" w14:textId="77777777" w:rsidR="004832B6" w:rsidRPr="00152DF9" w:rsidRDefault="004832B6" w:rsidP="00AE1B4A">
      <w:pPr>
        <w:pStyle w:val="Textonotapie"/>
        <w:jc w:val="both"/>
      </w:pPr>
      <w:r w:rsidRPr="00152DF9">
        <w:rPr>
          <w:rStyle w:val="Refdenotaalpie"/>
        </w:rPr>
        <w:footnoteRef/>
      </w:r>
      <w:r w:rsidRPr="00152DF9">
        <w:t xml:space="preserve"> La acción de tutela fue suscrita por el entonces Presidente del Consejo Superior de la Judicatura Edgar Carlos Sanabria Melo, en representación de dicha Corporación.</w:t>
      </w:r>
    </w:p>
  </w:footnote>
  <w:footnote w:id="2">
    <w:p w14:paraId="43C91C7F" w14:textId="77777777" w:rsidR="004832B6" w:rsidRPr="00152DF9" w:rsidRDefault="004832B6" w:rsidP="00AE1B4A">
      <w:pPr>
        <w:pStyle w:val="Textonotapie"/>
        <w:jc w:val="both"/>
      </w:pPr>
      <w:r w:rsidRPr="00152DF9">
        <w:rPr>
          <w:rStyle w:val="Refdenotaalpie"/>
        </w:rPr>
        <w:footnoteRef/>
      </w:r>
      <w:r w:rsidRPr="00152DF9">
        <w:t xml:space="preserve"> </w:t>
      </w:r>
      <w:r w:rsidRPr="00152DF9">
        <w:t xml:space="preserve">Sentencia del Consejo de Estado, Sala Plena de lo Contencioso Administrativo del 6 de febrero de dos mil dieciocho (2018) Consejera Ponente: Stella Conto Diaz del Castillo. Salvamento de voto de los Consejeros Lucy Jeannette Bermúdez Bermúdez y César Palomino Cortes, y de los Consejeros Carlos Enrique Moreno Rubio, Alberto Yepes Barreiro, María Elizabeth García González, William Hernández Gómez y Marta Nubia Velázquez Rico. </w:t>
      </w:r>
    </w:p>
  </w:footnote>
  <w:footnote w:id="3">
    <w:p w14:paraId="155701FD" w14:textId="77777777" w:rsidR="004832B6" w:rsidRPr="00152DF9" w:rsidRDefault="004832B6" w:rsidP="00AE1B4A">
      <w:pPr>
        <w:pStyle w:val="Textonotapie"/>
        <w:jc w:val="both"/>
      </w:pPr>
      <w:r w:rsidRPr="00152DF9">
        <w:rPr>
          <w:rStyle w:val="Refdenotaalpie"/>
        </w:rPr>
        <w:footnoteRef/>
      </w:r>
      <w:r w:rsidRPr="00152DF9">
        <w:t xml:space="preserve"> </w:t>
      </w:r>
      <w:bookmarkStart w:id="1" w:name="_Hlk24012685"/>
      <w:r w:rsidRPr="00152DF9">
        <w:t xml:space="preserve">M.P. Luis Guillermo Guerrero Pérez. </w:t>
      </w:r>
      <w:bookmarkEnd w:id="1"/>
    </w:p>
  </w:footnote>
  <w:footnote w:id="4">
    <w:p w14:paraId="45F4162F" w14:textId="77777777" w:rsidR="004832B6" w:rsidRPr="00152DF9" w:rsidRDefault="004832B6" w:rsidP="00AE1B4A">
      <w:pPr>
        <w:pStyle w:val="Textonotapie"/>
        <w:rPr>
          <w:lang w:val="es-CO"/>
        </w:rPr>
      </w:pPr>
      <w:r w:rsidRPr="00152DF9">
        <w:rPr>
          <w:rStyle w:val="Refdenotaalpie"/>
        </w:rPr>
        <w:footnoteRef/>
      </w:r>
      <w:r w:rsidRPr="00152DF9">
        <w:t xml:space="preserve"> </w:t>
      </w:r>
      <w:r w:rsidRPr="00152DF9">
        <w:rPr>
          <w:lang w:val="es-CO"/>
        </w:rPr>
        <w:t xml:space="preserve">Cfr.  Acción de tutela. Folio 14, Cuaderno No 1. </w:t>
      </w:r>
    </w:p>
  </w:footnote>
  <w:footnote w:id="5">
    <w:p w14:paraId="4003E9A8" w14:textId="77777777" w:rsidR="004832B6" w:rsidRPr="00152DF9" w:rsidRDefault="004832B6" w:rsidP="00AE1B4A">
      <w:pPr>
        <w:pStyle w:val="Textonotapie"/>
        <w:jc w:val="both"/>
      </w:pPr>
      <w:r w:rsidRPr="00152DF9">
        <w:rPr>
          <w:rStyle w:val="Refdenotaalpie"/>
        </w:rPr>
        <w:footnoteRef/>
      </w:r>
      <w:r w:rsidRPr="00152DF9">
        <w:t xml:space="preserve"> </w:t>
      </w:r>
      <w:r w:rsidRPr="00152DF9">
        <w:rPr>
          <w:i/>
        </w:rPr>
        <w:t>“[P]or medio del cual se adopta una reforma de equilibrio de poderes y reajuste institucional y se dictan otras disposiciones</w:t>
      </w:r>
      <w:r w:rsidRPr="00152DF9">
        <w:t>”.</w:t>
      </w:r>
    </w:p>
  </w:footnote>
  <w:footnote w:id="6">
    <w:p w14:paraId="7127B10A" w14:textId="77777777" w:rsidR="004832B6" w:rsidRPr="00672FB7" w:rsidRDefault="004832B6" w:rsidP="00AE1B4A">
      <w:pPr>
        <w:pStyle w:val="Textonotapie"/>
        <w:jc w:val="both"/>
        <w:rPr>
          <w:lang w:val="es-CO"/>
        </w:rPr>
      </w:pPr>
      <w:r w:rsidRPr="00152DF9">
        <w:rPr>
          <w:rStyle w:val="Refdenotaalpie"/>
        </w:rPr>
        <w:footnoteRef/>
      </w:r>
      <w:r w:rsidRPr="00152DF9">
        <w:t xml:space="preserve"> </w:t>
      </w:r>
      <w:r w:rsidRPr="00152DF9">
        <w:t>M.P.</w:t>
      </w:r>
      <w:r>
        <w:rPr>
          <w:lang w:val="es-CO"/>
        </w:rPr>
        <w:t xml:space="preserve"> </w:t>
      </w:r>
      <w:r w:rsidRPr="00152DF9">
        <w:t xml:space="preserve">Luis Guillermo Guerrero Pérez. </w:t>
      </w:r>
      <w:r w:rsidRPr="002541D5">
        <w:rPr>
          <w:lang w:val="es-CO"/>
        </w:rPr>
        <w:t>Salvamento de Voto del magistrado Alejandro Linares (Incumplimiento de las condiciones mínimas de la demanda de inconstitucionalidad, diferencias importantes con la teoría de la sustitución constitucional, aparente aplicación indebida de la teoría de la sustitución en el caso concreto y desborde de las competencias de la Corte Constitucional); Salvamento de voto parcial de la magistrada María Victoria Calle Correa (diferencias con la integración judicial de los normas constitucionales y con la aplicación del juicio de sustitución constitucional); Salvamento parcial de voto del magistrado Alberto Rojas Ríos y Aclaración de Voto del magistrado Jorge Ignacio Pretelt Chaljub.</w:t>
      </w:r>
      <w:r>
        <w:rPr>
          <w:lang w:val="es-CO"/>
        </w:rPr>
        <w:t xml:space="preserve"> </w:t>
      </w:r>
    </w:p>
  </w:footnote>
  <w:footnote w:id="7">
    <w:p w14:paraId="1ABFB2C3" w14:textId="77777777" w:rsidR="004832B6" w:rsidRPr="00152DF9" w:rsidRDefault="004832B6" w:rsidP="00AE1B4A">
      <w:pPr>
        <w:pStyle w:val="Textonotapie"/>
        <w:jc w:val="both"/>
      </w:pPr>
      <w:r w:rsidRPr="00152DF9">
        <w:rPr>
          <w:rStyle w:val="Refdenotaalpie"/>
        </w:rPr>
        <w:footnoteRef/>
      </w:r>
      <w:r w:rsidRPr="00152DF9">
        <w:t xml:space="preserve"> </w:t>
      </w:r>
      <w:r w:rsidRPr="00152DF9">
        <w:t>El Acto Legislativo 02 en esta disposición modificaba el contenido del artículo 254 de la Carta y atribuía funciones al Consejo de Gobierno Judicial y a la Gerencia de la Rama Judicial. La sentencia C-285 de 2016 frente a ese artículo, señaló lo siguiente: “</w:t>
      </w:r>
      <w:r w:rsidRPr="00152DF9">
        <w:rPr>
          <w:shd w:val="clear" w:color="auto" w:fill="FFFFFF"/>
        </w:rPr>
        <w:t>Declarar </w:t>
      </w:r>
      <w:r w:rsidRPr="00152DF9">
        <w:rPr>
          <w:b/>
          <w:bCs/>
          <w:bdr w:val="none" w:sz="0" w:space="0" w:color="auto" w:frame="1"/>
          <w:shd w:val="clear" w:color="auto" w:fill="FFFFFF"/>
        </w:rPr>
        <w:t>INEXEQUIBLE</w:t>
      </w:r>
      <w:r w:rsidRPr="00152DF9">
        <w:rPr>
          <w:shd w:val="clear" w:color="auto" w:fill="FFFFFF"/>
        </w:rPr>
        <w:t xml:space="preserve"> el artículo 15 del Acto Legislativo 02 de 2015, </w:t>
      </w:r>
      <w:r w:rsidRPr="00152DF9">
        <w:rPr>
          <w:u w:val="single"/>
          <w:shd w:val="clear" w:color="auto" w:fill="FFFFFF"/>
        </w:rPr>
        <w:t>salvo en lo que tiene que ver con la derogatoria tácita del numeral 2º del artículo 254 de la Constitución, en relación con la cual la Corte se </w:t>
      </w:r>
      <w:r w:rsidRPr="00152DF9">
        <w:rPr>
          <w:b/>
          <w:bCs/>
          <w:u w:val="single"/>
          <w:bdr w:val="none" w:sz="0" w:space="0" w:color="auto" w:frame="1"/>
          <w:shd w:val="clear" w:color="auto" w:fill="FFFFFF"/>
        </w:rPr>
        <w:t>INHIBE</w:t>
      </w:r>
      <w:r w:rsidRPr="00152DF9">
        <w:rPr>
          <w:u w:val="single"/>
          <w:shd w:val="clear" w:color="auto" w:fill="FFFFFF"/>
        </w:rPr>
        <w:t> de pronunciarse de fondo por ineptitud sustantiva de la demanda</w:t>
      </w:r>
      <w:r w:rsidRPr="00152DF9">
        <w:rPr>
          <w:shd w:val="clear" w:color="auto" w:fill="FFFFFF"/>
        </w:rPr>
        <w:t>. En consecuencia, de conformidad con lo expuesto en la parte motiva de esta providencia, el artículo 254 de la Carta Política quedará así: </w:t>
      </w:r>
      <w:r w:rsidRPr="00152DF9">
        <w:rPr>
          <w:i/>
          <w:iCs/>
          <w:bdr w:val="none" w:sz="0" w:space="0" w:color="auto" w:frame="1"/>
          <w:shd w:val="clear" w:color="auto" w:fill="FFFFFF"/>
        </w:rPr>
        <w:t>“Artículo 254. El Consejo Superior de la Judicatura estará integrado por seis magistrados elegidos para un período de ocho años, así: dos por la Corte Suprema de Justicia, uno por la Corte Constitucional y tres por el Consejo de Estado”.</w:t>
      </w:r>
    </w:p>
  </w:footnote>
  <w:footnote w:id="8">
    <w:p w14:paraId="4739AC7F" w14:textId="77777777" w:rsidR="004832B6" w:rsidRPr="00152DF9" w:rsidRDefault="004832B6" w:rsidP="00AE1B4A">
      <w:pPr>
        <w:pStyle w:val="Textonotapie"/>
        <w:jc w:val="both"/>
      </w:pPr>
      <w:r w:rsidRPr="00152DF9">
        <w:rPr>
          <w:rStyle w:val="Refdenotaalpie"/>
        </w:rPr>
        <w:footnoteRef/>
      </w:r>
      <w:r w:rsidRPr="00152DF9">
        <w:t xml:space="preserve"> </w:t>
      </w:r>
      <w:r w:rsidRPr="00152DF9">
        <w:t xml:space="preserve">En este artículo, el Acto Legislativo 02 modificaba el precepto 255 Superior, para establecer reglas relacionadas con la Gerencia de la Rama Judicial. Dijo la sentencia C-285 de 2016 lo siguiente: </w:t>
      </w:r>
      <w:r w:rsidRPr="00152DF9">
        <w:rPr>
          <w:i/>
        </w:rPr>
        <w:t>“</w:t>
      </w:r>
      <w:r w:rsidRPr="00152DF9">
        <w:rPr>
          <w:i/>
          <w:shd w:val="clear" w:color="auto" w:fill="FFFFFF"/>
        </w:rPr>
        <w:t>Declarar </w:t>
      </w:r>
      <w:r w:rsidRPr="00152DF9">
        <w:rPr>
          <w:b/>
          <w:bCs/>
          <w:i/>
          <w:bdr w:val="none" w:sz="0" w:space="0" w:color="auto" w:frame="1"/>
          <w:shd w:val="clear" w:color="auto" w:fill="FFFFFF"/>
        </w:rPr>
        <w:t>INEXEQUIBLE</w:t>
      </w:r>
      <w:r w:rsidRPr="00152DF9">
        <w:rPr>
          <w:i/>
          <w:shd w:val="clear" w:color="auto" w:fill="FFFFFF"/>
        </w:rPr>
        <w:t> el artículo 16, así como los incisos 2º y 6º del artículo 26 del Acto Legislativo 02 de 2015”.</w:t>
      </w:r>
    </w:p>
  </w:footnote>
  <w:footnote w:id="9">
    <w:p w14:paraId="0A9B4CD2" w14:textId="77777777" w:rsidR="004832B6" w:rsidRPr="00152DF9" w:rsidRDefault="004832B6" w:rsidP="00AE1B4A">
      <w:pPr>
        <w:pStyle w:val="Textonotapie"/>
        <w:jc w:val="both"/>
      </w:pPr>
      <w:r w:rsidRPr="00152DF9">
        <w:rPr>
          <w:rStyle w:val="Refdenotaalpie"/>
        </w:rPr>
        <w:footnoteRef/>
      </w:r>
      <w:r w:rsidRPr="00152DF9">
        <w:t xml:space="preserve"> </w:t>
      </w:r>
      <w:r w:rsidRPr="00152DF9">
        <w:t>Este artículo del Acto Legislativo derogaba el artículo 25</w:t>
      </w:r>
      <w:r w:rsidRPr="00152DF9">
        <w:rPr>
          <w:lang w:val="es-CO"/>
        </w:rPr>
        <w:t>6</w:t>
      </w:r>
      <w:r w:rsidRPr="00152DF9">
        <w:t xml:space="preserve"> de la Carta, que establecía las competencias del Consejo Superior de la Judicatura. La providencia constitucional decidió: “</w:t>
      </w:r>
      <w:r w:rsidRPr="00152DF9">
        <w:rPr>
          <w:i/>
        </w:rPr>
        <w:t>Declarar INEXEQUIBLE el artículo 17 del Acto Legislativo 02 de 2015</w:t>
      </w:r>
      <w:r w:rsidRPr="00152DF9">
        <w:rPr>
          <w:i/>
          <w:u w:val="single"/>
        </w:rPr>
        <w:t>, salvo en lo que tiene que ver con la derogatoria, tanto de la expresión “o a los Consejos seccionales, según el caso</w:t>
      </w:r>
      <w:r w:rsidRPr="00152DF9">
        <w:rPr>
          <w:u w:val="single"/>
        </w:rPr>
        <w:t xml:space="preserve">”, </w:t>
      </w:r>
      <w:r w:rsidRPr="00152DF9">
        <w:rPr>
          <w:i/>
          <w:u w:val="single"/>
        </w:rPr>
        <w:t>como de los numerales 3º y 6º del artículo 256 de la Constitución, en relación con lo cual la Corte se INHIBE de pronunciarse de fondo por ineptitud sustantiva de la demanda</w:t>
      </w:r>
      <w:r w:rsidRPr="00152DF9">
        <w:t>”.</w:t>
      </w:r>
    </w:p>
  </w:footnote>
  <w:footnote w:id="10">
    <w:p w14:paraId="02DECF1D" w14:textId="77777777" w:rsidR="004832B6" w:rsidRPr="00152DF9" w:rsidRDefault="004832B6" w:rsidP="00AE1B4A">
      <w:pPr>
        <w:pStyle w:val="Textonotapie"/>
        <w:jc w:val="both"/>
      </w:pPr>
      <w:r w:rsidRPr="00152DF9">
        <w:rPr>
          <w:rStyle w:val="Refdenotaalpie"/>
        </w:rPr>
        <w:footnoteRef/>
      </w:r>
      <w:r w:rsidRPr="00152DF9">
        <w:t xml:space="preserve"> </w:t>
      </w:r>
      <w:r w:rsidRPr="00152DF9">
        <w:t>Este artículo designaba competencias a algunos órganos de la Rama Judicial, para regular el funcionamiento de los órganos de gobierno y administración judicial hasta tanto el Gobierno Nacional presentara una Ley Estatutaria. Del artículo en mención se consideraron exequibles los siguientes apartes: “</w:t>
      </w:r>
      <w:r w:rsidRPr="00152DF9">
        <w:rPr>
          <w:i/>
        </w:rPr>
        <w:t xml:space="preserve">f) Las Salas Administrativas de los Consejos Seccionales de la Judicatura y las Direcciones Ejecutivas Seccionales de Administración Judicial continuarán ejerciendo sus funciones hasta que se expida la ley estatutaria. </w:t>
      </w:r>
      <w:r w:rsidRPr="00152DF9">
        <w:rPr>
          <w:b/>
          <w:i/>
        </w:rPr>
        <w:t>//</w:t>
      </w:r>
      <w:r w:rsidRPr="00152DF9">
        <w:rPr>
          <w:i/>
        </w:rPr>
        <w:t>g) Se garantizarán, sin solución de continuidad, los derechos de carrera de los Magistrados y empleados de las Salas Administrativas de los Consejos Seccionales de la Judicatura, mediante la incorporación, transformación o vinculación en cargos de las corporaciones judiciales o cualquier otro de igual o superior categoría, según lo defina la ley estatutaria. También se garantizan los derechos de carrera de los empleados del Consejo Superior de la Judicatura. //6. La autoridad nominadora para las Comisiones Seccionales de Disciplina Judicial será la Comisión Nacional de Disciplina Judicia</w:t>
      </w:r>
      <w:r w:rsidRPr="00152DF9">
        <w:t xml:space="preserve">l”.  </w:t>
      </w:r>
    </w:p>
  </w:footnote>
  <w:footnote w:id="11">
    <w:p w14:paraId="38BC2F34" w14:textId="77777777" w:rsidR="004832B6" w:rsidRPr="002541D5" w:rsidRDefault="004832B6" w:rsidP="00AE1B4A">
      <w:pPr>
        <w:pStyle w:val="Textonotapie"/>
        <w:jc w:val="both"/>
      </w:pPr>
      <w:r w:rsidRPr="00152DF9">
        <w:rPr>
          <w:rStyle w:val="Refdenotaalpie"/>
        </w:rPr>
        <w:footnoteRef/>
      </w:r>
      <w:r w:rsidRPr="00152DF9">
        <w:t xml:space="preserve"> </w:t>
      </w:r>
      <w:r w:rsidRPr="00152DF9">
        <w:t xml:space="preserve">El artículo está relacionado con Concordancias, Vigencias y Derogatorias. Se declaró la inexequibilidad </w:t>
      </w:r>
      <w:r w:rsidRPr="002541D5">
        <w:t>únicamente en relación con los numerales 3º y 6º de dicha norma.</w:t>
      </w:r>
    </w:p>
  </w:footnote>
  <w:footnote w:id="12">
    <w:p w14:paraId="266BA30E" w14:textId="77777777" w:rsidR="004832B6" w:rsidRPr="00517089" w:rsidRDefault="004832B6" w:rsidP="00AE1B4A">
      <w:pPr>
        <w:pStyle w:val="Textonotapie"/>
        <w:jc w:val="both"/>
      </w:pPr>
      <w:r w:rsidRPr="002541D5">
        <w:rPr>
          <w:rStyle w:val="Refdenotaalpie"/>
        </w:rPr>
        <w:footnoteRef/>
      </w:r>
      <w:r w:rsidRPr="002541D5">
        <w:t xml:space="preserve"> </w:t>
      </w:r>
      <w:r w:rsidRPr="002541D5">
        <w:rPr>
          <w:szCs w:val="28"/>
          <w:bdr w:val="none" w:sz="0" w:space="0" w:color="auto" w:frame="1"/>
          <w:lang w:val="es-CO" w:eastAsia="es-CO"/>
        </w:rPr>
        <w:t>Al respecto la sentencia</w:t>
      </w:r>
      <w:r w:rsidRPr="002541D5">
        <w:rPr>
          <w:iCs/>
          <w:szCs w:val="28"/>
          <w:bdr w:val="none" w:sz="0" w:space="0" w:color="auto" w:frame="1"/>
        </w:rPr>
        <w:t xml:space="preserve"> precisó que la atribución para controlar la constitucionalidad de los actos reformatorios de la Constitución por vicios de trámite y procedimiento -prevista en el artículo 241.1 superior y derivada a su vez de una</w:t>
      </w:r>
      <w:r w:rsidRPr="002541D5">
        <w:rPr>
          <w:szCs w:val="28"/>
          <w:shd w:val="clear" w:color="auto" w:fill="FFFFFF"/>
          <w:lang w:val="es-CO"/>
        </w:rPr>
        <w:t xml:space="preserve"> interpretación textual, sistemática y teleológica de la normativa constitucional relacionada con los artículos 2°, 241 y 379 de la Carta Política-</w:t>
      </w:r>
      <w:r w:rsidRPr="002541D5">
        <w:rPr>
          <w:iCs/>
          <w:szCs w:val="28"/>
          <w:bdr w:val="none" w:sz="0" w:space="0" w:color="auto" w:frame="1"/>
        </w:rPr>
        <w:t xml:space="preserve">, incluye la facultad de evaluar los vicios competenciales de tales actos. </w:t>
      </w:r>
      <w:r w:rsidRPr="002541D5">
        <w:rPr>
          <w:iCs/>
          <w:szCs w:val="28"/>
          <w:bdr w:val="none" w:sz="0" w:space="0" w:color="auto" w:frame="1"/>
        </w:rPr>
        <w:t>Para el caso del Acto Legislativo en mención, se trataba de la supresión aparente de “</w:t>
      </w:r>
      <w:r w:rsidRPr="002541D5">
        <w:rPr>
          <w:i/>
          <w:iCs/>
          <w:szCs w:val="28"/>
          <w:bdr w:val="none" w:sz="0" w:space="0" w:color="auto" w:frame="1"/>
        </w:rPr>
        <w:t>principios transversales y estructurales del ordenamiento superior”.</w:t>
      </w:r>
    </w:p>
  </w:footnote>
  <w:footnote w:id="13">
    <w:p w14:paraId="0A5B0D4E" w14:textId="77777777" w:rsidR="004832B6" w:rsidRPr="00A848FF" w:rsidRDefault="004832B6" w:rsidP="00AE1B4A">
      <w:pPr>
        <w:jc w:val="both"/>
        <w:rPr>
          <w:sz w:val="20"/>
          <w:bdr w:val="none" w:sz="0" w:space="0" w:color="auto" w:frame="1"/>
          <w:lang w:val="es-CO" w:eastAsia="es-CO"/>
        </w:rPr>
      </w:pPr>
      <w:r w:rsidRPr="00A848FF">
        <w:rPr>
          <w:rStyle w:val="Refdenotaalpie"/>
          <w:sz w:val="20"/>
        </w:rPr>
        <w:footnoteRef/>
      </w:r>
      <w:r w:rsidRPr="00A848FF">
        <w:rPr>
          <w:sz w:val="20"/>
        </w:rPr>
        <w:t xml:space="preserve">Dice la Sentencia C-285 de 2016: </w:t>
      </w:r>
      <w:r w:rsidRPr="00A848FF">
        <w:rPr>
          <w:sz w:val="20"/>
          <w:shd w:val="clear" w:color="auto" w:fill="FFFFFF"/>
        </w:rPr>
        <w:t>“[P]rimero, porque, aunque formalmente se crearon dos instancias encargadas del gobierno y administración del poder judicial, desde una perspectiva material no existe un órgano ni un sistema orgánico articulado y cohesionado que pueda ser considerado como una nueva institucionalidad de autogobierno; segundo, porque aunque los entes encargados del gobierno y administración de la Rama se ubicaron dentro de la estructura de la Rama Judicial, al mismo tiempo, su configuración, así como la creación de un sistema orgánico vulnerable a las mediaciones de actores externos, y la deliberada institucionalización de estas interferencias, significa que tales órganos dejan de ser, desde un punto de vista sustancial, endógenos al poder judicial; y finalmente, porque aun cuando en la reforma constitucional se instauró una institucionalidad dentro de la Rama Judicial a la que nominalmente se le asignó la función de dirigirla, la configuración específica de este modelo impide a los órganos correspondientes materializar este rol”. </w:t>
      </w:r>
    </w:p>
  </w:footnote>
  <w:footnote w:id="14">
    <w:p w14:paraId="621A2C2C" w14:textId="77777777" w:rsidR="004832B6" w:rsidRPr="00E81AB6" w:rsidRDefault="004832B6" w:rsidP="00AE1B4A">
      <w:pPr>
        <w:pStyle w:val="Textonotapie"/>
        <w:jc w:val="both"/>
        <w:rPr>
          <w:lang w:val="es-CO"/>
        </w:rPr>
      </w:pPr>
      <w:r w:rsidRPr="00A848FF">
        <w:rPr>
          <w:rStyle w:val="Refdenotaalpie"/>
        </w:rPr>
        <w:footnoteRef/>
      </w:r>
      <w:r w:rsidRPr="00A848FF">
        <w:t>Al respecto, dijo la sentencia C-285 de 2016 lo siguiente: “</w:t>
      </w:r>
      <w:r w:rsidRPr="00A848FF">
        <w:rPr>
          <w:shd w:val="clear" w:color="auto" w:fill="FFFFFF"/>
        </w:rPr>
        <w:t>la Corte optó por limitar el alcance del pronunciamiento judicial</w:t>
      </w:r>
      <w:r w:rsidRPr="00A848FF">
        <w:rPr>
          <w:b/>
          <w:shd w:val="clear" w:color="auto" w:fill="FFFFFF"/>
        </w:rPr>
        <w:t>, sustrayendo del análisis sobre el nuevo esquema de gobierno y administración de la Rama Judicial, las normas relativas a la institucionalidad encargada de la función disciplinaria de los empleados públicos</w:t>
      </w:r>
      <w:r w:rsidRPr="00A848FF">
        <w:rPr>
          <w:shd w:val="clear" w:color="auto" w:fill="FFFFFF"/>
        </w:rPr>
        <w:t xml:space="preserve">. En efecto, aunque en principio el accionante indicó todos los elementos estructurales del escrutinio judicial, señalando el principio transversal y estructural que sirve como estándar del juicio de validez, las razones por las que este principio tiene el status de eje esencial de la Carta Política, y las razones por las que el nuevo diseño orgánico habría comprometido el autogobierno judicial, </w:t>
      </w:r>
      <w:r w:rsidRPr="00A848FF">
        <w:rPr>
          <w:b/>
          <w:shd w:val="clear" w:color="auto" w:fill="FFFFFF"/>
        </w:rPr>
        <w:t xml:space="preserve">tales consideraciones no son aplicables a las normas que suprimieron la Sala Jurisdiccional Disciplinaria del Consejo Superior de la Judicatura y </w:t>
      </w:r>
      <w:r w:rsidRPr="00355CF1">
        <w:rPr>
          <w:b/>
          <w:shd w:val="clear" w:color="auto" w:fill="FFFFFF"/>
        </w:rPr>
        <w:t>que crearon el órgano sustitutivo, y tampoco se formularon cargos específicos en relación con esta normatividad</w:t>
      </w:r>
      <w:r w:rsidRPr="00355CF1">
        <w:rPr>
          <w:shd w:val="clear" w:color="auto" w:fill="FFFFFF"/>
        </w:rPr>
        <w:t>”. </w:t>
      </w:r>
      <w:r w:rsidRPr="00355CF1">
        <w:rPr>
          <w:shd w:val="clear" w:color="auto" w:fill="FFFFFF"/>
          <w:lang w:val="es-CO"/>
        </w:rPr>
        <w:t>(Las negrillas fuera del original).</w:t>
      </w:r>
      <w:r>
        <w:rPr>
          <w:shd w:val="clear" w:color="auto" w:fill="FFFFFF"/>
          <w:lang w:val="es-CO"/>
        </w:rPr>
        <w:t xml:space="preserve"> </w:t>
      </w:r>
    </w:p>
  </w:footnote>
  <w:footnote w:id="15">
    <w:p w14:paraId="211D6EBA" w14:textId="77777777" w:rsidR="004832B6" w:rsidRPr="00A848FF" w:rsidRDefault="004832B6" w:rsidP="00AE1B4A">
      <w:pPr>
        <w:pStyle w:val="Textonotapie"/>
        <w:jc w:val="both"/>
        <w:rPr>
          <w:lang w:val="es-CO"/>
        </w:rPr>
      </w:pPr>
      <w:r w:rsidRPr="00A848FF">
        <w:rPr>
          <w:rStyle w:val="Refdenotaalpie"/>
        </w:rPr>
        <w:footnoteRef/>
      </w:r>
      <w:r w:rsidRPr="00A848FF">
        <w:t xml:space="preserve"> </w:t>
      </w:r>
      <w:r w:rsidRPr="00A848FF">
        <w:rPr>
          <w:i/>
          <w:iCs/>
          <w:shd w:val="clear" w:color="auto" w:fill="FFFFFF"/>
        </w:rPr>
        <w:t>“Artículo 8°. Adiciónese a la Constitución Política el artículo 178-A: (…) La Comisión estará conformada por cinco miembros, elegidos por el Congreso en Pleno para periodos personales de ocho años, de listas enviadas por el Consejo de Gobierno Judicial y elaboradas mediante convocatoria pública adelantada por la Gerencia de la Rama Judicial en los términos que disponga la ley (…).”</w:t>
      </w:r>
    </w:p>
  </w:footnote>
  <w:footnote w:id="16">
    <w:p w14:paraId="012D87C7" w14:textId="77777777" w:rsidR="004832B6" w:rsidRPr="00A848FF" w:rsidRDefault="004832B6" w:rsidP="00AE1B4A">
      <w:pPr>
        <w:pStyle w:val="Textonotapie"/>
        <w:jc w:val="both"/>
        <w:rPr>
          <w:lang w:val="es-CO"/>
        </w:rPr>
      </w:pPr>
      <w:r w:rsidRPr="00A848FF">
        <w:rPr>
          <w:rStyle w:val="Refdenotaalpie"/>
        </w:rPr>
        <w:footnoteRef/>
      </w:r>
      <w:r w:rsidRPr="00A848FF">
        <w:t xml:space="preserve"> </w:t>
      </w:r>
      <w:r w:rsidRPr="00A848FF">
        <w:rPr>
          <w:i/>
          <w:iCs/>
          <w:shd w:val="clear" w:color="auto" w:fill="FFFFFF"/>
        </w:rPr>
        <w:t>“Artículo 231. Los Magistrados de la Corte Suprema de Justicia y del Consejo de Estado serán elegidos por la respectiva Corporación, previa audiencia pública, de lista de diez elegibles enviada por el Consejo de Gobierno Judicial tras una convocatoria pública reglada de conformidad con la ley y adelantada por la Gerencia de la Rama Judicial (…).”</w:t>
      </w:r>
    </w:p>
  </w:footnote>
  <w:footnote w:id="17">
    <w:p w14:paraId="4ABE853B" w14:textId="77777777" w:rsidR="004832B6" w:rsidRPr="00152DF9" w:rsidRDefault="004832B6" w:rsidP="00AE1B4A">
      <w:pPr>
        <w:pStyle w:val="Textonotapie"/>
        <w:jc w:val="both"/>
        <w:rPr>
          <w:lang w:val="es-CO"/>
        </w:rPr>
      </w:pPr>
      <w:r w:rsidRPr="00A848FF">
        <w:rPr>
          <w:rStyle w:val="Refdenotaalpie"/>
        </w:rPr>
        <w:footnoteRef/>
      </w:r>
      <w:r w:rsidRPr="00A848FF">
        <w:t xml:space="preserve"> </w:t>
      </w:r>
      <w:r w:rsidRPr="00A848FF">
        <w:rPr>
          <w:i/>
          <w:iCs/>
          <w:shd w:val="clear" w:color="auto" w:fill="FFFFFF"/>
        </w:rPr>
        <w:t>“Artículo 19. El artículo 257 </w:t>
      </w:r>
      <w:r w:rsidRPr="00A848FF">
        <w:rPr>
          <w:shd w:val="clear" w:color="auto" w:fill="FFFFFF"/>
        </w:rPr>
        <w:t>[A]</w:t>
      </w:r>
      <w:r w:rsidRPr="00A848FF">
        <w:rPr>
          <w:i/>
          <w:iCs/>
          <w:shd w:val="clear" w:color="auto" w:fill="FFFFFF"/>
        </w:rPr>
        <w:t> de la Constitución Política quedará así: Artículo 257. (…) Estará conformada por siete Magistrados, cuatro de los cuales serán elegidos por el Congreso en Pleno de ternas enviadas por el Consejo de Gobierno Judicial previa convocatoria pública reglada adelantada por la Gerencia de la Rama Judicial, y tres de los cuales serán elegidos por el Congreso en Pleno de ternas enviadas por el Presidente de la República, previa convocatoria pública reglada. Tendrán periodos personales de ocho años, y deberán cumplir con los mismos requisitos exigidos para ser Magistrado de la Corte Suprema de Justicia.”</w:t>
      </w:r>
    </w:p>
  </w:footnote>
  <w:footnote w:id="18">
    <w:p w14:paraId="0A09FB29" w14:textId="77777777" w:rsidR="004832B6" w:rsidRPr="00152DF9" w:rsidRDefault="004832B6" w:rsidP="00AE1B4A">
      <w:pPr>
        <w:pStyle w:val="Textonotapie"/>
        <w:jc w:val="both"/>
        <w:rPr>
          <w:lang w:val="es-CO"/>
        </w:rPr>
      </w:pPr>
      <w:r w:rsidRPr="00152DF9">
        <w:rPr>
          <w:rStyle w:val="Refdenotaalpie"/>
        </w:rPr>
        <w:footnoteRef/>
      </w:r>
      <w:r w:rsidRPr="00152DF9">
        <w:t xml:space="preserve"> </w:t>
      </w:r>
      <w:r w:rsidRPr="00152DF9">
        <w:rPr>
          <w:shd w:val="clear" w:color="auto" w:fill="FFFFFF"/>
        </w:rPr>
        <w:t> </w:t>
      </w:r>
      <w:r>
        <w:rPr>
          <w:shd w:val="clear" w:color="auto" w:fill="FFFFFF"/>
        </w:rPr>
        <w:t xml:space="preserve">Si bien el artículo 19 del Acto Legislativo 02 de 2015 modificó el artículo 257 superior, como se explicó </w:t>
      </w:r>
      <w:r w:rsidRPr="00355CF1">
        <w:rPr>
          <w:shd w:val="clear" w:color="auto" w:fill="FFFFFF"/>
        </w:rPr>
        <w:t>previamente</w:t>
      </w:r>
      <w:r w:rsidRPr="00355CF1">
        <w:rPr>
          <w:shd w:val="clear" w:color="auto" w:fill="FFFFFF"/>
          <w:lang w:val="es-CO"/>
        </w:rPr>
        <w:t>,</w:t>
      </w:r>
      <w:r w:rsidRPr="00355CF1">
        <w:rPr>
          <w:shd w:val="clear" w:color="auto" w:fill="FFFFFF"/>
        </w:rPr>
        <w:t xml:space="preserve"> a partir de </w:t>
      </w:r>
      <w:r w:rsidRPr="00355CF1">
        <w:rPr>
          <w:shd w:val="clear" w:color="auto" w:fill="FFFFFF"/>
          <w:lang w:val="es-CO"/>
        </w:rPr>
        <w:t>la Sentencia C-258 de 2016,</w:t>
      </w:r>
      <w:r w:rsidRPr="00355CF1">
        <w:rPr>
          <w:shd w:val="clear" w:color="auto" w:fill="FFFFFF"/>
        </w:rPr>
        <w:t xml:space="preserve"> se ent</w:t>
      </w:r>
      <w:r w:rsidRPr="00355CF1">
        <w:rPr>
          <w:shd w:val="clear" w:color="auto" w:fill="FFFFFF"/>
          <w:lang w:val="es-CO"/>
        </w:rPr>
        <w:t>iende</w:t>
      </w:r>
      <w:r w:rsidRPr="00355CF1">
        <w:rPr>
          <w:shd w:val="clear" w:color="auto" w:fill="FFFFFF"/>
        </w:rPr>
        <w:t xml:space="preserve"> que adicionó el artículo 257A</w:t>
      </w:r>
      <w:r w:rsidRPr="00355CF1">
        <w:rPr>
          <w:shd w:val="clear" w:color="auto" w:fill="FFFFFF"/>
          <w:lang w:val="es-CO"/>
        </w:rPr>
        <w:t>.</w:t>
      </w:r>
    </w:p>
  </w:footnote>
  <w:footnote w:id="19">
    <w:p w14:paraId="3BF500DA" w14:textId="77777777" w:rsidR="004832B6" w:rsidRPr="008B3009" w:rsidRDefault="004832B6" w:rsidP="00AE1B4A">
      <w:pPr>
        <w:pStyle w:val="Textonotapie"/>
      </w:pPr>
      <w:r w:rsidRPr="00355CF1">
        <w:rPr>
          <w:rStyle w:val="Refdenotaalpie"/>
        </w:rPr>
        <w:footnoteRef/>
      </w:r>
      <w:r w:rsidRPr="00355CF1">
        <w:t xml:space="preserve"> </w:t>
      </w:r>
      <w:r w:rsidRPr="00355CF1">
        <w:rPr>
          <w:rFonts w:eastAsia="Calibri"/>
          <w:szCs w:val="28"/>
          <w:lang w:val="es-CO" w:eastAsia="en-US"/>
        </w:rPr>
        <w:t>Los del artículo 19 del A.L. 02 de 2015 (artículo 257A C.P.)</w:t>
      </w:r>
    </w:p>
  </w:footnote>
  <w:footnote w:id="20">
    <w:p w14:paraId="412E846F" w14:textId="77777777" w:rsidR="004832B6" w:rsidRPr="00152DF9" w:rsidRDefault="004832B6" w:rsidP="00AE1B4A">
      <w:pPr>
        <w:jc w:val="both"/>
        <w:rPr>
          <w:sz w:val="20"/>
        </w:rPr>
      </w:pPr>
      <w:r w:rsidRPr="00152DF9">
        <w:rPr>
          <w:rStyle w:val="Refdenotaalpie"/>
          <w:sz w:val="20"/>
        </w:rPr>
        <w:footnoteRef/>
      </w:r>
      <w:r w:rsidRPr="00152DF9">
        <w:rPr>
          <w:sz w:val="20"/>
        </w:rPr>
        <w:t>Como criterios se establecieron los siguientes: a) Los definidos en el Código Iberoamericano de Ética Judicial, adoptado por la Sala Administrativa mediante Circular 3 de 2012, en lo pertinente. Además, b) en cada terna se incluirá, por lo menos, a una mujer, según lo dispone el artículo 6º de la Ley 581 de 2000. Si en la integración final de la Comisión Nacional de Disciplina Judicial hubiere menos de tres mujeres, las ternas subsiguientes estarán conformadas s</w:t>
      </w:r>
      <w:r>
        <w:rPr>
          <w:sz w:val="20"/>
        </w:rPr>
        <w:t>o</w:t>
      </w:r>
      <w:r w:rsidRPr="00152DF9">
        <w:rPr>
          <w:sz w:val="20"/>
        </w:rPr>
        <w:t>lo por mujeres, hasta garantizar en todo tiempo al menos la presencia de tres mujeres en esta Corporación. c) En la conformación de las ternas se observará que los candidatos aseguren probidad, independencia, idoneidad, carácter y solvencia académica y profesional. d) Los aspirantes que se inscriban en la convocatoria para ser ternados por el presidente de la República, no podrán participar simultáneamente en la convocatoria pública del Consejo Superior de la Judicatura. Los servidores públicos no podrán en ejercicio de sus funciones, nombrar, postular, ni contratar con personas con las cuales tengan parentesco hasta el cuarto grado de consanguinidad, segundo de afinidad, primero civil, o con quien estén ligados por matrimonio o unión permanente. Tampoco podrán nombrar ni postular como servidores públicos, ni celebrar contratos estatales, con quienes hubieren intervenido en su postulación o designación, ni con personas que tengan con estas los mismos vínculos señalados en el inciso anterior, salvo los nombramientos que se hagan en aplicación de las normas vigentes sobre ingreso o ascenso por méritos en cargos de carrera. 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En el conjunto de procesos de selección de los magistrados se procurará el criterio de equilibrio entre quienes provienen del ejercicio profesional, de la Rama Judicial y de la academia.</w:t>
      </w:r>
    </w:p>
  </w:footnote>
  <w:footnote w:id="21">
    <w:p w14:paraId="309B7CFA" w14:textId="77777777" w:rsidR="004832B6" w:rsidRPr="00152DF9" w:rsidRDefault="004832B6" w:rsidP="00AE1B4A">
      <w:pPr>
        <w:jc w:val="both"/>
        <w:rPr>
          <w:sz w:val="20"/>
        </w:rPr>
      </w:pPr>
      <w:r w:rsidRPr="00152DF9">
        <w:rPr>
          <w:rStyle w:val="Refdenotaalpie"/>
          <w:sz w:val="20"/>
        </w:rPr>
        <w:footnoteRef/>
      </w:r>
      <w:r w:rsidRPr="00152DF9">
        <w:rPr>
          <w:sz w:val="20"/>
        </w:rPr>
        <w:t xml:space="preserve"> Tales como: 1. Invitación pública 2. Publicación de inscritos y observaciones 3. Preselección 4. Entrevista en Audiencia Pública 5. Conformación de Terna</w:t>
      </w:r>
    </w:p>
  </w:footnote>
  <w:footnote w:id="22">
    <w:p w14:paraId="581656D0" w14:textId="77777777" w:rsidR="004832B6" w:rsidRPr="00152DF9" w:rsidRDefault="004832B6" w:rsidP="00AE1B4A">
      <w:pPr>
        <w:pStyle w:val="Textonotapie"/>
      </w:pPr>
      <w:r w:rsidRPr="00152DF9">
        <w:rPr>
          <w:rStyle w:val="Refdenotaalpie"/>
        </w:rPr>
        <w:footnoteRef/>
      </w:r>
      <w:r w:rsidRPr="00152DF9">
        <w:t xml:space="preserve"> </w:t>
      </w:r>
      <w:r w:rsidRPr="00152DF9">
        <w:t xml:space="preserve">Documentos requeridos y término para anexarlos. </w:t>
      </w:r>
    </w:p>
  </w:footnote>
  <w:footnote w:id="23">
    <w:p w14:paraId="6C0D5B27" w14:textId="77777777" w:rsidR="004832B6" w:rsidRPr="008D4669" w:rsidRDefault="004832B6" w:rsidP="00AE1B4A">
      <w:pPr>
        <w:jc w:val="both"/>
        <w:rPr>
          <w:sz w:val="20"/>
        </w:rPr>
      </w:pPr>
      <w:r w:rsidRPr="00152DF9">
        <w:rPr>
          <w:rStyle w:val="Refdenotaalpie"/>
          <w:sz w:val="20"/>
        </w:rPr>
        <w:footnoteRef/>
      </w:r>
      <w:r w:rsidRPr="00152DF9">
        <w:rPr>
          <w:sz w:val="20"/>
        </w:rPr>
        <w:t xml:space="preserve"> En este caso el Consejo de Estado llegó a la conclusión de que el Decreto 1189 de 2016 no es un decreto autónomo. Sin embargo, el Consejo de Estado propuso cinco razones por las que consideró que era competente para pronunciarse sobre la inconstitucionalidad del decreto, a pesar de que no lo consideraba un reglamento de esa naturaleza: (i) El decreto se fundó en el artículo 257A de la Constitución, por lo que era, en </w:t>
      </w:r>
      <w:r w:rsidRPr="008D4669">
        <w:rPr>
          <w:sz w:val="20"/>
        </w:rPr>
        <w:t xml:space="preserve">apariencia, un reglamento autónomo. (ii) No era posible establecer que se trataba solo de una apariencia, sin llevar a cabo el estudio de fondo que se hizo en la sentencia. (iii) En este caso estaba de por medio el derecho de acceso a la administración de justicia de los accionantes. (iv) Lo que el Consejo de Estado hizo fue un control judicial a la facultad del </w:t>
      </w:r>
      <w:r>
        <w:rPr>
          <w:sz w:val="20"/>
        </w:rPr>
        <w:t>P</w:t>
      </w:r>
      <w:r w:rsidRPr="008D4669">
        <w:rPr>
          <w:sz w:val="20"/>
        </w:rPr>
        <w:t xml:space="preserve">residente. (v) La controversia tenía incidencia en la elección de los primeros </w:t>
      </w:r>
      <w:r>
        <w:rPr>
          <w:sz w:val="20"/>
        </w:rPr>
        <w:t>M</w:t>
      </w:r>
      <w:r w:rsidRPr="008D4669">
        <w:rPr>
          <w:sz w:val="20"/>
        </w:rPr>
        <w:t>agistrados de la Comisión Nacional de Disciplina Judicial.</w:t>
      </w:r>
    </w:p>
  </w:footnote>
  <w:footnote w:id="24">
    <w:p w14:paraId="576ECF18" w14:textId="77777777" w:rsidR="004832B6" w:rsidRPr="008D4669" w:rsidRDefault="004832B6" w:rsidP="00AE1B4A">
      <w:pPr>
        <w:pStyle w:val="Textonotapie"/>
        <w:jc w:val="both"/>
        <w:rPr>
          <w:lang w:val="es-CO"/>
        </w:rPr>
      </w:pPr>
      <w:r w:rsidRPr="008D4669">
        <w:rPr>
          <w:rStyle w:val="Refdenotaalpie"/>
        </w:rPr>
        <w:footnoteRef/>
      </w:r>
      <w:r w:rsidRPr="008D4669">
        <w:rPr>
          <w:lang w:val="es-CO"/>
        </w:rPr>
        <w:t>Sentencia del 5 de diciembre de 2017, Exp. 11001-03-24-000-2016-00484-00 (AI) C.P. Rocío Araujo Oñate.</w:t>
      </w:r>
    </w:p>
  </w:footnote>
  <w:footnote w:id="25">
    <w:p w14:paraId="510BA329" w14:textId="77777777" w:rsidR="004832B6" w:rsidRPr="00152DF9" w:rsidRDefault="004832B6" w:rsidP="00AE1B4A">
      <w:pPr>
        <w:pStyle w:val="Textonotapie"/>
        <w:jc w:val="both"/>
      </w:pPr>
      <w:r w:rsidRPr="008D4669">
        <w:rPr>
          <w:rStyle w:val="Refdenotaalpie"/>
        </w:rPr>
        <w:footnoteRef/>
      </w:r>
      <w:r w:rsidRPr="008D4669">
        <w:t xml:space="preserve"> </w:t>
      </w:r>
      <w:r w:rsidRPr="008D4669">
        <w:t xml:space="preserve">El señor </w:t>
      </w:r>
      <w:r w:rsidRPr="008D4669">
        <w:rPr>
          <w:b/>
        </w:rPr>
        <w:t>Calderón España</w:t>
      </w:r>
      <w:r w:rsidRPr="008D4669">
        <w:t xml:space="preserve"> presentó demanda contra el </w:t>
      </w:r>
      <w:r w:rsidRPr="008D4669">
        <w:rPr>
          <w:b/>
          <w:lang w:val="es-ES_tradnl"/>
        </w:rPr>
        <w:t xml:space="preserve">Acuerdo PSAA16-10548 </w:t>
      </w:r>
      <w:r w:rsidRPr="008D4669">
        <w:rPr>
          <w:lang w:val="es-ES_tradnl"/>
        </w:rPr>
        <w:t xml:space="preserve">y solicitó suspender provisionalmente los efectos del acto censurado y de la convocatoria. Según el demandante, </w:t>
      </w:r>
      <w:r w:rsidRPr="008D4669">
        <w:rPr>
          <w:b/>
          <w:lang w:val="es-ES_tradnl"/>
        </w:rPr>
        <w:t>a partir de la modificación del artículo 126 de la Carta por el Acto Legislativo 02 de 2016 se requiere de ley para la elección de servidores y en el caso de la administración de justicia, Ley estatutaria.</w:t>
      </w:r>
      <w:r w:rsidRPr="008D4669">
        <w:rPr>
          <w:lang w:val="es-ES_tradnl"/>
        </w:rPr>
        <w:t xml:space="preserve"> Por ende, el Acuerdo en mención desconoce los artículos 257 de la Carta (funciones del CSJ), el artículo 126 inciso 4 (Convocatoria pública reglada por la ley) y el literal b) del artículo 152 de la Carta (Ley estatutaria para la administración de Justicia). [Ver, </w:t>
      </w:r>
      <w:r w:rsidRPr="008D4669">
        <w:t>sentencia de 6 de febrero de 2018. C.P. Stella Conto Díaz del Castillo</w:t>
      </w:r>
      <w:r w:rsidRPr="008D4669">
        <w:rPr>
          <w:lang w:val="es-ES_tradnl"/>
        </w:rPr>
        <w:t>].</w:t>
      </w:r>
      <w:r w:rsidRPr="00152DF9">
        <w:rPr>
          <w:lang w:val="es-ES_tradnl"/>
        </w:rPr>
        <w:t xml:space="preserve"> </w:t>
      </w:r>
    </w:p>
  </w:footnote>
  <w:footnote w:id="26">
    <w:p w14:paraId="467F34C2" w14:textId="77777777" w:rsidR="004832B6" w:rsidRPr="008D4669" w:rsidRDefault="004832B6" w:rsidP="00AE1B4A">
      <w:pPr>
        <w:pStyle w:val="Textonotapie"/>
        <w:jc w:val="both"/>
        <w:rPr>
          <w:lang w:val="es-CO"/>
        </w:rPr>
      </w:pPr>
      <w:r w:rsidRPr="008D4669">
        <w:rPr>
          <w:rStyle w:val="Refdenotaalpie"/>
        </w:rPr>
        <w:footnoteRef/>
      </w:r>
      <w:r w:rsidRPr="008D4669">
        <w:t xml:space="preserve">El señor </w:t>
      </w:r>
      <w:r w:rsidRPr="008D4669">
        <w:rPr>
          <w:b/>
        </w:rPr>
        <w:t>Cifuentes Gómez</w:t>
      </w:r>
      <w:r w:rsidRPr="008D4669">
        <w:t xml:space="preserve"> presentó la acción de nulidad por inconstitucionalidad </w:t>
      </w:r>
      <w:r w:rsidRPr="008D4669">
        <w:rPr>
          <w:b/>
        </w:rPr>
        <w:t xml:space="preserve">en contra de la sentencia C-285 de 2016 </w:t>
      </w:r>
      <w:r w:rsidRPr="008D4669">
        <w:t xml:space="preserve">de la Corte Constitucional. </w:t>
      </w:r>
      <w:r w:rsidRPr="008D4669">
        <w:rPr>
          <w:b/>
        </w:rPr>
        <w:t>También solicitó la nulidad de los Acuerdos</w:t>
      </w:r>
      <w:r w:rsidRPr="008D4669">
        <w:t xml:space="preserve"> expedidos por el CSJ esto es, tanto el del reglamento de convocatoria pública para elaborar las ternas, como el que presentó las ternas de candidatos a Magistrado de la Comisión Nacional de Disciplina Judicial. En el primer caso, el demandante considera que la Corte Constitucional se arrogó competencias de constituyente, sin estar habilitada para el efecto</w:t>
      </w:r>
      <w:r w:rsidRPr="008D4669">
        <w:rPr>
          <w:lang w:val="es-CO"/>
        </w:rPr>
        <w:t xml:space="preserve">. </w:t>
      </w:r>
      <w:r w:rsidRPr="008D4669">
        <w:t>Además, al declarar inexequible el artículo 15 del A.L. 02 de 2015, revivió el texto original del artículo 254, de donde se sigue que el Presidente de la República recuperó su facultad de elaborar las 7 ternas que deben ser presentadas al Congreso para la elección de los Magistrados indicados. [</w:t>
      </w:r>
      <w:r w:rsidRPr="008D4669">
        <w:rPr>
          <w:lang w:val="es-CO"/>
        </w:rPr>
        <w:t xml:space="preserve">Ver, </w:t>
      </w:r>
      <w:r w:rsidRPr="008D4669">
        <w:t>Sentencia de 6 de febrero de 2018. C.P. Stella Conto Díaz del Castillo</w:t>
      </w:r>
      <w:r w:rsidRPr="008D4669">
        <w:rPr>
          <w:lang w:val="es-CO"/>
        </w:rPr>
        <w:t>].</w:t>
      </w:r>
    </w:p>
  </w:footnote>
  <w:footnote w:id="27">
    <w:p w14:paraId="1917E0A7" w14:textId="77777777" w:rsidR="004832B6" w:rsidRPr="008D4669" w:rsidRDefault="004832B6" w:rsidP="00AE1B4A">
      <w:pPr>
        <w:pStyle w:val="Textonotapie"/>
        <w:jc w:val="both"/>
      </w:pPr>
      <w:r w:rsidRPr="008D4669">
        <w:rPr>
          <w:rStyle w:val="Refdenotaalpie"/>
        </w:rPr>
        <w:footnoteRef/>
      </w:r>
      <w:r w:rsidRPr="008D4669">
        <w:t xml:space="preserve"> </w:t>
      </w:r>
      <w:r w:rsidRPr="008D4669">
        <w:t xml:space="preserve">La ciudadana </w:t>
      </w:r>
      <w:r w:rsidRPr="008D4669">
        <w:rPr>
          <w:b/>
        </w:rPr>
        <w:t>Vargas Aguilera</w:t>
      </w:r>
      <w:r w:rsidRPr="008D4669">
        <w:t xml:space="preserve"> </w:t>
      </w:r>
      <w:r w:rsidRPr="008D4669">
        <w:rPr>
          <w:lang w:val="es-CO"/>
        </w:rPr>
        <w:t xml:space="preserve">considera que </w:t>
      </w:r>
      <w:r w:rsidRPr="008D4669">
        <w:rPr>
          <w:szCs w:val="24"/>
          <w:lang w:val="es-ES_tradnl"/>
        </w:rPr>
        <w:t xml:space="preserve">la reglamentación para la convocatoria pública debe hacerse mediante Ley estatutaria en virtud del artículo 152 literal b) y 126-4 superior. Además, el C.S.J usurpó las competencias del Congreso al proferir tales acuerdos, por lo que lesionó el artículo 150 Constitucional. </w:t>
      </w:r>
      <w:r w:rsidRPr="008D4669">
        <w:t>[</w:t>
      </w:r>
      <w:bookmarkStart w:id="3" w:name="_Hlk23966250"/>
      <w:r w:rsidRPr="008D4669">
        <w:rPr>
          <w:lang w:val="es-CO"/>
        </w:rPr>
        <w:t xml:space="preserve">Ver, </w:t>
      </w:r>
      <w:r w:rsidRPr="008D4669">
        <w:t>Sentencia de 6 de febrero de 2018. C.P. Stella Conto Díaz del Castillo. Radicación número: 11001-03-24-000-2016-00480-00(AI)</w:t>
      </w:r>
      <w:r w:rsidRPr="008D4669">
        <w:rPr>
          <w:szCs w:val="24"/>
          <w:lang w:val="es-ES_tradnl"/>
        </w:rPr>
        <w:t>].</w:t>
      </w:r>
      <w:bookmarkEnd w:id="3"/>
    </w:p>
  </w:footnote>
  <w:footnote w:id="28">
    <w:p w14:paraId="441228E8" w14:textId="77777777" w:rsidR="004832B6" w:rsidRPr="008D4669" w:rsidRDefault="004832B6" w:rsidP="00AE1B4A">
      <w:pPr>
        <w:pStyle w:val="Textonotapie"/>
        <w:jc w:val="both"/>
      </w:pPr>
      <w:r w:rsidRPr="008D4669">
        <w:rPr>
          <w:rStyle w:val="Refdenotaalpie"/>
        </w:rPr>
        <w:footnoteRef/>
      </w:r>
      <w:r w:rsidRPr="008D4669">
        <w:t xml:space="preserve"> </w:t>
      </w:r>
      <w:r w:rsidRPr="008D4669">
        <w:t>Las referidas acciones de nulidad por inconstitucionalidad fueron acumuladas en el Consejo de Estado, mediante Auto de 9 de marzo de 2017.</w:t>
      </w:r>
    </w:p>
  </w:footnote>
  <w:footnote w:id="29">
    <w:p w14:paraId="07B815A4" w14:textId="77777777" w:rsidR="004832B6" w:rsidRPr="008D4669" w:rsidRDefault="004832B6" w:rsidP="00AE1B4A">
      <w:pPr>
        <w:pStyle w:val="Textonotapie"/>
        <w:jc w:val="both"/>
      </w:pPr>
      <w:r w:rsidRPr="008D4669">
        <w:rPr>
          <w:rStyle w:val="Refdenotaalpie"/>
        </w:rPr>
        <w:footnoteRef/>
      </w:r>
      <w:r w:rsidRPr="008D4669">
        <w:t xml:space="preserve"> </w:t>
      </w:r>
      <w:r w:rsidRPr="008D4669">
        <w:t>Vulneración de los artículos 126 inciso 4º, 152 literal b) y 257 superiores.</w:t>
      </w:r>
    </w:p>
  </w:footnote>
  <w:footnote w:id="30">
    <w:p w14:paraId="3C22E163" w14:textId="77777777" w:rsidR="004832B6" w:rsidRPr="008D4669" w:rsidRDefault="004832B6" w:rsidP="00AE1B4A">
      <w:pPr>
        <w:pStyle w:val="Textonotapie"/>
        <w:jc w:val="both"/>
      </w:pPr>
      <w:r w:rsidRPr="008D4669">
        <w:rPr>
          <w:rStyle w:val="Refdenotaalpie"/>
        </w:rPr>
        <w:footnoteRef/>
      </w:r>
      <w:r w:rsidRPr="008D4669">
        <w:t xml:space="preserve"> </w:t>
      </w:r>
      <w:r w:rsidRPr="008D4669">
        <w:rPr>
          <w:b/>
        </w:rPr>
        <w:t>ARTÍCULO 2º del Acto Legislativo 02 de 2016</w:t>
      </w:r>
      <w:r w:rsidRPr="008D4669">
        <w:t>. “</w:t>
      </w:r>
      <w:r w:rsidRPr="008D4669">
        <w:rPr>
          <w:i/>
        </w:rPr>
        <w:t xml:space="preserve">El artículo 126 de la Constitución Política quedará así: </w:t>
      </w:r>
      <w:r w:rsidRPr="008D4669">
        <w:rPr>
          <w:b/>
          <w:i/>
        </w:rPr>
        <w:t>//</w:t>
      </w:r>
      <w:r w:rsidRPr="008D4669">
        <w:rPr>
          <w:i/>
        </w:rPr>
        <w:t xml:space="preserve">Los servidores públicos no podrán en ejercicio de sus funciones, nombrar, postular, ni contratar con personas con las cuales tengan parentesco hasta el cuarto grado de consanguinidad, segundo de afinidad, primero civil, o con quien estén ligados por matrimonio o unión permanente. </w:t>
      </w:r>
      <w:r w:rsidRPr="008D4669">
        <w:rPr>
          <w:b/>
          <w:i/>
        </w:rPr>
        <w:t>//</w:t>
      </w:r>
      <w:r w:rsidRPr="008D4669">
        <w:rPr>
          <w:i/>
        </w:rPr>
        <w:t xml:space="preserve">Tampoco podrán nombrar ni postular como servidores públicos, ni celebrar contratos estatales, con quienes hubieren intervenido en su postulación o designación, ni con personas que tengan con estas los mismos vínculos señalados en el inciso anterior. </w:t>
      </w:r>
      <w:r w:rsidRPr="008D4669">
        <w:rPr>
          <w:b/>
          <w:i/>
        </w:rPr>
        <w:t>//</w:t>
      </w:r>
      <w:r w:rsidRPr="008D4669">
        <w:rPr>
          <w:i/>
        </w:rPr>
        <w:t xml:space="preserve"> Se exceptúan de lo previsto en este artículo los nombramientos que se hagan en aplicación de las normas vigentes sobre ingreso o ascenso por méritos en cargos de carrera</w:t>
      </w:r>
      <w:r w:rsidRPr="008D4669">
        <w:rPr>
          <w:b/>
          <w:i/>
        </w:rPr>
        <w:t>.// 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r w:rsidRPr="008D4669">
        <w:rPr>
          <w:i/>
        </w:rPr>
        <w:t xml:space="preserve">.// 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 //Magistrado de la Corte Constitucional, de la Corte Suprema de Justicia, del Consejo de Estado, de la Comisión Nacional de Disciplina Judicial, </w:t>
      </w:r>
      <w:r w:rsidRPr="008D4669">
        <w:rPr>
          <w:i/>
          <w:strike/>
        </w:rPr>
        <w:t>Miembro de la Comisión de Aforados</w:t>
      </w:r>
      <w:r w:rsidRPr="008D4669">
        <w:rPr>
          <w:i/>
        </w:rPr>
        <w:t>, Miembro del Consejo Nacional Electoral, Fiscal General de la Nación, Procurador General de la Nación, Defensor del Pueblo, Contralor General de la República y Registrador Nacional del Estado Civil”</w:t>
      </w:r>
      <w:r w:rsidRPr="008D4669">
        <w:t>.</w:t>
      </w:r>
    </w:p>
  </w:footnote>
  <w:footnote w:id="31">
    <w:p w14:paraId="212D5E45" w14:textId="77777777" w:rsidR="004832B6" w:rsidRPr="00152DF9" w:rsidRDefault="004832B6" w:rsidP="00AE1B4A">
      <w:pPr>
        <w:pStyle w:val="Textonotapie"/>
        <w:jc w:val="both"/>
      </w:pPr>
      <w:r w:rsidRPr="008D4669">
        <w:rPr>
          <w:rStyle w:val="Refdenotaalpie"/>
        </w:rPr>
        <w:footnoteRef/>
      </w:r>
      <w:r w:rsidRPr="008D4669">
        <w:t xml:space="preserve"> </w:t>
      </w:r>
      <w:r w:rsidRPr="008D4669">
        <w:t xml:space="preserve">La demandante, como </w:t>
      </w:r>
      <w:r w:rsidRPr="004956A8">
        <w:t xml:space="preserve">ya </w:t>
      </w:r>
      <w:r w:rsidRPr="004956A8">
        <w:rPr>
          <w:lang w:val="es-CO"/>
        </w:rPr>
        <w:t>fue expuesto</w:t>
      </w:r>
      <w:r w:rsidRPr="004956A8">
        <w:t>, planteó el cargo</w:t>
      </w:r>
      <w:r w:rsidRPr="008D4669">
        <w:t xml:space="preserve"> por violación del artículo 150 de la Constitución, por estimar que mediante el Acuerdo PSAA16-10548 de 2016, el Consejo Superior de la Judicatura usurpó la competencia del Congreso de la República para hacer las leyes.</w:t>
      </w:r>
      <w:r w:rsidRPr="00152DF9">
        <w:t xml:space="preserve"> </w:t>
      </w:r>
    </w:p>
  </w:footnote>
  <w:footnote w:id="32">
    <w:p w14:paraId="64864598" w14:textId="77777777" w:rsidR="004832B6" w:rsidRPr="008D4669" w:rsidRDefault="004832B6" w:rsidP="00AE1B4A">
      <w:pPr>
        <w:pStyle w:val="Textonotapie"/>
      </w:pPr>
      <w:r w:rsidRPr="008D4669">
        <w:rPr>
          <w:rStyle w:val="Refdenotaalpie"/>
        </w:rPr>
        <w:footnoteRef/>
      </w:r>
      <w:r w:rsidRPr="008D4669">
        <w:t xml:space="preserve"> </w:t>
      </w:r>
      <w:r w:rsidRPr="008D4669">
        <w:t>Desconocimiento de los artículos 1º, 2º, 3º, y 113 de la Constitución.</w:t>
      </w:r>
    </w:p>
  </w:footnote>
  <w:footnote w:id="33">
    <w:p w14:paraId="0E28D1D5" w14:textId="77777777" w:rsidR="004832B6" w:rsidRPr="008D4669" w:rsidRDefault="004832B6" w:rsidP="00AE1B4A">
      <w:pPr>
        <w:pStyle w:val="Textonotapie"/>
        <w:rPr>
          <w:lang w:val="es-ES"/>
        </w:rPr>
      </w:pPr>
      <w:r w:rsidRPr="008D4669">
        <w:rPr>
          <w:rStyle w:val="Refdenotaalpie"/>
        </w:rPr>
        <w:footnoteRef/>
      </w:r>
      <w:r w:rsidRPr="008D4669">
        <w:t xml:space="preserve"> </w:t>
      </w:r>
      <w:r w:rsidRPr="008D4669">
        <w:t xml:space="preserve">Consejo de Estado. Sala Plena de lo Contencioso Administrativo. Sentencia de 6 de febrero de 2018. C.P. Stella Conto Díaz del Castillo. Radicación número: 11001-03-24-000-2016-00480-00(AI). </w:t>
      </w:r>
    </w:p>
  </w:footnote>
  <w:footnote w:id="34">
    <w:p w14:paraId="4F068449" w14:textId="77777777" w:rsidR="004832B6" w:rsidRPr="008D4669" w:rsidRDefault="004832B6" w:rsidP="00AE1B4A">
      <w:pPr>
        <w:pStyle w:val="Textonotapie"/>
        <w:jc w:val="both"/>
      </w:pPr>
      <w:r w:rsidRPr="008D4669">
        <w:rPr>
          <w:rStyle w:val="Refdenotaalpie"/>
        </w:rPr>
        <w:footnoteRef/>
      </w:r>
      <w:r w:rsidRPr="008D4669">
        <w:t xml:space="preserve"> </w:t>
      </w:r>
      <w:r w:rsidRPr="008D4669">
        <w:t xml:space="preserve">El artículo 15 del Acto Legislativo 02 de 2016 modificaba el artículo 254 superior otorgando competencias al Consejo de Gobierno Judicial y a la Gerencia de la Rama Judicial. Como el artículo fue declarado inexequible, el artículo 254 anterior, pervive. Sin embargo, la </w:t>
      </w:r>
      <w:r w:rsidRPr="004956A8">
        <w:rPr>
          <w:lang w:val="es-CO"/>
        </w:rPr>
        <w:t>S</w:t>
      </w:r>
      <w:r w:rsidRPr="004956A8">
        <w:t>en</w:t>
      </w:r>
      <w:r w:rsidRPr="008D4669">
        <w:t xml:space="preserve">tencia C-285 de 2016, dijo que el numeral segundo original de ese artículo estaba derogado tácitamente, por lo que el contenido del artículo en mención sería el siguiente: </w:t>
      </w:r>
      <w:r w:rsidRPr="008D4669">
        <w:rPr>
          <w:i/>
        </w:rPr>
        <w:t>“ARTÍCULO 254. El Consejo Superior de la Judicatura se dividirá en dos salas:1. La Sala Administrativa, integrada por seis magistrados elegidos para un período de ocho años, así: dos por la Corte Suprema de Justicia, uno por la Corte Constitucional y tres por el Consejo de Estado. [2. &lt;Numeral derogado tácitamente según Sentencia C-285 de 2016&gt; La Sala Jurisdiccional Disciplinaria, integrada por siete magistrados elegidos para un período de ocho años, por el Congreso Nacional de ternas enviadas por el Gobierno. Podrá haber Consejos Seccionales de la Judicatura integrados como lo señale la ley]”.</w:t>
      </w:r>
    </w:p>
  </w:footnote>
  <w:footnote w:id="35">
    <w:p w14:paraId="480DCF4B" w14:textId="77777777" w:rsidR="004832B6" w:rsidRPr="00152DF9" w:rsidRDefault="004832B6" w:rsidP="00AE1B4A">
      <w:pPr>
        <w:pStyle w:val="Textonotapie"/>
        <w:jc w:val="both"/>
      </w:pPr>
      <w:r w:rsidRPr="008D4669">
        <w:rPr>
          <w:rStyle w:val="Refdenotaalpie"/>
        </w:rPr>
        <w:footnoteRef/>
      </w:r>
      <w:r w:rsidRPr="008D4669">
        <w:t xml:space="preserve"> </w:t>
      </w:r>
      <w:r w:rsidRPr="008D4669">
        <w:t>Acción de tutela presentada por el Consejo Superior de la Judicatura en contra del Consejo de Estado. Folio 1, cuaderno 1.</w:t>
      </w:r>
      <w:r w:rsidRPr="00152DF9">
        <w:t xml:space="preserve"> </w:t>
      </w:r>
    </w:p>
  </w:footnote>
  <w:footnote w:id="36">
    <w:p w14:paraId="54D643DD" w14:textId="77777777" w:rsidR="004832B6" w:rsidRPr="00152DF9" w:rsidRDefault="004832B6" w:rsidP="00AE1B4A">
      <w:pPr>
        <w:pStyle w:val="Textonotapie"/>
        <w:jc w:val="both"/>
      </w:pPr>
      <w:r w:rsidRPr="00152DF9">
        <w:rPr>
          <w:rStyle w:val="Refdenotaalpie"/>
        </w:rPr>
        <w:footnoteRef/>
      </w:r>
      <w:r w:rsidRPr="00152DF9">
        <w:t xml:space="preserve"> </w:t>
      </w:r>
      <w:r w:rsidRPr="00152DF9">
        <w:t xml:space="preserve">Intervención de la Dirección Ejecutiva del Consejo Superior de la Judicatura. Citados por: Consejo de Estado. Sala Plena de lo Contencioso Administrativo. Sentencia de 6 de febrero de 2018. C.P. Stella Conto Díaz del Castillo. Radicación número: 11001-03-24-000-2016-00480-00(AI). Fundamentos del 4 y 5 de la sentencia. </w:t>
      </w:r>
    </w:p>
  </w:footnote>
  <w:footnote w:id="37">
    <w:p w14:paraId="3AF66A66" w14:textId="77777777" w:rsidR="004832B6" w:rsidRPr="00152DF9" w:rsidRDefault="004832B6" w:rsidP="00AE1B4A">
      <w:pPr>
        <w:pStyle w:val="Textonotapie"/>
        <w:jc w:val="both"/>
      </w:pPr>
      <w:r w:rsidRPr="00152DF9">
        <w:rPr>
          <w:rStyle w:val="Refdenotaalpie"/>
        </w:rPr>
        <w:footnoteRef/>
      </w:r>
      <w:r w:rsidRPr="00152DF9">
        <w:t xml:space="preserve"> </w:t>
      </w:r>
      <w:r w:rsidRPr="00152DF9">
        <w:t xml:space="preserve">Consejo de Estado, sentencia del 6 de julio de 2016 y auto del 25 de febrero de 2016, M.P. Sandra Lisset Ibarra Vélez. </w:t>
      </w:r>
    </w:p>
  </w:footnote>
  <w:footnote w:id="38">
    <w:p w14:paraId="1A5CA13A" w14:textId="77777777" w:rsidR="004832B6" w:rsidRPr="009B3568" w:rsidRDefault="004832B6" w:rsidP="00AE1B4A">
      <w:pPr>
        <w:pStyle w:val="Textonotapie"/>
        <w:jc w:val="both"/>
      </w:pPr>
      <w:r w:rsidRPr="00152DF9">
        <w:rPr>
          <w:rStyle w:val="Refdenotaalpie"/>
        </w:rPr>
        <w:footnoteRef/>
      </w:r>
      <w:r w:rsidRPr="00152DF9">
        <w:t>Intervención de la</w:t>
      </w:r>
      <w:r w:rsidRPr="00152DF9">
        <w:rPr>
          <w:lang w:val="es-ES_tradnl"/>
        </w:rPr>
        <w:t xml:space="preserve"> Vicepresidencia del Consejo Nacional de la Judicatura y del ciudadano José Yesid Córdoba. Citados por:</w:t>
      </w:r>
      <w:r>
        <w:t xml:space="preserve"> </w:t>
      </w:r>
      <w:r w:rsidRPr="00152DF9">
        <w:t xml:space="preserve">Consejo de Estado. Sala Plena de lo Contencioso Administrativo. Sentencia de 6 de </w:t>
      </w:r>
      <w:r w:rsidRPr="009B3568">
        <w:t>febrero de 2018. C.P. Stella Conto Díaz del Castillo. Radicación número: 11001-03-24-000-2016-00480-00(AI).</w:t>
      </w:r>
    </w:p>
  </w:footnote>
  <w:footnote w:id="39">
    <w:p w14:paraId="6EA1DD33" w14:textId="77777777" w:rsidR="004832B6" w:rsidRPr="006454AA" w:rsidRDefault="004832B6" w:rsidP="00AE1B4A">
      <w:pPr>
        <w:pStyle w:val="Textonotapie"/>
        <w:jc w:val="both"/>
        <w:rPr>
          <w:lang w:val="es-CO"/>
        </w:rPr>
      </w:pPr>
      <w:r w:rsidRPr="009B3568">
        <w:rPr>
          <w:rStyle w:val="Refdenotaalpie"/>
        </w:rPr>
        <w:footnoteRef/>
      </w:r>
      <w:r w:rsidRPr="009B3568">
        <w:t xml:space="preserve"> </w:t>
      </w:r>
      <w:r w:rsidRPr="009B3568">
        <w:rPr>
          <w:lang w:val="es-CO"/>
        </w:rPr>
        <w:t>La providencia original se refiere</w:t>
      </w:r>
      <w:r>
        <w:rPr>
          <w:lang w:val="es-CO"/>
        </w:rPr>
        <w:t>,</w:t>
      </w:r>
      <w:r w:rsidRPr="009B3568">
        <w:rPr>
          <w:lang w:val="es-CO"/>
        </w:rPr>
        <w:t xml:space="preserve"> en la página 15, al Consejo Nacional de la Judicatura, pero debe entenderse, para mayor precisión, Consejo Superior de la Judicatura.</w:t>
      </w:r>
      <w:r>
        <w:rPr>
          <w:lang w:val="es-CO"/>
        </w:rPr>
        <w:t xml:space="preserve"> </w:t>
      </w:r>
    </w:p>
  </w:footnote>
  <w:footnote w:id="40">
    <w:p w14:paraId="52AFD108" w14:textId="77777777" w:rsidR="004832B6" w:rsidRPr="00152DF9" w:rsidRDefault="004832B6" w:rsidP="00AE1B4A">
      <w:pPr>
        <w:pStyle w:val="Textonotapie"/>
        <w:jc w:val="both"/>
      </w:pPr>
      <w:r w:rsidRPr="00152DF9">
        <w:rPr>
          <w:rStyle w:val="Refdenotaalpie"/>
        </w:rPr>
        <w:footnoteRef/>
      </w:r>
      <w:r w:rsidRPr="00152DF9">
        <w:t xml:space="preserve"> </w:t>
      </w:r>
      <w:r w:rsidRPr="00152DF9">
        <w:t xml:space="preserve">Según el interviniente, ello se desprende de la siguiente consideración de la Corte Constitucional en esa sentencia: </w:t>
      </w:r>
      <w:r w:rsidRPr="00361215">
        <w:rPr>
          <w:highlight w:val="lightGray"/>
        </w:rPr>
        <w:t>“es</w:t>
      </w:r>
      <w:r w:rsidRPr="00152DF9">
        <w:t xml:space="preserve"> preciso aclarar que como quiera que en el parágrafo transitorio del artículo 19 en cuestión se dispone un régimen de transición, y en razón de las declaratorias de inexequibilidad que se ha producido, hasta tanto se integre la Comisión Nacional de Disciplina Judicial los actuales magistrados de la Sala Jurisdiccional Disciplinaria del Consejo Superior de la Judicatura, ejercerán únicamente las funciones que les corresponden como integrantes de dicha sala, dado que la Sala Plena del Consejo Superior de la Judicatura ha dejado de existir”.</w:t>
      </w:r>
    </w:p>
  </w:footnote>
  <w:footnote w:id="41">
    <w:p w14:paraId="3DF30223" w14:textId="77777777" w:rsidR="004832B6" w:rsidRPr="00472228" w:rsidRDefault="004832B6" w:rsidP="00AE1B4A">
      <w:pPr>
        <w:pStyle w:val="Textonotapie"/>
        <w:jc w:val="both"/>
      </w:pPr>
      <w:r w:rsidRPr="00472228">
        <w:rPr>
          <w:rStyle w:val="Refdenotaalpie"/>
        </w:rPr>
        <w:footnoteRef/>
      </w:r>
      <w:r w:rsidRPr="00472228">
        <w:t xml:space="preserve">Intervención del Ministerio de Justicia y del Derecho. Citado por: Consejo de Estado. Sala Plena de lo Contencioso Administrativo. Sentencia de 6 de febrero de 2018. C.P. Stella Conto Díaz del Castillo. Radicación número: 11001-03-24-000-2016-00480-00(AI), fundamento jurídico 5 de la providencia. Consejo de Estado. Sala Plena de lo Contencioso Administrativo. Sentencia de 6 de febrero de 2018. C.P. Stella Conto Díaz del Castillo. Radicación número: 11001-03-24-000-2016-00480-00(AI), fundamento jurídico 5 de la providencia. </w:t>
      </w:r>
    </w:p>
  </w:footnote>
  <w:footnote w:id="42">
    <w:p w14:paraId="2EA5D793" w14:textId="77777777" w:rsidR="004832B6" w:rsidRPr="00472228" w:rsidRDefault="004832B6" w:rsidP="00AE1B4A">
      <w:pPr>
        <w:pStyle w:val="Textonotapie"/>
        <w:jc w:val="both"/>
      </w:pPr>
      <w:r w:rsidRPr="00472228">
        <w:rPr>
          <w:rStyle w:val="Refdenotaalpie"/>
        </w:rPr>
        <w:footnoteRef/>
      </w:r>
      <w:r w:rsidRPr="00472228">
        <w:t>Intervención del Ministerio de Justicia y del Derecho. Citado por: Consejo de Estado. Sala Plena de lo Contencioso Administrativo. Sentencia de 6 de febrero de 2018. C.P. Stella Conto Díaz del Castillo. Radicación número: 11001-03-24-000-2016-00480-00(AI), fundamento jurídico 5 (final) de la providencia.</w:t>
      </w:r>
    </w:p>
  </w:footnote>
  <w:footnote w:id="43">
    <w:p w14:paraId="2B4BFA98" w14:textId="77777777" w:rsidR="004832B6" w:rsidRPr="00472228" w:rsidRDefault="004832B6" w:rsidP="00AE1B4A">
      <w:pPr>
        <w:pStyle w:val="Textonotapie"/>
        <w:jc w:val="both"/>
      </w:pPr>
      <w:r w:rsidRPr="00472228">
        <w:rPr>
          <w:rStyle w:val="Refdenotaalpie"/>
        </w:rPr>
        <w:footnoteRef/>
      </w:r>
      <w:r w:rsidRPr="00472228">
        <w:t xml:space="preserve"> </w:t>
      </w:r>
      <w:r w:rsidRPr="00472228">
        <w:t>Intervención del Procurador. Citado por: Consejo de Estado. Sala Plena de lo Contencioso Administrativo. Sentencia de 6 de febrero de 2018. C.P. Stella Conto Díaz del Castillo. Radicación número: 11001-03-24-000-2016-00480-00(AI), fundamento jurídico 7 de la providencia.</w:t>
      </w:r>
    </w:p>
  </w:footnote>
  <w:footnote w:id="44">
    <w:p w14:paraId="1CD96B0B" w14:textId="77777777" w:rsidR="004832B6" w:rsidRPr="00472228" w:rsidRDefault="004832B6" w:rsidP="00AE1B4A">
      <w:pPr>
        <w:pStyle w:val="Textonotapie"/>
        <w:jc w:val="both"/>
      </w:pPr>
      <w:r w:rsidRPr="00472228">
        <w:rPr>
          <w:rStyle w:val="Refdenotaalpie"/>
        </w:rPr>
        <w:footnoteRef/>
      </w:r>
      <w:r w:rsidRPr="00472228">
        <w:t xml:space="preserve"> </w:t>
      </w:r>
      <w:r w:rsidRPr="00472228">
        <w:t>Consejo de Estado. Sala Plena de lo Contencioso Administrativo. Sentencia de 6 de febrero de 2018. Ibídem.</w:t>
      </w:r>
    </w:p>
  </w:footnote>
  <w:footnote w:id="45">
    <w:p w14:paraId="5BEC45F5" w14:textId="77777777" w:rsidR="004832B6" w:rsidRPr="00472228" w:rsidRDefault="004832B6" w:rsidP="00AE1B4A">
      <w:pPr>
        <w:pStyle w:val="Textonotapie"/>
        <w:jc w:val="both"/>
      </w:pPr>
      <w:r w:rsidRPr="00472228">
        <w:rPr>
          <w:rStyle w:val="Refdenotaalpie"/>
        </w:rPr>
        <w:footnoteRef/>
      </w:r>
      <w:r w:rsidRPr="00472228">
        <w:t xml:space="preserve"> </w:t>
      </w:r>
      <w:r w:rsidRPr="00472228">
        <w:t xml:space="preserve">En relación con el Acuerdo PSAA16-10575 de 21 de septiembre de 2016, el Consejo de Estado consideró que este acto administrativo era de trámite y, por ende, </w:t>
      </w:r>
      <w:r w:rsidRPr="00472228">
        <w:rPr>
          <w:i/>
        </w:rPr>
        <w:t>“no resulta susceptible de control judicial”</w:t>
      </w:r>
      <w:r w:rsidRPr="00472228">
        <w:t>.</w:t>
      </w:r>
    </w:p>
  </w:footnote>
  <w:footnote w:id="46">
    <w:p w14:paraId="1244B45A" w14:textId="77777777" w:rsidR="004832B6" w:rsidRPr="008D4669" w:rsidRDefault="004832B6" w:rsidP="00AE1B4A">
      <w:pPr>
        <w:jc w:val="both"/>
        <w:rPr>
          <w:sz w:val="20"/>
          <w:lang w:val="es-ES_tradnl"/>
        </w:rPr>
      </w:pPr>
      <w:r w:rsidRPr="00472228">
        <w:rPr>
          <w:rStyle w:val="Refdenotaalpie"/>
          <w:sz w:val="20"/>
        </w:rPr>
        <w:footnoteRef/>
      </w:r>
      <w:r w:rsidRPr="00472228">
        <w:rPr>
          <w:sz w:val="20"/>
        </w:rPr>
        <w:t xml:space="preserve"> M</w:t>
      </w:r>
      <w:r w:rsidRPr="00472228">
        <w:rPr>
          <w:sz w:val="20"/>
          <w:lang w:val="es-ES_tradnl"/>
        </w:rPr>
        <w:t xml:space="preserve">ediante auto admisorio del 10 de noviembre de 2016, la Consejera Ponente en el presente proceso, la Dra. </w:t>
      </w:r>
      <w:r w:rsidRPr="00472228">
        <w:rPr>
          <w:sz w:val="20"/>
          <w:lang w:val="es-CO"/>
        </w:rPr>
        <w:t>Lucy Jeannette Bermúdez Bermúdez.</w:t>
      </w:r>
      <w:r w:rsidRPr="00472228">
        <w:rPr>
          <w:sz w:val="20"/>
          <w:lang w:val="es-ES_tradnl"/>
        </w:rPr>
        <w:t xml:space="preserve"> consideró que los cargos ciudadanos dirigidos contra la providencia de la Corte Constitucional C-285 de 2016 desconocían el objeto y alcance del medio de control de nulidad por inconstitucionalidad. Por lo tanto, acogió los demás cargos, y decidió remitir copias del proceso contencioso a la Corte Constitucional, para que examinara la posibilidad de tramitar como incidente de nulidad los reparos presentados por uno de los demandantes en contra del fallo constitucional enunciado.</w:t>
      </w:r>
      <w:r w:rsidRPr="008D4669">
        <w:rPr>
          <w:sz w:val="20"/>
          <w:lang w:val="es-ES_tradnl"/>
        </w:rPr>
        <w:t xml:space="preserve"> </w:t>
      </w:r>
    </w:p>
  </w:footnote>
  <w:footnote w:id="47">
    <w:p w14:paraId="70C7AD32" w14:textId="77777777" w:rsidR="004832B6" w:rsidRPr="00152DF9" w:rsidRDefault="004832B6" w:rsidP="00AE1B4A">
      <w:pPr>
        <w:pStyle w:val="Textonotapie"/>
        <w:jc w:val="both"/>
      </w:pPr>
      <w:r w:rsidRPr="008D4669">
        <w:rPr>
          <w:rStyle w:val="Refdenotaalpie"/>
        </w:rPr>
        <w:footnoteRef/>
      </w:r>
      <w:r w:rsidRPr="008D4669">
        <w:t xml:space="preserve"> </w:t>
      </w:r>
      <w:r w:rsidRPr="008D4669">
        <w:t>Fundamento jurídico 3 de las Consideraciones, relacionado con los cargos y el problema jurídico. En: Consejo de Estado. Sala Plena de lo Contencioso Administrativo. Sentencia de 6 de febrero de 2018. Ibídem.</w:t>
      </w:r>
    </w:p>
  </w:footnote>
  <w:footnote w:id="48">
    <w:p w14:paraId="374C4276" w14:textId="77777777" w:rsidR="004832B6" w:rsidRPr="00B670E1" w:rsidRDefault="004832B6" w:rsidP="00AE1B4A">
      <w:pPr>
        <w:pStyle w:val="Textonotapie"/>
        <w:jc w:val="both"/>
      </w:pPr>
      <w:r w:rsidRPr="00B670E1">
        <w:rPr>
          <w:rStyle w:val="Refdenotaalpie"/>
        </w:rPr>
        <w:footnoteRef/>
      </w:r>
      <w:r w:rsidRPr="00B670E1">
        <w:t xml:space="preserve"> </w:t>
      </w:r>
      <w:r w:rsidRPr="00B670E1">
        <w:t>Fundamento 1.2.1.1. de las Consideraciones. En: Consejo de Estado. Sala Plena de lo Contencioso Administrativo. Sentencia de 6 de febrero de 2018. Ibídem.</w:t>
      </w:r>
    </w:p>
  </w:footnote>
  <w:footnote w:id="49">
    <w:p w14:paraId="039E86E8" w14:textId="77777777" w:rsidR="004832B6" w:rsidRPr="007D3231" w:rsidRDefault="004832B6" w:rsidP="00AE1B4A">
      <w:pPr>
        <w:pStyle w:val="Textonotapie"/>
        <w:jc w:val="both"/>
        <w:rPr>
          <w:rFonts w:ascii="Arial" w:hAnsi="Arial" w:cs="Arial"/>
          <w:b/>
        </w:rPr>
      </w:pPr>
      <w:r w:rsidRPr="00B670E1">
        <w:rPr>
          <w:rStyle w:val="Refdenotaalpie"/>
        </w:rPr>
        <w:footnoteRef/>
      </w:r>
      <w:r w:rsidRPr="00B670E1">
        <w:t xml:space="preserve"> </w:t>
      </w:r>
      <w:r w:rsidRPr="00B670E1">
        <w:t>Cfr. Corte Constitucional. Sentencia C-818 de 2011.</w:t>
      </w:r>
    </w:p>
  </w:footnote>
  <w:footnote w:id="50">
    <w:p w14:paraId="73AA242E" w14:textId="77777777" w:rsidR="004832B6" w:rsidRPr="00D206C0" w:rsidRDefault="004832B6" w:rsidP="00AE1B4A">
      <w:pPr>
        <w:pStyle w:val="Textonotapie"/>
        <w:jc w:val="both"/>
        <w:rPr>
          <w:bCs/>
        </w:rPr>
      </w:pPr>
      <w:r w:rsidRPr="00D206C0">
        <w:rPr>
          <w:bCs/>
          <w:vertAlign w:val="superscript"/>
        </w:rPr>
        <w:footnoteRef/>
      </w:r>
      <w:r w:rsidRPr="00D206C0">
        <w:rPr>
          <w:bCs/>
        </w:rPr>
        <w:t xml:space="preserve"> </w:t>
      </w:r>
      <w:r w:rsidRPr="00D206C0">
        <w:rPr>
          <w:bCs/>
        </w:rPr>
        <w:t xml:space="preserve">Sentencia C-670 de </w:t>
      </w:r>
      <w:smartTag w:uri="urn:schemas-microsoft-com:office:smarttags" w:element="metricconverter">
        <w:smartTagPr>
          <w:attr w:name="ProductID" w:val="2001, M"/>
        </w:smartTagPr>
        <w:r w:rsidRPr="00D206C0">
          <w:rPr>
            <w:bCs/>
          </w:rPr>
          <w:t>2001, M</w:t>
        </w:r>
      </w:smartTag>
      <w:r w:rsidRPr="00D206C0">
        <w:rPr>
          <w:bCs/>
        </w:rPr>
        <w:t xml:space="preserve">.P. Manuel José Cepeda,  reiterada en la sentencia C-295 de </w:t>
      </w:r>
      <w:smartTag w:uri="urn:schemas-microsoft-com:office:smarttags" w:element="metricconverter">
        <w:smartTagPr>
          <w:attr w:name="ProductID" w:val="2002, M"/>
        </w:smartTagPr>
        <w:r w:rsidRPr="00D206C0">
          <w:rPr>
            <w:bCs/>
          </w:rPr>
          <w:t>2002, M</w:t>
        </w:r>
      </w:smartTag>
      <w:r w:rsidRPr="00D206C0">
        <w:rPr>
          <w:bCs/>
        </w:rPr>
        <w:t xml:space="preserve">.P. Álvaro Tafur Galvis, y C-162 de </w:t>
      </w:r>
      <w:smartTag w:uri="urn:schemas-microsoft-com:office:smarttags" w:element="metricconverter">
        <w:smartTagPr>
          <w:attr w:name="ProductID" w:val="2003, M"/>
        </w:smartTagPr>
        <w:r w:rsidRPr="00D206C0">
          <w:rPr>
            <w:bCs/>
          </w:rPr>
          <w:t>2003, M</w:t>
        </w:r>
      </w:smartTag>
      <w:r w:rsidRPr="00D206C0">
        <w:rPr>
          <w:bCs/>
        </w:rPr>
        <w:t>.P. Jaime Córdoba Triviño.</w:t>
      </w:r>
    </w:p>
  </w:footnote>
  <w:footnote w:id="51">
    <w:p w14:paraId="613AF7DD" w14:textId="77777777" w:rsidR="004832B6" w:rsidRPr="00422117" w:rsidRDefault="004832B6" w:rsidP="00AE1B4A">
      <w:pPr>
        <w:jc w:val="both"/>
        <w:rPr>
          <w:rFonts w:eastAsia="Calibri"/>
          <w:sz w:val="20"/>
          <w:lang w:eastAsia="en-US"/>
        </w:rPr>
      </w:pPr>
      <w:r w:rsidRPr="0005595A">
        <w:rPr>
          <w:rStyle w:val="Refdenotaalpie"/>
          <w:sz w:val="20"/>
        </w:rPr>
        <w:footnoteRef/>
      </w:r>
      <w:r w:rsidRPr="0005595A">
        <w:rPr>
          <w:sz w:val="20"/>
        </w:rPr>
        <w:t xml:space="preserve"> </w:t>
      </w:r>
      <w:r w:rsidRPr="0005595A">
        <w:rPr>
          <w:rFonts w:eastAsia="Calibri"/>
          <w:bCs/>
          <w:sz w:val="20"/>
          <w:lang w:val="es-CO" w:eastAsia="en-US"/>
        </w:rPr>
        <w:t>E</w:t>
      </w:r>
      <w:r w:rsidRPr="0005595A">
        <w:rPr>
          <w:rFonts w:eastAsia="Calibri"/>
          <w:bCs/>
          <w:sz w:val="20"/>
          <w:lang w:eastAsia="en-US"/>
        </w:rPr>
        <w:t xml:space="preserve">xpresión </w:t>
      </w:r>
      <w:r w:rsidRPr="0005595A">
        <w:rPr>
          <w:rFonts w:eastAsia="Calibri"/>
          <w:bCs/>
          <w:sz w:val="20"/>
          <w:lang w:val="es-CO" w:eastAsia="en-US"/>
        </w:rPr>
        <w:t xml:space="preserve">que se encuentra </w:t>
      </w:r>
      <w:r w:rsidRPr="0005595A">
        <w:rPr>
          <w:rFonts w:eastAsia="Calibri"/>
          <w:bCs/>
          <w:sz w:val="20"/>
          <w:lang w:eastAsia="en-US"/>
        </w:rPr>
        <w:t xml:space="preserve">bajo el título 2.1 de la providencia en mención. Al respecto, es importante destacar que </w:t>
      </w:r>
      <w:r w:rsidRPr="0005595A">
        <w:rPr>
          <w:rFonts w:eastAsia="Calibri"/>
          <w:bCs/>
          <w:sz w:val="20"/>
          <w:lang w:val="es-CO" w:eastAsia="en-US"/>
        </w:rPr>
        <w:t xml:space="preserve">en lo concerniente a la pertenencia de una ley ordinaria o estatutaria para la regulación de las convocatorias, </w:t>
      </w:r>
      <w:r w:rsidRPr="0005595A">
        <w:rPr>
          <w:rFonts w:eastAsia="Calibri"/>
          <w:bCs/>
          <w:sz w:val="20"/>
          <w:lang w:eastAsia="en-US"/>
        </w:rPr>
        <w:t xml:space="preserve">la sentencia del C.E. es </w:t>
      </w:r>
      <w:r w:rsidRPr="0005595A">
        <w:rPr>
          <w:rFonts w:eastAsia="Calibri"/>
          <w:bCs/>
          <w:sz w:val="20"/>
          <w:lang w:val="es-CO" w:eastAsia="en-US"/>
        </w:rPr>
        <w:t>bastante ambigua y en muchos casos ha habilitado las dos interpretaciones. La razón de ser de lo anterior es que de un lado, en</w:t>
      </w:r>
      <w:r w:rsidRPr="0005595A">
        <w:rPr>
          <w:rFonts w:eastAsia="Calibri"/>
          <w:bCs/>
          <w:sz w:val="20"/>
          <w:lang w:eastAsia="en-US"/>
        </w:rPr>
        <w:t xml:space="preserve"> muchos de sus apartes, alega específicamente la necesidad de aplicación prevalente del artículo 126 superior y en otras </w:t>
      </w:r>
      <w:r w:rsidRPr="0005595A">
        <w:rPr>
          <w:rFonts w:eastAsia="Calibri"/>
          <w:bCs/>
          <w:sz w:val="20"/>
          <w:lang w:val="es-CO" w:eastAsia="en-US"/>
        </w:rPr>
        <w:t xml:space="preserve">da cuenta de la posibilidad </w:t>
      </w:r>
      <w:r w:rsidRPr="0005595A">
        <w:rPr>
          <w:rFonts w:eastAsia="Calibri"/>
          <w:bCs/>
          <w:sz w:val="20"/>
          <w:lang w:eastAsia="en-US"/>
        </w:rPr>
        <w:t xml:space="preserve">de acudir al artículo 152 superior de la Carta, en aquellos casos que se refieran a la estructura de la administración de justicia. </w:t>
      </w:r>
      <w:r w:rsidRPr="0005595A">
        <w:rPr>
          <w:rFonts w:eastAsia="Calibri"/>
          <w:bCs/>
          <w:sz w:val="20"/>
          <w:lang w:val="es-CO" w:eastAsia="en-US"/>
        </w:rPr>
        <w:t xml:space="preserve">No obstante, esta determinación se </w:t>
      </w:r>
      <w:r w:rsidRPr="0005595A">
        <w:rPr>
          <w:rFonts w:eastAsia="Calibri"/>
          <w:bCs/>
          <w:sz w:val="20"/>
          <w:lang w:eastAsia="en-US"/>
        </w:rPr>
        <w:t>hace más compleja al señalar dentro del texto de la providencia, más adelante</w:t>
      </w:r>
      <w:r w:rsidRPr="0005595A">
        <w:rPr>
          <w:rFonts w:eastAsia="Calibri"/>
          <w:bCs/>
          <w:sz w:val="20"/>
          <w:lang w:val="es-CO" w:eastAsia="en-US"/>
        </w:rPr>
        <w:t>, en su parte considerativa,</w:t>
      </w:r>
      <w:r w:rsidRPr="0005595A">
        <w:rPr>
          <w:rFonts w:eastAsia="Calibri"/>
          <w:bCs/>
          <w:sz w:val="20"/>
          <w:lang w:eastAsia="en-US"/>
        </w:rPr>
        <w:t xml:space="preserve"> que la regulación de las ternas en mención es claramente un asunto de la “</w:t>
      </w:r>
      <w:r w:rsidRPr="0005595A">
        <w:rPr>
          <w:rFonts w:eastAsia="Calibri"/>
          <w:bCs/>
          <w:i/>
          <w:iCs/>
          <w:sz w:val="20"/>
          <w:lang w:eastAsia="en-US"/>
        </w:rPr>
        <w:t>estructura esencial de la administración de justicia</w:t>
      </w:r>
      <w:r w:rsidRPr="0005595A">
        <w:rPr>
          <w:rFonts w:eastAsia="Calibri"/>
          <w:bCs/>
          <w:sz w:val="20"/>
          <w:lang w:eastAsia="en-US"/>
        </w:rPr>
        <w:t>”</w:t>
      </w:r>
      <w:r w:rsidRPr="0005595A">
        <w:rPr>
          <w:rFonts w:eastAsia="Calibri"/>
          <w:bCs/>
          <w:sz w:val="20"/>
          <w:lang w:val="es-CO" w:eastAsia="en-US"/>
        </w:rPr>
        <w:t xml:space="preserve"> y que la actual ley estatutaria no reguló esta materia de manera directa. Sobre la impertinencia de la Ley estatutaria actual, la sentencia del Consejo de Estado, e</w:t>
      </w:r>
      <w:r w:rsidRPr="0005595A">
        <w:rPr>
          <w:rFonts w:eastAsia="Calibri"/>
          <w:sz w:val="20"/>
          <w:lang w:eastAsia="en-US"/>
        </w:rPr>
        <w:t>n el punto 1.4.1., reza por ejemplo, lo siguiente: “</w:t>
      </w:r>
      <w:r w:rsidRPr="0005595A">
        <w:rPr>
          <w:rFonts w:eastAsia="Calibri"/>
          <w:i/>
          <w:iCs/>
          <w:sz w:val="20"/>
          <w:lang w:eastAsia="en-US"/>
        </w:rPr>
        <w:t xml:space="preserve">Vistas las cosas a partir de la centralidad del tema de que trata la competencia regulatoria de la convocatoria pública consignada en el artículo 257 A, este aspecto exige ser reglamentado mediante una ley sustentable en los principios que el artículo 126 C.P. de manera imperativa prevé. </w:t>
      </w:r>
      <w:r w:rsidRPr="0005595A">
        <w:rPr>
          <w:rFonts w:eastAsia="Calibri"/>
          <w:i/>
          <w:iCs/>
          <w:sz w:val="20"/>
          <w:u w:val="single"/>
          <w:lang w:eastAsia="en-US"/>
        </w:rPr>
        <w:t>Itera la Sala: en la Ley 270 de 1996 el tema de las convocatorias no se abordó –y no podía abordarse– a la luz de las exigencias previstas en el artículo 126 C.P. reformado por el artículo 2º del A. L. 02 de 2015, cuyo peso y relevancia resulta evidente, tratándose de la elección de los magistrados de la Comisión Nacional de Disciplina Judicial</w:t>
      </w:r>
      <w:r w:rsidRPr="0005595A">
        <w:rPr>
          <w:rFonts w:eastAsia="Calibri"/>
          <w:i/>
          <w:iCs/>
          <w:sz w:val="20"/>
          <w:lang w:eastAsia="en-US"/>
        </w:rPr>
        <w:t xml:space="preserve">, pues se busca que los elegidos satisfagan los más altos estándares en calidades humanas, éticas, académicas y profesionales, </w:t>
      </w:r>
      <w:r w:rsidRPr="0005595A">
        <w:rPr>
          <w:rFonts w:eastAsia="Calibri"/>
          <w:i/>
          <w:iCs/>
          <w:sz w:val="20"/>
          <w:u w:val="single"/>
          <w:lang w:eastAsia="en-US"/>
        </w:rPr>
        <w:t>realizando asimismo principios estructurales de la administración de justicia</w:t>
      </w:r>
      <w:r w:rsidRPr="0005595A">
        <w:rPr>
          <w:rFonts w:eastAsia="Calibri"/>
          <w:i/>
          <w:iCs/>
          <w:sz w:val="20"/>
          <w:lang w:eastAsia="en-US"/>
        </w:rPr>
        <w:t>”</w:t>
      </w:r>
      <w:r w:rsidRPr="0005595A">
        <w:rPr>
          <w:rFonts w:eastAsia="Calibri"/>
          <w:sz w:val="20"/>
          <w:lang w:eastAsia="en-US"/>
        </w:rPr>
        <w:t xml:space="preserve">. (Subrayas fuera del original). </w:t>
      </w:r>
      <w:r w:rsidRPr="0005595A">
        <w:rPr>
          <w:rFonts w:eastAsia="Calibri"/>
          <w:bCs/>
          <w:sz w:val="20"/>
          <w:lang w:eastAsia="en-US"/>
        </w:rPr>
        <w:t>Esta dificultad</w:t>
      </w:r>
      <w:r w:rsidRPr="0005595A">
        <w:rPr>
          <w:rFonts w:eastAsia="Calibri"/>
          <w:bCs/>
          <w:sz w:val="20"/>
          <w:lang w:val="es-CO" w:eastAsia="en-US"/>
        </w:rPr>
        <w:t xml:space="preserve"> de la providencia</w:t>
      </w:r>
      <w:r w:rsidRPr="0005595A">
        <w:rPr>
          <w:rFonts w:eastAsia="Calibri"/>
          <w:bCs/>
          <w:sz w:val="20"/>
          <w:lang w:eastAsia="en-US"/>
        </w:rPr>
        <w:t xml:space="preserve"> </w:t>
      </w:r>
      <w:r w:rsidRPr="0005595A">
        <w:rPr>
          <w:rFonts w:eastAsia="Calibri"/>
          <w:bCs/>
          <w:sz w:val="20"/>
          <w:lang w:val="es-CO" w:eastAsia="en-US"/>
        </w:rPr>
        <w:t xml:space="preserve">la destaca el </w:t>
      </w:r>
      <w:r w:rsidRPr="0005595A">
        <w:rPr>
          <w:rFonts w:eastAsia="Calibri"/>
          <w:bCs/>
          <w:sz w:val="20"/>
          <w:lang w:eastAsia="en-US"/>
        </w:rPr>
        <w:t xml:space="preserve">salvamento </w:t>
      </w:r>
      <w:r w:rsidRPr="0005595A">
        <w:rPr>
          <w:rFonts w:eastAsia="Calibri"/>
          <w:sz w:val="20"/>
          <w:lang w:eastAsia="en-US"/>
        </w:rPr>
        <w:t xml:space="preserve">de voto del Magistrado Carlos Enrique Moreno Rubio </w:t>
      </w:r>
      <w:r w:rsidRPr="0005595A">
        <w:rPr>
          <w:rFonts w:eastAsia="Calibri"/>
          <w:sz w:val="20"/>
          <w:lang w:val="es-CO" w:eastAsia="en-US"/>
        </w:rPr>
        <w:t xml:space="preserve">a esa providencia del Consejo de Estado, </w:t>
      </w:r>
      <w:r w:rsidRPr="0005595A">
        <w:rPr>
          <w:rFonts w:eastAsia="Calibri"/>
          <w:sz w:val="20"/>
          <w:lang w:eastAsia="en-US"/>
        </w:rPr>
        <w:t>quien resaltó precisamente esta situación al sostener que: “</w:t>
      </w:r>
      <w:r w:rsidRPr="0005595A">
        <w:rPr>
          <w:rFonts w:eastAsia="Calibri"/>
          <w:i/>
          <w:iCs/>
          <w:sz w:val="20"/>
          <w:lang w:eastAsia="en-US"/>
        </w:rPr>
        <w:t>Finalmente, no se concluye si la convocatoria debe estar precedida de una ley estatutaria como lo afirmaron los demandantes, con fundamento en el artículo 152 de la Constitución. (…) Sin embargo, en este asunto no quedó claro este punto, como si se precisó en el asunto similar que en mención, en el que se citaron los fallos de la Corte: C-406 de 2013 y C-260 de 2016, para concluir que en efecto, la ley de las convocatorias de que trata el artículo 126 de la Constitución no aborda ninguna de las materias relacionadas con la administración de justicia que por vía jurisprudencial se han delimitado como sometidas a reserva de ley estatutaria</w:t>
      </w:r>
      <w:r w:rsidRPr="0005595A">
        <w:rPr>
          <w:rFonts w:eastAsia="Calibri"/>
          <w:sz w:val="20"/>
          <w:lang w:eastAsia="en-US"/>
        </w:rPr>
        <w:t>”.</w:t>
      </w:r>
      <w:r w:rsidRPr="0005595A">
        <w:rPr>
          <w:rFonts w:eastAsia="Calibri"/>
          <w:sz w:val="20"/>
          <w:lang w:val="es-CO" w:eastAsia="en-US"/>
        </w:rPr>
        <w:t xml:space="preserve"> La aproximación ambigua y la interpretación subsecuente se denota, por ejemplo, con el Concepto 2378 del 18 de junio de 2018 de la Sala de Consulta y Servicio Civil del Consejero Ponente Germán Alberto Bula Escobar, quien expresamente afirmó en su momento que la decisión del C.E. antes mencionada aludía a la necesidad de una ley estatutaria para la regulación de tales convocatorias, para luego dar cuenta de una presunta imprecisión en esa consideración en el Concepto 2415 del 29 de agosto de 2019.</w:t>
      </w:r>
      <w:r>
        <w:rPr>
          <w:rFonts w:eastAsia="Calibri"/>
          <w:lang w:val="es-CO" w:eastAsia="en-US"/>
        </w:rPr>
        <w:t xml:space="preserve"> </w:t>
      </w:r>
    </w:p>
  </w:footnote>
  <w:footnote w:id="52">
    <w:p w14:paraId="2E43BC91" w14:textId="77777777" w:rsidR="004832B6" w:rsidRPr="00152DF9" w:rsidRDefault="004832B6" w:rsidP="00AE1B4A">
      <w:pPr>
        <w:pStyle w:val="Textonotapie"/>
        <w:jc w:val="both"/>
      </w:pPr>
      <w:r w:rsidRPr="00152DF9">
        <w:rPr>
          <w:rStyle w:val="Refdenotaalpie"/>
        </w:rPr>
        <w:footnoteRef/>
      </w:r>
      <w:r w:rsidRPr="00152DF9">
        <w:t xml:space="preserve"> </w:t>
      </w:r>
      <w:r w:rsidRPr="00152DF9">
        <w:t>Fundamento 2.3. de las Consideraciones de la providencia. En: Consejo de Estado. Sala Plena de lo Contencioso Administrativo. Sentencia de 6 de febrero de 2018. Ibídem.</w:t>
      </w:r>
    </w:p>
  </w:footnote>
  <w:footnote w:id="53">
    <w:p w14:paraId="77A5D400" w14:textId="77777777" w:rsidR="004832B6" w:rsidRPr="00152DF9" w:rsidRDefault="004832B6" w:rsidP="00AE1B4A">
      <w:pPr>
        <w:pStyle w:val="Textonotapie"/>
        <w:jc w:val="both"/>
      </w:pPr>
      <w:r w:rsidRPr="00152DF9">
        <w:rPr>
          <w:rStyle w:val="Refdenotaalpie"/>
        </w:rPr>
        <w:footnoteRef/>
      </w:r>
      <w:r w:rsidRPr="00152DF9">
        <w:t xml:space="preserve"> </w:t>
      </w:r>
      <w:r w:rsidRPr="00152DF9">
        <w:t>Fundamento 2.3. de las Consideraciones de la providencia. En: Consejo de Estado. Sala Plena de lo Contencioso Administrativo. Sentencia de 6 de febrero de 2018. Ibídem.</w:t>
      </w:r>
    </w:p>
  </w:footnote>
  <w:footnote w:id="54">
    <w:p w14:paraId="2FC2EF39" w14:textId="77777777" w:rsidR="004832B6" w:rsidRPr="00152DF9" w:rsidRDefault="004832B6" w:rsidP="00AE1B4A">
      <w:pPr>
        <w:pStyle w:val="Textonotapie"/>
        <w:jc w:val="both"/>
      </w:pPr>
      <w:r w:rsidRPr="00152DF9">
        <w:rPr>
          <w:rStyle w:val="Refdenotaalpie"/>
        </w:rPr>
        <w:footnoteRef/>
      </w:r>
      <w:r w:rsidRPr="00152DF9">
        <w:t xml:space="preserve"> </w:t>
      </w:r>
      <w:r w:rsidRPr="00152DF9">
        <w:t xml:space="preserve">La sentencia cita en su pie de página 45, las sentencias del 15 de julio de 2014 y del 11 de noviembre de 2014 de la C.P. Stella Conto Díaz del Castillo. </w:t>
      </w:r>
    </w:p>
  </w:footnote>
  <w:footnote w:id="55">
    <w:p w14:paraId="646034D9" w14:textId="77777777" w:rsidR="004832B6" w:rsidRDefault="004832B6" w:rsidP="00AE1B4A">
      <w:pPr>
        <w:pStyle w:val="Textonotapie"/>
        <w:jc w:val="both"/>
      </w:pPr>
      <w:r>
        <w:rPr>
          <w:rStyle w:val="Refdenotaalpie"/>
        </w:rPr>
        <w:footnoteRef/>
      </w:r>
      <w:r>
        <w:t xml:space="preserve"> </w:t>
      </w:r>
      <w:r>
        <w:t>Fundamento 1.4.1. de la parte 3.2. de las Consideraciones de la providencia. En: Consejo de Estado. Sala Plena de lo Contencioso Administrativo. Sentencia de 6 de febrero de 2018. Ibídem.</w:t>
      </w:r>
    </w:p>
  </w:footnote>
  <w:footnote w:id="56">
    <w:p w14:paraId="59D84C30" w14:textId="77777777" w:rsidR="004832B6" w:rsidRPr="00152DF9" w:rsidRDefault="004832B6" w:rsidP="00AE1B4A">
      <w:pPr>
        <w:pStyle w:val="Textonotapie"/>
        <w:jc w:val="both"/>
        <w:rPr>
          <w:lang w:val="es-CO"/>
        </w:rPr>
      </w:pPr>
      <w:r w:rsidRPr="00152DF9">
        <w:rPr>
          <w:rStyle w:val="Refdenotaalpie"/>
        </w:rPr>
        <w:footnoteRef/>
      </w:r>
      <w:r w:rsidRPr="00152DF9">
        <w:t xml:space="preserve"> </w:t>
      </w:r>
      <w:r w:rsidRPr="00152DF9">
        <w:t xml:space="preserve">Fundamento </w:t>
      </w:r>
      <w:r w:rsidRPr="00152DF9">
        <w:rPr>
          <w:lang w:val="es-CO"/>
        </w:rPr>
        <w:t>2</w:t>
      </w:r>
      <w:r w:rsidRPr="00152DF9">
        <w:t>.2. de las Consideraciones de la providencia. En: Consejo de Estado. Sala Plena de lo Contencioso Administrativo. Sentencia de 6 de febrero de 2018. Ibídem.</w:t>
      </w:r>
    </w:p>
  </w:footnote>
  <w:footnote w:id="57">
    <w:p w14:paraId="59EFA1BB" w14:textId="77777777" w:rsidR="004832B6" w:rsidRPr="00152DF9" w:rsidRDefault="004832B6" w:rsidP="00AE1B4A">
      <w:pPr>
        <w:pStyle w:val="Textonotapie"/>
        <w:rPr>
          <w:lang w:val="es-CO"/>
        </w:rPr>
      </w:pPr>
      <w:r w:rsidRPr="00152DF9">
        <w:rPr>
          <w:rStyle w:val="Refdenotaalpie"/>
        </w:rPr>
        <w:footnoteRef/>
      </w:r>
      <w:r w:rsidRPr="00152DF9">
        <w:t xml:space="preserve"> </w:t>
      </w:r>
      <w:r w:rsidRPr="00152DF9">
        <w:rPr>
          <w:lang w:val="es-CO"/>
        </w:rPr>
        <w:t xml:space="preserve">Ibídem. </w:t>
      </w:r>
    </w:p>
  </w:footnote>
  <w:footnote w:id="58">
    <w:p w14:paraId="591C6A09" w14:textId="77777777" w:rsidR="004832B6" w:rsidRPr="00152DF9" w:rsidRDefault="004832B6" w:rsidP="00AE1B4A">
      <w:pPr>
        <w:pStyle w:val="Textonotapie"/>
        <w:rPr>
          <w:lang w:val="es-CO"/>
        </w:rPr>
      </w:pPr>
      <w:r w:rsidRPr="00152DF9">
        <w:rPr>
          <w:rStyle w:val="Refdenotaalpie"/>
        </w:rPr>
        <w:footnoteRef/>
      </w:r>
      <w:r w:rsidRPr="00152DF9">
        <w:t xml:space="preserve"> </w:t>
      </w:r>
      <w:r w:rsidRPr="00152DF9">
        <w:t xml:space="preserve">Fundamento </w:t>
      </w:r>
      <w:r w:rsidRPr="00152DF9">
        <w:rPr>
          <w:lang w:val="es-CO"/>
        </w:rPr>
        <w:t xml:space="preserve">3 Conclusión. </w:t>
      </w:r>
      <w:r w:rsidRPr="00152DF9">
        <w:t>En: Consejo de Estado. Sala Plena de lo Contencioso Administrativo. Sentencia de 6 de febrero de 2018. Ibídem.</w:t>
      </w:r>
    </w:p>
  </w:footnote>
  <w:footnote w:id="59">
    <w:p w14:paraId="321CB2B6" w14:textId="77777777" w:rsidR="004832B6" w:rsidRPr="00152DF9" w:rsidRDefault="004832B6" w:rsidP="00AE1B4A">
      <w:pPr>
        <w:pStyle w:val="Textonotapie"/>
        <w:rPr>
          <w:lang w:val="es-CO"/>
        </w:rPr>
      </w:pPr>
      <w:r w:rsidRPr="00152DF9">
        <w:rPr>
          <w:rStyle w:val="Refdenotaalpie"/>
        </w:rPr>
        <w:footnoteRef/>
      </w:r>
      <w:r w:rsidRPr="00152DF9">
        <w:t xml:space="preserve"> </w:t>
      </w:r>
      <w:r w:rsidRPr="00152DF9">
        <w:rPr>
          <w:lang w:val="es-CO"/>
        </w:rPr>
        <w:t>Salvamento de Voto de los consejeros</w:t>
      </w:r>
      <w:r w:rsidRPr="00152DF9">
        <w:t xml:space="preserve"> </w:t>
      </w:r>
      <w:r w:rsidRPr="00152DF9">
        <w:rPr>
          <w:lang w:val="es-CO"/>
        </w:rPr>
        <w:t>Lucy Jeanette Bermúdez Bermúdez y César Palomino Cortés.</w:t>
      </w:r>
    </w:p>
  </w:footnote>
  <w:footnote w:id="60">
    <w:p w14:paraId="1200C8FC" w14:textId="77777777" w:rsidR="004832B6" w:rsidRPr="00152DF9" w:rsidRDefault="004832B6" w:rsidP="00AE1B4A">
      <w:pPr>
        <w:pStyle w:val="Textonotapie"/>
        <w:jc w:val="both"/>
      </w:pPr>
      <w:r w:rsidRPr="00152DF9">
        <w:rPr>
          <w:rStyle w:val="Refdenotaalpie"/>
        </w:rPr>
        <w:footnoteRef/>
      </w:r>
      <w:r w:rsidRPr="00152DF9">
        <w:t xml:space="preserve"> </w:t>
      </w:r>
      <w:r w:rsidRPr="00152DF9">
        <w:t>La acción de tutela fue suscrita por el Presidente del Consejo Superior de la Judicatura en representación de dicha Corporación.</w:t>
      </w:r>
    </w:p>
  </w:footnote>
  <w:footnote w:id="61">
    <w:p w14:paraId="432B2F5B" w14:textId="77777777" w:rsidR="004832B6" w:rsidRPr="00152DF9" w:rsidRDefault="004832B6" w:rsidP="00AE1B4A">
      <w:pPr>
        <w:pStyle w:val="Textonotapie"/>
      </w:pPr>
      <w:r w:rsidRPr="00152DF9">
        <w:rPr>
          <w:rStyle w:val="Refdenotaalpie"/>
        </w:rPr>
        <w:footnoteRef/>
      </w:r>
      <w:r w:rsidRPr="00152DF9">
        <w:t xml:space="preserve"> </w:t>
      </w:r>
      <w:r w:rsidRPr="00152DF9">
        <w:t>Folio 9, Cuaderno No. 1.</w:t>
      </w:r>
    </w:p>
  </w:footnote>
  <w:footnote w:id="62">
    <w:p w14:paraId="6AC49EA8" w14:textId="77777777" w:rsidR="004832B6" w:rsidRPr="0018132A" w:rsidRDefault="004832B6" w:rsidP="00AE1B4A">
      <w:pPr>
        <w:pStyle w:val="Textonotapie"/>
        <w:rPr>
          <w:lang w:val="es-CO"/>
        </w:rPr>
      </w:pPr>
      <w:r>
        <w:rPr>
          <w:rStyle w:val="Refdenotaalpie"/>
        </w:rPr>
        <w:footnoteRef/>
      </w:r>
      <w:r>
        <w:t xml:space="preserve"> </w:t>
      </w:r>
      <w:r>
        <w:rPr>
          <w:lang w:val="es-CO"/>
        </w:rPr>
        <w:t xml:space="preserve">M.P. Jorge Iván Palacio Palacio. Sobre el carácter vinculante del precedente de las Altas Cortes. </w:t>
      </w:r>
    </w:p>
  </w:footnote>
  <w:footnote w:id="63">
    <w:p w14:paraId="140782C1" w14:textId="77777777" w:rsidR="004832B6" w:rsidRPr="00152DF9" w:rsidRDefault="004832B6" w:rsidP="00AE1B4A">
      <w:pPr>
        <w:pStyle w:val="Textonotapie"/>
      </w:pPr>
      <w:r w:rsidRPr="00152DF9">
        <w:rPr>
          <w:rStyle w:val="Refdenotaalpie"/>
        </w:rPr>
        <w:footnoteRef/>
      </w:r>
      <w:r w:rsidRPr="00152DF9">
        <w:t xml:space="preserve"> </w:t>
      </w:r>
      <w:r w:rsidRPr="00152DF9">
        <w:t>Folio 11, Cuaderno No. 1.</w:t>
      </w:r>
    </w:p>
  </w:footnote>
  <w:footnote w:id="64">
    <w:p w14:paraId="7F2FD2FE" w14:textId="77777777" w:rsidR="004832B6" w:rsidRPr="00152DF9" w:rsidRDefault="004832B6" w:rsidP="00AE1B4A">
      <w:pPr>
        <w:pStyle w:val="Textonotapie"/>
        <w:jc w:val="both"/>
        <w:rPr>
          <w:i/>
        </w:rPr>
      </w:pPr>
      <w:r w:rsidRPr="00152DF9">
        <w:rPr>
          <w:rStyle w:val="Refdenotaalpie"/>
        </w:rPr>
        <w:footnoteRef/>
      </w:r>
      <w:r w:rsidRPr="00152DF9">
        <w:t xml:space="preserve"> </w:t>
      </w:r>
      <w:r w:rsidRPr="00152DF9">
        <w:t>“</w:t>
      </w:r>
      <w:r w:rsidRPr="00152DF9">
        <w:rPr>
          <w:i/>
        </w:rPr>
        <w:t>Dicho de otra manera, la decisión del Consejo de Estado usurpa la competencia del constituyente derivado, en los términos fijados por la sentencia C-285 de 2016, que le confirió al Consejo Superior de la Judicatura la facultad para establecer el reglamento de la convocatoria previa para conformar la Comisión Nacional de Disciplina Judicial</w:t>
      </w:r>
      <w:r w:rsidRPr="00152DF9">
        <w:t>”</w:t>
      </w:r>
      <w:r w:rsidRPr="00152DF9">
        <w:rPr>
          <w:i/>
        </w:rPr>
        <w:t>.</w:t>
      </w:r>
    </w:p>
  </w:footnote>
  <w:footnote w:id="65">
    <w:p w14:paraId="68BE52E8" w14:textId="77777777" w:rsidR="004832B6" w:rsidRPr="00463C64" w:rsidRDefault="004832B6" w:rsidP="00AE1B4A">
      <w:pPr>
        <w:pStyle w:val="Textonotapie"/>
        <w:jc w:val="both"/>
        <w:rPr>
          <w:lang w:val="es-ES"/>
        </w:rPr>
      </w:pPr>
      <w:r w:rsidRPr="00463C64">
        <w:rPr>
          <w:rStyle w:val="Refdenotaalpie"/>
        </w:rPr>
        <w:footnoteRef/>
      </w:r>
      <w:r w:rsidRPr="00463C64">
        <w:t xml:space="preserve"> </w:t>
      </w:r>
      <w:r w:rsidRPr="00463C64">
        <w:t>Por reparto, el 1º de junio de 2018, el conocimiento del asunto fue asignado al magistrado Carmelo Perdomo Cuéter. No obstante, mediante proveído de 7 de junio de 2018, los magistrados que conformaban la Sección Segunda, Subsección B, de la Sala Plena de lo Contencioso Administrativo del Consejo de Estado manifestaron su impedimento para tramitar la acción de tutela, por cuanto todos ellos suscribieron la providencia judicial objeto de reproche. En consecuencia, en sesión del 15 de junio de 2018, se procedió a realizar el sorteo de los conjueces que reemplazarían a los magistrados que manifestaron su impedimento. En consecuencia, se designó como ponente al conjuez Ilvar Nelson Jesús Arévalo Perico.</w:t>
      </w:r>
    </w:p>
  </w:footnote>
  <w:footnote w:id="66">
    <w:p w14:paraId="687F7934" w14:textId="77777777" w:rsidR="004832B6" w:rsidRPr="00152DF9" w:rsidRDefault="004832B6" w:rsidP="00AE1B4A">
      <w:pPr>
        <w:pStyle w:val="Textonotapie"/>
        <w:jc w:val="both"/>
        <w:rPr>
          <w:lang w:val="es-ES"/>
        </w:rPr>
      </w:pPr>
      <w:r w:rsidRPr="00463C64">
        <w:rPr>
          <w:rStyle w:val="Refdenotaalpie"/>
        </w:rPr>
        <w:footnoteRef/>
      </w:r>
      <w:r w:rsidRPr="00463C64">
        <w:t xml:space="preserve"> </w:t>
      </w:r>
      <w:r w:rsidRPr="00463C64">
        <w:rPr>
          <w:lang w:val="es-ES"/>
        </w:rPr>
        <w:t>Folio 31 y 45, Cuaderno No. 1 La comunicación del inicio de la acción de tutela de la referencia, “</w:t>
      </w:r>
      <w:r w:rsidRPr="00463C64">
        <w:rPr>
          <w:i/>
          <w:lang w:val="es-ES"/>
        </w:rPr>
        <w:t>para los fines pertinentes”</w:t>
      </w:r>
      <w:r w:rsidRPr="00463C64">
        <w:rPr>
          <w:lang w:val="es-ES"/>
        </w:rPr>
        <w:t>, fue dirigida en su momento al señor Presidente de la Corte Constitucional de la época, el Dr. Alejandro Linares Cantillo, sin que esta Corporación se manifestara en modo alguno dentro del mencionado proceso.</w:t>
      </w:r>
      <w:r w:rsidRPr="00152DF9">
        <w:rPr>
          <w:lang w:val="es-ES"/>
        </w:rPr>
        <w:t xml:space="preserve"> </w:t>
      </w:r>
    </w:p>
  </w:footnote>
  <w:footnote w:id="67">
    <w:p w14:paraId="7D59A172" w14:textId="77777777" w:rsidR="004832B6" w:rsidRPr="00152DF9" w:rsidRDefault="004832B6" w:rsidP="00AE1B4A">
      <w:pPr>
        <w:pStyle w:val="Textonotapie"/>
        <w:rPr>
          <w:lang w:val="es-ES"/>
        </w:rPr>
      </w:pPr>
      <w:r w:rsidRPr="00152DF9">
        <w:rPr>
          <w:rStyle w:val="Refdenotaalpie"/>
        </w:rPr>
        <w:footnoteRef/>
      </w:r>
      <w:r w:rsidRPr="00152DF9">
        <w:t xml:space="preserve"> </w:t>
      </w:r>
      <w:r w:rsidRPr="00152DF9">
        <w:rPr>
          <w:lang w:val="es-CO"/>
        </w:rPr>
        <w:t xml:space="preserve">Contestación de la tutela. </w:t>
      </w:r>
      <w:r w:rsidRPr="00152DF9">
        <w:t>Folio 66, Cuaderno No. 1.</w:t>
      </w:r>
    </w:p>
  </w:footnote>
  <w:footnote w:id="68">
    <w:p w14:paraId="72937F48" w14:textId="77777777" w:rsidR="004832B6" w:rsidRPr="00152DF9" w:rsidRDefault="004832B6" w:rsidP="00AE1B4A">
      <w:pPr>
        <w:pStyle w:val="Textonotapie"/>
        <w:rPr>
          <w:lang w:val="es-ES"/>
        </w:rPr>
      </w:pPr>
      <w:r w:rsidRPr="00152DF9">
        <w:rPr>
          <w:rStyle w:val="Refdenotaalpie"/>
        </w:rPr>
        <w:footnoteRef/>
      </w:r>
      <w:r w:rsidRPr="00152DF9">
        <w:t xml:space="preserve"> </w:t>
      </w:r>
      <w:r w:rsidRPr="00152DF9">
        <w:rPr>
          <w:lang w:val="es-ES"/>
        </w:rPr>
        <w:t xml:space="preserve">Folio 67, Cuaderno No. 1. </w:t>
      </w:r>
    </w:p>
  </w:footnote>
  <w:footnote w:id="69">
    <w:p w14:paraId="1F86EA83" w14:textId="77777777" w:rsidR="004832B6" w:rsidRPr="00152DF9" w:rsidRDefault="004832B6" w:rsidP="00AE1B4A">
      <w:pPr>
        <w:pStyle w:val="Textonotapie"/>
        <w:rPr>
          <w:lang w:val="es-CO"/>
        </w:rPr>
      </w:pPr>
      <w:r w:rsidRPr="00152DF9">
        <w:rPr>
          <w:rStyle w:val="Refdenotaalpie"/>
        </w:rPr>
        <w:footnoteRef/>
      </w:r>
      <w:r w:rsidRPr="00152DF9">
        <w:t xml:space="preserve"> </w:t>
      </w:r>
      <w:r w:rsidRPr="00152DF9">
        <w:rPr>
          <w:lang w:val="es-CO"/>
        </w:rPr>
        <w:t xml:space="preserve">Contestación de la tutela. </w:t>
      </w:r>
      <w:r w:rsidRPr="00152DF9">
        <w:t>Folio 6</w:t>
      </w:r>
      <w:r w:rsidRPr="00152DF9">
        <w:rPr>
          <w:lang w:val="es-CO"/>
        </w:rPr>
        <w:t>7</w:t>
      </w:r>
      <w:r w:rsidRPr="00152DF9">
        <w:t>, Cuaderno No. 1.</w:t>
      </w:r>
    </w:p>
  </w:footnote>
  <w:footnote w:id="70">
    <w:p w14:paraId="15DF7916" w14:textId="77777777" w:rsidR="004832B6" w:rsidRPr="00152DF9" w:rsidRDefault="004832B6" w:rsidP="00AE1B4A">
      <w:pPr>
        <w:pStyle w:val="Textonotapie"/>
        <w:rPr>
          <w:lang w:val="es-ES"/>
        </w:rPr>
      </w:pPr>
      <w:r w:rsidRPr="00152DF9">
        <w:rPr>
          <w:rStyle w:val="Refdenotaalpie"/>
        </w:rPr>
        <w:footnoteRef/>
      </w:r>
      <w:r w:rsidRPr="00152DF9">
        <w:t xml:space="preserve"> </w:t>
      </w:r>
      <w:r w:rsidRPr="00152DF9">
        <w:rPr>
          <w:lang w:val="es-ES"/>
        </w:rPr>
        <w:t xml:space="preserve">Folio 68, Cuaderno No. 1. </w:t>
      </w:r>
    </w:p>
  </w:footnote>
  <w:footnote w:id="71">
    <w:p w14:paraId="3934FE22" w14:textId="77777777" w:rsidR="004832B6" w:rsidRPr="00152DF9" w:rsidRDefault="004832B6" w:rsidP="00AE1B4A">
      <w:pPr>
        <w:pStyle w:val="Textonotapie"/>
        <w:jc w:val="both"/>
      </w:pPr>
      <w:r w:rsidRPr="00E24140">
        <w:rPr>
          <w:rStyle w:val="Refdenotaalpie"/>
        </w:rPr>
        <w:footnoteRef/>
      </w:r>
      <w:r w:rsidRPr="00E24140">
        <w:t xml:space="preserve"> </w:t>
      </w:r>
      <w:r w:rsidRPr="00E24140">
        <w:rPr>
          <w:bdr w:val="none" w:sz="0" w:space="0" w:color="auto" w:frame="1"/>
          <w:shd w:val="clear" w:color="auto" w:fill="FFFFFF"/>
          <w:lang w:val="es-ES"/>
        </w:rPr>
        <w:t>Algunos Magistrados que conforman la referida Sección se declararon impedidos. En consecuencia, se conformó una Sala de Conjueces. Ver, Consejo</w:t>
      </w:r>
      <w:r w:rsidRPr="00E24140">
        <w:t xml:space="preserve"> de Estado. </w:t>
      </w:r>
      <w:r w:rsidRPr="00E24140">
        <w:t>Sala Plena de lo Contencioso Administrativo. Sección Segunda. Subsección B. Sentencia de 5 de julio de 2018. Conjuez Ponente: Ilvar Nelson Jesús Arévalo Perico. Radicación número: 11001-03-15-000-2018-01761-00.</w:t>
      </w:r>
    </w:p>
  </w:footnote>
  <w:footnote w:id="72">
    <w:p w14:paraId="41064095" w14:textId="77777777" w:rsidR="004832B6" w:rsidRPr="00152DF9" w:rsidRDefault="004832B6" w:rsidP="00AE1B4A">
      <w:pPr>
        <w:pStyle w:val="Textonotapie"/>
        <w:jc w:val="both"/>
      </w:pPr>
      <w:r w:rsidRPr="00152DF9">
        <w:rPr>
          <w:rStyle w:val="Refdenotaalpie"/>
        </w:rPr>
        <w:footnoteRef/>
      </w:r>
      <w:r w:rsidRPr="00152DF9">
        <w:t xml:space="preserve"> </w:t>
      </w:r>
      <w:r w:rsidRPr="00152DF9">
        <w:t>Como se indicó anteriormente (</w:t>
      </w:r>
      <w:r w:rsidRPr="00152DF9">
        <w:rPr>
          <w:i/>
        </w:rPr>
        <w:t xml:space="preserve">supra nota </w:t>
      </w:r>
      <w:r w:rsidRPr="00152DF9">
        <w:t>25), los Magistrados que conforman la referida subsección se declararon impedidos por haber participado en la decisión judicial que se controvierte mediante la acción de tutela. En consecuencia, se conformó una Sala de Conjueces integrada por Ilvar Nelson Jesús Arévalo Perico, Germán Antonio Buitrago Forero y Héctor Alfonso Carvajal Londoño. No obstante, el 21 de junio de 2018 este último manifestó su impedimento para participar en la decisión por haber participado como conjuez en la decisión judicial contra la cual se formuló la acción de tutela.</w:t>
      </w:r>
    </w:p>
  </w:footnote>
  <w:footnote w:id="73">
    <w:p w14:paraId="27E872FD" w14:textId="77777777" w:rsidR="004832B6" w:rsidRPr="00152DF9" w:rsidRDefault="004832B6" w:rsidP="00AE1B4A">
      <w:pPr>
        <w:pStyle w:val="Textonotapie"/>
        <w:rPr>
          <w:lang w:val="es-ES"/>
        </w:rPr>
      </w:pPr>
      <w:r w:rsidRPr="00152DF9">
        <w:rPr>
          <w:rStyle w:val="Refdenotaalpie"/>
        </w:rPr>
        <w:footnoteRef/>
      </w:r>
      <w:r w:rsidRPr="00152DF9">
        <w:t xml:space="preserve"> </w:t>
      </w:r>
      <w:r w:rsidRPr="00152DF9">
        <w:rPr>
          <w:lang w:val="es-ES"/>
        </w:rPr>
        <w:t xml:space="preserve">Folio 117, Cuaderno No. 1. </w:t>
      </w:r>
    </w:p>
  </w:footnote>
  <w:footnote w:id="74">
    <w:p w14:paraId="1B902C1A" w14:textId="77777777" w:rsidR="004832B6" w:rsidRPr="00152DF9" w:rsidRDefault="004832B6" w:rsidP="00AE1B4A">
      <w:pPr>
        <w:pStyle w:val="Textonotapie"/>
        <w:rPr>
          <w:lang w:val="es-ES"/>
        </w:rPr>
      </w:pPr>
      <w:r w:rsidRPr="00152DF9">
        <w:rPr>
          <w:rStyle w:val="Refdenotaalpie"/>
        </w:rPr>
        <w:footnoteRef/>
      </w:r>
      <w:r w:rsidRPr="00152DF9">
        <w:t xml:space="preserve"> </w:t>
      </w:r>
      <w:r w:rsidRPr="00152DF9">
        <w:rPr>
          <w:lang w:val="es-ES"/>
        </w:rPr>
        <w:t xml:space="preserve">Folio 116, Cuaderno No. 1. </w:t>
      </w:r>
    </w:p>
  </w:footnote>
  <w:footnote w:id="75">
    <w:p w14:paraId="04F8B345" w14:textId="77777777" w:rsidR="004832B6" w:rsidRPr="00152DF9" w:rsidRDefault="004832B6" w:rsidP="00AE1B4A">
      <w:pPr>
        <w:pStyle w:val="Textonotapie"/>
        <w:rPr>
          <w:lang w:val="es-ES"/>
        </w:rPr>
      </w:pPr>
      <w:r w:rsidRPr="00152DF9">
        <w:rPr>
          <w:rStyle w:val="Refdenotaalpie"/>
        </w:rPr>
        <w:footnoteRef/>
      </w:r>
      <w:r w:rsidRPr="00152DF9">
        <w:t xml:space="preserve"> </w:t>
      </w:r>
      <w:r w:rsidRPr="00152DF9">
        <w:t>Folio 299, cuaderno de segunda instancia (en adelante Cuaderno No. 2).</w:t>
      </w:r>
    </w:p>
  </w:footnote>
  <w:footnote w:id="76">
    <w:p w14:paraId="54021F07" w14:textId="77777777" w:rsidR="004832B6" w:rsidRPr="00152DF9" w:rsidRDefault="004832B6" w:rsidP="00AE1B4A">
      <w:pPr>
        <w:pStyle w:val="Textonotapie"/>
        <w:jc w:val="both"/>
      </w:pPr>
      <w:r w:rsidRPr="00152DF9">
        <w:rPr>
          <w:rStyle w:val="Refdenotaalpie"/>
        </w:rPr>
        <w:footnoteRef/>
      </w:r>
      <w:r w:rsidRPr="00152DF9">
        <w:t xml:space="preserve"> </w:t>
      </w:r>
      <w:bookmarkStart w:id="6" w:name="_Hlk36211684"/>
      <w:r w:rsidRPr="00152DF9">
        <w:rPr>
          <w:bdr w:val="none" w:sz="0" w:space="0" w:color="auto" w:frame="1"/>
          <w:shd w:val="clear" w:color="auto" w:fill="FFFFFF"/>
          <w:lang w:val="es-ES"/>
        </w:rPr>
        <w:t>Los Magistrados que conforman la referida Sección se declararon impedidos por haber participado en la decisión judicial que se controvierte mediante la acción de tutela. En consecuencia, se conformó una Sala de Conjueces integrada por Jeannette Bibiana García Poveda, Mauricio A. Plazas Vega (ausente), María Eugenia Sánchez Estrada y Elizabeth Whittingham García.   </w:t>
      </w:r>
      <w:bookmarkEnd w:id="6"/>
    </w:p>
  </w:footnote>
  <w:footnote w:id="77">
    <w:p w14:paraId="706D3BE3" w14:textId="77777777" w:rsidR="004832B6" w:rsidRPr="0012517F" w:rsidRDefault="004832B6" w:rsidP="00AE1B4A">
      <w:pPr>
        <w:pStyle w:val="Textonotapie"/>
        <w:rPr>
          <w:lang w:val="es-ES"/>
        </w:rPr>
      </w:pPr>
      <w:r w:rsidRPr="00152DF9">
        <w:rPr>
          <w:rStyle w:val="Refdenotaalpie"/>
        </w:rPr>
        <w:footnoteRef/>
      </w:r>
      <w:r w:rsidRPr="00152DF9">
        <w:t xml:space="preserve"> </w:t>
      </w:r>
      <w:r w:rsidRPr="00152DF9">
        <w:t xml:space="preserve">Folio 301, </w:t>
      </w:r>
      <w:r w:rsidRPr="0012517F">
        <w:t>Cuaderno No. 2.</w:t>
      </w:r>
    </w:p>
  </w:footnote>
  <w:footnote w:id="78">
    <w:p w14:paraId="299F6655" w14:textId="77777777" w:rsidR="004832B6" w:rsidRPr="00684EA5" w:rsidRDefault="004832B6" w:rsidP="00AE1B4A">
      <w:pPr>
        <w:pStyle w:val="Textonotapie"/>
        <w:rPr>
          <w:lang w:val="es-CO"/>
        </w:rPr>
      </w:pPr>
      <w:r>
        <w:rPr>
          <w:rStyle w:val="Refdenotaalpie"/>
        </w:rPr>
        <w:footnoteRef/>
      </w:r>
      <w:r>
        <w:t xml:space="preserve"> </w:t>
      </w:r>
      <w:r w:rsidRPr="00152DF9">
        <w:t>Folio 30</w:t>
      </w:r>
      <w:r>
        <w:rPr>
          <w:lang w:val="es-CO"/>
        </w:rPr>
        <w:t>0</w:t>
      </w:r>
      <w:r w:rsidRPr="00152DF9">
        <w:t xml:space="preserve">, </w:t>
      </w:r>
      <w:r w:rsidRPr="0012517F">
        <w:t>Cuaderno No. 2.</w:t>
      </w:r>
    </w:p>
  </w:footnote>
  <w:footnote w:id="79">
    <w:p w14:paraId="63258FE3" w14:textId="77777777" w:rsidR="004832B6" w:rsidRPr="00684EA5" w:rsidRDefault="004832B6" w:rsidP="00AE1B4A">
      <w:pPr>
        <w:pStyle w:val="Textonotapie"/>
        <w:rPr>
          <w:lang w:val="es-CO"/>
        </w:rPr>
      </w:pPr>
      <w:r>
        <w:rPr>
          <w:rStyle w:val="Refdenotaalpie"/>
        </w:rPr>
        <w:footnoteRef/>
      </w:r>
      <w:r>
        <w:t xml:space="preserve"> </w:t>
      </w:r>
      <w:r>
        <w:rPr>
          <w:lang w:val="es-CO"/>
        </w:rPr>
        <w:t>Ibídem.</w:t>
      </w:r>
    </w:p>
  </w:footnote>
  <w:footnote w:id="80">
    <w:p w14:paraId="330DDC78" w14:textId="77777777" w:rsidR="004832B6" w:rsidRPr="00BB0D71" w:rsidRDefault="004832B6" w:rsidP="00AE1B4A">
      <w:pPr>
        <w:pStyle w:val="Textonotapie"/>
        <w:rPr>
          <w:lang w:val="es-CO"/>
        </w:rPr>
      </w:pPr>
      <w:r w:rsidRPr="00BB0D71">
        <w:rPr>
          <w:rStyle w:val="Refdenotaalpie"/>
        </w:rPr>
        <w:footnoteRef/>
      </w:r>
      <w:r w:rsidRPr="00BB0D71">
        <w:t xml:space="preserve"> </w:t>
      </w:r>
      <w:r w:rsidRPr="00BB0D71">
        <w:rPr>
          <w:lang w:val="es-CO"/>
        </w:rPr>
        <w:t>Ibídem.</w:t>
      </w:r>
    </w:p>
  </w:footnote>
  <w:footnote w:id="81">
    <w:p w14:paraId="35CFBBBD" w14:textId="77777777" w:rsidR="004832B6" w:rsidRPr="000F0217" w:rsidRDefault="004832B6" w:rsidP="00AE1B4A">
      <w:pPr>
        <w:jc w:val="both"/>
        <w:rPr>
          <w:b/>
          <w:bCs/>
          <w:sz w:val="20"/>
        </w:rPr>
      </w:pPr>
      <w:r w:rsidRPr="00BB0D71">
        <w:rPr>
          <w:rStyle w:val="Refdenotaalpie"/>
          <w:sz w:val="20"/>
          <w:szCs w:val="14"/>
        </w:rPr>
        <w:footnoteRef/>
      </w:r>
      <w:r w:rsidRPr="00BB0D71">
        <w:rPr>
          <w:sz w:val="20"/>
          <w:szCs w:val="14"/>
          <w:vertAlign w:val="superscript"/>
        </w:rPr>
        <w:t xml:space="preserve"> </w:t>
      </w:r>
      <w:r w:rsidRPr="00BB0D71">
        <w:rPr>
          <w:bCs/>
          <w:sz w:val="20"/>
        </w:rPr>
        <w:t xml:space="preserve">Para el CSJ, la decisión enunciada dentro del proceso de nulidad por inconstitucionalidad </w:t>
      </w:r>
      <w:r w:rsidRPr="00BB0D71">
        <w:rPr>
          <w:b/>
          <w:bCs/>
          <w:sz w:val="20"/>
        </w:rPr>
        <w:t>desconoció de manera directa la Carta Política</w:t>
      </w:r>
      <w:r w:rsidRPr="00BB0D71">
        <w:rPr>
          <w:bCs/>
          <w:sz w:val="20"/>
        </w:rPr>
        <w:t xml:space="preserve">, </w:t>
      </w:r>
      <w:r w:rsidRPr="00BB0D71">
        <w:rPr>
          <w:b/>
          <w:sz w:val="20"/>
        </w:rPr>
        <w:t xml:space="preserve">(i) </w:t>
      </w:r>
      <w:r w:rsidRPr="00BB0D71">
        <w:rPr>
          <w:bCs/>
          <w:sz w:val="20"/>
        </w:rPr>
        <w:t xml:space="preserve">al desvirtuar el alcance real de los artículos 257 y 257A superiores y </w:t>
      </w:r>
      <w:r w:rsidRPr="00BB0D71">
        <w:rPr>
          <w:b/>
          <w:bCs/>
          <w:sz w:val="20"/>
        </w:rPr>
        <w:t xml:space="preserve">(ii) </w:t>
      </w:r>
      <w:r w:rsidRPr="00BB0D71">
        <w:rPr>
          <w:sz w:val="20"/>
        </w:rPr>
        <w:t xml:space="preserve">al </w:t>
      </w:r>
      <w:r w:rsidRPr="00BB0D71">
        <w:rPr>
          <w:bCs/>
          <w:sz w:val="20"/>
        </w:rPr>
        <w:t xml:space="preserve">realizar una interpretación de las disposiciones constitucionales enunciadas ajena a lo establecido por el constituyente y por la Corte Constitucional en su fallo modulado. Igualmente, considera que el pronunciamiento acusado incurrió en un vicio por </w:t>
      </w:r>
      <w:r w:rsidRPr="00BB0D71">
        <w:rPr>
          <w:b/>
          <w:bCs/>
          <w:sz w:val="20"/>
        </w:rPr>
        <w:t>desconocimiento del precedente constitucional</w:t>
      </w:r>
      <w:r w:rsidRPr="00BB0D71">
        <w:rPr>
          <w:bCs/>
          <w:sz w:val="20"/>
        </w:rPr>
        <w:t xml:space="preserve">, al </w:t>
      </w:r>
      <w:r w:rsidRPr="00BB0D71">
        <w:rPr>
          <w:b/>
          <w:sz w:val="20"/>
        </w:rPr>
        <w:t>(i)</w:t>
      </w:r>
      <w:r w:rsidRPr="00BB0D71">
        <w:rPr>
          <w:bCs/>
          <w:sz w:val="20"/>
        </w:rPr>
        <w:t xml:space="preserve"> analizar el artículo constitucional de manera "restrictiva" y </w:t>
      </w:r>
      <w:r w:rsidRPr="00BB0D71">
        <w:rPr>
          <w:b/>
          <w:bCs/>
          <w:sz w:val="20"/>
        </w:rPr>
        <w:t>(ii)</w:t>
      </w:r>
      <w:r w:rsidRPr="00BB0D71">
        <w:rPr>
          <w:bCs/>
          <w:sz w:val="20"/>
        </w:rPr>
        <w:t xml:space="preserve"> apartarse del precedente instituido por esta Corporación en la </w:t>
      </w:r>
      <w:r w:rsidRPr="00BB0D71">
        <w:rPr>
          <w:b/>
          <w:bCs/>
          <w:sz w:val="20"/>
        </w:rPr>
        <w:t>Sentencia</w:t>
      </w:r>
      <w:r w:rsidRPr="00BB0D71">
        <w:rPr>
          <w:bCs/>
          <w:sz w:val="20"/>
        </w:rPr>
        <w:t xml:space="preserve"> </w:t>
      </w:r>
      <w:r w:rsidRPr="00BB0D71">
        <w:rPr>
          <w:b/>
          <w:bCs/>
          <w:sz w:val="20"/>
        </w:rPr>
        <w:t>C-285 de 2016</w:t>
      </w:r>
      <w:r w:rsidRPr="00BB0D71">
        <w:rPr>
          <w:bCs/>
          <w:sz w:val="20"/>
        </w:rPr>
        <w:t xml:space="preserve">. En un </w:t>
      </w:r>
      <w:r w:rsidRPr="00BB0D71">
        <w:rPr>
          <w:b/>
          <w:bCs/>
          <w:sz w:val="20"/>
        </w:rPr>
        <w:t>defecto sustantivo</w:t>
      </w:r>
      <w:r w:rsidRPr="00BB0D71">
        <w:rPr>
          <w:sz w:val="20"/>
        </w:rPr>
        <w:t xml:space="preserve">, por aplicar la regla general fijada en el artículo 126 C.P. a una norma especial como es la del artículo 257A y en un </w:t>
      </w:r>
      <w:r w:rsidRPr="00BB0D71">
        <w:rPr>
          <w:b/>
          <w:bCs/>
          <w:sz w:val="20"/>
        </w:rPr>
        <w:t>defecto orgánico</w:t>
      </w:r>
      <w:r w:rsidRPr="00BB0D71">
        <w:rPr>
          <w:bCs/>
          <w:sz w:val="20"/>
        </w:rPr>
        <w:t>, porque el Consejo de Estado asumió indebidamente competencias superiores a las que le fueron asignadas a través del mecanismo de control de nulidad por inconstitucionalidad, al tomar determinaciones que s</w:t>
      </w:r>
      <w:r>
        <w:rPr>
          <w:bCs/>
          <w:sz w:val="20"/>
        </w:rPr>
        <w:t>o</w:t>
      </w:r>
      <w:r w:rsidRPr="00BB0D71">
        <w:rPr>
          <w:bCs/>
          <w:sz w:val="20"/>
        </w:rPr>
        <w:t xml:space="preserve">lo le pertenecen al constituyente o en su defecto a la Corte Constitucional, por dejar sin  efectos los alcances de la </w:t>
      </w:r>
      <w:r w:rsidRPr="00BB0D71">
        <w:rPr>
          <w:b/>
          <w:bCs/>
          <w:sz w:val="20"/>
        </w:rPr>
        <w:t>Sentencia</w:t>
      </w:r>
      <w:r w:rsidRPr="00BB0D71">
        <w:rPr>
          <w:bCs/>
          <w:sz w:val="20"/>
        </w:rPr>
        <w:t xml:space="preserve"> </w:t>
      </w:r>
      <w:r w:rsidRPr="00BB0D71">
        <w:rPr>
          <w:b/>
          <w:bCs/>
          <w:sz w:val="20"/>
        </w:rPr>
        <w:t xml:space="preserve">C-285 de 2016 </w:t>
      </w:r>
      <w:r w:rsidRPr="00BB0D71">
        <w:rPr>
          <w:sz w:val="20"/>
        </w:rPr>
        <w:t xml:space="preserve">y </w:t>
      </w:r>
      <w:r w:rsidRPr="00BB0D71">
        <w:rPr>
          <w:bCs/>
          <w:sz w:val="20"/>
        </w:rPr>
        <w:t>darle el carácter de reserva de ley a un asunto que, en principio, no lo tenía.</w:t>
      </w:r>
      <w:r w:rsidRPr="000F0217">
        <w:rPr>
          <w:bCs/>
          <w:sz w:val="20"/>
        </w:rPr>
        <w:t xml:space="preserve"> </w:t>
      </w:r>
    </w:p>
    <w:p w14:paraId="7D621AD2" w14:textId="77777777" w:rsidR="004832B6" w:rsidRPr="000F0217" w:rsidRDefault="004832B6" w:rsidP="00AE1B4A">
      <w:pPr>
        <w:pStyle w:val="Textonotapie"/>
        <w:rPr>
          <w:lang w:val="es-ES"/>
        </w:rPr>
      </w:pPr>
    </w:p>
  </w:footnote>
  <w:footnote w:id="82">
    <w:p w14:paraId="37ABF056" w14:textId="77777777" w:rsidR="004832B6" w:rsidRPr="0012517F" w:rsidRDefault="004832B6" w:rsidP="00AE1B4A">
      <w:pPr>
        <w:pStyle w:val="Textonotapie"/>
        <w:jc w:val="both"/>
        <w:rPr>
          <w:lang w:val="es-AR"/>
        </w:rPr>
      </w:pPr>
      <w:r w:rsidRPr="0012517F">
        <w:rPr>
          <w:rStyle w:val="Refdenotaalpie"/>
        </w:rPr>
        <w:footnoteRef/>
      </w:r>
      <w:r w:rsidRPr="0012517F">
        <w:t xml:space="preserve"> </w:t>
      </w:r>
      <w:r w:rsidRPr="0012517F">
        <w:rPr>
          <w:lang w:val="es-CO"/>
        </w:rPr>
        <w:t xml:space="preserve">Corte Constitucional. </w:t>
      </w:r>
      <w:r w:rsidRPr="0012517F">
        <w:rPr>
          <w:lang w:val="es-AR"/>
        </w:rPr>
        <w:t xml:space="preserve">Sentencia T-350 de 2018, M.P. Gloria Stella Ortiz Delgado. </w:t>
      </w:r>
    </w:p>
  </w:footnote>
  <w:footnote w:id="83">
    <w:p w14:paraId="5A2FEB6E" w14:textId="77777777" w:rsidR="004832B6" w:rsidRPr="0012517F" w:rsidRDefault="004832B6" w:rsidP="00AE1B4A">
      <w:pPr>
        <w:pStyle w:val="Textonotapie"/>
        <w:jc w:val="both"/>
        <w:rPr>
          <w:lang w:val="es-CO"/>
        </w:rPr>
      </w:pPr>
      <w:r w:rsidRPr="0012517F">
        <w:rPr>
          <w:rStyle w:val="Refdenotaalpie"/>
        </w:rPr>
        <w:footnoteRef/>
      </w:r>
      <w:r w:rsidRPr="0012517F">
        <w:t xml:space="preserve"> </w:t>
      </w:r>
      <w:r w:rsidRPr="0012517F">
        <w:rPr>
          <w:lang w:val="es-CO"/>
        </w:rPr>
        <w:t xml:space="preserve">Reglamento interno del CSJ. </w:t>
      </w:r>
    </w:p>
  </w:footnote>
  <w:footnote w:id="84">
    <w:p w14:paraId="7B67D325" w14:textId="77777777" w:rsidR="004832B6" w:rsidRPr="0012517F" w:rsidRDefault="004832B6" w:rsidP="00AE1B4A">
      <w:pPr>
        <w:pStyle w:val="Textonotapie"/>
        <w:jc w:val="both"/>
      </w:pPr>
      <w:r w:rsidRPr="0012517F">
        <w:rPr>
          <w:rStyle w:val="Refdenotaalpie"/>
        </w:rPr>
        <w:footnoteRef/>
      </w:r>
      <w:r w:rsidRPr="0012517F">
        <w:t xml:space="preserve"> </w:t>
      </w:r>
      <w:r w:rsidRPr="0012517F">
        <w:rPr>
          <w:lang w:val="es-CO"/>
        </w:rPr>
        <w:t xml:space="preserve">Ver entre otras, la </w:t>
      </w:r>
      <w:r w:rsidRPr="0012517F">
        <w:rPr>
          <w:shd w:val="clear" w:color="auto" w:fill="FFFFFF"/>
          <w:lang w:val="es-CO"/>
        </w:rPr>
        <w:t>S</w:t>
      </w:r>
      <w:r w:rsidRPr="0012517F">
        <w:rPr>
          <w:shd w:val="clear" w:color="auto" w:fill="FFFFFF"/>
        </w:rPr>
        <w:t>entencia</w:t>
      </w:r>
      <w:r w:rsidRPr="0012517F">
        <w:rPr>
          <w:shd w:val="clear" w:color="auto" w:fill="FFFFFF"/>
          <w:lang w:val="es-CO"/>
        </w:rPr>
        <w:t xml:space="preserve"> </w:t>
      </w:r>
      <w:r w:rsidRPr="0012517F">
        <w:rPr>
          <w:shd w:val="clear" w:color="auto" w:fill="FFFFFF"/>
        </w:rPr>
        <w:t>T-416</w:t>
      </w:r>
      <w:r w:rsidRPr="0012517F">
        <w:rPr>
          <w:shd w:val="clear" w:color="auto" w:fill="FFFFFF"/>
          <w:lang w:val="es-CO"/>
        </w:rPr>
        <w:t xml:space="preserve"> de 19</w:t>
      </w:r>
      <w:r w:rsidRPr="0012517F">
        <w:rPr>
          <w:shd w:val="clear" w:color="auto" w:fill="FFFFFF"/>
        </w:rPr>
        <w:t>97 M.P. José Gregorio Hernández</w:t>
      </w:r>
      <w:r w:rsidRPr="0012517F">
        <w:rPr>
          <w:shd w:val="clear" w:color="auto" w:fill="FFFFFF"/>
          <w:lang w:val="es-CO"/>
        </w:rPr>
        <w:t xml:space="preserve"> y las </w:t>
      </w:r>
      <w:r w:rsidRPr="0012517F">
        <w:t>Sentencias T-</w:t>
      </w:r>
      <w:r w:rsidRPr="0012517F">
        <w:rPr>
          <w:lang w:val="es-CO"/>
        </w:rPr>
        <w:t xml:space="preserve"> </w:t>
      </w:r>
      <w:r w:rsidRPr="0012517F">
        <w:t xml:space="preserve">401 de 2017 y </w:t>
      </w:r>
      <w:r w:rsidRPr="0012517F">
        <w:rPr>
          <w:shd w:val="clear" w:color="auto" w:fill="FFFFFF"/>
        </w:rPr>
        <w:t>T-373 de 2015 M.P. Gloria Stella Ortiz Delgado.</w:t>
      </w:r>
    </w:p>
  </w:footnote>
  <w:footnote w:id="85">
    <w:p w14:paraId="591C19C4" w14:textId="77777777" w:rsidR="004832B6" w:rsidRPr="0012517F" w:rsidRDefault="004832B6" w:rsidP="00AE1B4A">
      <w:pPr>
        <w:pStyle w:val="Textonotapie"/>
        <w:jc w:val="both"/>
        <w:rPr>
          <w:lang w:val="es-CO"/>
        </w:rPr>
      </w:pPr>
      <w:r w:rsidRPr="0012517F">
        <w:rPr>
          <w:rStyle w:val="Refdenotaalpie"/>
        </w:rPr>
        <w:footnoteRef/>
      </w:r>
      <w:r w:rsidRPr="0012517F">
        <w:t xml:space="preserve"> </w:t>
      </w:r>
      <w:r w:rsidRPr="0012517F">
        <w:rPr>
          <w:shd w:val="clear" w:color="auto" w:fill="FFFFFF"/>
        </w:rPr>
        <w:t>Corte Constitucional</w:t>
      </w:r>
      <w:r w:rsidRPr="0012517F">
        <w:rPr>
          <w:shd w:val="clear" w:color="auto" w:fill="FFFFFF"/>
          <w:lang w:val="es-CO"/>
        </w:rPr>
        <w:t xml:space="preserve">, ver </w:t>
      </w:r>
      <w:r w:rsidRPr="0012517F">
        <w:rPr>
          <w:shd w:val="clear" w:color="auto" w:fill="FFFFFF"/>
        </w:rPr>
        <w:t xml:space="preserve">sentencias </w:t>
      </w:r>
      <w:r w:rsidRPr="0012517F">
        <w:rPr>
          <w:shd w:val="clear" w:color="auto" w:fill="FFFFFF"/>
          <w:lang w:val="es-CO"/>
        </w:rPr>
        <w:t xml:space="preserve">SU-391 de 2016, </w:t>
      </w:r>
      <w:r w:rsidRPr="0012517F">
        <w:rPr>
          <w:shd w:val="clear" w:color="auto" w:fill="FFFFFF"/>
        </w:rPr>
        <w:t>SU-297 de 2015</w:t>
      </w:r>
      <w:r w:rsidRPr="0012517F">
        <w:rPr>
          <w:shd w:val="clear" w:color="auto" w:fill="FFFFFF"/>
          <w:lang w:val="es-CO"/>
        </w:rPr>
        <w:t xml:space="preserve"> y </w:t>
      </w:r>
      <w:r w:rsidRPr="0012517F">
        <w:rPr>
          <w:shd w:val="clear" w:color="auto" w:fill="FFFFFF"/>
        </w:rPr>
        <w:t>SU-198 de 2013.</w:t>
      </w:r>
    </w:p>
  </w:footnote>
  <w:footnote w:id="86">
    <w:p w14:paraId="261560A0" w14:textId="77777777" w:rsidR="004832B6" w:rsidRPr="0012517F" w:rsidRDefault="004832B6" w:rsidP="00AE1B4A">
      <w:pPr>
        <w:pStyle w:val="Textonotapie"/>
        <w:jc w:val="both"/>
        <w:rPr>
          <w:lang w:val="es-CO"/>
        </w:rPr>
      </w:pPr>
      <w:r w:rsidRPr="0012517F">
        <w:rPr>
          <w:rStyle w:val="Refdenotaalpie"/>
        </w:rPr>
        <w:footnoteRef/>
      </w:r>
      <w:r w:rsidRPr="0012517F">
        <w:t xml:space="preserve"> </w:t>
      </w:r>
      <w:r w:rsidRPr="0012517F">
        <w:rPr>
          <w:shd w:val="clear" w:color="auto" w:fill="FFFFFF"/>
        </w:rPr>
        <w:t>Corte Constitucional</w:t>
      </w:r>
      <w:r w:rsidRPr="0012517F">
        <w:rPr>
          <w:shd w:val="clear" w:color="auto" w:fill="FFFFFF"/>
          <w:lang w:val="es-CO"/>
        </w:rPr>
        <w:t>,</w:t>
      </w:r>
      <w:r w:rsidRPr="0012517F">
        <w:rPr>
          <w:lang w:val="es-CO"/>
        </w:rPr>
        <w:t xml:space="preserve"> Sentencia T-</w:t>
      </w:r>
      <w:r w:rsidRPr="0012517F">
        <w:rPr>
          <w:szCs w:val="28"/>
        </w:rPr>
        <w:t>367 de 2018</w:t>
      </w:r>
      <w:r w:rsidRPr="0012517F">
        <w:rPr>
          <w:szCs w:val="28"/>
          <w:lang w:val="es-CO"/>
        </w:rPr>
        <w:t>, M.P. Cristina Pardo Schlesinger</w:t>
      </w:r>
    </w:p>
  </w:footnote>
  <w:footnote w:id="87">
    <w:p w14:paraId="1D28AD99" w14:textId="77777777" w:rsidR="004832B6" w:rsidRPr="0012517F" w:rsidRDefault="004832B6" w:rsidP="00AE1B4A">
      <w:pPr>
        <w:pStyle w:val="Textonotapie"/>
        <w:jc w:val="both"/>
        <w:rPr>
          <w:lang w:val="es-CO"/>
        </w:rPr>
      </w:pPr>
      <w:r w:rsidRPr="0012517F">
        <w:rPr>
          <w:rStyle w:val="Refdenotaalpie"/>
        </w:rPr>
        <w:footnoteRef/>
      </w:r>
      <w:r w:rsidRPr="0012517F">
        <w:t xml:space="preserve"> </w:t>
      </w:r>
      <w:r w:rsidRPr="0012517F">
        <w:rPr>
          <w:shd w:val="clear" w:color="auto" w:fill="FFFFFF"/>
        </w:rPr>
        <w:t>Corte Constitucional</w:t>
      </w:r>
      <w:r w:rsidRPr="0012517F">
        <w:rPr>
          <w:shd w:val="clear" w:color="auto" w:fill="FFFFFF"/>
          <w:lang w:val="es-CO"/>
        </w:rPr>
        <w:t>,</w:t>
      </w:r>
      <w:r w:rsidRPr="0012517F">
        <w:rPr>
          <w:lang w:val="es-CO"/>
        </w:rPr>
        <w:t xml:space="preserve"> Sentencia C-590 de 2005, M.P. Jaime Córdoba Triviño.</w:t>
      </w:r>
    </w:p>
  </w:footnote>
  <w:footnote w:id="88">
    <w:p w14:paraId="3C988765" w14:textId="77777777" w:rsidR="004832B6" w:rsidRPr="0012517F" w:rsidRDefault="004832B6" w:rsidP="00AE1B4A">
      <w:pPr>
        <w:pStyle w:val="Textonotapie"/>
        <w:jc w:val="both"/>
        <w:rPr>
          <w:lang w:val="es-CO"/>
        </w:rPr>
      </w:pPr>
      <w:r w:rsidRPr="0012517F">
        <w:rPr>
          <w:rStyle w:val="Refdenotaalpie"/>
        </w:rPr>
        <w:footnoteRef/>
      </w:r>
      <w:r w:rsidRPr="0012517F">
        <w:t xml:space="preserve"> </w:t>
      </w:r>
      <w:r w:rsidRPr="0012517F">
        <w:rPr>
          <w:shd w:val="clear" w:color="auto" w:fill="FFFFFF"/>
        </w:rPr>
        <w:t>Corte Constitucional</w:t>
      </w:r>
      <w:r w:rsidRPr="0012517F">
        <w:rPr>
          <w:shd w:val="clear" w:color="auto" w:fill="FFFFFF"/>
          <w:lang w:val="es-CO"/>
        </w:rPr>
        <w:t xml:space="preserve">, </w:t>
      </w:r>
      <w:r w:rsidRPr="0012517F">
        <w:rPr>
          <w:shd w:val="clear" w:color="auto" w:fill="FFFFFF"/>
        </w:rPr>
        <w:t>Sentencia</w:t>
      </w:r>
      <w:r w:rsidRPr="0012517F">
        <w:rPr>
          <w:shd w:val="clear" w:color="auto" w:fill="FFFFFF"/>
          <w:lang w:val="es-CO"/>
        </w:rPr>
        <w:t xml:space="preserve"> T-</w:t>
      </w:r>
      <w:r w:rsidRPr="0012517F">
        <w:rPr>
          <w:shd w:val="clear" w:color="auto" w:fill="FFFFFF"/>
        </w:rPr>
        <w:t>173</w:t>
      </w:r>
      <w:r w:rsidRPr="0012517F">
        <w:rPr>
          <w:shd w:val="clear" w:color="auto" w:fill="FFFFFF"/>
          <w:lang w:val="es-CO"/>
        </w:rPr>
        <w:t xml:space="preserve"> de 19</w:t>
      </w:r>
      <w:r w:rsidRPr="0012517F">
        <w:rPr>
          <w:shd w:val="clear" w:color="auto" w:fill="FFFFFF"/>
        </w:rPr>
        <w:t>93</w:t>
      </w:r>
      <w:r w:rsidRPr="0012517F">
        <w:rPr>
          <w:shd w:val="clear" w:color="auto" w:fill="FFFFFF"/>
          <w:lang w:val="es-CO"/>
        </w:rPr>
        <w:t xml:space="preserve">, M.P. José Gregorio Hernández Galindo. </w:t>
      </w:r>
    </w:p>
  </w:footnote>
  <w:footnote w:id="89">
    <w:p w14:paraId="428F0C1A" w14:textId="77777777" w:rsidR="004832B6" w:rsidRPr="0012517F" w:rsidRDefault="004832B6" w:rsidP="00AE1B4A">
      <w:pPr>
        <w:pStyle w:val="Textonotapie"/>
        <w:jc w:val="both"/>
        <w:rPr>
          <w:lang w:val="es-CO"/>
        </w:rPr>
      </w:pPr>
      <w:r w:rsidRPr="0012517F">
        <w:rPr>
          <w:rStyle w:val="Refdenotaalpie"/>
        </w:rPr>
        <w:footnoteRef/>
      </w:r>
      <w:r w:rsidRPr="0012517F">
        <w:t xml:space="preserve"> </w:t>
      </w:r>
      <w:bookmarkStart w:id="8" w:name="_Hlk26447545"/>
      <w:r w:rsidRPr="0012517F">
        <w:rPr>
          <w:shd w:val="clear" w:color="auto" w:fill="FFFFFF"/>
        </w:rPr>
        <w:t>Corte Constitucional</w:t>
      </w:r>
      <w:r w:rsidRPr="0012517F">
        <w:rPr>
          <w:shd w:val="clear" w:color="auto" w:fill="FFFFFF"/>
          <w:lang w:val="es-CO"/>
        </w:rPr>
        <w:t xml:space="preserve">, </w:t>
      </w:r>
      <w:r w:rsidRPr="0012517F">
        <w:rPr>
          <w:shd w:val="clear" w:color="auto" w:fill="FFFFFF"/>
        </w:rPr>
        <w:t>Sentencia T-504</w:t>
      </w:r>
      <w:r w:rsidRPr="0012517F">
        <w:rPr>
          <w:shd w:val="clear" w:color="auto" w:fill="FFFFFF"/>
          <w:lang w:val="es-CO"/>
        </w:rPr>
        <w:t xml:space="preserve"> de 20</w:t>
      </w:r>
      <w:r w:rsidRPr="0012517F">
        <w:rPr>
          <w:shd w:val="clear" w:color="auto" w:fill="FFFFFF"/>
        </w:rPr>
        <w:t>00</w:t>
      </w:r>
      <w:bookmarkEnd w:id="8"/>
      <w:r w:rsidRPr="0012517F">
        <w:rPr>
          <w:shd w:val="clear" w:color="auto" w:fill="FFFFFF"/>
          <w:lang w:val="es-CO"/>
        </w:rPr>
        <w:t>, M.P. Antonio Barrera Carbonell.</w:t>
      </w:r>
    </w:p>
  </w:footnote>
  <w:footnote w:id="90">
    <w:p w14:paraId="04D01631" w14:textId="77777777" w:rsidR="004832B6" w:rsidRPr="0012517F" w:rsidRDefault="004832B6" w:rsidP="00AE1B4A">
      <w:pPr>
        <w:pStyle w:val="Textonotapie"/>
        <w:jc w:val="both"/>
        <w:rPr>
          <w:lang w:val="es-CO"/>
        </w:rPr>
      </w:pPr>
      <w:r w:rsidRPr="0012517F">
        <w:rPr>
          <w:rStyle w:val="Refdenotaalpie"/>
        </w:rPr>
        <w:footnoteRef/>
      </w:r>
      <w:r w:rsidRPr="0012517F">
        <w:t xml:space="preserve"> </w:t>
      </w:r>
      <w:r w:rsidRPr="0012517F">
        <w:rPr>
          <w:shd w:val="clear" w:color="auto" w:fill="FFFFFF"/>
        </w:rPr>
        <w:t>Ver entre otras, la reciente Sentencia T-315</w:t>
      </w:r>
      <w:r w:rsidRPr="0012517F">
        <w:rPr>
          <w:shd w:val="clear" w:color="auto" w:fill="FFFFFF"/>
          <w:lang w:val="es-CO"/>
        </w:rPr>
        <w:t xml:space="preserve"> de 20</w:t>
      </w:r>
      <w:r w:rsidRPr="0012517F">
        <w:rPr>
          <w:shd w:val="clear" w:color="auto" w:fill="FFFFFF"/>
        </w:rPr>
        <w:t>05</w:t>
      </w:r>
      <w:r w:rsidRPr="0012517F">
        <w:rPr>
          <w:shd w:val="clear" w:color="auto" w:fill="FFFFFF"/>
          <w:lang w:val="es-CO"/>
        </w:rPr>
        <w:t xml:space="preserve"> M.P. María Victoria Calle Correa.</w:t>
      </w:r>
    </w:p>
  </w:footnote>
  <w:footnote w:id="91">
    <w:p w14:paraId="3DF019FC" w14:textId="77777777" w:rsidR="004832B6" w:rsidRPr="0012517F" w:rsidRDefault="004832B6" w:rsidP="00AE1B4A">
      <w:pPr>
        <w:pStyle w:val="Textonotapie"/>
        <w:jc w:val="both"/>
        <w:rPr>
          <w:lang w:val="es-CO"/>
        </w:rPr>
      </w:pPr>
      <w:r w:rsidRPr="0012517F">
        <w:rPr>
          <w:rStyle w:val="Refdenotaalpie"/>
        </w:rPr>
        <w:footnoteRef/>
      </w:r>
      <w:r w:rsidRPr="0012517F">
        <w:t xml:space="preserve"> </w:t>
      </w:r>
      <w:r w:rsidRPr="0012517F">
        <w:rPr>
          <w:shd w:val="clear" w:color="auto" w:fill="FFFFFF"/>
        </w:rPr>
        <w:t>Corte Constitucional, Sentencias T-008</w:t>
      </w:r>
      <w:r w:rsidRPr="0012517F">
        <w:rPr>
          <w:shd w:val="clear" w:color="auto" w:fill="FFFFFF"/>
          <w:lang w:val="es-CO"/>
        </w:rPr>
        <w:t xml:space="preserve"> de 19</w:t>
      </w:r>
      <w:r w:rsidRPr="0012517F">
        <w:rPr>
          <w:shd w:val="clear" w:color="auto" w:fill="FFFFFF"/>
        </w:rPr>
        <w:t>98</w:t>
      </w:r>
      <w:r w:rsidRPr="0012517F">
        <w:rPr>
          <w:shd w:val="clear" w:color="auto" w:fill="FFFFFF"/>
          <w:lang w:val="es-CO"/>
        </w:rPr>
        <w:t xml:space="preserve"> M.P. Eduardo Cifuentes Muñoz</w:t>
      </w:r>
      <w:r w:rsidRPr="0012517F">
        <w:rPr>
          <w:shd w:val="clear" w:color="auto" w:fill="FFFFFF"/>
        </w:rPr>
        <w:t xml:space="preserve"> y SU-159</w:t>
      </w:r>
      <w:r w:rsidRPr="0012517F">
        <w:rPr>
          <w:shd w:val="clear" w:color="auto" w:fill="FFFFFF"/>
          <w:lang w:val="es-CO"/>
        </w:rPr>
        <w:t xml:space="preserve"> de </w:t>
      </w:r>
      <w:r w:rsidRPr="0012517F">
        <w:rPr>
          <w:shd w:val="clear" w:color="auto" w:fill="FFFFFF"/>
        </w:rPr>
        <w:t>200</w:t>
      </w:r>
      <w:r w:rsidRPr="0012517F">
        <w:rPr>
          <w:shd w:val="clear" w:color="auto" w:fill="FFFFFF"/>
          <w:lang w:val="es-CO"/>
        </w:rPr>
        <w:t>2 M.P. Manuel José Cepeda.</w:t>
      </w:r>
    </w:p>
  </w:footnote>
  <w:footnote w:id="92">
    <w:p w14:paraId="3F21BDA0" w14:textId="77777777" w:rsidR="004832B6" w:rsidRPr="0012517F" w:rsidRDefault="004832B6" w:rsidP="00AE1B4A">
      <w:pPr>
        <w:pStyle w:val="Textonotapie"/>
        <w:jc w:val="both"/>
        <w:rPr>
          <w:lang w:val="es-CO"/>
        </w:rPr>
      </w:pPr>
      <w:r w:rsidRPr="0012517F">
        <w:rPr>
          <w:rStyle w:val="Refdenotaalpie"/>
        </w:rPr>
        <w:footnoteRef/>
      </w:r>
      <w:r w:rsidRPr="0012517F">
        <w:t xml:space="preserve"> </w:t>
      </w:r>
      <w:r w:rsidRPr="0012517F">
        <w:rPr>
          <w:shd w:val="clear" w:color="auto" w:fill="FFFFFF"/>
        </w:rPr>
        <w:t>Corte Constitucional, Sentencia T-658</w:t>
      </w:r>
      <w:r w:rsidRPr="0012517F">
        <w:rPr>
          <w:shd w:val="clear" w:color="auto" w:fill="FFFFFF"/>
          <w:lang w:val="es-CO"/>
        </w:rPr>
        <w:t xml:space="preserve"> de 19</w:t>
      </w:r>
      <w:r w:rsidRPr="0012517F">
        <w:rPr>
          <w:shd w:val="clear" w:color="auto" w:fill="FFFFFF"/>
        </w:rPr>
        <w:t>98</w:t>
      </w:r>
      <w:r w:rsidRPr="0012517F">
        <w:rPr>
          <w:shd w:val="clear" w:color="auto" w:fill="FFFFFF"/>
          <w:lang w:val="es-CO"/>
        </w:rPr>
        <w:t xml:space="preserve"> M.P. Carlos Gaviria Díaz.</w:t>
      </w:r>
    </w:p>
  </w:footnote>
  <w:footnote w:id="93">
    <w:p w14:paraId="0C747E3E" w14:textId="77777777" w:rsidR="004832B6" w:rsidRPr="0012517F" w:rsidRDefault="004832B6" w:rsidP="00AE1B4A">
      <w:pPr>
        <w:pStyle w:val="Textonotapie"/>
        <w:jc w:val="both"/>
        <w:rPr>
          <w:lang w:val="es-CO"/>
        </w:rPr>
      </w:pPr>
      <w:r w:rsidRPr="0012517F">
        <w:rPr>
          <w:rStyle w:val="Refdenotaalpie"/>
        </w:rPr>
        <w:footnoteRef/>
      </w:r>
      <w:r w:rsidRPr="0012517F">
        <w:t xml:space="preserve"> </w:t>
      </w:r>
      <w:r w:rsidRPr="0012517F">
        <w:rPr>
          <w:shd w:val="clear" w:color="auto" w:fill="FFFFFF"/>
        </w:rPr>
        <w:t>Corte Constitucional, Sentencias T-088</w:t>
      </w:r>
      <w:r w:rsidRPr="0012517F">
        <w:rPr>
          <w:shd w:val="clear" w:color="auto" w:fill="FFFFFF"/>
          <w:lang w:val="es-CO"/>
        </w:rPr>
        <w:t xml:space="preserve"> de 19</w:t>
      </w:r>
      <w:r w:rsidRPr="0012517F">
        <w:rPr>
          <w:shd w:val="clear" w:color="auto" w:fill="FFFFFF"/>
        </w:rPr>
        <w:t>99 y SU-1219</w:t>
      </w:r>
      <w:r w:rsidRPr="0012517F">
        <w:rPr>
          <w:shd w:val="clear" w:color="auto" w:fill="FFFFFF"/>
          <w:lang w:val="es-CO"/>
        </w:rPr>
        <w:t xml:space="preserve"> de 20</w:t>
      </w:r>
      <w:r w:rsidRPr="0012517F">
        <w:rPr>
          <w:shd w:val="clear" w:color="auto" w:fill="FFFFFF"/>
        </w:rPr>
        <w:t>01</w:t>
      </w:r>
      <w:r w:rsidRPr="0012517F">
        <w:rPr>
          <w:shd w:val="clear" w:color="auto" w:fill="FFFFFF"/>
          <w:lang w:val="es-CO"/>
        </w:rPr>
        <w:t xml:space="preserve"> M.P. Manuel José Cepeda Espinosa. </w:t>
      </w:r>
    </w:p>
  </w:footnote>
  <w:footnote w:id="94">
    <w:p w14:paraId="6C1BBF34" w14:textId="77777777" w:rsidR="004832B6" w:rsidRPr="0012517F" w:rsidRDefault="004832B6" w:rsidP="00AE1B4A">
      <w:pPr>
        <w:pStyle w:val="Textonotapie"/>
        <w:jc w:val="both"/>
      </w:pPr>
      <w:r w:rsidRPr="0012517F">
        <w:rPr>
          <w:rStyle w:val="Refdenotaalpie"/>
        </w:rPr>
        <w:footnoteRef/>
      </w:r>
      <w:r w:rsidRPr="0012517F">
        <w:t xml:space="preserve"> </w:t>
      </w:r>
      <w:r w:rsidRPr="0012517F">
        <w:rPr>
          <w:shd w:val="clear" w:color="auto" w:fill="FFFFFF"/>
        </w:rPr>
        <w:t xml:space="preserve">Corte Constitucional, </w:t>
      </w:r>
      <w:r w:rsidRPr="0012517F">
        <w:rPr>
          <w:shd w:val="clear" w:color="auto" w:fill="FFFFFF"/>
          <w:lang w:val="es-CO"/>
        </w:rPr>
        <w:t>S</w:t>
      </w:r>
      <w:r w:rsidRPr="0012517F">
        <w:rPr>
          <w:shd w:val="clear" w:color="auto" w:fill="FFFFFF"/>
        </w:rPr>
        <w:t>entencia C-590 del 8 de junio de 2005. M.P. Jaime Córdoba Triviño.</w:t>
      </w:r>
    </w:p>
  </w:footnote>
  <w:footnote w:id="95">
    <w:p w14:paraId="7F830DF2" w14:textId="77777777" w:rsidR="004832B6" w:rsidRPr="0012517F" w:rsidRDefault="004832B6" w:rsidP="00D72F54">
      <w:pPr>
        <w:pStyle w:val="Textonotapie"/>
        <w:rPr>
          <w:lang w:val="es-CO"/>
        </w:rPr>
      </w:pPr>
      <w:r w:rsidRPr="0012517F">
        <w:rPr>
          <w:rStyle w:val="Refdenotaalpie"/>
        </w:rPr>
        <w:footnoteRef/>
      </w:r>
      <w:r w:rsidRPr="0012517F">
        <w:t xml:space="preserve"> </w:t>
      </w:r>
      <w:r w:rsidRPr="0012517F">
        <w:rPr>
          <w:lang w:val="es-CO"/>
        </w:rPr>
        <w:t xml:space="preserve">Corte Constitucional, </w:t>
      </w:r>
      <w:r w:rsidRPr="0012517F">
        <w:t>Sentencia T-317 de 2013 M.P. Jorge Ignacio Pretelt Chaljub</w:t>
      </w:r>
    </w:p>
  </w:footnote>
  <w:footnote w:id="96">
    <w:p w14:paraId="61BAF805" w14:textId="77777777" w:rsidR="004832B6" w:rsidRPr="0012517F" w:rsidRDefault="004832B6" w:rsidP="00D72F54">
      <w:pPr>
        <w:pStyle w:val="Textonotapie"/>
      </w:pPr>
      <w:r w:rsidRPr="0012517F">
        <w:rPr>
          <w:rStyle w:val="Refdenotaalpie"/>
        </w:rPr>
        <w:footnoteRef/>
      </w:r>
      <w:r w:rsidRPr="0012517F">
        <w:t xml:space="preserve"> </w:t>
      </w:r>
      <w:r w:rsidRPr="0012517F">
        <w:rPr>
          <w:lang w:val="es-CO"/>
        </w:rPr>
        <w:t xml:space="preserve">Corte Constitucional, </w:t>
      </w:r>
      <w:r w:rsidRPr="0012517F">
        <w:t>Sentencia SU-182 de 1998, M.P. Carlos Gaviria Díaz y José Gregorio Hernández Galindo</w:t>
      </w:r>
    </w:p>
  </w:footnote>
  <w:footnote w:id="97">
    <w:p w14:paraId="5CC9C270" w14:textId="77777777" w:rsidR="004832B6" w:rsidRPr="0012517F" w:rsidRDefault="004832B6" w:rsidP="00AF7F8A">
      <w:pPr>
        <w:pStyle w:val="Textonotapie"/>
        <w:jc w:val="both"/>
        <w:rPr>
          <w:lang w:val="es-CO"/>
        </w:rPr>
      </w:pPr>
      <w:r w:rsidRPr="0012517F">
        <w:rPr>
          <w:rStyle w:val="Refdenotaalpie"/>
        </w:rPr>
        <w:footnoteRef/>
      </w:r>
      <w:r w:rsidRPr="0012517F">
        <w:t xml:space="preserve"> </w:t>
      </w:r>
      <w:r w:rsidRPr="0012517F">
        <w:rPr>
          <w:lang w:val="es-CO"/>
        </w:rPr>
        <w:t xml:space="preserve">Art. 86 C.P. </w:t>
      </w:r>
    </w:p>
  </w:footnote>
  <w:footnote w:id="98">
    <w:p w14:paraId="43352EBC" w14:textId="77777777" w:rsidR="004832B6" w:rsidRPr="0012517F" w:rsidRDefault="004832B6" w:rsidP="00AF7F8A">
      <w:pPr>
        <w:pStyle w:val="Textonotapie"/>
        <w:jc w:val="both"/>
        <w:rPr>
          <w:lang w:val="es-CO"/>
        </w:rPr>
      </w:pPr>
      <w:r w:rsidRPr="0012517F">
        <w:rPr>
          <w:rStyle w:val="Refdenotaalpie"/>
        </w:rPr>
        <w:footnoteRef/>
      </w:r>
      <w:r w:rsidRPr="0012517F">
        <w:t xml:space="preserve"> </w:t>
      </w:r>
      <w:r w:rsidRPr="0012517F">
        <w:rPr>
          <w:shd w:val="clear" w:color="auto" w:fill="FFFFFF"/>
        </w:rPr>
        <w:t>Corte Constitucional, Sentencia SU-037 de 2009</w:t>
      </w:r>
      <w:r w:rsidRPr="0012517F">
        <w:rPr>
          <w:shd w:val="clear" w:color="auto" w:fill="FFFFFF"/>
          <w:lang w:val="es-CO"/>
        </w:rPr>
        <w:t xml:space="preserve"> M.P. Rodrigo Escobar Gil.  </w:t>
      </w:r>
    </w:p>
  </w:footnote>
  <w:footnote w:id="99">
    <w:p w14:paraId="6A4EB949" w14:textId="77777777" w:rsidR="004832B6" w:rsidRPr="0012517F" w:rsidRDefault="004832B6" w:rsidP="00A57E5D">
      <w:pPr>
        <w:jc w:val="both"/>
        <w:rPr>
          <w:sz w:val="20"/>
        </w:rPr>
      </w:pPr>
      <w:r w:rsidRPr="0012517F">
        <w:rPr>
          <w:rStyle w:val="Refdenotaalpie"/>
          <w:sz w:val="20"/>
        </w:rPr>
        <w:footnoteRef/>
      </w:r>
      <w:r w:rsidRPr="0012517F">
        <w:rPr>
          <w:sz w:val="20"/>
        </w:rPr>
        <w:t xml:space="preserve"> Ver entre otras, la Sentencia T-313 de 2005 M.P. Jaime Córdoba Triviño y la Sentencia T-373 de 2015 M.P. Gloria Stella Ortiz Delgado.  </w:t>
      </w:r>
    </w:p>
  </w:footnote>
  <w:footnote w:id="100">
    <w:p w14:paraId="6927214D" w14:textId="77777777" w:rsidR="004832B6" w:rsidRPr="0012517F" w:rsidRDefault="004832B6" w:rsidP="00AF7F8A">
      <w:pPr>
        <w:pStyle w:val="Textonotapie"/>
        <w:jc w:val="both"/>
        <w:rPr>
          <w:lang w:val="es-CO"/>
        </w:rPr>
      </w:pPr>
      <w:r w:rsidRPr="0012517F">
        <w:rPr>
          <w:rStyle w:val="Refdenotaalpie"/>
        </w:rPr>
        <w:footnoteRef/>
      </w:r>
      <w:r w:rsidRPr="0012517F">
        <w:t xml:space="preserve"> </w:t>
      </w:r>
      <w:r w:rsidRPr="0012517F">
        <w:rPr>
          <w:lang w:val="es-CO"/>
        </w:rPr>
        <w:t xml:space="preserve">Ver, entre otras, Corte Constitucional. Sentencia T-091 de 2018. M.P. Carlos Bernal Pulido y </w:t>
      </w:r>
      <w:r w:rsidRPr="0012517F">
        <w:rPr>
          <w:shd w:val="clear" w:color="auto" w:fill="FFFFFF"/>
          <w:lang w:val="es-CO"/>
        </w:rPr>
        <w:t xml:space="preserve">la </w:t>
      </w:r>
      <w:r w:rsidRPr="0012517F">
        <w:rPr>
          <w:shd w:val="clear" w:color="auto" w:fill="FFFFFF"/>
        </w:rPr>
        <w:t>Sentencia T-721 de 2012</w:t>
      </w:r>
      <w:r w:rsidRPr="0012517F">
        <w:rPr>
          <w:shd w:val="clear" w:color="auto" w:fill="FFFFFF"/>
          <w:lang w:val="es-CO"/>
        </w:rPr>
        <w:t xml:space="preserve">, M.P. Luis Ernesto Vargas Silva. </w:t>
      </w:r>
    </w:p>
  </w:footnote>
  <w:footnote w:id="101">
    <w:p w14:paraId="1D356383" w14:textId="77777777" w:rsidR="004832B6" w:rsidRPr="0012517F" w:rsidRDefault="004832B6">
      <w:pPr>
        <w:pStyle w:val="Textonotapie"/>
        <w:rPr>
          <w:lang w:val="es-CO"/>
        </w:rPr>
      </w:pPr>
      <w:r w:rsidRPr="0012517F">
        <w:rPr>
          <w:rStyle w:val="Refdenotaalpie"/>
        </w:rPr>
        <w:footnoteRef/>
      </w:r>
      <w:r w:rsidRPr="0012517F">
        <w:t xml:space="preserve"> </w:t>
      </w:r>
      <w:r w:rsidRPr="0012517F">
        <w:rPr>
          <w:shd w:val="clear" w:color="auto" w:fill="FFFFFF"/>
        </w:rPr>
        <w:t xml:space="preserve">Corte Constitucional, </w:t>
      </w:r>
      <w:r w:rsidRPr="0012517F">
        <w:rPr>
          <w:shd w:val="clear" w:color="auto" w:fill="FFFFFF"/>
          <w:lang w:val="es-CO"/>
        </w:rPr>
        <w:t>S</w:t>
      </w:r>
      <w:r w:rsidRPr="0012517F">
        <w:rPr>
          <w:shd w:val="clear" w:color="auto" w:fill="FFFFFF"/>
        </w:rPr>
        <w:t>entencia SU-961 de 1999</w:t>
      </w:r>
      <w:r w:rsidRPr="0012517F">
        <w:rPr>
          <w:shd w:val="clear" w:color="auto" w:fill="FFFFFF"/>
          <w:lang w:val="es-CO"/>
        </w:rPr>
        <w:t xml:space="preserve">, M.P. Vladimiro Naranjo Mesa. </w:t>
      </w:r>
    </w:p>
  </w:footnote>
  <w:footnote w:id="102">
    <w:p w14:paraId="24375895" w14:textId="77777777" w:rsidR="004832B6" w:rsidRPr="0012517F" w:rsidRDefault="004832B6">
      <w:pPr>
        <w:pStyle w:val="Textonotapie"/>
        <w:rPr>
          <w:lang w:val="es-CO"/>
        </w:rPr>
      </w:pPr>
      <w:r w:rsidRPr="0012517F">
        <w:rPr>
          <w:rStyle w:val="Refdenotaalpie"/>
        </w:rPr>
        <w:footnoteRef/>
      </w:r>
      <w:r w:rsidRPr="0012517F">
        <w:t xml:space="preserve"> </w:t>
      </w:r>
      <w:r w:rsidRPr="0012517F">
        <w:rPr>
          <w:lang w:val="es-CO"/>
        </w:rPr>
        <w:t xml:space="preserve">Corte Constitucional. </w:t>
      </w:r>
      <w:r w:rsidRPr="0012517F">
        <w:rPr>
          <w:shd w:val="clear" w:color="auto" w:fill="FFFFFF"/>
        </w:rPr>
        <w:t>Sentencia T-539 de 2015</w:t>
      </w:r>
      <w:r w:rsidRPr="0012517F">
        <w:rPr>
          <w:shd w:val="clear" w:color="auto" w:fill="FFFFFF"/>
          <w:lang w:val="es-CO"/>
        </w:rPr>
        <w:t>, M.P. Luis Guillermo Guerrero Pérez.</w:t>
      </w:r>
    </w:p>
  </w:footnote>
  <w:footnote w:id="103">
    <w:p w14:paraId="7A4E043F" w14:textId="77777777" w:rsidR="004832B6" w:rsidRPr="0012517F" w:rsidRDefault="004832B6">
      <w:pPr>
        <w:pStyle w:val="Textonotapie"/>
        <w:rPr>
          <w:lang w:val="es-CO"/>
        </w:rPr>
      </w:pPr>
      <w:r w:rsidRPr="0012517F">
        <w:rPr>
          <w:rStyle w:val="Refdenotaalpie"/>
        </w:rPr>
        <w:footnoteRef/>
      </w:r>
      <w:r w:rsidRPr="0012517F">
        <w:t xml:space="preserve"> </w:t>
      </w:r>
      <w:r w:rsidRPr="0012517F">
        <w:rPr>
          <w:lang w:val="es-CO"/>
        </w:rPr>
        <w:t xml:space="preserve">Corte Constitucional. </w:t>
      </w:r>
      <w:r w:rsidRPr="0012517F">
        <w:rPr>
          <w:shd w:val="clear" w:color="auto" w:fill="FFFFFF"/>
        </w:rPr>
        <w:t>Sentencia SU-439 de 2017</w:t>
      </w:r>
      <w:r w:rsidRPr="0012517F">
        <w:rPr>
          <w:shd w:val="clear" w:color="auto" w:fill="FFFFFF"/>
          <w:lang w:val="es-CO"/>
        </w:rPr>
        <w:t xml:space="preserve">, M.P. </w:t>
      </w:r>
      <w:r w:rsidRPr="0012517F">
        <w:rPr>
          <w:shd w:val="clear" w:color="auto" w:fill="FFFFFF"/>
        </w:rPr>
        <w:t>Alberto Rojas Ríos</w:t>
      </w:r>
    </w:p>
  </w:footnote>
  <w:footnote w:id="104">
    <w:p w14:paraId="1E05E6F7" w14:textId="77777777" w:rsidR="004832B6" w:rsidRPr="000C77B0" w:rsidRDefault="004832B6" w:rsidP="00CE4DE7">
      <w:pPr>
        <w:pStyle w:val="Textonotapie"/>
        <w:jc w:val="both"/>
        <w:rPr>
          <w:lang w:val="es-CO"/>
        </w:rPr>
      </w:pPr>
      <w:r w:rsidRPr="0012517F">
        <w:rPr>
          <w:rStyle w:val="Refdenotaalpie"/>
        </w:rPr>
        <w:footnoteRef/>
      </w:r>
      <w:r w:rsidRPr="0012517F">
        <w:rPr>
          <w:lang w:val="es-CO"/>
        </w:rPr>
        <w:t xml:space="preserve"> Corte Constitucional. </w:t>
      </w:r>
      <w:r w:rsidRPr="0012517F">
        <w:rPr>
          <w:shd w:val="clear" w:color="auto" w:fill="FFFFFF"/>
        </w:rPr>
        <w:t>Sentencia T-539 de 2015</w:t>
      </w:r>
      <w:r w:rsidRPr="0012517F">
        <w:rPr>
          <w:shd w:val="clear" w:color="auto" w:fill="FFFFFF"/>
          <w:lang w:val="es-CO"/>
        </w:rPr>
        <w:t>, M.P. Luis Guillermo Guerrero Pérez</w:t>
      </w:r>
      <w:r w:rsidRPr="0012517F">
        <w:rPr>
          <w:shd w:val="clear" w:color="auto" w:fill="FFFFFF"/>
        </w:rPr>
        <w:t>. En este fallo de tutela se definió el requisito de inmediatez</w:t>
      </w:r>
      <w:r w:rsidRPr="0012517F">
        <w:rPr>
          <w:shd w:val="clear" w:color="auto" w:fill="FFFFFF"/>
          <w:lang w:val="es-CO"/>
        </w:rPr>
        <w:t>,</w:t>
      </w:r>
      <w:r w:rsidRPr="0012517F">
        <w:rPr>
          <w:shd w:val="clear" w:color="auto" w:fill="FFFFFF"/>
        </w:rPr>
        <w:t xml:space="preserve"> como la carga que tienen los </w:t>
      </w:r>
      <w:r w:rsidRPr="0012517F">
        <w:rPr>
          <w:shd w:val="clear" w:color="auto" w:fill="FFFFFF"/>
          <w:lang w:val="es-CO"/>
        </w:rPr>
        <w:t>demandantes</w:t>
      </w:r>
      <w:r w:rsidRPr="0012517F">
        <w:rPr>
          <w:shd w:val="clear" w:color="auto" w:fill="FFFFFF"/>
        </w:rPr>
        <w:t xml:space="preserve"> de interponer la acción dentro de un plazo razonable y propicio, a partir del hecho generador de la amenaza o vulneración de los</w:t>
      </w:r>
      <w:r w:rsidRPr="000C77B0">
        <w:rPr>
          <w:shd w:val="clear" w:color="auto" w:fill="FFFFFF"/>
        </w:rPr>
        <w:t xml:space="preserve"> derechos fundamentales.</w:t>
      </w:r>
    </w:p>
  </w:footnote>
  <w:footnote w:id="105">
    <w:p w14:paraId="637A51CB" w14:textId="77777777" w:rsidR="004832B6" w:rsidRPr="000C77B0" w:rsidRDefault="004832B6" w:rsidP="00A037C5">
      <w:pPr>
        <w:pStyle w:val="Textonotapie"/>
        <w:jc w:val="both"/>
      </w:pPr>
      <w:r w:rsidRPr="000C77B0">
        <w:rPr>
          <w:rStyle w:val="Refdenotaalpie"/>
        </w:rPr>
        <w:footnoteRef/>
      </w:r>
      <w:r w:rsidRPr="000C77B0">
        <w:t xml:space="preserve"> </w:t>
      </w:r>
      <w:r w:rsidRPr="000C77B0">
        <w:t>Consejo de Estado. Sala Plena de lo Contencioso Administrativo. Sentencia de 6 de febrero de 2018. Ibídem.</w:t>
      </w:r>
    </w:p>
  </w:footnote>
  <w:footnote w:id="106">
    <w:p w14:paraId="66A0BE32" w14:textId="77777777" w:rsidR="004832B6" w:rsidRPr="0012517F" w:rsidRDefault="004832B6" w:rsidP="00D33DE5">
      <w:pPr>
        <w:pStyle w:val="Textonotapie"/>
        <w:jc w:val="both"/>
        <w:rPr>
          <w:lang w:val="es-CO"/>
        </w:rPr>
      </w:pPr>
      <w:r w:rsidRPr="003A28CD">
        <w:rPr>
          <w:rStyle w:val="Refdenotaalpie"/>
        </w:rPr>
        <w:footnoteRef/>
      </w:r>
      <w:r w:rsidRPr="003A28CD">
        <w:t xml:space="preserve"> </w:t>
      </w:r>
      <w:r w:rsidRPr="003A28CD">
        <w:rPr>
          <w:shd w:val="clear" w:color="auto" w:fill="FFFFFF"/>
        </w:rPr>
        <w:t>Corte Constitucional, Sentencia T-658</w:t>
      </w:r>
      <w:r w:rsidRPr="003A28CD">
        <w:rPr>
          <w:shd w:val="clear" w:color="auto" w:fill="FFFFFF"/>
          <w:lang w:val="es-CO"/>
        </w:rPr>
        <w:t xml:space="preserve"> de 19</w:t>
      </w:r>
      <w:r w:rsidRPr="003A28CD">
        <w:rPr>
          <w:shd w:val="clear" w:color="auto" w:fill="FFFFFF"/>
        </w:rPr>
        <w:t>98</w:t>
      </w:r>
      <w:r w:rsidRPr="003A28CD">
        <w:rPr>
          <w:shd w:val="clear" w:color="auto" w:fill="FFFFFF"/>
          <w:lang w:val="es-CO"/>
        </w:rPr>
        <w:t xml:space="preserve"> M.P. Carlos Gaviria Díaz.</w:t>
      </w:r>
    </w:p>
  </w:footnote>
  <w:footnote w:id="107">
    <w:p w14:paraId="3FAD821E" w14:textId="77777777" w:rsidR="004832B6" w:rsidRPr="0012517F" w:rsidRDefault="004832B6">
      <w:pPr>
        <w:pStyle w:val="Textonotapie"/>
        <w:rPr>
          <w:lang w:val="es-CO"/>
        </w:rPr>
      </w:pPr>
      <w:r w:rsidRPr="0012517F">
        <w:rPr>
          <w:rStyle w:val="Refdenotaalpie"/>
        </w:rPr>
        <w:footnoteRef/>
      </w:r>
      <w:r w:rsidRPr="0012517F">
        <w:t xml:space="preserve"> </w:t>
      </w:r>
      <w:r w:rsidRPr="0012517F">
        <w:rPr>
          <w:lang w:val="es-CO"/>
        </w:rPr>
        <w:t>Ibídem.</w:t>
      </w:r>
    </w:p>
  </w:footnote>
  <w:footnote w:id="108">
    <w:p w14:paraId="7E659FB2" w14:textId="77777777" w:rsidR="004832B6" w:rsidRPr="008F2A9A" w:rsidRDefault="004832B6">
      <w:pPr>
        <w:pStyle w:val="Textonotapie"/>
        <w:rPr>
          <w:lang w:val="es-CO"/>
        </w:rPr>
      </w:pPr>
      <w:r w:rsidRPr="0012517F">
        <w:rPr>
          <w:rStyle w:val="Refdenotaalpie"/>
        </w:rPr>
        <w:footnoteRef/>
      </w:r>
      <w:r w:rsidRPr="0012517F">
        <w:t xml:space="preserve"> </w:t>
      </w:r>
      <w:r w:rsidRPr="0012517F">
        <w:rPr>
          <w:lang w:val="es-CO"/>
        </w:rPr>
        <w:t>M.P. Alejandro Martínez</w:t>
      </w:r>
      <w:r>
        <w:rPr>
          <w:lang w:val="es-CO"/>
        </w:rPr>
        <w:t xml:space="preserve"> Caballero. </w:t>
      </w:r>
    </w:p>
  </w:footnote>
  <w:footnote w:id="109">
    <w:p w14:paraId="1BAC77F6" w14:textId="77777777" w:rsidR="004832B6" w:rsidRPr="00FE5248" w:rsidRDefault="004832B6">
      <w:pPr>
        <w:pStyle w:val="Textonotapie"/>
        <w:rPr>
          <w:lang w:val="es-CO"/>
        </w:rPr>
      </w:pPr>
      <w:r w:rsidRPr="0012517F">
        <w:rPr>
          <w:rStyle w:val="Refdenotaalpie"/>
        </w:rPr>
        <w:footnoteRef/>
      </w:r>
      <w:r w:rsidRPr="0012517F">
        <w:t xml:space="preserve"> </w:t>
      </w:r>
      <w:r w:rsidRPr="0012517F">
        <w:rPr>
          <w:lang w:val="es-CO"/>
        </w:rPr>
        <w:t>Corte Constitucional. Sentencia SU-</w:t>
      </w:r>
      <w:r>
        <w:rPr>
          <w:lang w:val="es-CO"/>
        </w:rPr>
        <w:t xml:space="preserve">391 de 2016. M.P. Alejandro Linares. </w:t>
      </w:r>
    </w:p>
  </w:footnote>
  <w:footnote w:id="110">
    <w:p w14:paraId="4282DB6E" w14:textId="77777777" w:rsidR="004832B6" w:rsidRPr="00644226" w:rsidRDefault="004832B6" w:rsidP="000A1CF4">
      <w:pPr>
        <w:pStyle w:val="Textonotapie"/>
        <w:jc w:val="both"/>
        <w:rPr>
          <w:lang w:val="es-CO"/>
        </w:rPr>
      </w:pPr>
      <w:r w:rsidRPr="00644226">
        <w:rPr>
          <w:rStyle w:val="Refdenotaalpie"/>
        </w:rPr>
        <w:footnoteRef/>
      </w:r>
      <w:r w:rsidRPr="00644226">
        <w:t xml:space="preserve"> </w:t>
      </w:r>
      <w:r w:rsidRPr="00644226">
        <w:rPr>
          <w:lang w:val="es-CO" w:eastAsia="en-US"/>
        </w:rPr>
        <w:t xml:space="preserve">La jurisprudencia constitucional ha considerado como </w:t>
      </w:r>
      <w:r w:rsidRPr="00644226">
        <w:rPr>
          <w:lang w:eastAsia="en-US"/>
        </w:rPr>
        <w:t>precedente</w:t>
      </w:r>
      <w:r w:rsidRPr="00644226">
        <w:rPr>
          <w:lang w:val="es-CO" w:eastAsia="en-US"/>
        </w:rPr>
        <w:t xml:space="preserve"> </w:t>
      </w:r>
      <w:r w:rsidRPr="00644226">
        <w:rPr>
          <w:lang w:eastAsia="en-US"/>
        </w:rPr>
        <w:t>“</w:t>
      </w:r>
      <w:r w:rsidRPr="00644226">
        <w:rPr>
          <w:i/>
          <w:lang w:eastAsia="en-US"/>
        </w:rPr>
        <w:t xml:space="preserve">la sentencia o el conjunto de ellas, anteriores a un caso determinado, que por su </w:t>
      </w:r>
      <w:r w:rsidRPr="00644226">
        <w:rPr>
          <w:i/>
          <w:u w:val="single"/>
          <w:lang w:eastAsia="en-US"/>
        </w:rPr>
        <w:t>pertinencia y semejanza en los problemas jurídicos resueltos</w:t>
      </w:r>
      <w:r w:rsidRPr="00644226">
        <w:rPr>
          <w:i/>
          <w:lang w:eastAsia="en-US"/>
        </w:rPr>
        <w:t>, debe necesariamente considerarse por las autoridades judiciales al momento de emitir un fallo”</w:t>
      </w:r>
      <w:r w:rsidRPr="00644226">
        <w:rPr>
          <w:lang w:val="es-ES_tradnl"/>
        </w:rPr>
        <w:t xml:space="preserve"> (Sentencia SU-053 de 2015) (Subraya fuera del original)</w:t>
      </w:r>
      <w:r w:rsidRPr="00644226">
        <w:rPr>
          <w:i/>
          <w:lang w:eastAsia="en-US"/>
        </w:rPr>
        <w:t xml:space="preserve">. </w:t>
      </w:r>
      <w:r w:rsidRPr="00644226">
        <w:rPr>
          <w:lang w:val="es-CO" w:eastAsia="en-US"/>
        </w:rPr>
        <w:t>L</w:t>
      </w:r>
      <w:r w:rsidRPr="00644226">
        <w:rPr>
          <w:lang w:eastAsia="en-US"/>
        </w:rPr>
        <w:t xml:space="preserve">a doctrina ha definido </w:t>
      </w:r>
      <w:r w:rsidRPr="00644226">
        <w:rPr>
          <w:lang w:val="es-CO" w:eastAsia="en-US"/>
        </w:rPr>
        <w:t xml:space="preserve">al precedente, </w:t>
      </w:r>
      <w:r w:rsidRPr="00644226">
        <w:rPr>
          <w:lang w:eastAsia="en-US"/>
        </w:rPr>
        <w:t xml:space="preserve">como el mecanismo jurisdiccional que tiene su origen en el principio </w:t>
      </w:r>
      <w:r w:rsidRPr="00644226">
        <w:rPr>
          <w:i/>
          <w:lang w:eastAsia="en-US"/>
        </w:rPr>
        <w:t xml:space="preserve">stare decisis o estar a lo decidido, </w:t>
      </w:r>
      <w:r w:rsidRPr="00644226">
        <w:rPr>
          <w:lang w:eastAsia="en-US"/>
        </w:rPr>
        <w:t xml:space="preserve">el cual consiste en la aplicación de criterios adoptados en decisiones anteriores a casos que se presenten en situaciones posteriores y </w:t>
      </w:r>
      <w:r w:rsidRPr="00644226">
        <w:rPr>
          <w:lang w:val="es-CO" w:eastAsia="en-US"/>
        </w:rPr>
        <w:t>“</w:t>
      </w:r>
      <w:r w:rsidRPr="00644226">
        <w:rPr>
          <w:i/>
          <w:iCs/>
          <w:lang w:eastAsia="en-US"/>
        </w:rPr>
        <w:t>con circunstancias similares</w:t>
      </w:r>
      <w:r w:rsidRPr="00644226">
        <w:rPr>
          <w:lang w:val="es-CO" w:eastAsia="en-US"/>
        </w:rPr>
        <w:t xml:space="preserve">”. (Ver </w:t>
      </w:r>
      <w:r w:rsidRPr="00644226">
        <w:rPr>
          <w:lang w:val="es-ES"/>
        </w:rPr>
        <w:t>SU- 354 de 2017)</w:t>
      </w:r>
    </w:p>
  </w:footnote>
  <w:footnote w:id="111">
    <w:p w14:paraId="3128D43E" w14:textId="77777777" w:rsidR="004832B6" w:rsidRPr="00215106" w:rsidRDefault="004832B6">
      <w:pPr>
        <w:pStyle w:val="Textonotapie"/>
        <w:rPr>
          <w:lang w:val="es-CO"/>
        </w:rPr>
      </w:pPr>
      <w:r w:rsidRPr="00644226">
        <w:rPr>
          <w:rStyle w:val="Refdenotaalpie"/>
        </w:rPr>
        <w:footnoteRef/>
      </w:r>
      <w:r w:rsidRPr="00644226">
        <w:t xml:space="preserve"> </w:t>
      </w:r>
      <w:r w:rsidRPr="00644226">
        <w:t xml:space="preserve">Sentencia C-621 de 2015. </w:t>
      </w:r>
      <w:r w:rsidRPr="00644226">
        <w:rPr>
          <w:lang w:val="es-CO"/>
        </w:rPr>
        <w:t xml:space="preserve">M.P. </w:t>
      </w:r>
      <w:r w:rsidRPr="00644226">
        <w:t>Jorge Ignacio Pretelt Chaljub</w:t>
      </w:r>
      <w:r w:rsidRPr="00644226">
        <w:rPr>
          <w:lang w:val="es-CO"/>
        </w:rPr>
        <w:t>.</w:t>
      </w:r>
    </w:p>
  </w:footnote>
  <w:footnote w:id="112">
    <w:p w14:paraId="06631ABB" w14:textId="77777777" w:rsidR="004832B6" w:rsidRPr="00184614" w:rsidRDefault="004832B6" w:rsidP="00184614">
      <w:pPr>
        <w:pStyle w:val="Textonotapie"/>
        <w:jc w:val="both"/>
      </w:pPr>
      <w:r w:rsidRPr="00FC0D3B">
        <w:rPr>
          <w:rStyle w:val="Refdenotaalpie"/>
        </w:rPr>
        <w:footnoteRef/>
      </w:r>
      <w:r w:rsidRPr="00FC0D3B">
        <w:t xml:space="preserve"> </w:t>
      </w:r>
      <w:r w:rsidRPr="00FC0D3B">
        <w:rPr>
          <w:lang w:val="es-CO"/>
        </w:rPr>
        <w:t xml:space="preserve">Como se expondrá detalladamente en los capítulos posteriores de esta decisión, a diferencia de los fallos de la Corte Constitucional, las sentencias del Consejo de Estado no hacen tránsito a cosa juzgada constitucional ni </w:t>
      </w:r>
      <w:r>
        <w:rPr>
          <w:lang w:val="es-CO"/>
        </w:rPr>
        <w:t>aun cuando sean</w:t>
      </w:r>
      <w:r w:rsidRPr="00FC0D3B">
        <w:rPr>
          <w:lang w:val="es-CO"/>
        </w:rPr>
        <w:t xml:space="preserve"> dictadas en el ejercicio del control abstracto de constitucionalidad. Esta conclusión se fundamenta ampliamente en el precedente constitucional, particularmente en las Sentencias C-400 de 2013 (M.P. Nilson Pinilla Pinilla) y C-664 de 2016 (M.P. Alejandro Linares Cantillo).</w:t>
      </w:r>
    </w:p>
  </w:footnote>
  <w:footnote w:id="113">
    <w:p w14:paraId="230520FF" w14:textId="77777777" w:rsidR="004832B6" w:rsidRPr="00184614" w:rsidRDefault="004832B6" w:rsidP="00184614">
      <w:pPr>
        <w:pStyle w:val="Textonotapie"/>
        <w:jc w:val="both"/>
      </w:pPr>
      <w:r w:rsidRPr="00FA7116">
        <w:rPr>
          <w:rStyle w:val="Refdenotaalpie"/>
        </w:rPr>
        <w:footnoteRef/>
      </w:r>
      <w:r w:rsidRPr="00FA7116">
        <w:t xml:space="preserve"> </w:t>
      </w:r>
      <w:r w:rsidRPr="00FA7116">
        <w:rPr>
          <w:lang w:val="es-CO"/>
        </w:rPr>
        <w:t>“</w:t>
      </w:r>
      <w:r w:rsidRPr="00FA7116">
        <w:rPr>
          <w:i/>
          <w:iCs/>
          <w:lang w:val="es-CO"/>
        </w:rPr>
        <w:t>[</w:t>
      </w:r>
      <w:r w:rsidRPr="00FA7116">
        <w:rPr>
          <w:i/>
          <w:iCs/>
        </w:rPr>
        <w:t>e</w:t>
      </w:r>
      <w:r w:rsidRPr="00FA7116">
        <w:rPr>
          <w:i/>
          <w:iCs/>
          <w:lang w:val="es-CO"/>
        </w:rPr>
        <w:t>]</w:t>
      </w:r>
      <w:r w:rsidRPr="00FA7116">
        <w:rPr>
          <w:i/>
          <w:iCs/>
        </w:rPr>
        <w:t xml:space="preserve">l desconocimiento del precedente, conforme a la Sentencia SU-298 de 2015, puede tener una estrecha relación con el defecto sustantivo, en tanto esta causal específica de procedencia puede configurarse en dos circunstancias posibles: (i) cuando se demuestra un defecto sustantivo, en la modalidad de desconocimiento del precedente judicial; o (ii) cuando se da el desconocimiento del precedente en forma autónoma. </w:t>
      </w:r>
      <w:r w:rsidRPr="00FA7116">
        <w:rPr>
          <w:i/>
          <w:iCs/>
        </w:rPr>
        <w:t>Según la misma sentencia, se trata de situaciones que, en ciertos eventos, no presentan límites enteramente definidos, de modo que se complementan entre sí</w:t>
      </w:r>
      <w:r w:rsidRPr="00FA7116">
        <w:rPr>
          <w:lang w:val="es-CO"/>
        </w:rPr>
        <w:t>” (Sentencia T-109 de 2019. M.P. Gloria Stella Ortiz Delgado)</w:t>
      </w:r>
    </w:p>
  </w:footnote>
  <w:footnote w:id="114">
    <w:p w14:paraId="16CF9ECC" w14:textId="77777777" w:rsidR="004832B6" w:rsidRPr="00FA7116" w:rsidRDefault="004832B6" w:rsidP="00044F30">
      <w:pPr>
        <w:pStyle w:val="Textonotapie"/>
        <w:jc w:val="both"/>
      </w:pPr>
      <w:r w:rsidRPr="00FA7116">
        <w:rPr>
          <w:rStyle w:val="Refdenotaalpie"/>
        </w:rPr>
        <w:footnoteRef/>
      </w:r>
      <w:r w:rsidRPr="00FA7116">
        <w:t xml:space="preserve"> </w:t>
      </w:r>
      <w:r w:rsidRPr="00FA7116">
        <w:rPr>
          <w:lang w:val="es-CO"/>
        </w:rPr>
        <w:t xml:space="preserve">Un ejemplo de </w:t>
      </w:r>
      <w:r w:rsidRPr="00FA7116">
        <w:t xml:space="preserve">bloqueos institucionales </w:t>
      </w:r>
      <w:r w:rsidRPr="00FA7116">
        <w:rPr>
          <w:lang w:val="es-CO"/>
        </w:rPr>
        <w:t xml:space="preserve">tiene  que </w:t>
      </w:r>
      <w:r w:rsidRPr="00FA7116">
        <w:t xml:space="preserve">ver con circunstancias estructurales que hacen necesaria </w:t>
      </w:r>
      <w:r w:rsidRPr="00FA7116">
        <w:rPr>
          <w:lang w:val="es-CO"/>
        </w:rPr>
        <w:t>la intervención de la Corte, puede verse en l</w:t>
      </w:r>
      <w:r w:rsidRPr="00FA7116">
        <w:t xml:space="preserve">a Sentencia T-025 de 2004 </w:t>
      </w:r>
      <w:r w:rsidRPr="00FA7116">
        <w:rPr>
          <w:lang w:val="es-CO"/>
        </w:rPr>
        <w:t xml:space="preserve">que </w:t>
      </w:r>
      <w:r w:rsidRPr="00FA7116">
        <w:rPr>
          <w:bCs/>
          <w:shd w:val="clear" w:color="auto" w:fill="FFFFFF"/>
        </w:rPr>
        <w:t>declaró</w:t>
      </w:r>
      <w:r w:rsidRPr="00FA7116">
        <w:rPr>
          <w:caps/>
          <w:shd w:val="clear" w:color="auto" w:fill="FFFFFF"/>
        </w:rPr>
        <w:t> </w:t>
      </w:r>
      <w:r w:rsidRPr="00FA7116">
        <w:rPr>
          <w:shd w:val="clear" w:color="auto" w:fill="FFFFFF"/>
        </w:rPr>
        <w:t>la existencia de un estado de cosas inconstitucional en materia de desplazamiento forzado “</w:t>
      </w:r>
      <w:r w:rsidRPr="00FA7116">
        <w:rPr>
          <w:i/>
          <w:shd w:val="clear" w:color="auto" w:fill="FFFFFF"/>
        </w:rPr>
        <w:t>debido a la falta de concordancia entre la gravedad de la afectación de los derechos reconocidos constitucionalmente y desarrollados por la ley, de un lado, y el volumen de recursos efectivamente destinado a asegurar el goce efectivo de tales derechos y la capacidad institucional para implementar los correspondientes mandatos constitucionales y legales, de otro lado</w:t>
      </w:r>
      <w:r w:rsidRPr="00FA7116">
        <w:rPr>
          <w:shd w:val="clear" w:color="auto" w:fill="FFFFFF"/>
        </w:rPr>
        <w:t xml:space="preserve">”. </w:t>
      </w:r>
      <w:r w:rsidRPr="00FA7116">
        <w:rPr>
          <w:shd w:val="clear" w:color="auto" w:fill="FFFFFF"/>
        </w:rPr>
        <w:t xml:space="preserve">Corte Constitucional. Sentencia T-025 de 2004. </w:t>
      </w:r>
    </w:p>
  </w:footnote>
  <w:footnote w:id="115">
    <w:p w14:paraId="360BA884" w14:textId="77777777" w:rsidR="004832B6" w:rsidRPr="00FA7116" w:rsidRDefault="004832B6" w:rsidP="00B73DFD">
      <w:pPr>
        <w:pStyle w:val="Textonotapie"/>
        <w:jc w:val="both"/>
      </w:pPr>
      <w:r w:rsidRPr="00FA7116">
        <w:rPr>
          <w:rStyle w:val="Refdenotaalpie"/>
        </w:rPr>
        <w:footnoteRef/>
      </w:r>
      <w:r w:rsidRPr="00FA7116">
        <w:t xml:space="preserve"> </w:t>
      </w:r>
      <w:r w:rsidRPr="00FA7116">
        <w:t>Esta manifestación se puede evidenciar en la ausencia de formulación o ejecución de políticas y acciones encaminadas a restablecer y garantizar derechos fundamentales, a pesar de mediar advertencias y solicitudes en esta materia.</w:t>
      </w:r>
    </w:p>
  </w:footnote>
  <w:footnote w:id="116">
    <w:p w14:paraId="784C9077" w14:textId="77777777" w:rsidR="004832B6" w:rsidRPr="00D77034" w:rsidRDefault="004832B6" w:rsidP="00B73DFD">
      <w:pPr>
        <w:pStyle w:val="Textonotapie"/>
        <w:jc w:val="both"/>
      </w:pPr>
      <w:r w:rsidRPr="00FA7116">
        <w:rPr>
          <w:rStyle w:val="Refdenotaalpie"/>
        </w:rPr>
        <w:footnoteRef/>
      </w:r>
      <w:r w:rsidRPr="00FA7116">
        <w:t xml:space="preserve"> </w:t>
      </w:r>
      <w:r w:rsidRPr="00FA7116">
        <w:rPr>
          <w:lang w:val="es-CO"/>
        </w:rPr>
        <w:t xml:space="preserve">En el caso de los Estados de Cosas inconstitucionales la </w:t>
      </w:r>
      <w:r w:rsidRPr="00FA7116">
        <w:t>mediación del juez constitucional</w:t>
      </w:r>
      <w:r w:rsidRPr="00FA7116">
        <w:rPr>
          <w:lang w:val="es-CO"/>
        </w:rPr>
        <w:t xml:space="preserve"> es necesaria para avanzar en la solución de los bloqueos institucionales. Un ejemplo de ello es</w:t>
      </w:r>
      <w:r w:rsidRPr="00FA7116">
        <w:t xml:space="preserve"> el Auto 373 de 2016 </w:t>
      </w:r>
      <w:r w:rsidRPr="00FA7116">
        <w:rPr>
          <w:lang w:val="es-CO"/>
        </w:rPr>
        <w:t xml:space="preserve">que </w:t>
      </w:r>
      <w:r w:rsidRPr="00FA7116">
        <w:t>precisó que “</w:t>
      </w:r>
      <w:r w:rsidRPr="00FA7116">
        <w:rPr>
          <w:i/>
        </w:rPr>
        <w:t>no es el bloqueo institucional, por sí mismo, lo que justifica la intervención del juez de tutela en la materia, sino la transgresión masiva y sistemática de los derechos fundamentales que trae consigo, pues si esto último no se presenta, la Corte carece de la competencia para intervenir incluso a pesar de la existencia de los bloqueos</w:t>
      </w:r>
      <w:r w:rsidRPr="00FA7116">
        <w:t>”.</w:t>
      </w:r>
    </w:p>
  </w:footnote>
  <w:footnote w:id="117">
    <w:p w14:paraId="2C4F0E22" w14:textId="77777777" w:rsidR="004832B6" w:rsidRDefault="004832B6" w:rsidP="009B1A8E">
      <w:pPr>
        <w:pStyle w:val="CitasCorte"/>
      </w:pPr>
      <w:r w:rsidRPr="00BB172C">
        <w:rPr>
          <w:rStyle w:val="Refdenotaalpie"/>
        </w:rPr>
        <w:footnoteRef/>
      </w:r>
      <w:r w:rsidRPr="00BB172C">
        <w:t xml:space="preserve"> Gaceta del Congreso No. 305 de 2015.</w:t>
      </w:r>
    </w:p>
  </w:footnote>
  <w:footnote w:id="118">
    <w:p w14:paraId="6FDDED37" w14:textId="77777777" w:rsidR="004832B6" w:rsidRDefault="004832B6" w:rsidP="004E448F">
      <w:pPr>
        <w:pStyle w:val="CitasCorte"/>
      </w:pPr>
      <w:r>
        <w:rPr>
          <w:vertAlign w:val="superscript"/>
        </w:rPr>
        <w:footnoteRef/>
      </w:r>
      <w:r>
        <w:t xml:space="preserve"> El texto original del artículo 256 Superior establecía que: “</w:t>
      </w:r>
      <w:r>
        <w:rPr>
          <w:i/>
          <w:iCs/>
        </w:rPr>
        <w:t>Corresponden al Consejo Superior de la Judicatura o a los Consejos Seccionales, según el caso y de acuerdo a la ley, las siguientes atribuciones: (...) 6. Dirimir los conflictos de competencia que ocurran entre las distintas jurisdicciones</w:t>
      </w:r>
      <w:r>
        <w:t>”.</w:t>
      </w:r>
    </w:p>
  </w:footnote>
  <w:footnote w:id="119">
    <w:p w14:paraId="2FE24008" w14:textId="77777777" w:rsidR="004832B6" w:rsidRDefault="004832B6" w:rsidP="004E448F">
      <w:pPr>
        <w:jc w:val="both"/>
        <w:rPr>
          <w:sz w:val="20"/>
          <w:lang w:val="es-ES_tradnl" w:eastAsia="es-ES_tradnl"/>
        </w:rPr>
      </w:pPr>
      <w:r>
        <w:rPr>
          <w:sz w:val="20"/>
          <w:vertAlign w:val="superscript"/>
          <w:lang w:val="es-ES_tradnl" w:eastAsia="es-ES_tradnl"/>
        </w:rPr>
        <w:footnoteRef/>
      </w:r>
      <w:r>
        <w:rPr>
          <w:sz w:val="20"/>
          <w:lang w:val="es-ES_tradnl" w:eastAsia="es-ES_tradnl"/>
        </w:rPr>
        <w:t xml:space="preserve"> </w:t>
      </w:r>
      <w:r>
        <w:rPr>
          <w:i/>
          <w:sz w:val="20"/>
          <w:lang w:val="es-ES_tradnl" w:eastAsia="es-ES_tradnl"/>
        </w:rPr>
        <w:t>“</w:t>
      </w:r>
      <w:r>
        <w:rPr>
          <w:b/>
          <w:i/>
          <w:sz w:val="20"/>
          <w:lang w:val="es-ES_tradnl" w:eastAsia="es-ES_tradnl"/>
        </w:rPr>
        <w:t>Artículo 112. Funciones de la Sala Jurisdiccional Disciplinaria del Consejo Superior de la Judicatura.</w:t>
      </w:r>
      <w:r>
        <w:rPr>
          <w:i/>
          <w:sz w:val="20"/>
          <w:lang w:val="es-ES_tradnl" w:eastAsia="es-ES_tradnl"/>
        </w:rPr>
        <w:t xml:space="preserve"> Corresponde a la Sala Jurisdiccional Disciplinaria del Consejo Superior de la Judicatura: (…) 2. Dirimir los conflictos de competencia que ocurran entre las distintas jurisdicciones, y entre éstas y las autoridades administrativas a las cuales la ley les haya atribuido funciones jurisdiccionales, salvo los que se prevén en el artículo 114, numeral tercero, de esta Ley y entre los Consejos Seccionales o entre dos salas de un mismo Consejo Seccional”</w:t>
      </w:r>
      <w:r>
        <w:rPr>
          <w:sz w:val="20"/>
          <w:lang w:val="es-ES_tradnl" w:eastAsia="es-ES_tradnl"/>
        </w:rPr>
        <w:t>.</w:t>
      </w:r>
    </w:p>
  </w:footnote>
  <w:footnote w:id="120">
    <w:p w14:paraId="15BF3FDC" w14:textId="77777777" w:rsidR="004832B6" w:rsidRDefault="004832B6" w:rsidP="004E448F">
      <w:pPr>
        <w:pStyle w:val="CitasCorte"/>
      </w:pPr>
      <w:r>
        <w:rPr>
          <w:rStyle w:val="Refdenotaalpie"/>
        </w:rPr>
        <w:footnoteRef/>
      </w:r>
      <w:r>
        <w:t xml:space="preserve"> </w:t>
      </w:r>
      <w:r>
        <w:rPr>
          <w:bCs/>
          <w:lang w:val="es-CO"/>
        </w:rPr>
        <w:t xml:space="preserve">En efecto, el artículo 14 del Acto Legislativo 02 de 2015 adicionó un numeral al artículo 241 superior, de conformidad con el cual corresponde a la Corte Constitucional </w:t>
      </w:r>
      <w:r>
        <w:rPr>
          <w:bCs/>
          <w:i/>
          <w:lang w:val="es-CO"/>
        </w:rPr>
        <w:t>“[d]irimir los conflictos de competencia que ocurran entre las distintas jurisdicciones”</w:t>
      </w:r>
      <w:r>
        <w:t>.</w:t>
      </w:r>
    </w:p>
  </w:footnote>
  <w:footnote w:id="121">
    <w:p w14:paraId="6501A34D" w14:textId="77777777" w:rsidR="004832B6" w:rsidRDefault="004832B6" w:rsidP="004E448F">
      <w:pPr>
        <w:pStyle w:val="CitasCorte"/>
      </w:pPr>
      <w:r>
        <w:rPr>
          <w:rStyle w:val="Refdenotaalpie"/>
        </w:rPr>
        <w:footnoteRef/>
      </w:r>
      <w:r>
        <w:t xml:space="preserve"> Por esta razón, el Acto Legislativo 02 de 2015 (i) dispuso que la Comisión Nacional de Disciplina Judicial no conocerá de acciones de tutela y (ii) asignó el conocimiento de los conflictos entre jurisdicciones a la Corte Constitucional (Gacetas del Congreso No. 239, 306, 313 y 558 de 2015, entre otras).</w:t>
      </w:r>
    </w:p>
  </w:footnote>
  <w:footnote w:id="122">
    <w:p w14:paraId="0AE2ACA6" w14:textId="77777777" w:rsidR="004832B6" w:rsidRDefault="004832B6" w:rsidP="004E448F">
      <w:pPr>
        <w:pStyle w:val="CitasCorte"/>
      </w:pPr>
      <w:r>
        <w:rPr>
          <w:rStyle w:val="Refdenotaalpie"/>
        </w:rPr>
        <w:footnoteRef/>
      </w:r>
      <w:r>
        <w:t xml:space="preserve"> Gacetas del Congreso No. 480 y 558 de 2015.</w:t>
      </w:r>
    </w:p>
  </w:footnote>
  <w:footnote w:id="123">
    <w:p w14:paraId="35061075" w14:textId="77777777" w:rsidR="004832B6" w:rsidRDefault="004832B6" w:rsidP="004E448F">
      <w:pPr>
        <w:pStyle w:val="CitasCorte"/>
      </w:pPr>
      <w:r>
        <w:rPr>
          <w:rStyle w:val="Refdenotaalpie"/>
        </w:rPr>
        <w:footnoteRef/>
      </w:r>
      <w:r>
        <w:t xml:space="preserve"> En este punto, es pertinente aclarar que </w:t>
      </w:r>
      <w:r>
        <w:rPr>
          <w:lang w:val="es-CO"/>
        </w:rPr>
        <w:t xml:space="preserve">en la </w:t>
      </w:r>
      <w:r>
        <w:rPr>
          <w:b/>
          <w:lang w:val="es-CO"/>
        </w:rPr>
        <w:t xml:space="preserve">Sentencia C-674 de 2017 </w:t>
      </w:r>
      <w:r>
        <w:rPr>
          <w:bCs/>
          <w:lang w:val="es-CO"/>
        </w:rPr>
        <w:t>(M.P. Luis Guillermo Guerrero Pérez)</w:t>
      </w:r>
      <w:r>
        <w:rPr>
          <w:lang w:val="es-CO"/>
        </w:rPr>
        <w:t xml:space="preserve">, la Corte Constitucional precisó que es competente para resolver los conflictos de jurisdicción que se susciten </w:t>
      </w:r>
      <w:r>
        <w:rPr>
          <w:b/>
          <w:bCs/>
          <w:lang w:val="es-CO"/>
        </w:rPr>
        <w:t>entre los órganos que conforman la Jurisdicción Especial para la Paz</w:t>
      </w:r>
      <w:r>
        <w:rPr>
          <w:lang w:val="es-CO"/>
        </w:rPr>
        <w:t xml:space="preserve"> y cualquiera de las autoridades que administran justicia, en virtud del numeral 11 del artículo 241 de la Constitución. Al respecto, explicó que la atribución de dirimir los conflictos de jurisdicción, que mantiene la Sala Jurisdiccional Disciplinaria del Consejo Superior de la Judicatura hasta tanto entre en funcionamiento la Comisión Nacional de Disciplina Judicial, únicamente opera para las controversias que, en algún momento, fueron de su competencia (véase también, Auto 790 de 2018, M.P. Gloria Stella Ortiz Delgado).</w:t>
      </w:r>
    </w:p>
  </w:footnote>
  <w:footnote w:id="124">
    <w:p w14:paraId="44B21C2A" w14:textId="77777777" w:rsidR="004832B6" w:rsidRDefault="004832B6" w:rsidP="009B1A8E">
      <w:pPr>
        <w:pStyle w:val="CitasCorte"/>
      </w:pPr>
      <w:r>
        <w:rPr>
          <w:rStyle w:val="Refdenotaalpie"/>
        </w:rPr>
        <w:footnoteRef/>
      </w:r>
      <w:r>
        <w:t xml:space="preserve"> M.P. Luis Guillermo Guerrero Pérez. En dicha decisión se indicó que “</w:t>
      </w:r>
      <w:r>
        <w:rPr>
          <w:i/>
          <w:iCs/>
        </w:rPr>
        <w:t>es claro que, por virtud de lo</w:t>
      </w:r>
      <w:r>
        <w:rPr>
          <w:i/>
          <w:iCs/>
        </w:rPr>
        <w:br/>
        <w:t>previsto en el artículo 14 del Acto Legislativo 02 de 2015, la atribución para conocer de los conflictos de</w:t>
      </w:r>
      <w:r>
        <w:rPr>
          <w:i/>
          <w:iCs/>
        </w:rPr>
        <w:br/>
        <w:t>competencia que ocurran entre las distintas jurisdicciones quedó radicada en cabeza de la Corte</w:t>
      </w:r>
      <w:r>
        <w:rPr>
          <w:i/>
          <w:iCs/>
        </w:rPr>
        <w:br/>
        <w:t>Constitucional. No obstante, en obedecimiento a lo dispuesto en el parágrafo transitorio 1 ° del artículo 19</w:t>
      </w:r>
      <w:r>
        <w:rPr>
          <w:i/>
          <w:iCs/>
        </w:rPr>
        <w:br/>
        <w:t>del referido acto legislativo, en el que se adoptaron medidas de transición que dieron continuidad a la Sa/a</w:t>
      </w:r>
      <w:r>
        <w:rPr>
          <w:i/>
          <w:iCs/>
        </w:rPr>
        <w:br/>
        <w:t>Jurisdiccional Disciplinaria del Consejo Superior de la Judicatura, dicha atribución sólo podrá ser ejercida</w:t>
      </w:r>
      <w:r>
        <w:rPr>
          <w:i/>
          <w:iCs/>
        </w:rPr>
        <w:br/>
        <w:t>por la Corte Constitucional, una vez la Sala Jurisdiccional Disciplinaria del Consejo Superior de la</w:t>
      </w:r>
      <w:r>
        <w:rPr>
          <w:i/>
          <w:iCs/>
        </w:rPr>
        <w:br/>
        <w:t>Judicatura haya cesado de manera definitiva en el ejercicio de sus funciones, momento en el cual los</w:t>
      </w:r>
      <w:r>
        <w:rPr>
          <w:i/>
          <w:iCs/>
        </w:rPr>
        <w:br/>
        <w:t>conflictos de competencia entre distintas jurisdicciones deberán ser remitidos a la Corte Constitucional en el</w:t>
      </w:r>
      <w:r>
        <w:rPr>
          <w:i/>
          <w:iCs/>
        </w:rPr>
        <w:br/>
        <w:t>estado en que se encuentren</w:t>
      </w:r>
      <w:r>
        <w:t>”. Esta posición ha sido reiterada por la Sala Plena de la Corte en los Autos 504 de 2015 (M.P. Gabriel Eduardo Mendoza Martelo); 084 de 2016 (M.P. Alberto Rojas Ríos); y 790 de 2018 (M.P. Gloria Stella Ortiz Delgado).</w:t>
      </w:r>
    </w:p>
  </w:footnote>
  <w:footnote w:id="125">
    <w:p w14:paraId="7FEF51EB" w14:textId="77777777" w:rsidR="004832B6" w:rsidRDefault="004832B6" w:rsidP="009B1A8E">
      <w:pPr>
        <w:pStyle w:val="CitasCorte"/>
      </w:pPr>
      <w:r>
        <w:rPr>
          <w:rStyle w:val="Refdenotaalpie"/>
        </w:rPr>
        <w:footnoteRef/>
      </w:r>
      <w:r>
        <w:t xml:space="preserve"> La interpretación descrita fue adoptada igualmente por esta Corporación en la Sentencia C-674 de 2017 (M.P. Luis Guillermo Guerrero Pérez).</w:t>
      </w:r>
    </w:p>
  </w:footnote>
  <w:footnote w:id="126">
    <w:p w14:paraId="1B269C55" w14:textId="77777777" w:rsidR="004832B6" w:rsidRDefault="004832B6" w:rsidP="009B1A8E">
      <w:pPr>
        <w:pStyle w:val="CitasCorte"/>
      </w:pPr>
      <w:r>
        <w:rPr>
          <w:rStyle w:val="Refdenotaalpie"/>
        </w:rPr>
        <w:footnoteRef/>
      </w:r>
      <w:r>
        <w:t xml:space="preserve"> El numeral segundo del artículo 256 superior, en su versión original, establecía la composición del Consejo Superior de la Judicatura en los siguientes términos: “2. </w:t>
      </w:r>
      <w:r>
        <w:rPr>
          <w:i/>
          <w:iCs/>
        </w:rPr>
        <w:t>La Sala Jurisdiccional Disciplinaria, integrada por siete magistrados elegidos para un período de ocho años, por el Congreso Nacional de ternas enviadas por el Gobierno</w:t>
      </w:r>
      <w:r>
        <w:t>”. Sin embargo, con la modificación efectuada por el Acto Legislativo 02 de 2015 se mantuvo dicho período para los integrantes del Consejo Superior de la Judicatura.</w:t>
      </w:r>
    </w:p>
  </w:footnote>
  <w:footnote w:id="127">
    <w:p w14:paraId="33483B60" w14:textId="77777777" w:rsidR="004832B6" w:rsidRDefault="004832B6" w:rsidP="009B1A8E">
      <w:pPr>
        <w:pStyle w:val="CitasCorte"/>
      </w:pPr>
      <w:r>
        <w:rPr>
          <w:rStyle w:val="Refdenotaalpie"/>
        </w:rPr>
        <w:footnoteRef/>
      </w:r>
      <w:r>
        <w:t xml:space="preserve"> Artículos 233, 256 y 257A de la Constitución.</w:t>
      </w:r>
    </w:p>
  </w:footnote>
  <w:footnote w:id="128">
    <w:p w14:paraId="751AAB30" w14:textId="77777777" w:rsidR="004832B6" w:rsidRDefault="004832B6" w:rsidP="009B1A8E">
      <w:pPr>
        <w:pStyle w:val="CitasCorte"/>
      </w:pPr>
      <w:r>
        <w:rPr>
          <w:rStyle w:val="Refdenotaalpie"/>
        </w:rPr>
        <w:footnoteRef/>
      </w:r>
      <w:r>
        <w:t xml:space="preserve"> Sentencia C-154 de 2016, M.P. Gloria Stella Ortiz Delgado.</w:t>
      </w:r>
    </w:p>
  </w:footnote>
  <w:footnote w:id="129">
    <w:p w14:paraId="1B263E0F" w14:textId="77777777" w:rsidR="004832B6" w:rsidRDefault="004832B6" w:rsidP="009B1A8E">
      <w:pPr>
        <w:pStyle w:val="CitasCorte"/>
      </w:pPr>
      <w:r>
        <w:rPr>
          <w:rStyle w:val="Refdenotaalpie"/>
        </w:rPr>
        <w:footnoteRef/>
      </w:r>
      <w:r>
        <w:t xml:space="preserve"> Sentencia C-141 de 2010, M.P. Humberto Antonio Sierra Porto.</w:t>
      </w:r>
    </w:p>
  </w:footnote>
  <w:footnote w:id="130">
    <w:p w14:paraId="25279566" w14:textId="77777777" w:rsidR="004832B6" w:rsidRPr="00380A8D" w:rsidRDefault="004832B6">
      <w:pPr>
        <w:pStyle w:val="Textonotapie"/>
        <w:rPr>
          <w:lang w:val="es-CO"/>
        </w:rPr>
      </w:pPr>
      <w:r>
        <w:rPr>
          <w:rStyle w:val="Refdenotaalpie"/>
        </w:rPr>
        <w:footnoteRef/>
      </w:r>
      <w:r>
        <w:t xml:space="preserve"> </w:t>
      </w:r>
      <w:r>
        <w:rPr>
          <w:lang w:val="es-CO"/>
        </w:rPr>
        <w:t>Ver, Sentencia SU-090 de 2018 M.P. Jaime Córdoba Triviño</w:t>
      </w:r>
    </w:p>
  </w:footnote>
  <w:footnote w:id="131">
    <w:p w14:paraId="7A9B3C9F" w14:textId="77777777" w:rsidR="004832B6" w:rsidRPr="0084784A" w:rsidRDefault="004832B6" w:rsidP="00466011">
      <w:pPr>
        <w:pStyle w:val="Textonotapie"/>
        <w:rPr>
          <w:lang w:val="es-CO"/>
        </w:rPr>
      </w:pPr>
      <w:r w:rsidRPr="0084784A">
        <w:rPr>
          <w:rStyle w:val="Refdenotaalpie"/>
        </w:rPr>
        <w:footnoteRef/>
      </w:r>
      <w:r w:rsidRPr="0084784A">
        <w:t xml:space="preserve"> </w:t>
      </w:r>
      <w:r w:rsidRPr="0084784A">
        <w:rPr>
          <w:lang w:val="es-CO"/>
        </w:rPr>
        <w:t xml:space="preserve">Cfr. Sentencia C-400 de 2013. M.P. Nilson Pinilla Pinilla. </w:t>
      </w:r>
    </w:p>
  </w:footnote>
  <w:footnote w:id="132">
    <w:p w14:paraId="3071A669" w14:textId="77777777" w:rsidR="004832B6" w:rsidRPr="0012517F" w:rsidRDefault="004832B6" w:rsidP="00466011">
      <w:pPr>
        <w:pStyle w:val="Textonotapie"/>
        <w:jc w:val="both"/>
        <w:rPr>
          <w:lang w:val="es-CO"/>
        </w:rPr>
      </w:pPr>
      <w:r w:rsidRPr="0012517F">
        <w:rPr>
          <w:rStyle w:val="Refdenotaalpie"/>
        </w:rPr>
        <w:footnoteRef/>
      </w:r>
      <w:r w:rsidRPr="0012517F">
        <w:t xml:space="preserve"> </w:t>
      </w:r>
      <w:r w:rsidRPr="0012517F">
        <w:rPr>
          <w:lang w:val="es-CO"/>
        </w:rPr>
        <w:t xml:space="preserve">Ver, Sentencia </w:t>
      </w:r>
      <w:r w:rsidRPr="0012517F">
        <w:rPr>
          <w:shd w:val="clear" w:color="auto" w:fill="FFFFFF"/>
        </w:rPr>
        <w:t>C-560 de agosto 4 de 1999, M. P. Carlos Gaviria Díaz; C-1290 de 2001, M. P. Álvaro Tafur Galvis, </w:t>
      </w:r>
      <w:r w:rsidRPr="0012517F">
        <w:rPr>
          <w:shd w:val="clear" w:color="auto" w:fill="FFFFFF"/>
          <w:lang w:val="es-ES_tradnl"/>
        </w:rPr>
        <w:t>C-415 de junio 6 de 2012, M. P. Mauricio González Cuervo.</w:t>
      </w:r>
    </w:p>
  </w:footnote>
  <w:footnote w:id="133">
    <w:p w14:paraId="1309CD5C" w14:textId="77777777" w:rsidR="004832B6" w:rsidRPr="0012517F" w:rsidRDefault="004832B6" w:rsidP="00466011">
      <w:pPr>
        <w:pStyle w:val="Textonotapie"/>
        <w:jc w:val="both"/>
        <w:rPr>
          <w:lang w:val="es-CO"/>
        </w:rPr>
      </w:pPr>
      <w:r w:rsidRPr="0012517F">
        <w:rPr>
          <w:rStyle w:val="Refdenotaalpie"/>
        </w:rPr>
        <w:footnoteRef/>
      </w:r>
      <w:r w:rsidRPr="0012517F">
        <w:t xml:space="preserve"> </w:t>
      </w:r>
      <w:r w:rsidRPr="0012517F">
        <w:rPr>
          <w:lang w:val="es-CO"/>
        </w:rPr>
        <w:t xml:space="preserve">Corte Constitucional. </w:t>
      </w:r>
      <w:r w:rsidRPr="0012517F">
        <w:rPr>
          <w:iCs/>
          <w:shd w:val="clear" w:color="auto" w:fill="FFFFFF"/>
        </w:rPr>
        <w:t>Sent</w:t>
      </w:r>
      <w:r w:rsidRPr="0012517F">
        <w:rPr>
          <w:iCs/>
          <w:shd w:val="clear" w:color="auto" w:fill="FFFFFF"/>
          <w:lang w:val="es-CO"/>
        </w:rPr>
        <w:t>encia</w:t>
      </w:r>
      <w:r w:rsidRPr="0012517F">
        <w:rPr>
          <w:iCs/>
          <w:shd w:val="clear" w:color="auto" w:fill="FFFFFF"/>
        </w:rPr>
        <w:t xml:space="preserve"> T-06</w:t>
      </w:r>
      <w:r w:rsidRPr="0012517F">
        <w:rPr>
          <w:iCs/>
          <w:shd w:val="clear" w:color="auto" w:fill="FFFFFF"/>
          <w:lang w:val="es-CO"/>
        </w:rPr>
        <w:t xml:space="preserve"> de 19</w:t>
      </w:r>
      <w:r w:rsidRPr="0012517F">
        <w:rPr>
          <w:iCs/>
          <w:shd w:val="clear" w:color="auto" w:fill="FFFFFF"/>
        </w:rPr>
        <w:t>92 M.P. Ciro Angarita Barón</w:t>
      </w:r>
    </w:p>
  </w:footnote>
  <w:footnote w:id="134">
    <w:p w14:paraId="7A17F346" w14:textId="77777777" w:rsidR="004832B6" w:rsidRPr="0012517F" w:rsidRDefault="004832B6" w:rsidP="0018174E">
      <w:pPr>
        <w:pStyle w:val="Textonotapie"/>
        <w:jc w:val="both"/>
        <w:rPr>
          <w:lang w:val="es-CO"/>
        </w:rPr>
      </w:pPr>
      <w:r w:rsidRPr="0012517F">
        <w:rPr>
          <w:rStyle w:val="Refdenotaalpie"/>
        </w:rPr>
        <w:footnoteRef/>
      </w:r>
      <w:r w:rsidRPr="0012517F">
        <w:t xml:space="preserve"> </w:t>
      </w:r>
      <w:r w:rsidRPr="0012517F">
        <w:rPr>
          <w:lang w:val="es-CO"/>
        </w:rPr>
        <w:t xml:space="preserve">Corte Constitucional. </w:t>
      </w:r>
      <w:r w:rsidRPr="0012517F">
        <w:rPr>
          <w:iCs/>
          <w:shd w:val="clear" w:color="auto" w:fill="FFFFFF"/>
        </w:rPr>
        <w:t>Sent</w:t>
      </w:r>
      <w:r w:rsidRPr="0012517F">
        <w:rPr>
          <w:iCs/>
          <w:shd w:val="clear" w:color="auto" w:fill="FFFFFF"/>
          <w:lang w:val="es-CO"/>
        </w:rPr>
        <w:t>encia</w:t>
      </w:r>
      <w:r w:rsidRPr="0012517F">
        <w:rPr>
          <w:iCs/>
          <w:shd w:val="clear" w:color="auto" w:fill="FFFFFF"/>
        </w:rPr>
        <w:t xml:space="preserve"> T-06</w:t>
      </w:r>
      <w:r w:rsidRPr="0012517F">
        <w:rPr>
          <w:iCs/>
          <w:shd w:val="clear" w:color="auto" w:fill="FFFFFF"/>
          <w:lang w:val="es-CO"/>
        </w:rPr>
        <w:t xml:space="preserve"> de 19</w:t>
      </w:r>
      <w:r w:rsidRPr="0012517F">
        <w:rPr>
          <w:iCs/>
          <w:shd w:val="clear" w:color="auto" w:fill="FFFFFF"/>
        </w:rPr>
        <w:t xml:space="preserve">92 M.P. </w:t>
      </w:r>
      <w:r w:rsidRPr="0012517F">
        <w:rPr>
          <w:iCs/>
          <w:shd w:val="clear" w:color="auto" w:fill="FFFFFF"/>
          <w:lang w:val="es-CO"/>
        </w:rPr>
        <w:t>Eduardo Cifuentes Muñoz y</w:t>
      </w:r>
      <w:r w:rsidRPr="0012517F">
        <w:t xml:space="preserve"> Sentencia </w:t>
      </w:r>
      <w:r w:rsidRPr="0012517F">
        <w:rPr>
          <w:lang w:val="es-CO"/>
        </w:rPr>
        <w:t>C</w:t>
      </w:r>
      <w:r w:rsidRPr="0012517F">
        <w:t>-400 de 2013</w:t>
      </w:r>
    </w:p>
  </w:footnote>
  <w:footnote w:id="135">
    <w:p w14:paraId="03DCAEC2" w14:textId="77777777" w:rsidR="004832B6" w:rsidRPr="0012517F" w:rsidRDefault="004832B6" w:rsidP="003722D9">
      <w:pPr>
        <w:pStyle w:val="Corte"/>
      </w:pPr>
      <w:r w:rsidRPr="0012517F">
        <w:rPr>
          <w:rStyle w:val="Refdenotaalpie"/>
        </w:rPr>
        <w:footnoteRef/>
      </w:r>
      <w:r w:rsidRPr="0012517F">
        <w:t xml:space="preserve"> </w:t>
      </w:r>
      <w:bookmarkStart w:id="11" w:name="_Hlk26478491"/>
      <w:r w:rsidRPr="0012517F">
        <w:rPr>
          <w:lang w:val="es-CO"/>
        </w:rPr>
        <w:t xml:space="preserve">Corte Constitucional. </w:t>
      </w:r>
      <w:r w:rsidRPr="0012517F">
        <w:t>Sentencia C-054 de 2016, M.P. Luis Ernesto Vargas Silva.</w:t>
      </w:r>
      <w:bookmarkEnd w:id="11"/>
    </w:p>
  </w:footnote>
  <w:footnote w:id="136">
    <w:p w14:paraId="4428F25D" w14:textId="77777777" w:rsidR="004832B6" w:rsidRPr="00645938" w:rsidRDefault="004832B6" w:rsidP="003722D9">
      <w:pPr>
        <w:pStyle w:val="Corte"/>
      </w:pPr>
      <w:r w:rsidRPr="0012517F">
        <w:rPr>
          <w:rStyle w:val="Refdenotaalpie"/>
        </w:rPr>
        <w:footnoteRef/>
      </w:r>
      <w:r w:rsidRPr="0012517F">
        <w:t xml:space="preserve"> Sobre este particular, la Corte Constitucional</w:t>
      </w:r>
      <w:r w:rsidRPr="00645938">
        <w:t xml:space="preserve"> ha aclarado que las normas que integran el bloque de constitucionalidad en sentido estricto tienen el mismo nivel jerárquico de la Constitución pero no se trata de normas superiores a ella (véanse, Sentencias C-054 de 2016, M.P. Luis Ernesto Vargas Silva y C-018 de 2015, M.P. Gabriel Eduardo Mendoza Martelo).</w:t>
      </w:r>
    </w:p>
  </w:footnote>
  <w:footnote w:id="137">
    <w:p w14:paraId="71E6A1DD" w14:textId="77777777" w:rsidR="004832B6" w:rsidRPr="00645938" w:rsidRDefault="004832B6" w:rsidP="003722D9">
      <w:pPr>
        <w:pStyle w:val="Corte"/>
      </w:pPr>
      <w:r w:rsidRPr="00645938">
        <w:rPr>
          <w:rStyle w:val="Refdenotaalpie"/>
        </w:rPr>
        <w:footnoteRef/>
      </w:r>
      <w:r w:rsidRPr="00645938">
        <w:t xml:space="preserve"> </w:t>
      </w:r>
      <w:r w:rsidRPr="000D2C56">
        <w:t>Cfr.</w:t>
      </w:r>
      <w:r w:rsidRPr="00645938">
        <w:rPr>
          <w:i/>
          <w:iCs/>
        </w:rPr>
        <w:t xml:space="preserve"> </w:t>
      </w:r>
      <w:r>
        <w:rPr>
          <w:lang w:val="es-CO"/>
        </w:rPr>
        <w:t xml:space="preserve">Corte Constitucional. </w:t>
      </w:r>
      <w:r w:rsidRPr="00645938">
        <w:t>Sentencia C-415 de 2012, M.P. Mauricio González Cuervo.</w:t>
      </w:r>
    </w:p>
  </w:footnote>
  <w:footnote w:id="138">
    <w:p w14:paraId="37DC9173" w14:textId="77777777" w:rsidR="004832B6" w:rsidRPr="00800284" w:rsidRDefault="004832B6" w:rsidP="005633E4">
      <w:pPr>
        <w:pStyle w:val="Textonotapie"/>
        <w:rPr>
          <w:lang w:val="es-CO"/>
        </w:rPr>
      </w:pPr>
      <w:r>
        <w:rPr>
          <w:rStyle w:val="Refdenotaalpie"/>
        </w:rPr>
        <w:footnoteRef/>
      </w:r>
      <w:r>
        <w:t xml:space="preserve"> </w:t>
      </w:r>
      <w:r>
        <w:rPr>
          <w:lang w:val="es-CO"/>
        </w:rPr>
        <w:t>Cfr.</w:t>
      </w:r>
      <w:r w:rsidRPr="00800284">
        <w:t xml:space="preserve"> </w:t>
      </w:r>
      <w:r>
        <w:rPr>
          <w:lang w:val="es-CO"/>
        </w:rPr>
        <w:t xml:space="preserve">Corte Constitucional. </w:t>
      </w:r>
      <w:r w:rsidRPr="00645938">
        <w:t>Sentencia C-054 de 2016, M.P. Luis Ernesto Vargas Silva.</w:t>
      </w:r>
    </w:p>
  </w:footnote>
  <w:footnote w:id="139">
    <w:p w14:paraId="23C4AD7D" w14:textId="77777777" w:rsidR="004832B6" w:rsidRPr="00FF3267" w:rsidRDefault="004832B6" w:rsidP="005633E4">
      <w:pPr>
        <w:pStyle w:val="Textonotapie"/>
        <w:rPr>
          <w:lang w:val="es-CO"/>
        </w:rPr>
      </w:pPr>
      <w:r>
        <w:rPr>
          <w:rStyle w:val="Refdenotaalpie"/>
        </w:rPr>
        <w:footnoteRef/>
      </w:r>
      <w:r>
        <w:t xml:space="preserve"> </w:t>
      </w:r>
      <w:bookmarkStart w:id="12" w:name="_Hlk38264765"/>
      <w:r>
        <w:rPr>
          <w:lang w:val="es-CO"/>
        </w:rPr>
        <w:t xml:space="preserve">Corte Constitucional. </w:t>
      </w:r>
      <w:bookmarkEnd w:id="12"/>
      <w:r w:rsidRPr="00645938">
        <w:t>Sentencia C-054 de 2016, M.P. Luis Ernesto Vargas Silva.</w:t>
      </w:r>
    </w:p>
  </w:footnote>
  <w:footnote w:id="140">
    <w:p w14:paraId="4B405D8A" w14:textId="77777777" w:rsidR="004832B6" w:rsidRPr="00645938" w:rsidRDefault="004832B6" w:rsidP="003722D9">
      <w:pPr>
        <w:pStyle w:val="Corte"/>
      </w:pPr>
      <w:r w:rsidRPr="00645938">
        <w:rPr>
          <w:rStyle w:val="Refdenotaalpie"/>
        </w:rPr>
        <w:footnoteRef/>
      </w:r>
      <w:r w:rsidRPr="00645938">
        <w:t>También se denomina este aspecto como la dimensión axiológica de la supremacía constitucional</w:t>
      </w:r>
      <w:r>
        <w:t xml:space="preserve">. Ver, </w:t>
      </w:r>
      <w:r w:rsidRPr="00645938">
        <w:t>Sentencia C-560 de 1999, M.P. Carlos Gaviria Díaz.</w:t>
      </w:r>
    </w:p>
  </w:footnote>
  <w:footnote w:id="141">
    <w:p w14:paraId="7F515BC2" w14:textId="77777777" w:rsidR="004832B6" w:rsidRPr="0012517F" w:rsidRDefault="004832B6" w:rsidP="005633E4">
      <w:pPr>
        <w:pStyle w:val="Textonotapie"/>
      </w:pPr>
      <w:r w:rsidRPr="0012517F">
        <w:rPr>
          <w:rStyle w:val="Refdenotaalpie"/>
        </w:rPr>
        <w:footnoteRef/>
      </w:r>
      <w:r w:rsidRPr="0012517F">
        <w:t xml:space="preserve"> </w:t>
      </w:r>
      <w:r w:rsidRPr="0012517F">
        <w:rPr>
          <w:lang w:val="es-CO"/>
        </w:rPr>
        <w:t>Cfr.</w:t>
      </w:r>
      <w:r w:rsidRPr="0012517F">
        <w:t xml:space="preserve"> Sentencia C-054 de 2016, M.P. Luis Ernesto Vargas Silva.</w:t>
      </w:r>
    </w:p>
  </w:footnote>
  <w:footnote w:id="142">
    <w:p w14:paraId="6F3A1F81" w14:textId="77777777" w:rsidR="004832B6" w:rsidRPr="0012517F" w:rsidRDefault="004832B6" w:rsidP="00AE4876">
      <w:pPr>
        <w:pStyle w:val="Textonotapie"/>
        <w:rPr>
          <w:lang w:val="es-CO"/>
        </w:rPr>
      </w:pPr>
      <w:r w:rsidRPr="0012517F">
        <w:rPr>
          <w:rStyle w:val="Refdenotaalpie"/>
        </w:rPr>
        <w:footnoteRef/>
      </w:r>
      <w:r w:rsidRPr="0012517F">
        <w:t xml:space="preserve"> </w:t>
      </w:r>
      <w:bookmarkStart w:id="13" w:name="_Hlk38208467"/>
      <w:r w:rsidRPr="0012517F">
        <w:rPr>
          <w:lang w:val="es-CO"/>
        </w:rPr>
        <w:t xml:space="preserve">Corte Constitucional. </w:t>
      </w:r>
      <w:bookmarkEnd w:id="13"/>
      <w:r w:rsidRPr="0012517F">
        <w:rPr>
          <w:lang w:val="es-CO"/>
        </w:rPr>
        <w:t>Sentencia C-415 de 2012 M.P Mauricio González Cuervo.</w:t>
      </w:r>
    </w:p>
  </w:footnote>
  <w:footnote w:id="143">
    <w:p w14:paraId="23D785C9" w14:textId="77777777" w:rsidR="004832B6" w:rsidRPr="00AA67EC" w:rsidRDefault="004832B6" w:rsidP="00701AAE">
      <w:pPr>
        <w:pStyle w:val="Textonotapie"/>
        <w:rPr>
          <w:lang w:val="es-CO"/>
        </w:rPr>
      </w:pPr>
      <w:r w:rsidRPr="0012517F">
        <w:rPr>
          <w:rStyle w:val="Refdenotaalpie"/>
        </w:rPr>
        <w:footnoteRef/>
      </w:r>
      <w:r w:rsidRPr="0012517F">
        <w:rPr>
          <w:lang w:val="es-CO"/>
        </w:rPr>
        <w:t xml:space="preserve"> Ibidem.</w:t>
      </w:r>
    </w:p>
  </w:footnote>
  <w:footnote w:id="144">
    <w:p w14:paraId="1E34357B" w14:textId="77777777" w:rsidR="004832B6" w:rsidRPr="0012517F" w:rsidRDefault="004832B6" w:rsidP="0083587A">
      <w:pPr>
        <w:pStyle w:val="Textonotapie"/>
        <w:rPr>
          <w:lang w:val="es-CO"/>
        </w:rPr>
      </w:pPr>
      <w:r w:rsidRPr="0012517F">
        <w:rPr>
          <w:rStyle w:val="Refdenotaalpie"/>
        </w:rPr>
        <w:footnoteRef/>
      </w:r>
      <w:r w:rsidRPr="0012517F">
        <w:t xml:space="preserve"> </w:t>
      </w:r>
      <w:r w:rsidRPr="0012517F">
        <w:rPr>
          <w:lang w:val="es-CO"/>
        </w:rPr>
        <w:t>Corte Constitucional. Sentencia C-400 de 2013. M.P Nilson Pinilla Pinilla</w:t>
      </w:r>
    </w:p>
  </w:footnote>
  <w:footnote w:id="145">
    <w:p w14:paraId="53F471C5" w14:textId="77777777" w:rsidR="004832B6" w:rsidRPr="00231970" w:rsidRDefault="004832B6" w:rsidP="00BC34A7">
      <w:pPr>
        <w:pStyle w:val="Textonotapie"/>
        <w:rPr>
          <w:lang w:val="es-CO"/>
        </w:rPr>
      </w:pPr>
      <w:r w:rsidRPr="0012517F">
        <w:rPr>
          <w:rStyle w:val="Refdenotaalpie"/>
        </w:rPr>
        <w:footnoteRef/>
      </w:r>
      <w:r w:rsidRPr="0012517F">
        <w:t xml:space="preserve"> </w:t>
      </w:r>
      <w:r w:rsidRPr="0012517F">
        <w:rPr>
          <w:lang w:val="es-CO"/>
        </w:rPr>
        <w:t>Corte Constitucional. Sentencia</w:t>
      </w:r>
      <w:r>
        <w:rPr>
          <w:lang w:val="es-CO"/>
        </w:rPr>
        <w:t xml:space="preserve"> T-292 de 2006. M.P. Manuel José Cepeda Espinosa. </w:t>
      </w:r>
    </w:p>
  </w:footnote>
  <w:footnote w:id="146">
    <w:p w14:paraId="63BD7459" w14:textId="77777777" w:rsidR="004832B6" w:rsidRPr="0022554C" w:rsidRDefault="004832B6" w:rsidP="0022554C">
      <w:pPr>
        <w:pStyle w:val="Textonotapie"/>
        <w:jc w:val="both"/>
        <w:rPr>
          <w:lang w:val="es-CO"/>
        </w:rPr>
      </w:pPr>
      <w:r>
        <w:rPr>
          <w:rStyle w:val="Refdenotaalpie"/>
        </w:rPr>
        <w:footnoteRef/>
      </w:r>
      <w:r>
        <w:rPr>
          <w:lang w:val="es-CO"/>
        </w:rPr>
        <w:t xml:space="preserve"> </w:t>
      </w:r>
      <w:r w:rsidRPr="0022554C">
        <w:t xml:space="preserve">Los modelos de control de constitucionalidad pueden agruparse de varias maneras. Una de las clasificaciones más difundidas es aquella que distingue según el órgano que ejerce el control de constitucionalidad, a partir de la cual se identifican los siguientes modelos: (i) el </w:t>
      </w:r>
      <w:r w:rsidRPr="0022554C">
        <w:rPr>
          <w:b/>
          <w:bCs/>
        </w:rPr>
        <w:t>concentrado</w:t>
      </w:r>
      <w:r w:rsidRPr="0022554C">
        <w:t xml:space="preserve">, también denominado europeo, austriaco o kelseniano, en el cual la competencia para juzgar la constitucionalidad de las normas recae en un órgano especializado; y (ii) el </w:t>
      </w:r>
      <w:r w:rsidRPr="0022554C">
        <w:rPr>
          <w:b/>
          <w:bCs/>
        </w:rPr>
        <w:t>difuso</w:t>
      </w:r>
      <w:r w:rsidRPr="0022554C">
        <w:t>, conocido igualmente como norteamericano, en el cual se otorga la potestad de ejercer el control de constitucionalidad a todos los jueces ordinarios, incluso aquellos que tienen una mayor jerarquía en la administración de justicia.</w:t>
      </w:r>
    </w:p>
  </w:footnote>
  <w:footnote w:id="147">
    <w:p w14:paraId="762555BE" w14:textId="77777777" w:rsidR="004832B6" w:rsidRPr="009A6C5B" w:rsidRDefault="004832B6" w:rsidP="0022554C">
      <w:pPr>
        <w:jc w:val="both"/>
        <w:rPr>
          <w:sz w:val="20"/>
        </w:rPr>
      </w:pPr>
      <w:r w:rsidRPr="0022554C">
        <w:rPr>
          <w:rStyle w:val="Refdenotaalpie"/>
          <w:sz w:val="20"/>
        </w:rPr>
        <w:footnoteRef/>
      </w:r>
      <w:r w:rsidRPr="0022554C">
        <w:rPr>
          <w:sz w:val="20"/>
        </w:rPr>
        <w:t xml:space="preserve"> Aunque en un primer momento, la Corte Constitucional sostuvo que el modelo de control de constitucionalidad era de carácter </w:t>
      </w:r>
      <w:r w:rsidRPr="0022554C">
        <w:rPr>
          <w:i/>
          <w:iCs/>
          <w:sz w:val="20"/>
        </w:rPr>
        <w:t>difuso funcional</w:t>
      </w:r>
      <w:r w:rsidRPr="0022554C">
        <w:rPr>
          <w:sz w:val="20"/>
        </w:rPr>
        <w:t xml:space="preserve"> y descartó expresamente que se tratara de un sistema de control concentrado o austriaco, con posterioridad a esa decisión, este Tribunal ha señalado, en algunas oportunidades que, de acuerdo con la doctrina, el sistema de control de constitucionalidad es </w:t>
      </w:r>
      <w:r w:rsidRPr="0022554C">
        <w:rPr>
          <w:i/>
          <w:iCs/>
          <w:sz w:val="20"/>
        </w:rPr>
        <w:t>mixto</w:t>
      </w:r>
      <w:r w:rsidRPr="0022554C">
        <w:rPr>
          <w:sz w:val="20"/>
        </w:rPr>
        <w:t>, esto es, una combinación entre el modelo de control difuso y el concentrado. Adicionalmente, la Corte Constitucional ha señalado que el carácter mixto del control constitucional justifica que se exija cierto rigor argumentativo a los ciudadanos que acuden a la acción pública de inconstitucionalidad, por lo cual le ha otorgado efectos jurídicos concretos a la identificación de este sistema de control de constitucionalidad. Al respecto puede verse la Sentencia C-584 de 2016, M.P. Aquiles Arrieta Gómez. En esta providencia, la Corte estableció que “</w:t>
      </w:r>
      <w:r w:rsidRPr="009A6C5B">
        <w:rPr>
          <w:i/>
          <w:iCs/>
          <w:sz w:val="20"/>
        </w:rPr>
        <w:t>al compartir características de ambos modelos, [los sistemas mixtos] deben lograr un equilibrio entre la necesidad de establecer un grado de requisitos mínimos para el ejercicio de la acción que a su vez no constituyan una barrera para que cualquier ciudadano pueda iniciarla</w:t>
      </w:r>
      <w:r w:rsidRPr="009A6C5B">
        <w:rPr>
          <w:sz w:val="20"/>
        </w:rPr>
        <w:t>”. Véanse, entre otras, las Sentencias C-584 de 2016, M.P. Aquiles Arrieta Gómez; C-400 de 2013, M.P. Nilson Pinilla Pinilla; C-524 de 2013, M.P. Jorge Ignacio Pretelt Chaljub; C-112 de 2011, M.P. Juan Carlos Henao Pérez; y C-578 de 2002, M.P. Manuel José Cepeda Espinosa y Sentencia C-524 de 2013, M.P. Jorge Ignacio Pretelt Chaljub.</w:t>
      </w:r>
    </w:p>
  </w:footnote>
  <w:footnote w:id="148">
    <w:p w14:paraId="11574AF2" w14:textId="77777777" w:rsidR="004832B6" w:rsidRPr="009A6C5B" w:rsidRDefault="004832B6" w:rsidP="0022554C">
      <w:pPr>
        <w:pStyle w:val="Textonotapie"/>
        <w:jc w:val="both"/>
        <w:rPr>
          <w:lang w:val="es-CO"/>
        </w:rPr>
      </w:pPr>
      <w:r w:rsidRPr="009A6C5B">
        <w:rPr>
          <w:rStyle w:val="Refdenotaalpie"/>
        </w:rPr>
        <w:footnoteRef/>
      </w:r>
      <w:r w:rsidRPr="009A6C5B">
        <w:t xml:space="preserve"> </w:t>
      </w:r>
      <w:r w:rsidRPr="009A6C5B">
        <w:rPr>
          <w:shd w:val="clear" w:color="auto" w:fill="FFFFFF"/>
        </w:rPr>
        <w:t xml:space="preserve">Ver </w:t>
      </w:r>
      <w:r>
        <w:rPr>
          <w:lang w:val="es-CO"/>
        </w:rPr>
        <w:t xml:space="preserve">Corte Constitucional. </w:t>
      </w:r>
      <w:r>
        <w:rPr>
          <w:shd w:val="clear" w:color="auto" w:fill="FFFFFF"/>
          <w:lang w:val="es-CO"/>
        </w:rPr>
        <w:t>S</w:t>
      </w:r>
      <w:r w:rsidRPr="009A6C5B">
        <w:rPr>
          <w:shd w:val="clear" w:color="auto" w:fill="FFFFFF"/>
        </w:rPr>
        <w:t>entencia C-037 de 1996, M.P. Vladimiro Naranjo Mesa.</w:t>
      </w:r>
    </w:p>
  </w:footnote>
  <w:footnote w:id="149">
    <w:p w14:paraId="5CE2CF33" w14:textId="77777777" w:rsidR="004832B6" w:rsidRPr="009A6C5B" w:rsidRDefault="004832B6" w:rsidP="0022554C">
      <w:pPr>
        <w:pStyle w:val="Textonotapie"/>
        <w:jc w:val="both"/>
        <w:rPr>
          <w:lang w:val="es-CO"/>
        </w:rPr>
      </w:pPr>
      <w:r w:rsidRPr="009A6C5B">
        <w:rPr>
          <w:rStyle w:val="Refdenotaalpie"/>
        </w:rPr>
        <w:footnoteRef/>
      </w:r>
      <w:r w:rsidRPr="009A6C5B">
        <w:t xml:space="preserve"> </w:t>
      </w:r>
      <w:r w:rsidRPr="009A6C5B">
        <w:rPr>
          <w:shd w:val="clear" w:color="auto" w:fill="FFFFFF"/>
        </w:rPr>
        <w:t xml:space="preserve">Ver </w:t>
      </w:r>
      <w:r>
        <w:rPr>
          <w:lang w:val="es-CO"/>
        </w:rPr>
        <w:t xml:space="preserve">Corte Constitucional. </w:t>
      </w:r>
      <w:r>
        <w:rPr>
          <w:shd w:val="clear" w:color="auto" w:fill="FFFFFF"/>
          <w:lang w:val="es-CO"/>
        </w:rPr>
        <w:t>S</w:t>
      </w:r>
      <w:r w:rsidRPr="009A6C5B">
        <w:rPr>
          <w:shd w:val="clear" w:color="auto" w:fill="FFFFFF"/>
        </w:rPr>
        <w:t>entencia C-1154 de 2008, M.P. Clara Inés Vargas Hernández.</w:t>
      </w:r>
    </w:p>
  </w:footnote>
  <w:footnote w:id="150">
    <w:p w14:paraId="0433B498" w14:textId="77777777" w:rsidR="004832B6" w:rsidRPr="009A6C5B" w:rsidRDefault="004832B6" w:rsidP="0022554C">
      <w:pPr>
        <w:pStyle w:val="Textonotapie"/>
        <w:jc w:val="both"/>
        <w:rPr>
          <w:lang w:val="es-CO"/>
        </w:rPr>
      </w:pPr>
      <w:r w:rsidRPr="009A6C5B">
        <w:rPr>
          <w:rStyle w:val="Refdenotaalpie"/>
        </w:rPr>
        <w:footnoteRef/>
      </w:r>
      <w:r w:rsidRPr="009A6C5B">
        <w:t xml:space="preserve"> </w:t>
      </w:r>
      <w:r>
        <w:rPr>
          <w:lang w:val="es-CO"/>
        </w:rPr>
        <w:t xml:space="preserve">Corte Constitucional. </w:t>
      </w:r>
      <w:r w:rsidRPr="009A6C5B">
        <w:rPr>
          <w:lang w:val="es-CO"/>
        </w:rPr>
        <w:t xml:space="preserve">Sentencia C-524 de 2013. </w:t>
      </w:r>
      <w:r>
        <w:rPr>
          <w:lang w:val="es-CO"/>
        </w:rPr>
        <w:t>M.P. José Ignacio Pretelt Chaljub.</w:t>
      </w:r>
    </w:p>
  </w:footnote>
  <w:footnote w:id="151">
    <w:p w14:paraId="4EA3CF42" w14:textId="77777777" w:rsidR="004832B6" w:rsidRPr="0022554C" w:rsidRDefault="004832B6">
      <w:pPr>
        <w:pStyle w:val="Textonotapie"/>
        <w:rPr>
          <w:lang w:val="es-CO"/>
        </w:rPr>
      </w:pPr>
      <w:r w:rsidRPr="009A6C5B">
        <w:rPr>
          <w:rStyle w:val="Refdenotaalpie"/>
        </w:rPr>
        <w:footnoteRef/>
      </w:r>
      <w:r w:rsidRPr="009A6C5B">
        <w:t xml:space="preserve"> </w:t>
      </w:r>
      <w:r w:rsidRPr="009A6C5B">
        <w:rPr>
          <w:lang w:val="es-CO"/>
        </w:rPr>
        <w:t>M.P. Vladimiro Naranjo Mesa</w:t>
      </w:r>
    </w:p>
  </w:footnote>
  <w:footnote w:id="152">
    <w:p w14:paraId="7D52FEF9" w14:textId="77777777" w:rsidR="004832B6" w:rsidRPr="009A6C5B" w:rsidRDefault="004832B6" w:rsidP="000B45FC">
      <w:pPr>
        <w:pStyle w:val="Textonotapie"/>
        <w:rPr>
          <w:lang w:val="es-CO"/>
        </w:rPr>
      </w:pPr>
      <w:r w:rsidRPr="009A6C5B">
        <w:rPr>
          <w:rStyle w:val="Refdenotaalpie"/>
        </w:rPr>
        <w:footnoteRef/>
      </w:r>
      <w:r w:rsidRPr="009A6C5B">
        <w:t xml:space="preserve"> </w:t>
      </w:r>
      <w:r w:rsidRPr="009A6C5B">
        <w:rPr>
          <w:shd w:val="clear" w:color="auto" w:fill="FFFFFF"/>
          <w:lang w:val="es-ES_tradnl"/>
        </w:rPr>
        <w:t> </w:t>
      </w:r>
      <w:r w:rsidRPr="009A6C5B">
        <w:rPr>
          <w:shd w:val="clear" w:color="auto" w:fill="FFFFFF"/>
        </w:rPr>
        <w:t xml:space="preserve">Cfr. </w:t>
      </w:r>
      <w:r>
        <w:rPr>
          <w:lang w:val="es-CO"/>
        </w:rPr>
        <w:t xml:space="preserve">Corte Constitucional. </w:t>
      </w:r>
      <w:r w:rsidRPr="009A6C5B">
        <w:rPr>
          <w:shd w:val="clear" w:color="auto" w:fill="FFFFFF"/>
        </w:rPr>
        <w:t>C-560 de 1999 M.P. Carlos Gaviria Díaz y C-1290 de 2001</w:t>
      </w:r>
      <w:r w:rsidRPr="009A6C5B">
        <w:t xml:space="preserve"> </w:t>
      </w:r>
      <w:r w:rsidRPr="00645938">
        <w:t>M.P. Álvaro Tafur Galvis</w:t>
      </w:r>
      <w:r w:rsidRPr="009A6C5B">
        <w:rPr>
          <w:shd w:val="clear" w:color="auto" w:fill="FFFFFF"/>
        </w:rPr>
        <w:t>, precitadas, entre otras.</w:t>
      </w:r>
    </w:p>
  </w:footnote>
  <w:footnote w:id="153">
    <w:p w14:paraId="740C9B27" w14:textId="77777777" w:rsidR="004832B6" w:rsidRPr="009A6C5B" w:rsidRDefault="004832B6" w:rsidP="00C12205">
      <w:pPr>
        <w:pStyle w:val="Textonotapie"/>
        <w:rPr>
          <w:lang w:val="es-CO"/>
        </w:rPr>
      </w:pPr>
      <w:r w:rsidRPr="009A6C5B">
        <w:rPr>
          <w:rStyle w:val="Refdenotaalpie"/>
        </w:rPr>
        <w:footnoteRef/>
      </w:r>
      <w:r w:rsidRPr="009A6C5B">
        <w:t xml:space="preserve"> </w:t>
      </w:r>
      <w:r w:rsidRPr="009A6C5B">
        <w:rPr>
          <w:shd w:val="clear" w:color="auto" w:fill="FFFFFF"/>
          <w:lang w:val="es-ES_tradnl"/>
        </w:rPr>
        <w:t> </w:t>
      </w:r>
      <w:r>
        <w:rPr>
          <w:shd w:val="clear" w:color="auto" w:fill="FFFFFF"/>
          <w:lang w:val="es-CO"/>
        </w:rPr>
        <w:t xml:space="preserve">Ibidem. </w:t>
      </w:r>
    </w:p>
  </w:footnote>
  <w:footnote w:id="154">
    <w:p w14:paraId="22A91B62" w14:textId="77777777" w:rsidR="004832B6" w:rsidRPr="003B07A2" w:rsidRDefault="004832B6" w:rsidP="0073148B">
      <w:pPr>
        <w:pStyle w:val="Textonotapie"/>
        <w:rPr>
          <w:lang w:val="es-CO"/>
        </w:rPr>
      </w:pPr>
      <w:r w:rsidRPr="001070F7">
        <w:rPr>
          <w:rStyle w:val="Refdenotaalpie"/>
        </w:rPr>
        <w:footnoteRef/>
      </w:r>
      <w:r w:rsidRPr="001070F7">
        <w:t xml:space="preserve"> </w:t>
      </w:r>
      <w:r w:rsidRPr="001070F7">
        <w:rPr>
          <w:bCs/>
          <w:iCs/>
          <w:szCs w:val="28"/>
          <w:shd w:val="clear" w:color="auto" w:fill="FFFFFF"/>
          <w:lang w:val="es-ES_tradnl"/>
        </w:rPr>
        <w:t>Sentencia C-1154 de 2008</w:t>
      </w:r>
      <w:r w:rsidRPr="001070F7">
        <w:rPr>
          <w:b/>
          <w:iCs/>
          <w:szCs w:val="28"/>
          <w:shd w:val="clear" w:color="auto" w:fill="FFFFFF"/>
          <w:lang w:val="es-ES_tradnl"/>
        </w:rPr>
        <w:t xml:space="preserve"> </w:t>
      </w:r>
      <w:r w:rsidRPr="001070F7">
        <w:rPr>
          <w:lang w:val="es-CO"/>
        </w:rPr>
        <w:t>M.P. Clara Inés Vargas</w:t>
      </w:r>
    </w:p>
  </w:footnote>
  <w:footnote w:id="155">
    <w:p w14:paraId="4C8C4DF3" w14:textId="77777777" w:rsidR="004832B6" w:rsidRPr="00645938" w:rsidRDefault="004832B6" w:rsidP="003722D9">
      <w:pPr>
        <w:pStyle w:val="Corte"/>
      </w:pPr>
      <w:r w:rsidRPr="00645938">
        <w:rPr>
          <w:rStyle w:val="Refdenotaalpie"/>
        </w:rPr>
        <w:footnoteRef/>
      </w:r>
      <w:r w:rsidRPr="00645938">
        <w:t xml:space="preserve"> Artículo 41 del Acto Legislativo 01 de 1945.</w:t>
      </w:r>
    </w:p>
  </w:footnote>
  <w:footnote w:id="156">
    <w:p w14:paraId="3D974AD4" w14:textId="77777777" w:rsidR="004832B6" w:rsidRPr="00645938" w:rsidRDefault="004832B6" w:rsidP="003722D9">
      <w:pPr>
        <w:pStyle w:val="Corte"/>
      </w:pPr>
      <w:r w:rsidRPr="00645938">
        <w:rPr>
          <w:rStyle w:val="Refdenotaalpie"/>
        </w:rPr>
        <w:footnoteRef/>
      </w:r>
      <w:r w:rsidRPr="00645938">
        <w:t xml:space="preserve"> “</w:t>
      </w:r>
      <w:r w:rsidRPr="009A6C5B">
        <w:rPr>
          <w:i/>
          <w:iCs/>
        </w:rPr>
        <w:t>Así las cosas, en materia de control abstracto de constitucionalidad, la Corte Constitucional tiene la más amplia competencia y el Consejo de Estado, por vía residual, de todos aquellos actos que no están atribuidos a la Corte</w:t>
      </w:r>
      <w:r w:rsidRPr="00645938">
        <w:t>”</w:t>
      </w:r>
      <w:r>
        <w:t xml:space="preserve">. Corte Constitucional. </w:t>
      </w:r>
      <w:r w:rsidRPr="00645938">
        <w:t xml:space="preserve">Sentencia C-560 de 1999, </w:t>
      </w:r>
      <w:bookmarkStart w:id="15" w:name="_Hlk38265045"/>
      <w:r w:rsidRPr="00645938">
        <w:t>M.P. Carlos Gaviria Díaz</w:t>
      </w:r>
      <w:bookmarkEnd w:id="15"/>
      <w:r w:rsidRPr="00645938">
        <w:t xml:space="preserve">; reiterada en la Sentencia C-1290 de 2001, </w:t>
      </w:r>
      <w:bookmarkStart w:id="16" w:name="_Hlk38265133"/>
      <w:r w:rsidRPr="00645938">
        <w:t>M.P. Álvaro Tafur Galvis</w:t>
      </w:r>
      <w:bookmarkEnd w:id="16"/>
      <w:r w:rsidRPr="00645938">
        <w:t>.</w:t>
      </w:r>
    </w:p>
  </w:footnote>
  <w:footnote w:id="157">
    <w:p w14:paraId="701E81E7" w14:textId="77777777" w:rsidR="004832B6" w:rsidRPr="00645938" w:rsidRDefault="004832B6" w:rsidP="003722D9">
      <w:pPr>
        <w:pStyle w:val="Corte"/>
      </w:pPr>
      <w:r w:rsidRPr="00645938">
        <w:rPr>
          <w:rStyle w:val="Refdenotaalpie"/>
        </w:rPr>
        <w:footnoteRef/>
      </w:r>
      <w:r w:rsidRPr="00645938">
        <w:t xml:space="preserve"> En este punto, la Sala presenta un listado enunciativo y, en todo caso, no taxativo, de algunas de las competencias que han sido asignadas a la Corte Constitucional en control abstracto de constitucionalidad. </w:t>
      </w:r>
    </w:p>
  </w:footnote>
  <w:footnote w:id="158">
    <w:p w14:paraId="5D6A616B" w14:textId="77777777" w:rsidR="004832B6" w:rsidRPr="00645938" w:rsidRDefault="004832B6" w:rsidP="003722D9">
      <w:pPr>
        <w:pStyle w:val="Corte"/>
        <w:rPr>
          <w:lang w:val="es-CO"/>
        </w:rPr>
      </w:pPr>
      <w:r w:rsidRPr="00645938">
        <w:rPr>
          <w:rStyle w:val="Refdenotaalpie"/>
        </w:rPr>
        <w:footnoteRef/>
      </w:r>
      <w:r w:rsidRPr="00645938">
        <w:t xml:space="preserve"> De acuerdo con el numeral 4° del artículo 241 superior, corresponde a la Corte Constitucional </w:t>
      </w:r>
      <w:r w:rsidRPr="00645938">
        <w:rPr>
          <w:i/>
        </w:rPr>
        <w:t>“[d]ecidir sobre las demandas de inconstitucionalidad que presenten los ciudadanos contra las leyes”</w:t>
      </w:r>
      <w:r w:rsidRPr="00645938">
        <w:t xml:space="preserve">. Así mismo, el numeral 2° de la misma norma establece que es competencia de este Tribunal </w:t>
      </w:r>
      <w:r w:rsidRPr="00645938">
        <w:rPr>
          <w:i/>
        </w:rPr>
        <w:t>“[d]ecidir, con anterioridad al pronunciamiento popular, sobre la constitucionalidad de la convocatoria a un referendo o a una Asamblea Constituyente para reformar la Constitución”.</w:t>
      </w:r>
    </w:p>
  </w:footnote>
  <w:footnote w:id="159">
    <w:p w14:paraId="5528324B" w14:textId="77777777" w:rsidR="004832B6" w:rsidRPr="00645938" w:rsidRDefault="004832B6" w:rsidP="003722D9">
      <w:pPr>
        <w:pStyle w:val="Corte"/>
      </w:pPr>
      <w:r w:rsidRPr="00645938">
        <w:rPr>
          <w:rStyle w:val="Refdenotaalpie"/>
        </w:rPr>
        <w:footnoteRef/>
      </w:r>
      <w:r w:rsidRPr="00645938">
        <w:t xml:space="preserve"> De conformidad con el numeral 10 del artículo 241 de la Constitución, la Corte Constitucional tiene competencia para </w:t>
      </w:r>
      <w:r w:rsidRPr="00645938">
        <w:rPr>
          <w:i/>
        </w:rPr>
        <w:t>“[d]ecidir definitivamente sobre la exequibilidad de los tratados internacionales y de las leyes que los aprueben”</w:t>
      </w:r>
      <w:r w:rsidRPr="00645938">
        <w:t>.</w:t>
      </w:r>
    </w:p>
  </w:footnote>
  <w:footnote w:id="160">
    <w:p w14:paraId="021E3AB8" w14:textId="77777777" w:rsidR="004832B6" w:rsidRPr="00645938" w:rsidRDefault="004832B6" w:rsidP="003722D9">
      <w:pPr>
        <w:pStyle w:val="Corte"/>
      </w:pPr>
      <w:r w:rsidRPr="00645938">
        <w:rPr>
          <w:rStyle w:val="Refdenotaalpie"/>
        </w:rPr>
        <w:footnoteRef/>
      </w:r>
      <w:r w:rsidRPr="00645938">
        <w:t xml:space="preserve"> Al respecto, el artículo 241 de la Constitución, numeral 5°, estableció que es función de esta Corporación “[</w:t>
      </w:r>
      <w:r w:rsidRPr="009A6C5B">
        <w:rPr>
          <w:i/>
          <w:iCs/>
        </w:rPr>
        <w:t>d]ecidir sobre las demandas de inconstitucionalidad que presenten los ciudadanos contra los decretos con fuerza de ley dictados por el Gobierno con fundamento en los artículos 150 numeral 10 y 341 de la Constitución</w:t>
      </w:r>
      <w:r w:rsidRPr="00645938">
        <w:t>”. Esta última norma corresponde al decreto del Plan Nacional de Inversiones.</w:t>
      </w:r>
    </w:p>
  </w:footnote>
  <w:footnote w:id="161">
    <w:p w14:paraId="5CBF65A8" w14:textId="77777777" w:rsidR="004832B6" w:rsidRPr="00645938" w:rsidRDefault="004832B6" w:rsidP="003722D9">
      <w:pPr>
        <w:pStyle w:val="Corte"/>
      </w:pPr>
      <w:r w:rsidRPr="00645938">
        <w:rPr>
          <w:rStyle w:val="Refdenotaalpie"/>
        </w:rPr>
        <w:footnoteRef/>
      </w:r>
      <w:r w:rsidRPr="00645938">
        <w:t xml:space="preserve"> Sentencias C-508 de 1996, M.P. Alejandro Martínez Caballero y C-259 de 2008, M.P. Jaime Córdoba Triviño.</w:t>
      </w:r>
    </w:p>
  </w:footnote>
  <w:footnote w:id="162">
    <w:p w14:paraId="35ABBC72" w14:textId="77777777" w:rsidR="004832B6" w:rsidRPr="00645938" w:rsidRDefault="004832B6" w:rsidP="000F747B">
      <w:pPr>
        <w:pStyle w:val="Textonotapie"/>
        <w:jc w:val="both"/>
      </w:pPr>
      <w:r w:rsidRPr="00645938">
        <w:rPr>
          <w:rStyle w:val="Refdenotaalpie"/>
        </w:rPr>
        <w:footnoteRef/>
      </w:r>
      <w:r w:rsidRPr="00645938">
        <w:t xml:space="preserve"> </w:t>
      </w:r>
      <w:r w:rsidRPr="00645938">
        <w:rPr>
          <w:rStyle w:val="CorteCar"/>
        </w:rPr>
        <w:t xml:space="preserve">El numeral 7° del artículo 241 constitucional determinó que corresponde a la Corte </w:t>
      </w:r>
      <w:r w:rsidRPr="00645938">
        <w:rPr>
          <w:rStyle w:val="CorteCar"/>
          <w:i/>
        </w:rPr>
        <w:t>“[d]ecidir definitivamente sobre la constitucionalidad de los decretos legislativos que dicte el Gobierno con fundamento en los artículos 212, 213 y 215 de la Constitución”</w:t>
      </w:r>
      <w:r w:rsidRPr="00645938">
        <w:rPr>
          <w:rStyle w:val="CorteCar"/>
        </w:rPr>
        <w:t>.</w:t>
      </w:r>
    </w:p>
  </w:footnote>
  <w:footnote w:id="163">
    <w:p w14:paraId="186926CD" w14:textId="77777777" w:rsidR="004832B6" w:rsidRPr="00645938" w:rsidRDefault="004832B6" w:rsidP="003722D9">
      <w:pPr>
        <w:pStyle w:val="Corte"/>
      </w:pPr>
      <w:r w:rsidRPr="00645938">
        <w:rPr>
          <w:rStyle w:val="Refdenotaalpie"/>
        </w:rPr>
        <w:footnoteRef/>
      </w:r>
      <w:r w:rsidRPr="00645938">
        <w:t xml:space="preserve"> </w:t>
      </w:r>
      <w:r>
        <w:t xml:space="preserve">Corte Constitucional. </w:t>
      </w:r>
      <w:r w:rsidRPr="00645938">
        <w:t xml:space="preserve">Sentencias C-156 de 2011, M.P. Mauricio González Cuervo y C-802 de 2002, M.P. Jaime Córdoba Triviño. </w:t>
      </w:r>
    </w:p>
  </w:footnote>
  <w:footnote w:id="164">
    <w:p w14:paraId="15024198" w14:textId="77777777" w:rsidR="004832B6" w:rsidRPr="00645938" w:rsidRDefault="004832B6" w:rsidP="003722D9">
      <w:pPr>
        <w:pStyle w:val="Corte"/>
      </w:pPr>
      <w:r w:rsidRPr="00645938">
        <w:rPr>
          <w:rStyle w:val="Refdenotaalpie"/>
        </w:rPr>
        <w:footnoteRef/>
      </w:r>
      <w:r w:rsidRPr="00645938">
        <w:t xml:space="preserve"> Corresponde a la Corte el conocimiento de </w:t>
      </w:r>
      <w:r w:rsidRPr="00645938">
        <w:rPr>
          <w:b/>
        </w:rPr>
        <w:t>todos</w:t>
      </w:r>
      <w:r w:rsidRPr="00645938">
        <w:t xml:space="preserve"> los decretos con fuerza material de ley, incluso aquellos expedidos con anterioridad a la Carta de 1991 y los proferidos con fundamento en facultades otorgadas por los artículos transitorios de la Constitución Política. Véanse, entre otras, las Sentencias C-429 de 2019, M.P. Gloria Stella Ortiz Delgado, C-400 de 2013, M.P. Nilson Pinilla Pinilla y C-049 de 2012, M.P. Mauricio González Cuervo.</w:t>
      </w:r>
    </w:p>
  </w:footnote>
  <w:footnote w:id="165">
    <w:p w14:paraId="129B23C3" w14:textId="77777777" w:rsidR="004832B6" w:rsidRPr="00645938" w:rsidRDefault="004832B6" w:rsidP="003722D9">
      <w:pPr>
        <w:pStyle w:val="Corte"/>
      </w:pPr>
      <w:r w:rsidRPr="00645938">
        <w:rPr>
          <w:rStyle w:val="Refdenotaalpie"/>
        </w:rPr>
        <w:footnoteRef/>
      </w:r>
      <w:r w:rsidRPr="00645938">
        <w:t xml:space="preserve"> El numeral 8° del artículo 241 de la Constitución atribuye a esta Corporación el deber de “[d</w:t>
      </w:r>
      <w:r w:rsidRPr="009A6C5B">
        <w:rPr>
          <w:i/>
          <w:iCs/>
        </w:rPr>
        <w:t>]ecidir definitivamente sobre la constitucionalidad de los proyectos de ley que hayan sido objetados por el Gobierno como inconstitucionales</w:t>
      </w:r>
      <w:r w:rsidRPr="00645938">
        <w:t xml:space="preserve">”. </w:t>
      </w:r>
    </w:p>
  </w:footnote>
  <w:footnote w:id="166">
    <w:p w14:paraId="64B7A483" w14:textId="77777777" w:rsidR="004832B6" w:rsidRPr="00645938" w:rsidRDefault="004832B6" w:rsidP="003722D9">
      <w:pPr>
        <w:pStyle w:val="Corte"/>
      </w:pPr>
      <w:r w:rsidRPr="00645938">
        <w:rPr>
          <w:rStyle w:val="Refdenotaalpie"/>
        </w:rPr>
        <w:footnoteRef/>
      </w:r>
      <w:r w:rsidRPr="00645938">
        <w:t xml:space="preserve"> El artículo 241 superior, numeral 8°, dispone que corresponde a este Tribunal “[</w:t>
      </w:r>
      <w:r w:rsidRPr="009A6C5B">
        <w:rPr>
          <w:i/>
          <w:iCs/>
        </w:rPr>
        <w:t>d]ecidir definitivamente sobre la constitucionalidad (…) de los proyectos de leyes estatutarias, tanto por su contenido material como por vicios de procedimiento en su formación</w:t>
      </w:r>
      <w:r w:rsidRPr="00645938">
        <w:t xml:space="preserve">”. </w:t>
      </w:r>
    </w:p>
  </w:footnote>
  <w:footnote w:id="167">
    <w:p w14:paraId="742F2A07" w14:textId="77777777" w:rsidR="004832B6" w:rsidRPr="00645938" w:rsidRDefault="004832B6" w:rsidP="003722D9">
      <w:pPr>
        <w:pStyle w:val="Corte"/>
      </w:pPr>
      <w:r w:rsidRPr="00645938">
        <w:rPr>
          <w:rStyle w:val="Refdenotaalpie"/>
        </w:rPr>
        <w:footnoteRef/>
      </w:r>
      <w:r>
        <w:t xml:space="preserve"> Corte Constitucional.</w:t>
      </w:r>
      <w:r w:rsidRPr="00645938">
        <w:t xml:space="preserve"> Auto 288 de 2010, M.P. Jorge Iván Palacio Palacio.</w:t>
      </w:r>
    </w:p>
  </w:footnote>
  <w:footnote w:id="168">
    <w:p w14:paraId="506C32B9" w14:textId="77777777" w:rsidR="004832B6" w:rsidRDefault="004832B6" w:rsidP="003722D9">
      <w:pPr>
        <w:pStyle w:val="Corte"/>
      </w:pPr>
      <w:r>
        <w:rPr>
          <w:rStyle w:val="Refdenotaalpie"/>
        </w:rPr>
        <w:footnoteRef/>
      </w:r>
      <w:r>
        <w:t xml:space="preserve"> Numeral 3° del artículo 241 de la Constitución Política.</w:t>
      </w:r>
    </w:p>
  </w:footnote>
  <w:footnote w:id="169">
    <w:p w14:paraId="61E2B780" w14:textId="77777777" w:rsidR="004832B6" w:rsidRPr="00E967CD" w:rsidRDefault="004832B6" w:rsidP="003722D9">
      <w:pPr>
        <w:pStyle w:val="Corte"/>
      </w:pPr>
      <w:r>
        <w:rPr>
          <w:rStyle w:val="Refdenotaalpie"/>
        </w:rPr>
        <w:footnoteRef/>
      </w:r>
      <w:r>
        <w:t xml:space="preserve"> Al tenor del numeral 1° del artículo 241 superior, corresponde a la Corte Constitucional </w:t>
      </w:r>
      <w:r w:rsidRPr="009A6C5B">
        <w:rPr>
          <w:i/>
          <w:iCs/>
        </w:rPr>
        <w:t>“[d]ecidir sobre las demandas de inconstitucionalidad que promuevan los ciudadanos contra los actos reformatorios de la Constitución, cualquiera que sea su origen (…)</w:t>
      </w:r>
      <w:r>
        <w:t>”.</w:t>
      </w:r>
    </w:p>
  </w:footnote>
  <w:footnote w:id="170">
    <w:p w14:paraId="51A6909A" w14:textId="77777777" w:rsidR="004832B6" w:rsidRPr="005206A2" w:rsidRDefault="004832B6" w:rsidP="003722D9">
      <w:pPr>
        <w:pStyle w:val="Corte"/>
      </w:pPr>
      <w:r>
        <w:rPr>
          <w:rStyle w:val="Refdenotaalpie"/>
        </w:rPr>
        <w:footnoteRef/>
      </w:r>
      <w:r>
        <w:t xml:space="preserve"> </w:t>
      </w:r>
      <w:r w:rsidRPr="005206A2">
        <w:t>“</w:t>
      </w:r>
      <w:r w:rsidRPr="009A6C5B">
        <w:rPr>
          <w:i/>
          <w:iCs/>
        </w:rPr>
        <w:t>La función de guarda de la integridad de la Constitución que el artículo 241 C.P. le confiere a este Tribunal, conlleva la facultad para controlar las modificaciones constitucionales, con el fin de evitar que por la vía de la reforma, en cualquier caso limitada y sometida a las condiciones que prevé la misma Carta, se termine sustituyendo el ordenamiento constitucional por uno distinto, esto es, que no conserve identidad con el existente antes de introducir la presunta reforma constitucional</w:t>
      </w:r>
      <w:r w:rsidRPr="005206A2">
        <w:t>”</w:t>
      </w:r>
      <w:r>
        <w:t>. Corte Constitucional. Sentencia C-288 de 2012, M.P. Luis Ernesto Vargas Silva.</w:t>
      </w:r>
    </w:p>
  </w:footnote>
  <w:footnote w:id="171">
    <w:p w14:paraId="7E063B62" w14:textId="77777777" w:rsidR="004832B6" w:rsidRDefault="004832B6" w:rsidP="003722D9">
      <w:pPr>
        <w:pStyle w:val="Corte"/>
      </w:pPr>
      <w:r>
        <w:rPr>
          <w:rStyle w:val="Refdenotaalpie"/>
        </w:rPr>
        <w:footnoteRef/>
      </w:r>
      <w:r>
        <w:t xml:space="preserve"> </w:t>
      </w:r>
      <w:r w:rsidRPr="00F176FA">
        <w:t>“</w:t>
      </w:r>
      <w:r w:rsidRPr="009A6C5B">
        <w:rPr>
          <w:i/>
          <w:iCs/>
        </w:rPr>
        <w:t>El concepto de sustitución [se] refiere a una transformación de tal magnitud y trascendencia, que la Constitución anterior a la reforma aparece opuesta o integralmente diferente a la que resultó después de la reforma, al punto que ambas resultan incompatibles. La jurisprudencia ha aludido a sustituciones totales y a sustituciones parciales y ha sostenido que el reformador tampoco puede introducir sustituciones parciales entendiendo por tales aquellas en las cuales un eje definitorio de la identidad de la Constitución sea remplazado por otro opuesto o integralmente diferente (…) Así, después de la sustitución  de la Carta, como es imposible reconocerla en su identidad básica,  no cabe afirmar que la Constitución reformada sigue siendo la Carta de 1991</w:t>
      </w:r>
      <w:r>
        <w:t>” Corte Constitucional. S</w:t>
      </w:r>
      <w:r w:rsidRPr="00DB4BDD">
        <w:t xml:space="preserve">entencia </w:t>
      </w:r>
      <w:r>
        <w:t>C-1045 de 2005, M.P</w:t>
      </w:r>
      <w:r w:rsidRPr="00DB4BDD">
        <w:t>. Manuel José Cepeda Espinosa, Rodrigo Escobar Gil, Marco Gerardo Monroy Cabra, Humberto Antonio Sierra Porto, Álvaro Tafur Galvis y Clara Inés Vargas Hernández</w:t>
      </w:r>
      <w:r>
        <w:t>.</w:t>
      </w:r>
    </w:p>
  </w:footnote>
  <w:footnote w:id="172">
    <w:p w14:paraId="50211DD4" w14:textId="77777777" w:rsidR="004832B6" w:rsidRPr="003A4A4F" w:rsidRDefault="004832B6" w:rsidP="00B13BC1">
      <w:pPr>
        <w:pStyle w:val="Corte"/>
      </w:pPr>
      <w:r w:rsidRPr="003A4A4F">
        <w:rPr>
          <w:rStyle w:val="Refdenotaalpie"/>
        </w:rPr>
        <w:footnoteRef/>
      </w:r>
      <w:r w:rsidRPr="003A4A4F">
        <w:t xml:space="preserve"> M.P. Vladimiro Naranjo Mesa.</w:t>
      </w:r>
    </w:p>
  </w:footnote>
  <w:footnote w:id="173">
    <w:p w14:paraId="21823857" w14:textId="77777777" w:rsidR="004832B6" w:rsidRPr="003A4A4F" w:rsidRDefault="004832B6" w:rsidP="00B13BC1">
      <w:pPr>
        <w:pStyle w:val="Corte"/>
      </w:pPr>
      <w:r w:rsidRPr="003A4A4F">
        <w:rPr>
          <w:rStyle w:val="Refdenotaalpie"/>
        </w:rPr>
        <w:footnoteRef/>
      </w:r>
      <w:r w:rsidRPr="003A4A4F">
        <w:t xml:space="preserve"> Corte Constitucional. Sentencia C-037 de 1996, M.P. Vladimiro Naranjo Mesa.</w:t>
      </w:r>
    </w:p>
  </w:footnote>
  <w:footnote w:id="174">
    <w:p w14:paraId="1BB831C8" w14:textId="77777777" w:rsidR="004832B6" w:rsidRDefault="004832B6" w:rsidP="00B13BC1">
      <w:pPr>
        <w:pStyle w:val="Corte"/>
      </w:pPr>
      <w:r w:rsidRPr="003A4A4F">
        <w:rPr>
          <w:rStyle w:val="Refdenotaalpie"/>
        </w:rPr>
        <w:footnoteRef/>
      </w:r>
      <w:r w:rsidRPr="003A4A4F">
        <w:t xml:space="preserve"> M.P. José Gregorio Hernández Galindo.</w:t>
      </w:r>
    </w:p>
  </w:footnote>
  <w:footnote w:id="175">
    <w:p w14:paraId="045A86C6" w14:textId="77777777" w:rsidR="004832B6" w:rsidRPr="003A4A4F" w:rsidRDefault="004832B6" w:rsidP="00B13BC1">
      <w:pPr>
        <w:pStyle w:val="Corte"/>
      </w:pPr>
      <w:r w:rsidRPr="003A4A4F">
        <w:rPr>
          <w:rStyle w:val="Refdenotaalpie"/>
        </w:rPr>
        <w:footnoteRef/>
      </w:r>
      <w:r w:rsidRPr="003A4A4F">
        <w:t xml:space="preserve"> Corte Constitucional. Sentencia C-600 de 1998, M.P. José Gregorio Hernández Galindo. Subrayado por fuera del texto original.</w:t>
      </w:r>
    </w:p>
  </w:footnote>
  <w:footnote w:id="176">
    <w:p w14:paraId="1FF1077D" w14:textId="77777777" w:rsidR="004832B6" w:rsidRPr="003A4A4F" w:rsidRDefault="004832B6" w:rsidP="00B13BC1">
      <w:pPr>
        <w:pStyle w:val="Corte"/>
      </w:pPr>
      <w:r w:rsidRPr="003A4A4F">
        <w:rPr>
          <w:rStyle w:val="Refdenotaalpie"/>
        </w:rPr>
        <w:footnoteRef/>
      </w:r>
      <w:r w:rsidRPr="003A4A4F">
        <w:t xml:space="preserve"> M.P. Carlos Gaviria Díaz. En esta oportunidad, se demandó una expresión del Código Contencioso Administrativo que indicaba que las acciones de nulidad por inconstitucionalidad tenían como objeto únicamente actos administrativos que no obedecieran a función propiamente administrativa.</w:t>
      </w:r>
    </w:p>
  </w:footnote>
  <w:footnote w:id="177">
    <w:p w14:paraId="7CB90AAB" w14:textId="77777777" w:rsidR="004832B6" w:rsidRPr="003A4A4F" w:rsidRDefault="004832B6" w:rsidP="00B13BC1">
      <w:pPr>
        <w:pStyle w:val="Corte"/>
      </w:pPr>
      <w:r w:rsidRPr="003A4A4F">
        <w:rPr>
          <w:rStyle w:val="Refdenotaalpie"/>
        </w:rPr>
        <w:footnoteRef/>
      </w:r>
      <w:r w:rsidRPr="003A4A4F">
        <w:t xml:space="preserve"> M.P. Álvaro Tafur Galvis.</w:t>
      </w:r>
    </w:p>
  </w:footnote>
  <w:footnote w:id="178">
    <w:p w14:paraId="61DB2E2A" w14:textId="77777777" w:rsidR="004832B6" w:rsidRPr="003A4A4F" w:rsidRDefault="004832B6" w:rsidP="00B13BC1">
      <w:pPr>
        <w:pStyle w:val="Corte"/>
      </w:pPr>
      <w:r w:rsidRPr="003A4A4F">
        <w:rPr>
          <w:rStyle w:val="Refdenotaalpie"/>
        </w:rPr>
        <w:footnoteRef/>
      </w:r>
      <w:r w:rsidRPr="003A4A4F">
        <w:t xml:space="preserve"> Corte Constitucional. Sentencia C-1290 de 2001, M.P. Álvaro Tafur Galvis.</w:t>
      </w:r>
    </w:p>
  </w:footnote>
  <w:footnote w:id="179">
    <w:p w14:paraId="3086FEC4" w14:textId="77777777" w:rsidR="004832B6" w:rsidRPr="003A4A4F" w:rsidRDefault="004832B6" w:rsidP="00B13BC1">
      <w:pPr>
        <w:pStyle w:val="Corte"/>
      </w:pPr>
      <w:r w:rsidRPr="003A4A4F">
        <w:rPr>
          <w:rStyle w:val="Refdenotaalpie"/>
        </w:rPr>
        <w:footnoteRef/>
      </w:r>
      <w:r w:rsidRPr="003A4A4F">
        <w:t xml:space="preserve"> M.P. Clara Inés Vargas Hernández.</w:t>
      </w:r>
    </w:p>
  </w:footnote>
  <w:footnote w:id="180">
    <w:p w14:paraId="45E86232" w14:textId="77777777" w:rsidR="004832B6" w:rsidRPr="00645938" w:rsidRDefault="004832B6" w:rsidP="00B13BC1">
      <w:pPr>
        <w:pStyle w:val="Corte"/>
      </w:pPr>
      <w:r w:rsidRPr="003A4A4F">
        <w:rPr>
          <w:rStyle w:val="Refdenotaalpie"/>
        </w:rPr>
        <w:footnoteRef/>
      </w:r>
      <w:r w:rsidRPr="003A4A4F">
        <w:t xml:space="preserve"> Corte Constitucional. Sentencia C-1154 de 2008, M.P. Clara Inés Vargas Hernández.</w:t>
      </w:r>
    </w:p>
  </w:footnote>
  <w:footnote w:id="181">
    <w:p w14:paraId="7F0BEC74" w14:textId="77777777" w:rsidR="004832B6" w:rsidRPr="00645938" w:rsidRDefault="004832B6" w:rsidP="00B13BC1">
      <w:pPr>
        <w:pStyle w:val="Corte"/>
      </w:pPr>
      <w:r w:rsidRPr="00645938">
        <w:rPr>
          <w:rStyle w:val="Refdenotaalpie"/>
        </w:rPr>
        <w:footnoteRef/>
      </w:r>
      <w:r w:rsidRPr="00645938">
        <w:t xml:space="preserve"> Ibídem. Este criterio ha sido reiterado en múltiples decisiones posteriores, por ejemplo, en la Sentencia C-429 de 2019, M.P. Gloria Stella Ortiz Delgado.</w:t>
      </w:r>
    </w:p>
  </w:footnote>
  <w:footnote w:id="182">
    <w:p w14:paraId="077B2B9C" w14:textId="77777777" w:rsidR="004832B6" w:rsidRPr="00645938" w:rsidRDefault="004832B6" w:rsidP="00B13BC1">
      <w:pPr>
        <w:pStyle w:val="Corte"/>
      </w:pPr>
      <w:r w:rsidRPr="00645938">
        <w:rPr>
          <w:rStyle w:val="Refdenotaalpie"/>
        </w:rPr>
        <w:footnoteRef/>
      </w:r>
      <w:r w:rsidRPr="00645938">
        <w:t xml:space="preserve"> M.P. Mauricio González Cuervo.</w:t>
      </w:r>
    </w:p>
  </w:footnote>
  <w:footnote w:id="183">
    <w:p w14:paraId="1B44B0C1" w14:textId="77777777" w:rsidR="004832B6" w:rsidRPr="00645938" w:rsidRDefault="004832B6" w:rsidP="00B13BC1">
      <w:pPr>
        <w:pStyle w:val="Corte"/>
      </w:pPr>
      <w:r w:rsidRPr="00645938">
        <w:rPr>
          <w:rStyle w:val="Refdenotaalpie"/>
        </w:rPr>
        <w:footnoteRef/>
      </w:r>
      <w:r w:rsidRPr="00645938">
        <w:t xml:space="preserve"> M.P. Nilson Pinilla Pinilla.</w:t>
      </w:r>
    </w:p>
  </w:footnote>
  <w:footnote w:id="184">
    <w:p w14:paraId="353D8E9E" w14:textId="77777777" w:rsidR="004832B6" w:rsidRPr="0012517F" w:rsidRDefault="004832B6" w:rsidP="00B13BC1">
      <w:pPr>
        <w:pStyle w:val="Corte"/>
      </w:pPr>
      <w:r w:rsidRPr="0012517F">
        <w:rPr>
          <w:rStyle w:val="Refdenotaalpie"/>
        </w:rPr>
        <w:footnoteRef/>
      </w:r>
      <w:r w:rsidRPr="0012517F">
        <w:t xml:space="preserve"> M.P. Vladimiro Naranjo Mesa.</w:t>
      </w:r>
    </w:p>
  </w:footnote>
  <w:footnote w:id="185">
    <w:p w14:paraId="15950736" w14:textId="77777777" w:rsidR="004832B6" w:rsidRPr="0099764A" w:rsidRDefault="004832B6" w:rsidP="00B13BC1">
      <w:pPr>
        <w:pStyle w:val="Corte"/>
      </w:pPr>
      <w:r w:rsidRPr="0099764A">
        <w:rPr>
          <w:rStyle w:val="Refdenotaalpie"/>
        </w:rPr>
        <w:footnoteRef/>
      </w:r>
      <w:r w:rsidRPr="0099764A">
        <w:t xml:space="preserve"> </w:t>
      </w:r>
      <w:bookmarkStart w:id="17" w:name="_Hlk26554616"/>
      <w:r w:rsidRPr="0099764A">
        <w:t>M.P. Alejandro Linares Cantillo.</w:t>
      </w:r>
      <w:bookmarkEnd w:id="17"/>
    </w:p>
  </w:footnote>
  <w:footnote w:id="186">
    <w:p w14:paraId="114264DB" w14:textId="77777777" w:rsidR="004832B6" w:rsidRPr="00BC0420" w:rsidRDefault="004832B6" w:rsidP="00BC0420">
      <w:pPr>
        <w:pStyle w:val="Textonotapie"/>
        <w:jc w:val="both"/>
        <w:rPr>
          <w:lang w:val="es-CO"/>
        </w:rPr>
      </w:pPr>
      <w:r w:rsidRPr="0099764A">
        <w:rPr>
          <w:rStyle w:val="Refdenotaalpie"/>
        </w:rPr>
        <w:footnoteRef/>
      </w:r>
      <w:r w:rsidRPr="0099764A">
        <w:t xml:space="preserve"> </w:t>
      </w:r>
      <w:r w:rsidRPr="0099764A">
        <w:rPr>
          <w:bCs/>
          <w:szCs w:val="28"/>
        </w:rPr>
        <w:t>En esa oportunidad se controvertía un decreto que había sido analizado por el máximo tribunal de lo contencioso administrativo, respecto del cual se negó la demanda que pretendía la declaratoria de nulidad.</w:t>
      </w:r>
    </w:p>
  </w:footnote>
  <w:footnote w:id="187">
    <w:p w14:paraId="3B23EEEA" w14:textId="77777777" w:rsidR="004832B6" w:rsidRPr="0012517F" w:rsidRDefault="004832B6" w:rsidP="00BC0420">
      <w:pPr>
        <w:pStyle w:val="Corte"/>
      </w:pPr>
      <w:r w:rsidRPr="0012517F">
        <w:rPr>
          <w:rStyle w:val="Refdenotaalpie"/>
        </w:rPr>
        <w:footnoteRef/>
      </w:r>
      <w:r w:rsidRPr="0012517F">
        <w:t xml:space="preserve"> </w:t>
      </w:r>
      <w:bookmarkStart w:id="18" w:name="_Hlk26554635"/>
      <w:r w:rsidRPr="0012517F">
        <w:t xml:space="preserve">Corte Constitucional. Sentencia C-664 de 2016, </w:t>
      </w:r>
      <w:bookmarkEnd w:id="18"/>
      <w:r w:rsidRPr="0012517F">
        <w:t>M.P. Alejandro Linares Cantillo.</w:t>
      </w:r>
    </w:p>
  </w:footnote>
  <w:footnote w:id="188">
    <w:p w14:paraId="6C915A2D" w14:textId="77777777" w:rsidR="004832B6" w:rsidRPr="0012517F" w:rsidRDefault="004832B6" w:rsidP="00BC0420">
      <w:pPr>
        <w:pStyle w:val="Corte"/>
      </w:pPr>
      <w:r w:rsidRPr="0012517F">
        <w:rPr>
          <w:rStyle w:val="Refdenotaalpie"/>
        </w:rPr>
        <w:footnoteRef/>
      </w:r>
      <w:r w:rsidRPr="0012517F">
        <w:t xml:space="preserve"> M.P. Mauricio González Cuervo.</w:t>
      </w:r>
    </w:p>
  </w:footnote>
  <w:footnote w:id="189">
    <w:p w14:paraId="1F3D6204" w14:textId="77777777" w:rsidR="004832B6" w:rsidRPr="0012517F" w:rsidRDefault="004832B6" w:rsidP="00BB511B">
      <w:pPr>
        <w:pStyle w:val="Textonotapie"/>
        <w:jc w:val="both"/>
        <w:rPr>
          <w:lang w:val="es-CO"/>
        </w:rPr>
      </w:pPr>
      <w:r w:rsidRPr="0012517F">
        <w:rPr>
          <w:rStyle w:val="Refdenotaalpie"/>
        </w:rPr>
        <w:footnoteRef/>
      </w:r>
      <w:r w:rsidRPr="0012517F">
        <w:t xml:space="preserve"> </w:t>
      </w:r>
      <w:r w:rsidRPr="0012517F">
        <w:rPr>
          <w:lang w:val="es-CO"/>
        </w:rPr>
        <w:t>Según esa providencia, “</w:t>
      </w:r>
      <w:r w:rsidRPr="0012517F">
        <w:rPr>
          <w:i/>
          <w:iCs/>
          <w:lang w:val="es-CO"/>
        </w:rPr>
        <w:t xml:space="preserve">se considera atípico o especial el control constitucional adelantado por la Corte Constitucional sobre decretos diferentes de los asignados expresamente a su conocimiento en los artículos 241 y 10 Transitorio de la Constitución -que por mandato constitucional poseen fuerza de ley- o de otros actos reputados administrativos. La Corte Constitucional ha decidido demandas de inconstitucionalidad de aquellos, para asegurar la supremacía e integridad de la Constitución”. </w:t>
      </w:r>
      <w:r w:rsidRPr="0012517F">
        <w:rPr>
          <w:lang w:val="es-CO"/>
        </w:rPr>
        <w:t xml:space="preserve">Cfr. Sentencia C-049 de 2012. M.P. Mauricio González Cuervo. </w:t>
      </w:r>
    </w:p>
  </w:footnote>
  <w:footnote w:id="190">
    <w:p w14:paraId="10E5FC10" w14:textId="77777777" w:rsidR="004832B6" w:rsidRPr="0012517F" w:rsidRDefault="004832B6" w:rsidP="00147022">
      <w:pPr>
        <w:pStyle w:val="Corte"/>
      </w:pPr>
      <w:r w:rsidRPr="0012517F">
        <w:rPr>
          <w:rStyle w:val="Refdenotaalpie"/>
        </w:rPr>
        <w:footnoteRef/>
      </w:r>
      <w:r w:rsidRPr="0012517F">
        <w:t xml:space="preserve"> Ibidem. Esta conclusión ha sido reiterada en las Sentencias C-173 de 2014, M.P. Mauricio González </w:t>
      </w:r>
      <w:r w:rsidRPr="0099764A">
        <w:t>Cuervo; C-352 de 2017, M.P. Alejandro Linares Cantillo; y C-187 de 2019, M.P. José Fernando Reyes Cuart</w:t>
      </w:r>
      <w:r>
        <w:t>as</w:t>
      </w:r>
      <w:r w:rsidRPr="0099764A">
        <w:t xml:space="preserve"> y C-429 de 2019, M.P. Gloria Stella Ortiz Delgado.</w:t>
      </w:r>
    </w:p>
  </w:footnote>
  <w:footnote w:id="191">
    <w:p w14:paraId="6203A5A9" w14:textId="77777777" w:rsidR="004832B6" w:rsidRPr="00D8011B" w:rsidRDefault="004832B6" w:rsidP="008D3DB8">
      <w:pPr>
        <w:pStyle w:val="Textonotapie"/>
        <w:ind w:right="-234"/>
        <w:jc w:val="both"/>
      </w:pPr>
      <w:r w:rsidRPr="00D8011B">
        <w:rPr>
          <w:rStyle w:val="Refdenotaalpie"/>
        </w:rPr>
        <w:footnoteRef/>
      </w:r>
      <w:r w:rsidRPr="00D8011B">
        <w:t xml:space="preserve"> </w:t>
      </w:r>
      <w:r w:rsidRPr="00D8011B">
        <w:rPr>
          <w:lang w:val="es-CO"/>
        </w:rPr>
        <w:t>Corte Constitucional. Sentencia C-007 de 2016. M.P. Alejandro Linares Cantillo</w:t>
      </w:r>
    </w:p>
  </w:footnote>
  <w:footnote w:id="192">
    <w:p w14:paraId="40F738E9" w14:textId="77777777" w:rsidR="004832B6" w:rsidRPr="00D8011B" w:rsidRDefault="004832B6" w:rsidP="001446C1">
      <w:pPr>
        <w:pStyle w:val="Textonotapie"/>
        <w:jc w:val="both"/>
        <w:rPr>
          <w:lang w:val="es-CO"/>
        </w:rPr>
      </w:pPr>
      <w:r w:rsidRPr="00D8011B">
        <w:rPr>
          <w:rStyle w:val="Refdenotaalpie"/>
        </w:rPr>
        <w:footnoteRef/>
      </w:r>
      <w:r w:rsidRPr="00D8011B">
        <w:t xml:space="preserve"> </w:t>
      </w:r>
      <w:r w:rsidRPr="00D8011B">
        <w:t>Art. 243 C.P. “</w:t>
      </w:r>
      <w:r w:rsidRPr="00D8011B">
        <w:rPr>
          <w:i/>
          <w:iCs/>
        </w:rPr>
        <w:t>Los fallos que la Corte dicte en ejercicio del control jurisdiccional hacen tránsito a cosa juzgada constitucional. // Ninguna autoridad podrá reproducir el contenido material del acto jurídico declarado inexequible por razones de fondo, mientras subsistan en la Carta las disposiciones que sirvieron para hacer la confrontación entre la norma ordinaria y la Constitución</w:t>
      </w:r>
      <w:r w:rsidRPr="00D8011B">
        <w:t xml:space="preserve">”.  Corte Constitucional. </w:t>
      </w:r>
      <w:r w:rsidRPr="00D8011B">
        <w:rPr>
          <w:lang w:val="es-CO"/>
        </w:rPr>
        <w:t xml:space="preserve">Cfr. </w:t>
      </w:r>
      <w:r w:rsidRPr="00D8011B">
        <w:t>Sentencia C-259 de 2015. M.P. Gloria Stella Ortiz Delgado.</w:t>
      </w:r>
    </w:p>
  </w:footnote>
  <w:footnote w:id="193">
    <w:p w14:paraId="674F076D" w14:textId="77777777" w:rsidR="004832B6" w:rsidRPr="00D8011B" w:rsidRDefault="004832B6" w:rsidP="008D3DB8">
      <w:pPr>
        <w:jc w:val="both"/>
        <w:rPr>
          <w:b/>
          <w:bCs/>
          <w:color w:val="000000"/>
          <w:sz w:val="20"/>
        </w:rPr>
      </w:pPr>
      <w:r w:rsidRPr="00D8011B">
        <w:rPr>
          <w:rStyle w:val="Refdenotaalpie"/>
          <w:sz w:val="20"/>
        </w:rPr>
        <w:footnoteRef/>
      </w:r>
      <w:r w:rsidRPr="00D8011B">
        <w:rPr>
          <w:sz w:val="20"/>
        </w:rPr>
        <w:t xml:space="preserve"> Corte Constitucional. Sentencia </w:t>
      </w:r>
      <w:r w:rsidRPr="00D8011B">
        <w:rPr>
          <w:color w:val="000000"/>
          <w:sz w:val="20"/>
        </w:rPr>
        <w:t>C-100 de 2019. M.P. Alberto Rojas Ríos.</w:t>
      </w:r>
    </w:p>
  </w:footnote>
  <w:footnote w:id="194">
    <w:p w14:paraId="5DDCD70F" w14:textId="77777777" w:rsidR="004832B6" w:rsidRPr="00D8011B" w:rsidRDefault="004832B6" w:rsidP="008D3DB8">
      <w:pPr>
        <w:pStyle w:val="Textonotapie"/>
        <w:ind w:right="-142"/>
        <w:jc w:val="both"/>
        <w:rPr>
          <w:lang w:val="es-ES"/>
        </w:rPr>
      </w:pPr>
      <w:r w:rsidRPr="00D8011B">
        <w:rPr>
          <w:rStyle w:val="Refdenotaalpie"/>
        </w:rPr>
        <w:footnoteRef/>
      </w:r>
      <w:r w:rsidRPr="00D8011B">
        <w:t xml:space="preserve"> </w:t>
      </w:r>
      <w:r w:rsidRPr="00D8011B">
        <w:rPr>
          <w:lang w:val="es-ES_tradnl"/>
        </w:rPr>
        <w:t xml:space="preserve">El fenómeno tiene lugar en el caso de tutela, frente a aquellas providencias que son proferidas por la esta Corporación en sede de revisión o frente a los fallos de tutela que corresponden a otros jueces y que no han sido seleccionados para revisión. Al respecto puede verse la sentencia SU-1219 de 2001. </w:t>
      </w:r>
    </w:p>
  </w:footnote>
  <w:footnote w:id="195">
    <w:p w14:paraId="7C333AF4" w14:textId="77777777" w:rsidR="004832B6" w:rsidRPr="00D8011B" w:rsidRDefault="004832B6" w:rsidP="008D3DB8">
      <w:pPr>
        <w:jc w:val="both"/>
        <w:rPr>
          <w:b/>
          <w:bCs/>
          <w:color w:val="000000"/>
          <w:sz w:val="20"/>
        </w:rPr>
      </w:pPr>
      <w:r w:rsidRPr="00D8011B">
        <w:rPr>
          <w:rStyle w:val="Refdenotaalpie"/>
          <w:sz w:val="20"/>
        </w:rPr>
        <w:footnoteRef/>
      </w:r>
      <w:r w:rsidRPr="00D8011B">
        <w:rPr>
          <w:sz w:val="20"/>
        </w:rPr>
        <w:t xml:space="preserve"> Corte Constitucional. Sentencia </w:t>
      </w:r>
      <w:r w:rsidRPr="00D8011B">
        <w:rPr>
          <w:color w:val="000000"/>
          <w:sz w:val="20"/>
        </w:rPr>
        <w:t>C-096 de 2017  M.P. Alejandro Linares Cantillo</w:t>
      </w:r>
    </w:p>
  </w:footnote>
  <w:footnote w:id="196">
    <w:p w14:paraId="5469A10B" w14:textId="77777777" w:rsidR="004832B6" w:rsidRPr="00D8011B" w:rsidRDefault="004832B6" w:rsidP="008D3DB8">
      <w:pPr>
        <w:pStyle w:val="Textonotapie"/>
        <w:rPr>
          <w:lang w:val="es-ES"/>
        </w:rPr>
      </w:pPr>
      <w:r w:rsidRPr="00D8011B">
        <w:rPr>
          <w:rStyle w:val="Refdenotaalpie"/>
        </w:rPr>
        <w:footnoteRef/>
      </w:r>
      <w:r w:rsidRPr="00D8011B">
        <w:t xml:space="preserve"> </w:t>
      </w:r>
      <w:r w:rsidRPr="00D8011B">
        <w:t xml:space="preserve">Corte Constitucional. Sentencia </w:t>
      </w:r>
      <w:r w:rsidRPr="00D8011B">
        <w:rPr>
          <w:color w:val="000000"/>
        </w:rPr>
        <w:t>C-100 de 2019. M.P. Alberto Rojas Ríos.</w:t>
      </w:r>
    </w:p>
  </w:footnote>
  <w:footnote w:id="197">
    <w:p w14:paraId="73540D51" w14:textId="77777777" w:rsidR="004832B6" w:rsidRPr="00D8011B" w:rsidRDefault="004832B6" w:rsidP="00FE3243">
      <w:pPr>
        <w:pStyle w:val="Textonotapie"/>
        <w:rPr>
          <w:lang w:val="es-ES"/>
        </w:rPr>
      </w:pPr>
      <w:r w:rsidRPr="00D8011B">
        <w:rPr>
          <w:rStyle w:val="Refdenotaalpie"/>
        </w:rPr>
        <w:footnoteRef/>
      </w:r>
      <w:r w:rsidRPr="00D8011B">
        <w:t xml:space="preserve"> </w:t>
      </w:r>
      <w:r w:rsidRPr="00D8011B">
        <w:t xml:space="preserve">Corte Constitucional. Sentencia </w:t>
      </w:r>
      <w:r w:rsidRPr="00D8011B">
        <w:rPr>
          <w:color w:val="000000"/>
        </w:rPr>
        <w:t>C-100 de 2019. M.P. Alberto Rojas Ríos.</w:t>
      </w:r>
    </w:p>
  </w:footnote>
  <w:footnote w:id="198">
    <w:p w14:paraId="7A8FD2F6" w14:textId="77777777" w:rsidR="004832B6" w:rsidRPr="006A26BE" w:rsidRDefault="004832B6" w:rsidP="006A26BE">
      <w:pPr>
        <w:pStyle w:val="Textonotapie"/>
        <w:rPr>
          <w:highlight w:val="lightGray"/>
          <w:lang w:val="es-CO"/>
        </w:rPr>
      </w:pPr>
      <w:r w:rsidRPr="00D8011B">
        <w:rPr>
          <w:rStyle w:val="Refdenotaalpie"/>
        </w:rPr>
        <w:footnoteRef/>
      </w:r>
      <w:r w:rsidRPr="00D8011B">
        <w:t xml:space="preserve"> </w:t>
      </w:r>
      <w:r w:rsidRPr="00D8011B">
        <w:rPr>
          <w:lang w:val="es-CO"/>
        </w:rPr>
        <w:t xml:space="preserve">Corte Constitucional. </w:t>
      </w:r>
      <w:r w:rsidRPr="00D8011B">
        <w:t>Sentencia C-259 de 2015. M.P. Gloria Stella Ortiz Delgado</w:t>
      </w:r>
      <w:r w:rsidRPr="00F14826">
        <w:rPr>
          <w:highlight w:val="lightGray"/>
        </w:rPr>
        <w:t>.</w:t>
      </w:r>
    </w:p>
  </w:footnote>
  <w:footnote w:id="199">
    <w:p w14:paraId="7A9D0EFD" w14:textId="77777777" w:rsidR="004832B6" w:rsidRPr="006125E5" w:rsidRDefault="004832B6" w:rsidP="006A26BE">
      <w:pPr>
        <w:pStyle w:val="Sangradetextonormal"/>
        <w:tabs>
          <w:tab w:val="left" w:pos="426"/>
        </w:tabs>
        <w:spacing w:after="0"/>
        <w:ind w:left="0"/>
        <w:jc w:val="both"/>
      </w:pPr>
      <w:r w:rsidRPr="006125E5">
        <w:rPr>
          <w:rStyle w:val="Refdenotaalpie"/>
          <w:sz w:val="20"/>
        </w:rPr>
        <w:footnoteRef/>
      </w:r>
      <w:r w:rsidRPr="006125E5">
        <w:rPr>
          <w:sz w:val="20"/>
        </w:rPr>
        <w:t xml:space="preserve"> Corte Constitucional. </w:t>
      </w:r>
      <w:r w:rsidRPr="006125E5">
        <w:rPr>
          <w:sz w:val="20"/>
          <w:lang w:val="es-CO"/>
        </w:rPr>
        <w:t>Sentencia C-073 de 2014. M.P. Luis Guillermo Guerrero.</w:t>
      </w:r>
      <w:r w:rsidRPr="006125E5">
        <w:rPr>
          <w:lang w:val="es-CO"/>
        </w:rPr>
        <w:t xml:space="preserve"> </w:t>
      </w:r>
    </w:p>
  </w:footnote>
  <w:footnote w:id="200">
    <w:p w14:paraId="76550834" w14:textId="77777777" w:rsidR="004832B6" w:rsidRPr="006125E5" w:rsidRDefault="004832B6" w:rsidP="006A26BE">
      <w:pPr>
        <w:pStyle w:val="Textonotapie"/>
        <w:rPr>
          <w:lang w:val="es-CO"/>
        </w:rPr>
      </w:pPr>
      <w:r w:rsidRPr="006125E5">
        <w:rPr>
          <w:rStyle w:val="Refdenotaalpie"/>
        </w:rPr>
        <w:footnoteRef/>
      </w:r>
      <w:r w:rsidRPr="006125E5">
        <w:t xml:space="preserve"> </w:t>
      </w:r>
      <w:r w:rsidRPr="006125E5">
        <w:rPr>
          <w:lang w:val="es-CO"/>
        </w:rPr>
        <w:t xml:space="preserve">Corte Constitucional. </w:t>
      </w:r>
      <w:r w:rsidRPr="006125E5">
        <w:t>Sentencia C-259 de 2015. M.P. Gloria Stella Ortiz Delgado.</w:t>
      </w:r>
    </w:p>
  </w:footnote>
  <w:footnote w:id="201">
    <w:p w14:paraId="37289C51" w14:textId="77777777" w:rsidR="004832B6" w:rsidRPr="006125E5" w:rsidRDefault="004832B6" w:rsidP="006A26BE">
      <w:pPr>
        <w:pStyle w:val="Textonotapie"/>
        <w:jc w:val="both"/>
      </w:pPr>
      <w:r w:rsidRPr="006125E5">
        <w:rPr>
          <w:rStyle w:val="Refdenotaalpie"/>
        </w:rPr>
        <w:footnoteRef/>
      </w:r>
      <w:r w:rsidRPr="006125E5">
        <w:t xml:space="preserve"> </w:t>
      </w:r>
      <w:r w:rsidRPr="006125E5">
        <w:rPr>
          <w:lang w:val="es-CO"/>
        </w:rPr>
        <w:t>Corte Constitucional. Sentencia C-073 de 2014. M.P. Luis Guillermo Guerrero.</w:t>
      </w:r>
    </w:p>
  </w:footnote>
  <w:footnote w:id="202">
    <w:p w14:paraId="2C0198C8" w14:textId="77777777" w:rsidR="004832B6" w:rsidRPr="006125E5" w:rsidRDefault="004832B6" w:rsidP="006A26BE">
      <w:pPr>
        <w:pStyle w:val="Textonotapie"/>
        <w:jc w:val="both"/>
      </w:pPr>
      <w:r w:rsidRPr="006125E5">
        <w:rPr>
          <w:rStyle w:val="Refdenotaalpie"/>
        </w:rPr>
        <w:footnoteRef/>
      </w:r>
      <w:r w:rsidRPr="006125E5">
        <w:t xml:space="preserve"> </w:t>
      </w:r>
      <w:r w:rsidRPr="006125E5">
        <w:rPr>
          <w:lang w:val="es-CO"/>
        </w:rPr>
        <w:t xml:space="preserve">Cfr. Sentencia C-337 de 2007. M.P. Manuel José Cepeda Espinosa y </w:t>
      </w:r>
      <w:r w:rsidRPr="006125E5">
        <w:rPr>
          <w:bdr w:val="none" w:sz="0" w:space="0" w:color="auto" w:frame="1"/>
          <w:lang w:val="es-CO"/>
        </w:rPr>
        <w:t>sentencia C-287 de 2014 M.P. Luis Ernesto Vargas Silva.</w:t>
      </w:r>
    </w:p>
  </w:footnote>
  <w:footnote w:id="203">
    <w:p w14:paraId="544F03D3" w14:textId="77777777" w:rsidR="004832B6" w:rsidRPr="006125E5" w:rsidRDefault="004832B6" w:rsidP="006A26BE">
      <w:pPr>
        <w:pStyle w:val="Textonotapie"/>
        <w:jc w:val="both"/>
      </w:pPr>
      <w:r w:rsidRPr="006125E5">
        <w:rPr>
          <w:rStyle w:val="Refdenotaalpie"/>
        </w:rPr>
        <w:footnoteRef/>
      </w:r>
      <w:r w:rsidRPr="006125E5">
        <w:t xml:space="preserve"> </w:t>
      </w:r>
      <w:r w:rsidRPr="006125E5">
        <w:rPr>
          <w:lang w:val="es-CO"/>
        </w:rPr>
        <w:t>Corte Constitucional. Sentencia C-478 de 1998. M.P. Marco Gerardo Monroy Cabra.</w:t>
      </w:r>
    </w:p>
  </w:footnote>
  <w:footnote w:id="204">
    <w:p w14:paraId="7652A751" w14:textId="77777777" w:rsidR="004832B6" w:rsidRPr="006125E5" w:rsidRDefault="004832B6" w:rsidP="006A26BE">
      <w:pPr>
        <w:pStyle w:val="Textonotapie"/>
        <w:jc w:val="both"/>
        <w:rPr>
          <w:lang w:val="en-US"/>
        </w:rPr>
      </w:pPr>
      <w:r w:rsidRPr="006125E5">
        <w:rPr>
          <w:rStyle w:val="Refdenotaalpie"/>
        </w:rPr>
        <w:footnoteRef/>
      </w:r>
      <w:r w:rsidRPr="006125E5">
        <w:rPr>
          <w:lang w:val="en-US"/>
        </w:rPr>
        <w:t xml:space="preserve"> Art. </w:t>
      </w:r>
      <w:proofErr w:type="gramStart"/>
      <w:r w:rsidRPr="006125E5">
        <w:rPr>
          <w:lang w:val="en-US"/>
        </w:rPr>
        <w:t>243, inciso 2º C.P.</w:t>
      </w:r>
      <w:proofErr w:type="gramEnd"/>
    </w:p>
  </w:footnote>
  <w:footnote w:id="205">
    <w:p w14:paraId="5BE9BD51" w14:textId="77777777" w:rsidR="004832B6" w:rsidRPr="006125E5" w:rsidRDefault="004832B6" w:rsidP="00D57F71">
      <w:pPr>
        <w:pStyle w:val="Corte"/>
      </w:pPr>
      <w:r w:rsidRPr="006125E5">
        <w:rPr>
          <w:rStyle w:val="Refdenotaalpie"/>
        </w:rPr>
        <w:footnoteRef/>
      </w:r>
      <w:r w:rsidRPr="006125E5">
        <w:t xml:space="preserve"> Corte Constitucional. Sentencia C-037 de 1996, M.P. Vladimiro Naranjo Mesa.</w:t>
      </w:r>
    </w:p>
  </w:footnote>
  <w:footnote w:id="206">
    <w:p w14:paraId="3110C609" w14:textId="77777777" w:rsidR="004832B6" w:rsidRPr="006125E5" w:rsidRDefault="004832B6" w:rsidP="00FB7510">
      <w:pPr>
        <w:pStyle w:val="Textonotapie"/>
        <w:ind w:right="-234"/>
        <w:jc w:val="both"/>
      </w:pPr>
      <w:r w:rsidRPr="006125E5">
        <w:rPr>
          <w:rStyle w:val="Refdenotaalpie"/>
        </w:rPr>
        <w:footnoteRef/>
      </w:r>
      <w:r w:rsidRPr="006125E5">
        <w:t xml:space="preserve"> </w:t>
      </w:r>
      <w:r w:rsidRPr="006125E5">
        <w:rPr>
          <w:lang w:val="es-CO"/>
        </w:rPr>
        <w:t xml:space="preserve">Al respecto, puede verse la </w:t>
      </w:r>
      <w:r w:rsidRPr="006125E5">
        <w:t xml:space="preserve">Sentencia </w:t>
      </w:r>
      <w:r w:rsidRPr="006125E5">
        <w:rPr>
          <w:color w:val="000000"/>
        </w:rPr>
        <w:t>C-096 de 2017</w:t>
      </w:r>
      <w:r w:rsidRPr="006125E5">
        <w:rPr>
          <w:color w:val="000000"/>
          <w:lang w:val="es-CO"/>
        </w:rPr>
        <w:t xml:space="preserve"> M.P.</w:t>
      </w:r>
      <w:r w:rsidRPr="006125E5">
        <w:rPr>
          <w:color w:val="000000"/>
        </w:rPr>
        <w:t xml:space="preserve"> Alejandro Linares Cantillo</w:t>
      </w:r>
      <w:r w:rsidRPr="006125E5">
        <w:rPr>
          <w:lang w:val="es-CO"/>
        </w:rPr>
        <w:t>. En ella se alegó que e</w:t>
      </w:r>
      <w:r w:rsidRPr="006125E5">
        <w:t xml:space="preserve">sta situación fue abordada por la </w:t>
      </w:r>
      <w:r w:rsidRPr="006125E5">
        <w:rPr>
          <w:lang w:val="es-CO"/>
        </w:rPr>
        <w:t>S</w:t>
      </w:r>
      <w:r w:rsidRPr="006125E5">
        <w:t>entencia SU-428</w:t>
      </w:r>
      <w:r w:rsidRPr="006125E5">
        <w:rPr>
          <w:lang w:val="es-CO"/>
        </w:rPr>
        <w:t xml:space="preserve"> de 20</w:t>
      </w:r>
      <w:r w:rsidRPr="006125E5">
        <w:t xml:space="preserve">16 en la que, teniendo en cuenta que la obligación de fidelidad  del 20% de cotización antes de la muerte, como requisito para acceder a la pensión de sobrevivientes, había sido declarado inexequible, sin efectos retroactivos por la </w:t>
      </w:r>
      <w:r w:rsidRPr="006125E5">
        <w:rPr>
          <w:lang w:val="es-CO"/>
        </w:rPr>
        <w:t>S</w:t>
      </w:r>
      <w:r w:rsidRPr="006125E5">
        <w:t xml:space="preserve">entencia C-1094/03, </w:t>
      </w:r>
      <w:r w:rsidRPr="006125E5">
        <w:rPr>
          <w:lang w:val="es-CO"/>
        </w:rPr>
        <w:t xml:space="preserve">se hizo </w:t>
      </w:r>
      <w:r w:rsidRPr="006125E5">
        <w:t xml:space="preserve">uso de la </w:t>
      </w:r>
      <w:r w:rsidRPr="006125E5">
        <w:rPr>
          <w:b/>
        </w:rPr>
        <w:t>excepción de inconstitucionalidad</w:t>
      </w:r>
      <w:r w:rsidRPr="006125E5">
        <w:t xml:space="preserve"> respecto de dicha norma en cuanto a sus efectos anteriores a la sentencia de inconstitucionalidad, para en su lugar tutelar los derechos fundamentales a la igualdad, a la defensa, al debido proceso, a la seguridad social en pensiones, al acceso a la administración de justicia y a tener una vida en condiciones dignas de una persona cuyo derecho a la pensión se había causado antes de la declaratoria de inexequibilidad</w:t>
      </w:r>
      <w:r w:rsidRPr="006125E5">
        <w:rPr>
          <w:lang w:val="es-CO"/>
        </w:rPr>
        <w:t xml:space="preserve">. </w:t>
      </w:r>
      <w:r w:rsidRPr="006125E5">
        <w:t>En consecuencia ordenó a la respectiva AFP que en el futuro se abstuviera de exigir dicho requisito. Una decisión diferente al recurso a la excepción de inconstitucionalidad, pero que protegió igualmente los derechos en una situación equivalente se encuentra en la sentencia SU-499/16.</w:t>
      </w:r>
    </w:p>
  </w:footnote>
  <w:footnote w:id="207">
    <w:p w14:paraId="6B8A198A" w14:textId="77777777" w:rsidR="004832B6" w:rsidRPr="006125E5" w:rsidRDefault="004832B6">
      <w:pPr>
        <w:pStyle w:val="Textonotapie"/>
        <w:rPr>
          <w:lang w:val="es-CO"/>
        </w:rPr>
      </w:pPr>
      <w:r w:rsidRPr="006125E5">
        <w:rPr>
          <w:rStyle w:val="Refdenotaalpie"/>
        </w:rPr>
        <w:footnoteRef/>
      </w:r>
      <w:r w:rsidRPr="006125E5">
        <w:t xml:space="preserve"> </w:t>
      </w:r>
      <w:bookmarkStart w:id="20" w:name="_Hlk50278331"/>
      <w:r w:rsidRPr="006125E5">
        <w:rPr>
          <w:lang w:val="es-CO"/>
        </w:rPr>
        <w:t xml:space="preserve">Corte Constitucional. </w:t>
      </w:r>
      <w:bookmarkEnd w:id="20"/>
      <w:r w:rsidRPr="006125E5">
        <w:t>Sentencia C-259 de 2015. M.P. Gloria Stella Ortiz Delgado.</w:t>
      </w:r>
    </w:p>
  </w:footnote>
  <w:footnote w:id="208">
    <w:p w14:paraId="2C02ADE8" w14:textId="77777777" w:rsidR="004832B6" w:rsidRPr="006125E5" w:rsidRDefault="004832B6" w:rsidP="00634321">
      <w:pPr>
        <w:pStyle w:val="Textonotapie"/>
        <w:ind w:right="-234"/>
        <w:jc w:val="both"/>
        <w:rPr>
          <w:lang w:val="es-CO"/>
        </w:rPr>
      </w:pPr>
      <w:r w:rsidRPr="006125E5">
        <w:rPr>
          <w:rStyle w:val="Refdenotaalpie"/>
        </w:rPr>
        <w:footnoteRef/>
      </w:r>
      <w:r w:rsidRPr="006125E5">
        <w:t xml:space="preserve"> </w:t>
      </w:r>
      <w:r w:rsidRPr="006125E5">
        <w:rPr>
          <w:lang w:val="es-CO"/>
        </w:rPr>
        <w:t xml:space="preserve">Ver </w:t>
      </w:r>
      <w:r w:rsidRPr="006125E5">
        <w:t xml:space="preserve">Corte Constitucional. </w:t>
      </w:r>
      <w:r w:rsidRPr="006125E5">
        <w:t xml:space="preserve">Sentencia </w:t>
      </w:r>
      <w:r w:rsidRPr="006125E5">
        <w:rPr>
          <w:color w:val="000000"/>
        </w:rPr>
        <w:t>C-096 de 2017 Alejandro Linares Cantillo</w:t>
      </w:r>
      <w:r w:rsidRPr="006125E5">
        <w:t xml:space="preserve"> </w:t>
      </w:r>
      <w:r w:rsidRPr="006125E5">
        <w:rPr>
          <w:lang w:val="es-CO"/>
        </w:rPr>
        <w:t xml:space="preserve">y las </w:t>
      </w:r>
      <w:r w:rsidRPr="006125E5">
        <w:t>sentencias C-600</w:t>
      </w:r>
      <w:r w:rsidRPr="006125E5">
        <w:rPr>
          <w:lang w:val="es-CO"/>
        </w:rPr>
        <w:t xml:space="preserve"> de 19</w:t>
      </w:r>
      <w:r w:rsidRPr="006125E5">
        <w:t xml:space="preserve">98 </w:t>
      </w:r>
      <w:r w:rsidRPr="006125E5">
        <w:rPr>
          <w:lang w:val="es-CO"/>
        </w:rPr>
        <w:t xml:space="preserve">M.P. José Gregorio Hernández Galindo </w:t>
      </w:r>
      <w:r w:rsidRPr="006125E5">
        <w:t>y C-492</w:t>
      </w:r>
      <w:r w:rsidRPr="006125E5">
        <w:rPr>
          <w:lang w:val="es-CO"/>
        </w:rPr>
        <w:t xml:space="preserve"> de 20</w:t>
      </w:r>
      <w:r w:rsidRPr="006125E5">
        <w:t>00</w:t>
      </w:r>
      <w:r w:rsidRPr="006125E5">
        <w:rPr>
          <w:lang w:val="es-CO"/>
        </w:rPr>
        <w:t xml:space="preserve"> M.P. Alejandro Martínez Caballero. También es relevante hacer referencia a la Sentencia SU-599 de 2019, M.P. Cristina Pardo Schlesinger.</w:t>
      </w:r>
    </w:p>
  </w:footnote>
  <w:footnote w:id="209">
    <w:p w14:paraId="7DD670F9" w14:textId="77777777" w:rsidR="004832B6" w:rsidRPr="002853CA" w:rsidRDefault="004832B6" w:rsidP="00AB367A">
      <w:pPr>
        <w:pStyle w:val="Textonotapie"/>
        <w:rPr>
          <w:lang w:val="es-CO"/>
        </w:rPr>
      </w:pPr>
      <w:r w:rsidRPr="006125E5">
        <w:rPr>
          <w:rStyle w:val="Refdenotaalpie"/>
        </w:rPr>
        <w:footnoteRef/>
      </w:r>
      <w:r w:rsidRPr="006125E5">
        <w:t xml:space="preserve"> </w:t>
      </w:r>
      <w:bookmarkStart w:id="21" w:name="_Hlk50303593"/>
      <w:r w:rsidRPr="006125E5">
        <w:rPr>
          <w:lang w:val="es-CO"/>
        </w:rPr>
        <w:t xml:space="preserve">Corte Constitucional. </w:t>
      </w:r>
      <w:bookmarkEnd w:id="21"/>
      <w:r w:rsidRPr="006125E5">
        <w:t>Sentencia C-259 de 2015. M.P. Gloria Stella Ortiz Delgado.</w:t>
      </w:r>
    </w:p>
  </w:footnote>
  <w:footnote w:id="210">
    <w:p w14:paraId="26B8FC8A" w14:textId="77777777" w:rsidR="004832B6" w:rsidRPr="007E2367" w:rsidRDefault="004832B6" w:rsidP="00A54C46">
      <w:pPr>
        <w:pStyle w:val="Textonotapie"/>
        <w:jc w:val="both"/>
      </w:pPr>
      <w:r w:rsidRPr="007E2367">
        <w:rPr>
          <w:rStyle w:val="Refdenotaalpie"/>
        </w:rPr>
        <w:footnoteRef/>
      </w:r>
      <w:r w:rsidRPr="007E2367">
        <w:t xml:space="preserve"> </w:t>
      </w:r>
      <w:r w:rsidRPr="007E2367">
        <w:rPr>
          <w:lang w:val="es-CO"/>
        </w:rPr>
        <w:t xml:space="preserve"> Corte Constitucional. </w:t>
      </w:r>
      <w:r w:rsidRPr="007E2367">
        <w:t>Sentencia C-496 de 1994. En entre otras, pueden consultarse además, las sentencias C-1299 de 2005, C-923 de 2005, C-928 de 2005, C-128 de 2002, C-333 de 2001, C-477 de 2001 y C-505 de 2001.</w:t>
      </w:r>
    </w:p>
  </w:footnote>
  <w:footnote w:id="211">
    <w:p w14:paraId="21BD0C2E" w14:textId="77777777" w:rsidR="004832B6" w:rsidRPr="007E2367" w:rsidRDefault="004832B6" w:rsidP="00A54C46">
      <w:pPr>
        <w:pStyle w:val="Textonotapie"/>
        <w:jc w:val="both"/>
      </w:pPr>
      <w:r w:rsidRPr="007E2367">
        <w:rPr>
          <w:rStyle w:val="Refdenotaalpie"/>
        </w:rPr>
        <w:footnoteRef/>
      </w:r>
      <w:r w:rsidRPr="007E2367">
        <w:t xml:space="preserve"> </w:t>
      </w:r>
      <w:r w:rsidRPr="007E2367">
        <w:rPr>
          <w:lang w:val="es-CO"/>
        </w:rPr>
        <w:t xml:space="preserve">Corte Constitucional. Sentencia C-820 de 2006. M.P. Marco Gerardo Monroy Cabra. </w:t>
      </w:r>
    </w:p>
  </w:footnote>
  <w:footnote w:id="212">
    <w:p w14:paraId="6C891694" w14:textId="77777777" w:rsidR="004832B6" w:rsidRPr="007E2367" w:rsidRDefault="004832B6" w:rsidP="00A54C46">
      <w:pPr>
        <w:pStyle w:val="Textonotapie"/>
        <w:jc w:val="both"/>
      </w:pPr>
      <w:r w:rsidRPr="007E2367">
        <w:rPr>
          <w:rStyle w:val="Refdenotaalpie"/>
        </w:rPr>
        <w:footnoteRef/>
      </w:r>
      <w:r w:rsidRPr="007E2367">
        <w:t xml:space="preserve"> </w:t>
      </w:r>
      <w:r w:rsidRPr="007E2367">
        <w:rPr>
          <w:lang w:val="es-CO"/>
        </w:rPr>
        <w:t xml:space="preserve">Corte Constitucional. </w:t>
      </w:r>
      <w:r w:rsidRPr="007E2367">
        <w:t xml:space="preserve">Sentencia </w:t>
      </w:r>
      <w:r w:rsidRPr="007E2367">
        <w:rPr>
          <w:lang w:val="es-CO"/>
        </w:rPr>
        <w:t xml:space="preserve">C-113 de 1993. M.P. Jorge Arango Mejía. </w:t>
      </w:r>
    </w:p>
  </w:footnote>
  <w:footnote w:id="213">
    <w:p w14:paraId="62340BBF" w14:textId="77777777" w:rsidR="004832B6" w:rsidRPr="007E2367" w:rsidRDefault="004832B6" w:rsidP="00A54C46">
      <w:pPr>
        <w:pStyle w:val="Textonotapie"/>
        <w:jc w:val="both"/>
      </w:pPr>
      <w:r w:rsidRPr="007E2367">
        <w:rPr>
          <w:rStyle w:val="Refdenotaalpie"/>
        </w:rPr>
        <w:footnoteRef/>
      </w:r>
      <w:r w:rsidRPr="007E2367">
        <w:t xml:space="preserve"> </w:t>
      </w:r>
      <w:r w:rsidRPr="007E2367">
        <w:rPr>
          <w:lang w:val="es-CO"/>
        </w:rPr>
        <w:t xml:space="preserve">Corte Constitucional. Sentencia C-153 de 2002. M.P. Clara Inés Vargas. </w:t>
      </w:r>
    </w:p>
  </w:footnote>
  <w:footnote w:id="214">
    <w:p w14:paraId="01B39274" w14:textId="77777777" w:rsidR="004832B6" w:rsidRPr="00A50C5C" w:rsidRDefault="004832B6" w:rsidP="00A54C46">
      <w:pPr>
        <w:pStyle w:val="Textonotapie"/>
        <w:jc w:val="both"/>
        <w:rPr>
          <w:highlight w:val="lightGray"/>
        </w:rPr>
      </w:pPr>
      <w:r w:rsidRPr="007E2367">
        <w:rPr>
          <w:rStyle w:val="Refdenotaalpie"/>
        </w:rPr>
        <w:footnoteRef/>
      </w:r>
      <w:r w:rsidRPr="007E2367">
        <w:t xml:space="preserve"> </w:t>
      </w:r>
      <w:r w:rsidRPr="007E2367">
        <w:t xml:space="preserve">Corte Constitucional, sentencia </w:t>
      </w:r>
      <w:r w:rsidRPr="007E2367">
        <w:rPr>
          <w:lang w:val="es-CO"/>
        </w:rPr>
        <w:t xml:space="preserve">C-259 de 2015.M.P. Gloria Stella Ortiz Delgado. Ver además la </w:t>
      </w:r>
      <w:r w:rsidRPr="007E2367">
        <w:t xml:space="preserve">Sentencia C-543 de 1992. M.P. José Gregorio Hernández Galindo. </w:t>
      </w:r>
    </w:p>
  </w:footnote>
  <w:footnote w:id="215">
    <w:p w14:paraId="61062D7A" w14:textId="77777777" w:rsidR="004832B6" w:rsidRPr="0012517F" w:rsidRDefault="004832B6" w:rsidP="00A54C46">
      <w:pPr>
        <w:pStyle w:val="Textonotapie"/>
        <w:rPr>
          <w:lang w:val="es-CO"/>
        </w:rPr>
      </w:pPr>
      <w:r w:rsidRPr="0012517F">
        <w:rPr>
          <w:rStyle w:val="Refdenotaalpie"/>
        </w:rPr>
        <w:footnoteRef/>
      </w:r>
      <w:r w:rsidRPr="0012517F">
        <w:t xml:space="preserve"> </w:t>
      </w:r>
      <w:r w:rsidRPr="0012517F">
        <w:rPr>
          <w:lang w:val="es-CO" w:eastAsia="es-CO"/>
        </w:rPr>
        <w:t>M.P. Jorge Arango Mejía</w:t>
      </w:r>
    </w:p>
  </w:footnote>
  <w:footnote w:id="216">
    <w:p w14:paraId="450B8A26" w14:textId="77777777" w:rsidR="004832B6" w:rsidRPr="0012517F" w:rsidRDefault="004832B6" w:rsidP="00A54C46">
      <w:pPr>
        <w:pStyle w:val="Textonotapie"/>
        <w:rPr>
          <w:lang w:val="es-CO"/>
        </w:rPr>
      </w:pPr>
      <w:r w:rsidRPr="0012517F">
        <w:rPr>
          <w:rStyle w:val="Refdenotaalpie"/>
        </w:rPr>
        <w:footnoteRef/>
      </w:r>
      <w:r w:rsidRPr="0012517F">
        <w:t xml:space="preserve"> </w:t>
      </w:r>
      <w:r w:rsidRPr="0012517F">
        <w:rPr>
          <w:lang w:val="es-CO"/>
        </w:rPr>
        <w:t xml:space="preserve">Cfr. </w:t>
      </w:r>
      <w:r w:rsidRPr="0012517F">
        <w:t xml:space="preserve">Corte Constitucional. </w:t>
      </w:r>
      <w:r w:rsidRPr="0012517F">
        <w:rPr>
          <w:lang w:val="es-CO"/>
        </w:rPr>
        <w:t>Sentencia T-292 de 2006 M.P. Manuel José Cepeda Espinosa.</w:t>
      </w:r>
    </w:p>
  </w:footnote>
  <w:footnote w:id="217">
    <w:p w14:paraId="66BFA2B4" w14:textId="77777777" w:rsidR="004832B6" w:rsidRPr="0012517F" w:rsidRDefault="004832B6" w:rsidP="00A54C46">
      <w:pPr>
        <w:pStyle w:val="Textonotapie"/>
        <w:rPr>
          <w:lang w:val="es-CO"/>
        </w:rPr>
      </w:pPr>
      <w:r w:rsidRPr="0012517F">
        <w:rPr>
          <w:rStyle w:val="Refdenotaalpie"/>
        </w:rPr>
        <w:footnoteRef/>
      </w:r>
      <w:r w:rsidRPr="0012517F">
        <w:t xml:space="preserve"> </w:t>
      </w:r>
      <w:r w:rsidRPr="0012517F">
        <w:rPr>
          <w:lang w:val="es-CO"/>
        </w:rPr>
        <w:t xml:space="preserve">Cfr. </w:t>
      </w:r>
      <w:r w:rsidRPr="0012517F">
        <w:t xml:space="preserve">Corte Constitucional. </w:t>
      </w:r>
      <w:r w:rsidRPr="0012517F">
        <w:rPr>
          <w:lang w:val="es-CO"/>
        </w:rPr>
        <w:t xml:space="preserve">Sentencia T-292 de 2006 M.P. Manuel José Cepeda Espinosa. </w:t>
      </w:r>
    </w:p>
  </w:footnote>
  <w:footnote w:id="218">
    <w:p w14:paraId="60D1B77E" w14:textId="77777777" w:rsidR="004832B6" w:rsidRPr="002E4477" w:rsidRDefault="004832B6" w:rsidP="00A12F31">
      <w:pPr>
        <w:pStyle w:val="Textonotapie"/>
        <w:rPr>
          <w:lang w:val="es-CO"/>
        </w:rPr>
      </w:pPr>
      <w:r w:rsidRPr="0012517F">
        <w:rPr>
          <w:rStyle w:val="Refdenotaalpie"/>
        </w:rPr>
        <w:footnoteRef/>
      </w:r>
      <w:r w:rsidRPr="0012517F">
        <w:t xml:space="preserve"> </w:t>
      </w:r>
      <w:r w:rsidRPr="0012517F">
        <w:rPr>
          <w:lang w:val="es-CO"/>
        </w:rPr>
        <w:t>M.P. Carlos Gaviria Díaz.</w:t>
      </w:r>
      <w:r w:rsidRPr="002E4477">
        <w:rPr>
          <w:lang w:val="es-CO"/>
        </w:rPr>
        <w:t xml:space="preserve"> </w:t>
      </w:r>
    </w:p>
  </w:footnote>
  <w:footnote w:id="219">
    <w:p w14:paraId="68795063" w14:textId="77777777" w:rsidR="004832B6" w:rsidRPr="007E2367" w:rsidRDefault="004832B6" w:rsidP="009F6C0C">
      <w:pPr>
        <w:pStyle w:val="Textonotapie"/>
        <w:jc w:val="both"/>
      </w:pPr>
      <w:r w:rsidRPr="007E2367">
        <w:rPr>
          <w:rStyle w:val="Refdenotaalpie"/>
        </w:rPr>
        <w:footnoteRef/>
      </w:r>
      <w:r w:rsidRPr="007E2367">
        <w:t xml:space="preserve"> </w:t>
      </w:r>
      <w:r w:rsidRPr="007E2367">
        <w:rPr>
          <w:lang w:val="es-CO"/>
        </w:rPr>
        <w:t>Corte Constitucional. Sentencia C-073 de 2014. M.P. Luis Guillermo Guerrero.</w:t>
      </w:r>
    </w:p>
  </w:footnote>
  <w:footnote w:id="220">
    <w:p w14:paraId="110DCA39" w14:textId="77777777" w:rsidR="004832B6" w:rsidRPr="007E2367" w:rsidRDefault="004832B6" w:rsidP="00B66625">
      <w:pPr>
        <w:pStyle w:val="Textonotapie"/>
        <w:jc w:val="both"/>
      </w:pPr>
      <w:r w:rsidRPr="007E2367">
        <w:rPr>
          <w:rStyle w:val="Refdenotaalpie"/>
        </w:rPr>
        <w:footnoteRef/>
      </w:r>
      <w:r w:rsidRPr="007E2367">
        <w:rPr>
          <w:lang w:val="es-CO"/>
        </w:rPr>
        <w:t xml:space="preserve"> Corte Constitucional, Sentencia  C-449 de 2009  M.P. Humberto Sierra Porto.</w:t>
      </w:r>
    </w:p>
  </w:footnote>
  <w:footnote w:id="221">
    <w:p w14:paraId="5913A188" w14:textId="77777777" w:rsidR="004832B6" w:rsidRPr="007E2367" w:rsidRDefault="004832B6" w:rsidP="00B66625">
      <w:pPr>
        <w:pStyle w:val="Textonotapie"/>
        <w:jc w:val="both"/>
      </w:pPr>
      <w:r w:rsidRPr="007E2367">
        <w:rPr>
          <w:rStyle w:val="Refdenotaalpie"/>
        </w:rPr>
        <w:footnoteRef/>
      </w:r>
      <w:r w:rsidRPr="007E2367">
        <w:t xml:space="preserve"> </w:t>
      </w:r>
      <w:r w:rsidRPr="007E2367">
        <w:rPr>
          <w:lang w:val="es-CO"/>
        </w:rPr>
        <w:t>Corte Constitucional, Sentencia C-337 de 2007. M.P. Manuel José Cepeda Espinosa.</w:t>
      </w:r>
    </w:p>
  </w:footnote>
  <w:footnote w:id="222">
    <w:p w14:paraId="6128BA6B" w14:textId="77777777" w:rsidR="004832B6" w:rsidRPr="007E2367" w:rsidRDefault="004832B6" w:rsidP="00B66625">
      <w:pPr>
        <w:pStyle w:val="Textonotapie"/>
        <w:jc w:val="both"/>
      </w:pPr>
      <w:r w:rsidRPr="007E2367">
        <w:rPr>
          <w:rStyle w:val="Refdenotaalpie"/>
        </w:rPr>
        <w:footnoteRef/>
      </w:r>
      <w:r w:rsidRPr="007E2367">
        <w:t xml:space="preserve"> </w:t>
      </w:r>
      <w:r w:rsidRPr="007E2367">
        <w:rPr>
          <w:lang w:val="es-CO"/>
        </w:rPr>
        <w:t xml:space="preserve">Corte Constitucional, </w:t>
      </w:r>
      <w:r w:rsidRPr="007E2367">
        <w:t xml:space="preserve">Sentencia C-774 de 2001. </w:t>
      </w:r>
      <w:r w:rsidRPr="007E2367">
        <w:t xml:space="preserve">M.P. Rodrigo Escobar Gil. </w:t>
      </w:r>
    </w:p>
  </w:footnote>
  <w:footnote w:id="223">
    <w:p w14:paraId="728476CE" w14:textId="77777777" w:rsidR="004832B6" w:rsidRPr="004C0280" w:rsidRDefault="004832B6" w:rsidP="00B66625">
      <w:pPr>
        <w:pStyle w:val="Textonotapie"/>
        <w:jc w:val="both"/>
        <w:rPr>
          <w:highlight w:val="lightGray"/>
          <w:lang w:val="es-CO"/>
        </w:rPr>
      </w:pPr>
      <w:r w:rsidRPr="007E2367">
        <w:rPr>
          <w:rStyle w:val="Refdenotaalpie"/>
        </w:rPr>
        <w:footnoteRef/>
      </w:r>
      <w:r w:rsidRPr="007E2367">
        <w:t xml:space="preserve"> </w:t>
      </w:r>
      <w:r w:rsidRPr="007E2367">
        <w:rPr>
          <w:lang w:val="es-CO"/>
        </w:rPr>
        <w:t xml:space="preserve">A continuación se reiteran varias de las consideraciones ya enunciadas en la sentencia C-259 de 2015. M.P. Gloria Stella Ortiz Delgado. </w:t>
      </w:r>
    </w:p>
  </w:footnote>
  <w:footnote w:id="224">
    <w:p w14:paraId="5ECEB82B" w14:textId="77777777" w:rsidR="004832B6" w:rsidRPr="007E2367" w:rsidRDefault="004832B6" w:rsidP="00B66625">
      <w:pPr>
        <w:pStyle w:val="Textonotapie"/>
        <w:jc w:val="both"/>
      </w:pPr>
      <w:r w:rsidRPr="007E2367">
        <w:rPr>
          <w:vertAlign w:val="superscript"/>
        </w:rPr>
        <w:footnoteRef/>
      </w:r>
      <w:r w:rsidRPr="007E2367">
        <w:t xml:space="preserve"> </w:t>
      </w:r>
      <w:r w:rsidRPr="007E2367">
        <w:rPr>
          <w:lang w:val="es-CO"/>
        </w:rPr>
        <w:t xml:space="preserve">Corte Constitucional, </w:t>
      </w:r>
      <w:r w:rsidRPr="007E2367">
        <w:t xml:space="preserve">Sentencia C-489 de 2000. </w:t>
      </w:r>
      <w:r w:rsidRPr="007E2367">
        <w:t>M.P. Carlos Gaviria Díaz.</w:t>
      </w:r>
    </w:p>
  </w:footnote>
  <w:footnote w:id="225">
    <w:p w14:paraId="3B7C22DC" w14:textId="77777777" w:rsidR="004832B6" w:rsidRPr="007E2367" w:rsidRDefault="004832B6" w:rsidP="00AD7D92">
      <w:pPr>
        <w:pStyle w:val="Textonotapie"/>
        <w:jc w:val="both"/>
      </w:pPr>
      <w:r w:rsidRPr="007E2367">
        <w:rPr>
          <w:rStyle w:val="Refdenotaalpie"/>
        </w:rPr>
        <w:footnoteRef/>
      </w:r>
      <w:r w:rsidRPr="007E2367">
        <w:t xml:space="preserve"> </w:t>
      </w:r>
      <w:r w:rsidRPr="007E2367">
        <w:t>Véanse, entre otras, las Sentencias C-427 de 1996, C-447 de 1997, C-774 de 2001, C-1064 de 2001 y</w:t>
      </w:r>
      <w:r w:rsidRPr="007E2367">
        <w:rPr>
          <w:bCs/>
        </w:rPr>
        <w:t xml:space="preserve"> C-310 de 2002</w:t>
      </w:r>
    </w:p>
  </w:footnote>
  <w:footnote w:id="226">
    <w:p w14:paraId="24523893" w14:textId="77777777" w:rsidR="004832B6" w:rsidRPr="007E2367" w:rsidRDefault="004832B6" w:rsidP="00AD7D92">
      <w:pPr>
        <w:pStyle w:val="Textonotapie"/>
        <w:jc w:val="both"/>
      </w:pPr>
      <w:r w:rsidRPr="007E2367">
        <w:rPr>
          <w:rStyle w:val="Refdenotaalpie"/>
        </w:rPr>
        <w:footnoteRef/>
      </w:r>
      <w:r w:rsidRPr="007E2367">
        <w:t xml:space="preserve"> </w:t>
      </w:r>
      <w:r w:rsidRPr="007E2367">
        <w:rPr>
          <w:lang w:val="es-CO"/>
        </w:rPr>
        <w:t>Corte Constitucional. Sentencia C-073 de 2014. M.P. Luis Guillermo Guerrero.</w:t>
      </w:r>
    </w:p>
  </w:footnote>
  <w:footnote w:id="227">
    <w:p w14:paraId="01513367" w14:textId="77777777" w:rsidR="004832B6" w:rsidRPr="005D31DA" w:rsidRDefault="004832B6" w:rsidP="00AD7D92">
      <w:pPr>
        <w:pStyle w:val="Textonotapie"/>
        <w:jc w:val="both"/>
        <w:rPr>
          <w:highlight w:val="lightGray"/>
        </w:rPr>
      </w:pPr>
      <w:r w:rsidRPr="007E2367">
        <w:rPr>
          <w:rStyle w:val="Refdenotaalpie"/>
        </w:rPr>
        <w:footnoteRef/>
      </w:r>
      <w:r w:rsidRPr="007E2367">
        <w:t xml:space="preserve"> </w:t>
      </w:r>
      <w:r w:rsidRPr="007E2367">
        <w:rPr>
          <w:lang w:val="es-CO"/>
        </w:rPr>
        <w:t xml:space="preserve">Corte Constitucional. </w:t>
      </w:r>
      <w:r w:rsidRPr="007E2367">
        <w:t xml:space="preserve">Sentencia C-166 de 2014. M.P. Luis Ernesto Vargas Silva. </w:t>
      </w:r>
    </w:p>
  </w:footnote>
  <w:footnote w:id="228">
    <w:p w14:paraId="232D9B49" w14:textId="77777777" w:rsidR="004832B6" w:rsidRPr="007E2367" w:rsidRDefault="004832B6" w:rsidP="00AD7D92">
      <w:pPr>
        <w:pStyle w:val="Textonotapie"/>
        <w:jc w:val="both"/>
      </w:pPr>
      <w:r w:rsidRPr="007E2367">
        <w:rPr>
          <w:rStyle w:val="Refdenotaalpie"/>
        </w:rPr>
        <w:footnoteRef/>
      </w:r>
      <w:r w:rsidRPr="007E2367">
        <w:t xml:space="preserve"> </w:t>
      </w:r>
      <w:r w:rsidRPr="007E2367">
        <w:t xml:space="preserve">Véanse, entre otras, las Sentencias C-310 de 2002, C-096 de 2003, C-211 de 2003, C-710 de 2005, C-1266 de 2005, C-259 de 2008 y C-181 de 2010.  </w:t>
      </w:r>
    </w:p>
  </w:footnote>
  <w:footnote w:id="229">
    <w:p w14:paraId="27AB0116" w14:textId="77777777" w:rsidR="004832B6" w:rsidRPr="007E2367" w:rsidRDefault="004832B6" w:rsidP="00AD7D92">
      <w:pPr>
        <w:pStyle w:val="Textonotapie"/>
        <w:jc w:val="both"/>
      </w:pPr>
      <w:r w:rsidRPr="007E2367">
        <w:rPr>
          <w:vertAlign w:val="superscript"/>
        </w:rPr>
        <w:footnoteRef/>
      </w:r>
      <w:r w:rsidRPr="007E2367">
        <w:t xml:space="preserve"> </w:t>
      </w:r>
      <w:r w:rsidRPr="007E2367">
        <w:rPr>
          <w:i/>
        </w:rPr>
        <w:t xml:space="preserve">Cfr. </w:t>
      </w:r>
      <w:r w:rsidRPr="007E2367">
        <w:t>Sentencia C-1189 de 2005.</w:t>
      </w:r>
    </w:p>
  </w:footnote>
  <w:footnote w:id="230">
    <w:p w14:paraId="6655657F" w14:textId="77777777" w:rsidR="004832B6" w:rsidRPr="007E2367" w:rsidRDefault="004832B6" w:rsidP="00F97DBA">
      <w:pPr>
        <w:pStyle w:val="Textonotapie"/>
        <w:jc w:val="both"/>
      </w:pPr>
      <w:r w:rsidRPr="007E2367">
        <w:rPr>
          <w:rStyle w:val="Refdenotaalpie"/>
        </w:rPr>
        <w:footnoteRef/>
      </w:r>
      <w:r w:rsidRPr="007E2367">
        <w:t xml:space="preserve"> </w:t>
      </w:r>
      <w:r w:rsidRPr="007E2367">
        <w:t xml:space="preserve">Cfr. </w:t>
      </w:r>
      <w:r w:rsidRPr="007E2367">
        <w:rPr>
          <w:lang w:val="es-CO"/>
        </w:rPr>
        <w:t>Sentencias C-073 de 2014. M.P. Luis Guillermo Guerrero y</w:t>
      </w:r>
      <w:r w:rsidRPr="007E2367">
        <w:t xml:space="preserve"> C-166 de 2014. M.P. Luis Ernesto Vargas Silva.</w:t>
      </w:r>
    </w:p>
  </w:footnote>
  <w:footnote w:id="231">
    <w:p w14:paraId="752399AE" w14:textId="77777777" w:rsidR="004832B6" w:rsidRPr="005D31DA" w:rsidRDefault="004832B6" w:rsidP="00E574B6">
      <w:pPr>
        <w:pStyle w:val="Textonotapie"/>
        <w:jc w:val="both"/>
        <w:rPr>
          <w:highlight w:val="lightGray"/>
        </w:rPr>
      </w:pPr>
      <w:r w:rsidRPr="007E2367">
        <w:rPr>
          <w:rStyle w:val="Refdenotaalpie"/>
        </w:rPr>
        <w:footnoteRef/>
      </w:r>
      <w:r w:rsidRPr="007E2367">
        <w:t xml:space="preserve"> </w:t>
      </w:r>
      <w:r w:rsidRPr="007E2367">
        <w:t>Tales requisitos son: (i) Que una norma haya sido declarada previamente inexequible. (ii) Que el contenido material del texto examinado, sea similar a aquel que fue declarado inexequible por razones de fondo, teniendo en cuenta el contexto dentro del cual se ubica la norma examinada (Sentencia C-284 de 2011. M.P. María Victoria Calle), en la medida en que su significado y sus alcances jurídicos pueden variar si el contexto es diferente (Sentencia C-073 de 2014. M.P. Luis Guillermo Guerrero). La identidad se aprecia, entonces, teniendo en cuenta no s</w:t>
      </w:r>
      <w:r>
        <w:rPr>
          <w:lang w:val="es-CO"/>
        </w:rPr>
        <w:t>o</w:t>
      </w:r>
      <w:r w:rsidRPr="007E2367">
        <w:t xml:space="preserve">lo la redacción de los artículos, sino también el contexto dentro del cual se ubica la disposición demandada, de tal forma que si la redacción es diversa pero el contenido normativo es el mismo a la luz del contexto, se entiende que ha habido una reproducción. Por el contrario, si la redacción es igual pero del contexto se deduce un significado normativo distinto, se entiende que no se realizó dicha reproducción (Sentencia C-1173 de 2005). (iii)  Que el texto legal, supuestamente reproducido, haya sido declarado inconstitucional por “razones de fondo”, lo cual hace necesario analizar </w:t>
      </w:r>
      <w:r w:rsidRPr="007E2367">
        <w:rPr>
          <w:b/>
          <w:bCs/>
        </w:rPr>
        <w:t>la ratio decidendi del fallo anterior</w:t>
      </w:r>
      <w:r w:rsidRPr="007E2367">
        <w:t xml:space="preserve"> (Sentencia C-774 de 2001.M.P. Rodrigo Escobar Gil) y (iv) que subsistan las disposiciones constitucionales que sirvieron de fundamento al juicio previo de la Corte (Sentencias C-1173 de 2005 y  C-447 de 1997. M.P. Alejandro Martínez Caballero).</w:t>
      </w:r>
    </w:p>
  </w:footnote>
  <w:footnote w:id="232">
    <w:p w14:paraId="71CB96F4" w14:textId="77777777" w:rsidR="004832B6" w:rsidRPr="007E2367" w:rsidRDefault="004832B6" w:rsidP="00F97DBA">
      <w:pPr>
        <w:pStyle w:val="Textonotapie"/>
        <w:jc w:val="both"/>
      </w:pPr>
      <w:r w:rsidRPr="007E2367">
        <w:rPr>
          <w:rStyle w:val="Refdenotaalpie"/>
        </w:rPr>
        <w:footnoteRef/>
      </w:r>
      <w:r w:rsidRPr="007E2367">
        <w:t xml:space="preserve"> </w:t>
      </w:r>
      <w:r w:rsidRPr="007E2367">
        <w:t>En lo concerniente a los fallos de exequibilidad, ver las sentencias C-311 de 2002 y C-096 de 2003. Frente a los de exequibilidad condicionada, ver las sentencias C-394 de 2002 y C-443 de 2009.</w:t>
      </w:r>
    </w:p>
  </w:footnote>
  <w:footnote w:id="233">
    <w:p w14:paraId="2A6AFA77" w14:textId="77777777" w:rsidR="004832B6" w:rsidRPr="007E2367" w:rsidRDefault="004832B6" w:rsidP="00C15FF2">
      <w:pPr>
        <w:jc w:val="both"/>
        <w:rPr>
          <w:bCs/>
          <w:iCs/>
          <w:sz w:val="20"/>
          <w:lang w:val="es-ES_tradnl"/>
        </w:rPr>
      </w:pPr>
      <w:r w:rsidRPr="007E2367">
        <w:rPr>
          <w:rStyle w:val="Refdenotaalpie"/>
          <w:sz w:val="20"/>
        </w:rPr>
        <w:footnoteRef/>
      </w:r>
      <w:r w:rsidRPr="007E2367">
        <w:rPr>
          <w:sz w:val="20"/>
        </w:rPr>
        <w:t xml:space="preserve"> </w:t>
      </w:r>
      <w:r w:rsidRPr="007E2367">
        <w:rPr>
          <w:bCs/>
          <w:sz w:val="20"/>
          <w:lang w:val="es-ES_tradnl"/>
        </w:rPr>
        <w:t>Esta modalidad de cosa juzgada, exige acreditar entonces los siguientes requisitos</w:t>
      </w:r>
      <w:r w:rsidRPr="007E2367">
        <w:rPr>
          <w:bCs/>
          <w:sz w:val="20"/>
          <w:vertAlign w:val="superscript"/>
          <w:lang w:val="es-ES_tradnl"/>
        </w:rPr>
        <w:t xml:space="preserve"> </w:t>
      </w:r>
      <w:r w:rsidRPr="007E2367">
        <w:rPr>
          <w:b/>
          <w:bCs/>
          <w:sz w:val="20"/>
          <w:lang w:val="es-ES_tradnl"/>
        </w:rPr>
        <w:t xml:space="preserve">(Ver las </w:t>
      </w:r>
      <w:r w:rsidRPr="007E2367">
        <w:rPr>
          <w:sz w:val="20"/>
        </w:rPr>
        <w:t xml:space="preserve">sentencias C-1121 de 2005 y C-1266 de 2005): </w:t>
      </w:r>
      <w:r w:rsidRPr="007E2367">
        <w:rPr>
          <w:b/>
          <w:bCs/>
          <w:sz w:val="20"/>
          <w:lang w:val="es-ES_tradnl"/>
        </w:rPr>
        <w:t>i)</w:t>
      </w:r>
      <w:r w:rsidRPr="007E2367">
        <w:rPr>
          <w:bCs/>
          <w:sz w:val="20"/>
          <w:lang w:val="es-ES_tradnl"/>
        </w:rPr>
        <w:t xml:space="preserve"> Que exista una sentencia previa de constitucionalidad sobre una disposición con idéntico contenido normativo a la que es objeto de demanda, esto es, que los “</w:t>
      </w:r>
      <w:r w:rsidRPr="007E2367">
        <w:rPr>
          <w:bCs/>
          <w:i/>
          <w:sz w:val="20"/>
          <w:lang w:val="es-ES_tradnl"/>
        </w:rPr>
        <w:t>efectos jurídicos de las normas sean exactamente los mismos</w:t>
      </w:r>
      <w:r w:rsidRPr="007E2367">
        <w:rPr>
          <w:bCs/>
          <w:sz w:val="20"/>
          <w:lang w:val="es-ES_tradnl"/>
        </w:rPr>
        <w:t xml:space="preserve">” </w:t>
      </w:r>
      <w:r w:rsidRPr="007E2367">
        <w:rPr>
          <w:sz w:val="20"/>
        </w:rPr>
        <w:t xml:space="preserve">(sentencia C-565 de 2000, reiterada en la Sentencia C-710 de 2005). </w:t>
      </w:r>
      <w:r w:rsidRPr="007E2367">
        <w:rPr>
          <w:b/>
          <w:bCs/>
          <w:sz w:val="20"/>
          <w:lang w:val="es-ES_tradnl"/>
        </w:rPr>
        <w:t>(ii)</w:t>
      </w:r>
      <w:r w:rsidRPr="007E2367">
        <w:rPr>
          <w:bCs/>
          <w:sz w:val="20"/>
          <w:lang w:val="es-ES_tradnl"/>
        </w:rPr>
        <w:t xml:space="preserve"> Que exista identidad entre los cargos que fundamentaron el juicio de constitucionalidad que dio lugar a la sentencia proferida por la Corte y aquellos que sustentan la nueva solicitud.  </w:t>
      </w:r>
      <w:r w:rsidRPr="007E2367">
        <w:rPr>
          <w:b/>
          <w:bCs/>
          <w:sz w:val="20"/>
          <w:lang w:val="es-ES_tradnl"/>
        </w:rPr>
        <w:t xml:space="preserve">(iii) </w:t>
      </w:r>
      <w:r w:rsidRPr="007E2367">
        <w:rPr>
          <w:bCs/>
          <w:sz w:val="20"/>
          <w:lang w:val="es-ES_tradnl"/>
        </w:rPr>
        <w:t xml:space="preserve">Que la declaratoria de constitucionalidad se haya realizado por razones de fondo. </w:t>
      </w:r>
      <w:r w:rsidRPr="007E2367">
        <w:rPr>
          <w:b/>
          <w:bCs/>
          <w:sz w:val="20"/>
          <w:lang w:val="es-ES_tradnl"/>
        </w:rPr>
        <w:t>(iv)</w:t>
      </w:r>
      <w:r w:rsidRPr="007E2367">
        <w:rPr>
          <w:bCs/>
          <w:sz w:val="20"/>
          <w:lang w:val="es-ES_tradnl"/>
        </w:rPr>
        <w:t xml:space="preserve"> Que no se hayan producido reformas constitucionales frente a los preceptos que sirvieron de base para sustentar la decisión; y que se esté ante el mismo contexto fáctico y normativo. De hecho, este Tribunal debe tener en cuenta también, </w:t>
      </w:r>
      <w:r w:rsidRPr="007E2367">
        <w:rPr>
          <w:bCs/>
          <w:iCs/>
          <w:sz w:val="20"/>
          <w:lang w:val="es-ES_tradnl"/>
        </w:rPr>
        <w:t>los cambios que se presentan en la sociedad, pues puede ocurrir que normas que en un tiempo fueron consideradas exequibles no lo sean ya, a la luz de una nueva realidad social Ver además,</w:t>
      </w:r>
      <w:r w:rsidRPr="007E2367">
        <w:rPr>
          <w:sz w:val="20"/>
          <w:lang w:val="es-CO"/>
        </w:rPr>
        <w:t xml:space="preserve"> Sentencia C-073 de 2014. M.P. Luis Guillermo Guerrero</w:t>
      </w:r>
    </w:p>
  </w:footnote>
  <w:footnote w:id="234">
    <w:p w14:paraId="65176964" w14:textId="77777777" w:rsidR="004832B6" w:rsidRPr="007E2367" w:rsidRDefault="004832B6" w:rsidP="00111D07">
      <w:pPr>
        <w:pStyle w:val="Textonotapie"/>
        <w:jc w:val="both"/>
      </w:pPr>
      <w:r w:rsidRPr="007E2367">
        <w:rPr>
          <w:vertAlign w:val="superscript"/>
        </w:rPr>
        <w:footnoteRef/>
      </w:r>
      <w:r w:rsidRPr="007E2367">
        <w:t xml:space="preserve"> </w:t>
      </w:r>
      <w:r w:rsidRPr="007E2367">
        <w:rPr>
          <w:i/>
        </w:rPr>
        <w:t xml:space="preserve">Cfr. </w:t>
      </w:r>
      <w:r w:rsidRPr="007E2367">
        <w:t xml:space="preserve">Sentencia C-096 de 2003 y C-241 de 2012. </w:t>
      </w:r>
    </w:p>
  </w:footnote>
  <w:footnote w:id="235">
    <w:p w14:paraId="4E330A14" w14:textId="77777777" w:rsidR="004832B6" w:rsidRPr="007E2367" w:rsidRDefault="004832B6" w:rsidP="00AD7D92">
      <w:pPr>
        <w:pStyle w:val="Textonotapie"/>
        <w:jc w:val="both"/>
      </w:pPr>
      <w:r w:rsidRPr="007E2367">
        <w:rPr>
          <w:rStyle w:val="Refdenotaalpie"/>
        </w:rPr>
        <w:footnoteRef/>
      </w:r>
      <w:r w:rsidRPr="007E2367">
        <w:t xml:space="preserve"> </w:t>
      </w:r>
      <w:r w:rsidRPr="007E2367">
        <w:t xml:space="preserve">En </w:t>
      </w:r>
      <w:smartTag w:uri="urn:schemas-microsoft-com:office:smarttags" w:element="PersonName">
        <w:smartTagPr>
          <w:attr w:name="ProductID" w:val="la Sentencia C-460"/>
        </w:smartTagPr>
        <w:r w:rsidRPr="007E2367">
          <w:t>la Sentencia C-460</w:t>
        </w:r>
      </w:smartTag>
      <w:r w:rsidRPr="007E2367">
        <w:t xml:space="preserve"> de 2008 se negó la existencia de una cosa juzgada material en sentido amplio, por los cambios constitucionales introducidos al sistema penal de enjuiciamiento. </w:t>
      </w:r>
    </w:p>
  </w:footnote>
  <w:footnote w:id="236">
    <w:p w14:paraId="1716788F" w14:textId="77777777" w:rsidR="004832B6" w:rsidRPr="007E2367" w:rsidRDefault="004832B6" w:rsidP="00AD7D92">
      <w:pPr>
        <w:pStyle w:val="Textonotapie"/>
        <w:jc w:val="both"/>
      </w:pPr>
      <w:r w:rsidRPr="007E2367">
        <w:rPr>
          <w:rStyle w:val="Refdenotaalpie"/>
        </w:rPr>
        <w:footnoteRef/>
      </w:r>
      <w:r w:rsidRPr="007E2367">
        <w:t xml:space="preserve"> </w:t>
      </w:r>
      <w:r w:rsidRPr="007E2367">
        <w:t xml:space="preserve">En </w:t>
      </w:r>
      <w:smartTag w:uri="urn:schemas-microsoft-com:office:smarttags" w:element="PersonName">
        <w:smartTagPr>
          <w:attr w:name="ProductID" w:val="la Sentencia C-774"/>
        </w:smartTagPr>
        <w:r w:rsidRPr="007E2367">
          <w:t>la Sentencia C-774</w:t>
        </w:r>
      </w:smartTag>
      <w:r w:rsidRPr="007E2367">
        <w:t xml:space="preserve"> de 2001 se apeló al concepto de “Constitución viviente” para realizar un nuevo examen de constitucionalidad sobre la figura de la detención preventiva. Al respecto, se dijo que: “El concepto de ‘Constitución viviente’ puede significar que en un momento dado, a la luz de los cambios económicos, sociales, políticos, e incluso ideológicos y culturales de una comunidad, no resulte sostenible, a la luz de la Constitución (...) un pronunciamiento que </w:t>
      </w:r>
      <w:smartTag w:uri="urn:schemas-microsoft-com:office:smarttags" w:element="PersonName">
        <w:smartTagPr>
          <w:attr w:name="ProductID" w:val="La Corte"/>
        </w:smartTagPr>
        <w:r w:rsidRPr="007E2367">
          <w:t>la Corte</w:t>
        </w:r>
      </w:smartTag>
      <w:r w:rsidRPr="007E2367">
        <w:t xml:space="preserve"> haya hecho en el pasado, con fundamento en significaciones constitucionales materialmente diferentes a aquellas que ahora deben regir el juicio de Constitucionalidad de una determinada norma.”</w:t>
      </w:r>
    </w:p>
  </w:footnote>
  <w:footnote w:id="237">
    <w:p w14:paraId="541BD0E0" w14:textId="77777777" w:rsidR="004832B6" w:rsidRDefault="004832B6" w:rsidP="00AD7D92">
      <w:pPr>
        <w:pStyle w:val="Textonotapie"/>
        <w:jc w:val="both"/>
      </w:pPr>
      <w:r w:rsidRPr="007E2367">
        <w:rPr>
          <w:rStyle w:val="Refdenotaalpie"/>
        </w:rPr>
        <w:footnoteRef/>
      </w:r>
      <w:r w:rsidRPr="007E2367">
        <w:t xml:space="preserve"> </w:t>
      </w:r>
      <w:r w:rsidRPr="007E2367">
        <w:t>En la sentencia C-228 de 2002 se realizó una nueva ponderación de valores y principios constitucionales para determinar el alcance de los derechos de las víctimas, específicamente en lo referente a los derechos a la verdad, a la justicia y a la reparación.</w:t>
      </w:r>
      <w:r w:rsidRPr="009A624E">
        <w:t xml:space="preserve">  </w:t>
      </w:r>
    </w:p>
  </w:footnote>
  <w:footnote w:id="238">
    <w:p w14:paraId="4A2913CA" w14:textId="77777777" w:rsidR="004832B6" w:rsidRDefault="004832B6" w:rsidP="008A1CA4">
      <w:pPr>
        <w:pStyle w:val="Textonotapie"/>
        <w:jc w:val="both"/>
      </w:pPr>
      <w:r w:rsidRPr="009A624E">
        <w:rPr>
          <w:vertAlign w:val="superscript"/>
        </w:rPr>
        <w:footnoteRef/>
      </w:r>
      <w:r w:rsidRPr="009A624E">
        <w:t xml:space="preserve"> </w:t>
      </w:r>
      <w:r w:rsidRPr="009A624E">
        <w:t xml:space="preserve">Sentencia C-301 de 1993. M.P. Eduardo Cifuentes Muñoz. </w:t>
      </w:r>
    </w:p>
  </w:footnote>
  <w:footnote w:id="239">
    <w:p w14:paraId="24E9143C" w14:textId="77777777" w:rsidR="004832B6" w:rsidRPr="002E4477" w:rsidRDefault="004832B6" w:rsidP="001F4866">
      <w:pPr>
        <w:pStyle w:val="Textonotapie"/>
        <w:rPr>
          <w:lang w:val="es-CO"/>
        </w:rPr>
      </w:pPr>
      <w:r w:rsidRPr="002E4477">
        <w:rPr>
          <w:rStyle w:val="Refdenotaalpie"/>
        </w:rPr>
        <w:footnoteRef/>
      </w:r>
      <w:r w:rsidRPr="002E4477">
        <w:t xml:space="preserve"> </w:t>
      </w:r>
      <w:r w:rsidRPr="002E4477">
        <w:t>M.P. Vladimiro Naranjo Mesa</w:t>
      </w:r>
    </w:p>
  </w:footnote>
  <w:footnote w:id="240">
    <w:p w14:paraId="1CBA1233" w14:textId="77777777" w:rsidR="004832B6" w:rsidRPr="00834995" w:rsidRDefault="004832B6" w:rsidP="00665DC8">
      <w:pPr>
        <w:pStyle w:val="Textonotapie"/>
        <w:jc w:val="both"/>
      </w:pPr>
      <w:r w:rsidRPr="00834995">
        <w:rPr>
          <w:rStyle w:val="Refdenotaalpie"/>
        </w:rPr>
        <w:footnoteRef/>
      </w:r>
      <w:r w:rsidRPr="00834995">
        <w:t xml:space="preserve"> </w:t>
      </w:r>
      <w:r w:rsidRPr="00834995">
        <w:rPr>
          <w:lang w:val="es-CO"/>
        </w:rPr>
        <w:t xml:space="preserve">Corte Constitucional. Sentencia C-095 de 2017. M.P. </w:t>
      </w:r>
      <w:r w:rsidRPr="00834995">
        <w:rPr>
          <w:color w:val="000000"/>
        </w:rPr>
        <w:t>Alejandro Linares Cantillo</w:t>
      </w:r>
    </w:p>
  </w:footnote>
  <w:footnote w:id="241">
    <w:p w14:paraId="2958DE2F" w14:textId="77777777" w:rsidR="004832B6" w:rsidRPr="00834995" w:rsidRDefault="004832B6" w:rsidP="00665DC8">
      <w:pPr>
        <w:pStyle w:val="Textonotapie"/>
        <w:ind w:right="-234"/>
        <w:jc w:val="both"/>
      </w:pPr>
      <w:r w:rsidRPr="00834995">
        <w:rPr>
          <w:rStyle w:val="Refdenotaalpie"/>
        </w:rPr>
        <w:footnoteRef/>
      </w:r>
      <w:bookmarkStart w:id="22" w:name="_Hlk50281589"/>
      <w:r w:rsidRPr="00834995">
        <w:rPr>
          <w:lang w:val="es-CO"/>
        </w:rPr>
        <w:t xml:space="preserve"> Corte Constitucional, </w:t>
      </w:r>
      <w:bookmarkEnd w:id="22"/>
      <w:r w:rsidRPr="00834995">
        <w:rPr>
          <w:lang w:val="es-CO"/>
        </w:rPr>
        <w:t>sentencia C-182 de 2016. M.P. Gloria Stella Ortiz Delgado</w:t>
      </w:r>
    </w:p>
  </w:footnote>
  <w:footnote w:id="242">
    <w:p w14:paraId="515078A1" w14:textId="77777777" w:rsidR="004832B6" w:rsidRPr="00834995" w:rsidRDefault="004832B6" w:rsidP="00665DC8">
      <w:pPr>
        <w:pStyle w:val="Textonotapie"/>
        <w:ind w:right="-234"/>
        <w:jc w:val="both"/>
      </w:pPr>
      <w:r w:rsidRPr="00834995">
        <w:rPr>
          <w:rStyle w:val="Refdenotaalpie"/>
        </w:rPr>
        <w:footnoteRef/>
      </w:r>
      <w:r w:rsidRPr="00834995">
        <w:t xml:space="preserve"> </w:t>
      </w:r>
      <w:r w:rsidRPr="00834995">
        <w:t xml:space="preserve">Corte Constitucional, sentencia </w:t>
      </w:r>
      <w:r w:rsidRPr="00834995">
        <w:rPr>
          <w:lang w:val="es-CO"/>
        </w:rPr>
        <w:t>C-259 de 2015. M.P. Gloria Stella Ortiz Delgado.</w:t>
      </w:r>
    </w:p>
  </w:footnote>
  <w:footnote w:id="243">
    <w:p w14:paraId="1730A43D" w14:textId="77777777" w:rsidR="004832B6" w:rsidRPr="00834995" w:rsidRDefault="004832B6" w:rsidP="00665DC8">
      <w:pPr>
        <w:pStyle w:val="Textonotapie"/>
        <w:ind w:right="-234"/>
        <w:jc w:val="both"/>
        <w:rPr>
          <w:lang w:val="es-CO"/>
        </w:rPr>
      </w:pPr>
      <w:r w:rsidRPr="00834995">
        <w:rPr>
          <w:rStyle w:val="Refdenotaalpie"/>
        </w:rPr>
        <w:footnoteRef/>
      </w:r>
      <w:r w:rsidRPr="00834995">
        <w:t xml:space="preserve"> </w:t>
      </w:r>
      <w:r w:rsidRPr="00834995">
        <w:t>Corte Constitucional, sentencia C-325</w:t>
      </w:r>
      <w:r w:rsidRPr="00834995">
        <w:rPr>
          <w:lang w:val="es-CO"/>
        </w:rPr>
        <w:t xml:space="preserve"> de 2009. M.P. Gabriel Eduardo Mendoza Martelo</w:t>
      </w:r>
    </w:p>
  </w:footnote>
  <w:footnote w:id="244">
    <w:p w14:paraId="40197347" w14:textId="77777777" w:rsidR="004832B6" w:rsidRPr="004C0280" w:rsidRDefault="004832B6" w:rsidP="00665DC8">
      <w:pPr>
        <w:pStyle w:val="Textonotapie"/>
        <w:ind w:right="-234"/>
        <w:jc w:val="both"/>
        <w:rPr>
          <w:highlight w:val="lightGray"/>
        </w:rPr>
      </w:pPr>
      <w:r w:rsidRPr="00834995">
        <w:rPr>
          <w:rStyle w:val="Refdenotaalpie"/>
        </w:rPr>
        <w:footnoteRef/>
      </w:r>
      <w:r w:rsidRPr="00834995">
        <w:t xml:space="preserve"> </w:t>
      </w:r>
      <w:r w:rsidRPr="00834995">
        <w:t>Corte Constitucional, sentencia C-462</w:t>
      </w:r>
      <w:r w:rsidRPr="00834995">
        <w:rPr>
          <w:lang w:val="es-CO"/>
        </w:rPr>
        <w:t xml:space="preserve"> de 20</w:t>
      </w:r>
      <w:r w:rsidRPr="00834995">
        <w:t>13.</w:t>
      </w:r>
    </w:p>
  </w:footnote>
  <w:footnote w:id="245">
    <w:p w14:paraId="2B6850B2" w14:textId="77777777" w:rsidR="004832B6" w:rsidRPr="002E4477" w:rsidRDefault="004832B6" w:rsidP="00AB58B0">
      <w:pPr>
        <w:pStyle w:val="Textonotapie"/>
        <w:jc w:val="both"/>
      </w:pPr>
      <w:r w:rsidRPr="002E4477">
        <w:rPr>
          <w:rStyle w:val="Refdenotaalpie"/>
        </w:rPr>
        <w:footnoteRef/>
      </w:r>
      <w:r w:rsidRPr="002E4477">
        <w:t xml:space="preserve"> </w:t>
      </w:r>
      <w:r w:rsidRPr="002E4477">
        <w:t>Consejo de Estado. Sección Tercera, Subsección B. C.P. Ruth Stella Correa Palacio. Radicación número: 11001-03-26-000-2007-00042-00(34178).</w:t>
      </w:r>
    </w:p>
  </w:footnote>
  <w:footnote w:id="246">
    <w:p w14:paraId="5BEC97B3" w14:textId="77777777" w:rsidR="004832B6" w:rsidRPr="002E4477" w:rsidRDefault="004832B6" w:rsidP="00AB58B0">
      <w:pPr>
        <w:pStyle w:val="Textonotapie"/>
        <w:jc w:val="both"/>
      </w:pPr>
      <w:r w:rsidRPr="002E4477">
        <w:rPr>
          <w:rStyle w:val="Refdenotaalpie"/>
        </w:rPr>
        <w:footnoteRef/>
      </w:r>
      <w:r w:rsidRPr="002E4477">
        <w:t xml:space="preserve"> </w:t>
      </w:r>
      <w:r w:rsidRPr="002E4477">
        <w:t>Consejo de Estado. Sección Tercera. C.P. Ruth Stella Correa Palacio. Radicación número: 11001-03-26-000-2008-00074-00(35726).</w:t>
      </w:r>
    </w:p>
  </w:footnote>
  <w:footnote w:id="247">
    <w:p w14:paraId="1E84A278" w14:textId="77777777" w:rsidR="004832B6" w:rsidRPr="002E4477" w:rsidRDefault="004832B6" w:rsidP="00AB58B0">
      <w:pPr>
        <w:pStyle w:val="Textonotapie"/>
        <w:jc w:val="both"/>
      </w:pPr>
      <w:r w:rsidRPr="002E4477">
        <w:rPr>
          <w:rStyle w:val="Refdenotaalpie"/>
        </w:rPr>
        <w:footnoteRef/>
      </w:r>
      <w:r w:rsidRPr="002E4477">
        <w:t xml:space="preserve"> </w:t>
      </w:r>
      <w:r w:rsidRPr="002E4477">
        <w:rPr>
          <w:i/>
        </w:rPr>
        <w:t>Ibidem</w:t>
      </w:r>
      <w:r w:rsidRPr="002E4477">
        <w:t>.</w:t>
      </w:r>
    </w:p>
  </w:footnote>
  <w:footnote w:id="248">
    <w:p w14:paraId="61599368" w14:textId="77777777" w:rsidR="004832B6" w:rsidRPr="002E4477" w:rsidRDefault="004832B6" w:rsidP="00951923">
      <w:pPr>
        <w:pStyle w:val="Textonotapie"/>
        <w:jc w:val="both"/>
        <w:rPr>
          <w:lang w:val="es-CO"/>
        </w:rPr>
      </w:pPr>
      <w:r w:rsidRPr="002E4477">
        <w:rPr>
          <w:rStyle w:val="Refdenotaalpie"/>
        </w:rPr>
        <w:footnoteRef/>
      </w:r>
      <w:r w:rsidRPr="002E4477">
        <w:t xml:space="preserve"> </w:t>
      </w:r>
      <w:r w:rsidRPr="002E4477">
        <w:rPr>
          <w:lang w:val="es-CO"/>
        </w:rPr>
        <w:t xml:space="preserve">Corte Constitucional. </w:t>
      </w:r>
      <w:r w:rsidRPr="002E4477">
        <w:rPr>
          <w:shd w:val="clear" w:color="auto" w:fill="FFFFFF"/>
        </w:rPr>
        <w:t>Sentencia C-836 de 2001. M.P. Rodrigo Escobar Gil y Sentencia SU-047 de 1999 M.P. Alejandro Martínez Caballero.</w:t>
      </w:r>
    </w:p>
  </w:footnote>
  <w:footnote w:id="249">
    <w:p w14:paraId="4478F75D" w14:textId="77777777" w:rsidR="004832B6" w:rsidRPr="002E4477" w:rsidRDefault="004832B6" w:rsidP="00951923">
      <w:pPr>
        <w:pStyle w:val="Textonotapie"/>
        <w:jc w:val="both"/>
        <w:rPr>
          <w:lang w:val="es-CO"/>
        </w:rPr>
      </w:pPr>
      <w:r w:rsidRPr="002E4477">
        <w:rPr>
          <w:rStyle w:val="Refdenotaalpie"/>
        </w:rPr>
        <w:footnoteRef/>
      </w:r>
      <w:r w:rsidRPr="002E4477">
        <w:t xml:space="preserve"> </w:t>
      </w:r>
      <w:r w:rsidRPr="002E4477">
        <w:rPr>
          <w:lang w:val="es-CO"/>
        </w:rPr>
        <w:t xml:space="preserve">Corte Constitucional. </w:t>
      </w:r>
      <w:r w:rsidRPr="002E4477">
        <w:rPr>
          <w:shd w:val="clear" w:color="auto" w:fill="FFFFFF"/>
        </w:rPr>
        <w:t>Sentencias C-836 de 2001 M.P. Rodrigo Escobar Gil  y T-698 de 2004</w:t>
      </w:r>
      <w:r w:rsidRPr="002E4477">
        <w:rPr>
          <w:shd w:val="clear" w:color="auto" w:fill="FFFFFF"/>
          <w:lang w:val="es-CO"/>
        </w:rPr>
        <w:t xml:space="preserve">, M.P. Rodrigo Uprimny Yepes, </w:t>
      </w:r>
      <w:r w:rsidRPr="002E4477">
        <w:rPr>
          <w:shd w:val="clear" w:color="auto" w:fill="FFFFFF"/>
        </w:rPr>
        <w:t>entre otras</w:t>
      </w:r>
    </w:p>
  </w:footnote>
  <w:footnote w:id="250">
    <w:p w14:paraId="6FB68AEA" w14:textId="77777777" w:rsidR="004832B6" w:rsidRPr="002E4477" w:rsidRDefault="004832B6" w:rsidP="00E11EA3">
      <w:pPr>
        <w:pStyle w:val="Textonotapie"/>
        <w:jc w:val="both"/>
        <w:rPr>
          <w:rFonts w:eastAsia="Calibri" w:cs="Microsoft Himalaya"/>
          <w:lang w:eastAsia="en-US"/>
        </w:rPr>
      </w:pPr>
      <w:r w:rsidRPr="002E4477">
        <w:rPr>
          <w:rStyle w:val="Refdenotaalpie"/>
        </w:rPr>
        <w:footnoteRef/>
      </w:r>
      <w:r w:rsidRPr="002E4477">
        <w:rPr>
          <w:lang w:val="es-CO"/>
        </w:rPr>
        <w:t xml:space="preserve"> Corte Constitucional.</w:t>
      </w:r>
      <w:r w:rsidRPr="002E4477">
        <w:t xml:space="preserve"> </w:t>
      </w:r>
      <w:r w:rsidRPr="002E4477">
        <w:t>Sentencia C-546 de 1993 M.P. Carlos Gaviria Díaz. En esta sentencia la Corte se enfrentó al problema de si la extralimitación en la competencia por parte del Presidente de la República en la expedición de decretos ley cuando se le delegan funciones legislativas constituye un vicio de forma sujeto al término de caducidad de un año establecido en el numeral 3° del artículo 242 de la Constitución. Allí la Corte hizo hincapié en que la falta de competencia supone</w:t>
      </w:r>
      <w:r w:rsidRPr="002E4477">
        <w:rPr>
          <w:lang w:val="es-CO"/>
        </w:rPr>
        <w:t xml:space="preserve"> </w:t>
      </w:r>
      <w:r w:rsidRPr="002E4477">
        <w:rPr>
          <w:i/>
        </w:rPr>
        <w:t>“ausencia del presupuesto esencial que da, al funcionario o a la Corporación, legitimidad para acceder a la forma”</w:t>
      </w:r>
      <w:r w:rsidRPr="002E4477">
        <w:t xml:space="preserve">. De forma análoga, destacó que </w:t>
      </w:r>
      <w:r w:rsidRPr="002E4477">
        <w:rPr>
          <w:i/>
        </w:rPr>
        <w:t>“no puede producir efectos jurídicos un acto que solo lo es en apariencia por carecer, ab- initio, del presupuesto esencial para surgir el mundo del derecho: la competencia, precedente obligado del uso de la forma”</w:t>
      </w:r>
      <w:r w:rsidRPr="002E4477">
        <w:t>.</w:t>
      </w:r>
    </w:p>
  </w:footnote>
  <w:footnote w:id="251">
    <w:p w14:paraId="48FC34EF" w14:textId="77777777" w:rsidR="004832B6" w:rsidRPr="002E4477" w:rsidRDefault="004832B6" w:rsidP="00C907E7">
      <w:pPr>
        <w:pStyle w:val="Textonotapie"/>
        <w:jc w:val="both"/>
      </w:pPr>
      <w:r w:rsidRPr="002E4477">
        <w:rPr>
          <w:rStyle w:val="Refdenotaalpie"/>
        </w:rPr>
        <w:footnoteRef/>
      </w:r>
      <w:r w:rsidRPr="002E4477">
        <w:t xml:space="preserve"> </w:t>
      </w:r>
      <w:r w:rsidRPr="002E4477">
        <w:rPr>
          <w:lang w:val="es-CO"/>
        </w:rPr>
        <w:t xml:space="preserve">Corte Constitucional. </w:t>
      </w:r>
      <w:r w:rsidRPr="002E4477">
        <w:t>Sentencia C-551 de 2003 M.P. Eduardo Montealegre Lynett. Esta fue la primera sentencia de la Corte en analizar los vicios de competencia del poder de reforma de la Constitución y sostener que la Corte es competente para pronunciarse sobre ellos en virtud del numeral 1° del artículo 241 superior que le asigna la función de decidir sobre las demandas de inconstitucionalidad contra los actos reformatorios de la Constitución solo por vicios de procedimiento en su formación. Allí la Corte sorteó de la siguiente manera la aparente contradicción que podría atribuírsele a su jurisprudencia por sostener que algunos vicios de competencia, como la extralimitación en el ejercicio de las facultades extraordinarias que se le conceden al Presidente de la República para legislar vía decretos ley, la violación del principio de unidad de materia o la transgresión de la reserva de ley orgánica son vulneraciones materiales de la Constitución y no vicios de forma sujetos al término de caducidad de un año: “</w:t>
      </w:r>
      <w:r w:rsidRPr="002E4477">
        <w:rPr>
          <w:i/>
          <w:iCs/>
        </w:rPr>
        <w:t>la presente sentencia no sostiene que los vicios de competencia sean exclusivamente vicios de forma o procedimiento, sino que los problemas de competencia se proyectan al estudio tanto de los vicios de procedimiento como de los vicios de contenido material, por cuanto la competencia es un pilar básico y un presupuesto tanto del procedimiento como del contenido de las disposiciones sujetas a control de la Corte</w:t>
      </w:r>
      <w:r w:rsidRPr="002E4477">
        <w:t>”.</w:t>
      </w:r>
    </w:p>
  </w:footnote>
  <w:footnote w:id="252">
    <w:p w14:paraId="0E878D78" w14:textId="77777777" w:rsidR="004832B6" w:rsidRPr="002E4477" w:rsidRDefault="004832B6" w:rsidP="00C907E7">
      <w:pPr>
        <w:pStyle w:val="Textonotapie"/>
        <w:jc w:val="both"/>
      </w:pPr>
      <w:r w:rsidRPr="002E4477">
        <w:rPr>
          <w:rStyle w:val="Refdenotaalpie"/>
        </w:rPr>
        <w:footnoteRef/>
      </w:r>
      <w:r w:rsidRPr="002E4477">
        <w:t xml:space="preserve"> </w:t>
      </w:r>
      <w:r w:rsidRPr="002E4477">
        <w:t>M.P. Eduardo Montealegre Lynett.</w:t>
      </w:r>
    </w:p>
  </w:footnote>
  <w:footnote w:id="253">
    <w:p w14:paraId="014AE381" w14:textId="77777777" w:rsidR="004832B6" w:rsidRPr="002E4477" w:rsidRDefault="004832B6" w:rsidP="00C907E7">
      <w:pPr>
        <w:pStyle w:val="Textonotapie"/>
        <w:jc w:val="both"/>
      </w:pPr>
      <w:r w:rsidRPr="002E4477">
        <w:rPr>
          <w:rStyle w:val="Refdenotaalpie"/>
        </w:rPr>
        <w:footnoteRef/>
      </w:r>
      <w:r w:rsidRPr="002E4477">
        <w:t xml:space="preserve"> </w:t>
      </w:r>
      <w:r w:rsidRPr="002E4477">
        <w:rPr>
          <w:lang w:val="es-CO"/>
        </w:rPr>
        <w:t xml:space="preserve">Corte Constitucional. </w:t>
      </w:r>
      <w:r w:rsidRPr="002E4477">
        <w:t>Sentencia C-551 de 2003 M.P. Eduardo Montealegre Lynett.</w:t>
      </w:r>
    </w:p>
  </w:footnote>
  <w:footnote w:id="254">
    <w:p w14:paraId="3106741A" w14:textId="77777777" w:rsidR="004832B6" w:rsidRPr="002E4477" w:rsidRDefault="004832B6" w:rsidP="00C907E7">
      <w:pPr>
        <w:pStyle w:val="Textonotapie"/>
        <w:jc w:val="both"/>
        <w:rPr>
          <w:lang w:val="en-US"/>
        </w:rPr>
      </w:pPr>
      <w:r w:rsidRPr="002E4477">
        <w:rPr>
          <w:rStyle w:val="Refdenotaalpie"/>
        </w:rPr>
        <w:footnoteRef/>
      </w:r>
      <w:r w:rsidRPr="002E4477">
        <w:rPr>
          <w:lang w:val="en-US"/>
        </w:rPr>
        <w:t xml:space="preserve"> </w:t>
      </w:r>
      <w:proofErr w:type="gramStart"/>
      <w:r w:rsidRPr="002E4477">
        <w:rPr>
          <w:lang w:val="en-US"/>
        </w:rPr>
        <w:t>Ibidem.</w:t>
      </w:r>
      <w:proofErr w:type="gramEnd"/>
      <w:r w:rsidRPr="002E4477">
        <w:rPr>
          <w:lang w:val="en-US"/>
        </w:rPr>
        <w:t xml:space="preserve"> </w:t>
      </w:r>
    </w:p>
  </w:footnote>
  <w:footnote w:id="255">
    <w:p w14:paraId="5FA0D1AD" w14:textId="77777777" w:rsidR="004832B6" w:rsidRPr="002E4477" w:rsidRDefault="004832B6" w:rsidP="00C907E7">
      <w:pPr>
        <w:pStyle w:val="Textonotapie"/>
        <w:jc w:val="both"/>
        <w:rPr>
          <w:lang w:val="en-US"/>
        </w:rPr>
      </w:pPr>
      <w:r w:rsidRPr="002E4477">
        <w:rPr>
          <w:rStyle w:val="Refdenotaalpie"/>
        </w:rPr>
        <w:footnoteRef/>
      </w:r>
      <w:r w:rsidRPr="002E4477">
        <w:rPr>
          <w:lang w:val="en-US"/>
        </w:rPr>
        <w:t xml:space="preserve"> Al respecto, pueden verse, por ejemplo, los casos Golaknath and Ors vs. State of Punjab, Kesavananda Bharati vs State of Kerala, Indira Gandhi vs. Raj Narain, Minerva Mills vs. India, Waman Rao vs. Union of India and Others, Ashoka Kumar Thakur vs. Union of India y Supreme Court Advocates on Record Association vs. Union of India.</w:t>
      </w:r>
    </w:p>
  </w:footnote>
  <w:footnote w:id="256">
    <w:p w14:paraId="3798C316" w14:textId="77777777" w:rsidR="004832B6" w:rsidRPr="002E4477" w:rsidRDefault="004832B6" w:rsidP="00C907E7">
      <w:pPr>
        <w:pStyle w:val="Textonotapie"/>
      </w:pPr>
      <w:r w:rsidRPr="002E4477">
        <w:rPr>
          <w:rStyle w:val="Refdenotaalpie"/>
        </w:rPr>
        <w:footnoteRef/>
      </w:r>
      <w:r w:rsidRPr="002E4477">
        <w:t xml:space="preserve"> </w:t>
      </w:r>
      <w:r w:rsidRPr="002E4477">
        <w:t>M.P. Rodrigo Escobar Gil.</w:t>
      </w:r>
    </w:p>
  </w:footnote>
  <w:footnote w:id="257">
    <w:p w14:paraId="7A80EE11" w14:textId="77777777" w:rsidR="004832B6" w:rsidRPr="002E4477" w:rsidRDefault="004832B6" w:rsidP="003A4A4F">
      <w:pPr>
        <w:pStyle w:val="Textonotapie"/>
        <w:jc w:val="both"/>
      </w:pPr>
      <w:r w:rsidRPr="002E4477">
        <w:rPr>
          <w:rStyle w:val="Refdenotaalpie"/>
        </w:rPr>
        <w:footnoteRef/>
      </w:r>
      <w:r w:rsidRPr="002E4477">
        <w:rPr>
          <w:lang w:val="es-CO"/>
        </w:rPr>
        <w:t xml:space="preserve"> </w:t>
      </w:r>
      <w:r w:rsidRPr="002E4477">
        <w:t>M</w:t>
      </w:r>
      <w:r w:rsidRPr="002E4477">
        <w:rPr>
          <w:lang w:val="es-CO"/>
        </w:rPr>
        <w:t xml:space="preserve">agistrados </w:t>
      </w:r>
      <w:r w:rsidRPr="002E4477">
        <w:t>Manuel José Cepeda Espinosa, Rodrigo Escobar Gil, Marco Gerardo Monroy Cabra, Humberto Antonio Sierra Porto, Álvaro Tafur Galvis y Clara Inés Vargas Hernández.</w:t>
      </w:r>
    </w:p>
  </w:footnote>
  <w:footnote w:id="258">
    <w:p w14:paraId="3F3A0287" w14:textId="77777777" w:rsidR="004832B6" w:rsidRPr="002E4477" w:rsidRDefault="004832B6" w:rsidP="00C907E7">
      <w:pPr>
        <w:pStyle w:val="Textonotapie"/>
      </w:pPr>
      <w:r w:rsidRPr="002E4477">
        <w:rPr>
          <w:rStyle w:val="Refdenotaalpie"/>
        </w:rPr>
        <w:footnoteRef/>
      </w:r>
      <w:r w:rsidRPr="002E4477">
        <w:t xml:space="preserve"> </w:t>
      </w:r>
      <w:r w:rsidRPr="002E4477">
        <w:t>M.P. Humberto Antonio Sierra Porto.</w:t>
      </w:r>
    </w:p>
  </w:footnote>
  <w:footnote w:id="259">
    <w:p w14:paraId="2F7FD4BA" w14:textId="77777777" w:rsidR="004832B6" w:rsidRPr="002E4477" w:rsidRDefault="004832B6" w:rsidP="00C907E7">
      <w:pPr>
        <w:pStyle w:val="Textonotapie"/>
      </w:pPr>
      <w:r w:rsidRPr="002E4477">
        <w:rPr>
          <w:rStyle w:val="Refdenotaalpie"/>
        </w:rPr>
        <w:footnoteRef/>
      </w:r>
      <w:r w:rsidRPr="002E4477">
        <w:t xml:space="preserve"> </w:t>
      </w:r>
      <w:r w:rsidRPr="002E4477">
        <w:t>M.P. Nilson Pinilla Pinilla.</w:t>
      </w:r>
    </w:p>
  </w:footnote>
  <w:footnote w:id="260">
    <w:p w14:paraId="5610BBAF" w14:textId="77777777" w:rsidR="004832B6" w:rsidRPr="002E4477" w:rsidRDefault="004832B6" w:rsidP="00C907E7">
      <w:pPr>
        <w:pStyle w:val="Textonotapie"/>
      </w:pPr>
      <w:r w:rsidRPr="002E4477">
        <w:rPr>
          <w:rStyle w:val="Refdenotaalpie"/>
        </w:rPr>
        <w:footnoteRef/>
      </w:r>
      <w:r w:rsidRPr="002E4477">
        <w:t xml:space="preserve"> </w:t>
      </w:r>
      <w:r w:rsidRPr="002E4477">
        <w:t>M.P. Luis Ernesto Vargas Silva.</w:t>
      </w:r>
    </w:p>
  </w:footnote>
  <w:footnote w:id="261">
    <w:p w14:paraId="5AFD19CA" w14:textId="77777777" w:rsidR="004832B6" w:rsidRPr="002E4477" w:rsidRDefault="004832B6" w:rsidP="00C907E7">
      <w:pPr>
        <w:pStyle w:val="Textonotapie"/>
      </w:pPr>
      <w:r w:rsidRPr="002E4477">
        <w:rPr>
          <w:rStyle w:val="Refdenotaalpie"/>
        </w:rPr>
        <w:footnoteRef/>
      </w:r>
      <w:r w:rsidRPr="002E4477">
        <w:t xml:space="preserve"> </w:t>
      </w:r>
      <w:r w:rsidRPr="002E4477">
        <w:t>M.P. Alberto Rojas Ríos.</w:t>
      </w:r>
    </w:p>
  </w:footnote>
  <w:footnote w:id="262">
    <w:p w14:paraId="3AD345D5" w14:textId="77777777" w:rsidR="004832B6" w:rsidRPr="002E4477" w:rsidRDefault="004832B6">
      <w:pPr>
        <w:pStyle w:val="Textonotapie"/>
        <w:rPr>
          <w:lang w:val="es-CO"/>
        </w:rPr>
      </w:pPr>
      <w:r w:rsidRPr="002E4477">
        <w:rPr>
          <w:rStyle w:val="Refdenotaalpie"/>
        </w:rPr>
        <w:footnoteRef/>
      </w:r>
      <w:r w:rsidRPr="002E4477">
        <w:t xml:space="preserve"> </w:t>
      </w:r>
      <w:bookmarkStart w:id="24" w:name="_Hlk26589745"/>
      <w:r w:rsidRPr="002E4477">
        <w:t xml:space="preserve">Corte Constitucional. </w:t>
      </w:r>
      <w:r w:rsidRPr="002E4477">
        <w:rPr>
          <w:lang w:val="es-CO"/>
        </w:rPr>
        <w:t>Sentencia C-</w:t>
      </w:r>
      <w:r w:rsidRPr="002E4477">
        <w:rPr>
          <w:szCs w:val="28"/>
          <w:lang w:val="es-ES_tradnl" w:eastAsia="es-CO"/>
        </w:rPr>
        <w:t>228 de 2010 M. P. Luis Ernesto Vargas Silva</w:t>
      </w:r>
      <w:r w:rsidRPr="002E4477">
        <w:t xml:space="preserve"> </w:t>
      </w:r>
      <w:bookmarkEnd w:id="24"/>
    </w:p>
  </w:footnote>
  <w:footnote w:id="263">
    <w:p w14:paraId="562AC1FC" w14:textId="77777777" w:rsidR="004832B6" w:rsidRPr="002E4477" w:rsidRDefault="004832B6">
      <w:pPr>
        <w:pStyle w:val="Textonotapie"/>
        <w:rPr>
          <w:lang w:val="es-CO"/>
        </w:rPr>
      </w:pPr>
      <w:r w:rsidRPr="002E4477">
        <w:rPr>
          <w:rStyle w:val="Refdenotaalpie"/>
        </w:rPr>
        <w:footnoteRef/>
      </w:r>
      <w:r w:rsidRPr="002E4477">
        <w:t xml:space="preserve"> </w:t>
      </w:r>
      <w:r w:rsidRPr="002E4477">
        <w:t xml:space="preserve">Corte Constitucional. </w:t>
      </w:r>
      <w:r w:rsidRPr="002E4477">
        <w:rPr>
          <w:lang w:val="es-CO"/>
        </w:rPr>
        <w:t>Sentencia C-710 de 2001. M.P. Jaime Córdoba Triviño</w:t>
      </w:r>
    </w:p>
  </w:footnote>
  <w:footnote w:id="264">
    <w:p w14:paraId="4160D6EF" w14:textId="77777777" w:rsidR="004832B6" w:rsidRPr="002E4477" w:rsidRDefault="004832B6" w:rsidP="007A6B73">
      <w:pPr>
        <w:pStyle w:val="Textonotapie"/>
        <w:jc w:val="both"/>
        <w:rPr>
          <w:lang w:val="es-CO"/>
        </w:rPr>
      </w:pPr>
      <w:r w:rsidRPr="002E4477">
        <w:rPr>
          <w:rStyle w:val="Refdenotaalpie"/>
        </w:rPr>
        <w:footnoteRef/>
      </w:r>
      <w:r w:rsidRPr="002E4477">
        <w:t xml:space="preserve"> </w:t>
      </w:r>
      <w:bookmarkStart w:id="25" w:name="_Hlk26590232"/>
      <w:r w:rsidRPr="002E4477">
        <w:rPr>
          <w:lang w:val="es-CO"/>
        </w:rPr>
        <w:t>Corte Constitucional. Sentencia C-710 de 2001. M.P. Jaime Córdoba Triviño</w:t>
      </w:r>
      <w:bookmarkEnd w:id="25"/>
    </w:p>
  </w:footnote>
  <w:footnote w:id="265">
    <w:p w14:paraId="3B22685D" w14:textId="77777777" w:rsidR="004832B6" w:rsidRPr="000117A5" w:rsidRDefault="004832B6" w:rsidP="007A6B73">
      <w:pPr>
        <w:pStyle w:val="Textonotapie"/>
        <w:jc w:val="both"/>
        <w:rPr>
          <w:lang w:val="es-CO"/>
        </w:rPr>
      </w:pPr>
      <w:r>
        <w:rPr>
          <w:rStyle w:val="Refdenotaalpie"/>
        </w:rPr>
        <w:footnoteRef/>
      </w:r>
      <w:r>
        <w:t xml:space="preserve"> </w:t>
      </w:r>
      <w:r>
        <w:rPr>
          <w:lang w:val="es-CO"/>
        </w:rPr>
        <w:t xml:space="preserve">Corte Constitucional. Sentencias </w:t>
      </w:r>
      <w:r w:rsidRPr="002E4477">
        <w:rPr>
          <w:lang w:val="es-CO"/>
        </w:rPr>
        <w:t>C-</w:t>
      </w:r>
      <w:r w:rsidRPr="002E4477">
        <w:rPr>
          <w:szCs w:val="28"/>
          <w:lang w:val="es-ES_tradnl" w:eastAsia="es-CO"/>
        </w:rPr>
        <w:t>228 de 2010 M. P. Luis Ernesto Vargas Silva</w:t>
      </w:r>
      <w:r>
        <w:rPr>
          <w:szCs w:val="28"/>
          <w:lang w:val="es-ES_tradnl" w:eastAsia="es-CO"/>
        </w:rPr>
        <w:t xml:space="preserve"> y </w:t>
      </w:r>
      <w:r w:rsidRPr="000117A5">
        <w:rPr>
          <w:szCs w:val="28"/>
          <w:lang w:val="es-ES" w:eastAsia="es-CO"/>
        </w:rPr>
        <w:t>C-570 de 1997</w:t>
      </w:r>
      <w:r>
        <w:rPr>
          <w:szCs w:val="28"/>
          <w:lang w:val="es-ES" w:eastAsia="es-CO"/>
        </w:rPr>
        <w:t xml:space="preserve"> M.P. </w:t>
      </w:r>
      <w:r w:rsidRPr="000117A5">
        <w:rPr>
          <w:szCs w:val="28"/>
          <w:lang w:val="es-ES" w:eastAsia="es-CO"/>
        </w:rPr>
        <w:t>Carlos Gaviria Díaz</w:t>
      </w:r>
      <w:r>
        <w:rPr>
          <w:szCs w:val="28"/>
          <w:lang w:val="es-ES" w:eastAsia="es-CO"/>
        </w:rPr>
        <w:t xml:space="preserve"> y </w:t>
      </w:r>
      <w:r w:rsidRPr="000117A5">
        <w:rPr>
          <w:szCs w:val="28"/>
          <w:lang w:val="es-ES" w:eastAsia="es-CO"/>
        </w:rPr>
        <w:t>C-1191 de 2001</w:t>
      </w:r>
      <w:r>
        <w:rPr>
          <w:szCs w:val="28"/>
          <w:lang w:val="es-ES" w:eastAsia="es-CO"/>
        </w:rPr>
        <w:t xml:space="preserve"> M.P. Rodrigo Uprimny Yepes.</w:t>
      </w:r>
    </w:p>
  </w:footnote>
  <w:footnote w:id="266">
    <w:p w14:paraId="320A93F3" w14:textId="77777777" w:rsidR="004832B6" w:rsidRPr="002E4477" w:rsidRDefault="004832B6" w:rsidP="007A6B73">
      <w:pPr>
        <w:pStyle w:val="Textonotapie"/>
        <w:jc w:val="both"/>
        <w:rPr>
          <w:lang w:val="es-CO"/>
        </w:rPr>
      </w:pPr>
      <w:r w:rsidRPr="002E4477">
        <w:rPr>
          <w:rStyle w:val="Refdenotaalpie"/>
        </w:rPr>
        <w:footnoteRef/>
      </w:r>
      <w:r w:rsidRPr="002E4477">
        <w:t xml:space="preserve"> </w:t>
      </w:r>
      <w:r w:rsidRPr="002E4477">
        <w:rPr>
          <w:lang w:val="es-CO"/>
        </w:rPr>
        <w:t>Ibídem</w:t>
      </w:r>
    </w:p>
  </w:footnote>
  <w:footnote w:id="267">
    <w:p w14:paraId="5ADA94C9"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Ibídem</w:t>
      </w:r>
    </w:p>
  </w:footnote>
  <w:footnote w:id="268">
    <w:p w14:paraId="0E8AD61D"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Ibídem</w:t>
      </w:r>
    </w:p>
  </w:footnote>
  <w:footnote w:id="269">
    <w:p w14:paraId="7F44CA02" w14:textId="77777777" w:rsidR="004832B6" w:rsidRPr="002E4477" w:rsidRDefault="004832B6" w:rsidP="00653A87">
      <w:pPr>
        <w:pStyle w:val="Textonotapie"/>
        <w:rPr>
          <w:lang w:val="es-CO"/>
        </w:rPr>
      </w:pPr>
      <w:r w:rsidRPr="002E4477">
        <w:rPr>
          <w:rStyle w:val="Refdenotaalpie"/>
        </w:rPr>
        <w:footnoteRef/>
      </w:r>
      <w:r w:rsidRPr="002E4477">
        <w:t xml:space="preserve"> </w:t>
      </w:r>
      <w:r w:rsidRPr="002E4477">
        <w:rPr>
          <w:lang w:val="es-CO"/>
        </w:rPr>
        <w:t>M.P. Luis Ernesto Vargas Silva.</w:t>
      </w:r>
    </w:p>
  </w:footnote>
  <w:footnote w:id="270">
    <w:p w14:paraId="0D06A6C4"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 xml:space="preserve">Corte Constitucional. </w:t>
      </w:r>
      <w:r w:rsidRPr="002E4477">
        <w:t>Sentencia C-805 de 2011. M.P  Rodrigo Escobar Gil</w:t>
      </w:r>
    </w:p>
  </w:footnote>
  <w:footnote w:id="271">
    <w:p w14:paraId="53386061"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Ibídem.</w:t>
      </w:r>
    </w:p>
  </w:footnote>
  <w:footnote w:id="272">
    <w:p w14:paraId="34D64567" w14:textId="77777777" w:rsidR="004832B6" w:rsidRPr="002E4477" w:rsidRDefault="004832B6" w:rsidP="001B7525">
      <w:pPr>
        <w:pStyle w:val="Textonotapie"/>
        <w:rPr>
          <w:lang w:val="es-CO"/>
        </w:rPr>
      </w:pPr>
      <w:r w:rsidRPr="002E4477">
        <w:rPr>
          <w:rStyle w:val="Refdenotaalpie"/>
        </w:rPr>
        <w:footnoteRef/>
      </w:r>
      <w:r w:rsidRPr="002E4477">
        <w:t xml:space="preserve"> </w:t>
      </w:r>
      <w:r w:rsidRPr="002E4477">
        <w:rPr>
          <w:lang w:val="es-CO"/>
        </w:rPr>
        <w:t xml:space="preserve">M.P. Rodrigo Escobar Gil. </w:t>
      </w:r>
    </w:p>
  </w:footnote>
  <w:footnote w:id="273">
    <w:p w14:paraId="1B3143EE" w14:textId="77777777" w:rsidR="004832B6" w:rsidRPr="002E4477" w:rsidRDefault="004832B6" w:rsidP="007B57F0">
      <w:pPr>
        <w:pStyle w:val="Textonotapie"/>
        <w:rPr>
          <w:lang w:val="es-CO"/>
        </w:rPr>
      </w:pPr>
      <w:r w:rsidRPr="002E4477">
        <w:rPr>
          <w:rStyle w:val="Refdenotaalpie"/>
        </w:rPr>
        <w:footnoteRef/>
      </w:r>
      <w:r w:rsidRPr="002E4477">
        <w:t xml:space="preserve"> </w:t>
      </w:r>
      <w:r w:rsidRPr="002E4477">
        <w:rPr>
          <w:lang w:val="es-CO"/>
        </w:rPr>
        <w:t>M.P. Ciro Angarita Barón.</w:t>
      </w:r>
    </w:p>
  </w:footnote>
  <w:footnote w:id="274">
    <w:p w14:paraId="4C07CE30" w14:textId="77777777" w:rsidR="004832B6" w:rsidRPr="002E4477" w:rsidRDefault="004832B6" w:rsidP="007B57F0">
      <w:pPr>
        <w:pStyle w:val="Textonotapie"/>
        <w:rPr>
          <w:lang w:val="es-CO"/>
        </w:rPr>
      </w:pPr>
      <w:r w:rsidRPr="002E4477">
        <w:rPr>
          <w:rStyle w:val="Refdenotaalpie"/>
        </w:rPr>
        <w:footnoteRef/>
      </w:r>
      <w:r w:rsidRPr="002E4477">
        <w:t xml:space="preserve"> </w:t>
      </w:r>
      <w:r w:rsidRPr="002E4477">
        <w:t>Corte Constitucional. Sentencia C-021 de 1993 M.P. Ciro Angarita Barón y Consejo de Estado</w:t>
      </w:r>
      <w:r w:rsidRPr="002E4477">
        <w:rPr>
          <w:lang w:val="es-CO"/>
        </w:rPr>
        <w:t xml:space="preserve">, </w:t>
      </w:r>
      <w:r w:rsidRPr="002E4477">
        <w:t>Sentencia del 14 de noviembre de 1962 C.P. Carlos Gustavo Arrieta</w:t>
      </w:r>
      <w:r w:rsidRPr="002E4477">
        <w:rPr>
          <w:lang w:val="es-CO"/>
        </w:rPr>
        <w:t xml:space="preserve">. </w:t>
      </w:r>
    </w:p>
  </w:footnote>
  <w:footnote w:id="275">
    <w:p w14:paraId="627DE146" w14:textId="77777777" w:rsidR="004832B6" w:rsidRPr="002E4477" w:rsidRDefault="004832B6" w:rsidP="00734844">
      <w:pPr>
        <w:pStyle w:val="Textonotapie"/>
        <w:jc w:val="both"/>
        <w:rPr>
          <w:i/>
        </w:rPr>
      </w:pPr>
      <w:r w:rsidRPr="002E4477">
        <w:rPr>
          <w:rStyle w:val="Refdenotaalpie"/>
        </w:rPr>
        <w:footnoteRef/>
      </w:r>
      <w:r w:rsidRPr="002E4477">
        <w:t xml:space="preserve"> </w:t>
      </w:r>
      <w:r w:rsidRPr="002E4477">
        <w:rPr>
          <w:lang w:val="es-CO"/>
        </w:rPr>
        <w:t xml:space="preserve">Ver, </w:t>
      </w:r>
      <w:r w:rsidRPr="002E4477">
        <w:t xml:space="preserve">Corte Suprema de Justicia. </w:t>
      </w:r>
      <w:r w:rsidRPr="002E4477">
        <w:t xml:space="preserve">Sentencia del 18 de agosto de 1972, citada en Barreto Rozo, A. (2011). </w:t>
      </w:r>
      <w:r w:rsidRPr="002E4477">
        <w:rPr>
          <w:bCs/>
          <w:i/>
        </w:rPr>
        <w:t>Venturas y desventuras de la regeneración: </w:t>
      </w:r>
      <w:r w:rsidRPr="002E4477">
        <w:rPr>
          <w:i/>
        </w:rPr>
        <w:t>Apuntes de historia jurídica sobre el proyecto político de 1886 y sus transformaciones y rupturas en el siglo XX</w:t>
      </w:r>
      <w:r w:rsidRPr="002E4477">
        <w:t>, Bogotá: Ediciones Uniandes. La Sentencia C-021 de 1993 M.P. Ciro Angarita Barón explicó que poco tiempo después, la Sala Penal de la Corte Suprema de Justicia en sentencia del 15 de diciembre de 1973 varió el criterio expuesto en la decisión de agosto de 1972 pues explicó que “</w:t>
      </w:r>
      <w:r w:rsidRPr="002E4477">
        <w:rPr>
          <w:bCs/>
          <w:i/>
        </w:rPr>
        <w:t>la adopción y dirección de la política monetaria del Estado, sin reserva, está encomendada a la Junta Monetaria, por decisión soberana y privativa del Congreso y como una expresión democrática de la voluntad popular</w:t>
      </w:r>
      <w:r w:rsidRPr="002E4477">
        <w:rPr>
          <w:bCs/>
        </w:rPr>
        <w:t>”.</w:t>
      </w:r>
    </w:p>
  </w:footnote>
  <w:footnote w:id="276">
    <w:p w14:paraId="12383278" w14:textId="77777777" w:rsidR="004832B6" w:rsidRPr="002E4477" w:rsidRDefault="004832B6" w:rsidP="00734844">
      <w:pPr>
        <w:pStyle w:val="Textonotapie"/>
        <w:jc w:val="both"/>
      </w:pPr>
      <w:r w:rsidRPr="002E4477">
        <w:rPr>
          <w:rStyle w:val="Refdenotaalpie"/>
        </w:rPr>
        <w:footnoteRef/>
      </w:r>
      <w:r w:rsidRPr="002E4477">
        <w:t xml:space="preserve"> </w:t>
      </w:r>
      <w:r w:rsidRPr="002E4477">
        <w:t xml:space="preserve">Charry Ureña, J. M. (1988). </w:t>
      </w:r>
      <w:r w:rsidRPr="002E4477">
        <w:rPr>
          <w:i/>
        </w:rPr>
        <w:t>La Justicia Constitucional en el Derecho Colombiano y Americano</w:t>
      </w:r>
      <w:r w:rsidRPr="002E4477">
        <w:t>, Bogotá:</w:t>
      </w:r>
      <w:r w:rsidRPr="002E4477">
        <w:rPr>
          <w:lang w:val="es-CO"/>
        </w:rPr>
        <w:t xml:space="preserve"> </w:t>
      </w:r>
      <w:r w:rsidRPr="002E4477">
        <w:t>Universidad del Rosario.</w:t>
      </w:r>
    </w:p>
  </w:footnote>
  <w:footnote w:id="277">
    <w:p w14:paraId="10F4D8A0" w14:textId="77777777" w:rsidR="004832B6" w:rsidRPr="002E4477" w:rsidRDefault="004832B6" w:rsidP="00734844">
      <w:pPr>
        <w:pStyle w:val="Textonotapie"/>
        <w:jc w:val="both"/>
      </w:pPr>
      <w:r w:rsidRPr="002E4477">
        <w:rPr>
          <w:rStyle w:val="Refdenotaalpie"/>
        </w:rPr>
        <w:footnoteRef/>
      </w:r>
      <w:r w:rsidRPr="002E4477">
        <w:t xml:space="preserve"> </w:t>
      </w:r>
      <w:r w:rsidRPr="002E4477">
        <w:t>M.P. Manuel José Cepeda Espinosa.</w:t>
      </w:r>
    </w:p>
  </w:footnote>
  <w:footnote w:id="278">
    <w:p w14:paraId="1C2719FD" w14:textId="77777777" w:rsidR="004832B6" w:rsidRPr="002E4477" w:rsidRDefault="004832B6" w:rsidP="00734844">
      <w:pPr>
        <w:pStyle w:val="Textonotapie"/>
        <w:jc w:val="both"/>
      </w:pPr>
      <w:r w:rsidRPr="002E4477">
        <w:rPr>
          <w:rStyle w:val="Refdenotaalpie"/>
        </w:rPr>
        <w:footnoteRef/>
      </w:r>
      <w:r w:rsidRPr="002E4477">
        <w:t xml:space="preserve"> </w:t>
      </w:r>
      <w:r w:rsidRPr="002E4477">
        <w:t xml:space="preserve">Urrego-Ortiz, F. &amp; Quinche-Ramírez, M. F. (2008). “Los decretos en el sistema normativo colombiano. Una política estatal de invención normativa”. </w:t>
      </w:r>
      <w:r w:rsidRPr="002E4477">
        <w:rPr>
          <w:i/>
        </w:rPr>
        <w:t>Vniversitas</w:t>
      </w:r>
      <w:r w:rsidRPr="002E4477">
        <w:t>, No. 116, 53-83. Otros autores, como Charry, consideran que además de este artículo constitucional otros decretos autónomos se fundan en lo previsto “</w:t>
      </w:r>
      <w:r w:rsidRPr="002E4477">
        <w:rPr>
          <w:i/>
        </w:rPr>
        <w:t>en el artículo 131, referentes a la creación, supresión y fusión de los círculos de notariado y registro y a la determinación del número de notarios y oficinas de registro; el del artículo 34 transitorio sobre el veedor del tesoro; y el del artículo 50 transitorio para la expedición transitoria de la regulación de la actividad financiera, bursátil, aseguradora y cualquier otra relacionada con el manejo, aprovechamiento e inversión de los recursos captados del público, con lo que ese autor confunde los decretos autónomos con aquellos que fueron producto del ejercicio de atribuciones otorgadas directamente por la Carta Política al inicio de su vigencia</w:t>
      </w:r>
      <w:r w:rsidRPr="002E4477">
        <w:t>”.</w:t>
      </w:r>
    </w:p>
  </w:footnote>
  <w:footnote w:id="279">
    <w:p w14:paraId="231CCAAA" w14:textId="77777777" w:rsidR="004832B6" w:rsidRPr="002E4477" w:rsidRDefault="004832B6" w:rsidP="00760E84">
      <w:pPr>
        <w:pStyle w:val="Textonotapie"/>
        <w:jc w:val="both"/>
        <w:rPr>
          <w:lang w:val="es-CO"/>
        </w:rPr>
      </w:pPr>
      <w:r w:rsidRPr="002E4477">
        <w:rPr>
          <w:rStyle w:val="Refdenotaalpie"/>
        </w:rPr>
        <w:footnoteRef/>
      </w:r>
      <w:r w:rsidRPr="002E4477">
        <w:t xml:space="preserve"> </w:t>
      </w:r>
      <w:r w:rsidRPr="002E4477">
        <w:rPr>
          <w:lang w:val="es-CO"/>
        </w:rPr>
        <w:t>Recordemos que en l</w:t>
      </w:r>
      <w:r w:rsidRPr="002E4477">
        <w:t>a sentencia C-037 de 1996</w:t>
      </w:r>
      <w:r w:rsidRPr="002E4477">
        <w:rPr>
          <w:lang w:val="es-CO"/>
        </w:rPr>
        <w:t xml:space="preserve"> M.P. Vladimiro Naranjo Mesa</w:t>
      </w:r>
      <w:r w:rsidRPr="002E4477">
        <w:t xml:space="preserve">, </w:t>
      </w:r>
      <w:r w:rsidRPr="002E4477">
        <w:rPr>
          <w:lang w:val="es-CO"/>
        </w:rPr>
        <w:t xml:space="preserve">se adelantó el </w:t>
      </w:r>
      <w:r w:rsidRPr="002E4477">
        <w:t>control previo de constitucionalidad de la ley estatutaria de la administración de justicia</w:t>
      </w:r>
      <w:r w:rsidRPr="002E4477">
        <w:rPr>
          <w:lang w:val="es-CO"/>
        </w:rPr>
        <w:t xml:space="preserve"> y se analizó </w:t>
      </w:r>
      <w:r w:rsidRPr="002E4477">
        <w:t>el artículo</w:t>
      </w:r>
      <w:r w:rsidRPr="002E4477">
        <w:rPr>
          <w:lang w:val="es-CO"/>
        </w:rPr>
        <w:t xml:space="preserve"> 49 de la Ley 270 de 1996</w:t>
      </w:r>
      <w:r w:rsidRPr="002E4477">
        <w:t xml:space="preserve"> que establecía que la acción de nulidad por inconstitucionalidad </w:t>
      </w:r>
      <w:r w:rsidRPr="002E4477">
        <w:rPr>
          <w:lang w:val="es-CO"/>
        </w:rPr>
        <w:t xml:space="preserve">tendría el </w:t>
      </w:r>
      <w:r w:rsidRPr="002E4477">
        <w:t>mismo trámite establecido para la acción de inexequibilidad</w:t>
      </w:r>
      <w:r w:rsidRPr="002E4477">
        <w:rPr>
          <w:lang w:val="es-CO"/>
        </w:rPr>
        <w:t xml:space="preserve"> y recaería sobre </w:t>
      </w:r>
      <w:r w:rsidRPr="002E4477">
        <w:t>4 tipos de decretos</w:t>
      </w:r>
      <w:r w:rsidRPr="002E4477">
        <w:rPr>
          <w:lang w:val="es-CO"/>
        </w:rPr>
        <w:t>:</w:t>
      </w:r>
      <w:r w:rsidRPr="002E4477">
        <w:t xml:space="preserve"> los decretos expedidos por el gobierno nacional en desarrollo de las facultades constitucionales y leyes marco, los </w:t>
      </w:r>
      <w:r w:rsidRPr="002E4477">
        <w:rPr>
          <w:lang w:val="es-CO"/>
        </w:rPr>
        <w:t xml:space="preserve">proferidos </w:t>
      </w:r>
      <w:r w:rsidRPr="002E4477">
        <w:t>por el gobierno nacional en desarrollo de las leyes que le dan facultades de intervención en materia económica, los dictados por el gobierno nacional en desarrollo de autorizaciones conferidas con la ley, y los expedidos por el gobierno nacional, que se dicten en desarrollo de la Constitución y en virtud de ésta, sin sujeción a ley previa</w:t>
      </w:r>
      <w:r w:rsidRPr="002E4477">
        <w:rPr>
          <w:lang w:val="es-CO"/>
        </w:rPr>
        <w:t xml:space="preserve">, esto es, potencialmente los </w:t>
      </w:r>
      <w:r w:rsidRPr="002E4477">
        <w:t xml:space="preserve">decretos autónomos. </w:t>
      </w:r>
      <w:r w:rsidRPr="002E4477">
        <w:t>La Corte declaró inexequible</w:t>
      </w:r>
      <w:r w:rsidRPr="002E4477">
        <w:rPr>
          <w:lang w:val="es-CO"/>
        </w:rPr>
        <w:t xml:space="preserve"> la descripción taxativa de decretos, porque a su juicio </w:t>
      </w:r>
      <w:r w:rsidRPr="002E4477">
        <w:t>limitar el alcance del artículo 237 numeral 2 de la Constitución era un límite inconstitucional</w:t>
      </w:r>
      <w:r w:rsidRPr="002E4477">
        <w:rPr>
          <w:lang w:val="es-CO"/>
        </w:rPr>
        <w:t xml:space="preserve">. </w:t>
      </w:r>
    </w:p>
  </w:footnote>
  <w:footnote w:id="280">
    <w:p w14:paraId="2297A7BD" w14:textId="77777777" w:rsidR="004832B6" w:rsidRPr="002E4477" w:rsidRDefault="004832B6" w:rsidP="00734844">
      <w:pPr>
        <w:pStyle w:val="Textonotapie"/>
        <w:jc w:val="both"/>
      </w:pPr>
      <w:r w:rsidRPr="002E4477">
        <w:rPr>
          <w:rStyle w:val="Refdenotaalpie"/>
        </w:rPr>
        <w:footnoteRef/>
      </w:r>
      <w:r w:rsidRPr="002E4477">
        <w:t xml:space="preserve"> </w:t>
      </w:r>
      <w:r w:rsidRPr="002E4477">
        <w:t xml:space="preserve">Consejo de Estado. Sentencia del 4 de febrero de 1976 citada en Zuluaga Gil, R. (2003). “El carácter integral, complejo y abierto del sistema colombiano de control de constitucionalidad”. </w:t>
      </w:r>
      <w:r w:rsidRPr="002E4477">
        <w:rPr>
          <w:i/>
        </w:rPr>
        <w:t>Criterio Jurídico</w:t>
      </w:r>
      <w:r w:rsidRPr="002E4477">
        <w:t xml:space="preserve">, No. 3, 7-33. Urrego-Ortiz, F. &amp; Quinche-Ramírez, M. F. (2008). “Los decretos en el sistema normativo colombiano. Una política estatal de invención normativa”. </w:t>
      </w:r>
      <w:r w:rsidRPr="002E4477">
        <w:rPr>
          <w:i/>
        </w:rPr>
        <w:t>Vniversitas</w:t>
      </w:r>
      <w:r w:rsidRPr="002E4477">
        <w:t>, No. 116, 53-83.</w:t>
      </w:r>
    </w:p>
  </w:footnote>
  <w:footnote w:id="281">
    <w:p w14:paraId="2F0AB82E" w14:textId="77777777" w:rsidR="004832B6" w:rsidRPr="002E4477" w:rsidRDefault="004832B6" w:rsidP="00920C4A">
      <w:pPr>
        <w:pStyle w:val="Textonotapie"/>
        <w:rPr>
          <w:lang w:val="es-CO"/>
        </w:rPr>
      </w:pPr>
      <w:r w:rsidRPr="002E4477">
        <w:rPr>
          <w:rStyle w:val="Refdenotaalpie"/>
        </w:rPr>
        <w:footnoteRef/>
      </w:r>
      <w:r w:rsidRPr="002E4477">
        <w:t xml:space="preserve"> </w:t>
      </w:r>
      <w:r w:rsidRPr="002E4477">
        <w:rPr>
          <w:lang w:val="es-CO"/>
        </w:rPr>
        <w:t xml:space="preserve">Corte Constitucional. </w:t>
      </w:r>
      <w:r w:rsidRPr="002E4477">
        <w:t>Auto 048 de 1997 M.P. Vladimiro Naranjo Mesa.</w:t>
      </w:r>
    </w:p>
  </w:footnote>
  <w:footnote w:id="282">
    <w:p w14:paraId="4948913B" w14:textId="77777777" w:rsidR="004832B6" w:rsidRPr="002E4477" w:rsidRDefault="004832B6" w:rsidP="00AC045B">
      <w:pPr>
        <w:pStyle w:val="Textonotapie"/>
        <w:jc w:val="both"/>
      </w:pPr>
      <w:r w:rsidRPr="002E4477">
        <w:rPr>
          <w:rStyle w:val="Refdenotaalpie"/>
        </w:rPr>
        <w:footnoteRef/>
      </w:r>
      <w:r w:rsidRPr="002E4477">
        <w:t xml:space="preserve"> </w:t>
      </w:r>
      <w:r w:rsidRPr="002E4477">
        <w:rPr>
          <w:lang w:val="es-CO"/>
        </w:rPr>
        <w:t xml:space="preserve">Corte Constitucional. </w:t>
      </w:r>
      <w:bookmarkStart w:id="26" w:name="_Hlk38275873"/>
      <w:r w:rsidRPr="002E4477">
        <w:t xml:space="preserve">Auto 048 de 1997 </w:t>
      </w:r>
      <w:bookmarkEnd w:id="26"/>
      <w:r w:rsidRPr="002E4477">
        <w:t>M.P. Vladimiro Naranjo Mesa.</w:t>
      </w:r>
    </w:p>
  </w:footnote>
  <w:footnote w:id="283">
    <w:p w14:paraId="7FF85A13" w14:textId="77777777" w:rsidR="004832B6" w:rsidRPr="002E4477" w:rsidRDefault="004832B6" w:rsidP="00B40040">
      <w:pPr>
        <w:pStyle w:val="Textonotapie"/>
        <w:jc w:val="both"/>
      </w:pPr>
      <w:r w:rsidRPr="002E4477">
        <w:rPr>
          <w:rStyle w:val="Refdenotaalpie"/>
        </w:rPr>
        <w:footnoteRef/>
      </w:r>
      <w:r w:rsidRPr="002E4477">
        <w:t xml:space="preserve"> </w:t>
      </w:r>
      <w:r w:rsidRPr="002E4477">
        <w:t xml:space="preserve">Urrego-Ortiz, F. &amp; Quinche-Ramírez, M. F. (2008). “Los decretos en el sistema normativo colombiano. Una política estatal de invención normativa”. </w:t>
      </w:r>
      <w:r w:rsidRPr="002E4477">
        <w:rPr>
          <w:i/>
        </w:rPr>
        <w:t>Vniversitas</w:t>
      </w:r>
      <w:r w:rsidRPr="002E4477">
        <w:t>, No. 116, 53-83.</w:t>
      </w:r>
    </w:p>
  </w:footnote>
  <w:footnote w:id="284">
    <w:p w14:paraId="75A47C57" w14:textId="77777777" w:rsidR="004832B6" w:rsidRPr="002E4477" w:rsidRDefault="004832B6" w:rsidP="007B57F0">
      <w:pPr>
        <w:pStyle w:val="Textonotapie"/>
      </w:pPr>
      <w:r w:rsidRPr="002E4477">
        <w:rPr>
          <w:rStyle w:val="Refdenotaalpie"/>
        </w:rPr>
        <w:footnoteRef/>
      </w:r>
      <w:r w:rsidRPr="002E4477">
        <w:t xml:space="preserve"> </w:t>
      </w:r>
      <w:r w:rsidRPr="002E4477">
        <w:t>Consejo de Estado, Sala de lo Contencioso  Administrativo, Sección  Cuarta. Sentencias de 29 de junio y del 23 de noviembre de 1984.</w:t>
      </w:r>
    </w:p>
  </w:footnote>
  <w:footnote w:id="285">
    <w:p w14:paraId="4243161C"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Ver, Corte Constitucional. Sentencia C-021 de 1993, M.P. Ciro Angarita Barón.</w:t>
      </w:r>
    </w:p>
  </w:footnote>
  <w:footnote w:id="286">
    <w:p w14:paraId="22B3F76E"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Cfr, Auto 278 de 2015. M.P. Luis Guillermo Guerrero.</w:t>
      </w:r>
    </w:p>
  </w:footnote>
  <w:footnote w:id="287">
    <w:p w14:paraId="6D2806D5" w14:textId="77777777" w:rsidR="004832B6" w:rsidRPr="002E4477" w:rsidRDefault="004832B6" w:rsidP="00F76186">
      <w:pPr>
        <w:pStyle w:val="Textonotapie"/>
        <w:jc w:val="both"/>
        <w:rPr>
          <w:lang w:val="es-CO"/>
        </w:rPr>
      </w:pPr>
      <w:r w:rsidRPr="002E4477">
        <w:rPr>
          <w:rStyle w:val="Refdenotaalpie"/>
        </w:rPr>
        <w:footnoteRef/>
      </w:r>
      <w:r w:rsidRPr="002E4477">
        <w:t xml:space="preserve"> </w:t>
      </w:r>
      <w:r w:rsidRPr="002E4477">
        <w:rPr>
          <w:lang w:val="es-CO"/>
        </w:rPr>
        <w:t>En la Sentencia C-373 de 2016, M.P. Alejandro Linares Cantillo y Gabriel Eduardo Mendoza Martelo, se dijo sobre este parágrafo transitorio lo siguiente: “</w:t>
      </w:r>
      <w:r w:rsidRPr="002E4477">
        <w:rPr>
          <w:i/>
          <w:iCs/>
          <w:lang w:val="es-CO"/>
        </w:rPr>
        <w:t>3.4. (…) La aprobación del parágrafo transitorio 1 del artículo 19 del Acto Legislativo 02 de 2015 conforme al cual los Magistrados actuales de la Sala Jurisdiccional Disciplinaria del Consejo Superior de la Judicatura ocuparán sus cargos hasta tanto tomen posesión los miembros de la Comisión Nacional de Disciplina Judicial, no desconoció los principios de consecutividad e identidad flexible. (…) [L]a creación de la Comisión Nacional de Disciplina Judicial planteaba, desde el principio, la necesidad de definir el momento en que ella sería integrada y, al mismo tiempo, que ocurriría con los Magistrados que ocupaban los cargos del organismo que tenía a su cargo algunas de las funciones ahora atribuidas a dicha Comisión. //Además de tratarse de una norma instrumental, constitucionalmente posible para hacer posible la transición, de ella no se desprende ni así lo demuestra el demandante, que el legislador hubiera tenido el propósito de otorgar un beneficio personal que asegurara la permanencia de los Magistrados por un tiempo indefinido. Por el contrario, de la lectura de la disposición constitucional se desprende (i) que la elección de los miembros de la Comisión Nacional de Disciplina Judicial debía surtirse durante el año siguiente a la entrada en vigencia del acto legislativo y (ii) que los Magistrados de la Sala Disciplinaria del Consejo Superior de la Judicatura ejercerían sus funciones hasta el momento que los integrantes de la Comisión tomarán posesión de su cargo lo que, siguiendo las reglas previstas en el artículo 133 de la Ley 270 de 1996 habría de ocurrir en el término de quince (15) días. Resulta claro, en consecuencia, que el Congreso no estableció un término que implicara la continuidad indefinida de los “actuales magistrados” de la Sala Administrativa del Consejo Superior de la Judicatura y, por el contrario, diseñó una fórmula que permite un tránsito ágil del anterior régimen al nuevo. //Esta conclusión sigue el precedente establecido por esta Corporación en la sentencia C-753 de 2004 en la que declaró exequible una disposición que fijaba la extensión del tiempo durante el cual ocuparía su cargo el Registrador que en ese entonces ostentaba tal condición, a fin de hacer</w:t>
      </w:r>
      <w:r w:rsidRPr="002E4477">
        <w:rPr>
          <w:lang w:val="es-CO"/>
        </w:rPr>
        <w:t xml:space="preserve"> posible la implementación de la reforma constitucional adoptada mediante el Acto Legislativo 01 de 2003”.  </w:t>
      </w:r>
    </w:p>
  </w:footnote>
  <w:footnote w:id="288">
    <w:p w14:paraId="339B0B59" w14:textId="77777777" w:rsidR="004832B6" w:rsidRPr="002E4477" w:rsidRDefault="004832B6" w:rsidP="00F76186">
      <w:pPr>
        <w:pStyle w:val="NormalWeb"/>
        <w:tabs>
          <w:tab w:val="left" w:pos="426"/>
        </w:tabs>
        <w:spacing w:before="0" w:beforeAutospacing="0" w:after="0" w:afterAutospacing="0"/>
        <w:ind w:right="40"/>
        <w:jc w:val="both"/>
        <w:rPr>
          <w:sz w:val="20"/>
          <w:szCs w:val="20"/>
          <w:lang w:val="es-ES_tradnl"/>
        </w:rPr>
      </w:pPr>
      <w:r w:rsidRPr="002E4477">
        <w:rPr>
          <w:rStyle w:val="Refdenotaalpie"/>
          <w:sz w:val="20"/>
          <w:szCs w:val="20"/>
        </w:rPr>
        <w:footnoteRef/>
      </w:r>
      <w:r w:rsidRPr="002E4477">
        <w:rPr>
          <w:bCs/>
          <w:sz w:val="20"/>
          <w:szCs w:val="20"/>
        </w:rPr>
        <w:t>Concepto del 24 de abril de 2017, dirigido al Ministerio de Justicia y del Derecho, Consejero Ponente: Germán Alberto Bula Escobar, Radicación número: 11001-03-06-000-2017-00013-00(</w:t>
      </w:r>
      <w:r w:rsidRPr="00A52A36">
        <w:rPr>
          <w:b/>
          <w:sz w:val="20"/>
          <w:szCs w:val="20"/>
        </w:rPr>
        <w:t>2327</w:t>
      </w:r>
      <w:r w:rsidRPr="002E4477">
        <w:rPr>
          <w:bCs/>
          <w:sz w:val="20"/>
          <w:szCs w:val="20"/>
        </w:rPr>
        <w:t>).</w:t>
      </w:r>
    </w:p>
  </w:footnote>
  <w:footnote w:id="289">
    <w:p w14:paraId="5E0F1372" w14:textId="77777777" w:rsidR="004832B6" w:rsidRPr="002E4477" w:rsidRDefault="004832B6" w:rsidP="00B01E53">
      <w:pPr>
        <w:pStyle w:val="Textonotapie"/>
        <w:jc w:val="both"/>
      </w:pPr>
      <w:r w:rsidRPr="002E4477">
        <w:rPr>
          <w:rStyle w:val="Refdenotaalpie"/>
        </w:rPr>
        <w:footnoteRef/>
      </w:r>
      <w:r w:rsidRPr="002E4477">
        <w:t xml:space="preserve"> </w:t>
      </w:r>
      <w:r w:rsidRPr="002E4477">
        <w:t>“… Los actuales Magistrados de la Sala Jurisdiccional Disciplinaria del Consejo Superior de la Judicatura, ejercerán sus funciones hasta el día que se posesionen los miembros de la Comisión Nacional de Disciplina Judicial”</w:t>
      </w:r>
    </w:p>
  </w:footnote>
  <w:footnote w:id="290">
    <w:p w14:paraId="0369EC83" w14:textId="77777777" w:rsidR="004832B6" w:rsidRPr="002E4477" w:rsidRDefault="004832B6" w:rsidP="00B01E53">
      <w:pPr>
        <w:pStyle w:val="Textonotapie"/>
        <w:jc w:val="both"/>
        <w:rPr>
          <w:lang w:val="es-CO"/>
        </w:rPr>
      </w:pPr>
      <w:r w:rsidRPr="002E4477">
        <w:rPr>
          <w:rStyle w:val="Refdenotaalpie"/>
        </w:rPr>
        <w:footnoteRef/>
      </w:r>
      <w:r w:rsidRPr="002E4477">
        <w:t xml:space="preserve"> </w:t>
      </w:r>
      <w:r w:rsidRPr="002E4477">
        <w:rPr>
          <w:lang w:val="es-CO"/>
        </w:rPr>
        <w:t>M.P. Luis Guillermo Guerrero.</w:t>
      </w:r>
      <w:r w:rsidRPr="002E4477">
        <w:t xml:space="preserve"> </w:t>
      </w:r>
      <w:r w:rsidRPr="002E4477">
        <w:rPr>
          <w:lang w:val="es-CO"/>
        </w:rPr>
        <w:t>Esta posición fue reiterada por esta Corporación en los autos 309 de 2015 y 084 de 2016, en los que se indica también que el régimen preexistente al Acto Legislativo 02 de 2015 en lo relativo a las funciones a cargo de la Sala Jurisdiccional Disciplinaria del Consejo Superior de la Judicatura continuará hasta tanto puedan entrar en funcionamiento los nuevos cuerpos disciplinarios, en particular la Comisión Nacional de Disciplina Judicial.</w:t>
      </w:r>
    </w:p>
  </w:footnote>
  <w:footnote w:id="291">
    <w:p w14:paraId="11A306E1" w14:textId="77777777" w:rsidR="004832B6" w:rsidRPr="002E4477" w:rsidRDefault="004832B6" w:rsidP="00B01E53">
      <w:pPr>
        <w:pStyle w:val="Textonotapie"/>
        <w:jc w:val="both"/>
      </w:pPr>
      <w:r w:rsidRPr="002E4477">
        <w:rPr>
          <w:rStyle w:val="Refdenotaalpie"/>
        </w:rPr>
        <w:footnoteRef/>
      </w:r>
      <w:r w:rsidRPr="002E4477">
        <w:t xml:space="preserve"> </w:t>
      </w:r>
      <w:r w:rsidRPr="002E4477">
        <w:rPr>
          <w:bCs/>
        </w:rPr>
        <w:t>Concepto del 24 de abril de 2017, dirigido al Ministerio de Justicia y del Derecho, Consejero Ponente: Germán Alberto Bula Escobar, Radicación número: 11001-03-06-000-2017-00013-00(2327).</w:t>
      </w:r>
    </w:p>
  </w:footnote>
  <w:footnote w:id="292">
    <w:p w14:paraId="364B9C70" w14:textId="77777777" w:rsidR="004832B6" w:rsidRPr="002E4477" w:rsidRDefault="004832B6" w:rsidP="00B01E53">
      <w:pPr>
        <w:pStyle w:val="Textonotapie"/>
        <w:rPr>
          <w:lang w:val="es-CO"/>
        </w:rPr>
      </w:pPr>
      <w:r w:rsidRPr="002E4477">
        <w:rPr>
          <w:rStyle w:val="Refdenotaalpie"/>
        </w:rPr>
        <w:footnoteRef/>
      </w:r>
      <w:r w:rsidRPr="002E4477">
        <w:rPr>
          <w:lang w:val="es-CO"/>
        </w:rPr>
        <w:t xml:space="preserve"> Magistrados Ponentes,</w:t>
      </w:r>
      <w:r w:rsidRPr="002E4477">
        <w:t xml:space="preserve"> Alejandro Linares Cantillo</w:t>
      </w:r>
      <w:r w:rsidRPr="002E4477">
        <w:rPr>
          <w:lang w:val="es-CO"/>
        </w:rPr>
        <w:t xml:space="preserve"> y </w:t>
      </w:r>
      <w:r w:rsidRPr="002E4477">
        <w:t>Gabriel Eduardo Mendoza Martelo</w:t>
      </w:r>
      <w:r w:rsidRPr="002E4477">
        <w:rPr>
          <w:lang w:val="es-CO"/>
        </w:rPr>
        <w:t>.</w:t>
      </w:r>
    </w:p>
  </w:footnote>
  <w:footnote w:id="293">
    <w:p w14:paraId="0DBD3F18" w14:textId="77777777" w:rsidR="004832B6" w:rsidRPr="002E4477" w:rsidRDefault="004832B6" w:rsidP="00B01E53">
      <w:pPr>
        <w:pStyle w:val="Textonotapie"/>
        <w:jc w:val="both"/>
      </w:pPr>
      <w:r w:rsidRPr="002E4477">
        <w:rPr>
          <w:rStyle w:val="Refdenotaalpie"/>
        </w:rPr>
        <w:footnoteRef/>
      </w:r>
      <w:r w:rsidRPr="002E4477">
        <w:t xml:space="preserve"> </w:t>
      </w:r>
      <w:r w:rsidRPr="002E4477">
        <w:t>Consejo de Estado, Sala de Consulta y Servicio Civil. Concepto del 24 de abril de 2017, dirigido al Ministerio de Justicia y del Derecho, Consejero Ponente: Germán Alberto Bula Escobar, Radicación número: 11001-03-06-000-2017-00013-00(2327).</w:t>
      </w:r>
    </w:p>
  </w:footnote>
  <w:footnote w:id="294">
    <w:p w14:paraId="302A3D5B" w14:textId="77777777" w:rsidR="004832B6" w:rsidRPr="002E4477" w:rsidRDefault="004832B6" w:rsidP="00B01E53">
      <w:pPr>
        <w:pStyle w:val="Textonotapie"/>
        <w:jc w:val="both"/>
        <w:rPr>
          <w:lang w:val="es-CO"/>
        </w:rPr>
      </w:pPr>
      <w:r w:rsidRPr="002E4477">
        <w:rPr>
          <w:rStyle w:val="Refdenotaalpie"/>
        </w:rPr>
        <w:footnoteRef/>
      </w:r>
      <w:r w:rsidRPr="002E4477">
        <w:t xml:space="preserve"> </w:t>
      </w:r>
      <w:r w:rsidRPr="002E4477">
        <w:rPr>
          <w:lang w:val="es-CO"/>
        </w:rPr>
        <w:t>Ibídem.</w:t>
      </w:r>
    </w:p>
  </w:footnote>
  <w:footnote w:id="295">
    <w:p w14:paraId="5F80AA64" w14:textId="77777777" w:rsidR="004832B6" w:rsidRPr="002E4477" w:rsidRDefault="004832B6" w:rsidP="00B01E53">
      <w:pPr>
        <w:pStyle w:val="Textonotapie"/>
        <w:jc w:val="both"/>
      </w:pPr>
      <w:r w:rsidRPr="002E4477">
        <w:rPr>
          <w:rStyle w:val="Refdenotaalpie"/>
        </w:rPr>
        <w:footnoteRef/>
      </w:r>
      <w:r w:rsidRPr="002E4477">
        <w:t xml:space="preserve"> </w:t>
      </w:r>
      <w:r w:rsidRPr="002E4477">
        <w:t>Consejo de Estado, Sala de Consulta y Servicio Civil. Concepto del 24 de abril de 2017, dirigido al Ministerio de Justicia y del Derecho, Consejero Ponente: Germán Alberto Bula Escobar, Radicación número: 11001-03-06-000-2017-00013-00(2327).</w:t>
      </w:r>
    </w:p>
  </w:footnote>
  <w:footnote w:id="296">
    <w:p w14:paraId="6615B277" w14:textId="77777777" w:rsidR="004832B6" w:rsidRPr="002E4477" w:rsidRDefault="004832B6" w:rsidP="009D41D8">
      <w:pPr>
        <w:pStyle w:val="Textonotapie"/>
        <w:jc w:val="both"/>
        <w:rPr>
          <w:i/>
          <w:iCs/>
          <w:lang w:val="es-CO"/>
        </w:rPr>
      </w:pPr>
      <w:r w:rsidRPr="002E4477">
        <w:rPr>
          <w:rStyle w:val="Refdenotaalpie"/>
        </w:rPr>
        <w:footnoteRef/>
      </w:r>
      <w:r w:rsidRPr="002E4477">
        <w:t xml:space="preserve"> </w:t>
      </w:r>
      <w:r w:rsidRPr="002E4477">
        <w:t>Consejo de Estado, Sala de Consulta y Servicio Civil. Concepto del 24 de abril de 2017, dirigido al Ministerio de Justicia y del Derecho, Consejero Ponente: Germán Alberto Bula Escobar, Radicación número: 11001-03-06-000-2017-00013-00(2327).</w:t>
      </w:r>
      <w:r w:rsidRPr="002E4477">
        <w:rPr>
          <w:lang w:val="es-CO"/>
        </w:rPr>
        <w:t xml:space="preserve"> La Sala de Consulta se refiere a la sentencia C-618 de 2002. M.P. Manuel José Cepeda Espinosa. Dijo esa providencia:</w:t>
      </w:r>
      <w:r w:rsidRPr="002E4477">
        <w:rPr>
          <w:i/>
          <w:iCs/>
          <w:lang w:val="es-CO"/>
        </w:rPr>
        <w:t xml:space="preserve"> "El hecho de que el artículo transitorio 59 de la Carta sea precisamente de vigencia temporal, no justifica que tal norma pueda ser confrontada con una disposición constitucional definitiva y, en caso de incompatibilidad, sea declarado "inexequible ". (...) En realidad la razón de ser de un artículo transitorio es permitir el tránsito de legislación y facilitar la implementación de las nuevas disposiciones constitucionales. De hecho es frecuente que un artículo transitorio, por definición, prolongue temporalmente la vigencia de una norma del antiguo régimen (por ejemplo el art. transitorio 8º) o posponga el inicio de la vigencia de una norma novedosa (por ej. el art. transitorio 17), sin que a nadie se le ocurra pensar que, por tales fenómenos propias de una transición, dichas normas son inconstitucionales por violar las normas definitivas que establecían diferentes tiempos de vigencia. Luego no existe una diferencia entre las normas constitucionales permanentes y las transitorias que implique una subordinación de éstas frente a aquéllas”.</w:t>
      </w:r>
    </w:p>
  </w:footnote>
  <w:footnote w:id="297">
    <w:p w14:paraId="696C6DE6" w14:textId="77777777" w:rsidR="004832B6" w:rsidRPr="002E4477" w:rsidRDefault="004832B6" w:rsidP="00A52A36">
      <w:pPr>
        <w:pStyle w:val="Textonotapie"/>
        <w:jc w:val="both"/>
        <w:rPr>
          <w:lang w:val="es-CO"/>
        </w:rPr>
      </w:pPr>
      <w:r w:rsidRPr="002E4477">
        <w:rPr>
          <w:rStyle w:val="Refdenotaalpie"/>
        </w:rPr>
        <w:footnoteRef/>
      </w:r>
      <w:r w:rsidRPr="002E4477">
        <w:t xml:space="preserve"> </w:t>
      </w:r>
      <w:r w:rsidRPr="002E4477">
        <w:t>Ley 270</w:t>
      </w:r>
      <w:r w:rsidRPr="002E4477">
        <w:rPr>
          <w:lang w:val="es-CO"/>
        </w:rPr>
        <w:t xml:space="preserve"> de 19</w:t>
      </w:r>
      <w:r w:rsidRPr="002E4477">
        <w:t xml:space="preserve">96, artículo 149. </w:t>
      </w:r>
      <w:r w:rsidRPr="002E4477">
        <w:rPr>
          <w:i/>
        </w:rPr>
        <w:t>“RETIRO DEL SERVICIO. La cesación definitiva de las funciones se produce en los siguientes casos: 1. Renuncia aceptada. / 2. Supresión del Despacho Judicial o del cargo. / 3. Invalidez absoluta declarada por autoridad competente. / 4. Retiro forzoso motivado por edad. / 5. Vencimiento del período para el cual fue elegido. / 6. Retiro con derecho a pensión de jubilación. / 7. Abandono del cargo. / 8. Revocatoria del nombramiento. / 9. Declaración de insubsistencia. / 10. Destitución. / 11. Muerte del funcionario o empleado.</w:t>
      </w:r>
    </w:p>
  </w:footnote>
  <w:footnote w:id="298">
    <w:p w14:paraId="7FC0F541" w14:textId="77777777" w:rsidR="004832B6" w:rsidRPr="002E4477" w:rsidRDefault="004832B6" w:rsidP="00A52A36">
      <w:pPr>
        <w:pStyle w:val="Textonotapie"/>
        <w:jc w:val="both"/>
      </w:pPr>
      <w:r w:rsidRPr="002E4477">
        <w:rPr>
          <w:rStyle w:val="Refdenotaalpie"/>
        </w:rPr>
        <w:footnoteRef/>
      </w:r>
      <w:r w:rsidRPr="002E4477">
        <w:t xml:space="preserve"> </w:t>
      </w:r>
      <w:r w:rsidRPr="002E4477">
        <w:t>Consejo de Estado, Sala de Consulta y Servicio Civil. Concepto del 24 de abril de 2017, dirigido al Ministerio de Justicia y del Derecho, Consejero Ponente: Germán Alberto Bula Escobar, Radicación número: 11001-03-06-000-2017-00013-00(2327).</w:t>
      </w:r>
    </w:p>
  </w:footnote>
  <w:footnote w:id="299">
    <w:p w14:paraId="288DC39D" w14:textId="77777777" w:rsidR="004832B6" w:rsidRPr="002E4477" w:rsidRDefault="004832B6" w:rsidP="00A52A36">
      <w:pPr>
        <w:pStyle w:val="Textonotapie"/>
        <w:jc w:val="both"/>
        <w:rPr>
          <w:lang w:val="es-CO"/>
        </w:rPr>
      </w:pPr>
      <w:r w:rsidRPr="002E4477">
        <w:rPr>
          <w:rStyle w:val="Refdenotaalpie"/>
        </w:rPr>
        <w:footnoteRef/>
      </w:r>
      <w:r w:rsidRPr="002E4477">
        <w:t xml:space="preserve"> </w:t>
      </w:r>
      <w:r w:rsidRPr="002E4477">
        <w:t>Radicación número: 11001-03-06-000-2018-00191-00(</w:t>
      </w:r>
      <w:r w:rsidRPr="00A52A36">
        <w:rPr>
          <w:b/>
          <w:bCs/>
        </w:rPr>
        <w:t>2378</w:t>
      </w:r>
      <w:r w:rsidRPr="002E4477">
        <w:t xml:space="preserve"> - 2327 AD)</w:t>
      </w:r>
    </w:p>
  </w:footnote>
  <w:footnote w:id="300">
    <w:p w14:paraId="61962165" w14:textId="77777777" w:rsidR="004832B6" w:rsidRPr="002E4477" w:rsidRDefault="004832B6" w:rsidP="00A52A36">
      <w:pPr>
        <w:pStyle w:val="Textonotapie"/>
        <w:jc w:val="both"/>
        <w:rPr>
          <w:lang w:val="es-CO"/>
        </w:rPr>
      </w:pPr>
      <w:r w:rsidRPr="002E4477">
        <w:rPr>
          <w:rStyle w:val="Refdenotaalpie"/>
        </w:rPr>
        <w:footnoteRef/>
      </w:r>
      <w:r w:rsidRPr="002E4477">
        <w:t xml:space="preserve"> </w:t>
      </w:r>
      <w:r w:rsidRPr="002E4477">
        <w:t>Radicación número: 11001-03-06-000-2018-00191-00(</w:t>
      </w:r>
      <w:r w:rsidRPr="00A52A36">
        <w:rPr>
          <w:b/>
          <w:bCs/>
        </w:rPr>
        <w:t>2400</w:t>
      </w:r>
      <w:r w:rsidRPr="002E4477">
        <w:t>)</w:t>
      </w:r>
    </w:p>
  </w:footnote>
  <w:footnote w:id="301">
    <w:p w14:paraId="578C04D8" w14:textId="77777777" w:rsidR="004832B6" w:rsidRPr="002E4477" w:rsidRDefault="004832B6" w:rsidP="00A52A36">
      <w:pPr>
        <w:pStyle w:val="Textonotapie"/>
        <w:jc w:val="both"/>
        <w:rPr>
          <w:lang w:val="es-CO"/>
        </w:rPr>
      </w:pPr>
      <w:r w:rsidRPr="002E4477">
        <w:rPr>
          <w:rStyle w:val="Refdenotaalpie"/>
        </w:rPr>
        <w:footnoteRef/>
      </w:r>
      <w:r w:rsidRPr="002E4477">
        <w:rPr>
          <w:lang w:val="es-CO"/>
        </w:rPr>
        <w:t xml:space="preserve"> </w:t>
      </w:r>
      <w:bookmarkStart w:id="27" w:name="_Hlk38931087"/>
      <w:r w:rsidRPr="002E4477">
        <w:rPr>
          <w:lang w:val="es-CO"/>
        </w:rPr>
        <w:t xml:space="preserve">Consejo de Estado. Sala de Consulta y Servicio Civil. </w:t>
      </w:r>
      <w:r w:rsidRPr="00A52A36">
        <w:rPr>
          <w:b/>
          <w:bCs/>
          <w:lang w:val="es-CO"/>
        </w:rPr>
        <w:t>Concepto 2378</w:t>
      </w:r>
      <w:r w:rsidRPr="002E4477">
        <w:rPr>
          <w:lang w:val="es-CO"/>
        </w:rPr>
        <w:t xml:space="preserve"> del 18 de Julio de 2018. </w:t>
      </w:r>
      <w:r w:rsidRPr="002E4477">
        <w:t xml:space="preserve"> </w:t>
      </w:r>
      <w:bookmarkEnd w:id="27"/>
      <w:r w:rsidRPr="002E4477">
        <w:rPr>
          <w:lang w:val="es-CO"/>
        </w:rPr>
        <w:t xml:space="preserve">M.P. Germán Alberto Bula Escobar. </w:t>
      </w:r>
    </w:p>
  </w:footnote>
  <w:footnote w:id="302">
    <w:p w14:paraId="31A2B48D" w14:textId="77777777" w:rsidR="004832B6" w:rsidRPr="002E4477" w:rsidRDefault="004832B6" w:rsidP="00B2374A">
      <w:pPr>
        <w:pStyle w:val="Textonotapie"/>
      </w:pPr>
      <w:r w:rsidRPr="002E4477">
        <w:rPr>
          <w:rStyle w:val="Refdenotaalpie"/>
        </w:rPr>
        <w:footnoteRef/>
      </w:r>
      <w:r w:rsidRPr="002E4477">
        <w:t xml:space="preserve"> </w:t>
      </w:r>
      <w:r w:rsidRPr="002E4477">
        <w:rPr>
          <w:lang w:val="es-CO"/>
        </w:rPr>
        <w:t xml:space="preserve">Ibídem. </w:t>
      </w:r>
    </w:p>
  </w:footnote>
  <w:footnote w:id="303">
    <w:p w14:paraId="49F55625" w14:textId="77777777" w:rsidR="004832B6" w:rsidRPr="005C1C63" w:rsidRDefault="004832B6" w:rsidP="00AE73EF">
      <w:pPr>
        <w:pStyle w:val="NormalWeb"/>
        <w:spacing w:before="0" w:beforeAutospacing="0" w:after="0" w:afterAutospacing="0"/>
        <w:jc w:val="both"/>
        <w:rPr>
          <w:sz w:val="20"/>
          <w:szCs w:val="20"/>
        </w:rPr>
      </w:pPr>
      <w:r w:rsidRPr="005C1C63">
        <w:rPr>
          <w:rStyle w:val="Refdenotaalpie"/>
          <w:sz w:val="20"/>
          <w:szCs w:val="20"/>
        </w:rPr>
        <w:footnoteRef/>
      </w:r>
      <w:r w:rsidRPr="005C1C63">
        <w:rPr>
          <w:sz w:val="20"/>
          <w:szCs w:val="20"/>
        </w:rPr>
        <w:t xml:space="preserve"> A las dificultades estructurales anteriores debe añadirse además, la ambigüedad frente a lo determinado con exactitud por el Consejo de Estado en la providencia que se discute, en cuanto a si la exigencia al Legislador era la de expedir una regulación en la materia vía ley estatutaria – que es lo que la mayoría infiere de la sentencia-, o por vía de ley ordinaria. De hecho, la misma Sala de Consulta y Servicio Civil se enfrentó a esta dificultad, al expresar en los distintos conceptos citados anteriormente y sobre la materia que</w:t>
      </w:r>
      <w:r>
        <w:rPr>
          <w:sz w:val="20"/>
          <w:szCs w:val="20"/>
        </w:rPr>
        <w:t>,</w:t>
      </w:r>
      <w:r w:rsidRPr="005C1C63">
        <w:rPr>
          <w:sz w:val="20"/>
          <w:szCs w:val="20"/>
        </w:rPr>
        <w:t xml:space="preserve"> a su juicio, según lo dispuesto por la providencia acusada, la exigencia era de ley estatutaria. Esta posición, fue reiterada posteriormente por esa misma Sala en el Concepto 2421 del 9 de julio de 2019, en el que se discutió la posible designación de las ternas de la CNDJ por el Presidente de la República con fundamento en la Ley 1904 de 2018, en virtud de la analogía prevista en el parágrafo transitorio de su artículo 12, disposición que sin embargo, fue derogada mediante la Ley 1955 de 2019 que adoptó el Plan Nacional de Desarrollo 2018-2022. El concepto 2421 de 2019 ratificó lo mencionado en el 2378 al respecto. Con todo, para dar cuenta de esta dificultad y de la falta de claridad en el punto, más adelante en el concepto 2415 del 29 de agosto de 2019 la Sala de Consulta y Servicio Civil sostuvo explícitamente que sus alusiones previas a la necesidad de ley estatutaria en los conceptos anteriores eran un “</w:t>
      </w:r>
      <w:r w:rsidRPr="005C1C63">
        <w:rPr>
          <w:i/>
          <w:iCs/>
          <w:sz w:val="20"/>
          <w:szCs w:val="20"/>
        </w:rPr>
        <w:t>lapsus calami”</w:t>
      </w:r>
      <w:r w:rsidRPr="005C1C63">
        <w:rPr>
          <w:sz w:val="20"/>
          <w:szCs w:val="20"/>
        </w:rPr>
        <w:t xml:space="preserve"> en el sentido que la sentencia del 6 de febrero de la Sala Plena del Consejo de Estado, en realidad, había concluido que el asunto podía resolverse por ley ordinaria. Al respecto, el concepto que se cita expresamente mencionó lo siguiente: “</w:t>
      </w:r>
      <w:r w:rsidRPr="005C1C63">
        <w:rPr>
          <w:i/>
          <w:iCs/>
          <w:sz w:val="20"/>
          <w:szCs w:val="20"/>
        </w:rPr>
        <w:t>Aquí es menester aclarar que la expresión “ley estatutaria”, utilizada por la sala, es un lapsus calami; en efecto, el art 18 del AL 02/15 ordenaba la expedición de una ley estatutaria, pero dicho artículo fue declarado inexequible en ese punto (entre otros); y, por otra parte, la sentencia del 6 de febrero de la Sala Plena debatió el asunto, para concluir que el reglamento de las convocatorias podía ser por ley ordinaria. Este lapsus ha sido inane, por cuanto hasta la fecha no se ha presentado proyecto de ley alguno al respecto</w:t>
      </w:r>
      <w:r w:rsidRPr="005C1C63">
        <w:rPr>
          <w:sz w:val="20"/>
          <w:szCs w:val="20"/>
        </w:rPr>
        <w:t>” (Ver página 16). En conclusión, se trata de una situación que s</w:t>
      </w:r>
      <w:r>
        <w:rPr>
          <w:sz w:val="20"/>
          <w:szCs w:val="20"/>
        </w:rPr>
        <w:t>o</w:t>
      </w:r>
      <w:r w:rsidRPr="005C1C63">
        <w:rPr>
          <w:sz w:val="20"/>
          <w:szCs w:val="20"/>
        </w:rPr>
        <w:t xml:space="preserve">lo permite ratificar la dificultad existente con la interpretación y  la comprensión última de la sentencia del Consejo de Estado acusada, que ha facilitado que en este punto la lectura sobre los pasos que debía seguir el legislador ante la interpretación particular del artículo 257A, no hayan estado claros. Una tensión que sin duda contribuyó en la falta de regulación oportuna en el tema por parte del Legislador. </w:t>
      </w:r>
    </w:p>
  </w:footnote>
  <w:footnote w:id="304">
    <w:p w14:paraId="63F6A9DF" w14:textId="77777777" w:rsidR="004832B6" w:rsidRPr="00725A66" w:rsidRDefault="004832B6" w:rsidP="00FE23DC">
      <w:pPr>
        <w:pStyle w:val="Textonotapie"/>
        <w:jc w:val="both"/>
        <w:rPr>
          <w:lang w:val="es-CO"/>
        </w:rPr>
      </w:pPr>
      <w:r w:rsidRPr="00725A66">
        <w:rPr>
          <w:rStyle w:val="Refdenotaalpie"/>
        </w:rPr>
        <w:footnoteRef/>
      </w:r>
      <w:r w:rsidRPr="00725A66">
        <w:rPr>
          <w:lang w:val="es-CO"/>
        </w:rPr>
        <w:t xml:space="preserve"> Es importante resaltar que este proyecto de ley se presentó como </w:t>
      </w:r>
      <w:r w:rsidRPr="00725A66">
        <w:rPr>
          <w:b/>
          <w:bCs/>
          <w:lang w:val="es-CO"/>
        </w:rPr>
        <w:t>ley ordinaria</w:t>
      </w:r>
      <w:r w:rsidRPr="00725A66">
        <w:rPr>
          <w:lang w:val="es-CO"/>
        </w:rPr>
        <w:t>. Al respecto se puede consultar la Gaceta 575 del 03 de agosto de 2018 en la que expresamente en la exposición de motivos se dice lo siguiente: “</w:t>
      </w:r>
      <w:r w:rsidRPr="00725A66">
        <w:rPr>
          <w:i/>
          <w:iCs/>
        </w:rPr>
        <w:t>El presente proyecto de ley –ordinaria- tiene como propósito establecer las reglas de las Convocatorias Públicas en la Rama Judicial del Poder Público</w:t>
      </w:r>
      <w:r w:rsidRPr="00725A66">
        <w:rPr>
          <w:lang w:val="es-CO"/>
        </w:rPr>
        <w:t>”</w:t>
      </w:r>
      <w:r w:rsidRPr="00725A66">
        <w:t xml:space="preserve">. </w:t>
      </w:r>
    </w:p>
  </w:footnote>
  <w:footnote w:id="305">
    <w:p w14:paraId="08DFC773" w14:textId="77777777" w:rsidR="004832B6" w:rsidRPr="00725A66" w:rsidRDefault="004832B6" w:rsidP="00FE23DC">
      <w:pPr>
        <w:pStyle w:val="Textonotapie"/>
        <w:jc w:val="both"/>
      </w:pPr>
      <w:r w:rsidRPr="00725A66">
        <w:rPr>
          <w:rStyle w:val="Refdenotaalpie"/>
        </w:rPr>
        <w:footnoteRef/>
      </w:r>
      <w:r w:rsidRPr="00725A66">
        <w:t xml:space="preserve"> </w:t>
      </w:r>
      <w:r w:rsidRPr="00725A66">
        <w:rPr>
          <w:lang w:val="es-CO"/>
        </w:rPr>
        <w:t xml:space="preserve">Ver en línea: </w:t>
      </w:r>
      <w:hyperlink r:id="rId1" w:history="1">
        <w:r w:rsidRPr="00725A66">
          <w:rPr>
            <w:rStyle w:val="Hipervnculo"/>
            <w:color w:val="auto"/>
            <w:lang w:val="es-CO"/>
          </w:rPr>
          <w:t>http://leyes.senado.gov.co/proyectos/index.php/proyectos-ley/cuatrenio-2018-2022/2018-2019?option=com_joodb&amp;view=catalog&amp;format=html&amp;reset=false&amp;ordering=&amp;orderby=&amp;Itemid=464&amp;task=&amp;search=064&amp;searchfield=N-Senado&amp;limit=10</w:t>
        </w:r>
      </w:hyperlink>
    </w:p>
  </w:footnote>
  <w:footnote w:id="306">
    <w:p w14:paraId="0BF34EC9" w14:textId="77777777" w:rsidR="004832B6" w:rsidRPr="00725A66" w:rsidRDefault="004832B6" w:rsidP="00011755">
      <w:pPr>
        <w:pStyle w:val="Textonotapie"/>
        <w:jc w:val="both"/>
        <w:rPr>
          <w:lang w:val="es-CO"/>
        </w:rPr>
      </w:pPr>
      <w:r w:rsidRPr="00725A66">
        <w:rPr>
          <w:rStyle w:val="Refdenotaalpie"/>
        </w:rPr>
        <w:footnoteRef/>
      </w:r>
      <w:r w:rsidRPr="00725A66">
        <w:t xml:space="preserve"> </w:t>
      </w:r>
      <w:r w:rsidRPr="00725A66">
        <w:rPr>
          <w:lang w:val="es-CO"/>
        </w:rPr>
        <w:t xml:space="preserve">Al respecto puede consultarse la </w:t>
      </w:r>
      <w:r w:rsidRPr="00725A66">
        <w:rPr>
          <w:b/>
          <w:bCs/>
          <w:lang w:val="es-CO"/>
        </w:rPr>
        <w:t>Gaceta 1030 de 2019</w:t>
      </w:r>
      <w:r w:rsidRPr="00725A66">
        <w:rPr>
          <w:lang w:val="es-CO"/>
        </w:rPr>
        <w:t xml:space="preserve"> del</w:t>
      </w:r>
      <w:r w:rsidRPr="00725A66">
        <w:t xml:space="preserve"> 17 de octubre de 2019</w:t>
      </w:r>
      <w:r w:rsidRPr="00725A66">
        <w:rPr>
          <w:lang w:val="es-CO"/>
        </w:rPr>
        <w:t xml:space="preserve"> en la que se publica el proyecto de Ley. En ese proyecto se argumenta que conforme a lo dispuesto por el Consejo de Estado el motivo del proyecto es regular esas convocatorias. Sobre el tipo de ley que corresponde, en la exposición de motivos se dice lo siguiente: “</w:t>
      </w:r>
      <w:r w:rsidRPr="00725A66">
        <w:rPr>
          <w:i/>
          <w:iCs/>
        </w:rPr>
        <w:t xml:space="preserve">La Corte Constitucional ha señalado los criterios básicos que deben considerarse para determinar si una ley es ordinaria o estatutaria. </w:t>
      </w:r>
      <w:r w:rsidRPr="00725A66">
        <w:rPr>
          <w:i/>
          <w:iCs/>
        </w:rPr>
        <w:t>En materia de derechos fundamentales hay reserva de ley estatutaria, cuando se trata de uno de ellos, cuando se lo regula o complementa y existe relación con los temas que describe el artículo 152 de la Constitución Política, porque se introducen reglas sobre derechos y deberes fundamentales de las personas y recursos para su protección.</w:t>
      </w:r>
      <w:r w:rsidRPr="00725A66">
        <w:rPr>
          <w:i/>
          <w:iCs/>
          <w:lang w:val="es-CO"/>
        </w:rPr>
        <w:t xml:space="preserve"> (…) </w:t>
      </w:r>
      <w:r w:rsidRPr="00725A66">
        <w:rPr>
          <w:i/>
          <w:iCs/>
          <w:u w:val="single"/>
        </w:rPr>
        <w:t>Es el caso de este proyecto de ley. A nuestro juicio, de la aplicación de la jurisprudencia de la Corte Constitucional a la materia de la ley que proponemos, se deriva su naturaleza de ley estatutaria y no de ley ordinaria</w:t>
      </w:r>
      <w:r w:rsidRPr="00725A66">
        <w:rPr>
          <w:i/>
          <w:iCs/>
        </w:rPr>
        <w:t>, pues, en desarrollo de los artículos 126 y 257a de la Constitución Política, su objeto es fijar los requisitos y el procedimiento que garanticen los principios de publicidad, transparencia, participación ciudadana, equidad de género y criterios de mérito, de quienes aspiren a ser elegidos Magistrados de la Comisión Nacional de Disciplina Judicial para impartir justicia, en nombre de la República de Colombia y por autoridad de la ley, sobre la conducta de los funcionarios y empleados de la Rama Judicial y la de los abogados en ejercicio. La misión de ellos es de altísima importancia</w:t>
      </w:r>
      <w:r w:rsidRPr="00725A66">
        <w:rPr>
          <w:lang w:val="es-CO"/>
        </w:rPr>
        <w:t>”</w:t>
      </w:r>
      <w:r w:rsidRPr="00725A66">
        <w:t>.</w:t>
      </w:r>
      <w:r w:rsidRPr="00725A66">
        <w:rPr>
          <w:lang w:val="es-CO"/>
        </w:rPr>
        <w:t xml:space="preserve"> (Subrayas fuera del original). </w:t>
      </w:r>
    </w:p>
  </w:footnote>
  <w:footnote w:id="307">
    <w:p w14:paraId="10223DDA" w14:textId="77777777" w:rsidR="004832B6" w:rsidRPr="00725A66" w:rsidRDefault="004832B6">
      <w:pPr>
        <w:pStyle w:val="Textonotapie"/>
        <w:rPr>
          <w:lang w:val="es-CO"/>
        </w:rPr>
      </w:pPr>
      <w:r w:rsidRPr="00725A66">
        <w:rPr>
          <w:rStyle w:val="Refdenotaalpie"/>
        </w:rPr>
        <w:footnoteRef/>
      </w:r>
      <w:r w:rsidRPr="00725A66">
        <w:t xml:space="preserve"> </w:t>
      </w:r>
      <w:r w:rsidRPr="00725A66">
        <w:rPr>
          <w:lang w:val="es-CO"/>
        </w:rPr>
        <w:t xml:space="preserve">Ver en línea: </w:t>
      </w:r>
      <w:hyperlink r:id="rId2" w:history="1">
        <w:r w:rsidRPr="00725A66">
          <w:rPr>
            <w:rStyle w:val="Hipervnculo"/>
            <w:color w:val="auto"/>
            <w:lang w:val="es-CO"/>
          </w:rPr>
          <w:t>https://www.camara.gov.co/administracion-de-justicia-3</w:t>
        </w:r>
      </w:hyperlink>
      <w:r w:rsidRPr="00725A66">
        <w:rPr>
          <w:lang w:val="es-CO"/>
        </w:rPr>
        <w:t xml:space="preserve"> </w:t>
      </w:r>
    </w:p>
  </w:footnote>
  <w:footnote w:id="308">
    <w:p w14:paraId="0CAB9CF4" w14:textId="77777777" w:rsidR="004832B6" w:rsidRPr="007F6569" w:rsidRDefault="004832B6">
      <w:pPr>
        <w:pStyle w:val="Textonotapie"/>
        <w:rPr>
          <w:lang w:val="es-CO"/>
        </w:rPr>
      </w:pPr>
      <w:r w:rsidRPr="00725A66">
        <w:rPr>
          <w:rStyle w:val="Refdenotaalpie"/>
        </w:rPr>
        <w:footnoteRef/>
      </w:r>
      <w:r w:rsidRPr="00725A66">
        <w:t xml:space="preserve"> </w:t>
      </w:r>
      <w:r w:rsidRPr="00725A66">
        <w:rPr>
          <w:lang w:val="es-CO"/>
        </w:rPr>
        <w:t>Ver en línea: https://www.camara.gov.co/index.php/comision-de-disciplina-judicial</w:t>
      </w:r>
    </w:p>
  </w:footnote>
  <w:footnote w:id="309">
    <w:p w14:paraId="2EB0FE6E" w14:textId="77777777" w:rsidR="004832B6" w:rsidRPr="002E4477" w:rsidRDefault="004832B6" w:rsidP="007D6C6F">
      <w:pPr>
        <w:pStyle w:val="Textonotapie"/>
        <w:jc w:val="both"/>
        <w:rPr>
          <w:lang w:val="es-CO"/>
        </w:rPr>
      </w:pPr>
      <w:r w:rsidRPr="002E4477">
        <w:rPr>
          <w:rStyle w:val="Refdenotaalpie"/>
        </w:rPr>
        <w:footnoteRef/>
      </w:r>
      <w:r w:rsidRPr="002E4477">
        <w:t xml:space="preserve"> </w:t>
      </w:r>
      <w:r w:rsidRPr="002E4477">
        <w:rPr>
          <w:lang w:val="es-CO"/>
        </w:rPr>
        <w:t xml:space="preserve">De acuerdo con el artículo 112 de la ley 260 de 1996, </w:t>
      </w:r>
      <w:r w:rsidRPr="002E4477">
        <w:rPr>
          <w:i/>
          <w:iCs/>
          <w:lang w:val="es-CO"/>
        </w:rPr>
        <w:t>“los magistrados de la Corte Suprema de Justicia, del Consejo de Estado, de la Corte Constitucional, del Consejo Superior de la Judicatura y el Fiscal General de la Nación en materia disciplinaria, están sujetos al régimen previsto por los artículos 174, 175 y 178 de la Constitución Política, para lo cual el Congreso de la República adelantará el proceso disciplinario por conducto de la Comisión Legal de Investigación y Acusación de la Cámara de Representantes y la Comisión Instructora del Senado de la República</w:t>
      </w:r>
      <w:r w:rsidRPr="002E4477">
        <w:rPr>
          <w:lang w:val="es-CO"/>
        </w:rPr>
        <w:t>”.</w:t>
      </w:r>
    </w:p>
  </w:footnote>
  <w:footnote w:id="310">
    <w:p w14:paraId="571D87DE" w14:textId="77777777" w:rsidR="004832B6" w:rsidRPr="002E4477" w:rsidRDefault="004832B6" w:rsidP="003F381B">
      <w:pPr>
        <w:pStyle w:val="Textonotapie"/>
        <w:jc w:val="both"/>
        <w:rPr>
          <w:lang w:val="es-CO"/>
        </w:rPr>
      </w:pPr>
      <w:r w:rsidRPr="002E4477">
        <w:rPr>
          <w:rStyle w:val="Refdenotaalpie"/>
        </w:rPr>
        <w:footnoteRef/>
      </w:r>
      <w:r w:rsidRPr="002E4477">
        <w:rPr>
          <w:lang w:val="es-CO"/>
        </w:rPr>
        <w:t>A</w:t>
      </w:r>
      <w:r w:rsidRPr="002E4477">
        <w:t>lrededor de 80.000 entre servidores de juzgados y corporaciones judiciales, administrativos, de la Fiscalía General de la Nación y el Instituto Nacional de Medicina Legal y Ciencias Forenses.</w:t>
      </w:r>
      <w:r w:rsidRPr="002E4477">
        <w:rPr>
          <w:lang w:val="es-CO"/>
        </w:rPr>
        <w:t xml:space="preserve"> Datos en: Pedro Alonso Sanabria, 2020. “</w:t>
      </w:r>
      <w:r w:rsidRPr="002E4477">
        <w:rPr>
          <w:i/>
          <w:iCs/>
        </w:rPr>
        <w:t>De la administración de la Rama Judicial y la Jurisdicción Disciplinaria</w:t>
      </w:r>
      <w:r w:rsidRPr="002E4477">
        <w:rPr>
          <w:i/>
          <w:iCs/>
          <w:lang w:val="es-CO"/>
        </w:rPr>
        <w:t xml:space="preserve">”. </w:t>
      </w:r>
      <w:r w:rsidRPr="002E4477">
        <w:rPr>
          <w:lang w:val="es-CO"/>
        </w:rPr>
        <w:t>Revista El Congreso, 2020.</w:t>
      </w:r>
      <w:r w:rsidRPr="002E4477">
        <w:rPr>
          <w:i/>
          <w:iCs/>
          <w:lang w:val="es-CO"/>
        </w:rPr>
        <w:t xml:space="preserve"> </w:t>
      </w:r>
      <w:r w:rsidRPr="002E4477">
        <w:rPr>
          <w:lang w:val="es-CO"/>
        </w:rPr>
        <w:t xml:space="preserve">En línea:bhttp://www.revistaelcongreso.com/de-la-administracion-de-la-rama-judicial-y-la-jurisdiccion-disciplinaria/. </w:t>
      </w:r>
    </w:p>
  </w:footnote>
  <w:footnote w:id="311">
    <w:p w14:paraId="22F23B8C" w14:textId="77777777" w:rsidR="004832B6" w:rsidRPr="002E4477" w:rsidRDefault="004832B6" w:rsidP="003F381B">
      <w:pPr>
        <w:pStyle w:val="Textonotapie"/>
        <w:jc w:val="both"/>
        <w:rPr>
          <w:lang w:val="es-CO"/>
        </w:rPr>
      </w:pPr>
      <w:r w:rsidRPr="002E4477">
        <w:rPr>
          <w:rStyle w:val="Refdenotaalpie"/>
        </w:rPr>
        <w:footnoteRef/>
      </w:r>
      <w:r w:rsidRPr="002E4477">
        <w:rPr>
          <w:lang w:val="es-CO"/>
        </w:rPr>
        <w:t xml:space="preserve">Ver, </w:t>
      </w:r>
      <w:bookmarkStart w:id="28" w:name="_Hlk39669173"/>
      <w:r w:rsidRPr="002E4477">
        <w:rPr>
          <w:lang w:val="es-CO"/>
        </w:rPr>
        <w:t>Pedro Alonso Sanabria, 2020. “</w:t>
      </w:r>
      <w:r w:rsidRPr="002E4477">
        <w:rPr>
          <w:i/>
          <w:iCs/>
        </w:rPr>
        <w:t>De la administración de la Rama Judicial y la Jurisdicción Disciplinaria</w:t>
      </w:r>
      <w:r w:rsidRPr="002E4477">
        <w:rPr>
          <w:i/>
          <w:iCs/>
          <w:lang w:val="es-CO"/>
        </w:rPr>
        <w:t xml:space="preserve">”. </w:t>
      </w:r>
      <w:r w:rsidRPr="002E4477">
        <w:rPr>
          <w:lang w:val="es-CO"/>
        </w:rPr>
        <w:t xml:space="preserve"> </w:t>
      </w:r>
      <w:bookmarkEnd w:id="28"/>
      <w:r w:rsidRPr="002E4477">
        <w:rPr>
          <w:lang w:val="es-CO"/>
        </w:rPr>
        <w:t xml:space="preserve">Ibídem. </w:t>
      </w:r>
    </w:p>
  </w:footnote>
  <w:footnote w:id="312">
    <w:p w14:paraId="41E332EA" w14:textId="77777777" w:rsidR="004832B6" w:rsidRPr="002E4477" w:rsidRDefault="004832B6" w:rsidP="000568F4">
      <w:pPr>
        <w:pStyle w:val="Textonotapie"/>
        <w:jc w:val="both"/>
        <w:rPr>
          <w:lang w:val="es-CO"/>
        </w:rPr>
      </w:pPr>
      <w:r w:rsidRPr="002E4477">
        <w:rPr>
          <w:rStyle w:val="Refdenotaalpie"/>
        </w:rPr>
        <w:footnoteRef/>
      </w:r>
      <w:r w:rsidRPr="002E4477">
        <w:t xml:space="preserve"> </w:t>
      </w:r>
      <w:r w:rsidRPr="002E4477">
        <w:rPr>
          <w:lang w:val="es-CO"/>
        </w:rPr>
        <w:t>C</w:t>
      </w:r>
      <w:r w:rsidRPr="002E4477">
        <w:t xml:space="preserve">on </w:t>
      </w:r>
      <w:r w:rsidRPr="002E4477">
        <w:rPr>
          <w:bCs/>
        </w:rPr>
        <w:t>la asesoría y la representación judicial en el trámite de procesos</w:t>
      </w:r>
      <w:r w:rsidRPr="002E4477">
        <w:rPr>
          <w:lang w:val="es-CO"/>
        </w:rPr>
        <w:t xml:space="preserve"> de acuerdo con lo mencionado en la </w:t>
      </w:r>
      <w:bookmarkStart w:id="29" w:name="_Hlk39687914"/>
      <w:r w:rsidRPr="002E4477">
        <w:rPr>
          <w:lang w:val="es-CO"/>
        </w:rPr>
        <w:t>Sentencia SU-396 de 20l7. M.P. Gloria Stella Ortiz</w:t>
      </w:r>
      <w:bookmarkEnd w:id="29"/>
    </w:p>
  </w:footnote>
  <w:footnote w:id="313">
    <w:p w14:paraId="442518AB" w14:textId="77777777" w:rsidR="004832B6" w:rsidRPr="002E4477" w:rsidRDefault="004832B6" w:rsidP="000568F4">
      <w:pPr>
        <w:pStyle w:val="Textonotapie"/>
        <w:jc w:val="both"/>
        <w:rPr>
          <w:lang w:val="es-CO"/>
        </w:rPr>
      </w:pPr>
      <w:r w:rsidRPr="002E4477">
        <w:rPr>
          <w:rStyle w:val="Refdenotaalpie"/>
        </w:rPr>
        <w:footnoteRef/>
      </w:r>
      <w:r w:rsidRPr="002E4477">
        <w:t xml:space="preserve"> </w:t>
      </w:r>
      <w:r w:rsidRPr="002E4477">
        <w:rPr>
          <w:lang w:val="es-CO"/>
        </w:rPr>
        <w:t xml:space="preserve">Corte Constitucional. </w:t>
      </w:r>
      <w:r w:rsidRPr="002E4477">
        <w:t>Sentencia C-242 de 1997</w:t>
      </w:r>
      <w:r w:rsidRPr="002E4477">
        <w:rPr>
          <w:lang w:val="es-CO"/>
        </w:rPr>
        <w:t>, M.P. Hernando Herrera Vergara.</w:t>
      </w:r>
    </w:p>
  </w:footnote>
  <w:footnote w:id="314">
    <w:p w14:paraId="5E3033E8"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Corte Constitucional. Sentencia SU-396 de 20l7. M.P. Gloria Stella Ortiz</w:t>
      </w:r>
    </w:p>
  </w:footnote>
  <w:footnote w:id="315">
    <w:p w14:paraId="7A4438AC" w14:textId="77777777" w:rsidR="004832B6" w:rsidRPr="002E4477" w:rsidRDefault="004832B6" w:rsidP="000568F4">
      <w:pPr>
        <w:pStyle w:val="Textonotapie"/>
        <w:jc w:val="both"/>
        <w:rPr>
          <w:lang w:val="es-CO"/>
        </w:rPr>
      </w:pPr>
      <w:r w:rsidRPr="002E4477">
        <w:rPr>
          <w:rStyle w:val="Refdenotaalpie"/>
        </w:rPr>
        <w:footnoteRef/>
      </w:r>
      <w:r w:rsidRPr="002E4477">
        <w:t xml:space="preserve"> </w:t>
      </w:r>
      <w:r w:rsidRPr="002E4477">
        <w:rPr>
          <w:lang w:val="es-CO"/>
        </w:rPr>
        <w:t>M.P. Gloria Stella Ortiz</w:t>
      </w:r>
    </w:p>
  </w:footnote>
  <w:footnote w:id="316">
    <w:p w14:paraId="263F262E" w14:textId="77777777" w:rsidR="004832B6" w:rsidRPr="002E4477" w:rsidRDefault="004832B6" w:rsidP="00C36A25">
      <w:pPr>
        <w:pStyle w:val="Textonotapie"/>
        <w:jc w:val="both"/>
        <w:rPr>
          <w:lang w:val="es-CO"/>
        </w:rPr>
      </w:pPr>
      <w:r w:rsidRPr="002E4477">
        <w:rPr>
          <w:rStyle w:val="Refdenotaalpie"/>
        </w:rPr>
        <w:footnoteRef/>
      </w:r>
      <w:r w:rsidRPr="002E4477">
        <w:t xml:space="preserve"> </w:t>
      </w:r>
      <w:bookmarkStart w:id="31" w:name="_Hlk39698042"/>
      <w:r w:rsidRPr="002E4477">
        <w:rPr>
          <w:lang w:val="es-CO"/>
        </w:rPr>
        <w:t xml:space="preserve">Cfr. </w:t>
      </w:r>
      <w:r w:rsidRPr="002E4477">
        <w:t xml:space="preserve">Sentencia SU-396 de 20l7. </w:t>
      </w:r>
      <w:r w:rsidRPr="002E4477">
        <w:t>M.P. Gloria Stella Ortiz</w:t>
      </w:r>
      <w:r w:rsidRPr="002E4477">
        <w:rPr>
          <w:lang w:val="es-CO"/>
        </w:rPr>
        <w:t>.</w:t>
      </w:r>
      <w:r w:rsidRPr="002E4477">
        <w:t xml:space="preserve"> </w:t>
      </w:r>
      <w:bookmarkEnd w:id="31"/>
      <w:r w:rsidRPr="002E4477">
        <w:rPr>
          <w:lang w:val="es-CO"/>
        </w:rPr>
        <w:t xml:space="preserve">Lo anterior implica que las normas que contemplan el régimen disciplinario, deben ser interpretadas en armonía con el artículo 29 de la Carta, en particular, con observancia de los principios de legalidad, presunción de inocencia, defensa, contradicción, publicidad, imparcialidad, de favorabilidad y juez natural. </w:t>
      </w:r>
    </w:p>
  </w:footnote>
  <w:footnote w:id="317">
    <w:p w14:paraId="5FA88AC0" w14:textId="77777777" w:rsidR="004832B6" w:rsidRPr="002E4477" w:rsidRDefault="004832B6">
      <w:pPr>
        <w:pStyle w:val="Textonotapie"/>
      </w:pPr>
      <w:r w:rsidRPr="002E4477">
        <w:rPr>
          <w:rStyle w:val="Refdenotaalpie"/>
        </w:rPr>
        <w:footnoteRef/>
      </w:r>
      <w:r w:rsidRPr="002E4477">
        <w:t xml:space="preserve"> </w:t>
      </w:r>
      <w:r w:rsidRPr="002E4477">
        <w:t>Cfr. Sentencia SU-396 de 20l7. M.P. Gloria Stella Ortiz.</w:t>
      </w:r>
    </w:p>
  </w:footnote>
  <w:footnote w:id="318">
    <w:p w14:paraId="5FDFD1FF" w14:textId="77777777" w:rsidR="004832B6" w:rsidRPr="002E4477" w:rsidRDefault="004832B6" w:rsidP="00C36A25">
      <w:pPr>
        <w:pStyle w:val="Textonotapie"/>
        <w:jc w:val="both"/>
        <w:rPr>
          <w:lang w:val="es-CO"/>
        </w:rPr>
      </w:pPr>
      <w:r w:rsidRPr="002E4477">
        <w:rPr>
          <w:rStyle w:val="Refdenotaalpie"/>
        </w:rPr>
        <w:footnoteRef/>
      </w:r>
      <w:r w:rsidRPr="002E4477">
        <w:t xml:space="preserve"> </w:t>
      </w:r>
      <w:r w:rsidRPr="002E4477">
        <w:t>El artículo 256-3 de la Carta Política asignó al Consejo Superior de la Judicatura y a los Consejos Seccionales, la competencia para conocer de los procesos disciplinarios contra los abogados en ejercicio. En desarrollo de ese mandato Superior se expidieron el Decreto 2652 de 1991 (artículos 9° y 10°), la Ley Estatutaria de la Administración de Justicia (Ley 270 de 1996, artículo 112-4) y la Ley 1123 de 2007; los cuales atribuyeron a las Salas Disciplinarias de los Consejos Seccionales de la Judicatura el conocimiento en primera instancia de los procesos disciplinarios contra los abogados en ejercicio, y a la Sala Jurisdiccional Disciplinaria del Consejo Superior de la Judicatura, el conocimiento de los recursos de apelación y de consulta, en esos mismos procesos.</w:t>
      </w:r>
    </w:p>
  </w:footnote>
  <w:footnote w:id="319">
    <w:p w14:paraId="28881335" w14:textId="77777777" w:rsidR="004832B6" w:rsidRPr="002E4477" w:rsidRDefault="004832B6" w:rsidP="00C36A25">
      <w:pPr>
        <w:pStyle w:val="Textonotapie"/>
        <w:jc w:val="both"/>
      </w:pPr>
      <w:r w:rsidRPr="002E4477">
        <w:rPr>
          <w:rStyle w:val="Refdenotaalpie"/>
        </w:rPr>
        <w:footnoteRef/>
      </w:r>
      <w:r w:rsidRPr="002E4477">
        <w:rPr>
          <w:lang w:val="es-CO"/>
        </w:rPr>
        <w:t xml:space="preserve"> Ley 270 de 1996. Artículo 12. </w:t>
      </w:r>
      <w:r w:rsidRPr="002E4477">
        <w:t>F</w:t>
      </w:r>
      <w:r w:rsidRPr="002E4477">
        <w:rPr>
          <w:lang w:val="es-CO"/>
        </w:rPr>
        <w:t>unciones de la Sala Jurisdiccional Disciplinaria del Consejo Superior de la Judicatura. “</w:t>
      </w:r>
      <w:r w:rsidRPr="002E4477">
        <w:rPr>
          <w:i/>
          <w:iCs/>
        </w:rPr>
        <w:t>Corresponde a la Sala Jurisdiccional Disciplinaria del Consejo Superior de la Judicatura:</w:t>
      </w:r>
      <w:r w:rsidRPr="002E4477">
        <w:rPr>
          <w:i/>
          <w:iCs/>
          <w:lang w:val="es-CO"/>
        </w:rPr>
        <w:t xml:space="preserve"> (…) 3. </w:t>
      </w:r>
      <w:r w:rsidRPr="002E4477">
        <w:rPr>
          <w:i/>
          <w:iCs/>
        </w:rPr>
        <w:t>Conocer, en única instancia, de los procesos disciplinarios que se adelanten contra los magistrados de los Tribunales y Consejos Seccionales de la Judicatura, el Vicefiscal, los fiscales delegados ante la Corte Suprema de Justicia y los Tribunales</w:t>
      </w:r>
      <w:r w:rsidRPr="002E4477">
        <w:rPr>
          <w:lang w:val="es-CO"/>
        </w:rPr>
        <w:t>”</w:t>
      </w:r>
      <w:r w:rsidRPr="002E4477">
        <w:t>.</w:t>
      </w:r>
    </w:p>
  </w:footnote>
  <w:footnote w:id="320">
    <w:p w14:paraId="07559D7E" w14:textId="77777777" w:rsidR="004832B6" w:rsidRPr="002E4477" w:rsidRDefault="004832B6" w:rsidP="00C36A25">
      <w:pPr>
        <w:pStyle w:val="Textonotapie"/>
        <w:jc w:val="both"/>
        <w:rPr>
          <w:lang w:val="es-CO"/>
        </w:rPr>
      </w:pPr>
      <w:r w:rsidRPr="002E4477">
        <w:rPr>
          <w:rStyle w:val="Refdenotaalpie"/>
        </w:rPr>
        <w:footnoteRef/>
      </w:r>
      <w:r w:rsidRPr="002E4477">
        <w:t xml:space="preserve"> </w:t>
      </w:r>
      <w:r w:rsidRPr="002E4477">
        <w:rPr>
          <w:lang w:val="es-CO"/>
        </w:rPr>
        <w:t>Ley 270 de 1996. Artículo 114. Funciones de las Salas Jurisdiccionales Disciplinarias de los Consejos Seccionales de la Judicatura. “</w:t>
      </w:r>
      <w:r w:rsidRPr="002E4477">
        <w:rPr>
          <w:i/>
          <w:iCs/>
          <w:lang w:val="es-CO"/>
        </w:rPr>
        <w:t>Corresponde a las Salas Jurisdiccionales Disciplinarias de los Consejos Seccionales de la Judicatura: (…) 2.  Conocer en primera instancia de los procesos disciplinarios contra los jueces y los abogados por faltas cometidas en el territorio de su jurisdicción</w:t>
      </w:r>
      <w:r w:rsidRPr="002E4477">
        <w:rPr>
          <w:lang w:val="es-CO"/>
        </w:rPr>
        <w:t>.”</w:t>
      </w:r>
    </w:p>
  </w:footnote>
  <w:footnote w:id="321">
    <w:p w14:paraId="7A8797F4" w14:textId="77777777" w:rsidR="004832B6" w:rsidRPr="002E4477" w:rsidRDefault="004832B6">
      <w:pPr>
        <w:pStyle w:val="Textonotapie"/>
        <w:rPr>
          <w:lang w:val="es-CO"/>
        </w:rPr>
      </w:pPr>
      <w:r w:rsidRPr="002E4477">
        <w:rPr>
          <w:rStyle w:val="Refdenotaalpie"/>
        </w:rPr>
        <w:footnoteRef/>
      </w:r>
      <w:r w:rsidRPr="002E4477">
        <w:t xml:space="preserve"> </w:t>
      </w:r>
      <w:r w:rsidRPr="002E4477">
        <w:t>Cfr. Sentencia SU-396 de 20l7. M.P. Gloria Stella Ortiz.</w:t>
      </w:r>
    </w:p>
  </w:footnote>
  <w:footnote w:id="322">
    <w:p w14:paraId="3EDD59C9" w14:textId="77777777" w:rsidR="004832B6" w:rsidRPr="004832B6" w:rsidRDefault="004832B6">
      <w:pPr>
        <w:pStyle w:val="Textonotapie"/>
        <w:rPr>
          <w:lang w:val="es-CO"/>
        </w:rPr>
      </w:pPr>
      <w:r w:rsidRPr="002E4477">
        <w:rPr>
          <w:rStyle w:val="Refdenotaalpie"/>
        </w:rPr>
        <w:footnoteRef/>
      </w:r>
      <w:r w:rsidRPr="002E4477">
        <w:t xml:space="preserve"> </w:t>
      </w:r>
      <w:r w:rsidRPr="002E4477">
        <w:t>Jürgen Habermas</w:t>
      </w:r>
      <w:r w:rsidRPr="002E4477">
        <w:rPr>
          <w:lang w:val="es-CO"/>
        </w:rPr>
        <w:t>, 1980.</w:t>
      </w:r>
      <w:r w:rsidRPr="002E4477">
        <w:t xml:space="preserve"> </w:t>
      </w:r>
      <w:r w:rsidRPr="004832B6">
        <w:rPr>
          <w:lang w:val="es-CO"/>
        </w:rPr>
        <w:t>“</w:t>
      </w:r>
      <w:r w:rsidRPr="002E4477">
        <w:t>Legitimation Crisis</w:t>
      </w:r>
      <w:r w:rsidRPr="004832B6">
        <w:rPr>
          <w:lang w:val="es-CO"/>
        </w:rPr>
        <w:t>”,</w:t>
      </w:r>
      <w:r w:rsidRPr="002E4477">
        <w:t xml:space="preserve"> Heinemann Educational Books Ltd</w:t>
      </w:r>
      <w:r w:rsidRPr="004832B6">
        <w:rPr>
          <w:lang w:val="es-CO"/>
        </w:rPr>
        <w:t>,, pág. 26</w:t>
      </w:r>
    </w:p>
  </w:footnote>
  <w:footnote w:id="323">
    <w:p w14:paraId="4CCA4E75"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 xml:space="preserve">Ibídem. </w:t>
      </w:r>
    </w:p>
  </w:footnote>
  <w:footnote w:id="324">
    <w:p w14:paraId="0830C190" w14:textId="77777777" w:rsidR="004832B6" w:rsidRPr="002E4477" w:rsidRDefault="004832B6" w:rsidP="00FE563D">
      <w:pPr>
        <w:pStyle w:val="Textonotapie"/>
        <w:rPr>
          <w:rFonts w:ascii="Arial Narrow" w:hAnsi="Arial Narrow"/>
        </w:rPr>
      </w:pPr>
      <w:r w:rsidRPr="002E4477">
        <w:rPr>
          <w:rStyle w:val="Refdenotaalpie"/>
        </w:rPr>
        <w:footnoteRef/>
      </w:r>
      <w:r w:rsidRPr="002E4477">
        <w:t xml:space="preserve"> </w:t>
      </w:r>
      <w:r w:rsidRPr="002E4477">
        <w:t>Artículo 2° de la Constitución Política.</w:t>
      </w:r>
    </w:p>
  </w:footnote>
  <w:footnote w:id="325">
    <w:p w14:paraId="517E69BC" w14:textId="77777777" w:rsidR="004832B6" w:rsidRPr="002E4477" w:rsidRDefault="004832B6" w:rsidP="00FE563D">
      <w:pPr>
        <w:pStyle w:val="Textonotapie"/>
      </w:pPr>
      <w:r w:rsidRPr="002E4477">
        <w:rPr>
          <w:rStyle w:val="Refdenotaalpie"/>
        </w:rPr>
        <w:footnoteRef/>
      </w:r>
      <w:r w:rsidRPr="002E4477">
        <w:t xml:space="preserve"> </w:t>
      </w:r>
      <w:r w:rsidRPr="002E4477">
        <w:t>M. P. José Gregorio Hernández Galindo</w:t>
      </w:r>
    </w:p>
  </w:footnote>
  <w:footnote w:id="326">
    <w:p w14:paraId="79AB2284" w14:textId="77777777" w:rsidR="004832B6" w:rsidRPr="002E4477" w:rsidRDefault="004832B6" w:rsidP="00083181">
      <w:pPr>
        <w:pStyle w:val="Textonotapie"/>
        <w:jc w:val="both"/>
        <w:rPr>
          <w:rFonts w:eastAsia="Calibri"/>
        </w:rPr>
      </w:pPr>
      <w:r w:rsidRPr="002E4477">
        <w:rPr>
          <w:rStyle w:val="Refdenotaalpie"/>
        </w:rPr>
        <w:footnoteRef/>
      </w:r>
      <w:r w:rsidRPr="002E4477">
        <w:t xml:space="preserve"> </w:t>
      </w:r>
      <w:r w:rsidRPr="002E4477">
        <w:t xml:space="preserve">Al respecto ver, entre otras, las sentencias SU-159 de 2002 y T-522 de 2001, en ambas M. P. Manuel José Cepeda Espinosa; T-462 de 2003 y T-1031 de 2001, en ambas M. P. Eduardo Montealegre Lynett y T-1625 de 2000, M. P. Martha Victoria Sáchica Méndez.  </w:t>
      </w:r>
    </w:p>
  </w:footnote>
  <w:footnote w:id="327">
    <w:p w14:paraId="35581E43" w14:textId="77777777" w:rsidR="004832B6" w:rsidRPr="002E4477" w:rsidRDefault="004832B6" w:rsidP="00083181">
      <w:pPr>
        <w:pStyle w:val="Textonotapie"/>
        <w:jc w:val="both"/>
      </w:pPr>
      <w:r w:rsidRPr="002E4477">
        <w:rPr>
          <w:rStyle w:val="Refdenotaalpie"/>
        </w:rPr>
        <w:footnoteRef/>
      </w:r>
      <w:r w:rsidRPr="002E4477">
        <w:t xml:space="preserve"> </w:t>
      </w:r>
      <w:r w:rsidRPr="002E4477">
        <w:t xml:space="preserve">M. P. Jaime Córdoba Triviño. En este fallo se declaró inexequible una expresión del artículo 185 de la Ley 906 de 2004, que impedía el ejercicio de cualquier acción, incluida la tutela, contra las sentencias proferidas por la Sala de Casación Penal de la Corte Suprema de Justicia. </w:t>
      </w:r>
    </w:p>
  </w:footnote>
  <w:footnote w:id="328">
    <w:p w14:paraId="108DB102" w14:textId="77777777" w:rsidR="004832B6" w:rsidRPr="002E4477" w:rsidRDefault="004832B6" w:rsidP="00B10CDD">
      <w:pPr>
        <w:pStyle w:val="Textonotapie"/>
        <w:jc w:val="both"/>
        <w:rPr>
          <w:rFonts w:ascii="Arial Narrow" w:hAnsi="Arial Narrow"/>
        </w:rPr>
      </w:pPr>
      <w:r w:rsidRPr="002E4477">
        <w:rPr>
          <w:rStyle w:val="Refdenotaalpie"/>
        </w:rPr>
        <w:footnoteRef/>
      </w:r>
      <w:r w:rsidRPr="002E4477">
        <w:t xml:space="preserve"> </w:t>
      </w:r>
      <w:r w:rsidRPr="002E4477">
        <w:t>Sentencia T-398 de 2017 M.P. Cristina Pardo Schlesinger: “</w:t>
      </w:r>
      <w:r w:rsidRPr="002E4477">
        <w:rPr>
          <w:i/>
        </w:rPr>
        <w:t>la Constitución Política de 1991, consagra en su artículo 86 que la acción de tutela procede contra toda acción o la omisión de cualquier autoridad pública, dentro de las que se encuentran las autoridades judiciales. Dichas autoridades, en el ejercicio de sus funciones, deben ser respetuosas de los mandatos constitucionales y legales, a fin de garantizar los derechos, deberes y principios constitucionales.  Es por ello que esta Corte ha aceptado que a través de la acción de tutela se controlen las decisiones judiciales que resulten atentatorias o vulneratorias de los derechos fundamentales de las partes procesales, especialmente, del derecho al debido proceso</w:t>
      </w:r>
      <w:r w:rsidRPr="002E4477">
        <w:t>”.</w:t>
      </w:r>
    </w:p>
  </w:footnote>
  <w:footnote w:id="329">
    <w:p w14:paraId="26CC43D7" w14:textId="77777777" w:rsidR="004832B6" w:rsidRPr="00E434DD" w:rsidRDefault="004832B6">
      <w:pPr>
        <w:pStyle w:val="Textonotapie"/>
        <w:rPr>
          <w:lang w:val="es-CO"/>
        </w:rPr>
      </w:pPr>
      <w:r>
        <w:rPr>
          <w:rStyle w:val="Refdenotaalpie"/>
        </w:rPr>
        <w:footnoteRef/>
      </w:r>
      <w:r>
        <w:t xml:space="preserve"> </w:t>
      </w:r>
      <w:r w:rsidRPr="00E434DD">
        <w:rPr>
          <w:lang w:val="es-CO"/>
        </w:rPr>
        <w:t>M.P. Antonio José L</w:t>
      </w:r>
      <w:r>
        <w:rPr>
          <w:lang w:val="es-CO"/>
        </w:rPr>
        <w:t>izarazo Ocampo</w:t>
      </w:r>
    </w:p>
  </w:footnote>
  <w:footnote w:id="330">
    <w:p w14:paraId="055345BB" w14:textId="77777777" w:rsidR="004832B6" w:rsidRPr="00077D7E" w:rsidRDefault="004832B6">
      <w:pPr>
        <w:pStyle w:val="Textonotapie"/>
        <w:rPr>
          <w:lang w:val="es-CO"/>
        </w:rPr>
      </w:pPr>
      <w:r>
        <w:rPr>
          <w:rStyle w:val="Refdenotaalpie"/>
        </w:rPr>
        <w:footnoteRef/>
      </w:r>
      <w:r>
        <w:t xml:space="preserve"> </w:t>
      </w:r>
      <w:r>
        <w:rPr>
          <w:lang w:val="es-CO"/>
        </w:rPr>
        <w:t xml:space="preserve">Corte Constitucional. Sentencia T- 267 de 2013. </w:t>
      </w:r>
      <w:r w:rsidRPr="00077D7E">
        <w:rPr>
          <w:lang w:val="es-CO"/>
        </w:rPr>
        <w:t>M.P. Jorge Iván Pala</w:t>
      </w:r>
      <w:r>
        <w:rPr>
          <w:lang w:val="es-CO"/>
        </w:rPr>
        <w:t xml:space="preserve">cio Palacio. </w:t>
      </w:r>
    </w:p>
  </w:footnote>
  <w:footnote w:id="331">
    <w:p w14:paraId="66A6DA5E" w14:textId="77777777" w:rsidR="004832B6" w:rsidRPr="00D314C8" w:rsidRDefault="004832B6" w:rsidP="008F1674">
      <w:pPr>
        <w:pStyle w:val="Textonotapie"/>
        <w:rPr>
          <w:lang w:val="es-CO"/>
        </w:rPr>
      </w:pPr>
      <w:r>
        <w:rPr>
          <w:rStyle w:val="Refdenotaalpie"/>
        </w:rPr>
        <w:footnoteRef/>
      </w:r>
      <w:r>
        <w:t xml:space="preserve"> </w:t>
      </w:r>
      <w:r>
        <w:t xml:space="preserve">Corte Constitucional. Sentencia SU-072 de 2018. M.P. </w:t>
      </w:r>
      <w:r>
        <w:rPr>
          <w:lang w:val="es-CO"/>
        </w:rPr>
        <w:t>José Fernando Reyes Cuartas.</w:t>
      </w:r>
    </w:p>
  </w:footnote>
  <w:footnote w:id="332">
    <w:p w14:paraId="2A143446" w14:textId="77777777" w:rsidR="004832B6" w:rsidRDefault="004832B6" w:rsidP="00EA7344">
      <w:pPr>
        <w:pStyle w:val="Textonotapie"/>
        <w:jc w:val="both"/>
      </w:pPr>
      <w:r w:rsidRPr="00657379">
        <w:rPr>
          <w:vertAlign w:val="superscript"/>
        </w:rPr>
        <w:footnoteRef/>
      </w:r>
      <w:r w:rsidRPr="00657379">
        <w:t xml:space="preserve"> </w:t>
      </w:r>
      <w:r w:rsidRPr="00657379">
        <w:t>Ver sentencia SU-210 de 2017</w:t>
      </w:r>
      <w:r>
        <w:rPr>
          <w:lang w:val="es-CO"/>
        </w:rPr>
        <w:t xml:space="preserve"> M.P. ( E) José Antonio Cepeda Amirís. </w:t>
      </w:r>
      <w:r>
        <w:t>Sentencia T-065 de 2015. M.P. María Victoria Calle Correa.</w:t>
      </w:r>
    </w:p>
  </w:footnote>
  <w:footnote w:id="333">
    <w:p w14:paraId="64261906" w14:textId="77777777" w:rsidR="004832B6" w:rsidRPr="00D314C8" w:rsidRDefault="004832B6">
      <w:pPr>
        <w:pStyle w:val="Textonotapie"/>
        <w:rPr>
          <w:lang w:val="es-CO"/>
        </w:rPr>
      </w:pPr>
      <w:r>
        <w:rPr>
          <w:rStyle w:val="Refdenotaalpie"/>
        </w:rPr>
        <w:footnoteRef/>
      </w:r>
      <w:r>
        <w:t xml:space="preserve"> </w:t>
      </w:r>
      <w:r>
        <w:rPr>
          <w:lang w:val="es-CO"/>
        </w:rPr>
        <w:t>M.P. Gabriel Eduardo Mendoza Martelo.</w:t>
      </w:r>
    </w:p>
  </w:footnote>
  <w:footnote w:id="334">
    <w:p w14:paraId="249AF2D8" w14:textId="77777777" w:rsidR="004832B6" w:rsidRDefault="004832B6" w:rsidP="004F3CB0">
      <w:pPr>
        <w:jc w:val="both"/>
      </w:pPr>
      <w:r w:rsidRPr="00626DD0">
        <w:rPr>
          <w:sz w:val="20"/>
          <w:vertAlign w:val="superscript"/>
        </w:rPr>
        <w:footnoteRef/>
      </w:r>
      <w:r w:rsidRPr="00626DD0">
        <w:rPr>
          <w:sz w:val="20"/>
        </w:rPr>
        <w:t xml:space="preserve"> </w:t>
      </w:r>
      <w:r>
        <w:rPr>
          <w:sz w:val="20"/>
        </w:rPr>
        <w:t xml:space="preserve">Corte Constitucional. </w:t>
      </w:r>
      <w:r w:rsidRPr="00626DD0">
        <w:rPr>
          <w:sz w:val="20"/>
        </w:rPr>
        <w:t>Sentencia</w:t>
      </w:r>
      <w:r>
        <w:rPr>
          <w:sz w:val="20"/>
        </w:rPr>
        <w:t>s</w:t>
      </w:r>
      <w:r w:rsidRPr="00626DD0">
        <w:rPr>
          <w:sz w:val="20"/>
        </w:rPr>
        <w:t xml:space="preserve"> T-114 de 2002 y T- 1285 de 2005.</w:t>
      </w:r>
    </w:p>
  </w:footnote>
  <w:footnote w:id="335">
    <w:p w14:paraId="6762FF04" w14:textId="77777777" w:rsidR="004832B6" w:rsidRDefault="004832B6" w:rsidP="004F3CB0">
      <w:pPr>
        <w:jc w:val="both"/>
      </w:pPr>
      <w:r w:rsidRPr="00626DD0">
        <w:rPr>
          <w:sz w:val="20"/>
          <w:vertAlign w:val="superscript"/>
        </w:rPr>
        <w:footnoteRef/>
      </w:r>
      <w:r w:rsidRPr="00626DD0">
        <w:rPr>
          <w:sz w:val="20"/>
        </w:rPr>
        <w:t xml:space="preserve"> Ver sentencias T-292 de 2006, SU-640 de 1998 y T-462 de 2003.</w:t>
      </w:r>
    </w:p>
  </w:footnote>
  <w:footnote w:id="336">
    <w:p w14:paraId="5BDE1F48" w14:textId="77777777" w:rsidR="004832B6" w:rsidRDefault="004832B6" w:rsidP="004F3CB0">
      <w:pPr>
        <w:jc w:val="both"/>
      </w:pPr>
      <w:r w:rsidRPr="00626DD0">
        <w:rPr>
          <w:sz w:val="20"/>
          <w:vertAlign w:val="superscript"/>
        </w:rPr>
        <w:footnoteRef/>
      </w:r>
      <w:r w:rsidRPr="00626DD0">
        <w:rPr>
          <w:sz w:val="20"/>
        </w:rPr>
        <w:t xml:space="preserve"> </w:t>
      </w:r>
      <w:r>
        <w:rPr>
          <w:sz w:val="20"/>
        </w:rPr>
        <w:t xml:space="preserve">Corte Constitucional, </w:t>
      </w:r>
      <w:r w:rsidRPr="00626DD0">
        <w:rPr>
          <w:sz w:val="20"/>
        </w:rPr>
        <w:t xml:space="preserve">Sentencia T-1285 de 2005. </w:t>
      </w:r>
    </w:p>
  </w:footnote>
  <w:footnote w:id="337">
    <w:p w14:paraId="7362FD65" w14:textId="77777777" w:rsidR="004832B6" w:rsidRDefault="004832B6" w:rsidP="004F3CB0">
      <w:pPr>
        <w:jc w:val="both"/>
      </w:pPr>
      <w:r w:rsidRPr="00626DD0">
        <w:rPr>
          <w:sz w:val="20"/>
          <w:vertAlign w:val="superscript"/>
        </w:rPr>
        <w:footnoteRef/>
      </w:r>
      <w:r w:rsidRPr="00626DD0">
        <w:rPr>
          <w:sz w:val="20"/>
        </w:rPr>
        <w:t xml:space="preserve"> </w:t>
      </w:r>
      <w:r>
        <w:rPr>
          <w:sz w:val="20"/>
        </w:rPr>
        <w:t xml:space="preserve">Corte Constitucional, </w:t>
      </w:r>
      <w:r w:rsidRPr="00626DD0">
        <w:rPr>
          <w:sz w:val="20"/>
        </w:rPr>
        <w:t>Sentencia T-047 de 2005.</w:t>
      </w:r>
    </w:p>
  </w:footnote>
  <w:footnote w:id="338">
    <w:p w14:paraId="37A00FA4" w14:textId="77777777" w:rsidR="004832B6" w:rsidRPr="000B1766" w:rsidRDefault="004832B6">
      <w:pPr>
        <w:pStyle w:val="Textonotapie"/>
        <w:rPr>
          <w:lang w:val="es-CO"/>
        </w:rPr>
      </w:pPr>
      <w:r>
        <w:rPr>
          <w:rStyle w:val="Refdenotaalpie"/>
        </w:rPr>
        <w:footnoteRef/>
      </w:r>
      <w:r>
        <w:t xml:space="preserve"> </w:t>
      </w:r>
      <w:r>
        <w:rPr>
          <w:lang w:val="es-CO"/>
        </w:rPr>
        <w:t>M.P. José Fernando Reyes Cuartas</w:t>
      </w:r>
    </w:p>
  </w:footnote>
  <w:footnote w:id="339">
    <w:p w14:paraId="1284DB7A" w14:textId="77777777" w:rsidR="004832B6" w:rsidRPr="00AE47EA" w:rsidRDefault="004832B6" w:rsidP="00827675">
      <w:pPr>
        <w:pStyle w:val="Prrafodelista"/>
        <w:ind w:left="0" w:right="49"/>
        <w:jc w:val="both"/>
        <w:rPr>
          <w:i/>
          <w:sz w:val="20"/>
          <w:highlight w:val="lightGray"/>
          <w:lang w:eastAsia="en-US"/>
        </w:rPr>
      </w:pPr>
      <w:r w:rsidRPr="00827675">
        <w:rPr>
          <w:rStyle w:val="Refdenotaalpie"/>
          <w:sz w:val="20"/>
        </w:rPr>
        <w:footnoteRef/>
      </w:r>
      <w:r w:rsidRPr="00827675">
        <w:rPr>
          <w:sz w:val="20"/>
        </w:rPr>
        <w:t xml:space="preserve"> </w:t>
      </w:r>
      <w:r>
        <w:rPr>
          <w:sz w:val="20"/>
        </w:rPr>
        <w:t xml:space="preserve">La sentencia </w:t>
      </w:r>
      <w:r w:rsidRPr="00827675">
        <w:rPr>
          <w:sz w:val="20"/>
        </w:rPr>
        <w:t>SU-632 de 2017</w:t>
      </w:r>
      <w:r>
        <w:rPr>
          <w:sz w:val="20"/>
        </w:rPr>
        <w:t xml:space="preserve"> M.P. José Fernando Reyes Cuartas,</w:t>
      </w:r>
      <w:r w:rsidRPr="00827675">
        <w:rPr>
          <w:sz w:val="20"/>
        </w:rPr>
        <w:t xml:space="preserve"> cita</w:t>
      </w:r>
      <w:r>
        <w:rPr>
          <w:sz w:val="20"/>
        </w:rPr>
        <w:t xml:space="preserve"> como fuente de algunas de estas </w:t>
      </w:r>
      <w:r w:rsidRPr="00CD2D32">
        <w:rPr>
          <w:sz w:val="20"/>
        </w:rPr>
        <w:t xml:space="preserve">hipótesis, </w:t>
      </w:r>
      <w:r w:rsidRPr="00CD2D32">
        <w:rPr>
          <w:sz w:val="20"/>
          <w:lang w:val="es-CO"/>
        </w:rPr>
        <w:t>las sentencias T</w:t>
      </w:r>
      <w:r w:rsidRPr="00CD2D32">
        <w:rPr>
          <w:rFonts w:eastAsia="SimSun"/>
          <w:sz w:val="20"/>
          <w:lang w:eastAsia="zh-CN"/>
        </w:rPr>
        <w:t xml:space="preserve">-168 de 2017 y SU-210 de </w:t>
      </w:r>
      <w:r w:rsidRPr="00CD2D32">
        <w:rPr>
          <w:sz w:val="20"/>
        </w:rPr>
        <w:t>2017</w:t>
      </w:r>
    </w:p>
  </w:footnote>
  <w:footnote w:id="340">
    <w:p w14:paraId="0DE48315" w14:textId="77777777" w:rsidR="004832B6" w:rsidRDefault="004832B6" w:rsidP="00351AE9">
      <w:pPr>
        <w:pStyle w:val="Textonotapie"/>
        <w:jc w:val="both"/>
      </w:pPr>
      <w:r w:rsidRPr="00657379">
        <w:rPr>
          <w:vertAlign w:val="superscript"/>
        </w:rPr>
        <w:footnoteRef/>
      </w:r>
      <w:r w:rsidRPr="00657379">
        <w:t xml:space="preserve"> </w:t>
      </w:r>
      <w:r w:rsidRPr="00657379">
        <w:rPr>
          <w:i/>
          <w:lang w:eastAsia="x-none"/>
        </w:rPr>
        <w:t>Cfr</w:t>
      </w:r>
      <w:r w:rsidRPr="00657379">
        <w:rPr>
          <w:lang w:eastAsia="x-none"/>
        </w:rPr>
        <w:t>. Sentencias T-158 de 1993</w:t>
      </w:r>
      <w:r w:rsidRPr="00657379">
        <w:rPr>
          <w:color w:val="000000"/>
          <w:shd w:val="clear" w:color="auto" w:fill="FFFFFF"/>
          <w:lang w:val="fr-FR" w:eastAsia="x-none"/>
        </w:rPr>
        <w:t>,</w:t>
      </w:r>
      <w:r w:rsidRPr="00657379">
        <w:rPr>
          <w:lang w:eastAsia="x-none"/>
        </w:rPr>
        <w:t xml:space="preserve"> T-804 de 1999</w:t>
      </w:r>
      <w:r w:rsidRPr="00657379">
        <w:rPr>
          <w:color w:val="000000"/>
          <w:shd w:val="clear" w:color="auto" w:fill="FFFFFF"/>
          <w:lang w:val="fr-FR" w:eastAsia="x-none"/>
        </w:rPr>
        <w:t xml:space="preserve"> y</w:t>
      </w:r>
      <w:r w:rsidRPr="00657379">
        <w:rPr>
          <w:lang w:eastAsia="x-none"/>
        </w:rPr>
        <w:t xml:space="preserve"> SU-159 2002</w:t>
      </w:r>
      <w:r w:rsidRPr="00657379">
        <w:rPr>
          <w:color w:val="000000"/>
          <w:shd w:val="clear" w:color="auto" w:fill="FFFFFF"/>
          <w:lang w:val="fr-FR" w:eastAsia="x-none"/>
        </w:rPr>
        <w:t>.</w:t>
      </w:r>
    </w:p>
  </w:footnote>
  <w:footnote w:id="341">
    <w:p w14:paraId="1285731B" w14:textId="77777777" w:rsidR="004832B6" w:rsidRPr="00081CB6" w:rsidRDefault="004832B6" w:rsidP="00351AE9">
      <w:pPr>
        <w:pStyle w:val="Textonotapie"/>
        <w:jc w:val="both"/>
      </w:pPr>
      <w:r w:rsidRPr="00081CB6">
        <w:rPr>
          <w:vertAlign w:val="superscript"/>
        </w:rPr>
        <w:footnoteRef/>
      </w:r>
      <w:r w:rsidRPr="00081CB6">
        <w:t xml:space="preserve"> </w:t>
      </w:r>
      <w:r w:rsidRPr="00081CB6">
        <w:rPr>
          <w:i/>
          <w:lang w:eastAsia="x-none"/>
        </w:rPr>
        <w:t>Cfr</w:t>
      </w:r>
      <w:r w:rsidRPr="00081CB6">
        <w:rPr>
          <w:lang w:eastAsia="x-none"/>
        </w:rPr>
        <w:t xml:space="preserve">. </w:t>
      </w:r>
      <w:r w:rsidRPr="00081CB6">
        <w:rPr>
          <w:shd w:val="clear" w:color="auto" w:fill="FFFFFF"/>
        </w:rPr>
        <w:t>Sentencia T-790 de 2010, T-510 de 2011</w:t>
      </w:r>
      <w:r w:rsidRPr="00081CB6">
        <w:rPr>
          <w:shd w:val="clear" w:color="auto" w:fill="FFFFFF"/>
          <w:lang w:val="fr-FR" w:eastAsia="x-none"/>
        </w:rPr>
        <w:t>.</w:t>
      </w:r>
    </w:p>
  </w:footnote>
  <w:footnote w:id="342">
    <w:p w14:paraId="249D884F" w14:textId="77777777" w:rsidR="004832B6" w:rsidRPr="00081CB6" w:rsidRDefault="004832B6" w:rsidP="00351AE9">
      <w:pPr>
        <w:pStyle w:val="Textonotapie"/>
        <w:jc w:val="both"/>
      </w:pPr>
      <w:r w:rsidRPr="00081CB6">
        <w:rPr>
          <w:vertAlign w:val="superscript"/>
        </w:rPr>
        <w:footnoteRef/>
      </w:r>
      <w:r w:rsidRPr="00081CB6">
        <w:t xml:space="preserve"> </w:t>
      </w:r>
      <w:r w:rsidRPr="00081CB6">
        <w:rPr>
          <w:i/>
          <w:lang w:eastAsia="x-none"/>
        </w:rPr>
        <w:t>Cfr</w:t>
      </w:r>
      <w:r w:rsidRPr="00081CB6">
        <w:rPr>
          <w:lang w:eastAsia="x-none"/>
        </w:rPr>
        <w:t>. Sentencias T-572 de 1994</w:t>
      </w:r>
      <w:r w:rsidRPr="00081CB6">
        <w:rPr>
          <w:shd w:val="clear" w:color="auto" w:fill="FFFFFF"/>
          <w:lang w:val="fr-FR" w:eastAsia="x-none"/>
        </w:rPr>
        <w:t>,</w:t>
      </w:r>
      <w:r w:rsidRPr="00081CB6">
        <w:rPr>
          <w:lang w:eastAsia="x-none"/>
        </w:rPr>
        <w:t xml:space="preserve"> SU-172 de 2000 y </w:t>
      </w:r>
      <w:r w:rsidRPr="00081CB6">
        <w:rPr>
          <w:shd w:val="clear" w:color="auto" w:fill="FFFFFF"/>
        </w:rPr>
        <w:t>SU-174 de 2007</w:t>
      </w:r>
      <w:r w:rsidRPr="00081CB6">
        <w:rPr>
          <w:shd w:val="clear" w:color="auto" w:fill="FFFFFF"/>
          <w:lang w:val="fr-FR" w:eastAsia="x-none"/>
        </w:rPr>
        <w:t>.</w:t>
      </w:r>
    </w:p>
  </w:footnote>
  <w:footnote w:id="343">
    <w:p w14:paraId="4A830CB3" w14:textId="77777777" w:rsidR="004832B6" w:rsidRPr="00081CB6" w:rsidRDefault="004832B6" w:rsidP="00351AE9">
      <w:pPr>
        <w:pStyle w:val="Textonotapie"/>
        <w:jc w:val="both"/>
      </w:pPr>
      <w:r w:rsidRPr="00081CB6">
        <w:rPr>
          <w:vertAlign w:val="superscript"/>
        </w:rPr>
        <w:footnoteRef/>
      </w:r>
      <w:r w:rsidRPr="00081CB6">
        <w:t xml:space="preserve"> </w:t>
      </w:r>
      <w:r w:rsidRPr="00081CB6">
        <w:rPr>
          <w:i/>
          <w:lang w:eastAsia="x-none"/>
        </w:rPr>
        <w:t>Cfr</w:t>
      </w:r>
      <w:r w:rsidRPr="00081CB6">
        <w:rPr>
          <w:lang w:eastAsia="x-none"/>
        </w:rPr>
        <w:t>. Sentencia T-100 de 1998</w:t>
      </w:r>
      <w:r w:rsidRPr="00081CB6">
        <w:rPr>
          <w:shd w:val="clear" w:color="auto" w:fill="FFFFFF"/>
          <w:lang w:val="fr-FR" w:eastAsia="x-none"/>
        </w:rPr>
        <w:t>.</w:t>
      </w:r>
    </w:p>
  </w:footnote>
  <w:footnote w:id="344">
    <w:p w14:paraId="208B0C3E" w14:textId="77777777" w:rsidR="004832B6" w:rsidRPr="00081CB6" w:rsidRDefault="004832B6" w:rsidP="00351AE9">
      <w:pPr>
        <w:pStyle w:val="Textonotapie"/>
        <w:jc w:val="both"/>
      </w:pPr>
      <w:r w:rsidRPr="00081CB6">
        <w:rPr>
          <w:vertAlign w:val="superscript"/>
        </w:rPr>
        <w:footnoteRef/>
      </w:r>
      <w:r w:rsidRPr="00081CB6">
        <w:t xml:space="preserve"> </w:t>
      </w:r>
      <w:r w:rsidRPr="00081CB6">
        <w:rPr>
          <w:i/>
          <w:lang w:eastAsia="x-none"/>
        </w:rPr>
        <w:t>Cfr</w:t>
      </w:r>
      <w:r w:rsidRPr="00081CB6">
        <w:rPr>
          <w:lang w:eastAsia="x-none"/>
        </w:rPr>
        <w:t>. Sentencia T-790 de 2010.</w:t>
      </w:r>
      <w:r w:rsidRPr="00081CB6">
        <w:rPr>
          <w:sz w:val="22"/>
          <w:szCs w:val="22"/>
          <w:shd w:val="clear" w:color="auto" w:fill="FFFFFF"/>
          <w:lang w:eastAsia="x-none"/>
        </w:rPr>
        <w:t xml:space="preserve"> </w:t>
      </w:r>
    </w:p>
  </w:footnote>
  <w:footnote w:id="345">
    <w:p w14:paraId="11615881" w14:textId="77777777" w:rsidR="004832B6" w:rsidRPr="00081CB6" w:rsidRDefault="004832B6" w:rsidP="00351AE9">
      <w:pPr>
        <w:pStyle w:val="Textonotapie"/>
        <w:jc w:val="both"/>
      </w:pPr>
      <w:r w:rsidRPr="00081CB6">
        <w:rPr>
          <w:vertAlign w:val="superscript"/>
        </w:rPr>
        <w:footnoteRef/>
      </w:r>
      <w:r w:rsidRPr="00081CB6">
        <w:t xml:space="preserve"> </w:t>
      </w:r>
      <w:r w:rsidRPr="00081CB6">
        <w:rPr>
          <w:i/>
          <w:lang w:eastAsia="x-none"/>
        </w:rPr>
        <w:t>Cfr</w:t>
      </w:r>
      <w:r w:rsidRPr="00081CB6">
        <w:rPr>
          <w:lang w:eastAsia="x-none"/>
        </w:rPr>
        <w:t>. Sentencias T-572 de 1994</w:t>
      </w:r>
      <w:r w:rsidRPr="00081CB6">
        <w:rPr>
          <w:shd w:val="clear" w:color="auto" w:fill="FFFFFF"/>
          <w:lang w:val="fr-FR" w:eastAsia="x-none"/>
        </w:rPr>
        <w:t xml:space="preserve"> y</w:t>
      </w:r>
      <w:r w:rsidRPr="00081CB6">
        <w:rPr>
          <w:lang w:eastAsia="x-none"/>
        </w:rPr>
        <w:t xml:space="preserve"> SU-159 de 2002.</w:t>
      </w:r>
    </w:p>
  </w:footnote>
  <w:footnote w:id="346">
    <w:p w14:paraId="5E8D0642" w14:textId="77777777" w:rsidR="004832B6" w:rsidRPr="00081CB6" w:rsidRDefault="004832B6" w:rsidP="00EA7344">
      <w:pPr>
        <w:pStyle w:val="Textonotapie"/>
        <w:shd w:val="clear" w:color="auto" w:fill="FFFFFF"/>
      </w:pPr>
      <w:r w:rsidRPr="00081CB6">
        <w:rPr>
          <w:rStyle w:val="Refdenotaalpie"/>
        </w:rPr>
        <w:footnoteRef/>
      </w:r>
      <w:r w:rsidRPr="00081CB6">
        <w:t xml:space="preserve"> </w:t>
      </w:r>
      <w:r w:rsidRPr="00081CB6">
        <w:t>M.P. Gloria Stella Ortiz Delgado.</w:t>
      </w:r>
    </w:p>
  </w:footnote>
  <w:footnote w:id="347">
    <w:p w14:paraId="6335F10F" w14:textId="77777777" w:rsidR="004832B6" w:rsidRPr="00081CB6" w:rsidRDefault="004832B6" w:rsidP="00EA7344">
      <w:pPr>
        <w:pStyle w:val="Textonotapie"/>
        <w:shd w:val="clear" w:color="auto" w:fill="FFFFFF"/>
      </w:pPr>
      <w:r w:rsidRPr="00081CB6">
        <w:rPr>
          <w:rStyle w:val="Refdenotaalpie"/>
        </w:rPr>
        <w:footnoteRef/>
      </w:r>
      <w:r w:rsidRPr="00081CB6">
        <w:rPr>
          <w:vertAlign w:val="superscript"/>
        </w:rPr>
        <w:t xml:space="preserve"> </w:t>
      </w:r>
      <w:r w:rsidRPr="00081CB6">
        <w:rPr>
          <w:lang w:val="es-ES"/>
        </w:rPr>
        <w:t xml:space="preserve">Sentencia SU-298 de 2015, </w:t>
      </w:r>
      <w:r w:rsidRPr="00081CB6">
        <w:t>M.P. Gloria Stella Ortiz Delgado.</w:t>
      </w:r>
    </w:p>
  </w:footnote>
  <w:footnote w:id="348">
    <w:p w14:paraId="276DB98C" w14:textId="77777777" w:rsidR="004832B6" w:rsidRPr="00CD2D32" w:rsidRDefault="004832B6">
      <w:pPr>
        <w:pStyle w:val="Textonotapie"/>
        <w:rPr>
          <w:lang w:val="es-CO"/>
        </w:rPr>
      </w:pPr>
      <w:r w:rsidRPr="00CD2D32">
        <w:rPr>
          <w:rStyle w:val="Refdenotaalpie"/>
        </w:rPr>
        <w:footnoteRef/>
      </w:r>
      <w:r w:rsidRPr="00CD2D32">
        <w:t xml:space="preserve"> </w:t>
      </w:r>
      <w:r w:rsidRPr="00CD2D32">
        <w:rPr>
          <w:lang w:val="es-CO"/>
        </w:rPr>
        <w:t>M.P. Gloria Stella Ortiz Delgado.</w:t>
      </w:r>
    </w:p>
  </w:footnote>
  <w:footnote w:id="349">
    <w:p w14:paraId="3773F552" w14:textId="77777777" w:rsidR="004832B6" w:rsidRPr="00CD2D32" w:rsidRDefault="004832B6" w:rsidP="006A6E9B">
      <w:pPr>
        <w:pStyle w:val="Textonotapie"/>
        <w:shd w:val="clear" w:color="auto" w:fill="FFFFFF"/>
      </w:pPr>
      <w:r w:rsidRPr="00CD2D32">
        <w:rPr>
          <w:rStyle w:val="Refdenotaalpie"/>
        </w:rPr>
        <w:footnoteRef/>
      </w:r>
      <w:r w:rsidRPr="00CD2D32">
        <w:rPr>
          <w:vertAlign w:val="superscript"/>
        </w:rPr>
        <w:t xml:space="preserve"> </w:t>
      </w:r>
      <w:r w:rsidRPr="00CD2D32">
        <w:t>MARINON</w:t>
      </w:r>
      <w:r>
        <w:rPr>
          <w:lang w:val="es-CO"/>
        </w:rPr>
        <w:t>I</w:t>
      </w:r>
      <w:r w:rsidRPr="00CD2D32">
        <w:t xml:space="preserve">, Luiz Guilherme. El precedente en la dimensión de la seguridad jurídica. </w:t>
      </w:r>
      <w:r w:rsidRPr="00CD2D32">
        <w:rPr>
          <w:i/>
        </w:rPr>
        <w:t>Ius et Praxis</w:t>
      </w:r>
      <w:r w:rsidRPr="00CD2D32">
        <w:t>, 2012, vol. 18, no 1, p. 249-266.</w:t>
      </w:r>
    </w:p>
  </w:footnote>
  <w:footnote w:id="350">
    <w:p w14:paraId="76970CDF" w14:textId="77777777" w:rsidR="004832B6" w:rsidRPr="00CD2D32" w:rsidRDefault="004832B6" w:rsidP="006A6E9B">
      <w:pPr>
        <w:pStyle w:val="Textonotapie"/>
        <w:shd w:val="clear" w:color="auto" w:fill="FFFFFF"/>
      </w:pPr>
      <w:r w:rsidRPr="00CD2D32">
        <w:rPr>
          <w:rStyle w:val="Refdenotaalpie"/>
        </w:rPr>
        <w:footnoteRef/>
      </w:r>
      <w:r w:rsidRPr="00CD2D32">
        <w:rPr>
          <w:vertAlign w:val="superscript"/>
        </w:rPr>
        <w:t xml:space="preserve"> </w:t>
      </w:r>
      <w:r w:rsidRPr="00CD2D32">
        <w:t>Sentencia SU-053 de 2015. M.P. Gloria Stella Ortiz Delgado.</w:t>
      </w:r>
    </w:p>
  </w:footnote>
  <w:footnote w:id="351">
    <w:p w14:paraId="1BD5CF29" w14:textId="77777777" w:rsidR="004832B6" w:rsidRPr="00CD2D32" w:rsidRDefault="004832B6">
      <w:pPr>
        <w:pStyle w:val="Textonotapie"/>
        <w:rPr>
          <w:lang w:val="es-CO"/>
        </w:rPr>
      </w:pPr>
      <w:r w:rsidRPr="00CD2D32">
        <w:rPr>
          <w:rStyle w:val="Refdenotaalpie"/>
        </w:rPr>
        <w:footnoteRef/>
      </w:r>
      <w:r w:rsidRPr="00CD2D32">
        <w:t xml:space="preserve"> </w:t>
      </w:r>
      <w:r w:rsidRPr="00CD2D32">
        <w:rPr>
          <w:lang w:val="es-CO"/>
        </w:rPr>
        <w:t xml:space="preserve">Cfr. </w:t>
      </w:r>
      <w:r w:rsidRPr="00CD2D32">
        <w:rPr>
          <w:szCs w:val="28"/>
          <w:lang w:eastAsia="es-CO"/>
        </w:rPr>
        <w:t>Sentencia T-109 de 2019</w:t>
      </w:r>
      <w:r w:rsidRPr="00CD2D32">
        <w:rPr>
          <w:szCs w:val="28"/>
          <w:lang w:val="es-CO" w:eastAsia="es-CO"/>
        </w:rPr>
        <w:t xml:space="preserve"> </w:t>
      </w:r>
      <w:r w:rsidRPr="00CD2D32">
        <w:t>M.P. Gloria Stella Ortiz Delgado.</w:t>
      </w:r>
    </w:p>
  </w:footnote>
  <w:footnote w:id="352">
    <w:p w14:paraId="74790D04" w14:textId="77777777" w:rsidR="004832B6" w:rsidRPr="00CD2D32" w:rsidRDefault="004832B6" w:rsidP="00AE47EA">
      <w:pPr>
        <w:pStyle w:val="Textonotapie"/>
        <w:jc w:val="both"/>
        <w:rPr>
          <w:lang w:val="es-ES"/>
        </w:rPr>
      </w:pPr>
      <w:r w:rsidRPr="00CD2D32">
        <w:rPr>
          <w:rStyle w:val="Refdenotaalpie"/>
        </w:rPr>
        <w:footnoteRef/>
      </w:r>
      <w:r w:rsidRPr="00CD2D32">
        <w:t xml:space="preserve"> </w:t>
      </w:r>
      <w:r w:rsidRPr="00CD2D32">
        <w:t>Debe</w:t>
      </w:r>
      <w:r w:rsidRPr="00CD2D32">
        <w:rPr>
          <w:lang w:val="es-CO"/>
        </w:rPr>
        <w:t>n</w:t>
      </w:r>
      <w:r w:rsidRPr="00CD2D32">
        <w:t xml:space="preserve"> entenderse por </w:t>
      </w:r>
      <w:r w:rsidRPr="00CD2D32">
        <w:rPr>
          <w:i/>
          <w:iCs/>
        </w:rPr>
        <w:t>ratio decidendi</w:t>
      </w:r>
      <w:r w:rsidRPr="00CD2D32">
        <w:t>, los conceptos consignados en la parte motiva de una decisión, que guardan una relación estrecha, directa e inescindible con la parte resolutiva, o, dicho de otro modo, aquella parte de la argumentación que se considera absolutamente básica, necesaria e indispensable para servir de soporte directo a la parte resolutiva de las sentencias y que incida directamente en ella</w:t>
      </w:r>
      <w:r w:rsidRPr="00CD2D32">
        <w:rPr>
          <w:lang w:val="es-CO"/>
        </w:rPr>
        <w:t>. Ella</w:t>
      </w:r>
      <w:r w:rsidRPr="00CD2D32">
        <w:t xml:space="preserve"> tiene fuerza vinculante  y obliga a l</w:t>
      </w:r>
      <w:r w:rsidRPr="00CD2D32">
        <w:rPr>
          <w:lang w:val="es-CO"/>
        </w:rPr>
        <w:t>as autoridades judiciales</w:t>
      </w:r>
      <w:r w:rsidRPr="00CD2D32">
        <w:t>.</w:t>
      </w:r>
      <w:r w:rsidRPr="00CD2D32">
        <w:rPr>
          <w:lang w:val="es-CO"/>
        </w:rPr>
        <w:t xml:space="preserve"> </w:t>
      </w:r>
      <w:r w:rsidRPr="00CD2D32">
        <w:t>Ver entre otras providencias, la  Sentencia C-037 de 1996 M.P. Vladimiro Naranjo Mesa.</w:t>
      </w:r>
    </w:p>
  </w:footnote>
  <w:footnote w:id="353">
    <w:p w14:paraId="62F54A56" w14:textId="77777777" w:rsidR="004832B6" w:rsidRPr="00CD2D32" w:rsidRDefault="004832B6" w:rsidP="00AE47EA">
      <w:pPr>
        <w:pStyle w:val="Textonotapie"/>
        <w:jc w:val="both"/>
      </w:pPr>
      <w:r w:rsidRPr="00CD2D32">
        <w:rPr>
          <w:rStyle w:val="Refdenotaalpie"/>
        </w:rPr>
        <w:footnoteRef/>
      </w:r>
      <w:r w:rsidRPr="00CD2D32">
        <w:rPr>
          <w:lang w:val="es-CO"/>
        </w:rPr>
        <w:t xml:space="preserve">Corte Constitucional. Sentencia SU-354 de 2017. M.P. (E) Iván Escrucería Mayolo. Ver también la sentencia C-621 de 2015. </w:t>
      </w:r>
    </w:p>
  </w:footnote>
  <w:footnote w:id="354">
    <w:p w14:paraId="7731B70E" w14:textId="77777777" w:rsidR="004832B6" w:rsidRPr="00CD2D32" w:rsidRDefault="004832B6" w:rsidP="00AE47EA">
      <w:pPr>
        <w:pStyle w:val="Textonotapie"/>
        <w:shd w:val="clear" w:color="auto" w:fill="FFFFFF"/>
        <w:rPr>
          <w:lang w:val="es-CO"/>
        </w:rPr>
      </w:pPr>
      <w:r w:rsidRPr="00CD2D32">
        <w:rPr>
          <w:rStyle w:val="Refdenotaalpie"/>
        </w:rPr>
        <w:footnoteRef/>
      </w:r>
      <w:r w:rsidRPr="00CD2D32">
        <w:t xml:space="preserve"> </w:t>
      </w:r>
      <w:r w:rsidRPr="00CD2D32">
        <w:rPr>
          <w:lang w:val="es-CO"/>
        </w:rPr>
        <w:t xml:space="preserve">Corte Constitucional. </w:t>
      </w:r>
      <w:r w:rsidRPr="00CD2D32">
        <w:t>Sentencia T-737 de 2015. M.P. Gloria Stella Ortiz Delgado.</w:t>
      </w:r>
    </w:p>
  </w:footnote>
  <w:footnote w:id="355">
    <w:p w14:paraId="494890EB" w14:textId="77777777" w:rsidR="004832B6" w:rsidRPr="00CD2D32" w:rsidRDefault="004832B6">
      <w:pPr>
        <w:pStyle w:val="Textonotapie"/>
        <w:rPr>
          <w:lang w:val="es-CO"/>
        </w:rPr>
      </w:pPr>
      <w:r w:rsidRPr="00CD2D32">
        <w:rPr>
          <w:rStyle w:val="Refdenotaalpie"/>
        </w:rPr>
        <w:footnoteRef/>
      </w:r>
      <w:r w:rsidRPr="00CD2D32">
        <w:t xml:space="preserve"> </w:t>
      </w:r>
      <w:r w:rsidRPr="00CD2D32">
        <w:rPr>
          <w:lang w:val="es-CO"/>
        </w:rPr>
        <w:t xml:space="preserve">Cfr. </w:t>
      </w:r>
      <w:r w:rsidRPr="00CD2D32">
        <w:rPr>
          <w:lang w:eastAsia="es-CO"/>
        </w:rPr>
        <w:t>Sentencia T-109 de 2019</w:t>
      </w:r>
      <w:r w:rsidRPr="00CD2D32">
        <w:rPr>
          <w:lang w:val="es-CO" w:eastAsia="es-CO"/>
        </w:rPr>
        <w:t xml:space="preserve"> </w:t>
      </w:r>
      <w:r w:rsidRPr="00CD2D32">
        <w:t>M.P. Gloria Stella Ortiz Delgado.</w:t>
      </w:r>
    </w:p>
  </w:footnote>
  <w:footnote w:id="356">
    <w:p w14:paraId="7FEC5285" w14:textId="77777777" w:rsidR="004832B6" w:rsidRPr="00CD2D32" w:rsidRDefault="004832B6" w:rsidP="00332B28">
      <w:pPr>
        <w:pStyle w:val="Prrafodelista"/>
        <w:ind w:left="0"/>
        <w:contextualSpacing/>
        <w:jc w:val="both"/>
        <w:rPr>
          <w:sz w:val="20"/>
          <w:shd w:val="clear" w:color="auto" w:fill="FFFFFF"/>
          <w:lang w:val="es-CO" w:eastAsia="en-US"/>
        </w:rPr>
      </w:pPr>
      <w:r w:rsidRPr="00CD2D32">
        <w:rPr>
          <w:rStyle w:val="Refdenotaalpie"/>
          <w:sz w:val="20"/>
        </w:rPr>
        <w:footnoteRef/>
      </w:r>
      <w:r w:rsidRPr="00CD2D32">
        <w:rPr>
          <w:sz w:val="20"/>
        </w:rPr>
        <w:t xml:space="preserve"> </w:t>
      </w:r>
      <w:r w:rsidRPr="00CD2D32">
        <w:rPr>
          <w:sz w:val="20"/>
          <w:lang w:val="es-CO"/>
        </w:rPr>
        <w:t>En la sentencia T-109 de 2019 M.P. Gloria Stella Ortiz Delgado, se especifica lo anterior de la siguiente forma: “</w:t>
      </w:r>
      <w:r w:rsidRPr="00CD2D32">
        <w:rPr>
          <w:sz w:val="20"/>
          <w:shd w:val="clear" w:color="auto" w:fill="FFFFFF"/>
        </w:rPr>
        <w:t xml:space="preserve">En suma, esta Corporación fijó los parámetros que permiten determinar si en un caso específico resulta aplicable un precedente. Así, deben verificarse los siguientes criterios: (i) que en la </w:t>
      </w:r>
      <w:r w:rsidRPr="00CD2D32">
        <w:rPr>
          <w:i/>
          <w:sz w:val="20"/>
          <w:shd w:val="clear" w:color="auto" w:fill="FFFFFF"/>
        </w:rPr>
        <w:t>ratio decidendi</w:t>
      </w:r>
      <w:r w:rsidRPr="00CD2D32">
        <w:rPr>
          <w:sz w:val="20"/>
          <w:shd w:val="clear" w:color="auto" w:fill="FFFFFF"/>
        </w:rPr>
        <w:t xml:space="preserve"> de la sentencia anterior se encuentre una </w:t>
      </w:r>
      <w:r w:rsidRPr="00CD2D32">
        <w:rPr>
          <w:b/>
          <w:sz w:val="20"/>
          <w:shd w:val="clear" w:color="auto" w:fill="FFFFFF"/>
        </w:rPr>
        <w:t>regla</w:t>
      </w:r>
      <w:r w:rsidRPr="00CD2D32">
        <w:rPr>
          <w:sz w:val="20"/>
          <w:shd w:val="clear" w:color="auto" w:fill="FFFFFF"/>
        </w:rPr>
        <w:t xml:space="preserve"> </w:t>
      </w:r>
      <w:r w:rsidRPr="00CD2D32">
        <w:rPr>
          <w:b/>
          <w:sz w:val="20"/>
          <w:shd w:val="clear" w:color="auto" w:fill="FFFFFF"/>
        </w:rPr>
        <w:t>jurisprudencial</w:t>
      </w:r>
      <w:r w:rsidRPr="00CD2D32">
        <w:rPr>
          <w:sz w:val="20"/>
          <w:shd w:val="clear" w:color="auto" w:fill="FFFFFF"/>
        </w:rPr>
        <w:t xml:space="preserve"> aplicable al caso a resolver; (ii) que dicha razón de decisión resuelva un </w:t>
      </w:r>
      <w:r w:rsidRPr="00CD2D32">
        <w:rPr>
          <w:b/>
          <w:sz w:val="20"/>
          <w:shd w:val="clear" w:color="auto" w:fill="FFFFFF"/>
        </w:rPr>
        <w:t>problema jurídico semejante</w:t>
      </w:r>
      <w:r w:rsidRPr="00CD2D32">
        <w:rPr>
          <w:sz w:val="20"/>
          <w:shd w:val="clear" w:color="auto" w:fill="FFFFFF"/>
        </w:rPr>
        <w:t xml:space="preserve"> al propuesto en el nuevo caso; y (iii) que los </w:t>
      </w:r>
      <w:r w:rsidRPr="00CD2D32">
        <w:rPr>
          <w:b/>
          <w:sz w:val="20"/>
          <w:shd w:val="clear" w:color="auto" w:fill="FFFFFF"/>
        </w:rPr>
        <w:t>hechos del caso sean equiparables</w:t>
      </w:r>
      <w:r w:rsidRPr="00CD2D32">
        <w:rPr>
          <w:sz w:val="20"/>
          <w:shd w:val="clear" w:color="auto" w:fill="FFFFFF"/>
        </w:rPr>
        <w:t xml:space="preserve"> a los resueltos anteriormente”</w:t>
      </w:r>
    </w:p>
  </w:footnote>
  <w:footnote w:id="357">
    <w:p w14:paraId="2826BFA4" w14:textId="77777777" w:rsidR="004832B6" w:rsidRPr="00A75910" w:rsidRDefault="004832B6" w:rsidP="00A75910">
      <w:pPr>
        <w:pStyle w:val="Textonotapie"/>
        <w:jc w:val="both"/>
        <w:rPr>
          <w:lang w:val="es-CO"/>
        </w:rPr>
      </w:pPr>
      <w:r w:rsidRPr="00CD2D32">
        <w:rPr>
          <w:rStyle w:val="Refdenotaalpie"/>
        </w:rPr>
        <w:footnoteRef/>
      </w:r>
      <w:r w:rsidRPr="00CD2D32">
        <w:t xml:space="preserve"> </w:t>
      </w:r>
      <w:r w:rsidRPr="00CD2D32">
        <w:rPr>
          <w:lang w:val="es-CO"/>
        </w:rPr>
        <w:t>La Sentencia T-292 de 2006 M.P. Manuel José Cepeda Espinosa, fijó los parámetros que permiten determinar si en un caso es aplicable o no un precedente. Así la sentencia estableció que deben verificarse los siguientes criterios: (i) que en la ratio decidendi de la sentencia anterior se encuentre una regla jurisprudencial aplicable al caso a resolver; (ii) que esta ratio resuelva un problema jurídico semejante al propuesto en el nuevo caso y (iii) que los hechos del caso sean equiparables a los resueltos anteriormente.</w:t>
      </w:r>
      <w:r w:rsidRPr="00CD2D32">
        <w:t xml:space="preserve"> </w:t>
      </w:r>
      <w:r w:rsidRPr="00CD2D32">
        <w:rPr>
          <w:lang w:val="es-CO"/>
        </w:rPr>
        <w:t>De no comprobarse la presencia de estos tres elementos, no es posible establecer que un conjunto de sentencias anteriores constituye precedente aplicable al caso concreto, por lo cual al juez no le es exigible dar aplicación al mismo.</w:t>
      </w:r>
    </w:p>
  </w:footnote>
  <w:footnote w:id="358">
    <w:p w14:paraId="7192ABD9" w14:textId="77777777" w:rsidR="004832B6" w:rsidRPr="005E60BA" w:rsidRDefault="004832B6" w:rsidP="00A75910">
      <w:pPr>
        <w:pStyle w:val="Textonotapie"/>
        <w:jc w:val="both"/>
      </w:pPr>
      <w:r w:rsidRPr="005E60BA">
        <w:rPr>
          <w:rStyle w:val="Refdenotaalpie"/>
        </w:rPr>
        <w:footnoteRef/>
      </w:r>
      <w:r w:rsidRPr="005E60BA">
        <w:t xml:space="preserve"> </w:t>
      </w:r>
      <w:r w:rsidRPr="005E60BA">
        <w:rPr>
          <w:lang w:val="es-CO"/>
        </w:rPr>
        <w:t>De acuerdo con la Sentencia T-024 de 2018 M.P. Gloria Stella Ortiz Delgado, “</w:t>
      </w:r>
      <w:r w:rsidRPr="005E60BA">
        <w:rPr>
          <w:i/>
          <w:iCs/>
          <w:shd w:val="clear" w:color="auto" w:fill="FFFFFF"/>
          <w:lang w:val="es-ES"/>
        </w:rPr>
        <w:t xml:space="preserve">el reconocimiento del carácter vinculante del precedente, en especial si es fijado por órganos cuya función es unificar jurisprudencia (…) se funda en una postura teórica que señala que “el Derecho no es una aplicación mecánica de consecuencias jurídicas previstas en preceptos generales, como lo aspiraba la práctica jurídica de inicios del siglo XIX…, sino una práctica argumentativa racional”. Con lo cual, en últimas, se le otorga al precedente la categoría </w:t>
      </w:r>
      <w:r w:rsidRPr="005E60BA">
        <w:rPr>
          <w:b/>
          <w:bCs/>
          <w:i/>
          <w:iCs/>
          <w:shd w:val="clear" w:color="auto" w:fill="FFFFFF"/>
          <w:lang w:val="es-ES"/>
        </w:rPr>
        <w:t>de fuente de derecho aplicable al caso concreto</w:t>
      </w:r>
      <w:r w:rsidRPr="005E60BA">
        <w:rPr>
          <w:i/>
          <w:iCs/>
          <w:shd w:val="clear" w:color="auto" w:fill="FFFFFF"/>
          <w:lang w:val="es-ES"/>
        </w:rPr>
        <w:t>”.</w:t>
      </w:r>
      <w:r w:rsidRPr="005E60BA">
        <w:rPr>
          <w:shd w:val="clear" w:color="auto" w:fill="FFFFFF"/>
          <w:lang w:val="es-ES"/>
        </w:rPr>
        <w:t> </w:t>
      </w:r>
    </w:p>
  </w:footnote>
  <w:footnote w:id="359">
    <w:p w14:paraId="22D7A9A8" w14:textId="77777777" w:rsidR="004832B6" w:rsidRPr="005E60BA" w:rsidRDefault="004832B6" w:rsidP="00A75910">
      <w:pPr>
        <w:pStyle w:val="Textonotapie"/>
        <w:jc w:val="both"/>
        <w:rPr>
          <w:lang w:val="es-CO"/>
        </w:rPr>
      </w:pPr>
      <w:r w:rsidRPr="005E60BA">
        <w:rPr>
          <w:rStyle w:val="Refdenotaalpie"/>
        </w:rPr>
        <w:footnoteRef/>
      </w:r>
      <w:r w:rsidRPr="005E60BA">
        <w:t xml:space="preserve"> </w:t>
      </w:r>
      <w:r w:rsidRPr="005E60BA">
        <w:rPr>
          <w:lang w:val="es-CO"/>
        </w:rPr>
        <w:t>Ver al respecto la Sentencia C-252 de 2001, M.P. Carlos Gaviria Díaz.</w:t>
      </w:r>
    </w:p>
  </w:footnote>
  <w:footnote w:id="360">
    <w:p w14:paraId="46945564" w14:textId="77777777" w:rsidR="004832B6" w:rsidRPr="00DA51CA" w:rsidRDefault="004832B6" w:rsidP="00A75910">
      <w:pPr>
        <w:pStyle w:val="Textonotapie"/>
        <w:jc w:val="both"/>
      </w:pPr>
      <w:r w:rsidRPr="005E60BA">
        <w:rPr>
          <w:rStyle w:val="Refdenotaalpie"/>
        </w:rPr>
        <w:footnoteRef/>
      </w:r>
      <w:r w:rsidRPr="005E60BA">
        <w:t xml:space="preserve"> </w:t>
      </w:r>
      <w:r w:rsidRPr="005E60BA">
        <w:rPr>
          <w:lang w:val="es-CO"/>
        </w:rPr>
        <w:t xml:space="preserve">Cfr. </w:t>
      </w:r>
      <w:r w:rsidRPr="005E60BA">
        <w:rPr>
          <w:lang w:eastAsia="es-CO"/>
        </w:rPr>
        <w:t>Sentencia T-109 de 2019</w:t>
      </w:r>
      <w:r w:rsidRPr="005E60BA">
        <w:rPr>
          <w:lang w:val="es-CO" w:eastAsia="es-CO"/>
        </w:rPr>
        <w:t xml:space="preserve"> </w:t>
      </w:r>
      <w:r w:rsidRPr="005E60BA">
        <w:t>M.P. Gloria Stella Ortiz Delgado.</w:t>
      </w:r>
    </w:p>
  </w:footnote>
  <w:footnote w:id="361">
    <w:p w14:paraId="439CC27B" w14:textId="77777777" w:rsidR="004832B6" w:rsidRPr="009C1613" w:rsidRDefault="004832B6" w:rsidP="009C1613">
      <w:pPr>
        <w:pStyle w:val="Textonotapie"/>
        <w:rPr>
          <w:lang w:val="es-CO"/>
        </w:rPr>
      </w:pPr>
      <w:r w:rsidRPr="009C1613">
        <w:rPr>
          <w:rStyle w:val="Refdenotaalpie"/>
        </w:rPr>
        <w:footnoteRef/>
      </w:r>
      <w:r w:rsidRPr="009C1613">
        <w:t xml:space="preserve"> </w:t>
      </w:r>
      <w:r w:rsidRPr="009C1613">
        <w:rPr>
          <w:lang w:val="es-CO"/>
        </w:rPr>
        <w:t xml:space="preserve">Corte Constitucional. Sentencia T-109 de 2019. M.P. Gloria Stella Ortiz Delgado. </w:t>
      </w:r>
    </w:p>
  </w:footnote>
  <w:footnote w:id="362">
    <w:p w14:paraId="6FDDCAC3" w14:textId="77777777" w:rsidR="004832B6" w:rsidRPr="009C1613" w:rsidRDefault="004832B6">
      <w:pPr>
        <w:pStyle w:val="Textonotapie"/>
        <w:rPr>
          <w:lang w:val="es-CO"/>
        </w:rPr>
      </w:pPr>
      <w:r w:rsidRPr="009C1613">
        <w:rPr>
          <w:rStyle w:val="Refdenotaalpie"/>
        </w:rPr>
        <w:footnoteRef/>
      </w:r>
      <w:r w:rsidRPr="009C1613">
        <w:t xml:space="preserve"> </w:t>
      </w:r>
      <w:r w:rsidRPr="009C1613">
        <w:rPr>
          <w:lang w:val="es-CO"/>
        </w:rPr>
        <w:t xml:space="preserve">Ibídem. </w:t>
      </w:r>
    </w:p>
  </w:footnote>
  <w:footnote w:id="363">
    <w:p w14:paraId="2AB89221" w14:textId="77777777" w:rsidR="004832B6" w:rsidRPr="009C1613" w:rsidRDefault="004832B6">
      <w:pPr>
        <w:pStyle w:val="Textonotapie"/>
        <w:rPr>
          <w:lang w:val="es-CO"/>
        </w:rPr>
      </w:pPr>
      <w:r w:rsidRPr="009C1613">
        <w:rPr>
          <w:rStyle w:val="Refdenotaalpie"/>
        </w:rPr>
        <w:footnoteRef/>
      </w:r>
      <w:r w:rsidRPr="009C1613">
        <w:t xml:space="preserve"> </w:t>
      </w:r>
      <w:r w:rsidRPr="009C1613">
        <w:rPr>
          <w:lang w:val="es-CO"/>
        </w:rPr>
        <w:t>M.P. Eduardo Montealegre Lynett</w:t>
      </w:r>
    </w:p>
  </w:footnote>
  <w:footnote w:id="364">
    <w:p w14:paraId="05CAB610" w14:textId="77777777" w:rsidR="004832B6" w:rsidRPr="009C1613" w:rsidRDefault="004832B6">
      <w:pPr>
        <w:pStyle w:val="Textonotapie"/>
        <w:rPr>
          <w:lang w:val="es-CO"/>
        </w:rPr>
      </w:pPr>
      <w:r w:rsidRPr="009C1613">
        <w:rPr>
          <w:rStyle w:val="Refdenotaalpie"/>
        </w:rPr>
        <w:footnoteRef/>
      </w:r>
      <w:r w:rsidRPr="009C1613">
        <w:t xml:space="preserve"> </w:t>
      </w:r>
      <w:r w:rsidRPr="009C1613">
        <w:rPr>
          <w:lang w:val="es-CO"/>
        </w:rPr>
        <w:t xml:space="preserve">Ver, Corte Constitucional. Sentencia SU-069 de 2018. </w:t>
      </w:r>
      <w:bookmarkStart w:id="33" w:name="_Hlk50700698"/>
      <w:r w:rsidRPr="009C1613">
        <w:rPr>
          <w:lang w:val="es-CO"/>
        </w:rPr>
        <w:t>M.P. José Fernando Reyes Cuartas</w:t>
      </w:r>
      <w:bookmarkEnd w:id="33"/>
    </w:p>
  </w:footnote>
  <w:footnote w:id="365">
    <w:p w14:paraId="4CB72E85" w14:textId="77777777" w:rsidR="004832B6" w:rsidRPr="009C1613" w:rsidRDefault="004832B6">
      <w:pPr>
        <w:pStyle w:val="Textonotapie"/>
        <w:rPr>
          <w:lang w:val="es-CO"/>
        </w:rPr>
      </w:pPr>
      <w:r w:rsidRPr="009C1613">
        <w:rPr>
          <w:rStyle w:val="Refdenotaalpie"/>
        </w:rPr>
        <w:footnoteRef/>
      </w:r>
      <w:r w:rsidRPr="009C1613">
        <w:t xml:space="preserve"> </w:t>
      </w:r>
      <w:r w:rsidRPr="009C1613">
        <w:rPr>
          <w:lang w:val="es-CO"/>
        </w:rPr>
        <w:t>M.P. Jaime Córdoba Triviño.</w:t>
      </w:r>
    </w:p>
  </w:footnote>
  <w:footnote w:id="366">
    <w:p w14:paraId="2A8092B0" w14:textId="77777777" w:rsidR="004832B6" w:rsidRPr="00503602" w:rsidRDefault="004832B6">
      <w:pPr>
        <w:pStyle w:val="Textonotapie"/>
        <w:rPr>
          <w:highlight w:val="lightGray"/>
          <w:lang w:val="es-CO"/>
        </w:rPr>
      </w:pPr>
      <w:r w:rsidRPr="009C1613">
        <w:rPr>
          <w:rStyle w:val="Refdenotaalpie"/>
        </w:rPr>
        <w:footnoteRef/>
      </w:r>
      <w:r w:rsidRPr="009C1613">
        <w:t xml:space="preserve"> </w:t>
      </w:r>
      <w:r w:rsidRPr="009C1613">
        <w:rPr>
          <w:lang w:val="es-CO"/>
        </w:rPr>
        <w:t>Corte Constitucional. Sentencia SU-069 de 2018. M.P. Joseé Fernando Reyes Cuartas</w:t>
      </w:r>
    </w:p>
  </w:footnote>
  <w:footnote w:id="367">
    <w:p w14:paraId="218832C5" w14:textId="77777777" w:rsidR="004832B6" w:rsidRPr="00503602" w:rsidRDefault="004832B6">
      <w:pPr>
        <w:pStyle w:val="Textonotapie"/>
        <w:rPr>
          <w:lang w:val="es-CO"/>
        </w:rPr>
      </w:pPr>
      <w:r w:rsidRPr="00503602">
        <w:rPr>
          <w:rStyle w:val="Refdenotaalpie"/>
        </w:rPr>
        <w:footnoteRef/>
      </w:r>
      <w:r w:rsidRPr="00503602">
        <w:t xml:space="preserve"> </w:t>
      </w:r>
      <w:r>
        <w:rPr>
          <w:lang w:val="es-CO"/>
        </w:rPr>
        <w:t xml:space="preserve">M.P. Gloria Stella Ortiz Delgado. </w:t>
      </w:r>
      <w:r w:rsidRPr="00503602">
        <w:rPr>
          <w:lang w:val="es-CO"/>
        </w:rPr>
        <w:t>Ver, Corte Constitucional. Sentencia SU-069 de 2018. M.P. José Fernando Reyes Cuartas</w:t>
      </w:r>
    </w:p>
  </w:footnote>
  <w:footnote w:id="368">
    <w:p w14:paraId="01107853" w14:textId="77777777" w:rsidR="004832B6" w:rsidRDefault="004832B6" w:rsidP="00201BD7">
      <w:pPr>
        <w:pStyle w:val="Textonotapie"/>
        <w:jc w:val="both"/>
        <w:rPr>
          <w:lang w:val="es-CO"/>
        </w:rPr>
      </w:pPr>
      <w:r>
        <w:rPr>
          <w:rStyle w:val="Refdenotaalpie"/>
        </w:rPr>
        <w:footnoteRef/>
      </w:r>
      <w:r>
        <w:t>Sentencia T-704 de 2012, M. P. Luis Ernesto Vargas Silva. También ver sentencias</w:t>
      </w:r>
      <w:r>
        <w:rPr>
          <w:color w:val="000000"/>
          <w:shd w:val="clear" w:color="auto" w:fill="FFFFFF"/>
        </w:rPr>
        <w:t xml:space="preserve"> T-310 de 2009, M. P. Mauricio González Cuervo y T-555 de 2009 M.P. Luis Ernesto Vargas Silva.</w:t>
      </w:r>
    </w:p>
  </w:footnote>
  <w:footnote w:id="369">
    <w:p w14:paraId="6FE4C9F0" w14:textId="77777777" w:rsidR="004832B6" w:rsidRDefault="004832B6" w:rsidP="00201BD7">
      <w:pPr>
        <w:shd w:val="clear" w:color="auto" w:fill="FFFFFF"/>
        <w:jc w:val="both"/>
      </w:pPr>
      <w:r>
        <w:rPr>
          <w:rStyle w:val="Refdenotaalpie"/>
          <w:sz w:val="20"/>
        </w:rPr>
        <w:footnoteRef/>
      </w:r>
      <w:r>
        <w:t xml:space="preserve"> </w:t>
      </w:r>
      <w:r>
        <w:rPr>
          <w:sz w:val="20"/>
        </w:rPr>
        <w:t xml:space="preserve">Caso en el cual también se incurriría en la causal por desconocimiento del precedente. Al respecto ver, entre muchas otras, las sentencias </w:t>
      </w:r>
      <w:r>
        <w:rPr>
          <w:sz w:val="20"/>
          <w:shd w:val="clear" w:color="auto" w:fill="FFFFFF"/>
        </w:rPr>
        <w:t>T-292 de 2006, M. P. Manuel José Cepeda Espinosa, SU-047 de 1999 y C-104 de 1993, en ambas M. P. Alejandro Martínez Caballero.</w:t>
      </w:r>
    </w:p>
  </w:footnote>
  <w:footnote w:id="370">
    <w:p w14:paraId="3723E876" w14:textId="77777777" w:rsidR="004832B6" w:rsidRDefault="004832B6" w:rsidP="00201BD7">
      <w:pPr>
        <w:pStyle w:val="Textonotapie"/>
        <w:jc w:val="both"/>
      </w:pPr>
      <w:r>
        <w:rPr>
          <w:rStyle w:val="Refdenotaalpie"/>
        </w:rPr>
        <w:footnoteRef/>
      </w:r>
      <w:r>
        <w:t xml:space="preserve"> </w:t>
      </w:r>
      <w:r>
        <w:t>Sentencia T-704 de 2012, M. P. Luis Ernesto Vargas Silva</w:t>
      </w:r>
      <w:r>
        <w:rPr>
          <w:color w:val="000000"/>
          <w:shd w:val="clear" w:color="auto" w:fill="FFFFFF"/>
        </w:rPr>
        <w:t>. También ver, las sentencia T-199 de 2005, M. P. Marco Gerardo Monroy Cabra; T-590 de 2009, M. P. Luis Ernesto Vargas Silva y T-809 de 2010, M. P. Juan Carlos Henao Pérez.</w:t>
      </w:r>
    </w:p>
  </w:footnote>
  <w:footnote w:id="371">
    <w:p w14:paraId="7799C803" w14:textId="77777777" w:rsidR="004832B6" w:rsidRDefault="004832B6" w:rsidP="00201BD7">
      <w:pPr>
        <w:pStyle w:val="Textonotapie"/>
        <w:jc w:val="both"/>
      </w:pPr>
      <w:r>
        <w:rPr>
          <w:rStyle w:val="Refdenotaalpie"/>
        </w:rPr>
        <w:footnoteRef/>
      </w:r>
      <w:r>
        <w:t xml:space="preserve"> </w:t>
      </w:r>
      <w:r>
        <w:t xml:space="preserve">Ver entre otras, </w:t>
      </w:r>
      <w:r>
        <w:rPr>
          <w:color w:val="000000"/>
          <w:shd w:val="clear" w:color="auto" w:fill="FFFFFF"/>
          <w:lang w:val="es-ES_tradnl"/>
        </w:rPr>
        <w:t>T-522</w:t>
      </w:r>
      <w:r>
        <w:rPr>
          <w:rStyle w:val="apple-converted-space"/>
          <w:color w:val="000000"/>
          <w:shd w:val="clear" w:color="auto" w:fill="FFFFFF"/>
          <w:lang w:val="es-ES_tradnl"/>
        </w:rPr>
        <w:t> </w:t>
      </w:r>
      <w:r>
        <w:rPr>
          <w:color w:val="000000"/>
          <w:shd w:val="clear" w:color="auto" w:fill="FFFFFF"/>
        </w:rPr>
        <w:t>de 2001, Manuel José Cepeda Espinosa</w:t>
      </w:r>
      <w:r>
        <w:t xml:space="preserve"> y T-685 de 2005, M. P. Clara Inés Vargas Hernández.</w:t>
      </w:r>
    </w:p>
  </w:footnote>
  <w:footnote w:id="372">
    <w:p w14:paraId="619B106D" w14:textId="77777777" w:rsidR="004832B6" w:rsidRPr="002E4477" w:rsidRDefault="004832B6" w:rsidP="00A16129">
      <w:pPr>
        <w:pStyle w:val="Textonotapie"/>
        <w:jc w:val="both"/>
        <w:rPr>
          <w:lang w:val="es-CO"/>
        </w:rPr>
      </w:pPr>
      <w:r w:rsidRPr="002E4477">
        <w:rPr>
          <w:rStyle w:val="Refdenotaalpie"/>
        </w:rPr>
        <w:footnoteRef/>
      </w:r>
      <w:r w:rsidRPr="002E4477">
        <w:t xml:space="preserve"> </w:t>
      </w:r>
      <w:r w:rsidRPr="004832B6">
        <w:rPr>
          <w:lang w:val="es-CO"/>
        </w:rPr>
        <w:t xml:space="preserve">Art. 257-A. </w:t>
      </w:r>
      <w:r w:rsidRPr="002E4477">
        <w:rPr>
          <w:lang w:val="es-CO"/>
        </w:rPr>
        <w:t xml:space="preserve">“La Comisión Nacional de Disciplina Judicial ejercerá la función jurisdiccional disciplinaria sobre los funcionarios y empleados de la Rama Judicial. //Estará conformada por siete Magistrados, cuatro de los cuales serán elegidos por el Congreso en Pleno de ternas enviadas por el </w:t>
      </w:r>
      <w:r w:rsidRPr="002E4477">
        <w:rPr>
          <w:strike/>
          <w:lang w:val="es-CO"/>
        </w:rPr>
        <w:t xml:space="preserve">Consejo de Gobierno Judicial </w:t>
      </w:r>
      <w:r w:rsidRPr="002E4477">
        <w:rPr>
          <w:lang w:val="es-CO"/>
        </w:rPr>
        <w:t xml:space="preserve">Consejo Superior de la Judicatura previa </w:t>
      </w:r>
      <w:r w:rsidRPr="002E4477">
        <w:rPr>
          <w:b/>
          <w:lang w:val="es-CO"/>
        </w:rPr>
        <w:t>convocatoria pública reglada</w:t>
      </w:r>
      <w:r w:rsidRPr="002E4477">
        <w:rPr>
          <w:lang w:val="es-CO"/>
        </w:rPr>
        <w:t>…”.</w:t>
      </w:r>
    </w:p>
  </w:footnote>
  <w:footnote w:id="373">
    <w:p w14:paraId="14D210D3" w14:textId="77777777" w:rsidR="004832B6" w:rsidRPr="00A80BDC" w:rsidRDefault="004832B6">
      <w:pPr>
        <w:pStyle w:val="Textonotapie"/>
        <w:rPr>
          <w:lang w:val="es-CO"/>
        </w:rPr>
      </w:pPr>
      <w:r w:rsidRPr="00B866F4">
        <w:rPr>
          <w:rStyle w:val="Refdenotaalpie"/>
        </w:rPr>
        <w:footnoteRef/>
      </w:r>
      <w:r w:rsidRPr="00B866F4">
        <w:t xml:space="preserve"> </w:t>
      </w:r>
      <w:r w:rsidRPr="00B866F4">
        <w:rPr>
          <w:lang w:val="es-CO"/>
        </w:rPr>
        <w:t xml:space="preserve"> Al respecto puede cotejarse la resolutiva de esa sentencia en la página 7 de esta providencia.</w:t>
      </w:r>
      <w:r>
        <w:rPr>
          <w:lang w:val="es-CO"/>
        </w:rPr>
        <w:t xml:space="preserve"> </w:t>
      </w:r>
    </w:p>
  </w:footnote>
  <w:footnote w:id="374">
    <w:p w14:paraId="59DC1F5B" w14:textId="77777777" w:rsidR="004832B6" w:rsidRPr="002E4477" w:rsidRDefault="004832B6" w:rsidP="002A2882">
      <w:pPr>
        <w:pStyle w:val="Textonotapie"/>
        <w:jc w:val="both"/>
        <w:rPr>
          <w:lang w:val="es-CO"/>
        </w:rPr>
      </w:pPr>
      <w:r w:rsidRPr="002E4477">
        <w:rPr>
          <w:rStyle w:val="Refdenotaalpie"/>
        </w:rPr>
        <w:footnoteRef/>
      </w:r>
      <w:r w:rsidRPr="002E4477">
        <w:t xml:space="preserve"> </w:t>
      </w:r>
      <w:r w:rsidRPr="002E4477">
        <w:rPr>
          <w:i/>
          <w:iCs/>
          <w:shd w:val="clear" w:color="auto" w:fill="FFFFFF"/>
        </w:rPr>
        <w:t xml:space="preserve">“Artículo 8°. Adiciónese a la Constitución Política el artículo 178-A: </w:t>
      </w:r>
      <w:bookmarkStart w:id="39" w:name="_Hlk39353653"/>
      <w:r w:rsidRPr="002E4477">
        <w:rPr>
          <w:i/>
          <w:iCs/>
          <w:shd w:val="clear" w:color="auto" w:fill="FFFFFF"/>
        </w:rPr>
        <w:t>(…) La Comisión estará conformada por cinco miembros, elegidos por el Congreso en Pleno para periodos personales de ocho años, de listas enviadas por el Consejo de Gobierno Judicial y elaboradas mediante convocatoria pública adelantada por la Gerencia de la Rama Judicial en los términos que disponga la ley (…).”</w:t>
      </w:r>
    </w:p>
    <w:bookmarkEnd w:id="39"/>
  </w:footnote>
  <w:footnote w:id="375">
    <w:p w14:paraId="6CABC271" w14:textId="77777777" w:rsidR="004832B6" w:rsidRPr="002E4477" w:rsidRDefault="004832B6" w:rsidP="002A2882">
      <w:pPr>
        <w:pStyle w:val="Textonotapie"/>
        <w:jc w:val="both"/>
        <w:rPr>
          <w:lang w:val="es-CO"/>
        </w:rPr>
      </w:pPr>
      <w:r w:rsidRPr="002E4477">
        <w:rPr>
          <w:rStyle w:val="Refdenotaalpie"/>
        </w:rPr>
        <w:footnoteRef/>
      </w:r>
      <w:r w:rsidRPr="002E4477">
        <w:t xml:space="preserve"> </w:t>
      </w:r>
      <w:bookmarkStart w:id="40" w:name="_Hlk39353700"/>
      <w:r w:rsidRPr="002E4477">
        <w:rPr>
          <w:i/>
          <w:iCs/>
          <w:shd w:val="clear" w:color="auto" w:fill="FFFFFF"/>
        </w:rPr>
        <w:t>“Artículo 231. Los Magistrados de la Corte Suprema de Justicia y del Consejo de Estado serán elegidos por la respectiva Corporación, previa audiencia pública, de lista de diez elegibles enviada por el Consejo de Gobierno Judicial tras una convocatoria pública reglada de conformidad con la ley y adelantada por la Gerencia de la Rama Judicial (…).”</w:t>
      </w:r>
    </w:p>
    <w:bookmarkEnd w:id="40"/>
  </w:footnote>
  <w:footnote w:id="376">
    <w:p w14:paraId="144F67D5" w14:textId="77777777" w:rsidR="004832B6" w:rsidRPr="002E4477" w:rsidRDefault="004832B6" w:rsidP="002A2882">
      <w:pPr>
        <w:pStyle w:val="Textonotapie"/>
        <w:jc w:val="both"/>
        <w:rPr>
          <w:lang w:val="es-CO"/>
        </w:rPr>
      </w:pPr>
      <w:r w:rsidRPr="002E4477">
        <w:rPr>
          <w:rStyle w:val="Refdenotaalpie"/>
        </w:rPr>
        <w:footnoteRef/>
      </w:r>
      <w:r w:rsidRPr="002E4477">
        <w:t xml:space="preserve"> </w:t>
      </w:r>
      <w:r w:rsidRPr="002E4477">
        <w:rPr>
          <w:i/>
          <w:iCs/>
          <w:shd w:val="clear" w:color="auto" w:fill="FFFFFF"/>
        </w:rPr>
        <w:t>“Artículo 19. El artículo 257 </w:t>
      </w:r>
      <w:r w:rsidRPr="002E4477">
        <w:rPr>
          <w:shd w:val="clear" w:color="auto" w:fill="FFFFFF"/>
        </w:rPr>
        <w:t>[A]</w:t>
      </w:r>
      <w:r w:rsidRPr="002E4477">
        <w:rPr>
          <w:i/>
          <w:iCs/>
          <w:shd w:val="clear" w:color="auto" w:fill="FFFFFF"/>
        </w:rPr>
        <w:t> de la Constitución Política quedará así: Artículo 257. (…) Estará conformada por siete Magistrados, cuatro de los cuales serán elegidos por el Congreso en Pleno de ternas enviadas por el Consejo de Gobierno Judicial previa convocatoria pública reglada adelantada por la Gerencia de la Rama Judicial, y tres de los cuales serán elegidos por el Congreso en Pleno de ternas enviadas por el Presidente de la República, previa convocatoria pública reglada. Tendrán periodos personales de ocho años, y deberán cumplir con los mismos requisitos exigidos para ser Magistrado de la Corte Suprema de Justicia.”</w:t>
      </w:r>
    </w:p>
  </w:footnote>
  <w:footnote w:id="377">
    <w:p w14:paraId="454F16BE" w14:textId="77777777" w:rsidR="004832B6" w:rsidRPr="002E4477" w:rsidRDefault="004832B6" w:rsidP="002A2882">
      <w:pPr>
        <w:pStyle w:val="Textonotapie"/>
        <w:jc w:val="both"/>
        <w:rPr>
          <w:lang w:val="es-CO"/>
        </w:rPr>
      </w:pPr>
      <w:r w:rsidRPr="002E4477">
        <w:rPr>
          <w:rStyle w:val="Refdenotaalpie"/>
        </w:rPr>
        <w:footnoteRef/>
      </w:r>
      <w:r w:rsidRPr="002E4477">
        <w:t xml:space="preserve"> </w:t>
      </w:r>
      <w:r w:rsidRPr="002E4477">
        <w:rPr>
          <w:shd w:val="clear" w:color="auto" w:fill="FFFFFF"/>
        </w:rPr>
        <w:t> </w:t>
      </w:r>
      <w:r w:rsidRPr="002E4477">
        <w:rPr>
          <w:shd w:val="clear" w:color="auto" w:fill="FFFFFF"/>
        </w:rPr>
        <w:t>Si bien el artículo 19 del Acto Legislativo 02 de 2015 modificó el artículo 257 superior, como se explicó previamente a partir de esta providencia se entenderá que adicionó el artículo 257A</w:t>
      </w:r>
    </w:p>
  </w:footnote>
  <w:footnote w:id="378">
    <w:p w14:paraId="062851FE" w14:textId="77777777" w:rsidR="004832B6" w:rsidRPr="002E4477" w:rsidRDefault="004832B6" w:rsidP="00C15C59">
      <w:pPr>
        <w:pStyle w:val="Textonotapie"/>
        <w:rPr>
          <w:lang w:val="es-CO"/>
        </w:rPr>
      </w:pPr>
      <w:r w:rsidRPr="002E4477">
        <w:rPr>
          <w:rStyle w:val="Refdenotaalpie"/>
        </w:rPr>
        <w:footnoteRef/>
      </w:r>
      <w:r w:rsidRPr="002E4477">
        <w:t xml:space="preserve"> </w:t>
      </w:r>
      <w:r w:rsidRPr="002E4477">
        <w:rPr>
          <w:lang w:val="es-CO"/>
        </w:rPr>
        <w:t>M.P. Manuel José Cepeda Espinosa.</w:t>
      </w:r>
    </w:p>
  </w:footnote>
  <w:footnote w:id="379">
    <w:p w14:paraId="53DE1E04" w14:textId="77777777" w:rsidR="004832B6" w:rsidRPr="002E4477" w:rsidRDefault="004832B6" w:rsidP="00111550">
      <w:pPr>
        <w:pStyle w:val="Textonotapie"/>
        <w:jc w:val="both"/>
        <w:rPr>
          <w:lang w:val="es-CO"/>
        </w:rPr>
      </w:pPr>
      <w:r w:rsidRPr="002E4477">
        <w:rPr>
          <w:rStyle w:val="Refdenotaalpie"/>
        </w:rPr>
        <w:footnoteRef/>
      </w:r>
      <w:r w:rsidRPr="002E4477">
        <w:t xml:space="preserve"> </w:t>
      </w:r>
      <w:r w:rsidRPr="002E4477">
        <w:rPr>
          <w:lang w:val="es-CO"/>
        </w:rPr>
        <w:t xml:space="preserve">Al respecto pueden consultarse entre otras, las sentencias SU-640 de 1998, M.P. Eduardo Cifuentes Muñoz y C-621 de 2015 M.P. Jorge Ignacio Pretelt.  </w:t>
      </w:r>
    </w:p>
  </w:footnote>
  <w:footnote w:id="380">
    <w:p w14:paraId="0B3267C2" w14:textId="77777777" w:rsidR="004832B6" w:rsidRPr="00C72065" w:rsidRDefault="004832B6" w:rsidP="00C72065">
      <w:pPr>
        <w:pStyle w:val="Textonotapie"/>
        <w:jc w:val="both"/>
      </w:pPr>
      <w:r w:rsidRPr="00C72065">
        <w:rPr>
          <w:rStyle w:val="Refdenotaalpie"/>
        </w:rPr>
        <w:footnoteRef/>
      </w:r>
      <w:r w:rsidRPr="00C72065">
        <w:t xml:space="preserve"> </w:t>
      </w:r>
      <w:r w:rsidRPr="00C72065">
        <w:rPr>
          <w:lang w:val="es-CO"/>
        </w:rPr>
        <w:t>Ver, s</w:t>
      </w:r>
      <w:r w:rsidRPr="00C72065">
        <w:t>entencia C-737</w:t>
      </w:r>
      <w:r w:rsidRPr="00C72065">
        <w:rPr>
          <w:lang w:val="es-CO"/>
        </w:rPr>
        <w:t xml:space="preserve"> de 20</w:t>
      </w:r>
      <w:r w:rsidRPr="00C72065">
        <w:t>01</w:t>
      </w:r>
      <w:r w:rsidRPr="00C72065">
        <w:rPr>
          <w:lang w:val="es-CO"/>
        </w:rPr>
        <w:t xml:space="preserve">, </w:t>
      </w:r>
      <w:r w:rsidRPr="00C72065">
        <w:t>M</w:t>
      </w:r>
      <w:r w:rsidRPr="00C72065">
        <w:rPr>
          <w:lang w:val="es-CO"/>
        </w:rPr>
        <w:t>.</w:t>
      </w:r>
      <w:r w:rsidRPr="00C72065">
        <w:t>P. Eduardo Montealegre Lynett</w:t>
      </w:r>
      <w:r w:rsidRPr="00C72065">
        <w:rPr>
          <w:lang w:val="es-CO"/>
        </w:rPr>
        <w:t xml:space="preserve">. </w:t>
      </w:r>
      <w:r w:rsidRPr="00C72065">
        <w:t>Ver también las sentencias C-113 de 1993, C-131 de 1993, C-226 de 1994, C-055 de 1996, C-037 de 1996, C-221 de 1997, C-442 de 2001, C-619 de 2003, entre otras</w:t>
      </w:r>
    </w:p>
  </w:footnote>
  <w:footnote w:id="381">
    <w:p w14:paraId="27C32AF6" w14:textId="77777777" w:rsidR="004832B6" w:rsidRPr="00C72065" w:rsidRDefault="004832B6" w:rsidP="00C72065">
      <w:pPr>
        <w:shd w:val="clear" w:color="auto" w:fill="FFFFFF"/>
        <w:ind w:right="49"/>
        <w:jc w:val="both"/>
        <w:textAlignment w:val="baseline"/>
        <w:rPr>
          <w:b/>
          <w:bCs/>
          <w:sz w:val="20"/>
          <w:bdr w:val="none" w:sz="0" w:space="0" w:color="auto" w:frame="1"/>
          <w:lang w:val="es-CO" w:eastAsia="es-CO"/>
        </w:rPr>
      </w:pPr>
      <w:r w:rsidRPr="00C72065">
        <w:rPr>
          <w:rStyle w:val="Refdenotaalpie"/>
          <w:sz w:val="20"/>
        </w:rPr>
        <w:footnoteRef/>
      </w:r>
      <w:r w:rsidRPr="00C72065">
        <w:rPr>
          <w:sz w:val="20"/>
        </w:rPr>
        <w:t xml:space="preserve"> Se recuerda que en lo pertinente, la resolutiva de esa providencia: </w:t>
      </w:r>
      <w:r w:rsidRPr="00C72065">
        <w:rPr>
          <w:b/>
          <w:bCs/>
          <w:sz w:val="20"/>
        </w:rPr>
        <w:t>(i)</w:t>
      </w:r>
      <w:r w:rsidRPr="00C72065">
        <w:rPr>
          <w:sz w:val="20"/>
        </w:rPr>
        <w:t xml:space="preserve"> declaró </w:t>
      </w:r>
      <w:r w:rsidRPr="00C72065">
        <w:rPr>
          <w:b/>
          <w:bCs/>
          <w:sz w:val="20"/>
        </w:rPr>
        <w:t>inexequible</w:t>
      </w:r>
      <w:r w:rsidRPr="00C72065">
        <w:rPr>
          <w:b/>
          <w:bCs/>
          <w:i/>
          <w:iCs/>
          <w:sz w:val="20"/>
          <w:bdr w:val="none" w:sz="0" w:space="0" w:color="auto" w:frame="1"/>
          <w:lang w:val="es-CO" w:eastAsia="es-CO"/>
        </w:rPr>
        <w:t xml:space="preserve"> </w:t>
      </w:r>
      <w:r w:rsidRPr="00C72065">
        <w:rPr>
          <w:i/>
          <w:iCs/>
          <w:sz w:val="20"/>
          <w:bdr w:val="none" w:sz="0" w:space="0" w:color="auto" w:frame="1"/>
          <w:lang w:val="es-CO" w:eastAsia="es-CO"/>
        </w:rPr>
        <w:t> </w:t>
      </w:r>
      <w:r w:rsidRPr="00201F76">
        <w:rPr>
          <w:i/>
          <w:iCs/>
          <w:sz w:val="20"/>
          <w:bdr w:val="none" w:sz="0" w:space="0" w:color="auto" w:frame="1"/>
          <w:lang w:val="es-CO" w:eastAsia="es-CO"/>
        </w:rPr>
        <w:t>el artículo 18 transitorio</w:t>
      </w:r>
      <w:r w:rsidRPr="00C72065">
        <w:rPr>
          <w:sz w:val="20"/>
          <w:bdr w:val="none" w:sz="0" w:space="0" w:color="auto" w:frame="1"/>
          <w:lang w:val="es-CO" w:eastAsia="es-CO"/>
        </w:rPr>
        <w:t xml:space="preserve"> del Acto Legislativo 02 de 2015, con excepción de los siguientes pronunciamientos: </w:t>
      </w:r>
      <w:r w:rsidRPr="00C72065">
        <w:rPr>
          <w:b/>
          <w:bCs/>
          <w:sz w:val="20"/>
          <w:bdr w:val="none" w:sz="0" w:space="0" w:color="auto" w:frame="1"/>
          <w:lang w:val="es-CO" w:eastAsia="es-CO"/>
        </w:rPr>
        <w:t>(a)</w:t>
      </w:r>
      <w:r w:rsidRPr="00C72065">
        <w:rPr>
          <w:sz w:val="20"/>
          <w:bdr w:val="none" w:sz="0" w:space="0" w:color="auto" w:frame="1"/>
          <w:lang w:val="es-CO" w:eastAsia="es-CO"/>
        </w:rPr>
        <w:t xml:space="preserve"> Se declaró </w:t>
      </w:r>
      <w:r w:rsidRPr="00C72065">
        <w:rPr>
          <w:b/>
          <w:bCs/>
          <w:sz w:val="20"/>
          <w:bdr w:val="none" w:sz="0" w:space="0" w:color="auto" w:frame="1"/>
          <w:lang w:val="es-CO" w:eastAsia="es-CO"/>
        </w:rPr>
        <w:t>exequible</w:t>
      </w:r>
      <w:r w:rsidRPr="00C72065">
        <w:rPr>
          <w:sz w:val="20"/>
          <w:bdr w:val="none" w:sz="0" w:space="0" w:color="auto" w:frame="1"/>
          <w:lang w:val="es-CO" w:eastAsia="es-CO"/>
        </w:rPr>
        <w:t> el literal f), del numeral 1º, salvo en lo referente a la expresión “También ejercerán la función prevista en el artículo 85, numeral 18, de la Ley 270 de 1996”, que se declaró </w:t>
      </w:r>
      <w:r w:rsidRPr="00C72065">
        <w:rPr>
          <w:b/>
          <w:bCs/>
          <w:sz w:val="20"/>
          <w:bdr w:val="none" w:sz="0" w:space="0" w:color="auto" w:frame="1"/>
          <w:lang w:val="es-CO" w:eastAsia="es-CO"/>
        </w:rPr>
        <w:t>inexequible. (b)</w:t>
      </w:r>
      <w:r w:rsidRPr="00C72065">
        <w:rPr>
          <w:sz w:val="20"/>
          <w:bdr w:val="none" w:sz="0" w:space="0" w:color="auto" w:frame="1"/>
          <w:lang w:val="es-CO" w:eastAsia="es-CO"/>
        </w:rPr>
        <w:t xml:space="preserve"> Se declaró </w:t>
      </w:r>
      <w:r w:rsidRPr="00C72065">
        <w:rPr>
          <w:b/>
          <w:bCs/>
          <w:sz w:val="20"/>
          <w:bdr w:val="none" w:sz="0" w:space="0" w:color="auto" w:frame="1"/>
          <w:lang w:val="es-CO" w:eastAsia="es-CO"/>
        </w:rPr>
        <w:t>exequible</w:t>
      </w:r>
      <w:r w:rsidRPr="00C72065">
        <w:rPr>
          <w:sz w:val="20"/>
          <w:bdr w:val="none" w:sz="0" w:space="0" w:color="auto" w:frame="1"/>
          <w:lang w:val="es-CO" w:eastAsia="es-CO"/>
        </w:rPr>
        <w:t xml:space="preserve"> </w:t>
      </w:r>
      <w:r w:rsidRPr="00C72065">
        <w:rPr>
          <w:b/>
          <w:bCs/>
          <w:sz w:val="20"/>
          <w:bdr w:val="none" w:sz="0" w:space="0" w:color="auto" w:frame="1"/>
          <w:lang w:val="es-CO" w:eastAsia="es-CO"/>
        </w:rPr>
        <w:t> </w:t>
      </w:r>
      <w:r w:rsidRPr="00C72065">
        <w:rPr>
          <w:sz w:val="20"/>
          <w:bdr w:val="none" w:sz="0" w:space="0" w:color="auto" w:frame="1"/>
          <w:lang w:val="es-CO" w:eastAsia="es-CO"/>
        </w:rPr>
        <w:t xml:space="preserve">el literal g), del numeral 1º, en su totalidad. En relación con la expresión “La autoridad nominadora para las Comisiones Seccionales de Disciplina Judicial será la Comisión Nacional de Disciplina Judicial”, prevista en el numeral 6, por las razones expuestas en esta providencia, </w:t>
      </w:r>
      <w:r w:rsidRPr="00C72065">
        <w:rPr>
          <w:sz w:val="20"/>
          <w:u w:val="single"/>
          <w:bdr w:val="none" w:sz="0" w:space="0" w:color="auto" w:frame="1"/>
          <w:lang w:val="es-CO" w:eastAsia="es-CO"/>
        </w:rPr>
        <w:t>la Corte se </w:t>
      </w:r>
      <w:r w:rsidRPr="00C72065">
        <w:rPr>
          <w:b/>
          <w:bCs/>
          <w:sz w:val="20"/>
          <w:u w:val="single"/>
          <w:bdr w:val="none" w:sz="0" w:space="0" w:color="auto" w:frame="1"/>
          <w:lang w:val="es-CO" w:eastAsia="es-CO"/>
        </w:rPr>
        <w:t xml:space="preserve">inhibió </w:t>
      </w:r>
      <w:r w:rsidRPr="00C72065">
        <w:rPr>
          <w:sz w:val="20"/>
          <w:u w:val="single"/>
          <w:bdr w:val="none" w:sz="0" w:space="0" w:color="auto" w:frame="1"/>
          <w:lang w:val="es-CO" w:eastAsia="es-CO"/>
        </w:rPr>
        <w:t> de pronunciarse de fondo por ineptitud sustantiva de la demanda</w:t>
      </w:r>
      <w:r w:rsidRPr="00C72065">
        <w:rPr>
          <w:sz w:val="20"/>
          <w:bdr w:val="none" w:sz="0" w:space="0" w:color="auto" w:frame="1"/>
          <w:lang w:val="es-CO" w:eastAsia="es-CO"/>
        </w:rPr>
        <w:t xml:space="preserve">. </w:t>
      </w:r>
      <w:r w:rsidRPr="00C72065">
        <w:rPr>
          <w:b/>
          <w:bCs/>
          <w:sz w:val="20"/>
          <w:bdr w:val="none" w:sz="0" w:space="0" w:color="auto" w:frame="1"/>
          <w:lang w:val="es-CO" w:eastAsia="es-CO"/>
        </w:rPr>
        <w:t xml:space="preserve">(ii) </w:t>
      </w:r>
      <w:r w:rsidRPr="00C72065">
        <w:rPr>
          <w:sz w:val="20"/>
          <w:bdr w:val="none" w:sz="0" w:space="0" w:color="auto" w:frame="1"/>
          <w:shd w:val="clear" w:color="auto" w:fill="FFFFFF"/>
          <w:lang w:val="es-CO"/>
        </w:rPr>
        <w:t>Declaró </w:t>
      </w:r>
      <w:r w:rsidRPr="00C72065">
        <w:rPr>
          <w:b/>
          <w:bCs/>
          <w:sz w:val="20"/>
          <w:bdr w:val="none" w:sz="0" w:space="0" w:color="auto" w:frame="1"/>
          <w:lang w:val="es-CO"/>
        </w:rPr>
        <w:t>inexequibles</w:t>
      </w:r>
      <w:r w:rsidRPr="00C72065">
        <w:rPr>
          <w:sz w:val="20"/>
          <w:bdr w:val="none" w:sz="0" w:space="0" w:color="auto" w:frame="1"/>
          <w:shd w:val="clear" w:color="auto" w:fill="FFFFFF"/>
          <w:lang w:val="es-CO"/>
        </w:rPr>
        <w:t> las remisiones al Consejo de Gobierno Judicial y a la Gerencia de la Rama Judicial contenidas en los artículos 8, 11 y 19 del Acto Legislativo 02 de 2015. En consecuencia, </w:t>
      </w:r>
      <w:r w:rsidRPr="00C72065">
        <w:rPr>
          <w:b/>
          <w:bCs/>
          <w:sz w:val="20"/>
          <w:u w:val="single"/>
          <w:bdr w:val="none" w:sz="0" w:space="0" w:color="auto" w:frame="1"/>
          <w:lang w:val="es-CO"/>
        </w:rPr>
        <w:t>declaró </w:t>
      </w:r>
      <w:r w:rsidRPr="00C72065">
        <w:rPr>
          <w:sz w:val="20"/>
          <w:u w:val="single"/>
          <w:bdr w:val="none" w:sz="0" w:space="0" w:color="auto" w:frame="1"/>
          <w:shd w:val="clear" w:color="auto" w:fill="FFFFFF"/>
          <w:lang w:val="es-CO"/>
        </w:rPr>
        <w:t>que en las disposiciones constitucionales a las que tales artículos aluden, la expresión </w:t>
      </w:r>
      <w:r w:rsidRPr="00C72065">
        <w:rPr>
          <w:sz w:val="20"/>
          <w:u w:val="single"/>
          <w:bdr w:val="none" w:sz="0" w:space="0" w:color="auto" w:frame="1"/>
          <w:lang w:val="es-CO"/>
        </w:rPr>
        <w:t>“Consejo de Gobierno Judicial”</w:t>
      </w:r>
      <w:r w:rsidRPr="00C72065">
        <w:rPr>
          <w:sz w:val="20"/>
          <w:u w:val="single"/>
          <w:bdr w:val="none" w:sz="0" w:space="0" w:color="auto" w:frame="1"/>
          <w:shd w:val="clear" w:color="auto" w:fill="FFFFFF"/>
          <w:lang w:val="es-CO"/>
        </w:rPr>
        <w:t> se sustituye por </w:t>
      </w:r>
      <w:r w:rsidRPr="00C72065">
        <w:rPr>
          <w:sz w:val="20"/>
          <w:u w:val="single"/>
          <w:bdr w:val="none" w:sz="0" w:space="0" w:color="auto" w:frame="1"/>
          <w:lang w:val="es-CO"/>
        </w:rPr>
        <w:t>“Consejo Superior de la Judicatura”</w:t>
      </w:r>
      <w:r w:rsidRPr="00C72065">
        <w:rPr>
          <w:sz w:val="20"/>
          <w:u w:val="single"/>
          <w:bdr w:val="none" w:sz="0" w:space="0" w:color="auto" w:frame="1"/>
          <w:shd w:val="clear" w:color="auto" w:fill="FFFFFF"/>
          <w:lang w:val="es-CO"/>
        </w:rPr>
        <w:t>, y se suprime la expresión </w:t>
      </w:r>
      <w:r w:rsidRPr="00C72065">
        <w:rPr>
          <w:sz w:val="20"/>
          <w:u w:val="single"/>
          <w:bdr w:val="none" w:sz="0" w:space="0" w:color="auto" w:frame="1"/>
          <w:lang w:val="es-CO"/>
        </w:rPr>
        <w:t>“y adelantada por la Gerencia de la Rama Judicial</w:t>
      </w:r>
      <w:r w:rsidRPr="00C72065">
        <w:rPr>
          <w:sz w:val="20"/>
          <w:bdr w:val="none" w:sz="0" w:space="0" w:color="auto" w:frame="1"/>
          <w:lang w:val="es-CO"/>
        </w:rPr>
        <w:t>”</w:t>
      </w:r>
      <w:r w:rsidRPr="00C72065">
        <w:rPr>
          <w:sz w:val="20"/>
          <w:bdr w:val="none" w:sz="0" w:space="0" w:color="auto" w:frame="1"/>
          <w:shd w:val="clear" w:color="auto" w:fill="FFFFFF"/>
          <w:lang w:val="es-CO"/>
        </w:rPr>
        <w:t>.</w:t>
      </w:r>
      <w:r>
        <w:rPr>
          <w:sz w:val="20"/>
          <w:bdr w:val="none" w:sz="0" w:space="0" w:color="auto" w:frame="1"/>
          <w:shd w:val="clear" w:color="auto" w:fill="FFFFFF"/>
          <w:lang w:val="es-CO"/>
        </w:rPr>
        <w:t xml:space="preserve"> (Subrayas fuera del original). </w:t>
      </w:r>
    </w:p>
    <w:p w14:paraId="0553DCAA" w14:textId="77777777" w:rsidR="004832B6" w:rsidRPr="000E0706" w:rsidRDefault="004832B6">
      <w:pPr>
        <w:pStyle w:val="Textonotapie"/>
        <w:rPr>
          <w:lang w:val="es-CO"/>
        </w:rPr>
      </w:pPr>
    </w:p>
  </w:footnote>
  <w:footnote w:id="382">
    <w:p w14:paraId="7D450932" w14:textId="77777777" w:rsidR="004832B6" w:rsidRPr="002E4477" w:rsidRDefault="004832B6" w:rsidP="00FD5664">
      <w:pPr>
        <w:pStyle w:val="Textonotapie"/>
        <w:jc w:val="both"/>
        <w:rPr>
          <w:lang w:val="es-CO"/>
        </w:rPr>
      </w:pPr>
      <w:r w:rsidRPr="002E4477">
        <w:rPr>
          <w:rStyle w:val="Refdenotaalpie"/>
        </w:rPr>
        <w:footnoteRef/>
      </w:r>
      <w:r w:rsidRPr="002E4477">
        <w:t xml:space="preserve"> </w:t>
      </w:r>
      <w:r w:rsidRPr="002E4477">
        <w:rPr>
          <w:lang w:val="es-CO"/>
        </w:rPr>
        <w:t>M.P. Eduardo Cifuentes Muñoz.</w:t>
      </w:r>
    </w:p>
  </w:footnote>
  <w:footnote w:id="383">
    <w:p w14:paraId="5C7EC025" w14:textId="77777777" w:rsidR="004832B6" w:rsidRPr="002E4477" w:rsidRDefault="004832B6" w:rsidP="00FD5664">
      <w:pPr>
        <w:pStyle w:val="Textonotapie"/>
        <w:rPr>
          <w:lang w:val="es-CO"/>
        </w:rPr>
      </w:pPr>
      <w:r w:rsidRPr="002E4477">
        <w:rPr>
          <w:rStyle w:val="Refdenotaalpie"/>
        </w:rPr>
        <w:footnoteRef/>
      </w:r>
      <w:r w:rsidRPr="002E4477">
        <w:t xml:space="preserve"> </w:t>
      </w:r>
      <w:r w:rsidRPr="002E4477">
        <w:rPr>
          <w:lang w:val="es-CO"/>
        </w:rPr>
        <w:t>Ibídem.</w:t>
      </w:r>
    </w:p>
  </w:footnote>
  <w:footnote w:id="384">
    <w:p w14:paraId="059E2463" w14:textId="77777777" w:rsidR="004832B6" w:rsidRPr="002E4477" w:rsidRDefault="004832B6" w:rsidP="003A7B75">
      <w:pPr>
        <w:pStyle w:val="Textonotapie"/>
        <w:jc w:val="both"/>
      </w:pPr>
      <w:r w:rsidRPr="002E4477">
        <w:rPr>
          <w:rStyle w:val="Refdenotaalpie"/>
        </w:rPr>
        <w:footnoteRef/>
      </w:r>
      <w:r w:rsidRPr="002E4477">
        <w:t xml:space="preserve"> </w:t>
      </w:r>
      <w:r w:rsidRPr="002E4477">
        <w:rPr>
          <w:lang w:val="es-CO"/>
        </w:rPr>
        <w:t xml:space="preserve">Corte Constitucional. </w:t>
      </w:r>
      <w:r w:rsidRPr="002E4477">
        <w:t>Sentencias T-817 de 2012 M.P. Luis Ernesto Vargas Silva, T-564 de 2013 M.P. Mauricio González Cuervo y T-832 de 2013 M.P. Luis Ernesto Vargas Silva.</w:t>
      </w:r>
    </w:p>
  </w:footnote>
  <w:footnote w:id="385">
    <w:p w14:paraId="1EE68E62" w14:textId="77777777" w:rsidR="004832B6" w:rsidRPr="002E4477" w:rsidRDefault="004832B6" w:rsidP="00AD053C">
      <w:pPr>
        <w:pStyle w:val="Textonotapie"/>
        <w:jc w:val="both"/>
        <w:rPr>
          <w:lang w:val="es-CO"/>
        </w:rPr>
      </w:pPr>
      <w:r w:rsidRPr="002E4477">
        <w:rPr>
          <w:rStyle w:val="Refdenotaalpie"/>
        </w:rPr>
        <w:footnoteRef/>
      </w:r>
      <w:r w:rsidRPr="002E4477">
        <w:rPr>
          <w:lang w:val="es-CO"/>
        </w:rPr>
        <w:t xml:space="preserve"> El artículo 18 transitorio del A.L. 02 de 1025, específicamente señalaba lo siguiente: </w:t>
      </w:r>
      <w:r w:rsidRPr="002E4477">
        <w:rPr>
          <w:i/>
          <w:iCs/>
          <w:lang w:val="es-CO"/>
        </w:rPr>
        <w:t xml:space="preserve">“(…) </w:t>
      </w:r>
      <w:r w:rsidRPr="002E4477">
        <w:rPr>
          <w:i/>
          <w:iCs/>
        </w:rPr>
        <w:t xml:space="preserve"> Además</w:t>
      </w:r>
      <w:r w:rsidRPr="002E4477">
        <w:rPr>
          <w:i/>
          <w:iCs/>
          <w:lang w:val="es-CO"/>
        </w:rPr>
        <w:t xml:space="preserve"> [el Consejo de Gobierno Judicial]</w:t>
      </w:r>
      <w:r w:rsidRPr="002E4477">
        <w:rPr>
          <w:i/>
          <w:iCs/>
        </w:rPr>
        <w:t xml:space="preserve"> reglamentará provisionalmente los procesos de convocatoria pública que deba adelantar la Gerencia de la Rama Judicial</w:t>
      </w:r>
      <w:r w:rsidRPr="002E4477">
        <w:rPr>
          <w:lang w:val="es-CO"/>
        </w:rPr>
        <w:t xml:space="preserve">”. </w:t>
      </w:r>
    </w:p>
  </w:footnote>
  <w:footnote w:id="386">
    <w:p w14:paraId="0DF103B8" w14:textId="77777777" w:rsidR="004832B6" w:rsidRPr="002E4477" w:rsidRDefault="004832B6" w:rsidP="00337901">
      <w:pPr>
        <w:pStyle w:val="Textonotapie"/>
        <w:jc w:val="both"/>
      </w:pPr>
      <w:r w:rsidRPr="002E4477">
        <w:rPr>
          <w:rStyle w:val="Refdenotaalpie"/>
        </w:rPr>
        <w:footnoteRef/>
      </w:r>
      <w:r w:rsidRPr="002E4477">
        <w:t xml:space="preserve"> </w:t>
      </w:r>
      <w:r w:rsidRPr="002E4477">
        <w:rPr>
          <w:lang w:val="es-CO"/>
        </w:rPr>
        <w:t>Esta realidad fue confirmada en la sentencia C-373 de 2016 M.P. Alejandro Linares Cantillo y Gabriel Eduardo Mendoza Martelo, que sobre este punto en particular señaló: “</w:t>
      </w:r>
      <w:r w:rsidRPr="002E4477">
        <w:t xml:space="preserve">La referida providencia </w:t>
      </w:r>
      <w:r w:rsidRPr="002E4477">
        <w:rPr>
          <w:u w:val="single"/>
        </w:rPr>
        <w:t>no implicó pronunciamiento alguno respecto de la constitucionalidad de las normas</w:t>
      </w:r>
      <w:r w:rsidRPr="002E4477">
        <w:t xml:space="preserve"> que establecieron el nuevo régimen disciplinario aplicable a los funcionarios y empleados judiciales no aforados que prevén, entre otras cosas, la creación de la Comisión Nacional de Disciplina Judicial y de las Comisiones Seccionales de Disciplina Judicial</w:t>
      </w:r>
      <w:r w:rsidRPr="002E4477">
        <w:rPr>
          <w:lang w:val="es-CO"/>
        </w:rPr>
        <w:t>”</w:t>
      </w:r>
      <w:r w:rsidRPr="002E4477">
        <w:t>.</w:t>
      </w:r>
    </w:p>
  </w:footnote>
  <w:footnote w:id="387">
    <w:p w14:paraId="72287392"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 xml:space="preserve">Corte Constitucional. Sentencia C-640 de 1998. M.P. Eduardo Cifuentes Muñoz. </w:t>
      </w:r>
    </w:p>
  </w:footnote>
  <w:footnote w:id="388">
    <w:p w14:paraId="14E69E0E" w14:textId="77777777" w:rsidR="004832B6" w:rsidRPr="002E4477" w:rsidRDefault="004832B6" w:rsidP="00337901">
      <w:pPr>
        <w:pStyle w:val="Textonotapie"/>
        <w:rPr>
          <w:lang w:val="es-CO"/>
        </w:rPr>
      </w:pPr>
      <w:r w:rsidRPr="002E4477">
        <w:rPr>
          <w:rStyle w:val="Refdenotaalpie"/>
        </w:rPr>
        <w:footnoteRef/>
      </w:r>
      <w:r w:rsidRPr="002E4477">
        <w:t xml:space="preserve"> </w:t>
      </w:r>
      <w:r w:rsidRPr="002E4477">
        <w:t>M.P. Eduardo Cifuentes Muñoz.</w:t>
      </w:r>
    </w:p>
  </w:footnote>
  <w:footnote w:id="389">
    <w:p w14:paraId="6E4A35DB" w14:textId="77777777" w:rsidR="004832B6" w:rsidRPr="00E75B81" w:rsidRDefault="004832B6" w:rsidP="00841A20">
      <w:pPr>
        <w:pStyle w:val="Textonotapie"/>
        <w:jc w:val="both"/>
        <w:rPr>
          <w:lang w:val="es-CO"/>
        </w:rPr>
      </w:pPr>
      <w:r w:rsidRPr="00E75B81">
        <w:rPr>
          <w:rStyle w:val="Refdenotaalpie"/>
        </w:rPr>
        <w:footnoteRef/>
      </w:r>
      <w:r w:rsidRPr="00E75B81">
        <w:t xml:space="preserve"> </w:t>
      </w:r>
      <w:r w:rsidRPr="00E75B81">
        <w:rPr>
          <w:lang w:val="es-CO"/>
        </w:rPr>
        <w:t>También se puede dar el fenómeno de la inconstitucionalidad sobreviniente, por abierta oposición a la Carta.</w:t>
      </w:r>
    </w:p>
  </w:footnote>
  <w:footnote w:id="390">
    <w:p w14:paraId="30010A4C" w14:textId="77777777" w:rsidR="004832B6" w:rsidRPr="002E4477" w:rsidRDefault="004832B6" w:rsidP="00841A20">
      <w:pPr>
        <w:pStyle w:val="Textonotapie"/>
        <w:jc w:val="both"/>
        <w:rPr>
          <w:lang w:val="es-CO"/>
        </w:rPr>
      </w:pPr>
      <w:r w:rsidRPr="00E75B81">
        <w:rPr>
          <w:rStyle w:val="Refdenotaalpie"/>
        </w:rPr>
        <w:footnoteRef/>
      </w:r>
      <w:r w:rsidRPr="00E75B81">
        <w:t xml:space="preserve"> </w:t>
      </w:r>
      <w:r w:rsidRPr="00E75B81">
        <w:rPr>
          <w:lang w:val="es-CO"/>
        </w:rPr>
        <w:t>Corte Constitucional</w:t>
      </w:r>
      <w:r w:rsidRPr="002E4477">
        <w:rPr>
          <w:lang w:val="es-CO"/>
        </w:rPr>
        <w:t xml:space="preserve">. </w:t>
      </w:r>
      <w:r w:rsidRPr="002E4477">
        <w:t>Sentencia C-439 de 2016</w:t>
      </w:r>
      <w:r w:rsidRPr="002E4477">
        <w:rPr>
          <w:lang w:val="es-CO"/>
        </w:rPr>
        <w:t>. M.P. Luis Guillermo Guerrero. Ver también</w:t>
      </w:r>
      <w:r w:rsidRPr="002E4477">
        <w:t xml:space="preserve"> Sentencias C-159 de 2004, C-823 de 2006 y C-775 de 2010.  </w:t>
      </w:r>
    </w:p>
  </w:footnote>
  <w:footnote w:id="391">
    <w:p w14:paraId="32F4C347" w14:textId="77777777" w:rsidR="004832B6" w:rsidRPr="002E4477" w:rsidRDefault="004832B6" w:rsidP="00841A20">
      <w:pPr>
        <w:pStyle w:val="Textonotapie"/>
        <w:jc w:val="both"/>
      </w:pPr>
      <w:r w:rsidRPr="002E4477">
        <w:rPr>
          <w:rStyle w:val="Refdenotaalpie"/>
        </w:rPr>
        <w:footnoteRef/>
      </w:r>
      <w:r w:rsidRPr="002E4477">
        <w:t xml:space="preserve"> </w:t>
      </w:r>
      <w:r w:rsidRPr="002E4477">
        <w:t>ARTÍCULO 79. “DEL CONSEJO EN PLENO. Las dos Salas del Consejo Superior de la Judicatura, se reunirán en un solo cuerpo para el cumplimiento de las siguientes funciones: (…) 3. Dictar los reglamentos necesarios para el eficaz funcionamiento de la administración de Justicia;”.</w:t>
      </w:r>
    </w:p>
  </w:footnote>
  <w:footnote w:id="392">
    <w:p w14:paraId="72F44113" w14:textId="77777777" w:rsidR="004832B6" w:rsidRPr="00D84A94" w:rsidRDefault="004832B6" w:rsidP="002C7B6D">
      <w:pPr>
        <w:pStyle w:val="Textonotapie"/>
        <w:jc w:val="both"/>
        <w:rPr>
          <w:lang w:val="es-CO"/>
        </w:rPr>
      </w:pPr>
      <w:r w:rsidRPr="002E4477">
        <w:rPr>
          <w:rStyle w:val="Refdenotaalpie"/>
        </w:rPr>
        <w:footnoteRef/>
      </w:r>
      <w:r w:rsidRPr="002E4477">
        <w:t xml:space="preserve"> </w:t>
      </w:r>
      <w:r w:rsidRPr="002E4477">
        <w:rPr>
          <w:lang w:val="es-CO"/>
        </w:rPr>
        <w:t>Konrad Hesse (1992). Escritos de Derecho Constitucional. Centro de Estudios Constitucionales, Madrid. España, pp. 47.</w:t>
      </w:r>
      <w:r>
        <w:rPr>
          <w:lang w:val="es-CO"/>
        </w:rPr>
        <w:t xml:space="preserve"> </w:t>
      </w:r>
    </w:p>
  </w:footnote>
  <w:footnote w:id="393">
    <w:p w14:paraId="1F715E48"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M.P. Luis Ernesto Vargas Silva</w:t>
      </w:r>
    </w:p>
  </w:footnote>
  <w:footnote w:id="394">
    <w:p w14:paraId="5B3AA4AE" w14:textId="77777777" w:rsidR="004832B6" w:rsidRPr="002E4477" w:rsidRDefault="004832B6" w:rsidP="00566B75">
      <w:pPr>
        <w:pStyle w:val="Corte"/>
      </w:pPr>
      <w:r w:rsidRPr="002E4477">
        <w:rPr>
          <w:rStyle w:val="Refdenotaalpie"/>
        </w:rPr>
        <w:footnoteRef/>
      </w:r>
      <w:r w:rsidRPr="002E4477">
        <w:t xml:space="preserve"> Proyecto de Acto Legislativo 18 de 2014 Senado, 153 de 2014 Cámara. </w:t>
      </w:r>
    </w:p>
  </w:footnote>
  <w:footnote w:id="395">
    <w:p w14:paraId="73CC8DB6" w14:textId="77777777" w:rsidR="004832B6" w:rsidRPr="002E4477" w:rsidRDefault="004832B6" w:rsidP="00566B75">
      <w:pPr>
        <w:pStyle w:val="Corte"/>
        <w:rPr>
          <w:lang w:val="es-MX"/>
        </w:rPr>
      </w:pPr>
      <w:r w:rsidRPr="002E4477">
        <w:rPr>
          <w:rStyle w:val="Refdenotaalpie"/>
        </w:rPr>
        <w:footnoteRef/>
      </w:r>
      <w:r w:rsidRPr="002E4477">
        <w:t xml:space="preserve"> La Corte Constitucional ha establecido, sin embargo, que las </w:t>
      </w:r>
      <w:r w:rsidRPr="002E4477">
        <w:rPr>
          <w:b/>
          <w:bCs/>
        </w:rPr>
        <w:t>corporaciones públicas son</w:t>
      </w:r>
      <w:r w:rsidRPr="002E4477">
        <w:t xml:space="preserve"> aquellos órganos colegiados, compuestos por miembros elegidos por votación popular. Véanse, entre otras, las Sentencias C-518 de 2007, M.P. Clara Inés Vargas Hernández y C-342 de 2006, M.P. Humberto Antonio Sierra Porto</w:t>
      </w:r>
    </w:p>
  </w:footnote>
  <w:footnote w:id="396">
    <w:p w14:paraId="09656B8B" w14:textId="77777777" w:rsidR="004832B6" w:rsidRPr="002E4477" w:rsidRDefault="004832B6" w:rsidP="00566B75">
      <w:pPr>
        <w:pStyle w:val="Corte"/>
      </w:pPr>
      <w:r w:rsidRPr="002E4477">
        <w:rPr>
          <w:rStyle w:val="Refdenotaalpie"/>
        </w:rPr>
        <w:footnoteRef/>
      </w:r>
      <w:r w:rsidRPr="002E4477">
        <w:t xml:space="preserve"> Gaceta del Congreso No. 138 de 2015. </w:t>
      </w:r>
    </w:p>
  </w:footnote>
  <w:footnote w:id="397">
    <w:p w14:paraId="12DB60AE" w14:textId="77777777" w:rsidR="004832B6" w:rsidRPr="002E4477" w:rsidRDefault="004832B6" w:rsidP="00566B75">
      <w:pPr>
        <w:pStyle w:val="Corte"/>
        <w:rPr>
          <w:lang w:val="es-MX"/>
        </w:rPr>
      </w:pPr>
      <w:r w:rsidRPr="002E4477">
        <w:rPr>
          <w:rStyle w:val="Refdenotaalpie"/>
        </w:rPr>
        <w:footnoteRef/>
      </w:r>
      <w:r w:rsidRPr="002E4477">
        <w:t xml:space="preserve"> Gaceta del Congreso No. 480 de 2015.</w:t>
      </w:r>
    </w:p>
  </w:footnote>
  <w:footnote w:id="398">
    <w:p w14:paraId="0518BAFF" w14:textId="77777777" w:rsidR="004832B6" w:rsidRPr="002E4477" w:rsidRDefault="004832B6" w:rsidP="00566B75">
      <w:pPr>
        <w:pStyle w:val="Corte"/>
        <w:rPr>
          <w:lang w:val="es-MX"/>
        </w:rPr>
      </w:pPr>
      <w:r w:rsidRPr="002E4477">
        <w:rPr>
          <w:rStyle w:val="Refdenotaalpie"/>
        </w:rPr>
        <w:footnoteRef/>
      </w:r>
      <w:r w:rsidRPr="002E4477">
        <w:t xml:space="preserve"> Al respecto, uno de los ponentes, el representante Hernán Penagos Giraldo, manifestó: “Y la segunda proposición es una proposición presentada por la doctora Angélica Lozano en el sentido de que en el inciso 4º se incluyan dos temas, una, que la convocatoria pública sea reglada, porque tal y como está en la ponencia se habla de convocatoria pública sin ningún otro aditamento; aquí se busca que la convocatoria pública sea reglada” (Gaceta del Congreso No. 480 de 2015)</w:t>
      </w:r>
    </w:p>
  </w:footnote>
  <w:footnote w:id="399">
    <w:p w14:paraId="20CA7C90" w14:textId="77777777" w:rsidR="004832B6" w:rsidRPr="002E4477" w:rsidRDefault="004832B6" w:rsidP="00566B75">
      <w:pPr>
        <w:pStyle w:val="Corte"/>
        <w:rPr>
          <w:lang w:val="es-MX"/>
        </w:rPr>
      </w:pPr>
      <w:r w:rsidRPr="002E4477">
        <w:rPr>
          <w:rStyle w:val="Refdenotaalpie"/>
        </w:rPr>
        <w:footnoteRef/>
      </w:r>
      <w:r w:rsidRPr="002E4477">
        <w:t xml:space="preserve"> Sobre el particular, el representante Albeiro Vanegas Osorio planteó: “la proposición lo que dice es que se diga que la convocatoria pública es reglada, lo cual ya comienza a ser una redundancia, en la que se fijen requisitos y procedimientos, pues por supuesto que si es reglada es porque se fijan requisitos y procedimientos y las convocatorias públicas si usted escribe publicidad, transparencia, participación ciudadana, a mí lo que quiero decir en conjunto es que esa proposición que ha presentado la Representante Angélica Lozano, a mi modo de entender es una redundancia, más quieren ustedes que diga el párrafo (sic). Que es una convocatoria pública, que fija requisitos y procedimientos, que se hace sobre principios de publicidad” (Gaceta del Congreso No. 480 de 2015)</w:t>
      </w:r>
      <w:r w:rsidRPr="002E4477">
        <w:rPr>
          <w:lang w:val="es-MX"/>
        </w:rPr>
        <w:t>.</w:t>
      </w:r>
    </w:p>
  </w:footnote>
  <w:footnote w:id="400">
    <w:p w14:paraId="1319756F" w14:textId="77777777" w:rsidR="004832B6" w:rsidRPr="002E4477" w:rsidRDefault="004832B6" w:rsidP="00566B75">
      <w:pPr>
        <w:pStyle w:val="Corte"/>
        <w:rPr>
          <w:lang w:val="es-MX"/>
        </w:rPr>
      </w:pPr>
      <w:r w:rsidRPr="002E4477">
        <w:rPr>
          <w:rStyle w:val="Refdenotaalpie"/>
        </w:rPr>
        <w:footnoteRef/>
      </w:r>
      <w:r w:rsidRPr="002E4477">
        <w:t xml:space="preserve"> Gaceta del Congreso No. 341 de 2015. Segundo debate, segunda vuelta, Cámara. </w:t>
      </w:r>
    </w:p>
  </w:footnote>
  <w:footnote w:id="401">
    <w:p w14:paraId="52BAE3FD" w14:textId="77777777" w:rsidR="004832B6" w:rsidRPr="002E4477" w:rsidRDefault="004832B6" w:rsidP="00566B75">
      <w:pPr>
        <w:pStyle w:val="Corte"/>
      </w:pPr>
      <w:r w:rsidRPr="002E4477">
        <w:rPr>
          <w:rStyle w:val="Refdenotaalpie"/>
        </w:rPr>
        <w:footnoteRef/>
      </w:r>
      <w:r w:rsidRPr="002E4477">
        <w:t xml:space="preserve"> Gaceta del Congreso No. 1029 de 2015. La proposición, elaborada por el Representante Edward Rodríguez establecía: “</w:t>
      </w:r>
      <w:r w:rsidRPr="002E4477">
        <w:rPr>
          <w:i/>
          <w:iCs/>
        </w:rPr>
        <w:t>Modifíquese el artículo 256 de la Constitución el cual queda así. Entiéndase por convocatoria pública arreglada (sic), el método de selección de funcionarios en el cual se tienen en cuenta los méritos, la trayectoria profesional y las calidades y las cualidades éticas de los aspirantes. Las convocatorias públicas arregladas (sic) consistirán en la selección de funcionarios por parte de la entidad competente. La entidad competente realizará una convocatoria pública en la cual se señalarán los requisitos que deben cumplir quienes deseen postularse al cargo. Quienes cumplan los requisitos y se postulen, deberán presentar un examen integral, donde se evaluarán sus conocimientos, actitudes profesionales, psicológicas y éticas, los mejores puntajes del concurso concurrirán en una audiencia pública en la cual debatirán y se harán oposición unos a otros de forma tal se valoren entre ellos la trayectoria profesional, las cualidades profesionales y demás actitudes relevantes. Finalizada la audiencia, quienes intervinieron como postulados en ella, elegirán una terna para que de ella sea elegido por la autoridad competente la persona que ocupará el cargo</w:t>
      </w:r>
      <w:r w:rsidRPr="002E4477">
        <w:t xml:space="preserve">”. </w:t>
      </w:r>
    </w:p>
  </w:footnote>
  <w:footnote w:id="402">
    <w:p w14:paraId="66C93162" w14:textId="77777777" w:rsidR="004832B6" w:rsidRPr="002E4477" w:rsidRDefault="004832B6" w:rsidP="00566B75">
      <w:pPr>
        <w:pStyle w:val="Textonotapie"/>
        <w:rPr>
          <w:lang w:val="es-CO"/>
        </w:rPr>
      </w:pPr>
      <w:r w:rsidRPr="002E4477">
        <w:rPr>
          <w:rStyle w:val="Refdenotaalpie"/>
        </w:rPr>
        <w:footnoteRef/>
      </w:r>
      <w:r w:rsidRPr="002E4477">
        <w:t xml:space="preserve"> </w:t>
      </w:r>
      <w:r w:rsidRPr="002E4477">
        <w:rPr>
          <w:lang w:val="es-CO"/>
        </w:rPr>
        <w:t xml:space="preserve">Ello puede verse en los antecedentes del cambio constitucional relacionados con el artículo 231 superior. </w:t>
      </w:r>
    </w:p>
  </w:footnote>
  <w:footnote w:id="403">
    <w:p w14:paraId="4F785996" w14:textId="77777777" w:rsidR="004832B6" w:rsidRPr="002E4477" w:rsidRDefault="004832B6" w:rsidP="00566B75">
      <w:pPr>
        <w:pStyle w:val="Corte"/>
        <w:rPr>
          <w:lang w:val="es-MX"/>
        </w:rPr>
      </w:pPr>
      <w:r w:rsidRPr="002E4477">
        <w:rPr>
          <w:rStyle w:val="Refdenotaalpie"/>
        </w:rPr>
        <w:footnoteRef/>
      </w:r>
      <w:r w:rsidRPr="002E4477">
        <w:t xml:space="preserve"> Al respecto, el Ministro de Justicia Yesid Reyes Alvarado señaló: “</w:t>
      </w:r>
      <w:r w:rsidRPr="002E4477">
        <w:rPr>
          <w:i/>
          <w:iCs/>
        </w:rPr>
        <w:t>la Comisión Nacional de Disciplina Judicial que va a mantener una estructura similar a la que tiene ahora la sala disciplinaria del Consejo Superior de la Judicatura, con unas funciones iguales y va a variar solamente la forma de elección de los Magistrados que la componen</w:t>
      </w:r>
      <w:r w:rsidRPr="002E4477">
        <w:t>” (Gaceta del Congreso No. 239 de 2015</w:t>
      </w:r>
      <w:r w:rsidRPr="002E4477">
        <w:rPr>
          <w:lang w:val="es-MX"/>
        </w:rPr>
        <w:t>).</w:t>
      </w:r>
    </w:p>
  </w:footnote>
  <w:footnote w:id="404">
    <w:p w14:paraId="5711B94A" w14:textId="77777777" w:rsidR="004832B6" w:rsidRPr="002E4477" w:rsidRDefault="004832B6" w:rsidP="00566B75">
      <w:pPr>
        <w:pStyle w:val="Corte"/>
        <w:rPr>
          <w:lang w:val="es-MX"/>
        </w:rPr>
      </w:pPr>
      <w:r w:rsidRPr="002E4477">
        <w:rPr>
          <w:rStyle w:val="Refdenotaalpie"/>
        </w:rPr>
        <w:footnoteRef/>
      </w:r>
      <w:r w:rsidRPr="002E4477">
        <w:t xml:space="preserve"> Gaceta del Congreso No. 138 de 2015.</w:t>
      </w:r>
    </w:p>
  </w:footnote>
  <w:footnote w:id="405">
    <w:p w14:paraId="5DFE3801" w14:textId="77777777" w:rsidR="004832B6" w:rsidRPr="002E4477" w:rsidRDefault="004832B6" w:rsidP="00566B75">
      <w:pPr>
        <w:pStyle w:val="Corte"/>
        <w:rPr>
          <w:lang w:val="es-MX"/>
        </w:rPr>
      </w:pPr>
      <w:r w:rsidRPr="002E4477">
        <w:rPr>
          <w:rStyle w:val="Refdenotaalpie"/>
        </w:rPr>
        <w:footnoteRef/>
      </w:r>
      <w:r w:rsidRPr="002E4477">
        <w:t xml:space="preserve"> Gaceta del Congreso No. 305 de 2015.</w:t>
      </w:r>
      <w:r w:rsidRPr="002E4477">
        <w:rPr>
          <w:lang w:val="es-MX"/>
        </w:rPr>
        <w:t xml:space="preserve"> </w:t>
      </w:r>
      <w:r w:rsidRPr="002E4477">
        <w:t>En relación con este aspecto, la senadora Claudia Nayibe López Hernández afirmó: “</w:t>
      </w:r>
      <w:r w:rsidRPr="002E4477">
        <w:rPr>
          <w:i/>
          <w:iCs/>
        </w:rPr>
        <w:t>La Sala Disciplinaria actual que pasa a ser este Consejo Nacional de Disciplina. La</w:t>
      </w:r>
      <w:r w:rsidRPr="002E4477">
        <w:t xml:space="preserve"> </w:t>
      </w:r>
      <w:r w:rsidRPr="002E4477">
        <w:rPr>
          <w:i/>
          <w:iCs/>
        </w:rPr>
        <w:t>ponencia ya enmienda la mitad de los problemas, por un lado el origen, antes era un origen político, el Presidente postulaba, el Congreso elegía, eso se prestó para pago de favores, por eso fue que terminaron gente de las peores calidades, unos acuerdos políticos, eso ya no volverá a ocurrir. En adelante, primero tendrán requisitos muchos más altos que los actuales. Y segundo serán elegidos por concurso de méritos organizado por la Dirección de la Magistratura. Entonces solucionado el problema del origen (…) en adelante no habrá acuerdos politiqueros para designar Magistrados, habrá concurso</w:t>
      </w:r>
      <w:r w:rsidRPr="002E4477">
        <w:rPr>
          <w:lang w:val="es-MX"/>
        </w:rPr>
        <w:t>”</w:t>
      </w:r>
    </w:p>
  </w:footnote>
  <w:footnote w:id="406">
    <w:p w14:paraId="7CB75C52" w14:textId="77777777" w:rsidR="004832B6" w:rsidRPr="002E4477" w:rsidRDefault="004832B6" w:rsidP="00566B75">
      <w:pPr>
        <w:pStyle w:val="Corte"/>
      </w:pPr>
      <w:r w:rsidRPr="002E4477">
        <w:rPr>
          <w:rStyle w:val="Refdenotaalpie"/>
        </w:rPr>
        <w:footnoteRef/>
      </w:r>
      <w:r w:rsidRPr="002E4477">
        <w:t xml:space="preserve"> Sobre el particular, una de las senadoras ponentes sostuvo: “</w:t>
      </w:r>
      <w:r w:rsidRPr="002E4477">
        <w:rPr>
          <w:i/>
          <w:iCs/>
        </w:rPr>
        <w:t>para ir resolviendo las inquietudes sobre el tema, doctora Viviane, que quede claro que el Congreso puede escoger a cualquiera de la terna, se dice con claridad, los cuales serán elegidos libremente por el Congreso en Pleno de ternas enviadas por el Consejo de Gobierno Judicial</w:t>
      </w:r>
      <w:r w:rsidRPr="002E4477">
        <w:t>” (Gaceta del Congreso No. 305 de 2015). Así mismo, el senador Hernán Francisco Andrade Serrano manifestó: “</w:t>
      </w:r>
      <w:r w:rsidRPr="002E4477">
        <w:rPr>
          <w:i/>
          <w:iCs/>
        </w:rPr>
        <w:t>ese libremente obedeció a que como viene de un concurso de una lista, quisimos precisar que no nos fueran a señalar, que había que escoger obligatoriamente al primer lugar de la lista”</w:t>
      </w:r>
      <w:r w:rsidRPr="002E4477">
        <w:t xml:space="preserve"> (Gaceta del Congreso No. 644 de 2015).</w:t>
      </w:r>
    </w:p>
  </w:footnote>
  <w:footnote w:id="407">
    <w:p w14:paraId="215DAD74" w14:textId="77777777" w:rsidR="004832B6" w:rsidRPr="002E4477" w:rsidRDefault="004832B6" w:rsidP="00566B75">
      <w:pPr>
        <w:pStyle w:val="Corte"/>
      </w:pPr>
      <w:r w:rsidRPr="002E4477">
        <w:rPr>
          <w:rStyle w:val="Refdenotaalpie"/>
        </w:rPr>
        <w:footnoteRef/>
      </w:r>
      <w:r w:rsidRPr="002E4477">
        <w:t xml:space="preserve"> En el sexto debate, uno de los senadores ponentes enfatizó que los Magistrados de la Comisión Nacional de Disciplina Judicial </w:t>
      </w:r>
      <w:r w:rsidRPr="002E4477">
        <w:rPr>
          <w:i/>
          <w:iCs/>
        </w:rPr>
        <w:t>“[s]erán escogidos, óigase bien, por concurso de méritos. Serán escogidos por concursos de méritos que hoy no se escoge la Sala Disciplinaria de esa manera”</w:t>
      </w:r>
      <w:r w:rsidRPr="002E4477">
        <w:t xml:space="preserve"> (Gaceta del Congreso No. 644 de 2015).</w:t>
      </w:r>
    </w:p>
  </w:footnote>
  <w:footnote w:id="408">
    <w:p w14:paraId="21D3F1C4" w14:textId="77777777" w:rsidR="004832B6" w:rsidRPr="002E4477" w:rsidRDefault="004832B6" w:rsidP="00566B75">
      <w:pPr>
        <w:pStyle w:val="Corte"/>
      </w:pPr>
      <w:r w:rsidRPr="002E4477">
        <w:rPr>
          <w:rStyle w:val="Refdenotaalpie"/>
        </w:rPr>
        <w:footnoteRef/>
      </w:r>
      <w:r w:rsidRPr="002E4477">
        <w:t xml:space="preserve"> Gaceta del Congreso No. 289 de 2015.</w:t>
      </w:r>
    </w:p>
  </w:footnote>
  <w:footnote w:id="409">
    <w:p w14:paraId="5AEEAFA3" w14:textId="77777777" w:rsidR="004832B6" w:rsidRPr="002E4477" w:rsidRDefault="004832B6" w:rsidP="00566B75">
      <w:pPr>
        <w:pStyle w:val="Corte"/>
      </w:pPr>
      <w:r w:rsidRPr="002E4477">
        <w:rPr>
          <w:rStyle w:val="Refdenotaalpie"/>
        </w:rPr>
        <w:footnoteRef/>
      </w:r>
      <w:r w:rsidRPr="002E4477">
        <w:t xml:space="preserve"> Gaceta del Congreso No. 289 de 2015.</w:t>
      </w:r>
    </w:p>
  </w:footnote>
  <w:footnote w:id="410">
    <w:p w14:paraId="11D4EC57" w14:textId="77777777" w:rsidR="004832B6" w:rsidRPr="002E4477" w:rsidRDefault="004832B6" w:rsidP="00566B75">
      <w:pPr>
        <w:pStyle w:val="Corte"/>
      </w:pPr>
      <w:r w:rsidRPr="002E4477">
        <w:rPr>
          <w:rStyle w:val="Refdenotaalpie"/>
        </w:rPr>
        <w:footnoteRef/>
      </w:r>
      <w:r w:rsidRPr="002E4477">
        <w:t xml:space="preserve"> Gaceta del Congreso Nos. 289 y 480 de 2015. </w:t>
      </w:r>
    </w:p>
  </w:footnote>
  <w:footnote w:id="411">
    <w:p w14:paraId="307B7D34" w14:textId="77777777" w:rsidR="004832B6" w:rsidRPr="002E4477" w:rsidRDefault="004832B6" w:rsidP="00566B75">
      <w:pPr>
        <w:pStyle w:val="Corte"/>
      </w:pPr>
      <w:r w:rsidRPr="002E4477">
        <w:rPr>
          <w:rStyle w:val="Refdenotaalpie"/>
        </w:rPr>
        <w:footnoteRef/>
      </w:r>
      <w:r w:rsidRPr="002E4477">
        <w:t xml:space="preserve"> Gaceta del Congreso No. 341 de 2015.</w:t>
      </w:r>
    </w:p>
  </w:footnote>
  <w:footnote w:id="412">
    <w:p w14:paraId="0C7F0531" w14:textId="77777777" w:rsidR="004832B6" w:rsidRPr="002E4477" w:rsidRDefault="004832B6" w:rsidP="00566B75">
      <w:pPr>
        <w:pStyle w:val="Corte"/>
      </w:pPr>
      <w:r w:rsidRPr="002E4477">
        <w:rPr>
          <w:rStyle w:val="Refdenotaalpie"/>
        </w:rPr>
        <w:footnoteRef/>
      </w:r>
      <w:r w:rsidRPr="002E4477">
        <w:t xml:space="preserve"> “</w:t>
      </w:r>
      <w:r w:rsidRPr="002E4477">
        <w:rPr>
          <w:b/>
          <w:bCs/>
        </w:rPr>
        <w:t>Artículo 231.</w:t>
      </w:r>
      <w:r w:rsidRPr="002E4477">
        <w:t xml:space="preserve"> Los Magistrados de la Corte Suprema de Justicia y del Consejo de Estado serán elegidos por la respectiva Corporación, previa audiencia pública, de lista de diez elegibles enviada por el </w:t>
      </w:r>
      <w:r w:rsidRPr="002E4477">
        <w:rPr>
          <w:strike/>
        </w:rPr>
        <w:t>Consejo de Gobierno Judicial</w:t>
      </w:r>
      <w:r w:rsidRPr="002E4477">
        <w:t xml:space="preserve"> Consejo Superior de la Judicatura tras una convocatoria pública reglada de conformidad con la ley </w:t>
      </w:r>
      <w:r w:rsidRPr="002E4477">
        <w:rPr>
          <w:strike/>
        </w:rPr>
        <w:t>y adelantada por la Gerencia de la Rama Judicial</w:t>
      </w:r>
      <w:r w:rsidRPr="002E4477">
        <w:t>.”</w:t>
      </w:r>
    </w:p>
  </w:footnote>
  <w:footnote w:id="413">
    <w:p w14:paraId="7FF6DF58" w14:textId="77777777" w:rsidR="004832B6" w:rsidRPr="002E4477" w:rsidRDefault="004832B6" w:rsidP="00566B75">
      <w:pPr>
        <w:pStyle w:val="Corte"/>
      </w:pPr>
      <w:r w:rsidRPr="002E4477">
        <w:rPr>
          <w:rStyle w:val="Refdenotaalpie"/>
        </w:rPr>
        <w:footnoteRef/>
      </w:r>
      <w:r w:rsidRPr="002E4477">
        <w:t xml:space="preserve"> Gaceta del Congreso 1029 de 2015.</w:t>
      </w:r>
    </w:p>
  </w:footnote>
  <w:footnote w:id="414">
    <w:p w14:paraId="3CE33C2A" w14:textId="77777777" w:rsidR="004832B6" w:rsidRPr="002E4477" w:rsidRDefault="004832B6" w:rsidP="003E6CCB">
      <w:pPr>
        <w:pStyle w:val="Corte"/>
      </w:pPr>
      <w:r w:rsidRPr="002E4477">
        <w:rPr>
          <w:rStyle w:val="Refdenotaalpie"/>
        </w:rPr>
        <w:footnoteRef/>
      </w:r>
      <w:r w:rsidRPr="002E4477">
        <w:t xml:space="preserve"> Gaceta del Congreso No. 694 de 2014. Informe de Ponencia para Primer Debate al Proyecto de Acto Legislativo</w:t>
      </w:r>
    </w:p>
  </w:footnote>
  <w:footnote w:id="415">
    <w:p w14:paraId="7487E136" w14:textId="77777777" w:rsidR="004832B6" w:rsidRPr="002E4477" w:rsidRDefault="004832B6" w:rsidP="003E6CCB">
      <w:pPr>
        <w:pStyle w:val="Corte"/>
      </w:pPr>
      <w:r w:rsidRPr="002E4477">
        <w:rPr>
          <w:rStyle w:val="Refdenotaalpie"/>
        </w:rPr>
        <w:footnoteRef/>
      </w:r>
      <w:r w:rsidRPr="002E4477">
        <w:t xml:space="preserve"> Gaceta del Congreso No. 305 de 2015.</w:t>
      </w:r>
    </w:p>
  </w:footnote>
  <w:footnote w:id="416">
    <w:p w14:paraId="1BD7B92C" w14:textId="77777777" w:rsidR="004832B6" w:rsidRPr="002E4477" w:rsidRDefault="004832B6" w:rsidP="003E6CCB">
      <w:pPr>
        <w:pStyle w:val="Corte"/>
      </w:pPr>
      <w:r w:rsidRPr="002E4477">
        <w:rPr>
          <w:rStyle w:val="Refdenotaalpie"/>
        </w:rPr>
        <w:footnoteRef/>
      </w:r>
      <w:r w:rsidRPr="002E4477">
        <w:t xml:space="preserve"> En relación con ambas alternativas, la senadora ponente Claudia Nayibe López Hernández indicó: “hay dos alternativas (…) para esta transición, de un lado la que explicaba el doctor Andrade y es que de los siete miembros actuales cinco terminan su periodo en el transcurso del próximo año, entonces una opción es decir bueno, cada vez que se genere una vacante se reemplazará con las reglas nuevas (…) esa sería una posibilidad y entonces en la práctica en el transcurso del próximo año quedan cinco de siete reemplazados con las nuevas reglas, o la otra posibilidad, es decir, que en el transcurso del próximo año se elegirá a todos los siete con las nueva reglas” (Gaceta del Congreso No. 306 de 2015). Véase también: Gaceta del Congreso No. 305 de 2015.</w:t>
      </w:r>
    </w:p>
  </w:footnote>
  <w:footnote w:id="417">
    <w:p w14:paraId="3DE79DD5" w14:textId="77777777" w:rsidR="004832B6" w:rsidRPr="002E4477" w:rsidRDefault="004832B6" w:rsidP="003E6CCB">
      <w:pPr>
        <w:pStyle w:val="Corte"/>
      </w:pPr>
      <w:r w:rsidRPr="002E4477">
        <w:rPr>
          <w:rStyle w:val="Refdenotaalpie"/>
        </w:rPr>
        <w:footnoteRef/>
      </w:r>
      <w:r w:rsidRPr="002E4477">
        <w:t xml:space="preserve"> En defensa de esta postura, intervino el Ministro de Justicia Yesid Reyes Alvarado en los siguientes términos: ¿Por qué no acabarlos de una vez?, son dos cosas distintas acabar con funcionarios encargados de administrar, de comprar papel para la rama judicial y pagar las cuentas de luz de los juzgados. Y otra retirar todos los jueces encargados de juzgar miles de investigaciones disciplinarias que quedarían directamente paralizadas, son los Magistrados, sí, que son los encargados de la investigación disciplinaria, todos esos Magistrados tienen a su cargo expedientes que de una u otra manera han estudiado, están avanzando muchos a punto de resolverse. Ya de hecho este año vamos a tener un problema muy grande, práctico, porque todos los Magistrados de la Sala Disciplinaria del Consejo Superior de la Judicatura, menos dos, salen este año. Entonces van a quedar solamente dos Magistrados de la Sala Jurisdiccional Disciplinaria al final de este año, de los actuales, pero por lo menos esos dos Magistrados que quedan, que continúen con el trámite normal de los procesos disciplinarios mientras se acaba su periodo, porque lo otro en la práctica va a generar un caos, la parálisis absoluta de la facultad disciplinaria del Consejo Superior de la Judicatura. </w:t>
      </w:r>
    </w:p>
    <w:p w14:paraId="799ECDD7" w14:textId="77777777" w:rsidR="004832B6" w:rsidRPr="002E4477" w:rsidRDefault="004832B6" w:rsidP="003E6CCB">
      <w:pPr>
        <w:pStyle w:val="Corte"/>
      </w:pPr>
      <w:r w:rsidRPr="002E4477">
        <w:t>Por eso yo insisto también en que mantengamos los periodos de los Magistrados actuales de la Sala Jurisdiccional Disciplinaria, que como les digo en la práctica van a ser solamente dos, porque al resto se les vence el periodo este mismo año” (Gaceta del Congreso No. 305 de 2015).</w:t>
      </w:r>
    </w:p>
  </w:footnote>
  <w:footnote w:id="418">
    <w:p w14:paraId="5C4BACA9" w14:textId="77777777" w:rsidR="004832B6" w:rsidRPr="002E4477" w:rsidRDefault="004832B6" w:rsidP="003E6CCB">
      <w:pPr>
        <w:pStyle w:val="Corte"/>
        <w:rPr>
          <w:lang w:val="es-MX"/>
        </w:rPr>
      </w:pPr>
      <w:r w:rsidRPr="002E4477">
        <w:rPr>
          <w:rStyle w:val="Refdenotaalpie"/>
        </w:rPr>
        <w:footnoteRef/>
      </w:r>
      <w:r w:rsidRPr="002E4477">
        <w:t xml:space="preserve"> El texto contentivo de esta propuesta indicaba: “Los Miembros de la Comisión Nacional de Disciplina Judicial serán nombrados con base en las reglas establecidas en el presente artículo, conforme vayan creándose vacantes de los actuales Miembros de la Sala Jurisdiccional Disciplinaria del Consejo Superior de la Judicatura” (Gaceta del Congreso No. 213 de 2015).</w:t>
      </w:r>
    </w:p>
  </w:footnote>
  <w:footnote w:id="419">
    <w:p w14:paraId="5E2BBD76" w14:textId="77777777" w:rsidR="004832B6" w:rsidRPr="002E4477" w:rsidRDefault="004832B6" w:rsidP="003E6CCB">
      <w:pPr>
        <w:pStyle w:val="Corte"/>
        <w:rPr>
          <w:lang w:val="es-MX"/>
        </w:rPr>
      </w:pPr>
      <w:r w:rsidRPr="002E4477">
        <w:rPr>
          <w:rStyle w:val="Refdenotaalpie"/>
        </w:rPr>
        <w:footnoteRef/>
      </w:r>
      <w:r w:rsidRPr="002E4477">
        <w:t xml:space="preserve"> Gaceta del Congreso No. 305 de 2015.</w:t>
      </w:r>
    </w:p>
  </w:footnote>
  <w:footnote w:id="420">
    <w:p w14:paraId="4F10518D" w14:textId="77777777" w:rsidR="004832B6" w:rsidRPr="002E4477" w:rsidRDefault="004832B6" w:rsidP="003E6CCB">
      <w:pPr>
        <w:pStyle w:val="Corte"/>
        <w:rPr>
          <w:lang w:val="es-MX"/>
        </w:rPr>
      </w:pPr>
      <w:r w:rsidRPr="002E4477">
        <w:rPr>
          <w:rStyle w:val="Refdenotaalpie"/>
        </w:rPr>
        <w:footnoteRef/>
      </w:r>
      <w:r w:rsidRPr="002E4477">
        <w:t xml:space="preserve"> Gaceta del Congreso No. 644 de 2015.</w:t>
      </w:r>
    </w:p>
  </w:footnote>
  <w:footnote w:id="421">
    <w:p w14:paraId="40156776" w14:textId="77777777" w:rsidR="004832B6" w:rsidRPr="002E4477" w:rsidRDefault="004832B6" w:rsidP="003E6CCB">
      <w:pPr>
        <w:pStyle w:val="Corte"/>
        <w:rPr>
          <w:lang w:val="es-MX"/>
        </w:rPr>
      </w:pPr>
      <w:r w:rsidRPr="002E4477">
        <w:rPr>
          <w:rStyle w:val="Refdenotaalpie"/>
        </w:rPr>
        <w:footnoteRef/>
      </w:r>
      <w:r w:rsidRPr="002E4477">
        <w:t xml:space="preserve"> Gaceta del Congreso No. 480 de 2015.</w:t>
      </w:r>
    </w:p>
  </w:footnote>
  <w:footnote w:id="422">
    <w:p w14:paraId="102F0086"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Corte Constitucional. Sentencia C-037 de 1996. M.P. Vladimiro Naranjo</w:t>
      </w:r>
      <w:r>
        <w:rPr>
          <w:lang w:val="es-CO"/>
        </w:rPr>
        <w:t xml:space="preserve"> Mesa</w:t>
      </w:r>
    </w:p>
  </w:footnote>
  <w:footnote w:id="423">
    <w:p w14:paraId="7633C24F" w14:textId="77777777" w:rsidR="004832B6" w:rsidRPr="002E4477" w:rsidRDefault="004832B6">
      <w:pPr>
        <w:pStyle w:val="Textonotapie"/>
        <w:rPr>
          <w:lang w:val="es-CO"/>
        </w:rPr>
      </w:pPr>
      <w:r w:rsidRPr="002E4477">
        <w:rPr>
          <w:rStyle w:val="Refdenotaalpie"/>
        </w:rPr>
        <w:footnoteRef/>
      </w:r>
      <w:r w:rsidRPr="002E4477">
        <w:t xml:space="preserve"> </w:t>
      </w:r>
      <w:r w:rsidRPr="002E4477">
        <w:rPr>
          <w:lang w:val="es-CO"/>
        </w:rPr>
        <w:t xml:space="preserve">Corte Constitucional. </w:t>
      </w:r>
      <w:r w:rsidRPr="002E4477">
        <w:t xml:space="preserve">Sentencia SU-068 de 2018 </w:t>
      </w:r>
      <w:r w:rsidRPr="002E4477">
        <w:rPr>
          <w:lang w:val="es-CO"/>
        </w:rPr>
        <w:t xml:space="preserve"> M.P. Alberto Rojas Ríos. </w:t>
      </w:r>
    </w:p>
  </w:footnote>
  <w:footnote w:id="424">
    <w:p w14:paraId="3AB2424B" w14:textId="77777777" w:rsidR="004832B6" w:rsidRPr="002E4477" w:rsidRDefault="004832B6" w:rsidP="00C77E35">
      <w:pPr>
        <w:pStyle w:val="Textonotapie"/>
        <w:rPr>
          <w:lang w:val="es-CO"/>
        </w:rPr>
      </w:pPr>
      <w:r w:rsidRPr="002E4477">
        <w:rPr>
          <w:rStyle w:val="Refdenotaalpie"/>
        </w:rPr>
        <w:footnoteRef/>
      </w:r>
      <w:r w:rsidRPr="002E4477">
        <w:t xml:space="preserve"> </w:t>
      </w:r>
      <w:r w:rsidRPr="002E4477">
        <w:rPr>
          <w:lang w:val="es-CO"/>
        </w:rPr>
        <w:t>Corte Constitucional. Sentencia T-260 de 1995</w:t>
      </w:r>
    </w:p>
  </w:footnote>
  <w:footnote w:id="425">
    <w:p w14:paraId="63A5F8CE" w14:textId="77777777" w:rsidR="004832B6" w:rsidRPr="000C1BCF" w:rsidRDefault="004832B6" w:rsidP="00677337">
      <w:pPr>
        <w:pStyle w:val="Textonotapie"/>
        <w:jc w:val="both"/>
      </w:pPr>
      <w:r w:rsidRPr="000C1BCF">
        <w:rPr>
          <w:rStyle w:val="Refdenotaalpie"/>
        </w:rPr>
        <w:footnoteRef/>
      </w:r>
      <w:r w:rsidRPr="000C1BCF">
        <w:t xml:space="preserve"> </w:t>
      </w:r>
      <w:r w:rsidRPr="000C1BCF">
        <w:t>«Artículo 91. Pérdida de ejecutoriedad del acto administrativo. Salvo</w:t>
      </w:r>
      <w:r w:rsidRPr="000C1BCF">
        <w:rPr>
          <w:lang w:val="es-CO"/>
        </w:rPr>
        <w:t xml:space="preserve"> </w:t>
      </w:r>
      <w:r w:rsidRPr="000C1BCF">
        <w:t>norma expresa en contrario, los</w:t>
      </w:r>
      <w:r w:rsidRPr="000C1BCF">
        <w:rPr>
          <w:lang w:val="es-CO"/>
        </w:rPr>
        <w:t xml:space="preserve"> </w:t>
      </w:r>
      <w:r w:rsidRPr="000C1BCF">
        <w:t>actos administrativos en firme serán</w:t>
      </w:r>
      <w:r w:rsidRPr="000C1BCF">
        <w:rPr>
          <w:lang w:val="es-CO"/>
        </w:rPr>
        <w:t xml:space="preserve"> </w:t>
      </w:r>
      <w:r w:rsidRPr="000C1BCF">
        <w:t>obligatorios mientras no hayan sido anulados por la Jurisdicción de lo</w:t>
      </w:r>
      <w:r w:rsidRPr="000C1BCF">
        <w:rPr>
          <w:lang w:val="es-CO"/>
        </w:rPr>
        <w:t xml:space="preserve"> </w:t>
      </w:r>
      <w:r w:rsidRPr="000C1BCF">
        <w:t>Contencioso Administrativo. Perderán obligatoriedad y, por lo tanto, no</w:t>
      </w:r>
      <w:r w:rsidRPr="000C1BCF">
        <w:rPr>
          <w:lang w:val="es-CO"/>
        </w:rPr>
        <w:t xml:space="preserve"> </w:t>
      </w:r>
      <w:r w:rsidRPr="000C1BCF">
        <w:t>podrán ser ejecutados en los siguientes casos:</w:t>
      </w:r>
      <w:r w:rsidRPr="000C1BCF">
        <w:rPr>
          <w:lang w:val="es-CO"/>
        </w:rPr>
        <w:t xml:space="preserve"> </w:t>
      </w:r>
      <w:r w:rsidRPr="000C1BCF">
        <w:t>(…)</w:t>
      </w:r>
      <w:r w:rsidRPr="000C1BCF">
        <w:rPr>
          <w:lang w:val="es-CO"/>
        </w:rPr>
        <w:t xml:space="preserve"> </w:t>
      </w:r>
      <w:r w:rsidRPr="000C1BCF">
        <w:t>2. Cuando desaparezcan sus fundamentos de hecho o de derecho.(…).»</w:t>
      </w:r>
    </w:p>
  </w:footnote>
  <w:footnote w:id="426">
    <w:p w14:paraId="7146F490" w14:textId="77777777" w:rsidR="004832B6" w:rsidRPr="000C1BCF" w:rsidRDefault="004832B6" w:rsidP="00E95870">
      <w:pPr>
        <w:pStyle w:val="Textonotapie"/>
        <w:jc w:val="both"/>
        <w:rPr>
          <w:lang w:val="es-CO"/>
        </w:rPr>
      </w:pPr>
      <w:r w:rsidRPr="000C1BCF">
        <w:rPr>
          <w:rStyle w:val="Refdenotaalpie"/>
        </w:rPr>
        <w:footnoteRef/>
      </w:r>
      <w:r w:rsidRPr="000C1BCF">
        <w:t xml:space="preserve"> </w:t>
      </w:r>
      <w:r w:rsidRPr="000C1BCF">
        <w:t xml:space="preserve">Consejo </w:t>
      </w:r>
      <w:r w:rsidRPr="000C1BCF">
        <w:rPr>
          <w:lang w:val="es-CO"/>
        </w:rPr>
        <w:t>d</w:t>
      </w:r>
      <w:r w:rsidRPr="000C1BCF">
        <w:t xml:space="preserve">e Estado, Sección Tercera Subsección A. Sentencia </w:t>
      </w:r>
      <w:r w:rsidRPr="000C1BCF">
        <w:rPr>
          <w:lang w:val="es-CO"/>
        </w:rPr>
        <w:t>d</w:t>
      </w:r>
      <w:r w:rsidRPr="000C1BCF">
        <w:t xml:space="preserve">el 19 </w:t>
      </w:r>
      <w:r w:rsidRPr="000C1BCF">
        <w:rPr>
          <w:lang w:val="es-CO"/>
        </w:rPr>
        <w:t>d</w:t>
      </w:r>
      <w:r w:rsidRPr="000C1BCF">
        <w:t xml:space="preserve">e </w:t>
      </w:r>
      <w:r w:rsidRPr="000C1BCF">
        <w:rPr>
          <w:lang w:val="es-CO"/>
        </w:rPr>
        <w:t>m</w:t>
      </w:r>
      <w:r w:rsidRPr="000C1BCF">
        <w:t xml:space="preserve">arzo </w:t>
      </w:r>
      <w:r w:rsidRPr="000C1BCF">
        <w:rPr>
          <w:lang w:val="es-CO"/>
        </w:rPr>
        <w:t>d</w:t>
      </w:r>
      <w:r w:rsidRPr="000C1BCF">
        <w:t xml:space="preserve">e 2020. C.P. María Adriana Marín, Radicado 11001-03-26-000-2016-00144-00 (57917). Consejo </w:t>
      </w:r>
      <w:r w:rsidRPr="000C1BCF">
        <w:rPr>
          <w:lang w:val="es-CO"/>
        </w:rPr>
        <w:t>d</w:t>
      </w:r>
      <w:r w:rsidRPr="000C1BCF">
        <w:t xml:space="preserve">e Estado, Sección Cuarta. Sentencia </w:t>
      </w:r>
      <w:r w:rsidRPr="000C1BCF">
        <w:rPr>
          <w:lang w:val="es-CO"/>
        </w:rPr>
        <w:t>d</w:t>
      </w:r>
      <w:r w:rsidRPr="000C1BCF">
        <w:t xml:space="preserve">el 15 </w:t>
      </w:r>
      <w:r w:rsidRPr="000C1BCF">
        <w:rPr>
          <w:lang w:val="es-CO"/>
        </w:rPr>
        <w:t>d</w:t>
      </w:r>
      <w:r w:rsidRPr="000C1BCF">
        <w:t xml:space="preserve">e </w:t>
      </w:r>
      <w:r w:rsidRPr="000C1BCF">
        <w:rPr>
          <w:lang w:val="es-CO"/>
        </w:rPr>
        <w:t>a</w:t>
      </w:r>
      <w:r w:rsidRPr="000C1BCF">
        <w:t xml:space="preserve">gosto </w:t>
      </w:r>
      <w:r w:rsidRPr="000C1BCF">
        <w:rPr>
          <w:lang w:val="es-CO"/>
        </w:rPr>
        <w:t>d</w:t>
      </w:r>
      <w:r w:rsidRPr="000C1BCF">
        <w:t>e 2018. C.P. Milton Chaves García, Radicado 11001-03-27-000-2016-00012-00 (22362).</w:t>
      </w:r>
    </w:p>
  </w:footnote>
  <w:footnote w:id="427">
    <w:p w14:paraId="4A213092" w14:textId="77777777" w:rsidR="004832B6" w:rsidRPr="008B457B" w:rsidRDefault="004832B6" w:rsidP="008B457B">
      <w:pPr>
        <w:pStyle w:val="Prrafodelista"/>
        <w:ind w:left="0"/>
        <w:jc w:val="both"/>
        <w:rPr>
          <w:sz w:val="20"/>
          <w:highlight w:val="lightGray"/>
        </w:rPr>
      </w:pPr>
      <w:r w:rsidRPr="000C1BCF">
        <w:rPr>
          <w:rStyle w:val="Refdenotaalpie"/>
        </w:rPr>
        <w:footnoteRef/>
      </w:r>
      <w:r w:rsidRPr="000C1BCF">
        <w:t xml:space="preserve"> </w:t>
      </w:r>
      <w:r w:rsidRPr="000C1BCF">
        <w:rPr>
          <w:bCs/>
          <w:sz w:val="20"/>
          <w:lang w:eastAsia="es-CO" w:bidi="bo-CN"/>
        </w:rPr>
        <w:t xml:space="preserve">Este acto administrativo se expidió con base en las atribuciones señaladas en el artículo 19 del Acto Legislativo 2 de 2015 (Art. 257 A C.P.) y la sentencia C-285 de 2016. </w:t>
      </w:r>
    </w:p>
  </w:footnote>
  <w:footnote w:id="428">
    <w:p w14:paraId="76513F68" w14:textId="77777777" w:rsidR="004832B6" w:rsidRPr="00F10161" w:rsidRDefault="004832B6" w:rsidP="00EE11AF">
      <w:pPr>
        <w:pStyle w:val="Textonotapie"/>
        <w:jc w:val="both"/>
        <w:rPr>
          <w:lang w:val="es-CO"/>
        </w:rPr>
      </w:pPr>
      <w:r>
        <w:rPr>
          <w:rStyle w:val="Refdenotaalpie"/>
        </w:rPr>
        <w:footnoteRef/>
      </w:r>
      <w:r>
        <w:t xml:space="preserve"> </w:t>
      </w:r>
      <w:r>
        <w:rPr>
          <w:lang w:val="es-CO"/>
        </w:rPr>
        <w:t>Cfr. Corte Constitucional. Sentencia C-948 de 2002. M.P. Álvaro Tafur Galvis.</w:t>
      </w:r>
    </w:p>
  </w:footnote>
  <w:footnote w:id="429">
    <w:p w14:paraId="25FA67FA" w14:textId="77777777" w:rsidR="004832B6" w:rsidRPr="00101A66" w:rsidRDefault="004832B6" w:rsidP="00EE11AF">
      <w:pPr>
        <w:pStyle w:val="Textonotapie"/>
        <w:jc w:val="both"/>
      </w:pPr>
      <w:r>
        <w:rPr>
          <w:rStyle w:val="Refdenotaalpie"/>
        </w:rPr>
        <w:footnoteRef/>
      </w:r>
      <w:r>
        <w:rPr>
          <w:lang w:val="es-CO"/>
        </w:rPr>
        <w:t xml:space="preserve"> El </w:t>
      </w:r>
      <w:r w:rsidRPr="00101A66">
        <w:t>Código Disciplinario del Abogado (Ley 1123 del 2007) describe las faltas contra la dignidad de la profesión, contra el decoro profesional y contra el respeto debido a la administración de justicia; otras se relacionan con la lealtad debida al cliente, faltas a la honradez, a la debida diligencia y el incumplimiento del deber de prevenir litigios y facilitar mecanismos alternativos de solución de conflictos</w:t>
      </w:r>
      <w:r>
        <w:t xml:space="preserve"> </w:t>
      </w:r>
    </w:p>
  </w:footnote>
  <w:footnote w:id="430">
    <w:p w14:paraId="1273AA94" w14:textId="77777777" w:rsidR="004832B6" w:rsidRPr="009E3494" w:rsidRDefault="004832B6" w:rsidP="00EE11AF">
      <w:pPr>
        <w:pStyle w:val="Textonotapie"/>
        <w:rPr>
          <w:lang w:val="es-CO"/>
        </w:rPr>
      </w:pPr>
      <w:r>
        <w:rPr>
          <w:rStyle w:val="Refdenotaalpie"/>
        </w:rPr>
        <w:footnoteRef/>
      </w:r>
      <w:r>
        <w:t xml:space="preserve"> </w:t>
      </w:r>
      <w:r>
        <w:rPr>
          <w:lang w:val="es-CO"/>
        </w:rPr>
        <w:t xml:space="preserve">Informe de la Sala Jurisdiccional Disciplinaria publicado en Ámbito Jurídico, del 8 de mayo de 2019. En: </w:t>
      </w:r>
      <w:r w:rsidRPr="00F01D0F">
        <w:rPr>
          <w:u w:val="single"/>
          <w:lang w:val="es-CO"/>
        </w:rPr>
        <w:t>https://www.ambitojuridico.com/noticias/general/procesal-y-disciplinario/mas-de-20-mil-abogados-han-sido-sancionados-por-el</w:t>
      </w:r>
    </w:p>
  </w:footnote>
  <w:footnote w:id="431">
    <w:p w14:paraId="7A63B18D" w14:textId="77777777" w:rsidR="004832B6" w:rsidRPr="0001480B" w:rsidRDefault="004832B6" w:rsidP="00EE11AF">
      <w:pPr>
        <w:pStyle w:val="NormalWeb"/>
        <w:spacing w:before="0" w:beforeAutospacing="0" w:after="0" w:afterAutospacing="0"/>
        <w:jc w:val="both"/>
        <w:rPr>
          <w:sz w:val="20"/>
          <w:szCs w:val="20"/>
          <w:lang w:bidi="ar-SA"/>
        </w:rPr>
      </w:pPr>
      <w:r w:rsidRPr="001C24E7">
        <w:rPr>
          <w:rStyle w:val="Refdenotaalpie"/>
          <w:sz w:val="20"/>
          <w:szCs w:val="20"/>
        </w:rPr>
        <w:footnoteRef/>
      </w:r>
      <w:r w:rsidRPr="001C24E7">
        <w:rPr>
          <w:sz w:val="20"/>
          <w:szCs w:val="20"/>
        </w:rPr>
        <w:t xml:space="preserve"> El consolidado de las decisiones de la Sala Disciplinaria indica que la sanción más impuesta a los abogados en estos 27 años es la suspensión (11.708 abogados), seguida de la censura (7.907 abogados), la exclusión (580 abogados), la amonestación (320 abogados) y la multa (158 abogados). </w:t>
      </w:r>
      <w:r w:rsidRPr="001C24E7">
        <w:rPr>
          <w:sz w:val="20"/>
          <w:szCs w:val="20"/>
          <w:lang w:bidi="ar-SA"/>
        </w:rPr>
        <w:t xml:space="preserve">Dichas faltas pueden ser sancionadas con: (i) </w:t>
      </w:r>
      <w:r w:rsidRPr="005E100F">
        <w:rPr>
          <w:b/>
          <w:bCs/>
          <w:sz w:val="20"/>
          <w:szCs w:val="20"/>
        </w:rPr>
        <w:t>Censura.</w:t>
      </w:r>
      <w:r w:rsidRPr="005E100F">
        <w:rPr>
          <w:sz w:val="20"/>
          <w:szCs w:val="20"/>
        </w:rPr>
        <w:t xml:space="preserve"> Consiste en la reprobación pública que se hace al infractor por la falta cometida</w:t>
      </w:r>
      <w:r w:rsidRPr="001C24E7">
        <w:rPr>
          <w:sz w:val="20"/>
          <w:szCs w:val="20"/>
        </w:rPr>
        <w:t xml:space="preserve">; (ii) </w:t>
      </w:r>
      <w:r w:rsidRPr="001C24E7">
        <w:rPr>
          <w:b/>
          <w:bCs/>
          <w:sz w:val="20"/>
          <w:szCs w:val="20"/>
        </w:rPr>
        <w:t>m</w:t>
      </w:r>
      <w:r w:rsidRPr="005E100F">
        <w:rPr>
          <w:b/>
          <w:bCs/>
          <w:sz w:val="20"/>
          <w:szCs w:val="20"/>
        </w:rPr>
        <w:t>ulta</w:t>
      </w:r>
      <w:r w:rsidRPr="005E100F">
        <w:rPr>
          <w:sz w:val="20"/>
          <w:szCs w:val="20"/>
        </w:rPr>
        <w:t>. Es una sanción de carácter pecuniario que no puede ser inferior a un salario mínimo mensual ni superior a 100</w:t>
      </w:r>
      <w:r w:rsidRPr="001C24E7">
        <w:rPr>
          <w:sz w:val="20"/>
          <w:szCs w:val="20"/>
        </w:rPr>
        <w:t xml:space="preserve">; (iii) </w:t>
      </w:r>
      <w:r w:rsidRPr="001C24E7">
        <w:rPr>
          <w:b/>
          <w:bCs/>
          <w:sz w:val="20"/>
          <w:szCs w:val="20"/>
        </w:rPr>
        <w:t>s</w:t>
      </w:r>
      <w:r w:rsidRPr="005E100F">
        <w:rPr>
          <w:b/>
          <w:bCs/>
          <w:sz w:val="20"/>
          <w:szCs w:val="20"/>
        </w:rPr>
        <w:t>uspensión</w:t>
      </w:r>
      <w:r w:rsidRPr="005E100F">
        <w:rPr>
          <w:sz w:val="20"/>
          <w:szCs w:val="20"/>
        </w:rPr>
        <w:t>. Consiste en la prohibición de ejercer la profesión por el término señalado en el fallo, oscila entre dos meses y tres años</w:t>
      </w:r>
      <w:r w:rsidRPr="001C24E7">
        <w:rPr>
          <w:sz w:val="20"/>
          <w:szCs w:val="20"/>
        </w:rPr>
        <w:t xml:space="preserve"> y (iv) </w:t>
      </w:r>
      <w:r w:rsidRPr="001C24E7">
        <w:rPr>
          <w:b/>
          <w:bCs/>
          <w:sz w:val="20"/>
          <w:szCs w:val="20"/>
        </w:rPr>
        <w:t>e</w:t>
      </w:r>
      <w:r w:rsidRPr="005E100F">
        <w:rPr>
          <w:b/>
          <w:bCs/>
          <w:sz w:val="20"/>
          <w:szCs w:val="20"/>
        </w:rPr>
        <w:t>xclusión.</w:t>
      </w:r>
      <w:r w:rsidRPr="005E100F">
        <w:rPr>
          <w:sz w:val="20"/>
          <w:szCs w:val="20"/>
        </w:rPr>
        <w:t xml:space="preserve"> Consiste en la cancelación de la tarjeta profesional y la prohibición para ejercer la abogacía.</w:t>
      </w:r>
    </w:p>
  </w:footnote>
  <w:footnote w:id="432">
    <w:p w14:paraId="5D9F5A7E" w14:textId="77777777" w:rsidR="004832B6" w:rsidRPr="00D912DD" w:rsidRDefault="004832B6" w:rsidP="00EE11AF">
      <w:pPr>
        <w:pStyle w:val="Textonotapie"/>
        <w:rPr>
          <w:lang w:val="es-CO"/>
        </w:rPr>
      </w:pPr>
      <w:r>
        <w:rPr>
          <w:rStyle w:val="Refdenotaalpie"/>
        </w:rPr>
        <w:footnoteRef/>
      </w:r>
      <w:r>
        <w:t xml:space="preserve"> </w:t>
      </w:r>
      <w:r>
        <w:rPr>
          <w:lang w:val="es-CO"/>
        </w:rPr>
        <w:t xml:space="preserve">Informe de la Sala Jurisdiccional Disciplinaria publicado en Ámbito Jurídico, del 8 de mayo de 2019. En: </w:t>
      </w:r>
      <w:r w:rsidRPr="00F01D0F">
        <w:rPr>
          <w:u w:val="single"/>
          <w:lang w:val="es-CO"/>
        </w:rPr>
        <w:t>https://www.ambitojuridico.com/noticias/general/procesal-y-disciplinario/mas-de-20-mil-abogados-han-sido-sancionados-por-el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DCFC3" w14:textId="77777777" w:rsidR="004832B6" w:rsidRDefault="004832B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CD825C2" w14:textId="77777777" w:rsidR="004832B6" w:rsidRDefault="004832B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8311" w14:textId="77777777" w:rsidR="004832B6" w:rsidRPr="00936804" w:rsidRDefault="004832B6">
    <w:pPr>
      <w:pStyle w:val="Encabezado"/>
      <w:framePr w:wrap="around" w:vAnchor="text" w:hAnchor="margin" w:xAlign="right" w:y="1"/>
      <w:jc w:val="both"/>
      <w:rPr>
        <w:rStyle w:val="Nmerodepgina"/>
        <w:sz w:val="24"/>
      </w:rPr>
    </w:pPr>
    <w:r w:rsidRPr="00936804">
      <w:rPr>
        <w:rStyle w:val="Nmerodepgina"/>
        <w:sz w:val="24"/>
      </w:rPr>
      <w:fldChar w:fldCharType="begin"/>
    </w:r>
    <w:r w:rsidRPr="00936804">
      <w:rPr>
        <w:rStyle w:val="Nmerodepgina"/>
        <w:sz w:val="24"/>
      </w:rPr>
      <w:instrText xml:space="preserve">PAGE  </w:instrText>
    </w:r>
    <w:r w:rsidRPr="00936804">
      <w:rPr>
        <w:rStyle w:val="Nmerodepgina"/>
        <w:sz w:val="24"/>
      </w:rPr>
      <w:fldChar w:fldCharType="separate"/>
    </w:r>
    <w:r w:rsidR="00766DF7">
      <w:rPr>
        <w:rStyle w:val="Nmerodepgina"/>
        <w:noProof/>
        <w:sz w:val="24"/>
      </w:rPr>
      <w:t>65</w:t>
    </w:r>
    <w:r w:rsidRPr="00936804">
      <w:rPr>
        <w:rStyle w:val="Nmerodepgina"/>
        <w:sz w:val="24"/>
      </w:rPr>
      <w:fldChar w:fldCharType="end"/>
    </w:r>
  </w:p>
  <w:p w14:paraId="364311B2" w14:textId="77777777" w:rsidR="004832B6" w:rsidRDefault="004832B6" w:rsidP="00936804">
    <w:pPr>
      <w:pStyle w:val="Encabezado"/>
      <w:framePr w:w="205" w:h="365" w:hRule="exact" w:wrap="around" w:vAnchor="text" w:hAnchor="page" w:x="10561" w:yAlign="center"/>
      <w:ind w:right="360"/>
      <w:jc w:val="both"/>
      <w:rPr>
        <w:rStyle w:val="Nmerodepgina"/>
        <w:b/>
        <w:sz w:val="28"/>
      </w:rPr>
    </w:pPr>
  </w:p>
  <w:p w14:paraId="460AB06E" w14:textId="77777777" w:rsidR="004832B6" w:rsidRDefault="004832B6" w:rsidP="00936804">
    <w:pPr>
      <w:pStyle w:val="Encabezado"/>
      <w:framePr w:w="205" w:h="365" w:hRule="exact" w:wrap="around" w:vAnchor="text" w:hAnchor="page" w:x="10561" w:yAlign="center"/>
      <w:rPr>
        <w:rStyle w:val="Nmerodepgina"/>
      </w:rPr>
    </w:pPr>
  </w:p>
  <w:p w14:paraId="03B9C4A5" w14:textId="77777777" w:rsidR="004832B6" w:rsidRPr="00936804" w:rsidRDefault="004832B6" w:rsidP="004832B6">
    <w:pPr>
      <w:tabs>
        <w:tab w:val="center" w:pos="4252"/>
        <w:tab w:val="right" w:pos="8504"/>
      </w:tabs>
      <w:ind w:right="360"/>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8F0"/>
    <w:multiLevelType w:val="hybridMultilevel"/>
    <w:tmpl w:val="924E2486"/>
    <w:lvl w:ilvl="0" w:tplc="75C0E3DA">
      <w:start w:val="1"/>
      <w:numFmt w:val="lowerLetter"/>
      <w:lvlText w:val="(%1)"/>
      <w:lvlJc w:val="left"/>
      <w:pPr>
        <w:ind w:left="1080" w:hanging="720"/>
      </w:pPr>
      <w:rPr>
        <w:rFonts w:eastAsia="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995731"/>
    <w:multiLevelType w:val="hybridMultilevel"/>
    <w:tmpl w:val="3C90E97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nsid w:val="02D973EE"/>
    <w:multiLevelType w:val="hybridMultilevel"/>
    <w:tmpl w:val="6B18DD6C"/>
    <w:lvl w:ilvl="0" w:tplc="06A67540">
      <w:start w:val="129"/>
      <w:numFmt w:val="decimal"/>
      <w:lvlText w:val="%1."/>
      <w:lvlJc w:val="left"/>
      <w:pPr>
        <w:ind w:left="2510" w:hanging="525"/>
      </w:pPr>
      <w:rPr>
        <w:rFonts w:hint="default"/>
        <w:b w:val="0"/>
        <w:bCs/>
        <w:i w:val="0"/>
        <w:iCs/>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C13A6C"/>
    <w:multiLevelType w:val="hybridMultilevel"/>
    <w:tmpl w:val="FFAC147C"/>
    <w:lvl w:ilvl="0" w:tplc="2DB60E9C">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CD069D"/>
    <w:multiLevelType w:val="hybridMultilevel"/>
    <w:tmpl w:val="46743FB6"/>
    <w:lvl w:ilvl="0" w:tplc="85162596">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7E487E"/>
    <w:multiLevelType w:val="multilevel"/>
    <w:tmpl w:val="76AE7942"/>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108B553E"/>
    <w:multiLevelType w:val="hybridMultilevel"/>
    <w:tmpl w:val="69C4F8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10A5EFE"/>
    <w:multiLevelType w:val="hybridMultilevel"/>
    <w:tmpl w:val="9D50B2EE"/>
    <w:lvl w:ilvl="0" w:tplc="EBFA6330">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F861A2"/>
    <w:multiLevelType w:val="multilevel"/>
    <w:tmpl w:val="B324FCC8"/>
    <w:lvl w:ilvl="0">
      <w:start w:val="1"/>
      <w:numFmt w:val="decimal"/>
      <w:suff w:val="space"/>
      <w:lvlText w:val="%1."/>
      <w:lvlJc w:val="left"/>
      <w:pPr>
        <w:ind w:left="0" w:firstLine="0"/>
      </w:pPr>
      <w:rPr>
        <w:b w:val="0"/>
        <w:i w:val="0"/>
        <w:color w:val="auto"/>
      </w:rPr>
    </w:lvl>
    <w:lvl w:ilvl="1">
      <w:start w:val="1"/>
      <w:numFmt w:val="decimal"/>
      <w:suff w:val="space"/>
      <w:lvlText w:val="%1.%2."/>
      <w:lvlJc w:val="left"/>
      <w:pPr>
        <w:ind w:left="0" w:firstLine="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1F0AC5"/>
    <w:multiLevelType w:val="hybridMultilevel"/>
    <w:tmpl w:val="CB5C1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9F21882"/>
    <w:multiLevelType w:val="hybridMultilevel"/>
    <w:tmpl w:val="69CA0C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1CD6992"/>
    <w:multiLevelType w:val="hybridMultilevel"/>
    <w:tmpl w:val="C8560576"/>
    <w:lvl w:ilvl="0" w:tplc="2DB60E9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902467"/>
    <w:multiLevelType w:val="hybridMultilevel"/>
    <w:tmpl w:val="405C7682"/>
    <w:lvl w:ilvl="0" w:tplc="FBFE0452">
      <w:start w:val="182"/>
      <w:numFmt w:val="decimal"/>
      <w:lvlText w:val="%1."/>
      <w:lvlJc w:val="left"/>
      <w:pPr>
        <w:ind w:left="885" w:hanging="525"/>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D1C42F2"/>
    <w:multiLevelType w:val="hybridMultilevel"/>
    <w:tmpl w:val="E544E5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EA36430"/>
    <w:multiLevelType w:val="hybridMultilevel"/>
    <w:tmpl w:val="F0047AA4"/>
    <w:lvl w:ilvl="0" w:tplc="9000B97A">
      <w:start w:val="12"/>
      <w:numFmt w:val="decimal"/>
      <w:lvlText w:val="%1."/>
      <w:lvlJc w:val="left"/>
      <w:pPr>
        <w:ind w:left="375" w:hanging="37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24D66E2"/>
    <w:multiLevelType w:val="hybridMultilevel"/>
    <w:tmpl w:val="5D947820"/>
    <w:lvl w:ilvl="0" w:tplc="CC4E42A8">
      <w:start w:val="1"/>
      <w:numFmt w:val="decimal"/>
      <w:suff w:val="space"/>
      <w:lvlText w:val="%1."/>
      <w:lvlJc w:val="left"/>
      <w:pPr>
        <w:ind w:left="0" w:firstLine="0"/>
      </w:pPr>
      <w:rPr>
        <w:b w:val="0"/>
        <w:bC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6564D25"/>
    <w:multiLevelType w:val="hybridMultilevel"/>
    <w:tmpl w:val="46EE86C4"/>
    <w:lvl w:ilvl="0" w:tplc="6C928306">
      <w:start w:val="1"/>
      <w:numFmt w:val="lowerRoman"/>
      <w:lvlText w:val="(%1)"/>
      <w:lvlJc w:val="left"/>
      <w:pPr>
        <w:ind w:left="72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8990E99"/>
    <w:multiLevelType w:val="multilevel"/>
    <w:tmpl w:val="78AE49A4"/>
    <w:lvl w:ilvl="0">
      <w:start w:val="1"/>
      <w:numFmt w:val="decimal"/>
      <w:suff w:val="space"/>
      <w:lvlText w:val="%1."/>
      <w:lvlJc w:val="left"/>
      <w:pPr>
        <w:ind w:left="0" w:firstLine="0"/>
      </w:pPr>
      <w:rPr>
        <w:rFonts w:hint="default"/>
        <w:b w:val="0"/>
        <w:bCs/>
      </w:rPr>
    </w:lvl>
    <w:lvl w:ilvl="1">
      <w:start w:val="1"/>
      <w:numFmt w:val="decimal"/>
      <w:isLgl/>
      <w:suff w:val="space"/>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9996C72"/>
    <w:multiLevelType w:val="multilevel"/>
    <w:tmpl w:val="1ECAA1CC"/>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D411B9"/>
    <w:multiLevelType w:val="hybridMultilevel"/>
    <w:tmpl w:val="89F648B6"/>
    <w:lvl w:ilvl="0" w:tplc="8026CB16">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F7C2B45"/>
    <w:multiLevelType w:val="hybridMultilevel"/>
    <w:tmpl w:val="E5A201B8"/>
    <w:lvl w:ilvl="0" w:tplc="A54AAD88">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97962B3"/>
    <w:multiLevelType w:val="multilevel"/>
    <w:tmpl w:val="3CB206C8"/>
    <w:lvl w:ilvl="0">
      <w:start w:val="1"/>
      <w:numFmt w:val="decimal"/>
      <w:suff w:val="space"/>
      <w:lvlText w:val="%1."/>
      <w:lvlJc w:val="left"/>
      <w:pPr>
        <w:ind w:left="0" w:firstLine="0"/>
      </w:pPr>
      <w:rPr>
        <w:rFonts w:ascii="Times New Roman" w:hAnsi="Times New Roman" w:cs="Times New Roman" w:hint="default"/>
        <w:b w:val="0"/>
        <w:bCs/>
        <w:i w:val="0"/>
        <w:color w:val="auto"/>
        <w:sz w:val="28"/>
        <w:szCs w:val="28"/>
      </w:rPr>
    </w:lvl>
    <w:lvl w:ilvl="1">
      <w:start w:val="1"/>
      <w:numFmt w:val="decimal"/>
      <w:lvlText w:val="%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4ABD7975"/>
    <w:multiLevelType w:val="hybridMultilevel"/>
    <w:tmpl w:val="CAC44294"/>
    <w:lvl w:ilvl="0" w:tplc="BBF65194">
      <w:start w:val="1"/>
      <w:numFmt w:val="decimal"/>
      <w:suff w:val="space"/>
      <w:lvlText w:val="%1."/>
      <w:lvlJc w:val="left"/>
      <w:pPr>
        <w:ind w:left="0" w:firstLine="0"/>
      </w:pPr>
      <w:rPr>
        <w:rFonts w:hint="default"/>
        <w:b w:val="0"/>
        <w:i w:val="0"/>
        <w:color w:val="auto"/>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E851710"/>
    <w:multiLevelType w:val="hybridMultilevel"/>
    <w:tmpl w:val="F306C610"/>
    <w:lvl w:ilvl="0" w:tplc="240A0001">
      <w:start w:val="1"/>
      <w:numFmt w:val="bullet"/>
      <w:lvlText w:val=""/>
      <w:lvlJc w:val="left"/>
      <w:pPr>
        <w:ind w:left="1260" w:hanging="360"/>
      </w:pPr>
      <w:rPr>
        <w:rFonts w:ascii="Symbol" w:hAnsi="Symbol"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24">
    <w:nsid w:val="4F1D4740"/>
    <w:multiLevelType w:val="multilevel"/>
    <w:tmpl w:val="A98E572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rFonts w:ascii="Times New Roman" w:hAnsi="Times New Roman" w:cs="Times New Roman" w:hint="default"/>
        <w:b/>
        <w:sz w:val="28"/>
        <w:szCs w:val="28"/>
      </w:rPr>
    </w:lvl>
    <w:lvl w:ilvl="2">
      <w:start w:val="1"/>
      <w:numFmt w:val="decimal"/>
      <w:lvlText w:val="%1.%2.%3."/>
      <w:lvlJc w:val="left"/>
      <w:pPr>
        <w:ind w:left="1224" w:hanging="504"/>
      </w:pPr>
      <w:rPr>
        <w:rFonts w:ascii="Times New Roman" w:hAnsi="Times New Roman" w:cs="Times New Roman" w:hint="default"/>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FF5A2C"/>
    <w:multiLevelType w:val="hybridMultilevel"/>
    <w:tmpl w:val="05D8720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2112FA8"/>
    <w:multiLevelType w:val="hybridMultilevel"/>
    <w:tmpl w:val="ED28BD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nsid w:val="555B3ADD"/>
    <w:multiLevelType w:val="hybridMultilevel"/>
    <w:tmpl w:val="416AFF7A"/>
    <w:lvl w:ilvl="0" w:tplc="F34E93CA">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57645775"/>
    <w:multiLevelType w:val="hybridMultilevel"/>
    <w:tmpl w:val="44A01C72"/>
    <w:lvl w:ilvl="0" w:tplc="38A6ACA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7EA7030"/>
    <w:multiLevelType w:val="hybridMultilevel"/>
    <w:tmpl w:val="FC362F34"/>
    <w:lvl w:ilvl="0" w:tplc="3C5866C4">
      <w:start w:val="3"/>
      <w:numFmt w:val="bullet"/>
      <w:lvlText w:val="-"/>
      <w:lvlJc w:val="left"/>
      <w:pPr>
        <w:ind w:left="786" w:hanging="360"/>
      </w:pPr>
      <w:rPr>
        <w:rFonts w:ascii="Times New Roman" w:eastAsia="Times New Roman" w:hAnsi="Times New Roman" w:cs="Times New Roman" w:hint="default"/>
        <w:b/>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0">
    <w:nsid w:val="603929E0"/>
    <w:multiLevelType w:val="hybridMultilevel"/>
    <w:tmpl w:val="E638ABBA"/>
    <w:lvl w:ilvl="0" w:tplc="7EDE940A">
      <w:start w:val="1"/>
      <w:numFmt w:val="decimal"/>
      <w:lvlText w:val="%1."/>
      <w:lvlJc w:val="left"/>
      <w:pPr>
        <w:ind w:left="720" w:hanging="360"/>
      </w:pPr>
      <w:rPr>
        <w:rFonts w:hint="default"/>
        <w:color w:val="000000"/>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4170453"/>
    <w:multiLevelType w:val="hybridMultilevel"/>
    <w:tmpl w:val="81BA2114"/>
    <w:lvl w:ilvl="0" w:tplc="F878CD4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C7D3ECA"/>
    <w:multiLevelType w:val="hybridMultilevel"/>
    <w:tmpl w:val="E6BC652E"/>
    <w:lvl w:ilvl="0" w:tplc="2DB60E9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D02388C"/>
    <w:multiLevelType w:val="hybridMultilevel"/>
    <w:tmpl w:val="69B84DBA"/>
    <w:lvl w:ilvl="0" w:tplc="3E5A8A7A">
      <w:start w:val="1"/>
      <w:numFmt w:val="decimal"/>
      <w:suff w:val="space"/>
      <w:lvlText w:val="%1."/>
      <w:lvlJc w:val="left"/>
      <w:pPr>
        <w:ind w:left="0" w:firstLine="0"/>
      </w:pPr>
      <w:rPr>
        <w:b w:val="0"/>
        <w:bC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4">
    <w:nsid w:val="70385A7A"/>
    <w:multiLevelType w:val="hybridMultilevel"/>
    <w:tmpl w:val="30C43B5C"/>
    <w:lvl w:ilvl="0" w:tplc="2C14564C">
      <w:start w:val="78"/>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34E4257"/>
    <w:multiLevelType w:val="hybridMultilevel"/>
    <w:tmpl w:val="F5F428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F28031C"/>
    <w:multiLevelType w:val="hybridMultilevel"/>
    <w:tmpl w:val="2DCEABCC"/>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17"/>
  </w:num>
  <w:num w:numId="3">
    <w:abstractNumId w:val="30"/>
  </w:num>
  <w:num w:numId="4">
    <w:abstractNumId w:val="14"/>
  </w:num>
  <w:num w:numId="5">
    <w:abstractNumId w:val="32"/>
  </w:num>
  <w:num w:numId="6">
    <w:abstractNumId w:val="2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
  </w:num>
  <w:num w:numId="10">
    <w:abstractNumId w:val="21"/>
  </w:num>
  <w:num w:numId="11">
    <w:abstractNumId w:val="16"/>
  </w:num>
  <w:num w:numId="12">
    <w:abstractNumId w:val="13"/>
  </w:num>
  <w:num w:numId="13">
    <w:abstractNumId w:val="18"/>
  </w:num>
  <w:num w:numId="14">
    <w:abstractNumId w:val="1"/>
  </w:num>
  <w:num w:numId="15">
    <w:abstractNumId w:val="19"/>
  </w:num>
  <w:num w:numId="16">
    <w:abstractNumId w:val="29"/>
  </w:num>
  <w:num w:numId="17">
    <w:abstractNumId w:val="22"/>
  </w:num>
  <w:num w:numId="18">
    <w:abstractNumId w:val="0"/>
  </w:num>
  <w:num w:numId="19">
    <w:abstractNumId w:val="9"/>
  </w:num>
  <w:num w:numId="20">
    <w:abstractNumId w:val="6"/>
  </w:num>
  <w:num w:numId="21">
    <w:abstractNumId w:val="36"/>
  </w:num>
  <w:num w:numId="22">
    <w:abstractNumId w:val="35"/>
  </w:num>
  <w:num w:numId="23">
    <w:abstractNumId w:val="4"/>
  </w:num>
  <w:num w:numId="24">
    <w:abstractNumId w:val="28"/>
  </w:num>
  <w:num w:numId="25">
    <w:abstractNumId w:val="11"/>
  </w:num>
  <w:num w:numId="26">
    <w:abstractNumId w:val="10"/>
  </w:num>
  <w:num w:numId="27">
    <w:abstractNumId w:val="20"/>
  </w:num>
  <w:num w:numId="28">
    <w:abstractNumId w:val="2"/>
  </w:num>
  <w:num w:numId="29">
    <w:abstractNumId w:val="24"/>
  </w:num>
  <w:num w:numId="3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1"/>
  </w:num>
  <w:num w:numId="33">
    <w:abstractNumId w:val="34"/>
  </w:num>
  <w:num w:numId="34">
    <w:abstractNumId w:val="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14"/>
    <w:rsid w:val="00001030"/>
    <w:rsid w:val="00001857"/>
    <w:rsid w:val="00003462"/>
    <w:rsid w:val="00003590"/>
    <w:rsid w:val="000037EA"/>
    <w:rsid w:val="00003DA7"/>
    <w:rsid w:val="00003E40"/>
    <w:rsid w:val="00004061"/>
    <w:rsid w:val="000061B2"/>
    <w:rsid w:val="00006D51"/>
    <w:rsid w:val="00007261"/>
    <w:rsid w:val="00007A0D"/>
    <w:rsid w:val="00007C4B"/>
    <w:rsid w:val="00007EF9"/>
    <w:rsid w:val="00007F81"/>
    <w:rsid w:val="00010371"/>
    <w:rsid w:val="000107B0"/>
    <w:rsid w:val="00011755"/>
    <w:rsid w:val="000119B7"/>
    <w:rsid w:val="000122B9"/>
    <w:rsid w:val="000127C8"/>
    <w:rsid w:val="00012817"/>
    <w:rsid w:val="000129EC"/>
    <w:rsid w:val="00012B28"/>
    <w:rsid w:val="00012FC5"/>
    <w:rsid w:val="00014CAF"/>
    <w:rsid w:val="00015D7A"/>
    <w:rsid w:val="00016D42"/>
    <w:rsid w:val="00016ECE"/>
    <w:rsid w:val="0001794F"/>
    <w:rsid w:val="0002027A"/>
    <w:rsid w:val="000202AA"/>
    <w:rsid w:val="00020CBA"/>
    <w:rsid w:val="00021F05"/>
    <w:rsid w:val="0002216D"/>
    <w:rsid w:val="0002238E"/>
    <w:rsid w:val="00022455"/>
    <w:rsid w:val="00022792"/>
    <w:rsid w:val="000230E9"/>
    <w:rsid w:val="00023289"/>
    <w:rsid w:val="00023F9B"/>
    <w:rsid w:val="000245A8"/>
    <w:rsid w:val="00025334"/>
    <w:rsid w:val="00026121"/>
    <w:rsid w:val="00026AA9"/>
    <w:rsid w:val="00026D12"/>
    <w:rsid w:val="00027178"/>
    <w:rsid w:val="000273F8"/>
    <w:rsid w:val="00027BED"/>
    <w:rsid w:val="00030515"/>
    <w:rsid w:val="00030E07"/>
    <w:rsid w:val="000310EB"/>
    <w:rsid w:val="00034154"/>
    <w:rsid w:val="000342D8"/>
    <w:rsid w:val="00034346"/>
    <w:rsid w:val="000344E3"/>
    <w:rsid w:val="00034B0F"/>
    <w:rsid w:val="00034F4C"/>
    <w:rsid w:val="00034F70"/>
    <w:rsid w:val="00034F76"/>
    <w:rsid w:val="000358E0"/>
    <w:rsid w:val="00035B1F"/>
    <w:rsid w:val="00036F53"/>
    <w:rsid w:val="00037134"/>
    <w:rsid w:val="00037874"/>
    <w:rsid w:val="0004024A"/>
    <w:rsid w:val="000407B3"/>
    <w:rsid w:val="000411C9"/>
    <w:rsid w:val="00041ED3"/>
    <w:rsid w:val="0004321A"/>
    <w:rsid w:val="00044F30"/>
    <w:rsid w:val="000455F7"/>
    <w:rsid w:val="00045E19"/>
    <w:rsid w:val="000464D0"/>
    <w:rsid w:val="00046547"/>
    <w:rsid w:val="0004658A"/>
    <w:rsid w:val="0004730A"/>
    <w:rsid w:val="000474CC"/>
    <w:rsid w:val="00047FA2"/>
    <w:rsid w:val="00050E2A"/>
    <w:rsid w:val="0005126D"/>
    <w:rsid w:val="0005218B"/>
    <w:rsid w:val="00052690"/>
    <w:rsid w:val="00052C82"/>
    <w:rsid w:val="00052F67"/>
    <w:rsid w:val="0005318F"/>
    <w:rsid w:val="0005394A"/>
    <w:rsid w:val="00054178"/>
    <w:rsid w:val="000548C6"/>
    <w:rsid w:val="00055461"/>
    <w:rsid w:val="0005657C"/>
    <w:rsid w:val="000568F4"/>
    <w:rsid w:val="00057BC8"/>
    <w:rsid w:val="00060DC6"/>
    <w:rsid w:val="00062927"/>
    <w:rsid w:val="00063618"/>
    <w:rsid w:val="000639D9"/>
    <w:rsid w:val="00064ED0"/>
    <w:rsid w:val="000662F8"/>
    <w:rsid w:val="00066668"/>
    <w:rsid w:val="000668B1"/>
    <w:rsid w:val="00066A7A"/>
    <w:rsid w:val="00066DE7"/>
    <w:rsid w:val="00070AF6"/>
    <w:rsid w:val="000714FE"/>
    <w:rsid w:val="00071885"/>
    <w:rsid w:val="00071EBD"/>
    <w:rsid w:val="00071F24"/>
    <w:rsid w:val="00072400"/>
    <w:rsid w:val="00072A07"/>
    <w:rsid w:val="0007353F"/>
    <w:rsid w:val="00073814"/>
    <w:rsid w:val="00073CBD"/>
    <w:rsid w:val="00074177"/>
    <w:rsid w:val="0007457A"/>
    <w:rsid w:val="0007563A"/>
    <w:rsid w:val="00075A5F"/>
    <w:rsid w:val="00077574"/>
    <w:rsid w:val="00077D7E"/>
    <w:rsid w:val="000802E8"/>
    <w:rsid w:val="000802E9"/>
    <w:rsid w:val="00080713"/>
    <w:rsid w:val="00081B05"/>
    <w:rsid w:val="00081B0D"/>
    <w:rsid w:val="00081CB6"/>
    <w:rsid w:val="00081E91"/>
    <w:rsid w:val="000820F5"/>
    <w:rsid w:val="000829B5"/>
    <w:rsid w:val="00082CAF"/>
    <w:rsid w:val="00082E0F"/>
    <w:rsid w:val="00083181"/>
    <w:rsid w:val="00083943"/>
    <w:rsid w:val="00084227"/>
    <w:rsid w:val="00084250"/>
    <w:rsid w:val="0008474D"/>
    <w:rsid w:val="000852CA"/>
    <w:rsid w:val="00085B37"/>
    <w:rsid w:val="00086A9D"/>
    <w:rsid w:val="00086E2C"/>
    <w:rsid w:val="000870C8"/>
    <w:rsid w:val="0008768E"/>
    <w:rsid w:val="00090287"/>
    <w:rsid w:val="00090294"/>
    <w:rsid w:val="000908F9"/>
    <w:rsid w:val="00091C43"/>
    <w:rsid w:val="00092066"/>
    <w:rsid w:val="000938B5"/>
    <w:rsid w:val="00094AF7"/>
    <w:rsid w:val="0009515E"/>
    <w:rsid w:val="00095182"/>
    <w:rsid w:val="000960A2"/>
    <w:rsid w:val="00096501"/>
    <w:rsid w:val="00096A3A"/>
    <w:rsid w:val="00096F8C"/>
    <w:rsid w:val="00097037"/>
    <w:rsid w:val="00097CA6"/>
    <w:rsid w:val="000A018E"/>
    <w:rsid w:val="000A06D8"/>
    <w:rsid w:val="000A0D81"/>
    <w:rsid w:val="000A1CF4"/>
    <w:rsid w:val="000A30FE"/>
    <w:rsid w:val="000A3427"/>
    <w:rsid w:val="000A36AF"/>
    <w:rsid w:val="000A4084"/>
    <w:rsid w:val="000A4AFE"/>
    <w:rsid w:val="000A5309"/>
    <w:rsid w:val="000A576B"/>
    <w:rsid w:val="000A5C10"/>
    <w:rsid w:val="000A6515"/>
    <w:rsid w:val="000A69A0"/>
    <w:rsid w:val="000A7191"/>
    <w:rsid w:val="000A73A7"/>
    <w:rsid w:val="000A7643"/>
    <w:rsid w:val="000B02B4"/>
    <w:rsid w:val="000B0EA7"/>
    <w:rsid w:val="000B1766"/>
    <w:rsid w:val="000B198B"/>
    <w:rsid w:val="000B19B5"/>
    <w:rsid w:val="000B1BF7"/>
    <w:rsid w:val="000B20FC"/>
    <w:rsid w:val="000B29F6"/>
    <w:rsid w:val="000B2C68"/>
    <w:rsid w:val="000B2F3E"/>
    <w:rsid w:val="000B3C27"/>
    <w:rsid w:val="000B4302"/>
    <w:rsid w:val="000B45FC"/>
    <w:rsid w:val="000B461B"/>
    <w:rsid w:val="000B491A"/>
    <w:rsid w:val="000B4FF7"/>
    <w:rsid w:val="000B50FA"/>
    <w:rsid w:val="000B596C"/>
    <w:rsid w:val="000B651F"/>
    <w:rsid w:val="000B6D40"/>
    <w:rsid w:val="000C06FD"/>
    <w:rsid w:val="000C149C"/>
    <w:rsid w:val="000C1A52"/>
    <w:rsid w:val="000C1BCF"/>
    <w:rsid w:val="000C1BD7"/>
    <w:rsid w:val="000C1C7C"/>
    <w:rsid w:val="000C1E43"/>
    <w:rsid w:val="000C2126"/>
    <w:rsid w:val="000C2BBE"/>
    <w:rsid w:val="000C330C"/>
    <w:rsid w:val="000C467B"/>
    <w:rsid w:val="000C4A29"/>
    <w:rsid w:val="000C4D25"/>
    <w:rsid w:val="000C4F0D"/>
    <w:rsid w:val="000C55C6"/>
    <w:rsid w:val="000C61EB"/>
    <w:rsid w:val="000C6755"/>
    <w:rsid w:val="000C6AD5"/>
    <w:rsid w:val="000C6E54"/>
    <w:rsid w:val="000C77B0"/>
    <w:rsid w:val="000C785C"/>
    <w:rsid w:val="000C788A"/>
    <w:rsid w:val="000C79F7"/>
    <w:rsid w:val="000C7CF3"/>
    <w:rsid w:val="000D0407"/>
    <w:rsid w:val="000D064A"/>
    <w:rsid w:val="000D095F"/>
    <w:rsid w:val="000D0AD2"/>
    <w:rsid w:val="000D229B"/>
    <w:rsid w:val="000D2518"/>
    <w:rsid w:val="000D2C56"/>
    <w:rsid w:val="000D393E"/>
    <w:rsid w:val="000D3B1C"/>
    <w:rsid w:val="000D447A"/>
    <w:rsid w:val="000D6028"/>
    <w:rsid w:val="000D6529"/>
    <w:rsid w:val="000D6C19"/>
    <w:rsid w:val="000D6C93"/>
    <w:rsid w:val="000D7CE2"/>
    <w:rsid w:val="000E05E7"/>
    <w:rsid w:val="000E0706"/>
    <w:rsid w:val="000E1A25"/>
    <w:rsid w:val="000E285B"/>
    <w:rsid w:val="000E3ABF"/>
    <w:rsid w:val="000E3BC4"/>
    <w:rsid w:val="000E4042"/>
    <w:rsid w:val="000E4715"/>
    <w:rsid w:val="000E5042"/>
    <w:rsid w:val="000E5F58"/>
    <w:rsid w:val="000E645C"/>
    <w:rsid w:val="000E6B17"/>
    <w:rsid w:val="000E6FD9"/>
    <w:rsid w:val="000E74C6"/>
    <w:rsid w:val="000E7E1A"/>
    <w:rsid w:val="000F0217"/>
    <w:rsid w:val="000F03B5"/>
    <w:rsid w:val="000F09B7"/>
    <w:rsid w:val="000F101D"/>
    <w:rsid w:val="000F290F"/>
    <w:rsid w:val="000F2BD4"/>
    <w:rsid w:val="000F2F5D"/>
    <w:rsid w:val="000F437A"/>
    <w:rsid w:val="000F466D"/>
    <w:rsid w:val="000F4B62"/>
    <w:rsid w:val="000F5BF0"/>
    <w:rsid w:val="000F6633"/>
    <w:rsid w:val="000F705B"/>
    <w:rsid w:val="000F747B"/>
    <w:rsid w:val="00100620"/>
    <w:rsid w:val="001013B4"/>
    <w:rsid w:val="001022D0"/>
    <w:rsid w:val="00102313"/>
    <w:rsid w:val="00102550"/>
    <w:rsid w:val="0010433C"/>
    <w:rsid w:val="00104E6E"/>
    <w:rsid w:val="001057CF"/>
    <w:rsid w:val="001070F7"/>
    <w:rsid w:val="00107241"/>
    <w:rsid w:val="001076F5"/>
    <w:rsid w:val="00111550"/>
    <w:rsid w:val="00111D07"/>
    <w:rsid w:val="00112634"/>
    <w:rsid w:val="00113B79"/>
    <w:rsid w:val="001140BF"/>
    <w:rsid w:val="001145D0"/>
    <w:rsid w:val="00114BC6"/>
    <w:rsid w:val="001152D6"/>
    <w:rsid w:val="001155BC"/>
    <w:rsid w:val="00117C47"/>
    <w:rsid w:val="00120802"/>
    <w:rsid w:val="00120BEF"/>
    <w:rsid w:val="00121551"/>
    <w:rsid w:val="0012262A"/>
    <w:rsid w:val="0012354A"/>
    <w:rsid w:val="00123BF6"/>
    <w:rsid w:val="0012517F"/>
    <w:rsid w:val="001265FA"/>
    <w:rsid w:val="00126EFC"/>
    <w:rsid w:val="001276B4"/>
    <w:rsid w:val="00130019"/>
    <w:rsid w:val="001306BE"/>
    <w:rsid w:val="00131183"/>
    <w:rsid w:val="00131413"/>
    <w:rsid w:val="00132618"/>
    <w:rsid w:val="00132B34"/>
    <w:rsid w:val="00132DB2"/>
    <w:rsid w:val="00133493"/>
    <w:rsid w:val="00133A31"/>
    <w:rsid w:val="00133BF3"/>
    <w:rsid w:val="00133EAE"/>
    <w:rsid w:val="00134454"/>
    <w:rsid w:val="00134C51"/>
    <w:rsid w:val="00136564"/>
    <w:rsid w:val="0013796E"/>
    <w:rsid w:val="00137A39"/>
    <w:rsid w:val="00140911"/>
    <w:rsid w:val="00140D58"/>
    <w:rsid w:val="00140EFC"/>
    <w:rsid w:val="00140F99"/>
    <w:rsid w:val="001411A5"/>
    <w:rsid w:val="001417FE"/>
    <w:rsid w:val="00141EE8"/>
    <w:rsid w:val="00141FB4"/>
    <w:rsid w:val="001446C1"/>
    <w:rsid w:val="00144733"/>
    <w:rsid w:val="00145B56"/>
    <w:rsid w:val="00145DCD"/>
    <w:rsid w:val="00146D10"/>
    <w:rsid w:val="00147022"/>
    <w:rsid w:val="001470DA"/>
    <w:rsid w:val="00147781"/>
    <w:rsid w:val="00150A47"/>
    <w:rsid w:val="00150AE8"/>
    <w:rsid w:val="001514E7"/>
    <w:rsid w:val="001526CD"/>
    <w:rsid w:val="00152B7E"/>
    <w:rsid w:val="00152DF9"/>
    <w:rsid w:val="00153773"/>
    <w:rsid w:val="00154D3F"/>
    <w:rsid w:val="001570F7"/>
    <w:rsid w:val="00157CE8"/>
    <w:rsid w:val="00160A04"/>
    <w:rsid w:val="00160C09"/>
    <w:rsid w:val="00161670"/>
    <w:rsid w:val="00162314"/>
    <w:rsid w:val="00162B5B"/>
    <w:rsid w:val="00162E1F"/>
    <w:rsid w:val="00162F97"/>
    <w:rsid w:val="001630B6"/>
    <w:rsid w:val="001639C9"/>
    <w:rsid w:val="00165930"/>
    <w:rsid w:val="00165BEC"/>
    <w:rsid w:val="00165EA7"/>
    <w:rsid w:val="00166BDE"/>
    <w:rsid w:val="001671DE"/>
    <w:rsid w:val="0016735C"/>
    <w:rsid w:val="00171A96"/>
    <w:rsid w:val="0017412C"/>
    <w:rsid w:val="00174570"/>
    <w:rsid w:val="00174D26"/>
    <w:rsid w:val="001764B7"/>
    <w:rsid w:val="001774AE"/>
    <w:rsid w:val="0017798B"/>
    <w:rsid w:val="00177E8E"/>
    <w:rsid w:val="001806A4"/>
    <w:rsid w:val="00181018"/>
    <w:rsid w:val="0018132A"/>
    <w:rsid w:val="0018174E"/>
    <w:rsid w:val="00181815"/>
    <w:rsid w:val="00182019"/>
    <w:rsid w:val="00182601"/>
    <w:rsid w:val="0018277E"/>
    <w:rsid w:val="00183AC7"/>
    <w:rsid w:val="00184319"/>
    <w:rsid w:val="00184614"/>
    <w:rsid w:val="00185224"/>
    <w:rsid w:val="001860BF"/>
    <w:rsid w:val="00186282"/>
    <w:rsid w:val="00187114"/>
    <w:rsid w:val="001900E8"/>
    <w:rsid w:val="00190269"/>
    <w:rsid w:val="00191F2E"/>
    <w:rsid w:val="0019210D"/>
    <w:rsid w:val="0019236C"/>
    <w:rsid w:val="00192E2F"/>
    <w:rsid w:val="00193CC4"/>
    <w:rsid w:val="0019478E"/>
    <w:rsid w:val="00194F1F"/>
    <w:rsid w:val="00195D45"/>
    <w:rsid w:val="00195ECE"/>
    <w:rsid w:val="001960BC"/>
    <w:rsid w:val="001966AB"/>
    <w:rsid w:val="00196921"/>
    <w:rsid w:val="001969C7"/>
    <w:rsid w:val="00196B26"/>
    <w:rsid w:val="00197102"/>
    <w:rsid w:val="001977EC"/>
    <w:rsid w:val="001A0A45"/>
    <w:rsid w:val="001A0D72"/>
    <w:rsid w:val="001A15EC"/>
    <w:rsid w:val="001A1B02"/>
    <w:rsid w:val="001A2891"/>
    <w:rsid w:val="001A2A2E"/>
    <w:rsid w:val="001A4B7E"/>
    <w:rsid w:val="001A5101"/>
    <w:rsid w:val="001A5294"/>
    <w:rsid w:val="001A5EAE"/>
    <w:rsid w:val="001A6B52"/>
    <w:rsid w:val="001A7192"/>
    <w:rsid w:val="001A7459"/>
    <w:rsid w:val="001A7BDA"/>
    <w:rsid w:val="001B06EB"/>
    <w:rsid w:val="001B1E40"/>
    <w:rsid w:val="001B23B3"/>
    <w:rsid w:val="001B3722"/>
    <w:rsid w:val="001B4443"/>
    <w:rsid w:val="001B502D"/>
    <w:rsid w:val="001B60CC"/>
    <w:rsid w:val="001B69CB"/>
    <w:rsid w:val="001B6E4B"/>
    <w:rsid w:val="001B7525"/>
    <w:rsid w:val="001B7AFC"/>
    <w:rsid w:val="001C0F5E"/>
    <w:rsid w:val="001C12E7"/>
    <w:rsid w:val="001C1B18"/>
    <w:rsid w:val="001C1DC2"/>
    <w:rsid w:val="001C2C53"/>
    <w:rsid w:val="001C2D85"/>
    <w:rsid w:val="001C30B9"/>
    <w:rsid w:val="001C4095"/>
    <w:rsid w:val="001C436B"/>
    <w:rsid w:val="001C5050"/>
    <w:rsid w:val="001C59C1"/>
    <w:rsid w:val="001C5BA9"/>
    <w:rsid w:val="001D0533"/>
    <w:rsid w:val="001D09CB"/>
    <w:rsid w:val="001D12F7"/>
    <w:rsid w:val="001D13AB"/>
    <w:rsid w:val="001D1FDB"/>
    <w:rsid w:val="001D3908"/>
    <w:rsid w:val="001D3958"/>
    <w:rsid w:val="001D43FF"/>
    <w:rsid w:val="001D44A1"/>
    <w:rsid w:val="001D5AD3"/>
    <w:rsid w:val="001D5D8D"/>
    <w:rsid w:val="001D61E0"/>
    <w:rsid w:val="001D64B3"/>
    <w:rsid w:val="001D6DCE"/>
    <w:rsid w:val="001D73B7"/>
    <w:rsid w:val="001D7A49"/>
    <w:rsid w:val="001E0117"/>
    <w:rsid w:val="001E0658"/>
    <w:rsid w:val="001E0DA0"/>
    <w:rsid w:val="001E122B"/>
    <w:rsid w:val="001E124D"/>
    <w:rsid w:val="001E1996"/>
    <w:rsid w:val="001E1BF1"/>
    <w:rsid w:val="001E26AB"/>
    <w:rsid w:val="001E28E4"/>
    <w:rsid w:val="001E2951"/>
    <w:rsid w:val="001E2ED0"/>
    <w:rsid w:val="001E3FCE"/>
    <w:rsid w:val="001E40B7"/>
    <w:rsid w:val="001E4279"/>
    <w:rsid w:val="001E64E7"/>
    <w:rsid w:val="001E66D5"/>
    <w:rsid w:val="001E66D6"/>
    <w:rsid w:val="001E6DB9"/>
    <w:rsid w:val="001E6F25"/>
    <w:rsid w:val="001E7460"/>
    <w:rsid w:val="001F07D9"/>
    <w:rsid w:val="001F082B"/>
    <w:rsid w:val="001F0B90"/>
    <w:rsid w:val="001F20CC"/>
    <w:rsid w:val="001F2363"/>
    <w:rsid w:val="001F24A0"/>
    <w:rsid w:val="001F24BB"/>
    <w:rsid w:val="001F2D3D"/>
    <w:rsid w:val="001F31EF"/>
    <w:rsid w:val="001F3EB9"/>
    <w:rsid w:val="001F439C"/>
    <w:rsid w:val="001F43C1"/>
    <w:rsid w:val="001F4866"/>
    <w:rsid w:val="001F5220"/>
    <w:rsid w:val="001F5263"/>
    <w:rsid w:val="001F5A10"/>
    <w:rsid w:val="001F6B12"/>
    <w:rsid w:val="001F6BD7"/>
    <w:rsid w:val="001F6C47"/>
    <w:rsid w:val="001F76CC"/>
    <w:rsid w:val="001F7A65"/>
    <w:rsid w:val="001F7E7C"/>
    <w:rsid w:val="00200312"/>
    <w:rsid w:val="00200501"/>
    <w:rsid w:val="002005D6"/>
    <w:rsid w:val="0020177C"/>
    <w:rsid w:val="00201866"/>
    <w:rsid w:val="00201ACB"/>
    <w:rsid w:val="00201B17"/>
    <w:rsid w:val="00201BD7"/>
    <w:rsid w:val="00201E64"/>
    <w:rsid w:val="00201F76"/>
    <w:rsid w:val="00202825"/>
    <w:rsid w:val="00203777"/>
    <w:rsid w:val="0020395B"/>
    <w:rsid w:val="00204471"/>
    <w:rsid w:val="00205321"/>
    <w:rsid w:val="002056AC"/>
    <w:rsid w:val="002057D5"/>
    <w:rsid w:val="00205E60"/>
    <w:rsid w:val="002062B6"/>
    <w:rsid w:val="00206E40"/>
    <w:rsid w:val="00206EB6"/>
    <w:rsid w:val="002105D4"/>
    <w:rsid w:val="0021065D"/>
    <w:rsid w:val="00213246"/>
    <w:rsid w:val="00215106"/>
    <w:rsid w:val="002161F1"/>
    <w:rsid w:val="00216222"/>
    <w:rsid w:val="00216370"/>
    <w:rsid w:val="00216719"/>
    <w:rsid w:val="00216748"/>
    <w:rsid w:val="002167EC"/>
    <w:rsid w:val="002168BA"/>
    <w:rsid w:val="00216C48"/>
    <w:rsid w:val="002170FF"/>
    <w:rsid w:val="00217B7B"/>
    <w:rsid w:val="00217C59"/>
    <w:rsid w:val="00217E56"/>
    <w:rsid w:val="0022066F"/>
    <w:rsid w:val="00220691"/>
    <w:rsid w:val="002207D6"/>
    <w:rsid w:val="00220AD5"/>
    <w:rsid w:val="002214AE"/>
    <w:rsid w:val="00221685"/>
    <w:rsid w:val="00221C37"/>
    <w:rsid w:val="00221F8D"/>
    <w:rsid w:val="00222B76"/>
    <w:rsid w:val="00223F8B"/>
    <w:rsid w:val="00224856"/>
    <w:rsid w:val="00224DA1"/>
    <w:rsid w:val="00224E60"/>
    <w:rsid w:val="00224ED2"/>
    <w:rsid w:val="002252D1"/>
    <w:rsid w:val="0022554C"/>
    <w:rsid w:val="002275EA"/>
    <w:rsid w:val="00227CC6"/>
    <w:rsid w:val="00230F7A"/>
    <w:rsid w:val="002310D1"/>
    <w:rsid w:val="00231269"/>
    <w:rsid w:val="002312AA"/>
    <w:rsid w:val="00231970"/>
    <w:rsid w:val="00231B9A"/>
    <w:rsid w:val="002320DD"/>
    <w:rsid w:val="002326D5"/>
    <w:rsid w:val="00232BE3"/>
    <w:rsid w:val="0023307D"/>
    <w:rsid w:val="00233398"/>
    <w:rsid w:val="00233476"/>
    <w:rsid w:val="0023412A"/>
    <w:rsid w:val="00234421"/>
    <w:rsid w:val="00234C98"/>
    <w:rsid w:val="00235C98"/>
    <w:rsid w:val="002364B1"/>
    <w:rsid w:val="0023702D"/>
    <w:rsid w:val="00240438"/>
    <w:rsid w:val="002407DD"/>
    <w:rsid w:val="00241780"/>
    <w:rsid w:val="002429C4"/>
    <w:rsid w:val="00242A4D"/>
    <w:rsid w:val="00243804"/>
    <w:rsid w:val="002443B0"/>
    <w:rsid w:val="0024460C"/>
    <w:rsid w:val="0024609E"/>
    <w:rsid w:val="00247BFC"/>
    <w:rsid w:val="0025077D"/>
    <w:rsid w:val="00250A7F"/>
    <w:rsid w:val="00250BAB"/>
    <w:rsid w:val="00250DF2"/>
    <w:rsid w:val="0025109F"/>
    <w:rsid w:val="00251489"/>
    <w:rsid w:val="00252F16"/>
    <w:rsid w:val="0025457F"/>
    <w:rsid w:val="00254720"/>
    <w:rsid w:val="002548FB"/>
    <w:rsid w:val="00254DF3"/>
    <w:rsid w:val="00256C27"/>
    <w:rsid w:val="00256F29"/>
    <w:rsid w:val="0025716C"/>
    <w:rsid w:val="00257188"/>
    <w:rsid w:val="00260593"/>
    <w:rsid w:val="0026061D"/>
    <w:rsid w:val="0026087C"/>
    <w:rsid w:val="0026162E"/>
    <w:rsid w:val="00262249"/>
    <w:rsid w:val="00263CC3"/>
    <w:rsid w:val="0026456E"/>
    <w:rsid w:val="002652AC"/>
    <w:rsid w:val="002658CC"/>
    <w:rsid w:val="0026594C"/>
    <w:rsid w:val="00265BF7"/>
    <w:rsid w:val="00266545"/>
    <w:rsid w:val="00266571"/>
    <w:rsid w:val="00266F81"/>
    <w:rsid w:val="00266F8E"/>
    <w:rsid w:val="0026783F"/>
    <w:rsid w:val="00270215"/>
    <w:rsid w:val="00270CB2"/>
    <w:rsid w:val="002717B0"/>
    <w:rsid w:val="00271E4B"/>
    <w:rsid w:val="0027239F"/>
    <w:rsid w:val="002729C5"/>
    <w:rsid w:val="00273F5E"/>
    <w:rsid w:val="002748C5"/>
    <w:rsid w:val="00275791"/>
    <w:rsid w:val="002761F3"/>
    <w:rsid w:val="00276381"/>
    <w:rsid w:val="00277499"/>
    <w:rsid w:val="00277929"/>
    <w:rsid w:val="002779CF"/>
    <w:rsid w:val="002807A3"/>
    <w:rsid w:val="00280873"/>
    <w:rsid w:val="00281182"/>
    <w:rsid w:val="002820E8"/>
    <w:rsid w:val="002824FA"/>
    <w:rsid w:val="0028270C"/>
    <w:rsid w:val="002827E1"/>
    <w:rsid w:val="002829D0"/>
    <w:rsid w:val="002830D2"/>
    <w:rsid w:val="00283103"/>
    <w:rsid w:val="00283923"/>
    <w:rsid w:val="00283F44"/>
    <w:rsid w:val="002848B4"/>
    <w:rsid w:val="00284952"/>
    <w:rsid w:val="002853CA"/>
    <w:rsid w:val="002855BC"/>
    <w:rsid w:val="00285BE3"/>
    <w:rsid w:val="00285CAB"/>
    <w:rsid w:val="0028622D"/>
    <w:rsid w:val="00286BA3"/>
    <w:rsid w:val="0028703A"/>
    <w:rsid w:val="002871D0"/>
    <w:rsid w:val="00290A9E"/>
    <w:rsid w:val="00290FE5"/>
    <w:rsid w:val="0029136A"/>
    <w:rsid w:val="002914CB"/>
    <w:rsid w:val="00291872"/>
    <w:rsid w:val="00291AFE"/>
    <w:rsid w:val="00291EEC"/>
    <w:rsid w:val="00292B0D"/>
    <w:rsid w:val="00292BB1"/>
    <w:rsid w:val="0029342F"/>
    <w:rsid w:val="00293C1E"/>
    <w:rsid w:val="00293D6F"/>
    <w:rsid w:val="00294319"/>
    <w:rsid w:val="002944F0"/>
    <w:rsid w:val="00295329"/>
    <w:rsid w:val="00295F88"/>
    <w:rsid w:val="002960FF"/>
    <w:rsid w:val="00296796"/>
    <w:rsid w:val="0029709C"/>
    <w:rsid w:val="0029734B"/>
    <w:rsid w:val="0029766E"/>
    <w:rsid w:val="002979B2"/>
    <w:rsid w:val="002A008E"/>
    <w:rsid w:val="002A0B12"/>
    <w:rsid w:val="002A2882"/>
    <w:rsid w:val="002A2D00"/>
    <w:rsid w:val="002A2EFC"/>
    <w:rsid w:val="002A2F45"/>
    <w:rsid w:val="002A36C2"/>
    <w:rsid w:val="002A3EF7"/>
    <w:rsid w:val="002A4417"/>
    <w:rsid w:val="002A5926"/>
    <w:rsid w:val="002A7821"/>
    <w:rsid w:val="002B15D7"/>
    <w:rsid w:val="002B3678"/>
    <w:rsid w:val="002B376D"/>
    <w:rsid w:val="002B3E98"/>
    <w:rsid w:val="002B4445"/>
    <w:rsid w:val="002B4671"/>
    <w:rsid w:val="002B47E6"/>
    <w:rsid w:val="002B4D83"/>
    <w:rsid w:val="002B5150"/>
    <w:rsid w:val="002B52CC"/>
    <w:rsid w:val="002B5990"/>
    <w:rsid w:val="002B5ED1"/>
    <w:rsid w:val="002B6091"/>
    <w:rsid w:val="002B7023"/>
    <w:rsid w:val="002B742F"/>
    <w:rsid w:val="002B755E"/>
    <w:rsid w:val="002B7A2C"/>
    <w:rsid w:val="002B7F72"/>
    <w:rsid w:val="002C0C49"/>
    <w:rsid w:val="002C0FEC"/>
    <w:rsid w:val="002C3D42"/>
    <w:rsid w:val="002C4DD7"/>
    <w:rsid w:val="002C4FA3"/>
    <w:rsid w:val="002C55B7"/>
    <w:rsid w:val="002C6870"/>
    <w:rsid w:val="002C753B"/>
    <w:rsid w:val="002C7B6D"/>
    <w:rsid w:val="002C7EDD"/>
    <w:rsid w:val="002C7FFB"/>
    <w:rsid w:val="002D1A89"/>
    <w:rsid w:val="002D1C18"/>
    <w:rsid w:val="002D1DF0"/>
    <w:rsid w:val="002D21A3"/>
    <w:rsid w:val="002D286B"/>
    <w:rsid w:val="002D2BB8"/>
    <w:rsid w:val="002D3980"/>
    <w:rsid w:val="002D398C"/>
    <w:rsid w:val="002D4151"/>
    <w:rsid w:val="002D420A"/>
    <w:rsid w:val="002D73D3"/>
    <w:rsid w:val="002E0042"/>
    <w:rsid w:val="002E0DA7"/>
    <w:rsid w:val="002E1528"/>
    <w:rsid w:val="002E2115"/>
    <w:rsid w:val="002E3D2E"/>
    <w:rsid w:val="002E41B5"/>
    <w:rsid w:val="002E41E0"/>
    <w:rsid w:val="002E4477"/>
    <w:rsid w:val="002E49BB"/>
    <w:rsid w:val="002E4B2F"/>
    <w:rsid w:val="002E51A5"/>
    <w:rsid w:val="002E5B5F"/>
    <w:rsid w:val="002E5F3A"/>
    <w:rsid w:val="002E64CD"/>
    <w:rsid w:val="002E6DAE"/>
    <w:rsid w:val="002E7AE7"/>
    <w:rsid w:val="002F0BD6"/>
    <w:rsid w:val="002F0DDE"/>
    <w:rsid w:val="002F14B2"/>
    <w:rsid w:val="002F1EF1"/>
    <w:rsid w:val="002F2B05"/>
    <w:rsid w:val="002F39EB"/>
    <w:rsid w:val="002F44B2"/>
    <w:rsid w:val="002F44D8"/>
    <w:rsid w:val="002F6AAF"/>
    <w:rsid w:val="003000BF"/>
    <w:rsid w:val="00300A30"/>
    <w:rsid w:val="00300CD9"/>
    <w:rsid w:val="00301105"/>
    <w:rsid w:val="00302877"/>
    <w:rsid w:val="003029A7"/>
    <w:rsid w:val="00303033"/>
    <w:rsid w:val="00303101"/>
    <w:rsid w:val="00303266"/>
    <w:rsid w:val="0030447D"/>
    <w:rsid w:val="00304AF7"/>
    <w:rsid w:val="00304B55"/>
    <w:rsid w:val="003059C8"/>
    <w:rsid w:val="00305A27"/>
    <w:rsid w:val="00306984"/>
    <w:rsid w:val="00306C2D"/>
    <w:rsid w:val="00307137"/>
    <w:rsid w:val="0030757B"/>
    <w:rsid w:val="00307E25"/>
    <w:rsid w:val="003102F7"/>
    <w:rsid w:val="00310357"/>
    <w:rsid w:val="0031087C"/>
    <w:rsid w:val="00311560"/>
    <w:rsid w:val="00312B88"/>
    <w:rsid w:val="00313093"/>
    <w:rsid w:val="00313C43"/>
    <w:rsid w:val="00314098"/>
    <w:rsid w:val="00314DB8"/>
    <w:rsid w:val="0031543E"/>
    <w:rsid w:val="003158A0"/>
    <w:rsid w:val="0031597C"/>
    <w:rsid w:val="00316121"/>
    <w:rsid w:val="00316196"/>
    <w:rsid w:val="003166D0"/>
    <w:rsid w:val="003179E3"/>
    <w:rsid w:val="0032032E"/>
    <w:rsid w:val="00321093"/>
    <w:rsid w:val="003228C9"/>
    <w:rsid w:val="0032294F"/>
    <w:rsid w:val="00322DC8"/>
    <w:rsid w:val="00323186"/>
    <w:rsid w:val="00324101"/>
    <w:rsid w:val="00324560"/>
    <w:rsid w:val="00324663"/>
    <w:rsid w:val="003249C6"/>
    <w:rsid w:val="00324CFA"/>
    <w:rsid w:val="003254E6"/>
    <w:rsid w:val="0033019D"/>
    <w:rsid w:val="003309FC"/>
    <w:rsid w:val="00332B28"/>
    <w:rsid w:val="00332FB7"/>
    <w:rsid w:val="003332BB"/>
    <w:rsid w:val="00333F19"/>
    <w:rsid w:val="003345C2"/>
    <w:rsid w:val="003348E6"/>
    <w:rsid w:val="003349AF"/>
    <w:rsid w:val="00334CF7"/>
    <w:rsid w:val="00335A34"/>
    <w:rsid w:val="00335E9E"/>
    <w:rsid w:val="00336E90"/>
    <w:rsid w:val="003375AF"/>
    <w:rsid w:val="00337901"/>
    <w:rsid w:val="00337F13"/>
    <w:rsid w:val="00337FD4"/>
    <w:rsid w:val="00341836"/>
    <w:rsid w:val="0034186B"/>
    <w:rsid w:val="003419A6"/>
    <w:rsid w:val="00341ABA"/>
    <w:rsid w:val="00341B33"/>
    <w:rsid w:val="00343D46"/>
    <w:rsid w:val="00344743"/>
    <w:rsid w:val="003470AD"/>
    <w:rsid w:val="003474D7"/>
    <w:rsid w:val="00347AFF"/>
    <w:rsid w:val="00347E66"/>
    <w:rsid w:val="00350085"/>
    <w:rsid w:val="003500B5"/>
    <w:rsid w:val="00350330"/>
    <w:rsid w:val="00350A4B"/>
    <w:rsid w:val="00351AE9"/>
    <w:rsid w:val="003526B0"/>
    <w:rsid w:val="00352EFC"/>
    <w:rsid w:val="003537E0"/>
    <w:rsid w:val="00354521"/>
    <w:rsid w:val="00355005"/>
    <w:rsid w:val="00355B42"/>
    <w:rsid w:val="00355BC4"/>
    <w:rsid w:val="00355C75"/>
    <w:rsid w:val="003562DD"/>
    <w:rsid w:val="003568D0"/>
    <w:rsid w:val="00356F16"/>
    <w:rsid w:val="0035726A"/>
    <w:rsid w:val="003572A4"/>
    <w:rsid w:val="00357497"/>
    <w:rsid w:val="003576DD"/>
    <w:rsid w:val="00360EC6"/>
    <w:rsid w:val="0036102C"/>
    <w:rsid w:val="00361215"/>
    <w:rsid w:val="00361406"/>
    <w:rsid w:val="00361871"/>
    <w:rsid w:val="003622AE"/>
    <w:rsid w:val="003624B6"/>
    <w:rsid w:val="0036312D"/>
    <w:rsid w:val="003637AF"/>
    <w:rsid w:val="00363A01"/>
    <w:rsid w:val="00364DB2"/>
    <w:rsid w:val="003650A3"/>
    <w:rsid w:val="00365574"/>
    <w:rsid w:val="00366014"/>
    <w:rsid w:val="003668F2"/>
    <w:rsid w:val="00367047"/>
    <w:rsid w:val="003679C6"/>
    <w:rsid w:val="003679FD"/>
    <w:rsid w:val="00367F07"/>
    <w:rsid w:val="00370FED"/>
    <w:rsid w:val="00371614"/>
    <w:rsid w:val="00371F73"/>
    <w:rsid w:val="00372092"/>
    <w:rsid w:val="003722D9"/>
    <w:rsid w:val="00372441"/>
    <w:rsid w:val="00373427"/>
    <w:rsid w:val="003735E2"/>
    <w:rsid w:val="00373770"/>
    <w:rsid w:val="0037405A"/>
    <w:rsid w:val="00376862"/>
    <w:rsid w:val="00377206"/>
    <w:rsid w:val="00380A8D"/>
    <w:rsid w:val="0038124C"/>
    <w:rsid w:val="00381949"/>
    <w:rsid w:val="00381C67"/>
    <w:rsid w:val="00381F2B"/>
    <w:rsid w:val="00382257"/>
    <w:rsid w:val="003851B5"/>
    <w:rsid w:val="0038589F"/>
    <w:rsid w:val="003878F4"/>
    <w:rsid w:val="0038793C"/>
    <w:rsid w:val="00390249"/>
    <w:rsid w:val="00390415"/>
    <w:rsid w:val="00390768"/>
    <w:rsid w:val="0039143C"/>
    <w:rsid w:val="00392A05"/>
    <w:rsid w:val="003936A1"/>
    <w:rsid w:val="00393CD7"/>
    <w:rsid w:val="00393D12"/>
    <w:rsid w:val="003946AC"/>
    <w:rsid w:val="003948AA"/>
    <w:rsid w:val="00394B92"/>
    <w:rsid w:val="00394D2A"/>
    <w:rsid w:val="00394D40"/>
    <w:rsid w:val="0039623A"/>
    <w:rsid w:val="00396A8E"/>
    <w:rsid w:val="00397920"/>
    <w:rsid w:val="003A0015"/>
    <w:rsid w:val="003A065A"/>
    <w:rsid w:val="003A0796"/>
    <w:rsid w:val="003A1BBA"/>
    <w:rsid w:val="003A1EC2"/>
    <w:rsid w:val="003A28CD"/>
    <w:rsid w:val="003A2F8B"/>
    <w:rsid w:val="003A3447"/>
    <w:rsid w:val="003A3D6F"/>
    <w:rsid w:val="003A4301"/>
    <w:rsid w:val="003A496F"/>
    <w:rsid w:val="003A4A4F"/>
    <w:rsid w:val="003A507C"/>
    <w:rsid w:val="003A5616"/>
    <w:rsid w:val="003A5908"/>
    <w:rsid w:val="003A6A14"/>
    <w:rsid w:val="003A6AF0"/>
    <w:rsid w:val="003A6FC9"/>
    <w:rsid w:val="003A71BA"/>
    <w:rsid w:val="003A72A0"/>
    <w:rsid w:val="003A7786"/>
    <w:rsid w:val="003A7B75"/>
    <w:rsid w:val="003B07A2"/>
    <w:rsid w:val="003B07C5"/>
    <w:rsid w:val="003B0E6C"/>
    <w:rsid w:val="003B1406"/>
    <w:rsid w:val="003B47BD"/>
    <w:rsid w:val="003B4E97"/>
    <w:rsid w:val="003B59F3"/>
    <w:rsid w:val="003B5A2C"/>
    <w:rsid w:val="003B64E2"/>
    <w:rsid w:val="003B73F1"/>
    <w:rsid w:val="003B7C94"/>
    <w:rsid w:val="003B7DC3"/>
    <w:rsid w:val="003C0420"/>
    <w:rsid w:val="003C0D50"/>
    <w:rsid w:val="003C135A"/>
    <w:rsid w:val="003C35E4"/>
    <w:rsid w:val="003C3659"/>
    <w:rsid w:val="003C44B0"/>
    <w:rsid w:val="003C4CE7"/>
    <w:rsid w:val="003C521B"/>
    <w:rsid w:val="003C6235"/>
    <w:rsid w:val="003C6FC6"/>
    <w:rsid w:val="003C702B"/>
    <w:rsid w:val="003C7758"/>
    <w:rsid w:val="003C7AC7"/>
    <w:rsid w:val="003C7AEF"/>
    <w:rsid w:val="003C7CC5"/>
    <w:rsid w:val="003C7D65"/>
    <w:rsid w:val="003D02F9"/>
    <w:rsid w:val="003D0932"/>
    <w:rsid w:val="003D100F"/>
    <w:rsid w:val="003D1B66"/>
    <w:rsid w:val="003D1CB0"/>
    <w:rsid w:val="003D24B9"/>
    <w:rsid w:val="003D2799"/>
    <w:rsid w:val="003D28EE"/>
    <w:rsid w:val="003D2FDE"/>
    <w:rsid w:val="003D3265"/>
    <w:rsid w:val="003D3E36"/>
    <w:rsid w:val="003D440B"/>
    <w:rsid w:val="003D4F52"/>
    <w:rsid w:val="003D593F"/>
    <w:rsid w:val="003D5FCE"/>
    <w:rsid w:val="003D61D2"/>
    <w:rsid w:val="003D6468"/>
    <w:rsid w:val="003D6731"/>
    <w:rsid w:val="003D708A"/>
    <w:rsid w:val="003D72B9"/>
    <w:rsid w:val="003D78A1"/>
    <w:rsid w:val="003E03D4"/>
    <w:rsid w:val="003E04A8"/>
    <w:rsid w:val="003E222B"/>
    <w:rsid w:val="003E2374"/>
    <w:rsid w:val="003E396B"/>
    <w:rsid w:val="003E3A47"/>
    <w:rsid w:val="003E41C6"/>
    <w:rsid w:val="003E42D9"/>
    <w:rsid w:val="003E44B4"/>
    <w:rsid w:val="003E52D8"/>
    <w:rsid w:val="003E563E"/>
    <w:rsid w:val="003E59C0"/>
    <w:rsid w:val="003E6CCB"/>
    <w:rsid w:val="003E75D5"/>
    <w:rsid w:val="003E789B"/>
    <w:rsid w:val="003F162D"/>
    <w:rsid w:val="003F1802"/>
    <w:rsid w:val="003F1B42"/>
    <w:rsid w:val="003F27B4"/>
    <w:rsid w:val="003F2990"/>
    <w:rsid w:val="003F3607"/>
    <w:rsid w:val="003F381B"/>
    <w:rsid w:val="003F4DC2"/>
    <w:rsid w:val="003F4DFE"/>
    <w:rsid w:val="003F5248"/>
    <w:rsid w:val="003F5A03"/>
    <w:rsid w:val="003F5BB1"/>
    <w:rsid w:val="003F5FB1"/>
    <w:rsid w:val="003F6574"/>
    <w:rsid w:val="003F735E"/>
    <w:rsid w:val="004012D7"/>
    <w:rsid w:val="00402C53"/>
    <w:rsid w:val="0040345E"/>
    <w:rsid w:val="00403A47"/>
    <w:rsid w:val="00404C2D"/>
    <w:rsid w:val="00404ECF"/>
    <w:rsid w:val="00404FE2"/>
    <w:rsid w:val="00405388"/>
    <w:rsid w:val="004055D7"/>
    <w:rsid w:val="004055FA"/>
    <w:rsid w:val="00406311"/>
    <w:rsid w:val="00406641"/>
    <w:rsid w:val="00407605"/>
    <w:rsid w:val="00407AE0"/>
    <w:rsid w:val="00407EE6"/>
    <w:rsid w:val="00407F8A"/>
    <w:rsid w:val="00410FA0"/>
    <w:rsid w:val="00412AE7"/>
    <w:rsid w:val="00412E02"/>
    <w:rsid w:val="00412FAB"/>
    <w:rsid w:val="00413156"/>
    <w:rsid w:val="004144A3"/>
    <w:rsid w:val="00414C8C"/>
    <w:rsid w:val="00415B12"/>
    <w:rsid w:val="00416731"/>
    <w:rsid w:val="00416A48"/>
    <w:rsid w:val="00417489"/>
    <w:rsid w:val="00417600"/>
    <w:rsid w:val="0041767F"/>
    <w:rsid w:val="004179D6"/>
    <w:rsid w:val="00422098"/>
    <w:rsid w:val="00422117"/>
    <w:rsid w:val="00422346"/>
    <w:rsid w:val="00422995"/>
    <w:rsid w:val="00423020"/>
    <w:rsid w:val="00423AA6"/>
    <w:rsid w:val="0042423A"/>
    <w:rsid w:val="004247B6"/>
    <w:rsid w:val="004262AE"/>
    <w:rsid w:val="0042653B"/>
    <w:rsid w:val="0042698A"/>
    <w:rsid w:val="0042753D"/>
    <w:rsid w:val="00427BB2"/>
    <w:rsid w:val="0043039C"/>
    <w:rsid w:val="00430883"/>
    <w:rsid w:val="00431989"/>
    <w:rsid w:val="004325C7"/>
    <w:rsid w:val="004333A8"/>
    <w:rsid w:val="0043433C"/>
    <w:rsid w:val="004345FD"/>
    <w:rsid w:val="00434BBA"/>
    <w:rsid w:val="00435047"/>
    <w:rsid w:val="00435284"/>
    <w:rsid w:val="0043558C"/>
    <w:rsid w:val="004356BB"/>
    <w:rsid w:val="00435DA5"/>
    <w:rsid w:val="00435EFE"/>
    <w:rsid w:val="00436630"/>
    <w:rsid w:val="00436C7E"/>
    <w:rsid w:val="00437C07"/>
    <w:rsid w:val="00440099"/>
    <w:rsid w:val="004401C8"/>
    <w:rsid w:val="00441378"/>
    <w:rsid w:val="004414CA"/>
    <w:rsid w:val="00441956"/>
    <w:rsid w:val="004422CF"/>
    <w:rsid w:val="004422E8"/>
    <w:rsid w:val="004432A1"/>
    <w:rsid w:val="004434E7"/>
    <w:rsid w:val="0044394B"/>
    <w:rsid w:val="00443A9B"/>
    <w:rsid w:val="00443CD5"/>
    <w:rsid w:val="004448C8"/>
    <w:rsid w:val="0044492F"/>
    <w:rsid w:val="00444A74"/>
    <w:rsid w:val="00445F37"/>
    <w:rsid w:val="0044613A"/>
    <w:rsid w:val="00446EFE"/>
    <w:rsid w:val="0044728C"/>
    <w:rsid w:val="0044729C"/>
    <w:rsid w:val="004472F2"/>
    <w:rsid w:val="00447B82"/>
    <w:rsid w:val="004526DC"/>
    <w:rsid w:val="00453163"/>
    <w:rsid w:val="00453787"/>
    <w:rsid w:val="004538A0"/>
    <w:rsid w:val="004553AA"/>
    <w:rsid w:val="004566A8"/>
    <w:rsid w:val="00456810"/>
    <w:rsid w:val="00456A8A"/>
    <w:rsid w:val="00457915"/>
    <w:rsid w:val="00461612"/>
    <w:rsid w:val="00461AA6"/>
    <w:rsid w:val="00461DD7"/>
    <w:rsid w:val="00461EC5"/>
    <w:rsid w:val="004626AD"/>
    <w:rsid w:val="00462F89"/>
    <w:rsid w:val="004633DA"/>
    <w:rsid w:val="004634BE"/>
    <w:rsid w:val="00463C64"/>
    <w:rsid w:val="00464449"/>
    <w:rsid w:val="00464DAA"/>
    <w:rsid w:val="00466011"/>
    <w:rsid w:val="004660D9"/>
    <w:rsid w:val="004664CB"/>
    <w:rsid w:val="00466CD4"/>
    <w:rsid w:val="00466E80"/>
    <w:rsid w:val="004670DD"/>
    <w:rsid w:val="0046766E"/>
    <w:rsid w:val="0047098B"/>
    <w:rsid w:val="0047121A"/>
    <w:rsid w:val="00471B06"/>
    <w:rsid w:val="00471DBB"/>
    <w:rsid w:val="0047216A"/>
    <w:rsid w:val="00472228"/>
    <w:rsid w:val="004743A8"/>
    <w:rsid w:val="00474720"/>
    <w:rsid w:val="004747CA"/>
    <w:rsid w:val="00474EAE"/>
    <w:rsid w:val="00475A45"/>
    <w:rsid w:val="00475DAC"/>
    <w:rsid w:val="00476AA7"/>
    <w:rsid w:val="00477757"/>
    <w:rsid w:val="00480754"/>
    <w:rsid w:val="00480765"/>
    <w:rsid w:val="00481346"/>
    <w:rsid w:val="0048197A"/>
    <w:rsid w:val="004832B6"/>
    <w:rsid w:val="00483ADB"/>
    <w:rsid w:val="00483BA7"/>
    <w:rsid w:val="00483BE4"/>
    <w:rsid w:val="004843BD"/>
    <w:rsid w:val="0048462F"/>
    <w:rsid w:val="00484CA6"/>
    <w:rsid w:val="00484D55"/>
    <w:rsid w:val="00486DDF"/>
    <w:rsid w:val="00487701"/>
    <w:rsid w:val="00487E0E"/>
    <w:rsid w:val="004913E5"/>
    <w:rsid w:val="0049141E"/>
    <w:rsid w:val="00492786"/>
    <w:rsid w:val="00493587"/>
    <w:rsid w:val="00493881"/>
    <w:rsid w:val="0049398C"/>
    <w:rsid w:val="00493AF3"/>
    <w:rsid w:val="00493C9C"/>
    <w:rsid w:val="00493F12"/>
    <w:rsid w:val="00494452"/>
    <w:rsid w:val="0049456E"/>
    <w:rsid w:val="00495196"/>
    <w:rsid w:val="004954C1"/>
    <w:rsid w:val="00496341"/>
    <w:rsid w:val="00496492"/>
    <w:rsid w:val="0049691A"/>
    <w:rsid w:val="00496927"/>
    <w:rsid w:val="00496FE0"/>
    <w:rsid w:val="0049700B"/>
    <w:rsid w:val="00497384"/>
    <w:rsid w:val="0049796D"/>
    <w:rsid w:val="00497C26"/>
    <w:rsid w:val="004A1255"/>
    <w:rsid w:val="004A129D"/>
    <w:rsid w:val="004A156F"/>
    <w:rsid w:val="004A1FC9"/>
    <w:rsid w:val="004A289A"/>
    <w:rsid w:val="004A35DF"/>
    <w:rsid w:val="004A38B7"/>
    <w:rsid w:val="004A4CED"/>
    <w:rsid w:val="004A506D"/>
    <w:rsid w:val="004A561C"/>
    <w:rsid w:val="004A56FB"/>
    <w:rsid w:val="004A6665"/>
    <w:rsid w:val="004A7F21"/>
    <w:rsid w:val="004B0AE1"/>
    <w:rsid w:val="004B14D8"/>
    <w:rsid w:val="004B1AB2"/>
    <w:rsid w:val="004B1E1C"/>
    <w:rsid w:val="004B227C"/>
    <w:rsid w:val="004B2AAB"/>
    <w:rsid w:val="004B2AF4"/>
    <w:rsid w:val="004B2D3A"/>
    <w:rsid w:val="004B3299"/>
    <w:rsid w:val="004B35D1"/>
    <w:rsid w:val="004B54DF"/>
    <w:rsid w:val="004B75A7"/>
    <w:rsid w:val="004B760D"/>
    <w:rsid w:val="004C0280"/>
    <w:rsid w:val="004C0B76"/>
    <w:rsid w:val="004C0E2A"/>
    <w:rsid w:val="004C0F2B"/>
    <w:rsid w:val="004C1885"/>
    <w:rsid w:val="004C368B"/>
    <w:rsid w:val="004C3A54"/>
    <w:rsid w:val="004C3F9F"/>
    <w:rsid w:val="004C3FD1"/>
    <w:rsid w:val="004C473B"/>
    <w:rsid w:val="004C47C8"/>
    <w:rsid w:val="004C48F0"/>
    <w:rsid w:val="004C4D02"/>
    <w:rsid w:val="004C4E79"/>
    <w:rsid w:val="004C50DA"/>
    <w:rsid w:val="004C5D7A"/>
    <w:rsid w:val="004C5E1B"/>
    <w:rsid w:val="004C60D8"/>
    <w:rsid w:val="004C6416"/>
    <w:rsid w:val="004C66DF"/>
    <w:rsid w:val="004C67B1"/>
    <w:rsid w:val="004C7745"/>
    <w:rsid w:val="004C7D7E"/>
    <w:rsid w:val="004D0890"/>
    <w:rsid w:val="004D21B3"/>
    <w:rsid w:val="004D2E1E"/>
    <w:rsid w:val="004D3544"/>
    <w:rsid w:val="004D4531"/>
    <w:rsid w:val="004D5A81"/>
    <w:rsid w:val="004D5F5B"/>
    <w:rsid w:val="004D6883"/>
    <w:rsid w:val="004D6DEA"/>
    <w:rsid w:val="004D725E"/>
    <w:rsid w:val="004D7843"/>
    <w:rsid w:val="004D7CCB"/>
    <w:rsid w:val="004E090F"/>
    <w:rsid w:val="004E162C"/>
    <w:rsid w:val="004E1D13"/>
    <w:rsid w:val="004E3048"/>
    <w:rsid w:val="004E3301"/>
    <w:rsid w:val="004E35B6"/>
    <w:rsid w:val="004E3BF3"/>
    <w:rsid w:val="004E3E79"/>
    <w:rsid w:val="004E4054"/>
    <w:rsid w:val="004E42AE"/>
    <w:rsid w:val="004E448F"/>
    <w:rsid w:val="004E4D23"/>
    <w:rsid w:val="004E533E"/>
    <w:rsid w:val="004E57C9"/>
    <w:rsid w:val="004E5AA1"/>
    <w:rsid w:val="004E6899"/>
    <w:rsid w:val="004E696A"/>
    <w:rsid w:val="004E6ABF"/>
    <w:rsid w:val="004E780B"/>
    <w:rsid w:val="004E78F3"/>
    <w:rsid w:val="004E7A48"/>
    <w:rsid w:val="004E7D15"/>
    <w:rsid w:val="004F00FE"/>
    <w:rsid w:val="004F083D"/>
    <w:rsid w:val="004F15BE"/>
    <w:rsid w:val="004F1663"/>
    <w:rsid w:val="004F181C"/>
    <w:rsid w:val="004F2129"/>
    <w:rsid w:val="004F25BE"/>
    <w:rsid w:val="004F26C4"/>
    <w:rsid w:val="004F2925"/>
    <w:rsid w:val="004F3CB0"/>
    <w:rsid w:val="004F423F"/>
    <w:rsid w:val="004F53DB"/>
    <w:rsid w:val="004F5F57"/>
    <w:rsid w:val="004F6F09"/>
    <w:rsid w:val="004F7867"/>
    <w:rsid w:val="004F7CDF"/>
    <w:rsid w:val="005005DF"/>
    <w:rsid w:val="005006CB"/>
    <w:rsid w:val="005013FA"/>
    <w:rsid w:val="00502A7B"/>
    <w:rsid w:val="00503602"/>
    <w:rsid w:val="00504E04"/>
    <w:rsid w:val="00504E8C"/>
    <w:rsid w:val="00505B6C"/>
    <w:rsid w:val="005062EF"/>
    <w:rsid w:val="00506E16"/>
    <w:rsid w:val="00506F8B"/>
    <w:rsid w:val="0051122D"/>
    <w:rsid w:val="0051281C"/>
    <w:rsid w:val="00512C94"/>
    <w:rsid w:val="00512CAB"/>
    <w:rsid w:val="005130BF"/>
    <w:rsid w:val="005131C3"/>
    <w:rsid w:val="00513C3E"/>
    <w:rsid w:val="00514B23"/>
    <w:rsid w:val="00514B7A"/>
    <w:rsid w:val="00514EC0"/>
    <w:rsid w:val="00515583"/>
    <w:rsid w:val="00516240"/>
    <w:rsid w:val="005166C4"/>
    <w:rsid w:val="00516A5B"/>
    <w:rsid w:val="00517089"/>
    <w:rsid w:val="00517178"/>
    <w:rsid w:val="0052000F"/>
    <w:rsid w:val="005207D9"/>
    <w:rsid w:val="005209D3"/>
    <w:rsid w:val="00520E36"/>
    <w:rsid w:val="00521130"/>
    <w:rsid w:val="005214D9"/>
    <w:rsid w:val="0052161C"/>
    <w:rsid w:val="00521655"/>
    <w:rsid w:val="00521948"/>
    <w:rsid w:val="0052228F"/>
    <w:rsid w:val="00523246"/>
    <w:rsid w:val="00523570"/>
    <w:rsid w:val="005240AB"/>
    <w:rsid w:val="005256BE"/>
    <w:rsid w:val="00525C05"/>
    <w:rsid w:val="00526A7D"/>
    <w:rsid w:val="00526BFA"/>
    <w:rsid w:val="00526EA2"/>
    <w:rsid w:val="00527291"/>
    <w:rsid w:val="005300C5"/>
    <w:rsid w:val="00530676"/>
    <w:rsid w:val="00531F53"/>
    <w:rsid w:val="005326E4"/>
    <w:rsid w:val="005344D4"/>
    <w:rsid w:val="00534A20"/>
    <w:rsid w:val="005350B5"/>
    <w:rsid w:val="00535268"/>
    <w:rsid w:val="00535CFC"/>
    <w:rsid w:val="0053723E"/>
    <w:rsid w:val="005374DE"/>
    <w:rsid w:val="00537EEC"/>
    <w:rsid w:val="00540A6E"/>
    <w:rsid w:val="00542BCD"/>
    <w:rsid w:val="00542F04"/>
    <w:rsid w:val="00543482"/>
    <w:rsid w:val="00543931"/>
    <w:rsid w:val="00543E73"/>
    <w:rsid w:val="00545C76"/>
    <w:rsid w:val="00546C3C"/>
    <w:rsid w:val="00547538"/>
    <w:rsid w:val="00547B96"/>
    <w:rsid w:val="00547EA7"/>
    <w:rsid w:val="0055018E"/>
    <w:rsid w:val="005502E0"/>
    <w:rsid w:val="00550868"/>
    <w:rsid w:val="00550E54"/>
    <w:rsid w:val="00551F85"/>
    <w:rsid w:val="0055329A"/>
    <w:rsid w:val="00553A16"/>
    <w:rsid w:val="00553ADA"/>
    <w:rsid w:val="005542A9"/>
    <w:rsid w:val="005543A2"/>
    <w:rsid w:val="00555278"/>
    <w:rsid w:val="005554AA"/>
    <w:rsid w:val="00555555"/>
    <w:rsid w:val="00556642"/>
    <w:rsid w:val="00556DFB"/>
    <w:rsid w:val="00557629"/>
    <w:rsid w:val="005600C2"/>
    <w:rsid w:val="005614E7"/>
    <w:rsid w:val="00561C37"/>
    <w:rsid w:val="0056284C"/>
    <w:rsid w:val="00562969"/>
    <w:rsid w:val="00562F79"/>
    <w:rsid w:val="00563057"/>
    <w:rsid w:val="00563230"/>
    <w:rsid w:val="00563282"/>
    <w:rsid w:val="005633E4"/>
    <w:rsid w:val="005635B4"/>
    <w:rsid w:val="00563734"/>
    <w:rsid w:val="005639C1"/>
    <w:rsid w:val="00564572"/>
    <w:rsid w:val="00565153"/>
    <w:rsid w:val="005653E9"/>
    <w:rsid w:val="00565747"/>
    <w:rsid w:val="00565A38"/>
    <w:rsid w:val="00565E8D"/>
    <w:rsid w:val="00565EB6"/>
    <w:rsid w:val="00566849"/>
    <w:rsid w:val="00566B75"/>
    <w:rsid w:val="00566BC1"/>
    <w:rsid w:val="005675EE"/>
    <w:rsid w:val="005700E4"/>
    <w:rsid w:val="005701CB"/>
    <w:rsid w:val="00571687"/>
    <w:rsid w:val="005716FA"/>
    <w:rsid w:val="00571B00"/>
    <w:rsid w:val="00572389"/>
    <w:rsid w:val="005727AD"/>
    <w:rsid w:val="005729FF"/>
    <w:rsid w:val="00573087"/>
    <w:rsid w:val="00573734"/>
    <w:rsid w:val="005737DC"/>
    <w:rsid w:val="00573B8F"/>
    <w:rsid w:val="00574B60"/>
    <w:rsid w:val="00574DCE"/>
    <w:rsid w:val="005752E5"/>
    <w:rsid w:val="00575534"/>
    <w:rsid w:val="0057602A"/>
    <w:rsid w:val="00576AAB"/>
    <w:rsid w:val="00576B71"/>
    <w:rsid w:val="00577419"/>
    <w:rsid w:val="005808BF"/>
    <w:rsid w:val="005812A7"/>
    <w:rsid w:val="00581543"/>
    <w:rsid w:val="00582B4F"/>
    <w:rsid w:val="005832E8"/>
    <w:rsid w:val="005844A0"/>
    <w:rsid w:val="00584B68"/>
    <w:rsid w:val="00586487"/>
    <w:rsid w:val="005872DA"/>
    <w:rsid w:val="005874CE"/>
    <w:rsid w:val="00587BBC"/>
    <w:rsid w:val="0059066E"/>
    <w:rsid w:val="00590B45"/>
    <w:rsid w:val="00590CE8"/>
    <w:rsid w:val="00590D72"/>
    <w:rsid w:val="00591488"/>
    <w:rsid w:val="00591759"/>
    <w:rsid w:val="00591AE2"/>
    <w:rsid w:val="00592369"/>
    <w:rsid w:val="005930B2"/>
    <w:rsid w:val="00593CBB"/>
    <w:rsid w:val="0059429E"/>
    <w:rsid w:val="005951A3"/>
    <w:rsid w:val="00595E21"/>
    <w:rsid w:val="00596E97"/>
    <w:rsid w:val="00596F2E"/>
    <w:rsid w:val="005974C8"/>
    <w:rsid w:val="005A0089"/>
    <w:rsid w:val="005A0B40"/>
    <w:rsid w:val="005A0DB6"/>
    <w:rsid w:val="005A2256"/>
    <w:rsid w:val="005A26F8"/>
    <w:rsid w:val="005A28C9"/>
    <w:rsid w:val="005A4CE6"/>
    <w:rsid w:val="005A550D"/>
    <w:rsid w:val="005A57D5"/>
    <w:rsid w:val="005A58E8"/>
    <w:rsid w:val="005A5F40"/>
    <w:rsid w:val="005A627E"/>
    <w:rsid w:val="005A6965"/>
    <w:rsid w:val="005A7087"/>
    <w:rsid w:val="005A7B94"/>
    <w:rsid w:val="005B037F"/>
    <w:rsid w:val="005B0774"/>
    <w:rsid w:val="005B1A1B"/>
    <w:rsid w:val="005B2038"/>
    <w:rsid w:val="005B218F"/>
    <w:rsid w:val="005B2299"/>
    <w:rsid w:val="005B2D04"/>
    <w:rsid w:val="005B30FB"/>
    <w:rsid w:val="005B38BE"/>
    <w:rsid w:val="005B4334"/>
    <w:rsid w:val="005B447A"/>
    <w:rsid w:val="005B4FE2"/>
    <w:rsid w:val="005B4FE4"/>
    <w:rsid w:val="005B6E72"/>
    <w:rsid w:val="005B6EC0"/>
    <w:rsid w:val="005B717A"/>
    <w:rsid w:val="005B7EC1"/>
    <w:rsid w:val="005C0509"/>
    <w:rsid w:val="005C17A4"/>
    <w:rsid w:val="005C1C63"/>
    <w:rsid w:val="005C2903"/>
    <w:rsid w:val="005C2E6F"/>
    <w:rsid w:val="005C33B3"/>
    <w:rsid w:val="005C364E"/>
    <w:rsid w:val="005C3B79"/>
    <w:rsid w:val="005C3CB8"/>
    <w:rsid w:val="005C3D56"/>
    <w:rsid w:val="005C4D96"/>
    <w:rsid w:val="005C6BC0"/>
    <w:rsid w:val="005C6BDB"/>
    <w:rsid w:val="005C7278"/>
    <w:rsid w:val="005D042C"/>
    <w:rsid w:val="005D07B0"/>
    <w:rsid w:val="005D0D21"/>
    <w:rsid w:val="005D0E8E"/>
    <w:rsid w:val="005D1236"/>
    <w:rsid w:val="005D13CF"/>
    <w:rsid w:val="005D1D9D"/>
    <w:rsid w:val="005D1F72"/>
    <w:rsid w:val="005D2182"/>
    <w:rsid w:val="005D23BE"/>
    <w:rsid w:val="005D2961"/>
    <w:rsid w:val="005D31DA"/>
    <w:rsid w:val="005D3807"/>
    <w:rsid w:val="005D4DEE"/>
    <w:rsid w:val="005D5A5C"/>
    <w:rsid w:val="005D6EE1"/>
    <w:rsid w:val="005D757F"/>
    <w:rsid w:val="005E0616"/>
    <w:rsid w:val="005E0AC3"/>
    <w:rsid w:val="005E1C95"/>
    <w:rsid w:val="005E270B"/>
    <w:rsid w:val="005E270F"/>
    <w:rsid w:val="005E2A66"/>
    <w:rsid w:val="005E310E"/>
    <w:rsid w:val="005E354C"/>
    <w:rsid w:val="005E4412"/>
    <w:rsid w:val="005E4471"/>
    <w:rsid w:val="005E4A3A"/>
    <w:rsid w:val="005E4E82"/>
    <w:rsid w:val="005E60BA"/>
    <w:rsid w:val="005E60C7"/>
    <w:rsid w:val="005E6785"/>
    <w:rsid w:val="005E7D7E"/>
    <w:rsid w:val="005F00D9"/>
    <w:rsid w:val="005F0252"/>
    <w:rsid w:val="005F057D"/>
    <w:rsid w:val="005F0F4C"/>
    <w:rsid w:val="005F1E00"/>
    <w:rsid w:val="005F2575"/>
    <w:rsid w:val="005F27AE"/>
    <w:rsid w:val="005F2F0A"/>
    <w:rsid w:val="005F443B"/>
    <w:rsid w:val="005F4560"/>
    <w:rsid w:val="005F496A"/>
    <w:rsid w:val="005F4B28"/>
    <w:rsid w:val="005F5850"/>
    <w:rsid w:val="005F5A9B"/>
    <w:rsid w:val="005F5B9E"/>
    <w:rsid w:val="005F644C"/>
    <w:rsid w:val="005F7C83"/>
    <w:rsid w:val="00600282"/>
    <w:rsid w:val="0060043E"/>
    <w:rsid w:val="006018ED"/>
    <w:rsid w:val="006025A7"/>
    <w:rsid w:val="00604518"/>
    <w:rsid w:val="00604F47"/>
    <w:rsid w:val="00605B8C"/>
    <w:rsid w:val="0060701A"/>
    <w:rsid w:val="006071AC"/>
    <w:rsid w:val="0060737E"/>
    <w:rsid w:val="006079DE"/>
    <w:rsid w:val="00607A38"/>
    <w:rsid w:val="0061030D"/>
    <w:rsid w:val="00610757"/>
    <w:rsid w:val="00611D03"/>
    <w:rsid w:val="00612029"/>
    <w:rsid w:val="0061216D"/>
    <w:rsid w:val="006125E5"/>
    <w:rsid w:val="006128CB"/>
    <w:rsid w:val="00612C97"/>
    <w:rsid w:val="006135B1"/>
    <w:rsid w:val="00613736"/>
    <w:rsid w:val="00615472"/>
    <w:rsid w:val="006154D9"/>
    <w:rsid w:val="00616AA3"/>
    <w:rsid w:val="00620BF1"/>
    <w:rsid w:val="00620E83"/>
    <w:rsid w:val="0062109A"/>
    <w:rsid w:val="006213D4"/>
    <w:rsid w:val="0062140E"/>
    <w:rsid w:val="00621B61"/>
    <w:rsid w:val="00622568"/>
    <w:rsid w:val="0062265F"/>
    <w:rsid w:val="00622D70"/>
    <w:rsid w:val="006236BA"/>
    <w:rsid w:val="00623E42"/>
    <w:rsid w:val="00623F52"/>
    <w:rsid w:val="00625251"/>
    <w:rsid w:val="00626DFD"/>
    <w:rsid w:val="00626E1A"/>
    <w:rsid w:val="00627764"/>
    <w:rsid w:val="006302C1"/>
    <w:rsid w:val="0063045D"/>
    <w:rsid w:val="0063197E"/>
    <w:rsid w:val="00632523"/>
    <w:rsid w:val="00632BC5"/>
    <w:rsid w:val="00633850"/>
    <w:rsid w:val="00633F0B"/>
    <w:rsid w:val="00633F3A"/>
    <w:rsid w:val="006341E9"/>
    <w:rsid w:val="00634321"/>
    <w:rsid w:val="006346C7"/>
    <w:rsid w:val="00634AA0"/>
    <w:rsid w:val="00635368"/>
    <w:rsid w:val="0063728F"/>
    <w:rsid w:val="00637B20"/>
    <w:rsid w:val="00640BA3"/>
    <w:rsid w:val="00641F77"/>
    <w:rsid w:val="006422B1"/>
    <w:rsid w:val="00642A3D"/>
    <w:rsid w:val="0064404B"/>
    <w:rsid w:val="00644226"/>
    <w:rsid w:val="00644BCD"/>
    <w:rsid w:val="00645336"/>
    <w:rsid w:val="006454AA"/>
    <w:rsid w:val="00647C1F"/>
    <w:rsid w:val="006511B5"/>
    <w:rsid w:val="00652A84"/>
    <w:rsid w:val="00652CB8"/>
    <w:rsid w:val="00653A87"/>
    <w:rsid w:val="00653D3B"/>
    <w:rsid w:val="006540C6"/>
    <w:rsid w:val="00654305"/>
    <w:rsid w:val="00654311"/>
    <w:rsid w:val="0065447E"/>
    <w:rsid w:val="00654831"/>
    <w:rsid w:val="0065548F"/>
    <w:rsid w:val="0065585A"/>
    <w:rsid w:val="006559DB"/>
    <w:rsid w:val="00655B85"/>
    <w:rsid w:val="00656710"/>
    <w:rsid w:val="006602B3"/>
    <w:rsid w:val="00660550"/>
    <w:rsid w:val="00660FFF"/>
    <w:rsid w:val="00661C7D"/>
    <w:rsid w:val="00662BDC"/>
    <w:rsid w:val="00663073"/>
    <w:rsid w:val="00663B61"/>
    <w:rsid w:val="00664352"/>
    <w:rsid w:val="006653FF"/>
    <w:rsid w:val="0066556E"/>
    <w:rsid w:val="0066574C"/>
    <w:rsid w:val="00665847"/>
    <w:rsid w:val="00665DC8"/>
    <w:rsid w:val="00665E5E"/>
    <w:rsid w:val="00666355"/>
    <w:rsid w:val="006669B6"/>
    <w:rsid w:val="00666CF4"/>
    <w:rsid w:val="006674F7"/>
    <w:rsid w:val="006679CE"/>
    <w:rsid w:val="006702CE"/>
    <w:rsid w:val="00671482"/>
    <w:rsid w:val="00672377"/>
    <w:rsid w:val="0067273B"/>
    <w:rsid w:val="006728DE"/>
    <w:rsid w:val="00672DFE"/>
    <w:rsid w:val="00672FB7"/>
    <w:rsid w:val="00673720"/>
    <w:rsid w:val="00673C74"/>
    <w:rsid w:val="00674822"/>
    <w:rsid w:val="00674EB9"/>
    <w:rsid w:val="00677337"/>
    <w:rsid w:val="006775B6"/>
    <w:rsid w:val="00677832"/>
    <w:rsid w:val="00677879"/>
    <w:rsid w:val="00677CCD"/>
    <w:rsid w:val="0068038F"/>
    <w:rsid w:val="00681259"/>
    <w:rsid w:val="006813A7"/>
    <w:rsid w:val="00681610"/>
    <w:rsid w:val="006820A2"/>
    <w:rsid w:val="0068260F"/>
    <w:rsid w:val="00682C21"/>
    <w:rsid w:val="00683F38"/>
    <w:rsid w:val="0068471A"/>
    <w:rsid w:val="00684EA5"/>
    <w:rsid w:val="0068503C"/>
    <w:rsid w:val="00686CBD"/>
    <w:rsid w:val="00686EE8"/>
    <w:rsid w:val="00690320"/>
    <w:rsid w:val="006908EE"/>
    <w:rsid w:val="00690DE4"/>
    <w:rsid w:val="00692085"/>
    <w:rsid w:val="00692972"/>
    <w:rsid w:val="00692B1D"/>
    <w:rsid w:val="00692E35"/>
    <w:rsid w:val="00694263"/>
    <w:rsid w:val="006949E6"/>
    <w:rsid w:val="00694C32"/>
    <w:rsid w:val="00694D23"/>
    <w:rsid w:val="00694DFD"/>
    <w:rsid w:val="0069522E"/>
    <w:rsid w:val="00696259"/>
    <w:rsid w:val="00696A38"/>
    <w:rsid w:val="006A1D84"/>
    <w:rsid w:val="006A26BE"/>
    <w:rsid w:val="006A2DF7"/>
    <w:rsid w:val="006A38FA"/>
    <w:rsid w:val="006A411B"/>
    <w:rsid w:val="006A4267"/>
    <w:rsid w:val="006A44B9"/>
    <w:rsid w:val="006A4DD0"/>
    <w:rsid w:val="006A6E9B"/>
    <w:rsid w:val="006A7D76"/>
    <w:rsid w:val="006B001F"/>
    <w:rsid w:val="006B0621"/>
    <w:rsid w:val="006B14B4"/>
    <w:rsid w:val="006B15D0"/>
    <w:rsid w:val="006B21EA"/>
    <w:rsid w:val="006B27B6"/>
    <w:rsid w:val="006B2D15"/>
    <w:rsid w:val="006B313F"/>
    <w:rsid w:val="006B3F50"/>
    <w:rsid w:val="006B4902"/>
    <w:rsid w:val="006B4D60"/>
    <w:rsid w:val="006B4E78"/>
    <w:rsid w:val="006B4EE8"/>
    <w:rsid w:val="006B72CB"/>
    <w:rsid w:val="006B7370"/>
    <w:rsid w:val="006B73BE"/>
    <w:rsid w:val="006C0E49"/>
    <w:rsid w:val="006C0E7A"/>
    <w:rsid w:val="006C1909"/>
    <w:rsid w:val="006C1AF8"/>
    <w:rsid w:val="006C2EA8"/>
    <w:rsid w:val="006C31D8"/>
    <w:rsid w:val="006C4061"/>
    <w:rsid w:val="006C4D2F"/>
    <w:rsid w:val="006C4E0C"/>
    <w:rsid w:val="006C6211"/>
    <w:rsid w:val="006C6DE6"/>
    <w:rsid w:val="006C7DD5"/>
    <w:rsid w:val="006C7E7B"/>
    <w:rsid w:val="006D076B"/>
    <w:rsid w:val="006D2014"/>
    <w:rsid w:val="006D2A2C"/>
    <w:rsid w:val="006D3265"/>
    <w:rsid w:val="006D42CE"/>
    <w:rsid w:val="006D53FE"/>
    <w:rsid w:val="006D64FD"/>
    <w:rsid w:val="006D71E4"/>
    <w:rsid w:val="006D752C"/>
    <w:rsid w:val="006D753D"/>
    <w:rsid w:val="006D774E"/>
    <w:rsid w:val="006E02C3"/>
    <w:rsid w:val="006E06C8"/>
    <w:rsid w:val="006E0B01"/>
    <w:rsid w:val="006E0D7F"/>
    <w:rsid w:val="006E13F8"/>
    <w:rsid w:val="006E167E"/>
    <w:rsid w:val="006E18FA"/>
    <w:rsid w:val="006E1D10"/>
    <w:rsid w:val="006E1F11"/>
    <w:rsid w:val="006E212E"/>
    <w:rsid w:val="006E2F9B"/>
    <w:rsid w:val="006E36DE"/>
    <w:rsid w:val="006E3B9E"/>
    <w:rsid w:val="006E3CAB"/>
    <w:rsid w:val="006E4B2F"/>
    <w:rsid w:val="006E4C9B"/>
    <w:rsid w:val="006E4EC3"/>
    <w:rsid w:val="006E5090"/>
    <w:rsid w:val="006E5196"/>
    <w:rsid w:val="006E597F"/>
    <w:rsid w:val="006E628C"/>
    <w:rsid w:val="006E62AA"/>
    <w:rsid w:val="006E6410"/>
    <w:rsid w:val="006E6645"/>
    <w:rsid w:val="006E676E"/>
    <w:rsid w:val="006E6AE5"/>
    <w:rsid w:val="006E7147"/>
    <w:rsid w:val="006E7AAC"/>
    <w:rsid w:val="006F02FB"/>
    <w:rsid w:val="006F0E2B"/>
    <w:rsid w:val="006F12AF"/>
    <w:rsid w:val="006F16F1"/>
    <w:rsid w:val="006F26CA"/>
    <w:rsid w:val="006F39EE"/>
    <w:rsid w:val="006F3BB4"/>
    <w:rsid w:val="006F4443"/>
    <w:rsid w:val="006F4AE8"/>
    <w:rsid w:val="006F6981"/>
    <w:rsid w:val="006F6D5C"/>
    <w:rsid w:val="006F75BD"/>
    <w:rsid w:val="006F7A56"/>
    <w:rsid w:val="006F7D6E"/>
    <w:rsid w:val="007003FB"/>
    <w:rsid w:val="00700F71"/>
    <w:rsid w:val="00701575"/>
    <w:rsid w:val="00701AAE"/>
    <w:rsid w:val="00701D26"/>
    <w:rsid w:val="00702A7C"/>
    <w:rsid w:val="00703011"/>
    <w:rsid w:val="007036E7"/>
    <w:rsid w:val="00703E0B"/>
    <w:rsid w:val="00703F9C"/>
    <w:rsid w:val="0070479A"/>
    <w:rsid w:val="007058D9"/>
    <w:rsid w:val="0070667D"/>
    <w:rsid w:val="00706830"/>
    <w:rsid w:val="00706C87"/>
    <w:rsid w:val="0070744E"/>
    <w:rsid w:val="00707A66"/>
    <w:rsid w:val="007100DC"/>
    <w:rsid w:val="00711994"/>
    <w:rsid w:val="007126F0"/>
    <w:rsid w:val="00712C8E"/>
    <w:rsid w:val="00713F72"/>
    <w:rsid w:val="00714A82"/>
    <w:rsid w:val="00714FC3"/>
    <w:rsid w:val="007156B9"/>
    <w:rsid w:val="0071575B"/>
    <w:rsid w:val="00715DB2"/>
    <w:rsid w:val="007162EA"/>
    <w:rsid w:val="00716C39"/>
    <w:rsid w:val="00716CDE"/>
    <w:rsid w:val="007203F1"/>
    <w:rsid w:val="00720F9A"/>
    <w:rsid w:val="007228A5"/>
    <w:rsid w:val="00722B79"/>
    <w:rsid w:val="00723200"/>
    <w:rsid w:val="00723773"/>
    <w:rsid w:val="00723C6F"/>
    <w:rsid w:val="00724394"/>
    <w:rsid w:val="007248AA"/>
    <w:rsid w:val="0072491E"/>
    <w:rsid w:val="00724C57"/>
    <w:rsid w:val="007257AF"/>
    <w:rsid w:val="007257E1"/>
    <w:rsid w:val="00725A66"/>
    <w:rsid w:val="00726628"/>
    <w:rsid w:val="00726810"/>
    <w:rsid w:val="00727019"/>
    <w:rsid w:val="0072774D"/>
    <w:rsid w:val="007309CF"/>
    <w:rsid w:val="0073148B"/>
    <w:rsid w:val="00731FAC"/>
    <w:rsid w:val="0073200B"/>
    <w:rsid w:val="00732D3D"/>
    <w:rsid w:val="00732E35"/>
    <w:rsid w:val="00734392"/>
    <w:rsid w:val="007344B7"/>
    <w:rsid w:val="007345F5"/>
    <w:rsid w:val="00734844"/>
    <w:rsid w:val="007355EF"/>
    <w:rsid w:val="007357A9"/>
    <w:rsid w:val="00735B3F"/>
    <w:rsid w:val="00735C2B"/>
    <w:rsid w:val="00735C84"/>
    <w:rsid w:val="00736A22"/>
    <w:rsid w:val="00736D2F"/>
    <w:rsid w:val="007378C6"/>
    <w:rsid w:val="00737B63"/>
    <w:rsid w:val="00740383"/>
    <w:rsid w:val="00740DA9"/>
    <w:rsid w:val="00741284"/>
    <w:rsid w:val="007414B1"/>
    <w:rsid w:val="00742DB3"/>
    <w:rsid w:val="0074494E"/>
    <w:rsid w:val="007450F4"/>
    <w:rsid w:val="0074520D"/>
    <w:rsid w:val="00745B13"/>
    <w:rsid w:val="00745FA6"/>
    <w:rsid w:val="007472E2"/>
    <w:rsid w:val="0075039D"/>
    <w:rsid w:val="007506A9"/>
    <w:rsid w:val="00750A2D"/>
    <w:rsid w:val="007511F1"/>
    <w:rsid w:val="00751581"/>
    <w:rsid w:val="00751D84"/>
    <w:rsid w:val="00752A1F"/>
    <w:rsid w:val="00753163"/>
    <w:rsid w:val="007537FE"/>
    <w:rsid w:val="00753EE7"/>
    <w:rsid w:val="007540DD"/>
    <w:rsid w:val="00754130"/>
    <w:rsid w:val="007558FD"/>
    <w:rsid w:val="00755C80"/>
    <w:rsid w:val="0075688B"/>
    <w:rsid w:val="0075793B"/>
    <w:rsid w:val="0076078D"/>
    <w:rsid w:val="00760E84"/>
    <w:rsid w:val="007611C7"/>
    <w:rsid w:val="00761320"/>
    <w:rsid w:val="00762963"/>
    <w:rsid w:val="00762CDC"/>
    <w:rsid w:val="00762EE6"/>
    <w:rsid w:val="00763624"/>
    <w:rsid w:val="00763C9A"/>
    <w:rsid w:val="00763D25"/>
    <w:rsid w:val="00764A0F"/>
    <w:rsid w:val="0076509C"/>
    <w:rsid w:val="007650AF"/>
    <w:rsid w:val="00765962"/>
    <w:rsid w:val="00766DF7"/>
    <w:rsid w:val="00767714"/>
    <w:rsid w:val="00767E16"/>
    <w:rsid w:val="007707E2"/>
    <w:rsid w:val="00770B68"/>
    <w:rsid w:val="007710E7"/>
    <w:rsid w:val="007710F4"/>
    <w:rsid w:val="007729A1"/>
    <w:rsid w:val="007729AC"/>
    <w:rsid w:val="00772CA4"/>
    <w:rsid w:val="00772E1A"/>
    <w:rsid w:val="0077364A"/>
    <w:rsid w:val="00773CFB"/>
    <w:rsid w:val="007741D8"/>
    <w:rsid w:val="00775A8F"/>
    <w:rsid w:val="00775E39"/>
    <w:rsid w:val="007760DF"/>
    <w:rsid w:val="00776E4A"/>
    <w:rsid w:val="00777F32"/>
    <w:rsid w:val="007802FE"/>
    <w:rsid w:val="007814F3"/>
    <w:rsid w:val="007820A3"/>
    <w:rsid w:val="007823B1"/>
    <w:rsid w:val="00783572"/>
    <w:rsid w:val="007837DD"/>
    <w:rsid w:val="00783847"/>
    <w:rsid w:val="00783EA0"/>
    <w:rsid w:val="0078452C"/>
    <w:rsid w:val="0078510D"/>
    <w:rsid w:val="00785C9E"/>
    <w:rsid w:val="00785F33"/>
    <w:rsid w:val="00785FD9"/>
    <w:rsid w:val="00786665"/>
    <w:rsid w:val="00786B90"/>
    <w:rsid w:val="00786E59"/>
    <w:rsid w:val="00787142"/>
    <w:rsid w:val="00787391"/>
    <w:rsid w:val="0079043C"/>
    <w:rsid w:val="00790629"/>
    <w:rsid w:val="00791D05"/>
    <w:rsid w:val="00792D27"/>
    <w:rsid w:val="0079347C"/>
    <w:rsid w:val="007939D3"/>
    <w:rsid w:val="00793F90"/>
    <w:rsid w:val="0079469C"/>
    <w:rsid w:val="00795350"/>
    <w:rsid w:val="00795A5E"/>
    <w:rsid w:val="00795AFC"/>
    <w:rsid w:val="007964CB"/>
    <w:rsid w:val="00796C91"/>
    <w:rsid w:val="00797805"/>
    <w:rsid w:val="007A18C6"/>
    <w:rsid w:val="007A207C"/>
    <w:rsid w:val="007A22CF"/>
    <w:rsid w:val="007A2FA3"/>
    <w:rsid w:val="007A338B"/>
    <w:rsid w:val="007A349E"/>
    <w:rsid w:val="007A37EE"/>
    <w:rsid w:val="007A42FB"/>
    <w:rsid w:val="007A4558"/>
    <w:rsid w:val="007A5421"/>
    <w:rsid w:val="007A5D14"/>
    <w:rsid w:val="007A64C4"/>
    <w:rsid w:val="007A6B73"/>
    <w:rsid w:val="007A6C0B"/>
    <w:rsid w:val="007A6C0D"/>
    <w:rsid w:val="007A75A9"/>
    <w:rsid w:val="007A7FC5"/>
    <w:rsid w:val="007B139D"/>
    <w:rsid w:val="007B140C"/>
    <w:rsid w:val="007B1F56"/>
    <w:rsid w:val="007B20B5"/>
    <w:rsid w:val="007B2937"/>
    <w:rsid w:val="007B2D2E"/>
    <w:rsid w:val="007B34D6"/>
    <w:rsid w:val="007B3566"/>
    <w:rsid w:val="007B4027"/>
    <w:rsid w:val="007B439B"/>
    <w:rsid w:val="007B57F0"/>
    <w:rsid w:val="007B70AF"/>
    <w:rsid w:val="007B7447"/>
    <w:rsid w:val="007B75C0"/>
    <w:rsid w:val="007B771C"/>
    <w:rsid w:val="007C026C"/>
    <w:rsid w:val="007C079E"/>
    <w:rsid w:val="007C0AC2"/>
    <w:rsid w:val="007C1857"/>
    <w:rsid w:val="007C1E66"/>
    <w:rsid w:val="007C39AC"/>
    <w:rsid w:val="007C3F1A"/>
    <w:rsid w:val="007C50A7"/>
    <w:rsid w:val="007C52EE"/>
    <w:rsid w:val="007C59C0"/>
    <w:rsid w:val="007C5C60"/>
    <w:rsid w:val="007C63A7"/>
    <w:rsid w:val="007C6C37"/>
    <w:rsid w:val="007C6F2A"/>
    <w:rsid w:val="007C73D4"/>
    <w:rsid w:val="007C78FA"/>
    <w:rsid w:val="007D03B2"/>
    <w:rsid w:val="007D04B8"/>
    <w:rsid w:val="007D12A6"/>
    <w:rsid w:val="007D143D"/>
    <w:rsid w:val="007D1D21"/>
    <w:rsid w:val="007D4327"/>
    <w:rsid w:val="007D442B"/>
    <w:rsid w:val="007D4877"/>
    <w:rsid w:val="007D52AE"/>
    <w:rsid w:val="007D5E94"/>
    <w:rsid w:val="007D60E6"/>
    <w:rsid w:val="007D63A7"/>
    <w:rsid w:val="007D6C6F"/>
    <w:rsid w:val="007D7616"/>
    <w:rsid w:val="007D779B"/>
    <w:rsid w:val="007E092C"/>
    <w:rsid w:val="007E14BA"/>
    <w:rsid w:val="007E1DBB"/>
    <w:rsid w:val="007E2367"/>
    <w:rsid w:val="007E2FB0"/>
    <w:rsid w:val="007E6610"/>
    <w:rsid w:val="007E6A06"/>
    <w:rsid w:val="007E75C9"/>
    <w:rsid w:val="007E7816"/>
    <w:rsid w:val="007E7EDB"/>
    <w:rsid w:val="007F0036"/>
    <w:rsid w:val="007F02AF"/>
    <w:rsid w:val="007F0976"/>
    <w:rsid w:val="007F0C77"/>
    <w:rsid w:val="007F0C9F"/>
    <w:rsid w:val="007F1E75"/>
    <w:rsid w:val="007F2337"/>
    <w:rsid w:val="007F2860"/>
    <w:rsid w:val="007F3A4F"/>
    <w:rsid w:val="007F41EB"/>
    <w:rsid w:val="007F4C02"/>
    <w:rsid w:val="007F4DF1"/>
    <w:rsid w:val="007F5441"/>
    <w:rsid w:val="007F58FE"/>
    <w:rsid w:val="007F652E"/>
    <w:rsid w:val="007F6569"/>
    <w:rsid w:val="007F6E08"/>
    <w:rsid w:val="00800284"/>
    <w:rsid w:val="00800EAC"/>
    <w:rsid w:val="00802B11"/>
    <w:rsid w:val="008037B1"/>
    <w:rsid w:val="00803A12"/>
    <w:rsid w:val="00804187"/>
    <w:rsid w:val="008041E7"/>
    <w:rsid w:val="00805668"/>
    <w:rsid w:val="00805704"/>
    <w:rsid w:val="0080622D"/>
    <w:rsid w:val="008067A6"/>
    <w:rsid w:val="0080716B"/>
    <w:rsid w:val="0080787B"/>
    <w:rsid w:val="00807C6E"/>
    <w:rsid w:val="008108DD"/>
    <w:rsid w:val="00810D0C"/>
    <w:rsid w:val="008121CD"/>
    <w:rsid w:val="00812E2F"/>
    <w:rsid w:val="00813211"/>
    <w:rsid w:val="008133CA"/>
    <w:rsid w:val="00813775"/>
    <w:rsid w:val="00813E48"/>
    <w:rsid w:val="0081463C"/>
    <w:rsid w:val="00815FBD"/>
    <w:rsid w:val="00816DD4"/>
    <w:rsid w:val="008203F0"/>
    <w:rsid w:val="008207C9"/>
    <w:rsid w:val="00822B91"/>
    <w:rsid w:val="00824A73"/>
    <w:rsid w:val="00824D48"/>
    <w:rsid w:val="008262ED"/>
    <w:rsid w:val="008269CD"/>
    <w:rsid w:val="00827675"/>
    <w:rsid w:val="008277A3"/>
    <w:rsid w:val="008314B1"/>
    <w:rsid w:val="008327A1"/>
    <w:rsid w:val="0083352C"/>
    <w:rsid w:val="0083375F"/>
    <w:rsid w:val="00833C8E"/>
    <w:rsid w:val="0083439C"/>
    <w:rsid w:val="00834995"/>
    <w:rsid w:val="00834DF6"/>
    <w:rsid w:val="0083542E"/>
    <w:rsid w:val="0083581A"/>
    <w:rsid w:val="0083587A"/>
    <w:rsid w:val="00835A42"/>
    <w:rsid w:val="00836F33"/>
    <w:rsid w:val="0083732B"/>
    <w:rsid w:val="008378A3"/>
    <w:rsid w:val="008400C0"/>
    <w:rsid w:val="00841A20"/>
    <w:rsid w:val="00841A82"/>
    <w:rsid w:val="00841CF1"/>
    <w:rsid w:val="008421DB"/>
    <w:rsid w:val="00842424"/>
    <w:rsid w:val="0084271E"/>
    <w:rsid w:val="00843572"/>
    <w:rsid w:val="00843D5B"/>
    <w:rsid w:val="00843D7F"/>
    <w:rsid w:val="008453F2"/>
    <w:rsid w:val="0084631A"/>
    <w:rsid w:val="00846349"/>
    <w:rsid w:val="00846889"/>
    <w:rsid w:val="00846FA4"/>
    <w:rsid w:val="00847525"/>
    <w:rsid w:val="0084784A"/>
    <w:rsid w:val="008502AC"/>
    <w:rsid w:val="00850CCB"/>
    <w:rsid w:val="008512AB"/>
    <w:rsid w:val="00851985"/>
    <w:rsid w:val="00851E86"/>
    <w:rsid w:val="00852D21"/>
    <w:rsid w:val="00853453"/>
    <w:rsid w:val="008535C8"/>
    <w:rsid w:val="0085401F"/>
    <w:rsid w:val="00854644"/>
    <w:rsid w:val="0085504F"/>
    <w:rsid w:val="0085561C"/>
    <w:rsid w:val="00855B3F"/>
    <w:rsid w:val="0085682E"/>
    <w:rsid w:val="00857387"/>
    <w:rsid w:val="0085768C"/>
    <w:rsid w:val="008609BB"/>
    <w:rsid w:val="00860B4E"/>
    <w:rsid w:val="00862781"/>
    <w:rsid w:val="008632F3"/>
    <w:rsid w:val="008637EA"/>
    <w:rsid w:val="00863B47"/>
    <w:rsid w:val="00864724"/>
    <w:rsid w:val="00864F06"/>
    <w:rsid w:val="0086522A"/>
    <w:rsid w:val="008653E8"/>
    <w:rsid w:val="00865F7B"/>
    <w:rsid w:val="0086657B"/>
    <w:rsid w:val="008668FF"/>
    <w:rsid w:val="00866A18"/>
    <w:rsid w:val="00866D63"/>
    <w:rsid w:val="00867529"/>
    <w:rsid w:val="00870494"/>
    <w:rsid w:val="008705CC"/>
    <w:rsid w:val="0087077E"/>
    <w:rsid w:val="00870878"/>
    <w:rsid w:val="00872883"/>
    <w:rsid w:val="008728EF"/>
    <w:rsid w:val="00872CD2"/>
    <w:rsid w:val="00873AF5"/>
    <w:rsid w:val="00873FFC"/>
    <w:rsid w:val="00874C65"/>
    <w:rsid w:val="008759BF"/>
    <w:rsid w:val="00875DA7"/>
    <w:rsid w:val="00876A4B"/>
    <w:rsid w:val="00876F9F"/>
    <w:rsid w:val="00877196"/>
    <w:rsid w:val="00877C01"/>
    <w:rsid w:val="00880F1A"/>
    <w:rsid w:val="00881AB9"/>
    <w:rsid w:val="00882F21"/>
    <w:rsid w:val="008853E0"/>
    <w:rsid w:val="00885BBA"/>
    <w:rsid w:val="00885E46"/>
    <w:rsid w:val="008864EC"/>
    <w:rsid w:val="00890B13"/>
    <w:rsid w:val="00891125"/>
    <w:rsid w:val="00893135"/>
    <w:rsid w:val="00893743"/>
    <w:rsid w:val="008937A7"/>
    <w:rsid w:val="00893805"/>
    <w:rsid w:val="0089401B"/>
    <w:rsid w:val="0089456B"/>
    <w:rsid w:val="00894941"/>
    <w:rsid w:val="00894A58"/>
    <w:rsid w:val="00894F82"/>
    <w:rsid w:val="008953C4"/>
    <w:rsid w:val="008957FE"/>
    <w:rsid w:val="00896248"/>
    <w:rsid w:val="00896E1D"/>
    <w:rsid w:val="00896E72"/>
    <w:rsid w:val="0089758E"/>
    <w:rsid w:val="00897C6E"/>
    <w:rsid w:val="008A020F"/>
    <w:rsid w:val="008A09FA"/>
    <w:rsid w:val="008A0C86"/>
    <w:rsid w:val="008A0E2C"/>
    <w:rsid w:val="008A105A"/>
    <w:rsid w:val="008A180F"/>
    <w:rsid w:val="008A1AC7"/>
    <w:rsid w:val="008A1CA4"/>
    <w:rsid w:val="008A1D5E"/>
    <w:rsid w:val="008A2D46"/>
    <w:rsid w:val="008A41A8"/>
    <w:rsid w:val="008A423C"/>
    <w:rsid w:val="008A4483"/>
    <w:rsid w:val="008A4762"/>
    <w:rsid w:val="008A4894"/>
    <w:rsid w:val="008A4B94"/>
    <w:rsid w:val="008A4EBE"/>
    <w:rsid w:val="008A5320"/>
    <w:rsid w:val="008A5333"/>
    <w:rsid w:val="008A5747"/>
    <w:rsid w:val="008A6A6A"/>
    <w:rsid w:val="008A71E9"/>
    <w:rsid w:val="008A7FD0"/>
    <w:rsid w:val="008B0484"/>
    <w:rsid w:val="008B137B"/>
    <w:rsid w:val="008B1E0C"/>
    <w:rsid w:val="008B2C83"/>
    <w:rsid w:val="008B3009"/>
    <w:rsid w:val="008B44A8"/>
    <w:rsid w:val="008B457B"/>
    <w:rsid w:val="008B4BCC"/>
    <w:rsid w:val="008B66CE"/>
    <w:rsid w:val="008C0064"/>
    <w:rsid w:val="008C087B"/>
    <w:rsid w:val="008C136B"/>
    <w:rsid w:val="008C1AF3"/>
    <w:rsid w:val="008C2B41"/>
    <w:rsid w:val="008C2CCC"/>
    <w:rsid w:val="008C36C8"/>
    <w:rsid w:val="008C3EC8"/>
    <w:rsid w:val="008C4BF7"/>
    <w:rsid w:val="008C4E7E"/>
    <w:rsid w:val="008C5193"/>
    <w:rsid w:val="008C6101"/>
    <w:rsid w:val="008C6583"/>
    <w:rsid w:val="008C6834"/>
    <w:rsid w:val="008C757D"/>
    <w:rsid w:val="008C76A5"/>
    <w:rsid w:val="008C774D"/>
    <w:rsid w:val="008D02FA"/>
    <w:rsid w:val="008D049D"/>
    <w:rsid w:val="008D0A58"/>
    <w:rsid w:val="008D0E7B"/>
    <w:rsid w:val="008D2F6E"/>
    <w:rsid w:val="008D37E4"/>
    <w:rsid w:val="008D3BF5"/>
    <w:rsid w:val="008D3DB8"/>
    <w:rsid w:val="008D4669"/>
    <w:rsid w:val="008D60DD"/>
    <w:rsid w:val="008E0270"/>
    <w:rsid w:val="008E07B5"/>
    <w:rsid w:val="008E168D"/>
    <w:rsid w:val="008E1C32"/>
    <w:rsid w:val="008E1C9F"/>
    <w:rsid w:val="008E1DE7"/>
    <w:rsid w:val="008E25A2"/>
    <w:rsid w:val="008E28D6"/>
    <w:rsid w:val="008E29FF"/>
    <w:rsid w:val="008E3626"/>
    <w:rsid w:val="008E3BE5"/>
    <w:rsid w:val="008E41D3"/>
    <w:rsid w:val="008E42CF"/>
    <w:rsid w:val="008E4A1D"/>
    <w:rsid w:val="008E54E8"/>
    <w:rsid w:val="008E57C0"/>
    <w:rsid w:val="008E67A8"/>
    <w:rsid w:val="008E7A97"/>
    <w:rsid w:val="008F0814"/>
    <w:rsid w:val="008F118E"/>
    <w:rsid w:val="008F1674"/>
    <w:rsid w:val="008F1799"/>
    <w:rsid w:val="008F19FC"/>
    <w:rsid w:val="008F212F"/>
    <w:rsid w:val="008F2A9A"/>
    <w:rsid w:val="008F2B42"/>
    <w:rsid w:val="008F3D31"/>
    <w:rsid w:val="008F55A8"/>
    <w:rsid w:val="008F5E42"/>
    <w:rsid w:val="008F6B18"/>
    <w:rsid w:val="008F76F9"/>
    <w:rsid w:val="008F780B"/>
    <w:rsid w:val="008F78B9"/>
    <w:rsid w:val="008F7A7A"/>
    <w:rsid w:val="008F7F1C"/>
    <w:rsid w:val="00901384"/>
    <w:rsid w:val="009019A8"/>
    <w:rsid w:val="00902021"/>
    <w:rsid w:val="009022B6"/>
    <w:rsid w:val="009027BA"/>
    <w:rsid w:val="00902BA3"/>
    <w:rsid w:val="0090368F"/>
    <w:rsid w:val="009041A5"/>
    <w:rsid w:val="00905664"/>
    <w:rsid w:val="00906160"/>
    <w:rsid w:val="00906359"/>
    <w:rsid w:val="00906D88"/>
    <w:rsid w:val="0090737E"/>
    <w:rsid w:val="00907EB9"/>
    <w:rsid w:val="00910A8A"/>
    <w:rsid w:val="00911F90"/>
    <w:rsid w:val="009121BF"/>
    <w:rsid w:val="009122BA"/>
    <w:rsid w:val="0091252B"/>
    <w:rsid w:val="009125EE"/>
    <w:rsid w:val="009126C4"/>
    <w:rsid w:val="00912C53"/>
    <w:rsid w:val="0091484C"/>
    <w:rsid w:val="00914991"/>
    <w:rsid w:val="00914D2F"/>
    <w:rsid w:val="0091690C"/>
    <w:rsid w:val="009173FB"/>
    <w:rsid w:val="00920081"/>
    <w:rsid w:val="009207FF"/>
    <w:rsid w:val="00920C4A"/>
    <w:rsid w:val="00921340"/>
    <w:rsid w:val="00923C4C"/>
    <w:rsid w:val="00923D49"/>
    <w:rsid w:val="00924349"/>
    <w:rsid w:val="0092440D"/>
    <w:rsid w:val="00925206"/>
    <w:rsid w:val="0092532A"/>
    <w:rsid w:val="00925422"/>
    <w:rsid w:val="00925B86"/>
    <w:rsid w:val="0092633C"/>
    <w:rsid w:val="00930295"/>
    <w:rsid w:val="0093125F"/>
    <w:rsid w:val="00931396"/>
    <w:rsid w:val="00932196"/>
    <w:rsid w:val="00933D9D"/>
    <w:rsid w:val="0093467A"/>
    <w:rsid w:val="0093485B"/>
    <w:rsid w:val="00935076"/>
    <w:rsid w:val="009357D0"/>
    <w:rsid w:val="009357F9"/>
    <w:rsid w:val="0093611C"/>
    <w:rsid w:val="0093627E"/>
    <w:rsid w:val="00936804"/>
    <w:rsid w:val="00937192"/>
    <w:rsid w:val="00940853"/>
    <w:rsid w:val="00941426"/>
    <w:rsid w:val="009416D2"/>
    <w:rsid w:val="00941868"/>
    <w:rsid w:val="00941F33"/>
    <w:rsid w:val="00942027"/>
    <w:rsid w:val="009434EA"/>
    <w:rsid w:val="009448D6"/>
    <w:rsid w:val="00944A06"/>
    <w:rsid w:val="00945062"/>
    <w:rsid w:val="00945729"/>
    <w:rsid w:val="0094598D"/>
    <w:rsid w:val="0094673E"/>
    <w:rsid w:val="00946BCA"/>
    <w:rsid w:val="00946BD0"/>
    <w:rsid w:val="00946BED"/>
    <w:rsid w:val="00946E3B"/>
    <w:rsid w:val="00946FAB"/>
    <w:rsid w:val="009471E6"/>
    <w:rsid w:val="00947488"/>
    <w:rsid w:val="009479E4"/>
    <w:rsid w:val="00947CF0"/>
    <w:rsid w:val="00947E88"/>
    <w:rsid w:val="00947EDB"/>
    <w:rsid w:val="00950099"/>
    <w:rsid w:val="00950D61"/>
    <w:rsid w:val="009515CB"/>
    <w:rsid w:val="00951923"/>
    <w:rsid w:val="009525B1"/>
    <w:rsid w:val="00952A9E"/>
    <w:rsid w:val="0095344F"/>
    <w:rsid w:val="009537C6"/>
    <w:rsid w:val="009539B9"/>
    <w:rsid w:val="00953D44"/>
    <w:rsid w:val="00954C10"/>
    <w:rsid w:val="0095512A"/>
    <w:rsid w:val="009553A5"/>
    <w:rsid w:val="009555AA"/>
    <w:rsid w:val="00956520"/>
    <w:rsid w:val="00956AD5"/>
    <w:rsid w:val="009578F3"/>
    <w:rsid w:val="00962603"/>
    <w:rsid w:val="00962DB4"/>
    <w:rsid w:val="00962EC1"/>
    <w:rsid w:val="0096306E"/>
    <w:rsid w:val="009634EB"/>
    <w:rsid w:val="00963812"/>
    <w:rsid w:val="00964D1E"/>
    <w:rsid w:val="0096539E"/>
    <w:rsid w:val="00965C53"/>
    <w:rsid w:val="00965F62"/>
    <w:rsid w:val="009660ED"/>
    <w:rsid w:val="009717DE"/>
    <w:rsid w:val="009722A3"/>
    <w:rsid w:val="00972721"/>
    <w:rsid w:val="00972ECB"/>
    <w:rsid w:val="00973167"/>
    <w:rsid w:val="0097451B"/>
    <w:rsid w:val="00974779"/>
    <w:rsid w:val="00974A3E"/>
    <w:rsid w:val="0097585C"/>
    <w:rsid w:val="00975D69"/>
    <w:rsid w:val="00975DDE"/>
    <w:rsid w:val="0097605B"/>
    <w:rsid w:val="0097621A"/>
    <w:rsid w:val="00976337"/>
    <w:rsid w:val="00976C2A"/>
    <w:rsid w:val="00977343"/>
    <w:rsid w:val="009778F7"/>
    <w:rsid w:val="0098123C"/>
    <w:rsid w:val="00981410"/>
    <w:rsid w:val="00981EE3"/>
    <w:rsid w:val="0098291F"/>
    <w:rsid w:val="00982C90"/>
    <w:rsid w:val="00982FCC"/>
    <w:rsid w:val="00983052"/>
    <w:rsid w:val="009838DD"/>
    <w:rsid w:val="00984289"/>
    <w:rsid w:val="00984D85"/>
    <w:rsid w:val="0098519B"/>
    <w:rsid w:val="0098583F"/>
    <w:rsid w:val="00985ED7"/>
    <w:rsid w:val="00986FDE"/>
    <w:rsid w:val="009878E3"/>
    <w:rsid w:val="009900A1"/>
    <w:rsid w:val="0099056C"/>
    <w:rsid w:val="00990618"/>
    <w:rsid w:val="0099084B"/>
    <w:rsid w:val="009910D6"/>
    <w:rsid w:val="0099252F"/>
    <w:rsid w:val="00992B6B"/>
    <w:rsid w:val="00993B0E"/>
    <w:rsid w:val="00993B53"/>
    <w:rsid w:val="009947E3"/>
    <w:rsid w:val="009947F4"/>
    <w:rsid w:val="00994C9B"/>
    <w:rsid w:val="0099547A"/>
    <w:rsid w:val="0099610F"/>
    <w:rsid w:val="00996D87"/>
    <w:rsid w:val="009973CC"/>
    <w:rsid w:val="0099764A"/>
    <w:rsid w:val="009A0858"/>
    <w:rsid w:val="009A0AAB"/>
    <w:rsid w:val="009A1013"/>
    <w:rsid w:val="009A149B"/>
    <w:rsid w:val="009A1EDD"/>
    <w:rsid w:val="009A272A"/>
    <w:rsid w:val="009A33C3"/>
    <w:rsid w:val="009A412A"/>
    <w:rsid w:val="009A4933"/>
    <w:rsid w:val="009A4CB2"/>
    <w:rsid w:val="009A4E72"/>
    <w:rsid w:val="009A5084"/>
    <w:rsid w:val="009A5D1C"/>
    <w:rsid w:val="009A6400"/>
    <w:rsid w:val="009A66C8"/>
    <w:rsid w:val="009A6AF8"/>
    <w:rsid w:val="009A6C5B"/>
    <w:rsid w:val="009A6CE1"/>
    <w:rsid w:val="009B05E3"/>
    <w:rsid w:val="009B0602"/>
    <w:rsid w:val="009B197A"/>
    <w:rsid w:val="009B1A8E"/>
    <w:rsid w:val="009B1FF7"/>
    <w:rsid w:val="009B2520"/>
    <w:rsid w:val="009B3568"/>
    <w:rsid w:val="009B3BCE"/>
    <w:rsid w:val="009B3F2B"/>
    <w:rsid w:val="009B46C8"/>
    <w:rsid w:val="009B479C"/>
    <w:rsid w:val="009B561F"/>
    <w:rsid w:val="009B566A"/>
    <w:rsid w:val="009B56E4"/>
    <w:rsid w:val="009B56EF"/>
    <w:rsid w:val="009B586A"/>
    <w:rsid w:val="009B5C57"/>
    <w:rsid w:val="009B5FED"/>
    <w:rsid w:val="009B694A"/>
    <w:rsid w:val="009B6F67"/>
    <w:rsid w:val="009C05B0"/>
    <w:rsid w:val="009C15B4"/>
    <w:rsid w:val="009C1613"/>
    <w:rsid w:val="009C22F5"/>
    <w:rsid w:val="009C2E7E"/>
    <w:rsid w:val="009C38F2"/>
    <w:rsid w:val="009C3989"/>
    <w:rsid w:val="009C4468"/>
    <w:rsid w:val="009C51FE"/>
    <w:rsid w:val="009C68D1"/>
    <w:rsid w:val="009C6DEB"/>
    <w:rsid w:val="009D2BC9"/>
    <w:rsid w:val="009D2F14"/>
    <w:rsid w:val="009D33B1"/>
    <w:rsid w:val="009D41D8"/>
    <w:rsid w:val="009D4C7D"/>
    <w:rsid w:val="009D5B02"/>
    <w:rsid w:val="009D60D3"/>
    <w:rsid w:val="009D64EF"/>
    <w:rsid w:val="009D6751"/>
    <w:rsid w:val="009D7718"/>
    <w:rsid w:val="009E04EA"/>
    <w:rsid w:val="009E0831"/>
    <w:rsid w:val="009E1093"/>
    <w:rsid w:val="009E2210"/>
    <w:rsid w:val="009E3D45"/>
    <w:rsid w:val="009E3F3E"/>
    <w:rsid w:val="009E407A"/>
    <w:rsid w:val="009E47B4"/>
    <w:rsid w:val="009E61FE"/>
    <w:rsid w:val="009E6927"/>
    <w:rsid w:val="009E69A0"/>
    <w:rsid w:val="009E69CE"/>
    <w:rsid w:val="009E7D8E"/>
    <w:rsid w:val="009E7E4A"/>
    <w:rsid w:val="009F053B"/>
    <w:rsid w:val="009F2B1A"/>
    <w:rsid w:val="009F2C73"/>
    <w:rsid w:val="009F2F75"/>
    <w:rsid w:val="009F3613"/>
    <w:rsid w:val="009F3696"/>
    <w:rsid w:val="009F44C0"/>
    <w:rsid w:val="009F4BF1"/>
    <w:rsid w:val="009F53BD"/>
    <w:rsid w:val="009F6C0C"/>
    <w:rsid w:val="009F6F6E"/>
    <w:rsid w:val="009F7148"/>
    <w:rsid w:val="009F7510"/>
    <w:rsid w:val="00A00154"/>
    <w:rsid w:val="00A00A0A"/>
    <w:rsid w:val="00A00DE7"/>
    <w:rsid w:val="00A00DF0"/>
    <w:rsid w:val="00A00E06"/>
    <w:rsid w:val="00A018B3"/>
    <w:rsid w:val="00A0195C"/>
    <w:rsid w:val="00A01B8C"/>
    <w:rsid w:val="00A01C7C"/>
    <w:rsid w:val="00A037C5"/>
    <w:rsid w:val="00A03CB2"/>
    <w:rsid w:val="00A0616A"/>
    <w:rsid w:val="00A06A76"/>
    <w:rsid w:val="00A06FCA"/>
    <w:rsid w:val="00A0759E"/>
    <w:rsid w:val="00A07B58"/>
    <w:rsid w:val="00A1009E"/>
    <w:rsid w:val="00A120AA"/>
    <w:rsid w:val="00A12F31"/>
    <w:rsid w:val="00A13084"/>
    <w:rsid w:val="00A14676"/>
    <w:rsid w:val="00A150ED"/>
    <w:rsid w:val="00A15A40"/>
    <w:rsid w:val="00A1609B"/>
    <w:rsid w:val="00A16129"/>
    <w:rsid w:val="00A165E3"/>
    <w:rsid w:val="00A1680B"/>
    <w:rsid w:val="00A16874"/>
    <w:rsid w:val="00A177CF"/>
    <w:rsid w:val="00A17A58"/>
    <w:rsid w:val="00A17FAC"/>
    <w:rsid w:val="00A200D4"/>
    <w:rsid w:val="00A20789"/>
    <w:rsid w:val="00A20F4A"/>
    <w:rsid w:val="00A21FA0"/>
    <w:rsid w:val="00A2232E"/>
    <w:rsid w:val="00A22691"/>
    <w:rsid w:val="00A22D9E"/>
    <w:rsid w:val="00A23F0D"/>
    <w:rsid w:val="00A249A1"/>
    <w:rsid w:val="00A257E1"/>
    <w:rsid w:val="00A267F2"/>
    <w:rsid w:val="00A278C4"/>
    <w:rsid w:val="00A27C70"/>
    <w:rsid w:val="00A27F15"/>
    <w:rsid w:val="00A30274"/>
    <w:rsid w:val="00A3135E"/>
    <w:rsid w:val="00A3147E"/>
    <w:rsid w:val="00A326D7"/>
    <w:rsid w:val="00A32D08"/>
    <w:rsid w:val="00A33C69"/>
    <w:rsid w:val="00A33FA1"/>
    <w:rsid w:val="00A340AB"/>
    <w:rsid w:val="00A3427F"/>
    <w:rsid w:val="00A349ED"/>
    <w:rsid w:val="00A34A4B"/>
    <w:rsid w:val="00A34B7D"/>
    <w:rsid w:val="00A34BDF"/>
    <w:rsid w:val="00A363C0"/>
    <w:rsid w:val="00A36F73"/>
    <w:rsid w:val="00A370BA"/>
    <w:rsid w:val="00A37CC3"/>
    <w:rsid w:val="00A407B4"/>
    <w:rsid w:val="00A410CC"/>
    <w:rsid w:val="00A41694"/>
    <w:rsid w:val="00A418D7"/>
    <w:rsid w:val="00A41E81"/>
    <w:rsid w:val="00A42BF1"/>
    <w:rsid w:val="00A435AF"/>
    <w:rsid w:val="00A43BA6"/>
    <w:rsid w:val="00A44027"/>
    <w:rsid w:val="00A4424F"/>
    <w:rsid w:val="00A4529D"/>
    <w:rsid w:val="00A4555C"/>
    <w:rsid w:val="00A45F6D"/>
    <w:rsid w:val="00A46B5F"/>
    <w:rsid w:val="00A46F51"/>
    <w:rsid w:val="00A4782B"/>
    <w:rsid w:val="00A47C4D"/>
    <w:rsid w:val="00A47E12"/>
    <w:rsid w:val="00A509A6"/>
    <w:rsid w:val="00A50C5C"/>
    <w:rsid w:val="00A51226"/>
    <w:rsid w:val="00A51592"/>
    <w:rsid w:val="00A51661"/>
    <w:rsid w:val="00A52A36"/>
    <w:rsid w:val="00A52C03"/>
    <w:rsid w:val="00A53719"/>
    <w:rsid w:val="00A53E12"/>
    <w:rsid w:val="00A542ED"/>
    <w:rsid w:val="00A5464B"/>
    <w:rsid w:val="00A548B4"/>
    <w:rsid w:val="00A54C46"/>
    <w:rsid w:val="00A55051"/>
    <w:rsid w:val="00A550A2"/>
    <w:rsid w:val="00A55AFE"/>
    <w:rsid w:val="00A55DA1"/>
    <w:rsid w:val="00A56295"/>
    <w:rsid w:val="00A56E24"/>
    <w:rsid w:val="00A56E34"/>
    <w:rsid w:val="00A579DD"/>
    <w:rsid w:val="00A57ABC"/>
    <w:rsid w:val="00A57E5D"/>
    <w:rsid w:val="00A603FF"/>
    <w:rsid w:val="00A60ACB"/>
    <w:rsid w:val="00A60C7D"/>
    <w:rsid w:val="00A6158C"/>
    <w:rsid w:val="00A6349F"/>
    <w:rsid w:val="00A63F03"/>
    <w:rsid w:val="00A64758"/>
    <w:rsid w:val="00A64925"/>
    <w:rsid w:val="00A64D77"/>
    <w:rsid w:val="00A65549"/>
    <w:rsid w:val="00A6619B"/>
    <w:rsid w:val="00A66302"/>
    <w:rsid w:val="00A66964"/>
    <w:rsid w:val="00A66E9A"/>
    <w:rsid w:val="00A66F9C"/>
    <w:rsid w:val="00A67686"/>
    <w:rsid w:val="00A676DE"/>
    <w:rsid w:val="00A67B2E"/>
    <w:rsid w:val="00A67E12"/>
    <w:rsid w:val="00A705D0"/>
    <w:rsid w:val="00A7121F"/>
    <w:rsid w:val="00A71345"/>
    <w:rsid w:val="00A713D7"/>
    <w:rsid w:val="00A72014"/>
    <w:rsid w:val="00A724CF"/>
    <w:rsid w:val="00A72730"/>
    <w:rsid w:val="00A72A10"/>
    <w:rsid w:val="00A72C49"/>
    <w:rsid w:val="00A73E40"/>
    <w:rsid w:val="00A747FE"/>
    <w:rsid w:val="00A74A60"/>
    <w:rsid w:val="00A74DB1"/>
    <w:rsid w:val="00A75910"/>
    <w:rsid w:val="00A77480"/>
    <w:rsid w:val="00A77629"/>
    <w:rsid w:val="00A77F16"/>
    <w:rsid w:val="00A80A19"/>
    <w:rsid w:val="00A80BDC"/>
    <w:rsid w:val="00A81FD4"/>
    <w:rsid w:val="00A82B4C"/>
    <w:rsid w:val="00A82BAE"/>
    <w:rsid w:val="00A8304E"/>
    <w:rsid w:val="00A848FF"/>
    <w:rsid w:val="00A84DCC"/>
    <w:rsid w:val="00A84F63"/>
    <w:rsid w:val="00A85182"/>
    <w:rsid w:val="00A85253"/>
    <w:rsid w:val="00A86037"/>
    <w:rsid w:val="00A862CF"/>
    <w:rsid w:val="00A863B4"/>
    <w:rsid w:val="00A86410"/>
    <w:rsid w:val="00A8705A"/>
    <w:rsid w:val="00A912E0"/>
    <w:rsid w:val="00A918B6"/>
    <w:rsid w:val="00A9277E"/>
    <w:rsid w:val="00A92A15"/>
    <w:rsid w:val="00A92BBA"/>
    <w:rsid w:val="00A92D09"/>
    <w:rsid w:val="00A93EFD"/>
    <w:rsid w:val="00A944A4"/>
    <w:rsid w:val="00A9451B"/>
    <w:rsid w:val="00A950E6"/>
    <w:rsid w:val="00A95C05"/>
    <w:rsid w:val="00A967F3"/>
    <w:rsid w:val="00A9723D"/>
    <w:rsid w:val="00A97F19"/>
    <w:rsid w:val="00AA06DA"/>
    <w:rsid w:val="00AA0D1D"/>
    <w:rsid w:val="00AA1736"/>
    <w:rsid w:val="00AA27A6"/>
    <w:rsid w:val="00AA2CE8"/>
    <w:rsid w:val="00AA30DF"/>
    <w:rsid w:val="00AA3F9B"/>
    <w:rsid w:val="00AA474F"/>
    <w:rsid w:val="00AA5505"/>
    <w:rsid w:val="00AA59E0"/>
    <w:rsid w:val="00AA5E6F"/>
    <w:rsid w:val="00AA67EC"/>
    <w:rsid w:val="00AA6A28"/>
    <w:rsid w:val="00AA6F20"/>
    <w:rsid w:val="00AA7283"/>
    <w:rsid w:val="00AB029F"/>
    <w:rsid w:val="00AB1D3F"/>
    <w:rsid w:val="00AB1E20"/>
    <w:rsid w:val="00AB367A"/>
    <w:rsid w:val="00AB44A1"/>
    <w:rsid w:val="00AB4587"/>
    <w:rsid w:val="00AB4A20"/>
    <w:rsid w:val="00AB4EF0"/>
    <w:rsid w:val="00AB50A4"/>
    <w:rsid w:val="00AB51D6"/>
    <w:rsid w:val="00AB58B0"/>
    <w:rsid w:val="00AB674C"/>
    <w:rsid w:val="00AB68C7"/>
    <w:rsid w:val="00AC045B"/>
    <w:rsid w:val="00AC0DCC"/>
    <w:rsid w:val="00AC2675"/>
    <w:rsid w:val="00AC2774"/>
    <w:rsid w:val="00AC3784"/>
    <w:rsid w:val="00AC3FB9"/>
    <w:rsid w:val="00AC43AE"/>
    <w:rsid w:val="00AC4874"/>
    <w:rsid w:val="00AC4D56"/>
    <w:rsid w:val="00AC5845"/>
    <w:rsid w:val="00AC5D11"/>
    <w:rsid w:val="00AC63B9"/>
    <w:rsid w:val="00AC6C54"/>
    <w:rsid w:val="00AC75F9"/>
    <w:rsid w:val="00AC7F83"/>
    <w:rsid w:val="00AD053C"/>
    <w:rsid w:val="00AD066B"/>
    <w:rsid w:val="00AD13D4"/>
    <w:rsid w:val="00AD1D4D"/>
    <w:rsid w:val="00AD270A"/>
    <w:rsid w:val="00AD2821"/>
    <w:rsid w:val="00AD397C"/>
    <w:rsid w:val="00AD3D4D"/>
    <w:rsid w:val="00AD4460"/>
    <w:rsid w:val="00AD4AD8"/>
    <w:rsid w:val="00AD5C56"/>
    <w:rsid w:val="00AD6807"/>
    <w:rsid w:val="00AD7391"/>
    <w:rsid w:val="00AD7D92"/>
    <w:rsid w:val="00AE0F2F"/>
    <w:rsid w:val="00AE1B4A"/>
    <w:rsid w:val="00AE231B"/>
    <w:rsid w:val="00AE23A2"/>
    <w:rsid w:val="00AE2798"/>
    <w:rsid w:val="00AE3264"/>
    <w:rsid w:val="00AE3CFD"/>
    <w:rsid w:val="00AE3E2A"/>
    <w:rsid w:val="00AE3EB5"/>
    <w:rsid w:val="00AE47EA"/>
    <w:rsid w:val="00AE4876"/>
    <w:rsid w:val="00AE583D"/>
    <w:rsid w:val="00AE5E4F"/>
    <w:rsid w:val="00AE60D5"/>
    <w:rsid w:val="00AE6CE2"/>
    <w:rsid w:val="00AE6F0D"/>
    <w:rsid w:val="00AE73EF"/>
    <w:rsid w:val="00AE74EC"/>
    <w:rsid w:val="00AE75B7"/>
    <w:rsid w:val="00AE7BCF"/>
    <w:rsid w:val="00AF0A57"/>
    <w:rsid w:val="00AF0A88"/>
    <w:rsid w:val="00AF16AB"/>
    <w:rsid w:val="00AF213A"/>
    <w:rsid w:val="00AF2C6A"/>
    <w:rsid w:val="00AF4DF0"/>
    <w:rsid w:val="00AF5688"/>
    <w:rsid w:val="00AF7501"/>
    <w:rsid w:val="00AF7956"/>
    <w:rsid w:val="00AF7F07"/>
    <w:rsid w:val="00AF7F8A"/>
    <w:rsid w:val="00B00591"/>
    <w:rsid w:val="00B007FF"/>
    <w:rsid w:val="00B01E53"/>
    <w:rsid w:val="00B02CAC"/>
    <w:rsid w:val="00B03018"/>
    <w:rsid w:val="00B05822"/>
    <w:rsid w:val="00B06573"/>
    <w:rsid w:val="00B06C17"/>
    <w:rsid w:val="00B07DD5"/>
    <w:rsid w:val="00B10CDD"/>
    <w:rsid w:val="00B113E4"/>
    <w:rsid w:val="00B11484"/>
    <w:rsid w:val="00B11636"/>
    <w:rsid w:val="00B12878"/>
    <w:rsid w:val="00B1327D"/>
    <w:rsid w:val="00B13562"/>
    <w:rsid w:val="00B1381F"/>
    <w:rsid w:val="00B13BC1"/>
    <w:rsid w:val="00B14FBC"/>
    <w:rsid w:val="00B158AB"/>
    <w:rsid w:val="00B15C32"/>
    <w:rsid w:val="00B16181"/>
    <w:rsid w:val="00B16A2F"/>
    <w:rsid w:val="00B16F84"/>
    <w:rsid w:val="00B1767D"/>
    <w:rsid w:val="00B20326"/>
    <w:rsid w:val="00B20530"/>
    <w:rsid w:val="00B20570"/>
    <w:rsid w:val="00B206DF"/>
    <w:rsid w:val="00B20EDB"/>
    <w:rsid w:val="00B216B1"/>
    <w:rsid w:val="00B23114"/>
    <w:rsid w:val="00B2374A"/>
    <w:rsid w:val="00B247CE"/>
    <w:rsid w:val="00B24C29"/>
    <w:rsid w:val="00B24EF5"/>
    <w:rsid w:val="00B25727"/>
    <w:rsid w:val="00B25D6F"/>
    <w:rsid w:val="00B26C7D"/>
    <w:rsid w:val="00B26D55"/>
    <w:rsid w:val="00B27930"/>
    <w:rsid w:val="00B3087B"/>
    <w:rsid w:val="00B30BA4"/>
    <w:rsid w:val="00B312E3"/>
    <w:rsid w:val="00B31BEF"/>
    <w:rsid w:val="00B3221D"/>
    <w:rsid w:val="00B32790"/>
    <w:rsid w:val="00B33C01"/>
    <w:rsid w:val="00B34978"/>
    <w:rsid w:val="00B34B9F"/>
    <w:rsid w:val="00B350C7"/>
    <w:rsid w:val="00B3515F"/>
    <w:rsid w:val="00B35174"/>
    <w:rsid w:val="00B354DB"/>
    <w:rsid w:val="00B360CC"/>
    <w:rsid w:val="00B36AB1"/>
    <w:rsid w:val="00B36FB5"/>
    <w:rsid w:val="00B372CF"/>
    <w:rsid w:val="00B379FD"/>
    <w:rsid w:val="00B40040"/>
    <w:rsid w:val="00B40393"/>
    <w:rsid w:val="00B405BB"/>
    <w:rsid w:val="00B40693"/>
    <w:rsid w:val="00B41631"/>
    <w:rsid w:val="00B425B9"/>
    <w:rsid w:val="00B4274F"/>
    <w:rsid w:val="00B43A0B"/>
    <w:rsid w:val="00B43BEE"/>
    <w:rsid w:val="00B43CC7"/>
    <w:rsid w:val="00B450A3"/>
    <w:rsid w:val="00B45D75"/>
    <w:rsid w:val="00B461C0"/>
    <w:rsid w:val="00B4650E"/>
    <w:rsid w:val="00B47D70"/>
    <w:rsid w:val="00B50677"/>
    <w:rsid w:val="00B5095E"/>
    <w:rsid w:val="00B50E23"/>
    <w:rsid w:val="00B51727"/>
    <w:rsid w:val="00B52723"/>
    <w:rsid w:val="00B52746"/>
    <w:rsid w:val="00B5327F"/>
    <w:rsid w:val="00B53471"/>
    <w:rsid w:val="00B5399C"/>
    <w:rsid w:val="00B53B1A"/>
    <w:rsid w:val="00B53FF6"/>
    <w:rsid w:val="00B5459D"/>
    <w:rsid w:val="00B553F1"/>
    <w:rsid w:val="00B55DFC"/>
    <w:rsid w:val="00B568E4"/>
    <w:rsid w:val="00B61E73"/>
    <w:rsid w:val="00B62DAA"/>
    <w:rsid w:val="00B631C3"/>
    <w:rsid w:val="00B63AA5"/>
    <w:rsid w:val="00B63ABC"/>
    <w:rsid w:val="00B642A1"/>
    <w:rsid w:val="00B645E1"/>
    <w:rsid w:val="00B6520B"/>
    <w:rsid w:val="00B65613"/>
    <w:rsid w:val="00B65C57"/>
    <w:rsid w:val="00B65E5B"/>
    <w:rsid w:val="00B65FB6"/>
    <w:rsid w:val="00B66625"/>
    <w:rsid w:val="00B66856"/>
    <w:rsid w:val="00B66CD8"/>
    <w:rsid w:val="00B66F52"/>
    <w:rsid w:val="00B66F9A"/>
    <w:rsid w:val="00B670E1"/>
    <w:rsid w:val="00B67608"/>
    <w:rsid w:val="00B676B9"/>
    <w:rsid w:val="00B70BA4"/>
    <w:rsid w:val="00B71079"/>
    <w:rsid w:val="00B71C32"/>
    <w:rsid w:val="00B72230"/>
    <w:rsid w:val="00B73311"/>
    <w:rsid w:val="00B73DFD"/>
    <w:rsid w:val="00B73F8F"/>
    <w:rsid w:val="00B74631"/>
    <w:rsid w:val="00B7705A"/>
    <w:rsid w:val="00B77E53"/>
    <w:rsid w:val="00B802C7"/>
    <w:rsid w:val="00B81248"/>
    <w:rsid w:val="00B81851"/>
    <w:rsid w:val="00B82804"/>
    <w:rsid w:val="00B83733"/>
    <w:rsid w:val="00B83C56"/>
    <w:rsid w:val="00B84BD0"/>
    <w:rsid w:val="00B84D0E"/>
    <w:rsid w:val="00B84DB5"/>
    <w:rsid w:val="00B851D2"/>
    <w:rsid w:val="00B85406"/>
    <w:rsid w:val="00B85AE4"/>
    <w:rsid w:val="00B866F4"/>
    <w:rsid w:val="00B8674C"/>
    <w:rsid w:val="00B86E71"/>
    <w:rsid w:val="00B907AD"/>
    <w:rsid w:val="00B908B8"/>
    <w:rsid w:val="00B915D0"/>
    <w:rsid w:val="00B92A13"/>
    <w:rsid w:val="00B94515"/>
    <w:rsid w:val="00B94AE5"/>
    <w:rsid w:val="00B94C5F"/>
    <w:rsid w:val="00B9531A"/>
    <w:rsid w:val="00B960AB"/>
    <w:rsid w:val="00B963AD"/>
    <w:rsid w:val="00B96753"/>
    <w:rsid w:val="00B967F2"/>
    <w:rsid w:val="00B973FC"/>
    <w:rsid w:val="00BA1D6D"/>
    <w:rsid w:val="00BA2935"/>
    <w:rsid w:val="00BA4A8F"/>
    <w:rsid w:val="00BA4BB9"/>
    <w:rsid w:val="00BA4F24"/>
    <w:rsid w:val="00BA5E9D"/>
    <w:rsid w:val="00BA6945"/>
    <w:rsid w:val="00BA77D4"/>
    <w:rsid w:val="00BA78BA"/>
    <w:rsid w:val="00BA7BEE"/>
    <w:rsid w:val="00BA7C6A"/>
    <w:rsid w:val="00BB0449"/>
    <w:rsid w:val="00BB07F3"/>
    <w:rsid w:val="00BB172C"/>
    <w:rsid w:val="00BB22C6"/>
    <w:rsid w:val="00BB3033"/>
    <w:rsid w:val="00BB3181"/>
    <w:rsid w:val="00BB3B7F"/>
    <w:rsid w:val="00BB3C33"/>
    <w:rsid w:val="00BB442D"/>
    <w:rsid w:val="00BB45EB"/>
    <w:rsid w:val="00BB4684"/>
    <w:rsid w:val="00BB4EC0"/>
    <w:rsid w:val="00BB511B"/>
    <w:rsid w:val="00BB5209"/>
    <w:rsid w:val="00BB5A37"/>
    <w:rsid w:val="00BB5FE2"/>
    <w:rsid w:val="00BB7544"/>
    <w:rsid w:val="00BB75BA"/>
    <w:rsid w:val="00BC0420"/>
    <w:rsid w:val="00BC0E97"/>
    <w:rsid w:val="00BC1F4A"/>
    <w:rsid w:val="00BC2E23"/>
    <w:rsid w:val="00BC33F4"/>
    <w:rsid w:val="00BC34A7"/>
    <w:rsid w:val="00BC43A8"/>
    <w:rsid w:val="00BC4827"/>
    <w:rsid w:val="00BC5598"/>
    <w:rsid w:val="00BC5CB8"/>
    <w:rsid w:val="00BC63E6"/>
    <w:rsid w:val="00BC67C6"/>
    <w:rsid w:val="00BC721F"/>
    <w:rsid w:val="00BC72AF"/>
    <w:rsid w:val="00BC7498"/>
    <w:rsid w:val="00BD0C65"/>
    <w:rsid w:val="00BD168F"/>
    <w:rsid w:val="00BD2054"/>
    <w:rsid w:val="00BD267B"/>
    <w:rsid w:val="00BD2E65"/>
    <w:rsid w:val="00BD32E0"/>
    <w:rsid w:val="00BD3DB5"/>
    <w:rsid w:val="00BD41D0"/>
    <w:rsid w:val="00BD4CDD"/>
    <w:rsid w:val="00BD5474"/>
    <w:rsid w:val="00BD55BE"/>
    <w:rsid w:val="00BD5D64"/>
    <w:rsid w:val="00BD63FA"/>
    <w:rsid w:val="00BD6EB3"/>
    <w:rsid w:val="00BD79A5"/>
    <w:rsid w:val="00BD7B98"/>
    <w:rsid w:val="00BE022E"/>
    <w:rsid w:val="00BE0D2C"/>
    <w:rsid w:val="00BE1F41"/>
    <w:rsid w:val="00BE25C9"/>
    <w:rsid w:val="00BE306D"/>
    <w:rsid w:val="00BE35DA"/>
    <w:rsid w:val="00BE376A"/>
    <w:rsid w:val="00BE506E"/>
    <w:rsid w:val="00BE7186"/>
    <w:rsid w:val="00BE7F11"/>
    <w:rsid w:val="00BF04C8"/>
    <w:rsid w:val="00BF0DD1"/>
    <w:rsid w:val="00BF1A13"/>
    <w:rsid w:val="00BF1BC1"/>
    <w:rsid w:val="00BF2277"/>
    <w:rsid w:val="00BF3295"/>
    <w:rsid w:val="00BF4D29"/>
    <w:rsid w:val="00BF5531"/>
    <w:rsid w:val="00BF668E"/>
    <w:rsid w:val="00BF7485"/>
    <w:rsid w:val="00C0059C"/>
    <w:rsid w:val="00C00C48"/>
    <w:rsid w:val="00C017BA"/>
    <w:rsid w:val="00C01F8F"/>
    <w:rsid w:val="00C02925"/>
    <w:rsid w:val="00C02B17"/>
    <w:rsid w:val="00C02FEB"/>
    <w:rsid w:val="00C03314"/>
    <w:rsid w:val="00C0354A"/>
    <w:rsid w:val="00C039C3"/>
    <w:rsid w:val="00C04023"/>
    <w:rsid w:val="00C0415F"/>
    <w:rsid w:val="00C04500"/>
    <w:rsid w:val="00C04783"/>
    <w:rsid w:val="00C0506A"/>
    <w:rsid w:val="00C0526A"/>
    <w:rsid w:val="00C05589"/>
    <w:rsid w:val="00C068E4"/>
    <w:rsid w:val="00C073C7"/>
    <w:rsid w:val="00C07852"/>
    <w:rsid w:val="00C10028"/>
    <w:rsid w:val="00C11129"/>
    <w:rsid w:val="00C12205"/>
    <w:rsid w:val="00C126EB"/>
    <w:rsid w:val="00C12AF5"/>
    <w:rsid w:val="00C13228"/>
    <w:rsid w:val="00C13273"/>
    <w:rsid w:val="00C14FC1"/>
    <w:rsid w:val="00C15387"/>
    <w:rsid w:val="00C15C59"/>
    <w:rsid w:val="00C15C80"/>
    <w:rsid w:val="00C15FF2"/>
    <w:rsid w:val="00C160E2"/>
    <w:rsid w:val="00C17C63"/>
    <w:rsid w:val="00C17F12"/>
    <w:rsid w:val="00C2091C"/>
    <w:rsid w:val="00C2094C"/>
    <w:rsid w:val="00C2105F"/>
    <w:rsid w:val="00C216D8"/>
    <w:rsid w:val="00C2180F"/>
    <w:rsid w:val="00C21912"/>
    <w:rsid w:val="00C22371"/>
    <w:rsid w:val="00C22482"/>
    <w:rsid w:val="00C2262A"/>
    <w:rsid w:val="00C22873"/>
    <w:rsid w:val="00C23290"/>
    <w:rsid w:val="00C2417C"/>
    <w:rsid w:val="00C2479E"/>
    <w:rsid w:val="00C24945"/>
    <w:rsid w:val="00C251CA"/>
    <w:rsid w:val="00C25BB7"/>
    <w:rsid w:val="00C25ED4"/>
    <w:rsid w:val="00C2626E"/>
    <w:rsid w:val="00C275F3"/>
    <w:rsid w:val="00C27E1E"/>
    <w:rsid w:val="00C3018B"/>
    <w:rsid w:val="00C30196"/>
    <w:rsid w:val="00C30BB9"/>
    <w:rsid w:val="00C30C74"/>
    <w:rsid w:val="00C31AB0"/>
    <w:rsid w:val="00C31E62"/>
    <w:rsid w:val="00C320F2"/>
    <w:rsid w:val="00C32E38"/>
    <w:rsid w:val="00C32F82"/>
    <w:rsid w:val="00C3342E"/>
    <w:rsid w:val="00C335DA"/>
    <w:rsid w:val="00C347F2"/>
    <w:rsid w:val="00C350E4"/>
    <w:rsid w:val="00C351F0"/>
    <w:rsid w:val="00C3551C"/>
    <w:rsid w:val="00C36579"/>
    <w:rsid w:val="00C36A25"/>
    <w:rsid w:val="00C36A84"/>
    <w:rsid w:val="00C37216"/>
    <w:rsid w:val="00C372C2"/>
    <w:rsid w:val="00C37B7C"/>
    <w:rsid w:val="00C37D2E"/>
    <w:rsid w:val="00C40011"/>
    <w:rsid w:val="00C405CD"/>
    <w:rsid w:val="00C41302"/>
    <w:rsid w:val="00C41374"/>
    <w:rsid w:val="00C41845"/>
    <w:rsid w:val="00C420D2"/>
    <w:rsid w:val="00C43113"/>
    <w:rsid w:val="00C45628"/>
    <w:rsid w:val="00C4587B"/>
    <w:rsid w:val="00C466ED"/>
    <w:rsid w:val="00C4728B"/>
    <w:rsid w:val="00C47E14"/>
    <w:rsid w:val="00C5122A"/>
    <w:rsid w:val="00C5158B"/>
    <w:rsid w:val="00C5201E"/>
    <w:rsid w:val="00C5244A"/>
    <w:rsid w:val="00C5284C"/>
    <w:rsid w:val="00C52B85"/>
    <w:rsid w:val="00C52D8A"/>
    <w:rsid w:val="00C530BC"/>
    <w:rsid w:val="00C531C4"/>
    <w:rsid w:val="00C531F7"/>
    <w:rsid w:val="00C53609"/>
    <w:rsid w:val="00C54BD2"/>
    <w:rsid w:val="00C56341"/>
    <w:rsid w:val="00C564B4"/>
    <w:rsid w:val="00C56EAB"/>
    <w:rsid w:val="00C56F6C"/>
    <w:rsid w:val="00C57047"/>
    <w:rsid w:val="00C57872"/>
    <w:rsid w:val="00C613FC"/>
    <w:rsid w:val="00C61559"/>
    <w:rsid w:val="00C62F31"/>
    <w:rsid w:val="00C659E9"/>
    <w:rsid w:val="00C65E16"/>
    <w:rsid w:val="00C66269"/>
    <w:rsid w:val="00C66E23"/>
    <w:rsid w:val="00C6712E"/>
    <w:rsid w:val="00C6719B"/>
    <w:rsid w:val="00C67718"/>
    <w:rsid w:val="00C67D65"/>
    <w:rsid w:val="00C714DE"/>
    <w:rsid w:val="00C72065"/>
    <w:rsid w:val="00C7259E"/>
    <w:rsid w:val="00C727E7"/>
    <w:rsid w:val="00C742D7"/>
    <w:rsid w:val="00C75069"/>
    <w:rsid w:val="00C752A2"/>
    <w:rsid w:val="00C75AAA"/>
    <w:rsid w:val="00C7607E"/>
    <w:rsid w:val="00C76189"/>
    <w:rsid w:val="00C7676C"/>
    <w:rsid w:val="00C767B8"/>
    <w:rsid w:val="00C769E6"/>
    <w:rsid w:val="00C76AFE"/>
    <w:rsid w:val="00C77963"/>
    <w:rsid w:val="00C77E35"/>
    <w:rsid w:val="00C8026F"/>
    <w:rsid w:val="00C80E03"/>
    <w:rsid w:val="00C81041"/>
    <w:rsid w:val="00C81CC3"/>
    <w:rsid w:val="00C82336"/>
    <w:rsid w:val="00C82C31"/>
    <w:rsid w:val="00C842FB"/>
    <w:rsid w:val="00C846F5"/>
    <w:rsid w:val="00C85174"/>
    <w:rsid w:val="00C85711"/>
    <w:rsid w:val="00C85B51"/>
    <w:rsid w:val="00C872E0"/>
    <w:rsid w:val="00C87BB3"/>
    <w:rsid w:val="00C87BCD"/>
    <w:rsid w:val="00C900A6"/>
    <w:rsid w:val="00C907E7"/>
    <w:rsid w:val="00C914E7"/>
    <w:rsid w:val="00C9159F"/>
    <w:rsid w:val="00C915FD"/>
    <w:rsid w:val="00C91DC3"/>
    <w:rsid w:val="00C92B83"/>
    <w:rsid w:val="00C94E08"/>
    <w:rsid w:val="00C95A7A"/>
    <w:rsid w:val="00C962C7"/>
    <w:rsid w:val="00C9680C"/>
    <w:rsid w:val="00C96A40"/>
    <w:rsid w:val="00CA0CC7"/>
    <w:rsid w:val="00CA17A2"/>
    <w:rsid w:val="00CA1DD7"/>
    <w:rsid w:val="00CA1F9F"/>
    <w:rsid w:val="00CA2EA7"/>
    <w:rsid w:val="00CA2F66"/>
    <w:rsid w:val="00CA2FA1"/>
    <w:rsid w:val="00CA4386"/>
    <w:rsid w:val="00CA44AF"/>
    <w:rsid w:val="00CA466C"/>
    <w:rsid w:val="00CA4D54"/>
    <w:rsid w:val="00CA50A7"/>
    <w:rsid w:val="00CA6CD9"/>
    <w:rsid w:val="00CA77BA"/>
    <w:rsid w:val="00CA7909"/>
    <w:rsid w:val="00CA79D2"/>
    <w:rsid w:val="00CB0417"/>
    <w:rsid w:val="00CB04B4"/>
    <w:rsid w:val="00CB07D5"/>
    <w:rsid w:val="00CB3499"/>
    <w:rsid w:val="00CB39EE"/>
    <w:rsid w:val="00CB4AF5"/>
    <w:rsid w:val="00CB6DEE"/>
    <w:rsid w:val="00CB70DD"/>
    <w:rsid w:val="00CB79CC"/>
    <w:rsid w:val="00CC0059"/>
    <w:rsid w:val="00CC0B35"/>
    <w:rsid w:val="00CC0DFA"/>
    <w:rsid w:val="00CC1971"/>
    <w:rsid w:val="00CC22DA"/>
    <w:rsid w:val="00CC2482"/>
    <w:rsid w:val="00CC3FB4"/>
    <w:rsid w:val="00CC4C12"/>
    <w:rsid w:val="00CC4C2A"/>
    <w:rsid w:val="00CC4CFC"/>
    <w:rsid w:val="00CC51B2"/>
    <w:rsid w:val="00CC5B27"/>
    <w:rsid w:val="00CC5C0C"/>
    <w:rsid w:val="00CC6B93"/>
    <w:rsid w:val="00CC737A"/>
    <w:rsid w:val="00CD0A6C"/>
    <w:rsid w:val="00CD1405"/>
    <w:rsid w:val="00CD1ACC"/>
    <w:rsid w:val="00CD2D32"/>
    <w:rsid w:val="00CD3753"/>
    <w:rsid w:val="00CD3E09"/>
    <w:rsid w:val="00CD451F"/>
    <w:rsid w:val="00CD461B"/>
    <w:rsid w:val="00CD4C34"/>
    <w:rsid w:val="00CD6D89"/>
    <w:rsid w:val="00CD7DAB"/>
    <w:rsid w:val="00CE04E5"/>
    <w:rsid w:val="00CE0661"/>
    <w:rsid w:val="00CE0A7B"/>
    <w:rsid w:val="00CE0B35"/>
    <w:rsid w:val="00CE1583"/>
    <w:rsid w:val="00CE16A8"/>
    <w:rsid w:val="00CE1967"/>
    <w:rsid w:val="00CE2018"/>
    <w:rsid w:val="00CE3107"/>
    <w:rsid w:val="00CE3A0B"/>
    <w:rsid w:val="00CE4081"/>
    <w:rsid w:val="00CE42CC"/>
    <w:rsid w:val="00CE43D7"/>
    <w:rsid w:val="00CE4DE7"/>
    <w:rsid w:val="00CE50D7"/>
    <w:rsid w:val="00CE5472"/>
    <w:rsid w:val="00CE60EB"/>
    <w:rsid w:val="00CE7982"/>
    <w:rsid w:val="00CE7AC1"/>
    <w:rsid w:val="00CE7DAC"/>
    <w:rsid w:val="00CF01B9"/>
    <w:rsid w:val="00CF0A48"/>
    <w:rsid w:val="00CF0D42"/>
    <w:rsid w:val="00CF10C6"/>
    <w:rsid w:val="00CF18B5"/>
    <w:rsid w:val="00CF1AED"/>
    <w:rsid w:val="00CF1CE4"/>
    <w:rsid w:val="00CF1F9B"/>
    <w:rsid w:val="00CF2337"/>
    <w:rsid w:val="00CF2C74"/>
    <w:rsid w:val="00CF301A"/>
    <w:rsid w:val="00CF3303"/>
    <w:rsid w:val="00CF3801"/>
    <w:rsid w:val="00CF39B4"/>
    <w:rsid w:val="00CF3A17"/>
    <w:rsid w:val="00CF4491"/>
    <w:rsid w:val="00CF4E2B"/>
    <w:rsid w:val="00CF54C3"/>
    <w:rsid w:val="00CF5EEA"/>
    <w:rsid w:val="00CF5F2E"/>
    <w:rsid w:val="00CF6A36"/>
    <w:rsid w:val="00CF715B"/>
    <w:rsid w:val="00CF72AF"/>
    <w:rsid w:val="00CF7E89"/>
    <w:rsid w:val="00D0037C"/>
    <w:rsid w:val="00D00991"/>
    <w:rsid w:val="00D00B79"/>
    <w:rsid w:val="00D00B87"/>
    <w:rsid w:val="00D03145"/>
    <w:rsid w:val="00D036B7"/>
    <w:rsid w:val="00D06628"/>
    <w:rsid w:val="00D077B7"/>
    <w:rsid w:val="00D07848"/>
    <w:rsid w:val="00D07D36"/>
    <w:rsid w:val="00D07DA2"/>
    <w:rsid w:val="00D10D84"/>
    <w:rsid w:val="00D10D8B"/>
    <w:rsid w:val="00D11238"/>
    <w:rsid w:val="00D11F1C"/>
    <w:rsid w:val="00D135A9"/>
    <w:rsid w:val="00D13602"/>
    <w:rsid w:val="00D14A25"/>
    <w:rsid w:val="00D14CD3"/>
    <w:rsid w:val="00D15481"/>
    <w:rsid w:val="00D15545"/>
    <w:rsid w:val="00D15C46"/>
    <w:rsid w:val="00D16142"/>
    <w:rsid w:val="00D204CB"/>
    <w:rsid w:val="00D206C0"/>
    <w:rsid w:val="00D20A86"/>
    <w:rsid w:val="00D20C3A"/>
    <w:rsid w:val="00D2221B"/>
    <w:rsid w:val="00D2224B"/>
    <w:rsid w:val="00D238E4"/>
    <w:rsid w:val="00D24D96"/>
    <w:rsid w:val="00D24E50"/>
    <w:rsid w:val="00D25D3D"/>
    <w:rsid w:val="00D25DD4"/>
    <w:rsid w:val="00D263D2"/>
    <w:rsid w:val="00D263D9"/>
    <w:rsid w:val="00D265BB"/>
    <w:rsid w:val="00D265CC"/>
    <w:rsid w:val="00D2665F"/>
    <w:rsid w:val="00D26AF0"/>
    <w:rsid w:val="00D26ECE"/>
    <w:rsid w:val="00D26F52"/>
    <w:rsid w:val="00D272C4"/>
    <w:rsid w:val="00D27973"/>
    <w:rsid w:val="00D303AB"/>
    <w:rsid w:val="00D3064A"/>
    <w:rsid w:val="00D30F19"/>
    <w:rsid w:val="00D314C8"/>
    <w:rsid w:val="00D317E3"/>
    <w:rsid w:val="00D3299F"/>
    <w:rsid w:val="00D32A01"/>
    <w:rsid w:val="00D33DE5"/>
    <w:rsid w:val="00D34119"/>
    <w:rsid w:val="00D34721"/>
    <w:rsid w:val="00D356FE"/>
    <w:rsid w:val="00D366B0"/>
    <w:rsid w:val="00D371BA"/>
    <w:rsid w:val="00D402AC"/>
    <w:rsid w:val="00D407DF"/>
    <w:rsid w:val="00D40A8E"/>
    <w:rsid w:val="00D40E7B"/>
    <w:rsid w:val="00D41191"/>
    <w:rsid w:val="00D41C7D"/>
    <w:rsid w:val="00D42066"/>
    <w:rsid w:val="00D4213F"/>
    <w:rsid w:val="00D42686"/>
    <w:rsid w:val="00D42E2B"/>
    <w:rsid w:val="00D4351E"/>
    <w:rsid w:val="00D448F6"/>
    <w:rsid w:val="00D44A08"/>
    <w:rsid w:val="00D4673D"/>
    <w:rsid w:val="00D46D6A"/>
    <w:rsid w:val="00D47FE7"/>
    <w:rsid w:val="00D50307"/>
    <w:rsid w:val="00D50C23"/>
    <w:rsid w:val="00D50E8E"/>
    <w:rsid w:val="00D51C71"/>
    <w:rsid w:val="00D52012"/>
    <w:rsid w:val="00D52EA1"/>
    <w:rsid w:val="00D5365F"/>
    <w:rsid w:val="00D53917"/>
    <w:rsid w:val="00D541BD"/>
    <w:rsid w:val="00D56289"/>
    <w:rsid w:val="00D56484"/>
    <w:rsid w:val="00D5703B"/>
    <w:rsid w:val="00D57428"/>
    <w:rsid w:val="00D57F71"/>
    <w:rsid w:val="00D616A4"/>
    <w:rsid w:val="00D61C56"/>
    <w:rsid w:val="00D61F72"/>
    <w:rsid w:val="00D6269A"/>
    <w:rsid w:val="00D628F3"/>
    <w:rsid w:val="00D62E3A"/>
    <w:rsid w:val="00D63909"/>
    <w:rsid w:val="00D646F9"/>
    <w:rsid w:val="00D6488F"/>
    <w:rsid w:val="00D6504E"/>
    <w:rsid w:val="00D65E73"/>
    <w:rsid w:val="00D6635E"/>
    <w:rsid w:val="00D66794"/>
    <w:rsid w:val="00D70D10"/>
    <w:rsid w:val="00D70DC9"/>
    <w:rsid w:val="00D71143"/>
    <w:rsid w:val="00D7126F"/>
    <w:rsid w:val="00D717F5"/>
    <w:rsid w:val="00D7266E"/>
    <w:rsid w:val="00D72844"/>
    <w:rsid w:val="00D72AFA"/>
    <w:rsid w:val="00D72C00"/>
    <w:rsid w:val="00D72F54"/>
    <w:rsid w:val="00D738B3"/>
    <w:rsid w:val="00D74038"/>
    <w:rsid w:val="00D7450D"/>
    <w:rsid w:val="00D75156"/>
    <w:rsid w:val="00D75B3D"/>
    <w:rsid w:val="00D76AE5"/>
    <w:rsid w:val="00D773CE"/>
    <w:rsid w:val="00D77513"/>
    <w:rsid w:val="00D77597"/>
    <w:rsid w:val="00D8011B"/>
    <w:rsid w:val="00D80320"/>
    <w:rsid w:val="00D80348"/>
    <w:rsid w:val="00D814C6"/>
    <w:rsid w:val="00D8235D"/>
    <w:rsid w:val="00D82440"/>
    <w:rsid w:val="00D824EF"/>
    <w:rsid w:val="00D826CB"/>
    <w:rsid w:val="00D82A4B"/>
    <w:rsid w:val="00D83AC6"/>
    <w:rsid w:val="00D84A94"/>
    <w:rsid w:val="00D8579A"/>
    <w:rsid w:val="00D86833"/>
    <w:rsid w:val="00D878B1"/>
    <w:rsid w:val="00D90402"/>
    <w:rsid w:val="00D90886"/>
    <w:rsid w:val="00D90ACB"/>
    <w:rsid w:val="00D912F4"/>
    <w:rsid w:val="00D9162B"/>
    <w:rsid w:val="00D918B5"/>
    <w:rsid w:val="00D91D83"/>
    <w:rsid w:val="00D92321"/>
    <w:rsid w:val="00D929BF"/>
    <w:rsid w:val="00D92D66"/>
    <w:rsid w:val="00D935DA"/>
    <w:rsid w:val="00D94ABB"/>
    <w:rsid w:val="00D951F4"/>
    <w:rsid w:val="00D9619C"/>
    <w:rsid w:val="00D96EC5"/>
    <w:rsid w:val="00D97A79"/>
    <w:rsid w:val="00DA10ED"/>
    <w:rsid w:val="00DA151C"/>
    <w:rsid w:val="00DA18A7"/>
    <w:rsid w:val="00DA218C"/>
    <w:rsid w:val="00DA3B56"/>
    <w:rsid w:val="00DA3EF9"/>
    <w:rsid w:val="00DA439B"/>
    <w:rsid w:val="00DA51CA"/>
    <w:rsid w:val="00DA5264"/>
    <w:rsid w:val="00DA5743"/>
    <w:rsid w:val="00DA683A"/>
    <w:rsid w:val="00DA7B50"/>
    <w:rsid w:val="00DB0336"/>
    <w:rsid w:val="00DB0C0E"/>
    <w:rsid w:val="00DB2112"/>
    <w:rsid w:val="00DB2377"/>
    <w:rsid w:val="00DB24BB"/>
    <w:rsid w:val="00DB319A"/>
    <w:rsid w:val="00DB341C"/>
    <w:rsid w:val="00DB34EB"/>
    <w:rsid w:val="00DB3B74"/>
    <w:rsid w:val="00DB3BF2"/>
    <w:rsid w:val="00DB46EE"/>
    <w:rsid w:val="00DB47F7"/>
    <w:rsid w:val="00DB4912"/>
    <w:rsid w:val="00DB4D55"/>
    <w:rsid w:val="00DB5F5D"/>
    <w:rsid w:val="00DB63FC"/>
    <w:rsid w:val="00DB7185"/>
    <w:rsid w:val="00DB7330"/>
    <w:rsid w:val="00DB7505"/>
    <w:rsid w:val="00DC22DC"/>
    <w:rsid w:val="00DC2F0A"/>
    <w:rsid w:val="00DC32EC"/>
    <w:rsid w:val="00DC3348"/>
    <w:rsid w:val="00DC3998"/>
    <w:rsid w:val="00DC3C46"/>
    <w:rsid w:val="00DC47BA"/>
    <w:rsid w:val="00DC4AA0"/>
    <w:rsid w:val="00DC53B7"/>
    <w:rsid w:val="00DC58FC"/>
    <w:rsid w:val="00DC6280"/>
    <w:rsid w:val="00DC6F7C"/>
    <w:rsid w:val="00DC758E"/>
    <w:rsid w:val="00DC7B5F"/>
    <w:rsid w:val="00DC7F6D"/>
    <w:rsid w:val="00DC7FB7"/>
    <w:rsid w:val="00DD04A9"/>
    <w:rsid w:val="00DD077C"/>
    <w:rsid w:val="00DD1162"/>
    <w:rsid w:val="00DD1F1F"/>
    <w:rsid w:val="00DD2304"/>
    <w:rsid w:val="00DD2EFD"/>
    <w:rsid w:val="00DD3744"/>
    <w:rsid w:val="00DD3E18"/>
    <w:rsid w:val="00DD45A5"/>
    <w:rsid w:val="00DD4DED"/>
    <w:rsid w:val="00DD5817"/>
    <w:rsid w:val="00DD6242"/>
    <w:rsid w:val="00DD69F4"/>
    <w:rsid w:val="00DD71F6"/>
    <w:rsid w:val="00DD733D"/>
    <w:rsid w:val="00DD779A"/>
    <w:rsid w:val="00DD7FA4"/>
    <w:rsid w:val="00DE06AB"/>
    <w:rsid w:val="00DE0B83"/>
    <w:rsid w:val="00DE1687"/>
    <w:rsid w:val="00DE1D99"/>
    <w:rsid w:val="00DE3D68"/>
    <w:rsid w:val="00DE4140"/>
    <w:rsid w:val="00DE462C"/>
    <w:rsid w:val="00DE4732"/>
    <w:rsid w:val="00DE540A"/>
    <w:rsid w:val="00DE56F2"/>
    <w:rsid w:val="00DE577B"/>
    <w:rsid w:val="00DE6E1F"/>
    <w:rsid w:val="00DE71C1"/>
    <w:rsid w:val="00DE7677"/>
    <w:rsid w:val="00DE7AB9"/>
    <w:rsid w:val="00DE7B47"/>
    <w:rsid w:val="00DF05C5"/>
    <w:rsid w:val="00DF1002"/>
    <w:rsid w:val="00DF1296"/>
    <w:rsid w:val="00DF1AD3"/>
    <w:rsid w:val="00DF1E2B"/>
    <w:rsid w:val="00DF23D0"/>
    <w:rsid w:val="00DF3D5F"/>
    <w:rsid w:val="00DF3E36"/>
    <w:rsid w:val="00DF4C59"/>
    <w:rsid w:val="00DF5C79"/>
    <w:rsid w:val="00DF5E60"/>
    <w:rsid w:val="00E001C6"/>
    <w:rsid w:val="00E00A7D"/>
    <w:rsid w:val="00E01E80"/>
    <w:rsid w:val="00E02523"/>
    <w:rsid w:val="00E02D22"/>
    <w:rsid w:val="00E02F1D"/>
    <w:rsid w:val="00E02FB2"/>
    <w:rsid w:val="00E04558"/>
    <w:rsid w:val="00E04D0D"/>
    <w:rsid w:val="00E05D86"/>
    <w:rsid w:val="00E0661F"/>
    <w:rsid w:val="00E066A5"/>
    <w:rsid w:val="00E06B5B"/>
    <w:rsid w:val="00E076B0"/>
    <w:rsid w:val="00E100D5"/>
    <w:rsid w:val="00E10B6B"/>
    <w:rsid w:val="00E116FA"/>
    <w:rsid w:val="00E11899"/>
    <w:rsid w:val="00E119D0"/>
    <w:rsid w:val="00E11EA3"/>
    <w:rsid w:val="00E11F16"/>
    <w:rsid w:val="00E12460"/>
    <w:rsid w:val="00E1247C"/>
    <w:rsid w:val="00E12491"/>
    <w:rsid w:val="00E12CA6"/>
    <w:rsid w:val="00E14BA4"/>
    <w:rsid w:val="00E153CF"/>
    <w:rsid w:val="00E15588"/>
    <w:rsid w:val="00E161C6"/>
    <w:rsid w:val="00E16CFE"/>
    <w:rsid w:val="00E1705E"/>
    <w:rsid w:val="00E170EE"/>
    <w:rsid w:val="00E17328"/>
    <w:rsid w:val="00E2041A"/>
    <w:rsid w:val="00E2054D"/>
    <w:rsid w:val="00E20D97"/>
    <w:rsid w:val="00E20EB6"/>
    <w:rsid w:val="00E21BAF"/>
    <w:rsid w:val="00E22805"/>
    <w:rsid w:val="00E22DAE"/>
    <w:rsid w:val="00E22DB4"/>
    <w:rsid w:val="00E22E5B"/>
    <w:rsid w:val="00E22F48"/>
    <w:rsid w:val="00E22F8F"/>
    <w:rsid w:val="00E23319"/>
    <w:rsid w:val="00E236F8"/>
    <w:rsid w:val="00E23863"/>
    <w:rsid w:val="00E24140"/>
    <w:rsid w:val="00E24393"/>
    <w:rsid w:val="00E249E4"/>
    <w:rsid w:val="00E254B9"/>
    <w:rsid w:val="00E2656C"/>
    <w:rsid w:val="00E26717"/>
    <w:rsid w:val="00E27D39"/>
    <w:rsid w:val="00E27DDF"/>
    <w:rsid w:val="00E30BCC"/>
    <w:rsid w:val="00E30CC6"/>
    <w:rsid w:val="00E3108E"/>
    <w:rsid w:val="00E31782"/>
    <w:rsid w:val="00E31829"/>
    <w:rsid w:val="00E318DB"/>
    <w:rsid w:val="00E322DA"/>
    <w:rsid w:val="00E32EA3"/>
    <w:rsid w:val="00E331E9"/>
    <w:rsid w:val="00E34298"/>
    <w:rsid w:val="00E34495"/>
    <w:rsid w:val="00E344B1"/>
    <w:rsid w:val="00E403D1"/>
    <w:rsid w:val="00E4072F"/>
    <w:rsid w:val="00E40956"/>
    <w:rsid w:val="00E40F9D"/>
    <w:rsid w:val="00E41249"/>
    <w:rsid w:val="00E418A8"/>
    <w:rsid w:val="00E41ED6"/>
    <w:rsid w:val="00E42113"/>
    <w:rsid w:val="00E4247C"/>
    <w:rsid w:val="00E434DD"/>
    <w:rsid w:val="00E436B3"/>
    <w:rsid w:val="00E4445A"/>
    <w:rsid w:val="00E4470A"/>
    <w:rsid w:val="00E44770"/>
    <w:rsid w:val="00E44ACC"/>
    <w:rsid w:val="00E45203"/>
    <w:rsid w:val="00E45473"/>
    <w:rsid w:val="00E463D1"/>
    <w:rsid w:val="00E4664B"/>
    <w:rsid w:val="00E46B71"/>
    <w:rsid w:val="00E4721D"/>
    <w:rsid w:val="00E50AF9"/>
    <w:rsid w:val="00E51060"/>
    <w:rsid w:val="00E5108D"/>
    <w:rsid w:val="00E51174"/>
    <w:rsid w:val="00E5133D"/>
    <w:rsid w:val="00E51747"/>
    <w:rsid w:val="00E5220D"/>
    <w:rsid w:val="00E5299B"/>
    <w:rsid w:val="00E54618"/>
    <w:rsid w:val="00E54734"/>
    <w:rsid w:val="00E54D90"/>
    <w:rsid w:val="00E553C6"/>
    <w:rsid w:val="00E5548C"/>
    <w:rsid w:val="00E555F5"/>
    <w:rsid w:val="00E56C47"/>
    <w:rsid w:val="00E574B6"/>
    <w:rsid w:val="00E577B2"/>
    <w:rsid w:val="00E5783F"/>
    <w:rsid w:val="00E60FD4"/>
    <w:rsid w:val="00E61DF2"/>
    <w:rsid w:val="00E61F92"/>
    <w:rsid w:val="00E62495"/>
    <w:rsid w:val="00E6340A"/>
    <w:rsid w:val="00E63990"/>
    <w:rsid w:val="00E64A64"/>
    <w:rsid w:val="00E6533F"/>
    <w:rsid w:val="00E657C3"/>
    <w:rsid w:val="00E6662A"/>
    <w:rsid w:val="00E666AB"/>
    <w:rsid w:val="00E673BF"/>
    <w:rsid w:val="00E67CFD"/>
    <w:rsid w:val="00E70555"/>
    <w:rsid w:val="00E70B89"/>
    <w:rsid w:val="00E7105B"/>
    <w:rsid w:val="00E71230"/>
    <w:rsid w:val="00E723C2"/>
    <w:rsid w:val="00E72C35"/>
    <w:rsid w:val="00E72CE7"/>
    <w:rsid w:val="00E730F6"/>
    <w:rsid w:val="00E734D8"/>
    <w:rsid w:val="00E7407C"/>
    <w:rsid w:val="00E74A6E"/>
    <w:rsid w:val="00E74E2A"/>
    <w:rsid w:val="00E75B81"/>
    <w:rsid w:val="00E75E25"/>
    <w:rsid w:val="00E76323"/>
    <w:rsid w:val="00E76389"/>
    <w:rsid w:val="00E76511"/>
    <w:rsid w:val="00E76B05"/>
    <w:rsid w:val="00E76FB8"/>
    <w:rsid w:val="00E77CF1"/>
    <w:rsid w:val="00E77DB6"/>
    <w:rsid w:val="00E8011A"/>
    <w:rsid w:val="00E8145C"/>
    <w:rsid w:val="00E8149C"/>
    <w:rsid w:val="00E8178F"/>
    <w:rsid w:val="00E81AB6"/>
    <w:rsid w:val="00E81DB9"/>
    <w:rsid w:val="00E8218F"/>
    <w:rsid w:val="00E82ECC"/>
    <w:rsid w:val="00E83528"/>
    <w:rsid w:val="00E84023"/>
    <w:rsid w:val="00E842C4"/>
    <w:rsid w:val="00E8468A"/>
    <w:rsid w:val="00E86952"/>
    <w:rsid w:val="00E87423"/>
    <w:rsid w:val="00E8769F"/>
    <w:rsid w:val="00E90274"/>
    <w:rsid w:val="00E908DE"/>
    <w:rsid w:val="00E913E6"/>
    <w:rsid w:val="00E91674"/>
    <w:rsid w:val="00E9243B"/>
    <w:rsid w:val="00E925B6"/>
    <w:rsid w:val="00E92AC4"/>
    <w:rsid w:val="00E936D2"/>
    <w:rsid w:val="00E94C51"/>
    <w:rsid w:val="00E94F58"/>
    <w:rsid w:val="00E950F0"/>
    <w:rsid w:val="00E95870"/>
    <w:rsid w:val="00E965F0"/>
    <w:rsid w:val="00E97827"/>
    <w:rsid w:val="00E97ED1"/>
    <w:rsid w:val="00E97EF6"/>
    <w:rsid w:val="00EA002E"/>
    <w:rsid w:val="00EA0580"/>
    <w:rsid w:val="00EA0835"/>
    <w:rsid w:val="00EA0FD0"/>
    <w:rsid w:val="00EA1846"/>
    <w:rsid w:val="00EA2302"/>
    <w:rsid w:val="00EA2BDB"/>
    <w:rsid w:val="00EA331D"/>
    <w:rsid w:val="00EA3B4F"/>
    <w:rsid w:val="00EA42F7"/>
    <w:rsid w:val="00EA4A00"/>
    <w:rsid w:val="00EA5877"/>
    <w:rsid w:val="00EA5AA3"/>
    <w:rsid w:val="00EA6A13"/>
    <w:rsid w:val="00EA6B84"/>
    <w:rsid w:val="00EA727C"/>
    <w:rsid w:val="00EA7344"/>
    <w:rsid w:val="00EA7403"/>
    <w:rsid w:val="00EA7820"/>
    <w:rsid w:val="00EB032A"/>
    <w:rsid w:val="00EB0A42"/>
    <w:rsid w:val="00EB20C7"/>
    <w:rsid w:val="00EB2282"/>
    <w:rsid w:val="00EB31CC"/>
    <w:rsid w:val="00EB3D5D"/>
    <w:rsid w:val="00EB3EBC"/>
    <w:rsid w:val="00EB4641"/>
    <w:rsid w:val="00EB47F8"/>
    <w:rsid w:val="00EB63E2"/>
    <w:rsid w:val="00EB7E00"/>
    <w:rsid w:val="00EC00F7"/>
    <w:rsid w:val="00EC0710"/>
    <w:rsid w:val="00EC0A8F"/>
    <w:rsid w:val="00EC0D7B"/>
    <w:rsid w:val="00EC0E2F"/>
    <w:rsid w:val="00EC10BA"/>
    <w:rsid w:val="00EC1246"/>
    <w:rsid w:val="00EC1E68"/>
    <w:rsid w:val="00EC2DF7"/>
    <w:rsid w:val="00EC330A"/>
    <w:rsid w:val="00EC3825"/>
    <w:rsid w:val="00EC5373"/>
    <w:rsid w:val="00EC5F6E"/>
    <w:rsid w:val="00EC60DE"/>
    <w:rsid w:val="00EC61D1"/>
    <w:rsid w:val="00EC659C"/>
    <w:rsid w:val="00ED054D"/>
    <w:rsid w:val="00ED0774"/>
    <w:rsid w:val="00ED0B14"/>
    <w:rsid w:val="00ED0F75"/>
    <w:rsid w:val="00ED0FCF"/>
    <w:rsid w:val="00ED1DF5"/>
    <w:rsid w:val="00ED2DE3"/>
    <w:rsid w:val="00ED4C37"/>
    <w:rsid w:val="00ED5687"/>
    <w:rsid w:val="00ED5A57"/>
    <w:rsid w:val="00ED6B43"/>
    <w:rsid w:val="00EE11AF"/>
    <w:rsid w:val="00EE169C"/>
    <w:rsid w:val="00EE2037"/>
    <w:rsid w:val="00EE2B37"/>
    <w:rsid w:val="00EE32F0"/>
    <w:rsid w:val="00EE3A49"/>
    <w:rsid w:val="00EE405D"/>
    <w:rsid w:val="00EE4321"/>
    <w:rsid w:val="00EE4333"/>
    <w:rsid w:val="00EE45D3"/>
    <w:rsid w:val="00EE4825"/>
    <w:rsid w:val="00EE52AA"/>
    <w:rsid w:val="00EE531F"/>
    <w:rsid w:val="00EE538D"/>
    <w:rsid w:val="00EE6736"/>
    <w:rsid w:val="00EE6E76"/>
    <w:rsid w:val="00EE72C2"/>
    <w:rsid w:val="00EE7F10"/>
    <w:rsid w:val="00EF0205"/>
    <w:rsid w:val="00EF0479"/>
    <w:rsid w:val="00EF0A12"/>
    <w:rsid w:val="00EF0D56"/>
    <w:rsid w:val="00EF0E46"/>
    <w:rsid w:val="00EF170D"/>
    <w:rsid w:val="00EF2110"/>
    <w:rsid w:val="00EF349C"/>
    <w:rsid w:val="00EF3E18"/>
    <w:rsid w:val="00EF41A9"/>
    <w:rsid w:val="00EF571A"/>
    <w:rsid w:val="00EF79E3"/>
    <w:rsid w:val="00EF7FF8"/>
    <w:rsid w:val="00F014DD"/>
    <w:rsid w:val="00F0380E"/>
    <w:rsid w:val="00F03B9A"/>
    <w:rsid w:val="00F0418D"/>
    <w:rsid w:val="00F04605"/>
    <w:rsid w:val="00F05601"/>
    <w:rsid w:val="00F06561"/>
    <w:rsid w:val="00F07727"/>
    <w:rsid w:val="00F0775F"/>
    <w:rsid w:val="00F078E9"/>
    <w:rsid w:val="00F10601"/>
    <w:rsid w:val="00F10A35"/>
    <w:rsid w:val="00F1102C"/>
    <w:rsid w:val="00F11620"/>
    <w:rsid w:val="00F1205F"/>
    <w:rsid w:val="00F129CC"/>
    <w:rsid w:val="00F12B16"/>
    <w:rsid w:val="00F12F0A"/>
    <w:rsid w:val="00F13135"/>
    <w:rsid w:val="00F133A7"/>
    <w:rsid w:val="00F13755"/>
    <w:rsid w:val="00F13930"/>
    <w:rsid w:val="00F13D50"/>
    <w:rsid w:val="00F13D9D"/>
    <w:rsid w:val="00F14534"/>
    <w:rsid w:val="00F14826"/>
    <w:rsid w:val="00F15113"/>
    <w:rsid w:val="00F15255"/>
    <w:rsid w:val="00F157DF"/>
    <w:rsid w:val="00F15ACE"/>
    <w:rsid w:val="00F15FD4"/>
    <w:rsid w:val="00F167E8"/>
    <w:rsid w:val="00F17CC9"/>
    <w:rsid w:val="00F200CF"/>
    <w:rsid w:val="00F20611"/>
    <w:rsid w:val="00F21FF8"/>
    <w:rsid w:val="00F2262C"/>
    <w:rsid w:val="00F23A59"/>
    <w:rsid w:val="00F23A93"/>
    <w:rsid w:val="00F24047"/>
    <w:rsid w:val="00F24A03"/>
    <w:rsid w:val="00F255DB"/>
    <w:rsid w:val="00F25EEC"/>
    <w:rsid w:val="00F26139"/>
    <w:rsid w:val="00F26902"/>
    <w:rsid w:val="00F27034"/>
    <w:rsid w:val="00F27140"/>
    <w:rsid w:val="00F2733B"/>
    <w:rsid w:val="00F302E6"/>
    <w:rsid w:val="00F30D5B"/>
    <w:rsid w:val="00F31235"/>
    <w:rsid w:val="00F326F1"/>
    <w:rsid w:val="00F336A5"/>
    <w:rsid w:val="00F345BF"/>
    <w:rsid w:val="00F34F52"/>
    <w:rsid w:val="00F3509E"/>
    <w:rsid w:val="00F35180"/>
    <w:rsid w:val="00F356BE"/>
    <w:rsid w:val="00F35D77"/>
    <w:rsid w:val="00F361C7"/>
    <w:rsid w:val="00F37ABF"/>
    <w:rsid w:val="00F37B86"/>
    <w:rsid w:val="00F37D66"/>
    <w:rsid w:val="00F40B81"/>
    <w:rsid w:val="00F41B34"/>
    <w:rsid w:val="00F41D76"/>
    <w:rsid w:val="00F41EE8"/>
    <w:rsid w:val="00F4212F"/>
    <w:rsid w:val="00F42599"/>
    <w:rsid w:val="00F42749"/>
    <w:rsid w:val="00F43A36"/>
    <w:rsid w:val="00F44BA9"/>
    <w:rsid w:val="00F44C20"/>
    <w:rsid w:val="00F44ED6"/>
    <w:rsid w:val="00F45810"/>
    <w:rsid w:val="00F4667A"/>
    <w:rsid w:val="00F501CD"/>
    <w:rsid w:val="00F502E4"/>
    <w:rsid w:val="00F50F2B"/>
    <w:rsid w:val="00F51323"/>
    <w:rsid w:val="00F51829"/>
    <w:rsid w:val="00F51D6D"/>
    <w:rsid w:val="00F52669"/>
    <w:rsid w:val="00F535F7"/>
    <w:rsid w:val="00F54863"/>
    <w:rsid w:val="00F5671D"/>
    <w:rsid w:val="00F57EC9"/>
    <w:rsid w:val="00F606EE"/>
    <w:rsid w:val="00F609C2"/>
    <w:rsid w:val="00F611D9"/>
    <w:rsid w:val="00F61F05"/>
    <w:rsid w:val="00F62147"/>
    <w:rsid w:val="00F64015"/>
    <w:rsid w:val="00F64628"/>
    <w:rsid w:val="00F65944"/>
    <w:rsid w:val="00F66F1A"/>
    <w:rsid w:val="00F66FCA"/>
    <w:rsid w:val="00F70F26"/>
    <w:rsid w:val="00F7190E"/>
    <w:rsid w:val="00F71D1E"/>
    <w:rsid w:val="00F72291"/>
    <w:rsid w:val="00F72EC7"/>
    <w:rsid w:val="00F73C45"/>
    <w:rsid w:val="00F76186"/>
    <w:rsid w:val="00F76434"/>
    <w:rsid w:val="00F7729E"/>
    <w:rsid w:val="00F774A2"/>
    <w:rsid w:val="00F805E0"/>
    <w:rsid w:val="00F80E6D"/>
    <w:rsid w:val="00F81110"/>
    <w:rsid w:val="00F82B98"/>
    <w:rsid w:val="00F8337B"/>
    <w:rsid w:val="00F8370F"/>
    <w:rsid w:val="00F83AB6"/>
    <w:rsid w:val="00F83BB9"/>
    <w:rsid w:val="00F8473C"/>
    <w:rsid w:val="00F84F03"/>
    <w:rsid w:val="00F85011"/>
    <w:rsid w:val="00F85700"/>
    <w:rsid w:val="00F858FA"/>
    <w:rsid w:val="00F85915"/>
    <w:rsid w:val="00F85C4B"/>
    <w:rsid w:val="00F86581"/>
    <w:rsid w:val="00F87A5E"/>
    <w:rsid w:val="00F87C0C"/>
    <w:rsid w:val="00F87C44"/>
    <w:rsid w:val="00F90580"/>
    <w:rsid w:val="00F906F8"/>
    <w:rsid w:val="00F914C6"/>
    <w:rsid w:val="00F9163E"/>
    <w:rsid w:val="00F9211F"/>
    <w:rsid w:val="00F926BD"/>
    <w:rsid w:val="00F94285"/>
    <w:rsid w:val="00F96017"/>
    <w:rsid w:val="00F96927"/>
    <w:rsid w:val="00F97083"/>
    <w:rsid w:val="00F97967"/>
    <w:rsid w:val="00F97DBA"/>
    <w:rsid w:val="00FA1740"/>
    <w:rsid w:val="00FA24BD"/>
    <w:rsid w:val="00FA268C"/>
    <w:rsid w:val="00FA2E92"/>
    <w:rsid w:val="00FA31E9"/>
    <w:rsid w:val="00FA401C"/>
    <w:rsid w:val="00FA4FEF"/>
    <w:rsid w:val="00FA502F"/>
    <w:rsid w:val="00FA5FE5"/>
    <w:rsid w:val="00FA6194"/>
    <w:rsid w:val="00FA6A96"/>
    <w:rsid w:val="00FA7116"/>
    <w:rsid w:val="00FB0ED1"/>
    <w:rsid w:val="00FB0FE3"/>
    <w:rsid w:val="00FB1134"/>
    <w:rsid w:val="00FB1B72"/>
    <w:rsid w:val="00FB1B88"/>
    <w:rsid w:val="00FB2545"/>
    <w:rsid w:val="00FB4BA9"/>
    <w:rsid w:val="00FB4BF2"/>
    <w:rsid w:val="00FB50DA"/>
    <w:rsid w:val="00FB52EC"/>
    <w:rsid w:val="00FB6212"/>
    <w:rsid w:val="00FB661D"/>
    <w:rsid w:val="00FB72C4"/>
    <w:rsid w:val="00FB7510"/>
    <w:rsid w:val="00FC048C"/>
    <w:rsid w:val="00FC0D3B"/>
    <w:rsid w:val="00FC1463"/>
    <w:rsid w:val="00FC152A"/>
    <w:rsid w:val="00FC1555"/>
    <w:rsid w:val="00FC1F8B"/>
    <w:rsid w:val="00FC29FC"/>
    <w:rsid w:val="00FC35CB"/>
    <w:rsid w:val="00FC4342"/>
    <w:rsid w:val="00FC43B7"/>
    <w:rsid w:val="00FC463D"/>
    <w:rsid w:val="00FC4B3F"/>
    <w:rsid w:val="00FC4D35"/>
    <w:rsid w:val="00FC55A0"/>
    <w:rsid w:val="00FC5F58"/>
    <w:rsid w:val="00FC66B8"/>
    <w:rsid w:val="00FC7290"/>
    <w:rsid w:val="00FC7380"/>
    <w:rsid w:val="00FC75DF"/>
    <w:rsid w:val="00FC7FA7"/>
    <w:rsid w:val="00FD0223"/>
    <w:rsid w:val="00FD079A"/>
    <w:rsid w:val="00FD12D2"/>
    <w:rsid w:val="00FD1CBE"/>
    <w:rsid w:val="00FD2EBB"/>
    <w:rsid w:val="00FD5664"/>
    <w:rsid w:val="00FD5DA3"/>
    <w:rsid w:val="00FD5F49"/>
    <w:rsid w:val="00FD61E9"/>
    <w:rsid w:val="00FD6652"/>
    <w:rsid w:val="00FD6A7B"/>
    <w:rsid w:val="00FD6B6E"/>
    <w:rsid w:val="00FD6D6C"/>
    <w:rsid w:val="00FD75FB"/>
    <w:rsid w:val="00FD7672"/>
    <w:rsid w:val="00FD794C"/>
    <w:rsid w:val="00FD7AC0"/>
    <w:rsid w:val="00FD7DB6"/>
    <w:rsid w:val="00FE0EC1"/>
    <w:rsid w:val="00FE115D"/>
    <w:rsid w:val="00FE1F1F"/>
    <w:rsid w:val="00FE1F57"/>
    <w:rsid w:val="00FE2375"/>
    <w:rsid w:val="00FE23DC"/>
    <w:rsid w:val="00FE2F41"/>
    <w:rsid w:val="00FE3243"/>
    <w:rsid w:val="00FE32A0"/>
    <w:rsid w:val="00FE3717"/>
    <w:rsid w:val="00FE37B5"/>
    <w:rsid w:val="00FE39E9"/>
    <w:rsid w:val="00FE3C03"/>
    <w:rsid w:val="00FE5248"/>
    <w:rsid w:val="00FE53BD"/>
    <w:rsid w:val="00FE563D"/>
    <w:rsid w:val="00FE5A60"/>
    <w:rsid w:val="00FE5C51"/>
    <w:rsid w:val="00FE6D5E"/>
    <w:rsid w:val="00FE73D7"/>
    <w:rsid w:val="00FE7559"/>
    <w:rsid w:val="00FE7889"/>
    <w:rsid w:val="00FF057B"/>
    <w:rsid w:val="00FF0AE8"/>
    <w:rsid w:val="00FF155F"/>
    <w:rsid w:val="00FF24AF"/>
    <w:rsid w:val="00FF3267"/>
    <w:rsid w:val="00FF346D"/>
    <w:rsid w:val="00FF402A"/>
    <w:rsid w:val="00FF4169"/>
    <w:rsid w:val="00FF5171"/>
    <w:rsid w:val="00FF5AD9"/>
    <w:rsid w:val="00FF5EAA"/>
    <w:rsid w:val="00FF7A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5961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114"/>
    <w:rPr>
      <w:sz w:val="28"/>
      <w:lang w:val="es-ES" w:eastAsia="es-ES"/>
    </w:rPr>
  </w:style>
  <w:style w:type="paragraph" w:styleId="Ttulo1">
    <w:name w:val="heading 1"/>
    <w:basedOn w:val="Normal"/>
    <w:next w:val="Normal"/>
    <w:link w:val="Ttulo1Car"/>
    <w:qFormat/>
    <w:rsid w:val="00187114"/>
    <w:pPr>
      <w:keepNext/>
      <w:jc w:val="center"/>
      <w:outlineLvl w:val="0"/>
    </w:pPr>
    <w:rPr>
      <w:b/>
    </w:rPr>
  </w:style>
  <w:style w:type="paragraph" w:styleId="Ttulo3">
    <w:name w:val="heading 3"/>
    <w:basedOn w:val="Normal"/>
    <w:next w:val="Normal"/>
    <w:link w:val="Ttulo3Car"/>
    <w:qFormat/>
    <w:rsid w:val="00187114"/>
    <w:pPr>
      <w:keepNext/>
      <w:ind w:right="-232"/>
      <w:jc w:val="center"/>
      <w:outlineLvl w:val="2"/>
    </w:pPr>
    <w:rPr>
      <w:b/>
    </w:rPr>
  </w:style>
  <w:style w:type="paragraph" w:styleId="Ttulo4">
    <w:name w:val="heading 4"/>
    <w:basedOn w:val="Normal"/>
    <w:next w:val="Normal"/>
    <w:link w:val="Ttulo4Car"/>
    <w:qFormat/>
    <w:rsid w:val="00566BC1"/>
    <w:pPr>
      <w:keepNext/>
      <w:spacing w:before="240" w:after="60"/>
      <w:outlineLvl w:val="3"/>
    </w:pPr>
    <w:rPr>
      <w:b/>
      <w:bCs/>
      <w:szCs w:val="28"/>
    </w:rPr>
  </w:style>
  <w:style w:type="paragraph" w:styleId="Ttulo7">
    <w:name w:val="heading 7"/>
    <w:basedOn w:val="Normal"/>
    <w:next w:val="Normal"/>
    <w:link w:val="Ttulo7Car"/>
    <w:qFormat/>
    <w:rsid w:val="00FF057B"/>
    <w:pPr>
      <w:spacing w:before="240" w:after="60"/>
      <w:outlineLvl w:val="6"/>
    </w:pPr>
    <w:rPr>
      <w:sz w:val="24"/>
      <w:szCs w:val="24"/>
      <w:lang w:val="es-CO"/>
    </w:rPr>
  </w:style>
  <w:style w:type="paragraph" w:styleId="Ttulo8">
    <w:name w:val="heading 8"/>
    <w:basedOn w:val="Normal"/>
    <w:next w:val="Normal"/>
    <w:link w:val="Ttulo8Car"/>
    <w:qFormat/>
    <w:rsid w:val="00187114"/>
    <w:pPr>
      <w:keepNext/>
      <w:jc w:val="center"/>
      <w:outlineLvl w:val="7"/>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187114"/>
    <w:pPr>
      <w:spacing w:line="360" w:lineRule="auto"/>
      <w:jc w:val="both"/>
    </w:pPr>
    <w:rPr>
      <w:rFonts w:ascii="Bookman Old Style" w:hAnsi="Bookman Old Style"/>
    </w:rPr>
  </w:style>
  <w:style w:type="paragraph" w:styleId="Encabezado">
    <w:name w:val="header"/>
    <w:basedOn w:val="Normal"/>
    <w:link w:val="EncabezadoCar"/>
    <w:uiPriority w:val="99"/>
    <w:rsid w:val="00187114"/>
    <w:pPr>
      <w:tabs>
        <w:tab w:val="center" w:pos="4252"/>
        <w:tab w:val="right" w:pos="8504"/>
      </w:tabs>
    </w:pPr>
    <w:rPr>
      <w:sz w:val="20"/>
    </w:rPr>
  </w:style>
  <w:style w:type="character" w:styleId="Nmerodepgina">
    <w:name w:val="page number"/>
    <w:basedOn w:val="Fuentedeprrafopredeter"/>
    <w:rsid w:val="00187114"/>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texto de nota al pi"/>
    <w:basedOn w:val="Normal"/>
    <w:link w:val="TextonotapieCar1"/>
    <w:uiPriority w:val="99"/>
    <w:qFormat/>
    <w:rsid w:val="00187114"/>
    <w:rPr>
      <w:sz w:val="20"/>
      <w:lang w:val="x-none"/>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link w:val="Refdenotaalpie2"/>
    <w:uiPriority w:val="99"/>
    <w:qFormat/>
    <w:rsid w:val="00187114"/>
    <w:rPr>
      <w:vertAlign w:val="superscript"/>
    </w:rPr>
  </w:style>
  <w:style w:type="paragraph" w:styleId="Textodebloque">
    <w:name w:val="Block Text"/>
    <w:basedOn w:val="Normal"/>
    <w:rsid w:val="00187114"/>
    <w:pPr>
      <w:ind w:left="3686" w:right="51"/>
      <w:jc w:val="both"/>
    </w:pPr>
  </w:style>
  <w:style w:type="paragraph" w:customStyle="1" w:styleId="BodyText21">
    <w:name w:val="Body Text 21"/>
    <w:basedOn w:val="Normal"/>
    <w:uiPriority w:val="99"/>
    <w:rsid w:val="00566BC1"/>
    <w:pPr>
      <w:tabs>
        <w:tab w:val="left" w:pos="1843"/>
      </w:tabs>
      <w:overflowPunct w:val="0"/>
      <w:autoSpaceDE w:val="0"/>
      <w:autoSpaceDN w:val="0"/>
      <w:adjustRightInd w:val="0"/>
      <w:ind w:right="51"/>
      <w:jc w:val="both"/>
      <w:textAlignment w:val="baseline"/>
    </w:pPr>
    <w:rPr>
      <w:szCs w:val="28"/>
      <w:lang w:val="es-ES_tradnl"/>
    </w:rPr>
  </w:style>
  <w:style w:type="paragraph" w:customStyle="1" w:styleId="BodyTextIndent21">
    <w:name w:val="Body Text Indent 21"/>
    <w:basedOn w:val="Normal"/>
    <w:rsid w:val="00CD3753"/>
    <w:pPr>
      <w:ind w:left="993" w:hanging="142"/>
      <w:jc w:val="both"/>
    </w:pPr>
    <w:rPr>
      <w:lang w:val="es-CO"/>
    </w:rPr>
  </w:style>
  <w:style w:type="paragraph" w:styleId="Piedepgina">
    <w:name w:val="footer"/>
    <w:basedOn w:val="Normal"/>
    <w:link w:val="PiedepginaCar"/>
    <w:uiPriority w:val="99"/>
    <w:rsid w:val="00605B8C"/>
    <w:pPr>
      <w:tabs>
        <w:tab w:val="center" w:pos="4252"/>
        <w:tab w:val="right" w:pos="8504"/>
      </w:tabs>
    </w:pPr>
  </w:style>
  <w:style w:type="paragraph" w:styleId="Textoindependiente3">
    <w:name w:val="Body Text 3"/>
    <w:basedOn w:val="Normal"/>
    <w:link w:val="Textoindependiente3Car"/>
    <w:rsid w:val="00E7105B"/>
    <w:pPr>
      <w:spacing w:after="120"/>
    </w:pPr>
    <w:rPr>
      <w:sz w:val="16"/>
      <w:szCs w:val="16"/>
    </w:rPr>
  </w:style>
  <w:style w:type="paragraph" w:styleId="Textoindependiente2">
    <w:name w:val="Body Text 2"/>
    <w:basedOn w:val="Normal"/>
    <w:link w:val="Textoindependiente2Car"/>
    <w:uiPriority w:val="99"/>
    <w:rsid w:val="006213D4"/>
    <w:pPr>
      <w:spacing w:after="120" w:line="480" w:lineRule="auto"/>
    </w:pPr>
  </w:style>
  <w:style w:type="paragraph" w:styleId="Sangradetextonormal">
    <w:name w:val="Body Text Indent"/>
    <w:basedOn w:val="Normal"/>
    <w:link w:val="SangradetextonormalCar"/>
    <w:rsid w:val="005F5850"/>
    <w:pPr>
      <w:spacing w:after="120"/>
      <w:ind w:left="283"/>
    </w:pPr>
  </w:style>
  <w:style w:type="paragraph" w:customStyle="1" w:styleId="cuerpocentral1">
    <w:name w:val="cuerpocentral1"/>
    <w:basedOn w:val="Normal"/>
    <w:rsid w:val="00165930"/>
    <w:pPr>
      <w:spacing w:before="100" w:beforeAutospacing="1" w:after="100" w:afterAutospacing="1"/>
    </w:pPr>
    <w:rPr>
      <w:color w:val="7D7D7D"/>
      <w:sz w:val="18"/>
      <w:szCs w:val="18"/>
    </w:rPr>
  </w:style>
  <w:style w:type="character" w:customStyle="1" w:styleId="font-familyverdana">
    <w:name w:val="font-family: verdana"/>
    <w:basedOn w:val="Fuentedeprrafopredeter"/>
    <w:rsid w:val="00165930"/>
  </w:style>
  <w:style w:type="paragraph" w:styleId="Cita">
    <w:name w:val="Quote"/>
    <w:basedOn w:val="Normal"/>
    <w:next w:val="Normal"/>
    <w:link w:val="CitaCar"/>
    <w:qFormat/>
    <w:rsid w:val="00AB51D6"/>
    <w:rPr>
      <w:i/>
      <w:iCs/>
      <w:color w:val="000000"/>
    </w:rPr>
  </w:style>
  <w:style w:type="character" w:customStyle="1" w:styleId="CitaCar">
    <w:name w:val="Cita Car"/>
    <w:link w:val="Cita"/>
    <w:rsid w:val="00AB51D6"/>
    <w:rPr>
      <w:i/>
      <w:iCs/>
      <w:color w:val="000000"/>
      <w:sz w:val="28"/>
      <w:lang w:val="es-ES" w:eastAsia="es-ES" w:bidi="ar-SA"/>
    </w:rPr>
  </w:style>
  <w:style w:type="table" w:styleId="Tablaconcuadrcula">
    <w:name w:val="Table Grid"/>
    <w:basedOn w:val="Tablanormal"/>
    <w:uiPriority w:val="39"/>
    <w:rsid w:val="0072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866A18"/>
    <w:rPr>
      <w:rFonts w:ascii="Segoe UI" w:hAnsi="Segoe UI"/>
      <w:sz w:val="18"/>
      <w:szCs w:val="18"/>
      <w:lang w:val="x-none" w:eastAsia="x-none"/>
    </w:rPr>
  </w:style>
  <w:style w:type="character" w:customStyle="1" w:styleId="TextodegloboCar">
    <w:name w:val="Texto de globo Car"/>
    <w:link w:val="Textodeglobo"/>
    <w:uiPriority w:val="99"/>
    <w:rsid w:val="00866A18"/>
    <w:rPr>
      <w:rFonts w:ascii="Segoe UI" w:hAnsi="Segoe UI" w:cs="Segoe UI"/>
      <w:sz w:val="18"/>
      <w:szCs w:val="18"/>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texto de nota al pi Car"/>
    <w:link w:val="Textonotapie"/>
    <w:uiPriority w:val="99"/>
    <w:locked/>
    <w:rsid w:val="0072491E"/>
    <w:rPr>
      <w:lang w:eastAsia="es-ES"/>
    </w:rPr>
  </w:style>
  <w:style w:type="paragraph" w:styleId="Prrafodelista">
    <w:name w:val="List Paragraph"/>
    <w:aliases w:val="Footnote,Colorful List - Accent 11,List Paragraph2,List Paragraph1"/>
    <w:basedOn w:val="Normal"/>
    <w:link w:val="PrrafodelistaCar"/>
    <w:uiPriority w:val="34"/>
    <w:qFormat/>
    <w:rsid w:val="005E4E82"/>
    <w:pPr>
      <w:ind w:left="708"/>
    </w:pPr>
  </w:style>
  <w:style w:type="paragraph" w:styleId="NormalWeb">
    <w:name w:val="Normal (Web)"/>
    <w:basedOn w:val="Normal"/>
    <w:uiPriority w:val="99"/>
    <w:unhideWhenUsed/>
    <w:rsid w:val="0026456E"/>
    <w:pPr>
      <w:spacing w:before="100" w:beforeAutospacing="1" w:after="100" w:afterAutospacing="1"/>
    </w:pPr>
    <w:rPr>
      <w:sz w:val="24"/>
      <w:szCs w:val="24"/>
      <w:lang w:val="es-CO" w:eastAsia="es-CO" w:bidi="bo-CN"/>
    </w:rPr>
  </w:style>
  <w:style w:type="character" w:styleId="Refdecomentario">
    <w:name w:val="annotation reference"/>
    <w:uiPriority w:val="99"/>
    <w:unhideWhenUsed/>
    <w:rsid w:val="0026456E"/>
    <w:rPr>
      <w:sz w:val="16"/>
      <w:szCs w:val="16"/>
    </w:rPr>
  </w:style>
  <w:style w:type="paragraph" w:styleId="Textocomentario">
    <w:name w:val="annotation text"/>
    <w:basedOn w:val="Normal"/>
    <w:link w:val="TextocomentarioCar"/>
    <w:uiPriority w:val="99"/>
    <w:unhideWhenUsed/>
    <w:rsid w:val="0026456E"/>
    <w:pPr>
      <w:spacing w:after="160"/>
    </w:pPr>
    <w:rPr>
      <w:rFonts w:ascii="Calibri" w:eastAsia="Calibri" w:hAnsi="Calibri"/>
      <w:sz w:val="20"/>
      <w:lang w:eastAsia="en-US"/>
    </w:rPr>
  </w:style>
  <w:style w:type="character" w:customStyle="1" w:styleId="TextocomentarioCar">
    <w:name w:val="Texto comentario Car"/>
    <w:link w:val="Textocomentario"/>
    <w:uiPriority w:val="99"/>
    <w:rsid w:val="0026456E"/>
    <w:rPr>
      <w:rFonts w:ascii="Calibri" w:eastAsia="Calibri" w:hAnsi="Calibri" w:cs="Microsoft Himalaya"/>
      <w:lang w:val="es-ES" w:eastAsia="en-US"/>
    </w:rPr>
  </w:style>
  <w:style w:type="paragraph" w:styleId="Asuntodelcomentario">
    <w:name w:val="annotation subject"/>
    <w:basedOn w:val="Textocomentario"/>
    <w:next w:val="Textocomentario"/>
    <w:link w:val="AsuntodelcomentarioCar"/>
    <w:uiPriority w:val="99"/>
    <w:unhideWhenUsed/>
    <w:rsid w:val="0026456E"/>
    <w:rPr>
      <w:b/>
      <w:bCs/>
    </w:rPr>
  </w:style>
  <w:style w:type="character" w:customStyle="1" w:styleId="AsuntodelcomentarioCar">
    <w:name w:val="Asunto del comentario Car"/>
    <w:link w:val="Asuntodelcomentario"/>
    <w:uiPriority w:val="99"/>
    <w:rsid w:val="0026456E"/>
    <w:rPr>
      <w:rFonts w:ascii="Calibri" w:eastAsia="Calibri" w:hAnsi="Calibri" w:cs="Microsoft Himalaya"/>
      <w:b/>
      <w:bCs/>
      <w:lang w:val="es-ES" w:eastAsia="en-US"/>
    </w:rPr>
  </w:style>
  <w:style w:type="character" w:customStyle="1" w:styleId="EncabezadoCar">
    <w:name w:val="Encabezado Car"/>
    <w:link w:val="Encabezado"/>
    <w:uiPriority w:val="99"/>
    <w:rsid w:val="0026456E"/>
    <w:rPr>
      <w:lang w:val="es-ES" w:eastAsia="es-ES"/>
    </w:rPr>
  </w:style>
  <w:style w:type="character" w:customStyle="1" w:styleId="PiedepginaCar">
    <w:name w:val="Pie de página Car"/>
    <w:link w:val="Piedepgina"/>
    <w:uiPriority w:val="99"/>
    <w:rsid w:val="0026456E"/>
    <w:rPr>
      <w:sz w:val="28"/>
      <w:lang w:val="es-ES" w:eastAsia="es-ES"/>
    </w:rPr>
  </w:style>
  <w:style w:type="character" w:styleId="Hipervnculo">
    <w:name w:val="Hyperlink"/>
    <w:uiPriority w:val="99"/>
    <w:unhideWhenUsed/>
    <w:rsid w:val="0026456E"/>
    <w:rPr>
      <w:color w:val="0563C1"/>
      <w:u w:val="single"/>
    </w:rPr>
  </w:style>
  <w:style w:type="character" w:customStyle="1" w:styleId="UnresolvedMention">
    <w:name w:val="Unresolved Mention"/>
    <w:uiPriority w:val="99"/>
    <w:semiHidden/>
    <w:unhideWhenUsed/>
    <w:rsid w:val="005B4FE4"/>
    <w:rPr>
      <w:color w:val="605E5C"/>
      <w:shd w:val="clear" w:color="auto" w:fill="E1DFDD"/>
    </w:rPr>
  </w:style>
  <w:style w:type="paragraph" w:customStyle="1" w:styleId="Refdenotaalpie2">
    <w:name w:val="Ref. de nota al pie2"/>
    <w:aliases w:val="Pie de pagina"/>
    <w:basedOn w:val="Normal"/>
    <w:link w:val="Refdenotaalpie"/>
    <w:uiPriority w:val="99"/>
    <w:rsid w:val="0068503C"/>
    <w:pPr>
      <w:spacing w:after="160" w:line="240" w:lineRule="exact"/>
    </w:pPr>
    <w:rPr>
      <w:sz w:val="20"/>
      <w:vertAlign w:val="superscript"/>
      <w:lang w:val="x-none" w:eastAsia="x-none"/>
    </w:rPr>
  </w:style>
  <w:style w:type="character" w:customStyle="1" w:styleId="CorteCar">
    <w:name w:val="Corte Car"/>
    <w:link w:val="Corte"/>
    <w:locked/>
    <w:rsid w:val="003722D9"/>
    <w:rPr>
      <w:lang w:val="es-ES" w:eastAsia="x-none"/>
    </w:rPr>
  </w:style>
  <w:style w:type="paragraph" w:customStyle="1" w:styleId="Corte">
    <w:name w:val="Corte"/>
    <w:basedOn w:val="Textonotapie"/>
    <w:link w:val="CorteCar"/>
    <w:autoRedefine/>
    <w:qFormat/>
    <w:rsid w:val="003722D9"/>
    <w:pPr>
      <w:jc w:val="both"/>
    </w:pPr>
    <w:rPr>
      <w:lang w:val="es-ES" w:eastAsia="x-none"/>
    </w:rPr>
  </w:style>
  <w:style w:type="table" w:customStyle="1" w:styleId="Tablaconcuadrcula1">
    <w:name w:val="Tabla con cuadrícula1"/>
    <w:basedOn w:val="Tablanormal"/>
    <w:next w:val="Tablaconcuadrcula"/>
    <w:uiPriority w:val="39"/>
    <w:rsid w:val="00ED05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gender0punto5">
    <w:name w:val="margen_der_0punto5"/>
    <w:basedOn w:val="Normal"/>
    <w:rsid w:val="00632BC5"/>
    <w:pPr>
      <w:spacing w:before="100" w:beforeAutospacing="1" w:after="100" w:afterAutospacing="1"/>
    </w:pPr>
    <w:rPr>
      <w:sz w:val="24"/>
      <w:szCs w:val="24"/>
      <w:lang w:val="es-CO" w:eastAsia="es-CO"/>
    </w:rPr>
  </w:style>
  <w:style w:type="character" w:customStyle="1" w:styleId="letra14pt">
    <w:name w:val="letra14pt"/>
    <w:rsid w:val="00632BC5"/>
  </w:style>
  <w:style w:type="character" w:customStyle="1" w:styleId="baj">
    <w:name w:val="b_aj"/>
    <w:rsid w:val="00632BC5"/>
  </w:style>
  <w:style w:type="paragraph" w:customStyle="1" w:styleId="DecimalAligned">
    <w:name w:val="Decimal Aligned"/>
    <w:basedOn w:val="Normal"/>
    <w:uiPriority w:val="40"/>
    <w:qFormat/>
    <w:rsid w:val="00307137"/>
    <w:pPr>
      <w:tabs>
        <w:tab w:val="decimal" w:pos="360"/>
      </w:tabs>
      <w:spacing w:after="200" w:line="276" w:lineRule="auto"/>
    </w:pPr>
    <w:rPr>
      <w:rFonts w:ascii="Calibri" w:hAnsi="Calibri"/>
      <w:sz w:val="22"/>
      <w:szCs w:val="22"/>
      <w:lang w:eastAsia="en-US"/>
    </w:rPr>
  </w:style>
  <w:style w:type="character" w:styleId="nfasissutil">
    <w:name w:val="Subtle Emphasis"/>
    <w:uiPriority w:val="19"/>
    <w:qFormat/>
    <w:rsid w:val="00307137"/>
    <w:rPr>
      <w:rFonts w:eastAsia="Times New Roman" w:cs="Times New Roman"/>
      <w:bCs w:val="0"/>
      <w:i/>
      <w:iCs/>
      <w:color w:val="808080"/>
      <w:szCs w:val="22"/>
      <w:lang w:val="es-ES"/>
    </w:rPr>
  </w:style>
  <w:style w:type="table" w:styleId="Sombreadoclaro-nfasis1">
    <w:name w:val="Light Shading Accent 1"/>
    <w:basedOn w:val="Tablanormal"/>
    <w:uiPriority w:val="60"/>
    <w:rsid w:val="00307137"/>
    <w:rPr>
      <w:rFonts w:ascii="Calibri" w:hAnsi="Calibri"/>
      <w:color w:val="365F91"/>
      <w:sz w:val="22"/>
      <w:szCs w:val="22"/>
      <w:lang w:val="es-E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2">
    <w:name w:val="Calendar 2"/>
    <w:basedOn w:val="Tablanormal"/>
    <w:uiPriority w:val="99"/>
    <w:qFormat/>
    <w:rsid w:val="00307137"/>
    <w:pPr>
      <w:jc w:val="center"/>
    </w:pPr>
    <w:rPr>
      <w:rFonts w:ascii="Calibri" w:hAnsi="Calibri"/>
      <w:sz w:val="28"/>
      <w:szCs w:val="28"/>
      <w:lang w:val="es-ES" w:eastAsia="en-US"/>
    </w:rPr>
    <w:tblPr>
      <w:tblInd w:w="0" w:type="dxa"/>
      <w:tblBorders>
        <w:insideV w:val="single" w:sz="4" w:space="0" w:color="95B3D7"/>
      </w:tblBorders>
      <w:tblCellMar>
        <w:top w:w="0" w:type="dxa"/>
        <w:left w:w="108" w:type="dxa"/>
        <w:bottom w:w="0" w:type="dxa"/>
        <w:right w:w="108" w:type="dxa"/>
      </w:tblCellMar>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PrrafodelistaCar">
    <w:name w:val="Párrafo de lista Car"/>
    <w:aliases w:val="Footnote Car,Colorful List - Accent 11 Car,List Paragraph2 Car,List Paragraph1 Car"/>
    <w:link w:val="Prrafodelista"/>
    <w:uiPriority w:val="34"/>
    <w:locked/>
    <w:rsid w:val="00102313"/>
    <w:rPr>
      <w:sz w:val="28"/>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102313"/>
    <w:pPr>
      <w:jc w:val="both"/>
    </w:pPr>
    <w:rPr>
      <w:rFonts w:eastAsia="Calibri"/>
      <w:sz w:val="20"/>
      <w:szCs w:val="22"/>
      <w:vertAlign w:val="superscript"/>
      <w:lang w:val="es-CO" w:eastAsia="en-US"/>
    </w:rPr>
  </w:style>
  <w:style w:type="character" w:customStyle="1" w:styleId="apple-converted-space">
    <w:name w:val="apple-converted-space"/>
    <w:rsid w:val="00BC43A8"/>
  </w:style>
  <w:style w:type="numbering" w:customStyle="1" w:styleId="Sinlista1">
    <w:name w:val="Sin lista1"/>
    <w:next w:val="Sinlista"/>
    <w:uiPriority w:val="99"/>
    <w:semiHidden/>
    <w:unhideWhenUsed/>
    <w:rsid w:val="007E1DBB"/>
  </w:style>
  <w:style w:type="paragraph" w:customStyle="1" w:styleId="msonormal0">
    <w:name w:val="msonormal"/>
    <w:basedOn w:val="Normal"/>
    <w:rsid w:val="007E1DBB"/>
    <w:pPr>
      <w:spacing w:before="100" w:beforeAutospacing="1" w:after="100" w:afterAutospacing="1"/>
    </w:pPr>
    <w:rPr>
      <w:sz w:val="24"/>
      <w:szCs w:val="24"/>
      <w:lang w:val="es-CO" w:eastAsia="es-CO"/>
    </w:rPr>
  </w:style>
  <w:style w:type="character" w:styleId="Hipervnculovisitado">
    <w:name w:val="FollowedHyperlink"/>
    <w:uiPriority w:val="99"/>
    <w:unhideWhenUsed/>
    <w:rsid w:val="007E1DBB"/>
    <w:rPr>
      <w:color w:val="800080"/>
      <w:u w:val="single"/>
    </w:rPr>
  </w:style>
  <w:style w:type="paragraph" w:customStyle="1" w:styleId="bodytext210">
    <w:name w:val="bodytext21"/>
    <w:basedOn w:val="Normal"/>
    <w:rsid w:val="007E1DBB"/>
    <w:pPr>
      <w:spacing w:before="100" w:beforeAutospacing="1" w:after="100" w:afterAutospacing="1"/>
    </w:pPr>
    <w:rPr>
      <w:sz w:val="24"/>
      <w:szCs w:val="24"/>
      <w:lang w:val="es-CO" w:eastAsia="es-CO"/>
    </w:rPr>
  </w:style>
  <w:style w:type="character" w:customStyle="1" w:styleId="Textoindependiente2Car">
    <w:name w:val="Texto independiente 2 Car"/>
    <w:link w:val="Textoindependiente2"/>
    <w:uiPriority w:val="99"/>
    <w:rsid w:val="007E1DBB"/>
    <w:rPr>
      <w:sz w:val="28"/>
      <w:lang w:val="es-ES" w:eastAsia="es-ES"/>
    </w:rPr>
  </w:style>
  <w:style w:type="character" w:customStyle="1" w:styleId="TextoindependienteCar">
    <w:name w:val="Texto independiente Car"/>
    <w:link w:val="Textoindependiente"/>
    <w:uiPriority w:val="99"/>
    <w:rsid w:val="007E1DBB"/>
    <w:rPr>
      <w:rFonts w:ascii="Bookman Old Style" w:hAnsi="Bookman Old Style"/>
      <w:sz w:val="28"/>
      <w:lang w:val="es-ES" w:eastAsia="es-ES"/>
    </w:rPr>
  </w:style>
  <w:style w:type="paragraph" w:customStyle="1" w:styleId="bodytext22">
    <w:name w:val="bodytext22"/>
    <w:basedOn w:val="Normal"/>
    <w:rsid w:val="007E1DBB"/>
    <w:pPr>
      <w:spacing w:before="100" w:beforeAutospacing="1" w:after="100" w:afterAutospacing="1"/>
    </w:pPr>
    <w:rPr>
      <w:sz w:val="24"/>
      <w:szCs w:val="24"/>
      <w:lang w:val="es-CO" w:eastAsia="es-CO"/>
    </w:rPr>
  </w:style>
  <w:style w:type="paragraph" w:styleId="Revisin">
    <w:name w:val="Revision"/>
    <w:hidden/>
    <w:uiPriority w:val="99"/>
    <w:semiHidden/>
    <w:rsid w:val="00AA59E0"/>
    <w:rPr>
      <w:sz w:val="28"/>
      <w:lang w:val="es-ES" w:eastAsia="es-ES"/>
    </w:rPr>
  </w:style>
  <w:style w:type="character" w:customStyle="1" w:styleId="Ttulo1Car">
    <w:name w:val="Título 1 Car"/>
    <w:link w:val="Ttulo1"/>
    <w:rsid w:val="00941426"/>
    <w:rPr>
      <w:b/>
      <w:sz w:val="28"/>
      <w:lang w:val="es-ES" w:eastAsia="es-ES"/>
    </w:rPr>
  </w:style>
  <w:style w:type="character" w:customStyle="1" w:styleId="Ttulo3Car">
    <w:name w:val="Título 3 Car"/>
    <w:link w:val="Ttulo3"/>
    <w:rsid w:val="00941426"/>
    <w:rPr>
      <w:b/>
      <w:sz w:val="28"/>
      <w:lang w:val="es-ES" w:eastAsia="es-ES"/>
    </w:rPr>
  </w:style>
  <w:style w:type="character" w:customStyle="1" w:styleId="Ttulo4Car">
    <w:name w:val="Título 4 Car"/>
    <w:link w:val="Ttulo4"/>
    <w:rsid w:val="00941426"/>
    <w:rPr>
      <w:b/>
      <w:bCs/>
      <w:sz w:val="28"/>
      <w:szCs w:val="28"/>
      <w:lang w:val="es-ES" w:eastAsia="es-ES"/>
    </w:rPr>
  </w:style>
  <w:style w:type="character" w:customStyle="1" w:styleId="Ttulo7Car">
    <w:name w:val="Título 7 Car"/>
    <w:link w:val="Ttulo7"/>
    <w:rsid w:val="00941426"/>
    <w:rPr>
      <w:sz w:val="24"/>
      <w:szCs w:val="24"/>
      <w:lang w:eastAsia="es-ES"/>
    </w:rPr>
  </w:style>
  <w:style w:type="character" w:customStyle="1" w:styleId="Ttulo8Car">
    <w:name w:val="Título 8 Car"/>
    <w:link w:val="Ttulo8"/>
    <w:rsid w:val="00941426"/>
    <w:rPr>
      <w:sz w:val="28"/>
      <w:lang w:val="es-ES" w:eastAsia="es-ES"/>
    </w:rPr>
  </w:style>
  <w:style w:type="character" w:customStyle="1" w:styleId="Textoindependiente3Car">
    <w:name w:val="Texto independiente 3 Car"/>
    <w:link w:val="Textoindependiente3"/>
    <w:rsid w:val="00941426"/>
    <w:rPr>
      <w:sz w:val="16"/>
      <w:szCs w:val="16"/>
      <w:lang w:val="es-ES" w:eastAsia="es-ES"/>
    </w:rPr>
  </w:style>
  <w:style w:type="character" w:customStyle="1" w:styleId="SangradetextonormalCar">
    <w:name w:val="Sangría de texto normal Car"/>
    <w:link w:val="Sangradetextonormal"/>
    <w:rsid w:val="00941426"/>
    <w:rPr>
      <w:sz w:val="28"/>
      <w:lang w:val="es-ES" w:eastAsia="es-ES"/>
    </w:rPr>
  </w:style>
  <w:style w:type="character" w:styleId="Textoennegrita">
    <w:name w:val="Strong"/>
    <w:uiPriority w:val="22"/>
    <w:qFormat/>
    <w:rsid w:val="00EE11AF"/>
    <w:rPr>
      <w:b/>
      <w:bCs/>
    </w:rPr>
  </w:style>
  <w:style w:type="character" w:customStyle="1" w:styleId="CitasCorteCar">
    <w:name w:val="Citas Corte Car"/>
    <w:link w:val="CitasCorte"/>
    <w:locked/>
    <w:rsid w:val="009B1A8E"/>
    <w:rPr>
      <w:lang w:val="es-ES_tradnl" w:eastAsia="es-ES_tradnl"/>
    </w:rPr>
  </w:style>
  <w:style w:type="paragraph" w:customStyle="1" w:styleId="CitasCorte">
    <w:name w:val="Citas Corte"/>
    <w:basedOn w:val="Normal"/>
    <w:link w:val="CitasCorteCar"/>
    <w:qFormat/>
    <w:rsid w:val="009B1A8E"/>
    <w:pPr>
      <w:jc w:val="both"/>
    </w:pPr>
    <w:rPr>
      <w:sz w:val="20"/>
      <w:lang w:val="es-ES_tradnl" w:eastAsia="es-ES_tradnl"/>
    </w:rPr>
  </w:style>
  <w:style w:type="paragraph" w:styleId="Sinespaciado">
    <w:name w:val="No Spacing"/>
    <w:link w:val="SinespaciadoCar"/>
    <w:uiPriority w:val="1"/>
    <w:qFormat/>
    <w:rsid w:val="00B73DFD"/>
    <w:rPr>
      <w:rFonts w:ascii="Calibri" w:eastAsia="Calibri" w:hAnsi="Calibri"/>
      <w:sz w:val="22"/>
      <w:szCs w:val="22"/>
      <w:lang w:eastAsia="en-US"/>
    </w:rPr>
  </w:style>
  <w:style w:type="character" w:customStyle="1" w:styleId="SinespaciadoCar">
    <w:name w:val="Sin espaciado Car"/>
    <w:link w:val="Sinespaciado"/>
    <w:uiPriority w:val="1"/>
    <w:locked/>
    <w:rsid w:val="004F3CB0"/>
    <w:rPr>
      <w:rFonts w:ascii="Calibri" w:eastAsia="Calibri" w:hAnsi="Calibri"/>
      <w:sz w:val="22"/>
      <w:szCs w:val="22"/>
      <w:lang w:eastAsia="en-US"/>
    </w:rPr>
  </w:style>
  <w:style w:type="paragraph" w:customStyle="1" w:styleId="xgmail-msolistparagraph">
    <w:name w:val="x_gmail-msolistparagraph"/>
    <w:basedOn w:val="Normal"/>
    <w:rsid w:val="00AE1B4A"/>
    <w:pPr>
      <w:spacing w:before="100" w:beforeAutospacing="1" w:after="100" w:afterAutospacing="1"/>
    </w:pPr>
    <w:rPr>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114"/>
    <w:rPr>
      <w:sz w:val="28"/>
      <w:lang w:val="es-ES" w:eastAsia="es-ES"/>
    </w:rPr>
  </w:style>
  <w:style w:type="paragraph" w:styleId="Ttulo1">
    <w:name w:val="heading 1"/>
    <w:basedOn w:val="Normal"/>
    <w:next w:val="Normal"/>
    <w:link w:val="Ttulo1Car"/>
    <w:qFormat/>
    <w:rsid w:val="00187114"/>
    <w:pPr>
      <w:keepNext/>
      <w:jc w:val="center"/>
      <w:outlineLvl w:val="0"/>
    </w:pPr>
    <w:rPr>
      <w:b/>
    </w:rPr>
  </w:style>
  <w:style w:type="paragraph" w:styleId="Ttulo3">
    <w:name w:val="heading 3"/>
    <w:basedOn w:val="Normal"/>
    <w:next w:val="Normal"/>
    <w:link w:val="Ttulo3Car"/>
    <w:qFormat/>
    <w:rsid w:val="00187114"/>
    <w:pPr>
      <w:keepNext/>
      <w:ind w:right="-232"/>
      <w:jc w:val="center"/>
      <w:outlineLvl w:val="2"/>
    </w:pPr>
    <w:rPr>
      <w:b/>
    </w:rPr>
  </w:style>
  <w:style w:type="paragraph" w:styleId="Ttulo4">
    <w:name w:val="heading 4"/>
    <w:basedOn w:val="Normal"/>
    <w:next w:val="Normal"/>
    <w:link w:val="Ttulo4Car"/>
    <w:qFormat/>
    <w:rsid w:val="00566BC1"/>
    <w:pPr>
      <w:keepNext/>
      <w:spacing w:before="240" w:after="60"/>
      <w:outlineLvl w:val="3"/>
    </w:pPr>
    <w:rPr>
      <w:b/>
      <w:bCs/>
      <w:szCs w:val="28"/>
    </w:rPr>
  </w:style>
  <w:style w:type="paragraph" w:styleId="Ttulo7">
    <w:name w:val="heading 7"/>
    <w:basedOn w:val="Normal"/>
    <w:next w:val="Normal"/>
    <w:link w:val="Ttulo7Car"/>
    <w:qFormat/>
    <w:rsid w:val="00FF057B"/>
    <w:pPr>
      <w:spacing w:before="240" w:after="60"/>
      <w:outlineLvl w:val="6"/>
    </w:pPr>
    <w:rPr>
      <w:sz w:val="24"/>
      <w:szCs w:val="24"/>
      <w:lang w:val="es-CO"/>
    </w:rPr>
  </w:style>
  <w:style w:type="paragraph" w:styleId="Ttulo8">
    <w:name w:val="heading 8"/>
    <w:basedOn w:val="Normal"/>
    <w:next w:val="Normal"/>
    <w:link w:val="Ttulo8Car"/>
    <w:qFormat/>
    <w:rsid w:val="00187114"/>
    <w:pPr>
      <w:keepNext/>
      <w:jc w:val="center"/>
      <w:outlineLvl w:val="7"/>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187114"/>
    <w:pPr>
      <w:spacing w:line="360" w:lineRule="auto"/>
      <w:jc w:val="both"/>
    </w:pPr>
    <w:rPr>
      <w:rFonts w:ascii="Bookman Old Style" w:hAnsi="Bookman Old Style"/>
    </w:rPr>
  </w:style>
  <w:style w:type="paragraph" w:styleId="Encabezado">
    <w:name w:val="header"/>
    <w:basedOn w:val="Normal"/>
    <w:link w:val="EncabezadoCar"/>
    <w:uiPriority w:val="99"/>
    <w:rsid w:val="00187114"/>
    <w:pPr>
      <w:tabs>
        <w:tab w:val="center" w:pos="4252"/>
        <w:tab w:val="right" w:pos="8504"/>
      </w:tabs>
    </w:pPr>
    <w:rPr>
      <w:sz w:val="20"/>
    </w:rPr>
  </w:style>
  <w:style w:type="character" w:styleId="Nmerodepgina">
    <w:name w:val="page number"/>
    <w:basedOn w:val="Fuentedeprrafopredeter"/>
    <w:rsid w:val="00187114"/>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texto de nota al pi"/>
    <w:basedOn w:val="Normal"/>
    <w:link w:val="TextonotapieCar1"/>
    <w:uiPriority w:val="99"/>
    <w:qFormat/>
    <w:rsid w:val="00187114"/>
    <w:rPr>
      <w:sz w:val="20"/>
      <w:lang w:val="x-none"/>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link w:val="Refdenotaalpie2"/>
    <w:uiPriority w:val="99"/>
    <w:qFormat/>
    <w:rsid w:val="00187114"/>
    <w:rPr>
      <w:vertAlign w:val="superscript"/>
    </w:rPr>
  </w:style>
  <w:style w:type="paragraph" w:styleId="Textodebloque">
    <w:name w:val="Block Text"/>
    <w:basedOn w:val="Normal"/>
    <w:rsid w:val="00187114"/>
    <w:pPr>
      <w:ind w:left="3686" w:right="51"/>
      <w:jc w:val="both"/>
    </w:pPr>
  </w:style>
  <w:style w:type="paragraph" w:customStyle="1" w:styleId="BodyText21">
    <w:name w:val="Body Text 21"/>
    <w:basedOn w:val="Normal"/>
    <w:uiPriority w:val="99"/>
    <w:rsid w:val="00566BC1"/>
    <w:pPr>
      <w:tabs>
        <w:tab w:val="left" w:pos="1843"/>
      </w:tabs>
      <w:overflowPunct w:val="0"/>
      <w:autoSpaceDE w:val="0"/>
      <w:autoSpaceDN w:val="0"/>
      <w:adjustRightInd w:val="0"/>
      <w:ind w:right="51"/>
      <w:jc w:val="both"/>
      <w:textAlignment w:val="baseline"/>
    </w:pPr>
    <w:rPr>
      <w:szCs w:val="28"/>
      <w:lang w:val="es-ES_tradnl"/>
    </w:rPr>
  </w:style>
  <w:style w:type="paragraph" w:customStyle="1" w:styleId="BodyTextIndent21">
    <w:name w:val="Body Text Indent 21"/>
    <w:basedOn w:val="Normal"/>
    <w:rsid w:val="00CD3753"/>
    <w:pPr>
      <w:ind w:left="993" w:hanging="142"/>
      <w:jc w:val="both"/>
    </w:pPr>
    <w:rPr>
      <w:lang w:val="es-CO"/>
    </w:rPr>
  </w:style>
  <w:style w:type="paragraph" w:styleId="Piedepgina">
    <w:name w:val="footer"/>
    <w:basedOn w:val="Normal"/>
    <w:link w:val="PiedepginaCar"/>
    <w:uiPriority w:val="99"/>
    <w:rsid w:val="00605B8C"/>
    <w:pPr>
      <w:tabs>
        <w:tab w:val="center" w:pos="4252"/>
        <w:tab w:val="right" w:pos="8504"/>
      </w:tabs>
    </w:pPr>
  </w:style>
  <w:style w:type="paragraph" w:styleId="Textoindependiente3">
    <w:name w:val="Body Text 3"/>
    <w:basedOn w:val="Normal"/>
    <w:link w:val="Textoindependiente3Car"/>
    <w:rsid w:val="00E7105B"/>
    <w:pPr>
      <w:spacing w:after="120"/>
    </w:pPr>
    <w:rPr>
      <w:sz w:val="16"/>
      <w:szCs w:val="16"/>
    </w:rPr>
  </w:style>
  <w:style w:type="paragraph" w:styleId="Textoindependiente2">
    <w:name w:val="Body Text 2"/>
    <w:basedOn w:val="Normal"/>
    <w:link w:val="Textoindependiente2Car"/>
    <w:uiPriority w:val="99"/>
    <w:rsid w:val="006213D4"/>
    <w:pPr>
      <w:spacing w:after="120" w:line="480" w:lineRule="auto"/>
    </w:pPr>
  </w:style>
  <w:style w:type="paragraph" w:styleId="Sangradetextonormal">
    <w:name w:val="Body Text Indent"/>
    <w:basedOn w:val="Normal"/>
    <w:link w:val="SangradetextonormalCar"/>
    <w:rsid w:val="005F5850"/>
    <w:pPr>
      <w:spacing w:after="120"/>
      <w:ind w:left="283"/>
    </w:pPr>
  </w:style>
  <w:style w:type="paragraph" w:customStyle="1" w:styleId="cuerpocentral1">
    <w:name w:val="cuerpocentral1"/>
    <w:basedOn w:val="Normal"/>
    <w:rsid w:val="00165930"/>
    <w:pPr>
      <w:spacing w:before="100" w:beforeAutospacing="1" w:after="100" w:afterAutospacing="1"/>
    </w:pPr>
    <w:rPr>
      <w:color w:val="7D7D7D"/>
      <w:sz w:val="18"/>
      <w:szCs w:val="18"/>
    </w:rPr>
  </w:style>
  <w:style w:type="character" w:customStyle="1" w:styleId="font-familyverdana">
    <w:name w:val="font-family: verdana"/>
    <w:basedOn w:val="Fuentedeprrafopredeter"/>
    <w:rsid w:val="00165930"/>
  </w:style>
  <w:style w:type="paragraph" w:styleId="Cita">
    <w:name w:val="Quote"/>
    <w:basedOn w:val="Normal"/>
    <w:next w:val="Normal"/>
    <w:link w:val="CitaCar"/>
    <w:qFormat/>
    <w:rsid w:val="00AB51D6"/>
    <w:rPr>
      <w:i/>
      <w:iCs/>
      <w:color w:val="000000"/>
    </w:rPr>
  </w:style>
  <w:style w:type="character" w:customStyle="1" w:styleId="CitaCar">
    <w:name w:val="Cita Car"/>
    <w:link w:val="Cita"/>
    <w:rsid w:val="00AB51D6"/>
    <w:rPr>
      <w:i/>
      <w:iCs/>
      <w:color w:val="000000"/>
      <w:sz w:val="28"/>
      <w:lang w:val="es-ES" w:eastAsia="es-ES" w:bidi="ar-SA"/>
    </w:rPr>
  </w:style>
  <w:style w:type="table" w:styleId="Tablaconcuadrcula">
    <w:name w:val="Table Grid"/>
    <w:basedOn w:val="Tablanormal"/>
    <w:uiPriority w:val="39"/>
    <w:rsid w:val="0072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866A18"/>
    <w:rPr>
      <w:rFonts w:ascii="Segoe UI" w:hAnsi="Segoe UI"/>
      <w:sz w:val="18"/>
      <w:szCs w:val="18"/>
      <w:lang w:val="x-none" w:eastAsia="x-none"/>
    </w:rPr>
  </w:style>
  <w:style w:type="character" w:customStyle="1" w:styleId="TextodegloboCar">
    <w:name w:val="Texto de globo Car"/>
    <w:link w:val="Textodeglobo"/>
    <w:uiPriority w:val="99"/>
    <w:rsid w:val="00866A18"/>
    <w:rPr>
      <w:rFonts w:ascii="Segoe UI" w:hAnsi="Segoe UI" w:cs="Segoe UI"/>
      <w:sz w:val="18"/>
      <w:szCs w:val="18"/>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texto de nota al pi Car"/>
    <w:link w:val="Textonotapie"/>
    <w:uiPriority w:val="99"/>
    <w:locked/>
    <w:rsid w:val="0072491E"/>
    <w:rPr>
      <w:lang w:eastAsia="es-ES"/>
    </w:rPr>
  </w:style>
  <w:style w:type="paragraph" w:styleId="Prrafodelista">
    <w:name w:val="List Paragraph"/>
    <w:aliases w:val="Footnote,Colorful List - Accent 11,List Paragraph2,List Paragraph1"/>
    <w:basedOn w:val="Normal"/>
    <w:link w:val="PrrafodelistaCar"/>
    <w:uiPriority w:val="34"/>
    <w:qFormat/>
    <w:rsid w:val="005E4E82"/>
    <w:pPr>
      <w:ind w:left="708"/>
    </w:pPr>
  </w:style>
  <w:style w:type="paragraph" w:styleId="NormalWeb">
    <w:name w:val="Normal (Web)"/>
    <w:basedOn w:val="Normal"/>
    <w:uiPriority w:val="99"/>
    <w:unhideWhenUsed/>
    <w:rsid w:val="0026456E"/>
    <w:pPr>
      <w:spacing w:before="100" w:beforeAutospacing="1" w:after="100" w:afterAutospacing="1"/>
    </w:pPr>
    <w:rPr>
      <w:sz w:val="24"/>
      <w:szCs w:val="24"/>
      <w:lang w:val="es-CO" w:eastAsia="es-CO" w:bidi="bo-CN"/>
    </w:rPr>
  </w:style>
  <w:style w:type="character" w:styleId="Refdecomentario">
    <w:name w:val="annotation reference"/>
    <w:uiPriority w:val="99"/>
    <w:unhideWhenUsed/>
    <w:rsid w:val="0026456E"/>
    <w:rPr>
      <w:sz w:val="16"/>
      <w:szCs w:val="16"/>
    </w:rPr>
  </w:style>
  <w:style w:type="paragraph" w:styleId="Textocomentario">
    <w:name w:val="annotation text"/>
    <w:basedOn w:val="Normal"/>
    <w:link w:val="TextocomentarioCar"/>
    <w:uiPriority w:val="99"/>
    <w:unhideWhenUsed/>
    <w:rsid w:val="0026456E"/>
    <w:pPr>
      <w:spacing w:after="160"/>
    </w:pPr>
    <w:rPr>
      <w:rFonts w:ascii="Calibri" w:eastAsia="Calibri" w:hAnsi="Calibri"/>
      <w:sz w:val="20"/>
      <w:lang w:eastAsia="en-US"/>
    </w:rPr>
  </w:style>
  <w:style w:type="character" w:customStyle="1" w:styleId="TextocomentarioCar">
    <w:name w:val="Texto comentario Car"/>
    <w:link w:val="Textocomentario"/>
    <w:uiPriority w:val="99"/>
    <w:rsid w:val="0026456E"/>
    <w:rPr>
      <w:rFonts w:ascii="Calibri" w:eastAsia="Calibri" w:hAnsi="Calibri" w:cs="Microsoft Himalaya"/>
      <w:lang w:val="es-ES" w:eastAsia="en-US"/>
    </w:rPr>
  </w:style>
  <w:style w:type="paragraph" w:styleId="Asuntodelcomentario">
    <w:name w:val="annotation subject"/>
    <w:basedOn w:val="Textocomentario"/>
    <w:next w:val="Textocomentario"/>
    <w:link w:val="AsuntodelcomentarioCar"/>
    <w:uiPriority w:val="99"/>
    <w:unhideWhenUsed/>
    <w:rsid w:val="0026456E"/>
    <w:rPr>
      <w:b/>
      <w:bCs/>
    </w:rPr>
  </w:style>
  <w:style w:type="character" w:customStyle="1" w:styleId="AsuntodelcomentarioCar">
    <w:name w:val="Asunto del comentario Car"/>
    <w:link w:val="Asuntodelcomentario"/>
    <w:uiPriority w:val="99"/>
    <w:rsid w:val="0026456E"/>
    <w:rPr>
      <w:rFonts w:ascii="Calibri" w:eastAsia="Calibri" w:hAnsi="Calibri" w:cs="Microsoft Himalaya"/>
      <w:b/>
      <w:bCs/>
      <w:lang w:val="es-ES" w:eastAsia="en-US"/>
    </w:rPr>
  </w:style>
  <w:style w:type="character" w:customStyle="1" w:styleId="EncabezadoCar">
    <w:name w:val="Encabezado Car"/>
    <w:link w:val="Encabezado"/>
    <w:uiPriority w:val="99"/>
    <w:rsid w:val="0026456E"/>
    <w:rPr>
      <w:lang w:val="es-ES" w:eastAsia="es-ES"/>
    </w:rPr>
  </w:style>
  <w:style w:type="character" w:customStyle="1" w:styleId="PiedepginaCar">
    <w:name w:val="Pie de página Car"/>
    <w:link w:val="Piedepgina"/>
    <w:uiPriority w:val="99"/>
    <w:rsid w:val="0026456E"/>
    <w:rPr>
      <w:sz w:val="28"/>
      <w:lang w:val="es-ES" w:eastAsia="es-ES"/>
    </w:rPr>
  </w:style>
  <w:style w:type="character" w:styleId="Hipervnculo">
    <w:name w:val="Hyperlink"/>
    <w:uiPriority w:val="99"/>
    <w:unhideWhenUsed/>
    <w:rsid w:val="0026456E"/>
    <w:rPr>
      <w:color w:val="0563C1"/>
      <w:u w:val="single"/>
    </w:rPr>
  </w:style>
  <w:style w:type="character" w:customStyle="1" w:styleId="UnresolvedMention">
    <w:name w:val="Unresolved Mention"/>
    <w:uiPriority w:val="99"/>
    <w:semiHidden/>
    <w:unhideWhenUsed/>
    <w:rsid w:val="005B4FE4"/>
    <w:rPr>
      <w:color w:val="605E5C"/>
      <w:shd w:val="clear" w:color="auto" w:fill="E1DFDD"/>
    </w:rPr>
  </w:style>
  <w:style w:type="paragraph" w:customStyle="1" w:styleId="Refdenotaalpie2">
    <w:name w:val="Ref. de nota al pie2"/>
    <w:aliases w:val="Pie de pagina"/>
    <w:basedOn w:val="Normal"/>
    <w:link w:val="Refdenotaalpie"/>
    <w:uiPriority w:val="99"/>
    <w:rsid w:val="0068503C"/>
    <w:pPr>
      <w:spacing w:after="160" w:line="240" w:lineRule="exact"/>
    </w:pPr>
    <w:rPr>
      <w:sz w:val="20"/>
      <w:vertAlign w:val="superscript"/>
      <w:lang w:val="x-none" w:eastAsia="x-none"/>
    </w:rPr>
  </w:style>
  <w:style w:type="character" w:customStyle="1" w:styleId="CorteCar">
    <w:name w:val="Corte Car"/>
    <w:link w:val="Corte"/>
    <w:locked/>
    <w:rsid w:val="003722D9"/>
    <w:rPr>
      <w:lang w:val="es-ES" w:eastAsia="x-none"/>
    </w:rPr>
  </w:style>
  <w:style w:type="paragraph" w:customStyle="1" w:styleId="Corte">
    <w:name w:val="Corte"/>
    <w:basedOn w:val="Textonotapie"/>
    <w:link w:val="CorteCar"/>
    <w:autoRedefine/>
    <w:qFormat/>
    <w:rsid w:val="003722D9"/>
    <w:pPr>
      <w:jc w:val="both"/>
    </w:pPr>
    <w:rPr>
      <w:lang w:val="es-ES" w:eastAsia="x-none"/>
    </w:rPr>
  </w:style>
  <w:style w:type="table" w:customStyle="1" w:styleId="Tablaconcuadrcula1">
    <w:name w:val="Tabla con cuadrícula1"/>
    <w:basedOn w:val="Tablanormal"/>
    <w:next w:val="Tablaconcuadrcula"/>
    <w:uiPriority w:val="39"/>
    <w:rsid w:val="00ED05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gender0punto5">
    <w:name w:val="margen_der_0punto5"/>
    <w:basedOn w:val="Normal"/>
    <w:rsid w:val="00632BC5"/>
    <w:pPr>
      <w:spacing w:before="100" w:beforeAutospacing="1" w:after="100" w:afterAutospacing="1"/>
    </w:pPr>
    <w:rPr>
      <w:sz w:val="24"/>
      <w:szCs w:val="24"/>
      <w:lang w:val="es-CO" w:eastAsia="es-CO"/>
    </w:rPr>
  </w:style>
  <w:style w:type="character" w:customStyle="1" w:styleId="letra14pt">
    <w:name w:val="letra14pt"/>
    <w:rsid w:val="00632BC5"/>
  </w:style>
  <w:style w:type="character" w:customStyle="1" w:styleId="baj">
    <w:name w:val="b_aj"/>
    <w:rsid w:val="00632BC5"/>
  </w:style>
  <w:style w:type="paragraph" w:customStyle="1" w:styleId="DecimalAligned">
    <w:name w:val="Decimal Aligned"/>
    <w:basedOn w:val="Normal"/>
    <w:uiPriority w:val="40"/>
    <w:qFormat/>
    <w:rsid w:val="00307137"/>
    <w:pPr>
      <w:tabs>
        <w:tab w:val="decimal" w:pos="360"/>
      </w:tabs>
      <w:spacing w:after="200" w:line="276" w:lineRule="auto"/>
    </w:pPr>
    <w:rPr>
      <w:rFonts w:ascii="Calibri" w:hAnsi="Calibri"/>
      <w:sz w:val="22"/>
      <w:szCs w:val="22"/>
      <w:lang w:eastAsia="en-US"/>
    </w:rPr>
  </w:style>
  <w:style w:type="character" w:styleId="nfasissutil">
    <w:name w:val="Subtle Emphasis"/>
    <w:uiPriority w:val="19"/>
    <w:qFormat/>
    <w:rsid w:val="00307137"/>
    <w:rPr>
      <w:rFonts w:eastAsia="Times New Roman" w:cs="Times New Roman"/>
      <w:bCs w:val="0"/>
      <w:i/>
      <w:iCs/>
      <w:color w:val="808080"/>
      <w:szCs w:val="22"/>
      <w:lang w:val="es-ES"/>
    </w:rPr>
  </w:style>
  <w:style w:type="table" w:styleId="Sombreadoclaro-nfasis1">
    <w:name w:val="Light Shading Accent 1"/>
    <w:basedOn w:val="Tablanormal"/>
    <w:uiPriority w:val="60"/>
    <w:rsid w:val="00307137"/>
    <w:rPr>
      <w:rFonts w:ascii="Calibri" w:hAnsi="Calibri"/>
      <w:color w:val="365F91"/>
      <w:sz w:val="22"/>
      <w:szCs w:val="22"/>
      <w:lang w:val="es-E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2">
    <w:name w:val="Calendar 2"/>
    <w:basedOn w:val="Tablanormal"/>
    <w:uiPriority w:val="99"/>
    <w:qFormat/>
    <w:rsid w:val="00307137"/>
    <w:pPr>
      <w:jc w:val="center"/>
    </w:pPr>
    <w:rPr>
      <w:rFonts w:ascii="Calibri" w:hAnsi="Calibri"/>
      <w:sz w:val="28"/>
      <w:szCs w:val="28"/>
      <w:lang w:val="es-ES" w:eastAsia="en-US"/>
    </w:rPr>
    <w:tblPr>
      <w:tblInd w:w="0" w:type="dxa"/>
      <w:tblBorders>
        <w:insideV w:val="single" w:sz="4" w:space="0" w:color="95B3D7"/>
      </w:tblBorders>
      <w:tblCellMar>
        <w:top w:w="0" w:type="dxa"/>
        <w:left w:w="108" w:type="dxa"/>
        <w:bottom w:w="0" w:type="dxa"/>
        <w:right w:w="108" w:type="dxa"/>
      </w:tblCellMar>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PrrafodelistaCar">
    <w:name w:val="Párrafo de lista Car"/>
    <w:aliases w:val="Footnote Car,Colorful List - Accent 11 Car,List Paragraph2 Car,List Paragraph1 Car"/>
    <w:link w:val="Prrafodelista"/>
    <w:uiPriority w:val="34"/>
    <w:locked/>
    <w:rsid w:val="00102313"/>
    <w:rPr>
      <w:sz w:val="28"/>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102313"/>
    <w:pPr>
      <w:jc w:val="both"/>
    </w:pPr>
    <w:rPr>
      <w:rFonts w:eastAsia="Calibri"/>
      <w:sz w:val="20"/>
      <w:szCs w:val="22"/>
      <w:vertAlign w:val="superscript"/>
      <w:lang w:val="es-CO" w:eastAsia="en-US"/>
    </w:rPr>
  </w:style>
  <w:style w:type="character" w:customStyle="1" w:styleId="apple-converted-space">
    <w:name w:val="apple-converted-space"/>
    <w:rsid w:val="00BC43A8"/>
  </w:style>
  <w:style w:type="numbering" w:customStyle="1" w:styleId="Sinlista1">
    <w:name w:val="Sin lista1"/>
    <w:next w:val="Sinlista"/>
    <w:uiPriority w:val="99"/>
    <w:semiHidden/>
    <w:unhideWhenUsed/>
    <w:rsid w:val="007E1DBB"/>
  </w:style>
  <w:style w:type="paragraph" w:customStyle="1" w:styleId="msonormal0">
    <w:name w:val="msonormal"/>
    <w:basedOn w:val="Normal"/>
    <w:rsid w:val="007E1DBB"/>
    <w:pPr>
      <w:spacing w:before="100" w:beforeAutospacing="1" w:after="100" w:afterAutospacing="1"/>
    </w:pPr>
    <w:rPr>
      <w:sz w:val="24"/>
      <w:szCs w:val="24"/>
      <w:lang w:val="es-CO" w:eastAsia="es-CO"/>
    </w:rPr>
  </w:style>
  <w:style w:type="character" w:styleId="Hipervnculovisitado">
    <w:name w:val="FollowedHyperlink"/>
    <w:uiPriority w:val="99"/>
    <w:unhideWhenUsed/>
    <w:rsid w:val="007E1DBB"/>
    <w:rPr>
      <w:color w:val="800080"/>
      <w:u w:val="single"/>
    </w:rPr>
  </w:style>
  <w:style w:type="paragraph" w:customStyle="1" w:styleId="bodytext210">
    <w:name w:val="bodytext21"/>
    <w:basedOn w:val="Normal"/>
    <w:rsid w:val="007E1DBB"/>
    <w:pPr>
      <w:spacing w:before="100" w:beforeAutospacing="1" w:after="100" w:afterAutospacing="1"/>
    </w:pPr>
    <w:rPr>
      <w:sz w:val="24"/>
      <w:szCs w:val="24"/>
      <w:lang w:val="es-CO" w:eastAsia="es-CO"/>
    </w:rPr>
  </w:style>
  <w:style w:type="character" w:customStyle="1" w:styleId="Textoindependiente2Car">
    <w:name w:val="Texto independiente 2 Car"/>
    <w:link w:val="Textoindependiente2"/>
    <w:uiPriority w:val="99"/>
    <w:rsid w:val="007E1DBB"/>
    <w:rPr>
      <w:sz w:val="28"/>
      <w:lang w:val="es-ES" w:eastAsia="es-ES"/>
    </w:rPr>
  </w:style>
  <w:style w:type="character" w:customStyle="1" w:styleId="TextoindependienteCar">
    <w:name w:val="Texto independiente Car"/>
    <w:link w:val="Textoindependiente"/>
    <w:uiPriority w:val="99"/>
    <w:rsid w:val="007E1DBB"/>
    <w:rPr>
      <w:rFonts w:ascii="Bookman Old Style" w:hAnsi="Bookman Old Style"/>
      <w:sz w:val="28"/>
      <w:lang w:val="es-ES" w:eastAsia="es-ES"/>
    </w:rPr>
  </w:style>
  <w:style w:type="paragraph" w:customStyle="1" w:styleId="bodytext22">
    <w:name w:val="bodytext22"/>
    <w:basedOn w:val="Normal"/>
    <w:rsid w:val="007E1DBB"/>
    <w:pPr>
      <w:spacing w:before="100" w:beforeAutospacing="1" w:after="100" w:afterAutospacing="1"/>
    </w:pPr>
    <w:rPr>
      <w:sz w:val="24"/>
      <w:szCs w:val="24"/>
      <w:lang w:val="es-CO" w:eastAsia="es-CO"/>
    </w:rPr>
  </w:style>
  <w:style w:type="paragraph" w:styleId="Revisin">
    <w:name w:val="Revision"/>
    <w:hidden/>
    <w:uiPriority w:val="99"/>
    <w:semiHidden/>
    <w:rsid w:val="00AA59E0"/>
    <w:rPr>
      <w:sz w:val="28"/>
      <w:lang w:val="es-ES" w:eastAsia="es-ES"/>
    </w:rPr>
  </w:style>
  <w:style w:type="character" w:customStyle="1" w:styleId="Ttulo1Car">
    <w:name w:val="Título 1 Car"/>
    <w:link w:val="Ttulo1"/>
    <w:rsid w:val="00941426"/>
    <w:rPr>
      <w:b/>
      <w:sz w:val="28"/>
      <w:lang w:val="es-ES" w:eastAsia="es-ES"/>
    </w:rPr>
  </w:style>
  <w:style w:type="character" w:customStyle="1" w:styleId="Ttulo3Car">
    <w:name w:val="Título 3 Car"/>
    <w:link w:val="Ttulo3"/>
    <w:rsid w:val="00941426"/>
    <w:rPr>
      <w:b/>
      <w:sz w:val="28"/>
      <w:lang w:val="es-ES" w:eastAsia="es-ES"/>
    </w:rPr>
  </w:style>
  <w:style w:type="character" w:customStyle="1" w:styleId="Ttulo4Car">
    <w:name w:val="Título 4 Car"/>
    <w:link w:val="Ttulo4"/>
    <w:rsid w:val="00941426"/>
    <w:rPr>
      <w:b/>
      <w:bCs/>
      <w:sz w:val="28"/>
      <w:szCs w:val="28"/>
      <w:lang w:val="es-ES" w:eastAsia="es-ES"/>
    </w:rPr>
  </w:style>
  <w:style w:type="character" w:customStyle="1" w:styleId="Ttulo7Car">
    <w:name w:val="Título 7 Car"/>
    <w:link w:val="Ttulo7"/>
    <w:rsid w:val="00941426"/>
    <w:rPr>
      <w:sz w:val="24"/>
      <w:szCs w:val="24"/>
      <w:lang w:eastAsia="es-ES"/>
    </w:rPr>
  </w:style>
  <w:style w:type="character" w:customStyle="1" w:styleId="Ttulo8Car">
    <w:name w:val="Título 8 Car"/>
    <w:link w:val="Ttulo8"/>
    <w:rsid w:val="00941426"/>
    <w:rPr>
      <w:sz w:val="28"/>
      <w:lang w:val="es-ES" w:eastAsia="es-ES"/>
    </w:rPr>
  </w:style>
  <w:style w:type="character" w:customStyle="1" w:styleId="Textoindependiente3Car">
    <w:name w:val="Texto independiente 3 Car"/>
    <w:link w:val="Textoindependiente3"/>
    <w:rsid w:val="00941426"/>
    <w:rPr>
      <w:sz w:val="16"/>
      <w:szCs w:val="16"/>
      <w:lang w:val="es-ES" w:eastAsia="es-ES"/>
    </w:rPr>
  </w:style>
  <w:style w:type="character" w:customStyle="1" w:styleId="SangradetextonormalCar">
    <w:name w:val="Sangría de texto normal Car"/>
    <w:link w:val="Sangradetextonormal"/>
    <w:rsid w:val="00941426"/>
    <w:rPr>
      <w:sz w:val="28"/>
      <w:lang w:val="es-ES" w:eastAsia="es-ES"/>
    </w:rPr>
  </w:style>
  <w:style w:type="character" w:styleId="Textoennegrita">
    <w:name w:val="Strong"/>
    <w:uiPriority w:val="22"/>
    <w:qFormat/>
    <w:rsid w:val="00EE11AF"/>
    <w:rPr>
      <w:b/>
      <w:bCs/>
    </w:rPr>
  </w:style>
  <w:style w:type="character" w:customStyle="1" w:styleId="CitasCorteCar">
    <w:name w:val="Citas Corte Car"/>
    <w:link w:val="CitasCorte"/>
    <w:locked/>
    <w:rsid w:val="009B1A8E"/>
    <w:rPr>
      <w:lang w:val="es-ES_tradnl" w:eastAsia="es-ES_tradnl"/>
    </w:rPr>
  </w:style>
  <w:style w:type="paragraph" w:customStyle="1" w:styleId="CitasCorte">
    <w:name w:val="Citas Corte"/>
    <w:basedOn w:val="Normal"/>
    <w:link w:val="CitasCorteCar"/>
    <w:qFormat/>
    <w:rsid w:val="009B1A8E"/>
    <w:pPr>
      <w:jc w:val="both"/>
    </w:pPr>
    <w:rPr>
      <w:sz w:val="20"/>
      <w:lang w:val="es-ES_tradnl" w:eastAsia="es-ES_tradnl"/>
    </w:rPr>
  </w:style>
  <w:style w:type="paragraph" w:styleId="Sinespaciado">
    <w:name w:val="No Spacing"/>
    <w:link w:val="SinespaciadoCar"/>
    <w:uiPriority w:val="1"/>
    <w:qFormat/>
    <w:rsid w:val="00B73DFD"/>
    <w:rPr>
      <w:rFonts w:ascii="Calibri" w:eastAsia="Calibri" w:hAnsi="Calibri"/>
      <w:sz w:val="22"/>
      <w:szCs w:val="22"/>
      <w:lang w:eastAsia="en-US"/>
    </w:rPr>
  </w:style>
  <w:style w:type="character" w:customStyle="1" w:styleId="SinespaciadoCar">
    <w:name w:val="Sin espaciado Car"/>
    <w:link w:val="Sinespaciado"/>
    <w:uiPriority w:val="1"/>
    <w:locked/>
    <w:rsid w:val="004F3CB0"/>
    <w:rPr>
      <w:rFonts w:ascii="Calibri" w:eastAsia="Calibri" w:hAnsi="Calibri"/>
      <w:sz w:val="22"/>
      <w:szCs w:val="22"/>
      <w:lang w:eastAsia="en-US"/>
    </w:rPr>
  </w:style>
  <w:style w:type="paragraph" w:customStyle="1" w:styleId="xgmail-msolistparagraph">
    <w:name w:val="x_gmail-msolistparagraph"/>
    <w:basedOn w:val="Normal"/>
    <w:rsid w:val="00AE1B4A"/>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33">
      <w:bodyDiv w:val="1"/>
      <w:marLeft w:val="0"/>
      <w:marRight w:val="0"/>
      <w:marTop w:val="0"/>
      <w:marBottom w:val="0"/>
      <w:divBdr>
        <w:top w:val="none" w:sz="0" w:space="0" w:color="auto"/>
        <w:left w:val="none" w:sz="0" w:space="0" w:color="auto"/>
        <w:bottom w:val="none" w:sz="0" w:space="0" w:color="auto"/>
        <w:right w:val="none" w:sz="0" w:space="0" w:color="auto"/>
      </w:divBdr>
    </w:div>
    <w:div w:id="69353267">
      <w:bodyDiv w:val="1"/>
      <w:marLeft w:val="0"/>
      <w:marRight w:val="0"/>
      <w:marTop w:val="0"/>
      <w:marBottom w:val="0"/>
      <w:divBdr>
        <w:top w:val="none" w:sz="0" w:space="0" w:color="auto"/>
        <w:left w:val="none" w:sz="0" w:space="0" w:color="auto"/>
        <w:bottom w:val="none" w:sz="0" w:space="0" w:color="auto"/>
        <w:right w:val="none" w:sz="0" w:space="0" w:color="auto"/>
      </w:divBdr>
    </w:div>
    <w:div w:id="80294611">
      <w:bodyDiv w:val="1"/>
      <w:marLeft w:val="0"/>
      <w:marRight w:val="0"/>
      <w:marTop w:val="0"/>
      <w:marBottom w:val="0"/>
      <w:divBdr>
        <w:top w:val="none" w:sz="0" w:space="0" w:color="auto"/>
        <w:left w:val="none" w:sz="0" w:space="0" w:color="auto"/>
        <w:bottom w:val="none" w:sz="0" w:space="0" w:color="auto"/>
        <w:right w:val="none" w:sz="0" w:space="0" w:color="auto"/>
      </w:divBdr>
    </w:div>
    <w:div w:id="86465055">
      <w:bodyDiv w:val="1"/>
      <w:marLeft w:val="0"/>
      <w:marRight w:val="0"/>
      <w:marTop w:val="0"/>
      <w:marBottom w:val="0"/>
      <w:divBdr>
        <w:top w:val="none" w:sz="0" w:space="0" w:color="auto"/>
        <w:left w:val="none" w:sz="0" w:space="0" w:color="auto"/>
        <w:bottom w:val="none" w:sz="0" w:space="0" w:color="auto"/>
        <w:right w:val="none" w:sz="0" w:space="0" w:color="auto"/>
      </w:divBdr>
    </w:div>
    <w:div w:id="111020623">
      <w:bodyDiv w:val="1"/>
      <w:marLeft w:val="0"/>
      <w:marRight w:val="0"/>
      <w:marTop w:val="0"/>
      <w:marBottom w:val="0"/>
      <w:divBdr>
        <w:top w:val="none" w:sz="0" w:space="0" w:color="auto"/>
        <w:left w:val="none" w:sz="0" w:space="0" w:color="auto"/>
        <w:bottom w:val="none" w:sz="0" w:space="0" w:color="auto"/>
        <w:right w:val="none" w:sz="0" w:space="0" w:color="auto"/>
      </w:divBdr>
      <w:divsChild>
        <w:div w:id="2114393119">
          <w:marLeft w:val="0"/>
          <w:marRight w:val="0"/>
          <w:marTop w:val="0"/>
          <w:marBottom w:val="0"/>
          <w:divBdr>
            <w:top w:val="none" w:sz="0" w:space="0" w:color="auto"/>
            <w:left w:val="none" w:sz="0" w:space="0" w:color="auto"/>
            <w:bottom w:val="none" w:sz="0" w:space="0" w:color="auto"/>
            <w:right w:val="none" w:sz="0" w:space="0" w:color="auto"/>
          </w:divBdr>
        </w:div>
      </w:divsChild>
    </w:div>
    <w:div w:id="167336253">
      <w:bodyDiv w:val="1"/>
      <w:marLeft w:val="0"/>
      <w:marRight w:val="0"/>
      <w:marTop w:val="0"/>
      <w:marBottom w:val="0"/>
      <w:divBdr>
        <w:top w:val="none" w:sz="0" w:space="0" w:color="auto"/>
        <w:left w:val="none" w:sz="0" w:space="0" w:color="auto"/>
        <w:bottom w:val="none" w:sz="0" w:space="0" w:color="auto"/>
        <w:right w:val="none" w:sz="0" w:space="0" w:color="auto"/>
      </w:divBdr>
    </w:div>
    <w:div w:id="173811144">
      <w:bodyDiv w:val="1"/>
      <w:marLeft w:val="0"/>
      <w:marRight w:val="0"/>
      <w:marTop w:val="0"/>
      <w:marBottom w:val="0"/>
      <w:divBdr>
        <w:top w:val="none" w:sz="0" w:space="0" w:color="auto"/>
        <w:left w:val="none" w:sz="0" w:space="0" w:color="auto"/>
        <w:bottom w:val="none" w:sz="0" w:space="0" w:color="auto"/>
        <w:right w:val="none" w:sz="0" w:space="0" w:color="auto"/>
      </w:divBdr>
    </w:div>
    <w:div w:id="180433726">
      <w:bodyDiv w:val="1"/>
      <w:marLeft w:val="0"/>
      <w:marRight w:val="0"/>
      <w:marTop w:val="0"/>
      <w:marBottom w:val="0"/>
      <w:divBdr>
        <w:top w:val="none" w:sz="0" w:space="0" w:color="auto"/>
        <w:left w:val="none" w:sz="0" w:space="0" w:color="auto"/>
        <w:bottom w:val="none" w:sz="0" w:space="0" w:color="auto"/>
        <w:right w:val="none" w:sz="0" w:space="0" w:color="auto"/>
      </w:divBdr>
    </w:div>
    <w:div w:id="209537924">
      <w:bodyDiv w:val="1"/>
      <w:marLeft w:val="0"/>
      <w:marRight w:val="0"/>
      <w:marTop w:val="0"/>
      <w:marBottom w:val="0"/>
      <w:divBdr>
        <w:top w:val="none" w:sz="0" w:space="0" w:color="auto"/>
        <w:left w:val="none" w:sz="0" w:space="0" w:color="auto"/>
        <w:bottom w:val="none" w:sz="0" w:space="0" w:color="auto"/>
        <w:right w:val="none" w:sz="0" w:space="0" w:color="auto"/>
      </w:divBdr>
    </w:div>
    <w:div w:id="220598010">
      <w:bodyDiv w:val="1"/>
      <w:marLeft w:val="0"/>
      <w:marRight w:val="0"/>
      <w:marTop w:val="0"/>
      <w:marBottom w:val="0"/>
      <w:divBdr>
        <w:top w:val="none" w:sz="0" w:space="0" w:color="auto"/>
        <w:left w:val="none" w:sz="0" w:space="0" w:color="auto"/>
        <w:bottom w:val="none" w:sz="0" w:space="0" w:color="auto"/>
        <w:right w:val="none" w:sz="0" w:space="0" w:color="auto"/>
      </w:divBdr>
    </w:div>
    <w:div w:id="220793195">
      <w:bodyDiv w:val="1"/>
      <w:marLeft w:val="0"/>
      <w:marRight w:val="0"/>
      <w:marTop w:val="0"/>
      <w:marBottom w:val="0"/>
      <w:divBdr>
        <w:top w:val="none" w:sz="0" w:space="0" w:color="auto"/>
        <w:left w:val="none" w:sz="0" w:space="0" w:color="auto"/>
        <w:bottom w:val="none" w:sz="0" w:space="0" w:color="auto"/>
        <w:right w:val="none" w:sz="0" w:space="0" w:color="auto"/>
      </w:divBdr>
    </w:div>
    <w:div w:id="280183703">
      <w:bodyDiv w:val="1"/>
      <w:marLeft w:val="0"/>
      <w:marRight w:val="0"/>
      <w:marTop w:val="0"/>
      <w:marBottom w:val="0"/>
      <w:divBdr>
        <w:top w:val="none" w:sz="0" w:space="0" w:color="auto"/>
        <w:left w:val="none" w:sz="0" w:space="0" w:color="auto"/>
        <w:bottom w:val="none" w:sz="0" w:space="0" w:color="auto"/>
        <w:right w:val="none" w:sz="0" w:space="0" w:color="auto"/>
      </w:divBdr>
    </w:div>
    <w:div w:id="298269908">
      <w:bodyDiv w:val="1"/>
      <w:marLeft w:val="0"/>
      <w:marRight w:val="0"/>
      <w:marTop w:val="0"/>
      <w:marBottom w:val="0"/>
      <w:divBdr>
        <w:top w:val="none" w:sz="0" w:space="0" w:color="auto"/>
        <w:left w:val="none" w:sz="0" w:space="0" w:color="auto"/>
        <w:bottom w:val="none" w:sz="0" w:space="0" w:color="auto"/>
        <w:right w:val="none" w:sz="0" w:space="0" w:color="auto"/>
      </w:divBdr>
    </w:div>
    <w:div w:id="305597511">
      <w:bodyDiv w:val="1"/>
      <w:marLeft w:val="0"/>
      <w:marRight w:val="0"/>
      <w:marTop w:val="0"/>
      <w:marBottom w:val="0"/>
      <w:divBdr>
        <w:top w:val="none" w:sz="0" w:space="0" w:color="auto"/>
        <w:left w:val="none" w:sz="0" w:space="0" w:color="auto"/>
        <w:bottom w:val="none" w:sz="0" w:space="0" w:color="auto"/>
        <w:right w:val="none" w:sz="0" w:space="0" w:color="auto"/>
      </w:divBdr>
    </w:div>
    <w:div w:id="380835678">
      <w:bodyDiv w:val="1"/>
      <w:marLeft w:val="0"/>
      <w:marRight w:val="0"/>
      <w:marTop w:val="0"/>
      <w:marBottom w:val="0"/>
      <w:divBdr>
        <w:top w:val="none" w:sz="0" w:space="0" w:color="auto"/>
        <w:left w:val="none" w:sz="0" w:space="0" w:color="auto"/>
        <w:bottom w:val="none" w:sz="0" w:space="0" w:color="auto"/>
        <w:right w:val="none" w:sz="0" w:space="0" w:color="auto"/>
      </w:divBdr>
    </w:div>
    <w:div w:id="392122608">
      <w:bodyDiv w:val="1"/>
      <w:marLeft w:val="0"/>
      <w:marRight w:val="0"/>
      <w:marTop w:val="0"/>
      <w:marBottom w:val="0"/>
      <w:divBdr>
        <w:top w:val="none" w:sz="0" w:space="0" w:color="auto"/>
        <w:left w:val="none" w:sz="0" w:space="0" w:color="auto"/>
        <w:bottom w:val="none" w:sz="0" w:space="0" w:color="auto"/>
        <w:right w:val="none" w:sz="0" w:space="0" w:color="auto"/>
      </w:divBdr>
    </w:div>
    <w:div w:id="400174634">
      <w:bodyDiv w:val="1"/>
      <w:marLeft w:val="0"/>
      <w:marRight w:val="0"/>
      <w:marTop w:val="0"/>
      <w:marBottom w:val="0"/>
      <w:divBdr>
        <w:top w:val="none" w:sz="0" w:space="0" w:color="auto"/>
        <w:left w:val="none" w:sz="0" w:space="0" w:color="auto"/>
        <w:bottom w:val="none" w:sz="0" w:space="0" w:color="auto"/>
        <w:right w:val="none" w:sz="0" w:space="0" w:color="auto"/>
      </w:divBdr>
    </w:div>
    <w:div w:id="472059883">
      <w:bodyDiv w:val="1"/>
      <w:marLeft w:val="0"/>
      <w:marRight w:val="0"/>
      <w:marTop w:val="0"/>
      <w:marBottom w:val="0"/>
      <w:divBdr>
        <w:top w:val="none" w:sz="0" w:space="0" w:color="auto"/>
        <w:left w:val="none" w:sz="0" w:space="0" w:color="auto"/>
        <w:bottom w:val="none" w:sz="0" w:space="0" w:color="auto"/>
        <w:right w:val="none" w:sz="0" w:space="0" w:color="auto"/>
      </w:divBdr>
    </w:div>
    <w:div w:id="479814496">
      <w:bodyDiv w:val="1"/>
      <w:marLeft w:val="0"/>
      <w:marRight w:val="0"/>
      <w:marTop w:val="0"/>
      <w:marBottom w:val="0"/>
      <w:divBdr>
        <w:top w:val="none" w:sz="0" w:space="0" w:color="auto"/>
        <w:left w:val="none" w:sz="0" w:space="0" w:color="auto"/>
        <w:bottom w:val="none" w:sz="0" w:space="0" w:color="auto"/>
        <w:right w:val="none" w:sz="0" w:space="0" w:color="auto"/>
      </w:divBdr>
    </w:div>
    <w:div w:id="490025363">
      <w:bodyDiv w:val="1"/>
      <w:marLeft w:val="0"/>
      <w:marRight w:val="0"/>
      <w:marTop w:val="0"/>
      <w:marBottom w:val="0"/>
      <w:divBdr>
        <w:top w:val="none" w:sz="0" w:space="0" w:color="auto"/>
        <w:left w:val="none" w:sz="0" w:space="0" w:color="auto"/>
        <w:bottom w:val="none" w:sz="0" w:space="0" w:color="auto"/>
        <w:right w:val="none" w:sz="0" w:space="0" w:color="auto"/>
      </w:divBdr>
    </w:div>
    <w:div w:id="495808686">
      <w:bodyDiv w:val="1"/>
      <w:marLeft w:val="0"/>
      <w:marRight w:val="0"/>
      <w:marTop w:val="0"/>
      <w:marBottom w:val="0"/>
      <w:divBdr>
        <w:top w:val="none" w:sz="0" w:space="0" w:color="auto"/>
        <w:left w:val="none" w:sz="0" w:space="0" w:color="auto"/>
        <w:bottom w:val="none" w:sz="0" w:space="0" w:color="auto"/>
        <w:right w:val="none" w:sz="0" w:space="0" w:color="auto"/>
      </w:divBdr>
    </w:div>
    <w:div w:id="511066017">
      <w:bodyDiv w:val="1"/>
      <w:marLeft w:val="0"/>
      <w:marRight w:val="0"/>
      <w:marTop w:val="0"/>
      <w:marBottom w:val="0"/>
      <w:divBdr>
        <w:top w:val="none" w:sz="0" w:space="0" w:color="auto"/>
        <w:left w:val="none" w:sz="0" w:space="0" w:color="auto"/>
        <w:bottom w:val="none" w:sz="0" w:space="0" w:color="auto"/>
        <w:right w:val="none" w:sz="0" w:space="0" w:color="auto"/>
      </w:divBdr>
    </w:div>
    <w:div w:id="539048908">
      <w:bodyDiv w:val="1"/>
      <w:marLeft w:val="0"/>
      <w:marRight w:val="0"/>
      <w:marTop w:val="0"/>
      <w:marBottom w:val="0"/>
      <w:divBdr>
        <w:top w:val="none" w:sz="0" w:space="0" w:color="auto"/>
        <w:left w:val="none" w:sz="0" w:space="0" w:color="auto"/>
        <w:bottom w:val="none" w:sz="0" w:space="0" w:color="auto"/>
        <w:right w:val="none" w:sz="0" w:space="0" w:color="auto"/>
      </w:divBdr>
    </w:div>
    <w:div w:id="578371993">
      <w:bodyDiv w:val="1"/>
      <w:marLeft w:val="0"/>
      <w:marRight w:val="0"/>
      <w:marTop w:val="0"/>
      <w:marBottom w:val="0"/>
      <w:divBdr>
        <w:top w:val="none" w:sz="0" w:space="0" w:color="auto"/>
        <w:left w:val="none" w:sz="0" w:space="0" w:color="auto"/>
        <w:bottom w:val="none" w:sz="0" w:space="0" w:color="auto"/>
        <w:right w:val="none" w:sz="0" w:space="0" w:color="auto"/>
      </w:divBdr>
    </w:div>
    <w:div w:id="583102037">
      <w:bodyDiv w:val="1"/>
      <w:marLeft w:val="0"/>
      <w:marRight w:val="0"/>
      <w:marTop w:val="0"/>
      <w:marBottom w:val="0"/>
      <w:divBdr>
        <w:top w:val="none" w:sz="0" w:space="0" w:color="auto"/>
        <w:left w:val="none" w:sz="0" w:space="0" w:color="auto"/>
        <w:bottom w:val="none" w:sz="0" w:space="0" w:color="auto"/>
        <w:right w:val="none" w:sz="0" w:space="0" w:color="auto"/>
      </w:divBdr>
    </w:div>
    <w:div w:id="590284826">
      <w:bodyDiv w:val="1"/>
      <w:marLeft w:val="0"/>
      <w:marRight w:val="0"/>
      <w:marTop w:val="0"/>
      <w:marBottom w:val="0"/>
      <w:divBdr>
        <w:top w:val="none" w:sz="0" w:space="0" w:color="auto"/>
        <w:left w:val="none" w:sz="0" w:space="0" w:color="auto"/>
        <w:bottom w:val="none" w:sz="0" w:space="0" w:color="auto"/>
        <w:right w:val="none" w:sz="0" w:space="0" w:color="auto"/>
      </w:divBdr>
    </w:div>
    <w:div w:id="605230135">
      <w:bodyDiv w:val="1"/>
      <w:marLeft w:val="0"/>
      <w:marRight w:val="0"/>
      <w:marTop w:val="0"/>
      <w:marBottom w:val="0"/>
      <w:divBdr>
        <w:top w:val="none" w:sz="0" w:space="0" w:color="auto"/>
        <w:left w:val="none" w:sz="0" w:space="0" w:color="auto"/>
        <w:bottom w:val="none" w:sz="0" w:space="0" w:color="auto"/>
        <w:right w:val="none" w:sz="0" w:space="0" w:color="auto"/>
      </w:divBdr>
    </w:div>
    <w:div w:id="627512277">
      <w:bodyDiv w:val="1"/>
      <w:marLeft w:val="0"/>
      <w:marRight w:val="0"/>
      <w:marTop w:val="0"/>
      <w:marBottom w:val="0"/>
      <w:divBdr>
        <w:top w:val="none" w:sz="0" w:space="0" w:color="auto"/>
        <w:left w:val="none" w:sz="0" w:space="0" w:color="auto"/>
        <w:bottom w:val="none" w:sz="0" w:space="0" w:color="auto"/>
        <w:right w:val="none" w:sz="0" w:space="0" w:color="auto"/>
      </w:divBdr>
    </w:div>
    <w:div w:id="640967388">
      <w:bodyDiv w:val="1"/>
      <w:marLeft w:val="0"/>
      <w:marRight w:val="0"/>
      <w:marTop w:val="0"/>
      <w:marBottom w:val="0"/>
      <w:divBdr>
        <w:top w:val="none" w:sz="0" w:space="0" w:color="auto"/>
        <w:left w:val="none" w:sz="0" w:space="0" w:color="auto"/>
        <w:bottom w:val="none" w:sz="0" w:space="0" w:color="auto"/>
        <w:right w:val="none" w:sz="0" w:space="0" w:color="auto"/>
      </w:divBdr>
    </w:div>
    <w:div w:id="675496547">
      <w:bodyDiv w:val="1"/>
      <w:marLeft w:val="0"/>
      <w:marRight w:val="0"/>
      <w:marTop w:val="0"/>
      <w:marBottom w:val="0"/>
      <w:divBdr>
        <w:top w:val="none" w:sz="0" w:space="0" w:color="auto"/>
        <w:left w:val="none" w:sz="0" w:space="0" w:color="auto"/>
        <w:bottom w:val="none" w:sz="0" w:space="0" w:color="auto"/>
        <w:right w:val="none" w:sz="0" w:space="0" w:color="auto"/>
      </w:divBdr>
    </w:div>
    <w:div w:id="688288479">
      <w:bodyDiv w:val="1"/>
      <w:marLeft w:val="0"/>
      <w:marRight w:val="0"/>
      <w:marTop w:val="0"/>
      <w:marBottom w:val="0"/>
      <w:divBdr>
        <w:top w:val="none" w:sz="0" w:space="0" w:color="auto"/>
        <w:left w:val="none" w:sz="0" w:space="0" w:color="auto"/>
        <w:bottom w:val="none" w:sz="0" w:space="0" w:color="auto"/>
        <w:right w:val="none" w:sz="0" w:space="0" w:color="auto"/>
      </w:divBdr>
    </w:div>
    <w:div w:id="696346788">
      <w:bodyDiv w:val="1"/>
      <w:marLeft w:val="0"/>
      <w:marRight w:val="0"/>
      <w:marTop w:val="0"/>
      <w:marBottom w:val="0"/>
      <w:divBdr>
        <w:top w:val="none" w:sz="0" w:space="0" w:color="auto"/>
        <w:left w:val="none" w:sz="0" w:space="0" w:color="auto"/>
        <w:bottom w:val="none" w:sz="0" w:space="0" w:color="auto"/>
        <w:right w:val="none" w:sz="0" w:space="0" w:color="auto"/>
      </w:divBdr>
    </w:div>
    <w:div w:id="891312117">
      <w:bodyDiv w:val="1"/>
      <w:marLeft w:val="0"/>
      <w:marRight w:val="0"/>
      <w:marTop w:val="0"/>
      <w:marBottom w:val="0"/>
      <w:divBdr>
        <w:top w:val="none" w:sz="0" w:space="0" w:color="auto"/>
        <w:left w:val="none" w:sz="0" w:space="0" w:color="auto"/>
        <w:bottom w:val="none" w:sz="0" w:space="0" w:color="auto"/>
        <w:right w:val="none" w:sz="0" w:space="0" w:color="auto"/>
      </w:divBdr>
    </w:div>
    <w:div w:id="916745803">
      <w:bodyDiv w:val="1"/>
      <w:marLeft w:val="0"/>
      <w:marRight w:val="0"/>
      <w:marTop w:val="0"/>
      <w:marBottom w:val="0"/>
      <w:divBdr>
        <w:top w:val="none" w:sz="0" w:space="0" w:color="auto"/>
        <w:left w:val="none" w:sz="0" w:space="0" w:color="auto"/>
        <w:bottom w:val="none" w:sz="0" w:space="0" w:color="auto"/>
        <w:right w:val="none" w:sz="0" w:space="0" w:color="auto"/>
      </w:divBdr>
    </w:div>
    <w:div w:id="923031761">
      <w:bodyDiv w:val="1"/>
      <w:marLeft w:val="0"/>
      <w:marRight w:val="0"/>
      <w:marTop w:val="0"/>
      <w:marBottom w:val="0"/>
      <w:divBdr>
        <w:top w:val="none" w:sz="0" w:space="0" w:color="auto"/>
        <w:left w:val="none" w:sz="0" w:space="0" w:color="auto"/>
        <w:bottom w:val="none" w:sz="0" w:space="0" w:color="auto"/>
        <w:right w:val="none" w:sz="0" w:space="0" w:color="auto"/>
      </w:divBdr>
    </w:div>
    <w:div w:id="942306315">
      <w:bodyDiv w:val="1"/>
      <w:marLeft w:val="0"/>
      <w:marRight w:val="0"/>
      <w:marTop w:val="0"/>
      <w:marBottom w:val="0"/>
      <w:divBdr>
        <w:top w:val="none" w:sz="0" w:space="0" w:color="auto"/>
        <w:left w:val="none" w:sz="0" w:space="0" w:color="auto"/>
        <w:bottom w:val="none" w:sz="0" w:space="0" w:color="auto"/>
        <w:right w:val="none" w:sz="0" w:space="0" w:color="auto"/>
      </w:divBdr>
    </w:div>
    <w:div w:id="964581262">
      <w:bodyDiv w:val="1"/>
      <w:marLeft w:val="0"/>
      <w:marRight w:val="0"/>
      <w:marTop w:val="0"/>
      <w:marBottom w:val="0"/>
      <w:divBdr>
        <w:top w:val="none" w:sz="0" w:space="0" w:color="auto"/>
        <w:left w:val="none" w:sz="0" w:space="0" w:color="auto"/>
        <w:bottom w:val="none" w:sz="0" w:space="0" w:color="auto"/>
        <w:right w:val="none" w:sz="0" w:space="0" w:color="auto"/>
      </w:divBdr>
    </w:div>
    <w:div w:id="999768372">
      <w:bodyDiv w:val="1"/>
      <w:marLeft w:val="0"/>
      <w:marRight w:val="0"/>
      <w:marTop w:val="0"/>
      <w:marBottom w:val="0"/>
      <w:divBdr>
        <w:top w:val="none" w:sz="0" w:space="0" w:color="auto"/>
        <w:left w:val="none" w:sz="0" w:space="0" w:color="auto"/>
        <w:bottom w:val="none" w:sz="0" w:space="0" w:color="auto"/>
        <w:right w:val="none" w:sz="0" w:space="0" w:color="auto"/>
      </w:divBdr>
    </w:div>
    <w:div w:id="1002195365">
      <w:bodyDiv w:val="1"/>
      <w:marLeft w:val="0"/>
      <w:marRight w:val="0"/>
      <w:marTop w:val="0"/>
      <w:marBottom w:val="0"/>
      <w:divBdr>
        <w:top w:val="none" w:sz="0" w:space="0" w:color="auto"/>
        <w:left w:val="none" w:sz="0" w:space="0" w:color="auto"/>
        <w:bottom w:val="none" w:sz="0" w:space="0" w:color="auto"/>
        <w:right w:val="none" w:sz="0" w:space="0" w:color="auto"/>
      </w:divBdr>
    </w:div>
    <w:div w:id="1031032812">
      <w:bodyDiv w:val="1"/>
      <w:marLeft w:val="0"/>
      <w:marRight w:val="0"/>
      <w:marTop w:val="0"/>
      <w:marBottom w:val="0"/>
      <w:divBdr>
        <w:top w:val="none" w:sz="0" w:space="0" w:color="auto"/>
        <w:left w:val="none" w:sz="0" w:space="0" w:color="auto"/>
        <w:bottom w:val="none" w:sz="0" w:space="0" w:color="auto"/>
        <w:right w:val="none" w:sz="0" w:space="0" w:color="auto"/>
      </w:divBdr>
    </w:div>
    <w:div w:id="1033462988">
      <w:bodyDiv w:val="1"/>
      <w:marLeft w:val="0"/>
      <w:marRight w:val="0"/>
      <w:marTop w:val="0"/>
      <w:marBottom w:val="0"/>
      <w:divBdr>
        <w:top w:val="none" w:sz="0" w:space="0" w:color="auto"/>
        <w:left w:val="none" w:sz="0" w:space="0" w:color="auto"/>
        <w:bottom w:val="none" w:sz="0" w:space="0" w:color="auto"/>
        <w:right w:val="none" w:sz="0" w:space="0" w:color="auto"/>
      </w:divBdr>
    </w:div>
    <w:div w:id="1080248973">
      <w:bodyDiv w:val="1"/>
      <w:marLeft w:val="0"/>
      <w:marRight w:val="0"/>
      <w:marTop w:val="0"/>
      <w:marBottom w:val="0"/>
      <w:divBdr>
        <w:top w:val="none" w:sz="0" w:space="0" w:color="auto"/>
        <w:left w:val="none" w:sz="0" w:space="0" w:color="auto"/>
        <w:bottom w:val="none" w:sz="0" w:space="0" w:color="auto"/>
        <w:right w:val="none" w:sz="0" w:space="0" w:color="auto"/>
      </w:divBdr>
    </w:div>
    <w:div w:id="1102799359">
      <w:bodyDiv w:val="1"/>
      <w:marLeft w:val="0"/>
      <w:marRight w:val="0"/>
      <w:marTop w:val="0"/>
      <w:marBottom w:val="0"/>
      <w:divBdr>
        <w:top w:val="none" w:sz="0" w:space="0" w:color="auto"/>
        <w:left w:val="none" w:sz="0" w:space="0" w:color="auto"/>
        <w:bottom w:val="none" w:sz="0" w:space="0" w:color="auto"/>
        <w:right w:val="none" w:sz="0" w:space="0" w:color="auto"/>
      </w:divBdr>
    </w:div>
    <w:div w:id="1150294157">
      <w:bodyDiv w:val="1"/>
      <w:marLeft w:val="0"/>
      <w:marRight w:val="0"/>
      <w:marTop w:val="0"/>
      <w:marBottom w:val="0"/>
      <w:divBdr>
        <w:top w:val="none" w:sz="0" w:space="0" w:color="auto"/>
        <w:left w:val="none" w:sz="0" w:space="0" w:color="auto"/>
        <w:bottom w:val="none" w:sz="0" w:space="0" w:color="auto"/>
        <w:right w:val="none" w:sz="0" w:space="0" w:color="auto"/>
      </w:divBdr>
    </w:div>
    <w:div w:id="1236863015">
      <w:bodyDiv w:val="1"/>
      <w:marLeft w:val="0"/>
      <w:marRight w:val="0"/>
      <w:marTop w:val="0"/>
      <w:marBottom w:val="0"/>
      <w:divBdr>
        <w:top w:val="none" w:sz="0" w:space="0" w:color="auto"/>
        <w:left w:val="none" w:sz="0" w:space="0" w:color="auto"/>
        <w:bottom w:val="none" w:sz="0" w:space="0" w:color="auto"/>
        <w:right w:val="none" w:sz="0" w:space="0" w:color="auto"/>
      </w:divBdr>
      <w:divsChild>
        <w:div w:id="1653220637">
          <w:marLeft w:val="0"/>
          <w:marRight w:val="0"/>
          <w:marTop w:val="0"/>
          <w:marBottom w:val="0"/>
          <w:divBdr>
            <w:top w:val="none" w:sz="0" w:space="0" w:color="auto"/>
            <w:left w:val="none" w:sz="0" w:space="0" w:color="auto"/>
            <w:bottom w:val="none" w:sz="0" w:space="0" w:color="auto"/>
            <w:right w:val="none" w:sz="0" w:space="0" w:color="auto"/>
          </w:divBdr>
        </w:div>
      </w:divsChild>
    </w:div>
    <w:div w:id="1253126468">
      <w:bodyDiv w:val="1"/>
      <w:marLeft w:val="0"/>
      <w:marRight w:val="0"/>
      <w:marTop w:val="0"/>
      <w:marBottom w:val="0"/>
      <w:divBdr>
        <w:top w:val="none" w:sz="0" w:space="0" w:color="auto"/>
        <w:left w:val="none" w:sz="0" w:space="0" w:color="auto"/>
        <w:bottom w:val="none" w:sz="0" w:space="0" w:color="auto"/>
        <w:right w:val="none" w:sz="0" w:space="0" w:color="auto"/>
      </w:divBdr>
    </w:div>
    <w:div w:id="1321735593">
      <w:bodyDiv w:val="1"/>
      <w:marLeft w:val="0"/>
      <w:marRight w:val="0"/>
      <w:marTop w:val="0"/>
      <w:marBottom w:val="0"/>
      <w:divBdr>
        <w:top w:val="none" w:sz="0" w:space="0" w:color="auto"/>
        <w:left w:val="none" w:sz="0" w:space="0" w:color="auto"/>
        <w:bottom w:val="none" w:sz="0" w:space="0" w:color="auto"/>
        <w:right w:val="none" w:sz="0" w:space="0" w:color="auto"/>
      </w:divBdr>
    </w:div>
    <w:div w:id="1348560288">
      <w:bodyDiv w:val="1"/>
      <w:marLeft w:val="0"/>
      <w:marRight w:val="0"/>
      <w:marTop w:val="0"/>
      <w:marBottom w:val="0"/>
      <w:divBdr>
        <w:top w:val="none" w:sz="0" w:space="0" w:color="auto"/>
        <w:left w:val="none" w:sz="0" w:space="0" w:color="auto"/>
        <w:bottom w:val="none" w:sz="0" w:space="0" w:color="auto"/>
        <w:right w:val="none" w:sz="0" w:space="0" w:color="auto"/>
      </w:divBdr>
    </w:div>
    <w:div w:id="1364095688">
      <w:bodyDiv w:val="1"/>
      <w:marLeft w:val="0"/>
      <w:marRight w:val="0"/>
      <w:marTop w:val="0"/>
      <w:marBottom w:val="0"/>
      <w:divBdr>
        <w:top w:val="none" w:sz="0" w:space="0" w:color="auto"/>
        <w:left w:val="none" w:sz="0" w:space="0" w:color="auto"/>
        <w:bottom w:val="none" w:sz="0" w:space="0" w:color="auto"/>
        <w:right w:val="none" w:sz="0" w:space="0" w:color="auto"/>
      </w:divBdr>
      <w:divsChild>
        <w:div w:id="1330912740">
          <w:marLeft w:val="0"/>
          <w:marRight w:val="0"/>
          <w:marTop w:val="0"/>
          <w:marBottom w:val="0"/>
          <w:divBdr>
            <w:top w:val="none" w:sz="0" w:space="0" w:color="auto"/>
            <w:left w:val="none" w:sz="0" w:space="0" w:color="auto"/>
            <w:bottom w:val="none" w:sz="0" w:space="0" w:color="auto"/>
            <w:right w:val="none" w:sz="0" w:space="0" w:color="auto"/>
          </w:divBdr>
        </w:div>
      </w:divsChild>
    </w:div>
    <w:div w:id="1366902579">
      <w:bodyDiv w:val="1"/>
      <w:marLeft w:val="0"/>
      <w:marRight w:val="0"/>
      <w:marTop w:val="0"/>
      <w:marBottom w:val="0"/>
      <w:divBdr>
        <w:top w:val="none" w:sz="0" w:space="0" w:color="auto"/>
        <w:left w:val="none" w:sz="0" w:space="0" w:color="auto"/>
        <w:bottom w:val="none" w:sz="0" w:space="0" w:color="auto"/>
        <w:right w:val="none" w:sz="0" w:space="0" w:color="auto"/>
      </w:divBdr>
    </w:div>
    <w:div w:id="1367876440">
      <w:bodyDiv w:val="1"/>
      <w:marLeft w:val="0"/>
      <w:marRight w:val="0"/>
      <w:marTop w:val="0"/>
      <w:marBottom w:val="0"/>
      <w:divBdr>
        <w:top w:val="none" w:sz="0" w:space="0" w:color="auto"/>
        <w:left w:val="none" w:sz="0" w:space="0" w:color="auto"/>
        <w:bottom w:val="none" w:sz="0" w:space="0" w:color="auto"/>
        <w:right w:val="none" w:sz="0" w:space="0" w:color="auto"/>
      </w:divBdr>
    </w:div>
    <w:div w:id="1410495968">
      <w:bodyDiv w:val="1"/>
      <w:marLeft w:val="0"/>
      <w:marRight w:val="0"/>
      <w:marTop w:val="0"/>
      <w:marBottom w:val="0"/>
      <w:divBdr>
        <w:top w:val="none" w:sz="0" w:space="0" w:color="auto"/>
        <w:left w:val="none" w:sz="0" w:space="0" w:color="auto"/>
        <w:bottom w:val="none" w:sz="0" w:space="0" w:color="auto"/>
        <w:right w:val="none" w:sz="0" w:space="0" w:color="auto"/>
      </w:divBdr>
    </w:div>
    <w:div w:id="1419666936">
      <w:bodyDiv w:val="1"/>
      <w:marLeft w:val="0"/>
      <w:marRight w:val="0"/>
      <w:marTop w:val="0"/>
      <w:marBottom w:val="0"/>
      <w:divBdr>
        <w:top w:val="none" w:sz="0" w:space="0" w:color="auto"/>
        <w:left w:val="none" w:sz="0" w:space="0" w:color="auto"/>
        <w:bottom w:val="none" w:sz="0" w:space="0" w:color="auto"/>
        <w:right w:val="none" w:sz="0" w:space="0" w:color="auto"/>
      </w:divBdr>
    </w:div>
    <w:div w:id="1426917797">
      <w:bodyDiv w:val="1"/>
      <w:marLeft w:val="0"/>
      <w:marRight w:val="0"/>
      <w:marTop w:val="0"/>
      <w:marBottom w:val="0"/>
      <w:divBdr>
        <w:top w:val="none" w:sz="0" w:space="0" w:color="auto"/>
        <w:left w:val="none" w:sz="0" w:space="0" w:color="auto"/>
        <w:bottom w:val="none" w:sz="0" w:space="0" w:color="auto"/>
        <w:right w:val="none" w:sz="0" w:space="0" w:color="auto"/>
      </w:divBdr>
    </w:div>
    <w:div w:id="1464888439">
      <w:bodyDiv w:val="1"/>
      <w:marLeft w:val="0"/>
      <w:marRight w:val="0"/>
      <w:marTop w:val="0"/>
      <w:marBottom w:val="0"/>
      <w:divBdr>
        <w:top w:val="none" w:sz="0" w:space="0" w:color="auto"/>
        <w:left w:val="none" w:sz="0" w:space="0" w:color="auto"/>
        <w:bottom w:val="none" w:sz="0" w:space="0" w:color="auto"/>
        <w:right w:val="none" w:sz="0" w:space="0" w:color="auto"/>
      </w:divBdr>
    </w:div>
    <w:div w:id="1465074084">
      <w:bodyDiv w:val="1"/>
      <w:marLeft w:val="0"/>
      <w:marRight w:val="0"/>
      <w:marTop w:val="0"/>
      <w:marBottom w:val="0"/>
      <w:divBdr>
        <w:top w:val="none" w:sz="0" w:space="0" w:color="auto"/>
        <w:left w:val="none" w:sz="0" w:space="0" w:color="auto"/>
        <w:bottom w:val="none" w:sz="0" w:space="0" w:color="auto"/>
        <w:right w:val="none" w:sz="0" w:space="0" w:color="auto"/>
      </w:divBdr>
    </w:div>
    <w:div w:id="1467701581">
      <w:bodyDiv w:val="1"/>
      <w:marLeft w:val="0"/>
      <w:marRight w:val="0"/>
      <w:marTop w:val="0"/>
      <w:marBottom w:val="0"/>
      <w:divBdr>
        <w:top w:val="none" w:sz="0" w:space="0" w:color="auto"/>
        <w:left w:val="none" w:sz="0" w:space="0" w:color="auto"/>
        <w:bottom w:val="none" w:sz="0" w:space="0" w:color="auto"/>
        <w:right w:val="none" w:sz="0" w:space="0" w:color="auto"/>
      </w:divBdr>
    </w:div>
    <w:div w:id="1477146391">
      <w:bodyDiv w:val="1"/>
      <w:marLeft w:val="0"/>
      <w:marRight w:val="0"/>
      <w:marTop w:val="0"/>
      <w:marBottom w:val="0"/>
      <w:divBdr>
        <w:top w:val="none" w:sz="0" w:space="0" w:color="auto"/>
        <w:left w:val="none" w:sz="0" w:space="0" w:color="auto"/>
        <w:bottom w:val="none" w:sz="0" w:space="0" w:color="auto"/>
        <w:right w:val="none" w:sz="0" w:space="0" w:color="auto"/>
      </w:divBdr>
    </w:div>
    <w:div w:id="1480197143">
      <w:bodyDiv w:val="1"/>
      <w:marLeft w:val="0"/>
      <w:marRight w:val="0"/>
      <w:marTop w:val="0"/>
      <w:marBottom w:val="0"/>
      <w:divBdr>
        <w:top w:val="none" w:sz="0" w:space="0" w:color="auto"/>
        <w:left w:val="none" w:sz="0" w:space="0" w:color="auto"/>
        <w:bottom w:val="none" w:sz="0" w:space="0" w:color="auto"/>
        <w:right w:val="none" w:sz="0" w:space="0" w:color="auto"/>
      </w:divBdr>
    </w:div>
    <w:div w:id="1492871551">
      <w:bodyDiv w:val="1"/>
      <w:marLeft w:val="0"/>
      <w:marRight w:val="0"/>
      <w:marTop w:val="0"/>
      <w:marBottom w:val="0"/>
      <w:divBdr>
        <w:top w:val="none" w:sz="0" w:space="0" w:color="auto"/>
        <w:left w:val="none" w:sz="0" w:space="0" w:color="auto"/>
        <w:bottom w:val="none" w:sz="0" w:space="0" w:color="auto"/>
        <w:right w:val="none" w:sz="0" w:space="0" w:color="auto"/>
      </w:divBdr>
    </w:div>
    <w:div w:id="1513227258">
      <w:bodyDiv w:val="1"/>
      <w:marLeft w:val="0"/>
      <w:marRight w:val="0"/>
      <w:marTop w:val="0"/>
      <w:marBottom w:val="0"/>
      <w:divBdr>
        <w:top w:val="none" w:sz="0" w:space="0" w:color="auto"/>
        <w:left w:val="none" w:sz="0" w:space="0" w:color="auto"/>
        <w:bottom w:val="none" w:sz="0" w:space="0" w:color="auto"/>
        <w:right w:val="none" w:sz="0" w:space="0" w:color="auto"/>
      </w:divBdr>
    </w:div>
    <w:div w:id="1532382474">
      <w:bodyDiv w:val="1"/>
      <w:marLeft w:val="0"/>
      <w:marRight w:val="0"/>
      <w:marTop w:val="0"/>
      <w:marBottom w:val="0"/>
      <w:divBdr>
        <w:top w:val="none" w:sz="0" w:space="0" w:color="auto"/>
        <w:left w:val="none" w:sz="0" w:space="0" w:color="auto"/>
        <w:bottom w:val="none" w:sz="0" w:space="0" w:color="auto"/>
        <w:right w:val="none" w:sz="0" w:space="0" w:color="auto"/>
      </w:divBdr>
    </w:div>
    <w:div w:id="1547374423">
      <w:bodyDiv w:val="1"/>
      <w:marLeft w:val="0"/>
      <w:marRight w:val="0"/>
      <w:marTop w:val="0"/>
      <w:marBottom w:val="0"/>
      <w:divBdr>
        <w:top w:val="none" w:sz="0" w:space="0" w:color="auto"/>
        <w:left w:val="none" w:sz="0" w:space="0" w:color="auto"/>
        <w:bottom w:val="none" w:sz="0" w:space="0" w:color="auto"/>
        <w:right w:val="none" w:sz="0" w:space="0" w:color="auto"/>
      </w:divBdr>
    </w:div>
    <w:div w:id="1570723222">
      <w:bodyDiv w:val="1"/>
      <w:marLeft w:val="0"/>
      <w:marRight w:val="0"/>
      <w:marTop w:val="0"/>
      <w:marBottom w:val="0"/>
      <w:divBdr>
        <w:top w:val="none" w:sz="0" w:space="0" w:color="auto"/>
        <w:left w:val="none" w:sz="0" w:space="0" w:color="auto"/>
        <w:bottom w:val="none" w:sz="0" w:space="0" w:color="auto"/>
        <w:right w:val="none" w:sz="0" w:space="0" w:color="auto"/>
      </w:divBdr>
      <w:divsChild>
        <w:div w:id="618298579">
          <w:marLeft w:val="0"/>
          <w:marRight w:val="0"/>
          <w:marTop w:val="0"/>
          <w:marBottom w:val="0"/>
          <w:divBdr>
            <w:top w:val="none" w:sz="0" w:space="0" w:color="auto"/>
            <w:left w:val="none" w:sz="0" w:space="0" w:color="auto"/>
            <w:bottom w:val="none" w:sz="0" w:space="0" w:color="auto"/>
            <w:right w:val="none" w:sz="0" w:space="0" w:color="auto"/>
          </w:divBdr>
          <w:divsChild>
            <w:div w:id="968896343">
              <w:marLeft w:val="0"/>
              <w:marRight w:val="0"/>
              <w:marTop w:val="0"/>
              <w:marBottom w:val="0"/>
              <w:divBdr>
                <w:top w:val="none" w:sz="0" w:space="0" w:color="auto"/>
                <w:left w:val="none" w:sz="0" w:space="0" w:color="auto"/>
                <w:bottom w:val="none" w:sz="0" w:space="0" w:color="auto"/>
                <w:right w:val="none" w:sz="0" w:space="0" w:color="auto"/>
              </w:divBdr>
              <w:divsChild>
                <w:div w:id="1172717921">
                  <w:marLeft w:val="0"/>
                  <w:marRight w:val="0"/>
                  <w:marTop w:val="0"/>
                  <w:marBottom w:val="0"/>
                  <w:divBdr>
                    <w:top w:val="none" w:sz="0" w:space="0" w:color="auto"/>
                    <w:left w:val="none" w:sz="0" w:space="0" w:color="auto"/>
                    <w:bottom w:val="none" w:sz="0" w:space="0" w:color="auto"/>
                    <w:right w:val="none" w:sz="0" w:space="0" w:color="auto"/>
                  </w:divBdr>
                  <w:divsChild>
                    <w:div w:id="367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6836">
      <w:bodyDiv w:val="1"/>
      <w:marLeft w:val="0"/>
      <w:marRight w:val="0"/>
      <w:marTop w:val="0"/>
      <w:marBottom w:val="0"/>
      <w:divBdr>
        <w:top w:val="none" w:sz="0" w:space="0" w:color="auto"/>
        <w:left w:val="none" w:sz="0" w:space="0" w:color="auto"/>
        <w:bottom w:val="none" w:sz="0" w:space="0" w:color="auto"/>
        <w:right w:val="none" w:sz="0" w:space="0" w:color="auto"/>
      </w:divBdr>
    </w:div>
    <w:div w:id="1682511904">
      <w:bodyDiv w:val="1"/>
      <w:marLeft w:val="0"/>
      <w:marRight w:val="0"/>
      <w:marTop w:val="0"/>
      <w:marBottom w:val="0"/>
      <w:divBdr>
        <w:top w:val="none" w:sz="0" w:space="0" w:color="auto"/>
        <w:left w:val="none" w:sz="0" w:space="0" w:color="auto"/>
        <w:bottom w:val="none" w:sz="0" w:space="0" w:color="auto"/>
        <w:right w:val="none" w:sz="0" w:space="0" w:color="auto"/>
      </w:divBdr>
    </w:div>
    <w:div w:id="1701661837">
      <w:bodyDiv w:val="1"/>
      <w:marLeft w:val="0"/>
      <w:marRight w:val="0"/>
      <w:marTop w:val="0"/>
      <w:marBottom w:val="0"/>
      <w:divBdr>
        <w:top w:val="none" w:sz="0" w:space="0" w:color="auto"/>
        <w:left w:val="none" w:sz="0" w:space="0" w:color="auto"/>
        <w:bottom w:val="none" w:sz="0" w:space="0" w:color="auto"/>
        <w:right w:val="none" w:sz="0" w:space="0" w:color="auto"/>
      </w:divBdr>
    </w:div>
    <w:div w:id="1704742788">
      <w:bodyDiv w:val="1"/>
      <w:marLeft w:val="0"/>
      <w:marRight w:val="0"/>
      <w:marTop w:val="0"/>
      <w:marBottom w:val="0"/>
      <w:divBdr>
        <w:top w:val="none" w:sz="0" w:space="0" w:color="auto"/>
        <w:left w:val="none" w:sz="0" w:space="0" w:color="auto"/>
        <w:bottom w:val="none" w:sz="0" w:space="0" w:color="auto"/>
        <w:right w:val="none" w:sz="0" w:space="0" w:color="auto"/>
      </w:divBdr>
    </w:div>
    <w:div w:id="1734431538">
      <w:bodyDiv w:val="1"/>
      <w:marLeft w:val="0"/>
      <w:marRight w:val="0"/>
      <w:marTop w:val="0"/>
      <w:marBottom w:val="0"/>
      <w:divBdr>
        <w:top w:val="none" w:sz="0" w:space="0" w:color="auto"/>
        <w:left w:val="none" w:sz="0" w:space="0" w:color="auto"/>
        <w:bottom w:val="none" w:sz="0" w:space="0" w:color="auto"/>
        <w:right w:val="none" w:sz="0" w:space="0" w:color="auto"/>
      </w:divBdr>
    </w:div>
    <w:div w:id="1740592776">
      <w:bodyDiv w:val="1"/>
      <w:marLeft w:val="0"/>
      <w:marRight w:val="0"/>
      <w:marTop w:val="0"/>
      <w:marBottom w:val="0"/>
      <w:divBdr>
        <w:top w:val="none" w:sz="0" w:space="0" w:color="auto"/>
        <w:left w:val="none" w:sz="0" w:space="0" w:color="auto"/>
        <w:bottom w:val="none" w:sz="0" w:space="0" w:color="auto"/>
        <w:right w:val="none" w:sz="0" w:space="0" w:color="auto"/>
      </w:divBdr>
    </w:div>
    <w:div w:id="1748764558">
      <w:bodyDiv w:val="1"/>
      <w:marLeft w:val="0"/>
      <w:marRight w:val="0"/>
      <w:marTop w:val="0"/>
      <w:marBottom w:val="0"/>
      <w:divBdr>
        <w:top w:val="none" w:sz="0" w:space="0" w:color="auto"/>
        <w:left w:val="none" w:sz="0" w:space="0" w:color="auto"/>
        <w:bottom w:val="none" w:sz="0" w:space="0" w:color="auto"/>
        <w:right w:val="none" w:sz="0" w:space="0" w:color="auto"/>
      </w:divBdr>
    </w:div>
    <w:div w:id="1788429020">
      <w:bodyDiv w:val="1"/>
      <w:marLeft w:val="0"/>
      <w:marRight w:val="0"/>
      <w:marTop w:val="0"/>
      <w:marBottom w:val="0"/>
      <w:divBdr>
        <w:top w:val="none" w:sz="0" w:space="0" w:color="auto"/>
        <w:left w:val="none" w:sz="0" w:space="0" w:color="auto"/>
        <w:bottom w:val="none" w:sz="0" w:space="0" w:color="auto"/>
        <w:right w:val="none" w:sz="0" w:space="0" w:color="auto"/>
      </w:divBdr>
    </w:div>
    <w:div w:id="1796941819">
      <w:bodyDiv w:val="1"/>
      <w:marLeft w:val="0"/>
      <w:marRight w:val="0"/>
      <w:marTop w:val="0"/>
      <w:marBottom w:val="0"/>
      <w:divBdr>
        <w:top w:val="none" w:sz="0" w:space="0" w:color="auto"/>
        <w:left w:val="none" w:sz="0" w:space="0" w:color="auto"/>
        <w:bottom w:val="none" w:sz="0" w:space="0" w:color="auto"/>
        <w:right w:val="none" w:sz="0" w:space="0" w:color="auto"/>
      </w:divBdr>
    </w:div>
    <w:div w:id="1803575489">
      <w:bodyDiv w:val="1"/>
      <w:marLeft w:val="0"/>
      <w:marRight w:val="0"/>
      <w:marTop w:val="0"/>
      <w:marBottom w:val="0"/>
      <w:divBdr>
        <w:top w:val="none" w:sz="0" w:space="0" w:color="auto"/>
        <w:left w:val="none" w:sz="0" w:space="0" w:color="auto"/>
        <w:bottom w:val="none" w:sz="0" w:space="0" w:color="auto"/>
        <w:right w:val="none" w:sz="0" w:space="0" w:color="auto"/>
      </w:divBdr>
    </w:div>
    <w:div w:id="1807622116">
      <w:bodyDiv w:val="1"/>
      <w:marLeft w:val="0"/>
      <w:marRight w:val="0"/>
      <w:marTop w:val="0"/>
      <w:marBottom w:val="0"/>
      <w:divBdr>
        <w:top w:val="none" w:sz="0" w:space="0" w:color="auto"/>
        <w:left w:val="none" w:sz="0" w:space="0" w:color="auto"/>
        <w:bottom w:val="none" w:sz="0" w:space="0" w:color="auto"/>
        <w:right w:val="none" w:sz="0" w:space="0" w:color="auto"/>
      </w:divBdr>
    </w:div>
    <w:div w:id="1896618057">
      <w:bodyDiv w:val="1"/>
      <w:marLeft w:val="0"/>
      <w:marRight w:val="0"/>
      <w:marTop w:val="0"/>
      <w:marBottom w:val="0"/>
      <w:divBdr>
        <w:top w:val="none" w:sz="0" w:space="0" w:color="auto"/>
        <w:left w:val="none" w:sz="0" w:space="0" w:color="auto"/>
        <w:bottom w:val="none" w:sz="0" w:space="0" w:color="auto"/>
        <w:right w:val="none" w:sz="0" w:space="0" w:color="auto"/>
      </w:divBdr>
    </w:div>
    <w:div w:id="1918056875">
      <w:bodyDiv w:val="1"/>
      <w:marLeft w:val="0"/>
      <w:marRight w:val="0"/>
      <w:marTop w:val="0"/>
      <w:marBottom w:val="0"/>
      <w:divBdr>
        <w:top w:val="none" w:sz="0" w:space="0" w:color="auto"/>
        <w:left w:val="none" w:sz="0" w:space="0" w:color="auto"/>
        <w:bottom w:val="none" w:sz="0" w:space="0" w:color="auto"/>
        <w:right w:val="none" w:sz="0" w:space="0" w:color="auto"/>
      </w:divBdr>
    </w:div>
    <w:div w:id="1942449314">
      <w:bodyDiv w:val="1"/>
      <w:marLeft w:val="0"/>
      <w:marRight w:val="0"/>
      <w:marTop w:val="0"/>
      <w:marBottom w:val="0"/>
      <w:divBdr>
        <w:top w:val="none" w:sz="0" w:space="0" w:color="auto"/>
        <w:left w:val="none" w:sz="0" w:space="0" w:color="auto"/>
        <w:bottom w:val="none" w:sz="0" w:space="0" w:color="auto"/>
        <w:right w:val="none" w:sz="0" w:space="0" w:color="auto"/>
      </w:divBdr>
    </w:div>
    <w:div w:id="1959530775">
      <w:bodyDiv w:val="1"/>
      <w:marLeft w:val="0"/>
      <w:marRight w:val="0"/>
      <w:marTop w:val="0"/>
      <w:marBottom w:val="0"/>
      <w:divBdr>
        <w:top w:val="none" w:sz="0" w:space="0" w:color="auto"/>
        <w:left w:val="none" w:sz="0" w:space="0" w:color="auto"/>
        <w:bottom w:val="none" w:sz="0" w:space="0" w:color="auto"/>
        <w:right w:val="none" w:sz="0" w:space="0" w:color="auto"/>
      </w:divBdr>
    </w:div>
    <w:div w:id="1969623200">
      <w:bodyDiv w:val="1"/>
      <w:marLeft w:val="0"/>
      <w:marRight w:val="0"/>
      <w:marTop w:val="0"/>
      <w:marBottom w:val="0"/>
      <w:divBdr>
        <w:top w:val="none" w:sz="0" w:space="0" w:color="auto"/>
        <w:left w:val="none" w:sz="0" w:space="0" w:color="auto"/>
        <w:bottom w:val="none" w:sz="0" w:space="0" w:color="auto"/>
        <w:right w:val="none" w:sz="0" w:space="0" w:color="auto"/>
      </w:divBdr>
    </w:div>
    <w:div w:id="1989312036">
      <w:bodyDiv w:val="1"/>
      <w:marLeft w:val="0"/>
      <w:marRight w:val="0"/>
      <w:marTop w:val="0"/>
      <w:marBottom w:val="0"/>
      <w:divBdr>
        <w:top w:val="none" w:sz="0" w:space="0" w:color="auto"/>
        <w:left w:val="none" w:sz="0" w:space="0" w:color="auto"/>
        <w:bottom w:val="none" w:sz="0" w:space="0" w:color="auto"/>
        <w:right w:val="none" w:sz="0" w:space="0" w:color="auto"/>
      </w:divBdr>
    </w:div>
    <w:div w:id="2030716115">
      <w:bodyDiv w:val="1"/>
      <w:marLeft w:val="0"/>
      <w:marRight w:val="0"/>
      <w:marTop w:val="0"/>
      <w:marBottom w:val="0"/>
      <w:divBdr>
        <w:top w:val="none" w:sz="0" w:space="0" w:color="auto"/>
        <w:left w:val="none" w:sz="0" w:space="0" w:color="auto"/>
        <w:bottom w:val="none" w:sz="0" w:space="0" w:color="auto"/>
        <w:right w:val="none" w:sz="0" w:space="0" w:color="auto"/>
      </w:divBdr>
    </w:div>
    <w:div w:id="2037728258">
      <w:bodyDiv w:val="1"/>
      <w:marLeft w:val="0"/>
      <w:marRight w:val="0"/>
      <w:marTop w:val="0"/>
      <w:marBottom w:val="0"/>
      <w:divBdr>
        <w:top w:val="none" w:sz="0" w:space="0" w:color="auto"/>
        <w:left w:val="none" w:sz="0" w:space="0" w:color="auto"/>
        <w:bottom w:val="none" w:sz="0" w:space="0" w:color="auto"/>
        <w:right w:val="none" w:sz="0" w:space="0" w:color="auto"/>
      </w:divBdr>
    </w:div>
    <w:div w:id="2097239780">
      <w:bodyDiv w:val="1"/>
      <w:marLeft w:val="0"/>
      <w:marRight w:val="0"/>
      <w:marTop w:val="0"/>
      <w:marBottom w:val="0"/>
      <w:divBdr>
        <w:top w:val="none" w:sz="0" w:space="0" w:color="auto"/>
        <w:left w:val="none" w:sz="0" w:space="0" w:color="auto"/>
        <w:bottom w:val="none" w:sz="0" w:space="0" w:color="auto"/>
        <w:right w:val="none" w:sz="0" w:space="0" w:color="auto"/>
      </w:divBdr>
    </w:div>
    <w:div w:id="2109881979">
      <w:bodyDiv w:val="1"/>
      <w:marLeft w:val="0"/>
      <w:marRight w:val="0"/>
      <w:marTop w:val="0"/>
      <w:marBottom w:val="0"/>
      <w:divBdr>
        <w:top w:val="none" w:sz="0" w:space="0" w:color="auto"/>
        <w:left w:val="none" w:sz="0" w:space="0" w:color="auto"/>
        <w:bottom w:val="none" w:sz="0" w:space="0" w:color="auto"/>
        <w:right w:val="none" w:sz="0" w:space="0" w:color="auto"/>
      </w:divBdr>
    </w:div>
    <w:div w:id="2124573845">
      <w:bodyDiv w:val="1"/>
      <w:marLeft w:val="0"/>
      <w:marRight w:val="0"/>
      <w:marTop w:val="0"/>
      <w:marBottom w:val="0"/>
      <w:divBdr>
        <w:top w:val="none" w:sz="0" w:space="0" w:color="auto"/>
        <w:left w:val="none" w:sz="0" w:space="0" w:color="auto"/>
        <w:bottom w:val="none" w:sz="0" w:space="0" w:color="auto"/>
        <w:right w:val="none" w:sz="0" w:space="0" w:color="auto"/>
      </w:divBdr>
    </w:div>
    <w:div w:id="2138521949">
      <w:bodyDiv w:val="1"/>
      <w:marLeft w:val="0"/>
      <w:marRight w:val="0"/>
      <w:marTop w:val="0"/>
      <w:marBottom w:val="0"/>
      <w:divBdr>
        <w:top w:val="none" w:sz="0" w:space="0" w:color="auto"/>
        <w:left w:val="none" w:sz="0" w:space="0" w:color="auto"/>
        <w:bottom w:val="none" w:sz="0" w:space="0" w:color="auto"/>
        <w:right w:val="none" w:sz="0" w:space="0" w:color="auto"/>
      </w:divBdr>
    </w:div>
    <w:div w:id="2140218609">
      <w:bodyDiv w:val="1"/>
      <w:marLeft w:val="0"/>
      <w:marRight w:val="0"/>
      <w:marTop w:val="0"/>
      <w:marBottom w:val="0"/>
      <w:divBdr>
        <w:top w:val="none" w:sz="0" w:space="0" w:color="auto"/>
        <w:left w:val="none" w:sz="0" w:space="0" w:color="auto"/>
        <w:bottom w:val="none" w:sz="0" w:space="0" w:color="auto"/>
        <w:right w:val="none" w:sz="0" w:space="0" w:color="auto"/>
      </w:divBdr>
    </w:div>
    <w:div w:id="21453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mara.gov.co/administracion-de-justicia-3" TargetMode="External"/><Relationship Id="rId1" Type="http://schemas.openxmlformats.org/officeDocument/2006/relationships/hyperlink" Target="http://leyes.senado.gov.co/proyectos/index.php/proyectos-ley/cuatrenio-2018-2022/2018-2019?option=com_joodb&amp;view=catalog&amp;format=html&amp;reset=false&amp;ordering=&amp;orderby=&amp;Itemid=464&amp;task=&amp;search=064&amp;searchfield=N-Senado&amp;limit=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897C64-F4DC-46A3-A787-A42E8B64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60027</Words>
  <Characters>330150</Characters>
  <Application>Microsoft Office Word</Application>
  <DocSecurity>0</DocSecurity>
  <Lines>2751</Lines>
  <Paragraphs>778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REPUBLICA DE COLOMBIA</vt:lpstr>
      <vt:lpstr>REPUBLICA DE COLOMBIA</vt:lpstr>
    </vt:vector>
  </TitlesOfParts>
  <Company>CONSEJO SUPERIOR DE LA JUDIC</Company>
  <LinksUpToDate>false</LinksUpToDate>
  <CharactersWithSpaces>389399</CharactersWithSpaces>
  <SharedDoc>false</SharedDoc>
  <HLinks>
    <vt:vector size="12" baseType="variant">
      <vt:variant>
        <vt:i4>8060975</vt:i4>
      </vt:variant>
      <vt:variant>
        <vt:i4>3</vt:i4>
      </vt:variant>
      <vt:variant>
        <vt:i4>0</vt:i4>
      </vt:variant>
      <vt:variant>
        <vt:i4>5</vt:i4>
      </vt:variant>
      <vt:variant>
        <vt:lpwstr>https://www.camara.gov.co/administracion-de-justicia-3</vt:lpwstr>
      </vt:variant>
      <vt:variant>
        <vt:lpwstr/>
      </vt:variant>
      <vt:variant>
        <vt:i4>6291551</vt:i4>
      </vt:variant>
      <vt:variant>
        <vt:i4>0</vt:i4>
      </vt:variant>
      <vt:variant>
        <vt:i4>0</vt:i4>
      </vt:variant>
      <vt:variant>
        <vt:i4>5</vt:i4>
      </vt:variant>
      <vt:variant>
        <vt:lpwstr>http://leyes.senado.gov.co/proyectos/index.php/proyectos-ley/cuatrenio-2018-2022/2018-2019?option=com_joodb&amp;view=catalog&amp;format=html&amp;reset=false&amp;ordering=&amp;orderby=&amp;Itemid=464&amp;task=&amp;search=064&amp;searchfield=N-Senado&amp;limit=10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creator>Your User Name</dc:creator>
  <cp:lastModifiedBy>personal</cp:lastModifiedBy>
  <cp:revision>2</cp:revision>
  <cp:lastPrinted>2020-09-14T14:11:00Z</cp:lastPrinted>
  <dcterms:created xsi:type="dcterms:W3CDTF">2020-10-16T21:50:00Z</dcterms:created>
  <dcterms:modified xsi:type="dcterms:W3CDTF">2020-10-16T21:50:00Z</dcterms:modified>
</cp:coreProperties>
</file>