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D72D1A6" w14:textId="535ECB50" w:rsidR="00931823" w:rsidRPr="0048739B" w:rsidRDefault="00931823" w:rsidP="0048739B">
      <w:pPr>
        <w:spacing w:after="0" w:line="240" w:lineRule="auto"/>
        <w:rPr>
          <w:b/>
          <w:sz w:val="28"/>
          <w:szCs w:val="28"/>
          <w:lang w:val="es-ES"/>
        </w:rPr>
      </w:pPr>
      <w:bookmarkStart w:id="0" w:name="_GoBack"/>
      <w:bookmarkEnd w:id="0"/>
      <w:r w:rsidRPr="0048739B">
        <w:rPr>
          <w:b/>
          <w:sz w:val="28"/>
          <w:szCs w:val="28"/>
          <w:lang w:val="es-ES"/>
        </w:rPr>
        <w:t>Sentencia C-</w:t>
      </w:r>
      <w:r w:rsidR="00C545A4" w:rsidRPr="0048739B">
        <w:rPr>
          <w:b/>
          <w:sz w:val="28"/>
          <w:szCs w:val="28"/>
          <w:lang w:val="es-ES"/>
        </w:rPr>
        <w:t>480</w:t>
      </w:r>
      <w:r w:rsidR="0048739B">
        <w:rPr>
          <w:b/>
          <w:sz w:val="28"/>
          <w:szCs w:val="28"/>
          <w:lang w:val="es-ES"/>
        </w:rPr>
        <w:t>/</w:t>
      </w:r>
      <w:r w:rsidRPr="0048739B">
        <w:rPr>
          <w:b/>
          <w:sz w:val="28"/>
          <w:szCs w:val="28"/>
          <w:lang w:val="es-ES"/>
        </w:rPr>
        <w:t>20</w:t>
      </w:r>
    </w:p>
    <w:p w14:paraId="3161B3E3" w14:textId="77777777" w:rsidR="000371D4" w:rsidRDefault="000371D4" w:rsidP="0048739B">
      <w:pPr>
        <w:spacing w:after="0" w:line="240" w:lineRule="auto"/>
        <w:ind w:right="48"/>
        <w:contextualSpacing/>
        <w:jc w:val="both"/>
        <w:rPr>
          <w:sz w:val="28"/>
          <w:szCs w:val="28"/>
          <w:lang w:val="es-ES" w:eastAsia="es-ES"/>
        </w:rPr>
      </w:pPr>
    </w:p>
    <w:p w14:paraId="76AA99B8" w14:textId="77777777" w:rsidR="0048739B" w:rsidRPr="0048739B" w:rsidRDefault="0048739B" w:rsidP="0048739B">
      <w:pPr>
        <w:spacing w:after="0" w:line="240" w:lineRule="auto"/>
        <w:ind w:left="3969" w:right="48"/>
        <w:contextualSpacing/>
        <w:jc w:val="both"/>
        <w:rPr>
          <w:sz w:val="28"/>
          <w:szCs w:val="28"/>
          <w:lang w:val="es-ES" w:eastAsia="es-ES"/>
        </w:rPr>
      </w:pPr>
    </w:p>
    <w:p w14:paraId="0C3ED0B4" w14:textId="3E22BE6A" w:rsidR="000C370B" w:rsidRPr="0048739B" w:rsidRDefault="000371D4" w:rsidP="0048739B">
      <w:pPr>
        <w:spacing w:after="0" w:line="240" w:lineRule="auto"/>
        <w:ind w:left="3969" w:right="48"/>
        <w:contextualSpacing/>
        <w:jc w:val="both"/>
        <w:rPr>
          <w:rFonts w:eastAsia="Calibri"/>
          <w:sz w:val="28"/>
          <w:szCs w:val="28"/>
          <w:lang w:val="es-ES" w:eastAsia="es-ES"/>
        </w:rPr>
      </w:pPr>
      <w:r w:rsidRPr="0048739B">
        <w:rPr>
          <w:rFonts w:eastAsia="Calibri"/>
          <w:sz w:val="28"/>
          <w:szCs w:val="28"/>
          <w:lang w:val="es-ES" w:eastAsia="es-ES"/>
        </w:rPr>
        <w:t xml:space="preserve">Referencia: </w:t>
      </w:r>
      <w:r w:rsidR="000F643E" w:rsidRPr="0048739B">
        <w:rPr>
          <w:rFonts w:eastAsia="Calibri"/>
          <w:sz w:val="28"/>
          <w:szCs w:val="28"/>
          <w:lang w:val="es-ES" w:eastAsia="es-ES"/>
        </w:rPr>
        <w:t>Expediente D-13</w:t>
      </w:r>
      <w:r w:rsidR="000B43F9" w:rsidRPr="0048739B">
        <w:rPr>
          <w:rFonts w:eastAsia="Calibri"/>
          <w:sz w:val="28"/>
          <w:szCs w:val="28"/>
          <w:lang w:val="es-ES" w:eastAsia="es-ES"/>
        </w:rPr>
        <w:t>.</w:t>
      </w:r>
      <w:r w:rsidR="00A83D24" w:rsidRPr="0048739B">
        <w:rPr>
          <w:rFonts w:eastAsia="Calibri"/>
          <w:sz w:val="28"/>
          <w:szCs w:val="28"/>
          <w:lang w:val="es-ES" w:eastAsia="es-ES"/>
        </w:rPr>
        <w:t>621</w:t>
      </w:r>
      <w:r w:rsidR="000B43F9" w:rsidRPr="0048739B">
        <w:rPr>
          <w:rFonts w:eastAsia="Calibri"/>
          <w:sz w:val="28"/>
          <w:szCs w:val="28"/>
          <w:lang w:val="es-ES" w:eastAsia="es-ES"/>
        </w:rPr>
        <w:t>.</w:t>
      </w:r>
    </w:p>
    <w:p w14:paraId="60D93692" w14:textId="77777777" w:rsidR="000C370B" w:rsidRPr="0048739B" w:rsidRDefault="000C370B" w:rsidP="0048739B">
      <w:pPr>
        <w:spacing w:after="0" w:line="240" w:lineRule="auto"/>
        <w:ind w:left="3969" w:right="48"/>
        <w:contextualSpacing/>
        <w:jc w:val="both"/>
        <w:rPr>
          <w:rFonts w:eastAsia="Times New Roman"/>
          <w:iCs/>
          <w:sz w:val="28"/>
          <w:szCs w:val="28"/>
          <w:lang w:val="es-ES" w:eastAsia="es-ES"/>
        </w:rPr>
      </w:pPr>
    </w:p>
    <w:p w14:paraId="051D4E8A" w14:textId="55EFC09F" w:rsidR="000B3A24" w:rsidRPr="0048739B" w:rsidRDefault="000371D4" w:rsidP="0048739B">
      <w:pPr>
        <w:spacing w:after="0" w:line="240" w:lineRule="auto"/>
        <w:ind w:left="3969" w:right="48"/>
        <w:contextualSpacing/>
        <w:jc w:val="both"/>
        <w:rPr>
          <w:rFonts w:eastAsia="Times New Roman"/>
          <w:i/>
          <w:sz w:val="28"/>
          <w:szCs w:val="28"/>
          <w:lang w:val="es-ES" w:eastAsia="es-ES"/>
        </w:rPr>
      </w:pPr>
      <w:r w:rsidRPr="0048739B">
        <w:rPr>
          <w:rFonts w:eastAsia="Times New Roman"/>
          <w:iCs/>
          <w:sz w:val="28"/>
          <w:szCs w:val="28"/>
          <w:lang w:val="es-ES" w:eastAsia="es-ES"/>
        </w:rPr>
        <w:t xml:space="preserve">Demanda de inconstitucionalidad contra </w:t>
      </w:r>
      <w:r w:rsidR="00444293" w:rsidRPr="0048739B">
        <w:rPr>
          <w:rFonts w:eastAsia="Times New Roman"/>
          <w:iCs/>
          <w:sz w:val="28"/>
          <w:szCs w:val="28"/>
          <w:lang w:val="es-ES" w:eastAsia="es-ES"/>
        </w:rPr>
        <w:t xml:space="preserve">el </w:t>
      </w:r>
      <w:r w:rsidR="00A83D24" w:rsidRPr="0048739B">
        <w:rPr>
          <w:rFonts w:eastAsia="Times New Roman"/>
          <w:iCs/>
          <w:sz w:val="28"/>
          <w:szCs w:val="28"/>
          <w:lang w:val="es-ES" w:eastAsia="es-ES"/>
        </w:rPr>
        <w:t xml:space="preserve">artículo 223 (parcial) de la Ley 906 de 2004 </w:t>
      </w:r>
      <w:r w:rsidR="00A83D24" w:rsidRPr="0048739B">
        <w:rPr>
          <w:rFonts w:eastAsia="Times New Roman"/>
          <w:i/>
          <w:sz w:val="28"/>
          <w:szCs w:val="28"/>
          <w:lang w:val="es-ES" w:eastAsia="es-ES"/>
        </w:rPr>
        <w:t>“por la cual se expide el Código de Procedimiento Penal”</w:t>
      </w:r>
      <w:r w:rsidR="000B43F9" w:rsidRPr="0048739B">
        <w:rPr>
          <w:rFonts w:eastAsia="Times New Roman"/>
          <w:i/>
          <w:sz w:val="28"/>
          <w:szCs w:val="28"/>
          <w:lang w:val="es-ES" w:eastAsia="es-ES"/>
        </w:rPr>
        <w:t>.</w:t>
      </w:r>
    </w:p>
    <w:p w14:paraId="52DC7E5D" w14:textId="44CCEFEE" w:rsidR="00444293" w:rsidRPr="0048739B" w:rsidRDefault="00444293" w:rsidP="0048739B">
      <w:pPr>
        <w:spacing w:after="0" w:line="240" w:lineRule="auto"/>
        <w:ind w:left="3969" w:right="48"/>
        <w:contextualSpacing/>
        <w:jc w:val="both"/>
        <w:rPr>
          <w:rFonts w:eastAsia="Times New Roman"/>
          <w:iCs/>
          <w:sz w:val="28"/>
          <w:szCs w:val="28"/>
          <w:lang w:val="es-ES" w:eastAsia="es-ES"/>
        </w:rPr>
      </w:pPr>
    </w:p>
    <w:p w14:paraId="05E69C5A" w14:textId="69BD84FA" w:rsidR="000B3A24" w:rsidRPr="0048739B" w:rsidRDefault="000371D4" w:rsidP="0048739B">
      <w:pPr>
        <w:spacing w:after="0" w:line="240" w:lineRule="auto"/>
        <w:ind w:left="3969" w:right="48"/>
        <w:contextualSpacing/>
        <w:jc w:val="both"/>
        <w:rPr>
          <w:rFonts w:eastAsia="Times New Roman"/>
          <w:iCs/>
          <w:sz w:val="28"/>
          <w:szCs w:val="28"/>
          <w:lang w:val="es-ES" w:eastAsia="es-ES"/>
        </w:rPr>
      </w:pPr>
      <w:r w:rsidRPr="0048739B">
        <w:rPr>
          <w:rFonts w:eastAsia="Times New Roman"/>
          <w:iCs/>
          <w:sz w:val="28"/>
          <w:szCs w:val="28"/>
          <w:lang w:val="es-ES" w:eastAsia="es-ES"/>
        </w:rPr>
        <w:t>Demandantes</w:t>
      </w:r>
      <w:r w:rsidR="00444293" w:rsidRPr="0048739B">
        <w:rPr>
          <w:rFonts w:eastAsia="Times New Roman"/>
          <w:iCs/>
          <w:sz w:val="28"/>
          <w:szCs w:val="28"/>
          <w:lang w:val="es-ES" w:eastAsia="es-ES"/>
        </w:rPr>
        <w:t xml:space="preserve">: </w:t>
      </w:r>
      <w:r w:rsidR="00B6593F" w:rsidRPr="0048739B">
        <w:rPr>
          <w:rFonts w:eastAsia="Times New Roman"/>
          <w:iCs/>
          <w:sz w:val="28"/>
          <w:szCs w:val="28"/>
          <w:lang w:val="es-ES" w:eastAsia="es-ES"/>
        </w:rPr>
        <w:t>Andrés Felipe Vasco Ríos, Cristian Felipe Montoya Betancur y David Esteban Giraldo Calderón</w:t>
      </w:r>
      <w:r w:rsidR="000B43F9" w:rsidRPr="0048739B">
        <w:rPr>
          <w:rFonts w:eastAsia="Times New Roman"/>
          <w:iCs/>
          <w:sz w:val="28"/>
          <w:szCs w:val="28"/>
          <w:lang w:val="es-ES" w:eastAsia="es-ES"/>
        </w:rPr>
        <w:t>.</w:t>
      </w:r>
    </w:p>
    <w:p w14:paraId="4725A6F2" w14:textId="41702274" w:rsidR="00444293" w:rsidRPr="0048739B" w:rsidRDefault="00444293" w:rsidP="0048739B">
      <w:pPr>
        <w:spacing w:after="0" w:line="240" w:lineRule="auto"/>
        <w:ind w:left="3969" w:right="48"/>
        <w:contextualSpacing/>
        <w:jc w:val="both"/>
        <w:rPr>
          <w:sz w:val="28"/>
          <w:szCs w:val="28"/>
          <w:lang w:val="es-ES"/>
        </w:rPr>
      </w:pPr>
    </w:p>
    <w:p w14:paraId="0A826277" w14:textId="77777777" w:rsidR="000371D4" w:rsidRPr="0048739B" w:rsidRDefault="000371D4" w:rsidP="0048739B">
      <w:pPr>
        <w:spacing w:after="0" w:line="240" w:lineRule="auto"/>
        <w:ind w:left="3969" w:right="48"/>
        <w:contextualSpacing/>
        <w:jc w:val="both"/>
        <w:rPr>
          <w:rFonts w:eastAsia="Calibri"/>
          <w:sz w:val="28"/>
          <w:szCs w:val="28"/>
          <w:lang w:val="es-ES" w:eastAsia="es-ES"/>
        </w:rPr>
      </w:pPr>
      <w:r w:rsidRPr="0048739B">
        <w:rPr>
          <w:rFonts w:eastAsia="Calibri"/>
          <w:sz w:val="28"/>
          <w:szCs w:val="28"/>
          <w:lang w:val="es-ES" w:eastAsia="es-ES"/>
        </w:rPr>
        <w:t xml:space="preserve">Magistrada sustanciadora: </w:t>
      </w:r>
    </w:p>
    <w:p w14:paraId="47082CD2" w14:textId="77777777" w:rsidR="000371D4" w:rsidRPr="0048739B" w:rsidRDefault="000371D4" w:rsidP="0048739B">
      <w:pPr>
        <w:spacing w:after="0" w:line="240" w:lineRule="auto"/>
        <w:ind w:left="3969" w:right="48"/>
        <w:contextualSpacing/>
        <w:jc w:val="both"/>
        <w:rPr>
          <w:rFonts w:eastAsia="Calibri"/>
          <w:bCs/>
          <w:sz w:val="28"/>
          <w:szCs w:val="28"/>
          <w:lang w:val="es-ES" w:eastAsia="es-ES"/>
        </w:rPr>
      </w:pPr>
      <w:r w:rsidRPr="0048739B">
        <w:rPr>
          <w:rFonts w:eastAsia="Calibri"/>
          <w:bCs/>
          <w:sz w:val="28"/>
          <w:szCs w:val="28"/>
          <w:lang w:val="es-ES" w:eastAsia="es-ES"/>
        </w:rPr>
        <w:t>GLORIA STELLA ORTIZ DELGADO</w:t>
      </w:r>
    </w:p>
    <w:p w14:paraId="1FAC59F8" w14:textId="77777777" w:rsidR="007C603C" w:rsidRDefault="007C603C" w:rsidP="0048739B">
      <w:pPr>
        <w:spacing w:after="0" w:line="240" w:lineRule="auto"/>
        <w:ind w:right="48"/>
        <w:contextualSpacing/>
        <w:jc w:val="both"/>
        <w:rPr>
          <w:rFonts w:eastAsia="Calibri"/>
          <w:sz w:val="28"/>
          <w:szCs w:val="28"/>
          <w:lang w:val="es-ES" w:eastAsia="es-ES"/>
        </w:rPr>
      </w:pPr>
    </w:p>
    <w:p w14:paraId="09D829FF" w14:textId="77777777" w:rsidR="0048739B" w:rsidRPr="0048739B" w:rsidRDefault="0048739B" w:rsidP="0048739B">
      <w:pPr>
        <w:spacing w:after="0" w:line="240" w:lineRule="auto"/>
        <w:ind w:right="48"/>
        <w:contextualSpacing/>
        <w:jc w:val="both"/>
        <w:rPr>
          <w:rFonts w:eastAsia="Calibri"/>
          <w:sz w:val="28"/>
          <w:szCs w:val="28"/>
          <w:lang w:val="es-ES" w:eastAsia="es-ES"/>
        </w:rPr>
      </w:pPr>
    </w:p>
    <w:p w14:paraId="3204453A" w14:textId="140C4802" w:rsidR="000371D4" w:rsidRPr="0048739B" w:rsidRDefault="000B3A24" w:rsidP="0048739B">
      <w:pPr>
        <w:spacing w:after="0" w:line="240" w:lineRule="auto"/>
        <w:ind w:right="48"/>
        <w:contextualSpacing/>
        <w:jc w:val="both"/>
        <w:rPr>
          <w:rFonts w:eastAsia="Calibri"/>
          <w:sz w:val="28"/>
          <w:szCs w:val="28"/>
          <w:lang w:val="es-ES" w:eastAsia="es-ES"/>
        </w:rPr>
      </w:pPr>
      <w:r w:rsidRPr="0048739B">
        <w:rPr>
          <w:rFonts w:eastAsia="Calibri"/>
          <w:sz w:val="28"/>
          <w:szCs w:val="28"/>
          <w:lang w:val="es-ES" w:eastAsia="es-ES"/>
        </w:rPr>
        <w:t xml:space="preserve">Bogotá, D. C., </w:t>
      </w:r>
      <w:r w:rsidR="00A626AE" w:rsidRPr="0048739B">
        <w:rPr>
          <w:rFonts w:eastAsia="Calibri"/>
          <w:sz w:val="28"/>
          <w:szCs w:val="28"/>
          <w:lang w:val="es-ES" w:eastAsia="es-ES"/>
        </w:rPr>
        <w:t>doce</w:t>
      </w:r>
      <w:r w:rsidRPr="0048739B">
        <w:rPr>
          <w:rFonts w:eastAsia="Calibri"/>
          <w:sz w:val="28"/>
          <w:szCs w:val="28"/>
          <w:lang w:val="es-ES" w:eastAsia="es-ES"/>
        </w:rPr>
        <w:t xml:space="preserve"> (</w:t>
      </w:r>
      <w:r w:rsidR="008C61A9" w:rsidRPr="0048739B">
        <w:rPr>
          <w:rFonts w:eastAsia="Calibri"/>
          <w:sz w:val="28"/>
          <w:szCs w:val="28"/>
          <w:lang w:val="es-ES" w:eastAsia="es-ES"/>
        </w:rPr>
        <w:t>1</w:t>
      </w:r>
      <w:r w:rsidR="00A626AE" w:rsidRPr="0048739B">
        <w:rPr>
          <w:rFonts w:eastAsia="Calibri"/>
          <w:sz w:val="28"/>
          <w:szCs w:val="28"/>
          <w:lang w:val="es-ES" w:eastAsia="es-ES"/>
        </w:rPr>
        <w:t>2</w:t>
      </w:r>
      <w:r w:rsidR="00B21FB9" w:rsidRPr="0048739B">
        <w:rPr>
          <w:rFonts w:eastAsia="Calibri"/>
          <w:sz w:val="28"/>
          <w:szCs w:val="28"/>
          <w:lang w:val="es-ES" w:eastAsia="es-ES"/>
        </w:rPr>
        <w:t>) de</w:t>
      </w:r>
      <w:r w:rsidRPr="0048739B">
        <w:rPr>
          <w:rFonts w:eastAsia="Calibri"/>
          <w:sz w:val="28"/>
          <w:szCs w:val="28"/>
          <w:lang w:val="es-ES" w:eastAsia="es-ES"/>
        </w:rPr>
        <w:t xml:space="preserve"> </w:t>
      </w:r>
      <w:r w:rsidR="008C61A9" w:rsidRPr="0048739B">
        <w:rPr>
          <w:rFonts w:eastAsia="Calibri"/>
          <w:sz w:val="28"/>
          <w:szCs w:val="28"/>
          <w:lang w:val="es-ES" w:eastAsia="es-ES"/>
        </w:rPr>
        <w:t>noviembre</w:t>
      </w:r>
      <w:r w:rsidR="00B6593F" w:rsidRPr="0048739B">
        <w:rPr>
          <w:rFonts w:eastAsia="Calibri"/>
          <w:sz w:val="28"/>
          <w:szCs w:val="28"/>
          <w:lang w:val="es-ES" w:eastAsia="es-ES"/>
        </w:rPr>
        <w:t xml:space="preserve"> </w:t>
      </w:r>
      <w:r w:rsidR="000371D4" w:rsidRPr="0048739B">
        <w:rPr>
          <w:rFonts w:eastAsia="Calibri"/>
          <w:sz w:val="28"/>
          <w:szCs w:val="28"/>
          <w:lang w:val="es-ES" w:eastAsia="es-ES"/>
        </w:rPr>
        <w:t xml:space="preserve">de dos mil </w:t>
      </w:r>
      <w:r w:rsidRPr="0048739B">
        <w:rPr>
          <w:rFonts w:eastAsia="Calibri"/>
          <w:sz w:val="28"/>
          <w:szCs w:val="28"/>
          <w:lang w:val="es-ES" w:eastAsia="es-ES"/>
        </w:rPr>
        <w:t>veinte (2020</w:t>
      </w:r>
      <w:r w:rsidR="000371D4" w:rsidRPr="0048739B">
        <w:rPr>
          <w:rFonts w:eastAsia="Calibri"/>
          <w:sz w:val="28"/>
          <w:szCs w:val="28"/>
          <w:lang w:val="es-ES" w:eastAsia="es-ES"/>
        </w:rPr>
        <w:t>)</w:t>
      </w:r>
      <w:r w:rsidR="00172FB5" w:rsidRPr="0048739B">
        <w:rPr>
          <w:rFonts w:eastAsia="Calibri"/>
          <w:sz w:val="28"/>
          <w:szCs w:val="28"/>
          <w:lang w:val="es-ES" w:eastAsia="es-ES"/>
        </w:rPr>
        <w:t>.</w:t>
      </w:r>
    </w:p>
    <w:p w14:paraId="68E09C82" w14:textId="77777777" w:rsidR="000371D4" w:rsidRDefault="000371D4" w:rsidP="0048739B">
      <w:pPr>
        <w:spacing w:after="0" w:line="240" w:lineRule="auto"/>
        <w:ind w:right="48"/>
        <w:contextualSpacing/>
        <w:jc w:val="both"/>
        <w:rPr>
          <w:sz w:val="28"/>
          <w:szCs w:val="28"/>
          <w:lang w:val="es-ES" w:eastAsia="es-ES"/>
        </w:rPr>
      </w:pPr>
    </w:p>
    <w:p w14:paraId="44CFE2BE" w14:textId="77777777" w:rsidR="0048739B" w:rsidRPr="0048739B" w:rsidRDefault="0048739B" w:rsidP="0048739B">
      <w:pPr>
        <w:spacing w:after="0" w:line="240" w:lineRule="auto"/>
        <w:ind w:right="48"/>
        <w:contextualSpacing/>
        <w:jc w:val="both"/>
        <w:rPr>
          <w:sz w:val="28"/>
          <w:szCs w:val="28"/>
          <w:lang w:val="es-ES" w:eastAsia="es-ES"/>
        </w:rPr>
      </w:pPr>
    </w:p>
    <w:p w14:paraId="53544AF1" w14:textId="551DF874" w:rsidR="0051242B" w:rsidRPr="0048739B" w:rsidRDefault="000371D4" w:rsidP="0048739B">
      <w:pPr>
        <w:tabs>
          <w:tab w:val="left" w:pos="8647"/>
        </w:tabs>
        <w:spacing w:after="0" w:line="240" w:lineRule="auto"/>
        <w:ind w:right="48"/>
        <w:jc w:val="both"/>
        <w:rPr>
          <w:rFonts w:eastAsia="Times New Roman"/>
          <w:sz w:val="28"/>
          <w:szCs w:val="28"/>
          <w:shd w:val="clear" w:color="auto" w:fill="FFFFFF"/>
          <w:lang w:val="es-ES" w:eastAsia="es-ES"/>
        </w:rPr>
      </w:pPr>
      <w:r w:rsidRPr="0048739B">
        <w:rPr>
          <w:rFonts w:eastAsia="Times New Roman"/>
          <w:sz w:val="28"/>
          <w:szCs w:val="28"/>
          <w:shd w:val="clear" w:color="auto" w:fill="FFFFFF"/>
          <w:lang w:val="es-ES" w:eastAsia="es-ES"/>
        </w:rPr>
        <w:t>La Sala Plena de la Corte Constitucional, conformada por los Magistrados</w:t>
      </w:r>
      <w:r w:rsidR="00B6593F" w:rsidRPr="0048739B">
        <w:rPr>
          <w:rFonts w:eastAsia="Times New Roman"/>
          <w:sz w:val="28"/>
          <w:szCs w:val="28"/>
          <w:shd w:val="clear" w:color="auto" w:fill="FFFFFF"/>
          <w:lang w:val="es-ES" w:eastAsia="es-ES"/>
        </w:rPr>
        <w:t xml:space="preserve"> Alberto Rojas Ríos,</w:t>
      </w:r>
      <w:r w:rsidRPr="0048739B">
        <w:rPr>
          <w:rFonts w:eastAsia="Times New Roman"/>
          <w:sz w:val="28"/>
          <w:szCs w:val="28"/>
          <w:lang w:val="es-ES" w:eastAsia="es-ES"/>
        </w:rPr>
        <w:t xml:space="preserve"> quien la preside, Carlos Bernal Pulido, Diana Fajardo Rivera, </w:t>
      </w:r>
      <w:r w:rsidRPr="0048739B">
        <w:rPr>
          <w:rFonts w:eastAsia="Times New Roman"/>
          <w:bCs/>
          <w:sz w:val="28"/>
          <w:szCs w:val="28"/>
          <w:lang w:val="es-ES" w:eastAsia="es-ES"/>
        </w:rPr>
        <w:t>Luis Guillermo Guerrero Pérez</w:t>
      </w:r>
      <w:r w:rsidRPr="0048739B">
        <w:rPr>
          <w:rFonts w:eastAsia="Times New Roman"/>
          <w:sz w:val="28"/>
          <w:szCs w:val="28"/>
          <w:lang w:val="es-ES" w:eastAsia="es-ES"/>
        </w:rPr>
        <w:t xml:space="preserve">, </w:t>
      </w:r>
      <w:r w:rsidR="00444293" w:rsidRPr="0048739B">
        <w:rPr>
          <w:rFonts w:eastAsia="Times New Roman"/>
          <w:sz w:val="28"/>
          <w:szCs w:val="28"/>
          <w:lang w:val="es-ES" w:eastAsia="es-ES"/>
        </w:rPr>
        <w:t xml:space="preserve">Alejandro Linares Cantillo, Antonio José </w:t>
      </w:r>
      <w:proofErr w:type="spellStart"/>
      <w:r w:rsidR="00444293" w:rsidRPr="0048739B">
        <w:rPr>
          <w:rFonts w:eastAsia="Times New Roman"/>
          <w:sz w:val="28"/>
          <w:szCs w:val="28"/>
          <w:lang w:val="es-ES" w:eastAsia="es-ES"/>
        </w:rPr>
        <w:t>Lizarazo</w:t>
      </w:r>
      <w:proofErr w:type="spellEnd"/>
      <w:r w:rsidR="00444293" w:rsidRPr="0048739B">
        <w:rPr>
          <w:rFonts w:eastAsia="Times New Roman"/>
          <w:sz w:val="28"/>
          <w:szCs w:val="28"/>
          <w:lang w:val="es-ES" w:eastAsia="es-ES"/>
        </w:rPr>
        <w:t xml:space="preserve"> Ocampo, </w:t>
      </w:r>
      <w:r w:rsidR="00B6593F" w:rsidRPr="0048739B">
        <w:rPr>
          <w:rFonts w:eastAsia="Times New Roman"/>
          <w:sz w:val="28"/>
          <w:szCs w:val="28"/>
          <w:lang w:val="es-ES" w:eastAsia="es-ES"/>
        </w:rPr>
        <w:t xml:space="preserve">Gloria Stella Ortiz Delgado, </w:t>
      </w:r>
      <w:r w:rsidRPr="0048739B">
        <w:rPr>
          <w:rFonts w:eastAsia="Times New Roman"/>
          <w:sz w:val="28"/>
          <w:szCs w:val="28"/>
          <w:lang w:val="es-ES" w:eastAsia="es-ES"/>
        </w:rPr>
        <w:t xml:space="preserve">Cristina Pardo </w:t>
      </w:r>
      <w:proofErr w:type="spellStart"/>
      <w:r w:rsidRPr="0048739B">
        <w:rPr>
          <w:rFonts w:eastAsia="Times New Roman"/>
          <w:sz w:val="28"/>
          <w:szCs w:val="28"/>
          <w:lang w:val="es-ES" w:eastAsia="es-ES"/>
        </w:rPr>
        <w:t>Schlesinger</w:t>
      </w:r>
      <w:proofErr w:type="spellEnd"/>
      <w:r w:rsidR="00B6593F" w:rsidRPr="0048739B">
        <w:rPr>
          <w:rFonts w:eastAsia="Times New Roman"/>
          <w:sz w:val="28"/>
          <w:szCs w:val="28"/>
          <w:lang w:val="es-ES" w:eastAsia="es-ES"/>
        </w:rPr>
        <w:t xml:space="preserve"> y</w:t>
      </w:r>
      <w:r w:rsidRPr="0048739B">
        <w:rPr>
          <w:rFonts w:eastAsia="Times New Roman"/>
          <w:sz w:val="28"/>
          <w:szCs w:val="28"/>
          <w:lang w:val="es-ES" w:eastAsia="es-ES"/>
        </w:rPr>
        <w:t xml:space="preserve"> José Fernando Reyes Cuartas</w:t>
      </w:r>
      <w:r w:rsidRPr="0048739B">
        <w:rPr>
          <w:rFonts w:eastAsia="Times New Roman"/>
          <w:bCs/>
          <w:sz w:val="28"/>
          <w:szCs w:val="28"/>
          <w:lang w:val="es-ES" w:eastAsia="es-ES"/>
        </w:rPr>
        <w:t xml:space="preserve">, </w:t>
      </w:r>
      <w:r w:rsidRPr="0048739B">
        <w:rPr>
          <w:rFonts w:eastAsia="Times New Roman"/>
          <w:sz w:val="28"/>
          <w:szCs w:val="28"/>
          <w:shd w:val="clear" w:color="auto" w:fill="FFFFFF"/>
          <w:lang w:val="es-ES" w:eastAsia="es-ES"/>
        </w:rPr>
        <w:t>en ejercicio de sus atribuciones constitucionales y legales, en especial de las previstas en el numeral 4º del artículo 241 de la Constitución Política, cumplidos todos los trámites y requisitos contemplados en el Decreto 2067 de 1991, ha proferido la siguiente:</w:t>
      </w:r>
    </w:p>
    <w:p w14:paraId="2FAA4D81" w14:textId="77777777" w:rsidR="00F179F0" w:rsidRPr="0048739B" w:rsidRDefault="00F179F0" w:rsidP="0048739B">
      <w:pPr>
        <w:tabs>
          <w:tab w:val="left" w:pos="8647"/>
        </w:tabs>
        <w:overflowPunct w:val="0"/>
        <w:autoSpaceDE w:val="0"/>
        <w:autoSpaceDN w:val="0"/>
        <w:spacing w:after="0" w:line="240" w:lineRule="auto"/>
        <w:ind w:right="48"/>
        <w:jc w:val="center"/>
        <w:rPr>
          <w:rFonts w:eastAsia="Times New Roman"/>
          <w:b/>
          <w:bCs/>
          <w:sz w:val="28"/>
          <w:szCs w:val="28"/>
          <w:lang w:val="es-ES" w:eastAsia="es-ES"/>
        </w:rPr>
      </w:pPr>
    </w:p>
    <w:p w14:paraId="63CBD0C5" w14:textId="6E2B78F3" w:rsidR="000371D4" w:rsidRPr="0048739B" w:rsidRDefault="000371D4" w:rsidP="0048739B">
      <w:pPr>
        <w:tabs>
          <w:tab w:val="left" w:pos="8647"/>
        </w:tabs>
        <w:overflowPunct w:val="0"/>
        <w:autoSpaceDE w:val="0"/>
        <w:autoSpaceDN w:val="0"/>
        <w:spacing w:after="0" w:line="240" w:lineRule="auto"/>
        <w:ind w:right="48"/>
        <w:jc w:val="center"/>
        <w:rPr>
          <w:rFonts w:eastAsia="Times New Roman"/>
          <w:b/>
          <w:bCs/>
          <w:sz w:val="28"/>
          <w:szCs w:val="28"/>
          <w:lang w:val="es-ES" w:eastAsia="es-ES"/>
        </w:rPr>
      </w:pPr>
      <w:r w:rsidRPr="0048739B">
        <w:rPr>
          <w:rFonts w:eastAsia="Times New Roman"/>
          <w:b/>
          <w:bCs/>
          <w:sz w:val="28"/>
          <w:szCs w:val="28"/>
          <w:lang w:val="es-ES" w:eastAsia="es-ES"/>
        </w:rPr>
        <w:t>SENTENCIA</w:t>
      </w:r>
    </w:p>
    <w:p w14:paraId="14CBEFD4" w14:textId="6EBC48F1" w:rsidR="005316E4" w:rsidRPr="0048739B" w:rsidRDefault="005316E4" w:rsidP="0048739B">
      <w:pPr>
        <w:tabs>
          <w:tab w:val="left" w:pos="8647"/>
        </w:tabs>
        <w:overflowPunct w:val="0"/>
        <w:autoSpaceDE w:val="0"/>
        <w:autoSpaceDN w:val="0"/>
        <w:spacing w:after="0" w:line="240" w:lineRule="auto"/>
        <w:ind w:right="48"/>
        <w:jc w:val="center"/>
        <w:rPr>
          <w:rFonts w:eastAsia="Times New Roman"/>
          <w:b/>
          <w:bCs/>
          <w:sz w:val="28"/>
          <w:szCs w:val="28"/>
          <w:lang w:val="es-ES" w:eastAsia="es-ES"/>
        </w:rPr>
      </w:pPr>
    </w:p>
    <w:p w14:paraId="4C5B7EF6" w14:textId="77777777" w:rsidR="000371D4" w:rsidRPr="0048739B" w:rsidRDefault="000371D4" w:rsidP="0048739B">
      <w:pPr>
        <w:spacing w:after="0" w:line="240" w:lineRule="auto"/>
        <w:ind w:right="48"/>
        <w:jc w:val="both"/>
        <w:rPr>
          <w:rFonts w:eastAsia="Calibri"/>
          <w:sz w:val="28"/>
          <w:szCs w:val="28"/>
          <w:lang w:val="es-ES" w:eastAsia="es-ES"/>
        </w:rPr>
      </w:pPr>
      <w:r w:rsidRPr="0048739B">
        <w:rPr>
          <w:rFonts w:eastAsia="Calibri"/>
          <w:b/>
          <w:sz w:val="28"/>
          <w:szCs w:val="28"/>
          <w:lang w:val="es-ES" w:eastAsia="es-ES"/>
        </w:rPr>
        <w:t>I. ANTECEDENTES</w:t>
      </w:r>
    </w:p>
    <w:p w14:paraId="6D22933C" w14:textId="77777777" w:rsidR="000371D4" w:rsidRPr="0048739B" w:rsidRDefault="000371D4" w:rsidP="0048739B">
      <w:pPr>
        <w:spacing w:after="0" w:line="240" w:lineRule="auto"/>
        <w:ind w:right="48"/>
        <w:jc w:val="both"/>
        <w:rPr>
          <w:rFonts w:eastAsia="Calibri"/>
          <w:sz w:val="28"/>
          <w:szCs w:val="28"/>
          <w:lang w:val="es-ES" w:eastAsia="es-ES"/>
        </w:rPr>
      </w:pPr>
    </w:p>
    <w:p w14:paraId="627745E7" w14:textId="4FBD9FFA" w:rsidR="000371D4" w:rsidRPr="0048739B" w:rsidRDefault="000371D4" w:rsidP="0048739B">
      <w:pPr>
        <w:spacing w:after="0" w:line="240" w:lineRule="auto"/>
        <w:ind w:right="48"/>
        <w:contextualSpacing/>
        <w:jc w:val="both"/>
        <w:rPr>
          <w:sz w:val="28"/>
          <w:szCs w:val="28"/>
          <w:lang w:val="es-ES"/>
        </w:rPr>
      </w:pPr>
      <w:r w:rsidRPr="0048739B">
        <w:rPr>
          <w:rFonts w:eastAsia="Times New Roman"/>
          <w:sz w:val="28"/>
          <w:szCs w:val="28"/>
          <w:lang w:val="es-ES" w:eastAsia="es-ES"/>
        </w:rPr>
        <w:t>En ejercicio de la acción pública consagrada en el artículo 241 de la Constitución Política,</w:t>
      </w:r>
      <w:r w:rsidRPr="0048739B">
        <w:rPr>
          <w:rFonts w:eastAsia="Times New Roman"/>
          <w:iCs/>
          <w:sz w:val="28"/>
          <w:szCs w:val="28"/>
          <w:lang w:val="es-ES" w:eastAsia="es-ES"/>
        </w:rPr>
        <w:t xml:space="preserve"> los ciudadanos </w:t>
      </w:r>
      <w:r w:rsidR="00B6593F" w:rsidRPr="0048739B">
        <w:rPr>
          <w:rFonts w:eastAsia="Times New Roman"/>
          <w:iCs/>
          <w:sz w:val="28"/>
          <w:szCs w:val="28"/>
          <w:lang w:val="es-ES" w:eastAsia="es-ES"/>
        </w:rPr>
        <w:t xml:space="preserve">Andrés Felipe Vasco Ríos, Cristian Felipe Montoya Betancur y David Esteban Giraldo Calderón </w:t>
      </w:r>
      <w:r w:rsidRPr="0048739B">
        <w:rPr>
          <w:rFonts w:eastAsia="Times New Roman"/>
          <w:iCs/>
          <w:sz w:val="28"/>
          <w:szCs w:val="28"/>
          <w:lang w:val="es-ES" w:eastAsia="es-ES"/>
        </w:rPr>
        <w:t xml:space="preserve">presentaron, ante esta Corporación, demanda de inconstitucionalidad en contra </w:t>
      </w:r>
      <w:r w:rsidR="00444293" w:rsidRPr="0048739B">
        <w:rPr>
          <w:rFonts w:eastAsia="Times New Roman"/>
          <w:iCs/>
          <w:sz w:val="28"/>
          <w:szCs w:val="28"/>
          <w:lang w:val="es-ES" w:eastAsia="es-ES"/>
        </w:rPr>
        <w:t>de</w:t>
      </w:r>
      <w:r w:rsidR="00677629" w:rsidRPr="0048739B">
        <w:rPr>
          <w:rFonts w:eastAsia="Times New Roman"/>
          <w:iCs/>
          <w:sz w:val="28"/>
          <w:szCs w:val="28"/>
          <w:lang w:val="es-ES" w:eastAsia="es-ES"/>
        </w:rPr>
        <w:t xml:space="preserve">l </w:t>
      </w:r>
      <w:r w:rsidR="00B6593F" w:rsidRPr="0048739B">
        <w:rPr>
          <w:rFonts w:eastAsia="Times New Roman"/>
          <w:iCs/>
          <w:sz w:val="28"/>
          <w:szCs w:val="28"/>
          <w:lang w:val="es-ES" w:eastAsia="es-ES"/>
        </w:rPr>
        <w:t>artículo 223</w:t>
      </w:r>
      <w:r w:rsidR="007E044C" w:rsidRPr="0048739B">
        <w:rPr>
          <w:rFonts w:eastAsia="Times New Roman"/>
          <w:iCs/>
          <w:sz w:val="28"/>
          <w:szCs w:val="28"/>
          <w:lang w:val="es-ES" w:eastAsia="es-ES"/>
        </w:rPr>
        <w:t xml:space="preserve"> (parcial) de</w:t>
      </w:r>
      <w:r w:rsidR="00B6593F" w:rsidRPr="0048739B">
        <w:rPr>
          <w:rFonts w:eastAsia="Times New Roman"/>
          <w:iCs/>
          <w:sz w:val="28"/>
          <w:szCs w:val="28"/>
          <w:lang w:val="es-ES" w:eastAsia="es-ES"/>
        </w:rPr>
        <w:t xml:space="preserve"> la Ley 906 de 2004 </w:t>
      </w:r>
      <w:r w:rsidR="00B6593F" w:rsidRPr="0048739B">
        <w:rPr>
          <w:rFonts w:eastAsia="Times New Roman"/>
          <w:i/>
          <w:sz w:val="28"/>
          <w:szCs w:val="28"/>
          <w:lang w:val="es-ES" w:eastAsia="es-ES"/>
        </w:rPr>
        <w:t>“por la cual se expide el Código de Procedimiento Penal”</w:t>
      </w:r>
      <w:r w:rsidR="00890C42" w:rsidRPr="0048739B">
        <w:rPr>
          <w:rFonts w:eastAsia="Times New Roman"/>
          <w:i/>
          <w:iCs/>
          <w:sz w:val="28"/>
          <w:szCs w:val="28"/>
          <w:lang w:val="es-ES" w:eastAsia="es-ES"/>
        </w:rPr>
        <w:t xml:space="preserve">, </w:t>
      </w:r>
      <w:r w:rsidR="000C370B" w:rsidRPr="0048739B">
        <w:rPr>
          <w:sz w:val="28"/>
          <w:szCs w:val="28"/>
          <w:lang w:val="es-ES"/>
        </w:rPr>
        <w:t>por considerar que quebranta</w:t>
      </w:r>
      <w:r w:rsidRPr="0048739B">
        <w:rPr>
          <w:sz w:val="28"/>
          <w:szCs w:val="28"/>
          <w:lang w:val="es-ES"/>
        </w:rPr>
        <w:t xml:space="preserve"> </w:t>
      </w:r>
      <w:r w:rsidR="00243F23" w:rsidRPr="0048739B">
        <w:rPr>
          <w:sz w:val="28"/>
          <w:szCs w:val="28"/>
          <w:lang w:val="es-ES"/>
        </w:rPr>
        <w:t>los artículos</w:t>
      </w:r>
      <w:r w:rsidR="007E044C" w:rsidRPr="0048739B">
        <w:rPr>
          <w:sz w:val="28"/>
          <w:szCs w:val="28"/>
          <w:lang w:val="es-ES"/>
        </w:rPr>
        <w:t xml:space="preserve"> 13</w:t>
      </w:r>
      <w:r w:rsidR="00B6593F" w:rsidRPr="0048739B">
        <w:rPr>
          <w:sz w:val="28"/>
          <w:szCs w:val="28"/>
          <w:lang w:val="es-ES"/>
        </w:rPr>
        <w:t>, 29, 33 y 74</w:t>
      </w:r>
      <w:r w:rsidR="007E044C" w:rsidRPr="0048739B">
        <w:rPr>
          <w:sz w:val="28"/>
          <w:szCs w:val="28"/>
          <w:lang w:val="es-ES"/>
        </w:rPr>
        <w:t xml:space="preserve"> de la Constitución</w:t>
      </w:r>
      <w:r w:rsidR="00B6593F" w:rsidRPr="0048739B">
        <w:rPr>
          <w:sz w:val="28"/>
          <w:szCs w:val="28"/>
          <w:lang w:val="es-ES"/>
        </w:rPr>
        <w:t>.</w:t>
      </w:r>
      <w:r w:rsidR="007E044C" w:rsidRPr="0048739B">
        <w:rPr>
          <w:sz w:val="28"/>
          <w:szCs w:val="28"/>
          <w:lang w:val="es-ES"/>
        </w:rPr>
        <w:t xml:space="preserve"> </w:t>
      </w:r>
    </w:p>
    <w:p w14:paraId="401C085A" w14:textId="77777777" w:rsidR="007E044C" w:rsidRPr="0048739B" w:rsidRDefault="007E044C" w:rsidP="0048739B">
      <w:pPr>
        <w:spacing w:after="0" w:line="240" w:lineRule="auto"/>
        <w:ind w:right="48"/>
        <w:contextualSpacing/>
        <w:jc w:val="both"/>
        <w:rPr>
          <w:sz w:val="28"/>
          <w:szCs w:val="28"/>
          <w:lang w:val="es-ES"/>
        </w:rPr>
      </w:pPr>
    </w:p>
    <w:p w14:paraId="4CE888D7" w14:textId="124D11C9" w:rsidR="007E044C" w:rsidRPr="0048739B" w:rsidRDefault="007E044C" w:rsidP="0048739B">
      <w:pPr>
        <w:tabs>
          <w:tab w:val="left" w:pos="142"/>
        </w:tabs>
        <w:spacing w:after="0" w:line="240" w:lineRule="auto"/>
        <w:jc w:val="both"/>
        <w:rPr>
          <w:rFonts w:eastAsia="Times New Roman"/>
          <w:sz w:val="28"/>
          <w:szCs w:val="28"/>
          <w:lang w:val="es-ES" w:eastAsia="es-ES_tradnl"/>
        </w:rPr>
      </w:pPr>
      <w:r w:rsidRPr="0048739B">
        <w:rPr>
          <w:rFonts w:eastAsia="Times New Roman"/>
          <w:sz w:val="28"/>
          <w:szCs w:val="28"/>
          <w:lang w:val="es-ES" w:eastAsia="es-ES"/>
        </w:rPr>
        <w:t xml:space="preserve">Mediante </w:t>
      </w:r>
      <w:r w:rsidRPr="0048739B">
        <w:rPr>
          <w:rFonts w:eastAsia="Times New Roman"/>
          <w:b/>
          <w:sz w:val="28"/>
          <w:szCs w:val="28"/>
          <w:lang w:val="es-ES" w:eastAsia="es-ES"/>
        </w:rPr>
        <w:t xml:space="preserve">Auto del </w:t>
      </w:r>
      <w:r w:rsidR="00B6593F" w:rsidRPr="0048739B">
        <w:rPr>
          <w:rFonts w:eastAsia="Times New Roman"/>
          <w:b/>
          <w:sz w:val="28"/>
          <w:szCs w:val="28"/>
          <w:lang w:val="es-ES" w:eastAsia="es-ES"/>
        </w:rPr>
        <w:t>19 de diciembre de 2019</w:t>
      </w:r>
      <w:r w:rsidRPr="0048739B">
        <w:rPr>
          <w:rFonts w:eastAsia="Times New Roman"/>
          <w:sz w:val="28"/>
          <w:szCs w:val="28"/>
          <w:vertAlign w:val="superscript"/>
          <w:lang w:val="es-ES" w:eastAsia="es-ES"/>
        </w:rPr>
        <w:footnoteReference w:id="1"/>
      </w:r>
      <w:r w:rsidRPr="0048739B">
        <w:rPr>
          <w:rFonts w:eastAsia="Times New Roman"/>
          <w:sz w:val="28"/>
          <w:szCs w:val="28"/>
          <w:lang w:val="es-ES" w:eastAsia="es-ES"/>
        </w:rPr>
        <w:t xml:space="preserve">, la Magistrada </w:t>
      </w:r>
      <w:r w:rsidR="00F17FF9" w:rsidRPr="0048739B">
        <w:rPr>
          <w:rFonts w:eastAsia="Times New Roman"/>
          <w:sz w:val="28"/>
          <w:szCs w:val="28"/>
          <w:lang w:val="es-ES" w:eastAsia="es-ES"/>
        </w:rPr>
        <w:t xml:space="preserve">sustanciadora </w:t>
      </w:r>
      <w:r w:rsidR="0093305D" w:rsidRPr="0048739B">
        <w:rPr>
          <w:rFonts w:eastAsia="Times New Roman"/>
          <w:sz w:val="28"/>
          <w:szCs w:val="28"/>
          <w:lang w:val="es-ES" w:eastAsia="es-ES"/>
        </w:rPr>
        <w:t xml:space="preserve">admitió los cargos a excepción de aquel </w:t>
      </w:r>
      <w:r w:rsidR="002666DE" w:rsidRPr="0048739B">
        <w:rPr>
          <w:rFonts w:eastAsia="Times New Roman"/>
          <w:sz w:val="28"/>
          <w:szCs w:val="28"/>
          <w:lang w:val="es-ES" w:eastAsia="es-ES"/>
        </w:rPr>
        <w:t>fundado</w:t>
      </w:r>
      <w:r w:rsidR="00B6593F" w:rsidRPr="0048739B">
        <w:rPr>
          <w:rFonts w:eastAsia="Times New Roman"/>
          <w:sz w:val="28"/>
          <w:szCs w:val="28"/>
          <w:lang w:val="es-ES" w:eastAsia="es-ES"/>
        </w:rPr>
        <w:t xml:space="preserve"> en la presunta vulneración del artículo 33 superior, </w:t>
      </w:r>
      <w:r w:rsidR="0093305D" w:rsidRPr="0048739B">
        <w:rPr>
          <w:rFonts w:eastAsia="Times New Roman"/>
          <w:sz w:val="28"/>
          <w:szCs w:val="28"/>
          <w:lang w:val="es-ES" w:eastAsia="es-ES"/>
        </w:rPr>
        <w:t xml:space="preserve">que fue inadmitido, </w:t>
      </w:r>
      <w:r w:rsidR="00A31627" w:rsidRPr="0048739B">
        <w:rPr>
          <w:rFonts w:eastAsia="Times New Roman"/>
          <w:iCs/>
          <w:sz w:val="28"/>
          <w:szCs w:val="28"/>
          <w:lang w:val="es-ES" w:eastAsia="es-ES"/>
        </w:rPr>
        <w:t xml:space="preserve">en vista de que los </w:t>
      </w:r>
      <w:r w:rsidR="00F17FF9" w:rsidRPr="0048739B">
        <w:rPr>
          <w:rFonts w:eastAsia="Times New Roman"/>
          <w:iCs/>
          <w:sz w:val="28"/>
          <w:szCs w:val="28"/>
          <w:lang w:val="es-ES" w:eastAsia="es-ES"/>
        </w:rPr>
        <w:t>demandantes</w:t>
      </w:r>
      <w:r w:rsidR="00A31627" w:rsidRPr="0048739B">
        <w:rPr>
          <w:rFonts w:eastAsia="Times New Roman"/>
          <w:iCs/>
          <w:sz w:val="28"/>
          <w:szCs w:val="28"/>
          <w:lang w:val="es-ES" w:eastAsia="es-ES"/>
        </w:rPr>
        <w:t xml:space="preserve"> </w:t>
      </w:r>
      <w:r w:rsidRPr="0048739B">
        <w:rPr>
          <w:rFonts w:eastAsia="Times New Roman"/>
          <w:sz w:val="28"/>
          <w:szCs w:val="28"/>
          <w:lang w:val="es-ES" w:eastAsia="es-ES_tradnl"/>
        </w:rPr>
        <w:t xml:space="preserve">incumplieron </w:t>
      </w:r>
      <w:r w:rsidR="00F17FF9" w:rsidRPr="0048739B">
        <w:rPr>
          <w:rFonts w:eastAsia="Times New Roman"/>
          <w:sz w:val="28"/>
          <w:szCs w:val="28"/>
          <w:lang w:val="es-ES" w:eastAsia="es-ES_tradnl"/>
        </w:rPr>
        <w:t xml:space="preserve">los requisitos exigidos por el artículo </w:t>
      </w:r>
      <w:r w:rsidR="008116BD" w:rsidRPr="0048739B">
        <w:rPr>
          <w:rFonts w:eastAsia="Times New Roman"/>
          <w:sz w:val="28"/>
          <w:szCs w:val="28"/>
          <w:lang w:val="es-ES" w:eastAsia="es-ES_tradnl"/>
        </w:rPr>
        <w:t>2º del</w:t>
      </w:r>
      <w:r w:rsidR="00F17FF9" w:rsidRPr="0048739B">
        <w:rPr>
          <w:rFonts w:eastAsia="Times New Roman"/>
          <w:sz w:val="28"/>
          <w:szCs w:val="28"/>
          <w:lang w:val="es-ES" w:eastAsia="es-ES_tradnl"/>
        </w:rPr>
        <w:t xml:space="preserve"> Decreto 2067 de 1991. </w:t>
      </w:r>
      <w:r w:rsidRPr="0048739B">
        <w:rPr>
          <w:rFonts w:eastAsia="Times New Roman"/>
          <w:sz w:val="28"/>
          <w:szCs w:val="28"/>
          <w:lang w:val="es-ES" w:eastAsia="es-ES_tradnl"/>
        </w:rPr>
        <w:t xml:space="preserve">No obstante, </w:t>
      </w:r>
      <w:r w:rsidR="00B6593F" w:rsidRPr="0048739B">
        <w:rPr>
          <w:rFonts w:eastAsia="Times New Roman"/>
          <w:sz w:val="28"/>
          <w:szCs w:val="28"/>
          <w:lang w:val="es-ES" w:eastAsia="es-ES_tradnl"/>
        </w:rPr>
        <w:t xml:space="preserve">en esa misma decisión </w:t>
      </w:r>
      <w:r w:rsidRPr="0048739B">
        <w:rPr>
          <w:rFonts w:eastAsia="Times New Roman"/>
          <w:sz w:val="28"/>
          <w:szCs w:val="28"/>
          <w:lang w:val="es-ES" w:eastAsia="es-ES_tradnl"/>
        </w:rPr>
        <w:t xml:space="preserve">se les concedió tres días para que corrigieran </w:t>
      </w:r>
      <w:r w:rsidR="00665009" w:rsidRPr="0048739B">
        <w:rPr>
          <w:rFonts w:eastAsia="Times New Roman"/>
          <w:sz w:val="28"/>
          <w:szCs w:val="28"/>
          <w:lang w:val="es-ES" w:eastAsia="es-ES_tradnl"/>
        </w:rPr>
        <w:t xml:space="preserve">la </w:t>
      </w:r>
      <w:r w:rsidRPr="0048739B">
        <w:rPr>
          <w:rFonts w:eastAsia="Times New Roman"/>
          <w:sz w:val="28"/>
          <w:szCs w:val="28"/>
          <w:lang w:val="es-ES" w:eastAsia="es-ES_tradnl"/>
        </w:rPr>
        <w:t xml:space="preserve">demanda. </w:t>
      </w:r>
    </w:p>
    <w:p w14:paraId="0FD66BA3" w14:textId="77777777" w:rsidR="007E044C" w:rsidRPr="0048739B" w:rsidRDefault="007E044C" w:rsidP="0048739B">
      <w:pPr>
        <w:tabs>
          <w:tab w:val="left" w:pos="142"/>
        </w:tabs>
        <w:spacing w:after="0" w:line="240" w:lineRule="auto"/>
        <w:contextualSpacing/>
        <w:jc w:val="both"/>
        <w:rPr>
          <w:rFonts w:eastAsia="Calibri"/>
          <w:sz w:val="28"/>
          <w:szCs w:val="28"/>
          <w:lang w:val="es-ES"/>
        </w:rPr>
      </w:pPr>
    </w:p>
    <w:p w14:paraId="4EBD8BCA" w14:textId="6016C7A9" w:rsidR="007E044C" w:rsidRPr="0048739B" w:rsidRDefault="00B6593F" w:rsidP="0048739B">
      <w:pPr>
        <w:tabs>
          <w:tab w:val="left" w:pos="142"/>
        </w:tabs>
        <w:spacing w:after="0" w:line="240" w:lineRule="auto"/>
        <w:jc w:val="both"/>
        <w:rPr>
          <w:rFonts w:eastAsia="Times New Roman"/>
          <w:sz w:val="28"/>
          <w:szCs w:val="28"/>
          <w:lang w:val="es-ES" w:eastAsia="es-ES_tradnl"/>
        </w:rPr>
      </w:pPr>
      <w:r w:rsidRPr="0048739B">
        <w:rPr>
          <w:rFonts w:eastAsia="Times New Roman"/>
          <w:sz w:val="28"/>
          <w:szCs w:val="28"/>
          <w:lang w:val="es-ES" w:eastAsia="es-ES_tradnl"/>
        </w:rPr>
        <w:t xml:space="preserve">A través de informe secretarial del 20 de enero de 2020, se informó que el término de ejecutoria del auto mencionado venció en silencio. En consecuencia, </w:t>
      </w:r>
      <w:r w:rsidR="009F55DB" w:rsidRPr="0048739B">
        <w:rPr>
          <w:rFonts w:eastAsia="Times New Roman"/>
          <w:sz w:val="28"/>
          <w:szCs w:val="28"/>
          <w:lang w:val="es-ES" w:eastAsia="es-ES_tradnl"/>
        </w:rPr>
        <w:t xml:space="preserve">la Magistrada sustanciadora adoptó el </w:t>
      </w:r>
      <w:r w:rsidR="009F55DB" w:rsidRPr="0048739B">
        <w:rPr>
          <w:rFonts w:eastAsia="Times New Roman"/>
          <w:b/>
          <w:bCs/>
          <w:sz w:val="28"/>
          <w:szCs w:val="28"/>
          <w:lang w:val="es-ES" w:eastAsia="es-ES_tradnl"/>
        </w:rPr>
        <w:t>Auto del 30 de enero de 2020</w:t>
      </w:r>
      <w:r w:rsidR="009F55DB" w:rsidRPr="0048739B">
        <w:rPr>
          <w:rStyle w:val="Refdenotaalpie"/>
          <w:rFonts w:eastAsia="Times New Roman"/>
          <w:position w:val="0"/>
          <w:sz w:val="28"/>
          <w:szCs w:val="28"/>
          <w:vertAlign w:val="superscript"/>
          <w:lang w:val="es-ES" w:eastAsia="es-ES_tradnl"/>
        </w:rPr>
        <w:footnoteReference w:id="2"/>
      </w:r>
      <w:r w:rsidR="009F55DB" w:rsidRPr="0048739B">
        <w:rPr>
          <w:rFonts w:eastAsia="Times New Roman"/>
          <w:sz w:val="28"/>
          <w:szCs w:val="28"/>
          <w:lang w:val="es-ES" w:eastAsia="es-ES_tradnl"/>
        </w:rPr>
        <w:t xml:space="preserve">, </w:t>
      </w:r>
      <w:r w:rsidR="002666DE" w:rsidRPr="0048739B">
        <w:rPr>
          <w:rFonts w:eastAsia="Times New Roman"/>
          <w:sz w:val="28"/>
          <w:szCs w:val="28"/>
          <w:lang w:val="es-ES" w:eastAsia="es-ES_tradnl"/>
        </w:rPr>
        <w:t xml:space="preserve">por medio del cual rechazó </w:t>
      </w:r>
      <w:r w:rsidR="009F55DB" w:rsidRPr="0048739B">
        <w:rPr>
          <w:rFonts w:eastAsia="Times New Roman"/>
          <w:sz w:val="28"/>
          <w:szCs w:val="28"/>
          <w:lang w:val="es-ES" w:eastAsia="es-ES_tradnl"/>
        </w:rPr>
        <w:t>e</w:t>
      </w:r>
      <w:r w:rsidR="00665009" w:rsidRPr="0048739B">
        <w:rPr>
          <w:rFonts w:eastAsia="Times New Roman"/>
          <w:sz w:val="28"/>
          <w:szCs w:val="28"/>
          <w:lang w:val="es-ES" w:eastAsia="es-ES_tradnl"/>
        </w:rPr>
        <w:t>l</w:t>
      </w:r>
      <w:r w:rsidR="009F55DB" w:rsidRPr="0048739B">
        <w:rPr>
          <w:rFonts w:eastAsia="Times New Roman"/>
          <w:sz w:val="28"/>
          <w:szCs w:val="28"/>
          <w:lang w:val="es-ES" w:eastAsia="es-ES_tradnl"/>
        </w:rPr>
        <w:t xml:space="preserve"> cargo inadmitido y </w:t>
      </w:r>
      <w:r w:rsidR="002666DE" w:rsidRPr="0048739B">
        <w:rPr>
          <w:rFonts w:eastAsia="Times New Roman"/>
          <w:sz w:val="28"/>
          <w:szCs w:val="28"/>
          <w:lang w:val="es-ES" w:eastAsia="es-ES_tradnl"/>
        </w:rPr>
        <w:t>dispuso la continu</w:t>
      </w:r>
      <w:r w:rsidR="000F68C6" w:rsidRPr="0048739B">
        <w:rPr>
          <w:rFonts w:eastAsia="Times New Roman"/>
          <w:sz w:val="28"/>
          <w:szCs w:val="28"/>
          <w:lang w:val="es-ES" w:eastAsia="es-ES_tradnl"/>
        </w:rPr>
        <w:t>ación del trámite respecto de lo</w:t>
      </w:r>
      <w:r w:rsidR="009F55DB" w:rsidRPr="0048739B">
        <w:rPr>
          <w:rFonts w:eastAsia="Times New Roman"/>
          <w:sz w:val="28"/>
          <w:szCs w:val="28"/>
          <w:lang w:val="es-ES" w:eastAsia="es-ES_tradnl"/>
        </w:rPr>
        <w:t xml:space="preserve">s </w:t>
      </w:r>
      <w:r w:rsidR="00665009" w:rsidRPr="0048739B">
        <w:rPr>
          <w:rFonts w:eastAsia="Times New Roman"/>
          <w:sz w:val="28"/>
          <w:szCs w:val="28"/>
          <w:lang w:val="es-ES" w:eastAsia="es-ES_tradnl"/>
        </w:rPr>
        <w:t>demás</w:t>
      </w:r>
      <w:r w:rsidR="000F68C6" w:rsidRPr="0048739B">
        <w:rPr>
          <w:rFonts w:eastAsia="Times New Roman"/>
          <w:sz w:val="28"/>
          <w:szCs w:val="28"/>
          <w:lang w:val="es-ES" w:eastAsia="es-ES_tradnl"/>
        </w:rPr>
        <w:t xml:space="preserve"> reproches</w:t>
      </w:r>
      <w:r w:rsidR="009F55DB" w:rsidRPr="0048739B">
        <w:rPr>
          <w:rFonts w:eastAsia="Times New Roman"/>
          <w:sz w:val="28"/>
          <w:szCs w:val="28"/>
          <w:lang w:val="es-ES" w:eastAsia="es-ES_tradnl"/>
        </w:rPr>
        <w:t xml:space="preserve">. </w:t>
      </w:r>
    </w:p>
    <w:p w14:paraId="09FE39FF" w14:textId="77777777" w:rsidR="009F55DB" w:rsidRPr="0048739B" w:rsidRDefault="009F55DB" w:rsidP="0048739B">
      <w:pPr>
        <w:tabs>
          <w:tab w:val="left" w:pos="142"/>
        </w:tabs>
        <w:spacing w:after="0" w:line="240" w:lineRule="auto"/>
        <w:jc w:val="both"/>
        <w:rPr>
          <w:rFonts w:eastAsia="Calibri"/>
          <w:sz w:val="28"/>
          <w:szCs w:val="28"/>
          <w:lang w:val="es-ES"/>
        </w:rPr>
      </w:pPr>
    </w:p>
    <w:p w14:paraId="0E793044" w14:textId="56109F39" w:rsidR="007E044C" w:rsidRPr="0048739B" w:rsidRDefault="007E044C" w:rsidP="0048739B">
      <w:pPr>
        <w:tabs>
          <w:tab w:val="left" w:pos="142"/>
        </w:tabs>
        <w:spacing w:after="0" w:line="240" w:lineRule="auto"/>
        <w:ind w:right="48"/>
        <w:jc w:val="both"/>
        <w:rPr>
          <w:sz w:val="28"/>
          <w:szCs w:val="28"/>
          <w:lang w:val="es-ES"/>
        </w:rPr>
      </w:pPr>
      <w:r w:rsidRPr="0048739B">
        <w:rPr>
          <w:rFonts w:eastAsia="Times New Roman"/>
          <w:sz w:val="28"/>
          <w:szCs w:val="28"/>
          <w:lang w:val="es-ES" w:eastAsia="es-ES_tradnl"/>
        </w:rPr>
        <w:t xml:space="preserve">En consecuencia, </w:t>
      </w:r>
      <w:r w:rsidR="002666DE" w:rsidRPr="0048739B">
        <w:rPr>
          <w:rFonts w:eastAsia="Times New Roman"/>
          <w:sz w:val="28"/>
          <w:szCs w:val="28"/>
          <w:lang w:val="es-ES" w:eastAsia="es-ES_tradnl"/>
        </w:rPr>
        <w:t>dicha decisión también ordenó</w:t>
      </w:r>
      <w:r w:rsidRPr="0048739B">
        <w:rPr>
          <w:rFonts w:eastAsia="Times New Roman"/>
          <w:sz w:val="28"/>
          <w:szCs w:val="28"/>
          <w:lang w:val="es-ES" w:eastAsia="es-ES"/>
        </w:rPr>
        <w:t xml:space="preserve">: </w:t>
      </w:r>
      <w:r w:rsidRPr="0048739B">
        <w:rPr>
          <w:rFonts w:eastAsia="Times New Roman"/>
          <w:b/>
          <w:sz w:val="28"/>
          <w:szCs w:val="28"/>
          <w:lang w:val="es-ES" w:eastAsia="es-ES"/>
        </w:rPr>
        <w:t xml:space="preserve">(i) </w:t>
      </w:r>
      <w:r w:rsidRPr="0048739B">
        <w:rPr>
          <w:rFonts w:eastAsia="Times New Roman"/>
          <w:sz w:val="28"/>
          <w:szCs w:val="28"/>
          <w:lang w:val="es-ES" w:eastAsia="es-ES"/>
        </w:rPr>
        <w:t xml:space="preserve">fijar en lista la norma parcialmente acusada para garantizar la intervención ciudadana; </w:t>
      </w:r>
      <w:r w:rsidRPr="0048739B">
        <w:rPr>
          <w:rFonts w:eastAsia="Times New Roman"/>
          <w:b/>
          <w:sz w:val="28"/>
          <w:szCs w:val="28"/>
          <w:lang w:val="es-ES" w:eastAsia="es-ES"/>
        </w:rPr>
        <w:t>(ii)</w:t>
      </w:r>
      <w:r w:rsidRPr="0048739B">
        <w:rPr>
          <w:rFonts w:eastAsia="Times New Roman"/>
          <w:sz w:val="28"/>
          <w:szCs w:val="28"/>
          <w:lang w:val="es-ES" w:eastAsia="es-ES"/>
        </w:rPr>
        <w:t xml:space="preserve"> correr traslado al Procurador General de la Nación, para lo de su competencia; </w:t>
      </w:r>
      <w:r w:rsidRPr="0048739B">
        <w:rPr>
          <w:rFonts w:eastAsia="Times New Roman"/>
          <w:b/>
          <w:sz w:val="28"/>
          <w:szCs w:val="28"/>
          <w:lang w:val="es-ES" w:eastAsia="es-ES"/>
        </w:rPr>
        <w:t>(iii)</w:t>
      </w:r>
      <w:r w:rsidRPr="0048739B">
        <w:rPr>
          <w:rFonts w:eastAsia="Times New Roman"/>
          <w:sz w:val="28"/>
          <w:szCs w:val="28"/>
          <w:lang w:val="es-ES" w:eastAsia="es-ES"/>
        </w:rPr>
        <w:t xml:space="preserve"> comunicar </w:t>
      </w:r>
      <w:r w:rsidRPr="0048739B">
        <w:rPr>
          <w:rFonts w:eastAsia="Calibri"/>
          <w:bCs/>
          <w:sz w:val="28"/>
          <w:szCs w:val="28"/>
          <w:lang w:val="es-ES" w:eastAsia="es-ES"/>
        </w:rPr>
        <w:t xml:space="preserve">el inicio del proceso </w:t>
      </w:r>
      <w:r w:rsidR="00AF799E" w:rsidRPr="0048739B">
        <w:rPr>
          <w:rFonts w:eastAsia="Calibri"/>
          <w:sz w:val="28"/>
          <w:szCs w:val="28"/>
          <w:lang w:val="es-ES" w:eastAsia="es-ES"/>
        </w:rPr>
        <w:t>a</w:t>
      </w:r>
      <w:r w:rsidR="009F55DB" w:rsidRPr="0048739B">
        <w:rPr>
          <w:rFonts w:eastAsia="Calibri"/>
          <w:sz w:val="28"/>
          <w:szCs w:val="28"/>
          <w:lang w:val="es-ES" w:eastAsia="es-ES"/>
        </w:rPr>
        <w:t xml:space="preserve"> la Ministra de Justicia y del Derecho, a la Agencia Nacional de Defensa Jurídica del Estado, a la Defensoría del Pueblo, a la Corte Suprema de Justicia y a la Fiscalía General de la Nación</w:t>
      </w:r>
      <w:r w:rsidR="0034043F" w:rsidRPr="0048739B">
        <w:rPr>
          <w:rFonts w:eastAsia="Times New Roman"/>
          <w:sz w:val="28"/>
          <w:szCs w:val="28"/>
          <w:lang w:val="es-ES" w:eastAsia="es-ES"/>
        </w:rPr>
        <w:t xml:space="preserve">; </w:t>
      </w:r>
      <w:r w:rsidRPr="0048739B">
        <w:rPr>
          <w:rFonts w:eastAsia="Times New Roman"/>
          <w:b/>
          <w:sz w:val="28"/>
          <w:szCs w:val="28"/>
          <w:lang w:val="es-ES" w:eastAsia="es-ES"/>
        </w:rPr>
        <w:t>(iv)</w:t>
      </w:r>
      <w:r w:rsidRPr="0048739B">
        <w:rPr>
          <w:rFonts w:eastAsia="Times New Roman"/>
          <w:sz w:val="28"/>
          <w:szCs w:val="28"/>
          <w:lang w:val="es-ES" w:eastAsia="es-ES"/>
        </w:rPr>
        <w:t xml:space="preserve"> invitar </w:t>
      </w:r>
      <w:r w:rsidRPr="0048739B">
        <w:rPr>
          <w:rFonts w:eastAsia="Times New Roman"/>
          <w:sz w:val="28"/>
          <w:szCs w:val="28"/>
          <w:lang w:val="es-ES" w:eastAsia="es-ES_tradnl"/>
        </w:rPr>
        <w:t xml:space="preserve">a </w:t>
      </w:r>
      <w:r w:rsidR="00C33F99" w:rsidRPr="0048739B">
        <w:rPr>
          <w:rFonts w:eastAsia="Calibri"/>
          <w:bCs/>
          <w:sz w:val="28"/>
          <w:szCs w:val="28"/>
          <w:lang w:val="es-ES" w:eastAsia="es-ES"/>
        </w:rPr>
        <w:t>las facultades de Derecho de las Universidades</w:t>
      </w:r>
      <w:r w:rsidR="009F55DB" w:rsidRPr="0048739B">
        <w:rPr>
          <w:rFonts w:eastAsia="Calibri"/>
          <w:bCs/>
          <w:sz w:val="28"/>
          <w:szCs w:val="28"/>
          <w:lang w:val="es-ES" w:eastAsia="es-ES"/>
        </w:rPr>
        <w:t xml:space="preserve"> Nacional de Colombia, Libre, Javeriana, de los An</w:t>
      </w:r>
      <w:r w:rsidR="002666DE" w:rsidRPr="0048739B">
        <w:rPr>
          <w:rFonts w:eastAsia="Calibri"/>
          <w:bCs/>
          <w:sz w:val="28"/>
          <w:szCs w:val="28"/>
          <w:lang w:val="es-ES" w:eastAsia="es-ES"/>
        </w:rPr>
        <w:t xml:space="preserve">des, Externado de Colombia, </w:t>
      </w:r>
      <w:r w:rsidR="009F55DB" w:rsidRPr="0048739B">
        <w:rPr>
          <w:rFonts w:eastAsia="Calibri"/>
          <w:bCs/>
          <w:sz w:val="28"/>
          <w:szCs w:val="28"/>
          <w:lang w:val="es-ES" w:eastAsia="es-ES"/>
        </w:rPr>
        <w:t xml:space="preserve">Rosario, Nariño, Antioquia, EAFIT y de Ibagué, </w:t>
      </w:r>
      <w:r w:rsidR="00514705" w:rsidRPr="0048739B">
        <w:rPr>
          <w:rFonts w:eastAsia="Calibri"/>
          <w:bCs/>
          <w:sz w:val="28"/>
          <w:szCs w:val="28"/>
          <w:lang w:val="es-ES" w:eastAsia="es-ES"/>
        </w:rPr>
        <w:t xml:space="preserve">al igual que </w:t>
      </w:r>
      <w:r w:rsidR="00C33F99" w:rsidRPr="0048739B">
        <w:rPr>
          <w:rFonts w:eastAsia="Calibri"/>
          <w:bCs/>
          <w:sz w:val="28"/>
          <w:szCs w:val="28"/>
          <w:lang w:val="es-ES" w:eastAsia="es-ES"/>
        </w:rPr>
        <w:t>al</w:t>
      </w:r>
      <w:r w:rsidR="00514705" w:rsidRPr="0048739B">
        <w:rPr>
          <w:rFonts w:eastAsia="Calibri"/>
          <w:bCs/>
          <w:sz w:val="28"/>
          <w:szCs w:val="28"/>
          <w:lang w:val="es-ES" w:eastAsia="es-ES"/>
        </w:rPr>
        <w:t xml:space="preserve"> Centro de Estudios de Derecho, Justicia y Sociedad – </w:t>
      </w:r>
      <w:proofErr w:type="spellStart"/>
      <w:r w:rsidR="00514705" w:rsidRPr="0048739B">
        <w:rPr>
          <w:rFonts w:eastAsia="Calibri"/>
          <w:bCs/>
          <w:sz w:val="28"/>
          <w:szCs w:val="28"/>
          <w:lang w:val="es-ES" w:eastAsia="es-ES"/>
        </w:rPr>
        <w:t>Dejusticia</w:t>
      </w:r>
      <w:proofErr w:type="spellEnd"/>
      <w:r w:rsidR="00514705" w:rsidRPr="0048739B">
        <w:rPr>
          <w:rFonts w:eastAsia="Calibri"/>
          <w:bCs/>
          <w:sz w:val="28"/>
          <w:szCs w:val="28"/>
          <w:lang w:val="es-ES" w:eastAsia="es-ES"/>
        </w:rPr>
        <w:t xml:space="preserve">, a la Comisión Colombiana de Juristas, al Instituto Colombiano de Derecho Procesal y al Colegio de Abogados Penalistas de Colombia, </w:t>
      </w:r>
      <w:r w:rsidR="0034043F" w:rsidRPr="0048739B">
        <w:rPr>
          <w:rFonts w:eastAsia="Calibri"/>
          <w:bCs/>
          <w:sz w:val="28"/>
          <w:szCs w:val="28"/>
          <w:lang w:val="es-ES" w:eastAsia="es-ES"/>
        </w:rPr>
        <w:t xml:space="preserve">para que, si lo consideraban </w:t>
      </w:r>
      <w:r w:rsidR="0034043F" w:rsidRPr="0048739B">
        <w:rPr>
          <w:rFonts w:eastAsia="Times New Roman"/>
          <w:sz w:val="28"/>
          <w:szCs w:val="28"/>
          <w:lang w:val="es-ES" w:eastAsia="es-ES_tradnl"/>
        </w:rPr>
        <w:t>oportuno, intervinieran en este asunto para defender o atacar la constitucionalidad de la disposición demandada</w:t>
      </w:r>
      <w:r w:rsidR="00AA7700" w:rsidRPr="0048739B">
        <w:rPr>
          <w:rFonts w:eastAsia="Times New Roman"/>
          <w:sz w:val="28"/>
          <w:szCs w:val="28"/>
          <w:lang w:val="es-ES" w:eastAsia="es-ES_tradnl"/>
        </w:rPr>
        <w:t>.</w:t>
      </w:r>
      <w:r w:rsidR="00B90704" w:rsidRPr="0048739B">
        <w:rPr>
          <w:rFonts w:eastAsia="Times New Roman"/>
          <w:sz w:val="28"/>
          <w:szCs w:val="28"/>
          <w:lang w:val="es-ES" w:eastAsia="es-ES_tradnl"/>
        </w:rPr>
        <w:t xml:space="preserve"> </w:t>
      </w:r>
    </w:p>
    <w:p w14:paraId="26B76D9F" w14:textId="77777777" w:rsidR="00C44B65" w:rsidRPr="0048739B" w:rsidRDefault="00C44B65" w:rsidP="0048739B">
      <w:pPr>
        <w:spacing w:after="0" w:line="240" w:lineRule="auto"/>
        <w:ind w:right="48"/>
        <w:jc w:val="both"/>
        <w:outlineLvl w:val="0"/>
        <w:rPr>
          <w:rFonts w:eastAsia="Times New Roman"/>
          <w:sz w:val="28"/>
          <w:szCs w:val="28"/>
          <w:lang w:val="es-ES" w:eastAsia="es-ES"/>
        </w:rPr>
      </w:pPr>
    </w:p>
    <w:p w14:paraId="0A2A95DD" w14:textId="56B92825" w:rsidR="007C603C" w:rsidRPr="0048739B" w:rsidRDefault="000371D4" w:rsidP="0048739B">
      <w:pPr>
        <w:spacing w:after="0" w:line="240" w:lineRule="auto"/>
        <w:ind w:right="48"/>
        <w:jc w:val="both"/>
        <w:outlineLvl w:val="0"/>
        <w:rPr>
          <w:rFonts w:eastAsia="Times New Roman"/>
          <w:sz w:val="28"/>
          <w:szCs w:val="28"/>
          <w:lang w:val="es-ES" w:eastAsia="es-ES"/>
        </w:rPr>
      </w:pPr>
      <w:r w:rsidRPr="0048739B">
        <w:rPr>
          <w:rFonts w:eastAsia="Times New Roman"/>
          <w:sz w:val="28"/>
          <w:szCs w:val="28"/>
          <w:lang w:val="es-ES" w:eastAsia="es-ES"/>
        </w:rPr>
        <w:t>Cumplidos los trámites constitucionales y legales propios de esta clase de juicio</w:t>
      </w:r>
      <w:r w:rsidR="002666DE" w:rsidRPr="0048739B">
        <w:rPr>
          <w:rFonts w:eastAsia="Times New Roman"/>
          <w:sz w:val="28"/>
          <w:szCs w:val="28"/>
          <w:lang w:val="es-ES" w:eastAsia="es-ES"/>
        </w:rPr>
        <w:t>s</w:t>
      </w:r>
      <w:r w:rsidRPr="0048739B">
        <w:rPr>
          <w:rFonts w:eastAsia="Times New Roman"/>
          <w:sz w:val="28"/>
          <w:szCs w:val="28"/>
          <w:lang w:val="es-ES" w:eastAsia="es-ES"/>
        </w:rPr>
        <w:t xml:space="preserve"> y previo concepto de la Procuraduría General de la Nación, procede la Corte a decidir la demanda de la referencia.</w:t>
      </w:r>
    </w:p>
    <w:p w14:paraId="1EC3F3F6" w14:textId="6DDE322B" w:rsidR="000371D4" w:rsidRPr="0048739B" w:rsidRDefault="000371D4" w:rsidP="0048739B">
      <w:pPr>
        <w:spacing w:after="0" w:line="240" w:lineRule="auto"/>
        <w:ind w:right="48"/>
        <w:jc w:val="both"/>
        <w:rPr>
          <w:rFonts w:eastAsia="Calibri"/>
          <w:sz w:val="28"/>
          <w:szCs w:val="28"/>
          <w:lang w:val="es-ES" w:eastAsia="es-ES"/>
        </w:rPr>
      </w:pPr>
    </w:p>
    <w:p w14:paraId="00378D11" w14:textId="77777777" w:rsidR="005316E4" w:rsidRPr="0048739B" w:rsidRDefault="005316E4" w:rsidP="0048739B">
      <w:pPr>
        <w:spacing w:after="0" w:line="240" w:lineRule="auto"/>
        <w:ind w:right="48"/>
        <w:jc w:val="both"/>
        <w:rPr>
          <w:rFonts w:eastAsia="Calibri"/>
          <w:sz w:val="28"/>
          <w:szCs w:val="28"/>
          <w:lang w:val="es-ES" w:eastAsia="es-ES"/>
        </w:rPr>
      </w:pPr>
    </w:p>
    <w:p w14:paraId="5E72F271" w14:textId="3EF84AF7" w:rsidR="000371D4" w:rsidRPr="0048739B" w:rsidRDefault="000371D4" w:rsidP="0048739B">
      <w:pPr>
        <w:spacing w:after="0" w:line="240" w:lineRule="auto"/>
        <w:ind w:right="48"/>
        <w:jc w:val="both"/>
        <w:rPr>
          <w:rFonts w:eastAsia="Calibri"/>
          <w:sz w:val="28"/>
          <w:szCs w:val="28"/>
          <w:lang w:val="es-ES" w:eastAsia="es-ES"/>
        </w:rPr>
      </w:pPr>
      <w:r w:rsidRPr="0048739B">
        <w:rPr>
          <w:rFonts w:eastAsia="Calibri"/>
          <w:b/>
          <w:sz w:val="28"/>
          <w:szCs w:val="28"/>
          <w:lang w:val="es-ES" w:eastAsia="es-ES"/>
        </w:rPr>
        <w:t xml:space="preserve">II. </w:t>
      </w:r>
      <w:r w:rsidR="00B31E7C" w:rsidRPr="0048739B">
        <w:rPr>
          <w:rFonts w:eastAsia="Calibri"/>
          <w:b/>
          <w:sz w:val="28"/>
          <w:szCs w:val="28"/>
          <w:lang w:val="es-ES" w:eastAsia="es-ES"/>
        </w:rPr>
        <w:t>TEXTO DE LA NORMA DEMANDADA</w:t>
      </w:r>
      <w:r w:rsidRPr="0048739B">
        <w:rPr>
          <w:rFonts w:eastAsia="Calibri"/>
          <w:b/>
          <w:sz w:val="28"/>
          <w:szCs w:val="28"/>
          <w:lang w:val="es-ES" w:eastAsia="es-ES"/>
        </w:rPr>
        <w:t xml:space="preserve"> </w:t>
      </w:r>
    </w:p>
    <w:p w14:paraId="7ACBBD3A" w14:textId="77777777" w:rsidR="00633885" w:rsidRPr="0048739B" w:rsidRDefault="00633885" w:rsidP="0048739B">
      <w:pPr>
        <w:tabs>
          <w:tab w:val="left" w:pos="426"/>
        </w:tabs>
        <w:overflowPunct w:val="0"/>
        <w:autoSpaceDE w:val="0"/>
        <w:autoSpaceDN w:val="0"/>
        <w:adjustRightInd w:val="0"/>
        <w:spacing w:after="0" w:line="240" w:lineRule="auto"/>
        <w:ind w:right="48"/>
        <w:contextualSpacing/>
        <w:jc w:val="both"/>
        <w:textAlignment w:val="baseline"/>
        <w:rPr>
          <w:rFonts w:eastAsia="Calibri"/>
          <w:sz w:val="28"/>
          <w:szCs w:val="28"/>
          <w:lang w:val="es-ES" w:eastAsia="es-ES"/>
        </w:rPr>
      </w:pPr>
    </w:p>
    <w:p w14:paraId="6BE49E62" w14:textId="0BF4CB0E" w:rsidR="00DF0984" w:rsidRPr="0048739B" w:rsidRDefault="00DF0984" w:rsidP="0048739B">
      <w:pPr>
        <w:pStyle w:val="Sinespaciado"/>
        <w:ind w:right="48"/>
        <w:contextualSpacing/>
        <w:jc w:val="both"/>
        <w:rPr>
          <w:sz w:val="28"/>
          <w:szCs w:val="28"/>
        </w:rPr>
      </w:pPr>
      <w:r w:rsidRPr="0048739B">
        <w:rPr>
          <w:sz w:val="28"/>
          <w:szCs w:val="28"/>
        </w:rPr>
        <w:t>A continuación, se transcribe el texto de la disposición parcialmente acusada y se subraya el aparte demandado:</w:t>
      </w:r>
    </w:p>
    <w:p w14:paraId="00E76ACE" w14:textId="77777777" w:rsidR="007B271E" w:rsidRPr="0048739B" w:rsidRDefault="007B271E" w:rsidP="0048739B">
      <w:pPr>
        <w:tabs>
          <w:tab w:val="left" w:pos="426"/>
        </w:tabs>
        <w:overflowPunct w:val="0"/>
        <w:autoSpaceDE w:val="0"/>
        <w:autoSpaceDN w:val="0"/>
        <w:adjustRightInd w:val="0"/>
        <w:spacing w:after="0" w:line="240" w:lineRule="auto"/>
        <w:ind w:right="48"/>
        <w:contextualSpacing/>
        <w:jc w:val="both"/>
        <w:textAlignment w:val="baseline"/>
        <w:rPr>
          <w:rFonts w:eastAsia="Times New Roman"/>
          <w:sz w:val="28"/>
          <w:szCs w:val="28"/>
          <w:lang w:val="es-ES" w:eastAsia="es-ES"/>
        </w:rPr>
      </w:pPr>
    </w:p>
    <w:p w14:paraId="34FEBD17" w14:textId="517678B7" w:rsidR="00DF0984" w:rsidRPr="0048739B" w:rsidRDefault="00DF0984" w:rsidP="0048739B">
      <w:pPr>
        <w:tabs>
          <w:tab w:val="left" w:pos="284"/>
        </w:tabs>
        <w:spacing w:after="0" w:line="240" w:lineRule="auto"/>
        <w:ind w:left="284"/>
        <w:contextualSpacing/>
        <w:jc w:val="center"/>
        <w:rPr>
          <w:rFonts w:eastAsia="Times New Roman"/>
          <w:b/>
          <w:i/>
          <w:caps/>
          <w:sz w:val="28"/>
          <w:szCs w:val="28"/>
          <w:lang w:val="es-ES" w:eastAsia="es-ES"/>
        </w:rPr>
      </w:pPr>
      <w:r w:rsidRPr="0048739B">
        <w:rPr>
          <w:rFonts w:eastAsia="Times New Roman"/>
          <w:b/>
          <w:i/>
          <w:sz w:val="28"/>
          <w:szCs w:val="28"/>
          <w:lang w:val="es-ES" w:eastAsia="es-ES"/>
        </w:rPr>
        <w:t>“</w:t>
      </w:r>
      <w:r w:rsidR="0048285A" w:rsidRPr="0048739B">
        <w:rPr>
          <w:rFonts w:eastAsia="Times New Roman"/>
          <w:b/>
          <w:i/>
          <w:sz w:val="28"/>
          <w:szCs w:val="28"/>
          <w:lang w:val="es-ES" w:eastAsia="es-ES"/>
        </w:rPr>
        <w:t xml:space="preserve">Ley </w:t>
      </w:r>
      <w:r w:rsidR="00AB591A" w:rsidRPr="0048739B">
        <w:rPr>
          <w:rFonts w:eastAsia="Times New Roman"/>
          <w:b/>
          <w:i/>
          <w:caps/>
          <w:sz w:val="28"/>
          <w:szCs w:val="28"/>
          <w:lang w:val="es-ES" w:eastAsia="es-ES"/>
        </w:rPr>
        <w:t>90</w:t>
      </w:r>
      <w:r w:rsidR="005B4389" w:rsidRPr="0048739B">
        <w:rPr>
          <w:rFonts w:eastAsia="Times New Roman"/>
          <w:b/>
          <w:i/>
          <w:caps/>
          <w:sz w:val="28"/>
          <w:szCs w:val="28"/>
          <w:lang w:val="es-ES" w:eastAsia="es-ES"/>
        </w:rPr>
        <w:t>6</w:t>
      </w:r>
      <w:r w:rsidR="00AB591A" w:rsidRPr="0048739B">
        <w:rPr>
          <w:rFonts w:eastAsia="Times New Roman"/>
          <w:b/>
          <w:i/>
          <w:caps/>
          <w:sz w:val="28"/>
          <w:szCs w:val="28"/>
          <w:lang w:val="es-ES" w:eastAsia="es-ES"/>
        </w:rPr>
        <w:t xml:space="preserve"> </w:t>
      </w:r>
      <w:r w:rsidR="0048285A" w:rsidRPr="0048739B">
        <w:rPr>
          <w:rFonts w:eastAsia="Times New Roman"/>
          <w:b/>
          <w:i/>
          <w:sz w:val="28"/>
          <w:szCs w:val="28"/>
          <w:lang w:val="es-ES" w:eastAsia="es-ES"/>
        </w:rPr>
        <w:t xml:space="preserve">de </w:t>
      </w:r>
      <w:r w:rsidR="00AB591A" w:rsidRPr="0048739B">
        <w:rPr>
          <w:rFonts w:eastAsia="Times New Roman"/>
          <w:b/>
          <w:i/>
          <w:caps/>
          <w:sz w:val="28"/>
          <w:szCs w:val="28"/>
          <w:lang w:val="es-ES" w:eastAsia="es-ES"/>
        </w:rPr>
        <w:t>2004</w:t>
      </w:r>
    </w:p>
    <w:p w14:paraId="2BA8DEB8" w14:textId="2650093A" w:rsidR="00DF0984" w:rsidRPr="0048739B" w:rsidRDefault="00DF0984"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Cs/>
          <w:i/>
          <w:caps/>
          <w:sz w:val="28"/>
          <w:szCs w:val="28"/>
          <w:lang w:val="es-ES" w:eastAsia="es-ES"/>
        </w:rPr>
      </w:pPr>
      <w:r w:rsidRPr="0048739B">
        <w:rPr>
          <w:rFonts w:eastAsia="Times New Roman"/>
          <w:bCs/>
          <w:i/>
          <w:caps/>
          <w:sz w:val="28"/>
          <w:szCs w:val="28"/>
          <w:lang w:val="es-ES" w:eastAsia="es-ES"/>
        </w:rPr>
        <w:t>(</w:t>
      </w:r>
      <w:proofErr w:type="gramStart"/>
      <w:r w:rsidR="0048285A" w:rsidRPr="0048739B">
        <w:rPr>
          <w:rFonts w:eastAsia="Times New Roman"/>
          <w:bCs/>
          <w:i/>
          <w:sz w:val="28"/>
          <w:szCs w:val="28"/>
          <w:lang w:val="es-ES" w:eastAsia="es-ES"/>
        </w:rPr>
        <w:t>agosto</w:t>
      </w:r>
      <w:proofErr w:type="gramEnd"/>
      <w:r w:rsidR="0048285A" w:rsidRPr="0048739B">
        <w:rPr>
          <w:rFonts w:eastAsia="Times New Roman"/>
          <w:bCs/>
          <w:i/>
          <w:sz w:val="28"/>
          <w:szCs w:val="28"/>
          <w:lang w:val="es-ES" w:eastAsia="es-ES"/>
        </w:rPr>
        <w:t xml:space="preserve"> </w:t>
      </w:r>
      <w:r w:rsidR="00AB591A" w:rsidRPr="0048739B">
        <w:rPr>
          <w:rFonts w:eastAsia="Times New Roman"/>
          <w:bCs/>
          <w:i/>
          <w:caps/>
          <w:sz w:val="28"/>
          <w:szCs w:val="28"/>
          <w:lang w:val="es-ES" w:eastAsia="es-ES"/>
        </w:rPr>
        <w:t>31</w:t>
      </w:r>
      <w:r w:rsidRPr="0048739B">
        <w:rPr>
          <w:rFonts w:eastAsia="Times New Roman"/>
          <w:bCs/>
          <w:i/>
          <w:caps/>
          <w:sz w:val="28"/>
          <w:szCs w:val="28"/>
          <w:lang w:val="es-ES" w:eastAsia="es-ES"/>
        </w:rPr>
        <w:t>)</w:t>
      </w:r>
    </w:p>
    <w:p w14:paraId="0A4CE3F0" w14:textId="6B3E80C5" w:rsidR="00DF0984" w:rsidRPr="0048739B" w:rsidRDefault="0048285A"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Cs/>
          <w:i/>
          <w:caps/>
          <w:sz w:val="28"/>
          <w:szCs w:val="28"/>
          <w:lang w:val="es-ES" w:eastAsia="es-ES"/>
        </w:rPr>
      </w:pPr>
      <w:r w:rsidRPr="0048739B">
        <w:rPr>
          <w:rFonts w:eastAsia="Times New Roman"/>
          <w:bCs/>
          <w:i/>
          <w:sz w:val="28"/>
          <w:szCs w:val="28"/>
          <w:lang w:val="es-ES" w:eastAsia="es-ES"/>
        </w:rPr>
        <w:t>Diario Oficial No. 45.657 del 31 de agosto de 2004</w:t>
      </w:r>
    </w:p>
    <w:p w14:paraId="42D118BF" w14:textId="77777777" w:rsidR="00DF0984" w:rsidRPr="0048739B" w:rsidRDefault="00DF0984"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
          <w:i/>
          <w:caps/>
          <w:sz w:val="28"/>
          <w:szCs w:val="28"/>
          <w:lang w:val="es-ES" w:eastAsia="es-ES"/>
        </w:rPr>
      </w:pPr>
    </w:p>
    <w:p w14:paraId="35346BCB" w14:textId="78BC5A17" w:rsidR="00DF0984" w:rsidRPr="0048739B" w:rsidRDefault="00DD7B88"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Cs/>
          <w:i/>
          <w:caps/>
          <w:sz w:val="28"/>
          <w:szCs w:val="28"/>
          <w:lang w:val="es-ES" w:eastAsia="es-ES"/>
        </w:rPr>
      </w:pPr>
      <w:r w:rsidRPr="0048739B">
        <w:rPr>
          <w:rFonts w:eastAsia="Times New Roman"/>
          <w:bCs/>
          <w:i/>
          <w:sz w:val="28"/>
          <w:szCs w:val="28"/>
          <w:lang w:val="es-ES" w:eastAsia="es-ES"/>
        </w:rPr>
        <w:t>Por la cual se expide el Código De Procedimiento Penal</w:t>
      </w:r>
    </w:p>
    <w:p w14:paraId="0FF84424" w14:textId="6F975B6E" w:rsidR="00D2277F" w:rsidRPr="0048739B" w:rsidRDefault="00D2277F"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Cs/>
          <w:caps/>
          <w:sz w:val="28"/>
          <w:szCs w:val="28"/>
          <w:lang w:val="es-ES" w:eastAsia="es-ES"/>
        </w:rPr>
      </w:pPr>
    </w:p>
    <w:p w14:paraId="289F9E04" w14:textId="77777777" w:rsidR="00D2277F" w:rsidRPr="0048739B" w:rsidRDefault="00D2277F"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
          <w:i/>
          <w:iCs/>
          <w:caps/>
          <w:sz w:val="28"/>
          <w:szCs w:val="28"/>
          <w:lang w:val="es-ES" w:eastAsia="es-ES"/>
        </w:rPr>
      </w:pPr>
      <w:r w:rsidRPr="0048739B">
        <w:rPr>
          <w:rFonts w:eastAsia="Times New Roman"/>
          <w:b/>
          <w:i/>
          <w:iCs/>
          <w:caps/>
          <w:sz w:val="28"/>
          <w:szCs w:val="28"/>
          <w:lang w:val="es-ES" w:eastAsia="es-ES"/>
        </w:rPr>
        <w:t>EL CONGRESO DE COLOMBIA</w:t>
      </w:r>
    </w:p>
    <w:p w14:paraId="07F29E61" w14:textId="77777777" w:rsidR="00D2277F" w:rsidRPr="0048739B" w:rsidRDefault="00D2277F"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
          <w:i/>
          <w:iCs/>
          <w:caps/>
          <w:sz w:val="28"/>
          <w:szCs w:val="28"/>
          <w:lang w:val="es-ES" w:eastAsia="es-ES"/>
        </w:rPr>
      </w:pPr>
      <w:r w:rsidRPr="0048739B">
        <w:rPr>
          <w:rFonts w:eastAsia="Times New Roman"/>
          <w:b/>
          <w:i/>
          <w:iCs/>
          <w:caps/>
          <w:sz w:val="28"/>
          <w:szCs w:val="28"/>
          <w:lang w:val="es-ES" w:eastAsia="es-ES"/>
        </w:rPr>
        <w:t>DECRETA:</w:t>
      </w:r>
    </w:p>
    <w:p w14:paraId="3A639F25" w14:textId="77777777" w:rsidR="00D2277F" w:rsidRPr="0048739B" w:rsidRDefault="00D2277F"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Cs/>
          <w:caps/>
          <w:sz w:val="28"/>
          <w:szCs w:val="28"/>
          <w:lang w:val="es-ES" w:eastAsia="es-ES"/>
        </w:rPr>
      </w:pPr>
    </w:p>
    <w:p w14:paraId="1ADD28BC" w14:textId="77777777" w:rsidR="00D2277F" w:rsidRPr="0048739B" w:rsidRDefault="00D2277F"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Cs/>
          <w:caps/>
          <w:sz w:val="28"/>
          <w:szCs w:val="28"/>
          <w:lang w:val="es-ES" w:eastAsia="es-ES"/>
        </w:rPr>
      </w:pPr>
      <w:r w:rsidRPr="0048739B">
        <w:rPr>
          <w:rFonts w:eastAsia="Times New Roman"/>
          <w:bCs/>
          <w:caps/>
          <w:sz w:val="28"/>
          <w:szCs w:val="28"/>
          <w:lang w:val="es-ES" w:eastAsia="es-ES"/>
        </w:rPr>
        <w:t>(…)</w:t>
      </w:r>
    </w:p>
    <w:p w14:paraId="3185A854" w14:textId="77777777" w:rsidR="00D2277F" w:rsidRPr="0048739B" w:rsidRDefault="00D2277F" w:rsidP="0048739B">
      <w:pPr>
        <w:tabs>
          <w:tab w:val="left" w:pos="284"/>
        </w:tabs>
        <w:overflowPunct w:val="0"/>
        <w:autoSpaceDE w:val="0"/>
        <w:autoSpaceDN w:val="0"/>
        <w:adjustRightInd w:val="0"/>
        <w:spacing w:after="0" w:line="240" w:lineRule="auto"/>
        <w:ind w:left="284"/>
        <w:contextualSpacing/>
        <w:jc w:val="center"/>
        <w:textAlignment w:val="baseline"/>
        <w:rPr>
          <w:rFonts w:eastAsia="Times New Roman"/>
          <w:bCs/>
          <w:caps/>
          <w:sz w:val="28"/>
          <w:szCs w:val="28"/>
          <w:lang w:val="es-ES" w:eastAsia="es-ES"/>
        </w:rPr>
      </w:pPr>
    </w:p>
    <w:p w14:paraId="31B3DD86" w14:textId="58CEB7DD" w:rsidR="00DF0984" w:rsidRPr="0048739B" w:rsidRDefault="00AB591A"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b/>
          <w:bCs/>
          <w:i/>
          <w:sz w:val="28"/>
          <w:szCs w:val="28"/>
          <w:lang w:val="es-ES" w:eastAsia="es-ES"/>
        </w:rPr>
      </w:pPr>
      <w:r w:rsidRPr="0048739B">
        <w:rPr>
          <w:rFonts w:eastAsia="Times New Roman"/>
          <w:b/>
          <w:bCs/>
          <w:i/>
          <w:sz w:val="28"/>
          <w:szCs w:val="28"/>
          <w:lang w:val="es-ES" w:eastAsia="es-ES"/>
        </w:rPr>
        <w:t>LIBRO II</w:t>
      </w:r>
    </w:p>
    <w:p w14:paraId="0D70832A" w14:textId="6CD90E14" w:rsidR="00AB591A" w:rsidRPr="0048739B" w:rsidRDefault="00AB591A"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b/>
          <w:bCs/>
          <w:i/>
          <w:sz w:val="28"/>
          <w:szCs w:val="28"/>
          <w:lang w:val="es-ES" w:eastAsia="es-ES"/>
        </w:rPr>
      </w:pPr>
      <w:r w:rsidRPr="0048739B">
        <w:rPr>
          <w:rFonts w:eastAsia="Times New Roman"/>
          <w:b/>
          <w:bCs/>
          <w:i/>
          <w:sz w:val="28"/>
          <w:szCs w:val="28"/>
          <w:lang w:val="es-ES" w:eastAsia="es-ES"/>
        </w:rPr>
        <w:t>TÉCNICAS DE INDAGACIÓN E INVESTIGACIÓN DE LA PRUEBA Y SISTEMA PROBATORIO</w:t>
      </w:r>
    </w:p>
    <w:p w14:paraId="3CEC097C" w14:textId="77777777" w:rsidR="00D2277F" w:rsidRPr="0048739B" w:rsidRDefault="00D2277F"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b/>
          <w:bCs/>
          <w:i/>
          <w:sz w:val="28"/>
          <w:szCs w:val="28"/>
          <w:lang w:val="es-ES" w:eastAsia="es-ES"/>
        </w:rPr>
      </w:pPr>
    </w:p>
    <w:p w14:paraId="5E520FB1" w14:textId="2EDFC82A" w:rsidR="00AB591A" w:rsidRPr="0048739B" w:rsidRDefault="00AB591A"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b/>
          <w:bCs/>
          <w:i/>
          <w:sz w:val="28"/>
          <w:szCs w:val="28"/>
          <w:lang w:val="es-ES" w:eastAsia="es-ES"/>
        </w:rPr>
      </w:pPr>
      <w:r w:rsidRPr="0048739B">
        <w:rPr>
          <w:rFonts w:eastAsia="Times New Roman"/>
          <w:b/>
          <w:bCs/>
          <w:i/>
          <w:sz w:val="28"/>
          <w:szCs w:val="28"/>
          <w:lang w:val="es-ES" w:eastAsia="es-ES"/>
        </w:rPr>
        <w:lastRenderedPageBreak/>
        <w:t>TÍTULO I</w:t>
      </w:r>
    </w:p>
    <w:p w14:paraId="5A0EBFFC" w14:textId="54A5E3DB" w:rsidR="00AB591A" w:rsidRPr="0048739B" w:rsidRDefault="00AB591A"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b/>
          <w:bCs/>
          <w:i/>
          <w:sz w:val="28"/>
          <w:szCs w:val="28"/>
          <w:lang w:val="es-ES" w:eastAsia="es-ES"/>
        </w:rPr>
      </w:pPr>
      <w:r w:rsidRPr="0048739B">
        <w:rPr>
          <w:rFonts w:eastAsia="Times New Roman"/>
          <w:b/>
          <w:bCs/>
          <w:i/>
          <w:sz w:val="28"/>
          <w:szCs w:val="28"/>
          <w:lang w:val="es-ES" w:eastAsia="es-ES"/>
        </w:rPr>
        <w:t>LA INDAGACIÓN Y LA INVESTIGACIÓN</w:t>
      </w:r>
    </w:p>
    <w:p w14:paraId="01B2F754" w14:textId="35771E71" w:rsidR="00DD7B88" w:rsidRPr="0048739B" w:rsidRDefault="00DD7B88"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i/>
          <w:sz w:val="28"/>
          <w:szCs w:val="28"/>
          <w:lang w:val="es-ES" w:eastAsia="es-ES"/>
        </w:rPr>
      </w:pPr>
      <w:r w:rsidRPr="0048739B">
        <w:rPr>
          <w:rFonts w:eastAsia="Times New Roman"/>
          <w:i/>
          <w:sz w:val="28"/>
          <w:szCs w:val="28"/>
          <w:lang w:val="es-ES" w:eastAsia="es-ES"/>
        </w:rPr>
        <w:t xml:space="preserve">(…) </w:t>
      </w:r>
    </w:p>
    <w:p w14:paraId="35D7ADD7" w14:textId="77777777" w:rsidR="008710C2" w:rsidRPr="0048739B" w:rsidRDefault="008710C2"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i/>
          <w:sz w:val="28"/>
          <w:szCs w:val="28"/>
          <w:lang w:val="es-ES" w:eastAsia="es-ES"/>
        </w:rPr>
      </w:pPr>
    </w:p>
    <w:p w14:paraId="7B23228B" w14:textId="737F9CE5" w:rsidR="00AB591A" w:rsidRPr="0048739B" w:rsidRDefault="00AB591A"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b/>
          <w:bCs/>
          <w:i/>
          <w:sz w:val="28"/>
          <w:szCs w:val="28"/>
          <w:lang w:val="es-ES" w:eastAsia="es-ES"/>
        </w:rPr>
      </w:pPr>
      <w:r w:rsidRPr="0048739B">
        <w:rPr>
          <w:rFonts w:eastAsia="Times New Roman"/>
          <w:b/>
          <w:bCs/>
          <w:i/>
          <w:sz w:val="28"/>
          <w:szCs w:val="28"/>
          <w:lang w:val="es-ES" w:eastAsia="es-ES"/>
        </w:rPr>
        <w:t>CAPÍTULO II</w:t>
      </w:r>
    </w:p>
    <w:p w14:paraId="50007B4A" w14:textId="01D335B7" w:rsidR="00AB591A" w:rsidRPr="0048739B" w:rsidRDefault="00F36BCD"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b/>
          <w:bCs/>
          <w:i/>
          <w:sz w:val="28"/>
          <w:szCs w:val="28"/>
          <w:lang w:val="es-ES" w:eastAsia="es-ES"/>
        </w:rPr>
      </w:pPr>
      <w:r w:rsidRPr="0048739B">
        <w:rPr>
          <w:rFonts w:eastAsia="Times New Roman"/>
          <w:b/>
          <w:bCs/>
          <w:i/>
          <w:sz w:val="28"/>
          <w:szCs w:val="28"/>
          <w:lang w:val="es-ES" w:eastAsia="es-ES"/>
        </w:rPr>
        <w:t xml:space="preserve">Actuaciones que no requieren autorización judicial previa para su realización </w:t>
      </w:r>
    </w:p>
    <w:p w14:paraId="09320481" w14:textId="2E34F450" w:rsidR="00DF0984" w:rsidRPr="0048739B" w:rsidRDefault="00906049"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i/>
          <w:sz w:val="28"/>
          <w:szCs w:val="28"/>
          <w:lang w:val="es-ES" w:eastAsia="es-ES"/>
        </w:rPr>
      </w:pPr>
      <w:r w:rsidRPr="0048739B">
        <w:rPr>
          <w:rFonts w:eastAsia="Times New Roman"/>
          <w:i/>
          <w:sz w:val="28"/>
          <w:szCs w:val="28"/>
          <w:lang w:val="es-ES" w:eastAsia="es-ES"/>
        </w:rPr>
        <w:t>(…)</w:t>
      </w:r>
    </w:p>
    <w:p w14:paraId="408D676C" w14:textId="77777777" w:rsidR="008710C2" w:rsidRPr="0048739B" w:rsidRDefault="008710C2" w:rsidP="0048739B">
      <w:pPr>
        <w:tabs>
          <w:tab w:val="left" w:pos="284"/>
        </w:tabs>
        <w:overflowPunct w:val="0"/>
        <w:autoSpaceDE w:val="0"/>
        <w:autoSpaceDN w:val="0"/>
        <w:adjustRightInd w:val="0"/>
        <w:spacing w:after="0" w:line="240" w:lineRule="auto"/>
        <w:ind w:left="720" w:right="49"/>
        <w:contextualSpacing/>
        <w:jc w:val="center"/>
        <w:textAlignment w:val="baseline"/>
        <w:rPr>
          <w:rFonts w:eastAsia="Times New Roman"/>
          <w:i/>
          <w:sz w:val="28"/>
          <w:szCs w:val="28"/>
          <w:lang w:val="es-ES" w:eastAsia="es-ES"/>
        </w:rPr>
      </w:pPr>
    </w:p>
    <w:p w14:paraId="0D422540" w14:textId="4511BA8E"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b/>
          <w:bCs/>
          <w:i/>
          <w:sz w:val="28"/>
          <w:szCs w:val="28"/>
          <w:lang w:val="es-ES" w:eastAsia="es-ES"/>
        </w:rPr>
        <w:t xml:space="preserve">Artículo 223. Objetos no susceptibles de registro. </w:t>
      </w:r>
      <w:r w:rsidRPr="0048739B">
        <w:rPr>
          <w:rFonts w:eastAsia="Times New Roman"/>
          <w:i/>
          <w:sz w:val="28"/>
          <w:szCs w:val="28"/>
          <w:lang w:val="es-ES" w:eastAsia="es-ES"/>
        </w:rPr>
        <w:t>No serán susceptibles de registro los siguientes objetos:</w:t>
      </w:r>
    </w:p>
    <w:p w14:paraId="3D9BBA9A" w14:textId="77777777"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 </w:t>
      </w:r>
    </w:p>
    <w:p w14:paraId="1A52822F" w14:textId="77777777"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1. Las comunicaciones escritas entre el indiciado, imputado o acusado con sus abogados.</w:t>
      </w:r>
    </w:p>
    <w:p w14:paraId="6A590F8D" w14:textId="77777777"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 </w:t>
      </w:r>
    </w:p>
    <w:p w14:paraId="75B68330" w14:textId="77777777"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2. Las comunicaciones escritas entre el indiciado, imputado o acusado con las personas que por razón legal están excluidas del deber de testificar.</w:t>
      </w:r>
    </w:p>
    <w:p w14:paraId="75D3C903" w14:textId="77777777"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 </w:t>
      </w:r>
    </w:p>
    <w:p w14:paraId="58D36C9A" w14:textId="77777777"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3. Los archivos de las personas indicadas en los numerales precedentes que contengan información confidencial relativa al indiciado, imputado o acusado. Este apartado cobija también los documentos digitales, vídeos, grabaciones, ilustraciones y cualquier otra imagen que sea relevante a los fines de la restricción.</w:t>
      </w:r>
    </w:p>
    <w:p w14:paraId="41FA3B2B" w14:textId="77777777"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 </w:t>
      </w:r>
    </w:p>
    <w:p w14:paraId="37BCB7B0" w14:textId="147DF54C" w:rsidR="00F36BCD" w:rsidRPr="0048739B" w:rsidRDefault="00F36BCD" w:rsidP="0048739B">
      <w:pPr>
        <w:tabs>
          <w:tab w:val="left" w:pos="426"/>
        </w:tabs>
        <w:autoSpaceDE w:val="0"/>
        <w:autoSpaceDN w:val="0"/>
        <w:spacing w:after="0" w:line="240" w:lineRule="auto"/>
        <w:ind w:left="708" w:right="48"/>
        <w:jc w:val="both"/>
        <w:rPr>
          <w:rFonts w:eastAsia="Times New Roman"/>
          <w:i/>
          <w:sz w:val="28"/>
          <w:szCs w:val="28"/>
          <w:lang w:val="es-ES" w:eastAsia="es-ES"/>
        </w:rPr>
      </w:pPr>
      <w:r w:rsidRPr="0048739B">
        <w:rPr>
          <w:rFonts w:eastAsia="Times New Roman"/>
          <w:i/>
          <w:sz w:val="28"/>
          <w:szCs w:val="28"/>
          <w:lang w:val="es-ES" w:eastAsia="es-ES"/>
        </w:rPr>
        <w:t xml:space="preserve">Parágrafo. Estas restricciones no son aplicables cuando el privilegio desaparece, ya sea por su renuncia </w:t>
      </w:r>
      <w:r w:rsidRPr="0048739B">
        <w:rPr>
          <w:rFonts w:eastAsia="Times New Roman"/>
          <w:i/>
          <w:sz w:val="28"/>
          <w:szCs w:val="28"/>
          <w:u w:val="single"/>
          <w:lang w:val="es-ES" w:eastAsia="es-ES"/>
        </w:rPr>
        <w:t>o por tratarse de personas vinculadas como auxiliadores, partícipes o coautoras del delito investigado o de uno conexo o que se encuentre en curso, o se trate de situaciones que constituyan una obstrucción a la justicia</w:t>
      </w:r>
      <w:r w:rsidRPr="0048739B">
        <w:rPr>
          <w:rFonts w:eastAsia="Times New Roman"/>
          <w:i/>
          <w:sz w:val="28"/>
          <w:szCs w:val="28"/>
          <w:lang w:val="es-ES" w:eastAsia="es-ES"/>
        </w:rPr>
        <w:t>.</w:t>
      </w:r>
      <w:r w:rsidR="001F05BE" w:rsidRPr="0048739B">
        <w:rPr>
          <w:rFonts w:eastAsia="Times New Roman"/>
          <w:i/>
          <w:sz w:val="28"/>
          <w:szCs w:val="28"/>
          <w:lang w:val="es-ES" w:eastAsia="es-ES"/>
        </w:rPr>
        <w:t>”</w:t>
      </w:r>
    </w:p>
    <w:p w14:paraId="57643440" w14:textId="77777777" w:rsidR="00F179F0" w:rsidRPr="0048739B" w:rsidRDefault="00F179F0" w:rsidP="0048739B">
      <w:pPr>
        <w:tabs>
          <w:tab w:val="left" w:pos="426"/>
        </w:tabs>
        <w:autoSpaceDE w:val="0"/>
        <w:autoSpaceDN w:val="0"/>
        <w:spacing w:after="0" w:line="240" w:lineRule="auto"/>
        <w:ind w:left="708" w:right="48"/>
        <w:jc w:val="both"/>
        <w:rPr>
          <w:rFonts w:eastAsia="Times New Roman"/>
          <w:i/>
          <w:sz w:val="28"/>
          <w:szCs w:val="28"/>
          <w:lang w:val="es-ES" w:eastAsia="es-ES"/>
        </w:rPr>
      </w:pPr>
    </w:p>
    <w:p w14:paraId="438CB7E6" w14:textId="77777777" w:rsidR="000371D4" w:rsidRPr="0048739B" w:rsidRDefault="000371D4" w:rsidP="0048739B">
      <w:pPr>
        <w:spacing w:after="0" w:line="240" w:lineRule="auto"/>
        <w:ind w:right="48"/>
        <w:jc w:val="both"/>
        <w:rPr>
          <w:rFonts w:eastAsia="Calibri"/>
          <w:b/>
          <w:sz w:val="28"/>
          <w:szCs w:val="28"/>
          <w:lang w:val="es-ES" w:eastAsia="es-ES"/>
        </w:rPr>
      </w:pPr>
      <w:r w:rsidRPr="0048739B">
        <w:rPr>
          <w:rFonts w:eastAsia="Calibri"/>
          <w:b/>
          <w:sz w:val="28"/>
          <w:szCs w:val="28"/>
          <w:lang w:val="es-ES" w:eastAsia="es-ES"/>
        </w:rPr>
        <w:t xml:space="preserve">III. LA DEMANDA </w:t>
      </w:r>
    </w:p>
    <w:p w14:paraId="0877DD68" w14:textId="77777777" w:rsidR="00C52531" w:rsidRPr="0048739B" w:rsidRDefault="00C52531" w:rsidP="0048739B">
      <w:pPr>
        <w:spacing w:after="0" w:line="240" w:lineRule="auto"/>
        <w:ind w:right="48"/>
        <w:jc w:val="both"/>
        <w:rPr>
          <w:rFonts w:eastAsia="Calibri"/>
          <w:b/>
          <w:sz w:val="28"/>
          <w:szCs w:val="28"/>
          <w:lang w:val="es-ES" w:eastAsia="es-ES"/>
        </w:rPr>
      </w:pPr>
    </w:p>
    <w:p w14:paraId="66224B06" w14:textId="4E52D347" w:rsidR="00DC6C8D" w:rsidRPr="0048739B" w:rsidRDefault="00C52531"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Los demandantes</w:t>
      </w:r>
      <w:r w:rsidR="00F36BCD" w:rsidRPr="0048739B">
        <w:rPr>
          <w:rFonts w:eastAsia="Calibri"/>
          <w:sz w:val="28"/>
          <w:szCs w:val="28"/>
          <w:lang w:val="es-ES" w:eastAsia="es-ES"/>
        </w:rPr>
        <w:t xml:space="preserve"> consideran que la norma desconoce el principio de igualdad, el derecho al debido proceso y la protección que la Constitución confiere al secreto profesional. </w:t>
      </w:r>
    </w:p>
    <w:p w14:paraId="5A802887" w14:textId="019FA5CD" w:rsidR="006C1878" w:rsidRPr="0048739B" w:rsidRDefault="006C1878" w:rsidP="0048739B">
      <w:pPr>
        <w:spacing w:after="0" w:line="240" w:lineRule="auto"/>
        <w:ind w:right="48"/>
        <w:jc w:val="both"/>
        <w:rPr>
          <w:rFonts w:eastAsia="Calibri"/>
          <w:sz w:val="28"/>
          <w:szCs w:val="28"/>
          <w:lang w:val="es-ES" w:eastAsia="es-ES"/>
        </w:rPr>
      </w:pPr>
    </w:p>
    <w:p w14:paraId="6705D56D" w14:textId="77777777" w:rsidR="009C3636" w:rsidRPr="0048739B" w:rsidRDefault="00791345"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L</w:t>
      </w:r>
      <w:r w:rsidR="006C1878" w:rsidRPr="0048739B">
        <w:rPr>
          <w:rFonts w:eastAsia="Calibri"/>
          <w:sz w:val="28"/>
          <w:szCs w:val="28"/>
          <w:lang w:val="es-ES" w:eastAsia="es-ES"/>
        </w:rPr>
        <w:t xml:space="preserve">os </w:t>
      </w:r>
      <w:r w:rsidR="00906049" w:rsidRPr="0048739B">
        <w:rPr>
          <w:rFonts w:eastAsia="Calibri"/>
          <w:sz w:val="28"/>
          <w:szCs w:val="28"/>
          <w:lang w:val="es-ES" w:eastAsia="es-ES"/>
        </w:rPr>
        <w:t xml:space="preserve">actores </w:t>
      </w:r>
      <w:r w:rsidRPr="0048739B">
        <w:rPr>
          <w:rFonts w:eastAsia="Calibri"/>
          <w:sz w:val="28"/>
          <w:szCs w:val="28"/>
          <w:lang w:val="es-ES" w:eastAsia="es-ES"/>
        </w:rPr>
        <w:t>consideran</w:t>
      </w:r>
      <w:r w:rsidR="006C1878" w:rsidRPr="0048739B">
        <w:rPr>
          <w:rFonts w:eastAsia="Calibri"/>
          <w:sz w:val="28"/>
          <w:szCs w:val="28"/>
          <w:lang w:val="es-ES" w:eastAsia="es-ES"/>
        </w:rPr>
        <w:t xml:space="preserve"> que el aparte acusado se interpreta de modo que las comunicaciones escritas del indiciado, imputado o acusado con sus abogados, cónyuge, compañero permanente o parientes dentro del cuarto grado de consanguinidad, segundo de afinidad o primero civil, no son susceptibles de registro. </w:t>
      </w:r>
    </w:p>
    <w:p w14:paraId="57EA155A" w14:textId="2A9ED6D0" w:rsidR="003206EA" w:rsidRPr="0048739B" w:rsidRDefault="003206EA"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Sin embargo, t</w:t>
      </w:r>
      <w:r w:rsidR="006C1878" w:rsidRPr="0048739B">
        <w:rPr>
          <w:rFonts w:eastAsia="Calibri"/>
          <w:sz w:val="28"/>
          <w:szCs w:val="28"/>
          <w:lang w:val="es-ES" w:eastAsia="es-ES"/>
        </w:rPr>
        <w:t xml:space="preserve">al garantía está prevista únicamente en el evento en que el indiciado, imputado o acusado haya actuado en calidad de autor, y solo en esta calidad. En esa medida, consideran que la norma </w:t>
      </w:r>
      <w:r w:rsidR="006C1878" w:rsidRPr="0048739B">
        <w:rPr>
          <w:rFonts w:eastAsia="Calibri"/>
          <w:i/>
          <w:iCs/>
          <w:sz w:val="28"/>
          <w:szCs w:val="28"/>
          <w:lang w:val="es-ES" w:eastAsia="es-ES"/>
        </w:rPr>
        <w:t xml:space="preserve">“demarca una limitación o excepcionalidad en cuanto al indiciado, imputado o acusado que ostente la calidad de coautor, partícipe (determinador y cómplice) o auxiliar, ya sea del delito investigado, </w:t>
      </w:r>
      <w:r w:rsidR="006C1878" w:rsidRPr="0048739B">
        <w:rPr>
          <w:rFonts w:eastAsia="Calibri"/>
          <w:i/>
          <w:iCs/>
          <w:sz w:val="28"/>
          <w:szCs w:val="28"/>
          <w:lang w:val="es-ES" w:eastAsia="es-ES"/>
        </w:rPr>
        <w:lastRenderedPageBreak/>
        <w:t>conexo o que se encuentre en curso”</w:t>
      </w:r>
      <w:r w:rsidR="006C1878" w:rsidRPr="0048739B">
        <w:rPr>
          <w:rFonts w:eastAsia="Calibri"/>
          <w:i/>
          <w:iCs/>
          <w:sz w:val="28"/>
          <w:szCs w:val="28"/>
          <w:vertAlign w:val="superscript"/>
          <w:lang w:val="es-ES" w:eastAsia="es-ES"/>
        </w:rPr>
        <w:footnoteReference w:id="3"/>
      </w:r>
      <w:r w:rsidRPr="0048739B">
        <w:rPr>
          <w:rFonts w:eastAsia="Calibri"/>
          <w:sz w:val="28"/>
          <w:szCs w:val="28"/>
          <w:lang w:val="es-ES" w:eastAsia="es-ES"/>
        </w:rPr>
        <w:t>.</w:t>
      </w:r>
      <w:r w:rsidR="000F68C6" w:rsidRPr="0048739B">
        <w:rPr>
          <w:rFonts w:eastAsia="Calibri"/>
          <w:sz w:val="28"/>
          <w:szCs w:val="28"/>
          <w:lang w:val="es-ES" w:eastAsia="es-ES"/>
        </w:rPr>
        <w:t xml:space="preserve"> </w:t>
      </w:r>
      <w:r w:rsidRPr="0048739B">
        <w:rPr>
          <w:rFonts w:eastAsia="Calibri"/>
          <w:sz w:val="28"/>
          <w:szCs w:val="28"/>
          <w:lang w:val="es-ES" w:eastAsia="es-ES"/>
        </w:rPr>
        <w:t xml:space="preserve">Con base en </w:t>
      </w:r>
      <w:r w:rsidR="002D3A93" w:rsidRPr="0048739B">
        <w:rPr>
          <w:rFonts w:eastAsia="Calibri"/>
          <w:sz w:val="28"/>
          <w:szCs w:val="28"/>
          <w:lang w:val="es-ES" w:eastAsia="es-ES"/>
        </w:rPr>
        <w:t>este presupuesto, la demanda plantea</w:t>
      </w:r>
      <w:r w:rsidR="005345DE" w:rsidRPr="0048739B">
        <w:rPr>
          <w:rFonts w:eastAsia="Calibri"/>
          <w:sz w:val="28"/>
          <w:szCs w:val="28"/>
          <w:lang w:val="es-ES" w:eastAsia="es-ES"/>
        </w:rPr>
        <w:t xml:space="preserve"> </w:t>
      </w:r>
      <w:r w:rsidR="0023274A" w:rsidRPr="0048739B">
        <w:rPr>
          <w:rFonts w:eastAsia="Calibri"/>
          <w:sz w:val="28"/>
          <w:szCs w:val="28"/>
          <w:lang w:val="es-ES" w:eastAsia="es-ES"/>
        </w:rPr>
        <w:t xml:space="preserve">tres </w:t>
      </w:r>
      <w:r w:rsidR="002D3A93" w:rsidRPr="0048739B">
        <w:rPr>
          <w:rFonts w:eastAsia="Calibri"/>
          <w:sz w:val="28"/>
          <w:szCs w:val="28"/>
          <w:lang w:val="es-ES" w:eastAsia="es-ES"/>
        </w:rPr>
        <w:t>cargos:</w:t>
      </w:r>
    </w:p>
    <w:p w14:paraId="4082BA36" w14:textId="722E83D4" w:rsidR="002D3A93" w:rsidRPr="0048739B" w:rsidRDefault="002D3A93" w:rsidP="0048739B">
      <w:pPr>
        <w:spacing w:after="0" w:line="240" w:lineRule="auto"/>
        <w:ind w:right="48"/>
        <w:jc w:val="both"/>
        <w:rPr>
          <w:rFonts w:eastAsia="Calibri"/>
          <w:sz w:val="28"/>
          <w:szCs w:val="28"/>
          <w:lang w:val="es-ES" w:eastAsia="es-ES"/>
        </w:rPr>
      </w:pPr>
    </w:p>
    <w:p w14:paraId="6CEA1713" w14:textId="6ED5E41A" w:rsidR="006C1878" w:rsidRPr="0048739B" w:rsidRDefault="002D3A93"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 xml:space="preserve">1. El apartado acusado </w:t>
      </w:r>
      <w:r w:rsidRPr="0048739B">
        <w:rPr>
          <w:rFonts w:eastAsia="Calibri"/>
          <w:b/>
          <w:bCs/>
          <w:sz w:val="28"/>
          <w:szCs w:val="28"/>
          <w:lang w:val="es-ES" w:eastAsia="es-ES"/>
        </w:rPr>
        <w:t>de</w:t>
      </w:r>
      <w:r w:rsidR="006C1878" w:rsidRPr="0048739B">
        <w:rPr>
          <w:rFonts w:eastAsia="Calibri"/>
          <w:b/>
          <w:bCs/>
          <w:sz w:val="28"/>
          <w:szCs w:val="28"/>
          <w:lang w:val="es-ES" w:eastAsia="es-ES"/>
        </w:rPr>
        <w:t>sconoce el derecho a la igualdad</w:t>
      </w:r>
      <w:r w:rsidRPr="0048739B">
        <w:rPr>
          <w:rFonts w:eastAsia="Calibri"/>
          <w:sz w:val="28"/>
          <w:szCs w:val="28"/>
          <w:lang w:val="es-ES" w:eastAsia="es-ES"/>
        </w:rPr>
        <w:t xml:space="preserve">, previsto en el artículo 13 de la Constitución, </w:t>
      </w:r>
      <w:r w:rsidR="006C1878" w:rsidRPr="0048739B">
        <w:rPr>
          <w:rFonts w:eastAsia="Calibri"/>
          <w:sz w:val="28"/>
          <w:szCs w:val="28"/>
          <w:lang w:val="es-ES" w:eastAsia="es-ES"/>
        </w:rPr>
        <w:t xml:space="preserve">en tanto </w:t>
      </w:r>
      <w:r w:rsidR="006C1878" w:rsidRPr="0048739B">
        <w:rPr>
          <w:rFonts w:eastAsia="Calibri"/>
          <w:i/>
          <w:iCs/>
          <w:sz w:val="28"/>
          <w:szCs w:val="28"/>
          <w:lang w:val="es-ES" w:eastAsia="es-ES"/>
        </w:rPr>
        <w:t>“determina una situación más gravosa para el coautor, partícipe y auxiliar, en comparación al autor del delito”</w:t>
      </w:r>
      <w:r w:rsidR="006C1878" w:rsidRPr="0048739B">
        <w:rPr>
          <w:rFonts w:eastAsia="Calibri"/>
          <w:i/>
          <w:iCs/>
          <w:sz w:val="28"/>
          <w:szCs w:val="28"/>
          <w:vertAlign w:val="superscript"/>
          <w:lang w:val="es-ES" w:eastAsia="es-ES"/>
        </w:rPr>
        <w:footnoteReference w:id="4"/>
      </w:r>
      <w:r w:rsidRPr="0048739B">
        <w:rPr>
          <w:rFonts w:eastAsia="Calibri"/>
          <w:sz w:val="28"/>
          <w:szCs w:val="28"/>
          <w:lang w:val="es-ES" w:eastAsia="es-ES"/>
        </w:rPr>
        <w:t xml:space="preserve">. </w:t>
      </w:r>
      <w:r w:rsidR="0018770E" w:rsidRPr="0048739B">
        <w:rPr>
          <w:rFonts w:eastAsia="Calibri"/>
          <w:sz w:val="28"/>
          <w:szCs w:val="28"/>
          <w:lang w:val="es-ES" w:eastAsia="es-ES"/>
        </w:rPr>
        <w:t>S</w:t>
      </w:r>
      <w:r w:rsidRPr="0048739B">
        <w:rPr>
          <w:rFonts w:eastAsia="Calibri"/>
          <w:sz w:val="28"/>
          <w:szCs w:val="28"/>
          <w:lang w:val="es-ES" w:eastAsia="es-ES"/>
        </w:rPr>
        <w:t>e basa en una</w:t>
      </w:r>
      <w:r w:rsidR="006C1878" w:rsidRPr="0048739B">
        <w:rPr>
          <w:rFonts w:eastAsia="Calibri"/>
          <w:sz w:val="28"/>
          <w:szCs w:val="28"/>
          <w:lang w:val="es-ES" w:eastAsia="es-ES"/>
        </w:rPr>
        <w:t xml:space="preserve"> distinción entre los autores y los partícipes </w:t>
      </w:r>
      <w:r w:rsidR="0018770E" w:rsidRPr="0048739B">
        <w:rPr>
          <w:rFonts w:eastAsia="Calibri"/>
          <w:sz w:val="28"/>
          <w:szCs w:val="28"/>
          <w:lang w:val="es-ES" w:eastAsia="es-ES"/>
        </w:rPr>
        <w:t xml:space="preserve">de </w:t>
      </w:r>
      <w:r w:rsidR="006C1878" w:rsidRPr="0048739B">
        <w:rPr>
          <w:rFonts w:eastAsia="Calibri"/>
          <w:sz w:val="28"/>
          <w:szCs w:val="28"/>
          <w:lang w:val="es-ES" w:eastAsia="es-ES"/>
        </w:rPr>
        <w:t>una conducta punible</w:t>
      </w:r>
      <w:r w:rsidRPr="0048739B">
        <w:rPr>
          <w:rFonts w:eastAsia="Calibri"/>
          <w:sz w:val="28"/>
          <w:szCs w:val="28"/>
          <w:lang w:val="es-ES" w:eastAsia="es-ES"/>
        </w:rPr>
        <w:t xml:space="preserve"> </w:t>
      </w:r>
      <w:r w:rsidR="00F35E21" w:rsidRPr="0048739B">
        <w:rPr>
          <w:rFonts w:eastAsia="Calibri"/>
          <w:sz w:val="28"/>
          <w:szCs w:val="28"/>
          <w:lang w:val="es-ES" w:eastAsia="es-ES"/>
        </w:rPr>
        <w:t>sin</w:t>
      </w:r>
      <w:r w:rsidRPr="0048739B">
        <w:rPr>
          <w:rFonts w:eastAsia="Calibri"/>
          <w:sz w:val="28"/>
          <w:szCs w:val="28"/>
          <w:lang w:val="es-ES" w:eastAsia="es-ES"/>
        </w:rPr>
        <w:t xml:space="preserve"> </w:t>
      </w:r>
      <w:r w:rsidR="006C1878" w:rsidRPr="0048739B">
        <w:rPr>
          <w:rFonts w:eastAsia="Calibri"/>
          <w:sz w:val="28"/>
          <w:szCs w:val="28"/>
          <w:lang w:val="es-ES" w:eastAsia="es-ES"/>
        </w:rPr>
        <w:t xml:space="preserve">sustento constitucional válido. </w:t>
      </w:r>
    </w:p>
    <w:p w14:paraId="6B842484" w14:textId="77777777" w:rsidR="006C1878" w:rsidRPr="0048739B" w:rsidRDefault="006C1878" w:rsidP="0048739B">
      <w:pPr>
        <w:spacing w:after="0" w:line="240" w:lineRule="auto"/>
        <w:ind w:right="48"/>
        <w:jc w:val="both"/>
        <w:rPr>
          <w:rFonts w:eastAsia="Calibri"/>
          <w:sz w:val="28"/>
          <w:szCs w:val="28"/>
          <w:lang w:val="es-ES" w:eastAsia="es-ES"/>
        </w:rPr>
      </w:pPr>
    </w:p>
    <w:p w14:paraId="4779DC74" w14:textId="24498FA1" w:rsidR="006C1878" w:rsidRPr="0048739B" w:rsidRDefault="002D3A93"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 xml:space="preserve">Para justificar esta conclusión, </w:t>
      </w:r>
      <w:r w:rsidR="003B3B91" w:rsidRPr="0048739B">
        <w:rPr>
          <w:rFonts w:eastAsia="Calibri"/>
          <w:sz w:val="28"/>
          <w:szCs w:val="28"/>
          <w:lang w:val="es-ES" w:eastAsia="es-ES"/>
        </w:rPr>
        <w:t xml:space="preserve">los actores </w:t>
      </w:r>
      <w:r w:rsidR="00360049" w:rsidRPr="0048739B">
        <w:rPr>
          <w:rFonts w:eastAsia="Calibri"/>
          <w:sz w:val="28"/>
          <w:szCs w:val="28"/>
          <w:lang w:val="es-ES" w:eastAsia="es-ES"/>
        </w:rPr>
        <w:t xml:space="preserve">señalaron </w:t>
      </w:r>
      <w:r w:rsidR="006C1878" w:rsidRPr="0048739B">
        <w:rPr>
          <w:rFonts w:eastAsia="Calibri"/>
          <w:sz w:val="28"/>
          <w:szCs w:val="28"/>
          <w:lang w:val="es-ES" w:eastAsia="es-ES"/>
        </w:rPr>
        <w:t xml:space="preserve">que el Legislador </w:t>
      </w:r>
      <w:r w:rsidR="006C1878" w:rsidRPr="0048739B">
        <w:rPr>
          <w:rFonts w:eastAsia="Calibri"/>
          <w:i/>
          <w:iCs/>
          <w:sz w:val="28"/>
          <w:szCs w:val="28"/>
          <w:lang w:val="es-ES" w:eastAsia="es-ES"/>
        </w:rPr>
        <w:t xml:space="preserve">“agrupó y diferenció, según el grado de participación del agente en la conducta punible (…) en dos grupos los sujetos activos del </w:t>
      </w:r>
      <w:proofErr w:type="spellStart"/>
      <w:r w:rsidR="006C1878" w:rsidRPr="0048739B">
        <w:rPr>
          <w:rFonts w:eastAsia="Calibri"/>
          <w:i/>
          <w:iCs/>
          <w:sz w:val="28"/>
          <w:szCs w:val="28"/>
          <w:lang w:val="es-ES" w:eastAsia="es-ES"/>
        </w:rPr>
        <w:t>ius</w:t>
      </w:r>
      <w:proofErr w:type="spellEnd"/>
      <w:r w:rsidR="006C1878" w:rsidRPr="0048739B">
        <w:rPr>
          <w:rFonts w:eastAsia="Calibri"/>
          <w:i/>
          <w:iCs/>
          <w:sz w:val="28"/>
          <w:szCs w:val="28"/>
          <w:lang w:val="es-ES" w:eastAsia="es-ES"/>
        </w:rPr>
        <w:t xml:space="preserve"> </w:t>
      </w:r>
      <w:proofErr w:type="spellStart"/>
      <w:r w:rsidR="006C1878" w:rsidRPr="0048739B">
        <w:rPr>
          <w:rFonts w:eastAsia="Calibri"/>
          <w:i/>
          <w:iCs/>
          <w:sz w:val="28"/>
          <w:szCs w:val="28"/>
          <w:lang w:val="es-ES" w:eastAsia="es-ES"/>
        </w:rPr>
        <w:t>puniendi</w:t>
      </w:r>
      <w:proofErr w:type="spellEnd"/>
      <w:r w:rsidR="006C1878" w:rsidRPr="0048739B">
        <w:rPr>
          <w:rFonts w:eastAsia="Calibri"/>
          <w:i/>
          <w:iCs/>
          <w:sz w:val="28"/>
          <w:szCs w:val="28"/>
          <w:lang w:val="es-ES" w:eastAsia="es-ES"/>
        </w:rPr>
        <w:t>, los autores (artículo 29 ibídem) y partícipes (artículo 30 ibídem), que a su vez se subdividen, el primero</w:t>
      </w:r>
      <w:r w:rsidR="005E7107" w:rsidRPr="0048739B">
        <w:rPr>
          <w:rFonts w:eastAsia="Calibri"/>
          <w:i/>
          <w:iCs/>
          <w:sz w:val="28"/>
          <w:szCs w:val="28"/>
          <w:lang w:val="es-ES" w:eastAsia="es-ES"/>
        </w:rPr>
        <w:t xml:space="preserve"> (sic.)</w:t>
      </w:r>
      <w:r w:rsidR="006C1878" w:rsidRPr="0048739B">
        <w:rPr>
          <w:rFonts w:eastAsia="Calibri"/>
          <w:i/>
          <w:iCs/>
          <w:sz w:val="28"/>
          <w:szCs w:val="28"/>
          <w:lang w:val="es-ES" w:eastAsia="es-ES"/>
        </w:rPr>
        <w:t xml:space="preserve"> </w:t>
      </w:r>
      <w:proofErr w:type="gramStart"/>
      <w:r w:rsidR="006C1878" w:rsidRPr="0048739B">
        <w:rPr>
          <w:rFonts w:eastAsia="Calibri"/>
          <w:i/>
          <w:iCs/>
          <w:sz w:val="28"/>
          <w:szCs w:val="28"/>
          <w:lang w:val="es-ES" w:eastAsia="es-ES"/>
        </w:rPr>
        <w:t>grupos</w:t>
      </w:r>
      <w:proofErr w:type="gramEnd"/>
      <w:r w:rsidR="006C1878" w:rsidRPr="0048739B">
        <w:rPr>
          <w:rFonts w:eastAsia="Calibri"/>
          <w:i/>
          <w:iCs/>
          <w:sz w:val="28"/>
          <w:szCs w:val="28"/>
          <w:lang w:val="es-ES" w:eastAsia="es-ES"/>
        </w:rPr>
        <w:t xml:space="preserve"> en autor mediato y coautores; y el segundo grupo en determinadores, cómplices e interviniente</w:t>
      </w:r>
      <w:r w:rsidR="00EB6934" w:rsidRPr="0048739B">
        <w:rPr>
          <w:rFonts w:eastAsia="Calibri"/>
          <w:i/>
          <w:iCs/>
          <w:sz w:val="28"/>
          <w:szCs w:val="28"/>
          <w:lang w:val="es-ES" w:eastAsia="es-ES"/>
        </w:rPr>
        <w:t>s</w:t>
      </w:r>
      <w:r w:rsidR="006C1878" w:rsidRPr="0048739B">
        <w:rPr>
          <w:rFonts w:eastAsia="Calibri"/>
          <w:i/>
          <w:iCs/>
          <w:sz w:val="28"/>
          <w:szCs w:val="28"/>
          <w:lang w:val="es-ES" w:eastAsia="es-ES"/>
        </w:rPr>
        <w:t>”</w:t>
      </w:r>
      <w:r w:rsidR="006C1878" w:rsidRPr="0048739B">
        <w:rPr>
          <w:rFonts w:eastAsia="Calibri"/>
          <w:i/>
          <w:iCs/>
          <w:sz w:val="28"/>
          <w:szCs w:val="28"/>
          <w:vertAlign w:val="superscript"/>
          <w:lang w:val="es-ES" w:eastAsia="es-ES"/>
        </w:rPr>
        <w:footnoteReference w:id="5"/>
      </w:r>
      <w:r w:rsidR="006C1878" w:rsidRPr="0048739B">
        <w:rPr>
          <w:rFonts w:eastAsia="Calibri"/>
          <w:sz w:val="28"/>
          <w:szCs w:val="28"/>
          <w:lang w:val="es-ES" w:eastAsia="es-ES"/>
        </w:rPr>
        <w:t xml:space="preserve">. Todos ellos, según el criterio de los demandantes, </w:t>
      </w:r>
      <w:r w:rsidR="006C1878" w:rsidRPr="0048739B">
        <w:rPr>
          <w:rFonts w:eastAsia="Calibri"/>
          <w:i/>
          <w:iCs/>
          <w:sz w:val="28"/>
          <w:szCs w:val="28"/>
          <w:lang w:val="es-ES" w:eastAsia="es-ES"/>
        </w:rPr>
        <w:t>“no están ni pueden estar sometidos a situaciones jurídicas diferentes, porque en ambos [casos] se despliegan las mismas circunstancias de hecho y derecho, con la mera diferencia de la pluralidad de sujetos que deben existir para dar lugar a la calidad de coautores”</w:t>
      </w:r>
      <w:r w:rsidR="006C1878" w:rsidRPr="0048739B">
        <w:rPr>
          <w:rFonts w:eastAsia="Calibri"/>
          <w:i/>
          <w:iCs/>
          <w:sz w:val="28"/>
          <w:szCs w:val="28"/>
          <w:vertAlign w:val="superscript"/>
          <w:lang w:val="es-ES" w:eastAsia="es-ES"/>
        </w:rPr>
        <w:footnoteReference w:id="6"/>
      </w:r>
      <w:r w:rsidR="006C1878" w:rsidRPr="0048739B">
        <w:rPr>
          <w:rFonts w:eastAsia="Calibri"/>
          <w:sz w:val="28"/>
          <w:szCs w:val="28"/>
          <w:lang w:val="es-ES" w:eastAsia="es-ES"/>
        </w:rPr>
        <w:t>. Inclusive</w:t>
      </w:r>
      <w:r w:rsidR="00241296" w:rsidRPr="0048739B">
        <w:rPr>
          <w:rFonts w:eastAsia="Calibri"/>
          <w:sz w:val="28"/>
          <w:szCs w:val="28"/>
          <w:lang w:val="es-ES" w:eastAsia="es-ES"/>
        </w:rPr>
        <w:t>, la previsión legal</w:t>
      </w:r>
      <w:r w:rsidR="006C1878" w:rsidRPr="0048739B">
        <w:rPr>
          <w:rFonts w:eastAsia="Calibri"/>
          <w:sz w:val="28"/>
          <w:szCs w:val="28"/>
          <w:lang w:val="es-ES" w:eastAsia="es-ES"/>
        </w:rPr>
        <w:t xml:space="preserve"> dispuso la aplicación de la misma sanción penal y todos ellos se encuentran en circunstancias fácticas similares en relación con la acción u omisión típica; la diferencia deviene, por ejemplo, de la multiplicidad de sujetos activos </w:t>
      </w:r>
      <w:r w:rsidR="005E7107" w:rsidRPr="0048739B">
        <w:rPr>
          <w:rFonts w:eastAsia="Calibri"/>
          <w:sz w:val="28"/>
          <w:szCs w:val="28"/>
          <w:lang w:val="es-ES" w:eastAsia="es-ES"/>
        </w:rPr>
        <w:t xml:space="preserve">en </w:t>
      </w:r>
      <w:r w:rsidR="006C1878" w:rsidRPr="0048739B">
        <w:rPr>
          <w:rFonts w:eastAsia="Calibri"/>
          <w:sz w:val="28"/>
          <w:szCs w:val="28"/>
          <w:lang w:val="es-ES" w:eastAsia="es-ES"/>
        </w:rPr>
        <w:t>la correspondiente conducta punible para que exista un coautor y no un autor.</w:t>
      </w:r>
    </w:p>
    <w:p w14:paraId="290B3BC3" w14:textId="77777777" w:rsidR="006C1878" w:rsidRPr="0048739B" w:rsidRDefault="006C1878" w:rsidP="0048739B">
      <w:pPr>
        <w:spacing w:after="0" w:line="240" w:lineRule="auto"/>
        <w:ind w:right="48"/>
        <w:jc w:val="both"/>
        <w:rPr>
          <w:rFonts w:eastAsia="Calibri"/>
          <w:sz w:val="28"/>
          <w:szCs w:val="28"/>
          <w:lang w:val="es-ES" w:eastAsia="es-ES"/>
        </w:rPr>
      </w:pPr>
    </w:p>
    <w:p w14:paraId="2F0077B7" w14:textId="402A4202" w:rsidR="006C1878" w:rsidRPr="0048739B" w:rsidRDefault="006C1878"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Para los demandantes, en esas condiciones</w:t>
      </w:r>
      <w:r w:rsidR="00CF6F9C" w:rsidRPr="0048739B">
        <w:rPr>
          <w:rFonts w:eastAsia="Calibri"/>
          <w:sz w:val="28"/>
          <w:szCs w:val="28"/>
          <w:lang w:val="es-ES" w:eastAsia="es-ES"/>
        </w:rPr>
        <w:t>,</w:t>
      </w:r>
      <w:r w:rsidRPr="0048739B">
        <w:rPr>
          <w:rFonts w:eastAsia="Calibri"/>
          <w:sz w:val="28"/>
          <w:szCs w:val="28"/>
          <w:lang w:val="es-ES" w:eastAsia="es-ES"/>
        </w:rPr>
        <w:t xml:space="preserve"> no es razonable que la Fiscalía esté limitada para utilizar las comunicaciones entre el indiciado, imputado </w:t>
      </w:r>
      <w:r w:rsidR="00832012" w:rsidRPr="0048739B">
        <w:rPr>
          <w:rFonts w:eastAsia="Calibri"/>
          <w:sz w:val="28"/>
          <w:szCs w:val="28"/>
          <w:lang w:val="es-ES" w:eastAsia="es-ES"/>
        </w:rPr>
        <w:t xml:space="preserve">o el </w:t>
      </w:r>
      <w:r w:rsidRPr="0048739B">
        <w:rPr>
          <w:rFonts w:eastAsia="Calibri"/>
          <w:sz w:val="28"/>
          <w:szCs w:val="28"/>
          <w:lang w:val="es-ES" w:eastAsia="es-ES"/>
        </w:rPr>
        <w:t xml:space="preserve">acusado, con su abogado o con las personas que no están obligadas a testificar en su contra, únicamente en el caso de los autores y no en el de </w:t>
      </w:r>
      <w:r w:rsidR="00492FA5" w:rsidRPr="0048739B">
        <w:rPr>
          <w:rFonts w:eastAsia="Calibri"/>
          <w:sz w:val="28"/>
          <w:szCs w:val="28"/>
          <w:lang w:val="es-ES" w:eastAsia="es-ES"/>
        </w:rPr>
        <w:t xml:space="preserve">las demás modalidades de </w:t>
      </w:r>
      <w:r w:rsidRPr="0048739B">
        <w:rPr>
          <w:rFonts w:eastAsia="Calibri"/>
          <w:sz w:val="28"/>
          <w:szCs w:val="28"/>
          <w:lang w:val="es-ES" w:eastAsia="es-ES"/>
        </w:rPr>
        <w:t>partícipes</w:t>
      </w:r>
      <w:r w:rsidR="00241296" w:rsidRPr="0048739B">
        <w:rPr>
          <w:rFonts w:eastAsia="Calibri"/>
          <w:sz w:val="28"/>
          <w:szCs w:val="28"/>
          <w:lang w:val="es-ES" w:eastAsia="es-ES"/>
        </w:rPr>
        <w:t>. Ello debido a que</w:t>
      </w:r>
      <w:r w:rsidRPr="0048739B">
        <w:rPr>
          <w:rFonts w:eastAsia="Calibri"/>
          <w:sz w:val="28"/>
          <w:szCs w:val="28"/>
          <w:lang w:val="es-ES" w:eastAsia="es-ES"/>
        </w:rPr>
        <w:t xml:space="preserve"> tales comunicaciones son relevantes para el ejercicio de las garantías constitucionales en el proceso penal </w:t>
      </w:r>
      <w:r w:rsidR="009A5C06" w:rsidRPr="0048739B">
        <w:rPr>
          <w:rFonts w:eastAsia="Calibri"/>
          <w:sz w:val="28"/>
          <w:szCs w:val="28"/>
          <w:lang w:val="es-ES" w:eastAsia="es-ES"/>
        </w:rPr>
        <w:t xml:space="preserve">por parte </w:t>
      </w:r>
      <w:r w:rsidRPr="0048739B">
        <w:rPr>
          <w:rFonts w:eastAsia="Calibri"/>
          <w:sz w:val="28"/>
          <w:szCs w:val="28"/>
          <w:lang w:val="es-ES" w:eastAsia="es-ES"/>
        </w:rPr>
        <w:t xml:space="preserve">de todos ellos. </w:t>
      </w:r>
    </w:p>
    <w:p w14:paraId="3FFD7315" w14:textId="77777777" w:rsidR="006C1878" w:rsidRPr="0048739B" w:rsidRDefault="006C1878"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 xml:space="preserve"> </w:t>
      </w:r>
    </w:p>
    <w:p w14:paraId="0EAC2463" w14:textId="2AA3C666" w:rsidR="00241296" w:rsidRPr="0048739B" w:rsidRDefault="00241296"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 xml:space="preserve">2. </w:t>
      </w:r>
      <w:r w:rsidR="00165952" w:rsidRPr="0048739B">
        <w:rPr>
          <w:rFonts w:eastAsia="Calibri"/>
          <w:sz w:val="28"/>
          <w:szCs w:val="28"/>
          <w:lang w:val="es-ES" w:eastAsia="es-ES"/>
        </w:rPr>
        <w:t>A su turno, e</w:t>
      </w:r>
      <w:r w:rsidRPr="0048739B">
        <w:rPr>
          <w:rFonts w:eastAsia="Calibri"/>
          <w:sz w:val="28"/>
          <w:szCs w:val="28"/>
          <w:lang w:val="es-ES" w:eastAsia="es-ES"/>
        </w:rPr>
        <w:t xml:space="preserve">l precepto </w:t>
      </w:r>
      <w:r w:rsidRPr="0048739B">
        <w:rPr>
          <w:rFonts w:eastAsia="Calibri"/>
          <w:b/>
          <w:bCs/>
          <w:sz w:val="28"/>
          <w:szCs w:val="28"/>
          <w:lang w:val="es-ES" w:eastAsia="es-ES"/>
        </w:rPr>
        <w:t>d</w:t>
      </w:r>
      <w:r w:rsidR="006C1878" w:rsidRPr="0048739B">
        <w:rPr>
          <w:rFonts w:eastAsia="Calibri"/>
          <w:b/>
          <w:bCs/>
          <w:sz w:val="28"/>
          <w:szCs w:val="28"/>
          <w:lang w:val="es-ES" w:eastAsia="es-ES"/>
        </w:rPr>
        <w:t>esconoce el derecho al debido proceso</w:t>
      </w:r>
      <w:r w:rsidR="006C1878" w:rsidRPr="0048739B">
        <w:rPr>
          <w:rFonts w:eastAsia="Calibri"/>
          <w:sz w:val="28"/>
          <w:szCs w:val="28"/>
          <w:lang w:val="es-ES" w:eastAsia="es-ES"/>
        </w:rPr>
        <w:t xml:space="preserve"> </w:t>
      </w:r>
      <w:r w:rsidRPr="0048739B">
        <w:rPr>
          <w:rFonts w:eastAsia="Calibri"/>
          <w:sz w:val="28"/>
          <w:szCs w:val="28"/>
          <w:lang w:val="es-ES" w:eastAsia="es-ES"/>
        </w:rPr>
        <w:t xml:space="preserve">de </w:t>
      </w:r>
      <w:proofErr w:type="spellStart"/>
      <w:r w:rsidRPr="0048739B">
        <w:rPr>
          <w:rFonts w:eastAsia="Calibri"/>
          <w:sz w:val="28"/>
          <w:szCs w:val="28"/>
          <w:lang w:val="es-ES" w:eastAsia="es-ES"/>
        </w:rPr>
        <w:t>que</w:t>
      </w:r>
      <w:proofErr w:type="spellEnd"/>
      <w:r w:rsidRPr="0048739B">
        <w:rPr>
          <w:rFonts w:eastAsia="Calibri"/>
          <w:sz w:val="28"/>
          <w:szCs w:val="28"/>
          <w:lang w:val="es-ES" w:eastAsia="es-ES"/>
        </w:rPr>
        <w:t xml:space="preserve"> trata el artículo 29 superior. Para ello, </w:t>
      </w:r>
      <w:r w:rsidR="0024508C" w:rsidRPr="0048739B">
        <w:rPr>
          <w:rFonts w:eastAsia="Calibri"/>
          <w:sz w:val="28"/>
          <w:szCs w:val="28"/>
          <w:lang w:val="es-ES" w:eastAsia="es-ES"/>
        </w:rPr>
        <w:t xml:space="preserve">los demandantes </w:t>
      </w:r>
      <w:r w:rsidRPr="0048739B">
        <w:rPr>
          <w:rFonts w:eastAsia="Calibri"/>
          <w:sz w:val="28"/>
          <w:szCs w:val="28"/>
          <w:lang w:val="es-ES" w:eastAsia="es-ES"/>
        </w:rPr>
        <w:t xml:space="preserve">sostienen que el </w:t>
      </w:r>
      <w:r w:rsidR="006C1878" w:rsidRPr="0048739B">
        <w:rPr>
          <w:rFonts w:eastAsia="Calibri"/>
          <w:sz w:val="28"/>
          <w:szCs w:val="28"/>
          <w:lang w:val="es-ES" w:eastAsia="es-ES"/>
        </w:rPr>
        <w:t xml:space="preserve">registro sobre documentos y conversaciones del indiciado con su abogado y familiares más cercanos puede impedir el curso de una defensa técnica para los coautores o partícipes. </w:t>
      </w:r>
      <w:r w:rsidR="000969B4" w:rsidRPr="0048739B">
        <w:rPr>
          <w:rFonts w:eastAsia="Calibri"/>
          <w:sz w:val="28"/>
          <w:szCs w:val="28"/>
          <w:lang w:val="es-ES" w:eastAsia="es-ES"/>
        </w:rPr>
        <w:t xml:space="preserve">Estos últimos, </w:t>
      </w:r>
      <w:r w:rsidR="00AC1B17" w:rsidRPr="0048739B">
        <w:rPr>
          <w:rFonts w:eastAsia="Calibri"/>
          <w:sz w:val="28"/>
          <w:szCs w:val="28"/>
          <w:lang w:val="es-ES" w:eastAsia="es-ES"/>
        </w:rPr>
        <w:t xml:space="preserve">tal y </w:t>
      </w:r>
      <w:r w:rsidR="006C1878" w:rsidRPr="0048739B">
        <w:rPr>
          <w:rFonts w:eastAsia="Calibri"/>
          <w:sz w:val="28"/>
          <w:szCs w:val="28"/>
          <w:lang w:val="es-ES" w:eastAsia="es-ES"/>
        </w:rPr>
        <w:t>como los autores de una conducta punible, son procesados y deben tener las mismas garantías.</w:t>
      </w:r>
      <w:r w:rsidRPr="0048739B">
        <w:rPr>
          <w:rFonts w:eastAsia="Calibri"/>
          <w:sz w:val="28"/>
          <w:szCs w:val="28"/>
          <w:lang w:val="es-ES" w:eastAsia="es-ES"/>
        </w:rPr>
        <w:t xml:space="preserve"> </w:t>
      </w:r>
    </w:p>
    <w:p w14:paraId="02EBA152" w14:textId="77777777" w:rsidR="00241296" w:rsidRPr="0048739B" w:rsidRDefault="00241296" w:rsidP="0048739B">
      <w:pPr>
        <w:spacing w:after="0" w:line="240" w:lineRule="auto"/>
        <w:ind w:right="48"/>
        <w:jc w:val="both"/>
        <w:rPr>
          <w:rFonts w:eastAsia="Calibri"/>
          <w:sz w:val="28"/>
          <w:szCs w:val="28"/>
          <w:lang w:val="es-ES" w:eastAsia="es-ES"/>
        </w:rPr>
      </w:pPr>
    </w:p>
    <w:p w14:paraId="7934D108" w14:textId="3F858F5F" w:rsidR="006C1878" w:rsidRPr="0048739B" w:rsidRDefault="006A7DAC"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t>Según</w:t>
      </w:r>
      <w:r w:rsidR="000F68C6" w:rsidRPr="0048739B">
        <w:rPr>
          <w:rFonts w:eastAsia="Calibri"/>
          <w:sz w:val="28"/>
          <w:szCs w:val="28"/>
          <w:lang w:val="es-ES" w:eastAsia="es-ES"/>
        </w:rPr>
        <w:t xml:space="preserve"> criterio de</w:t>
      </w:r>
      <w:r w:rsidRPr="0048739B">
        <w:rPr>
          <w:rFonts w:eastAsia="Calibri"/>
          <w:sz w:val="28"/>
          <w:szCs w:val="28"/>
          <w:lang w:val="es-ES" w:eastAsia="es-ES"/>
        </w:rPr>
        <w:t xml:space="preserve"> l</w:t>
      </w:r>
      <w:r w:rsidR="00241296" w:rsidRPr="0048739B">
        <w:rPr>
          <w:rFonts w:eastAsia="Calibri"/>
          <w:sz w:val="28"/>
          <w:szCs w:val="28"/>
          <w:lang w:val="es-ES" w:eastAsia="es-ES"/>
        </w:rPr>
        <w:t xml:space="preserve">os demandantes, se desconoce el derecho de defensa cuando, sin existir una razón constitucionalmente atendible, se </w:t>
      </w:r>
      <w:r w:rsidR="003A55B1" w:rsidRPr="0048739B">
        <w:rPr>
          <w:rFonts w:eastAsia="Calibri"/>
          <w:sz w:val="28"/>
          <w:szCs w:val="28"/>
          <w:lang w:val="es-ES" w:eastAsia="es-ES"/>
        </w:rPr>
        <w:t xml:space="preserve">reduce su </w:t>
      </w:r>
      <w:r w:rsidR="00241296" w:rsidRPr="0048739B">
        <w:rPr>
          <w:rFonts w:eastAsia="Calibri"/>
          <w:sz w:val="28"/>
          <w:szCs w:val="28"/>
          <w:lang w:val="es-ES" w:eastAsia="es-ES"/>
        </w:rPr>
        <w:t xml:space="preserve">alcance respecto de </w:t>
      </w:r>
      <w:r w:rsidR="000F68C6" w:rsidRPr="0048739B">
        <w:rPr>
          <w:rFonts w:eastAsia="Calibri"/>
          <w:sz w:val="28"/>
          <w:szCs w:val="28"/>
          <w:lang w:val="es-ES" w:eastAsia="es-ES"/>
        </w:rPr>
        <w:t xml:space="preserve">una </w:t>
      </w:r>
      <w:r w:rsidR="00241296" w:rsidRPr="0048739B">
        <w:rPr>
          <w:rFonts w:eastAsia="Calibri"/>
          <w:sz w:val="28"/>
          <w:szCs w:val="28"/>
          <w:lang w:val="es-ES" w:eastAsia="es-ES"/>
        </w:rPr>
        <w:t xml:space="preserve">determinada categoría de procesados, como lo hace la norma acusada. Esto se demuestra en el hecho </w:t>
      </w:r>
      <w:r w:rsidR="00B55FDF" w:rsidRPr="0048739B">
        <w:rPr>
          <w:rFonts w:eastAsia="Calibri"/>
          <w:sz w:val="28"/>
          <w:szCs w:val="28"/>
          <w:lang w:val="es-ES" w:eastAsia="es-ES"/>
        </w:rPr>
        <w:t xml:space="preserve">de </w:t>
      </w:r>
      <w:r w:rsidR="00241296" w:rsidRPr="0048739B">
        <w:rPr>
          <w:rFonts w:eastAsia="Calibri"/>
          <w:sz w:val="28"/>
          <w:szCs w:val="28"/>
          <w:lang w:val="es-ES" w:eastAsia="es-ES"/>
        </w:rPr>
        <w:t>que determinados medios de prueba resultarían restringidos en el caso de</w:t>
      </w:r>
      <w:r w:rsidR="00066779" w:rsidRPr="0048739B">
        <w:rPr>
          <w:rFonts w:eastAsia="Calibri"/>
          <w:sz w:val="28"/>
          <w:szCs w:val="28"/>
          <w:lang w:val="es-ES" w:eastAsia="es-ES"/>
        </w:rPr>
        <w:t xml:space="preserve"> las modalidades de participación a las que le</w:t>
      </w:r>
      <w:r w:rsidR="004B295E" w:rsidRPr="0048739B">
        <w:rPr>
          <w:rFonts w:eastAsia="Calibri"/>
          <w:sz w:val="28"/>
          <w:szCs w:val="28"/>
          <w:lang w:val="es-ES" w:eastAsia="es-ES"/>
        </w:rPr>
        <w:t>s</w:t>
      </w:r>
      <w:r w:rsidR="00066779" w:rsidRPr="0048739B">
        <w:rPr>
          <w:rFonts w:eastAsia="Calibri"/>
          <w:sz w:val="28"/>
          <w:szCs w:val="28"/>
          <w:lang w:val="es-ES" w:eastAsia="es-ES"/>
        </w:rPr>
        <w:t xml:space="preserve"> asiste la </w:t>
      </w:r>
      <w:r w:rsidR="00580913" w:rsidRPr="0048739B">
        <w:rPr>
          <w:rFonts w:eastAsia="Calibri"/>
          <w:sz w:val="28"/>
          <w:szCs w:val="28"/>
          <w:lang w:val="es-ES" w:eastAsia="es-ES"/>
        </w:rPr>
        <w:t>limitación para el</w:t>
      </w:r>
      <w:r w:rsidR="00066779" w:rsidRPr="0048739B">
        <w:rPr>
          <w:rFonts w:eastAsia="Calibri"/>
          <w:sz w:val="28"/>
          <w:szCs w:val="28"/>
          <w:lang w:val="es-ES" w:eastAsia="es-ES"/>
        </w:rPr>
        <w:t xml:space="preserve"> registro.</w:t>
      </w:r>
      <w:r w:rsidR="008168D4" w:rsidRPr="0048739B">
        <w:rPr>
          <w:rFonts w:eastAsia="Calibri"/>
          <w:sz w:val="28"/>
          <w:szCs w:val="28"/>
          <w:lang w:val="es-ES" w:eastAsia="es-ES"/>
        </w:rPr>
        <w:t xml:space="preserve"> </w:t>
      </w:r>
    </w:p>
    <w:p w14:paraId="7535E87A" w14:textId="695A3790" w:rsidR="006C1878" w:rsidRPr="0048739B" w:rsidRDefault="006C1878" w:rsidP="0048739B">
      <w:pPr>
        <w:spacing w:after="0" w:line="240" w:lineRule="auto"/>
        <w:ind w:right="48"/>
        <w:jc w:val="both"/>
        <w:rPr>
          <w:rFonts w:eastAsia="Calibri"/>
          <w:b/>
          <w:bCs/>
          <w:sz w:val="28"/>
          <w:szCs w:val="28"/>
          <w:lang w:val="es-ES" w:eastAsia="es-ES"/>
        </w:rPr>
      </w:pPr>
    </w:p>
    <w:p w14:paraId="30248775" w14:textId="7FC597B4" w:rsidR="006C1878" w:rsidRPr="0048739B" w:rsidRDefault="00241296" w:rsidP="0048739B">
      <w:pPr>
        <w:spacing w:after="0" w:line="240" w:lineRule="auto"/>
        <w:ind w:right="48"/>
        <w:jc w:val="both"/>
        <w:rPr>
          <w:rFonts w:eastAsia="Calibri"/>
          <w:sz w:val="28"/>
          <w:szCs w:val="28"/>
          <w:lang w:val="es-ES" w:eastAsia="es-ES"/>
        </w:rPr>
      </w:pPr>
      <w:r w:rsidRPr="0048739B">
        <w:rPr>
          <w:rFonts w:eastAsia="Calibri"/>
          <w:sz w:val="28"/>
          <w:szCs w:val="28"/>
          <w:lang w:val="es-ES" w:eastAsia="es-ES"/>
        </w:rPr>
        <w:lastRenderedPageBreak/>
        <w:t xml:space="preserve">3. El aparte normativo demandado, </w:t>
      </w:r>
      <w:r w:rsidR="00580913" w:rsidRPr="0048739B">
        <w:rPr>
          <w:rFonts w:eastAsia="Calibri"/>
          <w:sz w:val="28"/>
          <w:szCs w:val="28"/>
          <w:lang w:val="es-ES" w:eastAsia="es-ES"/>
        </w:rPr>
        <w:t>además</w:t>
      </w:r>
      <w:r w:rsidRPr="0048739B">
        <w:rPr>
          <w:rFonts w:eastAsia="Calibri"/>
          <w:sz w:val="28"/>
          <w:szCs w:val="28"/>
          <w:lang w:val="es-ES" w:eastAsia="es-ES"/>
        </w:rPr>
        <w:t xml:space="preserve">, </w:t>
      </w:r>
      <w:r w:rsidRPr="0048739B">
        <w:rPr>
          <w:rFonts w:eastAsia="Calibri"/>
          <w:b/>
          <w:bCs/>
          <w:sz w:val="28"/>
          <w:szCs w:val="28"/>
          <w:lang w:val="es-ES" w:eastAsia="es-ES"/>
        </w:rPr>
        <w:t>d</w:t>
      </w:r>
      <w:r w:rsidR="006C1878" w:rsidRPr="0048739B">
        <w:rPr>
          <w:rFonts w:eastAsia="Calibri"/>
          <w:b/>
          <w:bCs/>
          <w:sz w:val="28"/>
          <w:szCs w:val="28"/>
          <w:lang w:val="es-ES" w:eastAsia="es-ES"/>
        </w:rPr>
        <w:t>esconoce la protección constitucional sobre el secreto profesional</w:t>
      </w:r>
      <w:r w:rsidR="00C60EF6" w:rsidRPr="0048739B">
        <w:rPr>
          <w:rFonts w:eastAsia="Calibri"/>
          <w:sz w:val="28"/>
          <w:szCs w:val="28"/>
          <w:lang w:val="es-ES" w:eastAsia="es-ES"/>
        </w:rPr>
        <w:t xml:space="preserve">, prevista en el artículo 74 de la Constitución, </w:t>
      </w:r>
      <w:r w:rsidR="006C1878" w:rsidRPr="0048739B">
        <w:rPr>
          <w:rFonts w:eastAsia="Calibri"/>
          <w:bCs/>
          <w:sz w:val="28"/>
          <w:szCs w:val="28"/>
          <w:lang w:val="es-ES" w:eastAsia="es-ES"/>
        </w:rPr>
        <w:t>porque aun cuando en el texto superior se destaca que el mismo es inviolable, la norma demandada</w:t>
      </w:r>
      <w:r w:rsidR="00580913" w:rsidRPr="0048739B">
        <w:rPr>
          <w:rFonts w:eastAsia="Calibri"/>
          <w:bCs/>
          <w:sz w:val="28"/>
          <w:szCs w:val="28"/>
          <w:lang w:val="es-ES" w:eastAsia="es-ES"/>
        </w:rPr>
        <w:t xml:space="preserve"> indica</w:t>
      </w:r>
      <w:r w:rsidR="006C1878" w:rsidRPr="0048739B">
        <w:rPr>
          <w:rFonts w:eastAsia="Calibri"/>
          <w:bCs/>
          <w:sz w:val="28"/>
          <w:szCs w:val="28"/>
          <w:lang w:val="es-ES" w:eastAsia="es-ES"/>
        </w:rPr>
        <w:t xml:space="preserve"> </w:t>
      </w:r>
      <w:r w:rsidR="006C1878" w:rsidRPr="0048739B">
        <w:rPr>
          <w:rFonts w:eastAsia="Calibri"/>
          <w:bCs/>
          <w:i/>
          <w:sz w:val="28"/>
          <w:szCs w:val="28"/>
          <w:lang w:val="es-ES" w:eastAsia="es-ES"/>
        </w:rPr>
        <w:t>“que no será</w:t>
      </w:r>
      <w:r w:rsidR="004B295E" w:rsidRPr="0048739B">
        <w:rPr>
          <w:rFonts w:eastAsia="Calibri"/>
          <w:bCs/>
          <w:i/>
          <w:sz w:val="28"/>
          <w:szCs w:val="28"/>
          <w:lang w:val="es-ES" w:eastAsia="es-ES"/>
        </w:rPr>
        <w:t>[n]</w:t>
      </w:r>
      <w:r w:rsidR="006C1878" w:rsidRPr="0048739B">
        <w:rPr>
          <w:rFonts w:eastAsia="Calibri"/>
          <w:bCs/>
          <w:i/>
          <w:sz w:val="28"/>
          <w:szCs w:val="28"/>
          <w:lang w:val="es-ES" w:eastAsia="es-ES"/>
        </w:rPr>
        <w:t xml:space="preserve"> guarda de secreto profesional las comunicaciones que tengan los coautores y partícipes con su abogado o profesional”</w:t>
      </w:r>
      <w:r w:rsidR="006C1878" w:rsidRPr="0048739B">
        <w:rPr>
          <w:rFonts w:eastAsia="Calibri"/>
          <w:bCs/>
          <w:sz w:val="28"/>
          <w:szCs w:val="28"/>
          <w:vertAlign w:val="superscript"/>
          <w:lang w:val="es-ES" w:eastAsia="es-ES"/>
        </w:rPr>
        <w:footnoteReference w:id="7"/>
      </w:r>
      <w:r w:rsidR="006C1878" w:rsidRPr="0048739B">
        <w:rPr>
          <w:rFonts w:eastAsia="Calibri"/>
          <w:bCs/>
          <w:sz w:val="28"/>
          <w:szCs w:val="28"/>
          <w:lang w:val="es-ES" w:eastAsia="es-ES"/>
        </w:rPr>
        <w:t>, en detrimento del derecho a la defensa de los procesados.</w:t>
      </w:r>
    </w:p>
    <w:p w14:paraId="046D6627" w14:textId="77777777" w:rsidR="006C1878" w:rsidRPr="0048739B" w:rsidRDefault="006C1878" w:rsidP="0048739B">
      <w:pPr>
        <w:spacing w:after="0" w:line="240" w:lineRule="auto"/>
        <w:ind w:right="48"/>
        <w:jc w:val="both"/>
        <w:rPr>
          <w:rFonts w:eastAsia="Calibri"/>
          <w:bCs/>
          <w:sz w:val="28"/>
          <w:szCs w:val="28"/>
          <w:lang w:val="es-ES" w:eastAsia="es-ES"/>
        </w:rPr>
      </w:pPr>
    </w:p>
    <w:p w14:paraId="73F4A70E" w14:textId="670EB53B" w:rsidR="006C1878" w:rsidRPr="0048739B" w:rsidRDefault="00190106" w:rsidP="0048739B">
      <w:pPr>
        <w:spacing w:after="0" w:line="240" w:lineRule="auto"/>
        <w:ind w:right="48"/>
        <w:jc w:val="both"/>
        <w:rPr>
          <w:rFonts w:eastAsia="Calibri"/>
          <w:bCs/>
          <w:sz w:val="28"/>
          <w:szCs w:val="28"/>
          <w:lang w:val="es-ES" w:eastAsia="es-ES"/>
        </w:rPr>
      </w:pPr>
      <w:r w:rsidRPr="0048739B">
        <w:rPr>
          <w:rFonts w:eastAsia="Calibri"/>
          <w:bCs/>
          <w:sz w:val="28"/>
          <w:szCs w:val="28"/>
          <w:lang w:val="es-ES" w:eastAsia="es-ES"/>
        </w:rPr>
        <w:t xml:space="preserve">Los demandantes agregan </w:t>
      </w:r>
      <w:r w:rsidR="00BA7FD2" w:rsidRPr="0048739B">
        <w:rPr>
          <w:rFonts w:eastAsia="Calibri"/>
          <w:bCs/>
          <w:sz w:val="28"/>
          <w:szCs w:val="28"/>
          <w:lang w:val="es-ES" w:eastAsia="es-ES"/>
        </w:rPr>
        <w:t>que, s</w:t>
      </w:r>
      <w:r w:rsidR="006C1878" w:rsidRPr="0048739B">
        <w:rPr>
          <w:rFonts w:eastAsia="Calibri"/>
          <w:bCs/>
          <w:sz w:val="28"/>
          <w:szCs w:val="28"/>
          <w:lang w:val="es-ES" w:eastAsia="es-ES"/>
        </w:rPr>
        <w:t xml:space="preserve">i bien la Corte Constitucional, en la Sentencia C-301 de 2012, precisó que el resguardo al secreto profesional no tiene un carácter absoluto y que puede ceder para </w:t>
      </w:r>
      <w:r w:rsidR="006C1878" w:rsidRPr="0048739B">
        <w:rPr>
          <w:rFonts w:eastAsia="Calibri"/>
          <w:bCs/>
          <w:i/>
          <w:sz w:val="28"/>
          <w:szCs w:val="28"/>
          <w:lang w:val="es-ES" w:eastAsia="es-ES"/>
        </w:rPr>
        <w:t>“evitar un delito”</w:t>
      </w:r>
      <w:r w:rsidR="006C1878" w:rsidRPr="0048739B">
        <w:rPr>
          <w:rFonts w:eastAsia="Calibri"/>
          <w:bCs/>
          <w:i/>
          <w:sz w:val="28"/>
          <w:szCs w:val="28"/>
          <w:vertAlign w:val="superscript"/>
          <w:lang w:val="es-ES" w:eastAsia="es-ES"/>
        </w:rPr>
        <w:footnoteReference w:id="8"/>
      </w:r>
      <w:r w:rsidR="006C1878" w:rsidRPr="0048739B">
        <w:rPr>
          <w:rFonts w:eastAsia="Calibri"/>
          <w:bCs/>
          <w:sz w:val="28"/>
          <w:szCs w:val="28"/>
          <w:lang w:val="es-ES" w:eastAsia="es-ES"/>
        </w:rPr>
        <w:t>,</w:t>
      </w:r>
      <w:r w:rsidR="008168D4" w:rsidRPr="0048739B">
        <w:rPr>
          <w:rFonts w:eastAsia="Calibri"/>
          <w:bCs/>
          <w:sz w:val="28"/>
          <w:szCs w:val="28"/>
          <w:lang w:val="es-ES" w:eastAsia="es-ES"/>
        </w:rPr>
        <w:t xml:space="preserve"> </w:t>
      </w:r>
      <w:r w:rsidR="007E2200" w:rsidRPr="0048739B">
        <w:rPr>
          <w:rFonts w:eastAsia="Calibri"/>
          <w:bCs/>
          <w:sz w:val="28"/>
          <w:szCs w:val="28"/>
          <w:lang w:val="es-ES" w:eastAsia="es-ES"/>
        </w:rPr>
        <w:t xml:space="preserve">la norma </w:t>
      </w:r>
      <w:r w:rsidR="006C1878" w:rsidRPr="0048739B">
        <w:rPr>
          <w:rFonts w:eastAsia="Calibri"/>
          <w:bCs/>
          <w:sz w:val="28"/>
          <w:szCs w:val="28"/>
          <w:lang w:val="es-ES" w:eastAsia="es-ES"/>
        </w:rPr>
        <w:t>no tiene ese objetivo</w:t>
      </w:r>
      <w:r w:rsidR="00E767C2" w:rsidRPr="0048739B">
        <w:rPr>
          <w:rFonts w:eastAsia="Calibri"/>
          <w:bCs/>
          <w:sz w:val="28"/>
          <w:szCs w:val="28"/>
          <w:lang w:val="es-ES" w:eastAsia="es-ES"/>
        </w:rPr>
        <w:t xml:space="preserve"> y el proceso penal </w:t>
      </w:r>
      <w:r w:rsidR="00BA7FD2" w:rsidRPr="0048739B">
        <w:rPr>
          <w:rFonts w:eastAsia="Calibri"/>
          <w:bCs/>
          <w:sz w:val="28"/>
          <w:szCs w:val="28"/>
          <w:lang w:val="es-ES" w:eastAsia="es-ES"/>
        </w:rPr>
        <w:t xml:space="preserve">es un escenario en donde deben preservarse las garantías procesales de los diferentes sujetos. Entre ellas, debe otorgarse eficacia al mandato según el cual </w:t>
      </w:r>
      <w:r w:rsidR="006C1878" w:rsidRPr="0048739B">
        <w:rPr>
          <w:rFonts w:eastAsia="Calibri"/>
          <w:bCs/>
          <w:sz w:val="28"/>
          <w:szCs w:val="28"/>
          <w:lang w:val="es-ES" w:eastAsia="es-ES"/>
        </w:rPr>
        <w:t xml:space="preserve">las comunicaciones entre cualquier procesado y su abogado defensor no pueden ser objeto de registro. </w:t>
      </w:r>
    </w:p>
    <w:p w14:paraId="0BB9A978" w14:textId="77777777" w:rsidR="006C1878" w:rsidRPr="0048739B" w:rsidRDefault="006C1878" w:rsidP="0048739B">
      <w:pPr>
        <w:spacing w:after="0" w:line="240" w:lineRule="auto"/>
        <w:ind w:right="48"/>
        <w:jc w:val="both"/>
        <w:rPr>
          <w:rFonts w:eastAsia="Calibri"/>
          <w:bCs/>
          <w:sz w:val="28"/>
          <w:szCs w:val="28"/>
          <w:lang w:val="es-ES" w:eastAsia="es-ES"/>
        </w:rPr>
      </w:pPr>
    </w:p>
    <w:p w14:paraId="6CA70AED" w14:textId="0ADB8492" w:rsidR="006C1878" w:rsidRPr="0048739B" w:rsidRDefault="006C1878" w:rsidP="0048739B">
      <w:pPr>
        <w:spacing w:after="0" w:line="240" w:lineRule="auto"/>
        <w:ind w:right="48"/>
        <w:jc w:val="both"/>
        <w:rPr>
          <w:rFonts w:eastAsia="Calibri"/>
          <w:sz w:val="28"/>
          <w:szCs w:val="28"/>
          <w:lang w:val="es-ES" w:eastAsia="es-ES"/>
        </w:rPr>
      </w:pPr>
      <w:r w:rsidRPr="0048739B">
        <w:rPr>
          <w:rFonts w:eastAsia="Calibri"/>
          <w:bCs/>
          <w:sz w:val="28"/>
          <w:szCs w:val="28"/>
          <w:lang w:val="es-ES" w:eastAsia="es-ES"/>
        </w:rPr>
        <w:t xml:space="preserve">Por último, </w:t>
      </w:r>
      <w:r w:rsidR="00E767C2" w:rsidRPr="0048739B">
        <w:rPr>
          <w:rFonts w:eastAsia="Calibri"/>
          <w:bCs/>
          <w:sz w:val="28"/>
          <w:szCs w:val="28"/>
          <w:lang w:val="es-ES" w:eastAsia="es-ES"/>
        </w:rPr>
        <w:t xml:space="preserve">sobre esta misma materia, </w:t>
      </w:r>
      <w:r w:rsidRPr="0048739B">
        <w:rPr>
          <w:rFonts w:eastAsia="Calibri"/>
          <w:bCs/>
          <w:sz w:val="28"/>
          <w:szCs w:val="28"/>
          <w:lang w:val="es-ES" w:eastAsia="es-ES"/>
        </w:rPr>
        <w:t xml:space="preserve">los demandantes destacaron que es preciso tener presente que existen otras reglas que obligan al profesional del derecho a revelar la información secreta para evitar la comisión de un delito, lo que </w:t>
      </w:r>
      <w:r w:rsidRPr="0048739B">
        <w:rPr>
          <w:rFonts w:eastAsia="Calibri"/>
          <w:bCs/>
          <w:i/>
          <w:sz w:val="28"/>
          <w:szCs w:val="28"/>
          <w:lang w:val="es-ES" w:eastAsia="es-ES"/>
        </w:rPr>
        <w:t>“hace innecesario un posible condicionamiento a la norma porque se tienen otras normas y precedente jurisprudencial de la Corte Constitucional que lo regulan”</w:t>
      </w:r>
      <w:r w:rsidRPr="0048739B">
        <w:rPr>
          <w:rFonts w:eastAsia="Calibri"/>
          <w:bCs/>
          <w:i/>
          <w:sz w:val="28"/>
          <w:szCs w:val="28"/>
          <w:vertAlign w:val="superscript"/>
          <w:lang w:val="es-ES" w:eastAsia="es-ES"/>
        </w:rPr>
        <w:footnoteReference w:id="9"/>
      </w:r>
      <w:r w:rsidRPr="0048739B">
        <w:rPr>
          <w:rFonts w:eastAsia="Calibri"/>
          <w:bCs/>
          <w:sz w:val="28"/>
          <w:szCs w:val="28"/>
          <w:lang w:val="es-ES" w:eastAsia="es-ES"/>
        </w:rPr>
        <w:t>.</w:t>
      </w:r>
    </w:p>
    <w:p w14:paraId="7C7AE3F0" w14:textId="77777777" w:rsidR="00F179F0" w:rsidRPr="0048739B" w:rsidRDefault="00F179F0" w:rsidP="0048739B">
      <w:pPr>
        <w:spacing w:after="0" w:line="240" w:lineRule="auto"/>
        <w:ind w:right="48"/>
        <w:jc w:val="both"/>
        <w:rPr>
          <w:rFonts w:eastAsia="Calibri"/>
          <w:sz w:val="28"/>
          <w:szCs w:val="28"/>
          <w:lang w:val="es-ES" w:eastAsia="es-ES"/>
        </w:rPr>
      </w:pPr>
    </w:p>
    <w:p w14:paraId="7A06B03C" w14:textId="2A76DF0D" w:rsidR="000371D4" w:rsidRPr="0048739B" w:rsidRDefault="000371D4" w:rsidP="0048739B">
      <w:pPr>
        <w:spacing w:after="0" w:line="240" w:lineRule="auto"/>
        <w:ind w:right="48"/>
        <w:jc w:val="both"/>
        <w:rPr>
          <w:rFonts w:eastAsia="Calibri"/>
          <w:b/>
          <w:sz w:val="28"/>
          <w:szCs w:val="28"/>
          <w:lang w:val="es-ES" w:eastAsia="es-ES"/>
        </w:rPr>
      </w:pPr>
      <w:r w:rsidRPr="0048739B">
        <w:rPr>
          <w:rFonts w:eastAsia="Calibri"/>
          <w:b/>
          <w:sz w:val="28"/>
          <w:szCs w:val="28"/>
          <w:lang w:val="es-ES" w:eastAsia="es-ES"/>
        </w:rPr>
        <w:t>IV.</w:t>
      </w:r>
      <w:r w:rsidR="002F57B9" w:rsidRPr="0048739B">
        <w:rPr>
          <w:rFonts w:eastAsia="Calibri"/>
          <w:b/>
          <w:sz w:val="28"/>
          <w:szCs w:val="28"/>
          <w:lang w:val="es-ES" w:eastAsia="es-ES"/>
        </w:rPr>
        <w:t xml:space="preserve"> </w:t>
      </w:r>
      <w:r w:rsidRPr="0048739B">
        <w:rPr>
          <w:rFonts w:eastAsia="Calibri"/>
          <w:b/>
          <w:sz w:val="28"/>
          <w:szCs w:val="28"/>
          <w:lang w:val="es-ES" w:eastAsia="es-ES"/>
        </w:rPr>
        <w:t xml:space="preserve">INTERVENCIONES </w:t>
      </w:r>
    </w:p>
    <w:p w14:paraId="30ED88B9" w14:textId="31F114E6" w:rsidR="007C000F" w:rsidRPr="0048739B" w:rsidRDefault="007C000F" w:rsidP="0048739B">
      <w:pPr>
        <w:pStyle w:val="Prrafodelista"/>
        <w:spacing w:after="0" w:line="240" w:lineRule="auto"/>
        <w:ind w:right="48"/>
        <w:jc w:val="both"/>
        <w:rPr>
          <w:rFonts w:eastAsia="Calibri"/>
          <w:b/>
          <w:sz w:val="28"/>
          <w:szCs w:val="28"/>
          <w:lang w:val="es-ES" w:eastAsia="es-ES"/>
        </w:rPr>
      </w:pPr>
    </w:p>
    <w:p w14:paraId="299664FB" w14:textId="2E8EB10B" w:rsidR="00405EE2" w:rsidRPr="0048739B" w:rsidRDefault="00405EE2" w:rsidP="0048739B">
      <w:pPr>
        <w:spacing w:after="0" w:line="240" w:lineRule="auto"/>
        <w:ind w:left="72" w:right="48"/>
        <w:jc w:val="both"/>
        <w:textAlignment w:val="baseline"/>
        <w:rPr>
          <w:rFonts w:eastAsia="Garamond"/>
          <w:sz w:val="28"/>
          <w:szCs w:val="28"/>
          <w:lang w:val="es-ES"/>
        </w:rPr>
      </w:pPr>
      <w:r w:rsidRPr="0048739B">
        <w:rPr>
          <w:rFonts w:eastAsia="Garamond"/>
          <w:b/>
          <w:sz w:val="28"/>
          <w:szCs w:val="28"/>
          <w:lang w:val="es-ES"/>
        </w:rPr>
        <w:t xml:space="preserve">4.1. </w:t>
      </w:r>
      <w:r w:rsidR="00BA7FD2" w:rsidRPr="0048739B">
        <w:rPr>
          <w:rFonts w:eastAsia="Garamond"/>
          <w:b/>
          <w:sz w:val="28"/>
          <w:szCs w:val="28"/>
          <w:lang w:val="es-ES"/>
        </w:rPr>
        <w:t>Corte Suprema de Justicia</w:t>
      </w:r>
      <w:r w:rsidRPr="0048739B">
        <w:rPr>
          <w:rFonts w:eastAsia="Garamond"/>
          <w:position w:val="6"/>
          <w:sz w:val="28"/>
          <w:szCs w:val="28"/>
          <w:lang w:val="es-ES"/>
        </w:rPr>
        <w:footnoteReference w:id="10"/>
      </w:r>
      <w:r w:rsidRPr="0048739B">
        <w:rPr>
          <w:rFonts w:eastAsia="Garamond"/>
          <w:sz w:val="28"/>
          <w:szCs w:val="28"/>
          <w:lang w:val="es-ES"/>
        </w:rPr>
        <w:t xml:space="preserve"> </w:t>
      </w:r>
    </w:p>
    <w:p w14:paraId="09ACBFB6" w14:textId="77777777" w:rsidR="00405EE2" w:rsidRPr="0048739B" w:rsidRDefault="00405EE2" w:rsidP="0048739B">
      <w:pPr>
        <w:spacing w:after="0" w:line="240" w:lineRule="auto"/>
        <w:ind w:left="72" w:right="48"/>
        <w:jc w:val="both"/>
        <w:textAlignment w:val="baseline"/>
        <w:rPr>
          <w:rFonts w:eastAsia="Garamond"/>
          <w:b/>
          <w:sz w:val="28"/>
          <w:szCs w:val="28"/>
          <w:lang w:val="es-ES"/>
        </w:rPr>
      </w:pPr>
    </w:p>
    <w:p w14:paraId="0196FCB2" w14:textId="0559639D" w:rsidR="00BA7FD2" w:rsidRPr="0048739B" w:rsidRDefault="00BA7FD2" w:rsidP="0048739B">
      <w:pPr>
        <w:spacing w:after="0" w:line="240" w:lineRule="auto"/>
        <w:ind w:left="72" w:right="48"/>
        <w:jc w:val="both"/>
        <w:textAlignment w:val="baseline"/>
        <w:rPr>
          <w:rFonts w:eastAsia="Times New Roman"/>
          <w:iCs/>
          <w:sz w:val="28"/>
          <w:szCs w:val="28"/>
          <w:lang w:val="es-ES" w:eastAsia="es-ES"/>
        </w:rPr>
      </w:pPr>
      <w:r w:rsidRPr="0048739B">
        <w:rPr>
          <w:rFonts w:eastAsia="Times New Roman"/>
          <w:iCs/>
          <w:sz w:val="28"/>
          <w:szCs w:val="28"/>
          <w:lang w:val="es-ES" w:eastAsia="es-ES"/>
        </w:rPr>
        <w:t xml:space="preserve">La </w:t>
      </w:r>
      <w:r w:rsidR="00501B17" w:rsidRPr="0048739B">
        <w:rPr>
          <w:rFonts w:eastAsia="Times New Roman"/>
          <w:iCs/>
          <w:sz w:val="28"/>
          <w:szCs w:val="28"/>
          <w:lang w:val="es-ES" w:eastAsia="es-ES"/>
        </w:rPr>
        <w:t>M</w:t>
      </w:r>
      <w:r w:rsidRPr="0048739B">
        <w:rPr>
          <w:rFonts w:eastAsia="Times New Roman"/>
          <w:iCs/>
          <w:sz w:val="28"/>
          <w:szCs w:val="28"/>
          <w:lang w:val="es-ES" w:eastAsia="es-ES"/>
        </w:rPr>
        <w:t>agistrada Patricia Salazar Cuéllar, presidenta de la Sala de Casación Penal de la Corte Suprema de Justicia, present</w:t>
      </w:r>
      <w:r w:rsidR="000755EB" w:rsidRPr="0048739B">
        <w:rPr>
          <w:rFonts w:eastAsia="Times New Roman"/>
          <w:iCs/>
          <w:sz w:val="28"/>
          <w:szCs w:val="28"/>
          <w:lang w:val="es-ES" w:eastAsia="es-ES"/>
        </w:rPr>
        <w:t>ó</w:t>
      </w:r>
      <w:r w:rsidRPr="0048739B">
        <w:rPr>
          <w:rFonts w:eastAsia="Times New Roman"/>
          <w:iCs/>
          <w:sz w:val="28"/>
          <w:szCs w:val="28"/>
          <w:lang w:val="es-ES" w:eastAsia="es-ES"/>
        </w:rPr>
        <w:t xml:space="preserve"> escrito </w:t>
      </w:r>
      <w:r w:rsidR="008C3EF3" w:rsidRPr="0048739B">
        <w:rPr>
          <w:rFonts w:eastAsia="Times New Roman"/>
          <w:iCs/>
          <w:sz w:val="28"/>
          <w:szCs w:val="28"/>
          <w:lang w:val="es-ES" w:eastAsia="es-ES"/>
        </w:rPr>
        <w:t xml:space="preserve">en el </w:t>
      </w:r>
      <w:r w:rsidRPr="0048739B">
        <w:rPr>
          <w:rFonts w:eastAsia="Times New Roman"/>
          <w:iCs/>
          <w:sz w:val="28"/>
          <w:szCs w:val="28"/>
          <w:lang w:val="es-ES" w:eastAsia="es-ES"/>
        </w:rPr>
        <w:t xml:space="preserve">que </w:t>
      </w:r>
      <w:r w:rsidR="000F68C6" w:rsidRPr="0048739B">
        <w:rPr>
          <w:rFonts w:eastAsia="Times New Roman"/>
          <w:iCs/>
          <w:sz w:val="28"/>
          <w:szCs w:val="28"/>
          <w:lang w:val="es-ES" w:eastAsia="es-ES"/>
        </w:rPr>
        <w:t>solicitó la declaratoria de</w:t>
      </w:r>
      <w:r w:rsidRPr="0048739B">
        <w:rPr>
          <w:rFonts w:eastAsia="Times New Roman"/>
          <w:iCs/>
          <w:sz w:val="28"/>
          <w:szCs w:val="28"/>
          <w:lang w:val="es-ES" w:eastAsia="es-ES"/>
        </w:rPr>
        <w:t xml:space="preserve"> </w:t>
      </w:r>
      <w:r w:rsidR="002666DE" w:rsidRPr="0048739B">
        <w:rPr>
          <w:rFonts w:eastAsia="Times New Roman"/>
          <w:b/>
          <w:bCs/>
          <w:iCs/>
          <w:sz w:val="28"/>
          <w:szCs w:val="28"/>
          <w:lang w:val="es-ES" w:eastAsia="es-ES"/>
        </w:rPr>
        <w:t>EXEQUIBILIDAD</w:t>
      </w:r>
      <w:r w:rsidRPr="0048739B">
        <w:rPr>
          <w:rFonts w:eastAsia="Times New Roman"/>
          <w:b/>
          <w:bCs/>
          <w:iCs/>
          <w:sz w:val="28"/>
          <w:szCs w:val="28"/>
          <w:lang w:val="es-ES" w:eastAsia="es-ES"/>
        </w:rPr>
        <w:t xml:space="preserve"> </w:t>
      </w:r>
      <w:r w:rsidRPr="0048739B">
        <w:rPr>
          <w:rFonts w:eastAsia="Times New Roman"/>
          <w:iCs/>
          <w:sz w:val="28"/>
          <w:szCs w:val="28"/>
          <w:lang w:val="es-ES" w:eastAsia="es-ES"/>
        </w:rPr>
        <w:t>del aparte acusado</w:t>
      </w:r>
      <w:r w:rsidR="00571120" w:rsidRPr="0048739B">
        <w:rPr>
          <w:rFonts w:eastAsia="Times New Roman"/>
          <w:iCs/>
          <w:sz w:val="28"/>
          <w:szCs w:val="28"/>
          <w:lang w:val="es-ES" w:eastAsia="es-ES"/>
        </w:rPr>
        <w:t xml:space="preserve">, </w:t>
      </w:r>
      <w:r w:rsidR="00F55462" w:rsidRPr="0048739B">
        <w:rPr>
          <w:rFonts w:eastAsia="Times New Roman"/>
          <w:iCs/>
          <w:sz w:val="28"/>
          <w:szCs w:val="28"/>
          <w:lang w:val="es-ES" w:eastAsia="es-ES"/>
        </w:rPr>
        <w:t>porque en su concepto</w:t>
      </w:r>
      <w:r w:rsidR="00571120" w:rsidRPr="0048739B">
        <w:rPr>
          <w:rFonts w:eastAsia="Times New Roman"/>
          <w:iCs/>
          <w:sz w:val="28"/>
          <w:szCs w:val="28"/>
          <w:lang w:val="es-ES" w:eastAsia="es-ES"/>
        </w:rPr>
        <w:t xml:space="preserve"> la demanda </w:t>
      </w:r>
      <w:r w:rsidR="00571120" w:rsidRPr="0048739B">
        <w:rPr>
          <w:rFonts w:eastAsia="Times New Roman"/>
          <w:i/>
          <w:sz w:val="28"/>
          <w:szCs w:val="28"/>
          <w:lang w:val="es-ES" w:eastAsia="es-ES"/>
        </w:rPr>
        <w:t>“delimitó los problemas jurídicos a la luz de un entendimiento de la norma que no corresponde a su literalidad (y real sentido y alcance)”</w:t>
      </w:r>
      <w:r w:rsidR="00A12314" w:rsidRPr="0048739B">
        <w:rPr>
          <w:rStyle w:val="Refdenotaalpie"/>
          <w:rFonts w:eastAsia="Times New Roman"/>
          <w:iCs/>
          <w:sz w:val="28"/>
          <w:szCs w:val="28"/>
          <w:lang w:val="es-ES" w:eastAsia="es-ES"/>
        </w:rPr>
        <w:footnoteReference w:id="11"/>
      </w:r>
      <w:r w:rsidR="00571120" w:rsidRPr="0048739B">
        <w:rPr>
          <w:rFonts w:eastAsia="Times New Roman"/>
          <w:iCs/>
          <w:sz w:val="28"/>
          <w:szCs w:val="28"/>
          <w:lang w:val="es-ES" w:eastAsia="es-ES"/>
        </w:rPr>
        <w:t>.</w:t>
      </w:r>
      <w:r w:rsidR="008168D4" w:rsidRPr="0048739B">
        <w:rPr>
          <w:rFonts w:eastAsia="Times New Roman"/>
          <w:iCs/>
          <w:sz w:val="28"/>
          <w:szCs w:val="28"/>
          <w:lang w:val="es-ES" w:eastAsia="es-ES"/>
        </w:rPr>
        <w:t xml:space="preserve"> </w:t>
      </w:r>
    </w:p>
    <w:p w14:paraId="0D8843A0" w14:textId="77777777" w:rsidR="00BA7FD2" w:rsidRPr="0048739B" w:rsidRDefault="00BA7FD2" w:rsidP="0048739B">
      <w:pPr>
        <w:spacing w:after="0" w:line="240" w:lineRule="auto"/>
        <w:ind w:left="72" w:right="48"/>
        <w:jc w:val="both"/>
        <w:textAlignment w:val="baseline"/>
        <w:rPr>
          <w:rFonts w:eastAsia="Times New Roman"/>
          <w:iCs/>
          <w:sz w:val="28"/>
          <w:szCs w:val="28"/>
          <w:lang w:val="es-ES" w:eastAsia="es-ES"/>
        </w:rPr>
      </w:pPr>
    </w:p>
    <w:p w14:paraId="16D90B30" w14:textId="6134936B" w:rsidR="00DF271F" w:rsidRPr="0048739B" w:rsidRDefault="00A12314" w:rsidP="0048739B">
      <w:pPr>
        <w:spacing w:after="0" w:line="240" w:lineRule="auto"/>
        <w:ind w:left="72" w:right="48"/>
        <w:jc w:val="both"/>
        <w:textAlignment w:val="baseline"/>
        <w:rPr>
          <w:rFonts w:eastAsia="Times New Roman"/>
          <w:iCs/>
          <w:sz w:val="28"/>
          <w:szCs w:val="28"/>
          <w:lang w:val="es-ES" w:eastAsia="es-ES"/>
        </w:rPr>
      </w:pPr>
      <w:r w:rsidRPr="0048739B">
        <w:rPr>
          <w:rFonts w:eastAsia="Times New Roman"/>
          <w:iCs/>
          <w:sz w:val="28"/>
          <w:szCs w:val="28"/>
          <w:lang w:val="es-ES" w:eastAsia="es-ES"/>
        </w:rPr>
        <w:t>L</w:t>
      </w:r>
      <w:r w:rsidR="000F68C6" w:rsidRPr="0048739B">
        <w:rPr>
          <w:rFonts w:eastAsia="Times New Roman"/>
          <w:iCs/>
          <w:sz w:val="28"/>
          <w:szCs w:val="28"/>
          <w:lang w:val="es-ES" w:eastAsia="es-ES"/>
        </w:rPr>
        <w:t>a alta C</w:t>
      </w:r>
      <w:r w:rsidR="000D23F7" w:rsidRPr="0048739B">
        <w:rPr>
          <w:rFonts w:eastAsia="Times New Roman"/>
          <w:iCs/>
          <w:sz w:val="28"/>
          <w:szCs w:val="28"/>
          <w:lang w:val="es-ES" w:eastAsia="es-ES"/>
        </w:rPr>
        <w:t xml:space="preserve">orte considera que la demanda se funda en una comprensión parcial y, por lo mismo, inadecuada de la norma </w:t>
      </w:r>
      <w:r w:rsidR="008C3EF3" w:rsidRPr="0048739B">
        <w:rPr>
          <w:rFonts w:eastAsia="Times New Roman"/>
          <w:iCs/>
          <w:sz w:val="28"/>
          <w:szCs w:val="28"/>
          <w:lang w:val="es-ES" w:eastAsia="es-ES"/>
        </w:rPr>
        <w:t>cuestionada</w:t>
      </w:r>
      <w:r w:rsidR="000D23F7" w:rsidRPr="0048739B">
        <w:rPr>
          <w:rFonts w:eastAsia="Times New Roman"/>
          <w:iCs/>
          <w:sz w:val="28"/>
          <w:szCs w:val="28"/>
          <w:lang w:val="es-ES" w:eastAsia="es-ES"/>
        </w:rPr>
        <w:t xml:space="preserve">. </w:t>
      </w:r>
      <w:r w:rsidR="006A4D0E" w:rsidRPr="0048739B">
        <w:rPr>
          <w:rFonts w:eastAsia="Times New Roman"/>
          <w:iCs/>
          <w:sz w:val="28"/>
          <w:szCs w:val="28"/>
          <w:lang w:val="es-ES" w:eastAsia="es-ES"/>
        </w:rPr>
        <w:t>Para ella, l</w:t>
      </w:r>
      <w:r w:rsidR="00DF271F" w:rsidRPr="0048739B">
        <w:rPr>
          <w:rFonts w:eastAsia="Times New Roman"/>
          <w:iCs/>
          <w:sz w:val="28"/>
          <w:szCs w:val="28"/>
          <w:lang w:val="es-ES" w:eastAsia="es-ES"/>
        </w:rPr>
        <w:t>os demandantes asumen que la inviolabilidad de las comunicaciones entre el indiciado y su defensor o</w:t>
      </w:r>
      <w:r w:rsidR="00F55462" w:rsidRPr="0048739B">
        <w:rPr>
          <w:rFonts w:eastAsia="Times New Roman"/>
          <w:iCs/>
          <w:sz w:val="28"/>
          <w:szCs w:val="28"/>
          <w:lang w:val="es-ES" w:eastAsia="es-ES"/>
        </w:rPr>
        <w:t xml:space="preserve"> entre el indiciado y </w:t>
      </w:r>
      <w:r w:rsidR="00DF271F" w:rsidRPr="0048739B">
        <w:rPr>
          <w:rFonts w:eastAsia="Times New Roman"/>
          <w:iCs/>
          <w:sz w:val="28"/>
          <w:szCs w:val="28"/>
          <w:lang w:val="es-ES" w:eastAsia="es-ES"/>
        </w:rPr>
        <w:t xml:space="preserve">las personas que están exentas de declarar en </w:t>
      </w:r>
      <w:r w:rsidR="0020451D" w:rsidRPr="0048739B">
        <w:rPr>
          <w:rFonts w:eastAsia="Times New Roman"/>
          <w:iCs/>
          <w:sz w:val="28"/>
          <w:szCs w:val="28"/>
          <w:lang w:val="es-ES" w:eastAsia="es-ES"/>
        </w:rPr>
        <w:t xml:space="preserve">su </w:t>
      </w:r>
      <w:r w:rsidR="00DF271F" w:rsidRPr="0048739B">
        <w:rPr>
          <w:rFonts w:eastAsia="Times New Roman"/>
          <w:iCs/>
          <w:sz w:val="28"/>
          <w:szCs w:val="28"/>
          <w:lang w:val="es-ES" w:eastAsia="es-ES"/>
        </w:rPr>
        <w:t xml:space="preserve">contra solo </w:t>
      </w:r>
      <w:r w:rsidR="006A4D0E" w:rsidRPr="0048739B">
        <w:rPr>
          <w:rFonts w:eastAsia="Times New Roman"/>
          <w:iCs/>
          <w:sz w:val="28"/>
          <w:szCs w:val="28"/>
          <w:lang w:val="es-ES" w:eastAsia="es-ES"/>
        </w:rPr>
        <w:t>opera</w:t>
      </w:r>
      <w:r w:rsidR="00DF271F" w:rsidRPr="0048739B">
        <w:rPr>
          <w:rFonts w:eastAsia="Times New Roman"/>
          <w:iCs/>
          <w:sz w:val="28"/>
          <w:szCs w:val="28"/>
          <w:lang w:val="es-ES" w:eastAsia="es-ES"/>
        </w:rPr>
        <w:t xml:space="preserve"> </w:t>
      </w:r>
      <w:r w:rsidR="006A4D0E" w:rsidRPr="0048739B">
        <w:rPr>
          <w:rFonts w:eastAsia="Times New Roman"/>
          <w:iCs/>
          <w:sz w:val="28"/>
          <w:szCs w:val="28"/>
          <w:lang w:val="es-ES" w:eastAsia="es-ES"/>
        </w:rPr>
        <w:t xml:space="preserve">cuando </w:t>
      </w:r>
      <w:r w:rsidR="0020451D" w:rsidRPr="0048739B">
        <w:rPr>
          <w:rFonts w:eastAsia="Times New Roman"/>
          <w:iCs/>
          <w:sz w:val="28"/>
          <w:szCs w:val="28"/>
          <w:lang w:val="es-ES" w:eastAsia="es-ES"/>
        </w:rPr>
        <w:t xml:space="preserve">a aquel </w:t>
      </w:r>
      <w:r w:rsidR="006A4D0E" w:rsidRPr="0048739B">
        <w:rPr>
          <w:rFonts w:eastAsia="Times New Roman"/>
          <w:iCs/>
          <w:sz w:val="28"/>
          <w:szCs w:val="28"/>
          <w:lang w:val="es-ES" w:eastAsia="es-ES"/>
        </w:rPr>
        <w:t>se le atribuye la autoría de la conducta punible</w:t>
      </w:r>
      <w:r w:rsidR="00301A8C" w:rsidRPr="0048739B">
        <w:rPr>
          <w:rFonts w:eastAsia="Times New Roman"/>
          <w:iCs/>
          <w:sz w:val="28"/>
          <w:szCs w:val="28"/>
          <w:lang w:val="es-ES" w:eastAsia="es-ES"/>
        </w:rPr>
        <w:t xml:space="preserve">, pero no si fue auxiliador, partícipe o coautor de ella. Sin embargo, el sentido de la norma es </w:t>
      </w:r>
      <w:r w:rsidR="00301A8C" w:rsidRPr="0048739B">
        <w:rPr>
          <w:rFonts w:eastAsia="Times New Roman"/>
          <w:i/>
          <w:sz w:val="28"/>
          <w:szCs w:val="28"/>
          <w:lang w:val="es-ES" w:eastAsia="es-ES"/>
        </w:rPr>
        <w:t>“sustancialmente diferente”</w:t>
      </w:r>
      <w:r w:rsidR="00301A8C" w:rsidRPr="0048739B">
        <w:rPr>
          <w:rStyle w:val="Refdenotaalpie"/>
          <w:rFonts w:eastAsia="Times New Roman"/>
          <w:iCs/>
          <w:sz w:val="28"/>
          <w:szCs w:val="28"/>
          <w:lang w:val="es-ES" w:eastAsia="es-ES"/>
        </w:rPr>
        <w:footnoteReference w:id="12"/>
      </w:r>
      <w:r w:rsidR="008A59E2" w:rsidRPr="0048739B">
        <w:rPr>
          <w:rFonts w:eastAsia="Times New Roman"/>
          <w:i/>
          <w:sz w:val="28"/>
          <w:szCs w:val="28"/>
          <w:lang w:val="es-ES" w:eastAsia="es-ES"/>
        </w:rPr>
        <w:t>.</w:t>
      </w:r>
    </w:p>
    <w:p w14:paraId="4A3FDD5B" w14:textId="77777777" w:rsidR="00DF271F" w:rsidRPr="0048739B" w:rsidRDefault="00DF271F" w:rsidP="0048739B">
      <w:pPr>
        <w:spacing w:after="0" w:line="240" w:lineRule="auto"/>
        <w:ind w:left="72" w:right="48"/>
        <w:jc w:val="both"/>
        <w:textAlignment w:val="baseline"/>
        <w:rPr>
          <w:rFonts w:eastAsia="Times New Roman"/>
          <w:iCs/>
          <w:sz w:val="28"/>
          <w:szCs w:val="28"/>
          <w:lang w:val="es-ES" w:eastAsia="es-ES"/>
        </w:rPr>
      </w:pPr>
    </w:p>
    <w:p w14:paraId="03069E93" w14:textId="67C771FC" w:rsidR="002F37C5" w:rsidRPr="0048739B" w:rsidRDefault="008A59E2" w:rsidP="0048739B">
      <w:pPr>
        <w:spacing w:after="0" w:line="240" w:lineRule="auto"/>
        <w:ind w:left="72" w:right="48"/>
        <w:jc w:val="both"/>
        <w:textAlignment w:val="baseline"/>
        <w:rPr>
          <w:rFonts w:eastAsia="Times New Roman"/>
          <w:iCs/>
          <w:sz w:val="28"/>
          <w:szCs w:val="28"/>
          <w:lang w:val="es-ES" w:eastAsia="es-ES"/>
        </w:rPr>
      </w:pPr>
      <w:r w:rsidRPr="0048739B">
        <w:rPr>
          <w:rFonts w:eastAsia="Times New Roman"/>
          <w:iCs/>
          <w:sz w:val="28"/>
          <w:szCs w:val="28"/>
          <w:lang w:val="es-ES" w:eastAsia="es-ES"/>
        </w:rPr>
        <w:t>L</w:t>
      </w:r>
      <w:r w:rsidR="00D42430" w:rsidRPr="0048739B">
        <w:rPr>
          <w:rFonts w:eastAsia="Times New Roman"/>
          <w:iCs/>
          <w:sz w:val="28"/>
          <w:szCs w:val="28"/>
          <w:lang w:val="es-ES" w:eastAsia="es-ES"/>
        </w:rPr>
        <w:t>a primera parte de</w:t>
      </w:r>
      <w:r w:rsidRPr="0048739B">
        <w:rPr>
          <w:rFonts w:eastAsia="Times New Roman"/>
          <w:iCs/>
          <w:sz w:val="28"/>
          <w:szCs w:val="28"/>
          <w:lang w:val="es-ES" w:eastAsia="es-ES"/>
        </w:rPr>
        <w:t xml:space="preserve"> la disposición acusada</w:t>
      </w:r>
      <w:r w:rsidR="00D42430" w:rsidRPr="0048739B">
        <w:rPr>
          <w:rFonts w:eastAsia="Times New Roman"/>
          <w:iCs/>
          <w:sz w:val="28"/>
          <w:szCs w:val="28"/>
          <w:lang w:val="es-ES" w:eastAsia="es-ES"/>
        </w:rPr>
        <w:t xml:space="preserve"> establece </w:t>
      </w:r>
      <w:r w:rsidR="00D42430" w:rsidRPr="0048739B">
        <w:rPr>
          <w:rFonts w:eastAsia="Times New Roman"/>
          <w:i/>
          <w:sz w:val="28"/>
          <w:szCs w:val="28"/>
          <w:lang w:val="es-ES" w:eastAsia="es-ES"/>
        </w:rPr>
        <w:t xml:space="preserve">“como regla general, la imposibilidad de registrar las comunicaciones que el indiciado, imputado o </w:t>
      </w:r>
      <w:r w:rsidR="00D42430" w:rsidRPr="0048739B">
        <w:rPr>
          <w:rFonts w:eastAsia="Times New Roman"/>
          <w:i/>
          <w:sz w:val="28"/>
          <w:szCs w:val="28"/>
          <w:lang w:val="es-ES" w:eastAsia="es-ES"/>
        </w:rPr>
        <w:lastRenderedPageBreak/>
        <w:t>acusado sostenga con sus parientes, así como los archivos de estos, que contengan información confidencial de la persona que ha adquirido alguna de las calidades indicadas”</w:t>
      </w:r>
      <w:r w:rsidR="00BF1966" w:rsidRPr="0048739B">
        <w:rPr>
          <w:rStyle w:val="Refdenotaalpie"/>
          <w:rFonts w:eastAsia="Times New Roman"/>
          <w:iCs/>
          <w:sz w:val="28"/>
          <w:szCs w:val="28"/>
          <w:lang w:val="es-ES" w:eastAsia="es-ES"/>
        </w:rPr>
        <w:footnoteReference w:id="13"/>
      </w:r>
      <w:r w:rsidR="00D42430" w:rsidRPr="0048739B">
        <w:rPr>
          <w:rFonts w:eastAsia="Times New Roman"/>
          <w:i/>
          <w:sz w:val="28"/>
          <w:szCs w:val="28"/>
          <w:lang w:val="es-ES" w:eastAsia="es-ES"/>
        </w:rPr>
        <w:t>.</w:t>
      </w:r>
      <w:r w:rsidR="00247A4C" w:rsidRPr="0048739B">
        <w:rPr>
          <w:rFonts w:eastAsia="Times New Roman"/>
          <w:iCs/>
          <w:sz w:val="28"/>
          <w:szCs w:val="28"/>
          <w:lang w:val="es-ES" w:eastAsia="es-ES"/>
        </w:rPr>
        <w:t xml:space="preserve"> Sin embargo, esa primera parte no insinúa que el </w:t>
      </w:r>
      <w:r w:rsidR="00E24511" w:rsidRPr="0048739B">
        <w:rPr>
          <w:rFonts w:eastAsia="Times New Roman"/>
          <w:iCs/>
          <w:sz w:val="28"/>
          <w:szCs w:val="28"/>
          <w:lang w:val="es-ES" w:eastAsia="es-ES"/>
        </w:rPr>
        <w:t xml:space="preserve">indiciado, imputado o acusado, deba </w:t>
      </w:r>
      <w:r w:rsidR="0020451D" w:rsidRPr="0048739B">
        <w:rPr>
          <w:rFonts w:eastAsia="Times New Roman"/>
          <w:iCs/>
          <w:sz w:val="28"/>
          <w:szCs w:val="28"/>
          <w:lang w:val="es-ES" w:eastAsia="es-ES"/>
        </w:rPr>
        <w:t>haberlo sido</w:t>
      </w:r>
      <w:r w:rsidR="00E24511" w:rsidRPr="0048739B">
        <w:rPr>
          <w:rFonts w:eastAsia="Times New Roman"/>
          <w:iCs/>
          <w:sz w:val="28"/>
          <w:szCs w:val="28"/>
          <w:lang w:val="es-ES" w:eastAsia="es-ES"/>
        </w:rPr>
        <w:t xml:space="preserve"> en la modalidad de autor para que la protección opere; </w:t>
      </w:r>
      <w:r w:rsidR="00E24511" w:rsidRPr="0048739B">
        <w:rPr>
          <w:rFonts w:eastAsia="Times New Roman"/>
          <w:i/>
          <w:sz w:val="28"/>
          <w:szCs w:val="28"/>
          <w:lang w:val="es-ES" w:eastAsia="es-ES"/>
        </w:rPr>
        <w:t>“</w:t>
      </w:r>
      <w:r w:rsidR="003B5EF3" w:rsidRPr="0048739B">
        <w:rPr>
          <w:rFonts w:eastAsia="Times New Roman"/>
          <w:i/>
          <w:sz w:val="28"/>
          <w:szCs w:val="28"/>
          <w:lang w:val="es-ES" w:eastAsia="es-ES"/>
        </w:rPr>
        <w:t>[</w:t>
      </w:r>
      <w:r w:rsidR="00E24511" w:rsidRPr="0048739B">
        <w:rPr>
          <w:rFonts w:eastAsia="Times New Roman"/>
          <w:i/>
          <w:sz w:val="28"/>
          <w:szCs w:val="28"/>
          <w:lang w:val="es-ES" w:eastAsia="es-ES"/>
        </w:rPr>
        <w:t>s</w:t>
      </w:r>
      <w:r w:rsidR="003B5EF3" w:rsidRPr="0048739B">
        <w:rPr>
          <w:rFonts w:eastAsia="Times New Roman"/>
          <w:i/>
          <w:sz w:val="28"/>
          <w:szCs w:val="28"/>
          <w:lang w:val="es-ES" w:eastAsia="es-ES"/>
        </w:rPr>
        <w:t>]</w:t>
      </w:r>
      <w:r w:rsidR="00E24511" w:rsidRPr="0048739B">
        <w:rPr>
          <w:rFonts w:eastAsia="Times New Roman"/>
          <w:i/>
          <w:sz w:val="28"/>
          <w:szCs w:val="28"/>
          <w:lang w:val="es-ES" w:eastAsia="es-ES"/>
        </w:rPr>
        <w:t>i el legislador no hizo esa distinción, debe asumirse que la restricción opera independientemente de la forma de participación”</w:t>
      </w:r>
      <w:r w:rsidR="00070412" w:rsidRPr="0048739B">
        <w:rPr>
          <w:rStyle w:val="Refdenotaalpie"/>
          <w:rFonts w:eastAsia="Times New Roman"/>
          <w:iCs/>
          <w:sz w:val="28"/>
          <w:szCs w:val="28"/>
          <w:lang w:val="es-ES" w:eastAsia="es-ES"/>
        </w:rPr>
        <w:footnoteReference w:id="14"/>
      </w:r>
      <w:r w:rsidR="00E24511" w:rsidRPr="0048739B">
        <w:rPr>
          <w:rFonts w:eastAsia="Times New Roman"/>
          <w:iCs/>
          <w:sz w:val="28"/>
          <w:szCs w:val="28"/>
          <w:lang w:val="es-ES" w:eastAsia="es-ES"/>
        </w:rPr>
        <w:t>.</w:t>
      </w:r>
      <w:r w:rsidR="008168D4" w:rsidRPr="0048739B">
        <w:rPr>
          <w:rFonts w:eastAsia="Times New Roman"/>
          <w:iCs/>
          <w:sz w:val="28"/>
          <w:szCs w:val="28"/>
          <w:lang w:val="es-ES" w:eastAsia="es-ES"/>
        </w:rPr>
        <w:t xml:space="preserve"> </w:t>
      </w:r>
      <w:r w:rsidR="00D42430" w:rsidRPr="0048739B">
        <w:rPr>
          <w:rFonts w:eastAsia="Times New Roman"/>
          <w:iCs/>
          <w:sz w:val="28"/>
          <w:szCs w:val="28"/>
          <w:lang w:val="es-ES" w:eastAsia="es-ES"/>
        </w:rPr>
        <w:t xml:space="preserve">En ese sentido, el parágrafo debe leerse a partir de esa regla general, de modo que </w:t>
      </w:r>
      <w:r w:rsidR="002F37C5" w:rsidRPr="0048739B">
        <w:rPr>
          <w:rFonts w:eastAsia="Times New Roman"/>
          <w:iCs/>
          <w:sz w:val="28"/>
          <w:szCs w:val="28"/>
          <w:lang w:val="es-ES" w:eastAsia="es-ES"/>
        </w:rPr>
        <w:t>contempla una</w:t>
      </w:r>
      <w:r w:rsidR="00D42430" w:rsidRPr="0048739B">
        <w:rPr>
          <w:rFonts w:eastAsia="Times New Roman"/>
          <w:iCs/>
          <w:sz w:val="28"/>
          <w:szCs w:val="28"/>
          <w:lang w:val="es-ES" w:eastAsia="es-ES"/>
        </w:rPr>
        <w:t xml:space="preserve"> excepción de la prohibición de registro </w:t>
      </w:r>
      <w:r w:rsidR="002F37C5" w:rsidRPr="0048739B">
        <w:rPr>
          <w:rFonts w:eastAsia="Times New Roman"/>
          <w:iCs/>
          <w:sz w:val="28"/>
          <w:szCs w:val="28"/>
          <w:lang w:val="es-ES" w:eastAsia="es-ES"/>
        </w:rPr>
        <w:t xml:space="preserve">que </w:t>
      </w:r>
      <w:r w:rsidR="00D42430" w:rsidRPr="0048739B">
        <w:rPr>
          <w:rFonts w:eastAsia="Times New Roman"/>
          <w:iCs/>
          <w:sz w:val="28"/>
          <w:szCs w:val="28"/>
          <w:lang w:val="es-ES" w:eastAsia="es-ES"/>
        </w:rPr>
        <w:t xml:space="preserve">se aplica cuando se trate de auxiliadores, partícipes o coautores, pero siempre </w:t>
      </w:r>
      <w:r w:rsidR="00433D4A" w:rsidRPr="0048739B">
        <w:rPr>
          <w:rFonts w:eastAsia="Times New Roman"/>
          <w:iCs/>
          <w:sz w:val="28"/>
          <w:szCs w:val="28"/>
          <w:lang w:val="es-ES" w:eastAsia="es-ES"/>
        </w:rPr>
        <w:t>en relación con el</w:t>
      </w:r>
      <w:r w:rsidR="00184ADB" w:rsidRPr="0048739B">
        <w:rPr>
          <w:rFonts w:eastAsia="Times New Roman"/>
          <w:iCs/>
          <w:sz w:val="28"/>
          <w:szCs w:val="28"/>
          <w:lang w:val="es-ES" w:eastAsia="es-ES"/>
        </w:rPr>
        <w:t xml:space="preserve"> </w:t>
      </w:r>
      <w:r w:rsidR="00D42430" w:rsidRPr="0048739B">
        <w:rPr>
          <w:rFonts w:eastAsia="Times New Roman"/>
          <w:iCs/>
          <w:sz w:val="28"/>
          <w:szCs w:val="28"/>
          <w:lang w:val="es-ES" w:eastAsia="es-ES"/>
        </w:rPr>
        <w:t xml:space="preserve">delito investigado. </w:t>
      </w:r>
      <w:r w:rsidR="00CA352C" w:rsidRPr="0048739B">
        <w:rPr>
          <w:rFonts w:eastAsia="Times New Roman"/>
          <w:iCs/>
          <w:sz w:val="28"/>
          <w:szCs w:val="28"/>
          <w:lang w:val="es-ES" w:eastAsia="es-ES"/>
        </w:rPr>
        <w:t xml:space="preserve">Por lo tanto, el parágrafo acusado lo que estipula es que </w:t>
      </w:r>
      <w:r w:rsidR="00C25085" w:rsidRPr="0048739B">
        <w:rPr>
          <w:rFonts w:eastAsia="Times New Roman"/>
          <w:i/>
          <w:sz w:val="28"/>
          <w:szCs w:val="28"/>
          <w:lang w:val="es-ES" w:eastAsia="es-ES"/>
        </w:rPr>
        <w:t>“</w:t>
      </w:r>
      <w:r w:rsidR="00CA352C" w:rsidRPr="0048739B">
        <w:rPr>
          <w:rFonts w:eastAsia="Times New Roman"/>
          <w:i/>
          <w:sz w:val="28"/>
          <w:szCs w:val="28"/>
          <w:lang w:val="es-ES" w:eastAsia="es-ES"/>
        </w:rPr>
        <w:t>el privilegio</w:t>
      </w:r>
      <w:r w:rsidR="00C25085" w:rsidRPr="0048739B">
        <w:rPr>
          <w:rFonts w:eastAsia="Times New Roman"/>
          <w:i/>
          <w:sz w:val="28"/>
          <w:szCs w:val="28"/>
          <w:lang w:val="es-ES" w:eastAsia="es-ES"/>
        </w:rPr>
        <w:t>”</w:t>
      </w:r>
      <w:r w:rsidR="00CA352C" w:rsidRPr="0048739B">
        <w:rPr>
          <w:rFonts w:eastAsia="Times New Roman"/>
          <w:iCs/>
          <w:sz w:val="28"/>
          <w:szCs w:val="28"/>
          <w:lang w:val="es-ES" w:eastAsia="es-ES"/>
        </w:rPr>
        <w:t xml:space="preserve"> </w:t>
      </w:r>
      <w:r w:rsidR="00F7233E" w:rsidRPr="0048739B">
        <w:rPr>
          <w:rFonts w:eastAsia="Times New Roman"/>
          <w:iCs/>
          <w:sz w:val="28"/>
          <w:szCs w:val="28"/>
          <w:lang w:val="es-ES" w:eastAsia="es-ES"/>
        </w:rPr>
        <w:t xml:space="preserve">o la garantía </w:t>
      </w:r>
      <w:r w:rsidR="00CA352C" w:rsidRPr="0048739B">
        <w:rPr>
          <w:rFonts w:eastAsia="Times New Roman"/>
          <w:iCs/>
          <w:sz w:val="28"/>
          <w:szCs w:val="28"/>
          <w:lang w:val="es-ES" w:eastAsia="es-ES"/>
        </w:rPr>
        <w:t xml:space="preserve">desaparece para quien ostenta la doble condición de defensor o familiar del procesado y, a su turno, auxiliador, partícipe o coautor del delito investigado o de uno conexo. </w:t>
      </w:r>
      <w:r w:rsidR="002F37C5" w:rsidRPr="0048739B">
        <w:rPr>
          <w:rFonts w:eastAsia="Times New Roman"/>
          <w:iCs/>
          <w:sz w:val="28"/>
          <w:szCs w:val="28"/>
          <w:lang w:val="es-ES" w:eastAsia="es-ES"/>
        </w:rPr>
        <w:t>Entonces lo norma</w:t>
      </w:r>
      <w:r w:rsidR="00DD6F00" w:rsidRPr="0048739B">
        <w:rPr>
          <w:rFonts w:eastAsia="Times New Roman"/>
          <w:iCs/>
          <w:sz w:val="28"/>
          <w:szCs w:val="28"/>
          <w:lang w:val="es-ES" w:eastAsia="es-ES"/>
        </w:rPr>
        <w:t>do por</w:t>
      </w:r>
      <w:r w:rsidR="002F37C5" w:rsidRPr="0048739B">
        <w:rPr>
          <w:rFonts w:eastAsia="Times New Roman"/>
          <w:iCs/>
          <w:sz w:val="28"/>
          <w:szCs w:val="28"/>
          <w:lang w:val="es-ES" w:eastAsia="es-ES"/>
        </w:rPr>
        <w:t xml:space="preserve"> la disposición demandada es la desaparición </w:t>
      </w:r>
      <w:r w:rsidR="00F7233E" w:rsidRPr="0048739B">
        <w:rPr>
          <w:rFonts w:eastAsia="Times New Roman"/>
          <w:iCs/>
          <w:sz w:val="28"/>
          <w:szCs w:val="28"/>
          <w:lang w:val="es-ES" w:eastAsia="es-ES"/>
        </w:rPr>
        <w:t>de dicha garantía</w:t>
      </w:r>
      <w:r w:rsidR="002F37C5" w:rsidRPr="0048739B">
        <w:rPr>
          <w:rFonts w:eastAsia="Times New Roman"/>
          <w:iCs/>
          <w:sz w:val="28"/>
          <w:szCs w:val="28"/>
          <w:lang w:val="es-ES" w:eastAsia="es-ES"/>
        </w:rPr>
        <w:t xml:space="preserve"> </w:t>
      </w:r>
      <w:r w:rsidR="001F3852" w:rsidRPr="0048739B">
        <w:rPr>
          <w:rFonts w:eastAsia="Times New Roman"/>
          <w:iCs/>
          <w:sz w:val="28"/>
          <w:szCs w:val="28"/>
          <w:lang w:val="es-ES" w:eastAsia="es-ES"/>
        </w:rPr>
        <w:t xml:space="preserve">cuando </w:t>
      </w:r>
      <w:r w:rsidR="001F3852" w:rsidRPr="0048739B">
        <w:rPr>
          <w:rFonts w:eastAsia="Times New Roman"/>
          <w:i/>
          <w:sz w:val="28"/>
          <w:szCs w:val="28"/>
          <w:lang w:val="es-ES" w:eastAsia="es-ES"/>
        </w:rPr>
        <w:t>“las personas allí mencionadas, además de su calidad de pariente o defensor, son ‘auxiliadores, partícipes o coautores’</w:t>
      </w:r>
      <w:r w:rsidR="008F1B84" w:rsidRPr="0048739B">
        <w:rPr>
          <w:rFonts w:eastAsia="Times New Roman"/>
          <w:i/>
          <w:sz w:val="28"/>
          <w:szCs w:val="28"/>
          <w:lang w:val="es-ES" w:eastAsia="es-ES"/>
        </w:rPr>
        <w:t>, no de cualquier delito, sino del ‘delito investigado’, esto es, el atribuido al indiciado, imputado o acusado a que se hace alusión en los 3 numerales, o de uno conexo</w:t>
      </w:r>
      <w:r w:rsidR="001F3852" w:rsidRPr="0048739B">
        <w:rPr>
          <w:rFonts w:eastAsia="Times New Roman"/>
          <w:i/>
          <w:sz w:val="28"/>
          <w:szCs w:val="28"/>
          <w:lang w:val="es-ES" w:eastAsia="es-ES"/>
        </w:rPr>
        <w:t>”</w:t>
      </w:r>
      <w:r w:rsidR="008F1B84" w:rsidRPr="0048739B">
        <w:rPr>
          <w:rStyle w:val="Refdenotaalpie"/>
          <w:rFonts w:eastAsia="Times New Roman"/>
          <w:iCs/>
          <w:sz w:val="28"/>
          <w:szCs w:val="28"/>
          <w:lang w:val="es-ES" w:eastAsia="es-ES"/>
        </w:rPr>
        <w:footnoteReference w:id="15"/>
      </w:r>
      <w:r w:rsidR="00B57F5A" w:rsidRPr="0048739B">
        <w:rPr>
          <w:rFonts w:eastAsia="Times New Roman"/>
          <w:i/>
          <w:sz w:val="28"/>
          <w:szCs w:val="28"/>
          <w:lang w:val="es-ES" w:eastAsia="es-ES"/>
        </w:rPr>
        <w:t>.</w:t>
      </w:r>
    </w:p>
    <w:p w14:paraId="44683C18" w14:textId="77777777" w:rsidR="002F37C5" w:rsidRPr="0048739B" w:rsidRDefault="002F37C5" w:rsidP="0048739B">
      <w:pPr>
        <w:spacing w:after="0" w:line="240" w:lineRule="auto"/>
        <w:ind w:left="72" w:right="48"/>
        <w:jc w:val="both"/>
        <w:textAlignment w:val="baseline"/>
        <w:rPr>
          <w:rFonts w:eastAsia="Times New Roman"/>
          <w:iCs/>
          <w:sz w:val="28"/>
          <w:szCs w:val="28"/>
          <w:highlight w:val="cyan"/>
          <w:lang w:val="es-ES" w:eastAsia="es-ES"/>
        </w:rPr>
      </w:pPr>
    </w:p>
    <w:p w14:paraId="3F27BC3D" w14:textId="2FFE2899" w:rsidR="000969B4" w:rsidRPr="0048739B" w:rsidRDefault="00CA352C" w:rsidP="0048739B">
      <w:pPr>
        <w:spacing w:after="0" w:line="240" w:lineRule="auto"/>
        <w:ind w:left="72" w:right="48"/>
        <w:jc w:val="both"/>
        <w:textAlignment w:val="baseline"/>
        <w:rPr>
          <w:rFonts w:eastAsia="Times New Roman"/>
          <w:iCs/>
          <w:sz w:val="28"/>
          <w:szCs w:val="28"/>
          <w:lang w:val="es-ES" w:eastAsia="es-ES"/>
        </w:rPr>
      </w:pPr>
      <w:r w:rsidRPr="0048739B">
        <w:rPr>
          <w:rFonts w:eastAsia="Times New Roman"/>
          <w:iCs/>
          <w:sz w:val="28"/>
          <w:szCs w:val="28"/>
          <w:lang w:val="es-ES" w:eastAsia="es-ES"/>
        </w:rPr>
        <w:t xml:space="preserve">Al respecto, la intervención sostiene que este tipo de regulación no es extraña </w:t>
      </w:r>
      <w:r w:rsidRPr="0048739B">
        <w:rPr>
          <w:rFonts w:eastAsia="Times New Roman"/>
          <w:i/>
          <w:sz w:val="28"/>
          <w:szCs w:val="28"/>
          <w:lang w:val="es-ES" w:eastAsia="es-ES"/>
        </w:rPr>
        <w:t>“en el ámbito judicial, como sucede, por ejemplo, cuando integrantes de una misma familia hacen parte de organizaciones criminales o participa</w:t>
      </w:r>
      <w:r w:rsidR="00FF3EC6" w:rsidRPr="0048739B">
        <w:rPr>
          <w:rFonts w:eastAsia="Times New Roman"/>
          <w:i/>
          <w:sz w:val="28"/>
          <w:szCs w:val="28"/>
          <w:lang w:val="es-ES" w:eastAsia="es-ES"/>
        </w:rPr>
        <w:t>n, de diferentes maneras, en la comisión de uno o varios delitos aislados.”</w:t>
      </w:r>
      <w:r w:rsidR="00BF1966" w:rsidRPr="0048739B">
        <w:rPr>
          <w:rStyle w:val="Refdenotaalpie"/>
          <w:rFonts w:eastAsia="Times New Roman"/>
          <w:i/>
          <w:sz w:val="28"/>
          <w:szCs w:val="28"/>
          <w:lang w:val="es-ES" w:eastAsia="es-ES"/>
        </w:rPr>
        <w:footnoteReference w:id="16"/>
      </w:r>
      <w:r w:rsidR="00362FDB" w:rsidRPr="0048739B">
        <w:rPr>
          <w:rFonts w:eastAsia="Times New Roman"/>
          <w:iCs/>
          <w:sz w:val="28"/>
          <w:szCs w:val="28"/>
          <w:lang w:val="es-ES" w:eastAsia="es-ES"/>
        </w:rPr>
        <w:t xml:space="preserve"> </w:t>
      </w:r>
    </w:p>
    <w:p w14:paraId="241176B7" w14:textId="77777777" w:rsidR="00362FDB" w:rsidRPr="0048739B" w:rsidRDefault="00362FDB" w:rsidP="0048739B">
      <w:pPr>
        <w:spacing w:after="0" w:line="240" w:lineRule="auto"/>
        <w:ind w:left="72" w:right="48"/>
        <w:jc w:val="both"/>
        <w:textAlignment w:val="baseline"/>
        <w:rPr>
          <w:rFonts w:eastAsia="Calibri"/>
          <w:sz w:val="28"/>
          <w:szCs w:val="28"/>
          <w:lang w:val="es-ES" w:eastAsia="es-ES"/>
        </w:rPr>
      </w:pPr>
    </w:p>
    <w:p w14:paraId="4D040333" w14:textId="25248767" w:rsidR="00362FDB" w:rsidRPr="0048739B" w:rsidRDefault="00502A93" w:rsidP="0048739B">
      <w:pPr>
        <w:spacing w:after="0" w:line="240" w:lineRule="auto"/>
        <w:ind w:left="72" w:right="48"/>
        <w:jc w:val="both"/>
        <w:textAlignment w:val="baseline"/>
        <w:rPr>
          <w:rFonts w:eastAsia="Calibri"/>
          <w:b/>
          <w:sz w:val="28"/>
          <w:szCs w:val="28"/>
          <w:lang w:val="es-ES" w:eastAsia="es-ES"/>
        </w:rPr>
      </w:pPr>
      <w:r w:rsidRPr="0048739B">
        <w:rPr>
          <w:rFonts w:eastAsia="Calibri"/>
          <w:b/>
          <w:sz w:val="28"/>
          <w:szCs w:val="28"/>
          <w:lang w:val="es-ES" w:eastAsia="es-ES"/>
        </w:rPr>
        <w:t>4.2. Ministerio de Justicia y del Derecho</w:t>
      </w:r>
      <w:r w:rsidR="00895272" w:rsidRPr="0048739B">
        <w:rPr>
          <w:rStyle w:val="Refdenotaalpie"/>
          <w:rFonts w:eastAsia="Calibri"/>
          <w:sz w:val="28"/>
          <w:szCs w:val="28"/>
          <w:lang w:val="es-ES" w:eastAsia="es-ES"/>
        </w:rPr>
        <w:footnoteReference w:id="17"/>
      </w:r>
      <w:r w:rsidRPr="0048739B">
        <w:rPr>
          <w:rFonts w:eastAsia="Calibri"/>
          <w:sz w:val="28"/>
          <w:szCs w:val="28"/>
          <w:lang w:val="es-ES" w:eastAsia="es-ES"/>
        </w:rPr>
        <w:t xml:space="preserve"> </w:t>
      </w:r>
    </w:p>
    <w:p w14:paraId="7AED9E68" w14:textId="77777777" w:rsidR="00DD61B0" w:rsidRPr="0048739B" w:rsidRDefault="00DD61B0" w:rsidP="0048739B">
      <w:pPr>
        <w:spacing w:after="0" w:line="240" w:lineRule="auto"/>
        <w:ind w:right="48"/>
        <w:jc w:val="both"/>
        <w:textAlignment w:val="baseline"/>
        <w:rPr>
          <w:rFonts w:eastAsia="Calibri"/>
          <w:b/>
          <w:sz w:val="28"/>
          <w:szCs w:val="28"/>
          <w:lang w:val="es-ES" w:eastAsia="es-ES"/>
        </w:rPr>
      </w:pPr>
    </w:p>
    <w:p w14:paraId="28666290" w14:textId="195949D7" w:rsidR="001304C8" w:rsidRPr="0048739B" w:rsidRDefault="00FF3EC6"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La </w:t>
      </w:r>
      <w:r w:rsidR="003D16C9" w:rsidRPr="0048739B">
        <w:rPr>
          <w:rFonts w:eastAsia="Arial Narrow"/>
          <w:sz w:val="28"/>
          <w:szCs w:val="28"/>
          <w:lang w:val="es-ES"/>
        </w:rPr>
        <w:t>D</w:t>
      </w:r>
      <w:r w:rsidRPr="0048739B">
        <w:rPr>
          <w:rFonts w:eastAsia="Arial Narrow"/>
          <w:sz w:val="28"/>
          <w:szCs w:val="28"/>
          <w:lang w:val="es-ES"/>
        </w:rPr>
        <w:t xml:space="preserve">irectora de Desarrollo del Derecho y del Ordenamiento Jurídico del Ministerio de Justicia y del Derecho, presentó intervención en la que </w:t>
      </w:r>
      <w:r w:rsidR="003D16C9" w:rsidRPr="0048739B">
        <w:rPr>
          <w:rFonts w:eastAsia="Arial Narrow"/>
          <w:sz w:val="28"/>
          <w:szCs w:val="28"/>
          <w:lang w:val="es-ES"/>
        </w:rPr>
        <w:t xml:space="preserve">solicitó </w:t>
      </w:r>
      <w:r w:rsidRPr="0048739B">
        <w:rPr>
          <w:rFonts w:eastAsia="Arial Narrow"/>
          <w:sz w:val="28"/>
          <w:szCs w:val="28"/>
          <w:lang w:val="es-ES"/>
        </w:rPr>
        <w:t xml:space="preserve">a la Corte que adopte un </w:t>
      </w:r>
      <w:r w:rsidR="004063C3" w:rsidRPr="0048739B">
        <w:rPr>
          <w:rFonts w:eastAsia="Arial Narrow"/>
          <w:sz w:val="28"/>
          <w:szCs w:val="28"/>
          <w:lang w:val="es-ES"/>
        </w:rPr>
        <w:t xml:space="preserve">fallo </w:t>
      </w:r>
      <w:r w:rsidR="002666DE" w:rsidRPr="0048739B">
        <w:rPr>
          <w:rFonts w:eastAsia="Arial Narrow"/>
          <w:b/>
          <w:bCs/>
          <w:sz w:val="28"/>
          <w:szCs w:val="28"/>
          <w:lang w:val="es-ES"/>
        </w:rPr>
        <w:t>INHIBITORIO</w:t>
      </w:r>
      <w:r w:rsidRPr="0048739B">
        <w:rPr>
          <w:rFonts w:eastAsia="Arial Narrow"/>
          <w:b/>
          <w:bCs/>
          <w:sz w:val="28"/>
          <w:szCs w:val="28"/>
          <w:lang w:val="es-ES"/>
        </w:rPr>
        <w:t xml:space="preserve"> </w:t>
      </w:r>
      <w:r w:rsidR="00B14D8D" w:rsidRPr="0048739B">
        <w:rPr>
          <w:rFonts w:eastAsia="Arial Narrow"/>
          <w:sz w:val="28"/>
          <w:szCs w:val="28"/>
          <w:lang w:val="es-ES"/>
        </w:rPr>
        <w:t xml:space="preserve">ante la ineptitud sustantiva de la demanda. </w:t>
      </w:r>
    </w:p>
    <w:p w14:paraId="65E6B682" w14:textId="3798F493" w:rsidR="00B14D8D" w:rsidRPr="0048739B" w:rsidRDefault="00B14D8D" w:rsidP="0048739B">
      <w:pPr>
        <w:spacing w:after="0" w:line="240" w:lineRule="auto"/>
        <w:ind w:right="48"/>
        <w:jc w:val="both"/>
        <w:textAlignment w:val="baseline"/>
        <w:rPr>
          <w:rFonts w:eastAsia="Arial Narrow"/>
          <w:sz w:val="28"/>
          <w:szCs w:val="28"/>
          <w:lang w:val="es-ES"/>
        </w:rPr>
      </w:pPr>
    </w:p>
    <w:p w14:paraId="01EB7AC1" w14:textId="0DDC7855" w:rsidR="00EE59D8" w:rsidRPr="0048739B" w:rsidRDefault="00EE59D8"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Señala que los argumentos planteados por los demandantes desconocen </w:t>
      </w:r>
      <w:r w:rsidR="000E2A8F" w:rsidRPr="0048739B">
        <w:rPr>
          <w:rFonts w:eastAsia="Arial Narrow"/>
          <w:sz w:val="28"/>
          <w:szCs w:val="28"/>
          <w:lang w:val="es-ES"/>
        </w:rPr>
        <w:t xml:space="preserve">el requisito de certeza, previsto por la jurisprudencia constitucional. Esto debido a que los cargos se construyen a partir de una comprensión equivocada de la norma. Explican que la exclusión censurada debe entenderse desde </w:t>
      </w:r>
      <w:r w:rsidR="003D16C9" w:rsidRPr="0048739B">
        <w:rPr>
          <w:rFonts w:eastAsia="Arial Narrow"/>
          <w:sz w:val="28"/>
          <w:szCs w:val="28"/>
          <w:lang w:val="es-ES"/>
        </w:rPr>
        <w:t>una apreciación</w:t>
      </w:r>
      <w:r w:rsidR="000E2A8F" w:rsidRPr="0048739B">
        <w:rPr>
          <w:rFonts w:eastAsia="Arial Narrow"/>
          <w:sz w:val="28"/>
          <w:szCs w:val="28"/>
          <w:lang w:val="es-ES"/>
        </w:rPr>
        <w:t xml:space="preserve"> integral de la norma acusada, esto es, que la excepción se aplica respecto de las comunicaciones que haga el indiciado, imputado o acusado, con otras personas que tengan la calidad de auxiliadores, partícipes o coautoras del delito investigado. Para el Ministerio, </w:t>
      </w:r>
      <w:r w:rsidR="00FE68B0" w:rsidRPr="0048739B">
        <w:rPr>
          <w:rFonts w:eastAsia="Arial Narrow"/>
          <w:sz w:val="28"/>
          <w:szCs w:val="28"/>
          <w:lang w:val="es-ES"/>
        </w:rPr>
        <w:t xml:space="preserve">la exclusión en mención se deriva no del tipo de participación en el delito, sino de </w:t>
      </w:r>
      <w:r w:rsidR="00FE68B0" w:rsidRPr="0048739B">
        <w:rPr>
          <w:rFonts w:eastAsia="Arial Narrow"/>
          <w:i/>
          <w:iCs/>
          <w:sz w:val="28"/>
          <w:szCs w:val="28"/>
          <w:lang w:val="es-ES"/>
        </w:rPr>
        <w:t xml:space="preserve">“la determinación de quién es la otra parte de la correspondencia sostenida con el procesado, esto es, cuando se realizó con el coautor, auxiliar o partícipe.” </w:t>
      </w:r>
    </w:p>
    <w:p w14:paraId="6686FB76" w14:textId="77777777" w:rsidR="00B14D8D" w:rsidRPr="0048739B" w:rsidRDefault="00B14D8D" w:rsidP="0048739B">
      <w:pPr>
        <w:spacing w:after="0" w:line="240" w:lineRule="auto"/>
        <w:ind w:right="48"/>
        <w:jc w:val="both"/>
        <w:textAlignment w:val="baseline"/>
        <w:rPr>
          <w:rFonts w:eastAsia="Arial Narrow"/>
          <w:sz w:val="28"/>
          <w:szCs w:val="28"/>
          <w:lang w:val="es-ES"/>
        </w:rPr>
      </w:pPr>
    </w:p>
    <w:p w14:paraId="0A7B7604" w14:textId="280AFA87" w:rsidR="00FF3EC6" w:rsidRPr="0048739B" w:rsidRDefault="00FE68B0"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lastRenderedPageBreak/>
        <w:t xml:space="preserve">En consecuencia, la exclusión en comento se aplica para las comunicaciones entre personas que participan en la comisión del </w:t>
      </w:r>
      <w:r w:rsidR="00754AE7" w:rsidRPr="0048739B">
        <w:rPr>
          <w:rFonts w:eastAsia="Arial Narrow"/>
          <w:sz w:val="28"/>
          <w:szCs w:val="28"/>
          <w:lang w:val="es-ES"/>
        </w:rPr>
        <w:t xml:space="preserve">mismo </w:t>
      </w:r>
      <w:r w:rsidRPr="0048739B">
        <w:rPr>
          <w:rFonts w:eastAsia="Arial Narrow"/>
          <w:sz w:val="28"/>
          <w:szCs w:val="28"/>
          <w:lang w:val="es-ES"/>
        </w:rPr>
        <w:t>delito, lo cual hace que su registro se avenga a un fin constitucionalmente legítimo</w:t>
      </w:r>
      <w:r w:rsidR="0058489F" w:rsidRPr="0048739B">
        <w:rPr>
          <w:rFonts w:eastAsia="Arial Narrow"/>
          <w:sz w:val="28"/>
          <w:szCs w:val="28"/>
          <w:lang w:val="es-ES"/>
        </w:rPr>
        <w:t xml:space="preserve">, vinculado a la eficacia de la investigación penal. </w:t>
      </w:r>
    </w:p>
    <w:p w14:paraId="78828800" w14:textId="42A864D5" w:rsidR="0058489F" w:rsidRPr="0048739B" w:rsidRDefault="0058489F" w:rsidP="0048739B">
      <w:pPr>
        <w:spacing w:after="0" w:line="240" w:lineRule="auto"/>
        <w:ind w:right="48"/>
        <w:jc w:val="both"/>
        <w:textAlignment w:val="baseline"/>
        <w:rPr>
          <w:rFonts w:eastAsia="Arial Narrow"/>
          <w:sz w:val="28"/>
          <w:szCs w:val="28"/>
          <w:lang w:val="es-ES"/>
        </w:rPr>
      </w:pPr>
    </w:p>
    <w:p w14:paraId="51310A88" w14:textId="761DA3B4" w:rsidR="0058489F" w:rsidRPr="0048739B" w:rsidRDefault="0058489F"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A partir de esa consideración, el Ministerio </w:t>
      </w:r>
      <w:r w:rsidR="00754AE7" w:rsidRPr="0048739B">
        <w:rPr>
          <w:rFonts w:eastAsia="Arial Narrow"/>
          <w:sz w:val="28"/>
          <w:szCs w:val="28"/>
          <w:lang w:val="es-ES"/>
        </w:rPr>
        <w:t xml:space="preserve">advierte </w:t>
      </w:r>
      <w:r w:rsidRPr="0048739B">
        <w:rPr>
          <w:rFonts w:eastAsia="Arial Narrow"/>
          <w:sz w:val="28"/>
          <w:szCs w:val="28"/>
          <w:lang w:val="es-ES"/>
        </w:rPr>
        <w:t xml:space="preserve">que la demanda también incumple el requisito de suficiencia, en la medida en que las afectaciones al derecho a la igualdad, al debido proceso y a la inviolabilidad del secreto profesional </w:t>
      </w:r>
      <w:proofErr w:type="gramStart"/>
      <w:r w:rsidRPr="0048739B">
        <w:rPr>
          <w:rFonts w:eastAsia="Arial Narrow"/>
          <w:sz w:val="28"/>
          <w:szCs w:val="28"/>
          <w:lang w:val="es-ES"/>
        </w:rPr>
        <w:t>está</w:t>
      </w:r>
      <w:proofErr w:type="gramEnd"/>
      <w:r w:rsidRPr="0048739B">
        <w:rPr>
          <w:rFonts w:eastAsia="Arial Narrow"/>
          <w:sz w:val="28"/>
          <w:szCs w:val="28"/>
          <w:lang w:val="es-ES"/>
        </w:rPr>
        <w:t xml:space="preserve"> basada en una distinción que es inexistente. Agrega que, en cualquier caso, la</w:t>
      </w:r>
      <w:r w:rsidR="00772A62" w:rsidRPr="0048739B">
        <w:rPr>
          <w:rFonts w:eastAsia="Arial Narrow"/>
          <w:sz w:val="28"/>
          <w:szCs w:val="28"/>
          <w:lang w:val="es-ES"/>
        </w:rPr>
        <w:t xml:space="preserve">s actuaciones que se adelantan están sometidas al control posterior por parte del juez de control de garantías, instancia que </w:t>
      </w:r>
      <w:r w:rsidR="00822512" w:rsidRPr="0048739B">
        <w:rPr>
          <w:rFonts w:eastAsia="Arial Narrow"/>
          <w:sz w:val="28"/>
          <w:szCs w:val="28"/>
          <w:lang w:val="es-ES"/>
        </w:rPr>
        <w:t xml:space="preserve">asegurará </w:t>
      </w:r>
      <w:r w:rsidR="00772A62" w:rsidRPr="0048739B">
        <w:rPr>
          <w:rFonts w:eastAsia="Arial Narrow"/>
          <w:sz w:val="28"/>
          <w:szCs w:val="28"/>
          <w:lang w:val="es-ES"/>
        </w:rPr>
        <w:t xml:space="preserve">la vigencia </w:t>
      </w:r>
      <w:r w:rsidR="005D27EA" w:rsidRPr="0048739B">
        <w:rPr>
          <w:rFonts w:eastAsia="Arial Narrow"/>
          <w:sz w:val="28"/>
          <w:szCs w:val="28"/>
          <w:lang w:val="es-ES"/>
        </w:rPr>
        <w:t>de</w:t>
      </w:r>
      <w:r w:rsidR="00772A62" w:rsidRPr="0048739B">
        <w:rPr>
          <w:rFonts w:eastAsia="Arial Narrow"/>
          <w:sz w:val="28"/>
          <w:szCs w:val="28"/>
          <w:lang w:val="es-ES"/>
        </w:rPr>
        <w:t xml:space="preserve"> los derechos fundamentales de los procesados. </w:t>
      </w:r>
    </w:p>
    <w:p w14:paraId="512FF718" w14:textId="77777777" w:rsidR="00FF3EC6" w:rsidRPr="0048739B" w:rsidRDefault="00FF3EC6" w:rsidP="0048739B">
      <w:pPr>
        <w:spacing w:after="0" w:line="240" w:lineRule="auto"/>
        <w:ind w:right="48"/>
        <w:jc w:val="both"/>
        <w:textAlignment w:val="baseline"/>
        <w:rPr>
          <w:rFonts w:eastAsia="Arial Narrow"/>
          <w:sz w:val="28"/>
          <w:szCs w:val="28"/>
          <w:lang w:val="es-ES"/>
        </w:rPr>
      </w:pPr>
    </w:p>
    <w:p w14:paraId="7ADFF7F7" w14:textId="2C76757A" w:rsidR="001304C8" w:rsidRPr="0048739B" w:rsidRDefault="001304C8" w:rsidP="0048739B">
      <w:pPr>
        <w:spacing w:after="0" w:line="240" w:lineRule="auto"/>
        <w:ind w:right="48"/>
        <w:jc w:val="both"/>
        <w:textAlignment w:val="baseline"/>
        <w:rPr>
          <w:rFonts w:eastAsia="Arial Narrow"/>
          <w:b/>
          <w:sz w:val="28"/>
          <w:szCs w:val="28"/>
          <w:lang w:val="es-ES"/>
        </w:rPr>
      </w:pPr>
      <w:r w:rsidRPr="0048739B">
        <w:rPr>
          <w:rFonts w:eastAsia="Arial Narrow"/>
          <w:b/>
          <w:sz w:val="28"/>
          <w:szCs w:val="28"/>
          <w:lang w:val="es-ES"/>
        </w:rPr>
        <w:t xml:space="preserve">4.3. </w:t>
      </w:r>
      <w:r w:rsidR="00772A62" w:rsidRPr="0048739B">
        <w:rPr>
          <w:rFonts w:eastAsia="Arial Narrow"/>
          <w:b/>
          <w:sz w:val="28"/>
          <w:szCs w:val="28"/>
          <w:lang w:val="es-ES"/>
        </w:rPr>
        <w:t>Fiscalía General de la Nación</w:t>
      </w:r>
      <w:r w:rsidR="00FC1BE6" w:rsidRPr="0048739B">
        <w:rPr>
          <w:rStyle w:val="Refdenotaalpie"/>
          <w:rFonts w:eastAsia="Arial Narrow"/>
          <w:sz w:val="28"/>
          <w:szCs w:val="28"/>
          <w:lang w:val="es-ES"/>
        </w:rPr>
        <w:footnoteReference w:id="18"/>
      </w:r>
    </w:p>
    <w:p w14:paraId="0D11E348" w14:textId="77777777" w:rsidR="006A5B30" w:rsidRPr="0048739B" w:rsidRDefault="006A5B30" w:rsidP="0048739B">
      <w:pPr>
        <w:spacing w:after="0" w:line="240" w:lineRule="auto"/>
        <w:ind w:right="48"/>
        <w:jc w:val="both"/>
        <w:textAlignment w:val="baseline"/>
        <w:rPr>
          <w:rFonts w:eastAsia="Arial Narrow"/>
          <w:sz w:val="28"/>
          <w:szCs w:val="28"/>
          <w:lang w:val="es-ES"/>
        </w:rPr>
      </w:pPr>
    </w:p>
    <w:p w14:paraId="60F46DB5" w14:textId="346EDC2C" w:rsidR="00F168AB" w:rsidRPr="0048739B" w:rsidRDefault="00957806"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La </w:t>
      </w:r>
      <w:r w:rsidR="00822512" w:rsidRPr="0048739B">
        <w:rPr>
          <w:rFonts w:eastAsia="Arial Narrow"/>
          <w:sz w:val="28"/>
          <w:szCs w:val="28"/>
          <w:lang w:val="es-ES"/>
        </w:rPr>
        <w:t xml:space="preserve">Directora </w:t>
      </w:r>
      <w:r w:rsidRPr="0048739B">
        <w:rPr>
          <w:rFonts w:eastAsia="Arial Narrow"/>
          <w:sz w:val="28"/>
          <w:szCs w:val="28"/>
          <w:lang w:val="es-ES"/>
        </w:rPr>
        <w:t xml:space="preserve">de Asuntos Jurídicos de la Fiscalía General de la Nación presentó ante la Corte escrito justificativo de la </w:t>
      </w:r>
      <w:r w:rsidR="000F68C6" w:rsidRPr="0048739B">
        <w:rPr>
          <w:rFonts w:eastAsia="Times New Roman"/>
          <w:b/>
          <w:bCs/>
          <w:iCs/>
          <w:sz w:val="28"/>
          <w:szCs w:val="28"/>
          <w:lang w:val="es-ES" w:eastAsia="es-ES"/>
        </w:rPr>
        <w:t>CONSTITUCIONALIDAD</w:t>
      </w:r>
      <w:r w:rsidRPr="0048739B">
        <w:rPr>
          <w:rFonts w:eastAsia="Arial Narrow"/>
          <w:b/>
          <w:bCs/>
          <w:sz w:val="28"/>
          <w:szCs w:val="28"/>
          <w:lang w:val="es-ES"/>
        </w:rPr>
        <w:t xml:space="preserve"> </w:t>
      </w:r>
      <w:r w:rsidRPr="0048739B">
        <w:rPr>
          <w:rFonts w:eastAsia="Arial Narrow"/>
          <w:sz w:val="28"/>
          <w:szCs w:val="28"/>
          <w:lang w:val="es-ES"/>
        </w:rPr>
        <w:t xml:space="preserve">de la norma acusada. </w:t>
      </w:r>
    </w:p>
    <w:p w14:paraId="33F98A6D" w14:textId="07405304" w:rsidR="00957806" w:rsidRPr="0048739B" w:rsidRDefault="00957806" w:rsidP="0048739B">
      <w:pPr>
        <w:spacing w:after="0" w:line="240" w:lineRule="auto"/>
        <w:ind w:right="48"/>
        <w:jc w:val="both"/>
        <w:textAlignment w:val="baseline"/>
        <w:rPr>
          <w:rFonts w:eastAsia="Arial Narrow"/>
          <w:sz w:val="28"/>
          <w:szCs w:val="28"/>
          <w:lang w:val="es-ES"/>
        </w:rPr>
      </w:pPr>
    </w:p>
    <w:p w14:paraId="6C7908EC" w14:textId="31BEA872" w:rsidR="00C43947" w:rsidRPr="0048739B" w:rsidRDefault="00957806"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Luego de hacer una síntesis de los cargos planteados y los problemas jurídicos que </w:t>
      </w:r>
      <w:r w:rsidR="000F68C6" w:rsidRPr="0048739B">
        <w:rPr>
          <w:rFonts w:eastAsia="Arial Narrow"/>
          <w:sz w:val="28"/>
          <w:szCs w:val="28"/>
          <w:lang w:val="es-ES"/>
        </w:rPr>
        <w:t>plantea la demanda</w:t>
      </w:r>
      <w:r w:rsidRPr="0048739B">
        <w:rPr>
          <w:rFonts w:eastAsia="Arial Narrow"/>
          <w:sz w:val="28"/>
          <w:szCs w:val="28"/>
          <w:lang w:val="es-ES"/>
        </w:rPr>
        <w:t xml:space="preserve">, </w:t>
      </w:r>
      <w:r w:rsidR="00042194" w:rsidRPr="0048739B">
        <w:rPr>
          <w:rFonts w:eastAsia="Arial Narrow"/>
          <w:sz w:val="28"/>
          <w:szCs w:val="28"/>
          <w:lang w:val="es-ES"/>
        </w:rPr>
        <w:t>la</w:t>
      </w:r>
      <w:r w:rsidRPr="0048739B">
        <w:rPr>
          <w:rFonts w:eastAsia="Arial Narrow"/>
          <w:sz w:val="28"/>
          <w:szCs w:val="28"/>
          <w:lang w:val="es-ES"/>
        </w:rPr>
        <w:t xml:space="preserve"> interviniente </w:t>
      </w:r>
      <w:r w:rsidR="004C2F40" w:rsidRPr="0048739B">
        <w:rPr>
          <w:rFonts w:eastAsia="Arial Narrow"/>
          <w:sz w:val="28"/>
          <w:szCs w:val="28"/>
          <w:lang w:val="es-ES"/>
        </w:rPr>
        <w:t xml:space="preserve">resaltó </w:t>
      </w:r>
      <w:r w:rsidRPr="0048739B">
        <w:rPr>
          <w:rFonts w:eastAsia="Arial Narrow"/>
          <w:sz w:val="28"/>
          <w:szCs w:val="28"/>
          <w:lang w:val="es-ES"/>
        </w:rPr>
        <w:t xml:space="preserve">que el parágrafo acusado parcialmente </w:t>
      </w:r>
      <w:r w:rsidRPr="0048739B">
        <w:rPr>
          <w:rFonts w:eastAsia="Arial Narrow"/>
          <w:i/>
          <w:iCs/>
          <w:sz w:val="28"/>
          <w:szCs w:val="28"/>
          <w:lang w:val="es-ES"/>
        </w:rPr>
        <w:t xml:space="preserve">“puede tener, como en la mayoría de los debates constitucionales y en atención al carácter abierto de los textos jurídicos, varias interpretaciones posibles”. </w:t>
      </w:r>
      <w:r w:rsidRPr="0048739B">
        <w:rPr>
          <w:rFonts w:eastAsia="Arial Narrow"/>
          <w:sz w:val="28"/>
          <w:szCs w:val="28"/>
          <w:lang w:val="es-ES"/>
        </w:rPr>
        <w:t xml:space="preserve">Una es la planteada </w:t>
      </w:r>
      <w:r w:rsidR="004C2F40" w:rsidRPr="0048739B">
        <w:rPr>
          <w:rFonts w:eastAsia="Arial Narrow"/>
          <w:sz w:val="28"/>
          <w:szCs w:val="28"/>
          <w:lang w:val="es-ES"/>
        </w:rPr>
        <w:t xml:space="preserve">por </w:t>
      </w:r>
      <w:r w:rsidRPr="0048739B">
        <w:rPr>
          <w:rFonts w:eastAsia="Arial Narrow"/>
          <w:sz w:val="28"/>
          <w:szCs w:val="28"/>
          <w:lang w:val="es-ES"/>
        </w:rPr>
        <w:t xml:space="preserve">los demandantes, a partir de la cual derivan la desprotección para las comunicaciones de los auxiliadores, partícipes o coautoras </w:t>
      </w:r>
      <w:r w:rsidR="00DE11DF" w:rsidRPr="0048739B">
        <w:rPr>
          <w:rFonts w:eastAsia="Arial Narrow"/>
          <w:sz w:val="28"/>
          <w:szCs w:val="28"/>
          <w:lang w:val="es-ES"/>
        </w:rPr>
        <w:t>del delito investigado.</w:t>
      </w:r>
      <w:r w:rsidR="00C43947" w:rsidRPr="0048739B">
        <w:rPr>
          <w:rFonts w:eastAsia="Arial Narrow"/>
          <w:sz w:val="28"/>
          <w:szCs w:val="28"/>
          <w:lang w:val="es-ES"/>
        </w:rPr>
        <w:t xml:space="preserve"> </w:t>
      </w:r>
      <w:r w:rsidR="007A6EB6" w:rsidRPr="0048739B">
        <w:rPr>
          <w:rFonts w:eastAsia="Arial Narrow"/>
          <w:sz w:val="28"/>
          <w:szCs w:val="28"/>
          <w:lang w:val="es-ES"/>
        </w:rPr>
        <w:t xml:space="preserve">A partir de esta </w:t>
      </w:r>
      <w:r w:rsidR="004C2F40" w:rsidRPr="0048739B">
        <w:rPr>
          <w:rFonts w:eastAsia="Arial Narrow"/>
          <w:sz w:val="28"/>
          <w:szCs w:val="28"/>
          <w:lang w:val="es-ES"/>
        </w:rPr>
        <w:t xml:space="preserve">primera </w:t>
      </w:r>
      <w:r w:rsidR="007A6EB6" w:rsidRPr="0048739B">
        <w:rPr>
          <w:rFonts w:eastAsia="Arial Narrow"/>
          <w:sz w:val="28"/>
          <w:szCs w:val="28"/>
          <w:lang w:val="es-ES"/>
        </w:rPr>
        <w:t xml:space="preserve">comprensión del precepto, para el interviniente resultaría evidente su inconstitucionalidad, </w:t>
      </w:r>
      <w:r w:rsidR="004C2F40" w:rsidRPr="0048739B">
        <w:rPr>
          <w:rFonts w:eastAsia="Arial Narrow"/>
          <w:sz w:val="28"/>
          <w:szCs w:val="28"/>
          <w:lang w:val="es-ES"/>
        </w:rPr>
        <w:t>toda vez que implica</w:t>
      </w:r>
      <w:r w:rsidR="008A1D0F" w:rsidRPr="0048739B">
        <w:rPr>
          <w:rFonts w:eastAsia="Arial Narrow"/>
          <w:sz w:val="28"/>
          <w:szCs w:val="28"/>
          <w:lang w:val="es-ES"/>
        </w:rPr>
        <w:t>ría</w:t>
      </w:r>
      <w:r w:rsidR="007A6EB6" w:rsidRPr="0048739B">
        <w:rPr>
          <w:rFonts w:eastAsia="Arial Narrow"/>
          <w:sz w:val="28"/>
          <w:szCs w:val="28"/>
          <w:lang w:val="es-ES"/>
        </w:rPr>
        <w:t xml:space="preserve"> un tratamiento discriminatorio injustificado. </w:t>
      </w:r>
    </w:p>
    <w:p w14:paraId="267A45A1" w14:textId="77777777" w:rsidR="00C43947" w:rsidRPr="0048739B" w:rsidRDefault="00C43947" w:rsidP="0048739B">
      <w:pPr>
        <w:spacing w:after="0" w:line="240" w:lineRule="auto"/>
        <w:ind w:right="48"/>
        <w:jc w:val="both"/>
        <w:textAlignment w:val="baseline"/>
        <w:rPr>
          <w:rFonts w:eastAsia="Arial Narrow"/>
          <w:sz w:val="28"/>
          <w:szCs w:val="28"/>
          <w:lang w:val="es-ES"/>
        </w:rPr>
      </w:pPr>
    </w:p>
    <w:p w14:paraId="70B2DF57" w14:textId="679BAB61" w:rsidR="00DE11DF" w:rsidRPr="0048739B" w:rsidRDefault="00D47D9D"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Sin embargo, una </w:t>
      </w:r>
      <w:r w:rsidR="00C43947" w:rsidRPr="0048739B">
        <w:rPr>
          <w:rFonts w:eastAsia="Arial Narrow"/>
          <w:sz w:val="28"/>
          <w:szCs w:val="28"/>
          <w:lang w:val="es-ES"/>
        </w:rPr>
        <w:t xml:space="preserve">lectura </w:t>
      </w:r>
      <w:r w:rsidRPr="0048739B">
        <w:rPr>
          <w:rFonts w:eastAsia="Arial Narrow"/>
          <w:sz w:val="28"/>
          <w:szCs w:val="28"/>
          <w:lang w:val="es-ES"/>
        </w:rPr>
        <w:t>integral del artículo 223 acusado, permite una interpretación diferente y compatible con las normas constitucionales. De acuerdo con esta interpretación</w:t>
      </w:r>
      <w:r w:rsidR="008A1D0F" w:rsidRPr="0048739B">
        <w:rPr>
          <w:rFonts w:eastAsia="Arial Narrow"/>
          <w:sz w:val="28"/>
          <w:szCs w:val="28"/>
          <w:lang w:val="es-ES"/>
        </w:rPr>
        <w:t>,</w:t>
      </w:r>
      <w:r w:rsidRPr="0048739B">
        <w:rPr>
          <w:rFonts w:eastAsia="Arial Narrow"/>
          <w:sz w:val="28"/>
          <w:szCs w:val="28"/>
          <w:lang w:val="es-ES"/>
        </w:rPr>
        <w:t xml:space="preserve"> y de manera análoga a como lo expresó Corte Suprema de Justicia, la norma puede ser comprendida en el sentido </w:t>
      </w:r>
      <w:r w:rsidR="00090422" w:rsidRPr="0048739B">
        <w:rPr>
          <w:rFonts w:eastAsia="Arial Narrow"/>
          <w:sz w:val="28"/>
          <w:szCs w:val="28"/>
          <w:lang w:val="es-ES"/>
        </w:rPr>
        <w:t xml:space="preserve">de </w:t>
      </w:r>
      <w:r w:rsidRPr="0048739B">
        <w:rPr>
          <w:rFonts w:eastAsia="Arial Narrow"/>
          <w:sz w:val="28"/>
          <w:szCs w:val="28"/>
          <w:lang w:val="es-ES"/>
        </w:rPr>
        <w:t xml:space="preserve">que </w:t>
      </w:r>
      <w:r w:rsidR="00632171" w:rsidRPr="0048739B">
        <w:rPr>
          <w:rFonts w:eastAsia="Arial Narrow"/>
          <w:sz w:val="28"/>
          <w:szCs w:val="28"/>
          <w:lang w:val="es-ES"/>
        </w:rPr>
        <w:t>esa garantía</w:t>
      </w:r>
      <w:r w:rsidRPr="0048739B">
        <w:rPr>
          <w:rFonts w:eastAsia="Arial Narrow"/>
          <w:sz w:val="28"/>
          <w:szCs w:val="28"/>
          <w:lang w:val="es-ES"/>
        </w:rPr>
        <w:t xml:space="preserve"> desaparece cuando su titular renuncia</w:t>
      </w:r>
      <w:r w:rsidR="00090422" w:rsidRPr="0048739B">
        <w:rPr>
          <w:rFonts w:eastAsia="Arial Narrow"/>
          <w:sz w:val="28"/>
          <w:szCs w:val="28"/>
          <w:lang w:val="es-ES"/>
        </w:rPr>
        <w:t xml:space="preserve"> a él</w:t>
      </w:r>
      <w:r w:rsidRPr="0048739B">
        <w:rPr>
          <w:rFonts w:eastAsia="Arial Narrow"/>
          <w:sz w:val="28"/>
          <w:szCs w:val="28"/>
          <w:lang w:val="es-ES"/>
        </w:rPr>
        <w:t xml:space="preserve"> o cuando </w:t>
      </w:r>
      <w:r w:rsidRPr="0048739B">
        <w:rPr>
          <w:rFonts w:eastAsia="Arial Narrow"/>
          <w:i/>
          <w:iCs/>
          <w:sz w:val="28"/>
          <w:szCs w:val="28"/>
          <w:lang w:val="es-ES"/>
        </w:rPr>
        <w:t xml:space="preserve">“los abogados o las personas excluidas del deber de testificar se encuentran </w:t>
      </w:r>
      <w:r w:rsidR="00090422" w:rsidRPr="0048739B">
        <w:rPr>
          <w:rFonts w:eastAsia="Arial Narrow"/>
          <w:i/>
          <w:iCs/>
          <w:sz w:val="28"/>
          <w:szCs w:val="28"/>
          <w:lang w:val="es-ES"/>
        </w:rPr>
        <w:t>‘</w:t>
      </w:r>
      <w:r w:rsidRPr="0048739B">
        <w:rPr>
          <w:rFonts w:eastAsia="Arial Narrow"/>
          <w:i/>
          <w:iCs/>
          <w:sz w:val="28"/>
          <w:szCs w:val="28"/>
          <w:lang w:val="es-ES"/>
        </w:rPr>
        <w:t>vinculados</w:t>
      </w:r>
      <w:r w:rsidR="00090422" w:rsidRPr="0048739B">
        <w:rPr>
          <w:rFonts w:eastAsia="Arial Narrow"/>
          <w:i/>
          <w:iCs/>
          <w:sz w:val="28"/>
          <w:szCs w:val="28"/>
          <w:lang w:val="es-ES"/>
        </w:rPr>
        <w:t>’</w:t>
      </w:r>
      <w:r w:rsidRPr="0048739B">
        <w:rPr>
          <w:rFonts w:eastAsia="Arial Narrow"/>
          <w:i/>
          <w:iCs/>
          <w:sz w:val="28"/>
          <w:szCs w:val="28"/>
          <w:lang w:val="es-ES"/>
        </w:rPr>
        <w:t xml:space="preserve"> en la comisión de un delito o impiden la actuación de las autoridades de la administración de justicia”.</w:t>
      </w:r>
      <w:r w:rsidRPr="0048739B">
        <w:rPr>
          <w:rFonts w:eastAsia="Arial Narrow"/>
          <w:sz w:val="28"/>
          <w:szCs w:val="28"/>
          <w:lang w:val="es-ES"/>
        </w:rPr>
        <w:t xml:space="preserve"> A partir de esa interpretación,</w:t>
      </w:r>
      <w:r w:rsidR="008A316C" w:rsidRPr="0048739B">
        <w:rPr>
          <w:rFonts w:eastAsia="Arial Narrow"/>
          <w:sz w:val="28"/>
          <w:szCs w:val="28"/>
          <w:lang w:val="es-ES"/>
        </w:rPr>
        <w:t xml:space="preserve"> la norma acusada no consagra</w:t>
      </w:r>
      <w:r w:rsidRPr="0048739B">
        <w:rPr>
          <w:rFonts w:eastAsia="Arial Narrow"/>
          <w:sz w:val="28"/>
          <w:szCs w:val="28"/>
          <w:lang w:val="es-ES"/>
        </w:rPr>
        <w:t xml:space="preserve"> la distinción entre tipos de partícipes en el delito, con </w:t>
      </w:r>
      <w:r w:rsidR="00180E1C" w:rsidRPr="0048739B">
        <w:rPr>
          <w:rFonts w:eastAsia="Arial Narrow"/>
          <w:sz w:val="28"/>
          <w:szCs w:val="28"/>
          <w:lang w:val="es-ES"/>
        </w:rPr>
        <w:t xml:space="preserve">base en la cual se construye </w:t>
      </w:r>
      <w:r w:rsidRPr="0048739B">
        <w:rPr>
          <w:rFonts w:eastAsia="Arial Narrow"/>
          <w:sz w:val="28"/>
          <w:szCs w:val="28"/>
          <w:lang w:val="es-ES"/>
        </w:rPr>
        <w:t xml:space="preserve">el cargo por violación del derecho a la igualdad. </w:t>
      </w:r>
    </w:p>
    <w:p w14:paraId="39A25204" w14:textId="23313C8C" w:rsidR="00D47D9D" w:rsidRPr="0048739B" w:rsidRDefault="00D47D9D" w:rsidP="0048739B">
      <w:pPr>
        <w:spacing w:after="0" w:line="240" w:lineRule="auto"/>
        <w:ind w:right="48"/>
        <w:jc w:val="both"/>
        <w:textAlignment w:val="baseline"/>
        <w:rPr>
          <w:rFonts w:eastAsia="Arial Narrow"/>
          <w:sz w:val="28"/>
          <w:szCs w:val="28"/>
          <w:lang w:val="es-ES"/>
        </w:rPr>
      </w:pPr>
    </w:p>
    <w:p w14:paraId="6E8E4FEC" w14:textId="7B49B524" w:rsidR="00042194" w:rsidRPr="0048739B" w:rsidRDefault="00A11184"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Respecto de los demás cargos propuestos, la Fiscalía General </w:t>
      </w:r>
      <w:r w:rsidR="0019262D" w:rsidRPr="0048739B">
        <w:rPr>
          <w:rFonts w:eastAsia="Arial Narrow"/>
          <w:sz w:val="28"/>
          <w:szCs w:val="28"/>
          <w:lang w:val="es-ES"/>
        </w:rPr>
        <w:t xml:space="preserve">de la Nación </w:t>
      </w:r>
      <w:r w:rsidR="00904181" w:rsidRPr="0048739B">
        <w:rPr>
          <w:rFonts w:eastAsia="Arial Narrow"/>
          <w:sz w:val="28"/>
          <w:szCs w:val="28"/>
          <w:lang w:val="es-ES"/>
        </w:rPr>
        <w:t xml:space="preserve">considera que dependen argumentativamente del tratamiento diferenciado que sostiene la demanda. En ese sentido, la expresión acusada resultaría constitucional respecto del derecho al debido proceso y la inviolabilidad del secreto profesional. </w:t>
      </w:r>
    </w:p>
    <w:p w14:paraId="74ABC674" w14:textId="77777777" w:rsidR="00042194" w:rsidRPr="0048739B" w:rsidRDefault="00042194" w:rsidP="0048739B">
      <w:pPr>
        <w:spacing w:after="0" w:line="240" w:lineRule="auto"/>
        <w:ind w:right="48"/>
        <w:jc w:val="both"/>
        <w:textAlignment w:val="baseline"/>
        <w:rPr>
          <w:rFonts w:eastAsia="Garamond"/>
          <w:spacing w:val="-2"/>
          <w:sz w:val="28"/>
          <w:szCs w:val="28"/>
          <w:lang w:val="es-ES"/>
        </w:rPr>
      </w:pPr>
    </w:p>
    <w:p w14:paraId="45ABFF36" w14:textId="76DC6E24" w:rsidR="000371D4" w:rsidRPr="0048739B" w:rsidRDefault="009F3B9F" w:rsidP="0048739B">
      <w:pPr>
        <w:tabs>
          <w:tab w:val="left" w:pos="8647"/>
        </w:tabs>
        <w:spacing w:after="0" w:line="240" w:lineRule="auto"/>
        <w:ind w:right="48"/>
        <w:jc w:val="both"/>
        <w:rPr>
          <w:rFonts w:eastAsia="Calibri"/>
          <w:b/>
          <w:iCs/>
          <w:sz w:val="28"/>
          <w:szCs w:val="28"/>
          <w:lang w:val="es-ES" w:eastAsia="es-ES"/>
        </w:rPr>
      </w:pPr>
      <w:r w:rsidRPr="0048739B">
        <w:rPr>
          <w:rFonts w:eastAsia="Calibri"/>
          <w:b/>
          <w:bCs/>
          <w:iCs/>
          <w:sz w:val="28"/>
          <w:szCs w:val="28"/>
          <w:lang w:val="es-ES" w:eastAsia="es-ES"/>
        </w:rPr>
        <w:t>4.</w:t>
      </w:r>
      <w:r w:rsidR="00582213" w:rsidRPr="0048739B">
        <w:rPr>
          <w:rFonts w:eastAsia="Calibri"/>
          <w:b/>
          <w:bCs/>
          <w:iCs/>
          <w:sz w:val="28"/>
          <w:szCs w:val="28"/>
          <w:lang w:val="es-ES" w:eastAsia="es-ES"/>
        </w:rPr>
        <w:t>4</w:t>
      </w:r>
      <w:r w:rsidR="000371D4" w:rsidRPr="0048739B">
        <w:rPr>
          <w:rFonts w:eastAsia="Calibri"/>
          <w:b/>
          <w:bCs/>
          <w:iCs/>
          <w:sz w:val="28"/>
          <w:szCs w:val="28"/>
          <w:lang w:val="es-ES" w:eastAsia="es-ES"/>
        </w:rPr>
        <w:t>.</w:t>
      </w:r>
      <w:r w:rsidR="00582213" w:rsidRPr="0048739B">
        <w:rPr>
          <w:rFonts w:eastAsia="Calibri"/>
          <w:b/>
          <w:bCs/>
          <w:iCs/>
          <w:sz w:val="28"/>
          <w:szCs w:val="28"/>
          <w:lang w:val="es-ES" w:eastAsia="es-ES"/>
        </w:rPr>
        <w:t xml:space="preserve"> Pontificia Universidad Javeriana</w:t>
      </w:r>
      <w:r w:rsidR="00227901" w:rsidRPr="0048739B">
        <w:rPr>
          <w:rStyle w:val="Refdenotaalpie"/>
          <w:rFonts w:eastAsia="Calibri"/>
          <w:iCs/>
          <w:sz w:val="28"/>
          <w:szCs w:val="28"/>
          <w:lang w:val="es-ES" w:eastAsia="es-ES"/>
        </w:rPr>
        <w:footnoteReference w:id="19"/>
      </w:r>
    </w:p>
    <w:p w14:paraId="726A979A" w14:textId="77777777" w:rsidR="00802413" w:rsidRPr="0048739B" w:rsidRDefault="00802413" w:rsidP="0048739B">
      <w:pPr>
        <w:tabs>
          <w:tab w:val="left" w:pos="8647"/>
        </w:tabs>
        <w:spacing w:after="0" w:line="240" w:lineRule="auto"/>
        <w:ind w:right="48"/>
        <w:jc w:val="both"/>
        <w:rPr>
          <w:rFonts w:eastAsia="Calibri"/>
          <w:b/>
          <w:bCs/>
          <w:iCs/>
          <w:sz w:val="28"/>
          <w:szCs w:val="28"/>
          <w:lang w:val="es-ES" w:eastAsia="es-ES"/>
        </w:rPr>
      </w:pPr>
    </w:p>
    <w:p w14:paraId="4433BFBE" w14:textId="4FAB9B94" w:rsidR="00444524" w:rsidRPr="0048739B" w:rsidRDefault="00582213" w:rsidP="0048739B">
      <w:pPr>
        <w:tabs>
          <w:tab w:val="left" w:pos="8647"/>
        </w:tabs>
        <w:spacing w:after="0" w:line="240" w:lineRule="auto"/>
        <w:ind w:right="48"/>
        <w:jc w:val="both"/>
        <w:rPr>
          <w:rFonts w:eastAsia="Calibri"/>
          <w:sz w:val="28"/>
          <w:szCs w:val="28"/>
          <w:lang w:val="es-ES" w:eastAsia="es-ES"/>
        </w:rPr>
      </w:pPr>
      <w:r w:rsidRPr="0048739B">
        <w:rPr>
          <w:rFonts w:eastAsia="Calibri"/>
          <w:sz w:val="28"/>
          <w:szCs w:val="28"/>
          <w:lang w:val="es-ES" w:eastAsia="es-ES"/>
        </w:rPr>
        <w:t xml:space="preserve">El profesor Norberto Hernández Jiménez, integrante del grupo de investigación en Justicia Social, Teoría Jurídica y Teoría Política de la Facultad de Ciencias Jurídicas de la Pontificia Universidad Javeriana, </w:t>
      </w:r>
      <w:r w:rsidR="00B23AFE" w:rsidRPr="0048739B">
        <w:rPr>
          <w:rFonts w:eastAsia="Calibri"/>
          <w:sz w:val="28"/>
          <w:szCs w:val="28"/>
          <w:lang w:val="es-ES" w:eastAsia="es-ES"/>
        </w:rPr>
        <w:t xml:space="preserve">solicitó </w:t>
      </w:r>
      <w:r w:rsidRPr="0048739B">
        <w:rPr>
          <w:rFonts w:eastAsia="Calibri"/>
          <w:sz w:val="28"/>
          <w:szCs w:val="28"/>
          <w:lang w:val="es-ES" w:eastAsia="es-ES"/>
        </w:rPr>
        <w:t xml:space="preserve">que la Corte adopte un fallo de </w:t>
      </w:r>
      <w:r w:rsidR="00180E1C" w:rsidRPr="0048739B">
        <w:rPr>
          <w:rFonts w:eastAsia="Times New Roman"/>
          <w:b/>
          <w:bCs/>
          <w:iCs/>
          <w:sz w:val="28"/>
          <w:szCs w:val="28"/>
          <w:lang w:val="es-ES" w:eastAsia="es-ES"/>
        </w:rPr>
        <w:t>EXEQUIBILIDAD CONDICIONADA</w:t>
      </w:r>
      <w:r w:rsidRPr="0048739B">
        <w:rPr>
          <w:rFonts w:eastAsia="Calibri"/>
          <w:b/>
          <w:bCs/>
          <w:sz w:val="28"/>
          <w:szCs w:val="28"/>
          <w:lang w:val="es-ES" w:eastAsia="es-ES"/>
        </w:rPr>
        <w:t xml:space="preserve"> </w:t>
      </w:r>
      <w:r w:rsidRPr="0048739B">
        <w:rPr>
          <w:rFonts w:eastAsia="Calibri"/>
          <w:sz w:val="28"/>
          <w:szCs w:val="28"/>
          <w:lang w:val="es-ES" w:eastAsia="es-ES"/>
        </w:rPr>
        <w:t>de la norma acusada</w:t>
      </w:r>
      <w:r w:rsidR="00444524" w:rsidRPr="0048739B">
        <w:rPr>
          <w:rFonts w:eastAsia="Calibri"/>
          <w:sz w:val="28"/>
          <w:szCs w:val="28"/>
          <w:lang w:val="es-ES" w:eastAsia="es-ES"/>
        </w:rPr>
        <w:t>, con el propósito de que la restricción al registro de documentos incluya al indiciado, imputado o acusado que haya sido autor de la conducta punible</w:t>
      </w:r>
      <w:r w:rsidR="00041EEC" w:rsidRPr="0048739B">
        <w:rPr>
          <w:rFonts w:eastAsia="Calibri"/>
          <w:sz w:val="28"/>
          <w:szCs w:val="28"/>
          <w:lang w:val="es-ES" w:eastAsia="es-ES"/>
        </w:rPr>
        <w:t xml:space="preserve">. Para él, la Corte debe </w:t>
      </w:r>
      <w:r w:rsidR="008717A2" w:rsidRPr="0048739B">
        <w:rPr>
          <w:rFonts w:eastAsia="Calibri"/>
          <w:sz w:val="28"/>
          <w:szCs w:val="28"/>
          <w:lang w:val="es-ES" w:eastAsia="es-ES"/>
        </w:rPr>
        <w:t>resaltar que la norma se ajusta a la Constitución</w:t>
      </w:r>
      <w:r w:rsidR="00B17EA6" w:rsidRPr="0048739B">
        <w:rPr>
          <w:rFonts w:eastAsia="Calibri"/>
          <w:sz w:val="28"/>
          <w:szCs w:val="28"/>
          <w:lang w:val="es-ES" w:eastAsia="es-ES"/>
        </w:rPr>
        <w:t xml:space="preserve"> solo</w:t>
      </w:r>
      <w:r w:rsidR="00444524" w:rsidRPr="0048739B">
        <w:rPr>
          <w:rFonts w:eastAsia="Calibri"/>
          <w:sz w:val="28"/>
          <w:szCs w:val="28"/>
          <w:lang w:val="es-ES" w:eastAsia="es-ES"/>
        </w:rPr>
        <w:t xml:space="preserve"> </w:t>
      </w:r>
      <w:r w:rsidR="00444524" w:rsidRPr="0048739B">
        <w:rPr>
          <w:rFonts w:eastAsia="Calibri"/>
          <w:i/>
          <w:iCs/>
          <w:sz w:val="28"/>
          <w:szCs w:val="28"/>
          <w:lang w:val="es-ES" w:eastAsia="es-ES"/>
        </w:rPr>
        <w:t>“en el entendido que las restricciones establecidas en los numerales 1, 2 y 3 no son aplicables cuando el privilegio desaparece por tratarse de personas vinculadas como autores, auxiliadores, partícipes o coautoras del delito investigado o de uno conexo o que se encuentre en curso, o se trate de situaciones que constituyan una obstrucción a la justicia”</w:t>
      </w:r>
      <w:r w:rsidR="00444524" w:rsidRPr="0048739B">
        <w:rPr>
          <w:rStyle w:val="Refdenotaalpie"/>
          <w:rFonts w:eastAsia="Calibri"/>
          <w:sz w:val="28"/>
          <w:szCs w:val="28"/>
          <w:lang w:val="es-ES" w:eastAsia="es-ES"/>
        </w:rPr>
        <w:footnoteReference w:id="20"/>
      </w:r>
      <w:r w:rsidR="00444524" w:rsidRPr="0048739B">
        <w:rPr>
          <w:rFonts w:eastAsia="Calibri"/>
          <w:sz w:val="28"/>
          <w:szCs w:val="28"/>
          <w:lang w:val="es-ES" w:eastAsia="es-ES"/>
        </w:rPr>
        <w:t>.</w:t>
      </w:r>
    </w:p>
    <w:p w14:paraId="5ACD4A4E" w14:textId="77777777" w:rsidR="00444524" w:rsidRPr="0048739B" w:rsidRDefault="00444524" w:rsidP="0048739B">
      <w:pPr>
        <w:tabs>
          <w:tab w:val="left" w:pos="8647"/>
        </w:tabs>
        <w:spacing w:after="0" w:line="240" w:lineRule="auto"/>
        <w:ind w:right="48"/>
        <w:jc w:val="both"/>
        <w:rPr>
          <w:rFonts w:eastAsia="Calibri"/>
          <w:sz w:val="28"/>
          <w:szCs w:val="28"/>
          <w:lang w:val="es-ES" w:eastAsia="es-ES"/>
        </w:rPr>
      </w:pPr>
    </w:p>
    <w:p w14:paraId="309D5CDB" w14:textId="4D0FB23E" w:rsidR="00582213" w:rsidRPr="0048739B" w:rsidRDefault="009E5BC9" w:rsidP="0048739B">
      <w:pPr>
        <w:tabs>
          <w:tab w:val="left" w:pos="8647"/>
        </w:tabs>
        <w:spacing w:after="0" w:line="240" w:lineRule="auto"/>
        <w:ind w:right="48"/>
        <w:jc w:val="both"/>
        <w:rPr>
          <w:rFonts w:eastAsia="Calibri"/>
          <w:sz w:val="28"/>
          <w:szCs w:val="28"/>
          <w:lang w:val="es-ES" w:eastAsia="es-ES"/>
        </w:rPr>
      </w:pPr>
      <w:r w:rsidRPr="0048739B">
        <w:rPr>
          <w:rFonts w:eastAsia="Calibri"/>
          <w:sz w:val="28"/>
          <w:szCs w:val="28"/>
          <w:lang w:val="es-ES" w:eastAsia="es-ES"/>
        </w:rPr>
        <w:t>El interviniente empieza por</w:t>
      </w:r>
      <w:r w:rsidR="00054649" w:rsidRPr="0048739B">
        <w:rPr>
          <w:rFonts w:eastAsia="Calibri"/>
          <w:sz w:val="28"/>
          <w:szCs w:val="28"/>
          <w:lang w:val="es-ES" w:eastAsia="es-ES"/>
        </w:rPr>
        <w:t xml:space="preserve"> señalar que el parágrafo </w:t>
      </w:r>
      <w:r w:rsidR="00B23AFE" w:rsidRPr="0048739B">
        <w:rPr>
          <w:rFonts w:eastAsia="Calibri"/>
          <w:sz w:val="28"/>
          <w:szCs w:val="28"/>
          <w:lang w:val="es-ES" w:eastAsia="es-ES"/>
        </w:rPr>
        <w:t xml:space="preserve">demandado </w:t>
      </w:r>
      <w:r w:rsidR="00054649" w:rsidRPr="0048739B">
        <w:rPr>
          <w:rFonts w:eastAsia="Calibri"/>
          <w:sz w:val="28"/>
          <w:szCs w:val="28"/>
          <w:lang w:val="es-ES" w:eastAsia="es-ES"/>
        </w:rPr>
        <w:t xml:space="preserve">hace referencia a los auxiliadores, a pesar de que esta es una categoría que no está prevista en el Código Penal como una de las personas que concurren en la realización de la conducta punible. No obstante, a partir de una interpretación amplia, </w:t>
      </w:r>
      <w:r w:rsidR="00B23AFE" w:rsidRPr="0048739B">
        <w:rPr>
          <w:rFonts w:eastAsia="Calibri"/>
          <w:sz w:val="28"/>
          <w:szCs w:val="28"/>
          <w:lang w:val="es-ES" w:eastAsia="es-ES"/>
        </w:rPr>
        <w:t xml:space="preserve">esa acepción podría </w:t>
      </w:r>
      <w:r w:rsidRPr="0048739B">
        <w:rPr>
          <w:rFonts w:eastAsia="Calibri"/>
          <w:sz w:val="28"/>
          <w:szCs w:val="28"/>
          <w:lang w:val="es-ES" w:eastAsia="es-ES"/>
        </w:rPr>
        <w:t>incluirse en la</w:t>
      </w:r>
      <w:r w:rsidR="00054649" w:rsidRPr="0048739B">
        <w:rPr>
          <w:rFonts w:eastAsia="Calibri"/>
          <w:sz w:val="28"/>
          <w:szCs w:val="28"/>
          <w:lang w:val="es-ES" w:eastAsia="es-ES"/>
        </w:rPr>
        <w:t xml:space="preserve"> de cómplices, lo que haría redundante la expresión </w:t>
      </w:r>
      <w:r w:rsidR="00054649" w:rsidRPr="0048739B">
        <w:rPr>
          <w:rFonts w:eastAsia="Calibri"/>
          <w:i/>
          <w:iCs/>
          <w:sz w:val="28"/>
          <w:szCs w:val="28"/>
          <w:lang w:val="es-ES" w:eastAsia="es-ES"/>
        </w:rPr>
        <w:t>“partícipes”</w:t>
      </w:r>
      <w:r w:rsidR="00054649" w:rsidRPr="0048739B">
        <w:rPr>
          <w:rFonts w:eastAsia="Calibri"/>
          <w:sz w:val="28"/>
          <w:szCs w:val="28"/>
          <w:lang w:val="es-ES" w:eastAsia="es-ES"/>
        </w:rPr>
        <w:t xml:space="preserve">, que sí contempla el aparte demandado. </w:t>
      </w:r>
    </w:p>
    <w:p w14:paraId="5F4BC83B" w14:textId="794D773E" w:rsidR="00054649" w:rsidRPr="0048739B" w:rsidRDefault="00054649" w:rsidP="0048739B">
      <w:pPr>
        <w:tabs>
          <w:tab w:val="left" w:pos="8647"/>
        </w:tabs>
        <w:spacing w:after="0" w:line="240" w:lineRule="auto"/>
        <w:ind w:right="48"/>
        <w:jc w:val="both"/>
        <w:rPr>
          <w:rFonts w:eastAsia="Calibri"/>
          <w:sz w:val="28"/>
          <w:szCs w:val="28"/>
          <w:lang w:val="es-ES" w:eastAsia="es-ES"/>
        </w:rPr>
      </w:pPr>
    </w:p>
    <w:p w14:paraId="2BE47EC2" w14:textId="6A6F9A24" w:rsidR="00054649" w:rsidRPr="0048739B" w:rsidRDefault="00054649" w:rsidP="0048739B">
      <w:pPr>
        <w:tabs>
          <w:tab w:val="left" w:pos="8647"/>
        </w:tabs>
        <w:spacing w:after="0" w:line="240" w:lineRule="auto"/>
        <w:ind w:right="48"/>
        <w:jc w:val="both"/>
        <w:rPr>
          <w:rFonts w:eastAsia="Calibri"/>
          <w:sz w:val="28"/>
          <w:szCs w:val="28"/>
          <w:lang w:val="es-ES" w:eastAsia="es-ES"/>
        </w:rPr>
      </w:pPr>
      <w:r w:rsidRPr="0048739B">
        <w:rPr>
          <w:rFonts w:eastAsia="Calibri"/>
          <w:sz w:val="28"/>
          <w:szCs w:val="28"/>
          <w:lang w:val="es-ES" w:eastAsia="es-ES"/>
        </w:rPr>
        <w:t>Ahora bien, en lo que respecta a</w:t>
      </w:r>
      <w:r w:rsidR="00422CA9" w:rsidRPr="0048739B">
        <w:rPr>
          <w:rFonts w:eastAsia="Calibri"/>
          <w:sz w:val="28"/>
          <w:szCs w:val="28"/>
          <w:lang w:val="es-ES" w:eastAsia="es-ES"/>
        </w:rPr>
        <w:t xml:space="preserve"> </w:t>
      </w:r>
      <w:r w:rsidRPr="0048739B">
        <w:rPr>
          <w:rFonts w:eastAsia="Calibri"/>
          <w:sz w:val="28"/>
          <w:szCs w:val="28"/>
          <w:lang w:val="es-ES" w:eastAsia="es-ES"/>
        </w:rPr>
        <w:t>l</w:t>
      </w:r>
      <w:r w:rsidR="00422CA9" w:rsidRPr="0048739B">
        <w:rPr>
          <w:rFonts w:eastAsia="Calibri"/>
          <w:sz w:val="28"/>
          <w:szCs w:val="28"/>
          <w:lang w:val="es-ES" w:eastAsia="es-ES"/>
        </w:rPr>
        <w:t>os</w:t>
      </w:r>
      <w:r w:rsidRPr="0048739B">
        <w:rPr>
          <w:rFonts w:eastAsia="Calibri"/>
          <w:sz w:val="28"/>
          <w:szCs w:val="28"/>
          <w:lang w:val="es-ES" w:eastAsia="es-ES"/>
        </w:rPr>
        <w:t xml:space="preserve"> cargo</w:t>
      </w:r>
      <w:r w:rsidR="00422CA9" w:rsidRPr="0048739B">
        <w:rPr>
          <w:rFonts w:eastAsia="Calibri"/>
          <w:sz w:val="28"/>
          <w:szCs w:val="28"/>
          <w:lang w:val="es-ES" w:eastAsia="es-ES"/>
        </w:rPr>
        <w:t>s</w:t>
      </w:r>
      <w:r w:rsidRPr="0048739B">
        <w:rPr>
          <w:rFonts w:eastAsia="Calibri"/>
          <w:sz w:val="28"/>
          <w:szCs w:val="28"/>
          <w:lang w:val="es-ES" w:eastAsia="es-ES"/>
        </w:rPr>
        <w:t xml:space="preserve"> planteado</w:t>
      </w:r>
      <w:r w:rsidR="00422CA9" w:rsidRPr="0048739B">
        <w:rPr>
          <w:rFonts w:eastAsia="Calibri"/>
          <w:sz w:val="28"/>
          <w:szCs w:val="28"/>
          <w:lang w:val="es-ES" w:eastAsia="es-ES"/>
        </w:rPr>
        <w:t>s</w:t>
      </w:r>
      <w:r w:rsidRPr="0048739B">
        <w:rPr>
          <w:rFonts w:eastAsia="Calibri"/>
          <w:sz w:val="28"/>
          <w:szCs w:val="28"/>
          <w:lang w:val="es-ES" w:eastAsia="es-ES"/>
        </w:rPr>
        <w:t xml:space="preserve">, el interviniente </w:t>
      </w:r>
      <w:r w:rsidR="003B5E16" w:rsidRPr="0048739B">
        <w:rPr>
          <w:rFonts w:eastAsia="Calibri"/>
          <w:sz w:val="28"/>
          <w:szCs w:val="28"/>
          <w:lang w:val="es-ES" w:eastAsia="es-ES"/>
        </w:rPr>
        <w:t xml:space="preserve">sostuvo </w:t>
      </w:r>
      <w:r w:rsidRPr="0048739B">
        <w:rPr>
          <w:rFonts w:eastAsia="Calibri"/>
          <w:sz w:val="28"/>
          <w:szCs w:val="28"/>
          <w:lang w:val="es-ES" w:eastAsia="es-ES"/>
        </w:rPr>
        <w:t xml:space="preserve">que los demandantes </w:t>
      </w:r>
      <w:r w:rsidR="003B5E16" w:rsidRPr="0048739B">
        <w:rPr>
          <w:rFonts w:eastAsia="Calibri"/>
          <w:sz w:val="28"/>
          <w:szCs w:val="28"/>
          <w:lang w:val="es-ES" w:eastAsia="es-ES"/>
        </w:rPr>
        <w:t xml:space="preserve">yerran </w:t>
      </w:r>
      <w:r w:rsidRPr="0048739B">
        <w:rPr>
          <w:rFonts w:eastAsia="Calibri"/>
          <w:sz w:val="28"/>
          <w:szCs w:val="28"/>
          <w:lang w:val="es-ES" w:eastAsia="es-ES"/>
        </w:rPr>
        <w:t xml:space="preserve">al considerar que se está ante un tratamiento discriminatorio injustificado. </w:t>
      </w:r>
      <w:r w:rsidR="003B5E16" w:rsidRPr="0048739B">
        <w:rPr>
          <w:rFonts w:eastAsia="Calibri"/>
          <w:sz w:val="28"/>
          <w:szCs w:val="28"/>
          <w:lang w:val="es-ES" w:eastAsia="es-ES"/>
        </w:rPr>
        <w:t xml:space="preserve">Para </w:t>
      </w:r>
      <w:r w:rsidR="00242648" w:rsidRPr="0048739B">
        <w:rPr>
          <w:rFonts w:eastAsia="Calibri"/>
          <w:sz w:val="28"/>
          <w:szCs w:val="28"/>
          <w:lang w:val="es-ES" w:eastAsia="es-ES"/>
        </w:rPr>
        <w:t>él</w:t>
      </w:r>
      <w:r w:rsidR="003B5E16" w:rsidRPr="0048739B">
        <w:rPr>
          <w:rFonts w:eastAsia="Calibri"/>
          <w:sz w:val="28"/>
          <w:szCs w:val="28"/>
          <w:lang w:val="es-ES" w:eastAsia="es-ES"/>
        </w:rPr>
        <w:t xml:space="preserve">, </w:t>
      </w:r>
      <w:r w:rsidRPr="0048739B">
        <w:rPr>
          <w:rFonts w:eastAsia="Calibri"/>
          <w:sz w:val="28"/>
          <w:szCs w:val="28"/>
          <w:lang w:val="es-ES" w:eastAsia="es-ES"/>
        </w:rPr>
        <w:t xml:space="preserve">pretender que por el solo hecho </w:t>
      </w:r>
      <w:r w:rsidR="003B5E16" w:rsidRPr="0048739B">
        <w:rPr>
          <w:rFonts w:eastAsia="Calibri"/>
          <w:sz w:val="28"/>
          <w:szCs w:val="28"/>
          <w:lang w:val="es-ES" w:eastAsia="es-ES"/>
        </w:rPr>
        <w:t xml:space="preserve">de </w:t>
      </w:r>
      <w:r w:rsidRPr="0048739B">
        <w:rPr>
          <w:rFonts w:eastAsia="Calibri"/>
          <w:sz w:val="28"/>
          <w:szCs w:val="28"/>
          <w:lang w:val="es-ES" w:eastAsia="es-ES"/>
        </w:rPr>
        <w:t>que una persona tenga el título de abogado o esté excluida legalmente del deber de testificar, esté cubierta por la imposibilidad de registro de sus comunicaciones, configura un</w:t>
      </w:r>
      <w:r w:rsidR="005320B8" w:rsidRPr="0048739B">
        <w:rPr>
          <w:rFonts w:eastAsia="Calibri"/>
          <w:sz w:val="28"/>
          <w:szCs w:val="28"/>
          <w:lang w:val="es-ES" w:eastAsia="es-ES"/>
        </w:rPr>
        <w:t>a</w:t>
      </w:r>
      <w:r w:rsidRPr="0048739B">
        <w:rPr>
          <w:rFonts w:eastAsia="Calibri"/>
          <w:sz w:val="28"/>
          <w:szCs w:val="28"/>
          <w:lang w:val="es-ES" w:eastAsia="es-ES"/>
        </w:rPr>
        <w:t xml:space="preserve"> inaceptable </w:t>
      </w:r>
      <w:r w:rsidR="005320B8" w:rsidRPr="0048739B">
        <w:rPr>
          <w:rFonts w:eastAsia="Calibri"/>
          <w:sz w:val="28"/>
          <w:szCs w:val="28"/>
          <w:lang w:val="es-ES" w:eastAsia="es-ES"/>
        </w:rPr>
        <w:t>garantía</w:t>
      </w:r>
      <w:r w:rsidRPr="0048739B">
        <w:rPr>
          <w:rFonts w:eastAsia="Calibri"/>
          <w:sz w:val="28"/>
          <w:szCs w:val="28"/>
          <w:lang w:val="es-ES" w:eastAsia="es-ES"/>
        </w:rPr>
        <w:t xml:space="preserve"> </w:t>
      </w:r>
      <w:r w:rsidR="00675058" w:rsidRPr="0048739B">
        <w:rPr>
          <w:rFonts w:eastAsia="Calibri"/>
          <w:sz w:val="28"/>
          <w:szCs w:val="28"/>
          <w:lang w:val="es-ES" w:eastAsia="es-ES"/>
        </w:rPr>
        <w:t>sindicado-sindicado</w:t>
      </w:r>
      <w:r w:rsidR="00262E7C" w:rsidRPr="0048739B">
        <w:rPr>
          <w:rStyle w:val="Refdenotaalpie"/>
          <w:rFonts w:eastAsia="Calibri"/>
          <w:sz w:val="28"/>
          <w:szCs w:val="28"/>
          <w:lang w:val="es-ES" w:eastAsia="es-ES"/>
        </w:rPr>
        <w:footnoteReference w:id="21"/>
      </w:r>
      <w:r w:rsidR="00675058" w:rsidRPr="0048739B">
        <w:rPr>
          <w:rFonts w:eastAsia="Calibri"/>
          <w:sz w:val="28"/>
          <w:szCs w:val="28"/>
          <w:lang w:val="es-ES" w:eastAsia="es-ES"/>
        </w:rPr>
        <w:t>.</w:t>
      </w:r>
      <w:r w:rsidR="00AC18CA" w:rsidRPr="0048739B">
        <w:rPr>
          <w:rFonts w:eastAsia="Calibri"/>
          <w:sz w:val="28"/>
          <w:szCs w:val="28"/>
          <w:lang w:val="es-ES" w:eastAsia="es-ES"/>
        </w:rPr>
        <w:t xml:space="preserve"> </w:t>
      </w:r>
    </w:p>
    <w:p w14:paraId="5B9534D7" w14:textId="0618FDAA" w:rsidR="00675058" w:rsidRPr="0048739B" w:rsidRDefault="00675058" w:rsidP="0048739B">
      <w:pPr>
        <w:tabs>
          <w:tab w:val="left" w:pos="8647"/>
        </w:tabs>
        <w:spacing w:after="0" w:line="240" w:lineRule="auto"/>
        <w:ind w:right="48"/>
        <w:jc w:val="both"/>
        <w:rPr>
          <w:rFonts w:eastAsia="Calibri"/>
          <w:sz w:val="28"/>
          <w:szCs w:val="28"/>
          <w:lang w:val="es-ES" w:eastAsia="es-ES"/>
        </w:rPr>
      </w:pPr>
    </w:p>
    <w:p w14:paraId="07C82945" w14:textId="48325C33" w:rsidR="00675058" w:rsidRPr="0048739B" w:rsidRDefault="00BC1365" w:rsidP="0048739B">
      <w:pPr>
        <w:tabs>
          <w:tab w:val="left" w:pos="8647"/>
        </w:tabs>
        <w:spacing w:after="0" w:line="240" w:lineRule="auto"/>
        <w:ind w:right="48"/>
        <w:jc w:val="both"/>
        <w:rPr>
          <w:rFonts w:eastAsia="Calibri"/>
          <w:sz w:val="28"/>
          <w:szCs w:val="28"/>
          <w:lang w:val="es-ES" w:eastAsia="es-ES"/>
        </w:rPr>
      </w:pPr>
      <w:r w:rsidRPr="0048739B">
        <w:rPr>
          <w:rFonts w:eastAsia="Calibri"/>
          <w:sz w:val="28"/>
          <w:szCs w:val="28"/>
          <w:lang w:val="es-ES" w:eastAsia="es-ES"/>
        </w:rPr>
        <w:t xml:space="preserve">Dicha imposibilidad </w:t>
      </w:r>
      <w:r w:rsidR="00AC0D8D" w:rsidRPr="0048739B">
        <w:rPr>
          <w:rFonts w:eastAsia="Calibri"/>
          <w:sz w:val="28"/>
          <w:szCs w:val="28"/>
          <w:lang w:val="es-ES" w:eastAsia="es-ES"/>
        </w:rPr>
        <w:t>debe analizarse en los eventos en los que</w:t>
      </w:r>
      <w:r w:rsidR="00242648" w:rsidRPr="0048739B">
        <w:rPr>
          <w:rFonts w:eastAsia="Calibri"/>
          <w:sz w:val="28"/>
          <w:szCs w:val="28"/>
          <w:lang w:val="es-ES" w:eastAsia="es-ES"/>
        </w:rPr>
        <w:t xml:space="preserve"> </w:t>
      </w:r>
      <w:r w:rsidR="00BE7A8D" w:rsidRPr="0048739B">
        <w:rPr>
          <w:rFonts w:eastAsia="Calibri"/>
          <w:sz w:val="28"/>
          <w:szCs w:val="28"/>
          <w:lang w:val="es-ES" w:eastAsia="es-ES"/>
        </w:rPr>
        <w:t xml:space="preserve">las </w:t>
      </w:r>
      <w:r w:rsidRPr="0048739B">
        <w:rPr>
          <w:rFonts w:eastAsia="Calibri"/>
          <w:sz w:val="28"/>
          <w:szCs w:val="28"/>
          <w:lang w:val="es-ES" w:eastAsia="es-ES"/>
        </w:rPr>
        <w:t xml:space="preserve">personas sean coautoras o partícipes del </w:t>
      </w:r>
      <w:r w:rsidR="00BE7A8D" w:rsidRPr="0048739B">
        <w:rPr>
          <w:rFonts w:eastAsia="Calibri"/>
          <w:sz w:val="28"/>
          <w:szCs w:val="28"/>
          <w:lang w:val="es-ES" w:eastAsia="es-ES"/>
        </w:rPr>
        <w:t xml:space="preserve">mismo </w:t>
      </w:r>
      <w:r w:rsidRPr="0048739B">
        <w:rPr>
          <w:rFonts w:eastAsia="Calibri"/>
          <w:sz w:val="28"/>
          <w:szCs w:val="28"/>
          <w:lang w:val="es-ES" w:eastAsia="es-ES"/>
        </w:rPr>
        <w:t xml:space="preserve">delito investigado. En esos casos, </w:t>
      </w:r>
      <w:r w:rsidRPr="0048739B">
        <w:rPr>
          <w:rFonts w:eastAsia="Calibri"/>
          <w:i/>
          <w:iCs/>
          <w:sz w:val="28"/>
          <w:szCs w:val="28"/>
          <w:lang w:val="es-ES" w:eastAsia="es-ES"/>
        </w:rPr>
        <w:t>“el Estado tiene la obligación de activar el aparato penal con miras a establecer la responsabilidad penal de aquellos y evitar la impunidad. Así, serán susceptibles de registro las comunicaciones y archivos entre sindicados”</w:t>
      </w:r>
      <w:r w:rsidR="009E5BC9" w:rsidRPr="0048739B">
        <w:rPr>
          <w:rFonts w:eastAsia="Calibri"/>
          <w:i/>
          <w:iCs/>
          <w:sz w:val="28"/>
          <w:szCs w:val="28"/>
          <w:lang w:val="es-ES" w:eastAsia="es-ES"/>
        </w:rPr>
        <w:t xml:space="preserve">. </w:t>
      </w:r>
      <w:r w:rsidRPr="0048739B">
        <w:rPr>
          <w:rFonts w:eastAsia="Calibri"/>
          <w:i/>
          <w:iCs/>
          <w:sz w:val="28"/>
          <w:szCs w:val="28"/>
          <w:lang w:val="es-ES" w:eastAsia="es-ES"/>
        </w:rPr>
        <w:t xml:space="preserve"> </w:t>
      </w:r>
      <w:r w:rsidR="00AC18CA" w:rsidRPr="0048739B">
        <w:rPr>
          <w:rFonts w:eastAsia="Calibri"/>
          <w:sz w:val="28"/>
          <w:szCs w:val="28"/>
          <w:lang w:val="es-ES" w:eastAsia="es-ES"/>
        </w:rPr>
        <w:t xml:space="preserve">En ese sentido, la Universidad se basa en la misma interpretación integral expresada en otras intervenciones, de acuerdo con la cual el parágrafo debe </w:t>
      </w:r>
      <w:r w:rsidR="008473C3" w:rsidRPr="0048739B">
        <w:rPr>
          <w:rFonts w:eastAsia="Calibri"/>
          <w:sz w:val="28"/>
          <w:szCs w:val="28"/>
          <w:lang w:val="es-ES" w:eastAsia="es-ES"/>
        </w:rPr>
        <w:t xml:space="preserve">apreciarse </w:t>
      </w:r>
      <w:r w:rsidR="00AC18CA" w:rsidRPr="0048739B">
        <w:rPr>
          <w:rFonts w:eastAsia="Calibri"/>
          <w:sz w:val="28"/>
          <w:szCs w:val="28"/>
          <w:lang w:val="es-ES" w:eastAsia="es-ES"/>
        </w:rPr>
        <w:t xml:space="preserve">en el sentido de que las comunicaciones </w:t>
      </w:r>
      <w:r w:rsidR="008473C3" w:rsidRPr="0048739B">
        <w:rPr>
          <w:rFonts w:eastAsia="Calibri"/>
          <w:sz w:val="28"/>
          <w:szCs w:val="28"/>
          <w:lang w:val="es-ES" w:eastAsia="es-ES"/>
        </w:rPr>
        <w:t xml:space="preserve">no protegidas por </w:t>
      </w:r>
      <w:r w:rsidR="00180E1C" w:rsidRPr="0048739B">
        <w:rPr>
          <w:rFonts w:eastAsia="Calibri"/>
          <w:sz w:val="28"/>
          <w:szCs w:val="28"/>
          <w:lang w:val="es-ES" w:eastAsia="es-ES"/>
        </w:rPr>
        <w:t>la prohibición d</w:t>
      </w:r>
      <w:r w:rsidR="008473C3" w:rsidRPr="0048739B">
        <w:rPr>
          <w:rFonts w:eastAsia="Calibri"/>
          <w:sz w:val="28"/>
          <w:szCs w:val="28"/>
          <w:lang w:val="es-ES" w:eastAsia="es-ES"/>
        </w:rPr>
        <w:t xml:space="preserve">el registro </w:t>
      </w:r>
      <w:r w:rsidR="00AC18CA" w:rsidRPr="0048739B">
        <w:rPr>
          <w:rFonts w:eastAsia="Calibri"/>
          <w:sz w:val="28"/>
          <w:szCs w:val="28"/>
          <w:lang w:val="es-ES" w:eastAsia="es-ES"/>
        </w:rPr>
        <w:t xml:space="preserve">son </w:t>
      </w:r>
      <w:r w:rsidR="008473C3" w:rsidRPr="0048739B">
        <w:rPr>
          <w:rFonts w:eastAsia="Calibri"/>
          <w:sz w:val="28"/>
          <w:szCs w:val="28"/>
          <w:lang w:val="es-ES" w:eastAsia="es-ES"/>
        </w:rPr>
        <w:t xml:space="preserve">las que se dan </w:t>
      </w:r>
      <w:r w:rsidR="00AC18CA" w:rsidRPr="0048739B">
        <w:rPr>
          <w:rFonts w:eastAsia="Calibri"/>
          <w:sz w:val="28"/>
          <w:szCs w:val="28"/>
          <w:lang w:val="es-ES" w:eastAsia="es-ES"/>
        </w:rPr>
        <w:t xml:space="preserve">entre los coautores o partícipes. </w:t>
      </w:r>
    </w:p>
    <w:p w14:paraId="5CFDF43B" w14:textId="158F5E0B" w:rsidR="00AC18CA" w:rsidRPr="0048739B" w:rsidRDefault="00AC18CA" w:rsidP="0048739B">
      <w:pPr>
        <w:tabs>
          <w:tab w:val="left" w:pos="8647"/>
        </w:tabs>
        <w:spacing w:after="0" w:line="240" w:lineRule="auto"/>
        <w:ind w:right="48"/>
        <w:jc w:val="both"/>
        <w:rPr>
          <w:rFonts w:eastAsia="Calibri"/>
          <w:sz w:val="28"/>
          <w:szCs w:val="28"/>
          <w:lang w:val="es-ES" w:eastAsia="es-ES"/>
        </w:rPr>
      </w:pPr>
    </w:p>
    <w:p w14:paraId="3BA0D833" w14:textId="6D670852" w:rsidR="00B17EA6" w:rsidRPr="0048739B" w:rsidRDefault="00AC18CA" w:rsidP="0048739B">
      <w:pPr>
        <w:tabs>
          <w:tab w:val="left" w:pos="8647"/>
        </w:tabs>
        <w:spacing w:after="0" w:line="240" w:lineRule="auto"/>
        <w:ind w:right="48"/>
        <w:jc w:val="both"/>
        <w:rPr>
          <w:rFonts w:eastAsia="Calibri"/>
          <w:sz w:val="28"/>
          <w:szCs w:val="28"/>
          <w:lang w:val="es-ES" w:eastAsia="es-ES"/>
        </w:rPr>
      </w:pPr>
      <w:r w:rsidRPr="0048739B">
        <w:rPr>
          <w:rFonts w:eastAsia="Calibri"/>
          <w:sz w:val="28"/>
          <w:szCs w:val="28"/>
          <w:lang w:val="es-ES" w:eastAsia="es-ES"/>
        </w:rPr>
        <w:t>Con todo, la Universidad sí evidencia una deficiencia en el precepto, con significación constitucional. Se pregunta acerca de qué pasa si el sindicado es un partícipe.</w:t>
      </w:r>
      <w:r w:rsidR="008168D4" w:rsidRPr="0048739B">
        <w:rPr>
          <w:rFonts w:eastAsia="Calibri"/>
          <w:sz w:val="28"/>
          <w:szCs w:val="28"/>
          <w:lang w:val="es-ES" w:eastAsia="es-ES"/>
        </w:rPr>
        <w:t xml:space="preserve"> </w:t>
      </w:r>
      <w:r w:rsidRPr="0048739B">
        <w:rPr>
          <w:rFonts w:eastAsia="Calibri"/>
          <w:sz w:val="28"/>
          <w:szCs w:val="28"/>
          <w:lang w:val="es-ES" w:eastAsia="es-ES"/>
        </w:rPr>
        <w:t xml:space="preserve">Al respecto, expresa que </w:t>
      </w:r>
      <w:r w:rsidRPr="0048739B">
        <w:rPr>
          <w:rFonts w:eastAsia="Calibri"/>
          <w:i/>
          <w:iCs/>
          <w:sz w:val="28"/>
          <w:szCs w:val="28"/>
          <w:lang w:val="es-ES" w:eastAsia="es-ES"/>
        </w:rPr>
        <w:t xml:space="preserve">“aceptando que el sindicado puede no ser el autor o coautor del delito sino un partícipe, por </w:t>
      </w:r>
      <w:r w:rsidR="009C3636" w:rsidRPr="0048739B">
        <w:rPr>
          <w:rFonts w:eastAsia="Calibri"/>
          <w:i/>
          <w:iCs/>
          <w:sz w:val="28"/>
          <w:szCs w:val="28"/>
          <w:lang w:val="es-ES" w:eastAsia="es-ES"/>
        </w:rPr>
        <w:t>ejemplo,</w:t>
      </w:r>
      <w:r w:rsidRPr="0048739B">
        <w:rPr>
          <w:rFonts w:eastAsia="Calibri"/>
          <w:i/>
          <w:iCs/>
          <w:sz w:val="28"/>
          <w:szCs w:val="28"/>
          <w:lang w:val="es-ES" w:eastAsia="es-ES"/>
        </w:rPr>
        <w:t xml:space="preserve"> un determinador, si el defensor o la persona excluida del deber de testificar termina siendo el autor directo o inmediato del delito, ciertamente debe sufrir las mismas consecuencias </w:t>
      </w:r>
      <w:r w:rsidRPr="0048739B">
        <w:rPr>
          <w:rFonts w:eastAsia="Calibri"/>
          <w:i/>
          <w:iCs/>
          <w:sz w:val="28"/>
          <w:szCs w:val="28"/>
          <w:lang w:val="es-ES" w:eastAsia="es-ES"/>
        </w:rPr>
        <w:lastRenderedPageBreak/>
        <w:t>que los coautores y partícipes, sin que su comportamiento quede cobijado por la impunidad, dentro de un Estado Social y Democrático de Derecho que propende por un orden justo.”</w:t>
      </w:r>
      <w:r w:rsidR="00B62AAC" w:rsidRPr="0048739B">
        <w:rPr>
          <w:rFonts w:eastAsia="Calibri"/>
          <w:i/>
          <w:iCs/>
          <w:sz w:val="28"/>
          <w:szCs w:val="28"/>
          <w:lang w:val="es-ES" w:eastAsia="es-ES"/>
        </w:rPr>
        <w:t xml:space="preserve"> </w:t>
      </w:r>
      <w:r w:rsidR="00433443" w:rsidRPr="0048739B">
        <w:rPr>
          <w:rFonts w:eastAsia="Calibri"/>
          <w:sz w:val="28"/>
          <w:szCs w:val="28"/>
          <w:lang w:val="es-ES" w:eastAsia="es-ES"/>
        </w:rPr>
        <w:t xml:space="preserve">Entonces, si se parte de la base </w:t>
      </w:r>
      <w:r w:rsidR="00180E1C" w:rsidRPr="0048739B">
        <w:rPr>
          <w:rFonts w:eastAsia="Calibri"/>
          <w:sz w:val="28"/>
          <w:szCs w:val="28"/>
          <w:lang w:val="es-ES" w:eastAsia="es-ES"/>
        </w:rPr>
        <w:t xml:space="preserve">de </w:t>
      </w:r>
      <w:r w:rsidR="00433443" w:rsidRPr="0048739B">
        <w:rPr>
          <w:rFonts w:eastAsia="Calibri"/>
          <w:sz w:val="28"/>
          <w:szCs w:val="28"/>
          <w:lang w:val="es-ES" w:eastAsia="es-ES"/>
        </w:rPr>
        <w:t>que todos los autores y partícipes deben tener el mismo tratamiento jurídico en el proceso penal, la constitucionalidad de la norma debe</w:t>
      </w:r>
      <w:r w:rsidR="0055261C" w:rsidRPr="0048739B">
        <w:rPr>
          <w:rFonts w:eastAsia="Calibri"/>
          <w:sz w:val="28"/>
          <w:szCs w:val="28"/>
          <w:lang w:val="es-ES" w:eastAsia="es-ES"/>
        </w:rPr>
        <w:t>ría en su concepto</w:t>
      </w:r>
      <w:r w:rsidR="00433443" w:rsidRPr="0048739B">
        <w:rPr>
          <w:rFonts w:eastAsia="Calibri"/>
          <w:sz w:val="28"/>
          <w:szCs w:val="28"/>
          <w:lang w:val="es-ES" w:eastAsia="es-ES"/>
        </w:rPr>
        <w:t xml:space="preserve"> condicionarse </w:t>
      </w:r>
      <w:r w:rsidR="007571DB" w:rsidRPr="0048739B">
        <w:rPr>
          <w:rFonts w:eastAsia="Calibri"/>
          <w:sz w:val="28"/>
          <w:szCs w:val="28"/>
          <w:lang w:val="es-ES" w:eastAsia="es-ES"/>
        </w:rPr>
        <w:t xml:space="preserve">a la inclusión de los autores en la </w:t>
      </w:r>
      <w:r w:rsidR="00B62AAC" w:rsidRPr="0048739B">
        <w:rPr>
          <w:rFonts w:eastAsia="Calibri"/>
          <w:sz w:val="28"/>
          <w:szCs w:val="28"/>
          <w:lang w:val="es-ES" w:eastAsia="es-ES"/>
        </w:rPr>
        <w:t>exclusión de</w:t>
      </w:r>
      <w:r w:rsidR="00FD673E" w:rsidRPr="0048739B">
        <w:rPr>
          <w:rFonts w:eastAsia="Calibri"/>
          <w:sz w:val="28"/>
          <w:szCs w:val="28"/>
          <w:lang w:val="es-ES" w:eastAsia="es-ES"/>
        </w:rPr>
        <w:t xml:space="preserve"> </w:t>
      </w:r>
      <w:r w:rsidR="00B62AAC" w:rsidRPr="0048739B">
        <w:rPr>
          <w:rFonts w:eastAsia="Calibri"/>
          <w:sz w:val="28"/>
          <w:szCs w:val="28"/>
          <w:lang w:val="es-ES" w:eastAsia="es-ES"/>
        </w:rPr>
        <w:t>l</w:t>
      </w:r>
      <w:r w:rsidR="00FD673E" w:rsidRPr="0048739B">
        <w:rPr>
          <w:rFonts w:eastAsia="Calibri"/>
          <w:sz w:val="28"/>
          <w:szCs w:val="28"/>
          <w:lang w:val="es-ES" w:eastAsia="es-ES"/>
        </w:rPr>
        <w:t>a</w:t>
      </w:r>
      <w:r w:rsidR="00B62AAC" w:rsidRPr="0048739B">
        <w:rPr>
          <w:rFonts w:eastAsia="Calibri"/>
          <w:sz w:val="28"/>
          <w:szCs w:val="28"/>
          <w:lang w:val="es-ES" w:eastAsia="es-ES"/>
        </w:rPr>
        <w:t xml:space="preserve"> </w:t>
      </w:r>
      <w:r w:rsidR="00FD673E" w:rsidRPr="0048739B">
        <w:rPr>
          <w:rFonts w:eastAsia="Calibri"/>
          <w:sz w:val="28"/>
          <w:szCs w:val="28"/>
          <w:lang w:val="es-ES" w:eastAsia="es-ES"/>
        </w:rPr>
        <w:t>garantía</w:t>
      </w:r>
      <w:r w:rsidR="00A033B9" w:rsidRPr="0048739B">
        <w:rPr>
          <w:rFonts w:eastAsia="Calibri"/>
          <w:sz w:val="28"/>
          <w:szCs w:val="28"/>
          <w:lang w:val="es-ES" w:eastAsia="es-ES"/>
        </w:rPr>
        <w:t>.</w:t>
      </w:r>
    </w:p>
    <w:p w14:paraId="30BE3D86" w14:textId="77777777" w:rsidR="009C3636" w:rsidRPr="0048739B" w:rsidRDefault="009C3636" w:rsidP="0048739B">
      <w:pPr>
        <w:tabs>
          <w:tab w:val="left" w:pos="8647"/>
        </w:tabs>
        <w:spacing w:after="0" w:line="240" w:lineRule="auto"/>
        <w:ind w:right="48"/>
        <w:jc w:val="both"/>
        <w:rPr>
          <w:rFonts w:eastAsia="Garamond"/>
          <w:sz w:val="28"/>
          <w:szCs w:val="28"/>
          <w:lang w:val="es-ES"/>
        </w:rPr>
      </w:pPr>
    </w:p>
    <w:p w14:paraId="4DD447F4" w14:textId="51DB74AC" w:rsidR="004330A3" w:rsidRPr="0048739B" w:rsidRDefault="004330A3" w:rsidP="0048739B">
      <w:pPr>
        <w:spacing w:after="0" w:line="240" w:lineRule="auto"/>
        <w:ind w:right="48"/>
        <w:jc w:val="both"/>
        <w:textAlignment w:val="baseline"/>
        <w:rPr>
          <w:rFonts w:eastAsia="Arial Narrow"/>
          <w:b/>
          <w:sz w:val="28"/>
          <w:szCs w:val="28"/>
          <w:lang w:val="es-ES"/>
        </w:rPr>
      </w:pPr>
      <w:r w:rsidRPr="0048739B">
        <w:rPr>
          <w:rFonts w:eastAsia="Arial Narrow"/>
          <w:b/>
          <w:sz w:val="28"/>
          <w:szCs w:val="28"/>
          <w:lang w:val="es-ES"/>
        </w:rPr>
        <w:t>4.</w:t>
      </w:r>
      <w:r w:rsidR="00592BDB" w:rsidRPr="0048739B">
        <w:rPr>
          <w:rFonts w:eastAsia="Arial Narrow"/>
          <w:b/>
          <w:sz w:val="28"/>
          <w:szCs w:val="28"/>
          <w:lang w:val="es-ES"/>
        </w:rPr>
        <w:t>5</w:t>
      </w:r>
      <w:r w:rsidRPr="0048739B">
        <w:rPr>
          <w:rFonts w:eastAsia="Arial Narrow"/>
          <w:b/>
          <w:sz w:val="28"/>
          <w:szCs w:val="28"/>
          <w:lang w:val="es-ES"/>
        </w:rPr>
        <w:t>. Universidad de</w:t>
      </w:r>
      <w:r w:rsidR="00592BDB" w:rsidRPr="0048739B">
        <w:rPr>
          <w:rFonts w:eastAsia="Arial Narrow"/>
          <w:b/>
          <w:sz w:val="28"/>
          <w:szCs w:val="28"/>
          <w:lang w:val="es-ES"/>
        </w:rPr>
        <w:t xml:space="preserve"> Ibagué</w:t>
      </w:r>
      <w:r w:rsidRPr="0048739B">
        <w:rPr>
          <w:rStyle w:val="Refdenotaalpie"/>
          <w:rFonts w:eastAsia="Arial Narrow"/>
          <w:sz w:val="28"/>
          <w:szCs w:val="28"/>
          <w:lang w:val="es-ES"/>
        </w:rPr>
        <w:footnoteReference w:id="22"/>
      </w:r>
      <w:r w:rsidR="008168D4" w:rsidRPr="0048739B">
        <w:rPr>
          <w:rFonts w:eastAsia="Arial Narrow"/>
          <w:sz w:val="28"/>
          <w:szCs w:val="28"/>
          <w:lang w:val="es-ES"/>
        </w:rPr>
        <w:t xml:space="preserve"> </w:t>
      </w:r>
    </w:p>
    <w:p w14:paraId="63D9284A" w14:textId="77777777" w:rsidR="004330A3" w:rsidRPr="0048739B" w:rsidRDefault="004330A3" w:rsidP="0048739B">
      <w:pPr>
        <w:spacing w:after="0" w:line="240" w:lineRule="auto"/>
        <w:ind w:right="48"/>
        <w:jc w:val="both"/>
        <w:textAlignment w:val="baseline"/>
        <w:rPr>
          <w:rFonts w:eastAsia="Arial Narrow"/>
          <w:b/>
          <w:i/>
          <w:sz w:val="28"/>
          <w:szCs w:val="28"/>
          <w:u w:val="single"/>
          <w:lang w:val="es-ES"/>
        </w:rPr>
      </w:pPr>
    </w:p>
    <w:p w14:paraId="3A0BB9FA" w14:textId="13FAEEC9" w:rsidR="008A25DC" w:rsidRPr="0048739B" w:rsidRDefault="00592BDB" w:rsidP="0048739B">
      <w:pPr>
        <w:shd w:val="clear" w:color="auto" w:fill="FFFFFF"/>
        <w:spacing w:after="0" w:line="240" w:lineRule="auto"/>
        <w:jc w:val="both"/>
        <w:rPr>
          <w:rFonts w:eastAsia="Arial Narrow"/>
          <w:sz w:val="28"/>
          <w:szCs w:val="28"/>
          <w:lang w:val="es-ES"/>
        </w:rPr>
      </w:pPr>
      <w:r w:rsidRPr="0048739B">
        <w:rPr>
          <w:rFonts w:eastAsia="Arial Narrow"/>
          <w:sz w:val="28"/>
          <w:szCs w:val="28"/>
          <w:lang w:val="es-ES"/>
        </w:rPr>
        <w:t xml:space="preserve">El </w:t>
      </w:r>
      <w:r w:rsidR="00D9231C" w:rsidRPr="0048739B">
        <w:rPr>
          <w:rFonts w:eastAsia="Arial Narrow"/>
          <w:sz w:val="28"/>
          <w:szCs w:val="28"/>
          <w:lang w:val="es-ES"/>
        </w:rPr>
        <w:t>D</w:t>
      </w:r>
      <w:r w:rsidRPr="0048739B">
        <w:rPr>
          <w:rFonts w:eastAsia="Arial Narrow"/>
          <w:sz w:val="28"/>
          <w:szCs w:val="28"/>
          <w:lang w:val="es-ES"/>
        </w:rPr>
        <w:t>ecano de la Facultad de Derecho y Ciencias Políticas de la Universidad de Ibagué present</w:t>
      </w:r>
      <w:r w:rsidR="00D9231C" w:rsidRPr="0048739B">
        <w:rPr>
          <w:rFonts w:eastAsia="Arial Narrow"/>
          <w:sz w:val="28"/>
          <w:szCs w:val="28"/>
          <w:lang w:val="es-ES"/>
        </w:rPr>
        <w:t>ó</w:t>
      </w:r>
      <w:r w:rsidRPr="0048739B">
        <w:rPr>
          <w:rFonts w:eastAsia="Arial Narrow"/>
          <w:sz w:val="28"/>
          <w:szCs w:val="28"/>
          <w:lang w:val="es-ES"/>
        </w:rPr>
        <w:t xml:space="preserve"> intervención </w:t>
      </w:r>
      <w:r w:rsidR="00D9231C" w:rsidRPr="0048739B">
        <w:rPr>
          <w:rFonts w:eastAsia="Arial Narrow"/>
          <w:sz w:val="28"/>
          <w:szCs w:val="28"/>
          <w:lang w:val="es-ES"/>
        </w:rPr>
        <w:t xml:space="preserve">en la </w:t>
      </w:r>
      <w:r w:rsidRPr="0048739B">
        <w:rPr>
          <w:rFonts w:eastAsia="Arial Narrow"/>
          <w:sz w:val="28"/>
          <w:szCs w:val="28"/>
          <w:lang w:val="es-ES"/>
        </w:rPr>
        <w:t xml:space="preserve">que </w:t>
      </w:r>
      <w:r w:rsidR="00D9231C" w:rsidRPr="0048739B">
        <w:rPr>
          <w:rFonts w:eastAsia="Arial Narrow"/>
          <w:sz w:val="28"/>
          <w:szCs w:val="28"/>
          <w:lang w:val="es-ES"/>
        </w:rPr>
        <w:t xml:space="preserve">justificó </w:t>
      </w:r>
      <w:r w:rsidRPr="0048739B">
        <w:rPr>
          <w:rFonts w:eastAsia="Arial Narrow"/>
          <w:sz w:val="28"/>
          <w:szCs w:val="28"/>
          <w:lang w:val="es-ES"/>
        </w:rPr>
        <w:t xml:space="preserve">la </w:t>
      </w:r>
      <w:r w:rsidR="00180E1C" w:rsidRPr="0048739B">
        <w:rPr>
          <w:rFonts w:eastAsia="Arial Narrow"/>
          <w:b/>
          <w:bCs/>
          <w:sz w:val="28"/>
          <w:szCs w:val="28"/>
          <w:lang w:val="es-ES"/>
        </w:rPr>
        <w:t>INCONSTITUCIONALIDAD</w:t>
      </w:r>
      <w:r w:rsidRPr="0048739B">
        <w:rPr>
          <w:rFonts w:eastAsia="Arial Narrow"/>
          <w:b/>
          <w:bCs/>
          <w:sz w:val="28"/>
          <w:szCs w:val="28"/>
          <w:lang w:val="es-ES"/>
        </w:rPr>
        <w:t xml:space="preserve"> </w:t>
      </w:r>
      <w:r w:rsidRPr="0048739B">
        <w:rPr>
          <w:rFonts w:eastAsia="Arial Narrow"/>
          <w:sz w:val="28"/>
          <w:szCs w:val="28"/>
          <w:lang w:val="es-ES"/>
        </w:rPr>
        <w:t xml:space="preserve">del parágrafo parcialmente demandado. </w:t>
      </w:r>
    </w:p>
    <w:p w14:paraId="7847C277" w14:textId="73FC39A0" w:rsidR="00592BDB" w:rsidRPr="0048739B" w:rsidRDefault="00592BDB" w:rsidP="0048739B">
      <w:pPr>
        <w:shd w:val="clear" w:color="auto" w:fill="FFFFFF"/>
        <w:spacing w:after="0" w:line="240" w:lineRule="auto"/>
        <w:jc w:val="both"/>
        <w:rPr>
          <w:rFonts w:eastAsia="Arial Narrow"/>
          <w:sz w:val="28"/>
          <w:szCs w:val="28"/>
          <w:lang w:val="es-ES"/>
        </w:rPr>
      </w:pPr>
    </w:p>
    <w:p w14:paraId="2E3BACA2" w14:textId="41D0FF95" w:rsidR="00592BDB" w:rsidRPr="0048739B" w:rsidRDefault="00592BDB" w:rsidP="0048739B">
      <w:pPr>
        <w:shd w:val="clear" w:color="auto" w:fill="FFFFFF"/>
        <w:spacing w:after="0" w:line="240" w:lineRule="auto"/>
        <w:jc w:val="both"/>
        <w:rPr>
          <w:rFonts w:eastAsia="Arial Narrow"/>
          <w:sz w:val="28"/>
          <w:szCs w:val="28"/>
          <w:lang w:val="es-ES"/>
        </w:rPr>
      </w:pPr>
      <w:r w:rsidRPr="0048739B">
        <w:rPr>
          <w:rFonts w:eastAsia="Arial Narrow"/>
          <w:sz w:val="28"/>
          <w:szCs w:val="28"/>
          <w:lang w:val="es-ES"/>
        </w:rPr>
        <w:t xml:space="preserve">El interviniente comparte la </w:t>
      </w:r>
      <w:r w:rsidR="009E673A" w:rsidRPr="0048739B">
        <w:rPr>
          <w:rFonts w:eastAsia="Arial Narrow"/>
          <w:sz w:val="28"/>
          <w:szCs w:val="28"/>
          <w:lang w:val="es-ES"/>
        </w:rPr>
        <w:t>interpretación</w:t>
      </w:r>
      <w:r w:rsidRPr="0048739B">
        <w:rPr>
          <w:rFonts w:eastAsia="Arial Narrow"/>
          <w:sz w:val="28"/>
          <w:szCs w:val="28"/>
          <w:lang w:val="es-ES"/>
        </w:rPr>
        <w:t xml:space="preserve"> planteada por los demandantes, según la cual </w:t>
      </w:r>
      <w:r w:rsidR="00C3735C" w:rsidRPr="0048739B">
        <w:rPr>
          <w:rFonts w:eastAsia="Arial Narrow"/>
          <w:sz w:val="28"/>
          <w:szCs w:val="28"/>
          <w:lang w:val="es-ES"/>
        </w:rPr>
        <w:t xml:space="preserve">la norma </w:t>
      </w:r>
      <w:r w:rsidRPr="0048739B">
        <w:rPr>
          <w:rFonts w:eastAsia="Arial Narrow"/>
          <w:sz w:val="28"/>
          <w:szCs w:val="28"/>
          <w:lang w:val="es-ES"/>
        </w:rPr>
        <w:t>excluye de</w:t>
      </w:r>
      <w:r w:rsidR="00FD673E" w:rsidRPr="0048739B">
        <w:rPr>
          <w:rFonts w:eastAsia="Arial Narrow"/>
          <w:sz w:val="28"/>
          <w:szCs w:val="28"/>
          <w:lang w:val="es-ES"/>
        </w:rPr>
        <w:t xml:space="preserve"> </w:t>
      </w:r>
      <w:r w:rsidRPr="0048739B">
        <w:rPr>
          <w:rFonts w:eastAsia="Arial Narrow"/>
          <w:sz w:val="28"/>
          <w:szCs w:val="28"/>
          <w:lang w:val="es-ES"/>
        </w:rPr>
        <w:t>l</w:t>
      </w:r>
      <w:r w:rsidR="00FD673E" w:rsidRPr="0048739B">
        <w:rPr>
          <w:rFonts w:eastAsia="Arial Narrow"/>
          <w:sz w:val="28"/>
          <w:szCs w:val="28"/>
          <w:lang w:val="es-ES"/>
        </w:rPr>
        <w:t>a</w:t>
      </w:r>
      <w:r w:rsidRPr="0048739B">
        <w:rPr>
          <w:rFonts w:eastAsia="Arial Narrow"/>
          <w:sz w:val="28"/>
          <w:szCs w:val="28"/>
          <w:lang w:val="es-ES"/>
        </w:rPr>
        <w:t xml:space="preserve"> </w:t>
      </w:r>
      <w:r w:rsidR="00E3550B" w:rsidRPr="0048739B">
        <w:rPr>
          <w:rFonts w:eastAsia="Arial Narrow"/>
          <w:sz w:val="28"/>
          <w:szCs w:val="28"/>
          <w:lang w:val="es-ES"/>
        </w:rPr>
        <w:t>garantía</w:t>
      </w:r>
      <w:r w:rsidRPr="0048739B">
        <w:rPr>
          <w:rFonts w:eastAsia="Arial Narrow"/>
          <w:sz w:val="28"/>
          <w:szCs w:val="28"/>
          <w:lang w:val="es-ES"/>
        </w:rPr>
        <w:t xml:space="preserve"> de las comunicaciones</w:t>
      </w:r>
      <w:r w:rsidR="00D9231C" w:rsidRPr="0048739B">
        <w:rPr>
          <w:rFonts w:eastAsia="Arial Narrow"/>
          <w:sz w:val="28"/>
          <w:szCs w:val="28"/>
          <w:lang w:val="es-ES"/>
        </w:rPr>
        <w:t xml:space="preserve"> sin registro</w:t>
      </w:r>
      <w:r w:rsidRPr="0048739B">
        <w:rPr>
          <w:rFonts w:eastAsia="Arial Narrow"/>
          <w:sz w:val="28"/>
          <w:szCs w:val="28"/>
          <w:lang w:val="es-ES"/>
        </w:rPr>
        <w:t xml:space="preserve"> a los coautores o copartícipes del delito investigado. Esta di</w:t>
      </w:r>
      <w:r w:rsidR="0006786C" w:rsidRPr="0048739B">
        <w:rPr>
          <w:rFonts w:eastAsia="Arial Narrow"/>
          <w:sz w:val="28"/>
          <w:szCs w:val="28"/>
          <w:lang w:val="es-ES"/>
        </w:rPr>
        <w:t>stinc</w:t>
      </w:r>
      <w:r w:rsidRPr="0048739B">
        <w:rPr>
          <w:rFonts w:eastAsia="Arial Narrow"/>
          <w:sz w:val="28"/>
          <w:szCs w:val="28"/>
          <w:lang w:val="es-ES"/>
        </w:rPr>
        <w:t>ión es injustificada, vulnera el derecho a la igualdad y contradice el mandato específico contenido en el artículo 4º del Código de Procedimiento Penal</w:t>
      </w:r>
      <w:r w:rsidR="00A12A70" w:rsidRPr="0048739B">
        <w:rPr>
          <w:rFonts w:eastAsia="Arial Narrow"/>
          <w:sz w:val="28"/>
          <w:szCs w:val="28"/>
          <w:lang w:val="es-ES"/>
        </w:rPr>
        <w:t xml:space="preserve">, que ordena </w:t>
      </w:r>
      <w:r w:rsidR="00C3735C" w:rsidRPr="0048739B">
        <w:rPr>
          <w:rFonts w:eastAsia="Arial Narrow"/>
          <w:sz w:val="28"/>
          <w:szCs w:val="28"/>
          <w:lang w:val="es-ES"/>
        </w:rPr>
        <w:t>a</w:t>
      </w:r>
      <w:r w:rsidR="00A12A70" w:rsidRPr="0048739B">
        <w:rPr>
          <w:rFonts w:eastAsia="Arial Narrow"/>
          <w:sz w:val="28"/>
          <w:szCs w:val="28"/>
          <w:lang w:val="es-ES"/>
        </w:rPr>
        <w:t xml:space="preserve"> los servidores judiciales hacer efectiva la igualdad de los intervinientes en el desarrollo de la actuación procesal</w:t>
      </w:r>
      <w:r w:rsidR="0006786C" w:rsidRPr="0048739B">
        <w:rPr>
          <w:rFonts w:eastAsia="Arial Narrow"/>
          <w:sz w:val="28"/>
          <w:szCs w:val="28"/>
          <w:lang w:val="es-ES"/>
        </w:rPr>
        <w:t>.</w:t>
      </w:r>
    </w:p>
    <w:p w14:paraId="40F7A5D5" w14:textId="77A1BEFB" w:rsidR="0006786C" w:rsidRPr="0048739B" w:rsidRDefault="0006786C" w:rsidP="0048739B">
      <w:pPr>
        <w:shd w:val="clear" w:color="auto" w:fill="FFFFFF"/>
        <w:spacing w:after="0" w:line="240" w:lineRule="auto"/>
        <w:jc w:val="both"/>
        <w:rPr>
          <w:rFonts w:eastAsia="Arial Narrow"/>
          <w:sz w:val="28"/>
          <w:szCs w:val="28"/>
          <w:lang w:val="es-ES"/>
        </w:rPr>
      </w:pPr>
    </w:p>
    <w:p w14:paraId="6440F56D" w14:textId="2A8E1260" w:rsidR="0006786C" w:rsidRPr="0048739B" w:rsidRDefault="0006786C" w:rsidP="0048739B">
      <w:pPr>
        <w:shd w:val="clear" w:color="auto" w:fill="FFFFFF"/>
        <w:spacing w:after="0" w:line="240" w:lineRule="auto"/>
        <w:jc w:val="both"/>
        <w:rPr>
          <w:rFonts w:eastAsia="Arial Narrow"/>
          <w:sz w:val="28"/>
          <w:szCs w:val="28"/>
          <w:lang w:val="es-ES"/>
        </w:rPr>
      </w:pPr>
      <w:r w:rsidRPr="0048739B">
        <w:rPr>
          <w:rFonts w:eastAsia="Arial Narrow"/>
          <w:sz w:val="28"/>
          <w:szCs w:val="28"/>
          <w:lang w:val="es-ES"/>
        </w:rPr>
        <w:t xml:space="preserve">Agrega que dicha falta de justificación del tratamiento diferenciado se hace evidente cuando otras normas del ordenamiento procesal penal son coincidentes en otorgar el mismo grado de protección </w:t>
      </w:r>
      <w:r w:rsidR="00390A5E" w:rsidRPr="0048739B">
        <w:rPr>
          <w:rFonts w:eastAsia="Arial Narrow"/>
          <w:sz w:val="28"/>
          <w:szCs w:val="28"/>
          <w:lang w:val="es-ES"/>
        </w:rPr>
        <w:t>a</w:t>
      </w:r>
      <w:r w:rsidRPr="0048739B">
        <w:rPr>
          <w:rFonts w:eastAsia="Arial Narrow"/>
          <w:sz w:val="28"/>
          <w:szCs w:val="28"/>
          <w:lang w:val="es-ES"/>
        </w:rPr>
        <w:t xml:space="preserve"> las diferentes categorías de procesados. Por ende, una norma que, como la acusada en esta oportunidad, utiliza esas categorías como criterio para determinar el alcance de las garantías fundamentales mencionadas, contradice la Constitución. </w:t>
      </w:r>
    </w:p>
    <w:p w14:paraId="2143367F" w14:textId="77777777" w:rsidR="00E36CD6" w:rsidRPr="0048739B" w:rsidRDefault="00E36CD6" w:rsidP="0048739B">
      <w:pPr>
        <w:spacing w:after="0" w:line="240" w:lineRule="auto"/>
        <w:ind w:right="48"/>
        <w:jc w:val="both"/>
        <w:textAlignment w:val="baseline"/>
        <w:rPr>
          <w:rFonts w:eastAsia="Arial Narrow"/>
          <w:bCs/>
          <w:sz w:val="28"/>
          <w:szCs w:val="28"/>
          <w:lang w:val="es-ES"/>
        </w:rPr>
      </w:pPr>
    </w:p>
    <w:p w14:paraId="6F79642C" w14:textId="7DD4355B" w:rsidR="004330A3" w:rsidRPr="0048739B" w:rsidRDefault="00674464" w:rsidP="0048739B">
      <w:pPr>
        <w:spacing w:after="0" w:line="240" w:lineRule="auto"/>
        <w:ind w:right="48"/>
        <w:jc w:val="both"/>
        <w:textAlignment w:val="baseline"/>
        <w:rPr>
          <w:rFonts w:eastAsia="Arial Narrow"/>
          <w:b/>
          <w:sz w:val="28"/>
          <w:szCs w:val="28"/>
          <w:lang w:val="es-ES"/>
        </w:rPr>
      </w:pPr>
      <w:r w:rsidRPr="0048739B">
        <w:rPr>
          <w:rFonts w:eastAsia="Arial Narrow"/>
          <w:b/>
          <w:sz w:val="28"/>
          <w:szCs w:val="28"/>
          <w:lang w:val="es-ES"/>
        </w:rPr>
        <w:t>4.</w:t>
      </w:r>
      <w:r w:rsidR="0006786C" w:rsidRPr="0048739B">
        <w:rPr>
          <w:rFonts w:eastAsia="Arial Narrow"/>
          <w:b/>
          <w:sz w:val="28"/>
          <w:szCs w:val="28"/>
          <w:lang w:val="es-ES"/>
        </w:rPr>
        <w:t>6</w:t>
      </w:r>
      <w:r w:rsidRPr="0048739B">
        <w:rPr>
          <w:rFonts w:eastAsia="Arial Narrow"/>
          <w:b/>
          <w:sz w:val="28"/>
          <w:szCs w:val="28"/>
          <w:lang w:val="es-ES"/>
        </w:rPr>
        <w:t xml:space="preserve">. </w:t>
      </w:r>
      <w:r w:rsidR="0006786C" w:rsidRPr="0048739B">
        <w:rPr>
          <w:rFonts w:eastAsia="Arial Narrow"/>
          <w:b/>
          <w:sz w:val="28"/>
          <w:szCs w:val="28"/>
          <w:lang w:val="es-ES"/>
        </w:rPr>
        <w:t>Universidad Externado de Colombia</w:t>
      </w:r>
      <w:r w:rsidRPr="0048739B">
        <w:rPr>
          <w:rStyle w:val="Refdenotaalpie"/>
          <w:rFonts w:eastAsia="Arial Narrow"/>
          <w:sz w:val="28"/>
          <w:szCs w:val="28"/>
          <w:lang w:val="es-ES"/>
        </w:rPr>
        <w:footnoteReference w:id="23"/>
      </w:r>
      <w:r w:rsidRPr="0048739B">
        <w:rPr>
          <w:rFonts w:eastAsia="Arial Narrow"/>
          <w:sz w:val="28"/>
          <w:szCs w:val="28"/>
          <w:lang w:val="es-ES"/>
        </w:rPr>
        <w:t xml:space="preserve"> </w:t>
      </w:r>
    </w:p>
    <w:p w14:paraId="1F04CC58" w14:textId="0050DEC6" w:rsidR="004330A3" w:rsidRPr="0048739B" w:rsidRDefault="004330A3" w:rsidP="0048739B">
      <w:pPr>
        <w:spacing w:after="0" w:line="240" w:lineRule="auto"/>
        <w:ind w:right="48"/>
        <w:jc w:val="both"/>
        <w:textAlignment w:val="baseline"/>
        <w:rPr>
          <w:rFonts w:eastAsia="Arial Narrow"/>
          <w:b/>
          <w:sz w:val="28"/>
          <w:szCs w:val="28"/>
          <w:lang w:val="es-ES"/>
        </w:rPr>
      </w:pPr>
    </w:p>
    <w:p w14:paraId="397F00D6" w14:textId="075760E0" w:rsidR="00103964" w:rsidRPr="0048739B" w:rsidRDefault="00103964" w:rsidP="0048739B">
      <w:pPr>
        <w:spacing w:after="0" w:line="240" w:lineRule="auto"/>
        <w:ind w:right="48"/>
        <w:jc w:val="both"/>
        <w:textAlignment w:val="baseline"/>
        <w:rPr>
          <w:rFonts w:eastAsia="Arial Narrow"/>
          <w:bCs/>
          <w:sz w:val="28"/>
          <w:szCs w:val="28"/>
          <w:lang w:val="es-ES"/>
        </w:rPr>
      </w:pPr>
      <w:r w:rsidRPr="0048739B">
        <w:rPr>
          <w:rFonts w:eastAsia="Arial Narrow"/>
          <w:bCs/>
          <w:sz w:val="28"/>
          <w:szCs w:val="28"/>
          <w:lang w:val="es-ES"/>
        </w:rPr>
        <w:t xml:space="preserve">El profesor </w:t>
      </w:r>
      <w:proofErr w:type="spellStart"/>
      <w:r w:rsidRPr="0048739B">
        <w:rPr>
          <w:rFonts w:eastAsia="Arial Narrow"/>
          <w:bCs/>
          <w:sz w:val="28"/>
          <w:szCs w:val="28"/>
          <w:lang w:val="es-ES"/>
        </w:rPr>
        <w:t>Esiquio</w:t>
      </w:r>
      <w:proofErr w:type="spellEnd"/>
      <w:r w:rsidRPr="0048739B">
        <w:rPr>
          <w:rFonts w:eastAsia="Arial Narrow"/>
          <w:bCs/>
          <w:sz w:val="28"/>
          <w:szCs w:val="28"/>
          <w:lang w:val="es-ES"/>
        </w:rPr>
        <w:t xml:space="preserve"> Manuel Sánchez Herrera, del Departamento de Derecho Penal y Criminología de la Universidad Externado de Colombia, </w:t>
      </w:r>
      <w:r w:rsidR="00C300AB" w:rsidRPr="0048739B">
        <w:rPr>
          <w:rFonts w:eastAsia="Arial Narrow"/>
          <w:bCs/>
          <w:sz w:val="28"/>
          <w:szCs w:val="28"/>
          <w:lang w:val="es-ES"/>
        </w:rPr>
        <w:t xml:space="preserve">solicitó </w:t>
      </w:r>
      <w:r w:rsidRPr="0048739B">
        <w:rPr>
          <w:rFonts w:eastAsia="Arial Narrow"/>
          <w:bCs/>
          <w:sz w:val="28"/>
          <w:szCs w:val="28"/>
          <w:lang w:val="es-ES"/>
        </w:rPr>
        <w:t xml:space="preserve">a la Corte que declare </w:t>
      </w:r>
      <w:r w:rsidR="00180E1C" w:rsidRPr="0048739B">
        <w:rPr>
          <w:rFonts w:eastAsia="Times New Roman"/>
          <w:b/>
          <w:bCs/>
          <w:iCs/>
          <w:sz w:val="28"/>
          <w:szCs w:val="28"/>
          <w:lang w:val="es-ES" w:eastAsia="es-ES"/>
        </w:rPr>
        <w:t>EXEQUIBLE</w:t>
      </w:r>
      <w:r w:rsidRPr="0048739B">
        <w:rPr>
          <w:rFonts w:eastAsia="Arial Narrow"/>
          <w:b/>
          <w:sz w:val="28"/>
          <w:szCs w:val="28"/>
          <w:lang w:val="es-ES"/>
        </w:rPr>
        <w:t xml:space="preserve"> </w:t>
      </w:r>
      <w:r w:rsidRPr="0048739B">
        <w:rPr>
          <w:rFonts w:eastAsia="Arial Narrow"/>
          <w:bCs/>
          <w:sz w:val="28"/>
          <w:szCs w:val="28"/>
          <w:lang w:val="es-ES"/>
        </w:rPr>
        <w:t xml:space="preserve">la norma acusada. </w:t>
      </w:r>
    </w:p>
    <w:p w14:paraId="764B1709" w14:textId="39BFA929" w:rsidR="00103964" w:rsidRPr="0048739B" w:rsidRDefault="00103964" w:rsidP="0048739B">
      <w:pPr>
        <w:spacing w:after="0" w:line="240" w:lineRule="auto"/>
        <w:ind w:right="48"/>
        <w:jc w:val="both"/>
        <w:textAlignment w:val="baseline"/>
        <w:rPr>
          <w:rFonts w:eastAsia="Arial Narrow"/>
          <w:bCs/>
          <w:sz w:val="28"/>
          <w:szCs w:val="28"/>
          <w:lang w:val="es-ES"/>
        </w:rPr>
      </w:pPr>
    </w:p>
    <w:p w14:paraId="48624D87" w14:textId="7DFF4B94" w:rsidR="00195CE8" w:rsidRPr="0048739B" w:rsidRDefault="00C24ED0" w:rsidP="0048739B">
      <w:pPr>
        <w:spacing w:after="0" w:line="240" w:lineRule="auto"/>
        <w:ind w:right="48"/>
        <w:jc w:val="both"/>
        <w:textAlignment w:val="baseline"/>
        <w:rPr>
          <w:rFonts w:eastAsia="Arial Narrow"/>
          <w:bCs/>
          <w:i/>
          <w:iCs/>
          <w:sz w:val="28"/>
          <w:szCs w:val="28"/>
          <w:lang w:val="es-ES"/>
        </w:rPr>
      </w:pPr>
      <w:r w:rsidRPr="0048739B">
        <w:rPr>
          <w:rFonts w:eastAsia="Arial Narrow"/>
          <w:bCs/>
          <w:sz w:val="28"/>
          <w:szCs w:val="28"/>
          <w:lang w:val="es-ES"/>
        </w:rPr>
        <w:t>Para sustentar su posición, consider</w:t>
      </w:r>
      <w:r w:rsidR="00C300AB" w:rsidRPr="0048739B">
        <w:rPr>
          <w:rFonts w:eastAsia="Arial Narrow"/>
          <w:bCs/>
          <w:sz w:val="28"/>
          <w:szCs w:val="28"/>
          <w:lang w:val="es-ES"/>
        </w:rPr>
        <w:t>ó</w:t>
      </w:r>
      <w:r w:rsidRPr="0048739B">
        <w:rPr>
          <w:rFonts w:eastAsia="Arial Narrow"/>
          <w:bCs/>
          <w:sz w:val="28"/>
          <w:szCs w:val="28"/>
          <w:lang w:val="es-ES"/>
        </w:rPr>
        <w:t xml:space="preserve"> que los problemas jurídicos planteados en la demanda se resuelven a partir de la interpretación integral del artículo 223 del Código de Procedimiento Penal</w:t>
      </w:r>
      <w:r w:rsidR="00C300AB" w:rsidRPr="0048739B">
        <w:rPr>
          <w:rFonts w:eastAsia="Arial Narrow"/>
          <w:bCs/>
          <w:sz w:val="28"/>
          <w:szCs w:val="28"/>
          <w:lang w:val="es-ES"/>
        </w:rPr>
        <w:t>,</w:t>
      </w:r>
      <w:r w:rsidRPr="0048739B">
        <w:rPr>
          <w:rFonts w:eastAsia="Arial Narrow"/>
          <w:bCs/>
          <w:sz w:val="28"/>
          <w:szCs w:val="28"/>
          <w:lang w:val="es-ES"/>
        </w:rPr>
        <w:t xml:space="preserve"> de manera similar a como lo </w:t>
      </w:r>
      <w:r w:rsidR="00C300AB" w:rsidRPr="0048739B">
        <w:rPr>
          <w:rFonts w:eastAsia="Arial Narrow"/>
          <w:bCs/>
          <w:sz w:val="28"/>
          <w:szCs w:val="28"/>
          <w:lang w:val="es-ES"/>
        </w:rPr>
        <w:t>plantearon</w:t>
      </w:r>
      <w:r w:rsidRPr="0048739B">
        <w:rPr>
          <w:rFonts w:eastAsia="Arial Narrow"/>
          <w:bCs/>
          <w:sz w:val="28"/>
          <w:szCs w:val="28"/>
          <w:lang w:val="es-ES"/>
        </w:rPr>
        <w:t xml:space="preserve"> otros intervinientes. Con base en esa comprensión, resulta claro que la excepción a la garantía de prohibición de registro de las comunicaciones aplica cuando </w:t>
      </w:r>
      <w:r w:rsidRPr="0048739B">
        <w:rPr>
          <w:rFonts w:eastAsia="Arial Narrow"/>
          <w:bCs/>
          <w:i/>
          <w:iCs/>
          <w:sz w:val="28"/>
          <w:szCs w:val="28"/>
          <w:lang w:val="es-ES"/>
        </w:rPr>
        <w:t xml:space="preserve">“son realizadas por parte de quien está siendo investigado con las personas que, </w:t>
      </w:r>
      <w:proofErr w:type="spellStart"/>
      <w:r w:rsidRPr="0048739B">
        <w:rPr>
          <w:rFonts w:eastAsia="Arial Narrow"/>
          <w:bCs/>
          <w:i/>
          <w:iCs/>
          <w:sz w:val="28"/>
          <w:szCs w:val="28"/>
          <w:lang w:val="es-ES"/>
        </w:rPr>
        <w:t>aún</w:t>
      </w:r>
      <w:proofErr w:type="spellEnd"/>
      <w:r w:rsidRPr="0048739B">
        <w:rPr>
          <w:rFonts w:eastAsia="Arial Narrow"/>
          <w:bCs/>
          <w:i/>
          <w:iCs/>
          <w:sz w:val="28"/>
          <w:szCs w:val="28"/>
          <w:lang w:val="es-ES"/>
        </w:rPr>
        <w:t xml:space="preserve"> estando exceptuadas para declarar, podrían ser auxiliadores, coautores o partícipes del delito investigado o conexo a éste u otro que se encuentre </w:t>
      </w:r>
      <w:r w:rsidR="00195CE8" w:rsidRPr="0048739B">
        <w:rPr>
          <w:rFonts w:eastAsia="Arial Narrow"/>
          <w:bCs/>
          <w:i/>
          <w:iCs/>
          <w:sz w:val="28"/>
          <w:szCs w:val="28"/>
          <w:lang w:val="es-ES"/>
        </w:rPr>
        <w:t xml:space="preserve">en curso o </w:t>
      </w:r>
      <w:r w:rsidR="00195CE8" w:rsidRPr="0048739B">
        <w:rPr>
          <w:rFonts w:eastAsia="Arial Narrow"/>
          <w:bCs/>
          <w:i/>
          <w:iCs/>
          <w:sz w:val="28"/>
          <w:szCs w:val="28"/>
          <w:lang w:val="es-ES"/>
        </w:rPr>
        <w:lastRenderedPageBreak/>
        <w:t xml:space="preserve">se trate de actos de comunicaciones que sean calificados como de obstrucción a la justicia.” </w:t>
      </w:r>
    </w:p>
    <w:p w14:paraId="3C90ED7C" w14:textId="77777777" w:rsidR="00195CE8" w:rsidRPr="0048739B" w:rsidRDefault="00195CE8" w:rsidP="0048739B">
      <w:pPr>
        <w:spacing w:after="0" w:line="240" w:lineRule="auto"/>
        <w:ind w:right="48"/>
        <w:jc w:val="both"/>
        <w:textAlignment w:val="baseline"/>
        <w:rPr>
          <w:rFonts w:eastAsia="Arial Narrow"/>
          <w:bCs/>
          <w:i/>
          <w:iCs/>
          <w:sz w:val="28"/>
          <w:szCs w:val="28"/>
          <w:lang w:val="es-ES"/>
        </w:rPr>
      </w:pPr>
    </w:p>
    <w:p w14:paraId="164E5B70" w14:textId="701332C2" w:rsidR="000B27C7" w:rsidRPr="0048739B" w:rsidRDefault="00195CE8" w:rsidP="0048739B">
      <w:pPr>
        <w:spacing w:after="0" w:line="240" w:lineRule="auto"/>
        <w:ind w:right="48"/>
        <w:jc w:val="both"/>
        <w:textAlignment w:val="baseline"/>
        <w:rPr>
          <w:rFonts w:eastAsia="Arial Narrow"/>
          <w:bCs/>
          <w:i/>
          <w:iCs/>
          <w:sz w:val="28"/>
          <w:szCs w:val="28"/>
          <w:lang w:val="es-ES"/>
        </w:rPr>
      </w:pPr>
      <w:r w:rsidRPr="0048739B">
        <w:rPr>
          <w:rFonts w:eastAsia="Arial Narrow"/>
          <w:bCs/>
          <w:sz w:val="28"/>
          <w:szCs w:val="28"/>
          <w:lang w:val="es-ES"/>
        </w:rPr>
        <w:t xml:space="preserve">El retiro </w:t>
      </w:r>
      <w:r w:rsidR="00E3550B" w:rsidRPr="0048739B">
        <w:rPr>
          <w:rFonts w:eastAsia="Arial Narrow"/>
          <w:bCs/>
          <w:sz w:val="28"/>
          <w:szCs w:val="28"/>
          <w:lang w:val="es-ES"/>
        </w:rPr>
        <w:t>de la garantía</w:t>
      </w:r>
      <w:r w:rsidRPr="0048739B">
        <w:rPr>
          <w:rFonts w:eastAsia="Arial Narrow"/>
          <w:bCs/>
          <w:sz w:val="28"/>
          <w:szCs w:val="28"/>
          <w:lang w:val="es-ES"/>
        </w:rPr>
        <w:t xml:space="preserve"> en comento, entonces, se predica cuando el abogado o la persona no obligada legalmente a declarar se </w:t>
      </w:r>
      <w:proofErr w:type="gramStart"/>
      <w:r w:rsidRPr="0048739B">
        <w:rPr>
          <w:rFonts w:eastAsia="Arial Narrow"/>
          <w:bCs/>
          <w:sz w:val="28"/>
          <w:szCs w:val="28"/>
          <w:lang w:val="es-ES"/>
        </w:rPr>
        <w:t>comunica</w:t>
      </w:r>
      <w:proofErr w:type="gramEnd"/>
      <w:r w:rsidRPr="0048739B">
        <w:rPr>
          <w:rFonts w:eastAsia="Arial Narrow"/>
          <w:bCs/>
          <w:sz w:val="28"/>
          <w:szCs w:val="28"/>
          <w:lang w:val="es-ES"/>
        </w:rPr>
        <w:t xml:space="preserve"> con los autores o partícipes con propósitos delictivos. El hecho de que el apartado acusado haga referencia a los auxiliadores, coautores y partícipes</w:t>
      </w:r>
      <w:r w:rsidR="00466167" w:rsidRPr="0048739B">
        <w:rPr>
          <w:rFonts w:eastAsia="Arial Narrow"/>
          <w:bCs/>
          <w:sz w:val="28"/>
          <w:szCs w:val="28"/>
          <w:lang w:val="es-ES"/>
        </w:rPr>
        <w:t xml:space="preserve"> se explica en que son </w:t>
      </w:r>
      <w:r w:rsidR="00466167" w:rsidRPr="0048739B">
        <w:rPr>
          <w:rFonts w:eastAsia="Arial Narrow"/>
          <w:bCs/>
          <w:i/>
          <w:iCs/>
          <w:sz w:val="28"/>
          <w:szCs w:val="28"/>
          <w:lang w:val="es-ES"/>
        </w:rPr>
        <w:t xml:space="preserve">“formas de intervención en la conducta punible que parten de la existencia de quien previamente ya tiene la condición de autor”. </w:t>
      </w:r>
    </w:p>
    <w:p w14:paraId="1A4C94BF" w14:textId="77777777" w:rsidR="000B27C7" w:rsidRPr="0048739B" w:rsidRDefault="000B27C7" w:rsidP="0048739B">
      <w:pPr>
        <w:spacing w:after="0" w:line="240" w:lineRule="auto"/>
        <w:ind w:right="48"/>
        <w:jc w:val="both"/>
        <w:textAlignment w:val="baseline"/>
        <w:rPr>
          <w:rFonts w:eastAsia="Arial Narrow"/>
          <w:bCs/>
          <w:i/>
          <w:iCs/>
          <w:sz w:val="28"/>
          <w:szCs w:val="28"/>
          <w:lang w:val="es-ES"/>
        </w:rPr>
      </w:pPr>
    </w:p>
    <w:p w14:paraId="08C94B29" w14:textId="5716A1DE" w:rsidR="00103964" w:rsidRPr="0048739B" w:rsidRDefault="00F65CE9" w:rsidP="0048739B">
      <w:pPr>
        <w:spacing w:after="0" w:line="240" w:lineRule="auto"/>
        <w:ind w:right="48"/>
        <w:jc w:val="both"/>
        <w:textAlignment w:val="baseline"/>
        <w:rPr>
          <w:rFonts w:eastAsia="Arial Narrow"/>
          <w:bCs/>
          <w:sz w:val="28"/>
          <w:szCs w:val="28"/>
          <w:lang w:val="es-ES"/>
        </w:rPr>
      </w:pPr>
      <w:r w:rsidRPr="0048739B">
        <w:rPr>
          <w:rFonts w:eastAsia="Arial Narrow"/>
          <w:bCs/>
          <w:sz w:val="28"/>
          <w:szCs w:val="28"/>
          <w:lang w:val="es-ES"/>
        </w:rPr>
        <w:t xml:space="preserve">El objetivo de la norma, entonces, es limitar la prohibición de registro tratándose de organizaciones criminales, lo cual no solo está justificado respecto del principio de igualdad, sino que es compatible con la eficacia de la inviolabilidad del secreto profesional y con el debido proceso. </w:t>
      </w:r>
    </w:p>
    <w:p w14:paraId="55D38D1B" w14:textId="77777777" w:rsidR="00F65CE9" w:rsidRPr="0048739B" w:rsidRDefault="00F65CE9" w:rsidP="0048739B">
      <w:pPr>
        <w:spacing w:after="0" w:line="240" w:lineRule="auto"/>
        <w:ind w:right="48"/>
        <w:jc w:val="both"/>
        <w:textAlignment w:val="baseline"/>
        <w:rPr>
          <w:rFonts w:eastAsia="Arial Narrow"/>
          <w:bCs/>
          <w:sz w:val="28"/>
          <w:szCs w:val="28"/>
          <w:lang w:val="es-ES"/>
        </w:rPr>
      </w:pPr>
    </w:p>
    <w:p w14:paraId="1620163A" w14:textId="65D4FA04" w:rsidR="004330A3" w:rsidRPr="0048739B" w:rsidRDefault="007E6EAF" w:rsidP="0048739B">
      <w:pPr>
        <w:spacing w:after="0" w:line="240" w:lineRule="auto"/>
        <w:ind w:right="48"/>
        <w:jc w:val="both"/>
        <w:textAlignment w:val="baseline"/>
        <w:rPr>
          <w:rFonts w:eastAsia="Arial Narrow"/>
          <w:sz w:val="28"/>
          <w:szCs w:val="28"/>
          <w:lang w:val="es-ES"/>
        </w:rPr>
      </w:pPr>
      <w:r w:rsidRPr="0048739B">
        <w:rPr>
          <w:rFonts w:eastAsia="Arial Narrow"/>
          <w:b/>
          <w:sz w:val="28"/>
          <w:szCs w:val="28"/>
          <w:lang w:val="es-ES"/>
        </w:rPr>
        <w:t>4.</w:t>
      </w:r>
      <w:r w:rsidR="00F65CE9" w:rsidRPr="0048739B">
        <w:rPr>
          <w:rFonts w:eastAsia="Arial Narrow"/>
          <w:b/>
          <w:sz w:val="28"/>
          <w:szCs w:val="28"/>
          <w:lang w:val="es-ES"/>
        </w:rPr>
        <w:t>7</w:t>
      </w:r>
      <w:r w:rsidRPr="0048739B">
        <w:rPr>
          <w:rFonts w:eastAsia="Arial Narrow"/>
          <w:b/>
          <w:sz w:val="28"/>
          <w:szCs w:val="28"/>
          <w:lang w:val="es-ES"/>
        </w:rPr>
        <w:t xml:space="preserve">. </w:t>
      </w:r>
      <w:r w:rsidR="00F65CE9" w:rsidRPr="0048739B">
        <w:rPr>
          <w:rFonts w:eastAsia="Arial Narrow"/>
          <w:b/>
          <w:sz w:val="28"/>
          <w:szCs w:val="28"/>
          <w:lang w:val="es-ES"/>
        </w:rPr>
        <w:t>Instituto Colombiano de Derecho Procesal</w:t>
      </w:r>
      <w:r w:rsidRPr="0048739B">
        <w:rPr>
          <w:rStyle w:val="Refdenotaalpie"/>
          <w:rFonts w:eastAsia="Arial Narrow"/>
          <w:sz w:val="28"/>
          <w:szCs w:val="28"/>
          <w:lang w:val="es-ES"/>
        </w:rPr>
        <w:footnoteReference w:id="24"/>
      </w:r>
      <w:r w:rsidRPr="0048739B">
        <w:rPr>
          <w:rFonts w:eastAsia="Arial Narrow"/>
          <w:sz w:val="28"/>
          <w:szCs w:val="28"/>
          <w:lang w:val="es-ES"/>
        </w:rPr>
        <w:t xml:space="preserve"> </w:t>
      </w:r>
    </w:p>
    <w:p w14:paraId="779FC288" w14:textId="77777777" w:rsidR="00372F09" w:rsidRPr="0048739B" w:rsidRDefault="00372F09" w:rsidP="0048739B">
      <w:pPr>
        <w:spacing w:after="0" w:line="240" w:lineRule="auto"/>
        <w:ind w:right="48"/>
        <w:jc w:val="both"/>
        <w:textAlignment w:val="baseline"/>
        <w:rPr>
          <w:rFonts w:eastAsia="Arial Narrow"/>
          <w:b/>
          <w:sz w:val="28"/>
          <w:szCs w:val="28"/>
          <w:lang w:val="es-ES"/>
        </w:rPr>
      </w:pPr>
    </w:p>
    <w:p w14:paraId="5E3F4C0A" w14:textId="1ED55C7B" w:rsidR="003A1A9E" w:rsidRPr="0048739B" w:rsidRDefault="00E44672" w:rsidP="0048739B">
      <w:pPr>
        <w:spacing w:after="0" w:line="240" w:lineRule="auto"/>
        <w:ind w:right="48"/>
        <w:jc w:val="both"/>
        <w:textAlignment w:val="baseline"/>
        <w:rPr>
          <w:rFonts w:eastAsia="Arial Narrow"/>
          <w:sz w:val="28"/>
          <w:szCs w:val="28"/>
          <w:lang w:val="es-ES"/>
        </w:rPr>
      </w:pPr>
      <w:proofErr w:type="spellStart"/>
      <w:r w:rsidRPr="0048739B">
        <w:rPr>
          <w:rFonts w:eastAsia="Arial Narrow"/>
          <w:sz w:val="28"/>
          <w:szCs w:val="28"/>
          <w:lang w:val="es-ES"/>
        </w:rPr>
        <w:t>Jason</w:t>
      </w:r>
      <w:proofErr w:type="spellEnd"/>
      <w:r w:rsidRPr="0048739B">
        <w:rPr>
          <w:rFonts w:eastAsia="Arial Narrow"/>
          <w:sz w:val="28"/>
          <w:szCs w:val="28"/>
          <w:lang w:val="es-ES"/>
        </w:rPr>
        <w:t xml:space="preserve"> Alexander Andrade Castro, miembro del Instituto Colombiano de Derecho Procesal, formul</w:t>
      </w:r>
      <w:r w:rsidR="009F7424" w:rsidRPr="0048739B">
        <w:rPr>
          <w:rFonts w:eastAsia="Arial Narrow"/>
          <w:sz w:val="28"/>
          <w:szCs w:val="28"/>
          <w:lang w:val="es-ES"/>
        </w:rPr>
        <w:t>ó</w:t>
      </w:r>
      <w:r w:rsidRPr="0048739B">
        <w:rPr>
          <w:rFonts w:eastAsia="Arial Narrow"/>
          <w:sz w:val="28"/>
          <w:szCs w:val="28"/>
          <w:lang w:val="es-ES"/>
        </w:rPr>
        <w:t xml:space="preserve"> intervención en </w:t>
      </w:r>
      <w:r w:rsidR="009F7424" w:rsidRPr="0048739B">
        <w:rPr>
          <w:rFonts w:eastAsia="Arial Narrow"/>
          <w:sz w:val="28"/>
          <w:szCs w:val="28"/>
          <w:lang w:val="es-ES"/>
        </w:rPr>
        <w:t xml:space="preserve">la </w:t>
      </w:r>
      <w:r w:rsidRPr="0048739B">
        <w:rPr>
          <w:rFonts w:eastAsia="Arial Narrow"/>
          <w:sz w:val="28"/>
          <w:szCs w:val="28"/>
          <w:lang w:val="es-ES"/>
        </w:rPr>
        <w:t xml:space="preserve">que defiende la </w:t>
      </w:r>
      <w:r w:rsidR="00180E1C" w:rsidRPr="0048739B">
        <w:rPr>
          <w:rFonts w:eastAsia="Times New Roman"/>
          <w:b/>
          <w:bCs/>
          <w:iCs/>
          <w:sz w:val="28"/>
          <w:szCs w:val="28"/>
          <w:lang w:val="es-ES" w:eastAsia="es-ES"/>
        </w:rPr>
        <w:t>EXEQUIBILIDAD CONDICIONADA</w:t>
      </w:r>
      <w:r w:rsidRPr="0048739B">
        <w:rPr>
          <w:rFonts w:eastAsia="Arial Narrow"/>
          <w:b/>
          <w:bCs/>
          <w:sz w:val="28"/>
          <w:szCs w:val="28"/>
          <w:lang w:val="es-ES"/>
        </w:rPr>
        <w:t xml:space="preserve"> </w:t>
      </w:r>
      <w:r w:rsidRPr="0048739B">
        <w:rPr>
          <w:rFonts w:eastAsia="Arial Narrow"/>
          <w:sz w:val="28"/>
          <w:szCs w:val="28"/>
          <w:lang w:val="es-ES"/>
        </w:rPr>
        <w:t>de la norma demandada</w:t>
      </w:r>
      <w:r w:rsidR="0004324E" w:rsidRPr="0048739B">
        <w:rPr>
          <w:rFonts w:eastAsia="Arial Narrow"/>
          <w:sz w:val="28"/>
          <w:szCs w:val="28"/>
          <w:lang w:val="es-ES"/>
        </w:rPr>
        <w:t xml:space="preserve">, </w:t>
      </w:r>
      <w:r w:rsidR="00F00FB4" w:rsidRPr="0048739B">
        <w:rPr>
          <w:rFonts w:eastAsia="Arial Narrow"/>
          <w:sz w:val="28"/>
          <w:szCs w:val="28"/>
          <w:lang w:val="es-ES"/>
        </w:rPr>
        <w:t xml:space="preserve">con el propósito de limitar la amplia facultad establecida por la norma </w:t>
      </w:r>
      <w:r w:rsidR="00DB03F0" w:rsidRPr="0048739B">
        <w:rPr>
          <w:rFonts w:eastAsia="Arial Narrow"/>
          <w:sz w:val="28"/>
          <w:szCs w:val="28"/>
          <w:lang w:val="es-ES"/>
        </w:rPr>
        <w:t>a favor del</w:t>
      </w:r>
      <w:r w:rsidR="00F00FB4" w:rsidRPr="0048739B">
        <w:rPr>
          <w:rFonts w:eastAsia="Arial Narrow"/>
          <w:sz w:val="28"/>
          <w:szCs w:val="28"/>
          <w:lang w:val="es-ES"/>
        </w:rPr>
        <w:t xml:space="preserve"> ente investigador</w:t>
      </w:r>
      <w:r w:rsidR="00DB03F0" w:rsidRPr="0048739B">
        <w:rPr>
          <w:rFonts w:eastAsia="Arial Narrow"/>
          <w:sz w:val="28"/>
          <w:szCs w:val="28"/>
          <w:lang w:val="es-ES"/>
        </w:rPr>
        <w:t>, a quien le confiere</w:t>
      </w:r>
      <w:r w:rsidR="00F00FB4" w:rsidRPr="0048739B">
        <w:rPr>
          <w:rFonts w:eastAsia="Arial Narrow"/>
          <w:sz w:val="28"/>
          <w:szCs w:val="28"/>
          <w:lang w:val="es-ES"/>
        </w:rPr>
        <w:t xml:space="preserve"> una potestad de afectación de alta intensidad a derechos fundamentales, al lograr el registro de las comunicaciones con el abogado, cuando este se encuentra </w:t>
      </w:r>
      <w:r w:rsidR="00F00FB4" w:rsidRPr="0048739B">
        <w:rPr>
          <w:rFonts w:eastAsia="Arial Narrow"/>
          <w:i/>
          <w:iCs/>
          <w:sz w:val="28"/>
          <w:szCs w:val="28"/>
          <w:lang w:val="es-ES"/>
        </w:rPr>
        <w:t>“vinculado”</w:t>
      </w:r>
      <w:r w:rsidR="00F00FB4" w:rsidRPr="0048739B">
        <w:rPr>
          <w:rFonts w:eastAsia="Arial Narrow"/>
          <w:sz w:val="28"/>
          <w:szCs w:val="28"/>
          <w:lang w:val="es-ES"/>
        </w:rPr>
        <w:t xml:space="preserve"> con el delito investigado u otro en curso</w:t>
      </w:r>
      <w:r w:rsidR="00DB03F0" w:rsidRPr="0048739B">
        <w:rPr>
          <w:rFonts w:eastAsia="Arial Narrow"/>
          <w:sz w:val="28"/>
          <w:szCs w:val="28"/>
          <w:lang w:val="es-ES"/>
        </w:rPr>
        <w:t xml:space="preserve">. Para el interviniente, la norma solo debe apreciarse constitucional, </w:t>
      </w:r>
      <w:r w:rsidR="00BB0CAF" w:rsidRPr="0048739B">
        <w:rPr>
          <w:rFonts w:eastAsia="Arial Narrow"/>
          <w:sz w:val="28"/>
          <w:szCs w:val="28"/>
          <w:lang w:val="es-ES"/>
        </w:rPr>
        <w:t>bajo el entendido de que la eliminación de</w:t>
      </w:r>
      <w:r w:rsidR="00311E66" w:rsidRPr="0048739B">
        <w:rPr>
          <w:rFonts w:eastAsia="Arial Narrow"/>
          <w:sz w:val="28"/>
          <w:szCs w:val="28"/>
          <w:lang w:val="es-ES"/>
        </w:rPr>
        <w:t xml:space="preserve"> </w:t>
      </w:r>
      <w:r w:rsidR="00BB0CAF" w:rsidRPr="0048739B">
        <w:rPr>
          <w:rFonts w:eastAsia="Arial Narrow"/>
          <w:sz w:val="28"/>
          <w:szCs w:val="28"/>
          <w:lang w:val="es-ES"/>
        </w:rPr>
        <w:t>l</w:t>
      </w:r>
      <w:r w:rsidR="00311E66" w:rsidRPr="0048739B">
        <w:rPr>
          <w:rFonts w:eastAsia="Arial Narrow"/>
          <w:sz w:val="28"/>
          <w:szCs w:val="28"/>
          <w:lang w:val="es-ES"/>
        </w:rPr>
        <w:t>a</w:t>
      </w:r>
      <w:r w:rsidR="00BB0CAF" w:rsidRPr="0048739B">
        <w:rPr>
          <w:rFonts w:eastAsia="Arial Narrow"/>
          <w:sz w:val="28"/>
          <w:szCs w:val="28"/>
          <w:lang w:val="es-ES"/>
        </w:rPr>
        <w:t xml:space="preserve"> </w:t>
      </w:r>
      <w:r w:rsidR="00311E66" w:rsidRPr="0048739B">
        <w:rPr>
          <w:rFonts w:eastAsia="Arial Narrow"/>
          <w:sz w:val="28"/>
          <w:szCs w:val="28"/>
          <w:lang w:val="es-ES"/>
        </w:rPr>
        <w:t>garantía</w:t>
      </w:r>
      <w:r w:rsidR="00951B5C" w:rsidRPr="0048739B">
        <w:rPr>
          <w:rFonts w:eastAsia="Arial Narrow"/>
          <w:sz w:val="28"/>
          <w:szCs w:val="28"/>
          <w:lang w:val="es-ES"/>
        </w:rPr>
        <w:t xml:space="preserve"> referida</w:t>
      </w:r>
      <w:r w:rsidR="00BB0CAF" w:rsidRPr="0048739B">
        <w:rPr>
          <w:rFonts w:eastAsia="Arial Narrow"/>
          <w:sz w:val="28"/>
          <w:szCs w:val="28"/>
          <w:lang w:val="es-ES"/>
        </w:rPr>
        <w:t xml:space="preserve"> estará sometida al</w:t>
      </w:r>
      <w:r w:rsidR="00F00FB4" w:rsidRPr="0048739B">
        <w:rPr>
          <w:rFonts w:eastAsia="Arial Narrow"/>
          <w:sz w:val="28"/>
          <w:szCs w:val="28"/>
          <w:lang w:val="es-ES"/>
        </w:rPr>
        <w:t xml:space="preserve"> juez de control de garantías. </w:t>
      </w:r>
    </w:p>
    <w:p w14:paraId="0C3E4A89" w14:textId="4CBE178D" w:rsidR="005E2BAD" w:rsidRPr="0048739B" w:rsidRDefault="005E2BAD" w:rsidP="0048739B">
      <w:pPr>
        <w:spacing w:after="0" w:line="240" w:lineRule="auto"/>
        <w:ind w:right="48"/>
        <w:jc w:val="both"/>
        <w:textAlignment w:val="baseline"/>
        <w:rPr>
          <w:rFonts w:eastAsia="Arial Narrow"/>
          <w:sz w:val="28"/>
          <w:szCs w:val="28"/>
          <w:lang w:val="es-ES"/>
        </w:rPr>
      </w:pPr>
    </w:p>
    <w:p w14:paraId="339A5563" w14:textId="74395DDF" w:rsidR="005E2BAD" w:rsidRPr="0048739B" w:rsidRDefault="005E2BAD"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La intervención sostiene que en el caso no se vulnera el derecho a la igualdad porque, contrario a lo que plantean los demandantes, existe un deber homogéneo de investigación y sanción penal respecto de los distintos coautores y partícipes del delito, sin importar la categoría de su participación. </w:t>
      </w:r>
      <w:r w:rsidR="00930FE2" w:rsidRPr="0048739B">
        <w:rPr>
          <w:rFonts w:eastAsia="Arial Narrow"/>
          <w:sz w:val="28"/>
          <w:szCs w:val="28"/>
          <w:lang w:val="es-ES"/>
        </w:rPr>
        <w:t xml:space="preserve">Por ende, </w:t>
      </w:r>
      <w:r w:rsidR="00A71732" w:rsidRPr="0048739B">
        <w:rPr>
          <w:rFonts w:eastAsia="Arial Narrow"/>
          <w:sz w:val="28"/>
          <w:szCs w:val="28"/>
          <w:lang w:val="es-ES"/>
        </w:rPr>
        <w:t>considera</w:t>
      </w:r>
      <w:r w:rsidR="00930FE2" w:rsidRPr="0048739B">
        <w:rPr>
          <w:rFonts w:eastAsia="Arial Narrow"/>
          <w:sz w:val="28"/>
          <w:szCs w:val="28"/>
          <w:lang w:val="es-ES"/>
        </w:rPr>
        <w:t xml:space="preserve"> que para efectos de la excepción de registro que regula el precepto acusado, todos los sujetos tienen la condición de indiciados</w:t>
      </w:r>
      <w:r w:rsidR="00AA745C" w:rsidRPr="0048739B">
        <w:rPr>
          <w:rFonts w:eastAsia="Arial Narrow"/>
          <w:sz w:val="28"/>
          <w:szCs w:val="28"/>
          <w:lang w:val="es-ES"/>
        </w:rPr>
        <w:t xml:space="preserve">, lo que implica un tratamiento paritario respecto de la vigencia </w:t>
      </w:r>
      <w:r w:rsidR="00951B5C" w:rsidRPr="0048739B">
        <w:rPr>
          <w:rFonts w:eastAsia="Arial Narrow"/>
          <w:sz w:val="28"/>
          <w:szCs w:val="28"/>
          <w:lang w:val="es-ES"/>
        </w:rPr>
        <w:t>de la garantía</w:t>
      </w:r>
      <w:r w:rsidR="00AA745C" w:rsidRPr="0048739B">
        <w:rPr>
          <w:rFonts w:eastAsia="Arial Narrow"/>
          <w:sz w:val="28"/>
          <w:szCs w:val="28"/>
          <w:lang w:val="es-ES"/>
        </w:rPr>
        <w:t xml:space="preserve"> mencionad</w:t>
      </w:r>
      <w:r w:rsidR="00951B5C" w:rsidRPr="0048739B">
        <w:rPr>
          <w:rFonts w:eastAsia="Arial Narrow"/>
          <w:sz w:val="28"/>
          <w:szCs w:val="28"/>
          <w:lang w:val="es-ES"/>
        </w:rPr>
        <w:t>a</w:t>
      </w:r>
      <w:r w:rsidR="00AA745C" w:rsidRPr="0048739B">
        <w:rPr>
          <w:rFonts w:eastAsia="Arial Narrow"/>
          <w:sz w:val="28"/>
          <w:szCs w:val="28"/>
          <w:lang w:val="es-ES"/>
        </w:rPr>
        <w:t xml:space="preserve">. </w:t>
      </w:r>
    </w:p>
    <w:p w14:paraId="468D0A69" w14:textId="2BD5331D" w:rsidR="00072CD7" w:rsidRPr="0048739B" w:rsidRDefault="00072CD7" w:rsidP="0048739B">
      <w:pPr>
        <w:spacing w:after="0" w:line="240" w:lineRule="auto"/>
        <w:ind w:right="48"/>
        <w:jc w:val="both"/>
        <w:textAlignment w:val="baseline"/>
        <w:rPr>
          <w:rFonts w:eastAsia="Arial Narrow"/>
          <w:sz w:val="28"/>
          <w:szCs w:val="28"/>
          <w:lang w:val="es-ES"/>
        </w:rPr>
      </w:pPr>
    </w:p>
    <w:p w14:paraId="2D16B8A0" w14:textId="04B95D50" w:rsidR="00072CD7" w:rsidRPr="0048739B" w:rsidRDefault="00072CD7"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No obstante</w:t>
      </w:r>
      <w:r w:rsidR="00182FBF" w:rsidRPr="0048739B">
        <w:rPr>
          <w:rFonts w:eastAsia="Arial Narrow"/>
          <w:sz w:val="28"/>
          <w:szCs w:val="28"/>
          <w:lang w:val="es-ES"/>
        </w:rPr>
        <w:t>,</w:t>
      </w:r>
      <w:r w:rsidRPr="0048739B">
        <w:rPr>
          <w:rFonts w:eastAsia="Arial Narrow"/>
          <w:sz w:val="28"/>
          <w:szCs w:val="28"/>
          <w:lang w:val="es-ES"/>
        </w:rPr>
        <w:t xml:space="preserve"> el interviniente </w:t>
      </w:r>
      <w:r w:rsidR="005D27EA" w:rsidRPr="0048739B">
        <w:rPr>
          <w:rFonts w:eastAsia="Arial Narrow"/>
          <w:sz w:val="28"/>
          <w:szCs w:val="28"/>
          <w:lang w:val="es-ES"/>
        </w:rPr>
        <w:t>encontró</w:t>
      </w:r>
      <w:r w:rsidR="00B640D7" w:rsidRPr="0048739B">
        <w:rPr>
          <w:rFonts w:eastAsia="Arial Narrow"/>
          <w:sz w:val="28"/>
          <w:szCs w:val="28"/>
          <w:lang w:val="es-ES"/>
        </w:rPr>
        <w:t xml:space="preserve"> </w:t>
      </w:r>
      <w:r w:rsidRPr="0048739B">
        <w:rPr>
          <w:rFonts w:eastAsia="Arial Narrow"/>
          <w:sz w:val="28"/>
          <w:szCs w:val="28"/>
          <w:lang w:val="es-ES"/>
        </w:rPr>
        <w:t>que los reparos respecto de la eficacia del derecho de defensa</w:t>
      </w:r>
      <w:r w:rsidR="00211E03" w:rsidRPr="0048739B">
        <w:rPr>
          <w:rFonts w:eastAsia="Arial Narrow"/>
          <w:sz w:val="28"/>
          <w:szCs w:val="28"/>
          <w:lang w:val="es-ES"/>
        </w:rPr>
        <w:t xml:space="preserve"> deben ser objeto de un pronunciamiento de fondo</w:t>
      </w:r>
      <w:r w:rsidRPr="0048739B">
        <w:rPr>
          <w:rFonts w:eastAsia="Arial Narrow"/>
          <w:sz w:val="28"/>
          <w:szCs w:val="28"/>
          <w:lang w:val="es-ES"/>
        </w:rPr>
        <w:t xml:space="preserve">. </w:t>
      </w:r>
      <w:r w:rsidR="00B640D7" w:rsidRPr="0048739B">
        <w:rPr>
          <w:rFonts w:eastAsia="Arial Narrow"/>
          <w:sz w:val="28"/>
          <w:szCs w:val="28"/>
          <w:lang w:val="es-ES"/>
        </w:rPr>
        <w:t xml:space="preserve">Señaló </w:t>
      </w:r>
      <w:r w:rsidRPr="0048739B">
        <w:rPr>
          <w:rFonts w:eastAsia="Arial Narrow"/>
          <w:sz w:val="28"/>
          <w:szCs w:val="28"/>
          <w:lang w:val="es-ES"/>
        </w:rPr>
        <w:t>que, conforme lo regula el artículo 221 del Código de Procedimiento Penal, el estándar exigido para que la Fiscalía pueda acceder a las comunicaciones entre el procesado y su abogado es el de</w:t>
      </w:r>
      <w:r w:rsidR="00B640D7" w:rsidRPr="0048739B">
        <w:rPr>
          <w:rFonts w:eastAsia="Arial Narrow"/>
          <w:sz w:val="28"/>
          <w:szCs w:val="28"/>
          <w:lang w:val="es-ES"/>
        </w:rPr>
        <w:t xml:space="preserve"> los</w:t>
      </w:r>
      <w:r w:rsidRPr="0048739B">
        <w:rPr>
          <w:rFonts w:eastAsia="Arial Narrow"/>
          <w:sz w:val="28"/>
          <w:szCs w:val="28"/>
          <w:lang w:val="es-ES"/>
        </w:rPr>
        <w:t xml:space="preserve"> </w:t>
      </w:r>
      <w:r w:rsidRPr="0048739B">
        <w:rPr>
          <w:rFonts w:eastAsia="Arial Narrow"/>
          <w:i/>
          <w:iCs/>
          <w:sz w:val="28"/>
          <w:szCs w:val="28"/>
          <w:lang w:val="es-ES"/>
        </w:rPr>
        <w:t>“motivos fundados”</w:t>
      </w:r>
      <w:r w:rsidRPr="0048739B">
        <w:rPr>
          <w:rFonts w:eastAsia="Arial Narrow"/>
          <w:sz w:val="28"/>
          <w:szCs w:val="28"/>
          <w:lang w:val="es-ES"/>
        </w:rPr>
        <w:t>. Estim</w:t>
      </w:r>
      <w:r w:rsidR="00C4228F" w:rsidRPr="0048739B">
        <w:rPr>
          <w:rFonts w:eastAsia="Arial Narrow"/>
          <w:sz w:val="28"/>
          <w:szCs w:val="28"/>
          <w:lang w:val="es-ES"/>
        </w:rPr>
        <w:t>ó</w:t>
      </w:r>
      <w:r w:rsidRPr="0048739B">
        <w:rPr>
          <w:rFonts w:eastAsia="Arial Narrow"/>
          <w:sz w:val="28"/>
          <w:szCs w:val="28"/>
          <w:lang w:val="es-ES"/>
        </w:rPr>
        <w:t xml:space="preserve"> que esa condición no </w:t>
      </w:r>
      <w:r w:rsidR="00C4228F" w:rsidRPr="0048739B">
        <w:rPr>
          <w:rFonts w:eastAsia="Arial Narrow"/>
          <w:sz w:val="28"/>
          <w:szCs w:val="28"/>
          <w:lang w:val="es-ES"/>
        </w:rPr>
        <w:t xml:space="preserve">es </w:t>
      </w:r>
      <w:r w:rsidRPr="0048739B">
        <w:rPr>
          <w:rFonts w:eastAsia="Arial Narrow"/>
          <w:sz w:val="28"/>
          <w:szCs w:val="28"/>
          <w:lang w:val="es-ES"/>
        </w:rPr>
        <w:t xml:space="preserve">suficiente ante la gravedad </w:t>
      </w:r>
      <w:r w:rsidR="00C4228F" w:rsidRPr="0048739B">
        <w:rPr>
          <w:rFonts w:eastAsia="Arial Narrow"/>
          <w:sz w:val="28"/>
          <w:szCs w:val="28"/>
          <w:lang w:val="es-ES"/>
        </w:rPr>
        <w:t>de</w:t>
      </w:r>
      <w:r w:rsidRPr="0048739B">
        <w:rPr>
          <w:rFonts w:eastAsia="Arial Narrow"/>
          <w:sz w:val="28"/>
          <w:szCs w:val="28"/>
          <w:lang w:val="es-ES"/>
        </w:rPr>
        <w:t xml:space="preserve"> la intervención de esas comunicaciones, pues generalmente incluyen datos sobre la posible responsabilidad del procesado. </w:t>
      </w:r>
      <w:r w:rsidR="00A17BD3" w:rsidRPr="0048739B">
        <w:rPr>
          <w:rFonts w:eastAsia="Arial Narrow"/>
          <w:sz w:val="28"/>
          <w:szCs w:val="28"/>
          <w:lang w:val="es-ES"/>
        </w:rPr>
        <w:t xml:space="preserve">Esto </w:t>
      </w:r>
      <w:r w:rsidR="00AB747A" w:rsidRPr="0048739B">
        <w:rPr>
          <w:rFonts w:eastAsia="Arial Narrow"/>
          <w:sz w:val="28"/>
          <w:szCs w:val="28"/>
          <w:lang w:val="es-ES"/>
        </w:rPr>
        <w:t>a pesar de que</w:t>
      </w:r>
      <w:r w:rsidR="00A17BD3" w:rsidRPr="0048739B">
        <w:rPr>
          <w:rFonts w:eastAsia="Arial Narrow"/>
          <w:sz w:val="28"/>
          <w:szCs w:val="28"/>
          <w:lang w:val="es-ES"/>
        </w:rPr>
        <w:t xml:space="preserve"> para la procedencia del registro bastaría con la existencia de la comunicación, motivos fundados para concluir que el delito investigado tiene </w:t>
      </w:r>
      <w:r w:rsidR="00233277" w:rsidRPr="0048739B">
        <w:rPr>
          <w:rFonts w:eastAsia="Arial Narrow"/>
          <w:sz w:val="28"/>
          <w:szCs w:val="28"/>
          <w:lang w:val="es-ES"/>
        </w:rPr>
        <w:t xml:space="preserve">como </w:t>
      </w:r>
      <w:r w:rsidR="00A17BD3" w:rsidRPr="0048739B">
        <w:rPr>
          <w:rFonts w:eastAsia="Arial Narrow"/>
          <w:sz w:val="28"/>
          <w:szCs w:val="28"/>
          <w:lang w:val="es-ES"/>
        </w:rPr>
        <w:t>probable autor o partícipe al propietario de la comunicación y que el defensor sea una de las personas vinculadas como auxiliadoras, partícipes o coautores de</w:t>
      </w:r>
      <w:r w:rsidR="00AB747A" w:rsidRPr="0048739B">
        <w:rPr>
          <w:rFonts w:eastAsia="Arial Narrow"/>
          <w:sz w:val="28"/>
          <w:szCs w:val="28"/>
          <w:lang w:val="es-ES"/>
        </w:rPr>
        <w:t xml:space="preserve">l delito </w:t>
      </w:r>
      <w:r w:rsidR="00AB747A" w:rsidRPr="0048739B">
        <w:rPr>
          <w:rFonts w:eastAsia="Arial Narrow"/>
          <w:sz w:val="28"/>
          <w:szCs w:val="28"/>
          <w:lang w:val="es-ES"/>
        </w:rPr>
        <w:lastRenderedPageBreak/>
        <w:t>investigado o uno conexo o que se encuentre en curso.</w:t>
      </w:r>
      <w:r w:rsidR="008168D4" w:rsidRPr="0048739B">
        <w:rPr>
          <w:rFonts w:eastAsia="Arial Narrow"/>
          <w:sz w:val="28"/>
          <w:szCs w:val="28"/>
          <w:lang w:val="es-ES"/>
        </w:rPr>
        <w:t xml:space="preserve"> </w:t>
      </w:r>
      <w:r w:rsidR="004004D7" w:rsidRPr="0048739B">
        <w:rPr>
          <w:rFonts w:eastAsia="Arial Narrow"/>
          <w:sz w:val="28"/>
          <w:szCs w:val="28"/>
          <w:lang w:val="es-ES"/>
        </w:rPr>
        <w:t>Por ende, consider</w:t>
      </w:r>
      <w:r w:rsidR="00137881" w:rsidRPr="0048739B">
        <w:rPr>
          <w:rFonts w:eastAsia="Arial Narrow"/>
          <w:sz w:val="28"/>
          <w:szCs w:val="28"/>
          <w:lang w:val="es-ES"/>
        </w:rPr>
        <w:t>ó</w:t>
      </w:r>
      <w:r w:rsidR="004004D7" w:rsidRPr="0048739B">
        <w:rPr>
          <w:rFonts w:eastAsia="Arial Narrow"/>
          <w:sz w:val="28"/>
          <w:szCs w:val="28"/>
          <w:lang w:val="es-ES"/>
        </w:rPr>
        <w:t xml:space="preserve"> que la norma debe condicionarse en el sentido de que el registro</w:t>
      </w:r>
      <w:r w:rsidR="00137881" w:rsidRPr="0048739B">
        <w:rPr>
          <w:rFonts w:eastAsia="Arial Narrow"/>
          <w:sz w:val="28"/>
          <w:szCs w:val="28"/>
          <w:lang w:val="es-ES"/>
        </w:rPr>
        <w:t xml:space="preserve"> de las comunicaciones</w:t>
      </w:r>
      <w:r w:rsidR="004004D7" w:rsidRPr="0048739B">
        <w:rPr>
          <w:rFonts w:eastAsia="Arial Narrow"/>
          <w:sz w:val="28"/>
          <w:szCs w:val="28"/>
          <w:lang w:val="es-ES"/>
        </w:rPr>
        <w:t xml:space="preserve"> en estos casos </w:t>
      </w:r>
      <w:r w:rsidR="00137881" w:rsidRPr="0048739B">
        <w:rPr>
          <w:rFonts w:eastAsia="Arial Narrow"/>
          <w:sz w:val="28"/>
          <w:szCs w:val="28"/>
          <w:lang w:val="es-ES"/>
        </w:rPr>
        <w:t xml:space="preserve">debe estar </w:t>
      </w:r>
      <w:r w:rsidR="004004D7" w:rsidRPr="0048739B">
        <w:rPr>
          <w:rFonts w:eastAsia="Arial Narrow"/>
          <w:sz w:val="28"/>
          <w:szCs w:val="28"/>
          <w:lang w:val="es-ES"/>
        </w:rPr>
        <w:t xml:space="preserve">sometido a control previo por parte del juez de control de garantías. </w:t>
      </w:r>
    </w:p>
    <w:p w14:paraId="73444BCF" w14:textId="1E1D356B" w:rsidR="00AB747A" w:rsidRPr="0048739B" w:rsidRDefault="00AB747A" w:rsidP="0048739B">
      <w:pPr>
        <w:spacing w:after="0" w:line="240" w:lineRule="auto"/>
        <w:ind w:right="48"/>
        <w:jc w:val="both"/>
        <w:textAlignment w:val="baseline"/>
        <w:rPr>
          <w:rFonts w:eastAsia="Arial Narrow"/>
          <w:sz w:val="28"/>
          <w:szCs w:val="28"/>
          <w:lang w:val="es-ES"/>
        </w:rPr>
      </w:pPr>
    </w:p>
    <w:p w14:paraId="61970F07" w14:textId="320D4745" w:rsidR="00AB747A" w:rsidRPr="0048739B" w:rsidRDefault="00AB747A"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 xml:space="preserve">El Instituto, a su turno, </w:t>
      </w:r>
      <w:r w:rsidR="00B464B7" w:rsidRPr="0048739B">
        <w:rPr>
          <w:rFonts w:eastAsia="Arial Narrow"/>
          <w:sz w:val="28"/>
          <w:szCs w:val="28"/>
          <w:lang w:val="es-ES"/>
        </w:rPr>
        <w:t xml:space="preserve">señaló </w:t>
      </w:r>
      <w:r w:rsidRPr="0048739B">
        <w:rPr>
          <w:rFonts w:eastAsia="Arial Narrow"/>
          <w:sz w:val="28"/>
          <w:szCs w:val="28"/>
          <w:lang w:val="es-ES"/>
        </w:rPr>
        <w:t xml:space="preserve">que el riesgo planteado también se origina en la </w:t>
      </w:r>
      <w:r w:rsidRPr="0048739B">
        <w:rPr>
          <w:rFonts w:eastAsia="Arial Narrow"/>
          <w:i/>
          <w:iCs/>
          <w:sz w:val="28"/>
          <w:szCs w:val="28"/>
          <w:lang w:val="es-ES"/>
        </w:rPr>
        <w:t>“indiscutible falta de técnica legislativa</w:t>
      </w:r>
      <w:r w:rsidR="00C61918" w:rsidRPr="0048739B">
        <w:rPr>
          <w:rFonts w:eastAsia="Arial Narrow"/>
          <w:i/>
          <w:iCs/>
          <w:sz w:val="28"/>
          <w:szCs w:val="28"/>
          <w:lang w:val="es-ES"/>
        </w:rPr>
        <w:t xml:space="preserve"> en la redacción de la norma acusada”. </w:t>
      </w:r>
      <w:r w:rsidR="00C61918" w:rsidRPr="0048739B">
        <w:rPr>
          <w:rFonts w:eastAsia="Arial Narrow"/>
          <w:sz w:val="28"/>
          <w:szCs w:val="28"/>
          <w:lang w:val="es-ES"/>
        </w:rPr>
        <w:t xml:space="preserve">En </w:t>
      </w:r>
      <w:r w:rsidR="005100BD" w:rsidRPr="0048739B">
        <w:rPr>
          <w:rFonts w:eastAsia="Arial Narrow"/>
          <w:sz w:val="28"/>
          <w:szCs w:val="28"/>
          <w:lang w:val="es-ES"/>
        </w:rPr>
        <w:t xml:space="preserve">primer lugar, utiliza conceptos que son ajenos al ordenamiento jurídico colombiano, como el de </w:t>
      </w:r>
      <w:r w:rsidR="005100BD" w:rsidRPr="0048739B">
        <w:rPr>
          <w:rFonts w:eastAsia="Arial Narrow"/>
          <w:i/>
          <w:iCs/>
          <w:sz w:val="28"/>
          <w:szCs w:val="28"/>
          <w:lang w:val="es-ES"/>
        </w:rPr>
        <w:t>“auxiliador”</w:t>
      </w:r>
      <w:r w:rsidR="005100BD" w:rsidRPr="0048739B">
        <w:rPr>
          <w:rFonts w:eastAsia="Arial Narrow"/>
          <w:sz w:val="28"/>
          <w:szCs w:val="28"/>
          <w:lang w:val="es-ES"/>
        </w:rPr>
        <w:t xml:space="preserve">. Además, ignora que el carácter de </w:t>
      </w:r>
      <w:r w:rsidR="005100BD" w:rsidRPr="0048739B">
        <w:rPr>
          <w:rFonts w:eastAsia="Arial Narrow"/>
          <w:i/>
          <w:iCs/>
          <w:sz w:val="28"/>
          <w:szCs w:val="28"/>
          <w:lang w:val="es-ES"/>
        </w:rPr>
        <w:t>“vinculado”</w:t>
      </w:r>
      <w:r w:rsidR="005100BD" w:rsidRPr="0048739B">
        <w:rPr>
          <w:rFonts w:eastAsia="Arial Narrow"/>
          <w:sz w:val="28"/>
          <w:szCs w:val="28"/>
          <w:lang w:val="es-ES"/>
        </w:rPr>
        <w:t xml:space="preserve"> tiene un especial sign</w:t>
      </w:r>
      <w:r w:rsidR="00344896" w:rsidRPr="0048739B">
        <w:rPr>
          <w:rFonts w:eastAsia="Arial Narrow"/>
          <w:sz w:val="28"/>
          <w:szCs w:val="28"/>
          <w:lang w:val="es-ES"/>
        </w:rPr>
        <w:t xml:space="preserve">ificado técnico en el proceso penal, pues refiere a quien se le ha formulado imputación o ha sido capturado. Empero, si la norma se entendiera </w:t>
      </w:r>
      <w:r w:rsidR="0097758D" w:rsidRPr="0048739B">
        <w:rPr>
          <w:rFonts w:eastAsia="Arial Narrow"/>
          <w:sz w:val="28"/>
          <w:szCs w:val="28"/>
          <w:lang w:val="es-ES"/>
        </w:rPr>
        <w:t xml:space="preserve">con ese carácter, resultaría </w:t>
      </w:r>
      <w:r w:rsidR="00344896" w:rsidRPr="0048739B">
        <w:rPr>
          <w:rFonts w:eastAsia="Arial Narrow"/>
          <w:sz w:val="28"/>
          <w:szCs w:val="28"/>
          <w:lang w:val="es-ES"/>
        </w:rPr>
        <w:t>un contrasentido, puesto que el registro de las comunicaciones se adelanta, precisamente, para fundamentar la imputación. De esta manera, ante la necesidad de ponderar entre los dos extremos</w:t>
      </w:r>
      <w:r w:rsidR="00182FBF" w:rsidRPr="0048739B">
        <w:rPr>
          <w:rFonts w:eastAsia="Arial Narrow"/>
          <w:sz w:val="28"/>
          <w:szCs w:val="28"/>
          <w:lang w:val="es-ES"/>
        </w:rPr>
        <w:t>,</w:t>
      </w:r>
      <w:r w:rsidR="00344896" w:rsidRPr="0048739B">
        <w:rPr>
          <w:rFonts w:eastAsia="Arial Narrow"/>
          <w:sz w:val="28"/>
          <w:szCs w:val="28"/>
          <w:lang w:val="es-ES"/>
        </w:rPr>
        <w:t xml:space="preserve"> la protección de la intimidad y la eficacia de la </w:t>
      </w:r>
      <w:r w:rsidR="00EE5935" w:rsidRPr="0048739B">
        <w:rPr>
          <w:rFonts w:eastAsia="Arial Narrow"/>
          <w:sz w:val="28"/>
          <w:szCs w:val="28"/>
          <w:lang w:val="es-ES"/>
        </w:rPr>
        <w:t>investigación,</w:t>
      </w:r>
      <w:r w:rsidR="00344896" w:rsidRPr="0048739B">
        <w:rPr>
          <w:rFonts w:eastAsia="Arial Narrow"/>
          <w:sz w:val="28"/>
          <w:szCs w:val="28"/>
          <w:lang w:val="es-ES"/>
        </w:rPr>
        <w:t xml:space="preserve"> </w:t>
      </w:r>
      <w:r w:rsidR="0076152A" w:rsidRPr="0048739B">
        <w:rPr>
          <w:rFonts w:eastAsia="Arial Narrow"/>
          <w:sz w:val="28"/>
          <w:szCs w:val="28"/>
          <w:lang w:val="es-ES"/>
        </w:rPr>
        <w:t>es</w:t>
      </w:r>
      <w:r w:rsidR="00F72A28" w:rsidRPr="0048739B">
        <w:rPr>
          <w:rFonts w:eastAsia="Arial Narrow"/>
          <w:sz w:val="28"/>
          <w:szCs w:val="28"/>
          <w:lang w:val="es-ES"/>
        </w:rPr>
        <w:t xml:space="preserve"> necesario comprender el concepto </w:t>
      </w:r>
      <w:r w:rsidR="00F72A28" w:rsidRPr="0048739B">
        <w:rPr>
          <w:rFonts w:eastAsia="Arial Narrow"/>
          <w:i/>
          <w:iCs/>
          <w:sz w:val="28"/>
          <w:szCs w:val="28"/>
          <w:lang w:val="es-ES"/>
        </w:rPr>
        <w:t>“vinculado”</w:t>
      </w:r>
      <w:r w:rsidR="00F72A28" w:rsidRPr="0048739B">
        <w:rPr>
          <w:rFonts w:eastAsia="Arial Narrow"/>
          <w:sz w:val="28"/>
          <w:szCs w:val="28"/>
          <w:lang w:val="es-ES"/>
        </w:rPr>
        <w:t xml:space="preserve"> en sentido amplio, para que opere como sinónimo de calificado, señalado o indiciado. </w:t>
      </w:r>
    </w:p>
    <w:p w14:paraId="46D4B5B5" w14:textId="694BB5A5" w:rsidR="00AA745C" w:rsidRPr="0048739B" w:rsidRDefault="00AA745C" w:rsidP="0048739B">
      <w:pPr>
        <w:spacing w:after="0" w:line="240" w:lineRule="auto"/>
        <w:ind w:right="48"/>
        <w:jc w:val="both"/>
        <w:textAlignment w:val="baseline"/>
        <w:rPr>
          <w:rFonts w:eastAsia="Arial Narrow"/>
          <w:sz w:val="28"/>
          <w:szCs w:val="28"/>
          <w:lang w:val="es-ES"/>
        </w:rPr>
      </w:pPr>
    </w:p>
    <w:p w14:paraId="02AD9ABA" w14:textId="25006BCD" w:rsidR="00E44672" w:rsidRPr="0048739B" w:rsidRDefault="00AD4E13" w:rsidP="0048739B">
      <w:pPr>
        <w:spacing w:after="0" w:line="240" w:lineRule="auto"/>
        <w:ind w:right="48"/>
        <w:jc w:val="both"/>
        <w:textAlignment w:val="baseline"/>
        <w:rPr>
          <w:rFonts w:eastAsia="Arial Narrow"/>
          <w:sz w:val="28"/>
          <w:szCs w:val="28"/>
          <w:lang w:val="es-ES"/>
        </w:rPr>
      </w:pPr>
      <w:r w:rsidRPr="0048739B">
        <w:rPr>
          <w:rFonts w:eastAsia="Arial Narrow"/>
          <w:sz w:val="28"/>
          <w:szCs w:val="28"/>
          <w:lang w:val="es-ES"/>
        </w:rPr>
        <w:t>Por último, consider</w:t>
      </w:r>
      <w:r w:rsidR="0076152A" w:rsidRPr="0048739B">
        <w:rPr>
          <w:rFonts w:eastAsia="Arial Narrow"/>
          <w:sz w:val="28"/>
          <w:szCs w:val="28"/>
          <w:lang w:val="es-ES"/>
        </w:rPr>
        <w:t>ó</w:t>
      </w:r>
      <w:r w:rsidRPr="0048739B">
        <w:rPr>
          <w:rFonts w:eastAsia="Arial Narrow"/>
          <w:sz w:val="28"/>
          <w:szCs w:val="28"/>
          <w:lang w:val="es-ES"/>
        </w:rPr>
        <w:t xml:space="preserve"> que </w:t>
      </w:r>
      <w:r w:rsidR="00B11AE7" w:rsidRPr="0048739B">
        <w:rPr>
          <w:rFonts w:eastAsia="Arial Narrow"/>
          <w:sz w:val="28"/>
          <w:szCs w:val="28"/>
          <w:lang w:val="es-ES"/>
        </w:rPr>
        <w:t>e</w:t>
      </w:r>
      <w:r w:rsidRPr="0048739B">
        <w:rPr>
          <w:rFonts w:eastAsia="Arial Narrow"/>
          <w:sz w:val="28"/>
          <w:szCs w:val="28"/>
          <w:lang w:val="es-ES"/>
        </w:rPr>
        <w:t xml:space="preserve">l cargo por vulneración de la inviolabilidad del secreto profesional no es procedente. Esto debido a que la norma no impone la obligación de revelar información, sino únicamente la posibilidad del registro de la comunicación, según las condiciones anotadas. </w:t>
      </w:r>
    </w:p>
    <w:p w14:paraId="2106DF15" w14:textId="77777777" w:rsidR="005316E4" w:rsidRPr="0048739B" w:rsidRDefault="005316E4" w:rsidP="0048739B">
      <w:pPr>
        <w:spacing w:after="0" w:line="240" w:lineRule="auto"/>
        <w:ind w:right="45"/>
        <w:jc w:val="both"/>
        <w:rPr>
          <w:rFonts w:eastAsia="Calibri"/>
          <w:b/>
          <w:sz w:val="28"/>
          <w:szCs w:val="28"/>
          <w:lang w:val="es-ES" w:eastAsia="es-ES"/>
        </w:rPr>
      </w:pPr>
    </w:p>
    <w:p w14:paraId="2452D07F" w14:textId="77777777" w:rsidR="005B26B7" w:rsidRPr="0048739B" w:rsidRDefault="005B26B7" w:rsidP="0048739B">
      <w:pPr>
        <w:spacing w:after="0" w:line="240" w:lineRule="auto"/>
        <w:ind w:right="45"/>
        <w:jc w:val="both"/>
        <w:rPr>
          <w:rFonts w:eastAsia="Calibri"/>
          <w:b/>
          <w:sz w:val="28"/>
          <w:szCs w:val="28"/>
          <w:lang w:val="es-ES" w:eastAsia="es-ES"/>
        </w:rPr>
      </w:pPr>
      <w:r w:rsidRPr="0048739B">
        <w:rPr>
          <w:rFonts w:eastAsia="Calibri"/>
          <w:b/>
          <w:sz w:val="28"/>
          <w:szCs w:val="28"/>
          <w:lang w:val="es-ES" w:eastAsia="es-ES"/>
        </w:rPr>
        <w:t>V. CONCEPTO DEL PROCURADOR GENERAL DE LA NACIÓN</w:t>
      </w:r>
    </w:p>
    <w:p w14:paraId="59A5F9FE" w14:textId="77777777" w:rsidR="00552191" w:rsidRPr="0048739B" w:rsidRDefault="00552191" w:rsidP="0048739B">
      <w:pPr>
        <w:spacing w:after="0" w:line="240" w:lineRule="auto"/>
        <w:ind w:right="45"/>
        <w:jc w:val="both"/>
        <w:rPr>
          <w:rFonts w:eastAsia="Calibri"/>
          <w:sz w:val="28"/>
          <w:szCs w:val="28"/>
          <w:lang w:val="es-ES" w:eastAsia="es-ES"/>
        </w:rPr>
      </w:pPr>
    </w:p>
    <w:p w14:paraId="44F9EE8D" w14:textId="7F9CDFE8" w:rsidR="00AD4E13" w:rsidRPr="0048739B" w:rsidRDefault="00CA0280" w:rsidP="0048739B">
      <w:pPr>
        <w:spacing w:after="0" w:line="240" w:lineRule="auto"/>
        <w:ind w:right="45"/>
        <w:jc w:val="both"/>
        <w:rPr>
          <w:rFonts w:eastAsia="Calibri"/>
          <w:sz w:val="28"/>
          <w:szCs w:val="28"/>
          <w:lang w:val="es-ES" w:eastAsia="es-ES"/>
        </w:rPr>
      </w:pPr>
      <w:r w:rsidRPr="0048739B">
        <w:rPr>
          <w:rFonts w:eastAsia="Calibri"/>
          <w:sz w:val="28"/>
          <w:szCs w:val="28"/>
          <w:lang w:val="es-ES" w:eastAsia="es-ES"/>
        </w:rPr>
        <w:t>El Ministerio Público solicit</w:t>
      </w:r>
      <w:r w:rsidR="00892290" w:rsidRPr="0048739B">
        <w:rPr>
          <w:rFonts w:eastAsia="Calibri"/>
          <w:sz w:val="28"/>
          <w:szCs w:val="28"/>
          <w:lang w:val="es-ES" w:eastAsia="es-ES"/>
        </w:rPr>
        <w:t>ó</w:t>
      </w:r>
      <w:r w:rsidRPr="0048739B">
        <w:rPr>
          <w:rFonts w:eastAsia="Calibri"/>
          <w:sz w:val="28"/>
          <w:szCs w:val="28"/>
          <w:lang w:val="es-ES" w:eastAsia="es-ES"/>
        </w:rPr>
        <w:t xml:space="preserve"> a la Corte que </w:t>
      </w:r>
      <w:r w:rsidR="00AD4E13" w:rsidRPr="0048739B">
        <w:rPr>
          <w:rFonts w:eastAsia="Calibri"/>
          <w:sz w:val="28"/>
          <w:szCs w:val="28"/>
          <w:lang w:val="es-ES" w:eastAsia="es-ES"/>
        </w:rPr>
        <w:t xml:space="preserve">profiera una </w:t>
      </w:r>
      <w:r w:rsidR="0097758D" w:rsidRPr="0048739B">
        <w:rPr>
          <w:rFonts w:eastAsia="Calibri"/>
          <w:sz w:val="28"/>
          <w:szCs w:val="28"/>
          <w:lang w:val="es-ES" w:eastAsia="es-ES"/>
        </w:rPr>
        <w:t>sentencia</w:t>
      </w:r>
      <w:r w:rsidR="0097758D" w:rsidRPr="0048739B">
        <w:rPr>
          <w:rFonts w:eastAsia="Calibri"/>
          <w:b/>
          <w:bCs/>
          <w:sz w:val="28"/>
          <w:szCs w:val="28"/>
          <w:lang w:val="es-ES" w:eastAsia="es-ES"/>
        </w:rPr>
        <w:t xml:space="preserve"> INHIBITORIA</w:t>
      </w:r>
      <w:r w:rsidR="00AD4E13" w:rsidRPr="0048739B">
        <w:rPr>
          <w:rFonts w:eastAsia="Calibri"/>
          <w:b/>
          <w:bCs/>
          <w:sz w:val="28"/>
          <w:szCs w:val="28"/>
          <w:lang w:val="es-ES" w:eastAsia="es-ES"/>
        </w:rPr>
        <w:t xml:space="preserve"> </w:t>
      </w:r>
      <w:r w:rsidR="00AD4E13" w:rsidRPr="0048739B">
        <w:rPr>
          <w:rFonts w:eastAsia="Calibri"/>
          <w:sz w:val="28"/>
          <w:szCs w:val="28"/>
          <w:lang w:val="es-ES" w:eastAsia="es-ES"/>
        </w:rPr>
        <w:t xml:space="preserve">en </w:t>
      </w:r>
      <w:r w:rsidR="00EE5935" w:rsidRPr="0048739B">
        <w:rPr>
          <w:rFonts w:eastAsia="Calibri"/>
          <w:sz w:val="28"/>
          <w:szCs w:val="28"/>
          <w:lang w:val="es-ES" w:eastAsia="es-ES"/>
        </w:rPr>
        <w:t>virtud</w:t>
      </w:r>
      <w:r w:rsidR="00AD4E13" w:rsidRPr="0048739B">
        <w:rPr>
          <w:rFonts w:eastAsia="Calibri"/>
          <w:sz w:val="28"/>
          <w:szCs w:val="28"/>
          <w:lang w:val="es-ES" w:eastAsia="es-ES"/>
        </w:rPr>
        <w:t xml:space="preserve"> de la ineptitud sustantiva de la demanda. </w:t>
      </w:r>
    </w:p>
    <w:p w14:paraId="42AC2CB0" w14:textId="77777777" w:rsidR="00AD4E13" w:rsidRPr="0048739B" w:rsidRDefault="00AD4E13" w:rsidP="0048739B">
      <w:pPr>
        <w:spacing w:after="0" w:line="240" w:lineRule="auto"/>
        <w:ind w:right="45"/>
        <w:jc w:val="both"/>
        <w:rPr>
          <w:rFonts w:eastAsia="Calibri"/>
          <w:sz w:val="28"/>
          <w:szCs w:val="28"/>
          <w:lang w:val="es-ES" w:eastAsia="es-ES"/>
        </w:rPr>
      </w:pPr>
    </w:p>
    <w:p w14:paraId="6444FB17" w14:textId="44647C31" w:rsidR="00456008" w:rsidRPr="0048739B" w:rsidRDefault="00AD4E13" w:rsidP="0048739B">
      <w:pPr>
        <w:spacing w:after="0" w:line="240" w:lineRule="auto"/>
        <w:ind w:right="45"/>
        <w:jc w:val="both"/>
        <w:rPr>
          <w:rFonts w:eastAsia="Calibri"/>
          <w:sz w:val="28"/>
          <w:szCs w:val="28"/>
          <w:lang w:val="es-ES" w:eastAsia="es-ES"/>
        </w:rPr>
      </w:pPr>
      <w:r w:rsidRPr="0048739B">
        <w:rPr>
          <w:rFonts w:eastAsia="Calibri"/>
          <w:sz w:val="28"/>
          <w:szCs w:val="28"/>
          <w:lang w:val="es-ES" w:eastAsia="es-ES"/>
        </w:rPr>
        <w:t xml:space="preserve">El argumento central que sustenta esta </w:t>
      </w:r>
      <w:r w:rsidR="00F43E3F" w:rsidRPr="0048739B">
        <w:rPr>
          <w:rFonts w:eastAsia="Calibri"/>
          <w:sz w:val="28"/>
          <w:szCs w:val="28"/>
          <w:lang w:val="es-ES" w:eastAsia="es-ES"/>
        </w:rPr>
        <w:t>conclusión</w:t>
      </w:r>
      <w:r w:rsidRPr="0048739B">
        <w:rPr>
          <w:rFonts w:eastAsia="Calibri"/>
          <w:sz w:val="28"/>
          <w:szCs w:val="28"/>
          <w:lang w:val="es-ES" w:eastAsia="es-ES"/>
        </w:rPr>
        <w:t xml:space="preserve"> consiste en que los cargos propuestos desconocen el requisito de certeza.</w:t>
      </w:r>
      <w:r w:rsidR="008168D4" w:rsidRPr="0048739B">
        <w:rPr>
          <w:rFonts w:eastAsia="Calibri"/>
          <w:sz w:val="28"/>
          <w:szCs w:val="28"/>
          <w:lang w:val="es-ES" w:eastAsia="es-ES"/>
        </w:rPr>
        <w:t xml:space="preserve"> </w:t>
      </w:r>
      <w:r w:rsidRPr="0048739B">
        <w:rPr>
          <w:rFonts w:eastAsia="Calibri"/>
          <w:sz w:val="28"/>
          <w:szCs w:val="28"/>
          <w:lang w:val="es-ES" w:eastAsia="es-ES"/>
        </w:rPr>
        <w:t xml:space="preserve">Para ello, </w:t>
      </w:r>
      <w:r w:rsidR="009E1996" w:rsidRPr="0048739B">
        <w:rPr>
          <w:rFonts w:eastAsia="Calibri"/>
          <w:sz w:val="28"/>
          <w:szCs w:val="28"/>
          <w:lang w:val="es-ES" w:eastAsia="es-ES"/>
        </w:rPr>
        <w:t>señal</w:t>
      </w:r>
      <w:r w:rsidR="00892290" w:rsidRPr="0048739B">
        <w:rPr>
          <w:rFonts w:eastAsia="Calibri"/>
          <w:sz w:val="28"/>
          <w:szCs w:val="28"/>
          <w:lang w:val="es-ES" w:eastAsia="es-ES"/>
        </w:rPr>
        <w:t>ó</w:t>
      </w:r>
      <w:r w:rsidR="009E1996" w:rsidRPr="0048739B">
        <w:rPr>
          <w:rFonts w:eastAsia="Calibri"/>
          <w:sz w:val="28"/>
          <w:szCs w:val="28"/>
          <w:lang w:val="es-ES" w:eastAsia="es-ES"/>
        </w:rPr>
        <w:t xml:space="preserve"> que la demanda no ofrece razones para concluir que el precepto involucra el tratamiento discriminatorio injustificado que sustenta las diferentes censura</w:t>
      </w:r>
      <w:r w:rsidR="009645DC" w:rsidRPr="0048739B">
        <w:rPr>
          <w:rFonts w:eastAsia="Calibri"/>
          <w:sz w:val="28"/>
          <w:szCs w:val="28"/>
          <w:lang w:val="es-ES" w:eastAsia="es-ES"/>
        </w:rPr>
        <w:t xml:space="preserve">s. Antes bien, dicha presunta vulneración de la igualdad deja de tener en cuenta que la disposición no refiere </w:t>
      </w:r>
      <w:r w:rsidR="009645DC" w:rsidRPr="0048739B">
        <w:rPr>
          <w:rFonts w:eastAsia="Calibri"/>
          <w:i/>
          <w:iCs/>
          <w:sz w:val="28"/>
          <w:szCs w:val="28"/>
          <w:lang w:val="es-ES" w:eastAsia="es-ES"/>
        </w:rPr>
        <w:t xml:space="preserve">“a la condición de indiciado o imputado dentro de la actuación penal, razón por la que el cargo se estructura a partir de una consecuencia jurídica que no se deriva de su texto, sino que corresponde a interpretaciones subjetivas”. </w:t>
      </w:r>
      <w:r w:rsidR="009645DC" w:rsidRPr="0048739B">
        <w:rPr>
          <w:rFonts w:eastAsia="Calibri"/>
          <w:sz w:val="28"/>
          <w:szCs w:val="28"/>
          <w:lang w:val="es-ES" w:eastAsia="es-ES"/>
        </w:rPr>
        <w:t>Además, los demandantes tampoco ofrecen los argumentos propios del juicio in</w:t>
      </w:r>
      <w:r w:rsidR="0026599A" w:rsidRPr="0048739B">
        <w:rPr>
          <w:rFonts w:eastAsia="Calibri"/>
          <w:sz w:val="28"/>
          <w:szCs w:val="28"/>
          <w:lang w:val="es-ES" w:eastAsia="es-ES"/>
        </w:rPr>
        <w:t xml:space="preserve">tegrado de igualdad. </w:t>
      </w:r>
    </w:p>
    <w:p w14:paraId="3ABB33BC" w14:textId="3ABC9514" w:rsidR="0026599A" w:rsidRPr="0048739B" w:rsidRDefault="0026599A" w:rsidP="0048739B">
      <w:pPr>
        <w:spacing w:after="0" w:line="240" w:lineRule="auto"/>
        <w:ind w:right="45"/>
        <w:jc w:val="both"/>
        <w:rPr>
          <w:rFonts w:eastAsia="Calibri"/>
          <w:sz w:val="28"/>
          <w:szCs w:val="28"/>
          <w:lang w:val="es-ES" w:eastAsia="es-ES"/>
        </w:rPr>
      </w:pPr>
    </w:p>
    <w:p w14:paraId="6FAFFBAD" w14:textId="6374869F" w:rsidR="0026599A" w:rsidRPr="0048739B" w:rsidRDefault="0026599A" w:rsidP="0048739B">
      <w:pPr>
        <w:spacing w:after="0" w:line="240" w:lineRule="auto"/>
        <w:ind w:right="45"/>
        <w:jc w:val="both"/>
        <w:rPr>
          <w:rFonts w:eastAsia="Calibri"/>
          <w:sz w:val="28"/>
          <w:szCs w:val="28"/>
          <w:lang w:val="es-ES" w:eastAsia="es-ES"/>
        </w:rPr>
      </w:pPr>
      <w:r w:rsidRPr="0048739B">
        <w:rPr>
          <w:rFonts w:eastAsia="Calibri"/>
          <w:sz w:val="28"/>
          <w:szCs w:val="28"/>
          <w:lang w:val="es-ES" w:eastAsia="es-ES"/>
        </w:rPr>
        <w:t xml:space="preserve">Los cargos tampoco cumplen con </w:t>
      </w:r>
      <w:r w:rsidR="00027489" w:rsidRPr="0048739B">
        <w:rPr>
          <w:rFonts w:eastAsia="Calibri"/>
          <w:sz w:val="28"/>
          <w:szCs w:val="28"/>
          <w:lang w:val="es-ES" w:eastAsia="es-ES"/>
        </w:rPr>
        <w:t>los requisitos</w:t>
      </w:r>
      <w:r w:rsidRPr="0048739B">
        <w:rPr>
          <w:rFonts w:eastAsia="Calibri"/>
          <w:sz w:val="28"/>
          <w:szCs w:val="28"/>
          <w:lang w:val="es-ES" w:eastAsia="es-ES"/>
        </w:rPr>
        <w:t xml:space="preserve"> de especificidad y suficiencia</w:t>
      </w:r>
      <w:r w:rsidR="00027489" w:rsidRPr="0048739B">
        <w:rPr>
          <w:rFonts w:eastAsia="Calibri"/>
          <w:sz w:val="28"/>
          <w:szCs w:val="28"/>
          <w:lang w:val="es-ES" w:eastAsia="es-ES"/>
        </w:rPr>
        <w:t xml:space="preserve">. En cuanto al cargo por vulneración del derecho de defensa, la Procuraduría sostiene que </w:t>
      </w:r>
      <w:r w:rsidR="0014204B" w:rsidRPr="0048739B">
        <w:rPr>
          <w:rFonts w:eastAsia="Calibri"/>
          <w:sz w:val="28"/>
          <w:szCs w:val="28"/>
          <w:lang w:val="es-ES" w:eastAsia="es-ES"/>
        </w:rPr>
        <w:t xml:space="preserve">la demanda no explica si esa afectación </w:t>
      </w:r>
      <w:r w:rsidR="0014204B" w:rsidRPr="0048739B">
        <w:rPr>
          <w:rFonts w:eastAsia="Calibri"/>
          <w:i/>
          <w:iCs/>
          <w:sz w:val="28"/>
          <w:szCs w:val="28"/>
          <w:lang w:val="es-ES" w:eastAsia="es-ES"/>
        </w:rPr>
        <w:t xml:space="preserve">“se refiere a las pruebas recogidas durante el curso de una investigación penal en contra de los partícipes o coautores, o de la falta de garantías para controvertir probatoriamente esas pruebas”. </w:t>
      </w:r>
      <w:r w:rsidR="0014204B" w:rsidRPr="0048739B">
        <w:rPr>
          <w:rFonts w:eastAsia="Calibri"/>
          <w:sz w:val="28"/>
          <w:szCs w:val="28"/>
          <w:lang w:val="es-ES" w:eastAsia="es-ES"/>
        </w:rPr>
        <w:t xml:space="preserve">De otro lado, </w:t>
      </w:r>
      <w:r w:rsidR="00EB3EA9" w:rsidRPr="0048739B">
        <w:rPr>
          <w:rFonts w:eastAsia="Calibri"/>
          <w:sz w:val="28"/>
          <w:szCs w:val="28"/>
          <w:lang w:val="es-ES" w:eastAsia="es-ES"/>
        </w:rPr>
        <w:t xml:space="preserve">respecto del cargo por afectación del secreto profesional, la demanda le da a la norma un alcance del que carece, pues no tiene por objeto afectar la estructuración de la defensa técnica, sino prever </w:t>
      </w:r>
      <w:r w:rsidR="00EB3EA9" w:rsidRPr="0048739B">
        <w:rPr>
          <w:rFonts w:eastAsia="Calibri"/>
          <w:i/>
          <w:iCs/>
          <w:sz w:val="28"/>
          <w:szCs w:val="28"/>
          <w:lang w:val="es-ES" w:eastAsia="es-ES"/>
        </w:rPr>
        <w:t>“excepciones temporales</w:t>
      </w:r>
      <w:r w:rsidR="00F749EB" w:rsidRPr="0048739B">
        <w:rPr>
          <w:rFonts w:eastAsia="Calibri"/>
          <w:i/>
          <w:iCs/>
          <w:sz w:val="28"/>
          <w:szCs w:val="28"/>
          <w:lang w:val="es-ES" w:eastAsia="es-ES"/>
        </w:rPr>
        <w:t xml:space="preserve">” </w:t>
      </w:r>
      <w:r w:rsidR="00F749EB" w:rsidRPr="0048739B">
        <w:rPr>
          <w:rFonts w:eastAsia="Calibri"/>
          <w:sz w:val="28"/>
          <w:szCs w:val="28"/>
          <w:lang w:val="es-ES" w:eastAsia="es-ES"/>
        </w:rPr>
        <w:t xml:space="preserve">vinculadas a las comunicaciones con personas relacionadas con la </w:t>
      </w:r>
      <w:r w:rsidR="00CE6877" w:rsidRPr="0048739B">
        <w:rPr>
          <w:rFonts w:eastAsia="Calibri"/>
          <w:sz w:val="28"/>
          <w:szCs w:val="28"/>
          <w:lang w:val="es-ES" w:eastAsia="es-ES"/>
        </w:rPr>
        <w:t xml:space="preserve">misma </w:t>
      </w:r>
      <w:r w:rsidR="00F749EB" w:rsidRPr="0048739B">
        <w:rPr>
          <w:rFonts w:eastAsia="Calibri"/>
          <w:sz w:val="28"/>
          <w:szCs w:val="28"/>
          <w:lang w:val="es-ES" w:eastAsia="es-ES"/>
        </w:rPr>
        <w:t xml:space="preserve">conducta ilícita. </w:t>
      </w:r>
    </w:p>
    <w:p w14:paraId="14D7FAA0" w14:textId="3CB69182" w:rsidR="00F749EB" w:rsidRPr="0048739B" w:rsidRDefault="00F749EB" w:rsidP="0048739B">
      <w:pPr>
        <w:spacing w:after="0" w:line="240" w:lineRule="auto"/>
        <w:ind w:right="45"/>
        <w:jc w:val="both"/>
        <w:rPr>
          <w:rFonts w:eastAsia="Calibri"/>
          <w:sz w:val="28"/>
          <w:szCs w:val="28"/>
          <w:lang w:val="es-ES" w:eastAsia="es-ES"/>
        </w:rPr>
      </w:pPr>
    </w:p>
    <w:p w14:paraId="42F909B5" w14:textId="023A2ACE" w:rsidR="00F749EB" w:rsidRPr="0048739B" w:rsidRDefault="00F749EB" w:rsidP="0048739B">
      <w:pPr>
        <w:spacing w:after="0" w:line="240" w:lineRule="auto"/>
        <w:ind w:right="45"/>
        <w:jc w:val="both"/>
        <w:rPr>
          <w:rFonts w:eastAsia="Calibri"/>
          <w:sz w:val="28"/>
          <w:szCs w:val="28"/>
          <w:lang w:val="es-ES" w:eastAsia="es-ES"/>
        </w:rPr>
      </w:pPr>
      <w:r w:rsidRPr="0048739B">
        <w:rPr>
          <w:rFonts w:eastAsia="Calibri"/>
          <w:sz w:val="28"/>
          <w:szCs w:val="28"/>
          <w:lang w:val="es-ES" w:eastAsia="es-ES"/>
        </w:rPr>
        <w:t>De manera subsidiaria, el Ministerio Público consider</w:t>
      </w:r>
      <w:r w:rsidR="00CE6877" w:rsidRPr="0048739B">
        <w:rPr>
          <w:rFonts w:eastAsia="Calibri"/>
          <w:sz w:val="28"/>
          <w:szCs w:val="28"/>
          <w:lang w:val="es-ES" w:eastAsia="es-ES"/>
        </w:rPr>
        <w:t>ó</w:t>
      </w:r>
      <w:r w:rsidR="0097758D" w:rsidRPr="0048739B">
        <w:rPr>
          <w:rFonts w:eastAsia="Calibri"/>
          <w:sz w:val="28"/>
          <w:szCs w:val="28"/>
          <w:lang w:val="es-ES" w:eastAsia="es-ES"/>
        </w:rPr>
        <w:t xml:space="preserve"> que la norma acusada debe declararse</w:t>
      </w:r>
      <w:r w:rsidRPr="0048739B">
        <w:rPr>
          <w:rFonts w:eastAsia="Calibri"/>
          <w:sz w:val="28"/>
          <w:szCs w:val="28"/>
          <w:lang w:val="es-ES" w:eastAsia="es-ES"/>
        </w:rPr>
        <w:t xml:space="preserve"> </w:t>
      </w:r>
      <w:r w:rsidR="0097758D" w:rsidRPr="0048739B">
        <w:rPr>
          <w:rFonts w:eastAsia="Times New Roman"/>
          <w:b/>
          <w:bCs/>
          <w:iCs/>
          <w:sz w:val="28"/>
          <w:szCs w:val="28"/>
          <w:lang w:val="es-ES" w:eastAsia="es-ES"/>
        </w:rPr>
        <w:t>EXEQUIBLE</w:t>
      </w:r>
      <w:r w:rsidRPr="0048739B">
        <w:rPr>
          <w:rFonts w:eastAsia="Calibri"/>
          <w:sz w:val="28"/>
          <w:szCs w:val="28"/>
          <w:lang w:val="es-ES" w:eastAsia="es-ES"/>
        </w:rPr>
        <w:t xml:space="preserve">. </w:t>
      </w:r>
      <w:r w:rsidR="00B91A2D" w:rsidRPr="0048739B">
        <w:rPr>
          <w:rFonts w:eastAsia="Calibri"/>
          <w:sz w:val="28"/>
          <w:szCs w:val="28"/>
          <w:lang w:val="es-ES" w:eastAsia="es-ES"/>
        </w:rPr>
        <w:t xml:space="preserve">Esto debido a que la posibilidad legal de que la Fiscalía realice registros sobre comunicaciones en las que participan personas vinculadas como auxiliadoras, partícipes o coautoras del delito investigado o uno conexo, cumple un fin constitucionalmente legítimo. </w:t>
      </w:r>
      <w:r w:rsidR="00BA6061" w:rsidRPr="0048739B">
        <w:rPr>
          <w:rFonts w:eastAsia="Calibri"/>
          <w:sz w:val="28"/>
          <w:szCs w:val="28"/>
          <w:lang w:val="es-ES" w:eastAsia="es-ES"/>
        </w:rPr>
        <w:t>Su propósito está</w:t>
      </w:r>
      <w:r w:rsidR="00B91A2D" w:rsidRPr="0048739B">
        <w:rPr>
          <w:rFonts w:eastAsia="Calibri"/>
          <w:sz w:val="28"/>
          <w:szCs w:val="28"/>
          <w:lang w:val="es-ES" w:eastAsia="es-ES"/>
        </w:rPr>
        <w:t xml:space="preserve"> vinculado </w:t>
      </w:r>
      <w:r w:rsidR="00BA6061" w:rsidRPr="0048739B">
        <w:rPr>
          <w:rFonts w:eastAsia="Calibri"/>
          <w:sz w:val="28"/>
          <w:szCs w:val="28"/>
          <w:lang w:val="es-ES" w:eastAsia="es-ES"/>
        </w:rPr>
        <w:t>a</w:t>
      </w:r>
      <w:r w:rsidR="00B91A2D" w:rsidRPr="0048739B">
        <w:rPr>
          <w:rFonts w:eastAsia="Calibri"/>
          <w:sz w:val="28"/>
          <w:szCs w:val="28"/>
          <w:lang w:val="es-ES" w:eastAsia="es-ES"/>
        </w:rPr>
        <w:t xml:space="preserve">l ejercicio de las funciones de investigación de ese organismo, </w:t>
      </w:r>
      <w:r w:rsidR="0097758D" w:rsidRPr="0048739B">
        <w:rPr>
          <w:rFonts w:eastAsia="Calibri"/>
          <w:sz w:val="28"/>
          <w:szCs w:val="28"/>
          <w:lang w:val="es-ES" w:eastAsia="es-ES"/>
        </w:rPr>
        <w:t>reguladas</w:t>
      </w:r>
      <w:r w:rsidR="00B91A2D" w:rsidRPr="0048739B">
        <w:rPr>
          <w:rFonts w:eastAsia="Calibri"/>
          <w:sz w:val="28"/>
          <w:szCs w:val="28"/>
          <w:lang w:val="es-ES" w:eastAsia="es-ES"/>
        </w:rPr>
        <w:t xml:space="preserve"> por el artículo 250 de la Constitución. Estas actividades, además, están sujetas al control judicial posterior. </w:t>
      </w:r>
    </w:p>
    <w:p w14:paraId="651D6E99" w14:textId="3528E117" w:rsidR="00B91A2D" w:rsidRPr="0048739B" w:rsidRDefault="00B91A2D" w:rsidP="0048739B">
      <w:pPr>
        <w:spacing w:after="0" w:line="240" w:lineRule="auto"/>
        <w:ind w:right="45"/>
        <w:jc w:val="both"/>
        <w:rPr>
          <w:rFonts w:eastAsia="Calibri"/>
          <w:sz w:val="28"/>
          <w:szCs w:val="28"/>
          <w:lang w:val="es-ES" w:eastAsia="es-ES"/>
        </w:rPr>
      </w:pPr>
    </w:p>
    <w:p w14:paraId="7C4FEC58" w14:textId="5DFD2F41" w:rsidR="00B91A2D" w:rsidRPr="0048739B" w:rsidRDefault="00B91A2D" w:rsidP="0048739B">
      <w:pPr>
        <w:spacing w:after="0" w:line="240" w:lineRule="auto"/>
        <w:ind w:right="45"/>
        <w:jc w:val="both"/>
        <w:rPr>
          <w:rFonts w:eastAsia="Calibri"/>
          <w:sz w:val="28"/>
          <w:szCs w:val="28"/>
          <w:lang w:val="es-ES" w:eastAsia="es-ES"/>
        </w:rPr>
      </w:pPr>
      <w:r w:rsidRPr="0048739B">
        <w:rPr>
          <w:rFonts w:eastAsia="Calibri"/>
          <w:sz w:val="28"/>
          <w:szCs w:val="28"/>
          <w:lang w:val="es-ES" w:eastAsia="es-ES"/>
        </w:rPr>
        <w:t xml:space="preserve">La limitación es, a su turno, razonable. </w:t>
      </w:r>
      <w:r w:rsidR="00517FC9" w:rsidRPr="0048739B">
        <w:rPr>
          <w:rFonts w:eastAsia="Calibri"/>
          <w:sz w:val="28"/>
          <w:szCs w:val="28"/>
          <w:lang w:val="es-ES" w:eastAsia="es-ES"/>
        </w:rPr>
        <w:t xml:space="preserve">Esto debido a que tiene como supuesto la concurrencia de personas vinculadas como coautoras o partícipes del delito investigado o uno conexo y, por ende, se enmarca en las funciones ordinarias de investigación penal. Igualmente, impide que se utilicen los beneficios de la reserva entre apoderado y su defendido, para afectar el ejercicio de la función judicial. </w:t>
      </w:r>
    </w:p>
    <w:p w14:paraId="48FB07B0" w14:textId="12E561C9" w:rsidR="00AD4E13" w:rsidRPr="0048739B" w:rsidRDefault="00AD4E13" w:rsidP="0048739B">
      <w:pPr>
        <w:spacing w:after="0" w:line="240" w:lineRule="auto"/>
        <w:ind w:right="45"/>
        <w:jc w:val="both"/>
        <w:rPr>
          <w:rFonts w:eastAsia="Calibri"/>
          <w:sz w:val="28"/>
          <w:szCs w:val="28"/>
          <w:lang w:val="es-ES" w:eastAsia="es-ES"/>
        </w:rPr>
      </w:pPr>
    </w:p>
    <w:p w14:paraId="5319D0DD" w14:textId="77777777" w:rsidR="00297E56" w:rsidRPr="0048739B" w:rsidRDefault="00297E56" w:rsidP="0048739B">
      <w:pPr>
        <w:spacing w:after="0" w:line="240" w:lineRule="auto"/>
        <w:ind w:right="48"/>
        <w:jc w:val="both"/>
        <w:rPr>
          <w:rFonts w:eastAsia="Times New Roman"/>
          <w:b/>
          <w:sz w:val="28"/>
          <w:szCs w:val="28"/>
          <w:lang w:val="es-ES" w:eastAsia="es-ES"/>
        </w:rPr>
      </w:pPr>
      <w:r w:rsidRPr="0048739B">
        <w:rPr>
          <w:rFonts w:eastAsia="Times New Roman"/>
          <w:b/>
          <w:sz w:val="28"/>
          <w:szCs w:val="28"/>
          <w:lang w:val="es-ES" w:eastAsia="es-ES"/>
        </w:rPr>
        <w:t>VI. CONSIDERACIONES DE LA CORTE CONSTITUCIONAL</w:t>
      </w:r>
    </w:p>
    <w:p w14:paraId="206E9F47" w14:textId="77777777" w:rsidR="00297E56" w:rsidRPr="0048739B" w:rsidRDefault="00297E56" w:rsidP="0048739B">
      <w:pPr>
        <w:spacing w:after="0" w:line="240" w:lineRule="auto"/>
        <w:ind w:right="48"/>
        <w:jc w:val="both"/>
        <w:rPr>
          <w:rFonts w:eastAsia="Times New Roman"/>
          <w:sz w:val="28"/>
          <w:szCs w:val="28"/>
          <w:lang w:val="es-ES" w:eastAsia="es-ES"/>
        </w:rPr>
      </w:pPr>
    </w:p>
    <w:p w14:paraId="4EE13D56" w14:textId="77777777" w:rsidR="00297E56" w:rsidRPr="0048739B" w:rsidRDefault="00297E56" w:rsidP="0048739B">
      <w:pPr>
        <w:spacing w:after="0" w:line="240" w:lineRule="auto"/>
        <w:ind w:right="48"/>
        <w:jc w:val="both"/>
        <w:rPr>
          <w:rFonts w:eastAsia="Times New Roman"/>
          <w:b/>
          <w:bCs/>
          <w:sz w:val="28"/>
          <w:szCs w:val="28"/>
          <w:u w:val="single"/>
          <w:lang w:val="es-ES" w:eastAsia="es-ES"/>
        </w:rPr>
      </w:pPr>
      <w:r w:rsidRPr="0048739B">
        <w:rPr>
          <w:rFonts w:eastAsia="Times New Roman"/>
          <w:b/>
          <w:bCs/>
          <w:sz w:val="28"/>
          <w:szCs w:val="28"/>
          <w:lang w:val="es-ES" w:eastAsia="es-ES"/>
        </w:rPr>
        <w:t>Competencia</w:t>
      </w:r>
    </w:p>
    <w:p w14:paraId="31FADE37" w14:textId="77777777" w:rsidR="00297E56" w:rsidRPr="0048739B" w:rsidRDefault="00297E56" w:rsidP="0048739B">
      <w:pPr>
        <w:tabs>
          <w:tab w:val="left" w:pos="6917"/>
        </w:tabs>
        <w:spacing w:after="0" w:line="240" w:lineRule="auto"/>
        <w:ind w:right="48"/>
        <w:jc w:val="both"/>
        <w:rPr>
          <w:rFonts w:eastAsia="Times New Roman"/>
          <w:sz w:val="28"/>
          <w:szCs w:val="28"/>
          <w:lang w:val="es-ES" w:eastAsia="es-ES"/>
        </w:rPr>
      </w:pPr>
    </w:p>
    <w:p w14:paraId="002BB2E2" w14:textId="11DEBD20" w:rsidR="00297E56" w:rsidRPr="0048739B" w:rsidRDefault="00297E56" w:rsidP="0048739B">
      <w:pPr>
        <w:numPr>
          <w:ilvl w:val="0"/>
          <w:numId w:val="1"/>
        </w:numPr>
        <w:tabs>
          <w:tab w:val="left" w:pos="284"/>
        </w:tabs>
        <w:spacing w:after="0" w:line="240" w:lineRule="auto"/>
        <w:ind w:right="48" w:hanging="11"/>
        <w:jc w:val="both"/>
        <w:rPr>
          <w:rFonts w:eastAsia="Times New Roman"/>
          <w:sz w:val="28"/>
          <w:szCs w:val="28"/>
          <w:lang w:val="es-ES" w:eastAsia="es-ES"/>
        </w:rPr>
      </w:pPr>
      <w:r w:rsidRPr="0048739B">
        <w:rPr>
          <w:rFonts w:eastAsia="Times New Roman"/>
          <w:sz w:val="28"/>
          <w:szCs w:val="28"/>
          <w:lang w:val="es-ES" w:eastAsia="es-ES"/>
        </w:rPr>
        <w:t xml:space="preserve">En virtud de lo dispuesto en el artículo 241, numeral 4° de la Carta Política, la Corte es competente para conocer de la constitucionalidad </w:t>
      </w:r>
      <w:r w:rsidR="00B129A7" w:rsidRPr="0048739B">
        <w:rPr>
          <w:rFonts w:eastAsia="Times New Roman"/>
          <w:sz w:val="28"/>
          <w:szCs w:val="28"/>
          <w:lang w:val="es-ES" w:eastAsia="es-ES"/>
        </w:rPr>
        <w:t>d</w:t>
      </w:r>
      <w:r w:rsidR="00B129A7" w:rsidRPr="0048739B">
        <w:rPr>
          <w:rFonts w:eastAsia="Times New Roman"/>
          <w:iCs/>
          <w:sz w:val="28"/>
          <w:szCs w:val="28"/>
          <w:lang w:val="es-ES" w:eastAsia="es-ES"/>
        </w:rPr>
        <w:t>el artículo 223 (parcial) de la Ley 906 de 2004</w:t>
      </w:r>
      <w:r w:rsidR="00E44AAB" w:rsidRPr="0048739B">
        <w:rPr>
          <w:rFonts w:eastAsia="Times New Roman"/>
          <w:sz w:val="28"/>
          <w:szCs w:val="28"/>
          <w:lang w:val="es-ES" w:eastAsia="es-ES"/>
        </w:rPr>
        <w:t xml:space="preserve">, </w:t>
      </w:r>
      <w:r w:rsidRPr="0048739B">
        <w:rPr>
          <w:rFonts w:eastAsia="Times New Roman"/>
          <w:sz w:val="28"/>
          <w:szCs w:val="28"/>
          <w:lang w:val="es-ES" w:eastAsia="es-ES"/>
        </w:rPr>
        <w:t xml:space="preserve">pues se trata de una demanda de inconstitucionalidad en contra de </w:t>
      </w:r>
      <w:r w:rsidR="00D152E0" w:rsidRPr="0048739B">
        <w:rPr>
          <w:rFonts w:eastAsia="Times New Roman"/>
          <w:sz w:val="28"/>
          <w:szCs w:val="28"/>
          <w:lang w:val="es-ES" w:eastAsia="es-ES"/>
        </w:rPr>
        <w:t xml:space="preserve">un texto normativo que hace parte una ley </w:t>
      </w:r>
      <w:r w:rsidRPr="0048739B">
        <w:rPr>
          <w:rFonts w:eastAsia="Times New Roman"/>
          <w:sz w:val="28"/>
          <w:szCs w:val="28"/>
          <w:lang w:val="es-ES" w:eastAsia="es-ES"/>
        </w:rPr>
        <w:t>de la República.</w:t>
      </w:r>
    </w:p>
    <w:p w14:paraId="667A2B29" w14:textId="6BC5CDE8" w:rsidR="00130C7F" w:rsidRPr="0048739B" w:rsidRDefault="00130C7F" w:rsidP="0048739B">
      <w:pPr>
        <w:shd w:val="clear" w:color="auto" w:fill="FFFFFF"/>
        <w:spacing w:after="0" w:line="240" w:lineRule="auto"/>
        <w:ind w:right="48"/>
        <w:jc w:val="both"/>
        <w:textAlignment w:val="baseline"/>
        <w:rPr>
          <w:rFonts w:eastAsia="Times New Roman"/>
          <w:sz w:val="28"/>
          <w:szCs w:val="28"/>
          <w:lang w:val="es-ES" w:eastAsia="es-CO"/>
        </w:rPr>
      </w:pPr>
    </w:p>
    <w:p w14:paraId="22B12BD3" w14:textId="07452118" w:rsidR="001F589E" w:rsidRPr="0048739B" w:rsidRDefault="001F589E" w:rsidP="0048739B">
      <w:pPr>
        <w:shd w:val="clear" w:color="auto" w:fill="FFFFFF"/>
        <w:spacing w:after="0" w:line="240" w:lineRule="auto"/>
        <w:jc w:val="both"/>
        <w:textAlignment w:val="baseline"/>
        <w:rPr>
          <w:rFonts w:eastAsia="Times New Roman"/>
          <w:sz w:val="28"/>
          <w:szCs w:val="28"/>
          <w:lang w:eastAsia="es-CO"/>
        </w:rPr>
      </w:pPr>
      <w:r w:rsidRPr="0048739B">
        <w:rPr>
          <w:rFonts w:eastAsia="Times New Roman"/>
          <w:b/>
          <w:bCs/>
          <w:sz w:val="28"/>
          <w:szCs w:val="28"/>
          <w:bdr w:val="none" w:sz="0" w:space="0" w:color="auto" w:frame="1"/>
          <w:lang w:eastAsia="es-CO"/>
        </w:rPr>
        <w:t xml:space="preserve">Consideraciones </w:t>
      </w:r>
      <w:r w:rsidR="00652282" w:rsidRPr="0048739B">
        <w:rPr>
          <w:rFonts w:eastAsia="Times New Roman"/>
          <w:b/>
          <w:bCs/>
          <w:sz w:val="28"/>
          <w:szCs w:val="28"/>
          <w:bdr w:val="none" w:sz="0" w:space="0" w:color="auto" w:frame="1"/>
          <w:lang w:eastAsia="es-CO"/>
        </w:rPr>
        <w:t>preliminares</w:t>
      </w:r>
    </w:p>
    <w:p w14:paraId="01EB0669" w14:textId="77777777" w:rsidR="001F589E" w:rsidRPr="0048739B" w:rsidRDefault="001F589E" w:rsidP="0048739B">
      <w:pPr>
        <w:shd w:val="clear" w:color="auto" w:fill="FFFFFF"/>
        <w:spacing w:after="0" w:line="240" w:lineRule="auto"/>
        <w:jc w:val="both"/>
        <w:textAlignment w:val="baseline"/>
        <w:rPr>
          <w:rFonts w:eastAsia="Times New Roman"/>
          <w:sz w:val="28"/>
          <w:szCs w:val="28"/>
          <w:bdr w:val="none" w:sz="0" w:space="0" w:color="auto" w:frame="1"/>
          <w:lang w:eastAsia="es-CO"/>
        </w:rPr>
      </w:pPr>
      <w:r w:rsidRPr="0048739B">
        <w:rPr>
          <w:rFonts w:eastAsia="Times New Roman"/>
          <w:sz w:val="28"/>
          <w:szCs w:val="28"/>
          <w:bdr w:val="none" w:sz="0" w:space="0" w:color="auto" w:frame="1"/>
          <w:lang w:eastAsia="es-CO"/>
        </w:rPr>
        <w:t> </w:t>
      </w:r>
    </w:p>
    <w:p w14:paraId="2E91B0A7" w14:textId="5249F6F8" w:rsidR="000462A4" w:rsidRPr="0048739B" w:rsidRDefault="001F589E" w:rsidP="0048739B">
      <w:pPr>
        <w:pStyle w:val="Prrafodelista"/>
        <w:numPr>
          <w:ilvl w:val="0"/>
          <w:numId w:val="1"/>
        </w:numPr>
        <w:shd w:val="clear" w:color="auto" w:fill="FFFFFF"/>
        <w:autoSpaceDE w:val="0"/>
        <w:autoSpaceDN w:val="0"/>
        <w:spacing w:after="0" w:line="240" w:lineRule="auto"/>
        <w:jc w:val="both"/>
        <w:textAlignment w:val="baseline"/>
        <w:rPr>
          <w:rFonts w:eastAsia="Times New Roman"/>
          <w:sz w:val="28"/>
          <w:szCs w:val="28"/>
          <w:bdr w:val="none" w:sz="0" w:space="0" w:color="auto" w:frame="1"/>
          <w:lang w:eastAsia="es-CO"/>
        </w:rPr>
      </w:pPr>
      <w:r w:rsidRPr="0048739B">
        <w:rPr>
          <w:rFonts w:eastAsia="Times New Roman"/>
          <w:sz w:val="28"/>
          <w:szCs w:val="28"/>
          <w:bdr w:val="none" w:sz="0" w:space="0" w:color="auto" w:frame="1"/>
          <w:lang w:eastAsia="es-CO"/>
        </w:rPr>
        <w:t xml:space="preserve">Antes de abordar el debate constitucional propuesto en la demanda de la referencia, la Sala debe </w:t>
      </w:r>
      <w:r w:rsidR="009F5DF8" w:rsidRPr="0048739B">
        <w:rPr>
          <w:rFonts w:eastAsia="Times New Roman"/>
          <w:sz w:val="28"/>
          <w:szCs w:val="28"/>
          <w:bdr w:val="none" w:sz="0" w:space="0" w:color="auto" w:frame="1"/>
          <w:lang w:eastAsia="es-CO"/>
        </w:rPr>
        <w:t>examinar</w:t>
      </w:r>
      <w:r w:rsidRPr="0048739B">
        <w:rPr>
          <w:rFonts w:eastAsia="Times New Roman"/>
          <w:sz w:val="28"/>
          <w:szCs w:val="28"/>
          <w:bdr w:val="none" w:sz="0" w:space="0" w:color="auto" w:frame="1"/>
          <w:lang w:eastAsia="es-CO"/>
        </w:rPr>
        <w:t xml:space="preserve"> </w:t>
      </w:r>
      <w:r w:rsidR="006E1F3C" w:rsidRPr="0048739B">
        <w:rPr>
          <w:rFonts w:eastAsia="Times New Roman"/>
          <w:sz w:val="28"/>
          <w:szCs w:val="28"/>
          <w:bdr w:val="none" w:sz="0" w:space="0" w:color="auto" w:frame="1"/>
          <w:lang w:eastAsia="es-CO"/>
        </w:rPr>
        <w:t>su</w:t>
      </w:r>
      <w:r w:rsidRPr="0048739B">
        <w:rPr>
          <w:rFonts w:eastAsia="Times New Roman"/>
          <w:sz w:val="28"/>
          <w:szCs w:val="28"/>
          <w:bdr w:val="none" w:sz="0" w:space="0" w:color="auto" w:frame="1"/>
          <w:lang w:eastAsia="es-CO"/>
        </w:rPr>
        <w:t xml:space="preserve"> aptitud para </w:t>
      </w:r>
      <w:r w:rsidR="0078031C" w:rsidRPr="0048739B">
        <w:rPr>
          <w:rFonts w:eastAsia="Times New Roman"/>
          <w:sz w:val="28"/>
          <w:szCs w:val="28"/>
          <w:bdr w:val="none" w:sz="0" w:space="0" w:color="auto" w:frame="1"/>
          <w:lang w:eastAsia="es-CO"/>
        </w:rPr>
        <w:t>generarlo</w:t>
      </w:r>
      <w:r w:rsidRPr="0048739B">
        <w:rPr>
          <w:rFonts w:eastAsia="Times New Roman"/>
          <w:sz w:val="28"/>
          <w:szCs w:val="28"/>
          <w:bdr w:val="none" w:sz="0" w:space="0" w:color="auto" w:frame="1"/>
          <w:lang w:eastAsia="es-CO"/>
        </w:rPr>
        <w:t>,</w:t>
      </w:r>
      <w:r w:rsidR="0078031C" w:rsidRPr="0048739B">
        <w:rPr>
          <w:rFonts w:eastAsia="Times New Roman"/>
          <w:sz w:val="28"/>
          <w:szCs w:val="28"/>
          <w:bdr w:val="none" w:sz="0" w:space="0" w:color="auto" w:frame="1"/>
          <w:lang w:eastAsia="es-CO"/>
        </w:rPr>
        <w:t xml:space="preserve"> máxime cuando</w:t>
      </w:r>
      <w:r w:rsidR="002928AA" w:rsidRPr="0048739B">
        <w:rPr>
          <w:rFonts w:eastAsia="Times New Roman"/>
          <w:sz w:val="28"/>
          <w:szCs w:val="28"/>
          <w:bdr w:val="none" w:sz="0" w:space="0" w:color="auto" w:frame="1"/>
          <w:lang w:eastAsia="es-CO"/>
        </w:rPr>
        <w:t xml:space="preserve"> varios intervinientes defienden la constitucionalidad de la disposición acusada porque consideran que la demanda parte de una interpretación incierta o equivocada de la misma y además su aptitud</w:t>
      </w:r>
      <w:r w:rsidR="000462A4" w:rsidRPr="0048739B">
        <w:rPr>
          <w:rFonts w:eastAsia="Times New Roman"/>
          <w:sz w:val="28"/>
          <w:szCs w:val="28"/>
          <w:bdr w:val="none" w:sz="0" w:space="0" w:color="auto" w:frame="1"/>
          <w:lang w:eastAsia="es-CO"/>
        </w:rPr>
        <w:t xml:space="preserve"> </w:t>
      </w:r>
      <w:r w:rsidR="0078031C" w:rsidRPr="0048739B">
        <w:rPr>
          <w:rFonts w:eastAsia="Times New Roman"/>
          <w:sz w:val="28"/>
          <w:szCs w:val="28"/>
          <w:bdr w:val="none" w:sz="0" w:space="0" w:color="auto" w:frame="1"/>
          <w:lang w:eastAsia="es-CO"/>
        </w:rPr>
        <w:t xml:space="preserve">fue </w:t>
      </w:r>
      <w:r w:rsidR="002928AA" w:rsidRPr="0048739B">
        <w:rPr>
          <w:rFonts w:eastAsia="Times New Roman"/>
          <w:sz w:val="28"/>
          <w:szCs w:val="28"/>
          <w:bdr w:val="none" w:sz="0" w:space="0" w:color="auto" w:frame="1"/>
          <w:lang w:eastAsia="es-CO"/>
        </w:rPr>
        <w:t xml:space="preserve">directamente </w:t>
      </w:r>
      <w:r w:rsidR="0078031C" w:rsidRPr="0048739B">
        <w:rPr>
          <w:rFonts w:eastAsia="Times New Roman"/>
          <w:sz w:val="28"/>
          <w:szCs w:val="28"/>
          <w:bdr w:val="none" w:sz="0" w:space="0" w:color="auto" w:frame="1"/>
          <w:lang w:eastAsia="es-CO"/>
        </w:rPr>
        <w:t>cuestionada po</w:t>
      </w:r>
      <w:r w:rsidR="00465FD3" w:rsidRPr="0048739B">
        <w:rPr>
          <w:rFonts w:eastAsia="Times New Roman"/>
          <w:sz w:val="28"/>
          <w:szCs w:val="28"/>
          <w:bdr w:val="none" w:sz="0" w:space="0" w:color="auto" w:frame="1"/>
          <w:lang w:eastAsia="es-CO"/>
        </w:rPr>
        <w:t xml:space="preserve">r </w:t>
      </w:r>
      <w:r w:rsidR="0078031C" w:rsidRPr="0048739B">
        <w:rPr>
          <w:rFonts w:eastAsia="Times New Roman"/>
          <w:sz w:val="28"/>
          <w:szCs w:val="28"/>
          <w:bdr w:val="none" w:sz="0" w:space="0" w:color="auto" w:frame="1"/>
          <w:lang w:eastAsia="es-CO"/>
        </w:rPr>
        <w:t xml:space="preserve">el Ministerio de Justicia y del Derecho y por </w:t>
      </w:r>
      <w:r w:rsidR="009F5DF8" w:rsidRPr="0048739B">
        <w:rPr>
          <w:rFonts w:eastAsia="Times New Roman"/>
          <w:sz w:val="28"/>
          <w:szCs w:val="28"/>
          <w:bdr w:val="none" w:sz="0" w:space="0" w:color="auto" w:frame="1"/>
          <w:lang w:eastAsia="es-CO"/>
        </w:rPr>
        <w:t>e</w:t>
      </w:r>
      <w:r w:rsidR="0078031C" w:rsidRPr="0048739B">
        <w:rPr>
          <w:rFonts w:eastAsia="Times New Roman"/>
          <w:sz w:val="28"/>
          <w:szCs w:val="28"/>
          <w:bdr w:val="none" w:sz="0" w:space="0" w:color="auto" w:frame="1"/>
          <w:lang w:eastAsia="es-CO"/>
        </w:rPr>
        <w:t>l Procurador General de la Nación</w:t>
      </w:r>
      <w:r w:rsidR="002B021C" w:rsidRPr="0048739B">
        <w:rPr>
          <w:rFonts w:eastAsia="Times New Roman"/>
          <w:sz w:val="28"/>
          <w:szCs w:val="28"/>
          <w:bdr w:val="none" w:sz="0" w:space="0" w:color="auto" w:frame="1"/>
          <w:lang w:eastAsia="es-CO"/>
        </w:rPr>
        <w:t>, quienes coinciden en afirmar que las razones esgrimidas por los demandantes no son ciertas, específicas ni suficientes</w:t>
      </w:r>
      <w:r w:rsidR="0078031C" w:rsidRPr="0048739B">
        <w:rPr>
          <w:rFonts w:eastAsia="Times New Roman"/>
          <w:sz w:val="28"/>
          <w:szCs w:val="28"/>
          <w:bdr w:val="none" w:sz="0" w:space="0" w:color="auto" w:frame="1"/>
          <w:lang w:eastAsia="es-CO"/>
        </w:rPr>
        <w:t>.</w:t>
      </w:r>
      <w:r w:rsidR="008168D4" w:rsidRPr="0048739B">
        <w:rPr>
          <w:rFonts w:eastAsia="Times New Roman"/>
          <w:sz w:val="28"/>
          <w:szCs w:val="28"/>
          <w:bdr w:val="none" w:sz="0" w:space="0" w:color="auto" w:frame="1"/>
          <w:lang w:eastAsia="es-CO"/>
        </w:rPr>
        <w:t xml:space="preserve"> </w:t>
      </w:r>
    </w:p>
    <w:p w14:paraId="03AD087A" w14:textId="77777777" w:rsidR="000462A4" w:rsidRPr="0048739B" w:rsidRDefault="000462A4" w:rsidP="0048739B">
      <w:pPr>
        <w:pStyle w:val="Prrafodelista"/>
        <w:shd w:val="clear" w:color="auto" w:fill="FFFFFF"/>
        <w:autoSpaceDE w:val="0"/>
        <w:autoSpaceDN w:val="0"/>
        <w:spacing w:after="0" w:line="240" w:lineRule="auto"/>
        <w:ind w:left="0"/>
        <w:jc w:val="both"/>
        <w:textAlignment w:val="baseline"/>
        <w:rPr>
          <w:rFonts w:eastAsia="Times New Roman"/>
          <w:sz w:val="28"/>
          <w:szCs w:val="28"/>
          <w:bdr w:val="none" w:sz="0" w:space="0" w:color="auto" w:frame="1"/>
          <w:lang w:eastAsia="es-CO"/>
        </w:rPr>
      </w:pPr>
    </w:p>
    <w:p w14:paraId="10586886" w14:textId="2E54D1D3" w:rsidR="001F589E" w:rsidRPr="0048739B" w:rsidRDefault="001F589E" w:rsidP="0048739B">
      <w:pPr>
        <w:shd w:val="clear" w:color="auto" w:fill="FFFFFF"/>
        <w:spacing w:after="0" w:line="240" w:lineRule="auto"/>
        <w:jc w:val="both"/>
        <w:textAlignment w:val="baseline"/>
        <w:rPr>
          <w:rFonts w:eastAsia="Times New Roman"/>
          <w:i/>
          <w:sz w:val="28"/>
          <w:szCs w:val="28"/>
          <w:lang w:eastAsia="es-CO"/>
        </w:rPr>
      </w:pPr>
      <w:r w:rsidRPr="0048739B">
        <w:rPr>
          <w:rFonts w:eastAsia="Times New Roman"/>
          <w:b/>
          <w:bCs/>
          <w:i/>
          <w:sz w:val="28"/>
          <w:szCs w:val="28"/>
          <w:bdr w:val="none" w:sz="0" w:space="0" w:color="auto" w:frame="1"/>
          <w:lang w:eastAsia="es-CO"/>
        </w:rPr>
        <w:t>Aptitud sustantiva de la demanda</w:t>
      </w:r>
      <w:r w:rsidR="00176C15" w:rsidRPr="0048739B">
        <w:rPr>
          <w:rStyle w:val="Refdenotaalpie"/>
          <w:rFonts w:eastAsia="Times New Roman"/>
          <w:b/>
          <w:bCs/>
          <w:i/>
          <w:sz w:val="28"/>
          <w:szCs w:val="28"/>
          <w:bdr w:val="none" w:sz="0" w:space="0" w:color="auto" w:frame="1"/>
          <w:lang w:eastAsia="es-CO"/>
        </w:rPr>
        <w:footnoteReference w:id="25"/>
      </w:r>
      <w:r w:rsidRPr="0048739B">
        <w:rPr>
          <w:rFonts w:eastAsia="Times New Roman"/>
          <w:b/>
          <w:bCs/>
          <w:i/>
          <w:sz w:val="28"/>
          <w:szCs w:val="28"/>
          <w:bdr w:val="none" w:sz="0" w:space="0" w:color="auto" w:frame="1"/>
          <w:lang w:eastAsia="es-CO"/>
        </w:rPr>
        <w:t xml:space="preserve"> </w:t>
      </w:r>
    </w:p>
    <w:p w14:paraId="2AAE9DF2" w14:textId="77777777" w:rsidR="001F589E" w:rsidRPr="0048739B" w:rsidRDefault="001F589E" w:rsidP="0048739B">
      <w:pPr>
        <w:autoSpaceDE w:val="0"/>
        <w:autoSpaceDN w:val="0"/>
        <w:spacing w:after="0" w:line="240" w:lineRule="auto"/>
        <w:jc w:val="both"/>
        <w:rPr>
          <w:rFonts w:eastAsia="Arial Unicode MS"/>
          <w:sz w:val="28"/>
          <w:szCs w:val="28"/>
          <w:u w:color="000000"/>
          <w:lang w:val="es-ES_tradnl" w:eastAsia="es-ES"/>
        </w:rPr>
      </w:pPr>
    </w:p>
    <w:p w14:paraId="1C06F1B1" w14:textId="27F77BD8" w:rsidR="001F589E" w:rsidRPr="0048739B" w:rsidRDefault="001F589E" w:rsidP="0048739B">
      <w:pPr>
        <w:numPr>
          <w:ilvl w:val="0"/>
          <w:numId w:val="1"/>
        </w:numPr>
        <w:autoSpaceDE w:val="0"/>
        <w:autoSpaceDN w:val="0"/>
        <w:spacing w:after="0" w:line="240" w:lineRule="auto"/>
        <w:jc w:val="both"/>
        <w:rPr>
          <w:rFonts w:eastAsia="Calibri"/>
          <w:sz w:val="28"/>
          <w:szCs w:val="28"/>
          <w:lang w:val="es-ES" w:eastAsia="es-ES"/>
        </w:rPr>
      </w:pPr>
      <w:r w:rsidRPr="0048739B">
        <w:rPr>
          <w:rFonts w:eastAsia="Arial Unicode MS"/>
          <w:sz w:val="28"/>
          <w:szCs w:val="28"/>
          <w:u w:color="000000"/>
          <w:lang w:val="es-ES_tradnl" w:eastAsia="es-ES"/>
        </w:rPr>
        <w:t xml:space="preserve">El Decreto 2067 de 1991 dispone en su artículo 2° que, entre otros requisitos, la demanda de inconstitucionalidad debe precisar </w:t>
      </w:r>
      <w:r w:rsidRPr="0048739B">
        <w:rPr>
          <w:rFonts w:eastAsia="Arial Unicode MS"/>
          <w:i/>
          <w:sz w:val="28"/>
          <w:szCs w:val="28"/>
          <w:u w:color="000000"/>
          <w:lang w:val="es-ES_tradnl" w:eastAsia="es-ES"/>
        </w:rPr>
        <w:t xml:space="preserve">“las razones por las cuales dichos textos </w:t>
      </w:r>
      <w:r w:rsidRPr="0048739B">
        <w:rPr>
          <w:rFonts w:eastAsia="Arial Unicode MS"/>
          <w:iCs/>
          <w:sz w:val="28"/>
          <w:szCs w:val="28"/>
          <w:u w:color="000000"/>
          <w:lang w:val="es-ES_tradnl" w:eastAsia="es-ES"/>
        </w:rPr>
        <w:t>[-los constitucionales-]</w:t>
      </w:r>
      <w:r w:rsidRPr="0048739B">
        <w:rPr>
          <w:rFonts w:eastAsia="Arial Unicode MS"/>
          <w:i/>
          <w:sz w:val="28"/>
          <w:szCs w:val="28"/>
          <w:u w:color="000000"/>
          <w:lang w:val="es-ES_tradnl" w:eastAsia="es-ES"/>
        </w:rPr>
        <w:t xml:space="preserve"> se estiman violados”</w:t>
      </w:r>
      <w:r w:rsidRPr="0048739B">
        <w:rPr>
          <w:rFonts w:eastAsia="Arial Unicode MS"/>
          <w:sz w:val="28"/>
          <w:szCs w:val="28"/>
          <w:u w:color="000000"/>
          <w:lang w:val="es-ES_tradnl" w:eastAsia="es-ES"/>
        </w:rPr>
        <w:t xml:space="preserve">. A través de múltiples pronunciamientos al respecto, la Sala de Plena de esta Corporación ha identificado parámetros que le permiten </w:t>
      </w:r>
      <w:r w:rsidR="00352CFB" w:rsidRPr="0048739B">
        <w:rPr>
          <w:rFonts w:eastAsia="Arial Unicode MS"/>
          <w:sz w:val="28"/>
          <w:szCs w:val="28"/>
          <w:u w:color="000000"/>
          <w:lang w:val="es-ES_tradnl" w:eastAsia="es-ES"/>
        </w:rPr>
        <w:t>valorar si</w:t>
      </w:r>
      <w:r w:rsidRPr="0048739B">
        <w:rPr>
          <w:rFonts w:eastAsia="Arial Unicode MS"/>
          <w:sz w:val="28"/>
          <w:szCs w:val="28"/>
          <w:u w:color="000000"/>
          <w:lang w:val="es-ES_tradnl" w:eastAsia="es-ES"/>
        </w:rPr>
        <w:t xml:space="preserve"> el actor cumplió con este requisito</w:t>
      </w:r>
      <w:r w:rsidRPr="0048739B">
        <w:rPr>
          <w:rFonts w:eastAsia="Arial Unicode MS"/>
          <w:position w:val="6"/>
          <w:sz w:val="28"/>
          <w:szCs w:val="28"/>
          <w:u w:color="000000"/>
          <w:vertAlign w:val="superscript"/>
          <w:lang w:val="es-ES_tradnl" w:eastAsia="es-ES"/>
        </w:rPr>
        <w:footnoteReference w:id="26"/>
      </w:r>
      <w:r w:rsidRPr="0048739B">
        <w:rPr>
          <w:rFonts w:eastAsia="Arial Unicode MS"/>
          <w:sz w:val="28"/>
          <w:szCs w:val="28"/>
          <w:u w:color="000000"/>
          <w:lang w:val="es-ES_tradnl" w:eastAsia="es-ES"/>
        </w:rPr>
        <w:t xml:space="preserve">. Para que sea así, el demandante debe asumir una carga argumentativa mínima que no se </w:t>
      </w:r>
      <w:r w:rsidRPr="0048739B">
        <w:rPr>
          <w:rFonts w:eastAsia="Arial Unicode MS"/>
          <w:sz w:val="28"/>
          <w:szCs w:val="28"/>
          <w:u w:color="000000"/>
          <w:lang w:val="es-ES_tradnl" w:eastAsia="es-ES"/>
        </w:rPr>
        <w:lastRenderedPageBreak/>
        <w:t>encuentra sometida a rigorismos técnico-jurídicos especiales, a los que están sujetos los profesionales del derecho en casi cualquier otra actuación judicial</w:t>
      </w:r>
      <w:r w:rsidRPr="0048739B">
        <w:rPr>
          <w:rFonts w:eastAsia="Arial Unicode MS"/>
          <w:position w:val="6"/>
          <w:sz w:val="28"/>
          <w:szCs w:val="28"/>
          <w:u w:color="000000"/>
          <w:vertAlign w:val="superscript"/>
          <w:lang w:val="es-ES_tradnl" w:eastAsia="es-ES"/>
        </w:rPr>
        <w:footnoteReference w:id="27"/>
      </w:r>
      <w:r w:rsidRPr="0048739B">
        <w:rPr>
          <w:rFonts w:eastAsia="Arial Unicode MS"/>
          <w:sz w:val="28"/>
          <w:szCs w:val="28"/>
          <w:u w:color="000000"/>
          <w:lang w:val="es-ES_tradnl" w:eastAsia="es-ES"/>
        </w:rPr>
        <w:t xml:space="preserve">. </w:t>
      </w:r>
      <w:r w:rsidR="0001780C" w:rsidRPr="0048739B">
        <w:rPr>
          <w:rFonts w:eastAsia="Arial Unicode MS"/>
          <w:sz w:val="28"/>
          <w:szCs w:val="28"/>
          <w:u w:color="000000"/>
          <w:lang w:val="es-ES_tradnl" w:eastAsia="es-ES"/>
        </w:rPr>
        <w:t xml:space="preserve">Sin embargo, </w:t>
      </w:r>
      <w:r w:rsidRPr="0048739B">
        <w:rPr>
          <w:rFonts w:eastAsia="Arial Unicode MS"/>
          <w:sz w:val="28"/>
          <w:szCs w:val="28"/>
          <w:u w:color="000000"/>
          <w:lang w:val="es-ES_tradnl" w:eastAsia="es-ES"/>
        </w:rPr>
        <w:t>los argumentos planteados deben llevar a que la Corte pueda comprender y discernir cuál es el problema de constitucionalidad que se le plantea, delimitar el objeto de su análisis y efectuar el estudio que corresponda.</w:t>
      </w:r>
    </w:p>
    <w:p w14:paraId="5172E340" w14:textId="77777777" w:rsidR="001F589E" w:rsidRPr="0048739B" w:rsidRDefault="001F589E" w:rsidP="0048739B">
      <w:pPr>
        <w:autoSpaceDE w:val="0"/>
        <w:autoSpaceDN w:val="0"/>
        <w:spacing w:after="0" w:line="240" w:lineRule="auto"/>
        <w:jc w:val="both"/>
        <w:rPr>
          <w:rFonts w:eastAsia="Arial Unicode MS"/>
          <w:sz w:val="28"/>
          <w:szCs w:val="28"/>
          <w:u w:color="000000"/>
          <w:lang w:val="es-ES_tradnl" w:eastAsia="es-ES"/>
        </w:rPr>
      </w:pPr>
    </w:p>
    <w:p w14:paraId="3F84E0D2" w14:textId="438CEEFA" w:rsidR="001F589E" w:rsidRPr="0048739B" w:rsidRDefault="001F589E" w:rsidP="0048739B">
      <w:p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 xml:space="preserve">Cabe recordar que, en atención al carácter público de la acción de inconstitucionalidad, en virtud del cual cualquier ciudadano puede acercarse a la administración de justicia en resguardo de la coherencia del sistema jurídico con la Constitución, la demanda no </w:t>
      </w:r>
      <w:r w:rsidR="000E65C6" w:rsidRPr="0048739B">
        <w:rPr>
          <w:rFonts w:eastAsia="Arial Unicode MS"/>
          <w:sz w:val="28"/>
          <w:szCs w:val="28"/>
          <w:u w:color="000000"/>
          <w:lang w:val="es-ES_tradnl" w:eastAsia="es-ES"/>
        </w:rPr>
        <w:t>precisa de</w:t>
      </w:r>
      <w:r w:rsidRPr="0048739B">
        <w:rPr>
          <w:rFonts w:eastAsia="Arial Unicode MS"/>
          <w:sz w:val="28"/>
          <w:szCs w:val="28"/>
          <w:u w:color="000000"/>
          <w:lang w:val="es-ES_tradnl" w:eastAsia="es-ES"/>
        </w:rPr>
        <w:t xml:space="preserve"> una destreza técnica específica para proponer las razones por las </w:t>
      </w:r>
      <w:r w:rsidR="00AA1099" w:rsidRPr="0048739B">
        <w:rPr>
          <w:rFonts w:eastAsia="Arial Unicode MS"/>
          <w:sz w:val="28"/>
          <w:szCs w:val="28"/>
          <w:u w:color="000000"/>
          <w:lang w:val="es-ES_tradnl" w:eastAsia="es-ES"/>
        </w:rPr>
        <w:t>que</w:t>
      </w:r>
      <w:r w:rsidRPr="0048739B">
        <w:rPr>
          <w:rFonts w:eastAsia="Arial Unicode MS"/>
          <w:sz w:val="28"/>
          <w:szCs w:val="28"/>
          <w:u w:color="000000"/>
          <w:lang w:val="es-ES_tradnl" w:eastAsia="es-ES"/>
        </w:rPr>
        <w:t xml:space="preserve"> se advierte la incompatibilidad entre el texto legal demandado y las disposiciones constitucionales. El demandante no requiere preparación alguna para formularla. Basta con que </w:t>
      </w:r>
      <w:r w:rsidR="000E65C6" w:rsidRPr="0048739B">
        <w:rPr>
          <w:rFonts w:eastAsia="Arial Unicode MS"/>
          <w:sz w:val="28"/>
          <w:szCs w:val="28"/>
          <w:u w:color="000000"/>
          <w:lang w:val="es-ES_tradnl" w:eastAsia="es-ES"/>
        </w:rPr>
        <w:t xml:space="preserve">su argumentación </w:t>
      </w:r>
      <w:r w:rsidRPr="0048739B">
        <w:rPr>
          <w:rFonts w:eastAsia="Arial Unicode MS"/>
          <w:sz w:val="28"/>
          <w:szCs w:val="28"/>
          <w:u w:color="000000"/>
          <w:lang w:val="es-ES_tradnl" w:eastAsia="es-ES"/>
        </w:rPr>
        <w:t>genere una duda sobre la falta de correspondencia entre la ley que acusa y el orden constitucional vigente</w:t>
      </w:r>
      <w:r w:rsidR="00AF1858" w:rsidRPr="0048739B">
        <w:rPr>
          <w:rFonts w:eastAsia="Arial Unicode MS"/>
          <w:sz w:val="28"/>
          <w:szCs w:val="28"/>
          <w:u w:color="000000"/>
          <w:lang w:val="es-ES_tradnl" w:eastAsia="es-ES"/>
        </w:rPr>
        <w:t>, y plantee al menos un cargo en contra de aquella</w:t>
      </w:r>
      <w:r w:rsidRPr="0048739B">
        <w:rPr>
          <w:rFonts w:eastAsia="Arial Unicode MS"/>
          <w:sz w:val="28"/>
          <w:szCs w:val="28"/>
          <w:u w:color="000000"/>
          <w:lang w:val="es-ES_tradnl" w:eastAsia="es-ES"/>
        </w:rPr>
        <w:t>.</w:t>
      </w:r>
    </w:p>
    <w:p w14:paraId="67B1B892" w14:textId="77777777" w:rsidR="001F589E" w:rsidRPr="0048739B" w:rsidRDefault="001F589E" w:rsidP="0048739B">
      <w:pPr>
        <w:autoSpaceDE w:val="0"/>
        <w:autoSpaceDN w:val="0"/>
        <w:spacing w:after="0" w:line="240" w:lineRule="auto"/>
        <w:jc w:val="both"/>
        <w:rPr>
          <w:rFonts w:eastAsia="Arial Unicode MS"/>
          <w:sz w:val="28"/>
          <w:szCs w:val="28"/>
          <w:u w:color="000000"/>
          <w:lang w:val="es-ES_tradnl" w:eastAsia="es-ES"/>
        </w:rPr>
      </w:pPr>
    </w:p>
    <w:p w14:paraId="2802A28A" w14:textId="1F716EE4" w:rsidR="001F589E" w:rsidRPr="0048739B" w:rsidRDefault="001F589E" w:rsidP="0048739B">
      <w:pPr>
        <w:numPr>
          <w:ilvl w:val="0"/>
          <w:numId w:val="1"/>
        </w:numPr>
        <w:autoSpaceDE w:val="0"/>
        <w:autoSpaceDN w:val="0"/>
        <w:spacing w:after="0" w:line="240" w:lineRule="auto"/>
        <w:jc w:val="both"/>
        <w:rPr>
          <w:rFonts w:eastAsia="Calibri"/>
          <w:sz w:val="28"/>
          <w:szCs w:val="28"/>
          <w:lang w:val="es-ES" w:eastAsia="es-ES"/>
        </w:rPr>
      </w:pPr>
      <w:r w:rsidRPr="0048739B">
        <w:rPr>
          <w:rFonts w:eastAsia="Arial Unicode MS"/>
          <w:sz w:val="28"/>
          <w:szCs w:val="28"/>
          <w:u w:color="000000"/>
          <w:lang w:val="es-ES_tradnl" w:eastAsia="es-ES"/>
        </w:rPr>
        <w:t xml:space="preserve">La </w:t>
      </w:r>
      <w:r w:rsidR="00AB04CE" w:rsidRPr="0048739B">
        <w:rPr>
          <w:rFonts w:eastAsia="Arial Unicode MS"/>
          <w:sz w:val="28"/>
          <w:szCs w:val="28"/>
          <w:u w:color="000000"/>
          <w:lang w:val="es-ES_tradnl" w:eastAsia="es-ES"/>
        </w:rPr>
        <w:t>existencia</w:t>
      </w:r>
      <w:r w:rsidRPr="0048739B">
        <w:rPr>
          <w:rFonts w:eastAsia="Arial Unicode MS"/>
          <w:sz w:val="28"/>
          <w:szCs w:val="28"/>
          <w:u w:color="000000"/>
          <w:lang w:val="es-ES_tradnl" w:eastAsia="es-ES"/>
        </w:rPr>
        <w:t xml:space="preserve"> de los cargos de inconstitucionalidad </w:t>
      </w:r>
      <w:r w:rsidR="00AB04CE" w:rsidRPr="0048739B">
        <w:rPr>
          <w:rFonts w:eastAsia="Arial Unicode MS"/>
          <w:sz w:val="28"/>
          <w:szCs w:val="28"/>
          <w:u w:color="000000"/>
          <w:lang w:val="es-ES_tradnl" w:eastAsia="es-ES"/>
        </w:rPr>
        <w:t xml:space="preserve">contra las disposiciones con fuerza de ley </w:t>
      </w:r>
      <w:r w:rsidR="00AF1858" w:rsidRPr="0048739B">
        <w:rPr>
          <w:rFonts w:eastAsia="Arial Unicode MS"/>
          <w:sz w:val="28"/>
          <w:szCs w:val="28"/>
          <w:u w:color="000000"/>
          <w:lang w:val="es-ES_tradnl" w:eastAsia="es-ES"/>
        </w:rPr>
        <w:t>está</w:t>
      </w:r>
      <w:r w:rsidRPr="0048739B">
        <w:rPr>
          <w:rFonts w:eastAsia="Arial Unicode MS"/>
          <w:sz w:val="28"/>
          <w:szCs w:val="28"/>
          <w:u w:color="000000"/>
          <w:lang w:val="es-ES_tradnl" w:eastAsia="es-ES"/>
        </w:rPr>
        <w:t xml:space="preserve"> supeditada a la estructuración de lo que se ha reconocido como el </w:t>
      </w:r>
      <w:r w:rsidRPr="0048739B">
        <w:rPr>
          <w:rFonts w:eastAsia="Calibri"/>
          <w:i/>
          <w:sz w:val="28"/>
          <w:szCs w:val="28"/>
          <w:lang w:val="es-ES" w:eastAsia="es-ES"/>
        </w:rPr>
        <w:t>concepto de la violación</w:t>
      </w:r>
      <w:r w:rsidRPr="0048739B">
        <w:rPr>
          <w:sz w:val="28"/>
          <w:szCs w:val="28"/>
          <w:vertAlign w:val="superscript"/>
          <w:lang w:val="es-ES" w:eastAsia="es-ES"/>
        </w:rPr>
        <w:footnoteReference w:id="28"/>
      </w:r>
      <w:r w:rsidR="00AB04CE" w:rsidRPr="0048739B">
        <w:rPr>
          <w:rFonts w:eastAsia="Calibri"/>
          <w:sz w:val="28"/>
          <w:szCs w:val="28"/>
          <w:lang w:val="es-ES" w:eastAsia="es-ES"/>
        </w:rPr>
        <w:t>. P</w:t>
      </w:r>
      <w:r w:rsidRPr="0048739B">
        <w:rPr>
          <w:rFonts w:eastAsia="Calibri"/>
          <w:sz w:val="28"/>
          <w:szCs w:val="28"/>
          <w:lang w:val="es-ES" w:eastAsia="es-ES"/>
        </w:rPr>
        <w:t xml:space="preserve">ara que </w:t>
      </w:r>
      <w:r w:rsidR="00C243AD" w:rsidRPr="0048739B">
        <w:rPr>
          <w:rFonts w:eastAsia="Calibri"/>
          <w:sz w:val="28"/>
          <w:szCs w:val="28"/>
          <w:lang w:val="es-ES" w:eastAsia="es-ES"/>
        </w:rPr>
        <w:t>su formulación sea exitosa</w:t>
      </w:r>
      <w:r w:rsidRPr="0048739B">
        <w:rPr>
          <w:rFonts w:eastAsia="Calibri"/>
          <w:sz w:val="28"/>
          <w:szCs w:val="28"/>
          <w:lang w:val="es-ES" w:eastAsia="es-ES"/>
        </w:rPr>
        <w:t xml:space="preserve"> es preciso que los argumentos de inconstitucionalidad contra las normas acusadas sean: </w:t>
      </w:r>
    </w:p>
    <w:p w14:paraId="08225862" w14:textId="77777777" w:rsidR="001F589E" w:rsidRPr="0048739B" w:rsidRDefault="001F589E" w:rsidP="0048739B">
      <w:pPr>
        <w:autoSpaceDE w:val="0"/>
        <w:autoSpaceDN w:val="0"/>
        <w:spacing w:after="0" w:line="240" w:lineRule="auto"/>
        <w:ind w:left="708"/>
        <w:rPr>
          <w:rFonts w:eastAsia="Calibri"/>
          <w:sz w:val="28"/>
          <w:szCs w:val="28"/>
          <w:lang w:val="es-ES" w:eastAsia="es-ES"/>
        </w:rPr>
      </w:pPr>
    </w:p>
    <w:p w14:paraId="28A56FAF" w14:textId="77777777" w:rsidR="001F589E" w:rsidRPr="0048739B" w:rsidRDefault="001F589E" w:rsidP="0048739B">
      <w:pPr>
        <w:numPr>
          <w:ilvl w:val="1"/>
          <w:numId w:val="1"/>
        </w:numPr>
        <w:autoSpaceDE w:val="0"/>
        <w:autoSpaceDN w:val="0"/>
        <w:spacing w:after="0" w:line="240" w:lineRule="auto"/>
        <w:ind w:left="426"/>
        <w:jc w:val="both"/>
        <w:rPr>
          <w:rFonts w:eastAsia="Calibri"/>
          <w:sz w:val="28"/>
          <w:szCs w:val="28"/>
          <w:lang w:val="es-ES" w:eastAsia="es-ES"/>
        </w:rPr>
      </w:pPr>
      <w:r w:rsidRPr="0048739B">
        <w:rPr>
          <w:rFonts w:eastAsia="Calibri"/>
          <w:b/>
          <w:sz w:val="28"/>
          <w:szCs w:val="28"/>
          <w:lang w:val="es-ES" w:eastAsia="es-ES"/>
        </w:rPr>
        <w:t>Claros</w:t>
      </w:r>
      <w:r w:rsidRPr="0048739B">
        <w:rPr>
          <w:rFonts w:eastAsia="Calibri"/>
          <w:sz w:val="28"/>
          <w:szCs w:val="28"/>
          <w:lang w:val="es-ES" w:eastAsia="es-ES"/>
        </w:rPr>
        <w:t xml:space="preserve">, lo que implica que exista un hilo conductor en la argumentación que permita comprender el contenido de la demanda y las justificaciones que la sustentan de forma nítida. </w:t>
      </w:r>
    </w:p>
    <w:p w14:paraId="6DBA5C5F" w14:textId="77777777" w:rsidR="001F589E" w:rsidRPr="0048739B" w:rsidRDefault="001F589E" w:rsidP="0048739B">
      <w:pPr>
        <w:autoSpaceDE w:val="0"/>
        <w:autoSpaceDN w:val="0"/>
        <w:spacing w:after="0" w:line="240" w:lineRule="auto"/>
        <w:ind w:left="426" w:hanging="437"/>
        <w:jc w:val="both"/>
        <w:rPr>
          <w:rFonts w:eastAsia="Calibri"/>
          <w:sz w:val="28"/>
          <w:szCs w:val="28"/>
          <w:lang w:val="es-ES" w:eastAsia="es-ES"/>
        </w:rPr>
      </w:pPr>
    </w:p>
    <w:p w14:paraId="21769383" w14:textId="47ABFFAE" w:rsidR="001F589E" w:rsidRPr="0048739B" w:rsidRDefault="001F589E" w:rsidP="0048739B">
      <w:pPr>
        <w:numPr>
          <w:ilvl w:val="1"/>
          <w:numId w:val="1"/>
        </w:numPr>
        <w:autoSpaceDE w:val="0"/>
        <w:autoSpaceDN w:val="0"/>
        <w:spacing w:after="0" w:line="240" w:lineRule="auto"/>
        <w:ind w:left="426"/>
        <w:jc w:val="both"/>
        <w:rPr>
          <w:rFonts w:eastAsia="Calibri"/>
          <w:sz w:val="28"/>
          <w:szCs w:val="28"/>
          <w:lang w:val="es-ES" w:eastAsia="es-ES"/>
        </w:rPr>
      </w:pPr>
      <w:r w:rsidRPr="0048739B">
        <w:rPr>
          <w:rFonts w:eastAsia="Calibri"/>
          <w:b/>
          <w:sz w:val="28"/>
          <w:szCs w:val="28"/>
          <w:lang w:val="es-ES" w:eastAsia="es-ES"/>
        </w:rPr>
        <w:t>Ciertos</w:t>
      </w:r>
      <w:r w:rsidRPr="0048739B">
        <w:rPr>
          <w:rFonts w:eastAsia="Calibri"/>
          <w:sz w:val="28"/>
          <w:szCs w:val="28"/>
          <w:lang w:val="es-ES" w:eastAsia="es-ES"/>
        </w:rPr>
        <w:t xml:space="preserve">, es decir, que la demanda habrá de recaer sobre una proposición jurídica real y existente; </w:t>
      </w:r>
      <w:r w:rsidRPr="0048739B">
        <w:rPr>
          <w:rFonts w:eastAsia="Arial Unicode MS"/>
          <w:sz w:val="28"/>
          <w:szCs w:val="28"/>
          <w:u w:color="000000"/>
          <w:lang w:val="es-ES_tradnl" w:eastAsia="es-ES"/>
        </w:rPr>
        <w:t xml:space="preserve">no sobre una inferida por el demandante, implícita o que hace parte de normas que no fueron objeto de demanda. </w:t>
      </w:r>
      <w:r w:rsidR="00994902" w:rsidRPr="0048739B">
        <w:rPr>
          <w:rFonts w:eastAsia="Arial Unicode MS"/>
          <w:sz w:val="28"/>
          <w:szCs w:val="28"/>
          <w:u w:color="000000"/>
          <w:lang w:val="es-ES_tradnl" w:eastAsia="es-ES"/>
        </w:rPr>
        <w:t xml:space="preserve">En relación con este requisito la Sala Plena de esta Corporación ha señalado que </w:t>
      </w:r>
      <w:r w:rsidR="00994902" w:rsidRPr="0048739B">
        <w:rPr>
          <w:rFonts w:eastAsia="Arial Unicode MS"/>
          <w:i/>
          <w:iCs/>
          <w:sz w:val="28"/>
          <w:szCs w:val="28"/>
          <w:u w:color="000000"/>
          <w:lang w:val="es-ES_tradnl" w:eastAsia="es-ES"/>
        </w:rPr>
        <w:t>“</w:t>
      </w:r>
      <w:r w:rsidR="00994902" w:rsidRPr="0048739B">
        <w:rPr>
          <w:rFonts w:eastAsia="Arial Unicode MS"/>
          <w:i/>
          <w:iCs/>
          <w:sz w:val="28"/>
          <w:szCs w:val="28"/>
          <w:u w:color="000000"/>
          <w:lang w:eastAsia="es-ES"/>
        </w:rPr>
        <w:t>la censura es cierta siempre que los significados que se le atribuyan al precepto demandado deriven de su texto y no constituyan una suposición o una conjetura carente de asidero en la formulación normativa aportada por el legislador”</w:t>
      </w:r>
      <w:r w:rsidR="00994902" w:rsidRPr="0048739B">
        <w:rPr>
          <w:rStyle w:val="Refdenotaalpie"/>
          <w:rFonts w:eastAsia="Arial Unicode MS"/>
          <w:sz w:val="28"/>
          <w:szCs w:val="28"/>
          <w:u w:color="000000"/>
          <w:lang w:eastAsia="es-ES"/>
        </w:rPr>
        <w:footnoteReference w:id="29"/>
      </w:r>
      <w:r w:rsidR="00994902" w:rsidRPr="0048739B">
        <w:rPr>
          <w:rFonts w:eastAsia="Arial Unicode MS"/>
          <w:sz w:val="28"/>
          <w:szCs w:val="28"/>
          <w:u w:color="000000"/>
          <w:lang w:eastAsia="es-ES"/>
        </w:rPr>
        <w:t>.</w:t>
      </w:r>
    </w:p>
    <w:p w14:paraId="5D05CAC0" w14:textId="77777777" w:rsidR="001F589E" w:rsidRPr="0048739B" w:rsidRDefault="001F589E" w:rsidP="0048739B">
      <w:pPr>
        <w:autoSpaceDE w:val="0"/>
        <w:autoSpaceDN w:val="0"/>
        <w:spacing w:after="0" w:line="240" w:lineRule="auto"/>
        <w:ind w:left="426" w:hanging="437"/>
        <w:jc w:val="both"/>
        <w:rPr>
          <w:rFonts w:eastAsia="Calibri"/>
          <w:sz w:val="28"/>
          <w:szCs w:val="28"/>
          <w:lang w:val="es-ES" w:eastAsia="es-ES"/>
        </w:rPr>
      </w:pPr>
    </w:p>
    <w:p w14:paraId="42401080" w14:textId="77777777" w:rsidR="001F589E" w:rsidRPr="0048739B" w:rsidRDefault="001F589E" w:rsidP="0048739B">
      <w:pPr>
        <w:numPr>
          <w:ilvl w:val="1"/>
          <w:numId w:val="1"/>
        </w:numPr>
        <w:autoSpaceDE w:val="0"/>
        <w:autoSpaceDN w:val="0"/>
        <w:spacing w:after="0" w:line="240" w:lineRule="auto"/>
        <w:ind w:left="426"/>
        <w:jc w:val="both"/>
        <w:rPr>
          <w:rFonts w:eastAsia="Calibri"/>
          <w:sz w:val="28"/>
          <w:szCs w:val="28"/>
          <w:lang w:val="es-ES" w:eastAsia="es-ES"/>
        </w:rPr>
      </w:pPr>
      <w:r w:rsidRPr="0048739B">
        <w:rPr>
          <w:rFonts w:eastAsia="Calibri"/>
          <w:b/>
          <w:sz w:val="28"/>
          <w:szCs w:val="28"/>
          <w:lang w:val="es-ES" w:eastAsia="es-ES"/>
        </w:rPr>
        <w:t>Específicos</w:t>
      </w:r>
      <w:r w:rsidRPr="0048739B">
        <w:rPr>
          <w:rFonts w:eastAsia="Calibri"/>
          <w:sz w:val="28"/>
          <w:szCs w:val="28"/>
          <w:lang w:val="es-ES" w:eastAsia="es-ES"/>
        </w:rPr>
        <w:t xml:space="preserve">, de modo que se precise cómo la norma acusada vulnera un precepto o preceptos de la Constitución. La oposición entre las normas en contraste debe ser objetiva y verificable del contenido de la ley y el texto de la </w:t>
      </w:r>
      <w:r w:rsidRPr="0048739B">
        <w:rPr>
          <w:rFonts w:eastAsia="Calibri"/>
          <w:sz w:val="28"/>
          <w:szCs w:val="28"/>
          <w:lang w:val="es-ES" w:eastAsia="es-ES"/>
        </w:rPr>
        <w:lastRenderedPageBreak/>
        <w:t>Carta, de modo que son inadmisibles los argumentos vagos, indeterminados, abstractos y globales.</w:t>
      </w:r>
    </w:p>
    <w:p w14:paraId="2EC5D5CB" w14:textId="77777777" w:rsidR="001F589E" w:rsidRPr="0048739B" w:rsidRDefault="001F589E" w:rsidP="0048739B">
      <w:pPr>
        <w:autoSpaceDE w:val="0"/>
        <w:autoSpaceDN w:val="0"/>
        <w:spacing w:after="0" w:line="240" w:lineRule="auto"/>
        <w:ind w:left="426" w:hanging="437"/>
        <w:jc w:val="both"/>
        <w:rPr>
          <w:rFonts w:eastAsia="Calibri"/>
          <w:sz w:val="28"/>
          <w:szCs w:val="28"/>
          <w:lang w:val="es-ES" w:eastAsia="es-ES"/>
        </w:rPr>
      </w:pPr>
      <w:r w:rsidRPr="0048739B">
        <w:rPr>
          <w:rFonts w:eastAsia="Calibri"/>
          <w:sz w:val="28"/>
          <w:szCs w:val="28"/>
          <w:lang w:val="es-ES" w:eastAsia="es-ES"/>
        </w:rPr>
        <w:t xml:space="preserve"> </w:t>
      </w:r>
    </w:p>
    <w:p w14:paraId="76A797AC" w14:textId="77777777" w:rsidR="001F589E" w:rsidRPr="0048739B" w:rsidRDefault="001F589E" w:rsidP="0048739B">
      <w:pPr>
        <w:numPr>
          <w:ilvl w:val="1"/>
          <w:numId w:val="1"/>
        </w:numPr>
        <w:autoSpaceDE w:val="0"/>
        <w:autoSpaceDN w:val="0"/>
        <w:spacing w:after="0" w:line="240" w:lineRule="auto"/>
        <w:ind w:left="426"/>
        <w:jc w:val="both"/>
        <w:rPr>
          <w:rFonts w:eastAsia="Calibri"/>
          <w:sz w:val="28"/>
          <w:szCs w:val="28"/>
          <w:lang w:val="es-ES" w:eastAsia="es-ES"/>
        </w:rPr>
      </w:pPr>
      <w:r w:rsidRPr="0048739B">
        <w:rPr>
          <w:rFonts w:eastAsia="Calibri"/>
          <w:b/>
          <w:sz w:val="28"/>
          <w:szCs w:val="28"/>
          <w:lang w:val="es-ES" w:eastAsia="es-ES"/>
        </w:rPr>
        <w:t>Pertinentes</w:t>
      </w:r>
      <w:r w:rsidRPr="0048739B">
        <w:rPr>
          <w:rFonts w:eastAsia="Calibri"/>
          <w:sz w:val="28"/>
          <w:szCs w:val="28"/>
          <w:lang w:val="es-ES" w:eastAsia="es-ES"/>
        </w:rPr>
        <w:t xml:space="preserve">, lo que significa que el reproche debe tener naturaleza constitucional y no legal y/o doctrinaria. </w:t>
      </w:r>
    </w:p>
    <w:p w14:paraId="167293E7" w14:textId="77777777" w:rsidR="001F589E" w:rsidRPr="0048739B" w:rsidRDefault="001F589E" w:rsidP="0048739B">
      <w:pPr>
        <w:autoSpaceDE w:val="0"/>
        <w:autoSpaceDN w:val="0"/>
        <w:spacing w:after="0" w:line="240" w:lineRule="auto"/>
        <w:ind w:left="426" w:hanging="437"/>
        <w:jc w:val="both"/>
        <w:rPr>
          <w:rFonts w:eastAsia="Calibri"/>
          <w:sz w:val="28"/>
          <w:szCs w:val="28"/>
          <w:lang w:val="es-ES" w:eastAsia="es-ES"/>
        </w:rPr>
      </w:pPr>
    </w:p>
    <w:p w14:paraId="44A0C67B" w14:textId="77777777" w:rsidR="001F589E" w:rsidRPr="0048739B" w:rsidRDefault="001F589E" w:rsidP="0048739B">
      <w:pPr>
        <w:numPr>
          <w:ilvl w:val="1"/>
          <w:numId w:val="1"/>
        </w:numPr>
        <w:autoSpaceDE w:val="0"/>
        <w:autoSpaceDN w:val="0"/>
        <w:spacing w:after="0" w:line="240" w:lineRule="auto"/>
        <w:ind w:left="426"/>
        <w:jc w:val="both"/>
        <w:rPr>
          <w:rFonts w:eastAsia="Calibri"/>
          <w:sz w:val="28"/>
          <w:szCs w:val="28"/>
          <w:lang w:val="es-ES" w:eastAsia="es-ES"/>
        </w:rPr>
      </w:pPr>
      <w:r w:rsidRPr="0048739B">
        <w:rPr>
          <w:rFonts w:eastAsia="Calibri"/>
          <w:b/>
          <w:sz w:val="28"/>
          <w:szCs w:val="28"/>
          <w:lang w:val="es-ES" w:eastAsia="es-ES"/>
        </w:rPr>
        <w:t>Suficientes</w:t>
      </w:r>
      <w:r w:rsidRPr="0048739B">
        <w:rPr>
          <w:rFonts w:eastAsia="Calibri"/>
          <w:sz w:val="28"/>
          <w:szCs w:val="28"/>
          <w:lang w:val="es-ES" w:eastAsia="es-ES"/>
        </w:rPr>
        <w:t>, en el sentido de que se expongan todos los elementos de juicio (argumentativos y probatorios) necesarios para iniciar el estudio y que despierten siquiera una duda mínima sobre la inconstitucionalidad de la disposición acusada.</w:t>
      </w:r>
    </w:p>
    <w:p w14:paraId="66EB340C" w14:textId="77777777" w:rsidR="001F589E" w:rsidRPr="0048739B" w:rsidRDefault="001F589E" w:rsidP="0048739B">
      <w:pPr>
        <w:autoSpaceDE w:val="0"/>
        <w:autoSpaceDN w:val="0"/>
        <w:spacing w:after="0" w:line="240" w:lineRule="auto"/>
        <w:rPr>
          <w:rFonts w:eastAsia="Calibri"/>
          <w:sz w:val="28"/>
          <w:szCs w:val="28"/>
          <w:lang w:val="es-ES" w:eastAsia="es-ES"/>
        </w:rPr>
      </w:pPr>
    </w:p>
    <w:p w14:paraId="4DDD624D" w14:textId="05B40813" w:rsidR="00BC6CA0" w:rsidRPr="0048739B" w:rsidRDefault="001F589E" w:rsidP="0048739B">
      <w:p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 xml:space="preserve">La Corte debe constatar </w:t>
      </w:r>
      <w:r w:rsidR="00BC6CA0" w:rsidRPr="0048739B">
        <w:rPr>
          <w:rFonts w:eastAsia="Arial Unicode MS"/>
          <w:sz w:val="28"/>
          <w:szCs w:val="28"/>
          <w:u w:color="000000"/>
          <w:lang w:val="es-ES_tradnl" w:eastAsia="es-ES"/>
        </w:rPr>
        <w:t xml:space="preserve">en cada caso </w:t>
      </w:r>
      <w:r w:rsidRPr="0048739B">
        <w:rPr>
          <w:rFonts w:eastAsia="Arial Unicode MS"/>
          <w:sz w:val="28"/>
          <w:szCs w:val="28"/>
          <w:u w:color="000000"/>
          <w:lang w:val="es-ES_tradnl" w:eastAsia="es-ES"/>
        </w:rPr>
        <w:t xml:space="preserve">que los razonamientos </w:t>
      </w:r>
      <w:r w:rsidR="00001CFB" w:rsidRPr="0048739B">
        <w:rPr>
          <w:rFonts w:eastAsia="Arial Unicode MS"/>
          <w:sz w:val="28"/>
          <w:szCs w:val="28"/>
          <w:u w:color="000000"/>
          <w:lang w:val="es-ES_tradnl" w:eastAsia="es-ES"/>
        </w:rPr>
        <w:t xml:space="preserve">contenidos en la demanda </w:t>
      </w:r>
      <w:r w:rsidRPr="0048739B">
        <w:rPr>
          <w:rFonts w:eastAsia="Arial Unicode MS"/>
          <w:sz w:val="28"/>
          <w:szCs w:val="28"/>
          <w:u w:color="000000"/>
          <w:lang w:val="es-ES_tradnl" w:eastAsia="es-ES"/>
        </w:rPr>
        <w:t xml:space="preserve">cumplan </w:t>
      </w:r>
      <w:r w:rsidR="00C243AD" w:rsidRPr="0048739B">
        <w:rPr>
          <w:rFonts w:eastAsia="Arial Unicode MS"/>
          <w:sz w:val="28"/>
          <w:szCs w:val="28"/>
          <w:u w:color="000000"/>
          <w:lang w:val="es-ES_tradnl" w:eastAsia="es-ES"/>
        </w:rPr>
        <w:t xml:space="preserve">todos </w:t>
      </w:r>
      <w:r w:rsidRPr="0048739B">
        <w:rPr>
          <w:rFonts w:eastAsia="Arial Unicode MS"/>
          <w:sz w:val="28"/>
          <w:szCs w:val="28"/>
          <w:u w:color="000000"/>
          <w:lang w:val="es-ES_tradnl" w:eastAsia="es-ES"/>
        </w:rPr>
        <w:t xml:space="preserve">estos requisitos, </w:t>
      </w:r>
      <w:r w:rsidR="00C243AD" w:rsidRPr="0048739B">
        <w:rPr>
          <w:rFonts w:eastAsia="Arial Unicode MS"/>
          <w:sz w:val="28"/>
          <w:szCs w:val="28"/>
          <w:u w:color="000000"/>
          <w:lang w:val="es-ES_tradnl" w:eastAsia="es-ES"/>
        </w:rPr>
        <w:t xml:space="preserve">pues a través de </w:t>
      </w:r>
      <w:r w:rsidR="00250DFE" w:rsidRPr="0048739B">
        <w:rPr>
          <w:rFonts w:eastAsia="Arial Unicode MS"/>
          <w:sz w:val="28"/>
          <w:szCs w:val="28"/>
          <w:u w:color="000000"/>
          <w:lang w:val="es-ES_tradnl" w:eastAsia="es-ES"/>
        </w:rPr>
        <w:t>ellos</w:t>
      </w:r>
      <w:r w:rsidR="00C243AD" w:rsidRPr="0048739B">
        <w:rPr>
          <w:rFonts w:eastAsia="Arial Unicode MS"/>
          <w:sz w:val="28"/>
          <w:szCs w:val="28"/>
          <w:u w:color="000000"/>
          <w:lang w:val="es-ES_tradnl" w:eastAsia="es-ES"/>
        </w:rPr>
        <w:t xml:space="preserve"> se</w:t>
      </w:r>
      <w:r w:rsidRPr="0048739B">
        <w:rPr>
          <w:rFonts w:eastAsia="Arial Unicode MS"/>
          <w:sz w:val="28"/>
          <w:szCs w:val="28"/>
          <w:u w:color="000000"/>
          <w:lang w:val="es-ES_tradnl" w:eastAsia="es-ES"/>
        </w:rPr>
        <w:t xml:space="preserve"> asegura la </w:t>
      </w:r>
      <w:r w:rsidR="00250DFE" w:rsidRPr="0048739B">
        <w:rPr>
          <w:rFonts w:eastAsia="Arial Unicode MS"/>
          <w:sz w:val="28"/>
          <w:szCs w:val="28"/>
          <w:u w:color="000000"/>
          <w:lang w:val="es-ES_tradnl" w:eastAsia="es-ES"/>
        </w:rPr>
        <w:t>existencia</w:t>
      </w:r>
      <w:r w:rsidRPr="0048739B">
        <w:rPr>
          <w:rFonts w:eastAsia="Arial Unicode MS"/>
          <w:sz w:val="28"/>
          <w:szCs w:val="28"/>
          <w:u w:color="000000"/>
          <w:lang w:val="es-ES_tradnl" w:eastAsia="es-ES"/>
        </w:rPr>
        <w:t xml:space="preserve"> de un cargo de inconstitucionalidad</w:t>
      </w:r>
      <w:r w:rsidR="00001CFB" w:rsidRPr="0048739B">
        <w:rPr>
          <w:rFonts w:eastAsia="Arial Unicode MS"/>
          <w:sz w:val="28"/>
          <w:szCs w:val="28"/>
          <w:u w:color="000000"/>
          <w:lang w:val="es-ES_tradnl" w:eastAsia="es-ES"/>
        </w:rPr>
        <w:t xml:space="preserve">, como que el mismo </w:t>
      </w:r>
      <w:r w:rsidR="00250DFE" w:rsidRPr="0048739B">
        <w:rPr>
          <w:rFonts w:eastAsia="Arial Unicode MS"/>
          <w:sz w:val="28"/>
          <w:szCs w:val="28"/>
          <w:u w:color="000000"/>
          <w:lang w:val="es-ES_tradnl" w:eastAsia="es-ES"/>
        </w:rPr>
        <w:t xml:space="preserve">provenga </w:t>
      </w:r>
      <w:r w:rsidR="00001CFB" w:rsidRPr="0048739B">
        <w:rPr>
          <w:rFonts w:eastAsia="Arial Unicode MS"/>
          <w:sz w:val="28"/>
          <w:szCs w:val="28"/>
          <w:u w:color="000000"/>
          <w:lang w:val="es-ES_tradnl" w:eastAsia="es-ES"/>
        </w:rPr>
        <w:t xml:space="preserve">efectivamente </w:t>
      </w:r>
      <w:r w:rsidR="00250DFE" w:rsidRPr="0048739B">
        <w:rPr>
          <w:rFonts w:eastAsia="Arial Unicode MS"/>
          <w:sz w:val="28"/>
          <w:szCs w:val="28"/>
          <w:u w:color="000000"/>
          <w:lang w:val="es-ES_tradnl" w:eastAsia="es-ES"/>
        </w:rPr>
        <w:t>de los argumentos d</w:t>
      </w:r>
      <w:r w:rsidR="003C4AA1" w:rsidRPr="0048739B">
        <w:rPr>
          <w:rFonts w:eastAsia="Arial Unicode MS"/>
          <w:sz w:val="28"/>
          <w:szCs w:val="28"/>
          <w:u w:color="000000"/>
          <w:lang w:val="es-ES_tradnl" w:eastAsia="es-ES"/>
        </w:rPr>
        <w:t>e los demandantes</w:t>
      </w:r>
      <w:r w:rsidRPr="0048739B">
        <w:rPr>
          <w:rFonts w:eastAsia="Arial Unicode MS"/>
          <w:sz w:val="28"/>
          <w:szCs w:val="28"/>
          <w:u w:color="000000"/>
          <w:lang w:val="es-ES_tradnl" w:eastAsia="es-ES"/>
        </w:rPr>
        <w:t xml:space="preserve">. </w:t>
      </w:r>
    </w:p>
    <w:p w14:paraId="46F6A2EE" w14:textId="77777777" w:rsidR="00BC6CA0" w:rsidRPr="0048739B" w:rsidRDefault="00BC6CA0" w:rsidP="0048739B">
      <w:pPr>
        <w:autoSpaceDE w:val="0"/>
        <w:autoSpaceDN w:val="0"/>
        <w:spacing w:after="0" w:line="240" w:lineRule="auto"/>
        <w:jc w:val="both"/>
        <w:rPr>
          <w:rFonts w:eastAsia="Arial Unicode MS"/>
          <w:sz w:val="28"/>
          <w:szCs w:val="28"/>
          <w:u w:color="000000"/>
          <w:lang w:val="es-ES_tradnl" w:eastAsia="es-ES"/>
        </w:rPr>
      </w:pPr>
    </w:p>
    <w:p w14:paraId="6838A89E" w14:textId="10C3EA76" w:rsidR="001F589E" w:rsidRPr="0048739B" w:rsidRDefault="00250DFE" w:rsidP="0048739B">
      <w:p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Tales exigencias</w:t>
      </w:r>
      <w:r w:rsidR="001C32F8" w:rsidRPr="0048739B">
        <w:rPr>
          <w:rFonts w:eastAsia="Arial Unicode MS"/>
          <w:sz w:val="28"/>
          <w:szCs w:val="28"/>
          <w:u w:color="000000"/>
          <w:lang w:val="es-ES_tradnl" w:eastAsia="es-ES"/>
        </w:rPr>
        <w:t xml:space="preserve"> no solo aseguran la existencia de una materia común que involucre a los </w:t>
      </w:r>
      <w:r w:rsidR="00815066" w:rsidRPr="0048739B">
        <w:rPr>
          <w:rFonts w:eastAsia="Arial Unicode MS"/>
          <w:sz w:val="28"/>
          <w:szCs w:val="28"/>
          <w:u w:color="000000"/>
          <w:lang w:val="es-ES_tradnl" w:eastAsia="es-ES"/>
        </w:rPr>
        <w:t>demandantes</w:t>
      </w:r>
      <w:r w:rsidR="001C32F8" w:rsidRPr="0048739B">
        <w:rPr>
          <w:rFonts w:eastAsia="Arial Unicode MS"/>
          <w:sz w:val="28"/>
          <w:szCs w:val="28"/>
          <w:u w:color="000000"/>
          <w:lang w:val="es-ES_tradnl" w:eastAsia="es-ES"/>
        </w:rPr>
        <w:t xml:space="preserve"> e intervinientes, sino que además</w:t>
      </w:r>
      <w:r w:rsidRPr="0048739B">
        <w:rPr>
          <w:rFonts w:eastAsia="Arial Unicode MS"/>
          <w:sz w:val="28"/>
          <w:szCs w:val="28"/>
          <w:u w:color="000000"/>
          <w:lang w:val="es-ES_tradnl" w:eastAsia="es-ES"/>
        </w:rPr>
        <w:t xml:space="preserve"> </w:t>
      </w:r>
      <w:r w:rsidR="001F589E" w:rsidRPr="0048739B">
        <w:rPr>
          <w:rFonts w:eastAsia="Arial Unicode MS"/>
          <w:sz w:val="28"/>
          <w:szCs w:val="28"/>
          <w:u w:color="000000"/>
          <w:lang w:val="es-ES_tradnl" w:eastAsia="es-ES"/>
        </w:rPr>
        <w:t>resguarda</w:t>
      </w:r>
      <w:r w:rsidRPr="0048739B">
        <w:rPr>
          <w:rFonts w:eastAsia="Arial Unicode MS"/>
          <w:sz w:val="28"/>
          <w:szCs w:val="28"/>
          <w:u w:color="000000"/>
          <w:lang w:val="es-ES_tradnl" w:eastAsia="es-ES"/>
        </w:rPr>
        <w:t>n</w:t>
      </w:r>
      <w:r w:rsidR="001F589E" w:rsidRPr="0048739B">
        <w:rPr>
          <w:rFonts w:eastAsia="Arial Unicode MS"/>
          <w:sz w:val="28"/>
          <w:szCs w:val="28"/>
          <w:u w:color="000000"/>
          <w:lang w:val="es-ES_tradnl" w:eastAsia="es-ES"/>
        </w:rPr>
        <w:t xml:space="preserve"> la separación y el equilibrio entre los poderes públicos, pues en el control constitucional de las leyes por vía de acción es necesario que sea el actor</w:t>
      </w:r>
      <w:r w:rsidR="00815066" w:rsidRPr="0048739B">
        <w:rPr>
          <w:rFonts w:eastAsia="Arial Unicode MS"/>
          <w:sz w:val="28"/>
          <w:szCs w:val="28"/>
          <w:u w:color="000000"/>
          <w:lang w:val="es-ES_tradnl" w:eastAsia="es-ES"/>
        </w:rPr>
        <w:t xml:space="preserve"> quien proponga el debate por resolver</w:t>
      </w:r>
      <w:r w:rsidR="001F589E" w:rsidRPr="0048739B">
        <w:rPr>
          <w:rFonts w:eastAsia="Arial Unicode MS"/>
          <w:sz w:val="28"/>
          <w:szCs w:val="28"/>
          <w:u w:color="000000"/>
          <w:lang w:val="es-ES_tradnl" w:eastAsia="es-ES"/>
        </w:rPr>
        <w:t xml:space="preserve">, y </w:t>
      </w:r>
      <w:r w:rsidR="00815066" w:rsidRPr="0048739B">
        <w:rPr>
          <w:rFonts w:eastAsia="Arial Unicode MS"/>
          <w:sz w:val="28"/>
          <w:szCs w:val="28"/>
          <w:u w:color="000000"/>
          <w:lang w:val="es-ES_tradnl" w:eastAsia="es-ES"/>
        </w:rPr>
        <w:t xml:space="preserve">que </w:t>
      </w:r>
      <w:r w:rsidR="001F589E" w:rsidRPr="0048739B">
        <w:rPr>
          <w:rFonts w:eastAsia="Arial Unicode MS"/>
          <w:sz w:val="28"/>
          <w:szCs w:val="28"/>
          <w:u w:color="000000"/>
          <w:lang w:val="es-ES_tradnl" w:eastAsia="es-ES"/>
        </w:rPr>
        <w:t xml:space="preserve">el </w:t>
      </w:r>
      <w:r w:rsidR="003C4AA1" w:rsidRPr="0048739B">
        <w:rPr>
          <w:rFonts w:eastAsia="Arial Unicode MS"/>
          <w:sz w:val="28"/>
          <w:szCs w:val="28"/>
          <w:u w:color="000000"/>
          <w:lang w:val="es-ES_tradnl" w:eastAsia="es-ES"/>
        </w:rPr>
        <w:t>Tribunal</w:t>
      </w:r>
      <w:r w:rsidR="001F589E" w:rsidRPr="0048739B">
        <w:rPr>
          <w:rFonts w:eastAsia="Arial Unicode MS"/>
          <w:sz w:val="28"/>
          <w:szCs w:val="28"/>
          <w:u w:color="000000"/>
          <w:lang w:val="es-ES_tradnl" w:eastAsia="es-ES"/>
        </w:rPr>
        <w:t xml:space="preserve"> constitucional</w:t>
      </w:r>
      <w:r w:rsidR="00815066" w:rsidRPr="0048739B">
        <w:rPr>
          <w:rFonts w:eastAsia="Arial Unicode MS"/>
          <w:sz w:val="28"/>
          <w:szCs w:val="28"/>
          <w:u w:color="000000"/>
          <w:lang w:val="es-ES_tradnl" w:eastAsia="es-ES"/>
        </w:rPr>
        <w:t xml:space="preserve"> no lo sustituya en esa labor</w:t>
      </w:r>
      <w:r w:rsidR="001F589E" w:rsidRPr="0048739B">
        <w:rPr>
          <w:rFonts w:eastAsia="Arial Unicode MS"/>
          <w:sz w:val="28"/>
          <w:szCs w:val="28"/>
          <w:u w:color="000000"/>
          <w:lang w:val="es-ES_tradnl" w:eastAsia="es-ES"/>
        </w:rPr>
        <w:t>.</w:t>
      </w:r>
      <w:r w:rsidR="00815066" w:rsidRPr="0048739B">
        <w:rPr>
          <w:rFonts w:eastAsia="Arial Unicode MS"/>
          <w:sz w:val="28"/>
          <w:szCs w:val="28"/>
          <w:u w:color="000000"/>
          <w:lang w:val="es-ES_tradnl" w:eastAsia="es-ES"/>
        </w:rPr>
        <w:t xml:space="preserve"> De lo contrario, </w:t>
      </w:r>
      <w:r w:rsidR="003A37CD" w:rsidRPr="0048739B">
        <w:rPr>
          <w:rFonts w:eastAsia="Arial Unicode MS"/>
          <w:sz w:val="28"/>
          <w:szCs w:val="28"/>
          <w:u w:color="000000"/>
          <w:lang w:val="es-ES_tradnl" w:eastAsia="es-ES"/>
        </w:rPr>
        <w:t xml:space="preserve">en cabeza de aquel, </w:t>
      </w:r>
      <w:r w:rsidR="00815066" w:rsidRPr="0048739B">
        <w:rPr>
          <w:rFonts w:eastAsia="Arial Unicode MS"/>
          <w:sz w:val="28"/>
          <w:szCs w:val="28"/>
          <w:u w:color="000000"/>
          <w:lang w:val="es-ES_tradnl" w:eastAsia="es-ES"/>
        </w:rPr>
        <w:t xml:space="preserve">el poder judicial </w:t>
      </w:r>
      <w:r w:rsidR="001D0880" w:rsidRPr="0048739B">
        <w:rPr>
          <w:rFonts w:eastAsia="Arial Unicode MS"/>
          <w:sz w:val="28"/>
          <w:szCs w:val="28"/>
          <w:u w:color="000000"/>
          <w:lang w:val="es-ES_tradnl" w:eastAsia="es-ES"/>
        </w:rPr>
        <w:t>irrumpiría</w:t>
      </w:r>
      <w:r w:rsidR="003A37CD" w:rsidRPr="0048739B">
        <w:rPr>
          <w:rFonts w:eastAsia="Arial Unicode MS"/>
          <w:sz w:val="28"/>
          <w:szCs w:val="28"/>
          <w:u w:color="000000"/>
          <w:lang w:val="es-ES_tradnl" w:eastAsia="es-ES"/>
        </w:rPr>
        <w:t xml:space="preserve"> en la labor legislativa, </w:t>
      </w:r>
      <w:r w:rsidR="001D0880" w:rsidRPr="0048739B">
        <w:rPr>
          <w:rFonts w:eastAsia="Arial Unicode MS"/>
          <w:sz w:val="28"/>
          <w:szCs w:val="28"/>
          <w:u w:color="000000"/>
          <w:lang w:val="es-ES_tradnl" w:eastAsia="es-ES"/>
        </w:rPr>
        <w:t>en una forma no contemplada por el Constituyente.</w:t>
      </w:r>
      <w:r w:rsidR="003A37CD" w:rsidRPr="0048739B">
        <w:rPr>
          <w:rFonts w:eastAsia="Arial Unicode MS"/>
          <w:sz w:val="28"/>
          <w:szCs w:val="28"/>
          <w:u w:color="000000"/>
          <w:lang w:val="es-ES_tradnl" w:eastAsia="es-ES"/>
        </w:rPr>
        <w:t xml:space="preserve"> </w:t>
      </w:r>
    </w:p>
    <w:p w14:paraId="60A9A3B1" w14:textId="47066E4F" w:rsidR="001F589E" w:rsidRPr="0048739B" w:rsidRDefault="001F589E" w:rsidP="0048739B">
      <w:pPr>
        <w:autoSpaceDE w:val="0"/>
        <w:autoSpaceDN w:val="0"/>
        <w:spacing w:after="0" w:line="240" w:lineRule="auto"/>
        <w:rPr>
          <w:rFonts w:eastAsia="Calibri"/>
          <w:sz w:val="28"/>
          <w:szCs w:val="28"/>
          <w:lang w:val="es-ES" w:eastAsia="es-ES"/>
        </w:rPr>
      </w:pPr>
    </w:p>
    <w:p w14:paraId="20E4EAB1" w14:textId="7A33B0E8" w:rsidR="004D16FC" w:rsidRPr="0048739B" w:rsidRDefault="000703F0" w:rsidP="0048739B">
      <w:pPr>
        <w:pStyle w:val="Prrafodelista"/>
        <w:numPr>
          <w:ilvl w:val="0"/>
          <w:numId w:val="1"/>
        </w:numPr>
        <w:spacing w:after="0" w:line="240" w:lineRule="auto"/>
        <w:jc w:val="both"/>
        <w:rPr>
          <w:rFonts w:eastAsia="Calibri"/>
          <w:sz w:val="28"/>
          <w:szCs w:val="28"/>
          <w:lang w:val="es-ES" w:eastAsia="es-ES"/>
        </w:rPr>
      </w:pPr>
      <w:r w:rsidRPr="0048739B">
        <w:rPr>
          <w:rFonts w:eastAsia="Calibri"/>
          <w:sz w:val="28"/>
          <w:szCs w:val="28"/>
          <w:lang w:val="es-ES" w:eastAsia="es-ES"/>
        </w:rPr>
        <w:t xml:space="preserve">Su verificación se efectúa </w:t>
      </w:r>
      <w:r w:rsidR="004D16FC" w:rsidRPr="0048739B">
        <w:rPr>
          <w:rFonts w:eastAsia="Calibri"/>
          <w:sz w:val="28"/>
          <w:szCs w:val="28"/>
          <w:lang w:val="es-ES" w:eastAsia="es-ES"/>
        </w:rPr>
        <w:t>en dos etapas, en la admisión de la demanda y al</w:t>
      </w:r>
      <w:r w:rsidRPr="0048739B">
        <w:rPr>
          <w:rFonts w:eastAsia="Calibri"/>
          <w:sz w:val="28"/>
          <w:szCs w:val="28"/>
          <w:lang w:val="es-ES" w:eastAsia="es-ES"/>
        </w:rPr>
        <w:t xml:space="preserve"> momento de proferir la sentencia</w:t>
      </w:r>
      <w:r w:rsidR="004D16FC" w:rsidRPr="0048739B">
        <w:rPr>
          <w:rFonts w:eastAsia="Calibri"/>
          <w:sz w:val="28"/>
          <w:szCs w:val="28"/>
          <w:lang w:val="es-ES" w:eastAsia="es-ES"/>
        </w:rPr>
        <w:t xml:space="preserve">. En la fase de admisión, el magistrado a quien fue repartido el asunto examina si este cumple con los requisitos para ser estudiado. En el momento de emitir la sentencia, la Sala Plena </w:t>
      </w:r>
      <w:r w:rsidR="004E1205" w:rsidRPr="0048739B">
        <w:rPr>
          <w:rFonts w:eastAsia="Calibri"/>
          <w:sz w:val="28"/>
          <w:szCs w:val="28"/>
          <w:lang w:val="es-ES" w:eastAsia="es-ES"/>
        </w:rPr>
        <w:t xml:space="preserve">analiza la satisfacción de cada uno de ellos, sin que el concepto proferido anteriormente le </w:t>
      </w:r>
      <w:r w:rsidR="002F5B10" w:rsidRPr="0048739B">
        <w:rPr>
          <w:rFonts w:eastAsia="Calibri"/>
          <w:sz w:val="28"/>
          <w:szCs w:val="28"/>
          <w:lang w:val="es-ES" w:eastAsia="es-ES"/>
        </w:rPr>
        <w:t>resulte vinculante</w:t>
      </w:r>
      <w:r w:rsidR="004E1205" w:rsidRPr="0048739B">
        <w:rPr>
          <w:rStyle w:val="Refdenotaalpie"/>
          <w:rFonts w:eastAsia="Calibri"/>
          <w:sz w:val="28"/>
          <w:szCs w:val="28"/>
          <w:lang w:val="es-ES" w:eastAsia="es-ES"/>
        </w:rPr>
        <w:footnoteReference w:id="30"/>
      </w:r>
      <w:r w:rsidR="004E1205" w:rsidRPr="0048739B">
        <w:rPr>
          <w:rFonts w:eastAsia="Calibri"/>
          <w:sz w:val="28"/>
          <w:szCs w:val="28"/>
          <w:lang w:val="es-ES" w:eastAsia="es-ES"/>
        </w:rPr>
        <w:t xml:space="preserve">. </w:t>
      </w:r>
      <w:r w:rsidR="004D16FC" w:rsidRPr="0048739B">
        <w:rPr>
          <w:rFonts w:eastAsia="Calibri"/>
          <w:sz w:val="28"/>
          <w:szCs w:val="28"/>
          <w:lang w:val="es-ES" w:eastAsia="es-ES"/>
        </w:rPr>
        <w:t xml:space="preserve"> </w:t>
      </w:r>
    </w:p>
    <w:p w14:paraId="7A2C6649" w14:textId="77777777" w:rsidR="004D16FC" w:rsidRPr="0048739B" w:rsidRDefault="004D16FC" w:rsidP="0048739B">
      <w:pPr>
        <w:pStyle w:val="Prrafodelista"/>
        <w:spacing w:after="0" w:line="240" w:lineRule="auto"/>
        <w:ind w:left="0"/>
        <w:jc w:val="both"/>
        <w:rPr>
          <w:rFonts w:eastAsia="Calibri"/>
          <w:sz w:val="28"/>
          <w:szCs w:val="28"/>
          <w:lang w:val="es-ES" w:eastAsia="es-ES"/>
        </w:rPr>
      </w:pPr>
    </w:p>
    <w:p w14:paraId="66F9A586" w14:textId="35201502" w:rsidR="001F589E" w:rsidRPr="0048739B" w:rsidRDefault="001F589E" w:rsidP="0048739B">
      <w:pPr>
        <w:numPr>
          <w:ilvl w:val="0"/>
          <w:numId w:val="1"/>
        </w:numPr>
        <w:autoSpaceDE w:val="0"/>
        <w:autoSpaceDN w:val="0"/>
        <w:spacing w:after="0" w:line="240" w:lineRule="auto"/>
        <w:jc w:val="both"/>
        <w:rPr>
          <w:rFonts w:eastAsia="Calibri"/>
          <w:sz w:val="28"/>
          <w:szCs w:val="28"/>
          <w:lang w:val="es-ES" w:eastAsia="es-ES"/>
        </w:rPr>
      </w:pPr>
      <w:r w:rsidRPr="0048739B">
        <w:rPr>
          <w:rFonts w:eastAsia="Arial Unicode MS"/>
          <w:sz w:val="28"/>
          <w:szCs w:val="28"/>
          <w:u w:color="000000"/>
          <w:lang w:val="es-ES_tradnl" w:eastAsia="es-ES"/>
        </w:rPr>
        <w:t xml:space="preserve">En el asunto que la Sala estudia en esta oportunidad, los demandantes consideran que la expresión </w:t>
      </w:r>
      <w:r w:rsidRPr="0048739B">
        <w:rPr>
          <w:rFonts w:eastAsia="Arial Unicode MS"/>
          <w:i/>
          <w:sz w:val="28"/>
          <w:szCs w:val="28"/>
          <w:u w:color="000000"/>
          <w:lang w:val="es-ES_tradnl" w:eastAsia="es-ES"/>
        </w:rPr>
        <w:t>“</w:t>
      </w:r>
      <w:r w:rsidR="008D03E6" w:rsidRPr="0048739B">
        <w:rPr>
          <w:rFonts w:eastAsia="Arial Unicode MS"/>
          <w:i/>
          <w:sz w:val="28"/>
          <w:szCs w:val="28"/>
          <w:u w:color="000000"/>
          <w:lang w:val="es-ES_tradnl" w:eastAsia="es-ES"/>
        </w:rPr>
        <w:t>o por tratarse de personas vinculadas como auxiliadores, partícipes o coautoras del delito investigado o de uno conexo o que se encuentre en curso, o se trate de situaciones que constituyan una obstrucción a la justicia</w:t>
      </w:r>
      <w:r w:rsidRPr="0048739B">
        <w:rPr>
          <w:rFonts w:eastAsia="Arial Unicode MS"/>
          <w:i/>
          <w:sz w:val="28"/>
          <w:szCs w:val="28"/>
          <w:u w:color="000000"/>
          <w:lang w:val="es-ES_tradnl" w:eastAsia="es-ES"/>
        </w:rPr>
        <w:t>”</w:t>
      </w:r>
      <w:r w:rsidRPr="0048739B">
        <w:rPr>
          <w:rFonts w:eastAsia="Arial Unicode MS"/>
          <w:sz w:val="28"/>
          <w:szCs w:val="28"/>
          <w:u w:color="000000"/>
          <w:lang w:val="es-ES_tradnl" w:eastAsia="es-ES"/>
        </w:rPr>
        <w:t xml:space="preserve"> contenida en el </w:t>
      </w:r>
      <w:r w:rsidR="008D03E6" w:rsidRPr="0048739B">
        <w:rPr>
          <w:rFonts w:eastAsia="Arial Unicode MS"/>
          <w:sz w:val="28"/>
          <w:szCs w:val="28"/>
          <w:u w:color="000000"/>
          <w:lang w:val="es-ES_tradnl" w:eastAsia="es-ES"/>
        </w:rPr>
        <w:t>parágrafo</w:t>
      </w:r>
      <w:r w:rsidRPr="0048739B">
        <w:rPr>
          <w:rFonts w:eastAsia="Arial Unicode MS"/>
          <w:sz w:val="28"/>
          <w:szCs w:val="28"/>
          <w:u w:color="000000"/>
          <w:lang w:val="es-ES_tradnl" w:eastAsia="es-ES"/>
        </w:rPr>
        <w:t xml:space="preserve"> del artículo </w:t>
      </w:r>
      <w:r w:rsidR="008D03E6" w:rsidRPr="0048739B">
        <w:rPr>
          <w:rFonts w:eastAsia="Arial Unicode MS"/>
          <w:sz w:val="28"/>
          <w:szCs w:val="28"/>
          <w:u w:color="000000"/>
          <w:lang w:val="es-ES_tradnl" w:eastAsia="es-ES"/>
        </w:rPr>
        <w:t>223</w:t>
      </w:r>
      <w:r w:rsidRPr="0048739B">
        <w:rPr>
          <w:rFonts w:eastAsia="Arial Unicode MS"/>
          <w:sz w:val="28"/>
          <w:szCs w:val="28"/>
          <w:u w:color="000000"/>
          <w:lang w:val="es-ES_tradnl" w:eastAsia="es-ES"/>
        </w:rPr>
        <w:t xml:space="preserve"> </w:t>
      </w:r>
      <w:r w:rsidR="008D03E6" w:rsidRPr="0048739B">
        <w:rPr>
          <w:rFonts w:eastAsia="Arial Unicode MS"/>
          <w:sz w:val="28"/>
          <w:szCs w:val="28"/>
          <w:u w:color="000000"/>
          <w:lang w:val="es-ES_tradnl" w:eastAsia="es-ES"/>
        </w:rPr>
        <w:t>de la Ley 90</w:t>
      </w:r>
      <w:r w:rsidR="00BC7D42" w:rsidRPr="0048739B">
        <w:rPr>
          <w:rFonts w:eastAsia="Arial Unicode MS"/>
          <w:sz w:val="28"/>
          <w:szCs w:val="28"/>
          <w:u w:color="000000"/>
          <w:lang w:val="es-ES_tradnl" w:eastAsia="es-ES"/>
        </w:rPr>
        <w:t>6</w:t>
      </w:r>
      <w:r w:rsidR="008D03E6" w:rsidRPr="0048739B">
        <w:rPr>
          <w:rFonts w:eastAsia="Arial Unicode MS"/>
          <w:sz w:val="28"/>
          <w:szCs w:val="28"/>
          <w:u w:color="000000"/>
          <w:lang w:val="es-ES_tradnl" w:eastAsia="es-ES"/>
        </w:rPr>
        <w:t xml:space="preserve"> de 2004</w:t>
      </w:r>
      <w:r w:rsidRPr="0048739B">
        <w:rPr>
          <w:rFonts w:eastAsia="Arial Unicode MS"/>
          <w:sz w:val="28"/>
          <w:szCs w:val="28"/>
          <w:u w:color="000000"/>
          <w:lang w:val="es-ES_tradnl" w:eastAsia="es-ES"/>
        </w:rPr>
        <w:t xml:space="preserve">, </w:t>
      </w:r>
      <w:r w:rsidR="00226F51" w:rsidRPr="0048739B">
        <w:rPr>
          <w:rFonts w:eastAsia="Arial Unicode MS"/>
          <w:sz w:val="28"/>
          <w:szCs w:val="28"/>
          <w:u w:color="000000"/>
          <w:lang w:val="es-ES_tradnl" w:eastAsia="es-ES"/>
        </w:rPr>
        <w:t>vulnera</w:t>
      </w:r>
      <w:r w:rsidRPr="0048739B">
        <w:rPr>
          <w:rFonts w:eastAsia="Arial Unicode MS"/>
          <w:sz w:val="28"/>
          <w:szCs w:val="28"/>
          <w:u w:color="000000"/>
          <w:lang w:val="es-ES_tradnl" w:eastAsia="es-ES"/>
        </w:rPr>
        <w:t xml:space="preserve"> </w:t>
      </w:r>
      <w:r w:rsidR="007F6EE7" w:rsidRPr="0048739B">
        <w:rPr>
          <w:rFonts w:eastAsia="Arial Unicode MS"/>
          <w:sz w:val="28"/>
          <w:szCs w:val="28"/>
          <w:u w:color="000000"/>
          <w:lang w:val="es-ES_tradnl" w:eastAsia="es-ES"/>
        </w:rPr>
        <w:t>los artículos 13, 29 y 74 superiores</w:t>
      </w:r>
      <w:r w:rsidRPr="0048739B">
        <w:rPr>
          <w:rFonts w:eastAsia="Arial Unicode MS"/>
          <w:sz w:val="28"/>
          <w:szCs w:val="28"/>
          <w:u w:color="000000"/>
          <w:lang w:val="es-ES_tradnl" w:eastAsia="es-ES"/>
        </w:rPr>
        <w:t xml:space="preserve">. </w:t>
      </w:r>
      <w:r w:rsidR="000B466C" w:rsidRPr="0048739B">
        <w:rPr>
          <w:rFonts w:eastAsia="Arial Unicode MS"/>
          <w:sz w:val="28"/>
          <w:szCs w:val="28"/>
          <w:u w:color="000000"/>
          <w:lang w:val="es-ES_tradnl" w:eastAsia="es-ES"/>
        </w:rPr>
        <w:t>D</w:t>
      </w:r>
      <w:r w:rsidR="00A656AE" w:rsidRPr="0048739B">
        <w:rPr>
          <w:rFonts w:eastAsia="Arial Unicode MS"/>
          <w:sz w:val="28"/>
          <w:szCs w:val="28"/>
          <w:u w:color="000000"/>
          <w:lang w:val="es-ES_tradnl" w:eastAsia="es-ES"/>
        </w:rPr>
        <w:t xml:space="preserve">educen que se afecta el principio de igualdad, las </w:t>
      </w:r>
      <w:r w:rsidR="002F5B10" w:rsidRPr="0048739B">
        <w:rPr>
          <w:rFonts w:eastAsia="Arial Unicode MS"/>
          <w:sz w:val="28"/>
          <w:szCs w:val="28"/>
          <w:u w:color="000000"/>
          <w:lang w:val="es-ES_tradnl" w:eastAsia="es-ES"/>
        </w:rPr>
        <w:t>previsiones</w:t>
      </w:r>
      <w:r w:rsidR="00A656AE" w:rsidRPr="0048739B">
        <w:rPr>
          <w:rFonts w:eastAsia="Arial Unicode MS"/>
          <w:sz w:val="28"/>
          <w:szCs w:val="28"/>
          <w:u w:color="000000"/>
          <w:lang w:val="es-ES_tradnl" w:eastAsia="es-ES"/>
        </w:rPr>
        <w:t xml:space="preserve"> sobre el derecho de defensa y el secreto profesional al restringir la </w:t>
      </w:r>
      <w:r w:rsidR="0054263C" w:rsidRPr="0048739B">
        <w:rPr>
          <w:rFonts w:eastAsia="Arial Unicode MS"/>
          <w:sz w:val="28"/>
          <w:szCs w:val="28"/>
          <w:u w:color="000000"/>
          <w:lang w:val="es-ES_tradnl" w:eastAsia="es-ES"/>
        </w:rPr>
        <w:t>proscripción</w:t>
      </w:r>
      <w:r w:rsidR="00A656AE" w:rsidRPr="0048739B">
        <w:rPr>
          <w:rFonts w:eastAsia="Arial Unicode MS"/>
          <w:sz w:val="28"/>
          <w:szCs w:val="28"/>
          <w:u w:color="000000"/>
          <w:lang w:val="es-ES_tradnl" w:eastAsia="es-ES"/>
        </w:rPr>
        <w:t xml:space="preserve"> de registro</w:t>
      </w:r>
      <w:r w:rsidR="000B466C" w:rsidRPr="0048739B">
        <w:rPr>
          <w:rFonts w:eastAsia="Arial Unicode MS"/>
          <w:sz w:val="28"/>
          <w:szCs w:val="28"/>
          <w:u w:color="000000"/>
          <w:lang w:val="es-ES_tradnl" w:eastAsia="es-ES"/>
        </w:rPr>
        <w:t xml:space="preserve"> consagrada en esa disposición legislativa</w:t>
      </w:r>
      <w:r w:rsidR="00A656AE" w:rsidRPr="0048739B">
        <w:rPr>
          <w:rFonts w:eastAsia="Arial Unicode MS"/>
          <w:sz w:val="28"/>
          <w:szCs w:val="28"/>
          <w:u w:color="000000"/>
          <w:lang w:val="es-ES_tradnl" w:eastAsia="es-ES"/>
        </w:rPr>
        <w:t xml:space="preserve"> a </w:t>
      </w:r>
      <w:r w:rsidR="00467118" w:rsidRPr="0048739B">
        <w:rPr>
          <w:rFonts w:eastAsia="Arial Unicode MS"/>
          <w:sz w:val="28"/>
          <w:szCs w:val="28"/>
          <w:u w:color="000000"/>
          <w:lang w:val="es-ES_tradnl" w:eastAsia="es-ES"/>
        </w:rPr>
        <w:t>la persona a quien se le atribuye un delito en la modalidad de</w:t>
      </w:r>
      <w:r w:rsidR="00A656AE" w:rsidRPr="0048739B">
        <w:rPr>
          <w:rFonts w:eastAsia="Arial Unicode MS"/>
          <w:sz w:val="28"/>
          <w:szCs w:val="28"/>
          <w:u w:color="000000"/>
          <w:lang w:val="es-ES_tradnl" w:eastAsia="es-ES"/>
        </w:rPr>
        <w:t xml:space="preserve"> autor y</w:t>
      </w:r>
      <w:r w:rsidR="00001CFB" w:rsidRPr="0048739B">
        <w:rPr>
          <w:rFonts w:eastAsia="Arial Unicode MS"/>
          <w:sz w:val="28"/>
          <w:szCs w:val="28"/>
          <w:u w:color="000000"/>
          <w:lang w:val="es-ES_tradnl" w:eastAsia="es-ES"/>
        </w:rPr>
        <w:t xml:space="preserve">, correlativamente, </w:t>
      </w:r>
      <w:r w:rsidR="00A656AE" w:rsidRPr="0048739B">
        <w:rPr>
          <w:rFonts w:eastAsia="Arial Unicode MS"/>
          <w:sz w:val="28"/>
          <w:szCs w:val="28"/>
          <w:u w:color="000000"/>
          <w:lang w:val="es-ES_tradnl" w:eastAsia="es-ES"/>
        </w:rPr>
        <w:t xml:space="preserve">excluirla para coautores y partícipes. </w:t>
      </w:r>
    </w:p>
    <w:p w14:paraId="0F5AAA3F" w14:textId="2441E072" w:rsidR="0006023D" w:rsidRPr="0048739B" w:rsidRDefault="0006023D" w:rsidP="0048739B">
      <w:pPr>
        <w:autoSpaceDE w:val="0"/>
        <w:autoSpaceDN w:val="0"/>
        <w:spacing w:after="0" w:line="240" w:lineRule="auto"/>
        <w:jc w:val="both"/>
        <w:rPr>
          <w:rFonts w:eastAsia="Arial Unicode MS"/>
          <w:sz w:val="28"/>
          <w:szCs w:val="28"/>
          <w:u w:color="000000"/>
          <w:lang w:val="es-ES_tradnl" w:eastAsia="es-ES"/>
        </w:rPr>
      </w:pPr>
    </w:p>
    <w:p w14:paraId="28C93EB0" w14:textId="07DA749A" w:rsidR="00A656AE" w:rsidRPr="0048739B" w:rsidRDefault="00557BC3" w:rsidP="0048739B">
      <w:pPr>
        <w:pStyle w:val="Prrafodelista"/>
        <w:numPr>
          <w:ilvl w:val="0"/>
          <w:numId w:val="1"/>
        </w:numPr>
        <w:shd w:val="clear" w:color="auto" w:fill="FFFFFF"/>
        <w:autoSpaceDE w:val="0"/>
        <w:autoSpaceDN w:val="0"/>
        <w:spacing w:after="0" w:line="240" w:lineRule="auto"/>
        <w:jc w:val="both"/>
        <w:textAlignment w:val="baseline"/>
        <w:rPr>
          <w:rFonts w:eastAsia="Times New Roman"/>
          <w:sz w:val="28"/>
          <w:szCs w:val="28"/>
          <w:bdr w:val="none" w:sz="0" w:space="0" w:color="auto" w:frame="1"/>
          <w:lang w:eastAsia="es-CO"/>
        </w:rPr>
      </w:pPr>
      <w:r w:rsidRPr="0048739B">
        <w:rPr>
          <w:rFonts w:eastAsia="Times New Roman"/>
          <w:sz w:val="28"/>
          <w:szCs w:val="28"/>
          <w:bdr w:val="none" w:sz="0" w:space="0" w:color="auto" w:frame="1"/>
          <w:lang w:eastAsia="es-CO"/>
        </w:rPr>
        <w:t>E</w:t>
      </w:r>
      <w:r w:rsidR="00001CFB" w:rsidRPr="0048739B">
        <w:rPr>
          <w:rFonts w:eastAsia="Times New Roman"/>
          <w:sz w:val="28"/>
          <w:szCs w:val="28"/>
          <w:bdr w:val="none" w:sz="0" w:space="0" w:color="auto" w:frame="1"/>
          <w:lang w:eastAsia="es-CO"/>
        </w:rPr>
        <w:t>l</w:t>
      </w:r>
      <w:r w:rsidR="00A656AE" w:rsidRPr="0048739B">
        <w:rPr>
          <w:rFonts w:eastAsia="Times New Roman"/>
          <w:sz w:val="28"/>
          <w:szCs w:val="28"/>
          <w:bdr w:val="none" w:sz="0" w:space="0" w:color="auto" w:frame="1"/>
          <w:lang w:eastAsia="es-CO"/>
        </w:rPr>
        <w:t xml:space="preserve"> Ministerio de Justicia y del Derecho y el Procurador General de la Nación, </w:t>
      </w:r>
      <w:r w:rsidR="00481353" w:rsidRPr="0048739B">
        <w:rPr>
          <w:rFonts w:eastAsia="Times New Roman"/>
          <w:sz w:val="28"/>
          <w:szCs w:val="28"/>
          <w:bdr w:val="none" w:sz="0" w:space="0" w:color="auto" w:frame="1"/>
          <w:lang w:eastAsia="es-CO"/>
        </w:rPr>
        <w:t xml:space="preserve">consideran que </w:t>
      </w:r>
      <w:r w:rsidR="00226F51" w:rsidRPr="0048739B">
        <w:rPr>
          <w:rFonts w:eastAsia="Times New Roman"/>
          <w:sz w:val="28"/>
          <w:szCs w:val="28"/>
          <w:bdr w:val="none" w:sz="0" w:space="0" w:color="auto" w:frame="1"/>
          <w:lang w:eastAsia="es-CO"/>
        </w:rPr>
        <w:t xml:space="preserve">la interpretación </w:t>
      </w:r>
      <w:r w:rsidR="00001CFB" w:rsidRPr="0048739B">
        <w:rPr>
          <w:rFonts w:eastAsia="Times New Roman"/>
          <w:sz w:val="28"/>
          <w:szCs w:val="28"/>
          <w:bdr w:val="none" w:sz="0" w:space="0" w:color="auto" w:frame="1"/>
          <w:lang w:eastAsia="es-CO"/>
        </w:rPr>
        <w:t>del contenido normativo del artículo 223 del Código de Procedimiento Penal</w:t>
      </w:r>
      <w:r w:rsidR="00467118" w:rsidRPr="0048739B">
        <w:rPr>
          <w:rFonts w:eastAsia="Times New Roman"/>
          <w:sz w:val="28"/>
          <w:szCs w:val="28"/>
          <w:bdr w:val="none" w:sz="0" w:space="0" w:color="auto" w:frame="1"/>
          <w:lang w:eastAsia="es-CO"/>
        </w:rPr>
        <w:t>, en la que se fundan las tres acusaciones de la demanda,</w:t>
      </w:r>
      <w:r w:rsidR="002928AA" w:rsidRPr="0048739B">
        <w:rPr>
          <w:rFonts w:eastAsia="Times New Roman"/>
          <w:sz w:val="28"/>
          <w:szCs w:val="28"/>
          <w:bdr w:val="none" w:sz="0" w:space="0" w:color="auto" w:frame="1"/>
          <w:lang w:eastAsia="es-CO"/>
        </w:rPr>
        <w:t xml:space="preserve"> es inconsistente y errado</w:t>
      </w:r>
      <w:r w:rsidR="00001CFB" w:rsidRPr="0048739B">
        <w:rPr>
          <w:rFonts w:eastAsia="Times New Roman"/>
          <w:sz w:val="28"/>
          <w:szCs w:val="28"/>
          <w:bdr w:val="none" w:sz="0" w:space="0" w:color="auto" w:frame="1"/>
          <w:lang w:eastAsia="es-CO"/>
        </w:rPr>
        <w:t xml:space="preserve">. </w:t>
      </w:r>
      <w:r w:rsidR="00481353" w:rsidRPr="0048739B">
        <w:rPr>
          <w:rFonts w:eastAsia="Times New Roman"/>
          <w:sz w:val="28"/>
          <w:szCs w:val="28"/>
          <w:bdr w:val="none" w:sz="0" w:space="0" w:color="auto" w:frame="1"/>
          <w:lang w:eastAsia="es-CO"/>
        </w:rPr>
        <w:t>Según sus planteamientos,</w:t>
      </w:r>
      <w:r w:rsidR="00A656AE" w:rsidRPr="0048739B">
        <w:rPr>
          <w:rFonts w:eastAsia="Times New Roman"/>
          <w:sz w:val="28"/>
          <w:szCs w:val="28"/>
          <w:bdr w:val="none" w:sz="0" w:space="0" w:color="auto" w:frame="1"/>
          <w:lang w:eastAsia="es-CO"/>
        </w:rPr>
        <w:t xml:space="preserve"> la interpretación efectuada por los accionantes no se desprende de la literalidad del texto de la norma </w:t>
      </w:r>
      <w:r w:rsidR="00A656AE" w:rsidRPr="0048739B">
        <w:rPr>
          <w:rFonts w:eastAsia="Times New Roman"/>
          <w:sz w:val="28"/>
          <w:szCs w:val="28"/>
          <w:bdr w:val="none" w:sz="0" w:space="0" w:color="auto" w:frame="1"/>
          <w:lang w:eastAsia="es-CO"/>
        </w:rPr>
        <w:lastRenderedPageBreak/>
        <w:t xml:space="preserve">cuestionada. </w:t>
      </w:r>
      <w:r w:rsidR="005E06B3" w:rsidRPr="0048739B">
        <w:rPr>
          <w:rFonts w:eastAsia="Times New Roman"/>
          <w:sz w:val="28"/>
          <w:szCs w:val="28"/>
          <w:bdr w:val="none" w:sz="0" w:space="0" w:color="auto" w:frame="1"/>
          <w:lang w:eastAsia="es-CO"/>
        </w:rPr>
        <w:t>Debido a</w:t>
      </w:r>
      <w:r w:rsidR="0054263C" w:rsidRPr="0048739B">
        <w:rPr>
          <w:rFonts w:eastAsia="Times New Roman"/>
          <w:sz w:val="28"/>
          <w:szCs w:val="28"/>
          <w:bdr w:val="none" w:sz="0" w:space="0" w:color="auto" w:frame="1"/>
          <w:lang w:eastAsia="es-CO"/>
        </w:rPr>
        <w:t xml:space="preserve"> ello</w:t>
      </w:r>
      <w:r w:rsidR="002928AA" w:rsidRPr="0048739B">
        <w:rPr>
          <w:rFonts w:eastAsia="Times New Roman"/>
          <w:sz w:val="28"/>
          <w:szCs w:val="28"/>
          <w:bdr w:val="none" w:sz="0" w:space="0" w:color="auto" w:frame="1"/>
          <w:lang w:eastAsia="es-CO"/>
        </w:rPr>
        <w:t>, los dos últimos,</w:t>
      </w:r>
      <w:r w:rsidR="0054263C" w:rsidRPr="0048739B">
        <w:rPr>
          <w:rFonts w:eastAsia="Times New Roman"/>
          <w:sz w:val="28"/>
          <w:szCs w:val="28"/>
          <w:bdr w:val="none" w:sz="0" w:space="0" w:color="auto" w:frame="1"/>
          <w:lang w:eastAsia="es-CO"/>
        </w:rPr>
        <w:t xml:space="preserve"> </w:t>
      </w:r>
      <w:r w:rsidR="00001CFB" w:rsidRPr="0048739B">
        <w:rPr>
          <w:rFonts w:eastAsia="Times New Roman"/>
          <w:sz w:val="28"/>
          <w:szCs w:val="28"/>
          <w:bdr w:val="none" w:sz="0" w:space="0" w:color="auto" w:frame="1"/>
          <w:lang w:eastAsia="es-CO"/>
        </w:rPr>
        <w:t xml:space="preserve">le </w:t>
      </w:r>
      <w:r w:rsidR="00481353" w:rsidRPr="0048739B">
        <w:rPr>
          <w:rFonts w:eastAsia="Times New Roman"/>
          <w:sz w:val="28"/>
          <w:szCs w:val="28"/>
          <w:bdr w:val="none" w:sz="0" w:space="0" w:color="auto" w:frame="1"/>
          <w:lang w:eastAsia="es-CO"/>
        </w:rPr>
        <w:t>plantearon</w:t>
      </w:r>
      <w:r w:rsidR="0054263C" w:rsidRPr="0048739B">
        <w:rPr>
          <w:rFonts w:eastAsia="Times New Roman"/>
          <w:sz w:val="28"/>
          <w:szCs w:val="28"/>
          <w:bdr w:val="none" w:sz="0" w:space="0" w:color="auto" w:frame="1"/>
          <w:lang w:eastAsia="es-CO"/>
        </w:rPr>
        <w:t xml:space="preserve"> a la Corte </w:t>
      </w:r>
      <w:r w:rsidR="00481353" w:rsidRPr="0048739B">
        <w:rPr>
          <w:rFonts w:eastAsia="Times New Roman"/>
          <w:sz w:val="28"/>
          <w:szCs w:val="28"/>
          <w:bdr w:val="none" w:sz="0" w:space="0" w:color="auto" w:frame="1"/>
          <w:lang w:eastAsia="es-CO"/>
        </w:rPr>
        <w:t xml:space="preserve">la necesidad de </w:t>
      </w:r>
      <w:r w:rsidR="0054263C" w:rsidRPr="0048739B">
        <w:rPr>
          <w:rFonts w:eastAsia="Times New Roman"/>
          <w:sz w:val="28"/>
          <w:szCs w:val="28"/>
          <w:bdr w:val="none" w:sz="0" w:space="0" w:color="auto" w:frame="1"/>
          <w:lang w:eastAsia="es-CO"/>
        </w:rPr>
        <w:t>declararse inhibida</w:t>
      </w:r>
      <w:r w:rsidR="00001CFB" w:rsidRPr="0048739B">
        <w:rPr>
          <w:rFonts w:eastAsia="Times New Roman"/>
          <w:sz w:val="28"/>
          <w:szCs w:val="28"/>
          <w:bdr w:val="none" w:sz="0" w:space="0" w:color="auto" w:frame="1"/>
          <w:lang w:eastAsia="es-CO"/>
        </w:rPr>
        <w:t xml:space="preserve"> para emitir cualquier pronunciamiento al respecto</w:t>
      </w:r>
      <w:r w:rsidR="0054263C" w:rsidRPr="0048739B">
        <w:rPr>
          <w:rFonts w:eastAsia="Times New Roman"/>
          <w:sz w:val="28"/>
          <w:szCs w:val="28"/>
          <w:bdr w:val="none" w:sz="0" w:space="0" w:color="auto" w:frame="1"/>
          <w:lang w:eastAsia="es-CO"/>
        </w:rPr>
        <w:t xml:space="preserve">. </w:t>
      </w:r>
    </w:p>
    <w:p w14:paraId="4B76A3C1" w14:textId="77777777" w:rsidR="00A656AE" w:rsidRPr="0048739B" w:rsidRDefault="00A656AE" w:rsidP="0048739B">
      <w:pPr>
        <w:pStyle w:val="Prrafodelista"/>
        <w:shd w:val="clear" w:color="auto" w:fill="FFFFFF"/>
        <w:autoSpaceDE w:val="0"/>
        <w:autoSpaceDN w:val="0"/>
        <w:spacing w:after="0" w:line="240" w:lineRule="auto"/>
        <w:ind w:left="0"/>
        <w:jc w:val="both"/>
        <w:textAlignment w:val="baseline"/>
        <w:rPr>
          <w:rFonts w:eastAsia="Times New Roman"/>
          <w:sz w:val="28"/>
          <w:szCs w:val="28"/>
          <w:bdr w:val="none" w:sz="0" w:space="0" w:color="auto" w:frame="1"/>
          <w:lang w:eastAsia="es-CO"/>
        </w:rPr>
      </w:pPr>
    </w:p>
    <w:p w14:paraId="2174F756" w14:textId="2C961348" w:rsidR="00A656AE" w:rsidRPr="0048739B" w:rsidRDefault="00A656AE" w:rsidP="0048739B">
      <w:pPr>
        <w:shd w:val="clear" w:color="auto" w:fill="FFFFFF"/>
        <w:autoSpaceDE w:val="0"/>
        <w:autoSpaceDN w:val="0"/>
        <w:spacing w:after="0" w:line="240" w:lineRule="auto"/>
        <w:jc w:val="both"/>
        <w:textAlignment w:val="baseline"/>
        <w:rPr>
          <w:rFonts w:eastAsia="Times New Roman"/>
          <w:sz w:val="28"/>
          <w:szCs w:val="28"/>
          <w:bdr w:val="none" w:sz="0" w:space="0" w:color="auto" w:frame="1"/>
          <w:lang w:eastAsia="es-CO"/>
        </w:rPr>
      </w:pPr>
      <w:r w:rsidRPr="0048739B">
        <w:rPr>
          <w:rFonts w:eastAsia="Times New Roman"/>
          <w:sz w:val="28"/>
          <w:szCs w:val="28"/>
          <w:bdr w:val="none" w:sz="0" w:space="0" w:color="auto" w:frame="1"/>
          <w:lang w:eastAsia="es-CO"/>
        </w:rPr>
        <w:t xml:space="preserve">Para el </w:t>
      </w:r>
      <w:r w:rsidR="00557BC3" w:rsidRPr="0048739B">
        <w:rPr>
          <w:rFonts w:eastAsia="Times New Roman"/>
          <w:sz w:val="28"/>
          <w:szCs w:val="28"/>
          <w:bdr w:val="none" w:sz="0" w:space="0" w:color="auto" w:frame="1"/>
          <w:lang w:eastAsia="es-CO"/>
        </w:rPr>
        <w:t>primero</w:t>
      </w:r>
      <w:r w:rsidRPr="0048739B">
        <w:rPr>
          <w:rFonts w:eastAsia="Times New Roman"/>
          <w:sz w:val="28"/>
          <w:szCs w:val="28"/>
          <w:bdr w:val="none" w:sz="0" w:space="0" w:color="auto" w:frame="1"/>
          <w:lang w:eastAsia="es-CO"/>
        </w:rPr>
        <w:t xml:space="preserve">, la demanda se sustenta en una interpretación que no se deriva de la redacción de la disposición. El parágrafo (en el que se encuentra el aparte demandado), tiene el objetivo de señalar aquellos eventos en los cuales desaparece </w:t>
      </w:r>
      <w:r w:rsidR="004259D6" w:rsidRPr="0048739B">
        <w:rPr>
          <w:rFonts w:eastAsia="Times New Roman"/>
          <w:sz w:val="28"/>
          <w:szCs w:val="28"/>
          <w:bdr w:val="none" w:sz="0" w:space="0" w:color="auto" w:frame="1"/>
          <w:lang w:eastAsia="es-CO"/>
        </w:rPr>
        <w:t>la garantía</w:t>
      </w:r>
      <w:r w:rsidRPr="0048739B">
        <w:rPr>
          <w:rFonts w:eastAsia="Times New Roman"/>
          <w:sz w:val="28"/>
          <w:szCs w:val="28"/>
          <w:bdr w:val="none" w:sz="0" w:space="0" w:color="auto" w:frame="1"/>
          <w:lang w:eastAsia="es-CO"/>
        </w:rPr>
        <w:t xml:space="preserve"> de restricción al registro de las comunicaciones. Ello ocurre </w:t>
      </w:r>
      <w:r w:rsidR="00341B2C" w:rsidRPr="0048739B">
        <w:rPr>
          <w:rFonts w:eastAsia="Times New Roman"/>
          <w:sz w:val="28"/>
          <w:szCs w:val="28"/>
          <w:bdr w:val="none" w:sz="0" w:space="0" w:color="auto" w:frame="1"/>
          <w:lang w:eastAsia="es-CO"/>
        </w:rPr>
        <w:t>cuando</w:t>
      </w:r>
      <w:r w:rsidRPr="0048739B">
        <w:rPr>
          <w:rFonts w:eastAsia="Times New Roman"/>
          <w:sz w:val="28"/>
          <w:szCs w:val="28"/>
          <w:bdr w:val="none" w:sz="0" w:space="0" w:color="auto" w:frame="1"/>
          <w:lang w:eastAsia="es-CO"/>
        </w:rPr>
        <w:t xml:space="preserve"> el indiciado, imputado o acusado renuncia a él; </w:t>
      </w:r>
      <w:r w:rsidR="00341B2C" w:rsidRPr="0048739B">
        <w:rPr>
          <w:rFonts w:eastAsia="Times New Roman"/>
          <w:sz w:val="28"/>
          <w:szCs w:val="28"/>
          <w:bdr w:val="none" w:sz="0" w:space="0" w:color="auto" w:frame="1"/>
          <w:lang w:eastAsia="es-CO"/>
        </w:rPr>
        <w:t>o, en segundo lugar</w:t>
      </w:r>
      <w:r w:rsidRPr="0048739B">
        <w:rPr>
          <w:rFonts w:eastAsia="Times New Roman"/>
          <w:sz w:val="28"/>
          <w:szCs w:val="28"/>
          <w:bdr w:val="none" w:sz="0" w:space="0" w:color="auto" w:frame="1"/>
          <w:lang w:eastAsia="es-CO"/>
        </w:rPr>
        <w:t xml:space="preserve">, cuando dicha comunicación </w:t>
      </w:r>
      <w:r w:rsidRPr="0048739B">
        <w:rPr>
          <w:rFonts w:eastAsia="Times New Roman"/>
          <w:i/>
          <w:iCs/>
          <w:sz w:val="28"/>
          <w:szCs w:val="28"/>
          <w:bdr w:val="none" w:sz="0" w:space="0" w:color="auto" w:frame="1"/>
          <w:lang w:eastAsia="es-CO"/>
        </w:rPr>
        <w:t>“fue sostenida con el auxiliador, partícipe o coautor del punible investigado o de otro que se encuentre en curso, esto es, dadas las mencionadas calidades de las (sic) persona con la que el indiciado, imputado o acusado se comunicó y, por último, ante situaciones que obstruyan la justicia”</w:t>
      </w:r>
      <w:r w:rsidRPr="0048739B">
        <w:rPr>
          <w:rStyle w:val="Refdenotaalpie"/>
          <w:rFonts w:eastAsia="Times New Roman"/>
          <w:sz w:val="28"/>
          <w:szCs w:val="28"/>
          <w:bdr w:val="none" w:sz="0" w:space="0" w:color="auto" w:frame="1"/>
          <w:lang w:eastAsia="es-CO"/>
        </w:rPr>
        <w:footnoteReference w:id="31"/>
      </w:r>
      <w:r w:rsidRPr="0048739B">
        <w:rPr>
          <w:rFonts w:eastAsia="Times New Roman"/>
          <w:sz w:val="28"/>
          <w:szCs w:val="28"/>
          <w:bdr w:val="none" w:sz="0" w:space="0" w:color="auto" w:frame="1"/>
          <w:lang w:eastAsia="es-CO"/>
        </w:rPr>
        <w:t xml:space="preserve">. </w:t>
      </w:r>
      <w:r w:rsidR="00AA3464" w:rsidRPr="0048739B">
        <w:rPr>
          <w:rFonts w:eastAsia="Times New Roman"/>
          <w:sz w:val="28"/>
          <w:szCs w:val="28"/>
          <w:bdr w:val="none" w:sz="0" w:space="0" w:color="auto" w:frame="1"/>
          <w:lang w:eastAsia="es-CO"/>
        </w:rPr>
        <w:t>E</w:t>
      </w:r>
      <w:r w:rsidRPr="0048739B">
        <w:rPr>
          <w:rFonts w:eastAsia="Times New Roman"/>
          <w:sz w:val="28"/>
          <w:szCs w:val="28"/>
          <w:bdr w:val="none" w:sz="0" w:space="0" w:color="auto" w:frame="1"/>
          <w:lang w:eastAsia="es-CO"/>
        </w:rPr>
        <w:t xml:space="preserve">l Legislador no estableció que </w:t>
      </w:r>
      <w:r w:rsidRPr="0048739B">
        <w:rPr>
          <w:rFonts w:eastAsia="Times New Roman"/>
          <w:i/>
          <w:iCs/>
          <w:sz w:val="28"/>
          <w:szCs w:val="28"/>
          <w:bdr w:val="none" w:sz="0" w:space="0" w:color="auto" w:frame="1"/>
          <w:lang w:eastAsia="es-CO"/>
        </w:rPr>
        <w:t>“si solo existe un autor del punible, únicamente él tiene la garantía de prohibición del registro, pero si se trata de coautores, auxiliares o partícipes procesados, carecen de ella”</w:t>
      </w:r>
      <w:r w:rsidRPr="0048739B">
        <w:rPr>
          <w:rStyle w:val="Refdenotaalpie"/>
          <w:rFonts w:eastAsia="Times New Roman"/>
          <w:i/>
          <w:iCs/>
          <w:sz w:val="28"/>
          <w:szCs w:val="28"/>
          <w:bdr w:val="none" w:sz="0" w:space="0" w:color="auto" w:frame="1"/>
          <w:lang w:eastAsia="es-CO"/>
        </w:rPr>
        <w:footnoteReference w:id="32"/>
      </w:r>
      <w:r w:rsidRPr="0048739B">
        <w:rPr>
          <w:rFonts w:eastAsia="Times New Roman"/>
          <w:sz w:val="28"/>
          <w:szCs w:val="28"/>
          <w:bdr w:val="none" w:sz="0" w:space="0" w:color="auto" w:frame="1"/>
          <w:lang w:eastAsia="es-CO"/>
        </w:rPr>
        <w:t xml:space="preserve">, como lo asumen equivocadamente los demandantes. </w:t>
      </w:r>
      <w:r w:rsidR="00AA3464" w:rsidRPr="0048739B">
        <w:rPr>
          <w:rFonts w:eastAsia="Times New Roman"/>
          <w:sz w:val="28"/>
          <w:szCs w:val="28"/>
          <w:bdr w:val="none" w:sz="0" w:space="0" w:color="auto" w:frame="1"/>
          <w:lang w:eastAsia="es-CO"/>
        </w:rPr>
        <w:t>Según ese</w:t>
      </w:r>
      <w:r w:rsidRPr="0048739B">
        <w:rPr>
          <w:rFonts w:eastAsia="Times New Roman"/>
          <w:sz w:val="28"/>
          <w:szCs w:val="28"/>
          <w:bdr w:val="none" w:sz="0" w:space="0" w:color="auto" w:frame="1"/>
          <w:lang w:eastAsia="es-CO"/>
        </w:rPr>
        <w:t xml:space="preserve"> Ministerio, esta interpretación no se desprende de una lectura integral de la norma. Así, las razones de la demanda no son ciertas y, como no generan una duda mínima, tampoco son suficientes. Además, los cargos en relación con el principio de igualdad, el debido proceso y el secreto profesional no </w:t>
      </w:r>
      <w:r w:rsidR="006F466C" w:rsidRPr="0048739B">
        <w:rPr>
          <w:rFonts w:eastAsia="Times New Roman"/>
          <w:sz w:val="28"/>
          <w:szCs w:val="28"/>
          <w:bdr w:val="none" w:sz="0" w:space="0" w:color="auto" w:frame="1"/>
          <w:lang w:eastAsia="es-CO"/>
        </w:rPr>
        <w:t>se sustentan de manera eficiente</w:t>
      </w:r>
      <w:r w:rsidRPr="0048739B">
        <w:rPr>
          <w:rFonts w:eastAsia="Times New Roman"/>
          <w:sz w:val="28"/>
          <w:szCs w:val="28"/>
          <w:bdr w:val="none" w:sz="0" w:space="0" w:color="auto" w:frame="1"/>
          <w:lang w:eastAsia="es-CO"/>
        </w:rPr>
        <w:t>.</w:t>
      </w:r>
      <w:r w:rsidR="008168D4" w:rsidRPr="0048739B">
        <w:rPr>
          <w:rFonts w:eastAsia="Times New Roman"/>
          <w:sz w:val="28"/>
          <w:szCs w:val="28"/>
          <w:bdr w:val="none" w:sz="0" w:space="0" w:color="auto" w:frame="1"/>
          <w:lang w:eastAsia="es-CO"/>
        </w:rPr>
        <w:t xml:space="preserve"> </w:t>
      </w:r>
    </w:p>
    <w:p w14:paraId="1F415804" w14:textId="77777777" w:rsidR="00A656AE" w:rsidRPr="0048739B" w:rsidRDefault="00A656AE" w:rsidP="0048739B">
      <w:pPr>
        <w:shd w:val="clear" w:color="auto" w:fill="FFFFFF"/>
        <w:autoSpaceDE w:val="0"/>
        <w:autoSpaceDN w:val="0"/>
        <w:spacing w:after="0" w:line="240" w:lineRule="auto"/>
        <w:jc w:val="both"/>
        <w:textAlignment w:val="baseline"/>
        <w:rPr>
          <w:rFonts w:eastAsia="Times New Roman"/>
          <w:sz w:val="28"/>
          <w:szCs w:val="28"/>
          <w:bdr w:val="none" w:sz="0" w:space="0" w:color="auto" w:frame="1"/>
          <w:lang w:eastAsia="es-CO"/>
        </w:rPr>
      </w:pPr>
    </w:p>
    <w:p w14:paraId="28DA46A7" w14:textId="4A049C28" w:rsidR="00A656AE" w:rsidRPr="0048739B" w:rsidRDefault="00557BC3" w:rsidP="0048739B">
      <w:pPr>
        <w:pStyle w:val="Prrafodelista"/>
        <w:shd w:val="clear" w:color="auto" w:fill="FFFFFF"/>
        <w:autoSpaceDE w:val="0"/>
        <w:autoSpaceDN w:val="0"/>
        <w:spacing w:after="0" w:line="240" w:lineRule="auto"/>
        <w:ind w:left="0"/>
        <w:jc w:val="both"/>
        <w:textAlignment w:val="baseline"/>
        <w:rPr>
          <w:rFonts w:eastAsia="Times New Roman"/>
          <w:sz w:val="28"/>
          <w:szCs w:val="28"/>
          <w:bdr w:val="none" w:sz="0" w:space="0" w:color="auto" w:frame="1"/>
          <w:lang w:eastAsia="es-CO"/>
        </w:rPr>
      </w:pPr>
      <w:r w:rsidRPr="0048739B">
        <w:rPr>
          <w:rFonts w:eastAsia="Times New Roman"/>
          <w:sz w:val="28"/>
          <w:szCs w:val="28"/>
          <w:bdr w:val="none" w:sz="0" w:space="0" w:color="auto" w:frame="1"/>
          <w:lang w:eastAsia="es-CO"/>
        </w:rPr>
        <w:t>Para la Vista Fiscal</w:t>
      </w:r>
      <w:r w:rsidR="00A656AE" w:rsidRPr="0048739B">
        <w:rPr>
          <w:rFonts w:eastAsia="Times New Roman"/>
          <w:sz w:val="28"/>
          <w:szCs w:val="28"/>
          <w:bdr w:val="none" w:sz="0" w:space="0" w:color="auto" w:frame="1"/>
          <w:lang w:eastAsia="es-CO"/>
        </w:rPr>
        <w:t xml:space="preserve">, en el mismo sentido, la demanda cuestiona una consecuencia jurídica que no se deriva de la norma demandada y constituye una interpretación subjetiva de ella, que revela una </w:t>
      </w:r>
      <w:r w:rsidR="00A656AE" w:rsidRPr="0048739B">
        <w:rPr>
          <w:rFonts w:eastAsia="Times New Roman"/>
          <w:i/>
          <w:iCs/>
          <w:sz w:val="28"/>
          <w:szCs w:val="28"/>
          <w:bdr w:val="none" w:sz="0" w:space="0" w:color="auto" w:frame="1"/>
          <w:lang w:eastAsia="es-CO"/>
        </w:rPr>
        <w:t>“inadecuada comprensión del enunciado normativo”</w:t>
      </w:r>
      <w:r w:rsidR="00A656AE" w:rsidRPr="0048739B">
        <w:rPr>
          <w:rStyle w:val="Refdenotaalpie"/>
          <w:rFonts w:eastAsia="Times New Roman"/>
          <w:sz w:val="28"/>
          <w:szCs w:val="28"/>
          <w:bdr w:val="none" w:sz="0" w:space="0" w:color="auto" w:frame="1"/>
          <w:lang w:eastAsia="es-CO"/>
        </w:rPr>
        <w:footnoteReference w:id="33"/>
      </w:r>
      <w:r w:rsidR="00A656AE" w:rsidRPr="0048739B">
        <w:rPr>
          <w:rFonts w:eastAsia="Times New Roman"/>
          <w:sz w:val="28"/>
          <w:szCs w:val="28"/>
          <w:bdr w:val="none" w:sz="0" w:space="0" w:color="auto" w:frame="1"/>
          <w:lang w:eastAsia="es-CO"/>
        </w:rPr>
        <w:t>.</w:t>
      </w:r>
      <w:r w:rsidR="008168D4" w:rsidRPr="0048739B">
        <w:rPr>
          <w:rFonts w:eastAsia="Times New Roman"/>
          <w:sz w:val="28"/>
          <w:szCs w:val="28"/>
          <w:bdr w:val="none" w:sz="0" w:space="0" w:color="auto" w:frame="1"/>
          <w:lang w:eastAsia="es-CO"/>
        </w:rPr>
        <w:t xml:space="preserve"> </w:t>
      </w:r>
      <w:r w:rsidR="00A656AE" w:rsidRPr="0048739B">
        <w:rPr>
          <w:rFonts w:eastAsia="Times New Roman"/>
          <w:sz w:val="28"/>
          <w:szCs w:val="28"/>
          <w:bdr w:val="none" w:sz="0" w:space="0" w:color="auto" w:frame="1"/>
          <w:lang w:eastAsia="es-CO"/>
        </w:rPr>
        <w:t xml:space="preserve">En esa medida, </w:t>
      </w:r>
      <w:r w:rsidRPr="0048739B">
        <w:rPr>
          <w:rFonts w:eastAsia="Times New Roman"/>
          <w:sz w:val="28"/>
          <w:szCs w:val="28"/>
          <w:bdr w:val="none" w:sz="0" w:space="0" w:color="auto" w:frame="1"/>
          <w:lang w:eastAsia="es-CO"/>
        </w:rPr>
        <w:t xml:space="preserve">el Procurador </w:t>
      </w:r>
      <w:r w:rsidR="00A656AE" w:rsidRPr="0048739B">
        <w:rPr>
          <w:rFonts w:eastAsia="Times New Roman"/>
          <w:sz w:val="28"/>
          <w:szCs w:val="28"/>
          <w:bdr w:val="none" w:sz="0" w:space="0" w:color="auto" w:frame="1"/>
          <w:lang w:eastAsia="es-CO"/>
        </w:rPr>
        <w:t>aseguró que la demanda y las opiniones que contiene no tiene</w:t>
      </w:r>
      <w:r w:rsidR="00226F51" w:rsidRPr="0048739B">
        <w:rPr>
          <w:rFonts w:eastAsia="Times New Roman"/>
          <w:sz w:val="28"/>
          <w:szCs w:val="28"/>
          <w:bdr w:val="none" w:sz="0" w:space="0" w:color="auto" w:frame="1"/>
          <w:lang w:eastAsia="es-CO"/>
        </w:rPr>
        <w:t>n</w:t>
      </w:r>
      <w:r w:rsidR="00A656AE" w:rsidRPr="0048739B">
        <w:rPr>
          <w:rFonts w:eastAsia="Times New Roman"/>
          <w:sz w:val="28"/>
          <w:szCs w:val="28"/>
          <w:bdr w:val="none" w:sz="0" w:space="0" w:color="auto" w:frame="1"/>
          <w:lang w:eastAsia="es-CO"/>
        </w:rPr>
        <w:t xml:space="preserve"> ninguna relación con la norma.</w:t>
      </w:r>
      <w:r w:rsidR="008168D4" w:rsidRPr="0048739B">
        <w:rPr>
          <w:rFonts w:eastAsia="Times New Roman"/>
          <w:sz w:val="28"/>
          <w:szCs w:val="28"/>
          <w:bdr w:val="none" w:sz="0" w:space="0" w:color="auto" w:frame="1"/>
          <w:lang w:eastAsia="es-CO"/>
        </w:rPr>
        <w:t xml:space="preserve"> </w:t>
      </w:r>
    </w:p>
    <w:p w14:paraId="44538DB8" w14:textId="53D64D65" w:rsidR="00674859" w:rsidRPr="0048739B" w:rsidRDefault="00674859" w:rsidP="0048739B">
      <w:pPr>
        <w:pStyle w:val="Prrafodelista"/>
        <w:autoSpaceDE w:val="0"/>
        <w:autoSpaceDN w:val="0"/>
        <w:spacing w:after="0" w:line="240" w:lineRule="auto"/>
        <w:ind w:left="0"/>
        <w:jc w:val="both"/>
        <w:rPr>
          <w:rFonts w:eastAsia="Arial Unicode MS"/>
          <w:sz w:val="28"/>
          <w:szCs w:val="28"/>
          <w:u w:color="000000"/>
          <w:lang w:val="es-ES_tradnl" w:eastAsia="es-ES"/>
        </w:rPr>
      </w:pPr>
    </w:p>
    <w:p w14:paraId="4B8A0BB5" w14:textId="160FBA79" w:rsidR="00EB75A2" w:rsidRPr="0048739B" w:rsidRDefault="00DE4A8D" w:rsidP="0048739B">
      <w:pPr>
        <w:pStyle w:val="Prrafodelista"/>
        <w:numPr>
          <w:ilvl w:val="0"/>
          <w:numId w:val="1"/>
        </w:num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 xml:space="preserve">Otros intervinientes concuerdan </w:t>
      </w:r>
      <w:r w:rsidR="00262928" w:rsidRPr="0048739B">
        <w:rPr>
          <w:rFonts w:eastAsia="Arial Unicode MS"/>
          <w:sz w:val="28"/>
          <w:szCs w:val="28"/>
          <w:u w:color="000000"/>
          <w:lang w:val="es-ES_tradnl" w:eastAsia="es-ES"/>
        </w:rPr>
        <w:t xml:space="preserve">en que el </w:t>
      </w:r>
      <w:r w:rsidR="00650E74" w:rsidRPr="0048739B">
        <w:rPr>
          <w:rFonts w:eastAsia="Arial Unicode MS"/>
          <w:sz w:val="28"/>
          <w:szCs w:val="28"/>
          <w:u w:color="000000"/>
          <w:lang w:val="es-ES_tradnl" w:eastAsia="es-ES"/>
        </w:rPr>
        <w:t>alcance</w:t>
      </w:r>
      <w:r w:rsidR="00262928" w:rsidRPr="0048739B">
        <w:rPr>
          <w:rFonts w:eastAsia="Arial Unicode MS"/>
          <w:sz w:val="28"/>
          <w:szCs w:val="28"/>
          <w:u w:color="000000"/>
          <w:lang w:val="es-ES_tradnl" w:eastAsia="es-ES"/>
        </w:rPr>
        <w:t xml:space="preserve"> de la disposición </w:t>
      </w:r>
      <w:r w:rsidR="00650E74" w:rsidRPr="0048739B">
        <w:rPr>
          <w:rFonts w:eastAsia="Arial Unicode MS"/>
          <w:sz w:val="28"/>
          <w:szCs w:val="28"/>
          <w:u w:color="000000"/>
          <w:lang w:val="es-ES_tradnl" w:eastAsia="es-ES"/>
        </w:rPr>
        <w:t xml:space="preserve">demandada </w:t>
      </w:r>
      <w:r w:rsidR="00262928" w:rsidRPr="0048739B">
        <w:rPr>
          <w:rFonts w:eastAsia="Arial Unicode MS"/>
          <w:sz w:val="28"/>
          <w:szCs w:val="28"/>
          <w:u w:color="000000"/>
          <w:lang w:val="es-ES_tradnl" w:eastAsia="es-ES"/>
        </w:rPr>
        <w:t>no es el que le otorg</w:t>
      </w:r>
      <w:r w:rsidR="00650E74" w:rsidRPr="0048739B">
        <w:rPr>
          <w:rFonts w:eastAsia="Arial Unicode MS"/>
          <w:sz w:val="28"/>
          <w:szCs w:val="28"/>
          <w:u w:color="000000"/>
          <w:lang w:val="es-ES_tradnl" w:eastAsia="es-ES"/>
        </w:rPr>
        <w:t>aron los demandantes</w:t>
      </w:r>
      <w:r w:rsidR="00415C8C" w:rsidRPr="0048739B">
        <w:rPr>
          <w:rFonts w:eastAsia="Arial Unicode MS"/>
          <w:sz w:val="28"/>
          <w:szCs w:val="28"/>
          <w:u w:color="000000"/>
          <w:lang w:val="es-ES_tradnl" w:eastAsia="es-ES"/>
        </w:rPr>
        <w:t xml:space="preserve">. </w:t>
      </w:r>
    </w:p>
    <w:p w14:paraId="534CD309" w14:textId="77777777" w:rsidR="00EB75A2" w:rsidRPr="0048739B" w:rsidRDefault="00EB75A2" w:rsidP="0048739B">
      <w:pPr>
        <w:pStyle w:val="Prrafodelista"/>
        <w:autoSpaceDE w:val="0"/>
        <w:autoSpaceDN w:val="0"/>
        <w:spacing w:after="0" w:line="240" w:lineRule="auto"/>
        <w:ind w:left="0"/>
        <w:jc w:val="both"/>
        <w:rPr>
          <w:rFonts w:eastAsia="Arial Unicode MS"/>
          <w:sz w:val="28"/>
          <w:szCs w:val="28"/>
          <w:u w:color="000000"/>
          <w:lang w:val="es-ES_tradnl" w:eastAsia="es-ES"/>
        </w:rPr>
      </w:pPr>
    </w:p>
    <w:p w14:paraId="5BCFFAE4" w14:textId="0C828B97" w:rsidR="00415C8C" w:rsidRPr="0048739B" w:rsidRDefault="00650E74" w:rsidP="0048739B">
      <w:pPr>
        <w:pStyle w:val="Prrafodelista"/>
        <w:autoSpaceDE w:val="0"/>
        <w:autoSpaceDN w:val="0"/>
        <w:spacing w:after="0" w:line="240" w:lineRule="auto"/>
        <w:ind w:left="0"/>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 xml:space="preserve">Coinciden en este aspecto (i) </w:t>
      </w:r>
      <w:r w:rsidR="00F00FB4" w:rsidRPr="0048739B">
        <w:rPr>
          <w:rFonts w:eastAsia="Arial Unicode MS"/>
          <w:sz w:val="28"/>
          <w:szCs w:val="28"/>
          <w:u w:color="000000"/>
          <w:lang w:val="es-ES_tradnl" w:eastAsia="es-ES"/>
        </w:rPr>
        <w:t xml:space="preserve">la Corte Suprema de Justicia, </w:t>
      </w:r>
      <w:r w:rsidRPr="0048739B">
        <w:rPr>
          <w:rFonts w:eastAsia="Arial Unicode MS"/>
          <w:sz w:val="28"/>
          <w:szCs w:val="28"/>
          <w:u w:color="000000"/>
          <w:lang w:val="es-ES_tradnl" w:eastAsia="es-ES"/>
        </w:rPr>
        <w:t>según</w:t>
      </w:r>
      <w:r w:rsidR="00F00FB4" w:rsidRPr="0048739B">
        <w:rPr>
          <w:rFonts w:eastAsia="Arial Unicode MS"/>
          <w:sz w:val="28"/>
          <w:szCs w:val="28"/>
          <w:u w:color="000000"/>
          <w:lang w:val="es-ES_tradnl" w:eastAsia="es-ES"/>
        </w:rPr>
        <w:t xml:space="preserve"> la cual el parágrafo prevé que </w:t>
      </w:r>
      <w:r w:rsidR="004259D6" w:rsidRPr="0048739B">
        <w:rPr>
          <w:rFonts w:eastAsia="Arial Unicode MS"/>
          <w:sz w:val="28"/>
          <w:szCs w:val="28"/>
          <w:u w:color="000000"/>
          <w:lang w:val="es-ES_tradnl" w:eastAsia="es-ES"/>
        </w:rPr>
        <w:t xml:space="preserve">la garantía </w:t>
      </w:r>
      <w:r w:rsidR="00F00FB4" w:rsidRPr="0048739B">
        <w:rPr>
          <w:rFonts w:eastAsia="Arial Unicode MS"/>
          <w:sz w:val="28"/>
          <w:szCs w:val="28"/>
          <w:u w:color="000000"/>
          <w:lang w:val="es-ES_tradnl" w:eastAsia="es-ES"/>
        </w:rPr>
        <w:t>de</w:t>
      </w:r>
      <w:r w:rsidR="004259D6" w:rsidRPr="0048739B">
        <w:rPr>
          <w:rFonts w:eastAsia="Arial Unicode MS"/>
          <w:sz w:val="28"/>
          <w:szCs w:val="28"/>
          <w:u w:color="000000"/>
          <w:lang w:val="es-ES_tradnl" w:eastAsia="es-ES"/>
        </w:rPr>
        <w:t xml:space="preserve"> la</w:t>
      </w:r>
      <w:r w:rsidR="00F00FB4" w:rsidRPr="0048739B">
        <w:rPr>
          <w:rFonts w:eastAsia="Arial Unicode MS"/>
          <w:sz w:val="28"/>
          <w:szCs w:val="28"/>
          <w:u w:color="000000"/>
          <w:lang w:val="es-ES_tradnl" w:eastAsia="es-ES"/>
        </w:rPr>
        <w:t xml:space="preserve"> restricción al registro desaparece para quien ostent</w:t>
      </w:r>
      <w:r w:rsidR="00DE4A8D" w:rsidRPr="0048739B">
        <w:rPr>
          <w:rFonts w:eastAsia="Arial Unicode MS"/>
          <w:sz w:val="28"/>
          <w:szCs w:val="28"/>
          <w:u w:color="000000"/>
          <w:lang w:val="es-ES_tradnl" w:eastAsia="es-ES"/>
        </w:rPr>
        <w:t>e</w:t>
      </w:r>
      <w:r w:rsidR="00F00FB4" w:rsidRPr="0048739B">
        <w:rPr>
          <w:rFonts w:eastAsia="Arial Unicode MS"/>
          <w:sz w:val="28"/>
          <w:szCs w:val="28"/>
          <w:u w:color="000000"/>
          <w:lang w:val="es-ES_tradnl" w:eastAsia="es-ES"/>
        </w:rPr>
        <w:t xml:space="preserve"> la doble condición de defensor o familiar del procesado y la de auxiliador, partícipe o coautor del delito investigado o de uno conexo</w:t>
      </w:r>
      <w:r w:rsidR="006552AD" w:rsidRPr="0048739B">
        <w:rPr>
          <w:rFonts w:eastAsia="Arial Unicode MS"/>
          <w:sz w:val="28"/>
          <w:szCs w:val="28"/>
          <w:u w:color="000000"/>
          <w:lang w:val="es-ES_tradnl" w:eastAsia="es-ES"/>
        </w:rPr>
        <w:t>, de modo que la demanda se estructuró a partir de un entendimiento inadecuado de la norma</w:t>
      </w:r>
      <w:r w:rsidR="00F00FB4" w:rsidRPr="0048739B">
        <w:rPr>
          <w:rFonts w:eastAsia="Arial Unicode MS"/>
          <w:sz w:val="28"/>
          <w:szCs w:val="28"/>
          <w:u w:color="000000"/>
          <w:lang w:val="es-ES_tradnl" w:eastAsia="es-ES"/>
        </w:rPr>
        <w:t xml:space="preserve">; </w:t>
      </w:r>
      <w:r w:rsidR="00E96506" w:rsidRPr="0048739B">
        <w:rPr>
          <w:rFonts w:eastAsia="Arial Unicode MS"/>
          <w:sz w:val="28"/>
          <w:szCs w:val="28"/>
          <w:u w:color="000000"/>
          <w:lang w:val="es-ES_tradnl" w:eastAsia="es-ES"/>
        </w:rPr>
        <w:t xml:space="preserve">y </w:t>
      </w:r>
      <w:r w:rsidR="00EC652A" w:rsidRPr="0048739B">
        <w:rPr>
          <w:rFonts w:eastAsia="Arial Unicode MS"/>
          <w:sz w:val="28"/>
          <w:szCs w:val="28"/>
          <w:u w:color="000000"/>
          <w:lang w:val="es-ES_tradnl" w:eastAsia="es-ES"/>
        </w:rPr>
        <w:t xml:space="preserve">(ii) </w:t>
      </w:r>
      <w:r w:rsidR="00F00FB4" w:rsidRPr="0048739B">
        <w:rPr>
          <w:rFonts w:eastAsia="Arial Unicode MS"/>
          <w:sz w:val="28"/>
          <w:szCs w:val="28"/>
          <w:u w:color="000000"/>
          <w:lang w:val="es-ES_tradnl" w:eastAsia="es-ES"/>
        </w:rPr>
        <w:t>la Fiscalía General de la Nación, para la cual</w:t>
      </w:r>
      <w:r w:rsidR="00DE4A8D" w:rsidRPr="0048739B">
        <w:rPr>
          <w:rFonts w:eastAsia="Arial Unicode MS"/>
          <w:sz w:val="28"/>
          <w:szCs w:val="28"/>
          <w:u w:color="000000"/>
          <w:lang w:val="es-ES_tradnl" w:eastAsia="es-ES"/>
        </w:rPr>
        <w:t xml:space="preserve"> </w:t>
      </w:r>
      <w:r w:rsidR="00F00FB4" w:rsidRPr="0048739B">
        <w:rPr>
          <w:rFonts w:eastAsia="Arial Unicode MS"/>
          <w:sz w:val="28"/>
          <w:szCs w:val="28"/>
          <w:u w:color="000000"/>
          <w:lang w:val="es-ES_tradnl" w:eastAsia="es-ES"/>
        </w:rPr>
        <w:t xml:space="preserve">si bien es posible hacer dos lecturas del artículo, solo </w:t>
      </w:r>
      <w:r w:rsidR="00715ABD" w:rsidRPr="0048739B">
        <w:rPr>
          <w:rFonts w:eastAsia="Arial Unicode MS"/>
          <w:sz w:val="28"/>
          <w:szCs w:val="28"/>
          <w:u w:color="000000"/>
          <w:lang w:val="es-ES_tradnl" w:eastAsia="es-ES"/>
        </w:rPr>
        <w:t>una de ellas se logra a través de</w:t>
      </w:r>
      <w:r w:rsidR="00F00FB4" w:rsidRPr="0048739B">
        <w:rPr>
          <w:rFonts w:eastAsia="Arial Unicode MS"/>
          <w:sz w:val="28"/>
          <w:szCs w:val="28"/>
          <w:u w:color="000000"/>
          <w:lang w:val="es-ES_tradnl" w:eastAsia="es-ES"/>
        </w:rPr>
        <w:t xml:space="preserve"> l</w:t>
      </w:r>
      <w:r w:rsidR="002F5B10" w:rsidRPr="0048739B">
        <w:rPr>
          <w:rFonts w:eastAsia="Arial Unicode MS"/>
          <w:sz w:val="28"/>
          <w:szCs w:val="28"/>
          <w:u w:color="000000"/>
          <w:lang w:val="es-ES_tradnl" w:eastAsia="es-ES"/>
        </w:rPr>
        <w:t xml:space="preserve">a </w:t>
      </w:r>
      <w:r w:rsidR="00AE4FAE" w:rsidRPr="0048739B">
        <w:rPr>
          <w:rFonts w:eastAsia="Arial Unicode MS"/>
          <w:sz w:val="28"/>
          <w:szCs w:val="28"/>
          <w:u w:color="000000"/>
          <w:lang w:val="es-ES_tradnl" w:eastAsia="es-ES"/>
        </w:rPr>
        <w:t>interpretación</w:t>
      </w:r>
      <w:r w:rsidR="00F00FB4" w:rsidRPr="0048739B">
        <w:rPr>
          <w:rFonts w:eastAsia="Arial Unicode MS"/>
          <w:sz w:val="28"/>
          <w:szCs w:val="28"/>
          <w:u w:color="000000"/>
          <w:lang w:val="es-ES_tradnl" w:eastAsia="es-ES"/>
        </w:rPr>
        <w:t xml:space="preserve"> integral del artículo 223</w:t>
      </w:r>
      <w:r w:rsidR="00715ABD" w:rsidRPr="0048739B">
        <w:rPr>
          <w:rFonts w:eastAsia="Arial Unicode MS"/>
          <w:sz w:val="28"/>
          <w:szCs w:val="28"/>
          <w:u w:color="000000"/>
          <w:lang w:val="es-ES_tradnl" w:eastAsia="es-ES"/>
        </w:rPr>
        <w:t xml:space="preserve"> </w:t>
      </w:r>
      <w:r w:rsidR="00EB75A2" w:rsidRPr="0048739B">
        <w:rPr>
          <w:rFonts w:eastAsia="Arial Unicode MS"/>
          <w:sz w:val="28"/>
          <w:szCs w:val="28"/>
          <w:u w:color="000000"/>
          <w:lang w:val="es-ES_tradnl" w:eastAsia="es-ES"/>
        </w:rPr>
        <w:t>y es</w:t>
      </w:r>
      <w:r w:rsidR="00715ABD" w:rsidRPr="0048739B">
        <w:rPr>
          <w:rFonts w:eastAsia="Arial Unicode MS"/>
          <w:sz w:val="28"/>
          <w:szCs w:val="28"/>
          <w:u w:color="000000"/>
          <w:lang w:val="es-ES_tradnl" w:eastAsia="es-ES"/>
        </w:rPr>
        <w:t xml:space="preserve"> aquella según la cual </w:t>
      </w:r>
      <w:r w:rsidR="001478F2" w:rsidRPr="0048739B">
        <w:rPr>
          <w:rFonts w:eastAsia="Arial Unicode MS"/>
          <w:sz w:val="28"/>
          <w:szCs w:val="28"/>
          <w:u w:color="000000"/>
          <w:lang w:val="es-ES_tradnl" w:eastAsia="es-ES"/>
        </w:rPr>
        <w:t>la garantía</w:t>
      </w:r>
      <w:r w:rsidR="00F00FB4" w:rsidRPr="0048739B">
        <w:rPr>
          <w:rFonts w:eastAsia="Arial Unicode MS"/>
          <w:sz w:val="28"/>
          <w:szCs w:val="28"/>
          <w:u w:color="000000"/>
          <w:lang w:val="es-ES_tradnl" w:eastAsia="es-ES"/>
        </w:rPr>
        <w:t xml:space="preserve"> desaparece cuando su titular renuncia a él o cuando los abogados o las personas excluidas del deber de testificar se encuentran vinculados en la comisión de un delito o impiden la actuación de las autoridades de la administración de justicia</w:t>
      </w:r>
      <w:r w:rsidR="00715ABD" w:rsidRPr="0048739B">
        <w:rPr>
          <w:rFonts w:eastAsia="Arial Unicode MS"/>
          <w:sz w:val="28"/>
          <w:szCs w:val="28"/>
          <w:u w:color="000000"/>
          <w:lang w:val="es-ES_tradnl" w:eastAsia="es-ES"/>
        </w:rPr>
        <w:t>.</w:t>
      </w:r>
      <w:r w:rsidR="00C00A8B" w:rsidRPr="0048739B">
        <w:rPr>
          <w:rFonts w:eastAsia="Arial Unicode MS"/>
          <w:sz w:val="28"/>
          <w:szCs w:val="28"/>
          <w:u w:color="000000"/>
          <w:lang w:val="es-ES_tradnl" w:eastAsia="es-ES"/>
        </w:rPr>
        <w:t xml:space="preserve"> Esta última entidad plantea que la conclusión a la que llegó la demanda puede extraerse de la lectura </w:t>
      </w:r>
      <w:r w:rsidR="002218B5" w:rsidRPr="0048739B">
        <w:rPr>
          <w:rFonts w:eastAsia="Arial Unicode MS"/>
          <w:sz w:val="28"/>
          <w:szCs w:val="28"/>
          <w:u w:color="000000"/>
          <w:lang w:val="es-ES_tradnl" w:eastAsia="es-ES"/>
        </w:rPr>
        <w:t xml:space="preserve">sin contexto </w:t>
      </w:r>
      <w:r w:rsidR="00C00A8B" w:rsidRPr="0048739B">
        <w:rPr>
          <w:rFonts w:eastAsia="Arial Unicode MS"/>
          <w:sz w:val="28"/>
          <w:szCs w:val="28"/>
          <w:u w:color="000000"/>
          <w:lang w:val="es-ES_tradnl" w:eastAsia="es-ES"/>
        </w:rPr>
        <w:t>de la norma, p</w:t>
      </w:r>
      <w:r w:rsidR="002218B5" w:rsidRPr="0048739B">
        <w:rPr>
          <w:rFonts w:eastAsia="Arial Unicode MS"/>
          <w:sz w:val="28"/>
          <w:szCs w:val="28"/>
          <w:u w:color="000000"/>
          <w:lang w:val="es-ES_tradnl" w:eastAsia="es-ES"/>
        </w:rPr>
        <w:t>orque claramente se limita a leer su primera parte sin c</w:t>
      </w:r>
      <w:r w:rsidR="00BC456B" w:rsidRPr="0048739B">
        <w:rPr>
          <w:rFonts w:eastAsia="Arial Unicode MS"/>
          <w:sz w:val="28"/>
          <w:szCs w:val="28"/>
          <w:u w:color="000000"/>
          <w:lang w:val="es-ES_tradnl" w:eastAsia="es-ES"/>
        </w:rPr>
        <w:t xml:space="preserve">onsideración del parágrafo. </w:t>
      </w:r>
    </w:p>
    <w:p w14:paraId="24A313F2" w14:textId="274A432E" w:rsidR="00E3025C" w:rsidRPr="0048739B" w:rsidRDefault="00E3025C" w:rsidP="0048739B">
      <w:pPr>
        <w:pStyle w:val="Prrafodelista"/>
        <w:autoSpaceDE w:val="0"/>
        <w:autoSpaceDN w:val="0"/>
        <w:spacing w:after="0" w:line="240" w:lineRule="auto"/>
        <w:ind w:left="0"/>
        <w:jc w:val="both"/>
        <w:rPr>
          <w:rFonts w:eastAsia="Arial Unicode MS"/>
          <w:sz w:val="28"/>
          <w:szCs w:val="28"/>
          <w:u w:color="000000"/>
          <w:lang w:val="es-ES_tradnl" w:eastAsia="es-ES"/>
        </w:rPr>
      </w:pPr>
    </w:p>
    <w:p w14:paraId="67000CDB" w14:textId="796522F4" w:rsidR="006B0AC4" w:rsidRPr="0048739B" w:rsidRDefault="006B0AC4" w:rsidP="0048739B">
      <w:pPr>
        <w:pStyle w:val="Prrafodelista"/>
        <w:numPr>
          <w:ilvl w:val="0"/>
          <w:numId w:val="1"/>
        </w:num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Finalmente</w:t>
      </w:r>
      <w:r w:rsidR="00DE4A8D" w:rsidRPr="0048739B">
        <w:rPr>
          <w:rFonts w:eastAsia="Arial Unicode MS"/>
          <w:sz w:val="28"/>
          <w:szCs w:val="28"/>
          <w:u w:color="000000"/>
          <w:lang w:val="es-ES_tradnl" w:eastAsia="es-ES"/>
        </w:rPr>
        <w:t>,</w:t>
      </w:r>
      <w:r w:rsidRPr="0048739B">
        <w:rPr>
          <w:rFonts w:eastAsia="Arial Unicode MS"/>
          <w:sz w:val="28"/>
          <w:szCs w:val="28"/>
          <w:u w:color="000000"/>
          <w:lang w:val="es-ES_tradnl" w:eastAsia="es-ES"/>
        </w:rPr>
        <w:t xml:space="preserve"> cabe destacar </w:t>
      </w:r>
      <w:r w:rsidR="00DE4A8D" w:rsidRPr="0048739B">
        <w:rPr>
          <w:rFonts w:eastAsia="Arial Unicode MS"/>
          <w:sz w:val="28"/>
          <w:szCs w:val="28"/>
          <w:u w:color="000000"/>
          <w:lang w:val="es-ES_tradnl" w:eastAsia="es-ES"/>
        </w:rPr>
        <w:t>que,</w:t>
      </w:r>
      <w:r w:rsidRPr="0048739B">
        <w:rPr>
          <w:rFonts w:eastAsia="Arial Unicode MS"/>
          <w:sz w:val="28"/>
          <w:szCs w:val="28"/>
          <w:u w:color="000000"/>
          <w:lang w:val="es-ES_tradnl" w:eastAsia="es-ES"/>
        </w:rPr>
        <w:t xml:space="preserve"> si bien </w:t>
      </w:r>
      <w:r w:rsidR="00E96506" w:rsidRPr="0048739B">
        <w:rPr>
          <w:rFonts w:eastAsia="Arial Unicode MS"/>
          <w:sz w:val="28"/>
          <w:szCs w:val="28"/>
          <w:u w:color="000000"/>
          <w:lang w:val="es-ES_tradnl" w:eastAsia="es-ES"/>
        </w:rPr>
        <w:t>dos</w:t>
      </w:r>
      <w:r w:rsidRPr="0048739B">
        <w:rPr>
          <w:rFonts w:eastAsia="Arial Unicode MS"/>
          <w:sz w:val="28"/>
          <w:szCs w:val="28"/>
          <w:u w:color="000000"/>
          <w:lang w:val="es-ES_tradnl" w:eastAsia="es-ES"/>
        </w:rPr>
        <w:t xml:space="preserve"> intervinientes solicitaron la</w:t>
      </w:r>
      <w:r w:rsidR="002218B5" w:rsidRPr="0048739B">
        <w:rPr>
          <w:rFonts w:eastAsia="Arial Unicode MS"/>
          <w:sz w:val="28"/>
          <w:szCs w:val="28"/>
          <w:u w:color="000000"/>
          <w:lang w:val="es-ES_tradnl" w:eastAsia="es-ES"/>
        </w:rPr>
        <w:t xml:space="preserve"> declaratoria de</w:t>
      </w:r>
      <w:r w:rsidRPr="0048739B">
        <w:rPr>
          <w:rFonts w:eastAsia="Arial Unicode MS"/>
          <w:sz w:val="28"/>
          <w:szCs w:val="28"/>
          <w:u w:color="000000"/>
          <w:lang w:val="es-ES_tradnl" w:eastAsia="es-ES"/>
        </w:rPr>
        <w:t xml:space="preserve"> </w:t>
      </w:r>
      <w:proofErr w:type="spellStart"/>
      <w:r w:rsidRPr="0048739B">
        <w:rPr>
          <w:rFonts w:eastAsia="Arial Unicode MS"/>
          <w:sz w:val="28"/>
          <w:szCs w:val="28"/>
          <w:u w:color="000000"/>
          <w:lang w:val="es-ES_tradnl" w:eastAsia="es-ES"/>
        </w:rPr>
        <w:t>exequibilidad</w:t>
      </w:r>
      <w:proofErr w:type="spellEnd"/>
      <w:r w:rsidRPr="0048739B">
        <w:rPr>
          <w:rFonts w:eastAsia="Arial Unicode MS"/>
          <w:sz w:val="28"/>
          <w:szCs w:val="28"/>
          <w:u w:color="000000"/>
          <w:lang w:val="es-ES_tradnl" w:eastAsia="es-ES"/>
        </w:rPr>
        <w:t xml:space="preserve"> condicionada de la norma, lo hicieron a partir de conclusiones que distan de las </w:t>
      </w:r>
      <w:r w:rsidR="002218B5" w:rsidRPr="0048739B">
        <w:rPr>
          <w:rFonts w:eastAsia="Arial Unicode MS"/>
          <w:sz w:val="28"/>
          <w:szCs w:val="28"/>
          <w:u w:color="000000"/>
          <w:lang w:val="es-ES_tradnl" w:eastAsia="es-ES"/>
        </w:rPr>
        <w:t xml:space="preserve">ofrecidas por </w:t>
      </w:r>
      <w:r w:rsidRPr="0048739B">
        <w:rPr>
          <w:rFonts w:eastAsia="Arial Unicode MS"/>
          <w:sz w:val="28"/>
          <w:szCs w:val="28"/>
          <w:u w:color="000000"/>
          <w:lang w:val="es-ES_tradnl" w:eastAsia="es-ES"/>
        </w:rPr>
        <w:t xml:space="preserve">los demandantes. </w:t>
      </w:r>
      <w:r w:rsidR="00755AD7" w:rsidRPr="0048739B">
        <w:rPr>
          <w:rFonts w:eastAsia="Arial Unicode MS"/>
          <w:sz w:val="28"/>
          <w:szCs w:val="28"/>
          <w:u w:color="000000"/>
          <w:lang w:val="es-ES_tradnl" w:eastAsia="es-ES"/>
        </w:rPr>
        <w:t>T</w:t>
      </w:r>
      <w:r w:rsidRPr="0048739B">
        <w:rPr>
          <w:rFonts w:eastAsia="Arial Unicode MS"/>
          <w:sz w:val="28"/>
          <w:szCs w:val="28"/>
          <w:u w:color="000000"/>
          <w:lang w:val="es-ES_tradnl" w:eastAsia="es-ES"/>
        </w:rPr>
        <w:t xml:space="preserve">ienen el propósito de contener la </w:t>
      </w:r>
      <w:r w:rsidR="00755AD7" w:rsidRPr="0048739B">
        <w:rPr>
          <w:rFonts w:eastAsia="Arial Unicode MS"/>
          <w:sz w:val="28"/>
          <w:szCs w:val="28"/>
          <w:u w:color="000000"/>
          <w:lang w:val="es-ES_tradnl" w:eastAsia="es-ES"/>
        </w:rPr>
        <w:t xml:space="preserve">presunta </w:t>
      </w:r>
      <w:r w:rsidRPr="0048739B">
        <w:rPr>
          <w:rFonts w:eastAsia="Arial Unicode MS"/>
          <w:sz w:val="28"/>
          <w:szCs w:val="28"/>
          <w:u w:color="000000"/>
          <w:lang w:val="es-ES_tradnl" w:eastAsia="es-ES"/>
        </w:rPr>
        <w:t xml:space="preserve">amplitud de facultades de la Fiscalía General de la Nación o </w:t>
      </w:r>
      <w:r w:rsidR="00176C15" w:rsidRPr="0048739B">
        <w:rPr>
          <w:rFonts w:eastAsia="Arial Unicode MS"/>
          <w:sz w:val="28"/>
          <w:szCs w:val="28"/>
          <w:u w:color="000000"/>
          <w:lang w:val="es-ES_tradnl" w:eastAsia="es-ES"/>
        </w:rPr>
        <w:t>incluso de incluir a los abogados o familiares que tengan la calidad de autor</w:t>
      </w:r>
      <w:r w:rsidR="00755AD7" w:rsidRPr="0048739B">
        <w:rPr>
          <w:rFonts w:eastAsia="Arial Unicode MS"/>
          <w:sz w:val="28"/>
          <w:szCs w:val="28"/>
          <w:u w:color="000000"/>
          <w:lang w:val="es-ES_tradnl" w:eastAsia="es-ES"/>
        </w:rPr>
        <w:t xml:space="preserve"> en el apartado normativo demandado</w:t>
      </w:r>
      <w:r w:rsidR="00176C15" w:rsidRPr="0048739B">
        <w:rPr>
          <w:rFonts w:eastAsia="Arial Unicode MS"/>
          <w:sz w:val="28"/>
          <w:szCs w:val="28"/>
          <w:u w:color="000000"/>
          <w:lang w:val="es-ES_tradnl" w:eastAsia="es-ES"/>
        </w:rPr>
        <w:t xml:space="preserve">, ambas finalidades </w:t>
      </w:r>
      <w:r w:rsidR="00BC456B" w:rsidRPr="0048739B">
        <w:rPr>
          <w:rFonts w:eastAsia="Arial Unicode MS"/>
          <w:sz w:val="28"/>
          <w:szCs w:val="28"/>
          <w:u w:color="000000"/>
          <w:lang w:val="es-ES_tradnl" w:eastAsia="es-ES"/>
        </w:rPr>
        <w:t xml:space="preserve">alejadas de los planteamientos </w:t>
      </w:r>
      <w:r w:rsidR="00F53B1F" w:rsidRPr="0048739B">
        <w:rPr>
          <w:rFonts w:eastAsia="Arial Unicode MS"/>
          <w:sz w:val="28"/>
          <w:szCs w:val="28"/>
          <w:u w:color="000000"/>
          <w:lang w:val="es-ES_tradnl" w:eastAsia="es-ES"/>
        </w:rPr>
        <w:t>y</w:t>
      </w:r>
      <w:r w:rsidR="00755AD7" w:rsidRPr="0048739B">
        <w:rPr>
          <w:rFonts w:eastAsia="Arial Unicode MS"/>
          <w:sz w:val="28"/>
          <w:szCs w:val="28"/>
          <w:u w:color="000000"/>
          <w:lang w:val="es-ES_tradnl" w:eastAsia="es-ES"/>
        </w:rPr>
        <w:t xml:space="preserve"> la orientación d</w:t>
      </w:r>
      <w:r w:rsidR="003D1085" w:rsidRPr="0048739B">
        <w:rPr>
          <w:rFonts w:eastAsia="Arial Unicode MS"/>
          <w:sz w:val="28"/>
          <w:szCs w:val="28"/>
          <w:u w:color="000000"/>
          <w:lang w:val="es-ES_tradnl" w:eastAsia="es-ES"/>
        </w:rPr>
        <w:t>el libelo.</w:t>
      </w:r>
      <w:r w:rsidR="00F53B1F" w:rsidRPr="0048739B">
        <w:rPr>
          <w:rFonts w:eastAsia="Arial Unicode MS"/>
          <w:sz w:val="28"/>
          <w:szCs w:val="28"/>
          <w:u w:color="000000"/>
          <w:lang w:val="es-ES_tradnl" w:eastAsia="es-ES"/>
        </w:rPr>
        <w:t xml:space="preserve"> </w:t>
      </w:r>
      <w:r w:rsidR="00755AD7" w:rsidRPr="0048739B">
        <w:rPr>
          <w:rFonts w:eastAsia="Arial Unicode MS"/>
          <w:sz w:val="28"/>
          <w:szCs w:val="28"/>
          <w:u w:color="000000"/>
          <w:lang w:val="es-ES_tradnl" w:eastAsia="es-ES"/>
        </w:rPr>
        <w:t>Quienes propusieron el condicionamiento de la norma no comparten el sentido de la demanda</w:t>
      </w:r>
      <w:r w:rsidR="00D72F2B" w:rsidRPr="0048739B">
        <w:rPr>
          <w:rFonts w:eastAsia="Arial Unicode MS"/>
          <w:sz w:val="28"/>
          <w:szCs w:val="28"/>
          <w:u w:color="000000"/>
          <w:lang w:val="es-ES_tradnl" w:eastAsia="es-ES"/>
        </w:rPr>
        <w:t xml:space="preserve"> ni la interpretación de la norma que </w:t>
      </w:r>
      <w:r w:rsidR="004674FC" w:rsidRPr="0048739B">
        <w:rPr>
          <w:rFonts w:eastAsia="Arial Unicode MS"/>
          <w:sz w:val="28"/>
          <w:szCs w:val="28"/>
          <w:u w:color="000000"/>
          <w:lang w:val="es-ES_tradnl" w:eastAsia="es-ES"/>
        </w:rPr>
        <w:t>hicieron</w:t>
      </w:r>
      <w:r w:rsidR="00D72F2B" w:rsidRPr="0048739B">
        <w:rPr>
          <w:rFonts w:eastAsia="Arial Unicode MS"/>
          <w:sz w:val="28"/>
          <w:szCs w:val="28"/>
          <w:u w:color="000000"/>
          <w:lang w:val="es-ES_tradnl" w:eastAsia="es-ES"/>
        </w:rPr>
        <w:t xml:space="preserve"> los demandantes. S</w:t>
      </w:r>
      <w:r w:rsidR="00755AD7" w:rsidRPr="0048739B">
        <w:rPr>
          <w:rFonts w:eastAsia="Arial Unicode MS"/>
          <w:sz w:val="28"/>
          <w:szCs w:val="28"/>
          <w:u w:color="000000"/>
          <w:lang w:val="es-ES_tradnl" w:eastAsia="es-ES"/>
        </w:rPr>
        <w:t xml:space="preserve">ustentan </w:t>
      </w:r>
      <w:r w:rsidR="00E96506" w:rsidRPr="0048739B">
        <w:rPr>
          <w:rFonts w:eastAsia="Arial Unicode MS"/>
          <w:sz w:val="28"/>
          <w:szCs w:val="28"/>
          <w:u w:color="000000"/>
          <w:lang w:val="es-ES_tradnl" w:eastAsia="es-ES"/>
        </w:rPr>
        <w:t xml:space="preserve">su postura </w:t>
      </w:r>
      <w:r w:rsidR="00755AD7" w:rsidRPr="0048739B">
        <w:rPr>
          <w:rFonts w:eastAsia="Arial Unicode MS"/>
          <w:sz w:val="28"/>
          <w:szCs w:val="28"/>
          <w:u w:color="000000"/>
          <w:lang w:val="es-ES_tradnl" w:eastAsia="es-ES"/>
        </w:rPr>
        <w:t xml:space="preserve">en reparos distintos a los </w:t>
      </w:r>
      <w:r w:rsidR="00050054" w:rsidRPr="0048739B">
        <w:rPr>
          <w:rFonts w:eastAsia="Arial Unicode MS"/>
          <w:sz w:val="28"/>
          <w:szCs w:val="28"/>
          <w:u w:color="000000"/>
          <w:lang w:val="es-ES_tradnl" w:eastAsia="es-ES"/>
        </w:rPr>
        <w:t xml:space="preserve">formulados </w:t>
      </w:r>
      <w:r w:rsidR="00755AD7" w:rsidRPr="0048739B">
        <w:rPr>
          <w:rFonts w:eastAsia="Arial Unicode MS"/>
          <w:sz w:val="28"/>
          <w:szCs w:val="28"/>
          <w:u w:color="000000"/>
          <w:lang w:val="es-ES_tradnl" w:eastAsia="es-ES"/>
        </w:rPr>
        <w:t xml:space="preserve">por </w:t>
      </w:r>
      <w:r w:rsidR="00050054" w:rsidRPr="0048739B">
        <w:rPr>
          <w:rFonts w:eastAsia="Arial Unicode MS"/>
          <w:sz w:val="28"/>
          <w:szCs w:val="28"/>
          <w:u w:color="000000"/>
          <w:lang w:val="es-ES_tradnl" w:eastAsia="es-ES"/>
        </w:rPr>
        <w:t>ellos</w:t>
      </w:r>
      <w:r w:rsidR="00755AD7" w:rsidRPr="0048739B">
        <w:rPr>
          <w:rFonts w:eastAsia="Arial Unicode MS"/>
          <w:sz w:val="28"/>
          <w:szCs w:val="28"/>
          <w:u w:color="000000"/>
          <w:lang w:val="es-ES_tradnl" w:eastAsia="es-ES"/>
        </w:rPr>
        <w:t>.</w:t>
      </w:r>
      <w:r w:rsidR="008168D4" w:rsidRPr="0048739B">
        <w:rPr>
          <w:rFonts w:eastAsia="Arial Unicode MS"/>
          <w:sz w:val="28"/>
          <w:szCs w:val="28"/>
          <w:u w:color="000000"/>
          <w:lang w:val="es-ES_tradnl" w:eastAsia="es-ES"/>
        </w:rPr>
        <w:t xml:space="preserve"> </w:t>
      </w:r>
      <w:r w:rsidR="004674FC" w:rsidRPr="0048739B">
        <w:rPr>
          <w:rFonts w:eastAsia="Arial Unicode MS"/>
          <w:sz w:val="28"/>
          <w:szCs w:val="28"/>
          <w:u w:color="000000"/>
          <w:lang w:val="es-ES_tradnl" w:eastAsia="es-ES"/>
        </w:rPr>
        <w:t>Con base en argumentos paralelos pla</w:t>
      </w:r>
      <w:r w:rsidR="003D1085" w:rsidRPr="0048739B">
        <w:rPr>
          <w:rFonts w:eastAsia="Arial Unicode MS"/>
          <w:sz w:val="28"/>
          <w:szCs w:val="28"/>
          <w:u w:color="000000"/>
          <w:lang w:val="es-ES_tradnl" w:eastAsia="es-ES"/>
        </w:rPr>
        <w:t>n</w:t>
      </w:r>
      <w:r w:rsidR="004674FC" w:rsidRPr="0048739B">
        <w:rPr>
          <w:rFonts w:eastAsia="Arial Unicode MS"/>
          <w:sz w:val="28"/>
          <w:szCs w:val="28"/>
          <w:u w:color="000000"/>
          <w:lang w:val="es-ES_tradnl" w:eastAsia="es-ES"/>
        </w:rPr>
        <w:t>tearon cargos diferentes a los admitidos en este proceso constitucional.</w:t>
      </w:r>
    </w:p>
    <w:p w14:paraId="22199644" w14:textId="6DB996CE" w:rsidR="006B0AC4" w:rsidRPr="0048739B" w:rsidRDefault="006B0AC4" w:rsidP="0048739B">
      <w:pPr>
        <w:pStyle w:val="Prrafodelista"/>
        <w:autoSpaceDE w:val="0"/>
        <w:autoSpaceDN w:val="0"/>
        <w:spacing w:after="0" w:line="240" w:lineRule="auto"/>
        <w:ind w:left="0"/>
        <w:jc w:val="both"/>
        <w:rPr>
          <w:rFonts w:eastAsia="Arial Unicode MS"/>
          <w:sz w:val="28"/>
          <w:szCs w:val="28"/>
          <w:u w:color="000000"/>
          <w:lang w:val="es-ES_tradnl" w:eastAsia="es-ES"/>
        </w:rPr>
      </w:pPr>
    </w:p>
    <w:p w14:paraId="03DB3DDF" w14:textId="10768A70" w:rsidR="0094246A" w:rsidRPr="0048739B" w:rsidRDefault="00CD4EC8" w:rsidP="0048739B">
      <w:pPr>
        <w:pStyle w:val="Prrafodelista"/>
        <w:autoSpaceDE w:val="0"/>
        <w:autoSpaceDN w:val="0"/>
        <w:spacing w:after="0" w:line="240" w:lineRule="auto"/>
        <w:ind w:left="0"/>
        <w:jc w:val="both"/>
        <w:rPr>
          <w:rFonts w:eastAsia="Arial Unicode MS"/>
          <w:sz w:val="28"/>
          <w:szCs w:val="28"/>
          <w:u w:color="000000"/>
          <w:lang w:val="es-ES_tradnl" w:eastAsia="es-ES"/>
        </w:rPr>
      </w:pPr>
      <w:bookmarkStart w:id="1" w:name="_Hlk56151600"/>
      <w:r w:rsidRPr="0048739B">
        <w:rPr>
          <w:rFonts w:eastAsia="Arial Unicode MS"/>
          <w:sz w:val="28"/>
          <w:szCs w:val="28"/>
          <w:u w:color="000000"/>
          <w:lang w:val="es-ES_tradnl" w:eastAsia="es-ES"/>
        </w:rPr>
        <w:t>Al respecto c</w:t>
      </w:r>
      <w:r w:rsidR="0094246A" w:rsidRPr="0048739B">
        <w:rPr>
          <w:rFonts w:eastAsia="Arial Unicode MS"/>
          <w:sz w:val="28"/>
          <w:szCs w:val="28"/>
          <w:u w:color="000000"/>
          <w:lang w:val="es-ES_tradnl" w:eastAsia="es-ES"/>
        </w:rPr>
        <w:t>abe precisar que</w:t>
      </w:r>
      <w:r w:rsidR="0076084A" w:rsidRPr="0048739B">
        <w:rPr>
          <w:rFonts w:eastAsia="Arial Unicode MS"/>
          <w:sz w:val="28"/>
          <w:szCs w:val="28"/>
          <w:u w:color="000000"/>
          <w:lang w:val="es-ES_tradnl" w:eastAsia="es-ES"/>
        </w:rPr>
        <w:t>, por regla general,</w:t>
      </w:r>
      <w:r w:rsidR="0094246A" w:rsidRPr="0048739B">
        <w:rPr>
          <w:rFonts w:eastAsia="Arial Unicode MS"/>
          <w:sz w:val="28"/>
          <w:szCs w:val="28"/>
          <w:u w:color="000000"/>
          <w:lang w:val="es-ES_tradnl" w:eastAsia="es-ES"/>
        </w:rPr>
        <w:t xml:space="preserve"> </w:t>
      </w:r>
      <w:r w:rsidR="00546150" w:rsidRPr="0048739B">
        <w:rPr>
          <w:rFonts w:eastAsia="Arial Unicode MS"/>
          <w:sz w:val="28"/>
          <w:szCs w:val="28"/>
          <w:u w:color="000000"/>
          <w:lang w:val="es-ES_tradnl" w:eastAsia="es-ES"/>
        </w:rPr>
        <w:t xml:space="preserve">el pronunciamiento de la Corte </w:t>
      </w:r>
      <w:r w:rsidR="00CD53B3" w:rsidRPr="0048739B">
        <w:rPr>
          <w:rFonts w:eastAsia="Arial Unicode MS"/>
          <w:sz w:val="28"/>
          <w:szCs w:val="28"/>
          <w:u w:color="000000"/>
          <w:lang w:val="es-ES_tradnl" w:eastAsia="es-ES"/>
        </w:rPr>
        <w:t>se enfoca en los cargos planteados en la demanda</w:t>
      </w:r>
      <w:r w:rsidR="00CD53B3" w:rsidRPr="0048739B">
        <w:rPr>
          <w:rStyle w:val="Refdenotaalpie"/>
          <w:rFonts w:eastAsia="Arial Unicode MS"/>
          <w:sz w:val="28"/>
          <w:szCs w:val="28"/>
          <w:u w:color="000000"/>
          <w:lang w:val="es-ES_tradnl" w:eastAsia="es-ES"/>
        </w:rPr>
        <w:footnoteReference w:id="34"/>
      </w:r>
      <w:r w:rsidR="00CD53B3" w:rsidRPr="0048739B">
        <w:rPr>
          <w:rFonts w:eastAsia="Arial Unicode MS"/>
          <w:sz w:val="28"/>
          <w:szCs w:val="28"/>
          <w:u w:color="000000"/>
          <w:lang w:val="es-ES_tradnl" w:eastAsia="es-ES"/>
        </w:rPr>
        <w:t xml:space="preserve">, pues su labor </w:t>
      </w:r>
      <w:r w:rsidR="00C81F74" w:rsidRPr="0048739B">
        <w:rPr>
          <w:rFonts w:eastAsia="Arial Unicode MS"/>
          <w:sz w:val="28"/>
          <w:szCs w:val="28"/>
          <w:u w:color="000000"/>
          <w:lang w:val="es-ES_tradnl" w:eastAsia="es-ES"/>
        </w:rPr>
        <w:t>y</w:t>
      </w:r>
      <w:r w:rsidR="008648B2" w:rsidRPr="0048739B">
        <w:rPr>
          <w:rFonts w:eastAsia="Arial Unicode MS"/>
          <w:sz w:val="28"/>
          <w:szCs w:val="28"/>
          <w:u w:color="000000"/>
          <w:lang w:val="es-ES_tradnl" w:eastAsia="es-ES"/>
        </w:rPr>
        <w:t xml:space="preserve"> el</w:t>
      </w:r>
      <w:r w:rsidR="00C81F74" w:rsidRPr="0048739B">
        <w:rPr>
          <w:rFonts w:eastAsia="Arial Unicode MS"/>
          <w:sz w:val="28"/>
          <w:szCs w:val="28"/>
          <w:u w:color="000000"/>
          <w:lang w:val="es-ES_tradnl" w:eastAsia="es-ES"/>
        </w:rPr>
        <w:t xml:space="preserve"> debate constitucional dependen de lo formulado en ella</w:t>
      </w:r>
      <w:r w:rsidR="008648B2" w:rsidRPr="0048739B">
        <w:rPr>
          <w:rFonts w:eastAsia="Arial Unicode MS"/>
          <w:sz w:val="28"/>
          <w:szCs w:val="28"/>
          <w:u w:color="000000"/>
          <w:lang w:val="es-ES_tradnl" w:eastAsia="es-ES"/>
        </w:rPr>
        <w:t xml:space="preserve"> y de la propuesta sobre</w:t>
      </w:r>
      <w:r w:rsidR="0094246A" w:rsidRPr="0048739B">
        <w:rPr>
          <w:rFonts w:eastAsia="Arial Unicode MS"/>
          <w:sz w:val="28"/>
          <w:szCs w:val="28"/>
          <w:u w:color="000000"/>
          <w:lang w:val="es-ES_tradnl" w:eastAsia="es-ES"/>
        </w:rPr>
        <w:t xml:space="preserve"> el objeto del debate</w:t>
      </w:r>
      <w:r w:rsidR="00C81F74" w:rsidRPr="0048739B">
        <w:rPr>
          <w:rFonts w:eastAsia="Arial Unicode MS"/>
          <w:sz w:val="28"/>
          <w:szCs w:val="28"/>
          <w:u w:color="000000"/>
          <w:lang w:val="es-ES_tradnl" w:eastAsia="es-ES"/>
        </w:rPr>
        <w:t xml:space="preserve">. </w:t>
      </w:r>
      <w:r w:rsidR="00DF282A" w:rsidRPr="0048739B">
        <w:rPr>
          <w:rFonts w:eastAsia="Arial Unicode MS"/>
          <w:sz w:val="28"/>
          <w:szCs w:val="28"/>
          <w:u w:color="000000"/>
          <w:lang w:val="es-ES_tradnl" w:eastAsia="es-ES"/>
        </w:rPr>
        <w:t>En principio, no</w:t>
      </w:r>
      <w:r w:rsidR="00C81F74" w:rsidRPr="0048739B">
        <w:rPr>
          <w:rFonts w:eastAsia="Arial Unicode MS"/>
          <w:sz w:val="28"/>
          <w:szCs w:val="28"/>
          <w:u w:color="000000"/>
          <w:lang w:val="es-ES_tradnl" w:eastAsia="es-ES"/>
        </w:rPr>
        <w:t xml:space="preserve"> es </w:t>
      </w:r>
      <w:r w:rsidR="00C81F74" w:rsidRPr="0048739B">
        <w:rPr>
          <w:rFonts w:eastAsia="Arial Unicode MS"/>
          <w:i/>
          <w:iCs/>
          <w:sz w:val="28"/>
          <w:szCs w:val="28"/>
          <w:u w:color="000000"/>
          <w:lang w:val="es-ES_tradnl" w:eastAsia="es-ES"/>
        </w:rPr>
        <w:t>“</w:t>
      </w:r>
      <w:r w:rsidR="0094246A" w:rsidRPr="0048739B">
        <w:rPr>
          <w:rFonts w:eastAsia="Arial Unicode MS"/>
          <w:i/>
          <w:iCs/>
          <w:sz w:val="28"/>
          <w:szCs w:val="28"/>
          <w:u w:color="000000"/>
          <w:lang w:val="es-ES_tradnl" w:eastAsia="es-ES"/>
        </w:rPr>
        <w:t>posible ampliar los temas objeto de pronunciamiento, así sean invocados por algunos de los intervinientes</w:t>
      </w:r>
      <w:r w:rsidR="006E3233" w:rsidRPr="0048739B">
        <w:rPr>
          <w:rFonts w:eastAsia="Arial Unicode MS"/>
          <w:i/>
          <w:iCs/>
          <w:sz w:val="28"/>
          <w:szCs w:val="28"/>
          <w:u w:color="000000"/>
          <w:lang w:val="es-ES_tradnl" w:eastAsia="es-ES"/>
        </w:rPr>
        <w:t>”</w:t>
      </w:r>
      <w:r w:rsidR="000C4297" w:rsidRPr="0048739B">
        <w:rPr>
          <w:rStyle w:val="Refdenotaalpie"/>
          <w:rFonts w:eastAsia="Arial Unicode MS"/>
          <w:i/>
          <w:iCs/>
          <w:sz w:val="28"/>
          <w:szCs w:val="28"/>
          <w:u w:color="000000"/>
          <w:lang w:val="es-ES_tradnl" w:eastAsia="es-ES"/>
        </w:rPr>
        <w:footnoteReference w:id="35"/>
      </w:r>
      <w:r w:rsidR="0094246A" w:rsidRPr="0048739B">
        <w:rPr>
          <w:rFonts w:eastAsia="Arial Unicode MS"/>
          <w:sz w:val="28"/>
          <w:szCs w:val="28"/>
          <w:u w:color="000000"/>
          <w:lang w:val="es-ES_tradnl" w:eastAsia="es-ES"/>
        </w:rPr>
        <w:t xml:space="preserve">, pues </w:t>
      </w:r>
      <w:r w:rsidR="00DF282A" w:rsidRPr="0048739B">
        <w:rPr>
          <w:rFonts w:eastAsia="Arial Unicode MS"/>
          <w:sz w:val="28"/>
          <w:szCs w:val="28"/>
          <w:u w:color="000000"/>
          <w:lang w:val="es-ES_tradnl" w:eastAsia="es-ES"/>
        </w:rPr>
        <w:t>de lo contrario se elimina</w:t>
      </w:r>
      <w:r w:rsidR="0094246A" w:rsidRPr="0048739B">
        <w:rPr>
          <w:rFonts w:eastAsia="Arial Unicode MS"/>
          <w:sz w:val="28"/>
          <w:szCs w:val="28"/>
          <w:u w:color="000000"/>
          <w:lang w:val="es-ES_tradnl" w:eastAsia="es-ES"/>
        </w:rPr>
        <w:t xml:space="preserve"> la posibilidad de </w:t>
      </w:r>
      <w:r w:rsidR="00031136" w:rsidRPr="0048739B">
        <w:rPr>
          <w:rFonts w:eastAsia="Arial Unicode MS"/>
          <w:sz w:val="28"/>
          <w:szCs w:val="28"/>
          <w:u w:color="000000"/>
          <w:lang w:val="es-ES_tradnl" w:eastAsia="es-ES"/>
        </w:rPr>
        <w:t xml:space="preserve">defensa </w:t>
      </w:r>
      <w:r w:rsidRPr="0048739B">
        <w:rPr>
          <w:rFonts w:eastAsia="Arial Unicode MS"/>
          <w:sz w:val="28"/>
          <w:szCs w:val="28"/>
          <w:u w:color="000000"/>
          <w:lang w:val="es-ES_tradnl" w:eastAsia="es-ES"/>
        </w:rPr>
        <w:t xml:space="preserve">efectiva </w:t>
      </w:r>
      <w:r w:rsidR="00031136" w:rsidRPr="0048739B">
        <w:rPr>
          <w:rFonts w:eastAsia="Arial Unicode MS"/>
          <w:sz w:val="28"/>
          <w:szCs w:val="28"/>
          <w:u w:color="000000"/>
          <w:lang w:val="es-ES_tradnl" w:eastAsia="es-ES"/>
        </w:rPr>
        <w:t xml:space="preserve">de la norma por parte de aquellos </w:t>
      </w:r>
      <w:r w:rsidR="00DF282A" w:rsidRPr="0048739B">
        <w:rPr>
          <w:rFonts w:eastAsia="Arial Unicode MS"/>
          <w:sz w:val="28"/>
          <w:szCs w:val="28"/>
          <w:u w:color="000000"/>
          <w:lang w:val="es-ES_tradnl" w:eastAsia="es-ES"/>
        </w:rPr>
        <w:t>interesados en</w:t>
      </w:r>
      <w:r w:rsidR="00031136" w:rsidRPr="0048739B">
        <w:rPr>
          <w:rFonts w:eastAsia="Arial Unicode MS"/>
          <w:sz w:val="28"/>
          <w:szCs w:val="28"/>
          <w:u w:color="000000"/>
          <w:lang w:val="es-ES_tradnl" w:eastAsia="es-ES"/>
        </w:rPr>
        <w:t xml:space="preserve"> justificar</w:t>
      </w:r>
      <w:r w:rsidR="0094246A" w:rsidRPr="0048739B">
        <w:rPr>
          <w:rFonts w:eastAsia="Arial Unicode MS"/>
          <w:sz w:val="28"/>
          <w:szCs w:val="28"/>
          <w:u w:color="000000"/>
          <w:lang w:val="es-ES_tradnl" w:eastAsia="es-ES"/>
        </w:rPr>
        <w:t xml:space="preserve"> su constitucionalidad. </w:t>
      </w:r>
    </w:p>
    <w:bookmarkEnd w:id="1"/>
    <w:p w14:paraId="3ACDC915" w14:textId="77777777" w:rsidR="0094246A" w:rsidRPr="0048739B" w:rsidRDefault="0094246A" w:rsidP="0048739B">
      <w:pPr>
        <w:pStyle w:val="Prrafodelista"/>
        <w:autoSpaceDE w:val="0"/>
        <w:autoSpaceDN w:val="0"/>
        <w:spacing w:after="0" w:line="240" w:lineRule="auto"/>
        <w:ind w:left="0"/>
        <w:jc w:val="both"/>
        <w:rPr>
          <w:rFonts w:eastAsia="Arial Unicode MS"/>
          <w:sz w:val="28"/>
          <w:szCs w:val="28"/>
          <w:u w:color="000000"/>
          <w:lang w:val="es-ES_tradnl" w:eastAsia="es-ES"/>
        </w:rPr>
      </w:pPr>
    </w:p>
    <w:p w14:paraId="01519396" w14:textId="3D75828D" w:rsidR="00674859" w:rsidRPr="0048739B" w:rsidRDefault="00A656AE" w:rsidP="0048739B">
      <w:pPr>
        <w:pStyle w:val="Prrafodelista"/>
        <w:numPr>
          <w:ilvl w:val="0"/>
          <w:numId w:val="1"/>
        </w:num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La Sala Plena considera que</w:t>
      </w:r>
      <w:r w:rsidR="00415C8C" w:rsidRPr="0048739B">
        <w:rPr>
          <w:rFonts w:eastAsia="Arial Unicode MS"/>
          <w:sz w:val="28"/>
          <w:szCs w:val="28"/>
          <w:u w:color="000000"/>
          <w:lang w:val="es-ES_tradnl" w:eastAsia="es-ES"/>
        </w:rPr>
        <w:t>, en efecto,</w:t>
      </w:r>
      <w:r w:rsidRPr="0048739B">
        <w:rPr>
          <w:rFonts w:eastAsia="Arial Unicode MS"/>
          <w:sz w:val="28"/>
          <w:szCs w:val="28"/>
          <w:u w:color="000000"/>
          <w:lang w:val="es-ES_tradnl" w:eastAsia="es-ES"/>
        </w:rPr>
        <w:t xml:space="preserve"> los actores le otorgaron </w:t>
      </w:r>
      <w:r w:rsidR="00415C8C" w:rsidRPr="0048739B">
        <w:rPr>
          <w:rFonts w:eastAsia="Arial Unicode MS"/>
          <w:sz w:val="28"/>
          <w:szCs w:val="28"/>
          <w:u w:color="000000"/>
          <w:lang w:val="es-ES_tradnl" w:eastAsia="es-ES"/>
        </w:rPr>
        <w:t xml:space="preserve">a la disposición normativa </w:t>
      </w:r>
      <w:r w:rsidR="003D1085" w:rsidRPr="0048739B">
        <w:rPr>
          <w:rFonts w:eastAsia="Arial Unicode MS"/>
          <w:sz w:val="28"/>
          <w:szCs w:val="28"/>
          <w:u w:color="000000"/>
          <w:lang w:val="es-ES_tradnl" w:eastAsia="es-ES"/>
        </w:rPr>
        <w:t>acusada</w:t>
      </w:r>
      <w:r w:rsidR="00415C8C" w:rsidRPr="0048739B">
        <w:rPr>
          <w:rFonts w:eastAsia="Arial Unicode MS"/>
          <w:sz w:val="28"/>
          <w:szCs w:val="28"/>
          <w:u w:color="000000"/>
          <w:lang w:val="es-ES_tradnl" w:eastAsia="es-ES"/>
        </w:rPr>
        <w:t xml:space="preserve"> </w:t>
      </w:r>
      <w:r w:rsidRPr="0048739B">
        <w:rPr>
          <w:rFonts w:eastAsia="Arial Unicode MS"/>
          <w:sz w:val="28"/>
          <w:szCs w:val="28"/>
          <w:u w:color="000000"/>
          <w:lang w:val="es-ES_tradnl" w:eastAsia="es-ES"/>
        </w:rPr>
        <w:t xml:space="preserve">un alcance que no </w:t>
      </w:r>
      <w:r w:rsidR="00EB75A2" w:rsidRPr="0048739B">
        <w:rPr>
          <w:rFonts w:eastAsia="Arial Unicode MS"/>
          <w:sz w:val="28"/>
          <w:szCs w:val="28"/>
          <w:u w:color="000000"/>
          <w:lang w:val="es-ES_tradnl" w:eastAsia="es-ES"/>
        </w:rPr>
        <w:t>se desprende de su literalidad</w:t>
      </w:r>
      <w:r w:rsidRPr="0048739B">
        <w:rPr>
          <w:rFonts w:eastAsia="Arial Unicode MS"/>
          <w:sz w:val="28"/>
          <w:szCs w:val="28"/>
          <w:u w:color="000000"/>
          <w:lang w:val="es-ES_tradnl" w:eastAsia="es-ES"/>
        </w:rPr>
        <w:t xml:space="preserve">, de modo que la premisa en la que se sustenta la acusación, </w:t>
      </w:r>
      <w:r w:rsidR="00151879" w:rsidRPr="0048739B">
        <w:rPr>
          <w:rFonts w:eastAsia="Arial Unicode MS"/>
          <w:sz w:val="28"/>
          <w:szCs w:val="28"/>
          <w:u w:color="000000"/>
          <w:lang w:val="es-ES_tradnl" w:eastAsia="es-ES"/>
        </w:rPr>
        <w:t>respecto de</w:t>
      </w:r>
      <w:r w:rsidRPr="0048739B">
        <w:rPr>
          <w:rFonts w:eastAsia="Arial Unicode MS"/>
          <w:sz w:val="28"/>
          <w:szCs w:val="28"/>
          <w:u w:color="000000"/>
          <w:lang w:val="es-ES_tradnl" w:eastAsia="es-ES"/>
        </w:rPr>
        <w:t xml:space="preserve"> cada uno de los </w:t>
      </w:r>
      <w:r w:rsidR="000E08EC" w:rsidRPr="0048739B">
        <w:rPr>
          <w:rFonts w:eastAsia="Arial Unicode MS"/>
          <w:sz w:val="28"/>
          <w:szCs w:val="28"/>
          <w:u w:color="000000"/>
          <w:lang w:val="es-ES_tradnl" w:eastAsia="es-ES"/>
        </w:rPr>
        <w:t xml:space="preserve">tres </w:t>
      </w:r>
      <w:r w:rsidR="00EB75A2" w:rsidRPr="0048739B">
        <w:rPr>
          <w:rFonts w:eastAsia="Arial Unicode MS"/>
          <w:sz w:val="28"/>
          <w:szCs w:val="28"/>
          <w:u w:color="000000"/>
          <w:lang w:val="es-ES_tradnl" w:eastAsia="es-ES"/>
        </w:rPr>
        <w:t>reparos</w:t>
      </w:r>
      <w:r w:rsidRPr="0048739B">
        <w:rPr>
          <w:rFonts w:eastAsia="Arial Unicode MS"/>
          <w:sz w:val="28"/>
          <w:szCs w:val="28"/>
          <w:u w:color="000000"/>
          <w:lang w:val="es-ES_tradnl" w:eastAsia="es-ES"/>
        </w:rPr>
        <w:t xml:space="preserve"> propuestos</w:t>
      </w:r>
      <w:r w:rsidR="00EB75A2" w:rsidRPr="0048739B">
        <w:rPr>
          <w:rFonts w:eastAsia="Arial Unicode MS"/>
          <w:sz w:val="28"/>
          <w:szCs w:val="28"/>
          <w:u w:color="000000"/>
          <w:lang w:val="es-ES_tradnl" w:eastAsia="es-ES"/>
        </w:rPr>
        <w:t xml:space="preserve"> en su contra</w:t>
      </w:r>
      <w:r w:rsidRPr="0048739B">
        <w:rPr>
          <w:rFonts w:eastAsia="Arial Unicode MS"/>
          <w:sz w:val="28"/>
          <w:szCs w:val="28"/>
          <w:u w:color="000000"/>
          <w:lang w:val="es-ES_tradnl" w:eastAsia="es-ES"/>
        </w:rPr>
        <w:t xml:space="preserve">, carece de acierto. </w:t>
      </w:r>
      <w:r w:rsidR="000E08EC" w:rsidRPr="0048739B">
        <w:rPr>
          <w:rFonts w:eastAsia="Arial Unicode MS"/>
          <w:sz w:val="28"/>
          <w:szCs w:val="28"/>
          <w:u w:color="000000"/>
          <w:lang w:val="es-ES_tradnl" w:eastAsia="es-ES"/>
        </w:rPr>
        <w:t>N</w:t>
      </w:r>
      <w:r w:rsidR="00D718BD" w:rsidRPr="0048739B">
        <w:rPr>
          <w:rFonts w:eastAsia="Arial Unicode MS"/>
          <w:sz w:val="28"/>
          <w:szCs w:val="28"/>
          <w:u w:color="000000"/>
          <w:lang w:val="es-ES_tradnl" w:eastAsia="es-ES"/>
        </w:rPr>
        <w:t xml:space="preserve">o tiene </w:t>
      </w:r>
      <w:r w:rsidR="00715ABD" w:rsidRPr="0048739B">
        <w:rPr>
          <w:rFonts w:eastAsia="Arial Unicode MS"/>
          <w:sz w:val="28"/>
          <w:szCs w:val="28"/>
          <w:u w:color="000000"/>
          <w:lang w:val="es-ES_tradnl" w:eastAsia="es-ES"/>
        </w:rPr>
        <w:t>asidero</w:t>
      </w:r>
      <w:r w:rsidR="002218B5" w:rsidRPr="0048739B">
        <w:rPr>
          <w:rFonts w:eastAsia="Arial Unicode MS"/>
          <w:sz w:val="28"/>
          <w:szCs w:val="28"/>
          <w:u w:color="000000"/>
          <w:lang w:val="es-ES_tradnl" w:eastAsia="es-ES"/>
        </w:rPr>
        <w:t xml:space="preserve"> la interpretación de la norma que expresan los demandantes</w:t>
      </w:r>
      <w:r w:rsidR="00EB75A2" w:rsidRPr="0048739B">
        <w:rPr>
          <w:rFonts w:eastAsia="Arial Unicode MS"/>
          <w:sz w:val="28"/>
          <w:szCs w:val="28"/>
          <w:u w:color="000000"/>
          <w:lang w:val="es-ES_tradnl" w:eastAsia="es-ES"/>
        </w:rPr>
        <w:t xml:space="preserve">, </w:t>
      </w:r>
      <w:r w:rsidR="00151879" w:rsidRPr="0048739B">
        <w:rPr>
          <w:rFonts w:eastAsia="Arial Unicode MS"/>
          <w:sz w:val="28"/>
          <w:szCs w:val="28"/>
          <w:u w:color="000000"/>
          <w:lang w:val="es-ES_tradnl" w:eastAsia="es-ES"/>
        </w:rPr>
        <w:t xml:space="preserve">al ser </w:t>
      </w:r>
      <w:r w:rsidR="00EB75A2" w:rsidRPr="0048739B">
        <w:rPr>
          <w:rFonts w:eastAsia="Arial Unicode MS"/>
          <w:sz w:val="28"/>
          <w:szCs w:val="28"/>
          <w:u w:color="000000"/>
          <w:lang w:val="es-ES_tradnl" w:eastAsia="es-ES"/>
        </w:rPr>
        <w:t xml:space="preserve">producto de una lectura </w:t>
      </w:r>
      <w:r w:rsidR="00151879" w:rsidRPr="0048739B">
        <w:rPr>
          <w:rFonts w:eastAsia="Arial Unicode MS"/>
          <w:sz w:val="28"/>
          <w:szCs w:val="28"/>
          <w:u w:color="000000"/>
          <w:lang w:val="es-ES_tradnl" w:eastAsia="es-ES"/>
        </w:rPr>
        <w:t xml:space="preserve">parcial y no integral </w:t>
      </w:r>
      <w:r w:rsidR="00715ABD" w:rsidRPr="0048739B">
        <w:rPr>
          <w:rFonts w:eastAsia="Arial Unicode MS"/>
          <w:sz w:val="28"/>
          <w:szCs w:val="28"/>
          <w:u w:color="000000"/>
          <w:lang w:val="es-ES_tradnl" w:eastAsia="es-ES"/>
        </w:rPr>
        <w:t>de</w:t>
      </w:r>
      <w:r w:rsidR="00151879" w:rsidRPr="0048739B">
        <w:rPr>
          <w:rFonts w:eastAsia="Arial Unicode MS"/>
          <w:sz w:val="28"/>
          <w:szCs w:val="28"/>
          <w:u w:color="000000"/>
          <w:lang w:val="es-ES_tradnl" w:eastAsia="es-ES"/>
        </w:rPr>
        <w:t>l artículo del Código de Procedimiento Penal</w:t>
      </w:r>
      <w:r w:rsidR="00D718BD" w:rsidRPr="0048739B">
        <w:rPr>
          <w:rFonts w:eastAsia="Arial Unicode MS"/>
          <w:sz w:val="28"/>
          <w:szCs w:val="28"/>
          <w:u w:color="000000"/>
          <w:lang w:val="es-ES_tradnl" w:eastAsia="es-ES"/>
        </w:rPr>
        <w:t xml:space="preserve"> sobre </w:t>
      </w:r>
      <w:r w:rsidR="00151879" w:rsidRPr="0048739B">
        <w:rPr>
          <w:rFonts w:eastAsia="Arial Unicode MS"/>
          <w:sz w:val="28"/>
          <w:szCs w:val="28"/>
          <w:u w:color="000000"/>
          <w:lang w:val="es-ES_tradnl" w:eastAsia="es-ES"/>
        </w:rPr>
        <w:t>el</w:t>
      </w:r>
      <w:r w:rsidR="00D718BD" w:rsidRPr="0048739B">
        <w:rPr>
          <w:rFonts w:eastAsia="Arial Unicode MS"/>
          <w:sz w:val="28"/>
          <w:szCs w:val="28"/>
          <w:u w:color="000000"/>
          <w:lang w:val="es-ES_tradnl" w:eastAsia="es-ES"/>
        </w:rPr>
        <w:t xml:space="preserve"> que versa </w:t>
      </w:r>
      <w:r w:rsidR="0007445D" w:rsidRPr="0048739B">
        <w:rPr>
          <w:rFonts w:eastAsia="Arial Unicode MS"/>
          <w:sz w:val="28"/>
          <w:szCs w:val="28"/>
          <w:u w:color="000000"/>
          <w:lang w:val="es-ES_tradnl" w:eastAsia="es-ES"/>
        </w:rPr>
        <w:t>su propuesta</w:t>
      </w:r>
      <w:r w:rsidR="00D718BD" w:rsidRPr="0048739B">
        <w:rPr>
          <w:rFonts w:eastAsia="Arial Unicode MS"/>
          <w:sz w:val="28"/>
          <w:szCs w:val="28"/>
          <w:u w:color="000000"/>
          <w:lang w:val="es-ES_tradnl" w:eastAsia="es-ES"/>
        </w:rPr>
        <w:t>.</w:t>
      </w:r>
      <w:r w:rsidR="008168D4" w:rsidRPr="0048739B">
        <w:rPr>
          <w:rFonts w:eastAsia="Arial Unicode MS"/>
          <w:sz w:val="28"/>
          <w:szCs w:val="28"/>
          <w:u w:color="000000"/>
          <w:lang w:val="es-ES_tradnl" w:eastAsia="es-ES"/>
        </w:rPr>
        <w:t xml:space="preserve"> </w:t>
      </w:r>
    </w:p>
    <w:p w14:paraId="1840C681" w14:textId="5E7A780D" w:rsidR="00A656AE" w:rsidRPr="0048739B" w:rsidRDefault="00A656AE" w:rsidP="0048739B">
      <w:pPr>
        <w:autoSpaceDE w:val="0"/>
        <w:autoSpaceDN w:val="0"/>
        <w:spacing w:after="0" w:line="240" w:lineRule="auto"/>
        <w:jc w:val="both"/>
        <w:rPr>
          <w:rFonts w:eastAsia="Arial Unicode MS"/>
          <w:sz w:val="28"/>
          <w:szCs w:val="28"/>
          <w:u w:color="000000"/>
          <w:lang w:val="es-ES_tradnl" w:eastAsia="es-ES"/>
        </w:rPr>
      </w:pPr>
    </w:p>
    <w:p w14:paraId="1B5C7E0A" w14:textId="39887C77" w:rsidR="00A656AE" w:rsidRPr="0048739B" w:rsidRDefault="00D718BD" w:rsidP="0048739B">
      <w:p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Obsérvese que el artículo 223 de la Ley 906 de 2004 señala los actos que no son susceptibles de registro en el marco de la indagación y la investigación penal y que</w:t>
      </w:r>
      <w:r w:rsidR="00DE4A8D" w:rsidRPr="0048739B">
        <w:rPr>
          <w:rFonts w:eastAsia="Arial Unicode MS"/>
          <w:sz w:val="28"/>
          <w:szCs w:val="28"/>
          <w:u w:color="000000"/>
          <w:lang w:val="es-ES_tradnl" w:eastAsia="es-ES"/>
        </w:rPr>
        <w:t>,</w:t>
      </w:r>
      <w:r w:rsidRPr="0048739B">
        <w:rPr>
          <w:rFonts w:eastAsia="Arial Unicode MS"/>
          <w:sz w:val="28"/>
          <w:szCs w:val="28"/>
          <w:u w:color="000000"/>
          <w:lang w:val="es-ES_tradnl" w:eastAsia="es-ES"/>
        </w:rPr>
        <w:t xml:space="preserve"> </w:t>
      </w:r>
      <w:r w:rsidR="00A50E40" w:rsidRPr="0048739B">
        <w:rPr>
          <w:rFonts w:eastAsia="Arial Unicode MS"/>
          <w:sz w:val="28"/>
          <w:szCs w:val="28"/>
          <w:u w:color="000000"/>
          <w:lang w:val="es-ES_tradnl" w:eastAsia="es-ES"/>
        </w:rPr>
        <w:t>por tal razón</w:t>
      </w:r>
      <w:r w:rsidR="00DE4A8D" w:rsidRPr="0048739B">
        <w:rPr>
          <w:rFonts w:eastAsia="Arial Unicode MS"/>
          <w:sz w:val="28"/>
          <w:szCs w:val="28"/>
          <w:u w:color="000000"/>
          <w:lang w:val="es-ES_tradnl" w:eastAsia="es-ES"/>
        </w:rPr>
        <w:t>,</w:t>
      </w:r>
      <w:r w:rsidR="00A50E40" w:rsidRPr="0048739B">
        <w:rPr>
          <w:rFonts w:eastAsia="Arial Unicode MS"/>
          <w:sz w:val="28"/>
          <w:szCs w:val="28"/>
          <w:u w:color="000000"/>
          <w:lang w:val="es-ES_tradnl" w:eastAsia="es-ES"/>
        </w:rPr>
        <w:t xml:space="preserve"> </w:t>
      </w:r>
      <w:r w:rsidRPr="0048739B">
        <w:rPr>
          <w:rFonts w:eastAsia="Arial Unicode MS"/>
          <w:sz w:val="28"/>
          <w:szCs w:val="28"/>
          <w:u w:color="000000"/>
          <w:lang w:val="es-ES_tradnl" w:eastAsia="es-ES"/>
        </w:rPr>
        <w:t xml:space="preserve">se encuentran </w:t>
      </w:r>
      <w:r w:rsidR="00DB5F39" w:rsidRPr="0048739B">
        <w:rPr>
          <w:rFonts w:eastAsia="Arial Unicode MS"/>
          <w:sz w:val="28"/>
          <w:szCs w:val="28"/>
          <w:u w:color="000000"/>
          <w:lang w:val="es-ES_tradnl" w:eastAsia="es-ES"/>
        </w:rPr>
        <w:t>fuera del alcance</w:t>
      </w:r>
      <w:r w:rsidRPr="0048739B">
        <w:rPr>
          <w:rFonts w:eastAsia="Arial Unicode MS"/>
          <w:sz w:val="28"/>
          <w:szCs w:val="28"/>
          <w:u w:color="000000"/>
          <w:lang w:val="es-ES_tradnl" w:eastAsia="es-ES"/>
        </w:rPr>
        <w:t xml:space="preserve"> de las técnicas que informan</w:t>
      </w:r>
      <w:r w:rsidR="00DB5F39" w:rsidRPr="0048739B">
        <w:rPr>
          <w:rFonts w:eastAsia="Arial Unicode MS"/>
          <w:sz w:val="28"/>
          <w:szCs w:val="28"/>
          <w:u w:color="000000"/>
          <w:lang w:val="es-ES_tradnl" w:eastAsia="es-ES"/>
        </w:rPr>
        <w:t xml:space="preserve"> a aquellas</w:t>
      </w:r>
      <w:r w:rsidRPr="0048739B">
        <w:rPr>
          <w:rFonts w:eastAsia="Arial Unicode MS"/>
          <w:sz w:val="28"/>
          <w:szCs w:val="28"/>
          <w:u w:color="000000"/>
          <w:lang w:val="es-ES_tradnl" w:eastAsia="es-ES"/>
        </w:rPr>
        <w:t>, de conformidad con el libro</w:t>
      </w:r>
      <w:r w:rsidR="00A50E40" w:rsidRPr="0048739B">
        <w:rPr>
          <w:rStyle w:val="Refdenotaalpie"/>
          <w:rFonts w:eastAsia="Arial Unicode MS"/>
          <w:sz w:val="28"/>
          <w:szCs w:val="28"/>
          <w:u w:color="000000"/>
          <w:lang w:val="es-ES_tradnl" w:eastAsia="es-ES"/>
        </w:rPr>
        <w:footnoteReference w:id="36"/>
      </w:r>
      <w:r w:rsidR="00FE50A1" w:rsidRPr="0048739B">
        <w:rPr>
          <w:rFonts w:eastAsia="Arial Unicode MS"/>
          <w:sz w:val="28"/>
          <w:szCs w:val="28"/>
          <w:u w:color="000000"/>
          <w:lang w:val="es-ES_tradnl" w:eastAsia="es-ES"/>
        </w:rPr>
        <w:t>, título</w:t>
      </w:r>
      <w:r w:rsidR="00FE50A1" w:rsidRPr="0048739B">
        <w:rPr>
          <w:rStyle w:val="Refdenotaalpie"/>
          <w:rFonts w:eastAsia="Arial Unicode MS"/>
          <w:sz w:val="28"/>
          <w:szCs w:val="28"/>
          <w:u w:color="000000"/>
          <w:lang w:val="es-ES_tradnl" w:eastAsia="es-ES"/>
        </w:rPr>
        <w:footnoteReference w:id="37"/>
      </w:r>
      <w:r w:rsidRPr="0048739B">
        <w:rPr>
          <w:rFonts w:eastAsia="Arial Unicode MS"/>
          <w:sz w:val="28"/>
          <w:szCs w:val="28"/>
          <w:u w:color="000000"/>
          <w:lang w:val="es-ES_tradnl" w:eastAsia="es-ES"/>
        </w:rPr>
        <w:t xml:space="preserve"> y capítulo</w:t>
      </w:r>
      <w:r w:rsidR="00523A98" w:rsidRPr="0048739B">
        <w:rPr>
          <w:rStyle w:val="Refdenotaalpie"/>
          <w:rFonts w:eastAsia="Arial Unicode MS"/>
          <w:sz w:val="28"/>
          <w:szCs w:val="28"/>
          <w:u w:color="000000"/>
          <w:lang w:val="es-ES_tradnl" w:eastAsia="es-ES"/>
        </w:rPr>
        <w:footnoteReference w:id="38"/>
      </w:r>
      <w:r w:rsidRPr="0048739B">
        <w:rPr>
          <w:rFonts w:eastAsia="Arial Unicode MS"/>
          <w:sz w:val="28"/>
          <w:szCs w:val="28"/>
          <w:u w:color="000000"/>
          <w:lang w:val="es-ES_tradnl" w:eastAsia="es-ES"/>
        </w:rPr>
        <w:t xml:space="preserve"> en el que se encuentra inserto. A través de este artículo, el Legislador precisó que no pueden ser objeto de registro (i)</w:t>
      </w:r>
      <w:r w:rsidR="00FE50A1" w:rsidRPr="0048739B">
        <w:rPr>
          <w:rFonts w:eastAsia="Arial Unicode MS"/>
          <w:sz w:val="28"/>
          <w:szCs w:val="28"/>
          <w:u w:color="000000"/>
          <w:lang w:val="es-ES_tradnl" w:eastAsia="es-ES"/>
        </w:rPr>
        <w:t xml:space="preserve"> las</w:t>
      </w:r>
      <w:r w:rsidRPr="0048739B">
        <w:rPr>
          <w:rFonts w:eastAsia="Arial Unicode MS"/>
          <w:sz w:val="28"/>
          <w:szCs w:val="28"/>
          <w:u w:color="000000"/>
          <w:lang w:val="es-ES_tradnl" w:eastAsia="es-ES"/>
        </w:rPr>
        <w:t xml:space="preserve"> </w:t>
      </w:r>
      <w:r w:rsidR="008C1E5A" w:rsidRPr="0048739B">
        <w:rPr>
          <w:rFonts w:eastAsia="Arial Unicode MS"/>
          <w:b/>
          <w:bCs/>
          <w:sz w:val="28"/>
          <w:szCs w:val="28"/>
          <w:u w:color="000000"/>
          <w:lang w:val="es-ES_tradnl" w:eastAsia="es-ES"/>
        </w:rPr>
        <w:t>comunicaciones</w:t>
      </w:r>
      <w:r w:rsidR="008C1E5A" w:rsidRPr="0048739B">
        <w:rPr>
          <w:rFonts w:eastAsia="Arial Unicode MS"/>
          <w:sz w:val="28"/>
          <w:szCs w:val="28"/>
          <w:u w:color="000000"/>
          <w:lang w:val="es-ES_tradnl" w:eastAsia="es-ES"/>
        </w:rPr>
        <w:t xml:space="preserve"> cuando estas sean </w:t>
      </w:r>
      <w:r w:rsidR="008C1E5A" w:rsidRPr="0048739B">
        <w:rPr>
          <w:rFonts w:eastAsia="Arial Unicode MS"/>
          <w:i/>
          <w:iCs/>
          <w:sz w:val="28"/>
          <w:szCs w:val="28"/>
          <w:u w:color="000000"/>
          <w:lang w:val="es-ES_tradnl" w:eastAsia="es-ES"/>
        </w:rPr>
        <w:t>“escritas entre el indiciado, imputado o acusado con sus abogados”</w:t>
      </w:r>
      <w:r w:rsidR="008C1E5A" w:rsidRPr="0048739B">
        <w:rPr>
          <w:rFonts w:eastAsia="Arial Unicode MS"/>
          <w:sz w:val="28"/>
          <w:szCs w:val="28"/>
          <w:u w:color="000000"/>
          <w:lang w:val="es-ES_tradnl" w:eastAsia="es-ES"/>
        </w:rPr>
        <w:t xml:space="preserve"> o con quienes legalmente se encuentran excluidas del deber de testificar en su contra; y (ii) los </w:t>
      </w:r>
      <w:r w:rsidR="008C1E5A" w:rsidRPr="0048739B">
        <w:rPr>
          <w:rFonts w:eastAsia="Arial Unicode MS"/>
          <w:b/>
          <w:bCs/>
          <w:sz w:val="28"/>
          <w:szCs w:val="28"/>
          <w:u w:color="000000"/>
          <w:lang w:val="es-ES_tradnl" w:eastAsia="es-ES"/>
        </w:rPr>
        <w:t>archivos</w:t>
      </w:r>
      <w:r w:rsidR="008C1E5A" w:rsidRPr="0048739B">
        <w:rPr>
          <w:rFonts w:eastAsia="Arial Unicode MS"/>
          <w:sz w:val="28"/>
          <w:szCs w:val="28"/>
          <w:u w:color="000000"/>
          <w:lang w:val="es-ES_tradnl" w:eastAsia="es-ES"/>
        </w:rPr>
        <w:t xml:space="preserve"> </w:t>
      </w:r>
      <w:r w:rsidR="00DB5F39" w:rsidRPr="0048739B">
        <w:rPr>
          <w:rFonts w:eastAsia="Arial Unicode MS"/>
          <w:sz w:val="28"/>
          <w:szCs w:val="28"/>
          <w:u w:color="000000"/>
          <w:lang w:val="es-ES_tradnl" w:eastAsia="es-ES"/>
        </w:rPr>
        <w:t xml:space="preserve">(documentos digitales, vídeos, grabaciones, ilustraciones y cualquier otra imagen) </w:t>
      </w:r>
      <w:r w:rsidR="008C1E5A" w:rsidRPr="0048739B">
        <w:rPr>
          <w:rFonts w:eastAsia="Arial Unicode MS"/>
          <w:sz w:val="28"/>
          <w:szCs w:val="28"/>
          <w:u w:color="000000"/>
          <w:lang w:val="es-ES_tradnl" w:eastAsia="es-ES"/>
        </w:rPr>
        <w:t>de</w:t>
      </w:r>
      <w:r w:rsidR="00DB5F39" w:rsidRPr="0048739B">
        <w:rPr>
          <w:rFonts w:eastAsia="Arial Unicode MS"/>
          <w:sz w:val="28"/>
          <w:szCs w:val="28"/>
          <w:u w:color="000000"/>
          <w:lang w:val="es-ES_tradnl" w:eastAsia="es-ES"/>
        </w:rPr>
        <w:t xml:space="preserve"> </w:t>
      </w:r>
      <w:r w:rsidR="00523A98" w:rsidRPr="0048739B">
        <w:rPr>
          <w:rFonts w:eastAsia="Arial Unicode MS"/>
          <w:sz w:val="28"/>
          <w:szCs w:val="28"/>
          <w:u w:color="000000"/>
          <w:lang w:val="es-ES_tradnl" w:eastAsia="es-ES"/>
        </w:rPr>
        <w:t>tales</w:t>
      </w:r>
      <w:r w:rsidR="00FE50A1" w:rsidRPr="0048739B">
        <w:rPr>
          <w:rStyle w:val="Refdenotaalpie"/>
          <w:rFonts w:eastAsia="Arial Unicode MS"/>
          <w:sz w:val="28"/>
          <w:szCs w:val="28"/>
          <w:u w:color="000000"/>
          <w:lang w:val="es-ES_tradnl" w:eastAsia="es-ES"/>
        </w:rPr>
        <w:footnoteReference w:id="39"/>
      </w:r>
      <w:r w:rsidR="00DB5F39" w:rsidRPr="0048739B">
        <w:rPr>
          <w:rFonts w:eastAsia="Arial Unicode MS"/>
          <w:sz w:val="28"/>
          <w:szCs w:val="28"/>
          <w:u w:color="000000"/>
          <w:lang w:val="es-ES_tradnl" w:eastAsia="es-ES"/>
        </w:rPr>
        <w:t xml:space="preserve"> </w:t>
      </w:r>
      <w:r w:rsidR="00DB5F39" w:rsidRPr="0048739B">
        <w:rPr>
          <w:rFonts w:eastAsia="Arial Unicode MS"/>
          <w:sz w:val="28"/>
          <w:szCs w:val="28"/>
          <w:u w:color="000000"/>
          <w:lang w:val="es-ES_tradnl" w:eastAsia="es-ES"/>
        </w:rPr>
        <w:lastRenderedPageBreak/>
        <w:t xml:space="preserve">personas, </w:t>
      </w:r>
      <w:r w:rsidR="00FE50A1" w:rsidRPr="0048739B">
        <w:rPr>
          <w:rFonts w:eastAsia="Arial Unicode MS"/>
          <w:sz w:val="28"/>
          <w:szCs w:val="28"/>
          <w:u w:color="000000"/>
          <w:lang w:val="es-ES_tradnl" w:eastAsia="es-ES"/>
        </w:rPr>
        <w:t>cuando</w:t>
      </w:r>
      <w:r w:rsidR="00DB5F39" w:rsidRPr="0048739B">
        <w:rPr>
          <w:rFonts w:eastAsia="Arial Unicode MS"/>
          <w:sz w:val="28"/>
          <w:szCs w:val="28"/>
          <w:u w:color="000000"/>
          <w:lang w:val="es-ES_tradnl" w:eastAsia="es-ES"/>
        </w:rPr>
        <w:t xml:space="preserve"> contengan información confidencial del indiciado, imputado o acusado. </w:t>
      </w:r>
    </w:p>
    <w:p w14:paraId="1E072D9B" w14:textId="346C0E9F" w:rsidR="00674859" w:rsidRPr="0048739B" w:rsidRDefault="00674859" w:rsidP="0048739B">
      <w:pPr>
        <w:autoSpaceDE w:val="0"/>
        <w:autoSpaceDN w:val="0"/>
        <w:spacing w:after="0" w:line="240" w:lineRule="auto"/>
        <w:jc w:val="both"/>
        <w:rPr>
          <w:rFonts w:eastAsia="Calibri"/>
          <w:sz w:val="28"/>
          <w:szCs w:val="28"/>
          <w:lang w:val="es-ES" w:eastAsia="es-ES"/>
        </w:rPr>
      </w:pPr>
    </w:p>
    <w:p w14:paraId="3ACF5128" w14:textId="2C3680ED" w:rsidR="009A1399" w:rsidRPr="0048739B" w:rsidRDefault="00DB5F39" w:rsidP="0048739B">
      <w:pPr>
        <w:autoSpaceDE w:val="0"/>
        <w:autoSpaceDN w:val="0"/>
        <w:spacing w:after="0" w:line="240" w:lineRule="auto"/>
        <w:jc w:val="both"/>
        <w:rPr>
          <w:rFonts w:eastAsia="Calibri"/>
          <w:sz w:val="28"/>
          <w:szCs w:val="28"/>
          <w:lang w:val="es-ES" w:eastAsia="es-ES"/>
        </w:rPr>
      </w:pPr>
      <w:r w:rsidRPr="0048739B">
        <w:rPr>
          <w:rFonts w:eastAsia="Calibri"/>
          <w:sz w:val="28"/>
          <w:szCs w:val="28"/>
          <w:lang w:val="es-ES" w:eastAsia="es-ES"/>
        </w:rPr>
        <w:t>El parágrafo</w:t>
      </w:r>
      <w:r w:rsidR="00FD7857" w:rsidRPr="0048739B">
        <w:rPr>
          <w:rFonts w:eastAsia="Calibri"/>
          <w:sz w:val="28"/>
          <w:szCs w:val="28"/>
          <w:lang w:val="es-ES" w:eastAsia="es-ES"/>
        </w:rPr>
        <w:t>,</w:t>
      </w:r>
      <w:r w:rsidRPr="0048739B">
        <w:rPr>
          <w:rFonts w:eastAsia="Calibri"/>
          <w:sz w:val="28"/>
          <w:szCs w:val="28"/>
          <w:lang w:val="es-ES" w:eastAsia="es-ES"/>
        </w:rPr>
        <w:t xml:space="preserve"> en el que se encuentra la expresión acusada, está destinado a la exclusión de las re</w:t>
      </w:r>
      <w:r w:rsidR="005F60AA" w:rsidRPr="0048739B">
        <w:rPr>
          <w:rFonts w:eastAsia="Calibri"/>
          <w:sz w:val="28"/>
          <w:szCs w:val="28"/>
          <w:lang w:val="es-ES" w:eastAsia="es-ES"/>
        </w:rPr>
        <w:t>stricc</w:t>
      </w:r>
      <w:r w:rsidRPr="0048739B">
        <w:rPr>
          <w:rFonts w:eastAsia="Calibri"/>
          <w:sz w:val="28"/>
          <w:szCs w:val="28"/>
          <w:lang w:val="es-ES" w:eastAsia="es-ES"/>
        </w:rPr>
        <w:t>iones anotadas</w:t>
      </w:r>
      <w:r w:rsidR="002D230D" w:rsidRPr="0048739B">
        <w:rPr>
          <w:rFonts w:eastAsia="Calibri"/>
          <w:sz w:val="28"/>
          <w:szCs w:val="28"/>
          <w:lang w:val="es-ES" w:eastAsia="es-ES"/>
        </w:rPr>
        <w:t xml:space="preserve">, como lo destacaron </w:t>
      </w:r>
      <w:r w:rsidR="00DE4A8D" w:rsidRPr="0048739B">
        <w:rPr>
          <w:rFonts w:eastAsia="Calibri"/>
          <w:sz w:val="28"/>
          <w:szCs w:val="28"/>
          <w:lang w:val="es-ES" w:eastAsia="es-ES"/>
        </w:rPr>
        <w:t>varios</w:t>
      </w:r>
      <w:r w:rsidR="00E75A0C" w:rsidRPr="0048739B">
        <w:rPr>
          <w:rFonts w:eastAsia="Calibri"/>
          <w:sz w:val="28"/>
          <w:szCs w:val="28"/>
          <w:lang w:val="es-ES" w:eastAsia="es-ES"/>
        </w:rPr>
        <w:t xml:space="preserve"> de los intervinientes</w:t>
      </w:r>
      <w:r w:rsidRPr="0048739B">
        <w:rPr>
          <w:rFonts w:eastAsia="Calibri"/>
          <w:sz w:val="28"/>
          <w:szCs w:val="28"/>
          <w:lang w:val="es-ES" w:eastAsia="es-ES"/>
        </w:rPr>
        <w:t xml:space="preserve">. </w:t>
      </w:r>
      <w:r w:rsidR="005F60AA" w:rsidRPr="0048739B">
        <w:rPr>
          <w:rFonts w:eastAsia="Calibri"/>
          <w:sz w:val="28"/>
          <w:szCs w:val="28"/>
          <w:lang w:val="es-ES" w:eastAsia="es-ES"/>
        </w:rPr>
        <w:t>Conforme su tenor</w:t>
      </w:r>
      <w:r w:rsidR="00DE4A8D" w:rsidRPr="0048739B">
        <w:rPr>
          <w:rFonts w:eastAsia="Calibri"/>
          <w:sz w:val="28"/>
          <w:szCs w:val="28"/>
          <w:lang w:val="es-ES" w:eastAsia="es-ES"/>
        </w:rPr>
        <w:t xml:space="preserve">, </w:t>
      </w:r>
      <w:r w:rsidR="00ED0EC7" w:rsidRPr="0048739B">
        <w:rPr>
          <w:rFonts w:eastAsia="Calibri"/>
          <w:sz w:val="28"/>
          <w:szCs w:val="28"/>
          <w:lang w:val="es-ES" w:eastAsia="es-ES"/>
        </w:rPr>
        <w:t>el</w:t>
      </w:r>
      <w:r w:rsidRPr="0048739B">
        <w:rPr>
          <w:rFonts w:eastAsia="Calibri"/>
          <w:sz w:val="28"/>
          <w:szCs w:val="28"/>
          <w:lang w:val="es-ES" w:eastAsia="es-ES"/>
        </w:rPr>
        <w:t xml:space="preserve"> </w:t>
      </w:r>
      <w:r w:rsidRPr="0048739B">
        <w:rPr>
          <w:rFonts w:eastAsia="Calibri"/>
          <w:i/>
          <w:iCs/>
          <w:sz w:val="28"/>
          <w:szCs w:val="28"/>
          <w:lang w:val="es-ES" w:eastAsia="es-ES"/>
        </w:rPr>
        <w:t>“privilegio</w:t>
      </w:r>
      <w:r w:rsidR="00ED0EC7" w:rsidRPr="0048739B">
        <w:rPr>
          <w:rFonts w:eastAsia="Calibri"/>
          <w:i/>
          <w:iCs/>
          <w:sz w:val="28"/>
          <w:szCs w:val="28"/>
          <w:lang w:val="es-ES" w:eastAsia="es-ES"/>
        </w:rPr>
        <w:t>”</w:t>
      </w:r>
      <w:r w:rsidR="00ED0EC7" w:rsidRPr="0048739B">
        <w:rPr>
          <w:rFonts w:eastAsia="Calibri"/>
          <w:sz w:val="28"/>
          <w:szCs w:val="28"/>
          <w:lang w:val="es-ES" w:eastAsia="es-ES"/>
        </w:rPr>
        <w:t xml:space="preserve"> </w:t>
      </w:r>
      <w:r w:rsidR="006F3E39" w:rsidRPr="0048739B">
        <w:rPr>
          <w:rFonts w:eastAsia="Calibri"/>
          <w:sz w:val="28"/>
          <w:szCs w:val="28"/>
          <w:lang w:val="es-ES" w:eastAsia="es-ES"/>
        </w:rPr>
        <w:t>de</w:t>
      </w:r>
      <w:r w:rsidR="00ED0EC7" w:rsidRPr="0048739B">
        <w:rPr>
          <w:rFonts w:eastAsia="Calibri"/>
          <w:sz w:val="28"/>
          <w:szCs w:val="28"/>
          <w:lang w:val="es-ES" w:eastAsia="es-ES"/>
        </w:rPr>
        <w:t xml:space="preserve"> la </w:t>
      </w:r>
      <w:r w:rsidR="006F3E39" w:rsidRPr="0048739B">
        <w:rPr>
          <w:rFonts w:eastAsia="Calibri"/>
          <w:sz w:val="28"/>
          <w:szCs w:val="28"/>
          <w:lang w:val="es-ES" w:eastAsia="es-ES"/>
        </w:rPr>
        <w:t>proscripción</w:t>
      </w:r>
      <w:r w:rsidR="00ED0EC7" w:rsidRPr="0048739B">
        <w:rPr>
          <w:rFonts w:eastAsia="Calibri"/>
          <w:sz w:val="28"/>
          <w:szCs w:val="28"/>
          <w:lang w:val="es-ES" w:eastAsia="es-ES"/>
        </w:rPr>
        <w:t xml:space="preserve"> de registro de comunicaciones y archivos</w:t>
      </w:r>
      <w:r w:rsidR="006F3E39" w:rsidRPr="0048739B">
        <w:rPr>
          <w:rFonts w:eastAsia="Calibri"/>
          <w:sz w:val="28"/>
          <w:szCs w:val="28"/>
          <w:lang w:val="es-ES" w:eastAsia="es-ES"/>
        </w:rPr>
        <w:t>, del que trata</w:t>
      </w:r>
      <w:r w:rsidR="009A1399" w:rsidRPr="0048739B">
        <w:rPr>
          <w:rFonts w:eastAsia="Calibri"/>
          <w:sz w:val="28"/>
          <w:szCs w:val="28"/>
          <w:lang w:val="es-ES" w:eastAsia="es-ES"/>
        </w:rPr>
        <w:t>n</w:t>
      </w:r>
      <w:r w:rsidR="006F3E39" w:rsidRPr="0048739B">
        <w:rPr>
          <w:rFonts w:eastAsia="Calibri"/>
          <w:sz w:val="28"/>
          <w:szCs w:val="28"/>
          <w:lang w:val="es-ES" w:eastAsia="es-ES"/>
        </w:rPr>
        <w:t xml:space="preserve"> su p</w:t>
      </w:r>
      <w:r w:rsidR="009A1399" w:rsidRPr="0048739B">
        <w:rPr>
          <w:rFonts w:eastAsia="Calibri"/>
          <w:sz w:val="28"/>
          <w:szCs w:val="28"/>
          <w:lang w:val="es-ES" w:eastAsia="es-ES"/>
        </w:rPr>
        <w:t>rimer inciso y los numerales 1, 2 y 3,</w:t>
      </w:r>
      <w:r w:rsidRPr="0048739B">
        <w:rPr>
          <w:rFonts w:eastAsia="Calibri"/>
          <w:sz w:val="28"/>
          <w:szCs w:val="28"/>
          <w:lang w:val="es-ES" w:eastAsia="es-ES"/>
        </w:rPr>
        <w:t xml:space="preserve"> desaparece</w:t>
      </w:r>
      <w:r w:rsidR="000A281B" w:rsidRPr="0048739B">
        <w:rPr>
          <w:rFonts w:eastAsia="Calibri"/>
          <w:sz w:val="28"/>
          <w:szCs w:val="28"/>
          <w:lang w:val="es-ES" w:eastAsia="es-ES"/>
        </w:rPr>
        <w:t xml:space="preserve"> cuando</w:t>
      </w:r>
      <w:r w:rsidRPr="0048739B">
        <w:rPr>
          <w:rFonts w:eastAsia="Calibri"/>
          <w:sz w:val="28"/>
          <w:szCs w:val="28"/>
          <w:lang w:val="es-ES" w:eastAsia="es-ES"/>
        </w:rPr>
        <w:t xml:space="preserve">: (i) media renuncia del indiciado, imputado o acusado; </w:t>
      </w:r>
      <w:r w:rsidR="009A1399" w:rsidRPr="0048739B">
        <w:rPr>
          <w:rFonts w:eastAsia="Calibri"/>
          <w:sz w:val="28"/>
          <w:szCs w:val="28"/>
          <w:lang w:val="es-ES" w:eastAsia="es-ES"/>
        </w:rPr>
        <w:t>o</w:t>
      </w:r>
      <w:r w:rsidRPr="0048739B">
        <w:rPr>
          <w:rFonts w:eastAsia="Calibri"/>
          <w:sz w:val="28"/>
          <w:szCs w:val="28"/>
          <w:lang w:val="es-ES" w:eastAsia="es-ES"/>
        </w:rPr>
        <w:t xml:space="preserve">, </w:t>
      </w:r>
      <w:r w:rsidR="00ED0EC7" w:rsidRPr="0048739B">
        <w:rPr>
          <w:rFonts w:eastAsia="Calibri"/>
          <w:sz w:val="28"/>
          <w:szCs w:val="28"/>
          <w:lang w:val="es-ES" w:eastAsia="es-ES"/>
        </w:rPr>
        <w:t xml:space="preserve">(ii) </w:t>
      </w:r>
      <w:r w:rsidRPr="0048739B">
        <w:rPr>
          <w:rFonts w:eastAsia="Calibri"/>
          <w:sz w:val="28"/>
          <w:szCs w:val="28"/>
          <w:lang w:val="es-ES" w:eastAsia="es-ES"/>
        </w:rPr>
        <w:t xml:space="preserve">para lo que </w:t>
      </w:r>
      <w:r w:rsidR="00ED0EC7" w:rsidRPr="0048739B">
        <w:rPr>
          <w:rFonts w:eastAsia="Calibri"/>
          <w:sz w:val="28"/>
          <w:szCs w:val="28"/>
          <w:lang w:val="es-ES" w:eastAsia="es-ES"/>
        </w:rPr>
        <w:t>atañe al asunto que convoca a</w:t>
      </w:r>
      <w:r w:rsidRPr="0048739B">
        <w:rPr>
          <w:rFonts w:eastAsia="Calibri"/>
          <w:sz w:val="28"/>
          <w:szCs w:val="28"/>
          <w:lang w:val="es-ES" w:eastAsia="es-ES"/>
        </w:rPr>
        <w:t xml:space="preserve"> la Sala en esta ocasión, </w:t>
      </w:r>
      <w:r w:rsidR="001F1927" w:rsidRPr="0048739B">
        <w:rPr>
          <w:rFonts w:eastAsia="Calibri"/>
          <w:i/>
          <w:iCs/>
          <w:sz w:val="28"/>
          <w:szCs w:val="28"/>
          <w:lang w:val="es-ES" w:eastAsia="es-ES"/>
        </w:rPr>
        <w:t>“</w:t>
      </w:r>
      <w:r w:rsidR="00942839" w:rsidRPr="0048739B">
        <w:rPr>
          <w:rFonts w:eastAsia="Calibri"/>
          <w:i/>
          <w:iCs/>
          <w:sz w:val="28"/>
          <w:szCs w:val="28"/>
          <w:lang w:val="es-ES" w:eastAsia="es-ES"/>
        </w:rPr>
        <w:t>por tratarse de personas vinculadas como auxiliadores, partícipes o coautoras del delito investigado o de uno conexo o que se encuentre en curso, o se trate de situaciones que constituyan una obstrucción a la justicia</w:t>
      </w:r>
      <w:r w:rsidRPr="0048739B">
        <w:rPr>
          <w:rFonts w:eastAsia="Calibri"/>
          <w:i/>
          <w:iCs/>
          <w:sz w:val="28"/>
          <w:szCs w:val="28"/>
          <w:lang w:val="es-ES" w:eastAsia="es-ES"/>
        </w:rPr>
        <w:t>”</w:t>
      </w:r>
      <w:r w:rsidRPr="0048739B">
        <w:rPr>
          <w:rFonts w:eastAsia="Calibri"/>
          <w:sz w:val="28"/>
          <w:szCs w:val="28"/>
          <w:lang w:val="es-ES" w:eastAsia="es-ES"/>
        </w:rPr>
        <w:t xml:space="preserve">. </w:t>
      </w:r>
    </w:p>
    <w:p w14:paraId="69184DDA" w14:textId="77777777" w:rsidR="009A1399" w:rsidRPr="0048739B" w:rsidRDefault="009A1399" w:rsidP="0048739B">
      <w:pPr>
        <w:autoSpaceDE w:val="0"/>
        <w:autoSpaceDN w:val="0"/>
        <w:spacing w:after="0" w:line="240" w:lineRule="auto"/>
        <w:jc w:val="both"/>
        <w:rPr>
          <w:rFonts w:eastAsia="Calibri"/>
          <w:sz w:val="28"/>
          <w:szCs w:val="28"/>
          <w:lang w:val="es-ES" w:eastAsia="es-ES"/>
        </w:rPr>
      </w:pPr>
    </w:p>
    <w:p w14:paraId="3880EDB2" w14:textId="3599151D" w:rsidR="00F53B1A" w:rsidRPr="0048739B" w:rsidRDefault="0008797D" w:rsidP="0048739B">
      <w:pPr>
        <w:autoSpaceDE w:val="0"/>
        <w:autoSpaceDN w:val="0"/>
        <w:spacing w:after="0" w:line="240" w:lineRule="auto"/>
        <w:jc w:val="both"/>
        <w:rPr>
          <w:rFonts w:eastAsia="Calibri"/>
          <w:sz w:val="28"/>
          <w:szCs w:val="28"/>
          <w:lang w:val="es-ES" w:eastAsia="es-ES"/>
        </w:rPr>
      </w:pPr>
      <w:r w:rsidRPr="0048739B">
        <w:rPr>
          <w:rFonts w:eastAsia="Calibri"/>
          <w:sz w:val="28"/>
          <w:szCs w:val="28"/>
          <w:lang w:val="es-ES" w:eastAsia="es-ES"/>
        </w:rPr>
        <w:t xml:space="preserve">El apartado demandado </w:t>
      </w:r>
      <w:r w:rsidR="005F0C6E" w:rsidRPr="0048739B">
        <w:rPr>
          <w:rFonts w:eastAsia="Calibri"/>
          <w:sz w:val="28"/>
          <w:szCs w:val="28"/>
          <w:lang w:val="es-ES" w:eastAsia="es-ES"/>
        </w:rPr>
        <w:t>conforma</w:t>
      </w:r>
      <w:r w:rsidRPr="0048739B">
        <w:rPr>
          <w:rFonts w:eastAsia="Calibri"/>
          <w:sz w:val="28"/>
          <w:szCs w:val="28"/>
          <w:lang w:val="es-ES" w:eastAsia="es-ES"/>
        </w:rPr>
        <w:t xml:space="preserve"> una de las excepciones a la restricción sobre el registro de comunicaciones y archivos. Concretamente excluye de</w:t>
      </w:r>
      <w:r w:rsidR="002D230D" w:rsidRPr="0048739B">
        <w:rPr>
          <w:rFonts w:eastAsia="Calibri"/>
          <w:sz w:val="28"/>
          <w:szCs w:val="28"/>
          <w:lang w:val="es-ES" w:eastAsia="es-ES"/>
        </w:rPr>
        <w:t xml:space="preserve"> la prohibición de registro</w:t>
      </w:r>
      <w:r w:rsidR="008168D4" w:rsidRPr="0048739B">
        <w:rPr>
          <w:rFonts w:eastAsia="Calibri"/>
          <w:sz w:val="28"/>
          <w:szCs w:val="28"/>
          <w:lang w:val="es-ES" w:eastAsia="es-ES"/>
        </w:rPr>
        <w:t xml:space="preserve"> </w:t>
      </w:r>
      <w:r w:rsidRPr="0048739B">
        <w:rPr>
          <w:rFonts w:eastAsia="Calibri"/>
          <w:sz w:val="28"/>
          <w:szCs w:val="28"/>
          <w:lang w:val="es-ES" w:eastAsia="es-ES"/>
        </w:rPr>
        <w:t xml:space="preserve">a las personas vinculadas como auxiliadores, partícipes o coautoras del delito investigado o de uno conexo o que se encuentre en curso. </w:t>
      </w:r>
      <w:r w:rsidR="002D230D" w:rsidRPr="0048739B">
        <w:rPr>
          <w:rFonts w:eastAsia="Calibri"/>
          <w:sz w:val="28"/>
          <w:szCs w:val="28"/>
          <w:lang w:val="es-ES" w:eastAsia="es-ES"/>
        </w:rPr>
        <w:t xml:space="preserve">Sin embargo, </w:t>
      </w:r>
      <w:r w:rsidR="005F0C6E" w:rsidRPr="0048739B">
        <w:rPr>
          <w:rFonts w:eastAsia="Calibri"/>
          <w:sz w:val="28"/>
          <w:szCs w:val="28"/>
          <w:lang w:val="es-ES" w:eastAsia="es-ES"/>
        </w:rPr>
        <w:t>tal</w:t>
      </w:r>
      <w:r w:rsidR="002D230D" w:rsidRPr="0048739B">
        <w:rPr>
          <w:rFonts w:eastAsia="Calibri"/>
          <w:sz w:val="28"/>
          <w:szCs w:val="28"/>
          <w:lang w:val="es-ES" w:eastAsia="es-ES"/>
        </w:rPr>
        <w:t xml:space="preserve"> calidad </w:t>
      </w:r>
      <w:r w:rsidR="00F10AF3" w:rsidRPr="0048739B">
        <w:rPr>
          <w:rFonts w:eastAsia="Calibri"/>
          <w:sz w:val="28"/>
          <w:szCs w:val="28"/>
          <w:lang w:val="es-ES" w:eastAsia="es-ES"/>
        </w:rPr>
        <w:t xml:space="preserve">(vinculado como auxiliador, partícipe o coautora) </w:t>
      </w:r>
      <w:r w:rsidR="002D230D" w:rsidRPr="0048739B">
        <w:rPr>
          <w:rFonts w:eastAsia="Calibri"/>
          <w:sz w:val="28"/>
          <w:szCs w:val="28"/>
          <w:lang w:val="es-ES" w:eastAsia="es-ES"/>
        </w:rPr>
        <w:t>no es relevante en el indiciado, imputado o acusado,</w:t>
      </w:r>
      <w:r w:rsidR="00DE4A8D" w:rsidRPr="0048739B">
        <w:rPr>
          <w:rFonts w:eastAsia="Calibri"/>
          <w:sz w:val="28"/>
          <w:szCs w:val="28"/>
          <w:lang w:val="es-ES" w:eastAsia="es-ES"/>
        </w:rPr>
        <w:t xml:space="preserve"> </w:t>
      </w:r>
      <w:r w:rsidR="004B2D19" w:rsidRPr="0048739B">
        <w:rPr>
          <w:rFonts w:eastAsia="Calibri"/>
          <w:sz w:val="28"/>
          <w:szCs w:val="28"/>
          <w:lang w:val="es-ES" w:eastAsia="es-ES"/>
        </w:rPr>
        <w:t>porque</w:t>
      </w:r>
      <w:r w:rsidR="002D230D" w:rsidRPr="0048739B">
        <w:rPr>
          <w:rFonts w:eastAsia="Calibri"/>
          <w:sz w:val="28"/>
          <w:szCs w:val="28"/>
          <w:lang w:val="es-ES" w:eastAsia="es-ES"/>
        </w:rPr>
        <w:t xml:space="preserve"> </w:t>
      </w:r>
      <w:r w:rsidR="00F10AF3" w:rsidRPr="0048739B">
        <w:rPr>
          <w:rFonts w:eastAsia="Calibri"/>
          <w:sz w:val="28"/>
          <w:szCs w:val="28"/>
          <w:lang w:val="es-ES" w:eastAsia="es-ES"/>
        </w:rPr>
        <w:t xml:space="preserve">no lo califica a él, </w:t>
      </w:r>
      <w:r w:rsidR="002D230D" w:rsidRPr="0048739B">
        <w:rPr>
          <w:rFonts w:eastAsia="Calibri"/>
          <w:sz w:val="28"/>
          <w:szCs w:val="28"/>
          <w:lang w:val="es-ES" w:eastAsia="es-ES"/>
        </w:rPr>
        <w:t xml:space="preserve">sino </w:t>
      </w:r>
      <w:r w:rsidR="00F10AF3" w:rsidRPr="0048739B">
        <w:rPr>
          <w:rFonts w:eastAsia="Calibri"/>
          <w:sz w:val="28"/>
          <w:szCs w:val="28"/>
          <w:lang w:val="es-ES" w:eastAsia="es-ES"/>
        </w:rPr>
        <w:t>a</w:t>
      </w:r>
      <w:r w:rsidR="002D230D" w:rsidRPr="0048739B">
        <w:rPr>
          <w:rFonts w:eastAsia="Calibri"/>
          <w:sz w:val="28"/>
          <w:szCs w:val="28"/>
          <w:lang w:val="es-ES" w:eastAsia="es-ES"/>
        </w:rPr>
        <w:t xml:space="preserve">l profesional del derecho o </w:t>
      </w:r>
      <w:r w:rsidR="00F10AF3" w:rsidRPr="0048739B">
        <w:rPr>
          <w:rFonts w:eastAsia="Calibri"/>
          <w:sz w:val="28"/>
          <w:szCs w:val="28"/>
          <w:lang w:val="es-ES" w:eastAsia="es-ES"/>
        </w:rPr>
        <w:t>a</w:t>
      </w:r>
      <w:r w:rsidR="002D230D" w:rsidRPr="0048739B">
        <w:rPr>
          <w:rFonts w:eastAsia="Calibri"/>
          <w:sz w:val="28"/>
          <w:szCs w:val="28"/>
          <w:lang w:val="es-ES" w:eastAsia="es-ES"/>
        </w:rPr>
        <w:t xml:space="preserve">l familiar con </w:t>
      </w:r>
      <w:r w:rsidR="00F10AF3" w:rsidRPr="0048739B">
        <w:rPr>
          <w:rFonts w:eastAsia="Calibri"/>
          <w:sz w:val="28"/>
          <w:szCs w:val="28"/>
          <w:lang w:val="es-ES" w:eastAsia="es-ES"/>
        </w:rPr>
        <w:t xml:space="preserve">el que se </w:t>
      </w:r>
      <w:r w:rsidR="00B10E70" w:rsidRPr="0048739B">
        <w:rPr>
          <w:rFonts w:eastAsia="Calibri"/>
          <w:sz w:val="28"/>
          <w:szCs w:val="28"/>
          <w:lang w:val="es-ES" w:eastAsia="es-ES"/>
        </w:rPr>
        <w:t>intercambie correspondencia o disponga de los archivos, conforme sea el caso</w:t>
      </w:r>
      <w:r w:rsidR="002D230D" w:rsidRPr="0048739B">
        <w:rPr>
          <w:rFonts w:eastAsia="Calibri"/>
          <w:sz w:val="28"/>
          <w:szCs w:val="28"/>
          <w:lang w:val="es-ES" w:eastAsia="es-ES"/>
        </w:rPr>
        <w:t xml:space="preserve">. </w:t>
      </w:r>
    </w:p>
    <w:p w14:paraId="61AB72E0" w14:textId="77777777" w:rsidR="0059328A" w:rsidRPr="0048739B" w:rsidRDefault="0059328A" w:rsidP="0048739B">
      <w:pPr>
        <w:pStyle w:val="Prrafodelista"/>
        <w:autoSpaceDE w:val="0"/>
        <w:autoSpaceDN w:val="0"/>
        <w:spacing w:after="0" w:line="240" w:lineRule="auto"/>
        <w:ind w:left="0"/>
        <w:jc w:val="both"/>
        <w:rPr>
          <w:rFonts w:eastAsia="Calibri"/>
          <w:sz w:val="28"/>
          <w:szCs w:val="28"/>
          <w:lang w:val="es-ES" w:eastAsia="es-ES"/>
        </w:rPr>
      </w:pPr>
    </w:p>
    <w:p w14:paraId="62CDABE6" w14:textId="02189321" w:rsidR="009B2888" w:rsidRPr="0048739B" w:rsidRDefault="0059328A" w:rsidP="0048739B">
      <w:pPr>
        <w:pStyle w:val="Prrafodelista"/>
        <w:autoSpaceDE w:val="0"/>
        <w:autoSpaceDN w:val="0"/>
        <w:spacing w:after="0" w:line="240" w:lineRule="auto"/>
        <w:ind w:left="0"/>
        <w:jc w:val="both"/>
        <w:rPr>
          <w:rFonts w:eastAsia="Calibri"/>
          <w:sz w:val="28"/>
          <w:szCs w:val="28"/>
          <w:lang w:val="es-ES" w:eastAsia="es-ES"/>
        </w:rPr>
      </w:pPr>
      <w:r w:rsidRPr="0048739B">
        <w:rPr>
          <w:rFonts w:eastAsia="Calibri"/>
          <w:sz w:val="28"/>
          <w:szCs w:val="28"/>
          <w:lang w:val="es-ES" w:eastAsia="es-ES"/>
        </w:rPr>
        <w:t>Así las cosas, l</w:t>
      </w:r>
      <w:r w:rsidR="0008797D" w:rsidRPr="0048739B">
        <w:rPr>
          <w:rFonts w:eastAsia="Calibri"/>
          <w:sz w:val="28"/>
          <w:szCs w:val="28"/>
          <w:lang w:val="es-ES" w:eastAsia="es-ES"/>
        </w:rPr>
        <w:t xml:space="preserve">a </w:t>
      </w:r>
      <w:r w:rsidR="00376741" w:rsidRPr="0048739B">
        <w:rPr>
          <w:rFonts w:eastAsia="Calibri"/>
          <w:sz w:val="28"/>
          <w:szCs w:val="28"/>
          <w:lang w:val="es-ES" w:eastAsia="es-ES"/>
        </w:rPr>
        <w:t>limitación al</w:t>
      </w:r>
      <w:r w:rsidR="0008797D" w:rsidRPr="0048739B">
        <w:rPr>
          <w:rFonts w:eastAsia="Calibri"/>
          <w:sz w:val="28"/>
          <w:szCs w:val="28"/>
          <w:lang w:val="es-ES" w:eastAsia="es-ES"/>
        </w:rPr>
        <w:t xml:space="preserve"> registro de comunicaciones </w:t>
      </w:r>
      <w:r w:rsidR="008A356F" w:rsidRPr="0048739B">
        <w:rPr>
          <w:rFonts w:eastAsia="Calibri"/>
          <w:sz w:val="28"/>
          <w:szCs w:val="28"/>
          <w:lang w:val="es-ES" w:eastAsia="es-ES"/>
        </w:rPr>
        <w:t xml:space="preserve">tiene lugar cuando quien </w:t>
      </w:r>
      <w:r w:rsidRPr="0048739B">
        <w:rPr>
          <w:rFonts w:eastAsia="Calibri"/>
          <w:sz w:val="28"/>
          <w:szCs w:val="28"/>
          <w:lang w:val="es-ES" w:eastAsia="es-ES"/>
        </w:rPr>
        <w:t>se comunica</w:t>
      </w:r>
      <w:r w:rsidR="008A356F" w:rsidRPr="0048739B">
        <w:rPr>
          <w:rFonts w:eastAsia="Calibri"/>
          <w:sz w:val="28"/>
          <w:szCs w:val="28"/>
          <w:lang w:val="es-ES" w:eastAsia="es-ES"/>
        </w:rPr>
        <w:t xml:space="preserve"> con el indiciado, imputado o acusado es su </w:t>
      </w:r>
      <w:r w:rsidR="00910A22" w:rsidRPr="0048739B">
        <w:rPr>
          <w:rFonts w:eastAsia="Calibri"/>
          <w:sz w:val="28"/>
          <w:szCs w:val="28"/>
          <w:lang w:val="es-ES" w:eastAsia="es-ES"/>
        </w:rPr>
        <w:t>defensor</w:t>
      </w:r>
      <w:r w:rsidR="008A356F" w:rsidRPr="0048739B">
        <w:rPr>
          <w:rFonts w:eastAsia="Calibri"/>
          <w:sz w:val="28"/>
          <w:szCs w:val="28"/>
          <w:lang w:val="es-ES" w:eastAsia="es-ES"/>
        </w:rPr>
        <w:t xml:space="preserve"> o las personas exentas del deber de testificar en su contra</w:t>
      </w:r>
      <w:r w:rsidR="00376741" w:rsidRPr="0048739B">
        <w:rPr>
          <w:rFonts w:eastAsia="Calibri"/>
          <w:sz w:val="28"/>
          <w:szCs w:val="28"/>
          <w:lang w:val="es-ES" w:eastAsia="es-ES"/>
        </w:rPr>
        <w:t>.</w:t>
      </w:r>
      <w:r w:rsidR="008A356F" w:rsidRPr="0048739B">
        <w:rPr>
          <w:rFonts w:eastAsia="Calibri"/>
          <w:sz w:val="28"/>
          <w:szCs w:val="28"/>
          <w:lang w:val="es-ES" w:eastAsia="es-ES"/>
        </w:rPr>
        <w:t xml:space="preserve"> </w:t>
      </w:r>
      <w:r w:rsidR="00910A22" w:rsidRPr="0048739B">
        <w:rPr>
          <w:rFonts w:eastAsia="Calibri"/>
          <w:sz w:val="28"/>
          <w:szCs w:val="28"/>
          <w:lang w:val="es-ES" w:eastAsia="es-ES"/>
        </w:rPr>
        <w:t>Esta restricción s</w:t>
      </w:r>
      <w:r w:rsidR="00376741" w:rsidRPr="0048739B">
        <w:rPr>
          <w:rFonts w:eastAsia="Calibri"/>
          <w:sz w:val="28"/>
          <w:szCs w:val="28"/>
          <w:lang w:val="es-ES" w:eastAsia="es-ES"/>
        </w:rPr>
        <w:t xml:space="preserve">e suprime cuando tales individuos, el abogado o quienes no </w:t>
      </w:r>
      <w:r w:rsidR="00910A22" w:rsidRPr="0048739B">
        <w:rPr>
          <w:rFonts w:eastAsia="Calibri"/>
          <w:sz w:val="28"/>
          <w:szCs w:val="28"/>
          <w:lang w:val="es-ES" w:eastAsia="es-ES"/>
        </w:rPr>
        <w:t>deben</w:t>
      </w:r>
      <w:r w:rsidR="00376741" w:rsidRPr="0048739B">
        <w:rPr>
          <w:rFonts w:eastAsia="Calibri"/>
          <w:sz w:val="28"/>
          <w:szCs w:val="28"/>
          <w:lang w:val="es-ES" w:eastAsia="es-ES"/>
        </w:rPr>
        <w:t xml:space="preserve"> testificar, son </w:t>
      </w:r>
      <w:r w:rsidR="00376741" w:rsidRPr="0048739B">
        <w:rPr>
          <w:rFonts w:eastAsia="Calibri"/>
          <w:i/>
          <w:iCs/>
          <w:sz w:val="28"/>
          <w:szCs w:val="28"/>
          <w:lang w:val="es-ES" w:eastAsia="es-ES"/>
        </w:rPr>
        <w:t>“</w:t>
      </w:r>
      <w:r w:rsidR="00D1304A" w:rsidRPr="0048739B">
        <w:rPr>
          <w:rFonts w:eastAsia="Calibri"/>
          <w:i/>
          <w:iCs/>
          <w:sz w:val="28"/>
          <w:szCs w:val="28"/>
          <w:lang w:val="es-ES" w:eastAsia="es-ES"/>
        </w:rPr>
        <w:t>personas vinculadas como auxiliadores, partícipes o coautoras del delito investigado o de uno conexo o que se encuentre en curso, o se trate de situaciones que constituyan una obstrucción a la justicia</w:t>
      </w:r>
      <w:r w:rsidR="00376741" w:rsidRPr="0048739B">
        <w:rPr>
          <w:rFonts w:eastAsia="Calibri"/>
          <w:i/>
          <w:iCs/>
          <w:sz w:val="28"/>
          <w:szCs w:val="28"/>
          <w:lang w:val="es-ES" w:eastAsia="es-ES"/>
        </w:rPr>
        <w:t>”</w:t>
      </w:r>
      <w:r w:rsidR="00376741" w:rsidRPr="0048739B">
        <w:rPr>
          <w:rFonts w:eastAsia="Calibri"/>
          <w:sz w:val="28"/>
          <w:szCs w:val="28"/>
          <w:lang w:val="es-ES" w:eastAsia="es-ES"/>
        </w:rPr>
        <w:t>.</w:t>
      </w:r>
      <w:r w:rsidR="00F819BF" w:rsidRPr="0048739B">
        <w:rPr>
          <w:rFonts w:eastAsia="Calibri"/>
          <w:sz w:val="28"/>
          <w:szCs w:val="28"/>
          <w:lang w:val="es-ES" w:eastAsia="es-ES"/>
        </w:rPr>
        <w:t xml:space="preserve"> Así mismo opera </w:t>
      </w:r>
      <w:r w:rsidR="00BD01AB" w:rsidRPr="0048739B">
        <w:rPr>
          <w:rFonts w:eastAsia="Calibri"/>
          <w:sz w:val="28"/>
          <w:szCs w:val="28"/>
          <w:lang w:val="es-ES" w:eastAsia="es-ES"/>
        </w:rPr>
        <w:t xml:space="preserve">la norma </w:t>
      </w:r>
      <w:r w:rsidR="00F819BF" w:rsidRPr="0048739B">
        <w:rPr>
          <w:rFonts w:eastAsia="Calibri"/>
          <w:sz w:val="28"/>
          <w:szCs w:val="28"/>
          <w:lang w:val="es-ES" w:eastAsia="es-ES"/>
        </w:rPr>
        <w:t xml:space="preserve">en relación con </w:t>
      </w:r>
      <w:r w:rsidR="005B5497" w:rsidRPr="0048739B">
        <w:rPr>
          <w:rFonts w:eastAsia="Calibri"/>
          <w:sz w:val="28"/>
          <w:szCs w:val="28"/>
          <w:lang w:val="es-ES" w:eastAsia="es-ES"/>
        </w:rPr>
        <w:t xml:space="preserve">la limitación para </w:t>
      </w:r>
      <w:r w:rsidR="00F819BF" w:rsidRPr="0048739B">
        <w:rPr>
          <w:rFonts w:eastAsia="Calibri"/>
          <w:sz w:val="28"/>
          <w:szCs w:val="28"/>
          <w:lang w:val="es-ES" w:eastAsia="es-ES"/>
        </w:rPr>
        <w:t xml:space="preserve">el registro de archivos. </w:t>
      </w:r>
    </w:p>
    <w:p w14:paraId="46C78AE2" w14:textId="07487F75" w:rsidR="00376741" w:rsidRPr="0048739B" w:rsidRDefault="00376741" w:rsidP="0048739B">
      <w:pPr>
        <w:autoSpaceDE w:val="0"/>
        <w:autoSpaceDN w:val="0"/>
        <w:spacing w:after="0" w:line="240" w:lineRule="auto"/>
        <w:jc w:val="both"/>
        <w:rPr>
          <w:rFonts w:eastAsia="Calibri"/>
          <w:sz w:val="28"/>
          <w:szCs w:val="28"/>
          <w:lang w:val="es-ES" w:eastAsia="es-ES"/>
        </w:rPr>
      </w:pPr>
    </w:p>
    <w:p w14:paraId="75321A01" w14:textId="0B884066" w:rsidR="00FA60E2" w:rsidRPr="0048739B" w:rsidRDefault="00F07F1F" w:rsidP="0048739B">
      <w:pPr>
        <w:pStyle w:val="Prrafodelista"/>
        <w:numPr>
          <w:ilvl w:val="0"/>
          <w:numId w:val="1"/>
        </w:numPr>
        <w:autoSpaceDE w:val="0"/>
        <w:autoSpaceDN w:val="0"/>
        <w:spacing w:after="0" w:line="240" w:lineRule="auto"/>
        <w:jc w:val="both"/>
        <w:rPr>
          <w:rFonts w:eastAsia="Calibri"/>
          <w:sz w:val="28"/>
          <w:szCs w:val="28"/>
          <w:lang w:val="es-ES" w:eastAsia="es-ES"/>
        </w:rPr>
      </w:pPr>
      <w:r w:rsidRPr="0048739B">
        <w:rPr>
          <w:rFonts w:eastAsia="Calibri"/>
          <w:sz w:val="28"/>
          <w:szCs w:val="28"/>
          <w:lang w:val="es-ES" w:eastAsia="es-ES"/>
        </w:rPr>
        <w:t>L</w:t>
      </w:r>
      <w:r w:rsidR="00F53B1A" w:rsidRPr="0048739B">
        <w:rPr>
          <w:rFonts w:eastAsia="Calibri"/>
          <w:sz w:val="28"/>
          <w:szCs w:val="28"/>
          <w:lang w:val="es-ES" w:eastAsia="es-ES"/>
        </w:rPr>
        <w:t xml:space="preserve">a </w:t>
      </w:r>
      <w:r w:rsidR="00BD01AB" w:rsidRPr="0048739B">
        <w:rPr>
          <w:rFonts w:eastAsia="Calibri"/>
          <w:sz w:val="28"/>
          <w:szCs w:val="28"/>
          <w:lang w:val="es-ES" w:eastAsia="es-ES"/>
        </w:rPr>
        <w:t xml:space="preserve">disposición </w:t>
      </w:r>
      <w:r w:rsidR="00F53B1A" w:rsidRPr="0048739B">
        <w:rPr>
          <w:rFonts w:eastAsia="Calibri"/>
          <w:sz w:val="28"/>
          <w:szCs w:val="28"/>
          <w:lang w:val="es-ES" w:eastAsia="es-ES"/>
        </w:rPr>
        <w:t>señala que la proscripción del registro se mantiene siempre y cuando el abogado y las personas dispensadas del deber de testifica</w:t>
      </w:r>
      <w:r w:rsidR="00CA5B61" w:rsidRPr="0048739B">
        <w:rPr>
          <w:rFonts w:eastAsia="Calibri"/>
          <w:sz w:val="28"/>
          <w:szCs w:val="28"/>
          <w:lang w:val="es-ES" w:eastAsia="es-ES"/>
        </w:rPr>
        <w:t>r</w:t>
      </w:r>
      <w:r w:rsidR="004B50BF" w:rsidRPr="0048739B">
        <w:rPr>
          <w:rFonts w:eastAsia="Calibri"/>
          <w:sz w:val="28"/>
          <w:szCs w:val="28"/>
          <w:lang w:val="es-ES" w:eastAsia="es-ES"/>
        </w:rPr>
        <w:t xml:space="preserve">, no hayan sido </w:t>
      </w:r>
      <w:r w:rsidR="004B50BF" w:rsidRPr="0048739B">
        <w:rPr>
          <w:rFonts w:eastAsia="Calibri"/>
          <w:i/>
          <w:iCs/>
          <w:sz w:val="28"/>
          <w:szCs w:val="28"/>
          <w:lang w:val="es-ES" w:eastAsia="es-ES"/>
        </w:rPr>
        <w:t>“personas vinculadas como auxiliadores, partícipes o coautoras del delito investigado o de uno conexo o que se encuentre en curso”</w:t>
      </w:r>
      <w:r w:rsidR="004B50BF" w:rsidRPr="0048739B">
        <w:rPr>
          <w:rFonts w:eastAsia="Calibri"/>
          <w:sz w:val="28"/>
          <w:szCs w:val="28"/>
          <w:lang w:val="es-ES" w:eastAsia="es-ES"/>
        </w:rPr>
        <w:t>. No se refiere a la modalidad de autoría o participación del indiciado, imputado o acusado</w:t>
      </w:r>
      <w:r w:rsidR="00250A9F" w:rsidRPr="0048739B">
        <w:rPr>
          <w:rFonts w:eastAsia="Calibri"/>
          <w:sz w:val="28"/>
          <w:szCs w:val="28"/>
          <w:lang w:val="es-ES" w:eastAsia="es-ES"/>
        </w:rPr>
        <w:t>, sino de quien pretende contactarlo o dispone de los archivos mencionados</w:t>
      </w:r>
      <w:r w:rsidR="004B50BF" w:rsidRPr="0048739B">
        <w:rPr>
          <w:rFonts w:eastAsia="Calibri"/>
          <w:sz w:val="28"/>
          <w:szCs w:val="28"/>
          <w:lang w:val="es-ES" w:eastAsia="es-ES"/>
        </w:rPr>
        <w:t xml:space="preserve">. En esa medida, </w:t>
      </w:r>
      <w:r w:rsidR="00250A9F" w:rsidRPr="0048739B">
        <w:rPr>
          <w:rFonts w:eastAsia="Calibri"/>
          <w:sz w:val="28"/>
          <w:szCs w:val="28"/>
          <w:lang w:val="es-ES" w:eastAsia="es-ES"/>
        </w:rPr>
        <w:t>el hecho de que</w:t>
      </w:r>
      <w:r w:rsidR="004B50BF" w:rsidRPr="0048739B">
        <w:rPr>
          <w:rFonts w:eastAsia="Calibri"/>
          <w:sz w:val="28"/>
          <w:szCs w:val="28"/>
          <w:lang w:val="es-ES" w:eastAsia="es-ES"/>
        </w:rPr>
        <w:t xml:space="preserve"> quien </w:t>
      </w:r>
      <w:r w:rsidR="00250A9F" w:rsidRPr="0048739B">
        <w:rPr>
          <w:rFonts w:eastAsia="Calibri"/>
          <w:sz w:val="28"/>
          <w:szCs w:val="28"/>
          <w:lang w:val="es-ES" w:eastAsia="es-ES"/>
        </w:rPr>
        <w:t>está</w:t>
      </w:r>
      <w:r w:rsidR="004B50BF" w:rsidRPr="0048739B">
        <w:rPr>
          <w:rFonts w:eastAsia="Calibri"/>
          <w:sz w:val="28"/>
          <w:szCs w:val="28"/>
          <w:lang w:val="es-ES" w:eastAsia="es-ES"/>
        </w:rPr>
        <w:t xml:space="preserve"> vinculado a una investigación, indagación o a un proceso penal </w:t>
      </w:r>
      <w:r w:rsidR="00250A9F" w:rsidRPr="0048739B">
        <w:rPr>
          <w:rFonts w:eastAsia="Calibri"/>
          <w:sz w:val="28"/>
          <w:szCs w:val="28"/>
          <w:lang w:val="es-ES" w:eastAsia="es-ES"/>
        </w:rPr>
        <w:t xml:space="preserve">actúe </w:t>
      </w:r>
      <w:r w:rsidR="001A6605" w:rsidRPr="0048739B">
        <w:rPr>
          <w:rFonts w:eastAsia="Calibri"/>
          <w:sz w:val="28"/>
          <w:szCs w:val="28"/>
          <w:lang w:val="es-ES" w:eastAsia="es-ES"/>
        </w:rPr>
        <w:t xml:space="preserve">bien sea </w:t>
      </w:r>
      <w:r w:rsidR="00250A9F" w:rsidRPr="0048739B">
        <w:rPr>
          <w:rFonts w:eastAsia="Calibri"/>
          <w:sz w:val="28"/>
          <w:szCs w:val="28"/>
          <w:lang w:val="es-ES" w:eastAsia="es-ES"/>
        </w:rPr>
        <w:t xml:space="preserve">como autor, o como partícipe, resulta indiferente para las consecuencias jurídicas que prevé la norma. </w:t>
      </w:r>
    </w:p>
    <w:p w14:paraId="483B79D6" w14:textId="77777777" w:rsidR="00FA60E2" w:rsidRPr="0048739B" w:rsidRDefault="00FA60E2" w:rsidP="0048739B">
      <w:pPr>
        <w:pStyle w:val="Prrafodelista"/>
        <w:autoSpaceDE w:val="0"/>
        <w:autoSpaceDN w:val="0"/>
        <w:spacing w:after="0" w:line="240" w:lineRule="auto"/>
        <w:ind w:left="0"/>
        <w:jc w:val="both"/>
        <w:rPr>
          <w:rFonts w:eastAsia="Calibri"/>
          <w:sz w:val="28"/>
          <w:szCs w:val="28"/>
          <w:lang w:val="es-ES" w:eastAsia="es-ES"/>
        </w:rPr>
      </w:pPr>
    </w:p>
    <w:p w14:paraId="7B84A72F" w14:textId="6D0D8C16" w:rsidR="005F60AA" w:rsidRPr="0048739B" w:rsidRDefault="00F07F1F" w:rsidP="0048739B">
      <w:pPr>
        <w:pStyle w:val="Prrafodelista"/>
        <w:autoSpaceDE w:val="0"/>
        <w:autoSpaceDN w:val="0"/>
        <w:spacing w:after="0" w:line="240" w:lineRule="auto"/>
        <w:ind w:left="0"/>
        <w:jc w:val="both"/>
        <w:rPr>
          <w:rFonts w:eastAsia="Calibri"/>
          <w:sz w:val="28"/>
          <w:szCs w:val="28"/>
          <w:lang w:val="es-ES" w:eastAsia="es-ES"/>
        </w:rPr>
      </w:pPr>
      <w:r w:rsidRPr="0048739B">
        <w:rPr>
          <w:rFonts w:eastAsia="Calibri"/>
          <w:sz w:val="28"/>
          <w:szCs w:val="28"/>
          <w:lang w:val="es-ES" w:eastAsia="es-ES"/>
        </w:rPr>
        <w:t xml:space="preserve">Tanto el autor como el </w:t>
      </w:r>
      <w:r w:rsidR="00F2202D" w:rsidRPr="0048739B">
        <w:rPr>
          <w:rFonts w:eastAsia="Calibri"/>
          <w:sz w:val="28"/>
          <w:szCs w:val="28"/>
          <w:lang w:val="es-ES" w:eastAsia="es-ES"/>
        </w:rPr>
        <w:t>partícipe tendrán</w:t>
      </w:r>
      <w:r w:rsidR="0028101F" w:rsidRPr="0048739B">
        <w:rPr>
          <w:rFonts w:eastAsia="Calibri"/>
          <w:sz w:val="28"/>
          <w:szCs w:val="28"/>
          <w:lang w:val="es-ES" w:eastAsia="es-ES"/>
        </w:rPr>
        <w:t xml:space="preserve"> los mismos derechos y restricciones en relación con su abogado y las personas más allegadas a </w:t>
      </w:r>
      <w:r w:rsidRPr="0048739B">
        <w:rPr>
          <w:rFonts w:eastAsia="Calibri"/>
          <w:sz w:val="28"/>
          <w:szCs w:val="28"/>
          <w:lang w:val="es-ES" w:eastAsia="es-ES"/>
        </w:rPr>
        <w:t>ellos</w:t>
      </w:r>
      <w:r w:rsidR="0028101F" w:rsidRPr="0048739B">
        <w:rPr>
          <w:rFonts w:eastAsia="Calibri"/>
          <w:sz w:val="28"/>
          <w:szCs w:val="28"/>
          <w:lang w:val="es-ES" w:eastAsia="es-ES"/>
        </w:rPr>
        <w:t>.</w:t>
      </w:r>
      <w:r w:rsidRPr="0048739B">
        <w:rPr>
          <w:rFonts w:eastAsia="Calibri"/>
          <w:sz w:val="28"/>
          <w:szCs w:val="28"/>
          <w:lang w:val="es-ES" w:eastAsia="es-ES"/>
        </w:rPr>
        <w:t xml:space="preserve"> No existe un trato diferenciado en virtud de la calidad de participación del indiciado, imputado o acusado, </w:t>
      </w:r>
      <w:r w:rsidR="0070639D" w:rsidRPr="0048739B">
        <w:rPr>
          <w:rFonts w:eastAsia="Calibri"/>
          <w:sz w:val="28"/>
          <w:szCs w:val="28"/>
          <w:lang w:val="es-ES" w:eastAsia="es-ES"/>
        </w:rPr>
        <w:t>que se desprenda de la norma demandada</w:t>
      </w:r>
      <w:r w:rsidRPr="0048739B">
        <w:rPr>
          <w:rFonts w:eastAsia="Calibri"/>
          <w:sz w:val="28"/>
          <w:szCs w:val="28"/>
          <w:lang w:val="es-ES" w:eastAsia="es-ES"/>
        </w:rPr>
        <w:t>.</w:t>
      </w:r>
      <w:r w:rsidR="008168D4" w:rsidRPr="0048739B">
        <w:rPr>
          <w:rFonts w:eastAsia="Calibri"/>
          <w:sz w:val="28"/>
          <w:szCs w:val="28"/>
          <w:lang w:val="es-ES" w:eastAsia="es-ES"/>
        </w:rPr>
        <w:t xml:space="preserve"> </w:t>
      </w:r>
      <w:r w:rsidR="006D0347" w:rsidRPr="0048739B">
        <w:rPr>
          <w:rFonts w:eastAsia="Calibri"/>
          <w:sz w:val="28"/>
          <w:szCs w:val="28"/>
          <w:lang w:val="es-ES" w:eastAsia="es-ES"/>
        </w:rPr>
        <w:t>L</w:t>
      </w:r>
      <w:r w:rsidR="001F1576" w:rsidRPr="0048739B">
        <w:rPr>
          <w:rFonts w:eastAsia="Calibri"/>
          <w:sz w:val="28"/>
          <w:szCs w:val="28"/>
          <w:lang w:val="es-ES" w:eastAsia="es-ES"/>
        </w:rPr>
        <w:t xml:space="preserve">as modalidades de participación en la conducta punible que se enlistan en el artículo demandado no califican a quien está sometido a indagación o a un proceso penal, sino a las personas que interactúan con él, </w:t>
      </w:r>
      <w:r w:rsidR="006D0347" w:rsidRPr="0048739B">
        <w:rPr>
          <w:rFonts w:eastAsia="Calibri"/>
          <w:sz w:val="28"/>
          <w:szCs w:val="28"/>
          <w:lang w:val="es-ES" w:eastAsia="es-ES"/>
        </w:rPr>
        <w:t xml:space="preserve">específicamente, </w:t>
      </w:r>
      <w:r w:rsidR="001F1576" w:rsidRPr="0048739B">
        <w:rPr>
          <w:rFonts w:eastAsia="Calibri"/>
          <w:sz w:val="28"/>
          <w:szCs w:val="28"/>
          <w:lang w:val="es-ES" w:eastAsia="es-ES"/>
        </w:rPr>
        <w:t>sus abogados y familiares.</w:t>
      </w:r>
    </w:p>
    <w:p w14:paraId="5FB9ACF7" w14:textId="712D78F6" w:rsidR="0028101F" w:rsidRPr="0048739B" w:rsidRDefault="0028101F" w:rsidP="0048739B">
      <w:pPr>
        <w:autoSpaceDE w:val="0"/>
        <w:autoSpaceDN w:val="0"/>
        <w:spacing w:after="0" w:line="240" w:lineRule="auto"/>
        <w:jc w:val="both"/>
        <w:rPr>
          <w:rFonts w:eastAsia="Calibri"/>
          <w:sz w:val="28"/>
          <w:szCs w:val="28"/>
          <w:lang w:val="es-ES" w:eastAsia="es-ES"/>
        </w:rPr>
      </w:pPr>
    </w:p>
    <w:p w14:paraId="59967690" w14:textId="6A0A6450" w:rsidR="00C260AD" w:rsidRPr="0048739B" w:rsidRDefault="003674A3" w:rsidP="0048739B">
      <w:pPr>
        <w:numPr>
          <w:ilvl w:val="0"/>
          <w:numId w:val="1"/>
        </w:num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lastRenderedPageBreak/>
        <w:t>Por último</w:t>
      </w:r>
      <w:r w:rsidR="00C260AD" w:rsidRPr="0048739B">
        <w:rPr>
          <w:rFonts w:eastAsia="Arial Unicode MS"/>
          <w:sz w:val="28"/>
          <w:szCs w:val="28"/>
          <w:u w:color="000000"/>
          <w:lang w:val="es-ES_tradnl" w:eastAsia="es-ES"/>
        </w:rPr>
        <w:t>, cabe destacar que la norma alude</w:t>
      </w:r>
      <w:r w:rsidR="001D516D" w:rsidRPr="0048739B">
        <w:rPr>
          <w:rFonts w:eastAsia="Arial Unicode MS"/>
          <w:sz w:val="28"/>
          <w:szCs w:val="28"/>
          <w:u w:color="000000"/>
          <w:lang w:val="es-ES_tradnl" w:eastAsia="es-ES"/>
        </w:rPr>
        <w:t xml:space="preserve"> expresamente</w:t>
      </w:r>
      <w:r w:rsidR="00C260AD" w:rsidRPr="0048739B">
        <w:rPr>
          <w:rFonts w:eastAsia="Arial Unicode MS"/>
          <w:sz w:val="28"/>
          <w:szCs w:val="28"/>
          <w:u w:color="000000"/>
          <w:lang w:val="es-ES_tradnl" w:eastAsia="es-ES"/>
        </w:rPr>
        <w:t xml:space="preserve"> a las personas vinculadas en calidad de </w:t>
      </w:r>
      <w:r w:rsidR="004049DE" w:rsidRPr="0048739B">
        <w:rPr>
          <w:rFonts w:eastAsia="Arial Unicode MS"/>
          <w:i/>
          <w:iCs/>
          <w:sz w:val="28"/>
          <w:szCs w:val="28"/>
          <w:u w:color="000000"/>
          <w:lang w:val="es-ES_tradnl" w:eastAsia="es-ES"/>
        </w:rPr>
        <w:t>“</w:t>
      </w:r>
      <w:r w:rsidR="00C260AD" w:rsidRPr="0048739B">
        <w:rPr>
          <w:rFonts w:eastAsia="Arial Unicode MS"/>
          <w:i/>
          <w:iCs/>
          <w:sz w:val="28"/>
          <w:szCs w:val="28"/>
          <w:u w:color="000000"/>
          <w:lang w:val="es-ES_tradnl" w:eastAsia="es-ES"/>
        </w:rPr>
        <w:t>auxiliador</w:t>
      </w:r>
      <w:r w:rsidR="004049DE" w:rsidRPr="0048739B">
        <w:rPr>
          <w:rFonts w:eastAsia="Arial Unicode MS"/>
          <w:i/>
          <w:iCs/>
          <w:sz w:val="28"/>
          <w:szCs w:val="28"/>
          <w:u w:color="000000"/>
          <w:lang w:val="es-ES_tradnl" w:eastAsia="es-ES"/>
        </w:rPr>
        <w:t>e</w:t>
      </w:r>
      <w:r w:rsidR="00C260AD" w:rsidRPr="0048739B">
        <w:rPr>
          <w:rFonts w:eastAsia="Arial Unicode MS"/>
          <w:i/>
          <w:iCs/>
          <w:sz w:val="28"/>
          <w:szCs w:val="28"/>
          <w:u w:color="000000"/>
          <w:lang w:val="es-ES_tradnl" w:eastAsia="es-ES"/>
        </w:rPr>
        <w:t>s</w:t>
      </w:r>
      <w:r w:rsidR="004049DE" w:rsidRPr="0048739B">
        <w:rPr>
          <w:rFonts w:eastAsia="Arial Unicode MS"/>
          <w:i/>
          <w:iCs/>
          <w:sz w:val="28"/>
          <w:szCs w:val="28"/>
          <w:u w:color="000000"/>
          <w:lang w:val="es-ES_tradnl" w:eastAsia="es-ES"/>
        </w:rPr>
        <w:t>”</w:t>
      </w:r>
      <w:r w:rsidR="006C5622" w:rsidRPr="0048739B">
        <w:rPr>
          <w:rFonts w:eastAsia="Arial Unicode MS"/>
          <w:sz w:val="28"/>
          <w:szCs w:val="28"/>
          <w:u w:color="000000"/>
          <w:lang w:val="es-ES_tradnl" w:eastAsia="es-ES"/>
        </w:rPr>
        <w:t>. Esta no es una de las formas de participación prevista en los artículos 29</w:t>
      </w:r>
      <w:r w:rsidR="00A15676" w:rsidRPr="0048739B">
        <w:rPr>
          <w:rStyle w:val="Refdenotaalpie"/>
          <w:rFonts w:eastAsia="Arial Unicode MS"/>
          <w:sz w:val="28"/>
          <w:szCs w:val="28"/>
          <w:u w:color="000000"/>
          <w:lang w:val="es-ES_tradnl" w:eastAsia="es-ES"/>
        </w:rPr>
        <w:footnoteReference w:id="40"/>
      </w:r>
      <w:r w:rsidR="006C5622" w:rsidRPr="0048739B">
        <w:rPr>
          <w:rFonts w:eastAsia="Arial Unicode MS"/>
          <w:sz w:val="28"/>
          <w:szCs w:val="28"/>
          <w:u w:color="000000"/>
          <w:lang w:val="es-ES_tradnl" w:eastAsia="es-ES"/>
        </w:rPr>
        <w:t xml:space="preserve"> y 30</w:t>
      </w:r>
      <w:r w:rsidR="00A15676" w:rsidRPr="0048739B">
        <w:rPr>
          <w:rStyle w:val="Refdenotaalpie"/>
          <w:rFonts w:eastAsia="Arial Unicode MS"/>
          <w:sz w:val="28"/>
          <w:szCs w:val="28"/>
          <w:u w:color="000000"/>
          <w:lang w:val="es-ES_tradnl" w:eastAsia="es-ES"/>
        </w:rPr>
        <w:footnoteReference w:id="41"/>
      </w:r>
      <w:r w:rsidR="006C5622" w:rsidRPr="0048739B">
        <w:rPr>
          <w:rFonts w:eastAsia="Arial Unicode MS"/>
          <w:sz w:val="28"/>
          <w:szCs w:val="28"/>
          <w:u w:color="000000"/>
          <w:lang w:val="es-ES_tradnl" w:eastAsia="es-ES"/>
        </w:rPr>
        <w:t xml:space="preserve"> de</w:t>
      </w:r>
      <w:r w:rsidR="009F2144" w:rsidRPr="0048739B">
        <w:rPr>
          <w:rFonts w:eastAsia="Arial Unicode MS"/>
          <w:sz w:val="28"/>
          <w:szCs w:val="28"/>
          <w:u w:color="000000"/>
          <w:lang w:val="es-ES_tradnl" w:eastAsia="es-ES"/>
        </w:rPr>
        <w:t>l Código Penal</w:t>
      </w:r>
      <w:r w:rsidR="00512D0D" w:rsidRPr="0048739B">
        <w:rPr>
          <w:rFonts w:eastAsia="Arial Unicode MS"/>
          <w:sz w:val="28"/>
          <w:szCs w:val="28"/>
          <w:u w:color="000000"/>
          <w:lang w:val="es-ES_tradnl" w:eastAsia="es-ES"/>
        </w:rPr>
        <w:t xml:space="preserve">. </w:t>
      </w:r>
      <w:r w:rsidR="00FB0B11" w:rsidRPr="0048739B">
        <w:rPr>
          <w:rFonts w:eastAsia="Arial Unicode MS"/>
          <w:sz w:val="28"/>
          <w:szCs w:val="28"/>
          <w:u w:color="000000"/>
          <w:lang w:val="es-ES_tradnl" w:eastAsia="es-ES"/>
        </w:rPr>
        <w:t>Se trata de un</w:t>
      </w:r>
      <w:r w:rsidR="00512D0D" w:rsidRPr="0048739B">
        <w:rPr>
          <w:rFonts w:eastAsia="Arial Unicode MS"/>
          <w:sz w:val="28"/>
          <w:szCs w:val="28"/>
          <w:u w:color="000000"/>
          <w:lang w:val="es-ES_tradnl" w:eastAsia="es-ES"/>
        </w:rPr>
        <w:t xml:space="preserve"> concepto </w:t>
      </w:r>
      <w:r w:rsidR="00E870BE" w:rsidRPr="0048739B">
        <w:rPr>
          <w:rFonts w:eastAsia="Arial Unicode MS"/>
          <w:sz w:val="28"/>
          <w:szCs w:val="28"/>
          <w:u w:color="000000"/>
          <w:lang w:val="es-ES_tradnl" w:eastAsia="es-ES"/>
        </w:rPr>
        <w:t>omnicomprensiv</w:t>
      </w:r>
      <w:r w:rsidR="00CF5189" w:rsidRPr="0048739B">
        <w:rPr>
          <w:rFonts w:eastAsia="Arial Unicode MS"/>
          <w:sz w:val="28"/>
          <w:szCs w:val="28"/>
          <w:u w:color="000000"/>
          <w:lang w:val="es-ES_tradnl" w:eastAsia="es-ES"/>
        </w:rPr>
        <w:t>o</w:t>
      </w:r>
      <w:r w:rsidR="00E870BE" w:rsidRPr="0048739B">
        <w:rPr>
          <w:rFonts w:eastAsia="Arial Unicode MS"/>
          <w:sz w:val="28"/>
          <w:szCs w:val="28"/>
          <w:u w:color="000000"/>
          <w:lang w:val="es-ES_tradnl" w:eastAsia="es-ES"/>
        </w:rPr>
        <w:t xml:space="preserve"> de las distintas </w:t>
      </w:r>
      <w:r w:rsidR="00C64D42" w:rsidRPr="0048739B">
        <w:rPr>
          <w:rFonts w:eastAsia="Arial Unicode MS"/>
          <w:sz w:val="28"/>
          <w:szCs w:val="28"/>
          <w:u w:color="000000"/>
          <w:lang w:val="es-ES_tradnl" w:eastAsia="es-ES"/>
        </w:rPr>
        <w:t>modalidades</w:t>
      </w:r>
      <w:r w:rsidR="00E870BE" w:rsidRPr="0048739B">
        <w:rPr>
          <w:rFonts w:eastAsia="Arial Unicode MS"/>
          <w:sz w:val="28"/>
          <w:szCs w:val="28"/>
          <w:u w:color="000000"/>
          <w:lang w:val="es-ES_tradnl" w:eastAsia="es-ES"/>
        </w:rPr>
        <w:t xml:space="preserve"> de </w:t>
      </w:r>
      <w:r w:rsidR="00C64D42" w:rsidRPr="0048739B">
        <w:rPr>
          <w:rFonts w:eastAsia="Arial Unicode MS"/>
          <w:sz w:val="28"/>
          <w:szCs w:val="28"/>
          <w:u w:color="000000"/>
          <w:lang w:val="es-ES_tradnl" w:eastAsia="es-ES"/>
        </w:rPr>
        <w:t>intervención</w:t>
      </w:r>
      <w:r w:rsidR="00E870BE" w:rsidRPr="0048739B">
        <w:rPr>
          <w:rFonts w:eastAsia="Arial Unicode MS"/>
          <w:sz w:val="28"/>
          <w:szCs w:val="28"/>
          <w:u w:color="000000"/>
          <w:lang w:val="es-ES_tradnl" w:eastAsia="es-ES"/>
        </w:rPr>
        <w:t xml:space="preserve"> en el delito</w:t>
      </w:r>
      <w:r w:rsidR="00CF5189" w:rsidRPr="0048739B">
        <w:rPr>
          <w:rFonts w:eastAsia="Arial Unicode MS"/>
          <w:sz w:val="28"/>
          <w:szCs w:val="28"/>
          <w:u w:color="000000"/>
          <w:lang w:val="es-ES_tradnl" w:eastAsia="es-ES"/>
        </w:rPr>
        <w:t xml:space="preserve">, de modo que incluye </w:t>
      </w:r>
      <w:r w:rsidR="00571774" w:rsidRPr="0048739B">
        <w:rPr>
          <w:rFonts w:eastAsia="Arial Unicode MS"/>
          <w:sz w:val="28"/>
          <w:szCs w:val="28"/>
          <w:u w:color="000000"/>
          <w:lang w:val="es-ES_tradnl" w:eastAsia="es-ES"/>
        </w:rPr>
        <w:t>a</w:t>
      </w:r>
      <w:r w:rsidR="00CF5189" w:rsidRPr="0048739B">
        <w:rPr>
          <w:rFonts w:eastAsia="Arial Unicode MS"/>
          <w:sz w:val="28"/>
          <w:szCs w:val="28"/>
          <w:u w:color="000000"/>
          <w:lang w:val="es-ES_tradnl" w:eastAsia="es-ES"/>
        </w:rPr>
        <w:t xml:space="preserve"> autores</w:t>
      </w:r>
      <w:r w:rsidR="000C27F3" w:rsidRPr="0048739B">
        <w:rPr>
          <w:rFonts w:eastAsia="Arial Unicode MS"/>
          <w:sz w:val="28"/>
          <w:szCs w:val="28"/>
          <w:u w:color="000000"/>
          <w:lang w:val="es-ES_tradnl" w:eastAsia="es-ES"/>
        </w:rPr>
        <w:t xml:space="preserve"> y</w:t>
      </w:r>
      <w:r w:rsidR="00CF5189" w:rsidRPr="0048739B">
        <w:rPr>
          <w:rFonts w:eastAsia="Arial Unicode MS"/>
          <w:sz w:val="28"/>
          <w:szCs w:val="28"/>
          <w:u w:color="000000"/>
          <w:lang w:val="es-ES_tradnl" w:eastAsia="es-ES"/>
        </w:rPr>
        <w:t xml:space="preserve"> participes</w:t>
      </w:r>
      <w:r w:rsidR="000C27F3" w:rsidRPr="0048739B">
        <w:rPr>
          <w:rFonts w:eastAsia="Arial Unicode MS"/>
          <w:sz w:val="28"/>
          <w:szCs w:val="28"/>
          <w:u w:color="000000"/>
          <w:lang w:val="es-ES_tradnl" w:eastAsia="es-ES"/>
        </w:rPr>
        <w:t xml:space="preserve">, como </w:t>
      </w:r>
      <w:r w:rsidR="005F26E4" w:rsidRPr="0048739B">
        <w:rPr>
          <w:rFonts w:eastAsia="Arial Unicode MS"/>
          <w:sz w:val="28"/>
          <w:szCs w:val="28"/>
          <w:u w:color="000000"/>
          <w:lang w:val="es-ES_tradnl" w:eastAsia="es-ES"/>
        </w:rPr>
        <w:t xml:space="preserve">a </w:t>
      </w:r>
      <w:r w:rsidR="00CF5189" w:rsidRPr="0048739B">
        <w:rPr>
          <w:rFonts w:eastAsia="Arial Unicode MS"/>
          <w:sz w:val="28"/>
          <w:szCs w:val="28"/>
          <w:u w:color="000000"/>
          <w:lang w:val="es-ES_tradnl" w:eastAsia="es-ES"/>
        </w:rPr>
        <w:t xml:space="preserve">todo </w:t>
      </w:r>
      <w:r w:rsidR="005F26E4" w:rsidRPr="0048739B">
        <w:rPr>
          <w:rFonts w:eastAsia="Arial Unicode MS"/>
          <w:sz w:val="28"/>
          <w:szCs w:val="28"/>
          <w:u w:color="000000"/>
          <w:lang w:val="es-ES_tradnl" w:eastAsia="es-ES"/>
        </w:rPr>
        <w:t xml:space="preserve">aquel que haya </w:t>
      </w:r>
      <w:r w:rsidR="00C64D42" w:rsidRPr="0048739B">
        <w:rPr>
          <w:rFonts w:eastAsia="Arial Unicode MS"/>
          <w:sz w:val="28"/>
          <w:szCs w:val="28"/>
          <w:u w:color="000000"/>
          <w:lang w:val="es-ES_tradnl" w:eastAsia="es-ES"/>
        </w:rPr>
        <w:t>actuado</w:t>
      </w:r>
      <w:r w:rsidR="005F26E4" w:rsidRPr="0048739B">
        <w:rPr>
          <w:rFonts w:eastAsia="Arial Unicode MS"/>
          <w:sz w:val="28"/>
          <w:szCs w:val="28"/>
          <w:u w:color="000000"/>
          <w:lang w:val="es-ES_tradnl" w:eastAsia="es-ES"/>
        </w:rPr>
        <w:t xml:space="preserve"> en</w:t>
      </w:r>
      <w:r w:rsidR="00C64D42" w:rsidRPr="0048739B">
        <w:rPr>
          <w:rFonts w:eastAsia="Arial Unicode MS"/>
          <w:sz w:val="28"/>
          <w:szCs w:val="28"/>
          <w:u w:color="000000"/>
          <w:lang w:val="es-ES_tradnl" w:eastAsia="es-ES"/>
        </w:rPr>
        <w:t xml:space="preserve"> pro de la configuración</w:t>
      </w:r>
      <w:r w:rsidR="003E6C6D" w:rsidRPr="0048739B">
        <w:rPr>
          <w:rFonts w:eastAsia="Arial Unicode MS"/>
          <w:sz w:val="28"/>
          <w:szCs w:val="28"/>
          <w:u w:color="000000"/>
          <w:lang w:val="es-ES_tradnl" w:eastAsia="es-ES"/>
        </w:rPr>
        <w:t xml:space="preserve"> de</w:t>
      </w:r>
      <w:r w:rsidR="005F26E4" w:rsidRPr="0048739B">
        <w:rPr>
          <w:rFonts w:eastAsia="Arial Unicode MS"/>
          <w:sz w:val="28"/>
          <w:szCs w:val="28"/>
          <w:u w:color="000000"/>
          <w:lang w:val="es-ES_tradnl" w:eastAsia="es-ES"/>
        </w:rPr>
        <w:t xml:space="preserve"> la conducta delictiva.</w:t>
      </w:r>
      <w:r w:rsidR="00571774" w:rsidRPr="0048739B">
        <w:rPr>
          <w:rFonts w:eastAsia="Arial Unicode MS"/>
          <w:sz w:val="28"/>
          <w:szCs w:val="28"/>
          <w:u w:color="000000"/>
          <w:lang w:val="es-ES_tradnl" w:eastAsia="es-ES"/>
        </w:rPr>
        <w:t xml:space="preserve"> </w:t>
      </w:r>
      <w:r w:rsidR="003E6C6D" w:rsidRPr="0048739B">
        <w:rPr>
          <w:rFonts w:eastAsia="Arial Unicode MS"/>
          <w:sz w:val="28"/>
          <w:szCs w:val="28"/>
          <w:u w:color="000000"/>
          <w:lang w:val="es-ES_tradnl" w:eastAsia="es-ES"/>
        </w:rPr>
        <w:t>Desde ese punto de vista</w:t>
      </w:r>
      <w:r w:rsidR="00571774" w:rsidRPr="0048739B">
        <w:rPr>
          <w:rFonts w:eastAsia="Arial Unicode MS"/>
          <w:sz w:val="28"/>
          <w:szCs w:val="28"/>
          <w:u w:color="000000"/>
          <w:lang w:val="es-ES_tradnl" w:eastAsia="es-ES"/>
        </w:rPr>
        <w:t xml:space="preserve">, </w:t>
      </w:r>
      <w:r w:rsidR="000C27F3" w:rsidRPr="0048739B">
        <w:rPr>
          <w:rFonts w:eastAsia="Arial Unicode MS"/>
          <w:sz w:val="28"/>
          <w:szCs w:val="28"/>
          <w:u w:color="000000"/>
          <w:lang w:val="es-ES_tradnl" w:eastAsia="es-ES"/>
        </w:rPr>
        <w:t xml:space="preserve">la excepción consagrada en el </w:t>
      </w:r>
      <w:r w:rsidR="00E45B27" w:rsidRPr="0048739B">
        <w:rPr>
          <w:rFonts w:eastAsia="Arial Unicode MS"/>
          <w:sz w:val="28"/>
          <w:szCs w:val="28"/>
          <w:u w:color="000000"/>
          <w:lang w:val="es-ES_tradnl" w:eastAsia="es-ES"/>
        </w:rPr>
        <w:t>parágrafo</w:t>
      </w:r>
      <w:r w:rsidR="000C27F3" w:rsidRPr="0048739B">
        <w:rPr>
          <w:rFonts w:eastAsia="Arial Unicode MS"/>
          <w:sz w:val="28"/>
          <w:szCs w:val="28"/>
          <w:u w:color="000000"/>
          <w:lang w:val="es-ES_tradnl" w:eastAsia="es-ES"/>
        </w:rPr>
        <w:t xml:space="preserve"> parcialmente demandado</w:t>
      </w:r>
      <w:r w:rsidR="005F26E4" w:rsidRPr="0048739B">
        <w:rPr>
          <w:rFonts w:eastAsia="Arial Unicode MS"/>
          <w:sz w:val="28"/>
          <w:szCs w:val="28"/>
          <w:u w:color="000000"/>
          <w:lang w:val="es-ES_tradnl" w:eastAsia="es-ES"/>
        </w:rPr>
        <w:t xml:space="preserve"> </w:t>
      </w:r>
      <w:r w:rsidR="00E45B27" w:rsidRPr="0048739B">
        <w:rPr>
          <w:rFonts w:eastAsia="Arial Unicode MS"/>
          <w:sz w:val="28"/>
          <w:szCs w:val="28"/>
          <w:u w:color="000000"/>
          <w:lang w:val="es-ES_tradnl" w:eastAsia="es-ES"/>
        </w:rPr>
        <w:t xml:space="preserve">aplica </w:t>
      </w:r>
      <w:r w:rsidR="003E6C6D" w:rsidRPr="0048739B">
        <w:rPr>
          <w:rFonts w:eastAsia="Arial Unicode MS"/>
          <w:sz w:val="28"/>
          <w:szCs w:val="28"/>
          <w:u w:color="000000"/>
          <w:lang w:val="es-ES_tradnl" w:eastAsia="es-ES"/>
        </w:rPr>
        <w:t>para</w:t>
      </w:r>
      <w:r w:rsidR="00E45B27" w:rsidRPr="0048739B">
        <w:rPr>
          <w:rFonts w:eastAsia="Arial Unicode MS"/>
          <w:sz w:val="28"/>
          <w:szCs w:val="28"/>
          <w:u w:color="000000"/>
          <w:lang w:val="es-ES_tradnl" w:eastAsia="es-ES"/>
        </w:rPr>
        <w:t xml:space="preserve"> cualquier modalidad de auxiliador</w:t>
      </w:r>
      <w:r w:rsidR="00C660D4" w:rsidRPr="0048739B">
        <w:rPr>
          <w:rFonts w:eastAsia="Arial Unicode MS"/>
          <w:sz w:val="28"/>
          <w:szCs w:val="28"/>
          <w:u w:color="000000"/>
          <w:lang w:val="es-ES_tradnl" w:eastAsia="es-ES"/>
        </w:rPr>
        <w:t>, incluido el autor de la conducta punible</w:t>
      </w:r>
      <w:r w:rsidR="001D516D" w:rsidRPr="0048739B">
        <w:rPr>
          <w:rFonts w:eastAsia="Arial Unicode MS"/>
          <w:sz w:val="28"/>
          <w:szCs w:val="28"/>
          <w:u w:color="000000"/>
          <w:lang w:val="es-ES_tradnl" w:eastAsia="es-ES"/>
        </w:rPr>
        <w:t xml:space="preserve">, por lo que </w:t>
      </w:r>
      <w:r w:rsidR="00E45B27" w:rsidRPr="0048739B">
        <w:rPr>
          <w:rFonts w:eastAsia="Arial Unicode MS"/>
          <w:sz w:val="28"/>
          <w:szCs w:val="28"/>
          <w:u w:color="000000"/>
          <w:lang w:val="es-ES_tradnl" w:eastAsia="es-ES"/>
        </w:rPr>
        <w:t>la diferenciación identificada por los demandantes</w:t>
      </w:r>
      <w:r w:rsidR="001D516D" w:rsidRPr="0048739B">
        <w:rPr>
          <w:rFonts w:eastAsia="Arial Unicode MS"/>
          <w:sz w:val="28"/>
          <w:szCs w:val="28"/>
          <w:u w:color="000000"/>
          <w:lang w:val="es-ES_tradnl" w:eastAsia="es-ES"/>
        </w:rPr>
        <w:t xml:space="preserve"> no existe</w:t>
      </w:r>
      <w:r w:rsidR="003C7415" w:rsidRPr="0048739B">
        <w:rPr>
          <w:rFonts w:eastAsia="Arial Unicode MS"/>
          <w:sz w:val="28"/>
          <w:szCs w:val="28"/>
          <w:u w:color="000000"/>
          <w:lang w:val="es-ES_tradnl" w:eastAsia="es-ES"/>
        </w:rPr>
        <w:t xml:space="preserve"> ni se deriva de la disposición acusada</w:t>
      </w:r>
      <w:r w:rsidR="001D516D" w:rsidRPr="0048739B">
        <w:rPr>
          <w:rFonts w:eastAsia="Arial Unicode MS"/>
          <w:sz w:val="28"/>
          <w:szCs w:val="28"/>
          <w:u w:color="000000"/>
          <w:lang w:val="es-ES_tradnl" w:eastAsia="es-ES"/>
        </w:rPr>
        <w:t xml:space="preserve">. </w:t>
      </w:r>
      <w:r w:rsidR="00861796" w:rsidRPr="0048739B">
        <w:rPr>
          <w:rFonts w:eastAsia="Arial Unicode MS"/>
          <w:sz w:val="28"/>
          <w:szCs w:val="28"/>
          <w:u w:color="000000"/>
          <w:lang w:val="es-ES_tradnl" w:eastAsia="es-ES"/>
        </w:rPr>
        <w:t xml:space="preserve">En esa medida, </w:t>
      </w:r>
      <w:r w:rsidR="000A6D51" w:rsidRPr="0048739B">
        <w:rPr>
          <w:rFonts w:eastAsia="Arial Unicode MS"/>
          <w:sz w:val="28"/>
          <w:szCs w:val="28"/>
          <w:u w:color="000000"/>
          <w:lang w:val="es-ES_tradnl" w:eastAsia="es-ES"/>
        </w:rPr>
        <w:t>los argumentos de la demanda no son ciertos</w:t>
      </w:r>
      <w:r w:rsidR="0080298A" w:rsidRPr="0048739B">
        <w:rPr>
          <w:rFonts w:eastAsia="Arial Unicode MS"/>
          <w:sz w:val="28"/>
          <w:szCs w:val="28"/>
          <w:u w:color="000000"/>
          <w:lang w:val="es-ES_tradnl" w:eastAsia="es-ES"/>
        </w:rPr>
        <w:t xml:space="preserve">, pues no </w:t>
      </w:r>
      <w:r w:rsidR="00A840FD" w:rsidRPr="0048739B">
        <w:rPr>
          <w:rFonts w:eastAsia="Arial Unicode MS"/>
          <w:sz w:val="28"/>
          <w:szCs w:val="28"/>
          <w:u w:color="000000"/>
          <w:lang w:val="es-ES_tradnl" w:eastAsia="es-ES"/>
        </w:rPr>
        <w:t xml:space="preserve">recaen sobre una proposición jurídica real y existente, y sí sobre una interpretación deducida por los demandantes que </w:t>
      </w:r>
      <w:r w:rsidR="0080298A" w:rsidRPr="0048739B">
        <w:rPr>
          <w:rFonts w:eastAsia="Arial Unicode MS"/>
          <w:sz w:val="28"/>
          <w:szCs w:val="28"/>
          <w:u w:color="000000"/>
          <w:lang w:val="es-ES_tradnl" w:eastAsia="es-ES"/>
        </w:rPr>
        <w:t>es incompatible con</w:t>
      </w:r>
      <w:r w:rsidR="00A840FD" w:rsidRPr="0048739B">
        <w:rPr>
          <w:rFonts w:eastAsia="Arial Unicode MS"/>
          <w:sz w:val="28"/>
          <w:szCs w:val="28"/>
          <w:u w:color="000000"/>
          <w:lang w:val="es-ES_tradnl" w:eastAsia="es-ES"/>
        </w:rPr>
        <w:t xml:space="preserve"> el texto normativo</w:t>
      </w:r>
      <w:r w:rsidR="0080298A" w:rsidRPr="0048739B">
        <w:rPr>
          <w:rFonts w:eastAsia="Arial Unicode MS"/>
          <w:sz w:val="28"/>
          <w:szCs w:val="28"/>
          <w:u w:color="000000"/>
          <w:lang w:val="es-ES_tradnl" w:eastAsia="es-ES"/>
        </w:rPr>
        <w:t xml:space="preserve"> demandado</w:t>
      </w:r>
      <w:r w:rsidR="001D516D" w:rsidRPr="0048739B">
        <w:rPr>
          <w:rFonts w:eastAsia="Arial Unicode MS"/>
          <w:sz w:val="28"/>
          <w:szCs w:val="28"/>
          <w:u w:color="000000"/>
          <w:lang w:val="es-ES_tradnl" w:eastAsia="es-ES"/>
        </w:rPr>
        <w:t xml:space="preserve">. </w:t>
      </w:r>
      <w:r w:rsidR="00E45B27" w:rsidRPr="0048739B">
        <w:rPr>
          <w:rFonts w:eastAsia="Arial Unicode MS"/>
          <w:sz w:val="28"/>
          <w:szCs w:val="28"/>
          <w:u w:color="000000"/>
          <w:lang w:val="es-ES_tradnl" w:eastAsia="es-ES"/>
        </w:rPr>
        <w:t xml:space="preserve"> </w:t>
      </w:r>
    </w:p>
    <w:p w14:paraId="6AD62D0B" w14:textId="77777777" w:rsidR="00571774" w:rsidRPr="0048739B" w:rsidRDefault="00571774" w:rsidP="0048739B">
      <w:pPr>
        <w:autoSpaceDE w:val="0"/>
        <w:autoSpaceDN w:val="0"/>
        <w:spacing w:after="0" w:line="240" w:lineRule="auto"/>
        <w:jc w:val="both"/>
        <w:rPr>
          <w:rFonts w:eastAsia="Arial Unicode MS"/>
          <w:sz w:val="28"/>
          <w:szCs w:val="28"/>
          <w:u w:color="000000"/>
          <w:lang w:val="es-ES_tradnl" w:eastAsia="es-ES"/>
        </w:rPr>
      </w:pPr>
    </w:p>
    <w:p w14:paraId="52952F77" w14:textId="733529EE" w:rsidR="0001580A" w:rsidRPr="0048739B" w:rsidRDefault="0001580A" w:rsidP="0048739B">
      <w:pPr>
        <w:numPr>
          <w:ilvl w:val="0"/>
          <w:numId w:val="1"/>
        </w:num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 xml:space="preserve">Visto así el contenido normativo de la disposición acusada, </w:t>
      </w:r>
      <w:r w:rsidR="00CA5B61" w:rsidRPr="0048739B">
        <w:rPr>
          <w:rFonts w:eastAsia="Arial Unicode MS"/>
          <w:sz w:val="28"/>
          <w:szCs w:val="28"/>
          <w:u w:color="000000"/>
          <w:lang w:val="es-ES_tradnl" w:eastAsia="es-ES"/>
        </w:rPr>
        <w:t xml:space="preserve">resultan acertados </w:t>
      </w:r>
      <w:r w:rsidRPr="0048739B">
        <w:rPr>
          <w:rFonts w:eastAsia="Arial Unicode MS"/>
          <w:sz w:val="28"/>
          <w:szCs w:val="28"/>
          <w:u w:color="000000"/>
          <w:lang w:val="es-ES_tradnl" w:eastAsia="es-ES"/>
        </w:rPr>
        <w:t>los argumentos de</w:t>
      </w:r>
      <w:r w:rsidR="00CA5B61" w:rsidRPr="0048739B">
        <w:rPr>
          <w:rFonts w:eastAsia="Arial Unicode MS"/>
          <w:sz w:val="28"/>
          <w:szCs w:val="28"/>
          <w:u w:color="000000"/>
          <w:lang w:val="es-ES_tradnl" w:eastAsia="es-ES"/>
        </w:rPr>
        <w:t xml:space="preserve"> </w:t>
      </w:r>
      <w:r w:rsidRPr="0048739B">
        <w:rPr>
          <w:rFonts w:eastAsia="Arial Unicode MS"/>
          <w:sz w:val="28"/>
          <w:szCs w:val="28"/>
          <w:u w:color="000000"/>
          <w:lang w:val="es-ES_tradnl" w:eastAsia="es-ES"/>
        </w:rPr>
        <w:t>l</w:t>
      </w:r>
      <w:r w:rsidR="00CA5B61" w:rsidRPr="0048739B">
        <w:rPr>
          <w:rFonts w:eastAsia="Arial Unicode MS"/>
          <w:sz w:val="28"/>
          <w:szCs w:val="28"/>
          <w:u w:color="000000"/>
          <w:lang w:val="es-ES_tradnl" w:eastAsia="es-ES"/>
        </w:rPr>
        <w:t xml:space="preserve">os intervinientes y </w:t>
      </w:r>
      <w:r w:rsidRPr="0048739B">
        <w:rPr>
          <w:rFonts w:eastAsia="Arial Unicode MS"/>
          <w:sz w:val="28"/>
          <w:szCs w:val="28"/>
          <w:u w:color="000000"/>
          <w:lang w:val="es-ES_tradnl" w:eastAsia="es-ES"/>
        </w:rPr>
        <w:t>el Ministerio Público</w:t>
      </w:r>
      <w:r w:rsidR="00CA5B61" w:rsidRPr="0048739B">
        <w:rPr>
          <w:rFonts w:eastAsia="Arial Unicode MS"/>
          <w:sz w:val="28"/>
          <w:szCs w:val="28"/>
          <w:u w:color="000000"/>
          <w:lang w:val="es-ES_tradnl" w:eastAsia="es-ES"/>
        </w:rPr>
        <w:t xml:space="preserve"> que consideraron que la lectura de la norma que hace la demanda no es cierta, pues</w:t>
      </w:r>
      <w:r w:rsidRPr="0048739B">
        <w:rPr>
          <w:rFonts w:eastAsia="Arial Unicode MS"/>
          <w:sz w:val="28"/>
          <w:szCs w:val="28"/>
          <w:u w:color="000000"/>
          <w:lang w:val="es-ES_tradnl" w:eastAsia="es-ES"/>
        </w:rPr>
        <w:t xml:space="preserve"> </w:t>
      </w:r>
      <w:r w:rsidR="00CA5B61" w:rsidRPr="0048739B">
        <w:rPr>
          <w:rFonts w:eastAsia="Arial Unicode MS"/>
          <w:sz w:val="28"/>
          <w:szCs w:val="28"/>
          <w:u w:color="000000"/>
          <w:lang w:val="es-ES_tradnl" w:eastAsia="es-ES"/>
        </w:rPr>
        <w:t>se advierte</w:t>
      </w:r>
      <w:r w:rsidRPr="0048739B">
        <w:rPr>
          <w:rFonts w:eastAsia="Arial Unicode MS"/>
          <w:sz w:val="28"/>
          <w:szCs w:val="28"/>
          <w:u w:color="000000"/>
          <w:lang w:val="es-ES_tradnl" w:eastAsia="es-ES"/>
        </w:rPr>
        <w:t xml:space="preserve"> la incongruencia entre el texto demandado y la acusación formulada por los demandantes. La norma no establece un trato distinto entre autores, coautores y partícipes, pues</w:t>
      </w:r>
      <w:r w:rsidR="00CA5B61" w:rsidRPr="0048739B">
        <w:rPr>
          <w:rFonts w:eastAsia="Arial Unicode MS"/>
          <w:sz w:val="28"/>
          <w:szCs w:val="28"/>
          <w:u w:color="000000"/>
          <w:lang w:val="es-ES_tradnl" w:eastAsia="es-ES"/>
        </w:rPr>
        <w:t>to que</w:t>
      </w:r>
      <w:r w:rsidRPr="0048739B">
        <w:rPr>
          <w:rFonts w:eastAsia="Arial Unicode MS"/>
          <w:sz w:val="28"/>
          <w:szCs w:val="28"/>
          <w:u w:color="000000"/>
          <w:lang w:val="es-ES_tradnl" w:eastAsia="es-ES"/>
        </w:rPr>
        <w:t xml:space="preserve"> los indiciados, imputados o acusados</w:t>
      </w:r>
      <w:r w:rsidR="00CA5B61" w:rsidRPr="0048739B">
        <w:rPr>
          <w:rFonts w:eastAsia="Arial Unicode MS"/>
          <w:sz w:val="28"/>
          <w:szCs w:val="28"/>
          <w:u w:color="000000"/>
          <w:lang w:val="es-ES_tradnl" w:eastAsia="es-ES"/>
        </w:rPr>
        <w:t xml:space="preserve"> y su</w:t>
      </w:r>
      <w:r w:rsidRPr="0048739B">
        <w:rPr>
          <w:rFonts w:eastAsia="Arial Unicode MS"/>
          <w:sz w:val="28"/>
          <w:szCs w:val="28"/>
          <w:u w:color="000000"/>
          <w:lang w:val="es-ES_tradnl" w:eastAsia="es-ES"/>
        </w:rPr>
        <w:t xml:space="preserve"> modalidad de participación en la comisión del delito </w:t>
      </w:r>
      <w:r w:rsidR="00EA6FA7" w:rsidRPr="0048739B">
        <w:rPr>
          <w:rFonts w:eastAsia="Arial Unicode MS"/>
          <w:sz w:val="28"/>
          <w:szCs w:val="28"/>
          <w:u w:color="000000"/>
          <w:lang w:val="es-ES_tradnl" w:eastAsia="es-ES"/>
        </w:rPr>
        <w:t>es indiferente</w:t>
      </w:r>
      <w:r w:rsidRPr="0048739B">
        <w:rPr>
          <w:rFonts w:eastAsia="Arial Unicode MS"/>
          <w:sz w:val="28"/>
          <w:szCs w:val="28"/>
          <w:u w:color="000000"/>
          <w:lang w:val="es-ES_tradnl" w:eastAsia="es-ES"/>
        </w:rPr>
        <w:t xml:space="preserve"> para el levantamiento de la prohibición del registro de sus comunicaciones y archivos. </w:t>
      </w:r>
    </w:p>
    <w:p w14:paraId="119360BA" w14:textId="77777777" w:rsidR="0001580A" w:rsidRPr="0048739B" w:rsidRDefault="0001580A" w:rsidP="0048739B">
      <w:pPr>
        <w:autoSpaceDE w:val="0"/>
        <w:autoSpaceDN w:val="0"/>
        <w:spacing w:after="0" w:line="240" w:lineRule="auto"/>
        <w:jc w:val="both"/>
        <w:rPr>
          <w:rFonts w:eastAsia="Arial Unicode MS"/>
          <w:sz w:val="28"/>
          <w:szCs w:val="28"/>
          <w:u w:color="000000"/>
          <w:lang w:val="es-ES_tradnl" w:eastAsia="es-ES"/>
        </w:rPr>
      </w:pPr>
    </w:p>
    <w:p w14:paraId="78867185" w14:textId="237CD918" w:rsidR="0028101F" w:rsidRPr="0048739B" w:rsidRDefault="00F2202D" w:rsidP="0048739B">
      <w:pPr>
        <w:pStyle w:val="Prrafodelista"/>
        <w:autoSpaceDE w:val="0"/>
        <w:autoSpaceDN w:val="0"/>
        <w:spacing w:after="0" w:line="240" w:lineRule="auto"/>
        <w:ind w:left="0"/>
        <w:jc w:val="both"/>
        <w:rPr>
          <w:rFonts w:eastAsia="Calibri"/>
          <w:sz w:val="28"/>
          <w:szCs w:val="28"/>
          <w:lang w:val="es-ES" w:eastAsia="es-ES"/>
        </w:rPr>
      </w:pPr>
      <w:r w:rsidRPr="0048739B">
        <w:rPr>
          <w:rFonts w:eastAsia="Calibri"/>
          <w:sz w:val="28"/>
          <w:szCs w:val="28"/>
          <w:lang w:val="es-ES" w:eastAsia="es-ES"/>
        </w:rPr>
        <w:t>El razonamiento</w:t>
      </w:r>
      <w:r w:rsidR="0028101F" w:rsidRPr="0048739B">
        <w:rPr>
          <w:rFonts w:eastAsia="Calibri"/>
          <w:sz w:val="28"/>
          <w:szCs w:val="28"/>
          <w:lang w:val="es-ES" w:eastAsia="es-ES"/>
        </w:rPr>
        <w:t xml:space="preserve"> </w:t>
      </w:r>
      <w:r w:rsidRPr="0048739B">
        <w:rPr>
          <w:rFonts w:eastAsia="Calibri"/>
          <w:sz w:val="28"/>
          <w:szCs w:val="28"/>
          <w:lang w:val="es-ES" w:eastAsia="es-ES"/>
        </w:rPr>
        <w:t>de</w:t>
      </w:r>
      <w:r w:rsidR="0028101F" w:rsidRPr="0048739B">
        <w:rPr>
          <w:rFonts w:eastAsia="Calibri"/>
          <w:sz w:val="28"/>
          <w:szCs w:val="28"/>
          <w:lang w:val="es-ES" w:eastAsia="es-ES"/>
        </w:rPr>
        <w:t xml:space="preserve"> los demandantes </w:t>
      </w:r>
      <w:r w:rsidR="003D1085" w:rsidRPr="0048739B">
        <w:rPr>
          <w:rFonts w:eastAsia="Calibri"/>
          <w:sz w:val="28"/>
          <w:szCs w:val="28"/>
          <w:lang w:val="es-ES" w:eastAsia="es-ES"/>
        </w:rPr>
        <w:t>es contrario</w:t>
      </w:r>
      <w:r w:rsidR="0028101F" w:rsidRPr="0048739B">
        <w:rPr>
          <w:rFonts w:eastAsia="Calibri"/>
          <w:sz w:val="28"/>
          <w:szCs w:val="28"/>
          <w:lang w:val="es-ES" w:eastAsia="es-ES"/>
        </w:rPr>
        <w:t xml:space="preserve"> </w:t>
      </w:r>
      <w:r w:rsidR="004B2D19" w:rsidRPr="0048739B">
        <w:rPr>
          <w:rFonts w:eastAsia="Calibri"/>
          <w:sz w:val="28"/>
          <w:szCs w:val="28"/>
          <w:lang w:val="es-ES" w:eastAsia="es-ES"/>
        </w:rPr>
        <w:t>a</w:t>
      </w:r>
      <w:r w:rsidR="0028101F" w:rsidRPr="0048739B">
        <w:rPr>
          <w:rFonts w:eastAsia="Calibri"/>
          <w:sz w:val="28"/>
          <w:szCs w:val="28"/>
          <w:lang w:val="es-ES" w:eastAsia="es-ES"/>
        </w:rPr>
        <w:t xml:space="preserve"> la interpretación </w:t>
      </w:r>
      <w:r w:rsidRPr="0048739B">
        <w:rPr>
          <w:rFonts w:eastAsia="Calibri"/>
          <w:sz w:val="28"/>
          <w:szCs w:val="28"/>
          <w:lang w:val="es-ES" w:eastAsia="es-ES"/>
        </w:rPr>
        <w:t xml:space="preserve">que se desprende de la apreciación </w:t>
      </w:r>
      <w:r w:rsidR="0028101F" w:rsidRPr="0048739B">
        <w:rPr>
          <w:rFonts w:eastAsia="Calibri"/>
          <w:sz w:val="28"/>
          <w:szCs w:val="28"/>
          <w:lang w:val="es-ES" w:eastAsia="es-ES"/>
        </w:rPr>
        <w:t xml:space="preserve">integral del artículo. </w:t>
      </w:r>
      <w:r w:rsidRPr="0048739B">
        <w:rPr>
          <w:rFonts w:eastAsia="Calibri"/>
          <w:sz w:val="28"/>
          <w:szCs w:val="28"/>
          <w:lang w:val="es-ES" w:eastAsia="es-ES"/>
        </w:rPr>
        <w:t xml:space="preserve">Mientras la disposición normativa establece que la modalidad de participación en la comisión </w:t>
      </w:r>
      <w:r w:rsidR="00247D9F" w:rsidRPr="0048739B">
        <w:rPr>
          <w:rFonts w:eastAsia="Calibri"/>
          <w:sz w:val="28"/>
          <w:szCs w:val="28"/>
          <w:lang w:val="es-ES" w:eastAsia="es-ES"/>
        </w:rPr>
        <w:t xml:space="preserve">del delito </w:t>
      </w:r>
      <w:r w:rsidRPr="0048739B">
        <w:rPr>
          <w:rFonts w:eastAsia="Calibri"/>
          <w:sz w:val="28"/>
          <w:szCs w:val="28"/>
          <w:lang w:val="es-ES" w:eastAsia="es-ES"/>
        </w:rPr>
        <w:t>es relevante en el abogado o en los familiares más próximos del indiciado, los demandantes asumieron que el Legislador</w:t>
      </w:r>
      <w:r w:rsidR="001A6605" w:rsidRPr="0048739B">
        <w:rPr>
          <w:rFonts w:eastAsia="Calibri"/>
          <w:sz w:val="28"/>
          <w:szCs w:val="28"/>
          <w:lang w:val="es-ES" w:eastAsia="es-ES"/>
        </w:rPr>
        <w:t>, mediante la norma cuestionada,</w:t>
      </w:r>
      <w:r w:rsidRPr="0048739B">
        <w:rPr>
          <w:rFonts w:eastAsia="Calibri"/>
          <w:sz w:val="28"/>
          <w:szCs w:val="28"/>
          <w:lang w:val="es-ES" w:eastAsia="es-ES"/>
        </w:rPr>
        <w:t xml:space="preserve"> </w:t>
      </w:r>
      <w:r w:rsidR="001A6605" w:rsidRPr="0048739B">
        <w:rPr>
          <w:rFonts w:eastAsia="Calibri"/>
          <w:sz w:val="28"/>
          <w:szCs w:val="28"/>
          <w:lang w:val="es-ES" w:eastAsia="es-ES"/>
        </w:rPr>
        <w:t xml:space="preserve">separó a los sindicados en dos categorías: autores y coautores o partícipes, para imponer tratamientos diferenciados entre ellos. Los demandantes identifican una </w:t>
      </w:r>
      <w:r w:rsidR="004B2D19" w:rsidRPr="0048739B">
        <w:rPr>
          <w:rFonts w:eastAsia="Calibri"/>
          <w:sz w:val="28"/>
          <w:szCs w:val="28"/>
          <w:lang w:val="es-ES" w:eastAsia="es-ES"/>
        </w:rPr>
        <w:t>distinción</w:t>
      </w:r>
      <w:r w:rsidR="001A6605" w:rsidRPr="0048739B">
        <w:rPr>
          <w:rFonts w:eastAsia="Calibri"/>
          <w:sz w:val="28"/>
          <w:szCs w:val="28"/>
          <w:lang w:val="es-ES" w:eastAsia="es-ES"/>
        </w:rPr>
        <w:t xml:space="preserve"> entre los sindicados por su participación en la conducta punible</w:t>
      </w:r>
      <w:r w:rsidR="0028101F" w:rsidRPr="0048739B">
        <w:rPr>
          <w:rFonts w:eastAsia="Calibri"/>
          <w:sz w:val="28"/>
          <w:szCs w:val="28"/>
          <w:lang w:val="es-ES" w:eastAsia="es-ES"/>
        </w:rPr>
        <w:t xml:space="preserve">, </w:t>
      </w:r>
      <w:r w:rsidR="001A6605" w:rsidRPr="0048739B">
        <w:rPr>
          <w:rFonts w:eastAsia="Calibri"/>
          <w:sz w:val="28"/>
          <w:szCs w:val="28"/>
          <w:lang w:val="es-ES" w:eastAsia="es-ES"/>
        </w:rPr>
        <w:t xml:space="preserve">como </w:t>
      </w:r>
      <w:r w:rsidR="005B0BE4" w:rsidRPr="0048739B">
        <w:rPr>
          <w:rFonts w:eastAsia="Calibri"/>
          <w:sz w:val="28"/>
          <w:szCs w:val="28"/>
          <w:lang w:val="es-ES" w:eastAsia="es-ES"/>
        </w:rPr>
        <w:t>autores, coautores y partícipes,</w:t>
      </w:r>
      <w:r w:rsidR="001A6605" w:rsidRPr="0048739B">
        <w:rPr>
          <w:rFonts w:eastAsia="Calibri"/>
          <w:sz w:val="28"/>
          <w:szCs w:val="28"/>
          <w:lang w:val="es-ES" w:eastAsia="es-ES"/>
        </w:rPr>
        <w:t xml:space="preserve"> que no </w:t>
      </w:r>
      <w:r w:rsidR="00E03DFE" w:rsidRPr="0048739B">
        <w:rPr>
          <w:rFonts w:eastAsia="Calibri"/>
          <w:sz w:val="28"/>
          <w:szCs w:val="28"/>
          <w:lang w:val="es-ES" w:eastAsia="es-ES"/>
        </w:rPr>
        <w:t xml:space="preserve">se desprende de la </w:t>
      </w:r>
      <w:r w:rsidR="00CA5B61" w:rsidRPr="0048739B">
        <w:rPr>
          <w:rFonts w:eastAsia="Calibri"/>
          <w:sz w:val="28"/>
          <w:szCs w:val="28"/>
          <w:lang w:val="es-ES" w:eastAsia="es-ES"/>
        </w:rPr>
        <w:t xml:space="preserve">integralidad de la </w:t>
      </w:r>
      <w:r w:rsidR="00E03DFE" w:rsidRPr="0048739B">
        <w:rPr>
          <w:rFonts w:eastAsia="Calibri"/>
          <w:sz w:val="28"/>
          <w:szCs w:val="28"/>
          <w:lang w:val="es-ES" w:eastAsia="es-ES"/>
        </w:rPr>
        <w:t xml:space="preserve">norma demandada </w:t>
      </w:r>
      <w:r w:rsidR="001A6605" w:rsidRPr="0048739B">
        <w:rPr>
          <w:rFonts w:eastAsia="Calibri"/>
          <w:sz w:val="28"/>
          <w:szCs w:val="28"/>
          <w:lang w:val="es-ES" w:eastAsia="es-ES"/>
        </w:rPr>
        <w:t>y que, menos</w:t>
      </w:r>
      <w:r w:rsidR="00E03DFE" w:rsidRPr="0048739B">
        <w:rPr>
          <w:rFonts w:eastAsia="Calibri"/>
          <w:sz w:val="28"/>
          <w:szCs w:val="28"/>
          <w:lang w:val="es-ES" w:eastAsia="es-ES"/>
        </w:rPr>
        <w:t xml:space="preserve"> aún, hace más gravosa la situación de esas dos últimas categorías, respecto de los beneficios que otorga a la primera.</w:t>
      </w:r>
      <w:r w:rsidR="005B0BE4" w:rsidRPr="0048739B">
        <w:rPr>
          <w:rFonts w:eastAsia="Calibri"/>
          <w:sz w:val="28"/>
          <w:szCs w:val="28"/>
          <w:lang w:val="es-ES" w:eastAsia="es-ES"/>
        </w:rPr>
        <w:t xml:space="preserve"> </w:t>
      </w:r>
    </w:p>
    <w:p w14:paraId="687F41A9" w14:textId="77777777" w:rsidR="0001580A" w:rsidRPr="0048739B" w:rsidRDefault="0001580A" w:rsidP="0048739B">
      <w:pPr>
        <w:autoSpaceDE w:val="0"/>
        <w:autoSpaceDN w:val="0"/>
        <w:spacing w:after="0" w:line="240" w:lineRule="auto"/>
        <w:jc w:val="both"/>
        <w:rPr>
          <w:rFonts w:eastAsia="Arial Unicode MS"/>
          <w:sz w:val="28"/>
          <w:szCs w:val="28"/>
          <w:u w:color="000000"/>
          <w:lang w:val="es-ES_tradnl" w:eastAsia="es-ES"/>
        </w:rPr>
      </w:pPr>
    </w:p>
    <w:p w14:paraId="273C90C4" w14:textId="07A13A00" w:rsidR="00F93728" w:rsidRPr="0048739B" w:rsidRDefault="00F93728" w:rsidP="0048739B">
      <w:pPr>
        <w:pStyle w:val="Prrafodelista"/>
        <w:numPr>
          <w:ilvl w:val="0"/>
          <w:numId w:val="1"/>
        </w:num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 xml:space="preserve">Por </w:t>
      </w:r>
      <w:r w:rsidR="0001580A" w:rsidRPr="0048739B">
        <w:rPr>
          <w:rFonts w:eastAsia="Arial Unicode MS"/>
          <w:sz w:val="28"/>
          <w:szCs w:val="28"/>
          <w:u w:color="000000"/>
          <w:lang w:val="es-ES_tradnl" w:eastAsia="es-ES"/>
        </w:rPr>
        <w:t xml:space="preserve">lo </w:t>
      </w:r>
      <w:r w:rsidRPr="0048739B">
        <w:rPr>
          <w:rFonts w:eastAsia="Arial Unicode MS"/>
          <w:sz w:val="28"/>
          <w:szCs w:val="28"/>
          <w:u w:color="000000"/>
          <w:lang w:val="es-ES_tradnl" w:eastAsia="es-ES"/>
        </w:rPr>
        <w:t xml:space="preserve">tanto, el soporte argumentativo de la demanda </w:t>
      </w:r>
      <w:r w:rsidR="00F13E65" w:rsidRPr="0048739B">
        <w:rPr>
          <w:rFonts w:eastAsia="Arial Unicode MS"/>
          <w:sz w:val="28"/>
          <w:szCs w:val="28"/>
          <w:u w:color="000000"/>
          <w:lang w:val="es-ES_tradnl" w:eastAsia="es-ES"/>
        </w:rPr>
        <w:t xml:space="preserve">y de los tres reparos propuestos en ella </w:t>
      </w:r>
      <w:r w:rsidRPr="0048739B">
        <w:rPr>
          <w:rFonts w:eastAsia="Arial Unicode MS"/>
          <w:sz w:val="28"/>
          <w:szCs w:val="28"/>
          <w:u w:color="000000"/>
          <w:lang w:val="es-ES_tradnl" w:eastAsia="es-ES"/>
        </w:rPr>
        <w:t xml:space="preserve">no corresponde con el contenido </w:t>
      </w:r>
      <w:r w:rsidR="00D12B9B" w:rsidRPr="0048739B">
        <w:rPr>
          <w:rFonts w:eastAsia="Arial Unicode MS"/>
          <w:sz w:val="28"/>
          <w:szCs w:val="28"/>
          <w:u w:color="000000"/>
          <w:lang w:val="es-ES_tradnl" w:eastAsia="es-ES"/>
        </w:rPr>
        <w:t xml:space="preserve">normativo de la disposición cuestionada. </w:t>
      </w:r>
      <w:r w:rsidRPr="0048739B">
        <w:rPr>
          <w:rFonts w:eastAsia="Arial Unicode MS"/>
          <w:sz w:val="28"/>
          <w:szCs w:val="28"/>
          <w:u w:color="000000"/>
          <w:lang w:val="es-ES_tradnl" w:eastAsia="es-ES"/>
        </w:rPr>
        <w:t>La premisa de la que la parte cada un</w:t>
      </w:r>
      <w:r w:rsidR="00D12B9B" w:rsidRPr="0048739B">
        <w:rPr>
          <w:rFonts w:eastAsia="Arial Unicode MS"/>
          <w:sz w:val="28"/>
          <w:szCs w:val="28"/>
          <w:u w:color="000000"/>
          <w:lang w:val="es-ES_tradnl" w:eastAsia="es-ES"/>
        </w:rPr>
        <w:t>a</w:t>
      </w:r>
      <w:r w:rsidRPr="0048739B">
        <w:rPr>
          <w:rFonts w:eastAsia="Arial Unicode MS"/>
          <w:sz w:val="28"/>
          <w:szCs w:val="28"/>
          <w:u w:color="000000"/>
          <w:lang w:val="es-ES_tradnl" w:eastAsia="es-ES"/>
        </w:rPr>
        <w:t xml:space="preserve"> de </w:t>
      </w:r>
      <w:r w:rsidR="00D45898" w:rsidRPr="0048739B">
        <w:rPr>
          <w:rFonts w:eastAsia="Arial Unicode MS"/>
          <w:sz w:val="28"/>
          <w:szCs w:val="28"/>
          <w:u w:color="000000"/>
          <w:lang w:val="es-ES_tradnl" w:eastAsia="es-ES"/>
        </w:rPr>
        <w:t>las</w:t>
      </w:r>
      <w:r w:rsidRPr="0048739B">
        <w:rPr>
          <w:rFonts w:eastAsia="Arial Unicode MS"/>
          <w:sz w:val="28"/>
          <w:szCs w:val="28"/>
          <w:u w:color="000000"/>
          <w:lang w:val="es-ES_tradnl" w:eastAsia="es-ES"/>
        </w:rPr>
        <w:t xml:space="preserve"> </w:t>
      </w:r>
      <w:r w:rsidR="00D45898" w:rsidRPr="0048739B">
        <w:rPr>
          <w:rFonts w:eastAsia="Arial Unicode MS"/>
          <w:sz w:val="28"/>
          <w:szCs w:val="28"/>
          <w:u w:color="000000"/>
          <w:lang w:val="es-ES_tradnl" w:eastAsia="es-ES"/>
        </w:rPr>
        <w:t>censuras</w:t>
      </w:r>
      <w:r w:rsidRPr="0048739B">
        <w:rPr>
          <w:rFonts w:eastAsia="Arial Unicode MS"/>
          <w:sz w:val="28"/>
          <w:szCs w:val="28"/>
          <w:u w:color="000000"/>
          <w:lang w:val="es-ES_tradnl" w:eastAsia="es-ES"/>
        </w:rPr>
        <w:t xml:space="preserve"> expuest</w:t>
      </w:r>
      <w:r w:rsidR="00D45898" w:rsidRPr="0048739B">
        <w:rPr>
          <w:rFonts w:eastAsia="Arial Unicode MS"/>
          <w:sz w:val="28"/>
          <w:szCs w:val="28"/>
          <w:u w:color="000000"/>
          <w:lang w:val="es-ES_tradnl" w:eastAsia="es-ES"/>
        </w:rPr>
        <w:t>a</w:t>
      </w:r>
      <w:r w:rsidRPr="0048739B">
        <w:rPr>
          <w:rFonts w:eastAsia="Arial Unicode MS"/>
          <w:sz w:val="28"/>
          <w:szCs w:val="28"/>
          <w:u w:color="000000"/>
          <w:lang w:val="es-ES_tradnl" w:eastAsia="es-ES"/>
        </w:rPr>
        <w:t xml:space="preserve">s en ella, tanto </w:t>
      </w:r>
      <w:r w:rsidR="00D12B9B" w:rsidRPr="0048739B">
        <w:rPr>
          <w:rFonts w:eastAsia="Arial Unicode MS"/>
          <w:sz w:val="28"/>
          <w:szCs w:val="28"/>
          <w:u w:color="000000"/>
          <w:lang w:val="es-ES_tradnl" w:eastAsia="es-ES"/>
        </w:rPr>
        <w:t>respecto</w:t>
      </w:r>
      <w:r w:rsidRPr="0048739B">
        <w:rPr>
          <w:rFonts w:eastAsia="Arial Unicode MS"/>
          <w:sz w:val="28"/>
          <w:szCs w:val="28"/>
          <w:u w:color="000000"/>
          <w:lang w:val="es-ES_tradnl" w:eastAsia="es-ES"/>
        </w:rPr>
        <w:t xml:space="preserve"> </w:t>
      </w:r>
      <w:r w:rsidR="00930DAB" w:rsidRPr="0048739B">
        <w:rPr>
          <w:rFonts w:eastAsia="Arial Unicode MS"/>
          <w:sz w:val="28"/>
          <w:szCs w:val="28"/>
          <w:u w:color="000000"/>
          <w:lang w:val="es-ES_tradnl" w:eastAsia="es-ES"/>
        </w:rPr>
        <w:t>de</w:t>
      </w:r>
      <w:r w:rsidRPr="0048739B">
        <w:rPr>
          <w:rFonts w:eastAsia="Arial Unicode MS"/>
          <w:sz w:val="28"/>
          <w:szCs w:val="28"/>
          <w:u w:color="000000"/>
          <w:lang w:val="es-ES_tradnl" w:eastAsia="es-ES"/>
        </w:rPr>
        <w:t xml:space="preserve">l principio de igualdad, como </w:t>
      </w:r>
      <w:r w:rsidR="00930DAB" w:rsidRPr="0048739B">
        <w:rPr>
          <w:rFonts w:eastAsia="Arial Unicode MS"/>
          <w:sz w:val="28"/>
          <w:szCs w:val="28"/>
          <w:u w:color="000000"/>
          <w:lang w:val="es-ES_tradnl" w:eastAsia="es-ES"/>
        </w:rPr>
        <w:t>de</w:t>
      </w:r>
      <w:r w:rsidRPr="0048739B">
        <w:rPr>
          <w:rFonts w:eastAsia="Arial Unicode MS"/>
          <w:sz w:val="28"/>
          <w:szCs w:val="28"/>
          <w:u w:color="000000"/>
          <w:lang w:val="es-ES_tradnl" w:eastAsia="es-ES"/>
        </w:rPr>
        <w:t xml:space="preserve">l debido proceso y </w:t>
      </w:r>
      <w:r w:rsidR="00930DAB" w:rsidRPr="0048739B">
        <w:rPr>
          <w:rFonts w:eastAsia="Arial Unicode MS"/>
          <w:sz w:val="28"/>
          <w:szCs w:val="28"/>
          <w:u w:color="000000"/>
          <w:lang w:val="es-ES_tradnl" w:eastAsia="es-ES"/>
        </w:rPr>
        <w:t>e</w:t>
      </w:r>
      <w:r w:rsidRPr="0048739B">
        <w:rPr>
          <w:rFonts w:eastAsia="Arial Unicode MS"/>
          <w:sz w:val="28"/>
          <w:szCs w:val="28"/>
          <w:u w:color="000000"/>
          <w:lang w:val="es-ES_tradnl" w:eastAsia="es-ES"/>
        </w:rPr>
        <w:t xml:space="preserve">l secreto </w:t>
      </w:r>
      <w:r w:rsidRPr="0048739B">
        <w:rPr>
          <w:rFonts w:eastAsia="Arial Unicode MS"/>
          <w:sz w:val="28"/>
          <w:szCs w:val="28"/>
          <w:u w:color="000000"/>
          <w:lang w:val="es-ES_tradnl" w:eastAsia="es-ES"/>
        </w:rPr>
        <w:lastRenderedPageBreak/>
        <w:t xml:space="preserve">profesional, no </w:t>
      </w:r>
      <w:r w:rsidR="00F164B1" w:rsidRPr="0048739B">
        <w:rPr>
          <w:rFonts w:eastAsia="Arial Unicode MS"/>
          <w:sz w:val="28"/>
          <w:szCs w:val="28"/>
          <w:u w:color="000000"/>
          <w:lang w:val="es-ES_tradnl" w:eastAsia="es-ES"/>
        </w:rPr>
        <w:t>es</w:t>
      </w:r>
      <w:r w:rsidRPr="0048739B">
        <w:rPr>
          <w:rFonts w:eastAsia="Arial Unicode MS"/>
          <w:sz w:val="28"/>
          <w:szCs w:val="28"/>
          <w:u w:color="000000"/>
          <w:lang w:val="es-ES_tradnl" w:eastAsia="es-ES"/>
        </w:rPr>
        <w:t xml:space="preserve"> compatible con lo dispuesto por el </w:t>
      </w:r>
      <w:r w:rsidR="00F164B1" w:rsidRPr="0048739B">
        <w:rPr>
          <w:rFonts w:eastAsia="Arial Unicode MS"/>
          <w:sz w:val="28"/>
          <w:szCs w:val="28"/>
          <w:u w:color="000000"/>
          <w:lang w:val="es-ES_tradnl" w:eastAsia="es-ES"/>
        </w:rPr>
        <w:t>artículo 223 de la Ley 906 de 2004</w:t>
      </w:r>
      <w:r w:rsidRPr="0048739B">
        <w:rPr>
          <w:rFonts w:eastAsia="Arial Unicode MS"/>
          <w:sz w:val="28"/>
          <w:szCs w:val="28"/>
          <w:u w:color="000000"/>
          <w:lang w:val="es-ES_tradnl" w:eastAsia="es-ES"/>
        </w:rPr>
        <w:t>.</w:t>
      </w:r>
      <w:r w:rsidR="008168D4" w:rsidRPr="0048739B">
        <w:rPr>
          <w:rFonts w:eastAsia="Arial Unicode MS"/>
          <w:sz w:val="28"/>
          <w:szCs w:val="28"/>
          <w:u w:color="000000"/>
          <w:lang w:val="es-ES_tradnl" w:eastAsia="es-ES"/>
        </w:rPr>
        <w:t xml:space="preserve"> </w:t>
      </w:r>
      <w:r w:rsidR="009E1CD5" w:rsidRPr="0048739B">
        <w:rPr>
          <w:rFonts w:eastAsia="Arial Unicode MS"/>
          <w:sz w:val="28"/>
          <w:szCs w:val="28"/>
          <w:u w:color="000000"/>
          <w:lang w:val="es-ES_tradnl" w:eastAsia="es-ES"/>
        </w:rPr>
        <w:t xml:space="preserve">Por ende, </w:t>
      </w:r>
      <w:r w:rsidR="00A533FE" w:rsidRPr="0048739B">
        <w:rPr>
          <w:rFonts w:eastAsia="Arial Unicode MS"/>
          <w:sz w:val="28"/>
          <w:szCs w:val="28"/>
          <w:u w:color="000000"/>
          <w:lang w:val="es-ES_tradnl" w:eastAsia="es-ES"/>
        </w:rPr>
        <w:t xml:space="preserve">en estricto sentido, </w:t>
      </w:r>
      <w:r w:rsidR="00060DB5" w:rsidRPr="0048739B">
        <w:rPr>
          <w:rFonts w:eastAsia="Arial Unicode MS"/>
          <w:sz w:val="28"/>
          <w:szCs w:val="28"/>
          <w:u w:color="000000"/>
          <w:lang w:val="es-ES_tradnl" w:eastAsia="es-ES"/>
        </w:rPr>
        <w:t xml:space="preserve">la demanda no contrasta el texto superior con una disposición legal y </w:t>
      </w:r>
      <w:r w:rsidR="009E1CD5" w:rsidRPr="0048739B">
        <w:rPr>
          <w:rFonts w:eastAsia="Arial Unicode MS"/>
          <w:sz w:val="28"/>
          <w:szCs w:val="28"/>
          <w:u w:color="000000"/>
          <w:lang w:val="es-ES_tradnl" w:eastAsia="es-ES"/>
        </w:rPr>
        <w:t xml:space="preserve">el </w:t>
      </w:r>
      <w:r w:rsidR="006B0AC4" w:rsidRPr="0048739B">
        <w:rPr>
          <w:rFonts w:eastAsia="Arial Unicode MS"/>
          <w:sz w:val="28"/>
          <w:szCs w:val="28"/>
          <w:u w:color="000000"/>
          <w:lang w:val="es-ES_tradnl" w:eastAsia="es-ES"/>
        </w:rPr>
        <w:t>problema de constitucionalidad</w:t>
      </w:r>
      <w:r w:rsidR="009E1CD5" w:rsidRPr="0048739B">
        <w:rPr>
          <w:rFonts w:eastAsia="Arial Unicode MS"/>
          <w:sz w:val="28"/>
          <w:szCs w:val="28"/>
          <w:u w:color="000000"/>
          <w:lang w:val="es-ES_tradnl" w:eastAsia="es-ES"/>
        </w:rPr>
        <w:t xml:space="preserve"> </w:t>
      </w:r>
      <w:r w:rsidR="006B0AC4" w:rsidRPr="0048739B">
        <w:rPr>
          <w:rFonts w:eastAsia="Arial Unicode MS"/>
          <w:sz w:val="28"/>
          <w:szCs w:val="28"/>
          <w:u w:color="000000"/>
          <w:lang w:val="es-ES_tradnl" w:eastAsia="es-ES"/>
        </w:rPr>
        <w:t>formulado</w:t>
      </w:r>
      <w:r w:rsidR="009E1CD5" w:rsidRPr="0048739B">
        <w:rPr>
          <w:rFonts w:eastAsia="Arial Unicode MS"/>
          <w:sz w:val="28"/>
          <w:szCs w:val="28"/>
          <w:u w:color="000000"/>
          <w:lang w:val="es-ES_tradnl" w:eastAsia="es-ES"/>
        </w:rPr>
        <w:t xml:space="preserve"> </w:t>
      </w:r>
      <w:r w:rsidR="00930DAB" w:rsidRPr="0048739B">
        <w:rPr>
          <w:rFonts w:eastAsia="Arial Unicode MS"/>
          <w:sz w:val="28"/>
          <w:szCs w:val="28"/>
          <w:u w:color="000000"/>
          <w:lang w:val="es-ES_tradnl" w:eastAsia="es-ES"/>
        </w:rPr>
        <w:t>es</w:t>
      </w:r>
      <w:r w:rsidR="009E1CD5" w:rsidRPr="0048739B">
        <w:rPr>
          <w:rFonts w:eastAsia="Arial Unicode MS"/>
          <w:sz w:val="28"/>
          <w:szCs w:val="28"/>
          <w:u w:color="000000"/>
          <w:lang w:val="es-ES_tradnl" w:eastAsia="es-ES"/>
        </w:rPr>
        <w:t xml:space="preserve"> artificioso</w:t>
      </w:r>
      <w:r w:rsidR="00060DB5" w:rsidRPr="0048739B">
        <w:rPr>
          <w:rFonts w:eastAsia="Arial Unicode MS"/>
          <w:sz w:val="28"/>
          <w:szCs w:val="28"/>
          <w:u w:color="000000"/>
          <w:lang w:val="es-ES_tradnl" w:eastAsia="es-ES"/>
        </w:rPr>
        <w:t xml:space="preserve">. </w:t>
      </w:r>
      <w:r w:rsidR="006B0AC4" w:rsidRPr="0048739B">
        <w:rPr>
          <w:rFonts w:eastAsia="Arial Unicode MS"/>
          <w:sz w:val="28"/>
          <w:szCs w:val="28"/>
          <w:u w:color="000000"/>
          <w:lang w:val="es-ES_tradnl" w:eastAsia="es-ES"/>
        </w:rPr>
        <w:t xml:space="preserve"> </w:t>
      </w:r>
    </w:p>
    <w:p w14:paraId="01258515" w14:textId="77777777" w:rsidR="00E119B4" w:rsidRPr="0048739B" w:rsidRDefault="00E119B4" w:rsidP="0048739B">
      <w:pPr>
        <w:autoSpaceDE w:val="0"/>
        <w:autoSpaceDN w:val="0"/>
        <w:spacing w:after="0" w:line="240" w:lineRule="auto"/>
        <w:jc w:val="both"/>
        <w:rPr>
          <w:rFonts w:eastAsia="Arial Unicode MS"/>
          <w:sz w:val="28"/>
          <w:szCs w:val="28"/>
          <w:u w:color="000000"/>
          <w:lang w:val="es-ES_tradnl" w:eastAsia="es-ES"/>
        </w:rPr>
      </w:pPr>
    </w:p>
    <w:p w14:paraId="3C4EC2EC" w14:textId="234772C3" w:rsidR="003C3801" w:rsidRPr="0048739B" w:rsidRDefault="00F93728" w:rsidP="0048739B">
      <w:p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En consecuencia</w:t>
      </w:r>
      <w:r w:rsidR="005109D1" w:rsidRPr="0048739B">
        <w:rPr>
          <w:rFonts w:eastAsia="Arial Unicode MS"/>
          <w:sz w:val="28"/>
          <w:szCs w:val="28"/>
          <w:u w:color="000000"/>
          <w:lang w:val="es-ES_tradnl" w:eastAsia="es-ES"/>
        </w:rPr>
        <w:t>,</w:t>
      </w:r>
      <w:r w:rsidRPr="0048739B">
        <w:rPr>
          <w:rFonts w:eastAsia="Arial Unicode MS"/>
          <w:sz w:val="28"/>
          <w:szCs w:val="28"/>
          <w:u w:color="000000"/>
          <w:lang w:val="es-ES_tradnl" w:eastAsia="es-ES"/>
        </w:rPr>
        <w:t xml:space="preserve"> la demanda </w:t>
      </w:r>
      <w:r w:rsidR="00F25C1F" w:rsidRPr="0048739B">
        <w:rPr>
          <w:rFonts w:eastAsia="Arial Unicode MS"/>
          <w:sz w:val="28"/>
          <w:szCs w:val="28"/>
          <w:u w:color="000000"/>
          <w:lang w:val="es-ES_tradnl" w:eastAsia="es-ES"/>
        </w:rPr>
        <w:t>no es cierta</w:t>
      </w:r>
      <w:r w:rsidR="00755AD7" w:rsidRPr="0048739B">
        <w:rPr>
          <w:rFonts w:eastAsia="Arial Unicode MS"/>
          <w:sz w:val="28"/>
          <w:szCs w:val="28"/>
          <w:u w:color="000000"/>
          <w:lang w:val="es-ES_tradnl" w:eastAsia="es-ES"/>
        </w:rPr>
        <w:t xml:space="preserve">, como quiera que no recae sobre el sentido del apartado normativo sino sobre una interpretación </w:t>
      </w:r>
      <w:r w:rsidR="00D45898" w:rsidRPr="0048739B">
        <w:rPr>
          <w:rFonts w:eastAsia="Arial Unicode MS"/>
          <w:sz w:val="28"/>
          <w:szCs w:val="28"/>
          <w:u w:color="000000"/>
          <w:lang w:val="es-ES_tradnl" w:eastAsia="es-ES"/>
        </w:rPr>
        <w:t xml:space="preserve">subjetiva, </w:t>
      </w:r>
      <w:r w:rsidR="00755AD7" w:rsidRPr="0048739B">
        <w:rPr>
          <w:rFonts w:eastAsia="Arial Unicode MS"/>
          <w:sz w:val="28"/>
          <w:szCs w:val="28"/>
          <w:u w:color="000000"/>
          <w:lang w:val="es-ES_tradnl" w:eastAsia="es-ES"/>
        </w:rPr>
        <w:t xml:space="preserve">que </w:t>
      </w:r>
      <w:r w:rsidR="00287B6A" w:rsidRPr="0048739B">
        <w:rPr>
          <w:rFonts w:eastAsia="Arial Unicode MS"/>
          <w:sz w:val="28"/>
          <w:szCs w:val="28"/>
          <w:u w:color="000000"/>
          <w:lang w:val="es-ES_tradnl" w:eastAsia="es-ES"/>
        </w:rPr>
        <w:t>no da cuenta de su sentido literal</w:t>
      </w:r>
      <w:r w:rsidR="00755AD7" w:rsidRPr="0048739B">
        <w:rPr>
          <w:rFonts w:eastAsia="Arial Unicode MS"/>
          <w:sz w:val="28"/>
          <w:szCs w:val="28"/>
          <w:u w:color="000000"/>
          <w:lang w:val="es-ES_tradnl" w:eastAsia="es-ES"/>
        </w:rPr>
        <w:t xml:space="preserve">. Así mismo, carece de suficiencia, como quiera que, sin fundamentarse en lo dispuesto por el Legislador en el texto cuestionado, no logra generar una duda mínima sobre </w:t>
      </w:r>
      <w:r w:rsidR="002C059B" w:rsidRPr="0048739B">
        <w:rPr>
          <w:rFonts w:eastAsia="Arial Unicode MS"/>
          <w:sz w:val="28"/>
          <w:szCs w:val="28"/>
          <w:u w:color="000000"/>
          <w:lang w:val="es-ES_tradnl" w:eastAsia="es-ES"/>
        </w:rPr>
        <w:t>la</w:t>
      </w:r>
      <w:r w:rsidR="00755AD7" w:rsidRPr="0048739B">
        <w:rPr>
          <w:rFonts w:eastAsia="Arial Unicode MS"/>
          <w:sz w:val="28"/>
          <w:szCs w:val="28"/>
          <w:u w:color="000000"/>
          <w:lang w:val="es-ES_tradnl" w:eastAsia="es-ES"/>
        </w:rPr>
        <w:t xml:space="preserve"> constitucionalidad</w:t>
      </w:r>
      <w:r w:rsidR="002C059B" w:rsidRPr="0048739B">
        <w:rPr>
          <w:rFonts w:eastAsia="Arial Unicode MS"/>
          <w:sz w:val="28"/>
          <w:szCs w:val="28"/>
          <w:u w:color="000000"/>
          <w:lang w:val="es-ES_tradnl" w:eastAsia="es-ES"/>
        </w:rPr>
        <w:t xml:space="preserve"> de la norma demandada</w:t>
      </w:r>
      <w:r w:rsidR="003C3801" w:rsidRPr="0048739B">
        <w:rPr>
          <w:rFonts w:eastAsia="Arial Unicode MS"/>
          <w:sz w:val="28"/>
          <w:szCs w:val="28"/>
          <w:u w:color="000000"/>
          <w:lang w:val="es-ES_tradnl" w:eastAsia="es-ES"/>
        </w:rPr>
        <w:t xml:space="preserve">. </w:t>
      </w:r>
      <w:r w:rsidR="00287B6A" w:rsidRPr="0048739B">
        <w:rPr>
          <w:rFonts w:eastAsia="Arial Unicode MS"/>
          <w:sz w:val="28"/>
          <w:szCs w:val="28"/>
          <w:u w:color="000000"/>
          <w:lang w:val="es-ES_tradnl" w:eastAsia="es-ES"/>
        </w:rPr>
        <w:t>A pesar de que los ciudadanos hacen una acusación clara, la misma no recae sobre el contenido de la disposición que demandaron, por lo</w:t>
      </w:r>
      <w:r w:rsidR="009A25F7" w:rsidRPr="0048739B">
        <w:rPr>
          <w:rFonts w:eastAsia="Arial Unicode MS"/>
          <w:sz w:val="28"/>
          <w:szCs w:val="28"/>
          <w:u w:color="000000"/>
          <w:lang w:val="es-ES_tradnl" w:eastAsia="es-ES"/>
        </w:rPr>
        <w:t xml:space="preserve"> que</w:t>
      </w:r>
      <w:r w:rsidR="00287B6A" w:rsidRPr="0048739B">
        <w:rPr>
          <w:rFonts w:eastAsia="Arial Unicode MS"/>
          <w:sz w:val="28"/>
          <w:szCs w:val="28"/>
          <w:u w:color="000000"/>
          <w:lang w:val="es-ES_tradnl" w:eastAsia="es-ES"/>
        </w:rPr>
        <w:t xml:space="preserve"> </w:t>
      </w:r>
      <w:r w:rsidR="00A533FE" w:rsidRPr="0048739B">
        <w:rPr>
          <w:rFonts w:eastAsia="Arial Unicode MS"/>
          <w:sz w:val="28"/>
          <w:szCs w:val="28"/>
          <w:u w:color="000000"/>
          <w:lang w:val="es-ES_tradnl" w:eastAsia="es-ES"/>
        </w:rPr>
        <w:t>resulta imposible el debate constitucional</w:t>
      </w:r>
      <w:r w:rsidR="00287B6A" w:rsidRPr="0048739B">
        <w:rPr>
          <w:rFonts w:eastAsia="Arial Unicode MS"/>
          <w:sz w:val="28"/>
          <w:szCs w:val="28"/>
          <w:u w:color="000000"/>
          <w:lang w:val="es-ES_tradnl" w:eastAsia="es-ES"/>
        </w:rPr>
        <w:t>.</w:t>
      </w:r>
    </w:p>
    <w:p w14:paraId="5EDE9D39" w14:textId="77777777" w:rsidR="003C3801" w:rsidRPr="0048739B" w:rsidRDefault="003C3801" w:rsidP="0048739B">
      <w:pPr>
        <w:autoSpaceDE w:val="0"/>
        <w:autoSpaceDN w:val="0"/>
        <w:spacing w:after="0" w:line="240" w:lineRule="auto"/>
        <w:jc w:val="both"/>
        <w:rPr>
          <w:rFonts w:eastAsia="Arial Unicode MS"/>
          <w:sz w:val="28"/>
          <w:szCs w:val="28"/>
          <w:u w:color="000000"/>
          <w:lang w:val="es-ES_tradnl" w:eastAsia="es-ES"/>
        </w:rPr>
      </w:pPr>
    </w:p>
    <w:p w14:paraId="7BCE351C" w14:textId="201CEA54" w:rsidR="005109D1" w:rsidRPr="0048739B" w:rsidRDefault="003C3801" w:rsidP="0048739B">
      <w:pPr>
        <w:autoSpaceDE w:val="0"/>
        <w:autoSpaceDN w:val="0"/>
        <w:spacing w:after="0" w:line="240" w:lineRule="auto"/>
        <w:jc w:val="both"/>
        <w:rPr>
          <w:rFonts w:eastAsia="Arial Unicode MS"/>
          <w:sz w:val="28"/>
          <w:szCs w:val="28"/>
          <w:u w:color="000000"/>
          <w:lang w:val="es-ES_tradnl" w:eastAsia="es-ES"/>
        </w:rPr>
      </w:pPr>
      <w:r w:rsidRPr="0048739B">
        <w:rPr>
          <w:rFonts w:eastAsia="Arial Unicode MS"/>
          <w:sz w:val="28"/>
          <w:szCs w:val="28"/>
          <w:u w:color="000000"/>
          <w:lang w:val="es-ES_tradnl" w:eastAsia="es-ES"/>
        </w:rPr>
        <w:t xml:space="preserve">Así, </w:t>
      </w:r>
      <w:r w:rsidR="00D82992" w:rsidRPr="0048739B">
        <w:rPr>
          <w:rFonts w:eastAsia="Arial Unicode MS"/>
          <w:sz w:val="28"/>
          <w:szCs w:val="28"/>
          <w:u w:color="000000"/>
          <w:lang w:val="es-ES_tradnl" w:eastAsia="es-ES"/>
        </w:rPr>
        <w:t xml:space="preserve">toda vez que la demanda no satisface </w:t>
      </w:r>
      <w:r w:rsidRPr="0048739B">
        <w:rPr>
          <w:rFonts w:eastAsia="Arial Unicode MS"/>
          <w:sz w:val="28"/>
          <w:szCs w:val="28"/>
          <w:u w:color="000000"/>
          <w:lang w:val="es-ES_tradnl" w:eastAsia="es-ES"/>
        </w:rPr>
        <w:t>los requisitos de certeza y suficiencia, carece de la aptitud para generar en forma efectiva un reparo sobre</w:t>
      </w:r>
      <w:r w:rsidR="00D82992" w:rsidRPr="0048739B">
        <w:rPr>
          <w:rFonts w:eastAsia="Arial Unicode MS"/>
          <w:sz w:val="28"/>
          <w:szCs w:val="28"/>
          <w:u w:color="000000"/>
          <w:lang w:val="es-ES_tradnl" w:eastAsia="es-ES"/>
        </w:rPr>
        <w:t xml:space="preserve"> la constitucionalidad del parágrafo del artículo 223 de la Ley 906 de 2004. Por ende,</w:t>
      </w:r>
      <w:r w:rsidR="008168D4" w:rsidRPr="0048739B">
        <w:rPr>
          <w:rFonts w:eastAsia="Arial Unicode MS"/>
          <w:sz w:val="28"/>
          <w:szCs w:val="28"/>
          <w:u w:color="000000"/>
          <w:lang w:val="es-ES_tradnl" w:eastAsia="es-ES"/>
        </w:rPr>
        <w:t xml:space="preserve"> </w:t>
      </w:r>
      <w:r w:rsidR="00F93728" w:rsidRPr="0048739B">
        <w:rPr>
          <w:rFonts w:eastAsia="Arial Unicode MS"/>
          <w:sz w:val="28"/>
          <w:szCs w:val="28"/>
          <w:u w:color="000000"/>
          <w:lang w:val="es-ES_tradnl" w:eastAsia="es-ES"/>
        </w:rPr>
        <w:t xml:space="preserve">esta Corporación </w:t>
      </w:r>
      <w:r w:rsidR="00CA5B61" w:rsidRPr="0048739B">
        <w:rPr>
          <w:rFonts w:eastAsia="Arial Unicode MS"/>
          <w:sz w:val="28"/>
          <w:szCs w:val="28"/>
          <w:u w:color="000000"/>
          <w:lang w:val="es-ES_tradnl" w:eastAsia="es-ES"/>
        </w:rPr>
        <w:t xml:space="preserve">se declarará </w:t>
      </w:r>
      <w:r w:rsidR="00F93728" w:rsidRPr="0048739B">
        <w:rPr>
          <w:rFonts w:eastAsia="Arial Unicode MS"/>
          <w:sz w:val="28"/>
          <w:szCs w:val="28"/>
          <w:u w:color="000000"/>
          <w:lang w:val="es-ES_tradnl" w:eastAsia="es-ES"/>
        </w:rPr>
        <w:t>inhibida para proferir un pronunciamiento de fondo sobre el particular</w:t>
      </w:r>
      <w:r w:rsidR="005109D1" w:rsidRPr="0048739B">
        <w:rPr>
          <w:rFonts w:eastAsia="Arial Unicode MS"/>
          <w:sz w:val="28"/>
          <w:szCs w:val="28"/>
          <w:u w:color="000000"/>
          <w:lang w:val="es-ES_tradnl" w:eastAsia="es-ES"/>
        </w:rPr>
        <w:t xml:space="preserve">. </w:t>
      </w:r>
    </w:p>
    <w:p w14:paraId="64AA027E" w14:textId="692E8C9D" w:rsidR="00F179F0" w:rsidRPr="0048739B" w:rsidRDefault="00F179F0" w:rsidP="0048739B">
      <w:pPr>
        <w:autoSpaceDE w:val="0"/>
        <w:autoSpaceDN w:val="0"/>
        <w:spacing w:after="0" w:line="240" w:lineRule="auto"/>
        <w:jc w:val="both"/>
        <w:rPr>
          <w:rFonts w:eastAsia="Arial Unicode MS"/>
          <w:sz w:val="28"/>
          <w:szCs w:val="28"/>
          <w:u w:color="000000"/>
          <w:lang w:val="es-ES_tradnl" w:eastAsia="es-ES"/>
        </w:rPr>
      </w:pPr>
    </w:p>
    <w:p w14:paraId="31D81C38" w14:textId="77777777" w:rsidR="008975EB" w:rsidRPr="0048739B" w:rsidRDefault="008975EB" w:rsidP="0048739B">
      <w:pPr>
        <w:tabs>
          <w:tab w:val="left" w:pos="567"/>
        </w:tabs>
        <w:spacing w:after="0" w:line="240" w:lineRule="auto"/>
        <w:ind w:right="48"/>
        <w:jc w:val="both"/>
        <w:rPr>
          <w:b/>
          <w:sz w:val="28"/>
          <w:szCs w:val="28"/>
          <w:lang w:val="es-ES"/>
        </w:rPr>
      </w:pPr>
      <w:r w:rsidRPr="0048739B">
        <w:rPr>
          <w:b/>
          <w:sz w:val="28"/>
          <w:szCs w:val="28"/>
          <w:lang w:val="es-ES"/>
        </w:rPr>
        <w:t>VII. DECISIÓN</w:t>
      </w:r>
    </w:p>
    <w:p w14:paraId="4ABF6E61" w14:textId="77777777" w:rsidR="008975EB" w:rsidRPr="0048739B" w:rsidRDefault="008975EB" w:rsidP="0048739B">
      <w:pPr>
        <w:spacing w:after="0" w:line="240" w:lineRule="auto"/>
        <w:ind w:right="48"/>
        <w:jc w:val="both"/>
        <w:rPr>
          <w:b/>
          <w:sz w:val="28"/>
          <w:szCs w:val="28"/>
          <w:lang w:val="es-ES"/>
        </w:rPr>
      </w:pPr>
    </w:p>
    <w:p w14:paraId="2CFA5781" w14:textId="77777777" w:rsidR="008975EB" w:rsidRPr="0048739B" w:rsidRDefault="008975EB" w:rsidP="0048739B">
      <w:pPr>
        <w:spacing w:after="0" w:line="240" w:lineRule="auto"/>
        <w:ind w:right="48"/>
        <w:jc w:val="both"/>
        <w:rPr>
          <w:sz w:val="28"/>
          <w:szCs w:val="28"/>
          <w:lang w:val="es-ES"/>
        </w:rPr>
      </w:pPr>
      <w:r w:rsidRPr="0048739B">
        <w:rPr>
          <w:sz w:val="28"/>
          <w:szCs w:val="28"/>
          <w:lang w:val="es-ES"/>
        </w:rPr>
        <w:t>En mérito de lo expuesto, la Sala Plena de la Corte Constitucional de la República de Colombia, administrando justicia en nombre del Pueblo, y por mandato de la Constitución,</w:t>
      </w:r>
    </w:p>
    <w:p w14:paraId="1AFBC8A8" w14:textId="207F8DD7" w:rsidR="008975EB" w:rsidRPr="0048739B" w:rsidRDefault="008975EB" w:rsidP="0048739B">
      <w:pPr>
        <w:spacing w:after="0" w:line="240" w:lineRule="auto"/>
        <w:ind w:right="48"/>
        <w:jc w:val="both"/>
        <w:rPr>
          <w:sz w:val="28"/>
          <w:szCs w:val="28"/>
          <w:lang w:val="es-ES"/>
        </w:rPr>
      </w:pPr>
    </w:p>
    <w:p w14:paraId="484D91DF" w14:textId="77777777" w:rsidR="008975EB" w:rsidRPr="0048739B" w:rsidRDefault="008975EB" w:rsidP="0048739B">
      <w:pPr>
        <w:spacing w:after="0" w:line="240" w:lineRule="auto"/>
        <w:ind w:right="48"/>
        <w:jc w:val="center"/>
        <w:rPr>
          <w:b/>
          <w:sz w:val="28"/>
          <w:szCs w:val="28"/>
          <w:lang w:val="es-ES"/>
        </w:rPr>
      </w:pPr>
      <w:r w:rsidRPr="0048739B">
        <w:rPr>
          <w:b/>
          <w:sz w:val="28"/>
          <w:szCs w:val="28"/>
          <w:lang w:val="es-ES"/>
        </w:rPr>
        <w:t>RESUELVE:</w:t>
      </w:r>
    </w:p>
    <w:p w14:paraId="27B7CB16" w14:textId="77777777" w:rsidR="001765F9" w:rsidRDefault="001765F9" w:rsidP="0048739B">
      <w:pPr>
        <w:spacing w:after="0" w:line="240" w:lineRule="auto"/>
        <w:ind w:right="48"/>
        <w:jc w:val="both"/>
        <w:rPr>
          <w:rFonts w:eastAsia="Times New Roman"/>
          <w:bCs/>
          <w:iCs/>
          <w:sz w:val="28"/>
          <w:szCs w:val="28"/>
          <w:lang w:val="es-ES" w:eastAsia="es-ES"/>
        </w:rPr>
      </w:pPr>
    </w:p>
    <w:p w14:paraId="472D1F91" w14:textId="77777777" w:rsidR="0048739B" w:rsidRPr="0048739B" w:rsidRDefault="0048739B" w:rsidP="0048739B">
      <w:pPr>
        <w:spacing w:after="0" w:line="240" w:lineRule="auto"/>
        <w:ind w:right="48"/>
        <w:jc w:val="both"/>
        <w:rPr>
          <w:rFonts w:eastAsia="Times New Roman"/>
          <w:bCs/>
          <w:iCs/>
          <w:sz w:val="28"/>
          <w:szCs w:val="28"/>
          <w:lang w:val="es-ES" w:eastAsia="es-ES"/>
        </w:rPr>
      </w:pPr>
    </w:p>
    <w:p w14:paraId="41D4B413" w14:textId="46CD440E" w:rsidR="001765F9" w:rsidRPr="0048739B" w:rsidRDefault="004B4122" w:rsidP="0048739B">
      <w:pPr>
        <w:spacing w:after="0" w:line="240" w:lineRule="auto"/>
        <w:jc w:val="both"/>
        <w:rPr>
          <w:rFonts w:eastAsia="Times New Roman"/>
          <w:bCs/>
          <w:iCs/>
          <w:sz w:val="28"/>
          <w:szCs w:val="28"/>
          <w:lang w:val="es-ES" w:eastAsia="es-ES"/>
        </w:rPr>
      </w:pPr>
      <w:r w:rsidRPr="0048739B">
        <w:rPr>
          <w:rFonts w:eastAsia="Times New Roman"/>
          <w:bCs/>
          <w:iCs/>
          <w:sz w:val="28"/>
          <w:szCs w:val="28"/>
          <w:lang w:val="es-ES" w:eastAsia="es-ES"/>
        </w:rPr>
        <w:t xml:space="preserve">Declararse </w:t>
      </w:r>
      <w:r w:rsidRPr="0048739B">
        <w:rPr>
          <w:rFonts w:eastAsia="Times New Roman"/>
          <w:b/>
          <w:iCs/>
          <w:sz w:val="28"/>
          <w:szCs w:val="28"/>
          <w:lang w:val="es-ES" w:eastAsia="es-ES"/>
        </w:rPr>
        <w:t>INHIBIDA</w:t>
      </w:r>
      <w:r w:rsidRPr="0048739B">
        <w:rPr>
          <w:rFonts w:eastAsia="Times New Roman"/>
          <w:bCs/>
          <w:iCs/>
          <w:sz w:val="28"/>
          <w:szCs w:val="28"/>
          <w:lang w:val="es-ES" w:eastAsia="es-ES"/>
        </w:rPr>
        <w:t xml:space="preserve"> para pronunciarse sobre la constitucionalidad de la expresi</w:t>
      </w:r>
      <w:r w:rsidR="008116BD" w:rsidRPr="0048739B">
        <w:rPr>
          <w:rFonts w:eastAsia="Times New Roman"/>
          <w:bCs/>
          <w:iCs/>
          <w:sz w:val="28"/>
          <w:szCs w:val="28"/>
          <w:lang w:val="es-ES" w:eastAsia="es-ES"/>
        </w:rPr>
        <w:t>ón</w:t>
      </w:r>
      <w:r w:rsidRPr="0048739B">
        <w:rPr>
          <w:rFonts w:eastAsia="Times New Roman"/>
          <w:bCs/>
          <w:iCs/>
          <w:sz w:val="28"/>
          <w:szCs w:val="28"/>
          <w:lang w:val="es-ES" w:eastAsia="es-ES"/>
        </w:rPr>
        <w:t xml:space="preserve"> </w:t>
      </w:r>
      <w:r w:rsidRPr="0048739B">
        <w:rPr>
          <w:rFonts w:eastAsia="Times New Roman"/>
          <w:bCs/>
          <w:i/>
          <w:sz w:val="28"/>
          <w:szCs w:val="28"/>
          <w:lang w:val="es-ES" w:eastAsia="es-ES"/>
        </w:rPr>
        <w:t>“</w:t>
      </w:r>
      <w:r w:rsidR="005A48F2" w:rsidRPr="0048739B">
        <w:rPr>
          <w:rFonts w:eastAsia="Times New Roman"/>
          <w:bCs/>
          <w:i/>
          <w:sz w:val="28"/>
          <w:szCs w:val="28"/>
          <w:lang w:val="es-ES" w:eastAsia="es-ES"/>
        </w:rPr>
        <w:t>o por tratarse de personas vinculadas como auxiliadores, partícipes o coautoras del delito investigado o de uno conexo o que se encuentre en curso, o se trate de situaciones que constituyan una obstrucción a la justicia”</w:t>
      </w:r>
      <w:r w:rsidRPr="0048739B">
        <w:rPr>
          <w:rFonts w:eastAsia="Times New Roman"/>
          <w:bCs/>
          <w:iCs/>
          <w:sz w:val="28"/>
          <w:szCs w:val="28"/>
          <w:lang w:val="es-ES" w:eastAsia="es-ES"/>
        </w:rPr>
        <w:t xml:space="preserve"> contenida en el artículo </w:t>
      </w:r>
      <w:r w:rsidR="005A48F2" w:rsidRPr="0048739B">
        <w:rPr>
          <w:rFonts w:eastAsia="Times New Roman"/>
          <w:bCs/>
          <w:iCs/>
          <w:sz w:val="28"/>
          <w:szCs w:val="28"/>
          <w:lang w:val="es-ES" w:eastAsia="es-ES"/>
        </w:rPr>
        <w:t xml:space="preserve">223 </w:t>
      </w:r>
      <w:r w:rsidRPr="0048739B">
        <w:rPr>
          <w:rFonts w:eastAsia="Times New Roman"/>
          <w:bCs/>
          <w:iCs/>
          <w:sz w:val="28"/>
          <w:szCs w:val="28"/>
          <w:lang w:val="es-ES" w:eastAsia="es-ES"/>
        </w:rPr>
        <w:t xml:space="preserve">de la </w:t>
      </w:r>
      <w:r w:rsidR="005A48F2" w:rsidRPr="0048739B">
        <w:rPr>
          <w:rFonts w:eastAsia="Times New Roman"/>
          <w:bCs/>
          <w:iCs/>
          <w:sz w:val="28"/>
          <w:szCs w:val="28"/>
          <w:lang w:val="es-ES" w:eastAsia="es-ES"/>
        </w:rPr>
        <w:t>Ley 90</w:t>
      </w:r>
      <w:r w:rsidR="00BC7D42" w:rsidRPr="0048739B">
        <w:rPr>
          <w:rFonts w:eastAsia="Times New Roman"/>
          <w:bCs/>
          <w:iCs/>
          <w:sz w:val="28"/>
          <w:szCs w:val="28"/>
          <w:lang w:val="es-ES" w:eastAsia="es-ES"/>
        </w:rPr>
        <w:t>6</w:t>
      </w:r>
      <w:r w:rsidR="005A48F2" w:rsidRPr="0048739B">
        <w:rPr>
          <w:rFonts w:eastAsia="Times New Roman"/>
          <w:bCs/>
          <w:iCs/>
          <w:sz w:val="28"/>
          <w:szCs w:val="28"/>
          <w:lang w:val="es-ES" w:eastAsia="es-ES"/>
        </w:rPr>
        <w:t xml:space="preserve"> de 2004</w:t>
      </w:r>
      <w:r w:rsidRPr="0048739B">
        <w:rPr>
          <w:rFonts w:eastAsia="Times New Roman"/>
          <w:bCs/>
          <w:iCs/>
          <w:sz w:val="28"/>
          <w:szCs w:val="28"/>
          <w:lang w:val="es-ES" w:eastAsia="es-ES"/>
        </w:rPr>
        <w:t>, por ineptitud sustantiva de la demanda.</w:t>
      </w:r>
    </w:p>
    <w:p w14:paraId="25EFE804" w14:textId="52162DC3" w:rsidR="001765F9" w:rsidRPr="0048739B" w:rsidRDefault="001765F9" w:rsidP="0048739B">
      <w:pPr>
        <w:spacing w:after="0" w:line="240" w:lineRule="auto"/>
        <w:ind w:right="48"/>
        <w:jc w:val="both"/>
        <w:rPr>
          <w:rFonts w:eastAsia="Times New Roman"/>
          <w:bCs/>
          <w:iCs/>
          <w:sz w:val="28"/>
          <w:szCs w:val="28"/>
          <w:highlight w:val="yellow"/>
          <w:lang w:val="es-ES" w:eastAsia="es-ES"/>
        </w:rPr>
      </w:pPr>
    </w:p>
    <w:p w14:paraId="6521597A" w14:textId="60A83E07" w:rsidR="006445A3" w:rsidRPr="0048739B" w:rsidRDefault="003A7B25" w:rsidP="0048739B">
      <w:pPr>
        <w:spacing w:after="0" w:line="240" w:lineRule="auto"/>
        <w:ind w:right="48"/>
        <w:jc w:val="both"/>
        <w:rPr>
          <w:rFonts w:eastAsia="Times New Roman"/>
          <w:bCs/>
          <w:iCs/>
          <w:sz w:val="28"/>
          <w:szCs w:val="28"/>
          <w:highlight w:val="yellow"/>
          <w:lang w:val="es-ES" w:eastAsia="es-ES"/>
        </w:rPr>
      </w:pPr>
      <w:r w:rsidRPr="0048739B">
        <w:rPr>
          <w:rFonts w:eastAsia="Times New Roman"/>
          <w:bCs/>
          <w:iCs/>
          <w:sz w:val="28"/>
          <w:szCs w:val="28"/>
          <w:lang w:val="es-ES" w:eastAsia="es-ES"/>
        </w:rPr>
        <w:t>Notifíquese, comuníquese y archívese el expediente.</w:t>
      </w:r>
    </w:p>
    <w:p w14:paraId="00110CD3" w14:textId="77777777" w:rsidR="0060261D" w:rsidRPr="0048739B" w:rsidRDefault="0060261D" w:rsidP="0048739B">
      <w:pPr>
        <w:tabs>
          <w:tab w:val="left" w:pos="426"/>
        </w:tabs>
        <w:spacing w:after="0" w:line="240" w:lineRule="auto"/>
        <w:ind w:right="48"/>
        <w:jc w:val="center"/>
        <w:rPr>
          <w:rFonts w:eastAsia="Times New Roman"/>
          <w:i/>
          <w:sz w:val="28"/>
          <w:szCs w:val="28"/>
          <w:lang w:val="es-ES" w:eastAsia="es-ES"/>
        </w:rPr>
      </w:pPr>
    </w:p>
    <w:p w14:paraId="0EB8F09D" w14:textId="67F378D2" w:rsidR="00812B89" w:rsidRPr="0048739B" w:rsidRDefault="00812B89"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026EFC91" w14:textId="77777777" w:rsidR="00812B89" w:rsidRPr="0048739B" w:rsidRDefault="00812B89"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6421FE2A"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ALBERTO ROJAS RIOS</w:t>
      </w:r>
    </w:p>
    <w:p w14:paraId="072085A0"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Presidente</w:t>
      </w:r>
    </w:p>
    <w:p w14:paraId="05B301FA" w14:textId="1546542A" w:rsidR="006A14F3" w:rsidRPr="0048739B" w:rsidRDefault="0060261D" w:rsidP="0048739B">
      <w:pPr>
        <w:widowControl w:val="0"/>
        <w:pBdr>
          <w:top w:val="nil"/>
          <w:left w:val="nil"/>
          <w:bottom w:val="nil"/>
          <w:right w:val="nil"/>
          <w:between w:val="nil"/>
        </w:pBdr>
        <w:spacing w:after="0" w:line="240" w:lineRule="auto"/>
        <w:jc w:val="center"/>
        <w:rPr>
          <w:rFonts w:eastAsia="Bookman Old Style"/>
          <w:i/>
          <w:iCs/>
          <w:color w:val="000000"/>
          <w:sz w:val="28"/>
          <w:szCs w:val="28"/>
          <w:lang w:eastAsia="es-CO"/>
        </w:rPr>
      </w:pPr>
      <w:r w:rsidRPr="0048739B">
        <w:rPr>
          <w:rFonts w:eastAsia="Bookman Old Style"/>
          <w:i/>
          <w:iCs/>
          <w:color w:val="000000"/>
          <w:sz w:val="28"/>
          <w:szCs w:val="28"/>
          <w:lang w:eastAsia="es-CO"/>
        </w:rPr>
        <w:t>Ausente con excusa</w:t>
      </w:r>
    </w:p>
    <w:p w14:paraId="3F5F85CC"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4E9CC2DE"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37AF01B2" w14:textId="77777777" w:rsidR="00054F15" w:rsidRPr="0048739B" w:rsidRDefault="00054F15"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77B0845D"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DIANA FAJARDO RIVERA</w:t>
      </w:r>
    </w:p>
    <w:p w14:paraId="49D2CC3C"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Magistrada</w:t>
      </w:r>
    </w:p>
    <w:p w14:paraId="36F1FBBB"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46C92BC2"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04189F0A" w14:textId="77777777" w:rsidR="00C545A4" w:rsidRPr="0048739B" w:rsidRDefault="00C545A4"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2EA0877F"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lastRenderedPageBreak/>
        <w:t>JORGE ENRIQUE IBÁÑEZ NAJAR</w:t>
      </w:r>
    </w:p>
    <w:p w14:paraId="5F7ADAB1"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Magistrado</w:t>
      </w:r>
    </w:p>
    <w:p w14:paraId="0724A40D"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43FB16C4"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3F99F9EE" w14:textId="77777777" w:rsidR="00C545A4" w:rsidRPr="0048739B" w:rsidRDefault="00C545A4"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12A52B48"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ALEJANDRO LINARES CANTILLO</w:t>
      </w:r>
    </w:p>
    <w:p w14:paraId="657A26F8"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Magistrado</w:t>
      </w:r>
    </w:p>
    <w:p w14:paraId="1A35F2AE"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427EF5E1"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1115FB40" w14:textId="77777777" w:rsidR="00C545A4" w:rsidRPr="0048739B" w:rsidRDefault="00C545A4"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1BAB8013"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ANTONIO JOSÉ LIZARAZO OCAMPO</w:t>
      </w:r>
    </w:p>
    <w:p w14:paraId="1D5D0962"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Magistrado</w:t>
      </w:r>
    </w:p>
    <w:p w14:paraId="7C655667"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56B0B962"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55D45144" w14:textId="77777777" w:rsidR="00CA23B7" w:rsidRPr="0048739B" w:rsidRDefault="00CA23B7"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231F078B" w14:textId="17EF63CC"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GLORIA STELLA ORTIZ DELGADO</w:t>
      </w:r>
    </w:p>
    <w:p w14:paraId="78711B70"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Magistrada</w:t>
      </w:r>
    </w:p>
    <w:p w14:paraId="26367D84"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4B22693F"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022C7593"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7EA73A27"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CRISTINA PARDO SCHLESINGER</w:t>
      </w:r>
    </w:p>
    <w:p w14:paraId="706EDB62"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Magistrada</w:t>
      </w:r>
    </w:p>
    <w:p w14:paraId="144372B5"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3A05043A"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13548D49" w14:textId="77777777" w:rsidR="00C545A4" w:rsidRPr="0048739B" w:rsidRDefault="00C545A4"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6D7FF025"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RICHARD S. RAMÍREZ GRISALES</w:t>
      </w:r>
    </w:p>
    <w:p w14:paraId="602CBBCB"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Magistrado (e)</w:t>
      </w:r>
    </w:p>
    <w:p w14:paraId="42966760" w14:textId="77777777" w:rsidR="00C545A4" w:rsidRPr="0048739B" w:rsidRDefault="00C545A4"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1F08B128" w14:textId="77777777" w:rsidR="00C545A4" w:rsidRPr="0048739B" w:rsidRDefault="00C545A4"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2B8118DC" w14:textId="77777777" w:rsidR="00C545A4" w:rsidRPr="0048739B" w:rsidRDefault="00C545A4"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472915D0"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JOSÉ FERNANDO REYES CUARTAS</w:t>
      </w:r>
    </w:p>
    <w:p w14:paraId="0E36989E"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Magistrado</w:t>
      </w:r>
    </w:p>
    <w:p w14:paraId="3ED422DD"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6B4A4E4D" w14:textId="0E908613"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5FA98FA6"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p>
    <w:p w14:paraId="06F8BBC2" w14:textId="77777777" w:rsidR="006A14F3" w:rsidRPr="0048739B" w:rsidRDefault="006A14F3" w:rsidP="0048739B">
      <w:pPr>
        <w:widowControl w:val="0"/>
        <w:pBdr>
          <w:top w:val="nil"/>
          <w:left w:val="nil"/>
          <w:bottom w:val="nil"/>
          <w:right w:val="nil"/>
          <w:between w:val="nil"/>
        </w:pBdr>
        <w:spacing w:after="0" w:line="240" w:lineRule="auto"/>
        <w:jc w:val="center"/>
        <w:rPr>
          <w:rFonts w:eastAsia="Bookman Old Style"/>
          <w:color w:val="000000"/>
          <w:sz w:val="28"/>
          <w:szCs w:val="28"/>
          <w:lang w:eastAsia="es-CO"/>
        </w:rPr>
      </w:pPr>
      <w:r w:rsidRPr="0048739B">
        <w:rPr>
          <w:rFonts w:eastAsia="Bookman Old Style"/>
          <w:color w:val="000000"/>
          <w:sz w:val="28"/>
          <w:szCs w:val="28"/>
          <w:lang w:eastAsia="es-CO"/>
        </w:rPr>
        <w:t>MARTHA VICTORIA SÁCHICA MÉNDEZ</w:t>
      </w:r>
    </w:p>
    <w:p w14:paraId="0F47BCE6" w14:textId="77777777" w:rsidR="006A14F3" w:rsidRPr="0048739B" w:rsidRDefault="006A14F3" w:rsidP="0048739B">
      <w:pPr>
        <w:widowControl w:val="0"/>
        <w:pBdr>
          <w:top w:val="nil"/>
          <w:left w:val="nil"/>
          <w:bottom w:val="nil"/>
          <w:right w:val="nil"/>
          <w:between w:val="nil"/>
        </w:pBdr>
        <w:spacing w:after="0" w:line="240" w:lineRule="auto"/>
        <w:jc w:val="center"/>
        <w:rPr>
          <w:sz w:val="28"/>
          <w:szCs w:val="28"/>
          <w:lang w:val="es-ES"/>
        </w:rPr>
      </w:pPr>
      <w:r w:rsidRPr="0048739B">
        <w:rPr>
          <w:rFonts w:eastAsia="Bookman Old Style"/>
          <w:color w:val="000000"/>
          <w:sz w:val="28"/>
          <w:szCs w:val="28"/>
          <w:lang w:eastAsia="es-CO"/>
        </w:rPr>
        <w:t>Secretaria General</w:t>
      </w:r>
    </w:p>
    <w:sectPr w:rsidR="006A14F3" w:rsidRPr="0048739B" w:rsidSect="002C059B">
      <w:headerReference w:type="even" r:id="rId9"/>
      <w:headerReference w:type="default" r:id="rId10"/>
      <w:pgSz w:w="12240" w:h="18720" w:code="14"/>
      <w:pgMar w:top="1418" w:right="1325" w:bottom="1418" w:left="141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863D1" w14:textId="77777777" w:rsidR="009F2A25" w:rsidRDefault="009F2A25" w:rsidP="000371D4">
      <w:pPr>
        <w:spacing w:after="0" w:line="240" w:lineRule="auto"/>
      </w:pPr>
      <w:r>
        <w:separator/>
      </w:r>
    </w:p>
  </w:endnote>
  <w:endnote w:type="continuationSeparator" w:id="0">
    <w:p w14:paraId="2AC07C56" w14:textId="77777777" w:rsidR="009F2A25" w:rsidRDefault="009F2A25" w:rsidP="0003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736E2" w14:textId="77777777" w:rsidR="009F2A25" w:rsidRDefault="009F2A25" w:rsidP="000371D4">
      <w:pPr>
        <w:spacing w:after="0" w:line="240" w:lineRule="auto"/>
      </w:pPr>
      <w:r>
        <w:separator/>
      </w:r>
    </w:p>
  </w:footnote>
  <w:footnote w:type="continuationSeparator" w:id="0">
    <w:p w14:paraId="2EE7D126" w14:textId="77777777" w:rsidR="009F2A25" w:rsidRDefault="009F2A25" w:rsidP="000371D4">
      <w:pPr>
        <w:spacing w:after="0" w:line="240" w:lineRule="auto"/>
      </w:pPr>
      <w:r>
        <w:continuationSeparator/>
      </w:r>
    </w:p>
  </w:footnote>
  <w:footnote w:id="1">
    <w:p w14:paraId="59183360" w14:textId="7BA43D4C"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t xml:space="preserve"> Corte Constitucional. Buscador procesos constitucionalidad. Expediente D-13621. </w:t>
      </w:r>
      <w:r w:rsidRPr="00FE50A1">
        <w:rPr>
          <w:i/>
          <w:iCs/>
        </w:rPr>
        <w:t>“Auto que Admite e Inadmite la demanda”</w:t>
      </w:r>
      <w:r w:rsidRPr="00FE50A1">
        <w:t xml:space="preserve">. En: </w:t>
      </w:r>
      <w:hyperlink r:id="rId1" w:history="1">
        <w:r w:rsidRPr="00FE50A1">
          <w:rPr>
            <w:rStyle w:val="Hipervnculo"/>
            <w:color w:val="auto"/>
            <w:u w:val="none"/>
          </w:rPr>
          <w:t>https://www.corteconstitucional.gov.co/secretaria/archivo.php?id=12992</w:t>
        </w:r>
      </w:hyperlink>
      <w:r w:rsidRPr="00FE50A1">
        <w:t>. (Última consulta 01-06-2020).</w:t>
      </w:r>
    </w:p>
  </w:footnote>
  <w:footnote w:id="2">
    <w:p w14:paraId="77F1686D" w14:textId="66D09773" w:rsidR="002224BF" w:rsidRPr="00FE50A1" w:rsidRDefault="002224BF" w:rsidP="007A675E">
      <w:pPr>
        <w:spacing w:after="0" w:line="240" w:lineRule="auto"/>
        <w:jc w:val="both"/>
        <w:rPr>
          <w:color w:val="444444"/>
        </w:rPr>
      </w:pPr>
      <w:r w:rsidRPr="00FE50A1">
        <w:rPr>
          <w:rStyle w:val="Refdenotaalpie"/>
          <w:rFonts w:eastAsia="Calibri"/>
          <w:position w:val="0"/>
          <w:sz w:val="20"/>
          <w:vertAlign w:val="superscript"/>
          <w:lang w:val="es-ES" w:eastAsia="es-ES"/>
        </w:rPr>
        <w:footnoteRef/>
      </w:r>
      <w:r w:rsidRPr="00FE50A1">
        <w:t xml:space="preserve"> Corte Constitucional. Buscador procesos constitucionalidad. Expediente D-13621. </w:t>
      </w:r>
      <w:r w:rsidRPr="00FE50A1">
        <w:rPr>
          <w:i/>
          <w:iCs/>
        </w:rPr>
        <w:t>“Auto que Admite y Rechaza la demanda”</w:t>
      </w:r>
      <w:r w:rsidRPr="00FE50A1">
        <w:t xml:space="preserve">. En: </w:t>
      </w:r>
      <w:hyperlink r:id="rId2" w:history="1">
        <w:r w:rsidRPr="00FE50A1">
          <w:rPr>
            <w:rStyle w:val="Hipervnculo"/>
            <w:color w:val="auto"/>
            <w:u w:val="none"/>
          </w:rPr>
          <w:t>https://www.corteconstitucional.gov.co/secretaria/archivo.php?id=13319</w:t>
        </w:r>
      </w:hyperlink>
      <w:r w:rsidRPr="00FE50A1">
        <w:t xml:space="preserve">. (Última consulta: 01-06-2020). </w:t>
      </w:r>
    </w:p>
  </w:footnote>
  <w:footnote w:id="3">
    <w:p w14:paraId="5F5B17FD" w14:textId="77777777"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rPr>
          <w:vertAlign w:val="superscript"/>
        </w:rPr>
        <w:t xml:space="preserve"> </w:t>
      </w:r>
      <w:r w:rsidRPr="00FE50A1">
        <w:rPr>
          <w:lang w:val="es-CO"/>
        </w:rPr>
        <w:t xml:space="preserve">Folio 4. </w:t>
      </w:r>
    </w:p>
  </w:footnote>
  <w:footnote w:id="4">
    <w:p w14:paraId="44B42259" w14:textId="49F42BCF"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t xml:space="preserve"> Ídem. </w:t>
      </w:r>
    </w:p>
  </w:footnote>
  <w:footnote w:id="5">
    <w:p w14:paraId="4D967737" w14:textId="77F0E7D7"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t xml:space="preserve"> Ídem.</w:t>
      </w:r>
    </w:p>
  </w:footnote>
  <w:footnote w:id="6">
    <w:p w14:paraId="20684C61" w14:textId="77777777"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rPr>
          <w:vertAlign w:val="superscript"/>
        </w:rPr>
        <w:t xml:space="preserve"> </w:t>
      </w:r>
      <w:r w:rsidRPr="00FE50A1">
        <w:t>Folio 5.</w:t>
      </w:r>
    </w:p>
  </w:footnote>
  <w:footnote w:id="7">
    <w:p w14:paraId="25E90B29" w14:textId="77777777" w:rsidR="002224BF" w:rsidRPr="00FE50A1" w:rsidRDefault="002224BF" w:rsidP="007A675E">
      <w:pPr>
        <w:pStyle w:val="Textonotapie"/>
        <w:jc w:val="both"/>
      </w:pPr>
      <w:r w:rsidRPr="00FE50A1">
        <w:rPr>
          <w:rStyle w:val="Refdenotaalpie"/>
          <w:position w:val="0"/>
          <w:sz w:val="20"/>
          <w:vertAlign w:val="superscript"/>
        </w:rPr>
        <w:footnoteRef/>
      </w:r>
      <w:r w:rsidRPr="00FE50A1">
        <w:t xml:space="preserve"> Folio 9.</w:t>
      </w:r>
    </w:p>
  </w:footnote>
  <w:footnote w:id="8">
    <w:p w14:paraId="785DF843" w14:textId="5EA783CC" w:rsidR="002224BF" w:rsidRPr="00FE50A1" w:rsidRDefault="002224BF" w:rsidP="007A675E">
      <w:pPr>
        <w:pStyle w:val="Textonotapie"/>
        <w:jc w:val="both"/>
      </w:pPr>
      <w:r w:rsidRPr="00FE50A1">
        <w:rPr>
          <w:rStyle w:val="Refdenotaalpie"/>
          <w:position w:val="0"/>
          <w:sz w:val="20"/>
          <w:vertAlign w:val="superscript"/>
        </w:rPr>
        <w:footnoteRef/>
      </w:r>
      <w:r w:rsidRPr="00FE50A1">
        <w:t xml:space="preserve"> Ídem.</w:t>
      </w:r>
    </w:p>
  </w:footnote>
  <w:footnote w:id="9">
    <w:p w14:paraId="480A1069" w14:textId="67B5EF44" w:rsidR="002224BF" w:rsidRPr="00FE50A1" w:rsidRDefault="002224BF" w:rsidP="007A675E">
      <w:pPr>
        <w:pStyle w:val="Textonotapie"/>
        <w:jc w:val="both"/>
        <w:rPr>
          <w:highlight w:val="yellow"/>
        </w:rPr>
      </w:pPr>
      <w:r w:rsidRPr="00FE50A1">
        <w:rPr>
          <w:rStyle w:val="Refdenotaalpie"/>
          <w:position w:val="0"/>
          <w:sz w:val="20"/>
          <w:vertAlign w:val="superscript"/>
        </w:rPr>
        <w:footnoteRef/>
      </w:r>
      <w:r w:rsidRPr="00FE50A1">
        <w:t xml:space="preserve"> Corte Constitucional. Buscador procesos constitucionalidad. Expediente D-13621. </w:t>
      </w:r>
      <w:r w:rsidRPr="00FE50A1">
        <w:rPr>
          <w:i/>
          <w:iCs/>
        </w:rPr>
        <w:t>“D0013621 DEMANDA”</w:t>
      </w:r>
      <w:r w:rsidRPr="00FE50A1">
        <w:t xml:space="preserve">. p.10. En: </w:t>
      </w:r>
      <w:hyperlink r:id="rId3" w:history="1">
        <w:r w:rsidRPr="00FE50A1">
          <w:rPr>
            <w:rStyle w:val="Hipervnculo"/>
            <w:color w:val="auto"/>
            <w:u w:val="none"/>
          </w:rPr>
          <w:t>https://www.corteconstitucional.gov.co/secretaria/archivo.php?id=12770</w:t>
        </w:r>
      </w:hyperlink>
      <w:r w:rsidRPr="00FE50A1">
        <w:t>. (Última consulta: 01-06-2020).</w:t>
      </w:r>
    </w:p>
  </w:footnote>
  <w:footnote w:id="10">
    <w:p w14:paraId="0C54ED19" w14:textId="5A3A70AC" w:rsidR="002224BF" w:rsidRPr="00FE50A1" w:rsidRDefault="002224BF" w:rsidP="007A675E">
      <w:pPr>
        <w:pStyle w:val="Textonotapie"/>
        <w:jc w:val="both"/>
        <w:rPr>
          <w:highlight w:val="yellow"/>
          <w:lang w:val="es-CO"/>
        </w:rPr>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t xml:space="preserve">Corte Constitucional. Buscador procesos constitucionalidad. Expediente D-13621. </w:t>
      </w:r>
      <w:r w:rsidRPr="00FE50A1">
        <w:rPr>
          <w:i/>
          <w:iCs/>
        </w:rPr>
        <w:t>“Concepto Corte Suprema de Justicia”</w:t>
      </w:r>
      <w:r w:rsidRPr="00FE50A1">
        <w:t xml:space="preserve">. En: </w:t>
      </w:r>
      <w:hyperlink r:id="rId4" w:history="1">
        <w:r w:rsidRPr="00FE50A1">
          <w:rPr>
            <w:rStyle w:val="Hipervnculo"/>
            <w:color w:val="auto"/>
            <w:u w:val="none"/>
          </w:rPr>
          <w:t>https://www.corteconstitucional.gov.co/secretaria/archivo.php?id=13592</w:t>
        </w:r>
      </w:hyperlink>
      <w:r w:rsidRPr="00FE50A1">
        <w:t>. (Última consulta: 01-06-2020).</w:t>
      </w:r>
    </w:p>
  </w:footnote>
  <w:footnote w:id="11">
    <w:p w14:paraId="74778581" w14:textId="7C705BBA" w:rsidR="002224BF" w:rsidRPr="00A12314" w:rsidRDefault="002224BF">
      <w:pPr>
        <w:pStyle w:val="Textonotapie"/>
        <w:rPr>
          <w:lang w:val="es-CO"/>
        </w:rPr>
      </w:pPr>
      <w:r w:rsidRPr="00A12314">
        <w:rPr>
          <w:rStyle w:val="Refdenotaalpie"/>
          <w:vertAlign w:val="superscript"/>
        </w:rPr>
        <w:footnoteRef/>
      </w:r>
      <w:r>
        <w:t xml:space="preserve"> </w:t>
      </w:r>
      <w:proofErr w:type="spellStart"/>
      <w:r>
        <w:rPr>
          <w:lang w:val="es-CO"/>
        </w:rPr>
        <w:t>Ibid</w:t>
      </w:r>
      <w:proofErr w:type="spellEnd"/>
      <w:r>
        <w:rPr>
          <w:lang w:val="es-CO"/>
        </w:rPr>
        <w:t>. p. 6.</w:t>
      </w:r>
    </w:p>
  </w:footnote>
  <w:footnote w:id="12">
    <w:p w14:paraId="2BCBAC03" w14:textId="21D5573F" w:rsidR="002224BF" w:rsidRPr="00301A8C" w:rsidRDefault="002224BF">
      <w:pPr>
        <w:pStyle w:val="Textonotapie"/>
        <w:rPr>
          <w:lang w:val="es-CO"/>
        </w:rPr>
      </w:pPr>
      <w:r w:rsidRPr="008A59E2">
        <w:rPr>
          <w:rStyle w:val="Refdenotaalpie"/>
          <w:vertAlign w:val="superscript"/>
        </w:rPr>
        <w:footnoteRef/>
      </w:r>
      <w:r>
        <w:t xml:space="preserve"> </w:t>
      </w:r>
      <w:proofErr w:type="spellStart"/>
      <w:r>
        <w:rPr>
          <w:lang w:val="es-CO"/>
        </w:rPr>
        <w:t>Ibid</w:t>
      </w:r>
      <w:proofErr w:type="spellEnd"/>
      <w:r>
        <w:rPr>
          <w:lang w:val="es-CO"/>
        </w:rPr>
        <w:t xml:space="preserve">. p. 3. </w:t>
      </w:r>
    </w:p>
  </w:footnote>
  <w:footnote w:id="13">
    <w:p w14:paraId="3E32D896" w14:textId="6C0E7F75" w:rsidR="002224BF" w:rsidRPr="00FE50A1" w:rsidRDefault="002224BF" w:rsidP="007A675E">
      <w:pPr>
        <w:pStyle w:val="Textonotapie"/>
        <w:jc w:val="both"/>
        <w:rPr>
          <w:highlight w:val="yellow"/>
        </w:rPr>
      </w:pPr>
      <w:r w:rsidRPr="00FE50A1">
        <w:rPr>
          <w:rStyle w:val="Refdenotaalpie"/>
          <w:position w:val="0"/>
          <w:sz w:val="20"/>
          <w:vertAlign w:val="superscript"/>
        </w:rPr>
        <w:footnoteRef/>
      </w:r>
      <w:r w:rsidRPr="00FE50A1">
        <w:rPr>
          <w:rStyle w:val="Refdenotaalpie"/>
          <w:position w:val="0"/>
          <w:sz w:val="20"/>
          <w:vertAlign w:val="superscript"/>
        </w:rPr>
        <w:t xml:space="preserve"> </w:t>
      </w:r>
      <w:r>
        <w:t xml:space="preserve">Ídem. </w:t>
      </w:r>
    </w:p>
  </w:footnote>
  <w:footnote w:id="14">
    <w:p w14:paraId="2C249D2E" w14:textId="0E8185E4" w:rsidR="002224BF" w:rsidRPr="00070412" w:rsidRDefault="002224BF">
      <w:pPr>
        <w:pStyle w:val="Textonotapie"/>
        <w:rPr>
          <w:lang w:val="es-CO"/>
        </w:rPr>
      </w:pPr>
      <w:r w:rsidRPr="00070412">
        <w:rPr>
          <w:rStyle w:val="Refdenotaalpie"/>
          <w:vertAlign w:val="superscript"/>
        </w:rPr>
        <w:footnoteRef/>
      </w:r>
      <w:r>
        <w:t xml:space="preserve"> </w:t>
      </w:r>
      <w:proofErr w:type="spellStart"/>
      <w:r w:rsidRPr="00FE50A1">
        <w:t>Ibid</w:t>
      </w:r>
      <w:proofErr w:type="spellEnd"/>
      <w:r w:rsidRPr="00FE50A1">
        <w:t xml:space="preserve">. p. </w:t>
      </w:r>
      <w:r>
        <w:t>4</w:t>
      </w:r>
      <w:r w:rsidRPr="00FE50A1">
        <w:t>.</w:t>
      </w:r>
    </w:p>
  </w:footnote>
  <w:footnote w:id="15">
    <w:p w14:paraId="1C991632" w14:textId="5F30D679" w:rsidR="002224BF" w:rsidRPr="008F1B84" w:rsidRDefault="002224BF">
      <w:pPr>
        <w:pStyle w:val="Textonotapie"/>
        <w:rPr>
          <w:lang w:val="es-CO"/>
        </w:rPr>
      </w:pPr>
      <w:r w:rsidRPr="00247A4C">
        <w:rPr>
          <w:rStyle w:val="Refdenotaalpie"/>
          <w:vertAlign w:val="superscript"/>
        </w:rPr>
        <w:footnoteRef/>
      </w:r>
      <w:r>
        <w:t xml:space="preserve"> Ídem.</w:t>
      </w:r>
    </w:p>
  </w:footnote>
  <w:footnote w:id="16">
    <w:p w14:paraId="43F7A217" w14:textId="299E5552" w:rsidR="002224BF" w:rsidRPr="00FE50A1" w:rsidRDefault="002224BF" w:rsidP="007A675E">
      <w:pPr>
        <w:pStyle w:val="Textonotapie"/>
        <w:jc w:val="both"/>
        <w:rPr>
          <w:highlight w:val="yellow"/>
        </w:rPr>
      </w:pPr>
      <w:r w:rsidRPr="00FE50A1">
        <w:rPr>
          <w:rStyle w:val="Refdenotaalpie"/>
          <w:position w:val="0"/>
          <w:sz w:val="20"/>
          <w:vertAlign w:val="superscript"/>
        </w:rPr>
        <w:footnoteRef/>
      </w:r>
      <w:r w:rsidRPr="00FE50A1">
        <w:rPr>
          <w:rStyle w:val="Refdenotaalpie"/>
          <w:position w:val="0"/>
          <w:sz w:val="20"/>
          <w:vertAlign w:val="superscript"/>
        </w:rPr>
        <w:t xml:space="preserve"> </w:t>
      </w:r>
      <w:proofErr w:type="spellStart"/>
      <w:r w:rsidRPr="00FE50A1">
        <w:t>Ibid</w:t>
      </w:r>
      <w:proofErr w:type="spellEnd"/>
      <w:r w:rsidRPr="00FE50A1">
        <w:t>. p. 5.</w:t>
      </w:r>
    </w:p>
  </w:footnote>
  <w:footnote w:id="17">
    <w:p w14:paraId="056B47AC" w14:textId="03AA72C6"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t xml:space="preserve">Corte Constitucional. Buscador procesos constitucionalidad. Expediente D-13621. </w:t>
      </w:r>
      <w:r w:rsidRPr="00FE50A1">
        <w:rPr>
          <w:i/>
          <w:iCs/>
        </w:rPr>
        <w:t>“Intervención Ministerio de Justicia y del Derecho”</w:t>
      </w:r>
      <w:r w:rsidRPr="00FE50A1">
        <w:t>. En: https://www.corteconstitucional.gov.co/secretaria/archivo.php?id=13660. (Última consulta: 01-06-2020).</w:t>
      </w:r>
    </w:p>
  </w:footnote>
  <w:footnote w:id="18">
    <w:p w14:paraId="1B0DE8A2" w14:textId="6A8C0DBD"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rPr>
          <w:lang w:val="es-CO"/>
        </w:rPr>
        <w:t xml:space="preserve">Corte Constitucional. Buscador procesos constitucionalidad. Expediente D-13621. </w:t>
      </w:r>
      <w:r w:rsidRPr="00FE50A1">
        <w:rPr>
          <w:i/>
          <w:iCs/>
          <w:lang w:val="es-CO"/>
        </w:rPr>
        <w:t>“Intervención fiscalía General de la Nación”</w:t>
      </w:r>
      <w:r w:rsidRPr="00FE50A1">
        <w:rPr>
          <w:lang w:val="es-CO"/>
        </w:rPr>
        <w:t>. En: https://www.corteconstitucional.gov.co/secretaria/archivo.php?id=13694. (Última consulta: 01-06-2020).</w:t>
      </w:r>
    </w:p>
  </w:footnote>
  <w:footnote w:id="19">
    <w:p w14:paraId="796827A4" w14:textId="5DE290C4"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rPr>
          <w:lang w:val="es-CO"/>
        </w:rPr>
        <w:t xml:space="preserve">Corte Constitucional. Buscador procesos constitucionalidad. Expediente D-13621. </w:t>
      </w:r>
      <w:r w:rsidRPr="00FE50A1">
        <w:rPr>
          <w:i/>
          <w:iCs/>
          <w:lang w:val="es-CO"/>
        </w:rPr>
        <w:t>“Intervención Universidad Javeriana”</w:t>
      </w:r>
      <w:r w:rsidRPr="00FE50A1">
        <w:rPr>
          <w:lang w:val="es-CO"/>
        </w:rPr>
        <w:t>. En: https://www.corteconstitucional.gov.co/secretaria/archivo.php?id=13633. (Última consulta: 01-06-2020).</w:t>
      </w:r>
    </w:p>
  </w:footnote>
  <w:footnote w:id="20">
    <w:p w14:paraId="172845FF" w14:textId="489979D8" w:rsidR="002224BF" w:rsidRPr="00444524" w:rsidRDefault="002224BF">
      <w:pPr>
        <w:pStyle w:val="Textonotapie"/>
        <w:rPr>
          <w:lang w:val="es-CO"/>
        </w:rPr>
      </w:pPr>
      <w:r>
        <w:rPr>
          <w:rStyle w:val="Refdenotaalpie"/>
        </w:rPr>
        <w:footnoteRef/>
      </w:r>
      <w:r>
        <w:t xml:space="preserve"> </w:t>
      </w:r>
      <w:proofErr w:type="spellStart"/>
      <w:r>
        <w:t>Ibid</w:t>
      </w:r>
      <w:proofErr w:type="spellEnd"/>
      <w:r>
        <w:t xml:space="preserve">. p. 6. </w:t>
      </w:r>
    </w:p>
  </w:footnote>
  <w:footnote w:id="21">
    <w:p w14:paraId="7AF1570E" w14:textId="4F1923E3"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t xml:space="preserve">Sobre el particular, aclaró que usa el término </w:t>
      </w:r>
      <w:r w:rsidRPr="00FE50A1">
        <w:rPr>
          <w:i/>
          <w:iCs/>
        </w:rPr>
        <w:t>“sindicado”</w:t>
      </w:r>
      <w:r w:rsidRPr="00FE50A1">
        <w:t xml:space="preserve"> de manera amplia, por lo que comprende todos los sujetos sometidos a un proceso penal contra los que no se haya proferido una sentencia condenatoria.</w:t>
      </w:r>
    </w:p>
  </w:footnote>
  <w:footnote w:id="22">
    <w:p w14:paraId="317B90F0" w14:textId="6C8BE1C6" w:rsidR="002224BF" w:rsidRPr="00FE50A1" w:rsidRDefault="002224BF" w:rsidP="007A675E">
      <w:pPr>
        <w:pStyle w:val="Textonotapie"/>
        <w:jc w:val="both"/>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rPr>
          <w:lang w:val="es-CO"/>
        </w:rPr>
        <w:t xml:space="preserve">Corte Constitucional. Buscador procesos constitucionalidad. Expediente D-13621. </w:t>
      </w:r>
      <w:r w:rsidRPr="00FE50A1">
        <w:rPr>
          <w:i/>
          <w:iCs/>
          <w:lang w:val="es-CO"/>
        </w:rPr>
        <w:t>“Concepto Universidad de IBAGUE”</w:t>
      </w:r>
      <w:r w:rsidRPr="00FE50A1">
        <w:rPr>
          <w:lang w:val="es-CO"/>
        </w:rPr>
        <w:t>. En: https://www.corteconstitucional.gov.co/secretaria/archivo.php?id=13693. (Última consulta: 01-06-2020).</w:t>
      </w:r>
    </w:p>
  </w:footnote>
  <w:footnote w:id="23">
    <w:p w14:paraId="7FCACE33" w14:textId="2F756DAC" w:rsidR="002224BF" w:rsidRPr="00FE50A1" w:rsidRDefault="002224BF" w:rsidP="007A675E">
      <w:pPr>
        <w:pStyle w:val="Textonotapie"/>
        <w:jc w:val="both"/>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rPr>
          <w:lang w:val="es-CO"/>
        </w:rPr>
        <w:t xml:space="preserve">Corte Constitucional. Buscador procesos constitucionalidad. Expediente D-13621. </w:t>
      </w:r>
      <w:r w:rsidRPr="00FE50A1">
        <w:rPr>
          <w:i/>
          <w:iCs/>
          <w:lang w:val="es-CO"/>
        </w:rPr>
        <w:t>“Concepto Universidad Externado”</w:t>
      </w:r>
      <w:r w:rsidRPr="00FE50A1">
        <w:rPr>
          <w:lang w:val="es-CO"/>
        </w:rPr>
        <w:t>. En: https://www.corteconstitucional.gov.co/secretaria/archivo.php?id=13705. (Última consulta: 01-06-2020).</w:t>
      </w:r>
    </w:p>
  </w:footnote>
  <w:footnote w:id="24">
    <w:p w14:paraId="364F6EC9" w14:textId="7780EBB6" w:rsidR="002224BF" w:rsidRPr="00FE50A1" w:rsidRDefault="002224BF" w:rsidP="007A675E">
      <w:pPr>
        <w:pStyle w:val="Textonotapie"/>
        <w:jc w:val="both"/>
      </w:pPr>
      <w:r w:rsidRPr="00FE50A1">
        <w:rPr>
          <w:rStyle w:val="Refdenotaalpie"/>
          <w:position w:val="0"/>
          <w:sz w:val="20"/>
          <w:vertAlign w:val="superscript"/>
        </w:rPr>
        <w:footnoteRef/>
      </w:r>
      <w:r w:rsidRPr="00FE50A1">
        <w:rPr>
          <w:rStyle w:val="Refdenotaalpie"/>
          <w:position w:val="0"/>
          <w:sz w:val="20"/>
          <w:vertAlign w:val="superscript"/>
        </w:rPr>
        <w:t xml:space="preserve"> </w:t>
      </w:r>
      <w:r w:rsidRPr="00FE50A1">
        <w:rPr>
          <w:lang w:val="es-CO"/>
        </w:rPr>
        <w:t xml:space="preserve">Corte Constitucional. Buscador procesos constitucionalidad. Expediente D-13621. </w:t>
      </w:r>
      <w:r w:rsidRPr="00FE50A1">
        <w:rPr>
          <w:i/>
          <w:iCs/>
          <w:lang w:val="es-CO"/>
        </w:rPr>
        <w:t>“Concepto Instituto Colombiano de Derecho Procesal”</w:t>
      </w:r>
      <w:r w:rsidRPr="00FE50A1">
        <w:rPr>
          <w:lang w:val="es-CO"/>
        </w:rPr>
        <w:t>. En: https://www.corteconstitucional.gov.co/secretaria/archivo.php?id=13706. (Última consulta: 01-06-2020).</w:t>
      </w:r>
    </w:p>
  </w:footnote>
  <w:footnote w:id="25">
    <w:p w14:paraId="07024C52" w14:textId="5F33276C" w:rsidR="002224BF" w:rsidRPr="00176C15" w:rsidRDefault="002224BF">
      <w:pPr>
        <w:pStyle w:val="Textonotapie"/>
        <w:rPr>
          <w:lang w:val="es-CO"/>
        </w:rPr>
      </w:pPr>
      <w:r w:rsidRPr="00A263E7">
        <w:rPr>
          <w:rStyle w:val="Refdenotaalpie"/>
          <w:position w:val="0"/>
          <w:sz w:val="20"/>
          <w:vertAlign w:val="superscript"/>
        </w:rPr>
        <w:footnoteRef/>
      </w:r>
      <w:r w:rsidRPr="00A263E7">
        <w:rPr>
          <w:rStyle w:val="Refdenotaalpie"/>
          <w:position w:val="0"/>
          <w:sz w:val="20"/>
          <w:vertAlign w:val="superscript"/>
        </w:rPr>
        <w:t xml:space="preserve"> </w:t>
      </w:r>
      <w:r>
        <w:rPr>
          <w:lang w:val="es-CO"/>
        </w:rPr>
        <w:t xml:space="preserve">Apartado sustentado en consideraciones similares a las expuestas en la Sentencia C-095 de 2019. M.P. Gloria Stella Ortiz Delgado. </w:t>
      </w:r>
    </w:p>
  </w:footnote>
  <w:footnote w:id="26">
    <w:p w14:paraId="6953A49A" w14:textId="77777777"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t xml:space="preserve"> Ver, entre otros, las Sentencias </w:t>
      </w:r>
      <w:r w:rsidRPr="00FE50A1">
        <w:rPr>
          <w:shd w:val="clear" w:color="auto" w:fill="FFFFFF"/>
        </w:rPr>
        <w:t xml:space="preserve">C-653 de 2003 M.P. Jaime Córdoba Triviño, C-856 de 2005 M.P. Clara Inés Vargas Hernández, C-128 de 2011 M.P. Juan Carlos Henao Pérez, </w:t>
      </w:r>
      <w:r w:rsidRPr="00FE50A1">
        <w:t xml:space="preserve">C-535 de 2016 M.P. María Victoria Calle Correa y </w:t>
      </w:r>
      <w:r w:rsidRPr="00FE50A1">
        <w:rPr>
          <w:shd w:val="clear" w:color="auto" w:fill="FFFFFF"/>
        </w:rPr>
        <w:t>C-207 de 2016 M.P. Alejandro Linares Cantillo.</w:t>
      </w:r>
    </w:p>
  </w:footnote>
  <w:footnote w:id="27">
    <w:p w14:paraId="48DE950A" w14:textId="77777777"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rPr>
          <w:vertAlign w:val="superscript"/>
        </w:rPr>
        <w:t xml:space="preserve"> </w:t>
      </w:r>
      <w:r w:rsidRPr="00FE50A1">
        <w:t xml:space="preserve">Sentencia C-1052 de 2001 M.P. Manuel José Cepeda Espinosa. </w:t>
      </w:r>
      <w:r w:rsidRPr="00FE50A1">
        <w:rPr>
          <w:i/>
        </w:rPr>
        <w:t>“Esto quiere decir que el rigor en el juicio que aplica la Corte al examinar la demanda no puede convertirse en un método de apreciación tan estricto que haga nugatorio el derecho reconocido al actor y que la duda habrá de interpretarse a favor del demandante, es decir, admitiendo la demanda y fallando de fondo”.</w:t>
      </w:r>
      <w:r w:rsidRPr="00FE50A1">
        <w:t xml:space="preserve"> En el mismo sentido se orientó la Sentencia </w:t>
      </w:r>
      <w:r w:rsidRPr="00FE50A1">
        <w:rPr>
          <w:shd w:val="clear" w:color="auto" w:fill="FFFFFF"/>
        </w:rPr>
        <w:t>C-508 de 2008 M.P. Mauricio González Cuervo (</w:t>
      </w:r>
      <w:r w:rsidRPr="00FE50A1">
        <w:rPr>
          <w:i/>
          <w:shd w:val="clear" w:color="auto" w:fill="FFFFFF"/>
        </w:rPr>
        <w:t>“el examen de los requisitos adjetivos de la demanda no debe ser sometido a un riguroso escrutinio y se debe preferir una decisión de fondo antes que una inhibitoria, de manera que se privilegie la efectividad de los derechos de participación ciudadana y de acceso al recurso judicial efectivo ante esta Corte”)</w:t>
      </w:r>
      <w:r w:rsidRPr="00FE50A1">
        <w:rPr>
          <w:shd w:val="clear" w:color="auto" w:fill="FFFFFF"/>
        </w:rPr>
        <w:t xml:space="preserve"> y la Sentencia C-978 de 2010 M.P. Luis Ernesto Vargas Silva </w:t>
      </w:r>
      <w:r w:rsidRPr="00FE50A1">
        <w:rPr>
          <w:i/>
          <w:shd w:val="clear" w:color="auto" w:fill="FFFFFF"/>
        </w:rPr>
        <w:t>(“la acción de inconstitucionalidad es de carácter público, es decir abierta a todos los ciudadanos, por lo que no exige acreditar la condición de abogado; en tal medida, el rigor en el juicio que aplica la Corte al examinar la demanda no puede convertirse en un método de apreciación tan estricto que haga nugatorio el derecho reconocido al actor y que la duda habrá de interpretarse a favor del demandante, es decir, admitiendo la demanda y fallando de fondo”)</w:t>
      </w:r>
      <w:r w:rsidRPr="00FE50A1">
        <w:rPr>
          <w:shd w:val="clear" w:color="auto" w:fill="FFFFFF"/>
        </w:rPr>
        <w:t>.</w:t>
      </w:r>
    </w:p>
  </w:footnote>
  <w:footnote w:id="28">
    <w:p w14:paraId="1E088C75" w14:textId="77777777" w:rsidR="002224BF" w:rsidRPr="00FE50A1" w:rsidRDefault="002224BF" w:rsidP="007A675E">
      <w:pPr>
        <w:pStyle w:val="Textonotapie"/>
        <w:jc w:val="both"/>
      </w:pPr>
      <w:r w:rsidRPr="00FE50A1">
        <w:rPr>
          <w:rStyle w:val="Refdenotaalpie"/>
          <w:position w:val="0"/>
          <w:sz w:val="20"/>
          <w:vertAlign w:val="superscript"/>
        </w:rPr>
        <w:footnoteRef/>
      </w:r>
      <w:r w:rsidRPr="00FE50A1">
        <w:t xml:space="preserve"> Ver, entre otros, Auto 288 de 2001 y sentencias C-1052 de 2001 y C-568 de 2004, todas las providencias con ponencia del Magistrado Manuel José Cepeda Espinosa, y C-980 de 2005, M. P. Rodrigo Escobar Gil.</w:t>
      </w:r>
    </w:p>
  </w:footnote>
  <w:footnote w:id="29">
    <w:p w14:paraId="12EC206B" w14:textId="13DDE615" w:rsidR="002224BF" w:rsidRPr="00FE50A1" w:rsidRDefault="002224BF" w:rsidP="007A675E">
      <w:pPr>
        <w:spacing w:after="0" w:line="240" w:lineRule="auto"/>
        <w:jc w:val="both"/>
        <w:rPr>
          <w:rFonts w:eastAsia="Calibri"/>
          <w:lang w:eastAsia="es-ES"/>
        </w:rPr>
      </w:pPr>
      <w:r w:rsidRPr="00FE50A1">
        <w:rPr>
          <w:rStyle w:val="Refdenotaalpie"/>
          <w:position w:val="0"/>
          <w:sz w:val="20"/>
          <w:vertAlign w:val="superscript"/>
        </w:rPr>
        <w:footnoteRef/>
      </w:r>
      <w:r w:rsidRPr="00FE50A1">
        <w:t xml:space="preserve"> Sentencia C-332 de 2017. M.P. </w:t>
      </w:r>
      <w:r w:rsidRPr="00FE50A1">
        <w:rPr>
          <w:rFonts w:eastAsia="Calibri"/>
          <w:lang w:eastAsia="es-ES"/>
        </w:rPr>
        <w:t xml:space="preserve">Antonio José </w:t>
      </w:r>
      <w:proofErr w:type="spellStart"/>
      <w:r w:rsidRPr="00FE50A1">
        <w:rPr>
          <w:rFonts w:eastAsia="Calibri"/>
          <w:lang w:eastAsia="es-ES"/>
        </w:rPr>
        <w:t>Lizarazo</w:t>
      </w:r>
      <w:proofErr w:type="spellEnd"/>
      <w:r w:rsidRPr="00FE50A1">
        <w:rPr>
          <w:rFonts w:eastAsia="Calibri"/>
          <w:lang w:eastAsia="es-ES"/>
        </w:rPr>
        <w:t xml:space="preserve"> Ocampo</w:t>
      </w:r>
      <w:r w:rsidRPr="00FE50A1">
        <w:t xml:space="preserve">. </w:t>
      </w:r>
    </w:p>
  </w:footnote>
  <w:footnote w:id="30">
    <w:p w14:paraId="61B9E404" w14:textId="4BB5B647" w:rsidR="002224BF" w:rsidRPr="004E1205" w:rsidRDefault="002224BF">
      <w:pPr>
        <w:pStyle w:val="Textonotapie"/>
        <w:rPr>
          <w:lang w:val="es-CO"/>
        </w:rPr>
      </w:pPr>
      <w:r>
        <w:rPr>
          <w:rStyle w:val="Refdenotaalpie"/>
        </w:rPr>
        <w:footnoteRef/>
      </w:r>
      <w:r>
        <w:t xml:space="preserve"> </w:t>
      </w:r>
      <w:r>
        <w:rPr>
          <w:lang w:val="es-CO"/>
        </w:rPr>
        <w:t xml:space="preserve">Sentencia C-049 de 2018. M.P. </w:t>
      </w:r>
      <w:r w:rsidRPr="004E1205">
        <w:rPr>
          <w:lang w:val="es-CO"/>
        </w:rPr>
        <w:t>Diana Fajardo Rivera</w:t>
      </w:r>
      <w:r>
        <w:rPr>
          <w:lang w:val="es-CO"/>
        </w:rPr>
        <w:t>.</w:t>
      </w:r>
    </w:p>
  </w:footnote>
  <w:footnote w:id="31">
    <w:p w14:paraId="58D54D28" w14:textId="2514BDE1"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t xml:space="preserve"> Corte Constitucional. Buscador procesos constitucionalidad. Expediente D-13621. </w:t>
      </w:r>
      <w:r w:rsidRPr="00FE50A1">
        <w:rPr>
          <w:i/>
          <w:iCs/>
        </w:rPr>
        <w:t>“Intervención Ministerio de Justicia y del Derecho”</w:t>
      </w:r>
      <w:r w:rsidRPr="00FE50A1">
        <w:t>. p. 5. En: https://www.corteconstitucional.gov.co/secretaria/archivo.php?id=13660. (Última consulta: 01-06-2020).</w:t>
      </w:r>
    </w:p>
  </w:footnote>
  <w:footnote w:id="32">
    <w:p w14:paraId="09FDE53B" w14:textId="3502CC2F"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t xml:space="preserve"> Ídem. </w:t>
      </w:r>
    </w:p>
  </w:footnote>
  <w:footnote w:id="33">
    <w:p w14:paraId="6C4FB8E9" w14:textId="558D0245" w:rsidR="002224BF" w:rsidRPr="00FE50A1" w:rsidRDefault="002224BF" w:rsidP="007A675E">
      <w:pPr>
        <w:pStyle w:val="Textonotapie"/>
        <w:jc w:val="both"/>
        <w:rPr>
          <w:lang w:val="es-CO"/>
        </w:rPr>
      </w:pPr>
      <w:r w:rsidRPr="00FE50A1">
        <w:rPr>
          <w:rStyle w:val="Refdenotaalpie"/>
          <w:position w:val="0"/>
          <w:sz w:val="20"/>
          <w:vertAlign w:val="superscript"/>
        </w:rPr>
        <w:footnoteRef/>
      </w:r>
      <w:r w:rsidRPr="00FE50A1">
        <w:t xml:space="preserve"> Corte Constitucional. Buscador procesos constitucionalidad. Expediente D-13621. </w:t>
      </w:r>
      <w:r w:rsidRPr="00FE50A1">
        <w:rPr>
          <w:i/>
          <w:iCs/>
        </w:rPr>
        <w:t>“D0013621 - Concepto señor Procurador General de la Nación”</w:t>
      </w:r>
      <w:r w:rsidRPr="00FE50A1">
        <w:t>. p. 4. En: https://www.corteconstitucional.gov.co/secretaria/archivo.php?id=14043. (Última consulta: 01-06-2020).</w:t>
      </w:r>
    </w:p>
  </w:footnote>
  <w:footnote w:id="34">
    <w:p w14:paraId="69A8349D" w14:textId="5B6E2C60" w:rsidR="00CD53B3" w:rsidRPr="00CD53B3" w:rsidRDefault="00CD53B3">
      <w:pPr>
        <w:pStyle w:val="Textonotapie"/>
        <w:rPr>
          <w:lang w:val="es-CO"/>
        </w:rPr>
      </w:pPr>
      <w:r w:rsidRPr="0075746F">
        <w:rPr>
          <w:rStyle w:val="Refdenotaalpie"/>
          <w:position w:val="0"/>
          <w:sz w:val="20"/>
          <w:vertAlign w:val="superscript"/>
        </w:rPr>
        <w:footnoteRef/>
      </w:r>
      <w:r w:rsidRPr="0075746F">
        <w:rPr>
          <w:rStyle w:val="Refdenotaalpie"/>
          <w:position w:val="0"/>
          <w:sz w:val="20"/>
          <w:vertAlign w:val="superscript"/>
        </w:rPr>
        <w:t xml:space="preserve"> </w:t>
      </w:r>
      <w:r w:rsidR="00626292">
        <w:t xml:space="preserve">Sentencia </w:t>
      </w:r>
      <w:r w:rsidR="0075746F">
        <w:t xml:space="preserve">C-084 de 2018. M.P. </w:t>
      </w:r>
      <w:r w:rsidR="0075746F" w:rsidRPr="0075746F">
        <w:t>Luis Guillermo Guerrero Pérez</w:t>
      </w:r>
    </w:p>
  </w:footnote>
  <w:footnote w:id="35">
    <w:p w14:paraId="2EA9A8CE" w14:textId="65A451C4" w:rsidR="000C4297" w:rsidRPr="000C4297" w:rsidRDefault="000C4297">
      <w:pPr>
        <w:pStyle w:val="Textonotapie"/>
        <w:rPr>
          <w:lang w:val="es-CO"/>
        </w:rPr>
      </w:pPr>
      <w:r w:rsidRPr="000C4297">
        <w:rPr>
          <w:rStyle w:val="Refdenotaalpie"/>
          <w:position w:val="0"/>
          <w:sz w:val="20"/>
          <w:vertAlign w:val="superscript"/>
        </w:rPr>
        <w:footnoteRef/>
      </w:r>
      <w:r>
        <w:t xml:space="preserve"> </w:t>
      </w:r>
      <w:r>
        <w:rPr>
          <w:lang w:val="es-CO"/>
        </w:rPr>
        <w:t>Ídem.</w:t>
      </w:r>
    </w:p>
  </w:footnote>
  <w:footnote w:id="36">
    <w:p w14:paraId="06D90D9A" w14:textId="3AB140F0" w:rsidR="002224BF" w:rsidRPr="00FE50A1" w:rsidRDefault="002224BF" w:rsidP="00523A98">
      <w:pPr>
        <w:pStyle w:val="Textonotapie"/>
      </w:pPr>
      <w:r w:rsidRPr="00FE50A1">
        <w:rPr>
          <w:rStyle w:val="Refdenotaalpie"/>
          <w:position w:val="0"/>
          <w:sz w:val="20"/>
          <w:vertAlign w:val="superscript"/>
        </w:rPr>
        <w:footnoteRef/>
      </w:r>
      <w:r w:rsidRPr="00FE50A1">
        <w:t xml:space="preserve"> Libro II. Técnicas de indagación e investigación de la prueba y sistema probatorio.</w:t>
      </w:r>
    </w:p>
  </w:footnote>
  <w:footnote w:id="37">
    <w:p w14:paraId="415559C4" w14:textId="4758F4B9" w:rsidR="002224BF" w:rsidRPr="00FE50A1" w:rsidRDefault="002224BF">
      <w:pPr>
        <w:pStyle w:val="Textonotapie"/>
        <w:rPr>
          <w:lang w:val="es-CO"/>
        </w:rPr>
      </w:pPr>
      <w:r w:rsidRPr="00FE50A1">
        <w:rPr>
          <w:rStyle w:val="Refdenotaalpie"/>
          <w:position w:val="0"/>
          <w:sz w:val="20"/>
          <w:vertAlign w:val="superscript"/>
        </w:rPr>
        <w:footnoteRef/>
      </w:r>
      <w:r w:rsidRPr="00FE50A1">
        <w:t xml:space="preserve"> Titulo I. La indagación y la investigación.</w:t>
      </w:r>
    </w:p>
  </w:footnote>
  <w:footnote w:id="38">
    <w:p w14:paraId="3F77E78C" w14:textId="54D98A28" w:rsidR="002224BF" w:rsidRPr="00FE50A1" w:rsidRDefault="002224BF" w:rsidP="00523A98">
      <w:pPr>
        <w:pStyle w:val="Textonotapie"/>
        <w:rPr>
          <w:lang w:val="es-CO"/>
        </w:rPr>
      </w:pPr>
      <w:r w:rsidRPr="00FE50A1">
        <w:rPr>
          <w:rStyle w:val="Refdenotaalpie"/>
          <w:position w:val="0"/>
          <w:sz w:val="20"/>
          <w:vertAlign w:val="superscript"/>
        </w:rPr>
        <w:footnoteRef/>
      </w:r>
      <w:r w:rsidRPr="00FE50A1">
        <w:t xml:space="preserve"> Capitulo II. Actuaciones que no requieren autorización judicial previa para su realización.</w:t>
      </w:r>
    </w:p>
  </w:footnote>
  <w:footnote w:id="39">
    <w:p w14:paraId="049F8832" w14:textId="359D75B6" w:rsidR="002224BF" w:rsidRPr="00FE50A1" w:rsidRDefault="002224BF" w:rsidP="00FE50A1">
      <w:pPr>
        <w:pStyle w:val="Textonotapie"/>
        <w:jc w:val="both"/>
        <w:rPr>
          <w:lang w:val="es-CO"/>
        </w:rPr>
      </w:pPr>
      <w:r w:rsidRPr="000F1E68">
        <w:rPr>
          <w:rStyle w:val="Refdenotaalpie"/>
          <w:position w:val="0"/>
          <w:sz w:val="20"/>
          <w:vertAlign w:val="superscript"/>
        </w:rPr>
        <w:footnoteRef/>
      </w:r>
      <w:r>
        <w:t xml:space="preserve"> </w:t>
      </w:r>
      <w:r w:rsidRPr="00FE50A1">
        <w:t>El numeral 3 de la disposición, referido a los archivos, aduce que la prerrogativa tiene lugar en relación con las personas mencionadas en los numerales 1 y 2</w:t>
      </w:r>
      <w:r>
        <w:t xml:space="preserve">, sin especificar si se trata de las personas en cada uno de los extremos de la comunicación: </w:t>
      </w:r>
      <w:r w:rsidRPr="000F1E68">
        <w:rPr>
          <w:i/>
          <w:iCs/>
        </w:rPr>
        <w:t>“No serán susceptibles de registro los siguientes objetos: // 1. Las comunicaciones escritas entre el indiciado, imputado o acusado con sus abogados. // 2. Las comunicaciones escritas entre el indiciado, imputado o acusado con las personas que por razón legal están excluidas del deber de testificar. // 3. Los archivos de las personas indicadas en los numerales precedentes que contengan información confidencial relativa al indiciado, imputado o acusado. Este apartado cobija también los documentos digitales, vídeos, grabaciones, ilustraciones y cualquier otra imagen que sea relevante a los fines de la restricción.”</w:t>
      </w:r>
    </w:p>
  </w:footnote>
  <w:footnote w:id="40">
    <w:p w14:paraId="6E830767" w14:textId="349D46FF" w:rsidR="00A15676" w:rsidRPr="00A15676" w:rsidRDefault="00A15676" w:rsidP="00A15676">
      <w:pPr>
        <w:pStyle w:val="Textonotapie"/>
        <w:jc w:val="both"/>
        <w:rPr>
          <w:lang w:val="es-CO"/>
        </w:rPr>
      </w:pPr>
      <w:r w:rsidRPr="00FB0B11">
        <w:rPr>
          <w:rStyle w:val="Refdenotaalpie"/>
          <w:position w:val="0"/>
          <w:sz w:val="20"/>
          <w:vertAlign w:val="superscript"/>
        </w:rPr>
        <w:footnoteRef/>
      </w:r>
      <w:r>
        <w:t xml:space="preserve"> </w:t>
      </w:r>
      <w:r w:rsidRPr="00A15676">
        <w:rPr>
          <w:i/>
          <w:iCs/>
          <w:lang w:val="es-CO"/>
        </w:rPr>
        <w:t>“ARTICULO 29. AUTORES. Es autor quien realice la conducta punible por sí mismo o utilizando a otro como instrumento. // Son coautores los que, mediando un acuerdo común, actúan con división del trabajo criminal atendiendo la importancia del aporte. // También es autor quien actúa como miembro u órgano de representación autorizado o de hecho de una persona jurídica, de un ente colectivo sin tal atributo, o de una persona natural cuya representación voluntaria se detente, y realiza la conducta punible, aunque los elementos especiales que fundamentan la penalidad de la figura punible respectiva no concurran en él, pero sí en la persona o ente colectivo representado. // El autor en sus diversas modalidades incurrirá en la pena prevista para la conducta punible.”</w:t>
      </w:r>
    </w:p>
  </w:footnote>
  <w:footnote w:id="41">
    <w:p w14:paraId="32E05D6A" w14:textId="3652F5CB" w:rsidR="00A15676" w:rsidRPr="00A15676" w:rsidRDefault="00A15676" w:rsidP="00FB0B11">
      <w:pPr>
        <w:pStyle w:val="Textonotapie"/>
        <w:jc w:val="both"/>
        <w:rPr>
          <w:lang w:val="es-CO"/>
        </w:rPr>
      </w:pPr>
      <w:r w:rsidRPr="00FB0B11">
        <w:rPr>
          <w:rStyle w:val="Refdenotaalpie"/>
          <w:position w:val="0"/>
          <w:sz w:val="20"/>
          <w:vertAlign w:val="superscript"/>
        </w:rPr>
        <w:footnoteRef/>
      </w:r>
      <w:r>
        <w:t xml:space="preserve"> </w:t>
      </w:r>
      <w:r w:rsidRPr="00FB0B11">
        <w:rPr>
          <w:i/>
          <w:iCs/>
          <w:lang w:val="es-CO"/>
        </w:rPr>
        <w:t>“ARTICULO 30. PARTICIPES. Son partícipes el determinador y el cómplice. // Quien determine a otro a realizar la conducta antijurídica incurrirá en la pena prevista para la infracción. // Quien contribuya a la realización de la conducta antijurídica o preste una ayuda posterior, por concierto previo o concomitante a la misma, incurrirá en la pena prevista para la correspondiente infracción disminuida de una sexta parte a la mitad. // Al interviniente que no teniendo las calidades especiales exigidas en el tipo penal concurra en su realización, se le rebajará la pena en una cuarta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C7FD" w14:textId="77777777" w:rsidR="002224BF" w:rsidRDefault="002224BF" w:rsidP="00A46177">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01EF22" w14:textId="77777777" w:rsidR="002224BF" w:rsidRDefault="002224BF" w:rsidP="00A4617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353C4" w14:textId="77777777" w:rsidR="002224BF" w:rsidRPr="00BB1F32" w:rsidRDefault="002224BF" w:rsidP="00A46177">
    <w:pPr>
      <w:pStyle w:val="Encabezado"/>
      <w:framePr w:wrap="auto" w:vAnchor="text" w:hAnchor="margin" w:xAlign="right" w:y="1"/>
      <w:rPr>
        <w:rStyle w:val="Nmerodepgina"/>
        <w:sz w:val="20"/>
        <w:szCs w:val="20"/>
      </w:rPr>
    </w:pPr>
    <w:r w:rsidRPr="00BB1F32">
      <w:rPr>
        <w:rStyle w:val="Nmerodepgina"/>
        <w:sz w:val="20"/>
        <w:szCs w:val="20"/>
      </w:rPr>
      <w:fldChar w:fldCharType="begin"/>
    </w:r>
    <w:r w:rsidRPr="00BB1F32">
      <w:rPr>
        <w:rStyle w:val="Nmerodepgina"/>
        <w:sz w:val="20"/>
        <w:szCs w:val="20"/>
      </w:rPr>
      <w:instrText xml:space="preserve">PAGE  </w:instrText>
    </w:r>
    <w:r w:rsidRPr="00BB1F32">
      <w:rPr>
        <w:rStyle w:val="Nmerodepgina"/>
        <w:sz w:val="20"/>
        <w:szCs w:val="20"/>
      </w:rPr>
      <w:fldChar w:fldCharType="separate"/>
    </w:r>
    <w:r w:rsidR="000511EA">
      <w:rPr>
        <w:rStyle w:val="Nmerodepgina"/>
        <w:noProof/>
        <w:sz w:val="20"/>
        <w:szCs w:val="20"/>
      </w:rPr>
      <w:t>2</w:t>
    </w:r>
    <w:r w:rsidRPr="00BB1F32">
      <w:rPr>
        <w:rStyle w:val="Nmerodepgina"/>
        <w:sz w:val="20"/>
        <w:szCs w:val="20"/>
      </w:rPr>
      <w:fldChar w:fldCharType="end"/>
    </w:r>
  </w:p>
  <w:p w14:paraId="6DD1739A" w14:textId="77777777" w:rsidR="002224BF" w:rsidRDefault="002224BF" w:rsidP="00A4617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108"/>
    <w:multiLevelType w:val="hybridMultilevel"/>
    <w:tmpl w:val="701E8EE6"/>
    <w:lvl w:ilvl="0" w:tplc="E6D04E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624E4D"/>
    <w:multiLevelType w:val="hybridMultilevel"/>
    <w:tmpl w:val="349C97BC"/>
    <w:lvl w:ilvl="0" w:tplc="6E262ABC">
      <w:numFmt w:val="bullet"/>
      <w:lvlText w:val="-"/>
      <w:lvlJc w:val="left"/>
      <w:pPr>
        <w:ind w:left="720" w:hanging="360"/>
      </w:pPr>
      <w:rPr>
        <w:rFonts w:ascii="Times New Roman" w:eastAsiaTheme="minorHAnsi" w:hAnsi="Times New Roman"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0E93EDC"/>
    <w:multiLevelType w:val="multilevel"/>
    <w:tmpl w:val="A694E75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2A3577DE"/>
    <w:multiLevelType w:val="hybridMultilevel"/>
    <w:tmpl w:val="BBE8649E"/>
    <w:lvl w:ilvl="0" w:tplc="D944A32E">
      <w:start w:val="1"/>
      <w:numFmt w:val="lowerLetter"/>
      <w:lvlText w:val="(%1)"/>
      <w:lvlJc w:val="left"/>
      <w:pPr>
        <w:ind w:left="432" w:hanging="360"/>
      </w:pPr>
      <w:rPr>
        <w:rFonts w:hint="default"/>
        <w:i/>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4">
    <w:nsid w:val="2A3A3D30"/>
    <w:multiLevelType w:val="hybridMultilevel"/>
    <w:tmpl w:val="9FC25820"/>
    <w:lvl w:ilvl="0" w:tplc="25AEEFC6">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C695948"/>
    <w:multiLevelType w:val="multilevel"/>
    <w:tmpl w:val="9D22ABB6"/>
    <w:lvl w:ilvl="0">
      <w:start w:val="1"/>
      <w:numFmt w:val="decimal"/>
      <w:lvlText w:val="%1."/>
      <w:lvlJc w:val="left"/>
      <w:pPr>
        <w:ind w:left="786" w:hanging="360"/>
      </w:pPr>
      <w:rPr>
        <w:b w:val="0"/>
        <w:i w:val="0"/>
        <w:color w:val="000000"/>
        <w:sz w:val="28"/>
        <w:szCs w:val="28"/>
        <w:vertAlign w:val="baseline"/>
        <w:lang w:val="es-ES_tradnl"/>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nsid w:val="4C5348D3"/>
    <w:multiLevelType w:val="multilevel"/>
    <w:tmpl w:val="18249E0A"/>
    <w:lvl w:ilvl="0">
      <w:start w:val="1"/>
      <w:numFmt w:val="decimal"/>
      <w:suff w:val="space"/>
      <w:lvlText w:val="%1."/>
      <w:lvlJc w:val="left"/>
      <w:pPr>
        <w:ind w:left="0" w:firstLine="0"/>
      </w:pPr>
      <w:rPr>
        <w:rFonts w:ascii="Times New Roman" w:hAnsi="Times New Roman" w:cs="Times New Roman" w:hint="default"/>
        <w:i w:val="0"/>
        <w:color w:val="auto"/>
        <w:sz w:val="28"/>
      </w:rPr>
    </w:lvl>
    <w:lvl w:ilvl="1">
      <w:start w:val="1"/>
      <w:numFmt w:val="decimal"/>
      <w:isLgl/>
      <w:suff w:val="space"/>
      <w:lvlText w:val="%1.%2."/>
      <w:lvlJc w:val="left"/>
      <w:pPr>
        <w:ind w:left="0" w:firstLine="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7">
    <w:nsid w:val="5F4A6EF3"/>
    <w:multiLevelType w:val="hybridMultilevel"/>
    <w:tmpl w:val="81DA2A62"/>
    <w:lvl w:ilvl="0" w:tplc="7F7E6636">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66A16F33"/>
    <w:multiLevelType w:val="hybridMultilevel"/>
    <w:tmpl w:val="47B438C0"/>
    <w:lvl w:ilvl="0" w:tplc="C4F204FA">
      <w:start w:val="1"/>
      <w:numFmt w:val="decimal"/>
      <w:suff w:val="space"/>
      <w:lvlText w:val="%1."/>
      <w:lvlJc w:val="left"/>
      <w:pPr>
        <w:ind w:left="0" w:firstLine="0"/>
      </w:pPr>
      <w:rPr>
        <w:rFonts w:hint="default"/>
        <w:i w:val="0"/>
        <w:sz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0"/>
  </w:num>
  <w:num w:numId="6">
    <w:abstractNumId w:val="4"/>
  </w:num>
  <w:num w:numId="7">
    <w:abstractNumId w:val="3"/>
  </w:num>
  <w:num w:numId="8">
    <w:abstractNumId w:val="2"/>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ctiveWritingStyle w:appName="MSWord" w:lang="pt-BR" w:vendorID="64" w:dllVersion="6" w:nlCheck="1" w:checkStyle="0"/>
  <w:activeWritingStyle w:appName="MSWord" w:lang="es-CO"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n-US" w:vendorID="64" w:dllVersion="6" w:nlCheck="1" w:checkStyle="1"/>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D4"/>
    <w:rsid w:val="00000152"/>
    <w:rsid w:val="00001CFB"/>
    <w:rsid w:val="00001E5D"/>
    <w:rsid w:val="00002BC0"/>
    <w:rsid w:val="00003D89"/>
    <w:rsid w:val="00004512"/>
    <w:rsid w:val="00004D59"/>
    <w:rsid w:val="00005A56"/>
    <w:rsid w:val="00005BFE"/>
    <w:rsid w:val="0001190E"/>
    <w:rsid w:val="00011FA4"/>
    <w:rsid w:val="00013266"/>
    <w:rsid w:val="00013877"/>
    <w:rsid w:val="0001580A"/>
    <w:rsid w:val="00015822"/>
    <w:rsid w:val="00015FC8"/>
    <w:rsid w:val="00016307"/>
    <w:rsid w:val="0001780C"/>
    <w:rsid w:val="00017BE2"/>
    <w:rsid w:val="0002181B"/>
    <w:rsid w:val="000219C7"/>
    <w:rsid w:val="0002225C"/>
    <w:rsid w:val="000222ED"/>
    <w:rsid w:val="00022923"/>
    <w:rsid w:val="00023CA9"/>
    <w:rsid w:val="000240E1"/>
    <w:rsid w:val="00024B65"/>
    <w:rsid w:val="00025F4F"/>
    <w:rsid w:val="00026A76"/>
    <w:rsid w:val="00027489"/>
    <w:rsid w:val="0002766F"/>
    <w:rsid w:val="000277B7"/>
    <w:rsid w:val="00027B44"/>
    <w:rsid w:val="000301D5"/>
    <w:rsid w:val="00031136"/>
    <w:rsid w:val="000316D2"/>
    <w:rsid w:val="00032455"/>
    <w:rsid w:val="0003331E"/>
    <w:rsid w:val="00033808"/>
    <w:rsid w:val="00033AFE"/>
    <w:rsid w:val="0003451B"/>
    <w:rsid w:val="00035585"/>
    <w:rsid w:val="000371D4"/>
    <w:rsid w:val="00040223"/>
    <w:rsid w:val="00040F51"/>
    <w:rsid w:val="00041EEC"/>
    <w:rsid w:val="00042194"/>
    <w:rsid w:val="000428F5"/>
    <w:rsid w:val="00042F57"/>
    <w:rsid w:val="00043102"/>
    <w:rsid w:val="0004324E"/>
    <w:rsid w:val="000432DC"/>
    <w:rsid w:val="00043ACC"/>
    <w:rsid w:val="00043FB8"/>
    <w:rsid w:val="00044EA1"/>
    <w:rsid w:val="00045ACD"/>
    <w:rsid w:val="000462A4"/>
    <w:rsid w:val="00046405"/>
    <w:rsid w:val="00046BFA"/>
    <w:rsid w:val="00047FAC"/>
    <w:rsid w:val="00050054"/>
    <w:rsid w:val="000511EA"/>
    <w:rsid w:val="00054649"/>
    <w:rsid w:val="00054F15"/>
    <w:rsid w:val="00055972"/>
    <w:rsid w:val="00055CBC"/>
    <w:rsid w:val="00055DE1"/>
    <w:rsid w:val="00056631"/>
    <w:rsid w:val="00056B22"/>
    <w:rsid w:val="0006023D"/>
    <w:rsid w:val="00060DB5"/>
    <w:rsid w:val="00061157"/>
    <w:rsid w:val="000618BD"/>
    <w:rsid w:val="00061CF4"/>
    <w:rsid w:val="00062BBF"/>
    <w:rsid w:val="00063A1F"/>
    <w:rsid w:val="00066006"/>
    <w:rsid w:val="00066779"/>
    <w:rsid w:val="0006786C"/>
    <w:rsid w:val="000703F0"/>
    <w:rsid w:val="00070412"/>
    <w:rsid w:val="0007060E"/>
    <w:rsid w:val="00070BDE"/>
    <w:rsid w:val="00070CA2"/>
    <w:rsid w:val="00072CD7"/>
    <w:rsid w:val="00073849"/>
    <w:rsid w:val="00073EE6"/>
    <w:rsid w:val="0007445D"/>
    <w:rsid w:val="000755EB"/>
    <w:rsid w:val="000773FC"/>
    <w:rsid w:val="000776A7"/>
    <w:rsid w:val="00077F5F"/>
    <w:rsid w:val="00080187"/>
    <w:rsid w:val="00080F00"/>
    <w:rsid w:val="00081FFA"/>
    <w:rsid w:val="00082763"/>
    <w:rsid w:val="00083004"/>
    <w:rsid w:val="00083270"/>
    <w:rsid w:val="0008385A"/>
    <w:rsid w:val="00084C8C"/>
    <w:rsid w:val="00085318"/>
    <w:rsid w:val="0008626F"/>
    <w:rsid w:val="0008704D"/>
    <w:rsid w:val="000875D5"/>
    <w:rsid w:val="0008797D"/>
    <w:rsid w:val="00087D6B"/>
    <w:rsid w:val="00087E2D"/>
    <w:rsid w:val="00090422"/>
    <w:rsid w:val="00090A28"/>
    <w:rsid w:val="000917AE"/>
    <w:rsid w:val="000918B4"/>
    <w:rsid w:val="0009194B"/>
    <w:rsid w:val="00092759"/>
    <w:rsid w:val="00093D70"/>
    <w:rsid w:val="00095B67"/>
    <w:rsid w:val="00095BCB"/>
    <w:rsid w:val="0009675A"/>
    <w:rsid w:val="000969B4"/>
    <w:rsid w:val="0009725E"/>
    <w:rsid w:val="00097C7C"/>
    <w:rsid w:val="000A1306"/>
    <w:rsid w:val="000A133C"/>
    <w:rsid w:val="000A281B"/>
    <w:rsid w:val="000A29C1"/>
    <w:rsid w:val="000A31A1"/>
    <w:rsid w:val="000A3A63"/>
    <w:rsid w:val="000A3CC3"/>
    <w:rsid w:val="000A3EDA"/>
    <w:rsid w:val="000A4851"/>
    <w:rsid w:val="000A4C32"/>
    <w:rsid w:val="000A616C"/>
    <w:rsid w:val="000A69CD"/>
    <w:rsid w:val="000A6A18"/>
    <w:rsid w:val="000A6D51"/>
    <w:rsid w:val="000A754D"/>
    <w:rsid w:val="000B0132"/>
    <w:rsid w:val="000B0BFF"/>
    <w:rsid w:val="000B119D"/>
    <w:rsid w:val="000B17FD"/>
    <w:rsid w:val="000B195F"/>
    <w:rsid w:val="000B25CC"/>
    <w:rsid w:val="000B27C7"/>
    <w:rsid w:val="000B3471"/>
    <w:rsid w:val="000B3A24"/>
    <w:rsid w:val="000B43F9"/>
    <w:rsid w:val="000B466C"/>
    <w:rsid w:val="000B6B34"/>
    <w:rsid w:val="000B7987"/>
    <w:rsid w:val="000B7AF9"/>
    <w:rsid w:val="000C06BE"/>
    <w:rsid w:val="000C2427"/>
    <w:rsid w:val="000C27F3"/>
    <w:rsid w:val="000C3083"/>
    <w:rsid w:val="000C34DE"/>
    <w:rsid w:val="000C370B"/>
    <w:rsid w:val="000C401A"/>
    <w:rsid w:val="000C4297"/>
    <w:rsid w:val="000C59B4"/>
    <w:rsid w:val="000C62BC"/>
    <w:rsid w:val="000C6E14"/>
    <w:rsid w:val="000D0A7E"/>
    <w:rsid w:val="000D0ED5"/>
    <w:rsid w:val="000D1131"/>
    <w:rsid w:val="000D1D50"/>
    <w:rsid w:val="000D23F7"/>
    <w:rsid w:val="000D3AB0"/>
    <w:rsid w:val="000D3D9A"/>
    <w:rsid w:val="000D3EE6"/>
    <w:rsid w:val="000D465B"/>
    <w:rsid w:val="000E0036"/>
    <w:rsid w:val="000E06E2"/>
    <w:rsid w:val="000E08EC"/>
    <w:rsid w:val="000E0D37"/>
    <w:rsid w:val="000E2A8F"/>
    <w:rsid w:val="000E394A"/>
    <w:rsid w:val="000E3DCC"/>
    <w:rsid w:val="000E4D8C"/>
    <w:rsid w:val="000E5278"/>
    <w:rsid w:val="000E52BE"/>
    <w:rsid w:val="000E626F"/>
    <w:rsid w:val="000E65C6"/>
    <w:rsid w:val="000E7078"/>
    <w:rsid w:val="000E7647"/>
    <w:rsid w:val="000E7C6D"/>
    <w:rsid w:val="000F1E68"/>
    <w:rsid w:val="000F21DE"/>
    <w:rsid w:val="000F2B14"/>
    <w:rsid w:val="000F34A2"/>
    <w:rsid w:val="000F3FEB"/>
    <w:rsid w:val="000F446B"/>
    <w:rsid w:val="000F643E"/>
    <w:rsid w:val="000F68C6"/>
    <w:rsid w:val="00101818"/>
    <w:rsid w:val="00101A94"/>
    <w:rsid w:val="00102F45"/>
    <w:rsid w:val="00103964"/>
    <w:rsid w:val="0010523C"/>
    <w:rsid w:val="00105C4C"/>
    <w:rsid w:val="0010672B"/>
    <w:rsid w:val="001067BD"/>
    <w:rsid w:val="0011047E"/>
    <w:rsid w:val="0011102B"/>
    <w:rsid w:val="0011129C"/>
    <w:rsid w:val="00113A98"/>
    <w:rsid w:val="0011503F"/>
    <w:rsid w:val="00120FF9"/>
    <w:rsid w:val="0012252D"/>
    <w:rsid w:val="00123868"/>
    <w:rsid w:val="001238EF"/>
    <w:rsid w:val="00123D53"/>
    <w:rsid w:val="00125A0C"/>
    <w:rsid w:val="00127A82"/>
    <w:rsid w:val="00127D2A"/>
    <w:rsid w:val="00127E26"/>
    <w:rsid w:val="001304C8"/>
    <w:rsid w:val="00130C7F"/>
    <w:rsid w:val="0013207E"/>
    <w:rsid w:val="001332C2"/>
    <w:rsid w:val="00133997"/>
    <w:rsid w:val="00133DEF"/>
    <w:rsid w:val="00134ACD"/>
    <w:rsid w:val="00135373"/>
    <w:rsid w:val="001354AE"/>
    <w:rsid w:val="001363F2"/>
    <w:rsid w:val="00137881"/>
    <w:rsid w:val="00137BF7"/>
    <w:rsid w:val="00137CB3"/>
    <w:rsid w:val="00137F1D"/>
    <w:rsid w:val="0014067A"/>
    <w:rsid w:val="001419A9"/>
    <w:rsid w:val="0014204B"/>
    <w:rsid w:val="001435F5"/>
    <w:rsid w:val="00143C55"/>
    <w:rsid w:val="00144F50"/>
    <w:rsid w:val="00146449"/>
    <w:rsid w:val="001478F2"/>
    <w:rsid w:val="00147A66"/>
    <w:rsid w:val="0015040D"/>
    <w:rsid w:val="00151879"/>
    <w:rsid w:val="00160C36"/>
    <w:rsid w:val="00161D85"/>
    <w:rsid w:val="00161E34"/>
    <w:rsid w:val="00162196"/>
    <w:rsid w:val="00162208"/>
    <w:rsid w:val="00163B69"/>
    <w:rsid w:val="00165035"/>
    <w:rsid w:val="00165952"/>
    <w:rsid w:val="00165CC8"/>
    <w:rsid w:val="00165EA8"/>
    <w:rsid w:val="0017090C"/>
    <w:rsid w:val="0017124D"/>
    <w:rsid w:val="001713C8"/>
    <w:rsid w:val="00172FB5"/>
    <w:rsid w:val="0017332D"/>
    <w:rsid w:val="00173AC4"/>
    <w:rsid w:val="00174CE1"/>
    <w:rsid w:val="00174DFA"/>
    <w:rsid w:val="00175551"/>
    <w:rsid w:val="001755A9"/>
    <w:rsid w:val="00175E15"/>
    <w:rsid w:val="001765F9"/>
    <w:rsid w:val="00176C15"/>
    <w:rsid w:val="00180E1C"/>
    <w:rsid w:val="001811E0"/>
    <w:rsid w:val="00181C7D"/>
    <w:rsid w:val="00181E0D"/>
    <w:rsid w:val="00182658"/>
    <w:rsid w:val="001828F3"/>
    <w:rsid w:val="00182FBF"/>
    <w:rsid w:val="00183121"/>
    <w:rsid w:val="001835E1"/>
    <w:rsid w:val="00183E4F"/>
    <w:rsid w:val="00184ADB"/>
    <w:rsid w:val="00184BC8"/>
    <w:rsid w:val="0018505C"/>
    <w:rsid w:val="00186AD8"/>
    <w:rsid w:val="00186BB5"/>
    <w:rsid w:val="00186F77"/>
    <w:rsid w:val="0018770E"/>
    <w:rsid w:val="00190106"/>
    <w:rsid w:val="0019262D"/>
    <w:rsid w:val="00194479"/>
    <w:rsid w:val="00194CC5"/>
    <w:rsid w:val="00195711"/>
    <w:rsid w:val="00195BE0"/>
    <w:rsid w:val="00195CE8"/>
    <w:rsid w:val="00195F96"/>
    <w:rsid w:val="00197EE6"/>
    <w:rsid w:val="001A0D02"/>
    <w:rsid w:val="001A2D64"/>
    <w:rsid w:val="001A3E22"/>
    <w:rsid w:val="001A4656"/>
    <w:rsid w:val="001A488C"/>
    <w:rsid w:val="001A4AC4"/>
    <w:rsid w:val="001A6605"/>
    <w:rsid w:val="001A69CF"/>
    <w:rsid w:val="001A75DC"/>
    <w:rsid w:val="001B09A5"/>
    <w:rsid w:val="001B256B"/>
    <w:rsid w:val="001B3FE3"/>
    <w:rsid w:val="001B4C4E"/>
    <w:rsid w:val="001B56F8"/>
    <w:rsid w:val="001C03E4"/>
    <w:rsid w:val="001C15C9"/>
    <w:rsid w:val="001C2CAB"/>
    <w:rsid w:val="001C32F8"/>
    <w:rsid w:val="001C3CE4"/>
    <w:rsid w:val="001C4E9F"/>
    <w:rsid w:val="001C5789"/>
    <w:rsid w:val="001C6328"/>
    <w:rsid w:val="001D0880"/>
    <w:rsid w:val="001D2573"/>
    <w:rsid w:val="001D2A8C"/>
    <w:rsid w:val="001D2AF3"/>
    <w:rsid w:val="001D2F54"/>
    <w:rsid w:val="001D516D"/>
    <w:rsid w:val="001D58A6"/>
    <w:rsid w:val="001D5D6E"/>
    <w:rsid w:val="001D6188"/>
    <w:rsid w:val="001D6360"/>
    <w:rsid w:val="001D6AAD"/>
    <w:rsid w:val="001E06D1"/>
    <w:rsid w:val="001E1145"/>
    <w:rsid w:val="001E1205"/>
    <w:rsid w:val="001E2E70"/>
    <w:rsid w:val="001E3529"/>
    <w:rsid w:val="001E4511"/>
    <w:rsid w:val="001E4C76"/>
    <w:rsid w:val="001E4ED5"/>
    <w:rsid w:val="001E59AF"/>
    <w:rsid w:val="001E62B0"/>
    <w:rsid w:val="001E6E08"/>
    <w:rsid w:val="001E70A5"/>
    <w:rsid w:val="001F05BE"/>
    <w:rsid w:val="001F0BFC"/>
    <w:rsid w:val="001F11B8"/>
    <w:rsid w:val="001F1576"/>
    <w:rsid w:val="001F1927"/>
    <w:rsid w:val="001F204A"/>
    <w:rsid w:val="001F2E0C"/>
    <w:rsid w:val="001F364D"/>
    <w:rsid w:val="001F3852"/>
    <w:rsid w:val="001F46E1"/>
    <w:rsid w:val="001F589E"/>
    <w:rsid w:val="001F6AB3"/>
    <w:rsid w:val="001F7737"/>
    <w:rsid w:val="002016AD"/>
    <w:rsid w:val="0020174B"/>
    <w:rsid w:val="00201952"/>
    <w:rsid w:val="00202250"/>
    <w:rsid w:val="0020241A"/>
    <w:rsid w:val="00202653"/>
    <w:rsid w:val="002041E8"/>
    <w:rsid w:val="0020451D"/>
    <w:rsid w:val="00204937"/>
    <w:rsid w:val="00205C8E"/>
    <w:rsid w:val="0020715F"/>
    <w:rsid w:val="0020777E"/>
    <w:rsid w:val="002105F4"/>
    <w:rsid w:val="00210E3E"/>
    <w:rsid w:val="00211E03"/>
    <w:rsid w:val="0021228A"/>
    <w:rsid w:val="002124EC"/>
    <w:rsid w:val="002130A7"/>
    <w:rsid w:val="00215741"/>
    <w:rsid w:val="00217411"/>
    <w:rsid w:val="002218B5"/>
    <w:rsid w:val="002224BF"/>
    <w:rsid w:val="002249FB"/>
    <w:rsid w:val="002260F3"/>
    <w:rsid w:val="00226F51"/>
    <w:rsid w:val="002277AA"/>
    <w:rsid w:val="00227901"/>
    <w:rsid w:val="00227C3E"/>
    <w:rsid w:val="002304A3"/>
    <w:rsid w:val="00230EEF"/>
    <w:rsid w:val="00231A94"/>
    <w:rsid w:val="0023274A"/>
    <w:rsid w:val="00233026"/>
    <w:rsid w:val="00233277"/>
    <w:rsid w:val="00233422"/>
    <w:rsid w:val="00233B3E"/>
    <w:rsid w:val="00234748"/>
    <w:rsid w:val="0023528A"/>
    <w:rsid w:val="00236183"/>
    <w:rsid w:val="002376A2"/>
    <w:rsid w:val="00240E9A"/>
    <w:rsid w:val="00241296"/>
    <w:rsid w:val="00241C1B"/>
    <w:rsid w:val="00242648"/>
    <w:rsid w:val="002431DD"/>
    <w:rsid w:val="00243C50"/>
    <w:rsid w:val="00243F23"/>
    <w:rsid w:val="0024508C"/>
    <w:rsid w:val="002458E2"/>
    <w:rsid w:val="0024720F"/>
    <w:rsid w:val="00247599"/>
    <w:rsid w:val="00247A4C"/>
    <w:rsid w:val="00247D9F"/>
    <w:rsid w:val="00250A9F"/>
    <w:rsid w:val="00250DFE"/>
    <w:rsid w:val="002521AF"/>
    <w:rsid w:val="002526D4"/>
    <w:rsid w:val="00252DFE"/>
    <w:rsid w:val="00253030"/>
    <w:rsid w:val="00253199"/>
    <w:rsid w:val="00253FD8"/>
    <w:rsid w:val="00255173"/>
    <w:rsid w:val="0025745C"/>
    <w:rsid w:val="00257966"/>
    <w:rsid w:val="0026038B"/>
    <w:rsid w:val="0026106D"/>
    <w:rsid w:val="00261A3D"/>
    <w:rsid w:val="00261EBE"/>
    <w:rsid w:val="00262290"/>
    <w:rsid w:val="00262928"/>
    <w:rsid w:val="00262E7C"/>
    <w:rsid w:val="00263D01"/>
    <w:rsid w:val="002647F3"/>
    <w:rsid w:val="0026599A"/>
    <w:rsid w:val="00266588"/>
    <w:rsid w:val="002666DE"/>
    <w:rsid w:val="00266E39"/>
    <w:rsid w:val="002707A1"/>
    <w:rsid w:val="00271318"/>
    <w:rsid w:val="00274D79"/>
    <w:rsid w:val="00277389"/>
    <w:rsid w:val="00277D6C"/>
    <w:rsid w:val="00280982"/>
    <w:rsid w:val="0028101F"/>
    <w:rsid w:val="00281DA0"/>
    <w:rsid w:val="0028219E"/>
    <w:rsid w:val="002823D4"/>
    <w:rsid w:val="00282987"/>
    <w:rsid w:val="00282D4A"/>
    <w:rsid w:val="0028417F"/>
    <w:rsid w:val="002841A4"/>
    <w:rsid w:val="002852E2"/>
    <w:rsid w:val="0028530B"/>
    <w:rsid w:val="00286A7C"/>
    <w:rsid w:val="00287B6A"/>
    <w:rsid w:val="002912E2"/>
    <w:rsid w:val="0029248E"/>
    <w:rsid w:val="002928AA"/>
    <w:rsid w:val="00293573"/>
    <w:rsid w:val="00293DA6"/>
    <w:rsid w:val="00296234"/>
    <w:rsid w:val="00296FAF"/>
    <w:rsid w:val="00297E56"/>
    <w:rsid w:val="002A6E91"/>
    <w:rsid w:val="002A73DC"/>
    <w:rsid w:val="002A7EDA"/>
    <w:rsid w:val="002B021C"/>
    <w:rsid w:val="002B0B19"/>
    <w:rsid w:val="002B0CA8"/>
    <w:rsid w:val="002B1C28"/>
    <w:rsid w:val="002B3509"/>
    <w:rsid w:val="002B5F3F"/>
    <w:rsid w:val="002B6E0C"/>
    <w:rsid w:val="002C059B"/>
    <w:rsid w:val="002C0837"/>
    <w:rsid w:val="002C10B9"/>
    <w:rsid w:val="002C204D"/>
    <w:rsid w:val="002C238A"/>
    <w:rsid w:val="002C3DF8"/>
    <w:rsid w:val="002C3E4A"/>
    <w:rsid w:val="002C45CD"/>
    <w:rsid w:val="002C5352"/>
    <w:rsid w:val="002C54E3"/>
    <w:rsid w:val="002C7FBD"/>
    <w:rsid w:val="002D02CE"/>
    <w:rsid w:val="002D062B"/>
    <w:rsid w:val="002D0C2E"/>
    <w:rsid w:val="002D230D"/>
    <w:rsid w:val="002D270A"/>
    <w:rsid w:val="002D2AE0"/>
    <w:rsid w:val="002D2FB6"/>
    <w:rsid w:val="002D3A93"/>
    <w:rsid w:val="002D3E0B"/>
    <w:rsid w:val="002D4C3E"/>
    <w:rsid w:val="002D5C21"/>
    <w:rsid w:val="002D6AE7"/>
    <w:rsid w:val="002D72B5"/>
    <w:rsid w:val="002D745C"/>
    <w:rsid w:val="002D7E9F"/>
    <w:rsid w:val="002E068C"/>
    <w:rsid w:val="002E0CFB"/>
    <w:rsid w:val="002E18EB"/>
    <w:rsid w:val="002E4B9E"/>
    <w:rsid w:val="002E4C4E"/>
    <w:rsid w:val="002E6D9A"/>
    <w:rsid w:val="002E7989"/>
    <w:rsid w:val="002E7C06"/>
    <w:rsid w:val="002F2447"/>
    <w:rsid w:val="002F37C5"/>
    <w:rsid w:val="002F3A0B"/>
    <w:rsid w:val="002F57B9"/>
    <w:rsid w:val="002F5B10"/>
    <w:rsid w:val="002F6A7F"/>
    <w:rsid w:val="002F7515"/>
    <w:rsid w:val="003018FB"/>
    <w:rsid w:val="00301A8C"/>
    <w:rsid w:val="0030301E"/>
    <w:rsid w:val="00303262"/>
    <w:rsid w:val="0030456F"/>
    <w:rsid w:val="00304981"/>
    <w:rsid w:val="003054CA"/>
    <w:rsid w:val="00305B9D"/>
    <w:rsid w:val="00305D6C"/>
    <w:rsid w:val="00306863"/>
    <w:rsid w:val="0030785B"/>
    <w:rsid w:val="00311E66"/>
    <w:rsid w:val="003130BB"/>
    <w:rsid w:val="003143EA"/>
    <w:rsid w:val="003148B9"/>
    <w:rsid w:val="00314E57"/>
    <w:rsid w:val="003158C9"/>
    <w:rsid w:val="003159F0"/>
    <w:rsid w:val="00316882"/>
    <w:rsid w:val="0031725C"/>
    <w:rsid w:val="00317638"/>
    <w:rsid w:val="0031784A"/>
    <w:rsid w:val="00317CE6"/>
    <w:rsid w:val="00320333"/>
    <w:rsid w:val="003206EA"/>
    <w:rsid w:val="00320A74"/>
    <w:rsid w:val="00321A71"/>
    <w:rsid w:val="0032345A"/>
    <w:rsid w:val="00325278"/>
    <w:rsid w:val="00325D6F"/>
    <w:rsid w:val="00325D97"/>
    <w:rsid w:val="00326C37"/>
    <w:rsid w:val="003315EB"/>
    <w:rsid w:val="00331E41"/>
    <w:rsid w:val="0033280B"/>
    <w:rsid w:val="0033304C"/>
    <w:rsid w:val="00333DCD"/>
    <w:rsid w:val="00336209"/>
    <w:rsid w:val="00336896"/>
    <w:rsid w:val="00336955"/>
    <w:rsid w:val="00336B6D"/>
    <w:rsid w:val="00336DD2"/>
    <w:rsid w:val="0034043F"/>
    <w:rsid w:val="00340770"/>
    <w:rsid w:val="00340A02"/>
    <w:rsid w:val="00341B2C"/>
    <w:rsid w:val="00341F0E"/>
    <w:rsid w:val="0034370E"/>
    <w:rsid w:val="00344896"/>
    <w:rsid w:val="00344F84"/>
    <w:rsid w:val="003454A0"/>
    <w:rsid w:val="00345D63"/>
    <w:rsid w:val="00346248"/>
    <w:rsid w:val="00346E58"/>
    <w:rsid w:val="00346FFB"/>
    <w:rsid w:val="0034734A"/>
    <w:rsid w:val="003477A0"/>
    <w:rsid w:val="00347B24"/>
    <w:rsid w:val="00352CFB"/>
    <w:rsid w:val="00355D1D"/>
    <w:rsid w:val="003573C2"/>
    <w:rsid w:val="00360049"/>
    <w:rsid w:val="003601E1"/>
    <w:rsid w:val="003619E4"/>
    <w:rsid w:val="0036247B"/>
    <w:rsid w:val="00362DD4"/>
    <w:rsid w:val="00362FDB"/>
    <w:rsid w:val="00363E8C"/>
    <w:rsid w:val="00364702"/>
    <w:rsid w:val="003656CD"/>
    <w:rsid w:val="00365C96"/>
    <w:rsid w:val="00365E7B"/>
    <w:rsid w:val="00367067"/>
    <w:rsid w:val="003674A3"/>
    <w:rsid w:val="0036771A"/>
    <w:rsid w:val="003677CC"/>
    <w:rsid w:val="00367FB6"/>
    <w:rsid w:val="00370E52"/>
    <w:rsid w:val="003718AC"/>
    <w:rsid w:val="0037233E"/>
    <w:rsid w:val="003723B5"/>
    <w:rsid w:val="00372F09"/>
    <w:rsid w:val="00373130"/>
    <w:rsid w:val="003738D1"/>
    <w:rsid w:val="00375B17"/>
    <w:rsid w:val="00376741"/>
    <w:rsid w:val="0037680D"/>
    <w:rsid w:val="00380482"/>
    <w:rsid w:val="00380B95"/>
    <w:rsid w:val="00381CAA"/>
    <w:rsid w:val="00381F28"/>
    <w:rsid w:val="003856AF"/>
    <w:rsid w:val="00385FD2"/>
    <w:rsid w:val="003863D6"/>
    <w:rsid w:val="003869DC"/>
    <w:rsid w:val="003874FA"/>
    <w:rsid w:val="00387B1C"/>
    <w:rsid w:val="00387EDA"/>
    <w:rsid w:val="00387EE8"/>
    <w:rsid w:val="00390A5E"/>
    <w:rsid w:val="003923B9"/>
    <w:rsid w:val="00392D9E"/>
    <w:rsid w:val="00393864"/>
    <w:rsid w:val="00396365"/>
    <w:rsid w:val="003A0FF6"/>
    <w:rsid w:val="003A14F9"/>
    <w:rsid w:val="003A1A9E"/>
    <w:rsid w:val="003A1C90"/>
    <w:rsid w:val="003A1DD9"/>
    <w:rsid w:val="003A2CE2"/>
    <w:rsid w:val="003A37CD"/>
    <w:rsid w:val="003A3E3B"/>
    <w:rsid w:val="003A457F"/>
    <w:rsid w:val="003A4A76"/>
    <w:rsid w:val="003A5595"/>
    <w:rsid w:val="003A55B1"/>
    <w:rsid w:val="003A7B25"/>
    <w:rsid w:val="003A7B78"/>
    <w:rsid w:val="003B0516"/>
    <w:rsid w:val="003B07FF"/>
    <w:rsid w:val="003B1317"/>
    <w:rsid w:val="003B1811"/>
    <w:rsid w:val="003B25DB"/>
    <w:rsid w:val="003B38A7"/>
    <w:rsid w:val="003B3B91"/>
    <w:rsid w:val="003B5E16"/>
    <w:rsid w:val="003B5EF3"/>
    <w:rsid w:val="003B6044"/>
    <w:rsid w:val="003B61FD"/>
    <w:rsid w:val="003B7D16"/>
    <w:rsid w:val="003C1948"/>
    <w:rsid w:val="003C2141"/>
    <w:rsid w:val="003C2CEE"/>
    <w:rsid w:val="003C367B"/>
    <w:rsid w:val="003C3801"/>
    <w:rsid w:val="003C4AA1"/>
    <w:rsid w:val="003C4E34"/>
    <w:rsid w:val="003C6059"/>
    <w:rsid w:val="003C6CFC"/>
    <w:rsid w:val="003C6DD1"/>
    <w:rsid w:val="003C738E"/>
    <w:rsid w:val="003C7415"/>
    <w:rsid w:val="003D1085"/>
    <w:rsid w:val="003D16C9"/>
    <w:rsid w:val="003D209D"/>
    <w:rsid w:val="003D2102"/>
    <w:rsid w:val="003D2AB6"/>
    <w:rsid w:val="003D2E0C"/>
    <w:rsid w:val="003D3337"/>
    <w:rsid w:val="003D38EA"/>
    <w:rsid w:val="003D42EF"/>
    <w:rsid w:val="003D61B9"/>
    <w:rsid w:val="003D6B2E"/>
    <w:rsid w:val="003E0223"/>
    <w:rsid w:val="003E126B"/>
    <w:rsid w:val="003E1C92"/>
    <w:rsid w:val="003E37FF"/>
    <w:rsid w:val="003E5639"/>
    <w:rsid w:val="003E5D9A"/>
    <w:rsid w:val="003E6C6D"/>
    <w:rsid w:val="003F0F4A"/>
    <w:rsid w:val="003F1E56"/>
    <w:rsid w:val="003F462F"/>
    <w:rsid w:val="003F4A58"/>
    <w:rsid w:val="003F4C8D"/>
    <w:rsid w:val="003F7E89"/>
    <w:rsid w:val="004004D7"/>
    <w:rsid w:val="00401C1A"/>
    <w:rsid w:val="00401D26"/>
    <w:rsid w:val="004029AE"/>
    <w:rsid w:val="004049DE"/>
    <w:rsid w:val="00405EE2"/>
    <w:rsid w:val="004061F3"/>
    <w:rsid w:val="00406267"/>
    <w:rsid w:val="004063C3"/>
    <w:rsid w:val="00406E03"/>
    <w:rsid w:val="00411737"/>
    <w:rsid w:val="00411CE6"/>
    <w:rsid w:val="00411EDA"/>
    <w:rsid w:val="00412890"/>
    <w:rsid w:val="00414C6C"/>
    <w:rsid w:val="00415730"/>
    <w:rsid w:val="00415C8C"/>
    <w:rsid w:val="00415F1F"/>
    <w:rsid w:val="00416830"/>
    <w:rsid w:val="004178FA"/>
    <w:rsid w:val="00417AD8"/>
    <w:rsid w:val="00417DBC"/>
    <w:rsid w:val="00420DFC"/>
    <w:rsid w:val="00420F3B"/>
    <w:rsid w:val="004229CA"/>
    <w:rsid w:val="00422CA9"/>
    <w:rsid w:val="00423FB4"/>
    <w:rsid w:val="0042547E"/>
    <w:rsid w:val="004257CA"/>
    <w:rsid w:val="004259D6"/>
    <w:rsid w:val="004268BF"/>
    <w:rsid w:val="0042747A"/>
    <w:rsid w:val="0043279A"/>
    <w:rsid w:val="004330A3"/>
    <w:rsid w:val="004333FC"/>
    <w:rsid w:val="00433443"/>
    <w:rsid w:val="00433D4A"/>
    <w:rsid w:val="00434E19"/>
    <w:rsid w:val="00436460"/>
    <w:rsid w:val="004367BD"/>
    <w:rsid w:val="00436B64"/>
    <w:rsid w:val="004411F4"/>
    <w:rsid w:val="00441243"/>
    <w:rsid w:val="0044218E"/>
    <w:rsid w:val="004421B4"/>
    <w:rsid w:val="00442BDA"/>
    <w:rsid w:val="00442E8B"/>
    <w:rsid w:val="0044368B"/>
    <w:rsid w:val="00444293"/>
    <w:rsid w:val="00444524"/>
    <w:rsid w:val="00444762"/>
    <w:rsid w:val="004451BD"/>
    <w:rsid w:val="0044684C"/>
    <w:rsid w:val="00446BEB"/>
    <w:rsid w:val="00446D3E"/>
    <w:rsid w:val="00447A24"/>
    <w:rsid w:val="004508D3"/>
    <w:rsid w:val="00451438"/>
    <w:rsid w:val="00452390"/>
    <w:rsid w:val="004532B4"/>
    <w:rsid w:val="004536AF"/>
    <w:rsid w:val="004539AD"/>
    <w:rsid w:val="00453C7F"/>
    <w:rsid w:val="00454FD1"/>
    <w:rsid w:val="00456008"/>
    <w:rsid w:val="00456DE7"/>
    <w:rsid w:val="004601E4"/>
    <w:rsid w:val="00460393"/>
    <w:rsid w:val="00460655"/>
    <w:rsid w:val="00460F84"/>
    <w:rsid w:val="0046189B"/>
    <w:rsid w:val="004637CA"/>
    <w:rsid w:val="00463931"/>
    <w:rsid w:val="00463B9A"/>
    <w:rsid w:val="00465669"/>
    <w:rsid w:val="00465CC7"/>
    <w:rsid w:val="00465FD3"/>
    <w:rsid w:val="00466167"/>
    <w:rsid w:val="00466E36"/>
    <w:rsid w:val="00467118"/>
    <w:rsid w:val="004674E0"/>
    <w:rsid w:val="004674FC"/>
    <w:rsid w:val="00467E96"/>
    <w:rsid w:val="00470368"/>
    <w:rsid w:val="004710C6"/>
    <w:rsid w:val="00471670"/>
    <w:rsid w:val="004740DE"/>
    <w:rsid w:val="00475401"/>
    <w:rsid w:val="00476123"/>
    <w:rsid w:val="0048057C"/>
    <w:rsid w:val="00481353"/>
    <w:rsid w:val="004824EE"/>
    <w:rsid w:val="0048285A"/>
    <w:rsid w:val="00483836"/>
    <w:rsid w:val="00484B90"/>
    <w:rsid w:val="00486B0F"/>
    <w:rsid w:val="0048739B"/>
    <w:rsid w:val="00490A19"/>
    <w:rsid w:val="00490EB4"/>
    <w:rsid w:val="004926B3"/>
    <w:rsid w:val="00492FA5"/>
    <w:rsid w:val="00493422"/>
    <w:rsid w:val="00496813"/>
    <w:rsid w:val="00497366"/>
    <w:rsid w:val="0049795C"/>
    <w:rsid w:val="004A0411"/>
    <w:rsid w:val="004A23F4"/>
    <w:rsid w:val="004A26BE"/>
    <w:rsid w:val="004A302D"/>
    <w:rsid w:val="004A3372"/>
    <w:rsid w:val="004A4270"/>
    <w:rsid w:val="004A6F6F"/>
    <w:rsid w:val="004A7543"/>
    <w:rsid w:val="004B01B4"/>
    <w:rsid w:val="004B267B"/>
    <w:rsid w:val="004B282A"/>
    <w:rsid w:val="004B295E"/>
    <w:rsid w:val="004B2D19"/>
    <w:rsid w:val="004B4122"/>
    <w:rsid w:val="004B423B"/>
    <w:rsid w:val="004B50BF"/>
    <w:rsid w:val="004B6A48"/>
    <w:rsid w:val="004C03B0"/>
    <w:rsid w:val="004C055B"/>
    <w:rsid w:val="004C1174"/>
    <w:rsid w:val="004C1E16"/>
    <w:rsid w:val="004C2AB4"/>
    <w:rsid w:val="004C2F40"/>
    <w:rsid w:val="004C3383"/>
    <w:rsid w:val="004C34D6"/>
    <w:rsid w:val="004C36EF"/>
    <w:rsid w:val="004C3BC5"/>
    <w:rsid w:val="004C4C48"/>
    <w:rsid w:val="004C7C4E"/>
    <w:rsid w:val="004C7FE8"/>
    <w:rsid w:val="004D009B"/>
    <w:rsid w:val="004D0C9B"/>
    <w:rsid w:val="004D16FC"/>
    <w:rsid w:val="004D17B8"/>
    <w:rsid w:val="004D2781"/>
    <w:rsid w:val="004D2874"/>
    <w:rsid w:val="004D2AD4"/>
    <w:rsid w:val="004D3A61"/>
    <w:rsid w:val="004D46D4"/>
    <w:rsid w:val="004D7606"/>
    <w:rsid w:val="004D7AB2"/>
    <w:rsid w:val="004D7BF1"/>
    <w:rsid w:val="004D7F6B"/>
    <w:rsid w:val="004E0A17"/>
    <w:rsid w:val="004E1205"/>
    <w:rsid w:val="004E1334"/>
    <w:rsid w:val="004E14B9"/>
    <w:rsid w:val="004E20E5"/>
    <w:rsid w:val="004E3296"/>
    <w:rsid w:val="004E3889"/>
    <w:rsid w:val="004E3C73"/>
    <w:rsid w:val="004E4C49"/>
    <w:rsid w:val="004E61DA"/>
    <w:rsid w:val="004E6B51"/>
    <w:rsid w:val="004E7314"/>
    <w:rsid w:val="004E794C"/>
    <w:rsid w:val="004F0791"/>
    <w:rsid w:val="004F08EC"/>
    <w:rsid w:val="004F139D"/>
    <w:rsid w:val="004F1FCC"/>
    <w:rsid w:val="004F2965"/>
    <w:rsid w:val="004F30F2"/>
    <w:rsid w:val="004F3A95"/>
    <w:rsid w:val="004F3BCE"/>
    <w:rsid w:val="004F5109"/>
    <w:rsid w:val="004F703E"/>
    <w:rsid w:val="004F7550"/>
    <w:rsid w:val="004F7576"/>
    <w:rsid w:val="004F7F3B"/>
    <w:rsid w:val="00500215"/>
    <w:rsid w:val="00500BBD"/>
    <w:rsid w:val="0050143B"/>
    <w:rsid w:val="00501B17"/>
    <w:rsid w:val="00502A93"/>
    <w:rsid w:val="00504505"/>
    <w:rsid w:val="005058A0"/>
    <w:rsid w:val="00507429"/>
    <w:rsid w:val="005100BD"/>
    <w:rsid w:val="005109D1"/>
    <w:rsid w:val="0051242B"/>
    <w:rsid w:val="00512D0D"/>
    <w:rsid w:val="00513136"/>
    <w:rsid w:val="00514447"/>
    <w:rsid w:val="00514705"/>
    <w:rsid w:val="00514AEE"/>
    <w:rsid w:val="00514DCA"/>
    <w:rsid w:val="00516248"/>
    <w:rsid w:val="00516A6D"/>
    <w:rsid w:val="005178D9"/>
    <w:rsid w:val="00517FC9"/>
    <w:rsid w:val="00522D98"/>
    <w:rsid w:val="005237FE"/>
    <w:rsid w:val="00523833"/>
    <w:rsid w:val="00523A98"/>
    <w:rsid w:val="00525D7B"/>
    <w:rsid w:val="005261FA"/>
    <w:rsid w:val="0052622C"/>
    <w:rsid w:val="005316E4"/>
    <w:rsid w:val="005320B8"/>
    <w:rsid w:val="005323E6"/>
    <w:rsid w:val="0053278E"/>
    <w:rsid w:val="00532B85"/>
    <w:rsid w:val="005345DE"/>
    <w:rsid w:val="0053473F"/>
    <w:rsid w:val="0053515B"/>
    <w:rsid w:val="005365B4"/>
    <w:rsid w:val="00536849"/>
    <w:rsid w:val="00536CB1"/>
    <w:rsid w:val="005415A9"/>
    <w:rsid w:val="0054263C"/>
    <w:rsid w:val="00544C30"/>
    <w:rsid w:val="00546150"/>
    <w:rsid w:val="00546891"/>
    <w:rsid w:val="00547171"/>
    <w:rsid w:val="005473F1"/>
    <w:rsid w:val="005506A9"/>
    <w:rsid w:val="00550F98"/>
    <w:rsid w:val="00552191"/>
    <w:rsid w:val="005523C1"/>
    <w:rsid w:val="005524B7"/>
    <w:rsid w:val="0055261C"/>
    <w:rsid w:val="005528AC"/>
    <w:rsid w:val="00552AC3"/>
    <w:rsid w:val="00552CEB"/>
    <w:rsid w:val="005541BE"/>
    <w:rsid w:val="00554912"/>
    <w:rsid w:val="00555065"/>
    <w:rsid w:val="00555F69"/>
    <w:rsid w:val="0055600D"/>
    <w:rsid w:val="0055745B"/>
    <w:rsid w:val="00557BC3"/>
    <w:rsid w:val="00557D77"/>
    <w:rsid w:val="00560304"/>
    <w:rsid w:val="005606F5"/>
    <w:rsid w:val="00561863"/>
    <w:rsid w:val="00562170"/>
    <w:rsid w:val="00562949"/>
    <w:rsid w:val="00562C47"/>
    <w:rsid w:val="00562E20"/>
    <w:rsid w:val="00564550"/>
    <w:rsid w:val="005646CF"/>
    <w:rsid w:val="00565FDB"/>
    <w:rsid w:val="00567281"/>
    <w:rsid w:val="00571120"/>
    <w:rsid w:val="0057156B"/>
    <w:rsid w:val="00571774"/>
    <w:rsid w:val="0057217A"/>
    <w:rsid w:val="005747BF"/>
    <w:rsid w:val="00575047"/>
    <w:rsid w:val="00575283"/>
    <w:rsid w:val="00576CF4"/>
    <w:rsid w:val="00577500"/>
    <w:rsid w:val="0057798F"/>
    <w:rsid w:val="0058012D"/>
    <w:rsid w:val="0058043C"/>
    <w:rsid w:val="005805AB"/>
    <w:rsid w:val="00580913"/>
    <w:rsid w:val="00581047"/>
    <w:rsid w:val="00581808"/>
    <w:rsid w:val="005820D5"/>
    <w:rsid w:val="00582213"/>
    <w:rsid w:val="005831FC"/>
    <w:rsid w:val="00583A82"/>
    <w:rsid w:val="005845E8"/>
    <w:rsid w:val="0058489F"/>
    <w:rsid w:val="00584C3E"/>
    <w:rsid w:val="00587B12"/>
    <w:rsid w:val="00590FE7"/>
    <w:rsid w:val="00591EE0"/>
    <w:rsid w:val="00592329"/>
    <w:rsid w:val="005924CB"/>
    <w:rsid w:val="00592668"/>
    <w:rsid w:val="00592BDB"/>
    <w:rsid w:val="00593231"/>
    <w:rsid w:val="0059328A"/>
    <w:rsid w:val="005943E3"/>
    <w:rsid w:val="005955EC"/>
    <w:rsid w:val="0059621F"/>
    <w:rsid w:val="0059637A"/>
    <w:rsid w:val="005963A4"/>
    <w:rsid w:val="005A0A5A"/>
    <w:rsid w:val="005A0F30"/>
    <w:rsid w:val="005A1073"/>
    <w:rsid w:val="005A11AF"/>
    <w:rsid w:val="005A1212"/>
    <w:rsid w:val="005A3CCD"/>
    <w:rsid w:val="005A48F2"/>
    <w:rsid w:val="005A7A05"/>
    <w:rsid w:val="005B0540"/>
    <w:rsid w:val="005B0BE4"/>
    <w:rsid w:val="005B1467"/>
    <w:rsid w:val="005B1BD0"/>
    <w:rsid w:val="005B26B7"/>
    <w:rsid w:val="005B407D"/>
    <w:rsid w:val="005B4389"/>
    <w:rsid w:val="005B4C05"/>
    <w:rsid w:val="005B5497"/>
    <w:rsid w:val="005B5AF8"/>
    <w:rsid w:val="005B6A3F"/>
    <w:rsid w:val="005C05DC"/>
    <w:rsid w:val="005C070A"/>
    <w:rsid w:val="005C0D04"/>
    <w:rsid w:val="005C16BD"/>
    <w:rsid w:val="005C1E2E"/>
    <w:rsid w:val="005C70BD"/>
    <w:rsid w:val="005C7239"/>
    <w:rsid w:val="005D04CA"/>
    <w:rsid w:val="005D27EA"/>
    <w:rsid w:val="005D3DDD"/>
    <w:rsid w:val="005D5622"/>
    <w:rsid w:val="005D5CF5"/>
    <w:rsid w:val="005D6B36"/>
    <w:rsid w:val="005D6F42"/>
    <w:rsid w:val="005D77E9"/>
    <w:rsid w:val="005E06B3"/>
    <w:rsid w:val="005E1483"/>
    <w:rsid w:val="005E212D"/>
    <w:rsid w:val="005E2BAD"/>
    <w:rsid w:val="005E488E"/>
    <w:rsid w:val="005E4AE8"/>
    <w:rsid w:val="005E516A"/>
    <w:rsid w:val="005E5E9C"/>
    <w:rsid w:val="005E6CFD"/>
    <w:rsid w:val="005E7107"/>
    <w:rsid w:val="005E7151"/>
    <w:rsid w:val="005E77DB"/>
    <w:rsid w:val="005F0C6E"/>
    <w:rsid w:val="005F2011"/>
    <w:rsid w:val="005F26E4"/>
    <w:rsid w:val="005F33BB"/>
    <w:rsid w:val="005F3694"/>
    <w:rsid w:val="005F433F"/>
    <w:rsid w:val="005F4E47"/>
    <w:rsid w:val="005F60AA"/>
    <w:rsid w:val="005F7C93"/>
    <w:rsid w:val="005F7F3C"/>
    <w:rsid w:val="006005E3"/>
    <w:rsid w:val="00601D81"/>
    <w:rsid w:val="0060208D"/>
    <w:rsid w:val="0060261D"/>
    <w:rsid w:val="00604B97"/>
    <w:rsid w:val="00604D01"/>
    <w:rsid w:val="00605587"/>
    <w:rsid w:val="0060622B"/>
    <w:rsid w:val="006065F5"/>
    <w:rsid w:val="006074DB"/>
    <w:rsid w:val="006107A6"/>
    <w:rsid w:val="00610C38"/>
    <w:rsid w:val="00610DEC"/>
    <w:rsid w:val="00611568"/>
    <w:rsid w:val="00612763"/>
    <w:rsid w:val="0061302B"/>
    <w:rsid w:val="0061372E"/>
    <w:rsid w:val="00614080"/>
    <w:rsid w:val="0061423C"/>
    <w:rsid w:val="00615BCD"/>
    <w:rsid w:val="0061671D"/>
    <w:rsid w:val="00617846"/>
    <w:rsid w:val="00617A59"/>
    <w:rsid w:val="006201E4"/>
    <w:rsid w:val="00621849"/>
    <w:rsid w:val="00623772"/>
    <w:rsid w:val="00623CE4"/>
    <w:rsid w:val="0062438E"/>
    <w:rsid w:val="00626292"/>
    <w:rsid w:val="006265AD"/>
    <w:rsid w:val="00627462"/>
    <w:rsid w:val="006275FF"/>
    <w:rsid w:val="006278D3"/>
    <w:rsid w:val="00627B50"/>
    <w:rsid w:val="006304E1"/>
    <w:rsid w:val="00631C08"/>
    <w:rsid w:val="00632171"/>
    <w:rsid w:val="00632A5E"/>
    <w:rsid w:val="006334D0"/>
    <w:rsid w:val="00633885"/>
    <w:rsid w:val="00633A53"/>
    <w:rsid w:val="00633B31"/>
    <w:rsid w:val="0063429F"/>
    <w:rsid w:val="00634E92"/>
    <w:rsid w:val="00636B90"/>
    <w:rsid w:val="00636FC2"/>
    <w:rsid w:val="00640BCD"/>
    <w:rsid w:val="00642B10"/>
    <w:rsid w:val="00643AB4"/>
    <w:rsid w:val="00643B29"/>
    <w:rsid w:val="006445A3"/>
    <w:rsid w:val="00645F46"/>
    <w:rsid w:val="006466AB"/>
    <w:rsid w:val="006501B6"/>
    <w:rsid w:val="00650E74"/>
    <w:rsid w:val="00652282"/>
    <w:rsid w:val="00654525"/>
    <w:rsid w:val="00654F02"/>
    <w:rsid w:val="006552AD"/>
    <w:rsid w:val="00655546"/>
    <w:rsid w:val="00655911"/>
    <w:rsid w:val="006577C8"/>
    <w:rsid w:val="0066032D"/>
    <w:rsid w:val="00660522"/>
    <w:rsid w:val="00660530"/>
    <w:rsid w:val="00660951"/>
    <w:rsid w:val="006617C9"/>
    <w:rsid w:val="00661E7E"/>
    <w:rsid w:val="00663AA2"/>
    <w:rsid w:val="00663D70"/>
    <w:rsid w:val="00665009"/>
    <w:rsid w:val="00665186"/>
    <w:rsid w:val="00665C31"/>
    <w:rsid w:val="00666131"/>
    <w:rsid w:val="00666171"/>
    <w:rsid w:val="006664F8"/>
    <w:rsid w:val="00667ADB"/>
    <w:rsid w:val="00670B33"/>
    <w:rsid w:val="00672055"/>
    <w:rsid w:val="00674002"/>
    <w:rsid w:val="00674464"/>
    <w:rsid w:val="00674859"/>
    <w:rsid w:val="00675058"/>
    <w:rsid w:val="00677629"/>
    <w:rsid w:val="0068315A"/>
    <w:rsid w:val="00683DFD"/>
    <w:rsid w:val="00684F3B"/>
    <w:rsid w:val="00686F4C"/>
    <w:rsid w:val="00690997"/>
    <w:rsid w:val="006909FC"/>
    <w:rsid w:val="006928B1"/>
    <w:rsid w:val="006931EA"/>
    <w:rsid w:val="006939D2"/>
    <w:rsid w:val="00693D51"/>
    <w:rsid w:val="0069632B"/>
    <w:rsid w:val="00696DB9"/>
    <w:rsid w:val="006A14F3"/>
    <w:rsid w:val="006A174E"/>
    <w:rsid w:val="006A27D7"/>
    <w:rsid w:val="006A351A"/>
    <w:rsid w:val="006A3CFB"/>
    <w:rsid w:val="006A446A"/>
    <w:rsid w:val="006A4D0E"/>
    <w:rsid w:val="006A4DC4"/>
    <w:rsid w:val="006A5B30"/>
    <w:rsid w:val="006A71A0"/>
    <w:rsid w:val="006A7450"/>
    <w:rsid w:val="006A7DAC"/>
    <w:rsid w:val="006B064B"/>
    <w:rsid w:val="006B0AC4"/>
    <w:rsid w:val="006B0EBC"/>
    <w:rsid w:val="006B210B"/>
    <w:rsid w:val="006B3D84"/>
    <w:rsid w:val="006B44AE"/>
    <w:rsid w:val="006B48FC"/>
    <w:rsid w:val="006B4F09"/>
    <w:rsid w:val="006B60ED"/>
    <w:rsid w:val="006B72DF"/>
    <w:rsid w:val="006C1140"/>
    <w:rsid w:val="006C1878"/>
    <w:rsid w:val="006C212B"/>
    <w:rsid w:val="006C39D3"/>
    <w:rsid w:val="006C44F9"/>
    <w:rsid w:val="006C4650"/>
    <w:rsid w:val="006C5622"/>
    <w:rsid w:val="006C5B01"/>
    <w:rsid w:val="006C7F0A"/>
    <w:rsid w:val="006D0347"/>
    <w:rsid w:val="006D29D6"/>
    <w:rsid w:val="006D40E8"/>
    <w:rsid w:val="006D49EF"/>
    <w:rsid w:val="006D7362"/>
    <w:rsid w:val="006E0E48"/>
    <w:rsid w:val="006E0E81"/>
    <w:rsid w:val="006E0F26"/>
    <w:rsid w:val="006E13B7"/>
    <w:rsid w:val="006E1EAB"/>
    <w:rsid w:val="006E1F35"/>
    <w:rsid w:val="006E1F3C"/>
    <w:rsid w:val="006E27E1"/>
    <w:rsid w:val="006E295E"/>
    <w:rsid w:val="006E3233"/>
    <w:rsid w:val="006E33BB"/>
    <w:rsid w:val="006E5497"/>
    <w:rsid w:val="006E6BDE"/>
    <w:rsid w:val="006E6DC1"/>
    <w:rsid w:val="006E71AE"/>
    <w:rsid w:val="006F03E9"/>
    <w:rsid w:val="006F091A"/>
    <w:rsid w:val="006F1857"/>
    <w:rsid w:val="006F1DCB"/>
    <w:rsid w:val="006F23CA"/>
    <w:rsid w:val="006F2CD6"/>
    <w:rsid w:val="006F2F92"/>
    <w:rsid w:val="006F3CE3"/>
    <w:rsid w:val="006F3E39"/>
    <w:rsid w:val="006F4482"/>
    <w:rsid w:val="006F466C"/>
    <w:rsid w:val="006F4A23"/>
    <w:rsid w:val="006F5E7A"/>
    <w:rsid w:val="006F706E"/>
    <w:rsid w:val="006F7374"/>
    <w:rsid w:val="006F7487"/>
    <w:rsid w:val="007008C1"/>
    <w:rsid w:val="007014AC"/>
    <w:rsid w:val="00701AFC"/>
    <w:rsid w:val="00701F1B"/>
    <w:rsid w:val="00702ABB"/>
    <w:rsid w:val="007049BA"/>
    <w:rsid w:val="00704EA9"/>
    <w:rsid w:val="00705837"/>
    <w:rsid w:val="0070639D"/>
    <w:rsid w:val="00706673"/>
    <w:rsid w:val="007069E1"/>
    <w:rsid w:val="007142CC"/>
    <w:rsid w:val="0071444B"/>
    <w:rsid w:val="00715ABD"/>
    <w:rsid w:val="00716F26"/>
    <w:rsid w:val="00717AF3"/>
    <w:rsid w:val="00717FDA"/>
    <w:rsid w:val="00720A89"/>
    <w:rsid w:val="007230D7"/>
    <w:rsid w:val="00723E27"/>
    <w:rsid w:val="00724037"/>
    <w:rsid w:val="00725269"/>
    <w:rsid w:val="0072538E"/>
    <w:rsid w:val="0072543E"/>
    <w:rsid w:val="0072587B"/>
    <w:rsid w:val="00725F2B"/>
    <w:rsid w:val="00726549"/>
    <w:rsid w:val="0072701D"/>
    <w:rsid w:val="0073064F"/>
    <w:rsid w:val="0073181E"/>
    <w:rsid w:val="00732549"/>
    <w:rsid w:val="00732853"/>
    <w:rsid w:val="00732BF1"/>
    <w:rsid w:val="00733202"/>
    <w:rsid w:val="0073335D"/>
    <w:rsid w:val="007339E8"/>
    <w:rsid w:val="0073522C"/>
    <w:rsid w:val="00735540"/>
    <w:rsid w:val="00737C5B"/>
    <w:rsid w:val="00737E4D"/>
    <w:rsid w:val="00741AAD"/>
    <w:rsid w:val="00742920"/>
    <w:rsid w:val="00742DD2"/>
    <w:rsid w:val="0074512C"/>
    <w:rsid w:val="00751547"/>
    <w:rsid w:val="00751D82"/>
    <w:rsid w:val="00752FA0"/>
    <w:rsid w:val="00753959"/>
    <w:rsid w:val="00754321"/>
    <w:rsid w:val="00754AE7"/>
    <w:rsid w:val="00755AD7"/>
    <w:rsid w:val="00756786"/>
    <w:rsid w:val="007571DB"/>
    <w:rsid w:val="0075746F"/>
    <w:rsid w:val="0076084A"/>
    <w:rsid w:val="0076152A"/>
    <w:rsid w:val="00762B10"/>
    <w:rsid w:val="007630C1"/>
    <w:rsid w:val="00764B77"/>
    <w:rsid w:val="00765BD4"/>
    <w:rsid w:val="00766A58"/>
    <w:rsid w:val="00766AED"/>
    <w:rsid w:val="007679C1"/>
    <w:rsid w:val="007700D6"/>
    <w:rsid w:val="007710FF"/>
    <w:rsid w:val="007726EA"/>
    <w:rsid w:val="007729D5"/>
    <w:rsid w:val="00772A62"/>
    <w:rsid w:val="007745F3"/>
    <w:rsid w:val="00775163"/>
    <w:rsid w:val="00775855"/>
    <w:rsid w:val="00775933"/>
    <w:rsid w:val="00775F8C"/>
    <w:rsid w:val="0077625A"/>
    <w:rsid w:val="00780248"/>
    <w:rsid w:val="0078031C"/>
    <w:rsid w:val="007808D9"/>
    <w:rsid w:val="00780F2A"/>
    <w:rsid w:val="007811F2"/>
    <w:rsid w:val="0078296E"/>
    <w:rsid w:val="00783146"/>
    <w:rsid w:val="007837AB"/>
    <w:rsid w:val="00784F58"/>
    <w:rsid w:val="00784FFB"/>
    <w:rsid w:val="00785321"/>
    <w:rsid w:val="00785F91"/>
    <w:rsid w:val="00786FBA"/>
    <w:rsid w:val="007878A6"/>
    <w:rsid w:val="00787B1C"/>
    <w:rsid w:val="0079012C"/>
    <w:rsid w:val="00790757"/>
    <w:rsid w:val="00791345"/>
    <w:rsid w:val="00791B24"/>
    <w:rsid w:val="00791B40"/>
    <w:rsid w:val="00791BD2"/>
    <w:rsid w:val="00791E51"/>
    <w:rsid w:val="00792055"/>
    <w:rsid w:val="00792AE2"/>
    <w:rsid w:val="00792E54"/>
    <w:rsid w:val="00792F65"/>
    <w:rsid w:val="0079322C"/>
    <w:rsid w:val="007932B6"/>
    <w:rsid w:val="00793550"/>
    <w:rsid w:val="00794E66"/>
    <w:rsid w:val="00794F7A"/>
    <w:rsid w:val="00797060"/>
    <w:rsid w:val="007974FB"/>
    <w:rsid w:val="00797B4E"/>
    <w:rsid w:val="007A0133"/>
    <w:rsid w:val="007A3920"/>
    <w:rsid w:val="007A4C5A"/>
    <w:rsid w:val="007A572F"/>
    <w:rsid w:val="007A58AF"/>
    <w:rsid w:val="007A597C"/>
    <w:rsid w:val="007A5B88"/>
    <w:rsid w:val="007A675E"/>
    <w:rsid w:val="007A6EB6"/>
    <w:rsid w:val="007A71F4"/>
    <w:rsid w:val="007B271E"/>
    <w:rsid w:val="007B2D0F"/>
    <w:rsid w:val="007B3396"/>
    <w:rsid w:val="007B3604"/>
    <w:rsid w:val="007B42FA"/>
    <w:rsid w:val="007B4E57"/>
    <w:rsid w:val="007B5104"/>
    <w:rsid w:val="007B532F"/>
    <w:rsid w:val="007B647D"/>
    <w:rsid w:val="007B6F9E"/>
    <w:rsid w:val="007B74A8"/>
    <w:rsid w:val="007C000F"/>
    <w:rsid w:val="007C01DC"/>
    <w:rsid w:val="007C1F13"/>
    <w:rsid w:val="007C2920"/>
    <w:rsid w:val="007C3345"/>
    <w:rsid w:val="007C3A9B"/>
    <w:rsid w:val="007C40B7"/>
    <w:rsid w:val="007C4716"/>
    <w:rsid w:val="007C603C"/>
    <w:rsid w:val="007C6E1E"/>
    <w:rsid w:val="007D0CF3"/>
    <w:rsid w:val="007D2F3B"/>
    <w:rsid w:val="007D37A4"/>
    <w:rsid w:val="007D3E53"/>
    <w:rsid w:val="007D53E7"/>
    <w:rsid w:val="007D59D8"/>
    <w:rsid w:val="007D73BB"/>
    <w:rsid w:val="007D7F08"/>
    <w:rsid w:val="007E032A"/>
    <w:rsid w:val="007E044C"/>
    <w:rsid w:val="007E2200"/>
    <w:rsid w:val="007E28C5"/>
    <w:rsid w:val="007E34D8"/>
    <w:rsid w:val="007E3F48"/>
    <w:rsid w:val="007E4C30"/>
    <w:rsid w:val="007E55D6"/>
    <w:rsid w:val="007E6EAF"/>
    <w:rsid w:val="007F001D"/>
    <w:rsid w:val="007F016C"/>
    <w:rsid w:val="007F0D2F"/>
    <w:rsid w:val="007F1E4D"/>
    <w:rsid w:val="007F3B6D"/>
    <w:rsid w:val="007F3F74"/>
    <w:rsid w:val="007F449B"/>
    <w:rsid w:val="007F4C9C"/>
    <w:rsid w:val="007F6BD0"/>
    <w:rsid w:val="007F6EE7"/>
    <w:rsid w:val="007F7791"/>
    <w:rsid w:val="008006F6"/>
    <w:rsid w:val="00800766"/>
    <w:rsid w:val="00801AC5"/>
    <w:rsid w:val="00802413"/>
    <w:rsid w:val="0080269D"/>
    <w:rsid w:val="0080298A"/>
    <w:rsid w:val="008038DD"/>
    <w:rsid w:val="00804CDE"/>
    <w:rsid w:val="00805B89"/>
    <w:rsid w:val="00806865"/>
    <w:rsid w:val="00810338"/>
    <w:rsid w:val="008107AE"/>
    <w:rsid w:val="008116BD"/>
    <w:rsid w:val="00812B89"/>
    <w:rsid w:val="00813CDE"/>
    <w:rsid w:val="008147D8"/>
    <w:rsid w:val="00815066"/>
    <w:rsid w:val="008168D4"/>
    <w:rsid w:val="00820180"/>
    <w:rsid w:val="00821F35"/>
    <w:rsid w:val="00822512"/>
    <w:rsid w:val="00822DB5"/>
    <w:rsid w:val="00823FA5"/>
    <w:rsid w:val="0082582A"/>
    <w:rsid w:val="008261B8"/>
    <w:rsid w:val="0083047D"/>
    <w:rsid w:val="0083190A"/>
    <w:rsid w:val="00832012"/>
    <w:rsid w:val="00832AFB"/>
    <w:rsid w:val="0083366D"/>
    <w:rsid w:val="0083374C"/>
    <w:rsid w:val="0083501C"/>
    <w:rsid w:val="00835277"/>
    <w:rsid w:val="008417ED"/>
    <w:rsid w:val="0084209A"/>
    <w:rsid w:val="00842A27"/>
    <w:rsid w:val="008439F7"/>
    <w:rsid w:val="00843E5C"/>
    <w:rsid w:val="00845154"/>
    <w:rsid w:val="00846079"/>
    <w:rsid w:val="008473C3"/>
    <w:rsid w:val="00847F14"/>
    <w:rsid w:val="00851845"/>
    <w:rsid w:val="00852AA3"/>
    <w:rsid w:val="00852C08"/>
    <w:rsid w:val="00853B97"/>
    <w:rsid w:val="008543A7"/>
    <w:rsid w:val="00854E5F"/>
    <w:rsid w:val="00861777"/>
    <w:rsid w:val="00861796"/>
    <w:rsid w:val="00862981"/>
    <w:rsid w:val="008635CF"/>
    <w:rsid w:val="0086389E"/>
    <w:rsid w:val="008648B2"/>
    <w:rsid w:val="00865EB2"/>
    <w:rsid w:val="00866C4D"/>
    <w:rsid w:val="008677F7"/>
    <w:rsid w:val="008678A0"/>
    <w:rsid w:val="00867C07"/>
    <w:rsid w:val="008710C2"/>
    <w:rsid w:val="00871248"/>
    <w:rsid w:val="0087154C"/>
    <w:rsid w:val="008717A2"/>
    <w:rsid w:val="00871F98"/>
    <w:rsid w:val="0087239C"/>
    <w:rsid w:val="00873DA0"/>
    <w:rsid w:val="00874105"/>
    <w:rsid w:val="008750D8"/>
    <w:rsid w:val="00875145"/>
    <w:rsid w:val="00875698"/>
    <w:rsid w:val="00880FA5"/>
    <w:rsid w:val="00881D73"/>
    <w:rsid w:val="008830D2"/>
    <w:rsid w:val="00883185"/>
    <w:rsid w:val="008839BE"/>
    <w:rsid w:val="00883C47"/>
    <w:rsid w:val="00883F4A"/>
    <w:rsid w:val="0088409F"/>
    <w:rsid w:val="00884636"/>
    <w:rsid w:val="008846D4"/>
    <w:rsid w:val="00884D74"/>
    <w:rsid w:val="00885070"/>
    <w:rsid w:val="00886C1C"/>
    <w:rsid w:val="0088735D"/>
    <w:rsid w:val="008873F3"/>
    <w:rsid w:val="00887F32"/>
    <w:rsid w:val="00890345"/>
    <w:rsid w:val="0089055F"/>
    <w:rsid w:val="00890C42"/>
    <w:rsid w:val="00891A97"/>
    <w:rsid w:val="008921A5"/>
    <w:rsid w:val="00892290"/>
    <w:rsid w:val="0089246E"/>
    <w:rsid w:val="00892608"/>
    <w:rsid w:val="0089440E"/>
    <w:rsid w:val="0089441F"/>
    <w:rsid w:val="00895272"/>
    <w:rsid w:val="008975EB"/>
    <w:rsid w:val="008A1D0F"/>
    <w:rsid w:val="008A25DC"/>
    <w:rsid w:val="008A2C6A"/>
    <w:rsid w:val="008A30D3"/>
    <w:rsid w:val="008A316C"/>
    <w:rsid w:val="008A356F"/>
    <w:rsid w:val="008A3BFE"/>
    <w:rsid w:val="008A3EC1"/>
    <w:rsid w:val="008A5089"/>
    <w:rsid w:val="008A59E2"/>
    <w:rsid w:val="008A6BE3"/>
    <w:rsid w:val="008A6FEB"/>
    <w:rsid w:val="008B16C2"/>
    <w:rsid w:val="008B18AA"/>
    <w:rsid w:val="008B1AD7"/>
    <w:rsid w:val="008B1B11"/>
    <w:rsid w:val="008B367D"/>
    <w:rsid w:val="008B369A"/>
    <w:rsid w:val="008B36ED"/>
    <w:rsid w:val="008B4BCD"/>
    <w:rsid w:val="008B4FEB"/>
    <w:rsid w:val="008B6499"/>
    <w:rsid w:val="008B6D24"/>
    <w:rsid w:val="008B7B6E"/>
    <w:rsid w:val="008C13B1"/>
    <w:rsid w:val="008C15ED"/>
    <w:rsid w:val="008C1E5A"/>
    <w:rsid w:val="008C32D2"/>
    <w:rsid w:val="008C335C"/>
    <w:rsid w:val="008C3EF3"/>
    <w:rsid w:val="008C61A9"/>
    <w:rsid w:val="008C6339"/>
    <w:rsid w:val="008C65B7"/>
    <w:rsid w:val="008C7D35"/>
    <w:rsid w:val="008D03E6"/>
    <w:rsid w:val="008D0637"/>
    <w:rsid w:val="008D0787"/>
    <w:rsid w:val="008D1514"/>
    <w:rsid w:val="008D19BD"/>
    <w:rsid w:val="008D3673"/>
    <w:rsid w:val="008D38B1"/>
    <w:rsid w:val="008D5402"/>
    <w:rsid w:val="008D5677"/>
    <w:rsid w:val="008D6728"/>
    <w:rsid w:val="008D72A9"/>
    <w:rsid w:val="008D7526"/>
    <w:rsid w:val="008D7841"/>
    <w:rsid w:val="008E004E"/>
    <w:rsid w:val="008E0931"/>
    <w:rsid w:val="008E1FAD"/>
    <w:rsid w:val="008E3792"/>
    <w:rsid w:val="008E3CC1"/>
    <w:rsid w:val="008E4258"/>
    <w:rsid w:val="008E477B"/>
    <w:rsid w:val="008E4AA9"/>
    <w:rsid w:val="008E57AA"/>
    <w:rsid w:val="008E5CEC"/>
    <w:rsid w:val="008E63F9"/>
    <w:rsid w:val="008E6EB0"/>
    <w:rsid w:val="008E736C"/>
    <w:rsid w:val="008E73BC"/>
    <w:rsid w:val="008E7F2D"/>
    <w:rsid w:val="008F1B84"/>
    <w:rsid w:val="008F3131"/>
    <w:rsid w:val="008F3142"/>
    <w:rsid w:val="008F387A"/>
    <w:rsid w:val="008F70CA"/>
    <w:rsid w:val="008F7122"/>
    <w:rsid w:val="008F784D"/>
    <w:rsid w:val="00904129"/>
    <w:rsid w:val="00904181"/>
    <w:rsid w:val="00905A35"/>
    <w:rsid w:val="00906049"/>
    <w:rsid w:val="00906281"/>
    <w:rsid w:val="00906669"/>
    <w:rsid w:val="00906CDB"/>
    <w:rsid w:val="00910488"/>
    <w:rsid w:val="009105D9"/>
    <w:rsid w:val="00910A22"/>
    <w:rsid w:val="00910EC8"/>
    <w:rsid w:val="00911E0F"/>
    <w:rsid w:val="00913621"/>
    <w:rsid w:val="0091596E"/>
    <w:rsid w:val="00915CDA"/>
    <w:rsid w:val="00916443"/>
    <w:rsid w:val="0091668F"/>
    <w:rsid w:val="00916A12"/>
    <w:rsid w:val="00917DD1"/>
    <w:rsid w:val="00922502"/>
    <w:rsid w:val="00923C48"/>
    <w:rsid w:val="00924030"/>
    <w:rsid w:val="00925554"/>
    <w:rsid w:val="00930DAB"/>
    <w:rsid w:val="00930FE2"/>
    <w:rsid w:val="00931823"/>
    <w:rsid w:val="00931EAF"/>
    <w:rsid w:val="0093305D"/>
    <w:rsid w:val="00935488"/>
    <w:rsid w:val="00936517"/>
    <w:rsid w:val="00937848"/>
    <w:rsid w:val="0093786D"/>
    <w:rsid w:val="00937F87"/>
    <w:rsid w:val="009409E2"/>
    <w:rsid w:val="0094123E"/>
    <w:rsid w:val="0094246A"/>
    <w:rsid w:val="00942839"/>
    <w:rsid w:val="009434C6"/>
    <w:rsid w:val="00943DBD"/>
    <w:rsid w:val="00943F5F"/>
    <w:rsid w:val="00944B4F"/>
    <w:rsid w:val="00946B77"/>
    <w:rsid w:val="00947133"/>
    <w:rsid w:val="00947164"/>
    <w:rsid w:val="00951B5C"/>
    <w:rsid w:val="00952C97"/>
    <w:rsid w:val="00953BA5"/>
    <w:rsid w:val="00954126"/>
    <w:rsid w:val="0095559A"/>
    <w:rsid w:val="00955BC7"/>
    <w:rsid w:val="00957401"/>
    <w:rsid w:val="00957806"/>
    <w:rsid w:val="009645DC"/>
    <w:rsid w:val="00964C82"/>
    <w:rsid w:val="00964CF8"/>
    <w:rsid w:val="00965329"/>
    <w:rsid w:val="009673C3"/>
    <w:rsid w:val="00967E8C"/>
    <w:rsid w:val="009710F6"/>
    <w:rsid w:val="009713B7"/>
    <w:rsid w:val="0097237F"/>
    <w:rsid w:val="00973723"/>
    <w:rsid w:val="00973CC8"/>
    <w:rsid w:val="00974409"/>
    <w:rsid w:val="00974823"/>
    <w:rsid w:val="00974859"/>
    <w:rsid w:val="0097560A"/>
    <w:rsid w:val="009760D4"/>
    <w:rsid w:val="00976BF8"/>
    <w:rsid w:val="0097758D"/>
    <w:rsid w:val="00980CB0"/>
    <w:rsid w:val="00983584"/>
    <w:rsid w:val="0098505A"/>
    <w:rsid w:val="009854C2"/>
    <w:rsid w:val="009857B6"/>
    <w:rsid w:val="0098590A"/>
    <w:rsid w:val="00986D2E"/>
    <w:rsid w:val="0098754D"/>
    <w:rsid w:val="009875FE"/>
    <w:rsid w:val="00987A74"/>
    <w:rsid w:val="009928E5"/>
    <w:rsid w:val="00992C65"/>
    <w:rsid w:val="00993CD5"/>
    <w:rsid w:val="00993DDA"/>
    <w:rsid w:val="00994902"/>
    <w:rsid w:val="00996301"/>
    <w:rsid w:val="0099641F"/>
    <w:rsid w:val="00996678"/>
    <w:rsid w:val="00996B69"/>
    <w:rsid w:val="009A0FE3"/>
    <w:rsid w:val="009A1006"/>
    <w:rsid w:val="009A1399"/>
    <w:rsid w:val="009A1D37"/>
    <w:rsid w:val="009A217E"/>
    <w:rsid w:val="009A25F7"/>
    <w:rsid w:val="009A3692"/>
    <w:rsid w:val="009A56A3"/>
    <w:rsid w:val="009A5C06"/>
    <w:rsid w:val="009A6AFF"/>
    <w:rsid w:val="009B11F7"/>
    <w:rsid w:val="009B168B"/>
    <w:rsid w:val="009B2888"/>
    <w:rsid w:val="009B2C15"/>
    <w:rsid w:val="009B399A"/>
    <w:rsid w:val="009B4279"/>
    <w:rsid w:val="009B6E52"/>
    <w:rsid w:val="009B7A21"/>
    <w:rsid w:val="009C21B8"/>
    <w:rsid w:val="009C25BF"/>
    <w:rsid w:val="009C2CC0"/>
    <w:rsid w:val="009C303E"/>
    <w:rsid w:val="009C3636"/>
    <w:rsid w:val="009C468E"/>
    <w:rsid w:val="009C4902"/>
    <w:rsid w:val="009C5C45"/>
    <w:rsid w:val="009C65F3"/>
    <w:rsid w:val="009C75ED"/>
    <w:rsid w:val="009C7EC5"/>
    <w:rsid w:val="009D30C1"/>
    <w:rsid w:val="009D31DE"/>
    <w:rsid w:val="009D3D02"/>
    <w:rsid w:val="009D51B1"/>
    <w:rsid w:val="009D590D"/>
    <w:rsid w:val="009D637D"/>
    <w:rsid w:val="009D7000"/>
    <w:rsid w:val="009E09E9"/>
    <w:rsid w:val="009E129B"/>
    <w:rsid w:val="009E13C3"/>
    <w:rsid w:val="009E1996"/>
    <w:rsid w:val="009E1CD5"/>
    <w:rsid w:val="009E1DCD"/>
    <w:rsid w:val="009E2018"/>
    <w:rsid w:val="009E227A"/>
    <w:rsid w:val="009E2DC6"/>
    <w:rsid w:val="009E37DA"/>
    <w:rsid w:val="009E5BC9"/>
    <w:rsid w:val="009E673A"/>
    <w:rsid w:val="009E7E3C"/>
    <w:rsid w:val="009F0BFA"/>
    <w:rsid w:val="009F1DE5"/>
    <w:rsid w:val="009F1F2C"/>
    <w:rsid w:val="009F2144"/>
    <w:rsid w:val="009F2A25"/>
    <w:rsid w:val="009F2A50"/>
    <w:rsid w:val="009F3B9F"/>
    <w:rsid w:val="009F55DB"/>
    <w:rsid w:val="009F5DF8"/>
    <w:rsid w:val="009F7424"/>
    <w:rsid w:val="00A00977"/>
    <w:rsid w:val="00A01E35"/>
    <w:rsid w:val="00A01ECE"/>
    <w:rsid w:val="00A02652"/>
    <w:rsid w:val="00A032C9"/>
    <w:rsid w:val="00A033B9"/>
    <w:rsid w:val="00A03D14"/>
    <w:rsid w:val="00A04176"/>
    <w:rsid w:val="00A061F3"/>
    <w:rsid w:val="00A069C8"/>
    <w:rsid w:val="00A0724A"/>
    <w:rsid w:val="00A07A15"/>
    <w:rsid w:val="00A07FEC"/>
    <w:rsid w:val="00A1087D"/>
    <w:rsid w:val="00A11184"/>
    <w:rsid w:val="00A112F3"/>
    <w:rsid w:val="00A11666"/>
    <w:rsid w:val="00A11B15"/>
    <w:rsid w:val="00A12314"/>
    <w:rsid w:val="00A12A70"/>
    <w:rsid w:val="00A1440F"/>
    <w:rsid w:val="00A14915"/>
    <w:rsid w:val="00A14F55"/>
    <w:rsid w:val="00A15676"/>
    <w:rsid w:val="00A15BA1"/>
    <w:rsid w:val="00A16A3B"/>
    <w:rsid w:val="00A17BD3"/>
    <w:rsid w:val="00A17C74"/>
    <w:rsid w:val="00A205F5"/>
    <w:rsid w:val="00A215C5"/>
    <w:rsid w:val="00A21C13"/>
    <w:rsid w:val="00A22A5F"/>
    <w:rsid w:val="00A23BE5"/>
    <w:rsid w:val="00A25257"/>
    <w:rsid w:val="00A2566E"/>
    <w:rsid w:val="00A263E7"/>
    <w:rsid w:val="00A27006"/>
    <w:rsid w:val="00A2788D"/>
    <w:rsid w:val="00A30121"/>
    <w:rsid w:val="00A3088E"/>
    <w:rsid w:val="00A31627"/>
    <w:rsid w:val="00A326F7"/>
    <w:rsid w:val="00A3385F"/>
    <w:rsid w:val="00A34C4E"/>
    <w:rsid w:val="00A3611A"/>
    <w:rsid w:val="00A36122"/>
    <w:rsid w:val="00A36942"/>
    <w:rsid w:val="00A3738C"/>
    <w:rsid w:val="00A40A4C"/>
    <w:rsid w:val="00A42189"/>
    <w:rsid w:val="00A422C8"/>
    <w:rsid w:val="00A46177"/>
    <w:rsid w:val="00A47FDD"/>
    <w:rsid w:val="00A509E7"/>
    <w:rsid w:val="00A50B96"/>
    <w:rsid w:val="00A50E40"/>
    <w:rsid w:val="00A51D00"/>
    <w:rsid w:val="00A51D0B"/>
    <w:rsid w:val="00A533FE"/>
    <w:rsid w:val="00A546D5"/>
    <w:rsid w:val="00A54F9A"/>
    <w:rsid w:val="00A552E5"/>
    <w:rsid w:val="00A55ABE"/>
    <w:rsid w:val="00A55D96"/>
    <w:rsid w:val="00A56DD8"/>
    <w:rsid w:val="00A56EAE"/>
    <w:rsid w:val="00A57000"/>
    <w:rsid w:val="00A570E3"/>
    <w:rsid w:val="00A6021F"/>
    <w:rsid w:val="00A61481"/>
    <w:rsid w:val="00A6163C"/>
    <w:rsid w:val="00A61B0F"/>
    <w:rsid w:val="00A61B9A"/>
    <w:rsid w:val="00A620A8"/>
    <w:rsid w:val="00A62560"/>
    <w:rsid w:val="00A626AE"/>
    <w:rsid w:val="00A62A2F"/>
    <w:rsid w:val="00A63D49"/>
    <w:rsid w:val="00A656AE"/>
    <w:rsid w:val="00A665E9"/>
    <w:rsid w:val="00A66DC9"/>
    <w:rsid w:val="00A67930"/>
    <w:rsid w:val="00A67D8C"/>
    <w:rsid w:val="00A67F48"/>
    <w:rsid w:val="00A707FE"/>
    <w:rsid w:val="00A70F03"/>
    <w:rsid w:val="00A71732"/>
    <w:rsid w:val="00A71A4B"/>
    <w:rsid w:val="00A71F8E"/>
    <w:rsid w:val="00A741D1"/>
    <w:rsid w:val="00A746F8"/>
    <w:rsid w:val="00A74D60"/>
    <w:rsid w:val="00A7670C"/>
    <w:rsid w:val="00A823AB"/>
    <w:rsid w:val="00A8328E"/>
    <w:rsid w:val="00A83D24"/>
    <w:rsid w:val="00A84054"/>
    <w:rsid w:val="00A840FD"/>
    <w:rsid w:val="00A85888"/>
    <w:rsid w:val="00A87F12"/>
    <w:rsid w:val="00A90701"/>
    <w:rsid w:val="00A90C2F"/>
    <w:rsid w:val="00A9456E"/>
    <w:rsid w:val="00A94F63"/>
    <w:rsid w:val="00A958BC"/>
    <w:rsid w:val="00A95BDF"/>
    <w:rsid w:val="00A965BE"/>
    <w:rsid w:val="00A96FFD"/>
    <w:rsid w:val="00AA1099"/>
    <w:rsid w:val="00AA12B1"/>
    <w:rsid w:val="00AA1C6C"/>
    <w:rsid w:val="00AA2606"/>
    <w:rsid w:val="00AA3464"/>
    <w:rsid w:val="00AA446F"/>
    <w:rsid w:val="00AA476D"/>
    <w:rsid w:val="00AA589D"/>
    <w:rsid w:val="00AA5AC7"/>
    <w:rsid w:val="00AA5B45"/>
    <w:rsid w:val="00AA5CAF"/>
    <w:rsid w:val="00AA6423"/>
    <w:rsid w:val="00AA6C20"/>
    <w:rsid w:val="00AA6D34"/>
    <w:rsid w:val="00AA745C"/>
    <w:rsid w:val="00AA7700"/>
    <w:rsid w:val="00AA7D77"/>
    <w:rsid w:val="00AB04CE"/>
    <w:rsid w:val="00AB0899"/>
    <w:rsid w:val="00AB114C"/>
    <w:rsid w:val="00AB1DCC"/>
    <w:rsid w:val="00AB20A3"/>
    <w:rsid w:val="00AB4E8A"/>
    <w:rsid w:val="00AB591A"/>
    <w:rsid w:val="00AB68D9"/>
    <w:rsid w:val="00AB747A"/>
    <w:rsid w:val="00AC0D8D"/>
    <w:rsid w:val="00AC18CA"/>
    <w:rsid w:val="00AC195A"/>
    <w:rsid w:val="00AC19CE"/>
    <w:rsid w:val="00AC1B17"/>
    <w:rsid w:val="00AC242B"/>
    <w:rsid w:val="00AC281E"/>
    <w:rsid w:val="00AC29A0"/>
    <w:rsid w:val="00AC3B5C"/>
    <w:rsid w:val="00AC51B0"/>
    <w:rsid w:val="00AC75A2"/>
    <w:rsid w:val="00AD000D"/>
    <w:rsid w:val="00AD004D"/>
    <w:rsid w:val="00AD2FE9"/>
    <w:rsid w:val="00AD3061"/>
    <w:rsid w:val="00AD4E13"/>
    <w:rsid w:val="00AD5521"/>
    <w:rsid w:val="00AD5A16"/>
    <w:rsid w:val="00AD63DF"/>
    <w:rsid w:val="00AD643E"/>
    <w:rsid w:val="00AD6E61"/>
    <w:rsid w:val="00AD7188"/>
    <w:rsid w:val="00AD7243"/>
    <w:rsid w:val="00AD7B05"/>
    <w:rsid w:val="00AE0424"/>
    <w:rsid w:val="00AE4FAE"/>
    <w:rsid w:val="00AE5031"/>
    <w:rsid w:val="00AE5727"/>
    <w:rsid w:val="00AE7305"/>
    <w:rsid w:val="00AE7DFC"/>
    <w:rsid w:val="00AF1858"/>
    <w:rsid w:val="00AF454E"/>
    <w:rsid w:val="00AF5FFA"/>
    <w:rsid w:val="00AF63A9"/>
    <w:rsid w:val="00AF6F09"/>
    <w:rsid w:val="00AF70F3"/>
    <w:rsid w:val="00AF799E"/>
    <w:rsid w:val="00B00365"/>
    <w:rsid w:val="00B04476"/>
    <w:rsid w:val="00B06C6D"/>
    <w:rsid w:val="00B10C39"/>
    <w:rsid w:val="00B10DD4"/>
    <w:rsid w:val="00B10E70"/>
    <w:rsid w:val="00B11AE7"/>
    <w:rsid w:val="00B11F1A"/>
    <w:rsid w:val="00B11F58"/>
    <w:rsid w:val="00B12181"/>
    <w:rsid w:val="00B12528"/>
    <w:rsid w:val="00B125A6"/>
    <w:rsid w:val="00B129A7"/>
    <w:rsid w:val="00B13363"/>
    <w:rsid w:val="00B14D8D"/>
    <w:rsid w:val="00B14FEF"/>
    <w:rsid w:val="00B17EA6"/>
    <w:rsid w:val="00B20EAD"/>
    <w:rsid w:val="00B21FB9"/>
    <w:rsid w:val="00B22F7D"/>
    <w:rsid w:val="00B23AFE"/>
    <w:rsid w:val="00B23B9A"/>
    <w:rsid w:val="00B23FB0"/>
    <w:rsid w:val="00B24845"/>
    <w:rsid w:val="00B26B81"/>
    <w:rsid w:val="00B27AF2"/>
    <w:rsid w:val="00B30F7F"/>
    <w:rsid w:val="00B31344"/>
    <w:rsid w:val="00B31E63"/>
    <w:rsid w:val="00B31E7C"/>
    <w:rsid w:val="00B343F0"/>
    <w:rsid w:val="00B34FF9"/>
    <w:rsid w:val="00B36129"/>
    <w:rsid w:val="00B41B17"/>
    <w:rsid w:val="00B42622"/>
    <w:rsid w:val="00B43740"/>
    <w:rsid w:val="00B464B7"/>
    <w:rsid w:val="00B47C4D"/>
    <w:rsid w:val="00B50C10"/>
    <w:rsid w:val="00B50D9B"/>
    <w:rsid w:val="00B51854"/>
    <w:rsid w:val="00B52C1B"/>
    <w:rsid w:val="00B54291"/>
    <w:rsid w:val="00B55017"/>
    <w:rsid w:val="00B55DA7"/>
    <w:rsid w:val="00B55E83"/>
    <w:rsid w:val="00B55FDF"/>
    <w:rsid w:val="00B572AA"/>
    <w:rsid w:val="00B57345"/>
    <w:rsid w:val="00B575A2"/>
    <w:rsid w:val="00B57E84"/>
    <w:rsid w:val="00B57F5A"/>
    <w:rsid w:val="00B60D13"/>
    <w:rsid w:val="00B61278"/>
    <w:rsid w:val="00B62AAC"/>
    <w:rsid w:val="00B62DEC"/>
    <w:rsid w:val="00B640D7"/>
    <w:rsid w:val="00B65876"/>
    <w:rsid w:val="00B6593F"/>
    <w:rsid w:val="00B6602E"/>
    <w:rsid w:val="00B709B2"/>
    <w:rsid w:val="00B716CB"/>
    <w:rsid w:val="00B73CAB"/>
    <w:rsid w:val="00B741EE"/>
    <w:rsid w:val="00B7452B"/>
    <w:rsid w:val="00B759CA"/>
    <w:rsid w:val="00B76502"/>
    <w:rsid w:val="00B77A36"/>
    <w:rsid w:val="00B80331"/>
    <w:rsid w:val="00B8252E"/>
    <w:rsid w:val="00B82748"/>
    <w:rsid w:val="00B83772"/>
    <w:rsid w:val="00B84493"/>
    <w:rsid w:val="00B90704"/>
    <w:rsid w:val="00B90898"/>
    <w:rsid w:val="00B91A2D"/>
    <w:rsid w:val="00B91C6D"/>
    <w:rsid w:val="00B929AB"/>
    <w:rsid w:val="00B92BB8"/>
    <w:rsid w:val="00B93EB9"/>
    <w:rsid w:val="00B9435D"/>
    <w:rsid w:val="00B94643"/>
    <w:rsid w:val="00B95F6D"/>
    <w:rsid w:val="00B963D4"/>
    <w:rsid w:val="00B965C1"/>
    <w:rsid w:val="00B97AD1"/>
    <w:rsid w:val="00BA2923"/>
    <w:rsid w:val="00BA2A5B"/>
    <w:rsid w:val="00BA6061"/>
    <w:rsid w:val="00BA6BED"/>
    <w:rsid w:val="00BA7FD2"/>
    <w:rsid w:val="00BB0A8B"/>
    <w:rsid w:val="00BB0CAF"/>
    <w:rsid w:val="00BB227D"/>
    <w:rsid w:val="00BB4689"/>
    <w:rsid w:val="00BB48B1"/>
    <w:rsid w:val="00BB5306"/>
    <w:rsid w:val="00BB6141"/>
    <w:rsid w:val="00BB6324"/>
    <w:rsid w:val="00BB69B2"/>
    <w:rsid w:val="00BB6E1D"/>
    <w:rsid w:val="00BC01CD"/>
    <w:rsid w:val="00BC02B4"/>
    <w:rsid w:val="00BC0F37"/>
    <w:rsid w:val="00BC1365"/>
    <w:rsid w:val="00BC1DB0"/>
    <w:rsid w:val="00BC2AAF"/>
    <w:rsid w:val="00BC2FC5"/>
    <w:rsid w:val="00BC456B"/>
    <w:rsid w:val="00BC4D3D"/>
    <w:rsid w:val="00BC6CA0"/>
    <w:rsid w:val="00BC6DAC"/>
    <w:rsid w:val="00BC7D42"/>
    <w:rsid w:val="00BD0088"/>
    <w:rsid w:val="00BD01AB"/>
    <w:rsid w:val="00BD0595"/>
    <w:rsid w:val="00BD12F3"/>
    <w:rsid w:val="00BD1C5F"/>
    <w:rsid w:val="00BD29DA"/>
    <w:rsid w:val="00BD3B32"/>
    <w:rsid w:val="00BD4A73"/>
    <w:rsid w:val="00BD4B34"/>
    <w:rsid w:val="00BD5474"/>
    <w:rsid w:val="00BD7A5E"/>
    <w:rsid w:val="00BE29D0"/>
    <w:rsid w:val="00BE2BA1"/>
    <w:rsid w:val="00BE4BAC"/>
    <w:rsid w:val="00BE53E5"/>
    <w:rsid w:val="00BE5D4F"/>
    <w:rsid w:val="00BE6684"/>
    <w:rsid w:val="00BE70ED"/>
    <w:rsid w:val="00BE741F"/>
    <w:rsid w:val="00BE74FB"/>
    <w:rsid w:val="00BE7A8D"/>
    <w:rsid w:val="00BF0069"/>
    <w:rsid w:val="00BF0B98"/>
    <w:rsid w:val="00BF1488"/>
    <w:rsid w:val="00BF1502"/>
    <w:rsid w:val="00BF1966"/>
    <w:rsid w:val="00BF2DB2"/>
    <w:rsid w:val="00BF5718"/>
    <w:rsid w:val="00BF5F76"/>
    <w:rsid w:val="00BF6839"/>
    <w:rsid w:val="00C00A8B"/>
    <w:rsid w:val="00C012D6"/>
    <w:rsid w:val="00C014A7"/>
    <w:rsid w:val="00C01850"/>
    <w:rsid w:val="00C01A92"/>
    <w:rsid w:val="00C01B70"/>
    <w:rsid w:val="00C01C04"/>
    <w:rsid w:val="00C046A6"/>
    <w:rsid w:val="00C04FA8"/>
    <w:rsid w:val="00C0537D"/>
    <w:rsid w:val="00C05AD2"/>
    <w:rsid w:val="00C0619E"/>
    <w:rsid w:val="00C10159"/>
    <w:rsid w:val="00C10915"/>
    <w:rsid w:val="00C14B8A"/>
    <w:rsid w:val="00C153CC"/>
    <w:rsid w:val="00C1570F"/>
    <w:rsid w:val="00C15E68"/>
    <w:rsid w:val="00C164F6"/>
    <w:rsid w:val="00C17438"/>
    <w:rsid w:val="00C17575"/>
    <w:rsid w:val="00C20E06"/>
    <w:rsid w:val="00C23909"/>
    <w:rsid w:val="00C2398E"/>
    <w:rsid w:val="00C243AD"/>
    <w:rsid w:val="00C248AF"/>
    <w:rsid w:val="00C24ED0"/>
    <w:rsid w:val="00C25085"/>
    <w:rsid w:val="00C260AD"/>
    <w:rsid w:val="00C26535"/>
    <w:rsid w:val="00C27345"/>
    <w:rsid w:val="00C300AB"/>
    <w:rsid w:val="00C30BF6"/>
    <w:rsid w:val="00C31644"/>
    <w:rsid w:val="00C323A3"/>
    <w:rsid w:val="00C33F99"/>
    <w:rsid w:val="00C34E99"/>
    <w:rsid w:val="00C352B0"/>
    <w:rsid w:val="00C3735C"/>
    <w:rsid w:val="00C376FD"/>
    <w:rsid w:val="00C403CF"/>
    <w:rsid w:val="00C40E9C"/>
    <w:rsid w:val="00C418AA"/>
    <w:rsid w:val="00C41AF3"/>
    <w:rsid w:val="00C4228F"/>
    <w:rsid w:val="00C43947"/>
    <w:rsid w:val="00C441B5"/>
    <w:rsid w:val="00C4428D"/>
    <w:rsid w:val="00C443ED"/>
    <w:rsid w:val="00C44B65"/>
    <w:rsid w:val="00C5083E"/>
    <w:rsid w:val="00C516C9"/>
    <w:rsid w:val="00C517D5"/>
    <w:rsid w:val="00C52531"/>
    <w:rsid w:val="00C525F6"/>
    <w:rsid w:val="00C52784"/>
    <w:rsid w:val="00C53745"/>
    <w:rsid w:val="00C53D26"/>
    <w:rsid w:val="00C53DED"/>
    <w:rsid w:val="00C545A4"/>
    <w:rsid w:val="00C55F34"/>
    <w:rsid w:val="00C56A4D"/>
    <w:rsid w:val="00C5762C"/>
    <w:rsid w:val="00C576B1"/>
    <w:rsid w:val="00C60EF6"/>
    <w:rsid w:val="00C60FF2"/>
    <w:rsid w:val="00C616E0"/>
    <w:rsid w:val="00C61918"/>
    <w:rsid w:val="00C63F7E"/>
    <w:rsid w:val="00C64D42"/>
    <w:rsid w:val="00C65641"/>
    <w:rsid w:val="00C660D4"/>
    <w:rsid w:val="00C664BA"/>
    <w:rsid w:val="00C676FE"/>
    <w:rsid w:val="00C70629"/>
    <w:rsid w:val="00C71A24"/>
    <w:rsid w:val="00C720E2"/>
    <w:rsid w:val="00C72D97"/>
    <w:rsid w:val="00C730B6"/>
    <w:rsid w:val="00C73CCC"/>
    <w:rsid w:val="00C76091"/>
    <w:rsid w:val="00C770B6"/>
    <w:rsid w:val="00C80382"/>
    <w:rsid w:val="00C80B1F"/>
    <w:rsid w:val="00C80DD4"/>
    <w:rsid w:val="00C81F72"/>
    <w:rsid w:val="00C81F74"/>
    <w:rsid w:val="00C8215B"/>
    <w:rsid w:val="00C854E6"/>
    <w:rsid w:val="00C85B45"/>
    <w:rsid w:val="00C85D5C"/>
    <w:rsid w:val="00C86659"/>
    <w:rsid w:val="00C86A80"/>
    <w:rsid w:val="00C874E9"/>
    <w:rsid w:val="00C901CE"/>
    <w:rsid w:val="00C9181F"/>
    <w:rsid w:val="00C92E8F"/>
    <w:rsid w:val="00C9392A"/>
    <w:rsid w:val="00C94385"/>
    <w:rsid w:val="00C94AFB"/>
    <w:rsid w:val="00C95281"/>
    <w:rsid w:val="00CA0280"/>
    <w:rsid w:val="00CA23B7"/>
    <w:rsid w:val="00CA352C"/>
    <w:rsid w:val="00CA3D46"/>
    <w:rsid w:val="00CA40AF"/>
    <w:rsid w:val="00CA5B61"/>
    <w:rsid w:val="00CA5F89"/>
    <w:rsid w:val="00CA6F1F"/>
    <w:rsid w:val="00CA74AD"/>
    <w:rsid w:val="00CA794E"/>
    <w:rsid w:val="00CB147F"/>
    <w:rsid w:val="00CB194F"/>
    <w:rsid w:val="00CB1DD7"/>
    <w:rsid w:val="00CB2277"/>
    <w:rsid w:val="00CB23DC"/>
    <w:rsid w:val="00CB4FE2"/>
    <w:rsid w:val="00CB6243"/>
    <w:rsid w:val="00CB6395"/>
    <w:rsid w:val="00CB76DC"/>
    <w:rsid w:val="00CC07EE"/>
    <w:rsid w:val="00CC34F0"/>
    <w:rsid w:val="00CC4AF4"/>
    <w:rsid w:val="00CC5951"/>
    <w:rsid w:val="00CC5C88"/>
    <w:rsid w:val="00CC79CA"/>
    <w:rsid w:val="00CC7AC1"/>
    <w:rsid w:val="00CC7F31"/>
    <w:rsid w:val="00CD0438"/>
    <w:rsid w:val="00CD2437"/>
    <w:rsid w:val="00CD4EC8"/>
    <w:rsid w:val="00CD53B3"/>
    <w:rsid w:val="00CD5AF9"/>
    <w:rsid w:val="00CD6390"/>
    <w:rsid w:val="00CD643B"/>
    <w:rsid w:val="00CD663F"/>
    <w:rsid w:val="00CD6817"/>
    <w:rsid w:val="00CD6D97"/>
    <w:rsid w:val="00CD7E8B"/>
    <w:rsid w:val="00CE4724"/>
    <w:rsid w:val="00CE4F14"/>
    <w:rsid w:val="00CE50E6"/>
    <w:rsid w:val="00CE6877"/>
    <w:rsid w:val="00CE7375"/>
    <w:rsid w:val="00CF1FA7"/>
    <w:rsid w:val="00CF2358"/>
    <w:rsid w:val="00CF2887"/>
    <w:rsid w:val="00CF37F0"/>
    <w:rsid w:val="00CF3AE3"/>
    <w:rsid w:val="00CF5189"/>
    <w:rsid w:val="00CF5ACF"/>
    <w:rsid w:val="00CF5DA1"/>
    <w:rsid w:val="00CF6F9C"/>
    <w:rsid w:val="00D00221"/>
    <w:rsid w:val="00D0049A"/>
    <w:rsid w:val="00D03FAD"/>
    <w:rsid w:val="00D06F6B"/>
    <w:rsid w:val="00D074B7"/>
    <w:rsid w:val="00D12043"/>
    <w:rsid w:val="00D12B9B"/>
    <w:rsid w:val="00D1304A"/>
    <w:rsid w:val="00D152E0"/>
    <w:rsid w:val="00D15AD5"/>
    <w:rsid w:val="00D16795"/>
    <w:rsid w:val="00D17288"/>
    <w:rsid w:val="00D17892"/>
    <w:rsid w:val="00D17C23"/>
    <w:rsid w:val="00D21908"/>
    <w:rsid w:val="00D2220A"/>
    <w:rsid w:val="00D2277F"/>
    <w:rsid w:val="00D22CE7"/>
    <w:rsid w:val="00D23AFA"/>
    <w:rsid w:val="00D259B6"/>
    <w:rsid w:val="00D25AE4"/>
    <w:rsid w:val="00D2752E"/>
    <w:rsid w:val="00D30476"/>
    <w:rsid w:val="00D319A2"/>
    <w:rsid w:val="00D3257B"/>
    <w:rsid w:val="00D329EC"/>
    <w:rsid w:val="00D3507F"/>
    <w:rsid w:val="00D35BAA"/>
    <w:rsid w:val="00D3638B"/>
    <w:rsid w:val="00D3657E"/>
    <w:rsid w:val="00D42430"/>
    <w:rsid w:val="00D425A8"/>
    <w:rsid w:val="00D435A0"/>
    <w:rsid w:val="00D45898"/>
    <w:rsid w:val="00D4714A"/>
    <w:rsid w:val="00D47D9D"/>
    <w:rsid w:val="00D50A96"/>
    <w:rsid w:val="00D5162D"/>
    <w:rsid w:val="00D52A23"/>
    <w:rsid w:val="00D52C26"/>
    <w:rsid w:val="00D5384D"/>
    <w:rsid w:val="00D544A8"/>
    <w:rsid w:val="00D559B3"/>
    <w:rsid w:val="00D55FA4"/>
    <w:rsid w:val="00D56A15"/>
    <w:rsid w:val="00D56B8E"/>
    <w:rsid w:val="00D575A2"/>
    <w:rsid w:val="00D57D41"/>
    <w:rsid w:val="00D62361"/>
    <w:rsid w:val="00D6311E"/>
    <w:rsid w:val="00D63437"/>
    <w:rsid w:val="00D63487"/>
    <w:rsid w:val="00D6457F"/>
    <w:rsid w:val="00D66227"/>
    <w:rsid w:val="00D676E9"/>
    <w:rsid w:val="00D70956"/>
    <w:rsid w:val="00D70A21"/>
    <w:rsid w:val="00D718BD"/>
    <w:rsid w:val="00D72F2B"/>
    <w:rsid w:val="00D731A4"/>
    <w:rsid w:val="00D74AD1"/>
    <w:rsid w:val="00D7515A"/>
    <w:rsid w:val="00D81524"/>
    <w:rsid w:val="00D81BAD"/>
    <w:rsid w:val="00D81D0C"/>
    <w:rsid w:val="00D81FF6"/>
    <w:rsid w:val="00D82358"/>
    <w:rsid w:val="00D82876"/>
    <w:rsid w:val="00D82992"/>
    <w:rsid w:val="00D86E7A"/>
    <w:rsid w:val="00D915ED"/>
    <w:rsid w:val="00D91BF5"/>
    <w:rsid w:val="00D9231C"/>
    <w:rsid w:val="00D9269C"/>
    <w:rsid w:val="00D9402E"/>
    <w:rsid w:val="00D947C8"/>
    <w:rsid w:val="00D95085"/>
    <w:rsid w:val="00D95ABA"/>
    <w:rsid w:val="00D95DD8"/>
    <w:rsid w:val="00D96142"/>
    <w:rsid w:val="00D979BF"/>
    <w:rsid w:val="00DA1A57"/>
    <w:rsid w:val="00DA1AA7"/>
    <w:rsid w:val="00DA33B8"/>
    <w:rsid w:val="00DA44EB"/>
    <w:rsid w:val="00DA587F"/>
    <w:rsid w:val="00DA5BBB"/>
    <w:rsid w:val="00DA71BA"/>
    <w:rsid w:val="00DB03F0"/>
    <w:rsid w:val="00DB2319"/>
    <w:rsid w:val="00DB36DF"/>
    <w:rsid w:val="00DB5D1C"/>
    <w:rsid w:val="00DB5F2A"/>
    <w:rsid w:val="00DB5F39"/>
    <w:rsid w:val="00DB681B"/>
    <w:rsid w:val="00DB6891"/>
    <w:rsid w:val="00DB6991"/>
    <w:rsid w:val="00DB6E66"/>
    <w:rsid w:val="00DB7E74"/>
    <w:rsid w:val="00DC006F"/>
    <w:rsid w:val="00DC0233"/>
    <w:rsid w:val="00DC0401"/>
    <w:rsid w:val="00DC0A72"/>
    <w:rsid w:val="00DC306F"/>
    <w:rsid w:val="00DC502B"/>
    <w:rsid w:val="00DC6C8D"/>
    <w:rsid w:val="00DC720D"/>
    <w:rsid w:val="00DC7382"/>
    <w:rsid w:val="00DC7799"/>
    <w:rsid w:val="00DD0175"/>
    <w:rsid w:val="00DD07A2"/>
    <w:rsid w:val="00DD111D"/>
    <w:rsid w:val="00DD2DE5"/>
    <w:rsid w:val="00DD422A"/>
    <w:rsid w:val="00DD489C"/>
    <w:rsid w:val="00DD5DB8"/>
    <w:rsid w:val="00DD61B0"/>
    <w:rsid w:val="00DD6F00"/>
    <w:rsid w:val="00DD7073"/>
    <w:rsid w:val="00DD7B88"/>
    <w:rsid w:val="00DE0158"/>
    <w:rsid w:val="00DE10FD"/>
    <w:rsid w:val="00DE11DF"/>
    <w:rsid w:val="00DE1519"/>
    <w:rsid w:val="00DE1EBA"/>
    <w:rsid w:val="00DE2EC6"/>
    <w:rsid w:val="00DE321A"/>
    <w:rsid w:val="00DE3B29"/>
    <w:rsid w:val="00DE4A8D"/>
    <w:rsid w:val="00DE4B87"/>
    <w:rsid w:val="00DE7997"/>
    <w:rsid w:val="00DF037D"/>
    <w:rsid w:val="00DF0984"/>
    <w:rsid w:val="00DF1222"/>
    <w:rsid w:val="00DF21A8"/>
    <w:rsid w:val="00DF271F"/>
    <w:rsid w:val="00DF282A"/>
    <w:rsid w:val="00DF327B"/>
    <w:rsid w:val="00DF399D"/>
    <w:rsid w:val="00DF46DE"/>
    <w:rsid w:val="00DF4898"/>
    <w:rsid w:val="00DF55FE"/>
    <w:rsid w:val="00DF56B6"/>
    <w:rsid w:val="00DF5700"/>
    <w:rsid w:val="00DF5DC8"/>
    <w:rsid w:val="00E01A90"/>
    <w:rsid w:val="00E023F6"/>
    <w:rsid w:val="00E02E42"/>
    <w:rsid w:val="00E036D0"/>
    <w:rsid w:val="00E03DFE"/>
    <w:rsid w:val="00E03F0D"/>
    <w:rsid w:val="00E044AF"/>
    <w:rsid w:val="00E04A41"/>
    <w:rsid w:val="00E05DF9"/>
    <w:rsid w:val="00E0609A"/>
    <w:rsid w:val="00E060EB"/>
    <w:rsid w:val="00E06825"/>
    <w:rsid w:val="00E078BB"/>
    <w:rsid w:val="00E07A14"/>
    <w:rsid w:val="00E103A4"/>
    <w:rsid w:val="00E119B4"/>
    <w:rsid w:val="00E11DFC"/>
    <w:rsid w:val="00E1634C"/>
    <w:rsid w:val="00E2025D"/>
    <w:rsid w:val="00E204C5"/>
    <w:rsid w:val="00E20704"/>
    <w:rsid w:val="00E22156"/>
    <w:rsid w:val="00E22178"/>
    <w:rsid w:val="00E233E1"/>
    <w:rsid w:val="00E23E2A"/>
    <w:rsid w:val="00E24511"/>
    <w:rsid w:val="00E3025C"/>
    <w:rsid w:val="00E31876"/>
    <w:rsid w:val="00E31BD6"/>
    <w:rsid w:val="00E3550B"/>
    <w:rsid w:val="00E360E7"/>
    <w:rsid w:val="00E36CD6"/>
    <w:rsid w:val="00E37632"/>
    <w:rsid w:val="00E40FF6"/>
    <w:rsid w:val="00E414DE"/>
    <w:rsid w:val="00E41966"/>
    <w:rsid w:val="00E41D74"/>
    <w:rsid w:val="00E43115"/>
    <w:rsid w:val="00E44672"/>
    <w:rsid w:val="00E446C7"/>
    <w:rsid w:val="00E44AAB"/>
    <w:rsid w:val="00E45840"/>
    <w:rsid w:val="00E45B27"/>
    <w:rsid w:val="00E467EE"/>
    <w:rsid w:val="00E46FE1"/>
    <w:rsid w:val="00E47B5C"/>
    <w:rsid w:val="00E5104D"/>
    <w:rsid w:val="00E51403"/>
    <w:rsid w:val="00E52916"/>
    <w:rsid w:val="00E53708"/>
    <w:rsid w:val="00E53B0F"/>
    <w:rsid w:val="00E55875"/>
    <w:rsid w:val="00E615C8"/>
    <w:rsid w:val="00E63CF2"/>
    <w:rsid w:val="00E64A34"/>
    <w:rsid w:val="00E64B0D"/>
    <w:rsid w:val="00E67115"/>
    <w:rsid w:val="00E701E6"/>
    <w:rsid w:val="00E705C0"/>
    <w:rsid w:val="00E71ABF"/>
    <w:rsid w:val="00E725FB"/>
    <w:rsid w:val="00E72EB5"/>
    <w:rsid w:val="00E73681"/>
    <w:rsid w:val="00E75A0C"/>
    <w:rsid w:val="00E75AF7"/>
    <w:rsid w:val="00E767C2"/>
    <w:rsid w:val="00E76D41"/>
    <w:rsid w:val="00E7740F"/>
    <w:rsid w:val="00E81E20"/>
    <w:rsid w:val="00E82B72"/>
    <w:rsid w:val="00E830AC"/>
    <w:rsid w:val="00E830EB"/>
    <w:rsid w:val="00E840F1"/>
    <w:rsid w:val="00E84A30"/>
    <w:rsid w:val="00E84BAE"/>
    <w:rsid w:val="00E861DD"/>
    <w:rsid w:val="00E8683F"/>
    <w:rsid w:val="00E86A38"/>
    <w:rsid w:val="00E870BE"/>
    <w:rsid w:val="00E9329F"/>
    <w:rsid w:val="00E937FA"/>
    <w:rsid w:val="00E9581E"/>
    <w:rsid w:val="00E961F1"/>
    <w:rsid w:val="00E963A4"/>
    <w:rsid w:val="00E96506"/>
    <w:rsid w:val="00E97F29"/>
    <w:rsid w:val="00EA0673"/>
    <w:rsid w:val="00EA112B"/>
    <w:rsid w:val="00EA14CD"/>
    <w:rsid w:val="00EA1833"/>
    <w:rsid w:val="00EA1B5A"/>
    <w:rsid w:val="00EA26E4"/>
    <w:rsid w:val="00EA31C1"/>
    <w:rsid w:val="00EA3ABF"/>
    <w:rsid w:val="00EA4455"/>
    <w:rsid w:val="00EA5E9C"/>
    <w:rsid w:val="00EA5FEC"/>
    <w:rsid w:val="00EA6FA7"/>
    <w:rsid w:val="00EA6FD4"/>
    <w:rsid w:val="00EA79DE"/>
    <w:rsid w:val="00EB06B6"/>
    <w:rsid w:val="00EB14D3"/>
    <w:rsid w:val="00EB1C44"/>
    <w:rsid w:val="00EB284A"/>
    <w:rsid w:val="00EB3EA9"/>
    <w:rsid w:val="00EB3F55"/>
    <w:rsid w:val="00EB474D"/>
    <w:rsid w:val="00EB59EE"/>
    <w:rsid w:val="00EB5A04"/>
    <w:rsid w:val="00EB653A"/>
    <w:rsid w:val="00EB6934"/>
    <w:rsid w:val="00EB69CA"/>
    <w:rsid w:val="00EB713E"/>
    <w:rsid w:val="00EB75A2"/>
    <w:rsid w:val="00EB7849"/>
    <w:rsid w:val="00EB7C8B"/>
    <w:rsid w:val="00EC1548"/>
    <w:rsid w:val="00EC1B5E"/>
    <w:rsid w:val="00EC1E72"/>
    <w:rsid w:val="00EC3C32"/>
    <w:rsid w:val="00EC5EC0"/>
    <w:rsid w:val="00EC649F"/>
    <w:rsid w:val="00EC652A"/>
    <w:rsid w:val="00EC730F"/>
    <w:rsid w:val="00ED0C97"/>
    <w:rsid w:val="00ED0EC7"/>
    <w:rsid w:val="00ED1817"/>
    <w:rsid w:val="00ED31E4"/>
    <w:rsid w:val="00ED35A2"/>
    <w:rsid w:val="00ED4F44"/>
    <w:rsid w:val="00ED588B"/>
    <w:rsid w:val="00ED7871"/>
    <w:rsid w:val="00ED7F06"/>
    <w:rsid w:val="00ED7F0B"/>
    <w:rsid w:val="00EE1C29"/>
    <w:rsid w:val="00EE2B53"/>
    <w:rsid w:val="00EE3EDB"/>
    <w:rsid w:val="00EE4255"/>
    <w:rsid w:val="00EE4ACD"/>
    <w:rsid w:val="00EE5935"/>
    <w:rsid w:val="00EE59D8"/>
    <w:rsid w:val="00EE5B70"/>
    <w:rsid w:val="00EE5EDB"/>
    <w:rsid w:val="00EE63BC"/>
    <w:rsid w:val="00EE6D0B"/>
    <w:rsid w:val="00EF08A4"/>
    <w:rsid w:val="00EF1FAD"/>
    <w:rsid w:val="00EF2656"/>
    <w:rsid w:val="00EF2723"/>
    <w:rsid w:val="00EF3C47"/>
    <w:rsid w:val="00EF3F25"/>
    <w:rsid w:val="00EF544D"/>
    <w:rsid w:val="00EF5AD1"/>
    <w:rsid w:val="00EF6409"/>
    <w:rsid w:val="00EF7684"/>
    <w:rsid w:val="00F000D0"/>
    <w:rsid w:val="00F00AF7"/>
    <w:rsid w:val="00F00FB4"/>
    <w:rsid w:val="00F01EE0"/>
    <w:rsid w:val="00F0260F"/>
    <w:rsid w:val="00F04459"/>
    <w:rsid w:val="00F04F43"/>
    <w:rsid w:val="00F056DF"/>
    <w:rsid w:val="00F059EA"/>
    <w:rsid w:val="00F05DFB"/>
    <w:rsid w:val="00F06310"/>
    <w:rsid w:val="00F071A4"/>
    <w:rsid w:val="00F07554"/>
    <w:rsid w:val="00F07F1F"/>
    <w:rsid w:val="00F103D2"/>
    <w:rsid w:val="00F105E9"/>
    <w:rsid w:val="00F1099E"/>
    <w:rsid w:val="00F10AF3"/>
    <w:rsid w:val="00F112D9"/>
    <w:rsid w:val="00F11AC9"/>
    <w:rsid w:val="00F1364C"/>
    <w:rsid w:val="00F13B06"/>
    <w:rsid w:val="00F13E65"/>
    <w:rsid w:val="00F147C5"/>
    <w:rsid w:val="00F14AF3"/>
    <w:rsid w:val="00F159FA"/>
    <w:rsid w:val="00F164B1"/>
    <w:rsid w:val="00F168AB"/>
    <w:rsid w:val="00F16D42"/>
    <w:rsid w:val="00F179F0"/>
    <w:rsid w:val="00F17FF9"/>
    <w:rsid w:val="00F2202D"/>
    <w:rsid w:val="00F22060"/>
    <w:rsid w:val="00F22D51"/>
    <w:rsid w:val="00F23797"/>
    <w:rsid w:val="00F23E8C"/>
    <w:rsid w:val="00F24B45"/>
    <w:rsid w:val="00F24C26"/>
    <w:rsid w:val="00F2560A"/>
    <w:rsid w:val="00F25C1F"/>
    <w:rsid w:val="00F269AC"/>
    <w:rsid w:val="00F27387"/>
    <w:rsid w:val="00F30265"/>
    <w:rsid w:val="00F304D8"/>
    <w:rsid w:val="00F31CB8"/>
    <w:rsid w:val="00F32DA9"/>
    <w:rsid w:val="00F32E22"/>
    <w:rsid w:val="00F34134"/>
    <w:rsid w:val="00F3462D"/>
    <w:rsid w:val="00F35E21"/>
    <w:rsid w:val="00F36399"/>
    <w:rsid w:val="00F36BCD"/>
    <w:rsid w:val="00F404BD"/>
    <w:rsid w:val="00F405D8"/>
    <w:rsid w:val="00F417EE"/>
    <w:rsid w:val="00F422DE"/>
    <w:rsid w:val="00F42944"/>
    <w:rsid w:val="00F430B7"/>
    <w:rsid w:val="00F43484"/>
    <w:rsid w:val="00F438A5"/>
    <w:rsid w:val="00F439FC"/>
    <w:rsid w:val="00F43E3F"/>
    <w:rsid w:val="00F44347"/>
    <w:rsid w:val="00F4496F"/>
    <w:rsid w:val="00F45FC5"/>
    <w:rsid w:val="00F460C8"/>
    <w:rsid w:val="00F47C41"/>
    <w:rsid w:val="00F51EE9"/>
    <w:rsid w:val="00F53B1A"/>
    <w:rsid w:val="00F53B1F"/>
    <w:rsid w:val="00F53BAD"/>
    <w:rsid w:val="00F54B54"/>
    <w:rsid w:val="00F55462"/>
    <w:rsid w:val="00F55C12"/>
    <w:rsid w:val="00F55C47"/>
    <w:rsid w:val="00F55CBB"/>
    <w:rsid w:val="00F57865"/>
    <w:rsid w:val="00F57EFF"/>
    <w:rsid w:val="00F602AA"/>
    <w:rsid w:val="00F60B78"/>
    <w:rsid w:val="00F61C1A"/>
    <w:rsid w:val="00F621FB"/>
    <w:rsid w:val="00F62C01"/>
    <w:rsid w:val="00F63DCD"/>
    <w:rsid w:val="00F64D4D"/>
    <w:rsid w:val="00F65CE9"/>
    <w:rsid w:val="00F665E4"/>
    <w:rsid w:val="00F67F56"/>
    <w:rsid w:val="00F700CE"/>
    <w:rsid w:val="00F7233E"/>
    <w:rsid w:val="00F72A28"/>
    <w:rsid w:val="00F72D6D"/>
    <w:rsid w:val="00F749EB"/>
    <w:rsid w:val="00F74EF4"/>
    <w:rsid w:val="00F80546"/>
    <w:rsid w:val="00F808A7"/>
    <w:rsid w:val="00F81330"/>
    <w:rsid w:val="00F819BF"/>
    <w:rsid w:val="00F83839"/>
    <w:rsid w:val="00F847C3"/>
    <w:rsid w:val="00F8495C"/>
    <w:rsid w:val="00F87C8E"/>
    <w:rsid w:val="00F902F3"/>
    <w:rsid w:val="00F9083A"/>
    <w:rsid w:val="00F910C7"/>
    <w:rsid w:val="00F92102"/>
    <w:rsid w:val="00F93728"/>
    <w:rsid w:val="00F94138"/>
    <w:rsid w:val="00F94256"/>
    <w:rsid w:val="00F947C8"/>
    <w:rsid w:val="00F9583A"/>
    <w:rsid w:val="00F96191"/>
    <w:rsid w:val="00F9725D"/>
    <w:rsid w:val="00F9727B"/>
    <w:rsid w:val="00FA20C9"/>
    <w:rsid w:val="00FA21CD"/>
    <w:rsid w:val="00FA33C4"/>
    <w:rsid w:val="00FA524D"/>
    <w:rsid w:val="00FA60E2"/>
    <w:rsid w:val="00FA71F4"/>
    <w:rsid w:val="00FA7989"/>
    <w:rsid w:val="00FB010E"/>
    <w:rsid w:val="00FB05DC"/>
    <w:rsid w:val="00FB0B11"/>
    <w:rsid w:val="00FB1C32"/>
    <w:rsid w:val="00FB4B57"/>
    <w:rsid w:val="00FB574F"/>
    <w:rsid w:val="00FB62F5"/>
    <w:rsid w:val="00FC0749"/>
    <w:rsid w:val="00FC0F84"/>
    <w:rsid w:val="00FC13D0"/>
    <w:rsid w:val="00FC1BE6"/>
    <w:rsid w:val="00FC3916"/>
    <w:rsid w:val="00FC44D1"/>
    <w:rsid w:val="00FC4AD9"/>
    <w:rsid w:val="00FD329C"/>
    <w:rsid w:val="00FD4051"/>
    <w:rsid w:val="00FD5589"/>
    <w:rsid w:val="00FD673E"/>
    <w:rsid w:val="00FD7857"/>
    <w:rsid w:val="00FE010D"/>
    <w:rsid w:val="00FE0BCD"/>
    <w:rsid w:val="00FE0C5A"/>
    <w:rsid w:val="00FE0E1E"/>
    <w:rsid w:val="00FE0FE3"/>
    <w:rsid w:val="00FE1BA4"/>
    <w:rsid w:val="00FE1E96"/>
    <w:rsid w:val="00FE25A0"/>
    <w:rsid w:val="00FE274C"/>
    <w:rsid w:val="00FE3D53"/>
    <w:rsid w:val="00FE50A1"/>
    <w:rsid w:val="00FE6468"/>
    <w:rsid w:val="00FE68B0"/>
    <w:rsid w:val="00FE7461"/>
    <w:rsid w:val="00FF04B4"/>
    <w:rsid w:val="00FF0A11"/>
    <w:rsid w:val="00FF0F9D"/>
    <w:rsid w:val="00FF23A3"/>
    <w:rsid w:val="00FF3EC6"/>
    <w:rsid w:val="00FF6F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A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71D4"/>
    <w:pPr>
      <w:tabs>
        <w:tab w:val="center" w:pos="4252"/>
        <w:tab w:val="right" w:pos="8504"/>
      </w:tabs>
      <w:spacing w:after="0" w:line="240" w:lineRule="auto"/>
    </w:pPr>
    <w:rPr>
      <w:rFonts w:eastAsia="Calibri"/>
      <w:sz w:val="24"/>
      <w:szCs w:val="24"/>
      <w:lang w:val="es-ES" w:eastAsia="es-ES"/>
    </w:rPr>
  </w:style>
  <w:style w:type="character" w:customStyle="1" w:styleId="EncabezadoCar">
    <w:name w:val="Encabezado Car"/>
    <w:basedOn w:val="Fuentedeprrafopredeter"/>
    <w:link w:val="Encabezado"/>
    <w:rsid w:val="000371D4"/>
    <w:rPr>
      <w:rFonts w:ascii="Times New Roman" w:eastAsia="Calibri" w:hAnsi="Times New Roman" w:cs="Times New Roman"/>
      <w:sz w:val="24"/>
      <w:szCs w:val="24"/>
      <w:lang w:val="es-ES" w:eastAsia="es-ES"/>
    </w:rPr>
  </w:style>
  <w:style w:type="character" w:styleId="Nmerodepgina">
    <w:name w:val="page number"/>
    <w:rsid w:val="000371D4"/>
    <w:rPr>
      <w:rFonts w:cs="Times New Roman"/>
    </w:rPr>
  </w:style>
  <w:style w:type="character" w:styleId="Refdenotaalpie">
    <w:name w:val="footnote reference"/>
    <w:aliases w:val="Texto de nota al pie,Footnotes refss,Appel note de bas de page,Ref. de nota al pie 2,referencia nota al pie,Fago Fußnotenzeichen,Footnote number,BVI fnr,f,4_G,16 Point,Superscript 6 Point,Texto nota al pie,Footnote Reference Char3,FC"/>
    <w:uiPriority w:val="99"/>
    <w:qFormat/>
    <w:rsid w:val="000371D4"/>
    <w:rPr>
      <w:rFonts w:cs="Times New Roman"/>
      <w:position w:val="6"/>
      <w:sz w:val="1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0371D4"/>
    <w:pPr>
      <w:spacing w:after="0" w:line="240" w:lineRule="auto"/>
    </w:pPr>
    <w:rPr>
      <w:rFonts w:eastAsia="Calibri"/>
      <w:lang w:val="es-ES" w:eastAsia="es-ES"/>
    </w:rPr>
  </w:style>
  <w:style w:type="character" w:customStyle="1" w:styleId="TextonotapieCar">
    <w:name w:val="Texto nota pie Car"/>
    <w:basedOn w:val="Fuentedeprrafopredeter"/>
    <w:uiPriority w:val="99"/>
    <w:semiHidden/>
    <w:rsid w:val="000371D4"/>
    <w:rPr>
      <w:sz w:val="20"/>
      <w:szCs w:val="20"/>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uiPriority w:val="99"/>
    <w:locked/>
    <w:rsid w:val="000371D4"/>
    <w:rPr>
      <w:rFonts w:ascii="Times New Roman" w:eastAsia="Calibri" w:hAnsi="Times New Roman" w:cs="Times New Roman"/>
      <w:sz w:val="20"/>
      <w:szCs w:val="20"/>
      <w:lang w:val="es-ES" w:eastAsia="es-ES"/>
    </w:rPr>
  </w:style>
  <w:style w:type="paragraph" w:styleId="Sinespaciado">
    <w:name w:val="No Spacing"/>
    <w:uiPriority w:val="1"/>
    <w:qFormat/>
    <w:rsid w:val="000371D4"/>
    <w:pPr>
      <w:spacing w:after="0" w:line="240" w:lineRule="auto"/>
    </w:pPr>
    <w:rPr>
      <w:lang w:val="es-ES"/>
    </w:rPr>
  </w:style>
  <w:style w:type="paragraph" w:styleId="Prrafodelista">
    <w:name w:val="List Paragraph"/>
    <w:basedOn w:val="Normal"/>
    <w:uiPriority w:val="34"/>
    <w:qFormat/>
    <w:rsid w:val="000371D4"/>
    <w:pPr>
      <w:ind w:left="720"/>
      <w:contextualSpacing/>
    </w:pPr>
  </w:style>
  <w:style w:type="paragraph" w:styleId="NormalWeb">
    <w:name w:val="Normal (Web)"/>
    <w:basedOn w:val="Normal"/>
    <w:uiPriority w:val="99"/>
    <w:semiHidden/>
    <w:unhideWhenUsed/>
    <w:rsid w:val="000371D4"/>
    <w:rPr>
      <w:sz w:val="24"/>
      <w:szCs w:val="24"/>
    </w:rPr>
  </w:style>
  <w:style w:type="character" w:styleId="Hipervnculo">
    <w:name w:val="Hyperlink"/>
    <w:basedOn w:val="Fuentedeprrafopredeter"/>
    <w:uiPriority w:val="99"/>
    <w:unhideWhenUsed/>
    <w:rsid w:val="000371D4"/>
    <w:rPr>
      <w:color w:val="0563C1" w:themeColor="hyperlink"/>
      <w:u w:val="single"/>
    </w:rPr>
  </w:style>
  <w:style w:type="paragraph" w:customStyle="1" w:styleId="centrado">
    <w:name w:val="centrado"/>
    <w:basedOn w:val="Normal"/>
    <w:rsid w:val="000371D4"/>
    <w:pPr>
      <w:spacing w:before="100" w:beforeAutospacing="1" w:after="100" w:afterAutospacing="1" w:line="240" w:lineRule="auto"/>
    </w:pPr>
    <w:rPr>
      <w:rFonts w:eastAsia="Times New Roman"/>
      <w:sz w:val="24"/>
      <w:szCs w:val="24"/>
      <w:lang w:val="es-ES" w:eastAsia="es-ES"/>
    </w:rPr>
  </w:style>
  <w:style w:type="character" w:customStyle="1" w:styleId="baj">
    <w:name w:val="b_aj"/>
    <w:basedOn w:val="Fuentedeprrafopredeter"/>
    <w:rsid w:val="000371D4"/>
  </w:style>
  <w:style w:type="paragraph" w:styleId="Piedepgina">
    <w:name w:val="footer"/>
    <w:basedOn w:val="Normal"/>
    <w:link w:val="PiedepginaCar"/>
    <w:uiPriority w:val="99"/>
    <w:unhideWhenUsed/>
    <w:rsid w:val="000371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1D4"/>
  </w:style>
  <w:style w:type="paragraph" w:styleId="Textodeglobo">
    <w:name w:val="Balloon Text"/>
    <w:basedOn w:val="Normal"/>
    <w:link w:val="TextodegloboCar"/>
    <w:uiPriority w:val="99"/>
    <w:semiHidden/>
    <w:unhideWhenUsed/>
    <w:rsid w:val="00037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1D4"/>
    <w:rPr>
      <w:rFonts w:ascii="Tahoma" w:hAnsi="Tahoma" w:cs="Tahoma"/>
      <w:sz w:val="16"/>
      <w:szCs w:val="16"/>
    </w:rPr>
  </w:style>
  <w:style w:type="character" w:styleId="Refdecomentario">
    <w:name w:val="annotation reference"/>
    <w:basedOn w:val="Fuentedeprrafopredeter"/>
    <w:uiPriority w:val="99"/>
    <w:semiHidden/>
    <w:unhideWhenUsed/>
    <w:rsid w:val="000371D4"/>
    <w:rPr>
      <w:sz w:val="16"/>
      <w:szCs w:val="16"/>
    </w:rPr>
  </w:style>
  <w:style w:type="paragraph" w:styleId="Textocomentario">
    <w:name w:val="annotation text"/>
    <w:basedOn w:val="Normal"/>
    <w:link w:val="TextocomentarioCar"/>
    <w:uiPriority w:val="99"/>
    <w:semiHidden/>
    <w:unhideWhenUsed/>
    <w:rsid w:val="000371D4"/>
    <w:pPr>
      <w:spacing w:line="240" w:lineRule="auto"/>
    </w:pPr>
  </w:style>
  <w:style w:type="character" w:customStyle="1" w:styleId="TextocomentarioCar">
    <w:name w:val="Texto comentario Car"/>
    <w:basedOn w:val="Fuentedeprrafopredeter"/>
    <w:link w:val="Textocomentario"/>
    <w:uiPriority w:val="99"/>
    <w:semiHidden/>
    <w:rsid w:val="000371D4"/>
    <w:rPr>
      <w:sz w:val="20"/>
      <w:szCs w:val="20"/>
    </w:rPr>
  </w:style>
  <w:style w:type="paragraph" w:styleId="Asuntodelcomentario">
    <w:name w:val="annotation subject"/>
    <w:basedOn w:val="Textocomentario"/>
    <w:next w:val="Textocomentario"/>
    <w:link w:val="AsuntodelcomentarioCar"/>
    <w:uiPriority w:val="99"/>
    <w:semiHidden/>
    <w:unhideWhenUsed/>
    <w:rsid w:val="000371D4"/>
    <w:rPr>
      <w:b/>
      <w:bCs/>
    </w:rPr>
  </w:style>
  <w:style w:type="character" w:customStyle="1" w:styleId="AsuntodelcomentarioCar">
    <w:name w:val="Asunto del comentario Car"/>
    <w:basedOn w:val="TextocomentarioCar"/>
    <w:link w:val="Asuntodelcomentario"/>
    <w:uiPriority w:val="99"/>
    <w:semiHidden/>
    <w:rsid w:val="000371D4"/>
    <w:rPr>
      <w:b/>
      <w:bCs/>
      <w:sz w:val="20"/>
      <w:szCs w:val="20"/>
    </w:rPr>
  </w:style>
  <w:style w:type="paragraph" w:customStyle="1" w:styleId="CitasCorte">
    <w:name w:val="Citas Corte"/>
    <w:basedOn w:val="Textonotapie"/>
    <w:link w:val="CitasCorteCar"/>
    <w:autoRedefine/>
    <w:qFormat/>
    <w:rsid w:val="000371D4"/>
    <w:pPr>
      <w:jc w:val="both"/>
    </w:pPr>
    <w:rPr>
      <w:rFonts w:eastAsia="Times New Roman"/>
      <w:lang w:val="es-CO" w:eastAsia="en-US"/>
    </w:rPr>
  </w:style>
  <w:style w:type="character" w:customStyle="1" w:styleId="CitasCorteCar">
    <w:name w:val="Citas Corte Car"/>
    <w:link w:val="CitasCorte"/>
    <w:locked/>
    <w:rsid w:val="000371D4"/>
    <w:rPr>
      <w:rFonts w:ascii="Times New Roman" w:eastAsia="Times New Roman" w:hAnsi="Times New Roman" w:cs="Times New Roman"/>
      <w:sz w:val="20"/>
      <w:szCs w:val="20"/>
    </w:rPr>
  </w:style>
  <w:style w:type="table" w:styleId="Tablaconcuadrcula">
    <w:name w:val="Table Grid"/>
    <w:basedOn w:val="Tablanormal"/>
    <w:uiPriority w:val="39"/>
    <w:rsid w:val="000371D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371D4"/>
    <w:pPr>
      <w:spacing w:after="0" w:line="240" w:lineRule="auto"/>
    </w:pPr>
  </w:style>
  <w:style w:type="character" w:customStyle="1" w:styleId="apple-converted-space">
    <w:name w:val="apple-converted-space"/>
    <w:rsid w:val="00415F1F"/>
  </w:style>
  <w:style w:type="paragraph" w:customStyle="1" w:styleId="Car">
    <w:name w:val="Car"/>
    <w:basedOn w:val="Normal"/>
    <w:rsid w:val="001C2CAB"/>
    <w:pPr>
      <w:spacing w:line="240" w:lineRule="exact"/>
    </w:pPr>
    <w:rPr>
      <w:rFonts w:eastAsia="Times New Roman"/>
      <w:noProof/>
      <w:color w:val="000000"/>
      <w:lang w:eastAsia="es-CO"/>
    </w:rPr>
  </w:style>
  <w:style w:type="character" w:customStyle="1" w:styleId="Caracteresdenotaalpie">
    <w:name w:val="Caracteres de nota al pie"/>
    <w:rsid w:val="00F13B06"/>
    <w:rPr>
      <w:position w:val="4"/>
      <w:sz w:val="16"/>
    </w:rPr>
  </w:style>
  <w:style w:type="paragraph" w:customStyle="1" w:styleId="BodyText21">
    <w:name w:val="Body Text 21"/>
    <w:basedOn w:val="Normal"/>
    <w:uiPriority w:val="99"/>
    <w:rsid w:val="00401D26"/>
    <w:pPr>
      <w:widowControl w:val="0"/>
      <w:autoSpaceDE w:val="0"/>
      <w:autoSpaceDN w:val="0"/>
      <w:spacing w:after="0" w:line="360" w:lineRule="auto"/>
      <w:jc w:val="both"/>
    </w:pPr>
    <w:rPr>
      <w:rFonts w:eastAsia="Times New Roman"/>
      <w:sz w:val="28"/>
      <w:szCs w:val="28"/>
      <w:lang w:val="es-ES" w:eastAsia="es-ES"/>
    </w:rPr>
  </w:style>
  <w:style w:type="paragraph" w:customStyle="1" w:styleId="Sangradetindependiente">
    <w:name w:val="Sangría de t. independiente"/>
    <w:basedOn w:val="Normal"/>
    <w:uiPriority w:val="99"/>
    <w:rsid w:val="0030456F"/>
    <w:pPr>
      <w:autoSpaceDE w:val="0"/>
      <w:autoSpaceDN w:val="0"/>
      <w:spacing w:after="0" w:line="240" w:lineRule="auto"/>
      <w:ind w:right="51"/>
      <w:jc w:val="both"/>
    </w:pPr>
    <w:rPr>
      <w:rFonts w:eastAsia="Times New Roman"/>
      <w:sz w:val="28"/>
      <w:szCs w:val="28"/>
      <w:lang w:val="es-ES" w:eastAsia="es-ES"/>
    </w:rPr>
  </w:style>
  <w:style w:type="paragraph" w:customStyle="1" w:styleId="margenizq1punto0margender1punto0">
    <w:name w:val="margen_izq_1punto0_margen_der_1punto0"/>
    <w:basedOn w:val="Normal"/>
    <w:rsid w:val="008543A7"/>
    <w:pPr>
      <w:spacing w:before="100" w:beforeAutospacing="1" w:after="100" w:afterAutospacing="1" w:line="240" w:lineRule="auto"/>
    </w:pPr>
    <w:rPr>
      <w:rFonts w:eastAsia="Times New Roman"/>
      <w:sz w:val="24"/>
      <w:szCs w:val="24"/>
      <w:lang w:eastAsia="es-CO"/>
    </w:rPr>
  </w:style>
  <w:style w:type="character" w:customStyle="1" w:styleId="letra14pt">
    <w:name w:val="letra14pt"/>
    <w:basedOn w:val="Fuentedeprrafopredeter"/>
    <w:rsid w:val="008543A7"/>
  </w:style>
  <w:style w:type="character" w:customStyle="1" w:styleId="iaj">
    <w:name w:val="i_aj"/>
    <w:basedOn w:val="Fuentedeprrafopredeter"/>
    <w:rsid w:val="008543A7"/>
  </w:style>
  <w:style w:type="paragraph" w:customStyle="1" w:styleId="margenizq1punto0margender1punto0indentfl1punto5">
    <w:name w:val="margen_izq_1punto0_margen_der_1punto0_indent_fl_1punto5"/>
    <w:basedOn w:val="Normal"/>
    <w:rsid w:val="008543A7"/>
    <w:pPr>
      <w:spacing w:before="100" w:beforeAutospacing="1" w:after="100" w:afterAutospacing="1" w:line="240" w:lineRule="auto"/>
    </w:pPr>
    <w:rPr>
      <w:rFonts w:eastAsia="Times New Roman"/>
      <w:sz w:val="24"/>
      <w:szCs w:val="24"/>
      <w:lang w:eastAsia="es-CO"/>
    </w:rPr>
  </w:style>
  <w:style w:type="character" w:styleId="nfasis">
    <w:name w:val="Emphasis"/>
    <w:basedOn w:val="Fuentedeprrafopredeter"/>
    <w:uiPriority w:val="20"/>
    <w:qFormat/>
    <w:rsid w:val="00AB20A3"/>
    <w:rPr>
      <w:i/>
      <w:iCs/>
    </w:rPr>
  </w:style>
  <w:style w:type="character" w:styleId="Textoennegrita">
    <w:name w:val="Strong"/>
    <w:basedOn w:val="Fuentedeprrafopredeter"/>
    <w:uiPriority w:val="22"/>
    <w:qFormat/>
    <w:rsid w:val="00175551"/>
    <w:rPr>
      <w:b/>
      <w:bCs/>
    </w:rPr>
  </w:style>
  <w:style w:type="paragraph" w:styleId="Lista">
    <w:name w:val="List"/>
    <w:basedOn w:val="Normal"/>
    <w:uiPriority w:val="99"/>
    <w:semiHidden/>
    <w:unhideWhenUsed/>
    <w:rsid w:val="000F3FEB"/>
    <w:pPr>
      <w:ind w:left="283" w:hanging="283"/>
      <w:contextualSpacing/>
    </w:pPr>
  </w:style>
  <w:style w:type="character" w:customStyle="1" w:styleId="Mencinsinresolver1">
    <w:name w:val="Mención sin resolver1"/>
    <w:basedOn w:val="Fuentedeprrafopredeter"/>
    <w:uiPriority w:val="99"/>
    <w:semiHidden/>
    <w:unhideWhenUsed/>
    <w:rsid w:val="00544C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71D4"/>
    <w:pPr>
      <w:tabs>
        <w:tab w:val="center" w:pos="4252"/>
        <w:tab w:val="right" w:pos="8504"/>
      </w:tabs>
      <w:spacing w:after="0" w:line="240" w:lineRule="auto"/>
    </w:pPr>
    <w:rPr>
      <w:rFonts w:eastAsia="Calibri"/>
      <w:sz w:val="24"/>
      <w:szCs w:val="24"/>
      <w:lang w:val="es-ES" w:eastAsia="es-ES"/>
    </w:rPr>
  </w:style>
  <w:style w:type="character" w:customStyle="1" w:styleId="EncabezadoCar">
    <w:name w:val="Encabezado Car"/>
    <w:basedOn w:val="Fuentedeprrafopredeter"/>
    <w:link w:val="Encabezado"/>
    <w:rsid w:val="000371D4"/>
    <w:rPr>
      <w:rFonts w:ascii="Times New Roman" w:eastAsia="Calibri" w:hAnsi="Times New Roman" w:cs="Times New Roman"/>
      <w:sz w:val="24"/>
      <w:szCs w:val="24"/>
      <w:lang w:val="es-ES" w:eastAsia="es-ES"/>
    </w:rPr>
  </w:style>
  <w:style w:type="character" w:styleId="Nmerodepgina">
    <w:name w:val="page number"/>
    <w:rsid w:val="000371D4"/>
    <w:rPr>
      <w:rFonts w:cs="Times New Roman"/>
    </w:rPr>
  </w:style>
  <w:style w:type="character" w:styleId="Refdenotaalpie">
    <w:name w:val="footnote reference"/>
    <w:aliases w:val="Texto de nota al pie,Footnotes refss,Appel note de bas de page,Ref. de nota al pie 2,referencia nota al pie,Fago Fußnotenzeichen,Footnote number,BVI fnr,f,4_G,16 Point,Superscript 6 Point,Texto nota al pie,Footnote Reference Char3,FC"/>
    <w:uiPriority w:val="99"/>
    <w:qFormat/>
    <w:rsid w:val="000371D4"/>
    <w:rPr>
      <w:rFonts w:cs="Times New Roman"/>
      <w:position w:val="6"/>
      <w:sz w:val="1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0371D4"/>
    <w:pPr>
      <w:spacing w:after="0" w:line="240" w:lineRule="auto"/>
    </w:pPr>
    <w:rPr>
      <w:rFonts w:eastAsia="Calibri"/>
      <w:lang w:val="es-ES" w:eastAsia="es-ES"/>
    </w:rPr>
  </w:style>
  <w:style w:type="character" w:customStyle="1" w:styleId="TextonotapieCar">
    <w:name w:val="Texto nota pie Car"/>
    <w:basedOn w:val="Fuentedeprrafopredeter"/>
    <w:uiPriority w:val="99"/>
    <w:semiHidden/>
    <w:rsid w:val="000371D4"/>
    <w:rPr>
      <w:sz w:val="20"/>
      <w:szCs w:val="20"/>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uiPriority w:val="99"/>
    <w:locked/>
    <w:rsid w:val="000371D4"/>
    <w:rPr>
      <w:rFonts w:ascii="Times New Roman" w:eastAsia="Calibri" w:hAnsi="Times New Roman" w:cs="Times New Roman"/>
      <w:sz w:val="20"/>
      <w:szCs w:val="20"/>
      <w:lang w:val="es-ES" w:eastAsia="es-ES"/>
    </w:rPr>
  </w:style>
  <w:style w:type="paragraph" w:styleId="Sinespaciado">
    <w:name w:val="No Spacing"/>
    <w:uiPriority w:val="1"/>
    <w:qFormat/>
    <w:rsid w:val="000371D4"/>
    <w:pPr>
      <w:spacing w:after="0" w:line="240" w:lineRule="auto"/>
    </w:pPr>
    <w:rPr>
      <w:lang w:val="es-ES"/>
    </w:rPr>
  </w:style>
  <w:style w:type="paragraph" w:styleId="Prrafodelista">
    <w:name w:val="List Paragraph"/>
    <w:basedOn w:val="Normal"/>
    <w:uiPriority w:val="34"/>
    <w:qFormat/>
    <w:rsid w:val="000371D4"/>
    <w:pPr>
      <w:ind w:left="720"/>
      <w:contextualSpacing/>
    </w:pPr>
  </w:style>
  <w:style w:type="paragraph" w:styleId="NormalWeb">
    <w:name w:val="Normal (Web)"/>
    <w:basedOn w:val="Normal"/>
    <w:uiPriority w:val="99"/>
    <w:semiHidden/>
    <w:unhideWhenUsed/>
    <w:rsid w:val="000371D4"/>
    <w:rPr>
      <w:sz w:val="24"/>
      <w:szCs w:val="24"/>
    </w:rPr>
  </w:style>
  <w:style w:type="character" w:styleId="Hipervnculo">
    <w:name w:val="Hyperlink"/>
    <w:basedOn w:val="Fuentedeprrafopredeter"/>
    <w:uiPriority w:val="99"/>
    <w:unhideWhenUsed/>
    <w:rsid w:val="000371D4"/>
    <w:rPr>
      <w:color w:val="0563C1" w:themeColor="hyperlink"/>
      <w:u w:val="single"/>
    </w:rPr>
  </w:style>
  <w:style w:type="paragraph" w:customStyle="1" w:styleId="centrado">
    <w:name w:val="centrado"/>
    <w:basedOn w:val="Normal"/>
    <w:rsid w:val="000371D4"/>
    <w:pPr>
      <w:spacing w:before="100" w:beforeAutospacing="1" w:after="100" w:afterAutospacing="1" w:line="240" w:lineRule="auto"/>
    </w:pPr>
    <w:rPr>
      <w:rFonts w:eastAsia="Times New Roman"/>
      <w:sz w:val="24"/>
      <w:szCs w:val="24"/>
      <w:lang w:val="es-ES" w:eastAsia="es-ES"/>
    </w:rPr>
  </w:style>
  <w:style w:type="character" w:customStyle="1" w:styleId="baj">
    <w:name w:val="b_aj"/>
    <w:basedOn w:val="Fuentedeprrafopredeter"/>
    <w:rsid w:val="000371D4"/>
  </w:style>
  <w:style w:type="paragraph" w:styleId="Piedepgina">
    <w:name w:val="footer"/>
    <w:basedOn w:val="Normal"/>
    <w:link w:val="PiedepginaCar"/>
    <w:uiPriority w:val="99"/>
    <w:unhideWhenUsed/>
    <w:rsid w:val="000371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1D4"/>
  </w:style>
  <w:style w:type="paragraph" w:styleId="Textodeglobo">
    <w:name w:val="Balloon Text"/>
    <w:basedOn w:val="Normal"/>
    <w:link w:val="TextodegloboCar"/>
    <w:uiPriority w:val="99"/>
    <w:semiHidden/>
    <w:unhideWhenUsed/>
    <w:rsid w:val="00037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1D4"/>
    <w:rPr>
      <w:rFonts w:ascii="Tahoma" w:hAnsi="Tahoma" w:cs="Tahoma"/>
      <w:sz w:val="16"/>
      <w:szCs w:val="16"/>
    </w:rPr>
  </w:style>
  <w:style w:type="character" w:styleId="Refdecomentario">
    <w:name w:val="annotation reference"/>
    <w:basedOn w:val="Fuentedeprrafopredeter"/>
    <w:uiPriority w:val="99"/>
    <w:semiHidden/>
    <w:unhideWhenUsed/>
    <w:rsid w:val="000371D4"/>
    <w:rPr>
      <w:sz w:val="16"/>
      <w:szCs w:val="16"/>
    </w:rPr>
  </w:style>
  <w:style w:type="paragraph" w:styleId="Textocomentario">
    <w:name w:val="annotation text"/>
    <w:basedOn w:val="Normal"/>
    <w:link w:val="TextocomentarioCar"/>
    <w:uiPriority w:val="99"/>
    <w:semiHidden/>
    <w:unhideWhenUsed/>
    <w:rsid w:val="000371D4"/>
    <w:pPr>
      <w:spacing w:line="240" w:lineRule="auto"/>
    </w:pPr>
  </w:style>
  <w:style w:type="character" w:customStyle="1" w:styleId="TextocomentarioCar">
    <w:name w:val="Texto comentario Car"/>
    <w:basedOn w:val="Fuentedeprrafopredeter"/>
    <w:link w:val="Textocomentario"/>
    <w:uiPriority w:val="99"/>
    <w:semiHidden/>
    <w:rsid w:val="000371D4"/>
    <w:rPr>
      <w:sz w:val="20"/>
      <w:szCs w:val="20"/>
    </w:rPr>
  </w:style>
  <w:style w:type="paragraph" w:styleId="Asuntodelcomentario">
    <w:name w:val="annotation subject"/>
    <w:basedOn w:val="Textocomentario"/>
    <w:next w:val="Textocomentario"/>
    <w:link w:val="AsuntodelcomentarioCar"/>
    <w:uiPriority w:val="99"/>
    <w:semiHidden/>
    <w:unhideWhenUsed/>
    <w:rsid w:val="000371D4"/>
    <w:rPr>
      <w:b/>
      <w:bCs/>
    </w:rPr>
  </w:style>
  <w:style w:type="character" w:customStyle="1" w:styleId="AsuntodelcomentarioCar">
    <w:name w:val="Asunto del comentario Car"/>
    <w:basedOn w:val="TextocomentarioCar"/>
    <w:link w:val="Asuntodelcomentario"/>
    <w:uiPriority w:val="99"/>
    <w:semiHidden/>
    <w:rsid w:val="000371D4"/>
    <w:rPr>
      <w:b/>
      <w:bCs/>
      <w:sz w:val="20"/>
      <w:szCs w:val="20"/>
    </w:rPr>
  </w:style>
  <w:style w:type="paragraph" w:customStyle="1" w:styleId="CitasCorte">
    <w:name w:val="Citas Corte"/>
    <w:basedOn w:val="Textonotapie"/>
    <w:link w:val="CitasCorteCar"/>
    <w:autoRedefine/>
    <w:qFormat/>
    <w:rsid w:val="000371D4"/>
    <w:pPr>
      <w:jc w:val="both"/>
    </w:pPr>
    <w:rPr>
      <w:rFonts w:eastAsia="Times New Roman"/>
      <w:lang w:val="es-CO" w:eastAsia="en-US"/>
    </w:rPr>
  </w:style>
  <w:style w:type="character" w:customStyle="1" w:styleId="CitasCorteCar">
    <w:name w:val="Citas Corte Car"/>
    <w:link w:val="CitasCorte"/>
    <w:locked/>
    <w:rsid w:val="000371D4"/>
    <w:rPr>
      <w:rFonts w:ascii="Times New Roman" w:eastAsia="Times New Roman" w:hAnsi="Times New Roman" w:cs="Times New Roman"/>
      <w:sz w:val="20"/>
      <w:szCs w:val="20"/>
    </w:rPr>
  </w:style>
  <w:style w:type="table" w:styleId="Tablaconcuadrcula">
    <w:name w:val="Table Grid"/>
    <w:basedOn w:val="Tablanormal"/>
    <w:uiPriority w:val="39"/>
    <w:rsid w:val="000371D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371D4"/>
    <w:pPr>
      <w:spacing w:after="0" w:line="240" w:lineRule="auto"/>
    </w:pPr>
  </w:style>
  <w:style w:type="character" w:customStyle="1" w:styleId="apple-converted-space">
    <w:name w:val="apple-converted-space"/>
    <w:rsid w:val="00415F1F"/>
  </w:style>
  <w:style w:type="paragraph" w:customStyle="1" w:styleId="Car">
    <w:name w:val="Car"/>
    <w:basedOn w:val="Normal"/>
    <w:rsid w:val="001C2CAB"/>
    <w:pPr>
      <w:spacing w:line="240" w:lineRule="exact"/>
    </w:pPr>
    <w:rPr>
      <w:rFonts w:eastAsia="Times New Roman"/>
      <w:noProof/>
      <w:color w:val="000000"/>
      <w:lang w:eastAsia="es-CO"/>
    </w:rPr>
  </w:style>
  <w:style w:type="character" w:customStyle="1" w:styleId="Caracteresdenotaalpie">
    <w:name w:val="Caracteres de nota al pie"/>
    <w:rsid w:val="00F13B06"/>
    <w:rPr>
      <w:position w:val="4"/>
      <w:sz w:val="16"/>
    </w:rPr>
  </w:style>
  <w:style w:type="paragraph" w:customStyle="1" w:styleId="BodyText21">
    <w:name w:val="Body Text 21"/>
    <w:basedOn w:val="Normal"/>
    <w:uiPriority w:val="99"/>
    <w:rsid w:val="00401D26"/>
    <w:pPr>
      <w:widowControl w:val="0"/>
      <w:autoSpaceDE w:val="0"/>
      <w:autoSpaceDN w:val="0"/>
      <w:spacing w:after="0" w:line="360" w:lineRule="auto"/>
      <w:jc w:val="both"/>
    </w:pPr>
    <w:rPr>
      <w:rFonts w:eastAsia="Times New Roman"/>
      <w:sz w:val="28"/>
      <w:szCs w:val="28"/>
      <w:lang w:val="es-ES" w:eastAsia="es-ES"/>
    </w:rPr>
  </w:style>
  <w:style w:type="paragraph" w:customStyle="1" w:styleId="Sangradetindependiente">
    <w:name w:val="Sangría de t. independiente"/>
    <w:basedOn w:val="Normal"/>
    <w:uiPriority w:val="99"/>
    <w:rsid w:val="0030456F"/>
    <w:pPr>
      <w:autoSpaceDE w:val="0"/>
      <w:autoSpaceDN w:val="0"/>
      <w:spacing w:after="0" w:line="240" w:lineRule="auto"/>
      <w:ind w:right="51"/>
      <w:jc w:val="both"/>
    </w:pPr>
    <w:rPr>
      <w:rFonts w:eastAsia="Times New Roman"/>
      <w:sz w:val="28"/>
      <w:szCs w:val="28"/>
      <w:lang w:val="es-ES" w:eastAsia="es-ES"/>
    </w:rPr>
  </w:style>
  <w:style w:type="paragraph" w:customStyle="1" w:styleId="margenizq1punto0margender1punto0">
    <w:name w:val="margen_izq_1punto0_margen_der_1punto0"/>
    <w:basedOn w:val="Normal"/>
    <w:rsid w:val="008543A7"/>
    <w:pPr>
      <w:spacing w:before="100" w:beforeAutospacing="1" w:after="100" w:afterAutospacing="1" w:line="240" w:lineRule="auto"/>
    </w:pPr>
    <w:rPr>
      <w:rFonts w:eastAsia="Times New Roman"/>
      <w:sz w:val="24"/>
      <w:szCs w:val="24"/>
      <w:lang w:eastAsia="es-CO"/>
    </w:rPr>
  </w:style>
  <w:style w:type="character" w:customStyle="1" w:styleId="letra14pt">
    <w:name w:val="letra14pt"/>
    <w:basedOn w:val="Fuentedeprrafopredeter"/>
    <w:rsid w:val="008543A7"/>
  </w:style>
  <w:style w:type="character" w:customStyle="1" w:styleId="iaj">
    <w:name w:val="i_aj"/>
    <w:basedOn w:val="Fuentedeprrafopredeter"/>
    <w:rsid w:val="008543A7"/>
  </w:style>
  <w:style w:type="paragraph" w:customStyle="1" w:styleId="margenizq1punto0margender1punto0indentfl1punto5">
    <w:name w:val="margen_izq_1punto0_margen_der_1punto0_indent_fl_1punto5"/>
    <w:basedOn w:val="Normal"/>
    <w:rsid w:val="008543A7"/>
    <w:pPr>
      <w:spacing w:before="100" w:beforeAutospacing="1" w:after="100" w:afterAutospacing="1" w:line="240" w:lineRule="auto"/>
    </w:pPr>
    <w:rPr>
      <w:rFonts w:eastAsia="Times New Roman"/>
      <w:sz w:val="24"/>
      <w:szCs w:val="24"/>
      <w:lang w:eastAsia="es-CO"/>
    </w:rPr>
  </w:style>
  <w:style w:type="character" w:styleId="nfasis">
    <w:name w:val="Emphasis"/>
    <w:basedOn w:val="Fuentedeprrafopredeter"/>
    <w:uiPriority w:val="20"/>
    <w:qFormat/>
    <w:rsid w:val="00AB20A3"/>
    <w:rPr>
      <w:i/>
      <w:iCs/>
    </w:rPr>
  </w:style>
  <w:style w:type="character" w:styleId="Textoennegrita">
    <w:name w:val="Strong"/>
    <w:basedOn w:val="Fuentedeprrafopredeter"/>
    <w:uiPriority w:val="22"/>
    <w:qFormat/>
    <w:rsid w:val="00175551"/>
    <w:rPr>
      <w:b/>
      <w:bCs/>
    </w:rPr>
  </w:style>
  <w:style w:type="paragraph" w:styleId="Lista">
    <w:name w:val="List"/>
    <w:basedOn w:val="Normal"/>
    <w:uiPriority w:val="99"/>
    <w:semiHidden/>
    <w:unhideWhenUsed/>
    <w:rsid w:val="000F3FEB"/>
    <w:pPr>
      <w:ind w:left="283" w:hanging="283"/>
      <w:contextualSpacing/>
    </w:pPr>
  </w:style>
  <w:style w:type="character" w:customStyle="1" w:styleId="Mencinsinresolver1">
    <w:name w:val="Mención sin resolver1"/>
    <w:basedOn w:val="Fuentedeprrafopredeter"/>
    <w:uiPriority w:val="99"/>
    <w:semiHidden/>
    <w:unhideWhenUsed/>
    <w:rsid w:val="0054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89">
      <w:bodyDiv w:val="1"/>
      <w:marLeft w:val="0"/>
      <w:marRight w:val="0"/>
      <w:marTop w:val="0"/>
      <w:marBottom w:val="0"/>
      <w:divBdr>
        <w:top w:val="none" w:sz="0" w:space="0" w:color="auto"/>
        <w:left w:val="none" w:sz="0" w:space="0" w:color="auto"/>
        <w:bottom w:val="none" w:sz="0" w:space="0" w:color="auto"/>
        <w:right w:val="none" w:sz="0" w:space="0" w:color="auto"/>
      </w:divBdr>
    </w:div>
    <w:div w:id="124936601">
      <w:bodyDiv w:val="1"/>
      <w:marLeft w:val="0"/>
      <w:marRight w:val="0"/>
      <w:marTop w:val="0"/>
      <w:marBottom w:val="0"/>
      <w:divBdr>
        <w:top w:val="none" w:sz="0" w:space="0" w:color="auto"/>
        <w:left w:val="none" w:sz="0" w:space="0" w:color="auto"/>
        <w:bottom w:val="none" w:sz="0" w:space="0" w:color="auto"/>
        <w:right w:val="none" w:sz="0" w:space="0" w:color="auto"/>
      </w:divBdr>
    </w:div>
    <w:div w:id="170948095">
      <w:bodyDiv w:val="1"/>
      <w:marLeft w:val="0"/>
      <w:marRight w:val="0"/>
      <w:marTop w:val="0"/>
      <w:marBottom w:val="0"/>
      <w:divBdr>
        <w:top w:val="none" w:sz="0" w:space="0" w:color="auto"/>
        <w:left w:val="none" w:sz="0" w:space="0" w:color="auto"/>
        <w:bottom w:val="none" w:sz="0" w:space="0" w:color="auto"/>
        <w:right w:val="none" w:sz="0" w:space="0" w:color="auto"/>
      </w:divBdr>
    </w:div>
    <w:div w:id="197746639">
      <w:bodyDiv w:val="1"/>
      <w:marLeft w:val="0"/>
      <w:marRight w:val="0"/>
      <w:marTop w:val="0"/>
      <w:marBottom w:val="0"/>
      <w:divBdr>
        <w:top w:val="none" w:sz="0" w:space="0" w:color="auto"/>
        <w:left w:val="none" w:sz="0" w:space="0" w:color="auto"/>
        <w:bottom w:val="none" w:sz="0" w:space="0" w:color="auto"/>
        <w:right w:val="none" w:sz="0" w:space="0" w:color="auto"/>
      </w:divBdr>
    </w:div>
    <w:div w:id="242371763">
      <w:bodyDiv w:val="1"/>
      <w:marLeft w:val="0"/>
      <w:marRight w:val="0"/>
      <w:marTop w:val="0"/>
      <w:marBottom w:val="0"/>
      <w:divBdr>
        <w:top w:val="none" w:sz="0" w:space="0" w:color="auto"/>
        <w:left w:val="none" w:sz="0" w:space="0" w:color="auto"/>
        <w:bottom w:val="none" w:sz="0" w:space="0" w:color="auto"/>
        <w:right w:val="none" w:sz="0" w:space="0" w:color="auto"/>
      </w:divBdr>
    </w:div>
    <w:div w:id="253369241">
      <w:bodyDiv w:val="1"/>
      <w:marLeft w:val="0"/>
      <w:marRight w:val="0"/>
      <w:marTop w:val="0"/>
      <w:marBottom w:val="0"/>
      <w:divBdr>
        <w:top w:val="none" w:sz="0" w:space="0" w:color="auto"/>
        <w:left w:val="none" w:sz="0" w:space="0" w:color="auto"/>
        <w:bottom w:val="none" w:sz="0" w:space="0" w:color="auto"/>
        <w:right w:val="none" w:sz="0" w:space="0" w:color="auto"/>
      </w:divBdr>
    </w:div>
    <w:div w:id="280496082">
      <w:bodyDiv w:val="1"/>
      <w:marLeft w:val="0"/>
      <w:marRight w:val="0"/>
      <w:marTop w:val="0"/>
      <w:marBottom w:val="0"/>
      <w:divBdr>
        <w:top w:val="none" w:sz="0" w:space="0" w:color="auto"/>
        <w:left w:val="none" w:sz="0" w:space="0" w:color="auto"/>
        <w:bottom w:val="none" w:sz="0" w:space="0" w:color="auto"/>
        <w:right w:val="none" w:sz="0" w:space="0" w:color="auto"/>
      </w:divBdr>
    </w:div>
    <w:div w:id="312956311">
      <w:bodyDiv w:val="1"/>
      <w:marLeft w:val="0"/>
      <w:marRight w:val="0"/>
      <w:marTop w:val="0"/>
      <w:marBottom w:val="0"/>
      <w:divBdr>
        <w:top w:val="none" w:sz="0" w:space="0" w:color="auto"/>
        <w:left w:val="none" w:sz="0" w:space="0" w:color="auto"/>
        <w:bottom w:val="none" w:sz="0" w:space="0" w:color="auto"/>
        <w:right w:val="none" w:sz="0" w:space="0" w:color="auto"/>
      </w:divBdr>
    </w:div>
    <w:div w:id="363291503">
      <w:bodyDiv w:val="1"/>
      <w:marLeft w:val="0"/>
      <w:marRight w:val="0"/>
      <w:marTop w:val="0"/>
      <w:marBottom w:val="0"/>
      <w:divBdr>
        <w:top w:val="none" w:sz="0" w:space="0" w:color="auto"/>
        <w:left w:val="none" w:sz="0" w:space="0" w:color="auto"/>
        <w:bottom w:val="none" w:sz="0" w:space="0" w:color="auto"/>
        <w:right w:val="none" w:sz="0" w:space="0" w:color="auto"/>
      </w:divBdr>
    </w:div>
    <w:div w:id="364864659">
      <w:bodyDiv w:val="1"/>
      <w:marLeft w:val="0"/>
      <w:marRight w:val="0"/>
      <w:marTop w:val="0"/>
      <w:marBottom w:val="0"/>
      <w:divBdr>
        <w:top w:val="none" w:sz="0" w:space="0" w:color="auto"/>
        <w:left w:val="none" w:sz="0" w:space="0" w:color="auto"/>
        <w:bottom w:val="none" w:sz="0" w:space="0" w:color="auto"/>
        <w:right w:val="none" w:sz="0" w:space="0" w:color="auto"/>
      </w:divBdr>
    </w:div>
    <w:div w:id="382297020">
      <w:bodyDiv w:val="1"/>
      <w:marLeft w:val="0"/>
      <w:marRight w:val="0"/>
      <w:marTop w:val="0"/>
      <w:marBottom w:val="0"/>
      <w:divBdr>
        <w:top w:val="none" w:sz="0" w:space="0" w:color="auto"/>
        <w:left w:val="none" w:sz="0" w:space="0" w:color="auto"/>
        <w:bottom w:val="none" w:sz="0" w:space="0" w:color="auto"/>
        <w:right w:val="none" w:sz="0" w:space="0" w:color="auto"/>
      </w:divBdr>
    </w:div>
    <w:div w:id="386073692">
      <w:bodyDiv w:val="1"/>
      <w:marLeft w:val="0"/>
      <w:marRight w:val="0"/>
      <w:marTop w:val="0"/>
      <w:marBottom w:val="0"/>
      <w:divBdr>
        <w:top w:val="none" w:sz="0" w:space="0" w:color="auto"/>
        <w:left w:val="none" w:sz="0" w:space="0" w:color="auto"/>
        <w:bottom w:val="none" w:sz="0" w:space="0" w:color="auto"/>
        <w:right w:val="none" w:sz="0" w:space="0" w:color="auto"/>
      </w:divBdr>
    </w:div>
    <w:div w:id="414865573">
      <w:bodyDiv w:val="1"/>
      <w:marLeft w:val="0"/>
      <w:marRight w:val="0"/>
      <w:marTop w:val="0"/>
      <w:marBottom w:val="0"/>
      <w:divBdr>
        <w:top w:val="none" w:sz="0" w:space="0" w:color="auto"/>
        <w:left w:val="none" w:sz="0" w:space="0" w:color="auto"/>
        <w:bottom w:val="none" w:sz="0" w:space="0" w:color="auto"/>
        <w:right w:val="none" w:sz="0" w:space="0" w:color="auto"/>
      </w:divBdr>
      <w:divsChild>
        <w:div w:id="1605648070">
          <w:marLeft w:val="0"/>
          <w:marRight w:val="0"/>
          <w:marTop w:val="0"/>
          <w:marBottom w:val="0"/>
          <w:divBdr>
            <w:top w:val="none" w:sz="0" w:space="0" w:color="auto"/>
            <w:left w:val="none" w:sz="0" w:space="0" w:color="auto"/>
            <w:bottom w:val="none" w:sz="0" w:space="0" w:color="auto"/>
            <w:right w:val="none" w:sz="0" w:space="0" w:color="auto"/>
          </w:divBdr>
        </w:div>
        <w:div w:id="1516534960">
          <w:marLeft w:val="0"/>
          <w:marRight w:val="0"/>
          <w:marTop w:val="0"/>
          <w:marBottom w:val="0"/>
          <w:divBdr>
            <w:top w:val="none" w:sz="0" w:space="0" w:color="auto"/>
            <w:left w:val="none" w:sz="0" w:space="0" w:color="auto"/>
            <w:bottom w:val="none" w:sz="0" w:space="0" w:color="auto"/>
            <w:right w:val="none" w:sz="0" w:space="0" w:color="auto"/>
          </w:divBdr>
        </w:div>
      </w:divsChild>
    </w:div>
    <w:div w:id="419913598">
      <w:bodyDiv w:val="1"/>
      <w:marLeft w:val="0"/>
      <w:marRight w:val="0"/>
      <w:marTop w:val="0"/>
      <w:marBottom w:val="0"/>
      <w:divBdr>
        <w:top w:val="none" w:sz="0" w:space="0" w:color="auto"/>
        <w:left w:val="none" w:sz="0" w:space="0" w:color="auto"/>
        <w:bottom w:val="none" w:sz="0" w:space="0" w:color="auto"/>
        <w:right w:val="none" w:sz="0" w:space="0" w:color="auto"/>
      </w:divBdr>
    </w:div>
    <w:div w:id="429665932">
      <w:bodyDiv w:val="1"/>
      <w:marLeft w:val="0"/>
      <w:marRight w:val="0"/>
      <w:marTop w:val="0"/>
      <w:marBottom w:val="0"/>
      <w:divBdr>
        <w:top w:val="none" w:sz="0" w:space="0" w:color="auto"/>
        <w:left w:val="none" w:sz="0" w:space="0" w:color="auto"/>
        <w:bottom w:val="none" w:sz="0" w:space="0" w:color="auto"/>
        <w:right w:val="none" w:sz="0" w:space="0" w:color="auto"/>
      </w:divBdr>
    </w:div>
    <w:div w:id="435058834">
      <w:bodyDiv w:val="1"/>
      <w:marLeft w:val="0"/>
      <w:marRight w:val="0"/>
      <w:marTop w:val="0"/>
      <w:marBottom w:val="0"/>
      <w:divBdr>
        <w:top w:val="none" w:sz="0" w:space="0" w:color="auto"/>
        <w:left w:val="none" w:sz="0" w:space="0" w:color="auto"/>
        <w:bottom w:val="none" w:sz="0" w:space="0" w:color="auto"/>
        <w:right w:val="none" w:sz="0" w:space="0" w:color="auto"/>
      </w:divBdr>
    </w:div>
    <w:div w:id="456340180">
      <w:bodyDiv w:val="1"/>
      <w:marLeft w:val="0"/>
      <w:marRight w:val="0"/>
      <w:marTop w:val="0"/>
      <w:marBottom w:val="0"/>
      <w:divBdr>
        <w:top w:val="none" w:sz="0" w:space="0" w:color="auto"/>
        <w:left w:val="none" w:sz="0" w:space="0" w:color="auto"/>
        <w:bottom w:val="none" w:sz="0" w:space="0" w:color="auto"/>
        <w:right w:val="none" w:sz="0" w:space="0" w:color="auto"/>
      </w:divBdr>
    </w:div>
    <w:div w:id="457530637">
      <w:bodyDiv w:val="1"/>
      <w:marLeft w:val="0"/>
      <w:marRight w:val="0"/>
      <w:marTop w:val="0"/>
      <w:marBottom w:val="0"/>
      <w:divBdr>
        <w:top w:val="none" w:sz="0" w:space="0" w:color="auto"/>
        <w:left w:val="none" w:sz="0" w:space="0" w:color="auto"/>
        <w:bottom w:val="none" w:sz="0" w:space="0" w:color="auto"/>
        <w:right w:val="none" w:sz="0" w:space="0" w:color="auto"/>
      </w:divBdr>
    </w:div>
    <w:div w:id="460617625">
      <w:bodyDiv w:val="1"/>
      <w:marLeft w:val="0"/>
      <w:marRight w:val="0"/>
      <w:marTop w:val="0"/>
      <w:marBottom w:val="0"/>
      <w:divBdr>
        <w:top w:val="none" w:sz="0" w:space="0" w:color="auto"/>
        <w:left w:val="none" w:sz="0" w:space="0" w:color="auto"/>
        <w:bottom w:val="none" w:sz="0" w:space="0" w:color="auto"/>
        <w:right w:val="none" w:sz="0" w:space="0" w:color="auto"/>
      </w:divBdr>
    </w:div>
    <w:div w:id="522406643">
      <w:bodyDiv w:val="1"/>
      <w:marLeft w:val="0"/>
      <w:marRight w:val="0"/>
      <w:marTop w:val="0"/>
      <w:marBottom w:val="0"/>
      <w:divBdr>
        <w:top w:val="none" w:sz="0" w:space="0" w:color="auto"/>
        <w:left w:val="none" w:sz="0" w:space="0" w:color="auto"/>
        <w:bottom w:val="none" w:sz="0" w:space="0" w:color="auto"/>
        <w:right w:val="none" w:sz="0" w:space="0" w:color="auto"/>
      </w:divBdr>
    </w:div>
    <w:div w:id="534081725">
      <w:bodyDiv w:val="1"/>
      <w:marLeft w:val="0"/>
      <w:marRight w:val="0"/>
      <w:marTop w:val="0"/>
      <w:marBottom w:val="0"/>
      <w:divBdr>
        <w:top w:val="none" w:sz="0" w:space="0" w:color="auto"/>
        <w:left w:val="none" w:sz="0" w:space="0" w:color="auto"/>
        <w:bottom w:val="none" w:sz="0" w:space="0" w:color="auto"/>
        <w:right w:val="none" w:sz="0" w:space="0" w:color="auto"/>
      </w:divBdr>
    </w:div>
    <w:div w:id="542787666">
      <w:bodyDiv w:val="1"/>
      <w:marLeft w:val="0"/>
      <w:marRight w:val="0"/>
      <w:marTop w:val="0"/>
      <w:marBottom w:val="0"/>
      <w:divBdr>
        <w:top w:val="none" w:sz="0" w:space="0" w:color="auto"/>
        <w:left w:val="none" w:sz="0" w:space="0" w:color="auto"/>
        <w:bottom w:val="none" w:sz="0" w:space="0" w:color="auto"/>
        <w:right w:val="none" w:sz="0" w:space="0" w:color="auto"/>
      </w:divBdr>
    </w:div>
    <w:div w:id="561528504">
      <w:bodyDiv w:val="1"/>
      <w:marLeft w:val="0"/>
      <w:marRight w:val="0"/>
      <w:marTop w:val="0"/>
      <w:marBottom w:val="0"/>
      <w:divBdr>
        <w:top w:val="none" w:sz="0" w:space="0" w:color="auto"/>
        <w:left w:val="none" w:sz="0" w:space="0" w:color="auto"/>
        <w:bottom w:val="none" w:sz="0" w:space="0" w:color="auto"/>
        <w:right w:val="none" w:sz="0" w:space="0" w:color="auto"/>
      </w:divBdr>
    </w:div>
    <w:div w:id="566108671">
      <w:bodyDiv w:val="1"/>
      <w:marLeft w:val="0"/>
      <w:marRight w:val="0"/>
      <w:marTop w:val="0"/>
      <w:marBottom w:val="0"/>
      <w:divBdr>
        <w:top w:val="none" w:sz="0" w:space="0" w:color="auto"/>
        <w:left w:val="none" w:sz="0" w:space="0" w:color="auto"/>
        <w:bottom w:val="none" w:sz="0" w:space="0" w:color="auto"/>
        <w:right w:val="none" w:sz="0" w:space="0" w:color="auto"/>
      </w:divBdr>
    </w:div>
    <w:div w:id="577176149">
      <w:bodyDiv w:val="1"/>
      <w:marLeft w:val="0"/>
      <w:marRight w:val="0"/>
      <w:marTop w:val="0"/>
      <w:marBottom w:val="0"/>
      <w:divBdr>
        <w:top w:val="none" w:sz="0" w:space="0" w:color="auto"/>
        <w:left w:val="none" w:sz="0" w:space="0" w:color="auto"/>
        <w:bottom w:val="none" w:sz="0" w:space="0" w:color="auto"/>
        <w:right w:val="none" w:sz="0" w:space="0" w:color="auto"/>
      </w:divBdr>
    </w:div>
    <w:div w:id="591470279">
      <w:bodyDiv w:val="1"/>
      <w:marLeft w:val="0"/>
      <w:marRight w:val="0"/>
      <w:marTop w:val="0"/>
      <w:marBottom w:val="0"/>
      <w:divBdr>
        <w:top w:val="none" w:sz="0" w:space="0" w:color="auto"/>
        <w:left w:val="none" w:sz="0" w:space="0" w:color="auto"/>
        <w:bottom w:val="none" w:sz="0" w:space="0" w:color="auto"/>
        <w:right w:val="none" w:sz="0" w:space="0" w:color="auto"/>
      </w:divBdr>
      <w:divsChild>
        <w:div w:id="1746998813">
          <w:marLeft w:val="0"/>
          <w:marRight w:val="0"/>
          <w:marTop w:val="0"/>
          <w:marBottom w:val="0"/>
          <w:divBdr>
            <w:top w:val="none" w:sz="0" w:space="0" w:color="auto"/>
            <w:left w:val="none" w:sz="0" w:space="0" w:color="auto"/>
            <w:bottom w:val="none" w:sz="0" w:space="0" w:color="auto"/>
            <w:right w:val="none" w:sz="0" w:space="0" w:color="auto"/>
          </w:divBdr>
        </w:div>
        <w:div w:id="1848787068">
          <w:marLeft w:val="0"/>
          <w:marRight w:val="0"/>
          <w:marTop w:val="0"/>
          <w:marBottom w:val="0"/>
          <w:divBdr>
            <w:top w:val="none" w:sz="0" w:space="0" w:color="auto"/>
            <w:left w:val="none" w:sz="0" w:space="0" w:color="auto"/>
            <w:bottom w:val="none" w:sz="0" w:space="0" w:color="auto"/>
            <w:right w:val="none" w:sz="0" w:space="0" w:color="auto"/>
          </w:divBdr>
        </w:div>
        <w:div w:id="1597591510">
          <w:marLeft w:val="0"/>
          <w:marRight w:val="0"/>
          <w:marTop w:val="0"/>
          <w:marBottom w:val="0"/>
          <w:divBdr>
            <w:top w:val="none" w:sz="0" w:space="0" w:color="auto"/>
            <w:left w:val="none" w:sz="0" w:space="0" w:color="auto"/>
            <w:bottom w:val="none" w:sz="0" w:space="0" w:color="auto"/>
            <w:right w:val="none" w:sz="0" w:space="0" w:color="auto"/>
          </w:divBdr>
        </w:div>
        <w:div w:id="28997831">
          <w:marLeft w:val="0"/>
          <w:marRight w:val="0"/>
          <w:marTop w:val="0"/>
          <w:marBottom w:val="0"/>
          <w:divBdr>
            <w:top w:val="none" w:sz="0" w:space="0" w:color="auto"/>
            <w:left w:val="none" w:sz="0" w:space="0" w:color="auto"/>
            <w:bottom w:val="none" w:sz="0" w:space="0" w:color="auto"/>
            <w:right w:val="none" w:sz="0" w:space="0" w:color="auto"/>
          </w:divBdr>
          <w:divsChild>
            <w:div w:id="1321538798">
              <w:marLeft w:val="0"/>
              <w:marRight w:val="0"/>
              <w:marTop w:val="0"/>
              <w:marBottom w:val="0"/>
              <w:divBdr>
                <w:top w:val="none" w:sz="0" w:space="0" w:color="auto"/>
                <w:left w:val="none" w:sz="0" w:space="0" w:color="auto"/>
                <w:bottom w:val="none" w:sz="0" w:space="0" w:color="auto"/>
                <w:right w:val="none" w:sz="0" w:space="0" w:color="auto"/>
              </w:divBdr>
              <w:divsChild>
                <w:div w:id="1121806615">
                  <w:marLeft w:val="0"/>
                  <w:marRight w:val="0"/>
                  <w:marTop w:val="0"/>
                  <w:marBottom w:val="0"/>
                  <w:divBdr>
                    <w:top w:val="none" w:sz="0" w:space="0" w:color="auto"/>
                    <w:left w:val="none" w:sz="0" w:space="0" w:color="auto"/>
                    <w:bottom w:val="none" w:sz="0" w:space="0" w:color="auto"/>
                    <w:right w:val="none" w:sz="0" w:space="0" w:color="auto"/>
                  </w:divBdr>
                  <w:divsChild>
                    <w:div w:id="1384719740">
                      <w:marLeft w:val="0"/>
                      <w:marRight w:val="0"/>
                      <w:marTop w:val="0"/>
                      <w:marBottom w:val="0"/>
                      <w:divBdr>
                        <w:top w:val="none" w:sz="0" w:space="0" w:color="auto"/>
                        <w:left w:val="none" w:sz="0" w:space="0" w:color="auto"/>
                        <w:bottom w:val="none" w:sz="0" w:space="0" w:color="auto"/>
                        <w:right w:val="none" w:sz="0" w:space="0" w:color="auto"/>
                      </w:divBdr>
                    </w:div>
                    <w:div w:id="131600745">
                      <w:marLeft w:val="0"/>
                      <w:marRight w:val="0"/>
                      <w:marTop w:val="0"/>
                      <w:marBottom w:val="0"/>
                      <w:divBdr>
                        <w:top w:val="none" w:sz="0" w:space="0" w:color="auto"/>
                        <w:left w:val="none" w:sz="0" w:space="0" w:color="auto"/>
                        <w:bottom w:val="none" w:sz="0" w:space="0" w:color="auto"/>
                        <w:right w:val="none" w:sz="0" w:space="0" w:color="auto"/>
                      </w:divBdr>
                    </w:div>
                    <w:div w:id="1955669526">
                      <w:marLeft w:val="0"/>
                      <w:marRight w:val="0"/>
                      <w:marTop w:val="0"/>
                      <w:marBottom w:val="0"/>
                      <w:divBdr>
                        <w:top w:val="none" w:sz="0" w:space="0" w:color="auto"/>
                        <w:left w:val="none" w:sz="0" w:space="0" w:color="auto"/>
                        <w:bottom w:val="none" w:sz="0" w:space="0" w:color="auto"/>
                        <w:right w:val="none" w:sz="0" w:space="0" w:color="auto"/>
                      </w:divBdr>
                    </w:div>
                    <w:div w:id="937785539">
                      <w:marLeft w:val="0"/>
                      <w:marRight w:val="0"/>
                      <w:marTop w:val="0"/>
                      <w:marBottom w:val="0"/>
                      <w:divBdr>
                        <w:top w:val="none" w:sz="0" w:space="0" w:color="auto"/>
                        <w:left w:val="none" w:sz="0" w:space="0" w:color="auto"/>
                        <w:bottom w:val="none" w:sz="0" w:space="0" w:color="auto"/>
                        <w:right w:val="none" w:sz="0" w:space="0" w:color="auto"/>
                      </w:divBdr>
                    </w:div>
                    <w:div w:id="2034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74296">
      <w:bodyDiv w:val="1"/>
      <w:marLeft w:val="0"/>
      <w:marRight w:val="0"/>
      <w:marTop w:val="0"/>
      <w:marBottom w:val="0"/>
      <w:divBdr>
        <w:top w:val="none" w:sz="0" w:space="0" w:color="auto"/>
        <w:left w:val="none" w:sz="0" w:space="0" w:color="auto"/>
        <w:bottom w:val="none" w:sz="0" w:space="0" w:color="auto"/>
        <w:right w:val="none" w:sz="0" w:space="0" w:color="auto"/>
      </w:divBdr>
    </w:div>
    <w:div w:id="653071247">
      <w:bodyDiv w:val="1"/>
      <w:marLeft w:val="0"/>
      <w:marRight w:val="0"/>
      <w:marTop w:val="0"/>
      <w:marBottom w:val="0"/>
      <w:divBdr>
        <w:top w:val="none" w:sz="0" w:space="0" w:color="auto"/>
        <w:left w:val="none" w:sz="0" w:space="0" w:color="auto"/>
        <w:bottom w:val="none" w:sz="0" w:space="0" w:color="auto"/>
        <w:right w:val="none" w:sz="0" w:space="0" w:color="auto"/>
      </w:divBdr>
    </w:div>
    <w:div w:id="702285246">
      <w:bodyDiv w:val="1"/>
      <w:marLeft w:val="0"/>
      <w:marRight w:val="0"/>
      <w:marTop w:val="0"/>
      <w:marBottom w:val="0"/>
      <w:divBdr>
        <w:top w:val="none" w:sz="0" w:space="0" w:color="auto"/>
        <w:left w:val="none" w:sz="0" w:space="0" w:color="auto"/>
        <w:bottom w:val="none" w:sz="0" w:space="0" w:color="auto"/>
        <w:right w:val="none" w:sz="0" w:space="0" w:color="auto"/>
      </w:divBdr>
    </w:div>
    <w:div w:id="733696774">
      <w:bodyDiv w:val="1"/>
      <w:marLeft w:val="0"/>
      <w:marRight w:val="0"/>
      <w:marTop w:val="0"/>
      <w:marBottom w:val="0"/>
      <w:divBdr>
        <w:top w:val="none" w:sz="0" w:space="0" w:color="auto"/>
        <w:left w:val="none" w:sz="0" w:space="0" w:color="auto"/>
        <w:bottom w:val="none" w:sz="0" w:space="0" w:color="auto"/>
        <w:right w:val="none" w:sz="0" w:space="0" w:color="auto"/>
      </w:divBdr>
    </w:div>
    <w:div w:id="745149314">
      <w:bodyDiv w:val="1"/>
      <w:marLeft w:val="0"/>
      <w:marRight w:val="0"/>
      <w:marTop w:val="0"/>
      <w:marBottom w:val="0"/>
      <w:divBdr>
        <w:top w:val="none" w:sz="0" w:space="0" w:color="auto"/>
        <w:left w:val="none" w:sz="0" w:space="0" w:color="auto"/>
        <w:bottom w:val="none" w:sz="0" w:space="0" w:color="auto"/>
        <w:right w:val="none" w:sz="0" w:space="0" w:color="auto"/>
      </w:divBdr>
    </w:div>
    <w:div w:id="766540313">
      <w:bodyDiv w:val="1"/>
      <w:marLeft w:val="0"/>
      <w:marRight w:val="0"/>
      <w:marTop w:val="0"/>
      <w:marBottom w:val="0"/>
      <w:divBdr>
        <w:top w:val="none" w:sz="0" w:space="0" w:color="auto"/>
        <w:left w:val="none" w:sz="0" w:space="0" w:color="auto"/>
        <w:bottom w:val="none" w:sz="0" w:space="0" w:color="auto"/>
        <w:right w:val="none" w:sz="0" w:space="0" w:color="auto"/>
      </w:divBdr>
    </w:div>
    <w:div w:id="794324648">
      <w:bodyDiv w:val="1"/>
      <w:marLeft w:val="0"/>
      <w:marRight w:val="0"/>
      <w:marTop w:val="0"/>
      <w:marBottom w:val="0"/>
      <w:divBdr>
        <w:top w:val="none" w:sz="0" w:space="0" w:color="auto"/>
        <w:left w:val="none" w:sz="0" w:space="0" w:color="auto"/>
        <w:bottom w:val="none" w:sz="0" w:space="0" w:color="auto"/>
        <w:right w:val="none" w:sz="0" w:space="0" w:color="auto"/>
      </w:divBdr>
    </w:div>
    <w:div w:id="827403556">
      <w:bodyDiv w:val="1"/>
      <w:marLeft w:val="0"/>
      <w:marRight w:val="0"/>
      <w:marTop w:val="0"/>
      <w:marBottom w:val="0"/>
      <w:divBdr>
        <w:top w:val="none" w:sz="0" w:space="0" w:color="auto"/>
        <w:left w:val="none" w:sz="0" w:space="0" w:color="auto"/>
        <w:bottom w:val="none" w:sz="0" w:space="0" w:color="auto"/>
        <w:right w:val="none" w:sz="0" w:space="0" w:color="auto"/>
      </w:divBdr>
      <w:divsChild>
        <w:div w:id="783842550">
          <w:marLeft w:val="0"/>
          <w:marRight w:val="0"/>
          <w:marTop w:val="0"/>
          <w:marBottom w:val="0"/>
          <w:divBdr>
            <w:top w:val="none" w:sz="0" w:space="0" w:color="auto"/>
            <w:left w:val="none" w:sz="0" w:space="0" w:color="auto"/>
            <w:bottom w:val="none" w:sz="0" w:space="0" w:color="auto"/>
            <w:right w:val="none" w:sz="0" w:space="0" w:color="auto"/>
          </w:divBdr>
        </w:div>
        <w:div w:id="81493406">
          <w:marLeft w:val="0"/>
          <w:marRight w:val="0"/>
          <w:marTop w:val="0"/>
          <w:marBottom w:val="0"/>
          <w:divBdr>
            <w:top w:val="none" w:sz="0" w:space="0" w:color="auto"/>
            <w:left w:val="none" w:sz="0" w:space="0" w:color="auto"/>
            <w:bottom w:val="none" w:sz="0" w:space="0" w:color="auto"/>
            <w:right w:val="none" w:sz="0" w:space="0" w:color="auto"/>
          </w:divBdr>
        </w:div>
      </w:divsChild>
    </w:div>
    <w:div w:id="872620278">
      <w:bodyDiv w:val="1"/>
      <w:marLeft w:val="0"/>
      <w:marRight w:val="0"/>
      <w:marTop w:val="0"/>
      <w:marBottom w:val="0"/>
      <w:divBdr>
        <w:top w:val="none" w:sz="0" w:space="0" w:color="auto"/>
        <w:left w:val="none" w:sz="0" w:space="0" w:color="auto"/>
        <w:bottom w:val="none" w:sz="0" w:space="0" w:color="auto"/>
        <w:right w:val="none" w:sz="0" w:space="0" w:color="auto"/>
      </w:divBdr>
    </w:div>
    <w:div w:id="874729976">
      <w:bodyDiv w:val="1"/>
      <w:marLeft w:val="0"/>
      <w:marRight w:val="0"/>
      <w:marTop w:val="0"/>
      <w:marBottom w:val="0"/>
      <w:divBdr>
        <w:top w:val="none" w:sz="0" w:space="0" w:color="auto"/>
        <w:left w:val="none" w:sz="0" w:space="0" w:color="auto"/>
        <w:bottom w:val="none" w:sz="0" w:space="0" w:color="auto"/>
        <w:right w:val="none" w:sz="0" w:space="0" w:color="auto"/>
      </w:divBdr>
    </w:div>
    <w:div w:id="912200547">
      <w:bodyDiv w:val="1"/>
      <w:marLeft w:val="0"/>
      <w:marRight w:val="0"/>
      <w:marTop w:val="0"/>
      <w:marBottom w:val="0"/>
      <w:divBdr>
        <w:top w:val="none" w:sz="0" w:space="0" w:color="auto"/>
        <w:left w:val="none" w:sz="0" w:space="0" w:color="auto"/>
        <w:bottom w:val="none" w:sz="0" w:space="0" w:color="auto"/>
        <w:right w:val="none" w:sz="0" w:space="0" w:color="auto"/>
      </w:divBdr>
    </w:div>
    <w:div w:id="961766221">
      <w:bodyDiv w:val="1"/>
      <w:marLeft w:val="0"/>
      <w:marRight w:val="0"/>
      <w:marTop w:val="0"/>
      <w:marBottom w:val="0"/>
      <w:divBdr>
        <w:top w:val="none" w:sz="0" w:space="0" w:color="auto"/>
        <w:left w:val="none" w:sz="0" w:space="0" w:color="auto"/>
        <w:bottom w:val="none" w:sz="0" w:space="0" w:color="auto"/>
        <w:right w:val="none" w:sz="0" w:space="0" w:color="auto"/>
      </w:divBdr>
    </w:div>
    <w:div w:id="1006202814">
      <w:bodyDiv w:val="1"/>
      <w:marLeft w:val="0"/>
      <w:marRight w:val="0"/>
      <w:marTop w:val="0"/>
      <w:marBottom w:val="0"/>
      <w:divBdr>
        <w:top w:val="none" w:sz="0" w:space="0" w:color="auto"/>
        <w:left w:val="none" w:sz="0" w:space="0" w:color="auto"/>
        <w:bottom w:val="none" w:sz="0" w:space="0" w:color="auto"/>
        <w:right w:val="none" w:sz="0" w:space="0" w:color="auto"/>
      </w:divBdr>
    </w:div>
    <w:div w:id="1019045266">
      <w:bodyDiv w:val="1"/>
      <w:marLeft w:val="0"/>
      <w:marRight w:val="0"/>
      <w:marTop w:val="0"/>
      <w:marBottom w:val="0"/>
      <w:divBdr>
        <w:top w:val="none" w:sz="0" w:space="0" w:color="auto"/>
        <w:left w:val="none" w:sz="0" w:space="0" w:color="auto"/>
        <w:bottom w:val="none" w:sz="0" w:space="0" w:color="auto"/>
        <w:right w:val="none" w:sz="0" w:space="0" w:color="auto"/>
      </w:divBdr>
    </w:div>
    <w:div w:id="1036931865">
      <w:bodyDiv w:val="1"/>
      <w:marLeft w:val="0"/>
      <w:marRight w:val="0"/>
      <w:marTop w:val="0"/>
      <w:marBottom w:val="0"/>
      <w:divBdr>
        <w:top w:val="none" w:sz="0" w:space="0" w:color="auto"/>
        <w:left w:val="none" w:sz="0" w:space="0" w:color="auto"/>
        <w:bottom w:val="none" w:sz="0" w:space="0" w:color="auto"/>
        <w:right w:val="none" w:sz="0" w:space="0" w:color="auto"/>
      </w:divBdr>
    </w:div>
    <w:div w:id="1084227952">
      <w:bodyDiv w:val="1"/>
      <w:marLeft w:val="0"/>
      <w:marRight w:val="0"/>
      <w:marTop w:val="0"/>
      <w:marBottom w:val="0"/>
      <w:divBdr>
        <w:top w:val="none" w:sz="0" w:space="0" w:color="auto"/>
        <w:left w:val="none" w:sz="0" w:space="0" w:color="auto"/>
        <w:bottom w:val="none" w:sz="0" w:space="0" w:color="auto"/>
        <w:right w:val="none" w:sz="0" w:space="0" w:color="auto"/>
      </w:divBdr>
    </w:div>
    <w:div w:id="1117676077">
      <w:bodyDiv w:val="1"/>
      <w:marLeft w:val="0"/>
      <w:marRight w:val="0"/>
      <w:marTop w:val="0"/>
      <w:marBottom w:val="0"/>
      <w:divBdr>
        <w:top w:val="none" w:sz="0" w:space="0" w:color="auto"/>
        <w:left w:val="none" w:sz="0" w:space="0" w:color="auto"/>
        <w:bottom w:val="none" w:sz="0" w:space="0" w:color="auto"/>
        <w:right w:val="none" w:sz="0" w:space="0" w:color="auto"/>
      </w:divBdr>
    </w:div>
    <w:div w:id="1151749154">
      <w:bodyDiv w:val="1"/>
      <w:marLeft w:val="0"/>
      <w:marRight w:val="0"/>
      <w:marTop w:val="0"/>
      <w:marBottom w:val="0"/>
      <w:divBdr>
        <w:top w:val="none" w:sz="0" w:space="0" w:color="auto"/>
        <w:left w:val="none" w:sz="0" w:space="0" w:color="auto"/>
        <w:bottom w:val="none" w:sz="0" w:space="0" w:color="auto"/>
        <w:right w:val="none" w:sz="0" w:space="0" w:color="auto"/>
      </w:divBdr>
    </w:div>
    <w:div w:id="1238591636">
      <w:bodyDiv w:val="1"/>
      <w:marLeft w:val="0"/>
      <w:marRight w:val="0"/>
      <w:marTop w:val="0"/>
      <w:marBottom w:val="0"/>
      <w:divBdr>
        <w:top w:val="none" w:sz="0" w:space="0" w:color="auto"/>
        <w:left w:val="none" w:sz="0" w:space="0" w:color="auto"/>
        <w:bottom w:val="none" w:sz="0" w:space="0" w:color="auto"/>
        <w:right w:val="none" w:sz="0" w:space="0" w:color="auto"/>
      </w:divBdr>
    </w:div>
    <w:div w:id="1253969180">
      <w:bodyDiv w:val="1"/>
      <w:marLeft w:val="0"/>
      <w:marRight w:val="0"/>
      <w:marTop w:val="0"/>
      <w:marBottom w:val="0"/>
      <w:divBdr>
        <w:top w:val="none" w:sz="0" w:space="0" w:color="auto"/>
        <w:left w:val="none" w:sz="0" w:space="0" w:color="auto"/>
        <w:bottom w:val="none" w:sz="0" w:space="0" w:color="auto"/>
        <w:right w:val="none" w:sz="0" w:space="0" w:color="auto"/>
      </w:divBdr>
    </w:div>
    <w:div w:id="1287392610">
      <w:bodyDiv w:val="1"/>
      <w:marLeft w:val="0"/>
      <w:marRight w:val="0"/>
      <w:marTop w:val="0"/>
      <w:marBottom w:val="0"/>
      <w:divBdr>
        <w:top w:val="none" w:sz="0" w:space="0" w:color="auto"/>
        <w:left w:val="none" w:sz="0" w:space="0" w:color="auto"/>
        <w:bottom w:val="none" w:sz="0" w:space="0" w:color="auto"/>
        <w:right w:val="none" w:sz="0" w:space="0" w:color="auto"/>
      </w:divBdr>
    </w:div>
    <w:div w:id="1392772258">
      <w:bodyDiv w:val="1"/>
      <w:marLeft w:val="0"/>
      <w:marRight w:val="0"/>
      <w:marTop w:val="0"/>
      <w:marBottom w:val="0"/>
      <w:divBdr>
        <w:top w:val="none" w:sz="0" w:space="0" w:color="auto"/>
        <w:left w:val="none" w:sz="0" w:space="0" w:color="auto"/>
        <w:bottom w:val="none" w:sz="0" w:space="0" w:color="auto"/>
        <w:right w:val="none" w:sz="0" w:space="0" w:color="auto"/>
      </w:divBdr>
    </w:div>
    <w:div w:id="1396322839">
      <w:bodyDiv w:val="1"/>
      <w:marLeft w:val="0"/>
      <w:marRight w:val="0"/>
      <w:marTop w:val="0"/>
      <w:marBottom w:val="0"/>
      <w:divBdr>
        <w:top w:val="none" w:sz="0" w:space="0" w:color="auto"/>
        <w:left w:val="none" w:sz="0" w:space="0" w:color="auto"/>
        <w:bottom w:val="none" w:sz="0" w:space="0" w:color="auto"/>
        <w:right w:val="none" w:sz="0" w:space="0" w:color="auto"/>
      </w:divBdr>
    </w:div>
    <w:div w:id="1592737164">
      <w:bodyDiv w:val="1"/>
      <w:marLeft w:val="0"/>
      <w:marRight w:val="0"/>
      <w:marTop w:val="0"/>
      <w:marBottom w:val="0"/>
      <w:divBdr>
        <w:top w:val="none" w:sz="0" w:space="0" w:color="auto"/>
        <w:left w:val="none" w:sz="0" w:space="0" w:color="auto"/>
        <w:bottom w:val="none" w:sz="0" w:space="0" w:color="auto"/>
        <w:right w:val="none" w:sz="0" w:space="0" w:color="auto"/>
      </w:divBdr>
    </w:div>
    <w:div w:id="1600408895">
      <w:bodyDiv w:val="1"/>
      <w:marLeft w:val="0"/>
      <w:marRight w:val="0"/>
      <w:marTop w:val="0"/>
      <w:marBottom w:val="0"/>
      <w:divBdr>
        <w:top w:val="none" w:sz="0" w:space="0" w:color="auto"/>
        <w:left w:val="none" w:sz="0" w:space="0" w:color="auto"/>
        <w:bottom w:val="none" w:sz="0" w:space="0" w:color="auto"/>
        <w:right w:val="none" w:sz="0" w:space="0" w:color="auto"/>
      </w:divBdr>
    </w:div>
    <w:div w:id="1614046633">
      <w:bodyDiv w:val="1"/>
      <w:marLeft w:val="0"/>
      <w:marRight w:val="0"/>
      <w:marTop w:val="0"/>
      <w:marBottom w:val="0"/>
      <w:divBdr>
        <w:top w:val="none" w:sz="0" w:space="0" w:color="auto"/>
        <w:left w:val="none" w:sz="0" w:space="0" w:color="auto"/>
        <w:bottom w:val="none" w:sz="0" w:space="0" w:color="auto"/>
        <w:right w:val="none" w:sz="0" w:space="0" w:color="auto"/>
      </w:divBdr>
    </w:div>
    <w:div w:id="1649817315">
      <w:bodyDiv w:val="1"/>
      <w:marLeft w:val="0"/>
      <w:marRight w:val="0"/>
      <w:marTop w:val="0"/>
      <w:marBottom w:val="0"/>
      <w:divBdr>
        <w:top w:val="none" w:sz="0" w:space="0" w:color="auto"/>
        <w:left w:val="none" w:sz="0" w:space="0" w:color="auto"/>
        <w:bottom w:val="none" w:sz="0" w:space="0" w:color="auto"/>
        <w:right w:val="none" w:sz="0" w:space="0" w:color="auto"/>
      </w:divBdr>
    </w:div>
    <w:div w:id="1652097221">
      <w:bodyDiv w:val="1"/>
      <w:marLeft w:val="0"/>
      <w:marRight w:val="0"/>
      <w:marTop w:val="0"/>
      <w:marBottom w:val="0"/>
      <w:divBdr>
        <w:top w:val="none" w:sz="0" w:space="0" w:color="auto"/>
        <w:left w:val="none" w:sz="0" w:space="0" w:color="auto"/>
        <w:bottom w:val="none" w:sz="0" w:space="0" w:color="auto"/>
        <w:right w:val="none" w:sz="0" w:space="0" w:color="auto"/>
      </w:divBdr>
    </w:div>
    <w:div w:id="1680309308">
      <w:bodyDiv w:val="1"/>
      <w:marLeft w:val="0"/>
      <w:marRight w:val="0"/>
      <w:marTop w:val="0"/>
      <w:marBottom w:val="0"/>
      <w:divBdr>
        <w:top w:val="none" w:sz="0" w:space="0" w:color="auto"/>
        <w:left w:val="none" w:sz="0" w:space="0" w:color="auto"/>
        <w:bottom w:val="none" w:sz="0" w:space="0" w:color="auto"/>
        <w:right w:val="none" w:sz="0" w:space="0" w:color="auto"/>
      </w:divBdr>
    </w:div>
    <w:div w:id="1700399836">
      <w:bodyDiv w:val="1"/>
      <w:marLeft w:val="0"/>
      <w:marRight w:val="0"/>
      <w:marTop w:val="0"/>
      <w:marBottom w:val="0"/>
      <w:divBdr>
        <w:top w:val="none" w:sz="0" w:space="0" w:color="auto"/>
        <w:left w:val="none" w:sz="0" w:space="0" w:color="auto"/>
        <w:bottom w:val="none" w:sz="0" w:space="0" w:color="auto"/>
        <w:right w:val="none" w:sz="0" w:space="0" w:color="auto"/>
      </w:divBdr>
    </w:div>
    <w:div w:id="1839883954">
      <w:bodyDiv w:val="1"/>
      <w:marLeft w:val="0"/>
      <w:marRight w:val="0"/>
      <w:marTop w:val="0"/>
      <w:marBottom w:val="0"/>
      <w:divBdr>
        <w:top w:val="none" w:sz="0" w:space="0" w:color="auto"/>
        <w:left w:val="none" w:sz="0" w:space="0" w:color="auto"/>
        <w:bottom w:val="none" w:sz="0" w:space="0" w:color="auto"/>
        <w:right w:val="none" w:sz="0" w:space="0" w:color="auto"/>
      </w:divBdr>
    </w:div>
    <w:div w:id="1858348963">
      <w:bodyDiv w:val="1"/>
      <w:marLeft w:val="0"/>
      <w:marRight w:val="0"/>
      <w:marTop w:val="0"/>
      <w:marBottom w:val="0"/>
      <w:divBdr>
        <w:top w:val="none" w:sz="0" w:space="0" w:color="auto"/>
        <w:left w:val="none" w:sz="0" w:space="0" w:color="auto"/>
        <w:bottom w:val="none" w:sz="0" w:space="0" w:color="auto"/>
        <w:right w:val="none" w:sz="0" w:space="0" w:color="auto"/>
      </w:divBdr>
    </w:div>
    <w:div w:id="1876892777">
      <w:bodyDiv w:val="1"/>
      <w:marLeft w:val="0"/>
      <w:marRight w:val="0"/>
      <w:marTop w:val="0"/>
      <w:marBottom w:val="0"/>
      <w:divBdr>
        <w:top w:val="none" w:sz="0" w:space="0" w:color="auto"/>
        <w:left w:val="none" w:sz="0" w:space="0" w:color="auto"/>
        <w:bottom w:val="none" w:sz="0" w:space="0" w:color="auto"/>
        <w:right w:val="none" w:sz="0" w:space="0" w:color="auto"/>
      </w:divBdr>
    </w:div>
    <w:div w:id="1940328950">
      <w:bodyDiv w:val="1"/>
      <w:marLeft w:val="0"/>
      <w:marRight w:val="0"/>
      <w:marTop w:val="0"/>
      <w:marBottom w:val="0"/>
      <w:divBdr>
        <w:top w:val="none" w:sz="0" w:space="0" w:color="auto"/>
        <w:left w:val="none" w:sz="0" w:space="0" w:color="auto"/>
        <w:bottom w:val="none" w:sz="0" w:space="0" w:color="auto"/>
        <w:right w:val="none" w:sz="0" w:space="0" w:color="auto"/>
      </w:divBdr>
    </w:div>
    <w:div w:id="1997757453">
      <w:bodyDiv w:val="1"/>
      <w:marLeft w:val="0"/>
      <w:marRight w:val="0"/>
      <w:marTop w:val="0"/>
      <w:marBottom w:val="0"/>
      <w:divBdr>
        <w:top w:val="none" w:sz="0" w:space="0" w:color="auto"/>
        <w:left w:val="none" w:sz="0" w:space="0" w:color="auto"/>
        <w:bottom w:val="none" w:sz="0" w:space="0" w:color="auto"/>
        <w:right w:val="none" w:sz="0" w:space="0" w:color="auto"/>
      </w:divBdr>
    </w:div>
    <w:div w:id="2009601739">
      <w:bodyDiv w:val="1"/>
      <w:marLeft w:val="0"/>
      <w:marRight w:val="0"/>
      <w:marTop w:val="0"/>
      <w:marBottom w:val="0"/>
      <w:divBdr>
        <w:top w:val="none" w:sz="0" w:space="0" w:color="auto"/>
        <w:left w:val="none" w:sz="0" w:space="0" w:color="auto"/>
        <w:bottom w:val="none" w:sz="0" w:space="0" w:color="auto"/>
        <w:right w:val="none" w:sz="0" w:space="0" w:color="auto"/>
      </w:divBdr>
      <w:divsChild>
        <w:div w:id="688719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98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529945">
      <w:bodyDiv w:val="1"/>
      <w:marLeft w:val="0"/>
      <w:marRight w:val="0"/>
      <w:marTop w:val="0"/>
      <w:marBottom w:val="0"/>
      <w:divBdr>
        <w:top w:val="none" w:sz="0" w:space="0" w:color="auto"/>
        <w:left w:val="none" w:sz="0" w:space="0" w:color="auto"/>
        <w:bottom w:val="none" w:sz="0" w:space="0" w:color="auto"/>
        <w:right w:val="none" w:sz="0" w:space="0" w:color="auto"/>
      </w:divBdr>
    </w:div>
    <w:div w:id="2110154317">
      <w:bodyDiv w:val="1"/>
      <w:marLeft w:val="0"/>
      <w:marRight w:val="0"/>
      <w:marTop w:val="0"/>
      <w:marBottom w:val="0"/>
      <w:divBdr>
        <w:top w:val="none" w:sz="0" w:space="0" w:color="auto"/>
        <w:left w:val="none" w:sz="0" w:space="0" w:color="auto"/>
        <w:bottom w:val="none" w:sz="0" w:space="0" w:color="auto"/>
        <w:right w:val="none" w:sz="0" w:space="0" w:color="auto"/>
      </w:divBdr>
    </w:div>
    <w:div w:id="21178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secretaria/archivo.php?id=12770" TargetMode="External"/><Relationship Id="rId2" Type="http://schemas.openxmlformats.org/officeDocument/2006/relationships/hyperlink" Target="https://www.corteconstitucional.gov.co/secretaria/archivo.php?id=13319" TargetMode="External"/><Relationship Id="rId1" Type="http://schemas.openxmlformats.org/officeDocument/2006/relationships/hyperlink" Target="https://www.corteconstitucional.gov.co/secretaria/archivo.php?id=12992" TargetMode="External"/><Relationship Id="rId4" Type="http://schemas.openxmlformats.org/officeDocument/2006/relationships/hyperlink" Target="https://www.corteconstitucional.gov.co/secretaria/archivo.php?id=135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B2C6-04F0-49B4-82A9-26481EA3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7699</Words>
  <Characters>42346</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Paola Fonseca Abril</dc:creator>
  <cp:lastModifiedBy>personal</cp:lastModifiedBy>
  <cp:revision>2</cp:revision>
  <cp:lastPrinted>2020-05-18T15:53:00Z</cp:lastPrinted>
  <dcterms:created xsi:type="dcterms:W3CDTF">2021-01-17T21:25:00Z</dcterms:created>
  <dcterms:modified xsi:type="dcterms:W3CDTF">2021-01-17T21:25:00Z</dcterms:modified>
</cp:coreProperties>
</file>