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3F88F" w14:textId="77777777" w:rsidR="00685BB4" w:rsidRPr="00793402" w:rsidRDefault="00685BB4" w:rsidP="009356DF">
      <w:pPr>
        <w:tabs>
          <w:tab w:val="center" w:pos="0"/>
          <w:tab w:val="right" w:pos="8504"/>
        </w:tabs>
        <w:jc w:val="center"/>
        <w:rPr>
          <w:rFonts w:eastAsiaTheme="minorEastAsia"/>
          <w:b/>
          <w:bCs/>
          <w:color w:val="000000" w:themeColor="text1"/>
          <w:sz w:val="28"/>
          <w:szCs w:val="28"/>
          <w:lang w:val="es-ES"/>
        </w:rPr>
      </w:pPr>
      <w:bookmarkStart w:id="0" w:name="_Hlk120105911"/>
      <w:bookmarkStart w:id="1" w:name="_GoBack"/>
      <w:bookmarkEnd w:id="1"/>
      <w:r w:rsidRPr="00793402">
        <w:rPr>
          <w:rFonts w:eastAsiaTheme="minorEastAsia"/>
          <w:b/>
          <w:bCs/>
          <w:color w:val="000000" w:themeColor="text1"/>
          <w:sz w:val="28"/>
          <w:szCs w:val="28"/>
          <w:lang w:val="es-ES"/>
        </w:rPr>
        <w:t>REPÚBLICA DE COLOMBIA</w:t>
      </w:r>
    </w:p>
    <w:p w14:paraId="40638A93" w14:textId="0ADA5B5E" w:rsidR="00685BB4" w:rsidRPr="00793402" w:rsidRDefault="009356DF" w:rsidP="009356DF">
      <w:pPr>
        <w:tabs>
          <w:tab w:val="right" w:pos="8504"/>
        </w:tabs>
        <w:jc w:val="center"/>
        <w:rPr>
          <w:rFonts w:eastAsiaTheme="minorEastAsia"/>
          <w:b/>
          <w:bCs/>
          <w:color w:val="000000" w:themeColor="text1"/>
          <w:sz w:val="28"/>
          <w:szCs w:val="28"/>
          <w:lang w:val="es-ES"/>
        </w:rPr>
      </w:pPr>
      <w:r>
        <w:rPr>
          <w:rFonts w:eastAsiaTheme="minorEastAsia"/>
          <w:b/>
          <w:bCs/>
          <w:noProof/>
          <w:color w:val="000000" w:themeColor="text1"/>
          <w:sz w:val="28"/>
          <w:szCs w:val="28"/>
          <w:lang w:eastAsia="es-CO"/>
        </w:rPr>
        <w:drawing>
          <wp:inline distT="0" distB="0" distL="0" distR="0" wp14:anchorId="1BE9C53C" wp14:editId="06F54811">
            <wp:extent cx="792480" cy="792480"/>
            <wp:effectExtent l="0" t="0" r="7620" b="7620"/>
            <wp:docPr id="212382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4A98C8B7" w14:textId="77777777" w:rsidR="00685BB4" w:rsidRPr="00793402" w:rsidRDefault="00685BB4" w:rsidP="009356DF">
      <w:pPr>
        <w:tabs>
          <w:tab w:val="right" w:pos="8504"/>
        </w:tabs>
        <w:jc w:val="center"/>
        <w:rPr>
          <w:rFonts w:eastAsiaTheme="minorEastAsia"/>
          <w:b/>
          <w:bCs/>
          <w:color w:val="000000" w:themeColor="text1"/>
          <w:sz w:val="28"/>
          <w:szCs w:val="28"/>
          <w:lang w:val="es-ES"/>
        </w:rPr>
      </w:pPr>
      <w:r w:rsidRPr="00793402">
        <w:rPr>
          <w:rFonts w:eastAsiaTheme="minorEastAsia"/>
          <w:b/>
          <w:bCs/>
          <w:color w:val="000000" w:themeColor="text1"/>
          <w:sz w:val="28"/>
          <w:szCs w:val="28"/>
          <w:lang w:val="es-ES"/>
        </w:rPr>
        <w:t>CORTE CONSTITUCIONAL</w:t>
      </w:r>
    </w:p>
    <w:p w14:paraId="6258E554" w14:textId="784A4D27" w:rsidR="00685BB4" w:rsidRPr="00793402" w:rsidRDefault="00685BB4" w:rsidP="009356DF">
      <w:pPr>
        <w:tabs>
          <w:tab w:val="center" w:pos="142"/>
        </w:tabs>
        <w:jc w:val="center"/>
        <w:rPr>
          <w:rFonts w:eastAsiaTheme="minorEastAsia"/>
          <w:b/>
          <w:bCs/>
          <w:color w:val="000000" w:themeColor="text1"/>
          <w:sz w:val="28"/>
          <w:szCs w:val="28"/>
          <w:lang w:val="es-ES"/>
        </w:rPr>
      </w:pPr>
      <w:r w:rsidRPr="00793402">
        <w:rPr>
          <w:rFonts w:eastAsiaTheme="minorEastAsia"/>
          <w:b/>
          <w:bCs/>
          <w:color w:val="000000" w:themeColor="text1"/>
          <w:sz w:val="28"/>
          <w:szCs w:val="28"/>
          <w:lang w:val="es-ES"/>
        </w:rPr>
        <w:t>Sala Se</w:t>
      </w:r>
      <w:r w:rsidR="00A24274" w:rsidRPr="00793402">
        <w:rPr>
          <w:rFonts w:eastAsiaTheme="minorEastAsia"/>
          <w:b/>
          <w:bCs/>
          <w:color w:val="000000" w:themeColor="text1"/>
          <w:sz w:val="28"/>
          <w:szCs w:val="28"/>
          <w:lang w:val="es-ES"/>
        </w:rPr>
        <w:t>gunda</w:t>
      </w:r>
      <w:r w:rsidRPr="00793402">
        <w:rPr>
          <w:rFonts w:eastAsiaTheme="minorEastAsia"/>
          <w:b/>
          <w:bCs/>
          <w:color w:val="000000" w:themeColor="text1"/>
          <w:sz w:val="28"/>
          <w:szCs w:val="28"/>
          <w:lang w:val="es-ES"/>
        </w:rPr>
        <w:t xml:space="preserve"> de Revisión</w:t>
      </w:r>
    </w:p>
    <w:p w14:paraId="0762A0FC" w14:textId="28CEB236" w:rsidR="00685BB4" w:rsidRDefault="00685BB4" w:rsidP="009356DF">
      <w:pPr>
        <w:widowControl w:val="0"/>
        <w:jc w:val="center"/>
        <w:rPr>
          <w:rFonts w:eastAsiaTheme="minorEastAsia"/>
          <w:b/>
          <w:bCs/>
          <w:i/>
          <w:iCs/>
          <w:color w:val="000000" w:themeColor="text1"/>
          <w:sz w:val="28"/>
          <w:szCs w:val="28"/>
          <w:lang w:val="es-ES"/>
        </w:rPr>
      </w:pPr>
    </w:p>
    <w:p w14:paraId="1C9798B0" w14:textId="77777777" w:rsidR="00455E98" w:rsidRPr="00793402" w:rsidRDefault="00455E98" w:rsidP="00685BB4">
      <w:pPr>
        <w:widowControl w:val="0"/>
        <w:jc w:val="center"/>
        <w:rPr>
          <w:b/>
          <w:bCs/>
          <w:smallCaps/>
          <w:color w:val="000000" w:themeColor="text1"/>
          <w:sz w:val="28"/>
          <w:szCs w:val="28"/>
        </w:rPr>
      </w:pPr>
    </w:p>
    <w:p w14:paraId="75EA5ADE" w14:textId="1DF4285F" w:rsidR="00685BB4" w:rsidRPr="00793402" w:rsidRDefault="00675DDE" w:rsidP="00685BB4">
      <w:pPr>
        <w:widowControl w:val="0"/>
        <w:jc w:val="center"/>
        <w:rPr>
          <w:b/>
          <w:bCs/>
          <w:smallCaps/>
          <w:color w:val="000000" w:themeColor="text1"/>
          <w:sz w:val="28"/>
          <w:szCs w:val="28"/>
        </w:rPr>
      </w:pPr>
      <w:r w:rsidRPr="00793402">
        <w:rPr>
          <w:b/>
          <w:bCs/>
          <w:smallCaps/>
          <w:color w:val="000000" w:themeColor="text1"/>
          <w:sz w:val="28"/>
          <w:szCs w:val="28"/>
        </w:rPr>
        <w:t>SENTENCIA T-</w:t>
      </w:r>
      <w:r w:rsidR="0080073D">
        <w:rPr>
          <w:b/>
          <w:bCs/>
          <w:smallCaps/>
          <w:color w:val="000000" w:themeColor="text1"/>
          <w:sz w:val="28"/>
          <w:szCs w:val="28"/>
        </w:rPr>
        <w:t>052</w:t>
      </w:r>
      <w:r w:rsidRPr="00793402">
        <w:rPr>
          <w:b/>
          <w:bCs/>
          <w:smallCaps/>
          <w:color w:val="000000" w:themeColor="text1"/>
          <w:sz w:val="28"/>
          <w:szCs w:val="28"/>
        </w:rPr>
        <w:t xml:space="preserve"> DE 202</w:t>
      </w:r>
      <w:r w:rsidR="00A24274" w:rsidRPr="00793402">
        <w:rPr>
          <w:b/>
          <w:bCs/>
          <w:smallCaps/>
          <w:color w:val="000000" w:themeColor="text1"/>
          <w:sz w:val="28"/>
          <w:szCs w:val="28"/>
        </w:rPr>
        <w:t>3</w:t>
      </w:r>
    </w:p>
    <w:p w14:paraId="3AACE95D" w14:textId="77777777" w:rsidR="00685BB4" w:rsidRPr="00793402" w:rsidRDefault="00685BB4" w:rsidP="00685BB4">
      <w:pPr>
        <w:widowControl w:val="0"/>
        <w:autoSpaceDE w:val="0"/>
        <w:autoSpaceDN w:val="0"/>
        <w:adjustRightInd w:val="0"/>
        <w:ind w:left="3080"/>
        <w:jc w:val="both"/>
        <w:outlineLvl w:val="0"/>
        <w:rPr>
          <w:b/>
          <w:color w:val="000000" w:themeColor="text1"/>
          <w:sz w:val="28"/>
          <w:szCs w:val="28"/>
          <w:lang w:val="es-ES_tradnl"/>
        </w:rPr>
      </w:pPr>
    </w:p>
    <w:p w14:paraId="08B277F8" w14:textId="77777777" w:rsidR="00A24274" w:rsidRPr="00793402" w:rsidRDefault="00A24274" w:rsidP="00A24274">
      <w:pPr>
        <w:widowControl w:val="0"/>
        <w:tabs>
          <w:tab w:val="left" w:pos="3686"/>
        </w:tabs>
        <w:autoSpaceDE w:val="0"/>
        <w:autoSpaceDN w:val="0"/>
        <w:adjustRightInd w:val="0"/>
        <w:ind w:left="3686" w:right="49"/>
        <w:jc w:val="both"/>
        <w:outlineLvl w:val="0"/>
        <w:rPr>
          <w:color w:val="000000" w:themeColor="text1"/>
          <w:sz w:val="28"/>
          <w:szCs w:val="28"/>
          <w:lang w:val="es-ES_tradnl"/>
        </w:rPr>
      </w:pPr>
      <w:r w:rsidRPr="00793402">
        <w:rPr>
          <w:b/>
          <w:color w:val="000000" w:themeColor="text1"/>
          <w:sz w:val="28"/>
          <w:szCs w:val="28"/>
          <w:lang w:val="es-ES_tradnl"/>
        </w:rPr>
        <w:t>Referencia:</w:t>
      </w:r>
      <w:r w:rsidRPr="00793402">
        <w:rPr>
          <w:color w:val="000000" w:themeColor="text1"/>
          <w:sz w:val="28"/>
          <w:szCs w:val="28"/>
          <w:lang w:val="es-ES_tradnl"/>
        </w:rPr>
        <w:t xml:space="preserve"> Expediente T-8.987.455</w:t>
      </w:r>
    </w:p>
    <w:p w14:paraId="41B12B74" w14:textId="77777777" w:rsidR="00A24274" w:rsidRPr="00793402" w:rsidRDefault="00A24274" w:rsidP="00A24274">
      <w:pPr>
        <w:widowControl w:val="0"/>
        <w:tabs>
          <w:tab w:val="left" w:pos="3686"/>
        </w:tabs>
        <w:autoSpaceDE w:val="0"/>
        <w:autoSpaceDN w:val="0"/>
        <w:adjustRightInd w:val="0"/>
        <w:ind w:left="3686" w:right="49"/>
        <w:jc w:val="both"/>
        <w:outlineLvl w:val="0"/>
        <w:rPr>
          <w:color w:val="000000" w:themeColor="text1"/>
          <w:sz w:val="28"/>
          <w:szCs w:val="28"/>
          <w:lang w:val="es-ES_tradnl"/>
        </w:rPr>
      </w:pPr>
    </w:p>
    <w:p w14:paraId="44DCCA1F" w14:textId="77777777" w:rsidR="00A24274" w:rsidRPr="00793402" w:rsidRDefault="00A24274" w:rsidP="00A24274">
      <w:pPr>
        <w:widowControl w:val="0"/>
        <w:tabs>
          <w:tab w:val="left" w:pos="3686"/>
        </w:tabs>
        <w:ind w:left="3686" w:right="-8"/>
        <w:jc w:val="both"/>
        <w:rPr>
          <w:color w:val="000000" w:themeColor="text1"/>
          <w:sz w:val="28"/>
          <w:szCs w:val="28"/>
          <w:lang w:val="es-ES"/>
        </w:rPr>
      </w:pPr>
      <w:r w:rsidRPr="00793402">
        <w:rPr>
          <w:color w:val="000000" w:themeColor="text1"/>
          <w:sz w:val="28"/>
          <w:szCs w:val="28"/>
          <w:lang w:val="es-ES"/>
        </w:rPr>
        <w:t xml:space="preserve">Acción de tutela instaurada por Blanca </w:t>
      </w:r>
      <w:proofErr w:type="spellStart"/>
      <w:r w:rsidRPr="00793402">
        <w:rPr>
          <w:color w:val="000000" w:themeColor="text1"/>
          <w:sz w:val="28"/>
          <w:szCs w:val="28"/>
          <w:lang w:val="es-ES"/>
        </w:rPr>
        <w:t>Bellanid</w:t>
      </w:r>
      <w:proofErr w:type="spellEnd"/>
      <w:r w:rsidRPr="00793402">
        <w:rPr>
          <w:color w:val="000000" w:themeColor="text1"/>
          <w:sz w:val="28"/>
          <w:szCs w:val="28"/>
          <w:lang w:val="es-ES"/>
        </w:rPr>
        <w:t xml:space="preserve"> </w:t>
      </w:r>
      <w:proofErr w:type="spellStart"/>
      <w:r w:rsidRPr="00793402">
        <w:rPr>
          <w:color w:val="000000" w:themeColor="text1"/>
          <w:sz w:val="28"/>
          <w:szCs w:val="28"/>
          <w:lang w:val="es-ES"/>
        </w:rPr>
        <w:t>Galíndez</w:t>
      </w:r>
      <w:proofErr w:type="spellEnd"/>
      <w:r w:rsidRPr="00793402">
        <w:rPr>
          <w:color w:val="000000" w:themeColor="text1"/>
          <w:sz w:val="28"/>
          <w:szCs w:val="28"/>
          <w:lang w:val="es-ES"/>
        </w:rPr>
        <w:t xml:space="preserve"> Joven contra la Secretaría de Educación Departamental de Putumayo</w:t>
      </w:r>
    </w:p>
    <w:p w14:paraId="6542DDF4" w14:textId="77777777" w:rsidR="00A24274" w:rsidRPr="00793402" w:rsidRDefault="00A24274" w:rsidP="00A24274">
      <w:pPr>
        <w:widowControl w:val="0"/>
        <w:tabs>
          <w:tab w:val="left" w:pos="3686"/>
        </w:tabs>
        <w:ind w:left="3686" w:right="49"/>
        <w:jc w:val="both"/>
        <w:rPr>
          <w:color w:val="000000" w:themeColor="text1"/>
          <w:sz w:val="28"/>
          <w:szCs w:val="28"/>
          <w:lang w:val="es-ES"/>
        </w:rPr>
      </w:pPr>
    </w:p>
    <w:p w14:paraId="5149B98C" w14:textId="77777777" w:rsidR="00A24274" w:rsidRPr="00793402" w:rsidRDefault="00A24274" w:rsidP="00A24274">
      <w:pPr>
        <w:widowControl w:val="0"/>
        <w:tabs>
          <w:tab w:val="left" w:pos="3686"/>
        </w:tabs>
        <w:ind w:left="3686" w:right="49"/>
        <w:jc w:val="both"/>
        <w:rPr>
          <w:color w:val="000000" w:themeColor="text1"/>
          <w:sz w:val="28"/>
          <w:szCs w:val="28"/>
          <w:lang w:val="es-ES_tradnl"/>
        </w:rPr>
      </w:pPr>
      <w:r w:rsidRPr="00793402">
        <w:rPr>
          <w:b/>
          <w:bCs/>
          <w:color w:val="000000" w:themeColor="text1"/>
          <w:sz w:val="28"/>
          <w:szCs w:val="28"/>
          <w:lang w:val="es-ES"/>
        </w:rPr>
        <w:t xml:space="preserve">Procedencia: </w:t>
      </w:r>
      <w:r w:rsidRPr="00793402">
        <w:rPr>
          <w:color w:val="000000" w:themeColor="text1"/>
          <w:sz w:val="28"/>
          <w:szCs w:val="28"/>
          <w:lang w:val="es-ES_tradnl"/>
        </w:rPr>
        <w:t>Juzgado Segundo Civil Municipal de Mocoa</w:t>
      </w:r>
    </w:p>
    <w:p w14:paraId="14601CE2" w14:textId="77777777" w:rsidR="00A24274" w:rsidRPr="00793402" w:rsidRDefault="00A24274" w:rsidP="00A24274">
      <w:pPr>
        <w:widowControl w:val="0"/>
        <w:tabs>
          <w:tab w:val="left" w:pos="3686"/>
        </w:tabs>
        <w:ind w:left="3686" w:right="49"/>
        <w:jc w:val="both"/>
        <w:rPr>
          <w:color w:val="000000" w:themeColor="text1"/>
          <w:sz w:val="28"/>
          <w:szCs w:val="28"/>
          <w:lang w:val="es-ES_tradnl"/>
        </w:rPr>
      </w:pPr>
    </w:p>
    <w:p w14:paraId="5F10AE37" w14:textId="059D6575" w:rsidR="00A52153" w:rsidRPr="00793402" w:rsidRDefault="00A24274" w:rsidP="001723AC">
      <w:pPr>
        <w:widowControl w:val="0"/>
        <w:tabs>
          <w:tab w:val="left" w:pos="3686"/>
        </w:tabs>
        <w:ind w:left="3686" w:right="49"/>
        <w:jc w:val="both"/>
        <w:rPr>
          <w:color w:val="000000" w:themeColor="text1"/>
          <w:sz w:val="28"/>
          <w:szCs w:val="28"/>
          <w:lang w:val="es-ES"/>
        </w:rPr>
      </w:pPr>
      <w:r w:rsidRPr="00793402">
        <w:rPr>
          <w:b/>
          <w:bCs/>
          <w:color w:val="000000" w:themeColor="text1"/>
          <w:sz w:val="28"/>
          <w:szCs w:val="28"/>
          <w:lang w:val="es-ES"/>
        </w:rPr>
        <w:t>Asunto:</w:t>
      </w:r>
      <w:r w:rsidR="00F5205D" w:rsidRPr="00793402">
        <w:rPr>
          <w:color w:val="000000" w:themeColor="text1"/>
          <w:sz w:val="28"/>
          <w:szCs w:val="28"/>
          <w:lang w:val="es-ES"/>
        </w:rPr>
        <w:t xml:space="preserve"> </w:t>
      </w:r>
      <w:r w:rsidR="001723AC" w:rsidRPr="00793402">
        <w:rPr>
          <w:color w:val="000000" w:themeColor="text1"/>
          <w:sz w:val="28"/>
          <w:szCs w:val="28"/>
          <w:lang w:val="es-ES"/>
        </w:rPr>
        <w:t xml:space="preserve">Afectación </w:t>
      </w:r>
      <w:r w:rsidR="00A52153" w:rsidRPr="00793402">
        <w:rPr>
          <w:color w:val="000000" w:themeColor="text1"/>
          <w:sz w:val="28"/>
          <w:szCs w:val="28"/>
          <w:lang w:val="es-ES"/>
        </w:rPr>
        <w:t>de los derechos fundamentales a</w:t>
      </w:r>
      <w:r w:rsidR="008A3757" w:rsidRPr="00793402">
        <w:rPr>
          <w:color w:val="000000" w:themeColor="text1"/>
          <w:sz w:val="28"/>
          <w:szCs w:val="28"/>
          <w:lang w:val="es-ES"/>
        </w:rPr>
        <w:t xml:space="preserve">l trabajo y a la estabilidad laboral reforzada de una persona </w:t>
      </w:r>
      <w:proofErr w:type="spellStart"/>
      <w:r w:rsidR="008A3757" w:rsidRPr="00793402">
        <w:rPr>
          <w:color w:val="000000" w:themeColor="text1"/>
          <w:sz w:val="28"/>
          <w:szCs w:val="28"/>
          <w:lang w:val="es-ES"/>
        </w:rPr>
        <w:t>prepensionada</w:t>
      </w:r>
      <w:proofErr w:type="spellEnd"/>
      <w:r w:rsidR="00513D70" w:rsidRPr="00793402">
        <w:rPr>
          <w:color w:val="000000" w:themeColor="text1"/>
          <w:sz w:val="28"/>
          <w:szCs w:val="28"/>
          <w:lang w:val="es-ES"/>
        </w:rPr>
        <w:t xml:space="preserve"> en el marco de concurso de méritos</w:t>
      </w:r>
      <w:r w:rsidR="008A3757" w:rsidRPr="00793402">
        <w:rPr>
          <w:color w:val="000000" w:themeColor="text1"/>
          <w:sz w:val="28"/>
          <w:szCs w:val="28"/>
          <w:lang w:val="es-ES"/>
        </w:rPr>
        <w:t>. Inconsistencias en la historia laboral</w:t>
      </w:r>
      <w:r w:rsidR="00513D70" w:rsidRPr="00793402">
        <w:rPr>
          <w:color w:val="000000" w:themeColor="text1"/>
          <w:sz w:val="28"/>
          <w:szCs w:val="28"/>
          <w:lang w:val="es-ES"/>
        </w:rPr>
        <w:t>. Deber de las administradoras de pensiones y de los empleadores de mantener actualizada la información de los afiliados.</w:t>
      </w:r>
    </w:p>
    <w:p w14:paraId="3E5C356D" w14:textId="77777777" w:rsidR="00A24274" w:rsidRPr="00793402" w:rsidRDefault="00A24274" w:rsidP="00A52153">
      <w:pPr>
        <w:widowControl w:val="0"/>
        <w:tabs>
          <w:tab w:val="left" w:pos="3686"/>
        </w:tabs>
        <w:ind w:right="49"/>
        <w:jc w:val="both"/>
        <w:rPr>
          <w:color w:val="000000" w:themeColor="text1"/>
          <w:sz w:val="28"/>
          <w:szCs w:val="28"/>
          <w:lang w:val="es-ES_tradnl"/>
        </w:rPr>
      </w:pPr>
    </w:p>
    <w:p w14:paraId="727A7800" w14:textId="77777777" w:rsidR="00A24274" w:rsidRPr="00793402" w:rsidRDefault="00A24274" w:rsidP="00A24274">
      <w:pPr>
        <w:tabs>
          <w:tab w:val="left" w:pos="3686"/>
        </w:tabs>
        <w:ind w:left="3686"/>
        <w:jc w:val="both"/>
        <w:rPr>
          <w:b/>
          <w:color w:val="000000" w:themeColor="text1"/>
          <w:sz w:val="28"/>
          <w:szCs w:val="28"/>
        </w:rPr>
      </w:pPr>
      <w:r w:rsidRPr="00793402">
        <w:rPr>
          <w:b/>
          <w:color w:val="000000" w:themeColor="text1"/>
          <w:sz w:val="28"/>
          <w:szCs w:val="28"/>
        </w:rPr>
        <w:t xml:space="preserve">Magistrado Sustanciador: </w:t>
      </w:r>
    </w:p>
    <w:p w14:paraId="5F5A9D4C" w14:textId="77777777" w:rsidR="00A24274" w:rsidRPr="00793402" w:rsidRDefault="00A24274" w:rsidP="00A24274">
      <w:pPr>
        <w:tabs>
          <w:tab w:val="left" w:pos="3686"/>
        </w:tabs>
        <w:ind w:left="3686"/>
        <w:jc w:val="both"/>
        <w:rPr>
          <w:bCs/>
          <w:color w:val="000000" w:themeColor="text1"/>
          <w:sz w:val="28"/>
          <w:szCs w:val="28"/>
        </w:rPr>
      </w:pPr>
      <w:r w:rsidRPr="00793402">
        <w:rPr>
          <w:bCs/>
          <w:color w:val="000000" w:themeColor="text1"/>
          <w:sz w:val="28"/>
          <w:szCs w:val="28"/>
        </w:rPr>
        <w:t>Juan Carlos Cortés González</w:t>
      </w:r>
    </w:p>
    <w:p w14:paraId="2E0CBF0D" w14:textId="77777777" w:rsidR="00685BB4" w:rsidRPr="00793402" w:rsidRDefault="00685BB4" w:rsidP="00685BB4">
      <w:pPr>
        <w:widowControl w:val="0"/>
        <w:shd w:val="clear" w:color="auto" w:fill="FFFFFF"/>
        <w:jc w:val="both"/>
        <w:rPr>
          <w:color w:val="000000" w:themeColor="text1"/>
          <w:sz w:val="28"/>
          <w:szCs w:val="28"/>
        </w:rPr>
      </w:pPr>
    </w:p>
    <w:p w14:paraId="305740F3" w14:textId="6EC57866" w:rsidR="00685BB4" w:rsidRPr="00793402" w:rsidRDefault="00A24274" w:rsidP="00685BB4">
      <w:pPr>
        <w:widowControl w:val="0"/>
        <w:shd w:val="clear" w:color="auto" w:fill="FFFFFF"/>
        <w:jc w:val="both"/>
        <w:rPr>
          <w:color w:val="000000" w:themeColor="text1"/>
          <w:sz w:val="28"/>
          <w:szCs w:val="28"/>
          <w:lang w:val="es-ES_tradnl"/>
        </w:rPr>
      </w:pPr>
      <w:r w:rsidRPr="00793402">
        <w:rPr>
          <w:color w:val="000000" w:themeColor="text1"/>
          <w:sz w:val="28"/>
          <w:szCs w:val="28"/>
          <w:lang w:val="es-ES_tradnl"/>
        </w:rPr>
        <w:t xml:space="preserve">Bogotá, D.C., </w:t>
      </w:r>
      <w:r w:rsidR="00897F55">
        <w:rPr>
          <w:color w:val="000000" w:themeColor="text1"/>
          <w:sz w:val="28"/>
          <w:szCs w:val="28"/>
          <w:lang w:val="es-ES_tradnl"/>
        </w:rPr>
        <w:t xml:space="preserve">ocho </w:t>
      </w:r>
      <w:r w:rsidRPr="00793402">
        <w:rPr>
          <w:color w:val="000000" w:themeColor="text1"/>
          <w:sz w:val="28"/>
          <w:szCs w:val="28"/>
          <w:lang w:val="es-ES_tradnl"/>
        </w:rPr>
        <w:t>(</w:t>
      </w:r>
      <w:r w:rsidR="00897F55">
        <w:rPr>
          <w:color w:val="000000" w:themeColor="text1"/>
          <w:sz w:val="28"/>
          <w:szCs w:val="28"/>
          <w:lang w:val="es-ES_tradnl"/>
        </w:rPr>
        <w:t>08</w:t>
      </w:r>
      <w:r w:rsidRPr="00793402">
        <w:rPr>
          <w:color w:val="000000" w:themeColor="text1"/>
          <w:sz w:val="28"/>
          <w:szCs w:val="28"/>
          <w:lang w:val="es-ES_tradnl"/>
        </w:rPr>
        <w:t xml:space="preserve">) de </w:t>
      </w:r>
      <w:r w:rsidR="00897F55">
        <w:rPr>
          <w:color w:val="000000" w:themeColor="text1"/>
          <w:sz w:val="28"/>
          <w:szCs w:val="28"/>
          <w:lang w:val="es-ES_tradnl"/>
        </w:rPr>
        <w:t>marzo</w:t>
      </w:r>
      <w:r w:rsidRPr="00793402">
        <w:rPr>
          <w:color w:val="000000" w:themeColor="text1"/>
          <w:sz w:val="28"/>
          <w:szCs w:val="28"/>
          <w:lang w:val="es-ES_tradnl"/>
        </w:rPr>
        <w:t xml:space="preserve"> de dos mil veintitrés (2023)</w:t>
      </w:r>
    </w:p>
    <w:p w14:paraId="176E74B3" w14:textId="77777777" w:rsidR="00F5205D" w:rsidRPr="00793402" w:rsidRDefault="00F5205D" w:rsidP="00685BB4">
      <w:pPr>
        <w:widowControl w:val="0"/>
        <w:shd w:val="clear" w:color="auto" w:fill="FFFFFF"/>
        <w:jc w:val="both"/>
        <w:rPr>
          <w:color w:val="000000" w:themeColor="text1"/>
          <w:sz w:val="28"/>
          <w:szCs w:val="28"/>
          <w:lang w:val="es-ES_tradnl"/>
        </w:rPr>
      </w:pPr>
    </w:p>
    <w:p w14:paraId="1E6364B9" w14:textId="7F57A5F0" w:rsidR="00685BB4" w:rsidRPr="00793402" w:rsidRDefault="00685BB4" w:rsidP="00685BB4">
      <w:pPr>
        <w:jc w:val="both"/>
        <w:rPr>
          <w:rFonts w:eastAsia="SimSun"/>
          <w:color w:val="000000" w:themeColor="text1"/>
          <w:sz w:val="28"/>
          <w:szCs w:val="28"/>
          <w:lang w:val="es-ES_tradnl" w:eastAsia="es-CO"/>
        </w:rPr>
      </w:pPr>
      <w:r w:rsidRPr="00793402">
        <w:rPr>
          <w:rFonts w:eastAsia="SimSun"/>
          <w:color w:val="000000" w:themeColor="text1"/>
          <w:sz w:val="28"/>
          <w:szCs w:val="28"/>
          <w:lang w:val="es-ES_tradnl" w:eastAsia="es-CO"/>
        </w:rPr>
        <w:t>La Sala Se</w:t>
      </w:r>
      <w:r w:rsidR="00A24274" w:rsidRPr="00793402">
        <w:rPr>
          <w:rFonts w:eastAsia="SimSun"/>
          <w:color w:val="000000" w:themeColor="text1"/>
          <w:sz w:val="28"/>
          <w:szCs w:val="28"/>
          <w:lang w:val="es-ES_tradnl" w:eastAsia="es-CO"/>
        </w:rPr>
        <w:t>gunda</w:t>
      </w:r>
      <w:r w:rsidRPr="00793402">
        <w:rPr>
          <w:rFonts w:eastAsia="SimSun"/>
          <w:color w:val="000000" w:themeColor="text1"/>
          <w:sz w:val="28"/>
          <w:szCs w:val="28"/>
          <w:lang w:val="es-ES_tradnl" w:eastAsia="es-CO"/>
        </w:rPr>
        <w:t xml:space="preserve"> de Revisión de la Corte Constitucional, integrada por l</w:t>
      </w:r>
      <w:r w:rsidR="00A24274" w:rsidRPr="00793402">
        <w:rPr>
          <w:rFonts w:eastAsia="SimSun"/>
          <w:color w:val="000000" w:themeColor="text1"/>
          <w:sz w:val="28"/>
          <w:szCs w:val="28"/>
          <w:lang w:val="es-ES_tradnl" w:eastAsia="es-CO"/>
        </w:rPr>
        <w:t xml:space="preserve">a </w:t>
      </w:r>
      <w:r w:rsidR="00D72C7B" w:rsidRPr="00793402">
        <w:rPr>
          <w:rFonts w:eastAsia="SimSun"/>
          <w:color w:val="000000" w:themeColor="text1"/>
          <w:sz w:val="28"/>
          <w:szCs w:val="28"/>
          <w:lang w:val="es-ES_tradnl" w:eastAsia="es-CO"/>
        </w:rPr>
        <w:t xml:space="preserve">Magistrada </w:t>
      </w:r>
      <w:r w:rsidR="00A24274" w:rsidRPr="00793402">
        <w:rPr>
          <w:rFonts w:eastAsia="SimSun"/>
          <w:color w:val="000000" w:themeColor="text1"/>
          <w:sz w:val="28"/>
          <w:szCs w:val="28"/>
          <w:lang w:val="es-ES_tradnl" w:eastAsia="es-CO"/>
        </w:rPr>
        <w:t xml:space="preserve">Diana Fajardo Rivera y los </w:t>
      </w:r>
      <w:r w:rsidR="00D72C7B" w:rsidRPr="00793402">
        <w:rPr>
          <w:rFonts w:eastAsia="SimSun"/>
          <w:color w:val="000000" w:themeColor="text1"/>
          <w:sz w:val="28"/>
          <w:szCs w:val="28"/>
          <w:lang w:val="es-ES_tradnl" w:eastAsia="es-CO"/>
        </w:rPr>
        <w:t xml:space="preserve">Magistrados </w:t>
      </w:r>
      <w:r w:rsidR="00A24274" w:rsidRPr="00793402">
        <w:rPr>
          <w:rFonts w:eastAsia="SimSun"/>
          <w:color w:val="000000" w:themeColor="text1"/>
          <w:sz w:val="28"/>
          <w:szCs w:val="28"/>
          <w:lang w:val="es-ES_tradnl" w:eastAsia="es-CO"/>
        </w:rPr>
        <w:t xml:space="preserve">Jorge Enrique Ibáñez Najar </w:t>
      </w:r>
      <w:r w:rsidRPr="00793402">
        <w:rPr>
          <w:rFonts w:eastAsia="SimSun"/>
          <w:color w:val="000000" w:themeColor="text1"/>
          <w:sz w:val="28"/>
          <w:szCs w:val="28"/>
          <w:lang w:val="es-ES_tradnl" w:eastAsia="es-CO"/>
        </w:rPr>
        <w:t xml:space="preserve">y </w:t>
      </w:r>
      <w:r w:rsidR="00A24274" w:rsidRPr="00793402">
        <w:rPr>
          <w:rFonts w:eastAsia="SimSun"/>
          <w:color w:val="000000" w:themeColor="text1"/>
          <w:sz w:val="28"/>
          <w:szCs w:val="28"/>
          <w:lang w:val="es-ES_tradnl" w:eastAsia="es-CO"/>
        </w:rPr>
        <w:t>Juan Carlos Cortés González</w:t>
      </w:r>
      <w:r w:rsidRPr="00793402">
        <w:rPr>
          <w:rFonts w:eastAsia="SimSun"/>
          <w:color w:val="000000" w:themeColor="text1"/>
          <w:sz w:val="28"/>
          <w:szCs w:val="28"/>
          <w:lang w:val="es-ES_tradnl" w:eastAsia="es-CO"/>
        </w:rPr>
        <w:t>, quien la preside, en ejercicio de sus competencias constitucionales y legales, ha proferido la siguiente</w:t>
      </w:r>
    </w:p>
    <w:p w14:paraId="661BDAC1" w14:textId="77777777" w:rsidR="00685BB4" w:rsidRPr="00793402" w:rsidRDefault="00685BB4" w:rsidP="00685BB4">
      <w:pPr>
        <w:widowControl w:val="0"/>
        <w:jc w:val="both"/>
        <w:rPr>
          <w:color w:val="000000" w:themeColor="text1"/>
          <w:sz w:val="28"/>
          <w:szCs w:val="28"/>
          <w:lang w:val="es-ES_tradnl"/>
        </w:rPr>
      </w:pPr>
    </w:p>
    <w:p w14:paraId="55A41E3D" w14:textId="77777777" w:rsidR="00685BB4" w:rsidRPr="00793402" w:rsidRDefault="00685BB4" w:rsidP="00685BB4">
      <w:pPr>
        <w:widowControl w:val="0"/>
        <w:jc w:val="center"/>
        <w:rPr>
          <w:b/>
          <w:bCs/>
          <w:color w:val="000000" w:themeColor="text1"/>
          <w:sz w:val="28"/>
          <w:szCs w:val="28"/>
          <w:lang w:val="es-ES_tradnl"/>
        </w:rPr>
      </w:pPr>
      <w:r w:rsidRPr="00793402">
        <w:rPr>
          <w:b/>
          <w:bCs/>
          <w:color w:val="000000" w:themeColor="text1"/>
          <w:sz w:val="28"/>
          <w:szCs w:val="28"/>
          <w:lang w:val="es-ES_tradnl"/>
        </w:rPr>
        <w:t>SENTENCIA</w:t>
      </w:r>
    </w:p>
    <w:p w14:paraId="1428FB3B" w14:textId="77777777" w:rsidR="00685BB4" w:rsidRPr="00793402" w:rsidRDefault="00685BB4" w:rsidP="00685BB4">
      <w:pPr>
        <w:widowControl w:val="0"/>
        <w:rPr>
          <w:b/>
          <w:bCs/>
          <w:color w:val="000000" w:themeColor="text1"/>
          <w:sz w:val="28"/>
          <w:szCs w:val="28"/>
          <w:lang w:val="es-ES_tradnl"/>
        </w:rPr>
      </w:pPr>
    </w:p>
    <w:p w14:paraId="0DC80FBB" w14:textId="0A0F4FCB" w:rsidR="00A24274" w:rsidRPr="00793402" w:rsidRDefault="00A52153" w:rsidP="00685BB4">
      <w:pPr>
        <w:jc w:val="both"/>
        <w:rPr>
          <w:color w:val="000000" w:themeColor="text1"/>
          <w:sz w:val="28"/>
          <w:szCs w:val="28"/>
          <w:lang w:val="es-ES_tradnl" w:eastAsia="es-ES"/>
        </w:rPr>
      </w:pPr>
      <w:bookmarkStart w:id="2" w:name="_Hlk85975865"/>
      <w:r w:rsidRPr="00793402">
        <w:rPr>
          <w:color w:val="000000" w:themeColor="text1"/>
          <w:sz w:val="28"/>
          <w:szCs w:val="28"/>
          <w:lang w:val="es-ES_tradnl" w:eastAsia="es-ES"/>
        </w:rPr>
        <w:t xml:space="preserve">1. </w:t>
      </w:r>
      <w:r w:rsidR="00685BB4" w:rsidRPr="00793402">
        <w:rPr>
          <w:color w:val="000000" w:themeColor="text1"/>
          <w:sz w:val="28"/>
          <w:szCs w:val="28"/>
          <w:lang w:val="es-ES_tradnl" w:eastAsia="es-ES"/>
        </w:rPr>
        <w:t xml:space="preserve">En el trámite de revisión del </w:t>
      </w:r>
      <w:r w:rsidR="00D72C7B" w:rsidRPr="00793402">
        <w:rPr>
          <w:color w:val="000000" w:themeColor="text1"/>
          <w:sz w:val="28"/>
          <w:szCs w:val="28"/>
          <w:lang w:val="es-ES_tradnl" w:eastAsia="es-ES"/>
        </w:rPr>
        <w:t xml:space="preserve">proceso por acción de tutela con </w:t>
      </w:r>
      <w:r w:rsidR="00685BB4" w:rsidRPr="00793402">
        <w:rPr>
          <w:color w:val="000000" w:themeColor="text1"/>
          <w:sz w:val="28"/>
          <w:szCs w:val="28"/>
          <w:lang w:val="es-ES_tradnl" w:eastAsia="es-ES"/>
        </w:rPr>
        <w:t>fallo de segunda instancia, proferido el 2</w:t>
      </w:r>
      <w:r w:rsidR="00A24274" w:rsidRPr="00793402">
        <w:rPr>
          <w:color w:val="000000" w:themeColor="text1"/>
          <w:sz w:val="28"/>
          <w:szCs w:val="28"/>
          <w:lang w:val="es-ES_tradnl" w:eastAsia="es-ES"/>
        </w:rPr>
        <w:t>3</w:t>
      </w:r>
      <w:r w:rsidR="00685BB4" w:rsidRPr="00793402">
        <w:rPr>
          <w:color w:val="000000" w:themeColor="text1"/>
          <w:sz w:val="28"/>
          <w:szCs w:val="28"/>
          <w:lang w:val="es-ES_tradnl" w:eastAsia="es-ES"/>
        </w:rPr>
        <w:t xml:space="preserve"> de </w:t>
      </w:r>
      <w:r w:rsidR="00A24274" w:rsidRPr="00793402">
        <w:rPr>
          <w:color w:val="000000" w:themeColor="text1"/>
          <w:sz w:val="28"/>
          <w:szCs w:val="28"/>
          <w:lang w:val="es-ES_tradnl" w:eastAsia="es-ES"/>
        </w:rPr>
        <w:t>agosto</w:t>
      </w:r>
      <w:r w:rsidR="00685BB4" w:rsidRPr="00793402">
        <w:rPr>
          <w:color w:val="000000" w:themeColor="text1"/>
          <w:sz w:val="28"/>
          <w:szCs w:val="28"/>
          <w:lang w:val="es-ES_tradnl" w:eastAsia="es-ES"/>
        </w:rPr>
        <w:t xml:space="preserve"> de 202</w:t>
      </w:r>
      <w:r w:rsidR="00A24274" w:rsidRPr="00793402">
        <w:rPr>
          <w:color w:val="000000" w:themeColor="text1"/>
          <w:sz w:val="28"/>
          <w:szCs w:val="28"/>
          <w:lang w:val="es-ES_tradnl" w:eastAsia="es-ES"/>
        </w:rPr>
        <w:t>2</w:t>
      </w:r>
      <w:r w:rsidR="00685BB4" w:rsidRPr="00793402">
        <w:rPr>
          <w:color w:val="000000" w:themeColor="text1"/>
          <w:sz w:val="28"/>
          <w:szCs w:val="28"/>
          <w:lang w:val="es-ES_tradnl" w:eastAsia="es-ES"/>
        </w:rPr>
        <w:t xml:space="preserve"> por </w:t>
      </w:r>
      <w:r w:rsidR="00685BB4" w:rsidRPr="00793402">
        <w:rPr>
          <w:bCs/>
          <w:color w:val="000000" w:themeColor="text1"/>
          <w:sz w:val="28"/>
          <w:szCs w:val="28"/>
          <w:lang w:val="es-ES_tradnl" w:eastAsia="es-ES"/>
        </w:rPr>
        <w:t xml:space="preserve">el </w:t>
      </w:r>
      <w:r w:rsidR="00A24274" w:rsidRPr="00793402">
        <w:rPr>
          <w:bCs/>
          <w:color w:val="000000" w:themeColor="text1"/>
          <w:sz w:val="28"/>
          <w:szCs w:val="28"/>
          <w:lang w:val="es-ES" w:eastAsia="es-ES"/>
        </w:rPr>
        <w:t>Juzgado Civil del Circuito de Mocoa</w:t>
      </w:r>
      <w:r w:rsidR="00685BB4" w:rsidRPr="00793402">
        <w:rPr>
          <w:color w:val="000000" w:themeColor="text1"/>
          <w:sz w:val="28"/>
          <w:szCs w:val="28"/>
          <w:lang w:val="es-ES_tradnl" w:eastAsia="es-ES"/>
        </w:rPr>
        <w:t xml:space="preserve">, que </w:t>
      </w:r>
      <w:r w:rsidR="00A24274" w:rsidRPr="00793402">
        <w:rPr>
          <w:color w:val="000000" w:themeColor="text1"/>
          <w:sz w:val="28"/>
          <w:szCs w:val="28"/>
        </w:rPr>
        <w:t xml:space="preserve">revocó la decisión </w:t>
      </w:r>
      <w:r w:rsidR="00513D70" w:rsidRPr="00793402">
        <w:rPr>
          <w:color w:val="000000" w:themeColor="text1"/>
          <w:sz w:val="28"/>
          <w:szCs w:val="28"/>
        </w:rPr>
        <w:t>d</w:t>
      </w:r>
      <w:r w:rsidR="00A24274" w:rsidRPr="00793402">
        <w:rPr>
          <w:color w:val="000000" w:themeColor="text1"/>
          <w:sz w:val="28"/>
          <w:szCs w:val="28"/>
        </w:rPr>
        <w:t>el 12 de ju</w:t>
      </w:r>
      <w:r w:rsidR="006022D4" w:rsidRPr="00793402">
        <w:rPr>
          <w:color w:val="000000" w:themeColor="text1"/>
          <w:sz w:val="28"/>
          <w:szCs w:val="28"/>
        </w:rPr>
        <w:t>l</w:t>
      </w:r>
      <w:r w:rsidR="00A24274" w:rsidRPr="00793402">
        <w:rPr>
          <w:color w:val="000000" w:themeColor="text1"/>
          <w:sz w:val="28"/>
          <w:szCs w:val="28"/>
        </w:rPr>
        <w:t>io de 2022 por el</w:t>
      </w:r>
      <w:r w:rsidR="00DD78F7" w:rsidRPr="00793402">
        <w:rPr>
          <w:color w:val="000000" w:themeColor="text1"/>
          <w:sz w:val="28"/>
          <w:szCs w:val="28"/>
        </w:rPr>
        <w:t xml:space="preserve"> </w:t>
      </w:r>
      <w:r w:rsidR="00A24274" w:rsidRPr="00793402">
        <w:rPr>
          <w:color w:val="000000" w:themeColor="text1"/>
          <w:sz w:val="28"/>
          <w:szCs w:val="28"/>
          <w:lang w:val="es-ES_tradnl"/>
        </w:rPr>
        <w:t>Juzgado Segundo Civil Municipal de Mocoa</w:t>
      </w:r>
      <w:r w:rsidR="00D72C7B" w:rsidRPr="00793402">
        <w:rPr>
          <w:color w:val="000000" w:themeColor="text1"/>
          <w:sz w:val="28"/>
          <w:szCs w:val="28"/>
          <w:lang w:val="es-ES_tradnl"/>
        </w:rPr>
        <w:t xml:space="preserve"> y, en</w:t>
      </w:r>
      <w:r w:rsidR="00A24274" w:rsidRPr="00793402">
        <w:rPr>
          <w:color w:val="000000" w:themeColor="text1"/>
          <w:sz w:val="28"/>
          <w:szCs w:val="28"/>
        </w:rPr>
        <w:t xml:space="preserve"> su lugar, declaró la improcedencia</w:t>
      </w:r>
      <w:r w:rsidR="00586780" w:rsidRPr="00793402">
        <w:rPr>
          <w:color w:val="000000" w:themeColor="text1"/>
          <w:sz w:val="28"/>
          <w:szCs w:val="28"/>
        </w:rPr>
        <w:t xml:space="preserve"> </w:t>
      </w:r>
      <w:r w:rsidR="00A24274" w:rsidRPr="00793402">
        <w:rPr>
          <w:color w:val="000000" w:themeColor="text1"/>
          <w:sz w:val="28"/>
          <w:szCs w:val="28"/>
        </w:rPr>
        <w:t xml:space="preserve">del amparo solicitado por la señora Blanca </w:t>
      </w:r>
      <w:proofErr w:type="spellStart"/>
      <w:r w:rsidR="00A24274" w:rsidRPr="00793402">
        <w:rPr>
          <w:color w:val="000000" w:themeColor="text1"/>
          <w:sz w:val="28"/>
          <w:szCs w:val="28"/>
        </w:rPr>
        <w:t>Bellanid</w:t>
      </w:r>
      <w:proofErr w:type="spellEnd"/>
      <w:r w:rsidR="00A24274" w:rsidRPr="00793402">
        <w:rPr>
          <w:color w:val="000000" w:themeColor="text1"/>
          <w:sz w:val="28"/>
          <w:szCs w:val="28"/>
        </w:rPr>
        <w:t xml:space="preserve"> </w:t>
      </w:r>
      <w:proofErr w:type="spellStart"/>
      <w:r w:rsidR="00A24274" w:rsidRPr="00793402">
        <w:rPr>
          <w:color w:val="000000" w:themeColor="text1"/>
          <w:sz w:val="28"/>
          <w:szCs w:val="28"/>
        </w:rPr>
        <w:t>Galíndez</w:t>
      </w:r>
      <w:proofErr w:type="spellEnd"/>
      <w:r w:rsidR="00A24274" w:rsidRPr="00793402">
        <w:rPr>
          <w:color w:val="000000" w:themeColor="text1"/>
          <w:sz w:val="28"/>
          <w:szCs w:val="28"/>
        </w:rPr>
        <w:t xml:space="preserve"> Joven</w:t>
      </w:r>
      <w:r w:rsidR="00D72C7B" w:rsidRPr="00793402">
        <w:rPr>
          <w:color w:val="000000" w:themeColor="text1"/>
          <w:sz w:val="28"/>
          <w:szCs w:val="28"/>
        </w:rPr>
        <w:t xml:space="preserve"> contra la Secretaría de Educación Departamental de Putumayo</w:t>
      </w:r>
      <w:r w:rsidR="00586780" w:rsidRPr="00793402">
        <w:rPr>
          <w:color w:val="000000" w:themeColor="text1"/>
          <w:sz w:val="28"/>
          <w:szCs w:val="28"/>
        </w:rPr>
        <w:t>.</w:t>
      </w:r>
    </w:p>
    <w:p w14:paraId="7F87CAFA" w14:textId="77777777" w:rsidR="00685BB4" w:rsidRPr="00793402" w:rsidRDefault="00685BB4" w:rsidP="00685BB4">
      <w:pPr>
        <w:jc w:val="both"/>
        <w:rPr>
          <w:color w:val="000000" w:themeColor="text1"/>
          <w:sz w:val="28"/>
          <w:szCs w:val="28"/>
          <w:lang w:eastAsia="es-ES"/>
        </w:rPr>
      </w:pPr>
    </w:p>
    <w:p w14:paraId="1DCF5961" w14:textId="1AA54048" w:rsidR="00926126" w:rsidRPr="00793402" w:rsidRDefault="00A52153" w:rsidP="00A24274">
      <w:pPr>
        <w:pStyle w:val="NormalWeb"/>
        <w:spacing w:before="0" w:beforeAutospacing="0" w:after="0" w:afterAutospacing="0"/>
        <w:jc w:val="both"/>
        <w:rPr>
          <w:rFonts w:eastAsia="Calibri"/>
          <w:color w:val="000000" w:themeColor="text1"/>
          <w:sz w:val="28"/>
          <w:szCs w:val="28"/>
          <w:lang w:eastAsia="en-US"/>
        </w:rPr>
      </w:pPr>
      <w:r w:rsidRPr="00793402">
        <w:rPr>
          <w:color w:val="000000" w:themeColor="text1"/>
          <w:sz w:val="28"/>
          <w:szCs w:val="28"/>
          <w:lang w:val="es-ES_tradnl"/>
        </w:rPr>
        <w:t xml:space="preserve">2. </w:t>
      </w:r>
      <w:r w:rsidR="00685BB4" w:rsidRPr="00793402">
        <w:rPr>
          <w:color w:val="000000" w:themeColor="text1"/>
          <w:sz w:val="28"/>
          <w:szCs w:val="28"/>
          <w:lang w:val="es-ES_tradnl"/>
        </w:rPr>
        <w:t xml:space="preserve">El asunto llegó a la Corte en cumplimiento de lo dispuesto </w:t>
      </w:r>
      <w:r w:rsidR="00D72C7B" w:rsidRPr="00793402">
        <w:rPr>
          <w:color w:val="000000" w:themeColor="text1"/>
          <w:sz w:val="28"/>
          <w:szCs w:val="28"/>
          <w:lang w:val="es-ES_tradnl"/>
        </w:rPr>
        <w:t xml:space="preserve">por </w:t>
      </w:r>
      <w:r w:rsidR="00685BB4" w:rsidRPr="00793402">
        <w:rPr>
          <w:color w:val="000000" w:themeColor="text1"/>
          <w:sz w:val="28"/>
          <w:szCs w:val="28"/>
          <w:lang w:val="es-ES_tradnl"/>
        </w:rPr>
        <w:t>el artículo 31 del Decreto 2591 de 1991. El 2</w:t>
      </w:r>
      <w:r w:rsidR="00A24274" w:rsidRPr="00793402">
        <w:rPr>
          <w:color w:val="000000" w:themeColor="text1"/>
          <w:sz w:val="28"/>
          <w:szCs w:val="28"/>
          <w:lang w:val="es-ES_tradnl"/>
        </w:rPr>
        <w:t>8</w:t>
      </w:r>
      <w:r w:rsidR="00685BB4" w:rsidRPr="00793402">
        <w:rPr>
          <w:color w:val="000000" w:themeColor="text1"/>
          <w:sz w:val="28"/>
          <w:szCs w:val="28"/>
          <w:lang w:val="es-ES_tradnl"/>
        </w:rPr>
        <w:t xml:space="preserve"> de </w:t>
      </w:r>
      <w:r w:rsidR="00A24274" w:rsidRPr="00793402">
        <w:rPr>
          <w:color w:val="000000" w:themeColor="text1"/>
          <w:sz w:val="28"/>
          <w:szCs w:val="28"/>
          <w:lang w:val="es-ES_tradnl"/>
        </w:rPr>
        <w:t>octubre</w:t>
      </w:r>
      <w:r w:rsidR="00685BB4" w:rsidRPr="00793402">
        <w:rPr>
          <w:color w:val="000000" w:themeColor="text1"/>
          <w:sz w:val="28"/>
          <w:szCs w:val="28"/>
          <w:lang w:val="es-ES_tradnl"/>
        </w:rPr>
        <w:t xml:space="preserve"> de 2022, la Sala de Selección de </w:t>
      </w:r>
      <w:r w:rsidR="00685BB4" w:rsidRPr="00793402">
        <w:rPr>
          <w:color w:val="000000" w:themeColor="text1"/>
          <w:sz w:val="28"/>
          <w:szCs w:val="28"/>
          <w:lang w:val="es-ES_tradnl"/>
        </w:rPr>
        <w:lastRenderedPageBreak/>
        <w:t xml:space="preserve">Tutelas </w:t>
      </w:r>
      <w:r w:rsidR="00586780" w:rsidRPr="00793402">
        <w:rPr>
          <w:color w:val="000000" w:themeColor="text1"/>
          <w:sz w:val="28"/>
          <w:szCs w:val="28"/>
          <w:lang w:val="es-ES_tradnl"/>
        </w:rPr>
        <w:t>No. 10</w:t>
      </w:r>
      <w:r w:rsidR="00685BB4" w:rsidRPr="00793402">
        <w:rPr>
          <w:color w:val="000000" w:themeColor="text1"/>
          <w:sz w:val="28"/>
          <w:szCs w:val="28"/>
          <w:lang w:val="es-ES_tradnl"/>
        </w:rPr>
        <w:t xml:space="preserve"> de esta Corporación </w:t>
      </w:r>
      <w:r w:rsidR="00D72C7B" w:rsidRPr="00793402">
        <w:rPr>
          <w:color w:val="000000" w:themeColor="text1"/>
          <w:sz w:val="28"/>
          <w:szCs w:val="28"/>
          <w:lang w:val="es-ES_tradnl"/>
        </w:rPr>
        <w:t xml:space="preserve">lo </w:t>
      </w:r>
      <w:r w:rsidR="00685BB4" w:rsidRPr="00793402">
        <w:rPr>
          <w:color w:val="000000" w:themeColor="text1"/>
          <w:sz w:val="28"/>
          <w:szCs w:val="28"/>
          <w:lang w:val="es-ES_tradnl"/>
        </w:rPr>
        <w:t>escogió para su revisión</w:t>
      </w:r>
      <w:r w:rsidR="00685BB4" w:rsidRPr="00793402">
        <w:rPr>
          <w:rStyle w:val="Refdenotaalpie"/>
          <w:color w:val="000000" w:themeColor="text1"/>
          <w:sz w:val="28"/>
          <w:szCs w:val="28"/>
          <w:lang w:val="es-ES_tradnl"/>
        </w:rPr>
        <w:footnoteReference w:id="1"/>
      </w:r>
      <w:r w:rsidR="00685BB4" w:rsidRPr="00793402">
        <w:rPr>
          <w:color w:val="000000" w:themeColor="text1"/>
          <w:sz w:val="28"/>
          <w:szCs w:val="28"/>
          <w:lang w:val="es-ES_tradnl"/>
        </w:rPr>
        <w:t>. El 1</w:t>
      </w:r>
      <w:r w:rsidR="00A24274" w:rsidRPr="00793402">
        <w:rPr>
          <w:color w:val="000000" w:themeColor="text1"/>
          <w:sz w:val="28"/>
          <w:szCs w:val="28"/>
          <w:lang w:val="es-ES_tradnl"/>
        </w:rPr>
        <w:t>5</w:t>
      </w:r>
      <w:r w:rsidR="00685BB4" w:rsidRPr="00793402">
        <w:rPr>
          <w:color w:val="000000" w:themeColor="text1"/>
          <w:sz w:val="28"/>
          <w:szCs w:val="28"/>
          <w:lang w:val="es-ES_tradnl"/>
        </w:rPr>
        <w:t xml:space="preserve"> de </w:t>
      </w:r>
      <w:r w:rsidR="00A24274" w:rsidRPr="00793402">
        <w:rPr>
          <w:color w:val="000000" w:themeColor="text1"/>
          <w:sz w:val="28"/>
          <w:szCs w:val="28"/>
          <w:lang w:val="es-ES_tradnl"/>
        </w:rPr>
        <w:t>noviembre</w:t>
      </w:r>
      <w:r w:rsidR="00685BB4" w:rsidRPr="00793402">
        <w:rPr>
          <w:color w:val="000000" w:themeColor="text1"/>
          <w:sz w:val="28"/>
          <w:szCs w:val="28"/>
          <w:lang w:val="es-ES_tradnl"/>
        </w:rPr>
        <w:t xml:space="preserve"> de 2022, l</w:t>
      </w:r>
      <w:r w:rsidR="00685BB4" w:rsidRPr="00793402">
        <w:rPr>
          <w:rFonts w:eastAsia="Calibri"/>
          <w:color w:val="000000" w:themeColor="text1"/>
          <w:sz w:val="28"/>
          <w:szCs w:val="28"/>
          <w:lang w:eastAsia="en-US"/>
        </w:rPr>
        <w:t xml:space="preserve">a Secretaría General </w:t>
      </w:r>
      <w:r w:rsidR="00513D70" w:rsidRPr="00793402">
        <w:rPr>
          <w:rFonts w:eastAsia="Calibri"/>
          <w:color w:val="000000" w:themeColor="text1"/>
          <w:sz w:val="28"/>
          <w:szCs w:val="28"/>
          <w:lang w:eastAsia="en-US"/>
        </w:rPr>
        <w:t xml:space="preserve">de esta Corporación </w:t>
      </w:r>
      <w:r w:rsidR="00685BB4" w:rsidRPr="00793402">
        <w:rPr>
          <w:rFonts w:eastAsia="Calibri"/>
          <w:color w:val="000000" w:themeColor="text1"/>
          <w:sz w:val="28"/>
          <w:szCs w:val="28"/>
          <w:lang w:eastAsia="en-US"/>
        </w:rPr>
        <w:t xml:space="preserve">remitió el expediente al despacho del </w:t>
      </w:r>
      <w:r w:rsidR="00D72C7B" w:rsidRPr="00793402">
        <w:rPr>
          <w:rFonts w:eastAsia="Calibri"/>
          <w:color w:val="000000" w:themeColor="text1"/>
          <w:sz w:val="28"/>
          <w:szCs w:val="28"/>
          <w:lang w:eastAsia="en-US"/>
        </w:rPr>
        <w:t xml:space="preserve">magistrado sustanciador </w:t>
      </w:r>
      <w:r w:rsidR="00F5205D" w:rsidRPr="00793402">
        <w:rPr>
          <w:rFonts w:eastAsia="Calibri"/>
          <w:color w:val="000000" w:themeColor="text1"/>
          <w:sz w:val="28"/>
          <w:szCs w:val="28"/>
          <w:lang w:eastAsia="en-US"/>
        </w:rPr>
        <w:t>encargado en ese momento</w:t>
      </w:r>
      <w:r w:rsidR="00F5205D" w:rsidRPr="00793402">
        <w:rPr>
          <w:rStyle w:val="Refdenotaalpie"/>
          <w:rFonts w:eastAsia="Calibri"/>
          <w:color w:val="000000" w:themeColor="text1"/>
          <w:sz w:val="28"/>
          <w:szCs w:val="28"/>
          <w:lang w:eastAsia="en-US"/>
        </w:rPr>
        <w:footnoteReference w:id="2"/>
      </w:r>
      <w:r w:rsidR="00685BB4" w:rsidRPr="00793402">
        <w:rPr>
          <w:rFonts w:eastAsia="Calibri"/>
          <w:color w:val="000000" w:themeColor="text1"/>
          <w:sz w:val="28"/>
          <w:szCs w:val="28"/>
          <w:lang w:eastAsia="en-US"/>
        </w:rPr>
        <w:t>, para lo de su competencia</w:t>
      </w:r>
      <w:r w:rsidR="00685BB4" w:rsidRPr="00793402">
        <w:rPr>
          <w:rStyle w:val="Refdenotaalpie"/>
          <w:rFonts w:eastAsia="Calibri"/>
          <w:color w:val="000000" w:themeColor="text1"/>
          <w:sz w:val="28"/>
          <w:szCs w:val="28"/>
          <w:lang w:eastAsia="en-US"/>
        </w:rPr>
        <w:footnoteReference w:id="3"/>
      </w:r>
      <w:r w:rsidR="00685BB4" w:rsidRPr="00793402">
        <w:rPr>
          <w:rFonts w:eastAsia="Calibri"/>
          <w:color w:val="000000" w:themeColor="text1"/>
          <w:sz w:val="28"/>
          <w:szCs w:val="28"/>
          <w:lang w:eastAsia="en-US"/>
        </w:rPr>
        <w:t>.</w:t>
      </w:r>
      <w:bookmarkEnd w:id="2"/>
    </w:p>
    <w:p w14:paraId="44F5448F" w14:textId="77777777" w:rsidR="00F5205D" w:rsidRPr="00793402" w:rsidRDefault="00F5205D" w:rsidP="00A24274">
      <w:pPr>
        <w:pStyle w:val="NormalWeb"/>
        <w:spacing w:before="0" w:beforeAutospacing="0" w:after="0" w:afterAutospacing="0"/>
        <w:jc w:val="both"/>
        <w:rPr>
          <w:rFonts w:eastAsia="Calibri"/>
          <w:color w:val="000000" w:themeColor="text1"/>
          <w:sz w:val="28"/>
          <w:szCs w:val="28"/>
          <w:lang w:eastAsia="en-US"/>
        </w:rPr>
      </w:pPr>
    </w:p>
    <w:p w14:paraId="1D8035EA" w14:textId="77777777" w:rsidR="00685BB4" w:rsidRPr="00793402" w:rsidRDefault="00685BB4" w:rsidP="00685BB4">
      <w:pPr>
        <w:pStyle w:val="Prrafodelista"/>
        <w:widowControl w:val="0"/>
        <w:numPr>
          <w:ilvl w:val="0"/>
          <w:numId w:val="25"/>
        </w:numPr>
        <w:tabs>
          <w:tab w:val="left" w:pos="284"/>
        </w:tabs>
        <w:ind w:left="0" w:firstLine="0"/>
        <w:rPr>
          <w:b/>
          <w:color w:val="000000" w:themeColor="text1"/>
          <w:sz w:val="28"/>
          <w:szCs w:val="28"/>
        </w:rPr>
      </w:pPr>
      <w:r w:rsidRPr="00793402">
        <w:rPr>
          <w:b/>
          <w:color w:val="000000" w:themeColor="text1"/>
          <w:sz w:val="28"/>
          <w:szCs w:val="28"/>
        </w:rPr>
        <w:t>ANTECEDENTES</w:t>
      </w:r>
    </w:p>
    <w:p w14:paraId="5AA10781" w14:textId="77777777" w:rsidR="00685BB4" w:rsidRPr="00793402" w:rsidRDefault="00685BB4" w:rsidP="00685BB4">
      <w:pPr>
        <w:widowControl w:val="0"/>
        <w:tabs>
          <w:tab w:val="left" w:pos="284"/>
        </w:tabs>
        <w:rPr>
          <w:b/>
          <w:color w:val="000000" w:themeColor="text1"/>
          <w:sz w:val="28"/>
          <w:szCs w:val="28"/>
        </w:rPr>
      </w:pPr>
    </w:p>
    <w:p w14:paraId="6EA9D439" w14:textId="742AB02D" w:rsidR="00685BB4" w:rsidRPr="00793402" w:rsidRDefault="00A52153" w:rsidP="00685BB4">
      <w:pPr>
        <w:widowControl w:val="0"/>
        <w:tabs>
          <w:tab w:val="left" w:pos="284"/>
        </w:tabs>
        <w:jc w:val="both"/>
        <w:rPr>
          <w:bCs/>
          <w:color w:val="000000" w:themeColor="text1"/>
          <w:sz w:val="28"/>
          <w:szCs w:val="28"/>
        </w:rPr>
      </w:pPr>
      <w:r w:rsidRPr="00793402">
        <w:rPr>
          <w:bCs/>
          <w:color w:val="000000" w:themeColor="text1"/>
          <w:sz w:val="28"/>
          <w:szCs w:val="28"/>
        </w:rPr>
        <w:t xml:space="preserve">3. </w:t>
      </w:r>
      <w:r w:rsidR="00685BB4" w:rsidRPr="00793402">
        <w:rPr>
          <w:bCs/>
          <w:color w:val="000000" w:themeColor="text1"/>
          <w:sz w:val="28"/>
          <w:szCs w:val="28"/>
        </w:rPr>
        <w:t xml:space="preserve">El </w:t>
      </w:r>
      <w:r w:rsidR="00A24274" w:rsidRPr="00793402">
        <w:rPr>
          <w:bCs/>
          <w:color w:val="000000" w:themeColor="text1"/>
          <w:sz w:val="28"/>
          <w:szCs w:val="28"/>
        </w:rPr>
        <w:t>2</w:t>
      </w:r>
      <w:r w:rsidR="00F46C4C" w:rsidRPr="00793402">
        <w:rPr>
          <w:bCs/>
          <w:color w:val="000000" w:themeColor="text1"/>
          <w:sz w:val="28"/>
          <w:szCs w:val="28"/>
        </w:rPr>
        <w:t>8</w:t>
      </w:r>
      <w:r w:rsidR="00685BB4" w:rsidRPr="00793402">
        <w:rPr>
          <w:bCs/>
          <w:color w:val="000000" w:themeColor="text1"/>
          <w:sz w:val="28"/>
          <w:szCs w:val="28"/>
        </w:rPr>
        <w:t xml:space="preserve"> de </w:t>
      </w:r>
      <w:r w:rsidR="00A24274" w:rsidRPr="00793402">
        <w:rPr>
          <w:bCs/>
          <w:color w:val="000000" w:themeColor="text1"/>
          <w:sz w:val="28"/>
          <w:szCs w:val="28"/>
        </w:rPr>
        <w:t>junio</w:t>
      </w:r>
      <w:r w:rsidR="00685BB4" w:rsidRPr="00793402">
        <w:rPr>
          <w:bCs/>
          <w:color w:val="000000" w:themeColor="text1"/>
          <w:sz w:val="28"/>
          <w:szCs w:val="28"/>
        </w:rPr>
        <w:t xml:space="preserve"> de 202</w:t>
      </w:r>
      <w:r w:rsidR="00A24274" w:rsidRPr="00793402">
        <w:rPr>
          <w:bCs/>
          <w:color w:val="000000" w:themeColor="text1"/>
          <w:sz w:val="28"/>
          <w:szCs w:val="28"/>
        </w:rPr>
        <w:t>2</w:t>
      </w:r>
      <w:r w:rsidR="00685BB4" w:rsidRPr="00793402">
        <w:rPr>
          <w:bCs/>
          <w:color w:val="000000" w:themeColor="text1"/>
          <w:sz w:val="28"/>
          <w:szCs w:val="28"/>
        </w:rPr>
        <w:t xml:space="preserve">, </w:t>
      </w:r>
      <w:r w:rsidR="00513D70" w:rsidRPr="00793402">
        <w:rPr>
          <w:bCs/>
          <w:color w:val="000000" w:themeColor="text1"/>
          <w:sz w:val="28"/>
          <w:szCs w:val="28"/>
        </w:rPr>
        <w:t xml:space="preserve">la demandante </w:t>
      </w:r>
      <w:r w:rsidR="00586780" w:rsidRPr="00793402">
        <w:rPr>
          <w:bCs/>
          <w:color w:val="000000" w:themeColor="text1"/>
          <w:sz w:val="28"/>
          <w:szCs w:val="28"/>
        </w:rPr>
        <w:t>presentó acción de tutela</w:t>
      </w:r>
      <w:r w:rsidR="00A24274" w:rsidRPr="00793402">
        <w:rPr>
          <w:bCs/>
          <w:color w:val="000000" w:themeColor="text1"/>
          <w:sz w:val="28"/>
          <w:szCs w:val="28"/>
        </w:rPr>
        <w:t xml:space="preserve"> en contra de la Secretaría de Educación Departamental de Putumayo (en adelante SED).</w:t>
      </w:r>
      <w:r w:rsidR="00852459" w:rsidRPr="00793402">
        <w:rPr>
          <w:bCs/>
          <w:color w:val="000000" w:themeColor="text1"/>
          <w:sz w:val="28"/>
          <w:szCs w:val="28"/>
        </w:rPr>
        <w:t xml:space="preserve"> </w:t>
      </w:r>
      <w:r w:rsidR="00F36DCB" w:rsidRPr="00793402">
        <w:rPr>
          <w:bCs/>
          <w:color w:val="000000" w:themeColor="text1"/>
          <w:sz w:val="28"/>
          <w:szCs w:val="28"/>
        </w:rPr>
        <w:t>L</w:t>
      </w:r>
      <w:r w:rsidR="00A24274" w:rsidRPr="00793402">
        <w:rPr>
          <w:bCs/>
          <w:color w:val="000000" w:themeColor="text1"/>
          <w:sz w:val="28"/>
          <w:szCs w:val="28"/>
        </w:rPr>
        <w:t>a accionante consideró que la entidad demandada vulneró sus derechos fundamentales a la igualdad, al trabajo, a la seguridad social, a la estabilidad laboral reforzada, al debido proceso y al mínimo vital</w:t>
      </w:r>
      <w:r w:rsidR="00DD78F7" w:rsidRPr="00793402">
        <w:rPr>
          <w:bCs/>
          <w:color w:val="000000" w:themeColor="text1"/>
          <w:sz w:val="28"/>
          <w:szCs w:val="28"/>
        </w:rPr>
        <w:t>. Lo expuesto</w:t>
      </w:r>
      <w:r w:rsidR="00D72C7B" w:rsidRPr="00793402">
        <w:rPr>
          <w:bCs/>
          <w:color w:val="000000" w:themeColor="text1"/>
          <w:sz w:val="28"/>
          <w:szCs w:val="28"/>
        </w:rPr>
        <w:t>,</w:t>
      </w:r>
      <w:r w:rsidR="00DD78F7" w:rsidRPr="00793402">
        <w:rPr>
          <w:bCs/>
          <w:color w:val="000000" w:themeColor="text1"/>
          <w:sz w:val="28"/>
          <w:szCs w:val="28"/>
        </w:rPr>
        <w:t xml:space="preserve"> porque</w:t>
      </w:r>
      <w:r w:rsidR="00A24274" w:rsidRPr="00793402">
        <w:rPr>
          <w:bCs/>
          <w:color w:val="000000" w:themeColor="text1"/>
          <w:sz w:val="28"/>
          <w:szCs w:val="28"/>
        </w:rPr>
        <w:t xml:space="preserve"> aquella finalizó su vínculo laboral sin tener en cuenta su condición de </w:t>
      </w:r>
      <w:proofErr w:type="spellStart"/>
      <w:r w:rsidR="00A24274" w:rsidRPr="00793402">
        <w:rPr>
          <w:bCs/>
          <w:color w:val="000000" w:themeColor="text1"/>
          <w:sz w:val="28"/>
          <w:szCs w:val="28"/>
        </w:rPr>
        <w:t>prepensionada</w:t>
      </w:r>
      <w:proofErr w:type="spellEnd"/>
      <w:r w:rsidR="00685BB4" w:rsidRPr="00793402">
        <w:rPr>
          <w:rStyle w:val="Refdenotaalpie"/>
          <w:bCs/>
          <w:color w:val="000000" w:themeColor="text1"/>
          <w:sz w:val="28"/>
          <w:szCs w:val="28"/>
        </w:rPr>
        <w:footnoteReference w:id="4"/>
      </w:r>
      <w:r w:rsidR="00586780" w:rsidRPr="00793402">
        <w:rPr>
          <w:bCs/>
          <w:color w:val="000000" w:themeColor="text1"/>
          <w:sz w:val="28"/>
          <w:szCs w:val="28"/>
        </w:rPr>
        <w:t>.</w:t>
      </w:r>
    </w:p>
    <w:p w14:paraId="043F9249" w14:textId="77777777" w:rsidR="00685BB4" w:rsidRPr="00793402" w:rsidRDefault="00685BB4" w:rsidP="00685BB4">
      <w:pPr>
        <w:widowControl w:val="0"/>
        <w:jc w:val="both"/>
        <w:rPr>
          <w:b/>
          <w:color w:val="000000" w:themeColor="text1"/>
          <w:sz w:val="28"/>
          <w:szCs w:val="28"/>
        </w:rPr>
      </w:pPr>
    </w:p>
    <w:p w14:paraId="15DBAC80" w14:textId="77777777" w:rsidR="00685BB4" w:rsidRPr="00793402" w:rsidRDefault="00685BB4" w:rsidP="00685BB4">
      <w:pPr>
        <w:widowControl w:val="0"/>
        <w:jc w:val="both"/>
        <w:rPr>
          <w:b/>
          <w:color w:val="000000" w:themeColor="text1"/>
          <w:sz w:val="28"/>
          <w:szCs w:val="28"/>
        </w:rPr>
      </w:pPr>
      <w:r w:rsidRPr="00793402">
        <w:rPr>
          <w:b/>
          <w:color w:val="000000" w:themeColor="text1"/>
          <w:sz w:val="28"/>
          <w:szCs w:val="28"/>
        </w:rPr>
        <w:t>Hechos y pretensiones</w:t>
      </w:r>
    </w:p>
    <w:p w14:paraId="277563E6" w14:textId="77777777" w:rsidR="00685BB4" w:rsidRPr="00793402" w:rsidRDefault="00685BB4" w:rsidP="00685BB4">
      <w:pPr>
        <w:pStyle w:val="NormalWeb"/>
        <w:widowControl w:val="0"/>
        <w:spacing w:before="0" w:beforeAutospacing="0" w:after="0" w:afterAutospacing="0"/>
        <w:contextualSpacing/>
        <w:jc w:val="both"/>
        <w:rPr>
          <w:color w:val="000000" w:themeColor="text1"/>
          <w:sz w:val="28"/>
          <w:szCs w:val="28"/>
        </w:rPr>
      </w:pPr>
    </w:p>
    <w:p w14:paraId="59B64917" w14:textId="24B5AAA8" w:rsidR="00A40047" w:rsidRPr="00793402" w:rsidRDefault="00A52153" w:rsidP="00A40047">
      <w:pPr>
        <w:pStyle w:val="NormalWeb"/>
        <w:widowControl w:val="0"/>
        <w:spacing w:before="0" w:beforeAutospacing="0" w:after="0" w:afterAutospacing="0"/>
        <w:contextualSpacing/>
        <w:jc w:val="both"/>
        <w:rPr>
          <w:color w:val="000000" w:themeColor="text1"/>
          <w:sz w:val="28"/>
          <w:szCs w:val="28"/>
        </w:rPr>
      </w:pPr>
      <w:r w:rsidRPr="00793402">
        <w:rPr>
          <w:color w:val="000000" w:themeColor="text1"/>
          <w:sz w:val="28"/>
          <w:szCs w:val="28"/>
        </w:rPr>
        <w:t>4</w:t>
      </w:r>
      <w:r w:rsidR="00D87876" w:rsidRPr="00793402">
        <w:rPr>
          <w:color w:val="000000" w:themeColor="text1"/>
          <w:sz w:val="28"/>
          <w:szCs w:val="28"/>
        </w:rPr>
        <w:t xml:space="preserve">. </w:t>
      </w:r>
      <w:r w:rsidR="00513D70" w:rsidRPr="00793402">
        <w:rPr>
          <w:i/>
          <w:iCs/>
          <w:color w:val="000000" w:themeColor="text1"/>
          <w:sz w:val="28"/>
          <w:szCs w:val="28"/>
        </w:rPr>
        <w:t>Las condiciones personales de la</w:t>
      </w:r>
      <w:r w:rsidR="00D363E5" w:rsidRPr="00793402">
        <w:rPr>
          <w:i/>
          <w:iCs/>
          <w:color w:val="000000" w:themeColor="text1"/>
          <w:sz w:val="28"/>
          <w:szCs w:val="28"/>
        </w:rPr>
        <w:t xml:space="preserve"> accionante</w:t>
      </w:r>
      <w:r w:rsidR="006D1FCD" w:rsidRPr="00793402">
        <w:rPr>
          <w:i/>
          <w:iCs/>
          <w:color w:val="000000" w:themeColor="text1"/>
          <w:sz w:val="28"/>
          <w:szCs w:val="28"/>
        </w:rPr>
        <w:t xml:space="preserve"> y sus antecedentes laborales</w:t>
      </w:r>
      <w:r w:rsidR="00D363E5" w:rsidRPr="00793402">
        <w:rPr>
          <w:color w:val="000000" w:themeColor="text1"/>
          <w:sz w:val="28"/>
          <w:szCs w:val="28"/>
        </w:rPr>
        <w:t xml:space="preserve">. </w:t>
      </w:r>
      <w:r w:rsidR="00D87876" w:rsidRPr="00793402">
        <w:rPr>
          <w:color w:val="000000" w:themeColor="text1"/>
          <w:sz w:val="28"/>
          <w:szCs w:val="28"/>
        </w:rPr>
        <w:t xml:space="preserve">La </w:t>
      </w:r>
      <w:r w:rsidR="00513D70" w:rsidRPr="00793402">
        <w:rPr>
          <w:color w:val="000000" w:themeColor="text1"/>
          <w:sz w:val="28"/>
          <w:szCs w:val="28"/>
        </w:rPr>
        <w:t>peticionaria</w:t>
      </w:r>
      <w:r w:rsidR="00D87876" w:rsidRPr="00793402">
        <w:rPr>
          <w:color w:val="000000" w:themeColor="text1"/>
          <w:sz w:val="28"/>
          <w:szCs w:val="28"/>
        </w:rPr>
        <w:t xml:space="preserve"> tiene </w:t>
      </w:r>
      <w:r w:rsidR="000B71AB" w:rsidRPr="00793402">
        <w:rPr>
          <w:color w:val="000000" w:themeColor="text1"/>
          <w:sz w:val="28"/>
          <w:szCs w:val="28"/>
        </w:rPr>
        <w:t>60</w:t>
      </w:r>
      <w:r w:rsidR="00D87876" w:rsidRPr="00793402">
        <w:rPr>
          <w:color w:val="000000" w:themeColor="text1"/>
          <w:sz w:val="28"/>
          <w:szCs w:val="28"/>
        </w:rPr>
        <w:t xml:space="preserve"> años</w:t>
      </w:r>
      <w:r w:rsidR="00D87876" w:rsidRPr="00793402">
        <w:rPr>
          <w:rStyle w:val="Refdenotaalpie"/>
          <w:color w:val="000000" w:themeColor="text1"/>
          <w:sz w:val="28"/>
          <w:szCs w:val="28"/>
        </w:rPr>
        <w:footnoteReference w:id="5"/>
      </w:r>
      <w:r w:rsidR="00D87876" w:rsidRPr="00793402">
        <w:rPr>
          <w:color w:val="000000" w:themeColor="text1"/>
          <w:sz w:val="28"/>
          <w:szCs w:val="28"/>
        </w:rPr>
        <w:t>.</w:t>
      </w:r>
      <w:r w:rsidR="006D1FCD" w:rsidRPr="00793402">
        <w:rPr>
          <w:color w:val="000000" w:themeColor="text1"/>
          <w:sz w:val="28"/>
          <w:szCs w:val="28"/>
        </w:rPr>
        <w:t xml:space="preserve"> </w:t>
      </w:r>
      <w:r w:rsidR="00A7006D" w:rsidRPr="00793402">
        <w:rPr>
          <w:color w:val="000000" w:themeColor="text1"/>
          <w:sz w:val="28"/>
          <w:szCs w:val="28"/>
        </w:rPr>
        <w:t>Su último empleo fue con la SED en el cargo de Auxiliar de Servicios Generales en la Institución Educativa José María Hernández</w:t>
      </w:r>
      <w:r w:rsidR="00A7006D" w:rsidRPr="00793402">
        <w:rPr>
          <w:rStyle w:val="Refdenotaalpie"/>
          <w:color w:val="000000" w:themeColor="text1"/>
          <w:sz w:val="28"/>
          <w:szCs w:val="28"/>
        </w:rPr>
        <w:footnoteReference w:id="6"/>
      </w:r>
      <w:r w:rsidR="00D72C7B" w:rsidRPr="00793402">
        <w:rPr>
          <w:color w:val="000000" w:themeColor="text1"/>
          <w:sz w:val="28"/>
          <w:szCs w:val="28"/>
        </w:rPr>
        <w:t>,</w:t>
      </w:r>
      <w:r w:rsidR="00A7006D" w:rsidRPr="00793402">
        <w:rPr>
          <w:color w:val="000000" w:themeColor="text1"/>
          <w:sz w:val="28"/>
          <w:szCs w:val="28"/>
        </w:rPr>
        <w:t xml:space="preserve"> ubicada en Puerto </w:t>
      </w:r>
      <w:proofErr w:type="spellStart"/>
      <w:r w:rsidR="00A7006D" w:rsidRPr="00793402">
        <w:rPr>
          <w:color w:val="000000" w:themeColor="text1"/>
          <w:sz w:val="28"/>
          <w:szCs w:val="28"/>
        </w:rPr>
        <w:t>Leguízamo</w:t>
      </w:r>
      <w:proofErr w:type="spellEnd"/>
      <w:r w:rsidR="00A7006D" w:rsidRPr="00793402">
        <w:rPr>
          <w:color w:val="000000" w:themeColor="text1"/>
          <w:sz w:val="28"/>
          <w:szCs w:val="28"/>
        </w:rPr>
        <w:t xml:space="preserve"> (Putumayo)</w:t>
      </w:r>
      <w:r w:rsidR="00513D70" w:rsidRPr="00793402">
        <w:rPr>
          <w:color w:val="000000" w:themeColor="text1"/>
          <w:sz w:val="28"/>
          <w:szCs w:val="28"/>
        </w:rPr>
        <w:t>. Ella</w:t>
      </w:r>
      <w:r w:rsidR="00A7006D" w:rsidRPr="00793402">
        <w:rPr>
          <w:color w:val="000000" w:themeColor="text1"/>
          <w:sz w:val="28"/>
          <w:szCs w:val="28"/>
        </w:rPr>
        <w:t xml:space="preserve"> </w:t>
      </w:r>
      <w:r w:rsidR="00D72C7B" w:rsidRPr="00793402">
        <w:rPr>
          <w:color w:val="000000" w:themeColor="text1"/>
          <w:sz w:val="28"/>
          <w:szCs w:val="28"/>
        </w:rPr>
        <w:t xml:space="preserve">fue </w:t>
      </w:r>
      <w:r w:rsidR="00A7006D" w:rsidRPr="00793402">
        <w:rPr>
          <w:color w:val="000000" w:themeColor="text1"/>
          <w:sz w:val="28"/>
          <w:szCs w:val="28"/>
        </w:rPr>
        <w:t>nombrada en provisionalidad</w:t>
      </w:r>
      <w:r w:rsidR="00A7006D" w:rsidRPr="00793402">
        <w:rPr>
          <w:rStyle w:val="Refdenotaalpie"/>
          <w:color w:val="000000" w:themeColor="text1"/>
          <w:sz w:val="28"/>
          <w:szCs w:val="28"/>
        </w:rPr>
        <w:footnoteReference w:id="7"/>
      </w:r>
      <w:r w:rsidR="00A7006D" w:rsidRPr="00793402">
        <w:rPr>
          <w:color w:val="000000" w:themeColor="text1"/>
          <w:sz w:val="28"/>
          <w:szCs w:val="28"/>
        </w:rPr>
        <w:t xml:space="preserve"> </w:t>
      </w:r>
      <w:r w:rsidR="00D72C7B" w:rsidRPr="00793402">
        <w:rPr>
          <w:color w:val="000000" w:themeColor="text1"/>
          <w:sz w:val="28"/>
          <w:szCs w:val="28"/>
        </w:rPr>
        <w:t xml:space="preserve">y ejerció </w:t>
      </w:r>
      <w:r w:rsidR="00513D70" w:rsidRPr="00793402">
        <w:rPr>
          <w:color w:val="000000" w:themeColor="text1"/>
          <w:sz w:val="28"/>
          <w:szCs w:val="28"/>
        </w:rPr>
        <w:t>sus funciones entre</w:t>
      </w:r>
      <w:r w:rsidR="00A7006D" w:rsidRPr="00793402">
        <w:rPr>
          <w:color w:val="000000" w:themeColor="text1"/>
          <w:sz w:val="28"/>
          <w:szCs w:val="28"/>
        </w:rPr>
        <w:t xml:space="preserve"> el 15 de mayo de 1998 </w:t>
      </w:r>
      <w:r w:rsidR="00513D70" w:rsidRPr="00793402">
        <w:rPr>
          <w:color w:val="000000" w:themeColor="text1"/>
          <w:sz w:val="28"/>
          <w:szCs w:val="28"/>
        </w:rPr>
        <w:t>y</w:t>
      </w:r>
      <w:r w:rsidR="00A7006D" w:rsidRPr="00793402">
        <w:rPr>
          <w:color w:val="000000" w:themeColor="text1"/>
          <w:sz w:val="28"/>
          <w:szCs w:val="28"/>
        </w:rPr>
        <w:t xml:space="preserve"> el 15 de marzo de 2022</w:t>
      </w:r>
      <w:r w:rsidR="00C872BC" w:rsidRPr="00793402">
        <w:rPr>
          <w:color w:val="000000" w:themeColor="text1"/>
          <w:sz w:val="28"/>
          <w:szCs w:val="28"/>
        </w:rPr>
        <w:t xml:space="preserve"> con una asignación mensual neta de $3.385.928, la cual después de los descuentos se estimaba en $1,317,685.</w:t>
      </w:r>
      <w:r w:rsidR="00A7006D" w:rsidRPr="00793402">
        <w:rPr>
          <w:color w:val="000000" w:themeColor="text1"/>
          <w:sz w:val="28"/>
          <w:szCs w:val="28"/>
        </w:rPr>
        <w:t xml:space="preserve"> </w:t>
      </w:r>
      <w:r w:rsidR="00852459" w:rsidRPr="00793402">
        <w:rPr>
          <w:color w:val="000000" w:themeColor="text1"/>
          <w:sz w:val="28"/>
          <w:szCs w:val="28"/>
        </w:rPr>
        <w:t>De</w:t>
      </w:r>
      <w:r w:rsidR="00A40047" w:rsidRPr="00793402">
        <w:rPr>
          <w:color w:val="000000" w:themeColor="text1"/>
          <w:sz w:val="28"/>
          <w:szCs w:val="28"/>
        </w:rPr>
        <w:t xml:space="preserve"> acuerdo con </w:t>
      </w:r>
      <w:r w:rsidR="00D45E31" w:rsidRPr="00793402">
        <w:rPr>
          <w:color w:val="000000" w:themeColor="text1"/>
          <w:sz w:val="28"/>
          <w:szCs w:val="28"/>
        </w:rPr>
        <w:t>lo probado en el expediente</w:t>
      </w:r>
      <w:r w:rsidR="00A40047" w:rsidRPr="00793402">
        <w:rPr>
          <w:color w:val="000000" w:themeColor="text1"/>
          <w:sz w:val="28"/>
          <w:szCs w:val="28"/>
        </w:rPr>
        <w:t>, laboró durante los siguientes periodos</w:t>
      </w:r>
      <w:r w:rsidR="00A40047" w:rsidRPr="00793402">
        <w:rPr>
          <w:rStyle w:val="Refdenotaalpie"/>
          <w:color w:val="000000" w:themeColor="text1"/>
          <w:sz w:val="28"/>
          <w:szCs w:val="28"/>
        </w:rPr>
        <w:footnoteReference w:id="8"/>
      </w:r>
      <w:r w:rsidR="004873A6" w:rsidRPr="00793402">
        <w:rPr>
          <w:color w:val="000000" w:themeColor="text1"/>
          <w:sz w:val="28"/>
          <w:szCs w:val="28"/>
        </w:rPr>
        <w:t>:</w:t>
      </w:r>
    </w:p>
    <w:p w14:paraId="5852CF4F" w14:textId="411EDD2F" w:rsidR="00A40047" w:rsidRPr="00793402" w:rsidRDefault="00A40047" w:rsidP="00A40047">
      <w:pPr>
        <w:pStyle w:val="NormalWeb"/>
        <w:widowControl w:val="0"/>
        <w:spacing w:before="0" w:beforeAutospacing="0" w:after="0" w:afterAutospacing="0"/>
        <w:contextualSpacing/>
        <w:jc w:val="both"/>
        <w:rPr>
          <w:color w:val="000000" w:themeColor="text1"/>
          <w:sz w:val="28"/>
          <w:szCs w:val="28"/>
        </w:rPr>
      </w:pPr>
    </w:p>
    <w:tbl>
      <w:tblPr>
        <w:tblStyle w:val="Tablaconcuadrcula"/>
        <w:tblW w:w="7796" w:type="dxa"/>
        <w:tblInd w:w="421" w:type="dxa"/>
        <w:tblLook w:val="04A0" w:firstRow="1" w:lastRow="0" w:firstColumn="1" w:lastColumn="0" w:noHBand="0" w:noVBand="1"/>
      </w:tblPr>
      <w:tblGrid>
        <w:gridCol w:w="4528"/>
        <w:gridCol w:w="3268"/>
      </w:tblGrid>
      <w:tr w:rsidR="00EF05A8" w:rsidRPr="00793402" w14:paraId="1FF25E21" w14:textId="77777777" w:rsidTr="00C64EB3">
        <w:tc>
          <w:tcPr>
            <w:tcW w:w="4528" w:type="dxa"/>
          </w:tcPr>
          <w:p w14:paraId="330C0B5E" w14:textId="77777777" w:rsidR="00A40047" w:rsidRPr="00793402" w:rsidRDefault="00A40047" w:rsidP="00C64EB3">
            <w:pPr>
              <w:pStyle w:val="NormalWeb"/>
              <w:widowControl w:val="0"/>
              <w:contextualSpacing/>
              <w:jc w:val="center"/>
              <w:rPr>
                <w:b/>
                <w:bCs/>
                <w:color w:val="000000" w:themeColor="text1"/>
              </w:rPr>
            </w:pPr>
            <w:proofErr w:type="spellStart"/>
            <w:r w:rsidRPr="00793402">
              <w:rPr>
                <w:b/>
                <w:bCs/>
                <w:color w:val="000000" w:themeColor="text1"/>
              </w:rPr>
              <w:t>Empleador</w:t>
            </w:r>
            <w:proofErr w:type="spellEnd"/>
          </w:p>
        </w:tc>
        <w:tc>
          <w:tcPr>
            <w:tcW w:w="3268" w:type="dxa"/>
          </w:tcPr>
          <w:p w14:paraId="701CE7B8" w14:textId="77777777" w:rsidR="00A40047" w:rsidRPr="00793402" w:rsidRDefault="00A40047" w:rsidP="00C64EB3">
            <w:pPr>
              <w:pStyle w:val="NormalWeb"/>
              <w:widowControl w:val="0"/>
              <w:contextualSpacing/>
              <w:jc w:val="center"/>
              <w:rPr>
                <w:b/>
                <w:bCs/>
                <w:color w:val="000000" w:themeColor="text1"/>
              </w:rPr>
            </w:pPr>
            <w:r w:rsidRPr="00793402">
              <w:rPr>
                <w:b/>
                <w:bCs/>
                <w:color w:val="000000" w:themeColor="text1"/>
                <w:lang w:val="es-ES"/>
              </w:rPr>
              <w:t>Periodos</w:t>
            </w:r>
            <w:r w:rsidRPr="00793402">
              <w:rPr>
                <w:b/>
                <w:bCs/>
                <w:color w:val="000000" w:themeColor="text1"/>
              </w:rPr>
              <w:t xml:space="preserve"> </w:t>
            </w:r>
            <w:r w:rsidRPr="00793402">
              <w:rPr>
                <w:b/>
                <w:bCs/>
                <w:color w:val="000000" w:themeColor="text1"/>
                <w:lang w:val="es-ES"/>
              </w:rPr>
              <w:t>Laborados</w:t>
            </w:r>
          </w:p>
        </w:tc>
      </w:tr>
      <w:tr w:rsidR="00EF05A8" w:rsidRPr="00793402" w14:paraId="4D900559" w14:textId="77777777" w:rsidTr="00C64EB3">
        <w:tc>
          <w:tcPr>
            <w:tcW w:w="4528" w:type="dxa"/>
          </w:tcPr>
          <w:p w14:paraId="3011DB33" w14:textId="77777777" w:rsidR="00A40047" w:rsidRPr="00793402" w:rsidRDefault="00A40047" w:rsidP="00C64EB3">
            <w:pPr>
              <w:pStyle w:val="NormalWeb"/>
              <w:widowControl w:val="0"/>
              <w:contextualSpacing/>
              <w:rPr>
                <w:color w:val="000000" w:themeColor="text1"/>
              </w:rPr>
            </w:pPr>
            <w:proofErr w:type="spellStart"/>
            <w:r w:rsidRPr="00793402">
              <w:rPr>
                <w:color w:val="000000" w:themeColor="text1"/>
              </w:rPr>
              <w:t>Industrias</w:t>
            </w:r>
            <w:proofErr w:type="spellEnd"/>
            <w:r w:rsidRPr="00793402">
              <w:rPr>
                <w:color w:val="000000" w:themeColor="text1"/>
              </w:rPr>
              <w:t xml:space="preserve"> Cato S.A.</w:t>
            </w:r>
          </w:p>
        </w:tc>
        <w:tc>
          <w:tcPr>
            <w:tcW w:w="3268" w:type="dxa"/>
          </w:tcPr>
          <w:p w14:paraId="38130ABF" w14:textId="77777777" w:rsidR="00A40047" w:rsidRPr="00793402" w:rsidRDefault="00A40047" w:rsidP="00C64EB3">
            <w:pPr>
              <w:pStyle w:val="NormalWeb"/>
              <w:widowControl w:val="0"/>
              <w:contextualSpacing/>
              <w:rPr>
                <w:color w:val="000000" w:themeColor="text1"/>
              </w:rPr>
            </w:pPr>
            <w:r w:rsidRPr="00793402">
              <w:rPr>
                <w:color w:val="000000" w:themeColor="text1"/>
              </w:rPr>
              <w:t>27/07/1981 - 25/09/1981</w:t>
            </w:r>
          </w:p>
        </w:tc>
      </w:tr>
      <w:tr w:rsidR="00EF05A8" w:rsidRPr="00793402" w14:paraId="55059886" w14:textId="77777777" w:rsidTr="00C64EB3">
        <w:tc>
          <w:tcPr>
            <w:tcW w:w="4528" w:type="dxa"/>
          </w:tcPr>
          <w:p w14:paraId="2929F782" w14:textId="77777777" w:rsidR="00A40047" w:rsidRPr="00793402" w:rsidRDefault="00A40047" w:rsidP="00C64EB3">
            <w:pPr>
              <w:pStyle w:val="NormalWeb"/>
              <w:widowControl w:val="0"/>
              <w:contextualSpacing/>
              <w:rPr>
                <w:color w:val="000000" w:themeColor="text1"/>
              </w:rPr>
            </w:pPr>
            <w:proofErr w:type="spellStart"/>
            <w:r w:rsidRPr="00793402">
              <w:rPr>
                <w:color w:val="000000" w:themeColor="text1"/>
              </w:rPr>
              <w:t>Industrias</w:t>
            </w:r>
            <w:proofErr w:type="spellEnd"/>
            <w:r w:rsidRPr="00793402">
              <w:rPr>
                <w:color w:val="000000" w:themeColor="text1"/>
              </w:rPr>
              <w:t xml:space="preserve"> Cato S.A.</w:t>
            </w:r>
          </w:p>
        </w:tc>
        <w:tc>
          <w:tcPr>
            <w:tcW w:w="3268" w:type="dxa"/>
          </w:tcPr>
          <w:p w14:paraId="4A08F757" w14:textId="77777777" w:rsidR="00A40047" w:rsidRPr="00793402" w:rsidRDefault="00A40047" w:rsidP="00C64EB3">
            <w:pPr>
              <w:pStyle w:val="NormalWeb"/>
              <w:widowControl w:val="0"/>
              <w:contextualSpacing/>
              <w:rPr>
                <w:color w:val="000000" w:themeColor="text1"/>
              </w:rPr>
            </w:pPr>
            <w:r w:rsidRPr="00793402">
              <w:rPr>
                <w:color w:val="000000" w:themeColor="text1"/>
              </w:rPr>
              <w:t xml:space="preserve">26/04/1982 – 26/08/1982 </w:t>
            </w:r>
          </w:p>
        </w:tc>
      </w:tr>
      <w:tr w:rsidR="00EF05A8" w:rsidRPr="00793402" w14:paraId="4E7BA3CF" w14:textId="77777777" w:rsidTr="00C64EB3">
        <w:tc>
          <w:tcPr>
            <w:tcW w:w="4528" w:type="dxa"/>
          </w:tcPr>
          <w:p w14:paraId="52B9374D" w14:textId="77777777" w:rsidR="00A40047" w:rsidRPr="00793402" w:rsidRDefault="00A40047" w:rsidP="00C64EB3">
            <w:pPr>
              <w:pStyle w:val="NormalWeb"/>
              <w:widowControl w:val="0"/>
              <w:contextualSpacing/>
              <w:rPr>
                <w:color w:val="000000" w:themeColor="text1"/>
                <w:lang w:val="es-CO"/>
              </w:rPr>
            </w:pPr>
            <w:r w:rsidRPr="00793402">
              <w:rPr>
                <w:color w:val="000000" w:themeColor="text1"/>
                <w:lang w:val="es-CO"/>
              </w:rPr>
              <w:t>Servicios y asesorías del Valle</w:t>
            </w:r>
          </w:p>
        </w:tc>
        <w:tc>
          <w:tcPr>
            <w:tcW w:w="3268" w:type="dxa"/>
          </w:tcPr>
          <w:p w14:paraId="268B7105" w14:textId="77777777" w:rsidR="00A40047" w:rsidRPr="00793402" w:rsidRDefault="00A40047" w:rsidP="00C64EB3">
            <w:pPr>
              <w:pStyle w:val="NormalWeb"/>
              <w:widowControl w:val="0"/>
              <w:contextualSpacing/>
              <w:rPr>
                <w:color w:val="000000" w:themeColor="text1"/>
                <w:lang w:val="es-CO"/>
              </w:rPr>
            </w:pPr>
            <w:r w:rsidRPr="00793402">
              <w:rPr>
                <w:color w:val="000000" w:themeColor="text1"/>
                <w:lang w:val="es-CO"/>
              </w:rPr>
              <w:t>01/12/1982 – 02/05/1983</w:t>
            </w:r>
          </w:p>
        </w:tc>
      </w:tr>
      <w:tr w:rsidR="00EF05A8" w:rsidRPr="00793402" w14:paraId="37EED541" w14:textId="77777777" w:rsidTr="00C64EB3">
        <w:tc>
          <w:tcPr>
            <w:tcW w:w="4528" w:type="dxa"/>
          </w:tcPr>
          <w:p w14:paraId="7848119D" w14:textId="77777777" w:rsidR="00A40047" w:rsidRPr="00793402" w:rsidRDefault="00A40047" w:rsidP="00C64EB3">
            <w:pPr>
              <w:pStyle w:val="NormalWeb"/>
              <w:widowControl w:val="0"/>
              <w:contextualSpacing/>
              <w:rPr>
                <w:color w:val="000000" w:themeColor="text1"/>
                <w:lang w:val="es-CO"/>
              </w:rPr>
            </w:pPr>
            <w:r w:rsidRPr="00793402">
              <w:rPr>
                <w:color w:val="000000" w:themeColor="text1"/>
                <w:lang w:val="es-CO"/>
              </w:rPr>
              <w:t>Servicios y asesorías del Valle</w:t>
            </w:r>
          </w:p>
        </w:tc>
        <w:tc>
          <w:tcPr>
            <w:tcW w:w="3268" w:type="dxa"/>
          </w:tcPr>
          <w:p w14:paraId="7FD8B6EE" w14:textId="77777777" w:rsidR="00A40047" w:rsidRPr="00793402" w:rsidRDefault="00A40047" w:rsidP="00C64EB3">
            <w:pPr>
              <w:pStyle w:val="NormalWeb"/>
              <w:widowControl w:val="0"/>
              <w:contextualSpacing/>
              <w:rPr>
                <w:color w:val="000000" w:themeColor="text1"/>
                <w:lang w:val="es-CO"/>
              </w:rPr>
            </w:pPr>
            <w:r w:rsidRPr="00793402">
              <w:rPr>
                <w:color w:val="000000" w:themeColor="text1"/>
                <w:lang w:val="es-CO"/>
              </w:rPr>
              <w:t>22/08/1983 – 01/09/1984</w:t>
            </w:r>
          </w:p>
        </w:tc>
      </w:tr>
      <w:tr w:rsidR="00D45E31" w:rsidRPr="00793402" w14:paraId="6F1502E0" w14:textId="77777777" w:rsidTr="00C64EB3">
        <w:tc>
          <w:tcPr>
            <w:tcW w:w="4528" w:type="dxa"/>
          </w:tcPr>
          <w:p w14:paraId="6077DDC7" w14:textId="77777777" w:rsidR="00A40047" w:rsidRPr="00793402" w:rsidRDefault="00A40047" w:rsidP="00C64EB3">
            <w:pPr>
              <w:pStyle w:val="NormalWeb"/>
              <w:widowControl w:val="0"/>
              <w:contextualSpacing/>
              <w:rPr>
                <w:color w:val="000000" w:themeColor="text1"/>
                <w:lang w:val="es-CO"/>
              </w:rPr>
            </w:pPr>
            <w:r w:rsidRPr="00793402">
              <w:rPr>
                <w:color w:val="000000" w:themeColor="text1"/>
                <w:lang w:val="es-CO"/>
              </w:rPr>
              <w:t>Secretaría de Educación Departamental de Putumayo</w:t>
            </w:r>
          </w:p>
        </w:tc>
        <w:tc>
          <w:tcPr>
            <w:tcW w:w="3268" w:type="dxa"/>
          </w:tcPr>
          <w:p w14:paraId="7183F9DA" w14:textId="5A2C1885" w:rsidR="00A40047" w:rsidRPr="00793402" w:rsidRDefault="00D45E31" w:rsidP="00C64EB3">
            <w:pPr>
              <w:pStyle w:val="NormalWeb"/>
              <w:widowControl w:val="0"/>
              <w:contextualSpacing/>
              <w:rPr>
                <w:color w:val="000000" w:themeColor="text1"/>
              </w:rPr>
            </w:pPr>
            <w:r w:rsidRPr="00793402">
              <w:rPr>
                <w:color w:val="000000" w:themeColor="text1"/>
              </w:rPr>
              <w:t>15</w:t>
            </w:r>
            <w:r w:rsidR="00A40047" w:rsidRPr="00793402">
              <w:rPr>
                <w:color w:val="000000" w:themeColor="text1"/>
              </w:rPr>
              <w:t>/</w:t>
            </w:r>
            <w:r w:rsidRPr="00793402">
              <w:rPr>
                <w:color w:val="000000" w:themeColor="text1"/>
              </w:rPr>
              <w:t>05</w:t>
            </w:r>
            <w:r w:rsidR="00A40047" w:rsidRPr="00793402">
              <w:rPr>
                <w:color w:val="000000" w:themeColor="text1"/>
              </w:rPr>
              <w:t>/</w:t>
            </w:r>
            <w:r w:rsidRPr="00793402">
              <w:rPr>
                <w:color w:val="000000" w:themeColor="text1"/>
              </w:rPr>
              <w:t>1998</w:t>
            </w:r>
            <w:r w:rsidR="00A40047" w:rsidRPr="00793402">
              <w:rPr>
                <w:color w:val="000000" w:themeColor="text1"/>
              </w:rPr>
              <w:t xml:space="preserve"> – 15/03/2022</w:t>
            </w:r>
          </w:p>
        </w:tc>
      </w:tr>
    </w:tbl>
    <w:p w14:paraId="181431FD" w14:textId="77777777" w:rsidR="00A40047" w:rsidRPr="00793402" w:rsidRDefault="00A40047" w:rsidP="006D1FCD">
      <w:pPr>
        <w:pStyle w:val="NormalWeb"/>
        <w:widowControl w:val="0"/>
        <w:spacing w:before="0" w:beforeAutospacing="0" w:after="0" w:afterAutospacing="0"/>
        <w:contextualSpacing/>
        <w:jc w:val="both"/>
        <w:rPr>
          <w:color w:val="000000" w:themeColor="text1"/>
          <w:sz w:val="28"/>
          <w:szCs w:val="28"/>
        </w:rPr>
      </w:pPr>
    </w:p>
    <w:p w14:paraId="6CE14BE7" w14:textId="14F1E57F" w:rsidR="00D87876" w:rsidRPr="00793402" w:rsidRDefault="00927ED2" w:rsidP="00D87876">
      <w:pPr>
        <w:pStyle w:val="NormalWeb"/>
        <w:widowControl w:val="0"/>
        <w:contextualSpacing/>
        <w:jc w:val="both"/>
        <w:rPr>
          <w:color w:val="000000" w:themeColor="text1"/>
          <w:sz w:val="28"/>
          <w:szCs w:val="28"/>
        </w:rPr>
      </w:pPr>
      <w:r w:rsidRPr="00793402">
        <w:rPr>
          <w:color w:val="000000" w:themeColor="text1"/>
          <w:sz w:val="28"/>
          <w:szCs w:val="28"/>
        </w:rPr>
        <w:t>5</w:t>
      </w:r>
      <w:r w:rsidR="006D1FCD" w:rsidRPr="00793402">
        <w:rPr>
          <w:color w:val="000000" w:themeColor="text1"/>
          <w:sz w:val="28"/>
          <w:szCs w:val="28"/>
        </w:rPr>
        <w:t xml:space="preserve">. </w:t>
      </w:r>
      <w:r w:rsidR="000D4584" w:rsidRPr="00793402">
        <w:rPr>
          <w:i/>
          <w:iCs/>
          <w:color w:val="000000" w:themeColor="text1"/>
          <w:sz w:val="28"/>
          <w:szCs w:val="28"/>
        </w:rPr>
        <w:t>Convocatoria concurso de méritos.</w:t>
      </w:r>
      <w:r w:rsidR="000D4584" w:rsidRPr="00793402">
        <w:rPr>
          <w:color w:val="000000" w:themeColor="text1"/>
          <w:sz w:val="28"/>
          <w:szCs w:val="28"/>
        </w:rPr>
        <w:t xml:space="preserve"> </w:t>
      </w:r>
      <w:r w:rsidR="00D87876" w:rsidRPr="00793402">
        <w:rPr>
          <w:color w:val="000000" w:themeColor="text1"/>
          <w:sz w:val="28"/>
          <w:szCs w:val="28"/>
        </w:rPr>
        <w:t>Mediante Acuerdo No. CNSC-20191000005986 del 14 de mayo de 2019</w:t>
      </w:r>
      <w:r w:rsidR="00D87876" w:rsidRPr="00793402">
        <w:rPr>
          <w:rStyle w:val="Refdenotaalpie"/>
          <w:color w:val="000000" w:themeColor="text1"/>
          <w:sz w:val="28"/>
          <w:szCs w:val="28"/>
        </w:rPr>
        <w:footnoteReference w:id="9"/>
      </w:r>
      <w:r w:rsidR="00D87876" w:rsidRPr="00793402">
        <w:rPr>
          <w:color w:val="000000" w:themeColor="text1"/>
          <w:sz w:val="28"/>
          <w:szCs w:val="28"/>
        </w:rPr>
        <w:t>, la C</w:t>
      </w:r>
      <w:r w:rsidR="00DD78F7" w:rsidRPr="00793402">
        <w:rPr>
          <w:color w:val="000000" w:themeColor="text1"/>
          <w:sz w:val="28"/>
          <w:szCs w:val="28"/>
        </w:rPr>
        <w:t xml:space="preserve">omisión </w:t>
      </w:r>
      <w:r w:rsidR="00D87876" w:rsidRPr="00793402">
        <w:rPr>
          <w:color w:val="000000" w:themeColor="text1"/>
          <w:sz w:val="28"/>
          <w:szCs w:val="28"/>
        </w:rPr>
        <w:t>N</w:t>
      </w:r>
      <w:r w:rsidR="00DD78F7" w:rsidRPr="00793402">
        <w:rPr>
          <w:color w:val="000000" w:themeColor="text1"/>
          <w:sz w:val="28"/>
          <w:szCs w:val="28"/>
        </w:rPr>
        <w:t xml:space="preserve">acional del </w:t>
      </w:r>
      <w:r w:rsidR="00D87876" w:rsidRPr="00793402">
        <w:rPr>
          <w:color w:val="000000" w:themeColor="text1"/>
          <w:sz w:val="28"/>
          <w:szCs w:val="28"/>
        </w:rPr>
        <w:t>S</w:t>
      </w:r>
      <w:r w:rsidR="00DD78F7" w:rsidRPr="00793402">
        <w:rPr>
          <w:color w:val="000000" w:themeColor="text1"/>
          <w:sz w:val="28"/>
          <w:szCs w:val="28"/>
        </w:rPr>
        <w:t xml:space="preserve">ervicio </w:t>
      </w:r>
      <w:r w:rsidR="00D87876" w:rsidRPr="00793402">
        <w:rPr>
          <w:color w:val="000000" w:themeColor="text1"/>
          <w:sz w:val="28"/>
          <w:szCs w:val="28"/>
        </w:rPr>
        <w:t>C</w:t>
      </w:r>
      <w:r w:rsidR="00DD78F7" w:rsidRPr="00793402">
        <w:rPr>
          <w:color w:val="000000" w:themeColor="text1"/>
          <w:sz w:val="28"/>
          <w:szCs w:val="28"/>
        </w:rPr>
        <w:t>ivil (en adelante CNSC)</w:t>
      </w:r>
      <w:r w:rsidR="00D87876" w:rsidRPr="00793402">
        <w:rPr>
          <w:color w:val="000000" w:themeColor="text1"/>
          <w:sz w:val="28"/>
          <w:szCs w:val="28"/>
        </w:rPr>
        <w:t xml:space="preserve"> convocó a concurso de méritos para proveer definitivamente 42 vacantes </w:t>
      </w:r>
      <w:r w:rsidR="00D72C7B" w:rsidRPr="00793402">
        <w:rPr>
          <w:color w:val="000000" w:themeColor="text1"/>
          <w:sz w:val="28"/>
          <w:szCs w:val="28"/>
        </w:rPr>
        <w:t xml:space="preserve">en el </w:t>
      </w:r>
      <w:r w:rsidR="00D87876" w:rsidRPr="00793402">
        <w:rPr>
          <w:color w:val="000000" w:themeColor="text1"/>
          <w:sz w:val="28"/>
          <w:szCs w:val="28"/>
        </w:rPr>
        <w:t xml:space="preserve">cargo auxiliar de servicios generales código </w:t>
      </w:r>
      <w:r w:rsidR="00D87876" w:rsidRPr="00793402">
        <w:rPr>
          <w:color w:val="000000" w:themeColor="text1"/>
          <w:sz w:val="28"/>
          <w:szCs w:val="28"/>
          <w:lang w:val="es-ES"/>
        </w:rPr>
        <w:lastRenderedPageBreak/>
        <w:t>470</w:t>
      </w:r>
      <w:r w:rsidR="00D87876" w:rsidRPr="00793402">
        <w:rPr>
          <w:rStyle w:val="Refdenotaalpie"/>
          <w:color w:val="000000" w:themeColor="text1"/>
          <w:sz w:val="28"/>
          <w:szCs w:val="28"/>
        </w:rPr>
        <w:footnoteReference w:id="10"/>
      </w:r>
      <w:r w:rsidR="00D87876" w:rsidRPr="00793402">
        <w:rPr>
          <w:color w:val="000000" w:themeColor="text1"/>
          <w:sz w:val="28"/>
          <w:szCs w:val="28"/>
        </w:rPr>
        <w:t xml:space="preserve"> de la Gobernación de Putumayo. </w:t>
      </w:r>
      <w:r w:rsidR="00D72C7B" w:rsidRPr="00793402">
        <w:rPr>
          <w:color w:val="000000" w:themeColor="text1"/>
          <w:sz w:val="28"/>
          <w:szCs w:val="28"/>
        </w:rPr>
        <w:t xml:space="preserve">Entre aquellos </w:t>
      </w:r>
      <w:r w:rsidR="00DD78F7" w:rsidRPr="00793402">
        <w:rPr>
          <w:color w:val="000000" w:themeColor="text1"/>
          <w:sz w:val="28"/>
          <w:szCs w:val="28"/>
        </w:rPr>
        <w:t xml:space="preserve">cargos </w:t>
      </w:r>
      <w:r w:rsidR="00D72C7B" w:rsidRPr="00793402">
        <w:rPr>
          <w:color w:val="000000" w:themeColor="text1"/>
          <w:sz w:val="28"/>
          <w:szCs w:val="28"/>
        </w:rPr>
        <w:t xml:space="preserve">estaba </w:t>
      </w:r>
      <w:r w:rsidR="00D87876" w:rsidRPr="00793402">
        <w:rPr>
          <w:color w:val="000000" w:themeColor="text1"/>
          <w:sz w:val="28"/>
          <w:szCs w:val="28"/>
        </w:rPr>
        <w:t xml:space="preserve">el </w:t>
      </w:r>
      <w:r w:rsidR="00DD78F7" w:rsidRPr="00793402">
        <w:rPr>
          <w:color w:val="000000" w:themeColor="text1"/>
          <w:sz w:val="28"/>
          <w:szCs w:val="28"/>
        </w:rPr>
        <w:t>ocupado</w:t>
      </w:r>
      <w:r w:rsidR="00D87876" w:rsidRPr="00793402">
        <w:rPr>
          <w:color w:val="000000" w:themeColor="text1"/>
          <w:sz w:val="28"/>
          <w:szCs w:val="28"/>
        </w:rPr>
        <w:t xml:space="preserve"> por la </w:t>
      </w:r>
      <w:r w:rsidR="0017278D" w:rsidRPr="00793402">
        <w:rPr>
          <w:color w:val="000000" w:themeColor="text1"/>
          <w:sz w:val="28"/>
          <w:szCs w:val="28"/>
        </w:rPr>
        <w:t>accionante</w:t>
      </w:r>
      <w:r w:rsidR="00D87876" w:rsidRPr="00793402">
        <w:rPr>
          <w:color w:val="000000" w:themeColor="text1"/>
          <w:sz w:val="28"/>
          <w:szCs w:val="28"/>
        </w:rPr>
        <w:t xml:space="preserve">. </w:t>
      </w:r>
    </w:p>
    <w:p w14:paraId="45082434" w14:textId="77777777" w:rsidR="00A7006D" w:rsidRPr="00793402" w:rsidRDefault="00A7006D" w:rsidP="00D87876">
      <w:pPr>
        <w:pStyle w:val="NormalWeb"/>
        <w:widowControl w:val="0"/>
        <w:contextualSpacing/>
        <w:jc w:val="both"/>
        <w:rPr>
          <w:color w:val="000000" w:themeColor="text1"/>
          <w:sz w:val="28"/>
          <w:szCs w:val="28"/>
        </w:rPr>
      </w:pPr>
    </w:p>
    <w:p w14:paraId="5162B376" w14:textId="6392DFDE" w:rsidR="00D87876" w:rsidRPr="00793402" w:rsidRDefault="00927ED2" w:rsidP="00D87876">
      <w:pPr>
        <w:pStyle w:val="NormalWeb"/>
        <w:widowControl w:val="0"/>
        <w:spacing w:before="0" w:beforeAutospacing="0" w:after="0" w:afterAutospacing="0"/>
        <w:contextualSpacing/>
        <w:jc w:val="both"/>
        <w:rPr>
          <w:i/>
          <w:iCs/>
          <w:color w:val="000000" w:themeColor="text1"/>
          <w:sz w:val="28"/>
          <w:szCs w:val="28"/>
        </w:rPr>
      </w:pPr>
      <w:r w:rsidRPr="00793402">
        <w:rPr>
          <w:color w:val="000000" w:themeColor="text1"/>
          <w:sz w:val="28"/>
          <w:szCs w:val="28"/>
        </w:rPr>
        <w:t>6</w:t>
      </w:r>
      <w:r w:rsidR="00D87876" w:rsidRPr="00793402">
        <w:rPr>
          <w:color w:val="000000" w:themeColor="text1"/>
          <w:sz w:val="28"/>
          <w:szCs w:val="28"/>
        </w:rPr>
        <w:t xml:space="preserve">. </w:t>
      </w:r>
      <w:r w:rsidR="00513D70" w:rsidRPr="00793402">
        <w:rPr>
          <w:i/>
          <w:iCs/>
          <w:color w:val="000000" w:themeColor="text1"/>
          <w:sz w:val="28"/>
          <w:szCs w:val="28"/>
        </w:rPr>
        <w:t>La s</w:t>
      </w:r>
      <w:r w:rsidR="00D363E5" w:rsidRPr="00793402">
        <w:rPr>
          <w:i/>
          <w:iCs/>
          <w:color w:val="000000" w:themeColor="text1"/>
          <w:sz w:val="28"/>
          <w:szCs w:val="28"/>
        </w:rPr>
        <w:t>olicitud de actualización de datos a C</w:t>
      </w:r>
      <w:r w:rsidR="00042644" w:rsidRPr="00793402">
        <w:rPr>
          <w:i/>
          <w:iCs/>
          <w:color w:val="000000" w:themeColor="text1"/>
          <w:sz w:val="28"/>
          <w:szCs w:val="28"/>
        </w:rPr>
        <w:t>OLPENSIONES</w:t>
      </w:r>
      <w:r w:rsidR="00D363E5" w:rsidRPr="00793402">
        <w:rPr>
          <w:color w:val="000000" w:themeColor="text1"/>
          <w:sz w:val="28"/>
          <w:szCs w:val="28"/>
        </w:rPr>
        <w:t xml:space="preserve">. </w:t>
      </w:r>
      <w:r w:rsidR="00D87876" w:rsidRPr="00793402">
        <w:rPr>
          <w:color w:val="000000" w:themeColor="text1"/>
          <w:sz w:val="28"/>
          <w:szCs w:val="28"/>
        </w:rPr>
        <w:t>El 4 de noviembre de 2021, la accionante solicitó</w:t>
      </w:r>
      <w:r w:rsidR="00001AAD" w:rsidRPr="00793402">
        <w:rPr>
          <w:color w:val="000000" w:themeColor="text1"/>
          <w:sz w:val="28"/>
          <w:szCs w:val="28"/>
        </w:rPr>
        <w:t xml:space="preserve"> </w:t>
      </w:r>
      <w:r w:rsidR="00F36DCB" w:rsidRPr="00793402">
        <w:rPr>
          <w:color w:val="000000" w:themeColor="text1"/>
          <w:sz w:val="28"/>
          <w:szCs w:val="28"/>
        </w:rPr>
        <w:t xml:space="preserve">a </w:t>
      </w:r>
      <w:r w:rsidR="00B50D9E" w:rsidRPr="00793402">
        <w:rPr>
          <w:color w:val="000000" w:themeColor="text1"/>
          <w:sz w:val="28"/>
          <w:szCs w:val="28"/>
        </w:rPr>
        <w:t>la Administradora Colombiana de Pensiones (</w:t>
      </w:r>
      <w:r w:rsidR="00F36DCB" w:rsidRPr="00793402">
        <w:rPr>
          <w:color w:val="000000" w:themeColor="text1"/>
          <w:sz w:val="28"/>
          <w:szCs w:val="28"/>
        </w:rPr>
        <w:t>C</w:t>
      </w:r>
      <w:r w:rsidR="00042644" w:rsidRPr="00793402">
        <w:rPr>
          <w:color w:val="000000" w:themeColor="text1"/>
          <w:sz w:val="28"/>
          <w:szCs w:val="28"/>
        </w:rPr>
        <w:t>OLPENSIONES</w:t>
      </w:r>
      <w:r w:rsidR="00B50D9E" w:rsidRPr="00793402">
        <w:rPr>
          <w:color w:val="000000" w:themeColor="text1"/>
          <w:sz w:val="28"/>
          <w:szCs w:val="28"/>
        </w:rPr>
        <w:t>)</w:t>
      </w:r>
      <w:r w:rsidR="00F36DCB" w:rsidRPr="00793402">
        <w:rPr>
          <w:color w:val="000000" w:themeColor="text1"/>
          <w:sz w:val="28"/>
          <w:szCs w:val="28"/>
        </w:rPr>
        <w:t xml:space="preserve"> </w:t>
      </w:r>
      <w:r w:rsidR="00D87876" w:rsidRPr="00793402">
        <w:rPr>
          <w:color w:val="000000" w:themeColor="text1"/>
          <w:sz w:val="28"/>
          <w:szCs w:val="28"/>
        </w:rPr>
        <w:t xml:space="preserve">la actualización de las semanas cotizadas a pensión en su </w:t>
      </w:r>
      <w:r w:rsidR="000D4584" w:rsidRPr="00793402">
        <w:rPr>
          <w:color w:val="000000" w:themeColor="text1"/>
          <w:sz w:val="28"/>
          <w:szCs w:val="28"/>
        </w:rPr>
        <w:t>historia</w:t>
      </w:r>
      <w:r w:rsidR="00D87876" w:rsidRPr="00793402">
        <w:rPr>
          <w:color w:val="000000" w:themeColor="text1"/>
          <w:sz w:val="28"/>
          <w:szCs w:val="28"/>
        </w:rPr>
        <w:t xml:space="preserve"> laboral. Mediante comunicación del 11 siguiente, la </w:t>
      </w:r>
      <w:r w:rsidR="00F36DCB" w:rsidRPr="00793402">
        <w:rPr>
          <w:color w:val="000000" w:themeColor="text1"/>
          <w:sz w:val="28"/>
          <w:szCs w:val="28"/>
        </w:rPr>
        <w:t>entidad</w:t>
      </w:r>
      <w:r w:rsidR="00D87876" w:rsidRPr="00793402">
        <w:rPr>
          <w:color w:val="000000" w:themeColor="text1"/>
          <w:sz w:val="28"/>
          <w:szCs w:val="28"/>
        </w:rPr>
        <w:t xml:space="preserve"> informó a la actora que </w:t>
      </w:r>
      <w:r w:rsidR="00D87876" w:rsidRPr="00793402">
        <w:rPr>
          <w:i/>
          <w:iCs/>
          <w:color w:val="000000" w:themeColor="text1"/>
          <w:sz w:val="28"/>
          <w:szCs w:val="28"/>
        </w:rPr>
        <w:t xml:space="preserve">“(…) con relación a los periodos 15-05-1998 al 30-06-2009 con el empleador SECRETARIA </w:t>
      </w:r>
      <w:r w:rsidR="00CD60A4" w:rsidRPr="00793402">
        <w:rPr>
          <w:i/>
          <w:iCs/>
          <w:color w:val="000000" w:themeColor="text1"/>
          <w:sz w:val="28"/>
          <w:szCs w:val="28"/>
        </w:rPr>
        <w:t xml:space="preserve">(sic) </w:t>
      </w:r>
      <w:r w:rsidR="00D87876" w:rsidRPr="00793402">
        <w:rPr>
          <w:i/>
          <w:iCs/>
          <w:color w:val="000000" w:themeColor="text1"/>
          <w:sz w:val="28"/>
          <w:szCs w:val="28"/>
        </w:rPr>
        <w:t xml:space="preserve">DE EDUCACIÓN DEL PUTUMAYO, se requirió a la entidad encargada por medio de BZ 2021_12798401 del 28 de octubre de 2021, dar inicio a las gestiones tendientes del traslado de sus aportes con el fin de normalizar su historia laboral. Por lo anterior, se sugiere validar con </w:t>
      </w:r>
      <w:proofErr w:type="gramStart"/>
      <w:r w:rsidR="00D87876" w:rsidRPr="00793402">
        <w:rPr>
          <w:i/>
          <w:iCs/>
          <w:color w:val="000000" w:themeColor="text1"/>
          <w:sz w:val="28"/>
          <w:szCs w:val="28"/>
        </w:rPr>
        <w:t>posterioridad(</w:t>
      </w:r>
      <w:proofErr w:type="gramEnd"/>
      <w:r w:rsidR="00D87876" w:rsidRPr="00793402">
        <w:rPr>
          <w:i/>
          <w:iCs/>
          <w:color w:val="000000" w:themeColor="text1"/>
          <w:sz w:val="28"/>
          <w:szCs w:val="28"/>
        </w:rPr>
        <w:t>…)”</w:t>
      </w:r>
      <w:r w:rsidR="00D87876" w:rsidRPr="00793402">
        <w:rPr>
          <w:rStyle w:val="Refdenotaalpie"/>
          <w:i/>
          <w:iCs/>
          <w:color w:val="000000" w:themeColor="text1"/>
          <w:sz w:val="28"/>
          <w:szCs w:val="28"/>
        </w:rPr>
        <w:footnoteReference w:id="11"/>
      </w:r>
      <w:r w:rsidR="00D87876" w:rsidRPr="00793402">
        <w:rPr>
          <w:i/>
          <w:iCs/>
          <w:color w:val="000000" w:themeColor="text1"/>
          <w:sz w:val="28"/>
          <w:szCs w:val="28"/>
        </w:rPr>
        <w:t>.</w:t>
      </w:r>
    </w:p>
    <w:p w14:paraId="528B97B9" w14:textId="77777777" w:rsidR="00D87876" w:rsidRPr="00793402" w:rsidRDefault="00D87876" w:rsidP="00D87876">
      <w:pPr>
        <w:pStyle w:val="NormalWeb"/>
        <w:widowControl w:val="0"/>
        <w:spacing w:before="0" w:beforeAutospacing="0" w:after="0" w:afterAutospacing="0"/>
        <w:contextualSpacing/>
        <w:jc w:val="both"/>
        <w:rPr>
          <w:i/>
          <w:iCs/>
          <w:color w:val="000000" w:themeColor="text1"/>
          <w:sz w:val="28"/>
          <w:szCs w:val="28"/>
        </w:rPr>
      </w:pPr>
    </w:p>
    <w:p w14:paraId="50487696" w14:textId="2E576D4D" w:rsidR="00D87876" w:rsidRPr="00793402" w:rsidRDefault="00927ED2" w:rsidP="00D87876">
      <w:pPr>
        <w:pStyle w:val="NormalWeb"/>
        <w:widowControl w:val="0"/>
        <w:contextualSpacing/>
        <w:jc w:val="both"/>
        <w:rPr>
          <w:color w:val="000000" w:themeColor="text1"/>
          <w:sz w:val="28"/>
          <w:szCs w:val="28"/>
        </w:rPr>
      </w:pPr>
      <w:r w:rsidRPr="00793402">
        <w:rPr>
          <w:color w:val="000000" w:themeColor="text1"/>
          <w:sz w:val="28"/>
          <w:szCs w:val="28"/>
        </w:rPr>
        <w:t>7</w:t>
      </w:r>
      <w:r w:rsidR="00D87876" w:rsidRPr="00793402">
        <w:rPr>
          <w:color w:val="000000" w:themeColor="text1"/>
          <w:sz w:val="28"/>
          <w:szCs w:val="28"/>
        </w:rPr>
        <w:t>.</w:t>
      </w:r>
      <w:r w:rsidR="00D363E5" w:rsidRPr="00793402">
        <w:rPr>
          <w:color w:val="000000" w:themeColor="text1"/>
          <w:sz w:val="28"/>
          <w:szCs w:val="28"/>
        </w:rPr>
        <w:t xml:space="preserve"> </w:t>
      </w:r>
      <w:r w:rsidR="00513D70" w:rsidRPr="00793402">
        <w:rPr>
          <w:i/>
          <w:iCs/>
          <w:color w:val="000000" w:themeColor="text1"/>
          <w:sz w:val="28"/>
          <w:szCs w:val="28"/>
        </w:rPr>
        <w:t>La c</w:t>
      </w:r>
      <w:r w:rsidR="00D363E5" w:rsidRPr="00793402">
        <w:rPr>
          <w:i/>
          <w:iCs/>
          <w:color w:val="000000" w:themeColor="text1"/>
          <w:sz w:val="28"/>
          <w:szCs w:val="28"/>
        </w:rPr>
        <w:t>onformación de lista de elegibles</w:t>
      </w:r>
      <w:r w:rsidR="00D363E5" w:rsidRPr="00793402">
        <w:rPr>
          <w:color w:val="000000" w:themeColor="text1"/>
          <w:sz w:val="28"/>
          <w:szCs w:val="28"/>
        </w:rPr>
        <w:t>.</w:t>
      </w:r>
      <w:r w:rsidR="00D87876" w:rsidRPr="00793402">
        <w:rPr>
          <w:color w:val="000000" w:themeColor="text1"/>
          <w:sz w:val="28"/>
          <w:szCs w:val="28"/>
        </w:rPr>
        <w:t xml:space="preserve"> El 17 de noviembre de 2021</w:t>
      </w:r>
      <w:r w:rsidR="00D87876" w:rsidRPr="00793402">
        <w:rPr>
          <w:rStyle w:val="Refdenotaalpie"/>
          <w:color w:val="000000" w:themeColor="text1"/>
          <w:sz w:val="28"/>
          <w:szCs w:val="28"/>
        </w:rPr>
        <w:footnoteReference w:id="12"/>
      </w:r>
      <w:r w:rsidR="00D87876" w:rsidRPr="00793402">
        <w:rPr>
          <w:color w:val="000000" w:themeColor="text1"/>
          <w:sz w:val="28"/>
          <w:szCs w:val="28"/>
        </w:rPr>
        <w:t>, la CNSC conformó la lista de elegibles</w:t>
      </w:r>
      <w:r w:rsidR="00D87876" w:rsidRPr="00793402">
        <w:rPr>
          <w:rStyle w:val="Refdenotaalpie"/>
          <w:color w:val="000000" w:themeColor="text1"/>
          <w:sz w:val="28"/>
          <w:szCs w:val="28"/>
        </w:rPr>
        <w:footnoteReference w:id="13"/>
      </w:r>
      <w:r w:rsidR="00D87876" w:rsidRPr="00793402">
        <w:rPr>
          <w:color w:val="000000" w:themeColor="text1"/>
          <w:sz w:val="28"/>
          <w:szCs w:val="28"/>
        </w:rPr>
        <w:t xml:space="preserve"> con los aspirantes que superaron las etapas del concurso de mérito para el cargo</w:t>
      </w:r>
      <w:r w:rsidR="00F5205D" w:rsidRPr="00793402">
        <w:rPr>
          <w:color w:val="000000" w:themeColor="text1"/>
          <w:sz w:val="28"/>
          <w:szCs w:val="28"/>
        </w:rPr>
        <w:t xml:space="preserve"> de</w:t>
      </w:r>
      <w:r w:rsidR="00D87876" w:rsidRPr="00793402">
        <w:rPr>
          <w:color w:val="000000" w:themeColor="text1"/>
          <w:sz w:val="28"/>
          <w:szCs w:val="28"/>
        </w:rPr>
        <w:t xml:space="preserve"> auxiliar de servicios generales código </w:t>
      </w:r>
      <w:r w:rsidR="00D87876" w:rsidRPr="00793402">
        <w:rPr>
          <w:color w:val="000000" w:themeColor="text1"/>
          <w:sz w:val="28"/>
          <w:szCs w:val="28"/>
          <w:lang w:val="es-ES"/>
        </w:rPr>
        <w:t>470</w:t>
      </w:r>
      <w:r w:rsidR="00D87876" w:rsidRPr="00793402">
        <w:rPr>
          <w:color w:val="000000" w:themeColor="text1"/>
          <w:sz w:val="28"/>
          <w:szCs w:val="28"/>
        </w:rPr>
        <w:t>.</w:t>
      </w:r>
    </w:p>
    <w:p w14:paraId="1233AEC4" w14:textId="77777777" w:rsidR="005F01FF" w:rsidRPr="00793402" w:rsidRDefault="005F01FF" w:rsidP="00D87876">
      <w:pPr>
        <w:pStyle w:val="NormalWeb"/>
        <w:widowControl w:val="0"/>
        <w:contextualSpacing/>
        <w:jc w:val="both"/>
        <w:rPr>
          <w:color w:val="000000" w:themeColor="text1"/>
          <w:sz w:val="28"/>
          <w:szCs w:val="28"/>
        </w:rPr>
      </w:pPr>
    </w:p>
    <w:p w14:paraId="397078F3" w14:textId="72FCF49C" w:rsidR="00D87876" w:rsidRPr="00793402" w:rsidRDefault="00927ED2" w:rsidP="00D87876">
      <w:pPr>
        <w:pStyle w:val="NormalWeb"/>
        <w:widowControl w:val="0"/>
        <w:spacing w:before="0" w:beforeAutospacing="0" w:after="0" w:afterAutospacing="0"/>
        <w:contextualSpacing/>
        <w:jc w:val="both"/>
        <w:rPr>
          <w:color w:val="000000" w:themeColor="text1"/>
          <w:sz w:val="28"/>
          <w:szCs w:val="28"/>
        </w:rPr>
      </w:pPr>
      <w:r w:rsidRPr="00793402">
        <w:rPr>
          <w:color w:val="000000" w:themeColor="text1"/>
          <w:sz w:val="28"/>
          <w:szCs w:val="28"/>
        </w:rPr>
        <w:t>8</w:t>
      </w:r>
      <w:r w:rsidR="00D87876" w:rsidRPr="00793402">
        <w:rPr>
          <w:color w:val="000000" w:themeColor="text1"/>
          <w:sz w:val="28"/>
          <w:szCs w:val="28"/>
        </w:rPr>
        <w:t xml:space="preserve">. </w:t>
      </w:r>
      <w:r w:rsidR="00513D70" w:rsidRPr="00793402">
        <w:rPr>
          <w:i/>
          <w:iCs/>
          <w:color w:val="000000" w:themeColor="text1"/>
          <w:sz w:val="28"/>
          <w:szCs w:val="28"/>
        </w:rPr>
        <w:t>La p</w:t>
      </w:r>
      <w:r w:rsidR="00DD78F7" w:rsidRPr="00793402">
        <w:rPr>
          <w:i/>
          <w:iCs/>
          <w:color w:val="000000" w:themeColor="text1"/>
          <w:sz w:val="28"/>
          <w:szCs w:val="28"/>
        </w:rPr>
        <w:t>rimera</w:t>
      </w:r>
      <w:r w:rsidR="00D363E5" w:rsidRPr="00793402">
        <w:rPr>
          <w:i/>
          <w:iCs/>
          <w:color w:val="000000" w:themeColor="text1"/>
          <w:sz w:val="28"/>
          <w:szCs w:val="28"/>
        </w:rPr>
        <w:t xml:space="preserve"> solicitud de reconocimiento de la condición de </w:t>
      </w:r>
      <w:proofErr w:type="spellStart"/>
      <w:r w:rsidR="00D363E5" w:rsidRPr="00793402">
        <w:rPr>
          <w:i/>
          <w:iCs/>
          <w:color w:val="000000" w:themeColor="text1"/>
          <w:sz w:val="28"/>
          <w:szCs w:val="28"/>
        </w:rPr>
        <w:t>prepensionada</w:t>
      </w:r>
      <w:proofErr w:type="spellEnd"/>
      <w:r w:rsidR="00D363E5" w:rsidRPr="00793402">
        <w:rPr>
          <w:color w:val="000000" w:themeColor="text1"/>
          <w:sz w:val="28"/>
          <w:szCs w:val="28"/>
        </w:rPr>
        <w:t xml:space="preserve">. </w:t>
      </w:r>
      <w:r w:rsidR="00D87876" w:rsidRPr="00793402">
        <w:rPr>
          <w:color w:val="000000" w:themeColor="text1"/>
          <w:sz w:val="28"/>
          <w:szCs w:val="28"/>
        </w:rPr>
        <w:t xml:space="preserve">El 29 de noviembre de 2021, la accionante solicitó a la SED reconocer su calidad de </w:t>
      </w:r>
      <w:proofErr w:type="spellStart"/>
      <w:r w:rsidR="00D87876" w:rsidRPr="00793402">
        <w:rPr>
          <w:color w:val="000000" w:themeColor="text1"/>
          <w:sz w:val="28"/>
          <w:szCs w:val="28"/>
        </w:rPr>
        <w:t>prepensionada</w:t>
      </w:r>
      <w:proofErr w:type="spellEnd"/>
      <w:r w:rsidR="00D87876" w:rsidRPr="00793402">
        <w:rPr>
          <w:color w:val="000000" w:themeColor="text1"/>
          <w:sz w:val="28"/>
          <w:szCs w:val="28"/>
        </w:rPr>
        <w:t xml:space="preserve"> porque, a su juicio,</w:t>
      </w:r>
      <w:r w:rsidR="00B948DE" w:rsidRPr="00793402">
        <w:rPr>
          <w:color w:val="000000" w:themeColor="text1"/>
          <w:sz w:val="28"/>
          <w:szCs w:val="28"/>
        </w:rPr>
        <w:t xml:space="preserve"> le faltaba</w:t>
      </w:r>
      <w:r w:rsidR="008D458D" w:rsidRPr="00793402">
        <w:rPr>
          <w:color w:val="000000" w:themeColor="text1"/>
          <w:sz w:val="28"/>
          <w:szCs w:val="28"/>
        </w:rPr>
        <w:t>n</w:t>
      </w:r>
      <w:r w:rsidR="00B948DE" w:rsidRPr="00793402">
        <w:rPr>
          <w:color w:val="000000" w:themeColor="text1"/>
          <w:sz w:val="28"/>
          <w:szCs w:val="28"/>
        </w:rPr>
        <w:t xml:space="preserve"> menos de tres años para cumplir los requisitos para acceder a la pensión de vejez, según el artículo 8° de la Ley 2040 de 2020</w:t>
      </w:r>
      <w:r w:rsidR="00D87876" w:rsidRPr="00793402">
        <w:rPr>
          <w:rStyle w:val="Refdenotaalpie"/>
          <w:color w:val="000000" w:themeColor="text1"/>
          <w:sz w:val="28"/>
          <w:szCs w:val="28"/>
        </w:rPr>
        <w:footnoteReference w:id="14"/>
      </w:r>
      <w:r w:rsidR="00D87876" w:rsidRPr="00793402">
        <w:rPr>
          <w:color w:val="000000" w:themeColor="text1"/>
          <w:sz w:val="28"/>
          <w:szCs w:val="28"/>
        </w:rPr>
        <w:t xml:space="preserve">. </w:t>
      </w:r>
      <w:r w:rsidR="00CA2D34" w:rsidRPr="00793402">
        <w:rPr>
          <w:color w:val="000000" w:themeColor="text1"/>
          <w:sz w:val="28"/>
          <w:szCs w:val="28"/>
        </w:rPr>
        <w:t>E</w:t>
      </w:r>
      <w:r w:rsidR="00DE58E8" w:rsidRPr="00793402">
        <w:rPr>
          <w:color w:val="000000" w:themeColor="text1"/>
          <w:sz w:val="28"/>
          <w:szCs w:val="28"/>
        </w:rPr>
        <w:t>xpresó que si es</w:t>
      </w:r>
      <w:r w:rsidR="00D87876" w:rsidRPr="00793402">
        <w:rPr>
          <w:color w:val="000000" w:themeColor="text1"/>
          <w:sz w:val="28"/>
          <w:szCs w:val="28"/>
        </w:rPr>
        <w:t xml:space="preserve"> desvinculada</w:t>
      </w:r>
      <w:r w:rsidR="00DE58E8" w:rsidRPr="00793402">
        <w:rPr>
          <w:color w:val="000000" w:themeColor="text1"/>
          <w:sz w:val="28"/>
          <w:szCs w:val="28"/>
        </w:rPr>
        <w:t>,</w:t>
      </w:r>
      <w:r w:rsidR="00D87876" w:rsidRPr="00793402">
        <w:rPr>
          <w:color w:val="000000" w:themeColor="text1"/>
          <w:sz w:val="28"/>
          <w:szCs w:val="28"/>
        </w:rPr>
        <w:t xml:space="preserve"> sufriría un perjuicio</w:t>
      </w:r>
      <w:r w:rsidR="00DE58E8" w:rsidRPr="00793402">
        <w:rPr>
          <w:color w:val="000000" w:themeColor="text1"/>
          <w:sz w:val="28"/>
          <w:szCs w:val="28"/>
        </w:rPr>
        <w:t xml:space="preserve"> grave</w:t>
      </w:r>
      <w:r w:rsidR="00D87876" w:rsidRPr="00793402">
        <w:rPr>
          <w:color w:val="000000" w:themeColor="text1"/>
          <w:sz w:val="28"/>
          <w:szCs w:val="28"/>
        </w:rPr>
        <w:t xml:space="preserve"> porque depende de su salario para subsistir</w:t>
      </w:r>
      <w:r w:rsidR="00DE58E8" w:rsidRPr="00793402">
        <w:rPr>
          <w:color w:val="000000" w:themeColor="text1"/>
          <w:sz w:val="28"/>
          <w:szCs w:val="28"/>
        </w:rPr>
        <w:t xml:space="preserve">, pues </w:t>
      </w:r>
      <w:r w:rsidR="00D87876" w:rsidRPr="00793402">
        <w:rPr>
          <w:color w:val="000000" w:themeColor="text1"/>
          <w:sz w:val="28"/>
          <w:szCs w:val="28"/>
        </w:rPr>
        <w:t>por su edad no podría conseguir un nuevo empleo.</w:t>
      </w:r>
      <w:r w:rsidR="00B948DE" w:rsidRPr="00793402">
        <w:rPr>
          <w:color w:val="000000" w:themeColor="text1"/>
          <w:sz w:val="28"/>
          <w:szCs w:val="28"/>
        </w:rPr>
        <w:t xml:space="preserve"> </w:t>
      </w:r>
      <w:r w:rsidR="00D87876" w:rsidRPr="00793402">
        <w:rPr>
          <w:color w:val="000000" w:themeColor="text1"/>
          <w:sz w:val="28"/>
          <w:szCs w:val="28"/>
        </w:rPr>
        <w:t>A través de comunicación del 6 de enero de 2022</w:t>
      </w:r>
      <w:r w:rsidR="00D87876" w:rsidRPr="00793402">
        <w:rPr>
          <w:rStyle w:val="Refdenotaalpie"/>
          <w:color w:val="000000" w:themeColor="text1"/>
          <w:sz w:val="28"/>
          <w:szCs w:val="28"/>
        </w:rPr>
        <w:footnoteReference w:id="15"/>
      </w:r>
      <w:r w:rsidR="00D87876" w:rsidRPr="00793402">
        <w:rPr>
          <w:color w:val="000000" w:themeColor="text1"/>
          <w:sz w:val="28"/>
          <w:szCs w:val="28"/>
        </w:rPr>
        <w:t xml:space="preserve">, la </w:t>
      </w:r>
      <w:r w:rsidR="00B948DE" w:rsidRPr="00793402">
        <w:rPr>
          <w:color w:val="000000" w:themeColor="text1"/>
          <w:sz w:val="28"/>
          <w:szCs w:val="28"/>
        </w:rPr>
        <w:t>entidad, le</w:t>
      </w:r>
      <w:r w:rsidR="00D87876" w:rsidRPr="00793402">
        <w:rPr>
          <w:color w:val="000000" w:themeColor="text1"/>
          <w:sz w:val="28"/>
          <w:szCs w:val="28"/>
        </w:rPr>
        <w:t xml:space="preserve"> manifestó que </w:t>
      </w:r>
      <w:r w:rsidR="00B948DE" w:rsidRPr="00793402">
        <w:rPr>
          <w:color w:val="000000" w:themeColor="text1"/>
          <w:sz w:val="28"/>
          <w:szCs w:val="28"/>
        </w:rPr>
        <w:t xml:space="preserve">garantizaría su </w:t>
      </w:r>
      <w:r w:rsidR="00D87876" w:rsidRPr="00793402">
        <w:rPr>
          <w:color w:val="000000" w:themeColor="text1"/>
          <w:sz w:val="28"/>
          <w:szCs w:val="28"/>
        </w:rPr>
        <w:t>estabilidad laboral</w:t>
      </w:r>
      <w:r w:rsidR="00D87876" w:rsidRPr="00793402">
        <w:rPr>
          <w:rStyle w:val="Refdenotaalpie"/>
          <w:color w:val="000000" w:themeColor="text1"/>
          <w:sz w:val="28"/>
          <w:szCs w:val="28"/>
        </w:rPr>
        <w:footnoteReference w:id="16"/>
      </w:r>
      <w:r w:rsidR="00D87876" w:rsidRPr="00793402">
        <w:rPr>
          <w:i/>
          <w:iCs/>
          <w:color w:val="000000" w:themeColor="text1"/>
          <w:sz w:val="28"/>
          <w:szCs w:val="28"/>
        </w:rPr>
        <w:t>.</w:t>
      </w:r>
      <w:r w:rsidR="00CA2D34" w:rsidRPr="00793402">
        <w:rPr>
          <w:i/>
          <w:iCs/>
          <w:color w:val="000000" w:themeColor="text1"/>
          <w:sz w:val="28"/>
          <w:szCs w:val="28"/>
        </w:rPr>
        <w:t xml:space="preserve"> </w:t>
      </w:r>
      <w:r w:rsidR="00B948DE" w:rsidRPr="00793402">
        <w:rPr>
          <w:color w:val="000000" w:themeColor="text1"/>
          <w:sz w:val="28"/>
          <w:szCs w:val="28"/>
        </w:rPr>
        <w:t>Lo expuesto, porque</w:t>
      </w:r>
      <w:r w:rsidR="00D87876" w:rsidRPr="00793402">
        <w:rPr>
          <w:color w:val="000000" w:themeColor="text1"/>
          <w:sz w:val="28"/>
          <w:szCs w:val="28"/>
        </w:rPr>
        <w:t xml:space="preserve"> la </w:t>
      </w:r>
      <w:r w:rsidR="00DE58E8" w:rsidRPr="00793402">
        <w:rPr>
          <w:color w:val="000000" w:themeColor="text1"/>
          <w:sz w:val="28"/>
          <w:szCs w:val="28"/>
        </w:rPr>
        <w:t>actora</w:t>
      </w:r>
      <w:r w:rsidR="00D87876" w:rsidRPr="00793402">
        <w:rPr>
          <w:color w:val="000000" w:themeColor="text1"/>
          <w:sz w:val="28"/>
          <w:szCs w:val="28"/>
        </w:rPr>
        <w:t xml:space="preserve"> contaba con 58 años y 1196 semanas cotizadas a pensión</w:t>
      </w:r>
      <w:r w:rsidR="00D87876" w:rsidRPr="00793402">
        <w:rPr>
          <w:rStyle w:val="Refdenotaalpie"/>
          <w:color w:val="000000" w:themeColor="text1"/>
          <w:sz w:val="28"/>
          <w:szCs w:val="28"/>
        </w:rPr>
        <w:footnoteReference w:id="17"/>
      </w:r>
      <w:r w:rsidR="00D87876" w:rsidRPr="00793402">
        <w:rPr>
          <w:color w:val="000000" w:themeColor="text1"/>
          <w:sz w:val="28"/>
          <w:szCs w:val="28"/>
        </w:rPr>
        <w:t>.</w:t>
      </w:r>
    </w:p>
    <w:p w14:paraId="2ADCE290" w14:textId="77777777" w:rsidR="00D87876" w:rsidRPr="00793402" w:rsidRDefault="00D87876" w:rsidP="00D87876">
      <w:pPr>
        <w:pStyle w:val="NormalWeb"/>
        <w:widowControl w:val="0"/>
        <w:spacing w:before="0" w:beforeAutospacing="0" w:after="0" w:afterAutospacing="0"/>
        <w:contextualSpacing/>
        <w:jc w:val="both"/>
        <w:rPr>
          <w:color w:val="000000" w:themeColor="text1"/>
          <w:sz w:val="28"/>
          <w:szCs w:val="28"/>
        </w:rPr>
      </w:pPr>
    </w:p>
    <w:p w14:paraId="76EC7172" w14:textId="7F66E020" w:rsidR="00D87876" w:rsidRPr="00793402" w:rsidRDefault="00927ED2" w:rsidP="00D87876">
      <w:pPr>
        <w:pStyle w:val="NormalWeb"/>
        <w:widowControl w:val="0"/>
        <w:spacing w:before="0" w:beforeAutospacing="0" w:after="0" w:afterAutospacing="0"/>
        <w:contextualSpacing/>
        <w:jc w:val="both"/>
        <w:rPr>
          <w:color w:val="000000" w:themeColor="text1"/>
          <w:sz w:val="28"/>
          <w:szCs w:val="28"/>
        </w:rPr>
      </w:pPr>
      <w:r w:rsidRPr="00793402">
        <w:rPr>
          <w:color w:val="000000" w:themeColor="text1"/>
          <w:sz w:val="28"/>
          <w:szCs w:val="28"/>
        </w:rPr>
        <w:t>9</w:t>
      </w:r>
      <w:r w:rsidR="00D87876" w:rsidRPr="00793402">
        <w:rPr>
          <w:color w:val="000000" w:themeColor="text1"/>
          <w:sz w:val="28"/>
          <w:szCs w:val="28"/>
        </w:rPr>
        <w:t xml:space="preserve">. </w:t>
      </w:r>
      <w:r w:rsidR="00513D70" w:rsidRPr="00793402">
        <w:rPr>
          <w:i/>
          <w:iCs/>
          <w:color w:val="000000" w:themeColor="text1"/>
          <w:sz w:val="28"/>
          <w:szCs w:val="28"/>
        </w:rPr>
        <w:t>La d</w:t>
      </w:r>
      <w:r w:rsidR="00D363E5" w:rsidRPr="00793402">
        <w:rPr>
          <w:i/>
          <w:iCs/>
          <w:color w:val="000000" w:themeColor="text1"/>
          <w:sz w:val="28"/>
          <w:szCs w:val="28"/>
        </w:rPr>
        <w:t>esvinculación de la accionante</w:t>
      </w:r>
      <w:r w:rsidR="00D363E5" w:rsidRPr="00793402">
        <w:rPr>
          <w:color w:val="000000" w:themeColor="text1"/>
          <w:sz w:val="28"/>
          <w:szCs w:val="28"/>
        </w:rPr>
        <w:t xml:space="preserve">. </w:t>
      </w:r>
      <w:r w:rsidR="00A40047" w:rsidRPr="00793402">
        <w:rPr>
          <w:color w:val="000000" w:themeColor="text1"/>
          <w:sz w:val="28"/>
          <w:szCs w:val="28"/>
        </w:rPr>
        <w:t>M</w:t>
      </w:r>
      <w:r w:rsidR="00D87876" w:rsidRPr="00793402">
        <w:rPr>
          <w:color w:val="000000" w:themeColor="text1"/>
          <w:sz w:val="28"/>
          <w:szCs w:val="28"/>
        </w:rPr>
        <w:t xml:space="preserve">ediante Resolución No. 1224 del 24 de </w:t>
      </w:r>
      <w:r w:rsidR="00D87876" w:rsidRPr="00793402">
        <w:rPr>
          <w:color w:val="000000" w:themeColor="text1"/>
          <w:sz w:val="28"/>
          <w:szCs w:val="28"/>
        </w:rPr>
        <w:lastRenderedPageBreak/>
        <w:t>febrero de 2022</w:t>
      </w:r>
      <w:r w:rsidR="00D87876" w:rsidRPr="00793402">
        <w:rPr>
          <w:rStyle w:val="Refdenotaalpie"/>
          <w:color w:val="000000" w:themeColor="text1"/>
          <w:sz w:val="28"/>
          <w:szCs w:val="28"/>
        </w:rPr>
        <w:footnoteReference w:id="18"/>
      </w:r>
      <w:r w:rsidR="00D87876" w:rsidRPr="00793402">
        <w:rPr>
          <w:color w:val="000000" w:themeColor="text1"/>
          <w:sz w:val="28"/>
          <w:szCs w:val="28"/>
        </w:rPr>
        <w:t xml:space="preserve">, la </w:t>
      </w:r>
      <w:r w:rsidR="0059299F" w:rsidRPr="00793402">
        <w:rPr>
          <w:color w:val="000000" w:themeColor="text1"/>
          <w:sz w:val="28"/>
          <w:szCs w:val="28"/>
        </w:rPr>
        <w:t>SED</w:t>
      </w:r>
      <w:r w:rsidR="00D87876" w:rsidRPr="00793402">
        <w:rPr>
          <w:color w:val="000000" w:themeColor="text1"/>
          <w:sz w:val="28"/>
          <w:szCs w:val="28"/>
        </w:rPr>
        <w:t xml:space="preserve"> de</w:t>
      </w:r>
      <w:r w:rsidR="00DE58E8" w:rsidRPr="00793402">
        <w:rPr>
          <w:color w:val="000000" w:themeColor="text1"/>
          <w:sz w:val="28"/>
          <w:szCs w:val="28"/>
        </w:rPr>
        <w:t>svinculó</w:t>
      </w:r>
      <w:r w:rsidR="00D87876" w:rsidRPr="00793402">
        <w:rPr>
          <w:color w:val="000000" w:themeColor="text1"/>
          <w:sz w:val="28"/>
          <w:szCs w:val="28"/>
        </w:rPr>
        <w:t xml:space="preserve"> del cargo a la </w:t>
      </w:r>
      <w:r w:rsidR="003F380F" w:rsidRPr="00793402">
        <w:rPr>
          <w:color w:val="000000" w:themeColor="text1"/>
          <w:sz w:val="28"/>
          <w:szCs w:val="28"/>
        </w:rPr>
        <w:t>accionante</w:t>
      </w:r>
      <w:r w:rsidR="00D72C7B" w:rsidRPr="00793402">
        <w:rPr>
          <w:color w:val="000000" w:themeColor="text1"/>
          <w:sz w:val="28"/>
          <w:szCs w:val="28"/>
        </w:rPr>
        <w:t>,</w:t>
      </w:r>
      <w:r w:rsidR="00CA2D34" w:rsidRPr="00793402">
        <w:rPr>
          <w:color w:val="000000" w:themeColor="text1"/>
          <w:sz w:val="28"/>
          <w:szCs w:val="28"/>
        </w:rPr>
        <w:t xml:space="preserve"> con efectos</w:t>
      </w:r>
      <w:r w:rsidR="003F380F" w:rsidRPr="00793402">
        <w:rPr>
          <w:color w:val="000000" w:themeColor="text1"/>
          <w:sz w:val="28"/>
          <w:szCs w:val="28"/>
        </w:rPr>
        <w:t xml:space="preserve"> </w:t>
      </w:r>
      <w:r w:rsidR="00D87876" w:rsidRPr="00793402">
        <w:rPr>
          <w:color w:val="000000" w:themeColor="text1"/>
          <w:sz w:val="28"/>
          <w:szCs w:val="28"/>
        </w:rPr>
        <w:t xml:space="preserve">a partir del 15 de marzo de 2022. </w:t>
      </w:r>
      <w:r w:rsidR="00DE58E8" w:rsidRPr="00793402">
        <w:rPr>
          <w:color w:val="000000" w:themeColor="text1"/>
          <w:sz w:val="28"/>
          <w:szCs w:val="28"/>
        </w:rPr>
        <w:t>En su lugar,</w:t>
      </w:r>
      <w:r w:rsidR="00D87876" w:rsidRPr="00793402">
        <w:rPr>
          <w:color w:val="000000" w:themeColor="text1"/>
          <w:sz w:val="28"/>
          <w:szCs w:val="28"/>
        </w:rPr>
        <w:t xml:space="preserve"> nombró a la señora </w:t>
      </w:r>
      <w:proofErr w:type="spellStart"/>
      <w:r w:rsidR="00D87876" w:rsidRPr="00793402">
        <w:rPr>
          <w:color w:val="000000" w:themeColor="text1"/>
          <w:sz w:val="28"/>
          <w:szCs w:val="28"/>
        </w:rPr>
        <w:t>Ingri</w:t>
      </w:r>
      <w:proofErr w:type="spellEnd"/>
      <w:r w:rsidR="00D87876" w:rsidRPr="00793402">
        <w:rPr>
          <w:color w:val="000000" w:themeColor="text1"/>
          <w:sz w:val="28"/>
          <w:szCs w:val="28"/>
        </w:rPr>
        <w:t xml:space="preserve"> Paola Cortés Ortiz</w:t>
      </w:r>
      <w:r w:rsidR="00DE58E8" w:rsidRPr="00793402">
        <w:rPr>
          <w:color w:val="000000" w:themeColor="text1"/>
          <w:sz w:val="28"/>
          <w:szCs w:val="28"/>
        </w:rPr>
        <w:t>, quien hac</w:t>
      </w:r>
      <w:r w:rsidR="00243640" w:rsidRPr="00793402">
        <w:rPr>
          <w:color w:val="000000" w:themeColor="text1"/>
          <w:sz w:val="28"/>
          <w:szCs w:val="28"/>
        </w:rPr>
        <w:t>í</w:t>
      </w:r>
      <w:r w:rsidR="00DE58E8" w:rsidRPr="00793402">
        <w:rPr>
          <w:color w:val="000000" w:themeColor="text1"/>
          <w:sz w:val="28"/>
          <w:szCs w:val="28"/>
        </w:rPr>
        <w:t>a parte de la lista de elegibles conformada por la CNSC</w:t>
      </w:r>
      <w:r w:rsidR="00D72C7B" w:rsidRPr="00793402">
        <w:rPr>
          <w:color w:val="000000" w:themeColor="text1"/>
          <w:sz w:val="28"/>
          <w:szCs w:val="28"/>
        </w:rPr>
        <w:t>,</w:t>
      </w:r>
      <w:r w:rsidR="00B948DE" w:rsidRPr="00793402">
        <w:rPr>
          <w:color w:val="000000" w:themeColor="text1"/>
          <w:sz w:val="28"/>
          <w:szCs w:val="28"/>
        </w:rPr>
        <w:t xml:space="preserve"> de acuerdo con el concurso de méritos adelantado.</w:t>
      </w:r>
    </w:p>
    <w:p w14:paraId="67C91906" w14:textId="77777777" w:rsidR="00D87876" w:rsidRPr="00793402" w:rsidRDefault="00D87876" w:rsidP="00D87876">
      <w:pPr>
        <w:pStyle w:val="NormalWeb"/>
        <w:widowControl w:val="0"/>
        <w:contextualSpacing/>
        <w:jc w:val="both"/>
        <w:rPr>
          <w:color w:val="000000" w:themeColor="text1"/>
          <w:sz w:val="28"/>
          <w:szCs w:val="28"/>
        </w:rPr>
      </w:pPr>
    </w:p>
    <w:p w14:paraId="387EA8A0" w14:textId="2FFA3E9E" w:rsidR="00D87876" w:rsidRPr="00793402" w:rsidRDefault="00927ED2" w:rsidP="00D87876">
      <w:pPr>
        <w:pStyle w:val="NormalWeb"/>
        <w:widowControl w:val="0"/>
        <w:contextualSpacing/>
        <w:jc w:val="both"/>
        <w:rPr>
          <w:color w:val="000000" w:themeColor="text1"/>
          <w:sz w:val="28"/>
          <w:szCs w:val="28"/>
        </w:rPr>
      </w:pPr>
      <w:r w:rsidRPr="00793402">
        <w:rPr>
          <w:color w:val="000000" w:themeColor="text1"/>
          <w:sz w:val="28"/>
          <w:szCs w:val="28"/>
        </w:rPr>
        <w:t>10</w:t>
      </w:r>
      <w:r w:rsidR="00D87876" w:rsidRPr="00793402">
        <w:rPr>
          <w:color w:val="000000" w:themeColor="text1"/>
          <w:sz w:val="28"/>
          <w:szCs w:val="28"/>
        </w:rPr>
        <w:t>.</w:t>
      </w:r>
      <w:r w:rsidR="00513D70" w:rsidRPr="00793402">
        <w:rPr>
          <w:i/>
          <w:iCs/>
          <w:color w:val="000000" w:themeColor="text1"/>
          <w:sz w:val="28"/>
          <w:szCs w:val="28"/>
        </w:rPr>
        <w:t xml:space="preserve"> La s</w:t>
      </w:r>
      <w:r w:rsidR="00DE58E8" w:rsidRPr="00793402">
        <w:rPr>
          <w:i/>
          <w:iCs/>
          <w:color w:val="000000" w:themeColor="text1"/>
          <w:sz w:val="28"/>
          <w:szCs w:val="28"/>
        </w:rPr>
        <w:t>egunda</w:t>
      </w:r>
      <w:r w:rsidR="00D363E5" w:rsidRPr="00793402">
        <w:rPr>
          <w:i/>
          <w:iCs/>
          <w:color w:val="000000" w:themeColor="text1"/>
          <w:sz w:val="28"/>
          <w:szCs w:val="28"/>
        </w:rPr>
        <w:t xml:space="preserve"> solicitud de reconocimiento de la condición de </w:t>
      </w:r>
      <w:proofErr w:type="spellStart"/>
      <w:r w:rsidR="00D363E5" w:rsidRPr="00793402">
        <w:rPr>
          <w:i/>
          <w:iCs/>
          <w:color w:val="000000" w:themeColor="text1"/>
          <w:sz w:val="28"/>
          <w:szCs w:val="28"/>
        </w:rPr>
        <w:t>prepensionada</w:t>
      </w:r>
      <w:proofErr w:type="spellEnd"/>
      <w:r w:rsidR="00D363E5" w:rsidRPr="00793402">
        <w:rPr>
          <w:color w:val="000000" w:themeColor="text1"/>
          <w:sz w:val="28"/>
          <w:szCs w:val="28"/>
        </w:rPr>
        <w:t xml:space="preserve">. </w:t>
      </w:r>
      <w:r w:rsidR="00D87876" w:rsidRPr="00793402">
        <w:rPr>
          <w:color w:val="000000" w:themeColor="text1"/>
          <w:sz w:val="28"/>
          <w:szCs w:val="28"/>
        </w:rPr>
        <w:t>Mediante apoderado</w:t>
      </w:r>
      <w:r w:rsidR="00D87876" w:rsidRPr="00793402">
        <w:rPr>
          <w:rStyle w:val="Refdenotaalpie"/>
          <w:color w:val="000000" w:themeColor="text1"/>
          <w:sz w:val="28"/>
          <w:szCs w:val="28"/>
        </w:rPr>
        <w:footnoteReference w:id="19"/>
      </w:r>
      <w:r w:rsidR="00D87876" w:rsidRPr="00793402">
        <w:rPr>
          <w:color w:val="000000" w:themeColor="text1"/>
          <w:sz w:val="28"/>
          <w:szCs w:val="28"/>
        </w:rPr>
        <w:t>, el 21 de marzo de 2022, la demandante solicitó</w:t>
      </w:r>
      <w:r w:rsidR="0017278D" w:rsidRPr="00793402">
        <w:rPr>
          <w:color w:val="000000" w:themeColor="text1"/>
          <w:sz w:val="28"/>
          <w:szCs w:val="28"/>
        </w:rPr>
        <w:t xml:space="preserve"> nuevamente</w:t>
      </w:r>
      <w:r w:rsidR="00D87876" w:rsidRPr="00793402">
        <w:rPr>
          <w:color w:val="000000" w:themeColor="text1"/>
          <w:sz w:val="28"/>
          <w:szCs w:val="28"/>
        </w:rPr>
        <w:t xml:space="preserve"> a </w:t>
      </w:r>
      <w:r w:rsidR="00DE58E8" w:rsidRPr="00793402">
        <w:rPr>
          <w:color w:val="000000" w:themeColor="text1"/>
          <w:sz w:val="28"/>
          <w:szCs w:val="28"/>
        </w:rPr>
        <w:t xml:space="preserve">la SED </w:t>
      </w:r>
      <w:r w:rsidR="00D87876" w:rsidRPr="00793402">
        <w:rPr>
          <w:color w:val="000000" w:themeColor="text1"/>
          <w:sz w:val="28"/>
          <w:szCs w:val="28"/>
        </w:rPr>
        <w:t xml:space="preserve">su reintegro </w:t>
      </w:r>
      <w:r w:rsidR="00D87876" w:rsidRPr="00793402">
        <w:rPr>
          <w:i/>
          <w:iCs/>
          <w:color w:val="000000" w:themeColor="text1"/>
          <w:sz w:val="28"/>
          <w:szCs w:val="28"/>
        </w:rPr>
        <w:t>“sin solución de continuidad</w:t>
      </w:r>
      <w:r w:rsidR="00D87876" w:rsidRPr="00793402">
        <w:rPr>
          <w:color w:val="000000" w:themeColor="text1"/>
          <w:sz w:val="28"/>
          <w:szCs w:val="28"/>
        </w:rPr>
        <w:t>”</w:t>
      </w:r>
      <w:r w:rsidR="00DE58E8" w:rsidRPr="00793402">
        <w:rPr>
          <w:rStyle w:val="Refdenotaalpie"/>
          <w:color w:val="000000" w:themeColor="text1"/>
          <w:sz w:val="28"/>
          <w:szCs w:val="28"/>
        </w:rPr>
        <w:t xml:space="preserve"> </w:t>
      </w:r>
      <w:r w:rsidR="00DE58E8" w:rsidRPr="00793402">
        <w:rPr>
          <w:rStyle w:val="Refdenotaalpie"/>
          <w:color w:val="000000" w:themeColor="text1"/>
          <w:sz w:val="28"/>
          <w:szCs w:val="28"/>
        </w:rPr>
        <w:footnoteReference w:id="20"/>
      </w:r>
      <w:r w:rsidR="00D87876" w:rsidRPr="00793402">
        <w:rPr>
          <w:color w:val="000000" w:themeColor="text1"/>
          <w:sz w:val="28"/>
          <w:szCs w:val="28"/>
        </w:rPr>
        <w:t>, el pago de los salarios dejados de percibir</w:t>
      </w:r>
      <w:r w:rsidR="008C4678" w:rsidRPr="00793402">
        <w:rPr>
          <w:color w:val="000000" w:themeColor="text1"/>
          <w:sz w:val="28"/>
          <w:szCs w:val="28"/>
        </w:rPr>
        <w:t xml:space="preserve"> </w:t>
      </w:r>
      <w:r w:rsidR="00D87876" w:rsidRPr="00793402">
        <w:rPr>
          <w:color w:val="000000" w:themeColor="text1"/>
          <w:sz w:val="28"/>
          <w:szCs w:val="28"/>
        </w:rPr>
        <w:t>y demás acreencias laborales desde el momento en que fue desvinculada</w:t>
      </w:r>
      <w:r w:rsidR="00856AD8" w:rsidRPr="00793402">
        <w:rPr>
          <w:rStyle w:val="Refdenotaalpie"/>
          <w:color w:val="000000" w:themeColor="text1"/>
          <w:sz w:val="28"/>
          <w:szCs w:val="28"/>
        </w:rPr>
        <w:footnoteReference w:id="21"/>
      </w:r>
      <w:r w:rsidR="00D87876" w:rsidRPr="00793402">
        <w:rPr>
          <w:color w:val="000000" w:themeColor="text1"/>
          <w:sz w:val="28"/>
          <w:szCs w:val="28"/>
        </w:rPr>
        <w:t xml:space="preserve">. Consideró que su condición de </w:t>
      </w:r>
      <w:proofErr w:type="spellStart"/>
      <w:r w:rsidR="00D87876" w:rsidRPr="00793402">
        <w:rPr>
          <w:color w:val="000000" w:themeColor="text1"/>
          <w:sz w:val="28"/>
          <w:szCs w:val="28"/>
        </w:rPr>
        <w:t>prepensionada</w:t>
      </w:r>
      <w:proofErr w:type="spellEnd"/>
      <w:r w:rsidR="00D87876" w:rsidRPr="00793402">
        <w:rPr>
          <w:color w:val="000000" w:themeColor="text1"/>
          <w:sz w:val="28"/>
          <w:szCs w:val="28"/>
        </w:rPr>
        <w:t xml:space="preserve"> le permite acceder a una especial protección constitucional</w:t>
      </w:r>
      <w:r w:rsidR="00D72C7B" w:rsidRPr="00793402">
        <w:rPr>
          <w:color w:val="000000" w:themeColor="text1"/>
          <w:sz w:val="28"/>
          <w:szCs w:val="28"/>
        </w:rPr>
        <w:t>,</w:t>
      </w:r>
      <w:r w:rsidR="00D87876" w:rsidRPr="00793402">
        <w:rPr>
          <w:color w:val="000000" w:themeColor="text1"/>
          <w:sz w:val="28"/>
          <w:szCs w:val="28"/>
        </w:rPr>
        <w:t xml:space="preserve"> </w:t>
      </w:r>
      <w:r w:rsidR="00DE58E8" w:rsidRPr="00793402">
        <w:rPr>
          <w:color w:val="000000" w:themeColor="text1"/>
          <w:sz w:val="28"/>
          <w:szCs w:val="28"/>
        </w:rPr>
        <w:t xml:space="preserve">porque </w:t>
      </w:r>
      <w:r w:rsidR="00D87876" w:rsidRPr="00793402">
        <w:rPr>
          <w:color w:val="000000" w:themeColor="text1"/>
          <w:sz w:val="28"/>
          <w:szCs w:val="28"/>
        </w:rPr>
        <w:t>tiene 59 años y ha cotizado más de 1200 semanas al sistema pensional</w:t>
      </w:r>
      <w:r w:rsidR="00DE58E8" w:rsidRPr="00793402">
        <w:rPr>
          <w:color w:val="000000" w:themeColor="text1"/>
          <w:sz w:val="28"/>
          <w:szCs w:val="28"/>
        </w:rPr>
        <w:t>.</w:t>
      </w:r>
      <w:r w:rsidR="00B948DE" w:rsidRPr="00793402">
        <w:rPr>
          <w:color w:val="000000" w:themeColor="text1"/>
          <w:sz w:val="28"/>
          <w:szCs w:val="28"/>
        </w:rPr>
        <w:t xml:space="preserve"> En respuesta </w:t>
      </w:r>
      <w:r w:rsidR="00D87876" w:rsidRPr="00793402">
        <w:rPr>
          <w:color w:val="000000" w:themeColor="text1"/>
          <w:sz w:val="28"/>
          <w:szCs w:val="28"/>
        </w:rPr>
        <w:t>del 21 de abril del 2022</w:t>
      </w:r>
      <w:r w:rsidR="00D87876" w:rsidRPr="00793402">
        <w:rPr>
          <w:rStyle w:val="Refdenotaalpie"/>
          <w:color w:val="000000" w:themeColor="text1"/>
          <w:sz w:val="28"/>
          <w:szCs w:val="28"/>
        </w:rPr>
        <w:footnoteReference w:id="22"/>
      </w:r>
      <w:r w:rsidR="00D87876" w:rsidRPr="00793402">
        <w:rPr>
          <w:color w:val="000000" w:themeColor="text1"/>
          <w:sz w:val="28"/>
          <w:szCs w:val="28"/>
        </w:rPr>
        <w:t xml:space="preserve">, la SED </w:t>
      </w:r>
      <w:r w:rsidR="00DE58E8" w:rsidRPr="00793402">
        <w:rPr>
          <w:color w:val="000000" w:themeColor="text1"/>
          <w:sz w:val="28"/>
          <w:szCs w:val="28"/>
        </w:rPr>
        <w:t xml:space="preserve">informó </w:t>
      </w:r>
      <w:r w:rsidR="00D87876" w:rsidRPr="00793402">
        <w:rPr>
          <w:color w:val="000000" w:themeColor="text1"/>
          <w:sz w:val="28"/>
          <w:szCs w:val="28"/>
        </w:rPr>
        <w:t xml:space="preserve">que </w:t>
      </w:r>
      <w:r w:rsidR="00D87876" w:rsidRPr="00793402">
        <w:rPr>
          <w:i/>
          <w:iCs/>
          <w:color w:val="000000" w:themeColor="text1"/>
          <w:sz w:val="28"/>
          <w:szCs w:val="28"/>
        </w:rPr>
        <w:t xml:space="preserve">“(…) la señora Blanca </w:t>
      </w:r>
      <w:proofErr w:type="spellStart"/>
      <w:r w:rsidR="00D87876" w:rsidRPr="00793402">
        <w:rPr>
          <w:i/>
          <w:iCs/>
          <w:color w:val="000000" w:themeColor="text1"/>
          <w:sz w:val="28"/>
          <w:szCs w:val="28"/>
        </w:rPr>
        <w:t>Bellanid</w:t>
      </w:r>
      <w:proofErr w:type="spellEnd"/>
      <w:r w:rsidR="00D87876" w:rsidRPr="00793402">
        <w:rPr>
          <w:i/>
          <w:iCs/>
          <w:color w:val="000000" w:themeColor="text1"/>
          <w:sz w:val="28"/>
          <w:szCs w:val="28"/>
        </w:rPr>
        <w:t xml:space="preserve"> </w:t>
      </w:r>
      <w:proofErr w:type="spellStart"/>
      <w:r w:rsidR="00D87876" w:rsidRPr="00793402">
        <w:rPr>
          <w:i/>
          <w:iCs/>
          <w:color w:val="000000" w:themeColor="text1"/>
          <w:sz w:val="28"/>
          <w:szCs w:val="28"/>
        </w:rPr>
        <w:t>Galíndez</w:t>
      </w:r>
      <w:proofErr w:type="spellEnd"/>
      <w:r w:rsidR="00D87876" w:rsidRPr="00793402">
        <w:rPr>
          <w:i/>
          <w:iCs/>
          <w:color w:val="000000" w:themeColor="text1"/>
          <w:sz w:val="28"/>
          <w:szCs w:val="28"/>
        </w:rPr>
        <w:t xml:space="preserve"> Joven cuenta con 1.016 semanas según reporte de Colpensiones, por consiguiente no cumple con el requisito de haber cotizado las 1.150 semanas exigida</w:t>
      </w:r>
      <w:r w:rsidR="00B948DE" w:rsidRPr="00793402">
        <w:rPr>
          <w:i/>
          <w:iCs/>
          <w:color w:val="000000" w:themeColor="text1"/>
          <w:sz w:val="28"/>
          <w:szCs w:val="28"/>
        </w:rPr>
        <w:t>[s]</w:t>
      </w:r>
      <w:r w:rsidR="00D87876" w:rsidRPr="00793402">
        <w:rPr>
          <w:i/>
          <w:iCs/>
          <w:color w:val="000000" w:themeColor="text1"/>
          <w:sz w:val="28"/>
          <w:szCs w:val="28"/>
        </w:rPr>
        <w:t xml:space="preserve"> para obtener la calidad de pre pensionad</w:t>
      </w:r>
      <w:r w:rsidR="00B948DE" w:rsidRPr="00793402">
        <w:rPr>
          <w:i/>
          <w:iCs/>
          <w:color w:val="000000" w:themeColor="text1"/>
          <w:sz w:val="28"/>
          <w:szCs w:val="28"/>
        </w:rPr>
        <w:t>[a]</w:t>
      </w:r>
      <w:r w:rsidR="00525856" w:rsidRPr="00793402">
        <w:rPr>
          <w:i/>
          <w:iCs/>
          <w:color w:val="000000" w:themeColor="text1"/>
          <w:sz w:val="28"/>
          <w:szCs w:val="28"/>
        </w:rPr>
        <w:t>(sic)</w:t>
      </w:r>
      <w:r w:rsidR="00D87876" w:rsidRPr="00793402">
        <w:rPr>
          <w:i/>
          <w:iCs/>
          <w:color w:val="000000" w:themeColor="text1"/>
          <w:sz w:val="28"/>
          <w:szCs w:val="28"/>
        </w:rPr>
        <w:t>, lo que impide acceder a sus pretensiones.(…)”</w:t>
      </w:r>
      <w:r w:rsidR="00D87876" w:rsidRPr="00793402">
        <w:rPr>
          <w:color w:val="000000" w:themeColor="text1"/>
          <w:sz w:val="28"/>
          <w:szCs w:val="28"/>
        </w:rPr>
        <w:t>.</w:t>
      </w:r>
    </w:p>
    <w:p w14:paraId="6E17C4A9" w14:textId="77777777" w:rsidR="00D87876" w:rsidRPr="00793402" w:rsidRDefault="00D87876" w:rsidP="00D87876">
      <w:pPr>
        <w:pStyle w:val="NormalWeb"/>
        <w:widowControl w:val="0"/>
        <w:contextualSpacing/>
        <w:jc w:val="both"/>
        <w:rPr>
          <w:color w:val="000000" w:themeColor="text1"/>
          <w:sz w:val="28"/>
          <w:szCs w:val="28"/>
        </w:rPr>
      </w:pPr>
    </w:p>
    <w:p w14:paraId="7F5FF03B" w14:textId="0DAED0FA" w:rsidR="00D87876" w:rsidRPr="00793402" w:rsidRDefault="00927ED2" w:rsidP="00D87876">
      <w:pPr>
        <w:pStyle w:val="NormalWeb"/>
        <w:widowControl w:val="0"/>
        <w:contextualSpacing/>
        <w:jc w:val="both"/>
        <w:rPr>
          <w:color w:val="000000" w:themeColor="text1"/>
          <w:sz w:val="28"/>
          <w:szCs w:val="28"/>
        </w:rPr>
      </w:pPr>
      <w:r w:rsidRPr="00793402">
        <w:rPr>
          <w:color w:val="000000" w:themeColor="text1"/>
          <w:sz w:val="28"/>
          <w:szCs w:val="28"/>
        </w:rPr>
        <w:t>11</w:t>
      </w:r>
      <w:r w:rsidR="00D87876" w:rsidRPr="00793402">
        <w:rPr>
          <w:color w:val="000000" w:themeColor="text1"/>
          <w:sz w:val="28"/>
          <w:szCs w:val="28"/>
        </w:rPr>
        <w:t xml:space="preserve">. </w:t>
      </w:r>
      <w:r w:rsidR="00513D70" w:rsidRPr="00793402">
        <w:rPr>
          <w:i/>
          <w:iCs/>
          <w:color w:val="000000" w:themeColor="text1"/>
          <w:sz w:val="28"/>
          <w:szCs w:val="28"/>
        </w:rPr>
        <w:t>El r</w:t>
      </w:r>
      <w:r w:rsidR="00D363E5" w:rsidRPr="00793402">
        <w:rPr>
          <w:i/>
          <w:iCs/>
          <w:color w:val="000000" w:themeColor="text1"/>
          <w:sz w:val="28"/>
          <w:szCs w:val="28"/>
        </w:rPr>
        <w:t>ecurso de reposición y en subsidio</w:t>
      </w:r>
      <w:r w:rsidR="00523B3E" w:rsidRPr="00793402">
        <w:rPr>
          <w:i/>
          <w:iCs/>
          <w:color w:val="000000" w:themeColor="text1"/>
          <w:sz w:val="28"/>
          <w:szCs w:val="28"/>
        </w:rPr>
        <w:t xml:space="preserve"> de</w:t>
      </w:r>
      <w:r w:rsidR="00D363E5" w:rsidRPr="00793402">
        <w:rPr>
          <w:i/>
          <w:iCs/>
          <w:color w:val="000000" w:themeColor="text1"/>
          <w:sz w:val="28"/>
          <w:szCs w:val="28"/>
        </w:rPr>
        <w:t xml:space="preserve"> apelación</w:t>
      </w:r>
      <w:r w:rsidR="00D363E5" w:rsidRPr="00793402">
        <w:rPr>
          <w:color w:val="000000" w:themeColor="text1"/>
          <w:sz w:val="28"/>
          <w:szCs w:val="28"/>
        </w:rPr>
        <w:t xml:space="preserve">. </w:t>
      </w:r>
      <w:r w:rsidR="00D87876" w:rsidRPr="00793402">
        <w:rPr>
          <w:color w:val="000000" w:themeColor="text1"/>
          <w:sz w:val="28"/>
          <w:szCs w:val="28"/>
        </w:rPr>
        <w:t xml:space="preserve">El 28 de abril de 2022, la actora presentó recurso de reposición y en subsidio </w:t>
      </w:r>
      <w:r w:rsidR="00523B3E" w:rsidRPr="00793402">
        <w:rPr>
          <w:color w:val="000000" w:themeColor="text1"/>
          <w:sz w:val="28"/>
          <w:szCs w:val="28"/>
        </w:rPr>
        <w:t xml:space="preserve">de </w:t>
      </w:r>
      <w:r w:rsidR="00D87876" w:rsidRPr="00793402">
        <w:rPr>
          <w:color w:val="000000" w:themeColor="text1"/>
          <w:sz w:val="28"/>
          <w:szCs w:val="28"/>
        </w:rPr>
        <w:t>apelación en contra de la anterior decisión</w:t>
      </w:r>
      <w:r w:rsidR="00D87876" w:rsidRPr="00793402">
        <w:rPr>
          <w:rStyle w:val="Refdenotaalpie"/>
          <w:color w:val="000000" w:themeColor="text1"/>
          <w:sz w:val="28"/>
          <w:szCs w:val="28"/>
        </w:rPr>
        <w:footnoteReference w:id="23"/>
      </w:r>
      <w:r w:rsidR="00D87876" w:rsidRPr="00793402">
        <w:rPr>
          <w:color w:val="000000" w:themeColor="text1"/>
          <w:sz w:val="28"/>
          <w:szCs w:val="28"/>
        </w:rPr>
        <w:t xml:space="preserve">. Indicó que goza de la calidad de </w:t>
      </w:r>
      <w:proofErr w:type="spellStart"/>
      <w:r w:rsidR="00D87876" w:rsidRPr="00793402">
        <w:rPr>
          <w:color w:val="000000" w:themeColor="text1"/>
          <w:sz w:val="28"/>
          <w:szCs w:val="28"/>
        </w:rPr>
        <w:t>prepensionada</w:t>
      </w:r>
      <w:proofErr w:type="spellEnd"/>
      <w:r w:rsidR="00FF73EA" w:rsidRPr="00793402">
        <w:rPr>
          <w:color w:val="000000" w:themeColor="text1"/>
          <w:sz w:val="28"/>
          <w:szCs w:val="28"/>
        </w:rPr>
        <w:t>,</w:t>
      </w:r>
      <w:r w:rsidR="00CA2D34" w:rsidRPr="00793402">
        <w:rPr>
          <w:color w:val="000000" w:themeColor="text1"/>
          <w:sz w:val="28"/>
          <w:szCs w:val="28"/>
        </w:rPr>
        <w:t xml:space="preserve"> </w:t>
      </w:r>
      <w:r w:rsidR="00996960" w:rsidRPr="00793402">
        <w:rPr>
          <w:color w:val="000000" w:themeColor="text1"/>
          <w:sz w:val="28"/>
          <w:szCs w:val="28"/>
        </w:rPr>
        <w:t>por tanto</w:t>
      </w:r>
      <w:r w:rsidR="00B948DE" w:rsidRPr="00793402">
        <w:rPr>
          <w:color w:val="000000" w:themeColor="text1"/>
          <w:sz w:val="28"/>
          <w:szCs w:val="28"/>
        </w:rPr>
        <w:t xml:space="preserve">, pidió </w:t>
      </w:r>
      <w:r w:rsidR="00513D70" w:rsidRPr="00793402">
        <w:rPr>
          <w:color w:val="000000" w:themeColor="text1"/>
          <w:sz w:val="28"/>
          <w:szCs w:val="28"/>
        </w:rPr>
        <w:t>revisar</w:t>
      </w:r>
      <w:r w:rsidR="00B948DE" w:rsidRPr="00793402">
        <w:rPr>
          <w:color w:val="000000" w:themeColor="text1"/>
          <w:sz w:val="28"/>
          <w:szCs w:val="28"/>
        </w:rPr>
        <w:t xml:space="preserve"> su historial laboral para corroborar el número de semanas aportadas a </w:t>
      </w:r>
      <w:r w:rsidR="00940AF8" w:rsidRPr="00793402">
        <w:rPr>
          <w:color w:val="000000" w:themeColor="text1"/>
          <w:sz w:val="28"/>
          <w:szCs w:val="28"/>
        </w:rPr>
        <w:t>C</w:t>
      </w:r>
      <w:r w:rsidR="00042644" w:rsidRPr="00793402">
        <w:rPr>
          <w:color w:val="000000" w:themeColor="text1"/>
          <w:sz w:val="28"/>
          <w:szCs w:val="28"/>
        </w:rPr>
        <w:t>OLPENSIONES</w:t>
      </w:r>
      <w:r w:rsidR="00B948DE" w:rsidRPr="00793402">
        <w:rPr>
          <w:color w:val="000000" w:themeColor="text1"/>
          <w:sz w:val="28"/>
          <w:szCs w:val="28"/>
        </w:rPr>
        <w:t xml:space="preserve">. A través de la </w:t>
      </w:r>
      <w:r w:rsidR="00D87876" w:rsidRPr="00793402">
        <w:rPr>
          <w:color w:val="000000" w:themeColor="text1"/>
          <w:sz w:val="28"/>
          <w:szCs w:val="28"/>
        </w:rPr>
        <w:t>Resolución 2936 del 21 de junio de 2022</w:t>
      </w:r>
      <w:r w:rsidR="00D87876" w:rsidRPr="00793402">
        <w:rPr>
          <w:rStyle w:val="Refdenotaalpie"/>
          <w:color w:val="000000" w:themeColor="text1"/>
          <w:sz w:val="28"/>
          <w:szCs w:val="28"/>
        </w:rPr>
        <w:footnoteReference w:id="24"/>
      </w:r>
      <w:r w:rsidR="00D87876" w:rsidRPr="00793402">
        <w:rPr>
          <w:color w:val="000000" w:themeColor="text1"/>
          <w:sz w:val="28"/>
          <w:szCs w:val="28"/>
        </w:rPr>
        <w:t>, la SED</w:t>
      </w:r>
      <w:r w:rsidRPr="00793402">
        <w:rPr>
          <w:color w:val="000000" w:themeColor="text1"/>
          <w:sz w:val="28"/>
          <w:szCs w:val="28"/>
        </w:rPr>
        <w:t xml:space="preserve"> </w:t>
      </w:r>
      <w:r w:rsidR="00CA2D34" w:rsidRPr="00793402">
        <w:rPr>
          <w:color w:val="000000" w:themeColor="text1"/>
          <w:sz w:val="28"/>
          <w:szCs w:val="28"/>
        </w:rPr>
        <w:t>n</w:t>
      </w:r>
      <w:r w:rsidRPr="00793402">
        <w:rPr>
          <w:color w:val="000000" w:themeColor="text1"/>
          <w:sz w:val="28"/>
          <w:szCs w:val="28"/>
        </w:rPr>
        <w:t>egó el recurso y</w:t>
      </w:r>
      <w:r w:rsidR="00D87876" w:rsidRPr="00793402">
        <w:rPr>
          <w:color w:val="000000" w:themeColor="text1"/>
          <w:sz w:val="28"/>
          <w:szCs w:val="28"/>
        </w:rPr>
        <w:t xml:space="preserve"> reiteró que la </w:t>
      </w:r>
      <w:r w:rsidR="003F380F" w:rsidRPr="00793402">
        <w:rPr>
          <w:color w:val="000000" w:themeColor="text1"/>
          <w:sz w:val="28"/>
          <w:szCs w:val="28"/>
        </w:rPr>
        <w:t xml:space="preserve">demandante </w:t>
      </w:r>
      <w:r w:rsidR="00D87876" w:rsidRPr="00793402">
        <w:rPr>
          <w:color w:val="000000" w:themeColor="text1"/>
          <w:sz w:val="28"/>
          <w:szCs w:val="28"/>
        </w:rPr>
        <w:t xml:space="preserve">no acreditó los requisitos para adquirir la condición de </w:t>
      </w:r>
      <w:proofErr w:type="spellStart"/>
      <w:r w:rsidR="00D87876" w:rsidRPr="00793402">
        <w:rPr>
          <w:color w:val="000000" w:themeColor="text1"/>
          <w:sz w:val="28"/>
          <w:szCs w:val="28"/>
        </w:rPr>
        <w:t>prepensionada</w:t>
      </w:r>
      <w:proofErr w:type="spellEnd"/>
      <w:r w:rsidRPr="00793402">
        <w:rPr>
          <w:rStyle w:val="Refdenotaalpie"/>
          <w:color w:val="000000" w:themeColor="text1"/>
          <w:sz w:val="28"/>
          <w:szCs w:val="28"/>
        </w:rPr>
        <w:footnoteReference w:id="25"/>
      </w:r>
      <w:r w:rsidR="00F9585E" w:rsidRPr="00793402">
        <w:rPr>
          <w:color w:val="000000" w:themeColor="text1"/>
          <w:sz w:val="28"/>
          <w:szCs w:val="28"/>
        </w:rPr>
        <w:t>. C</w:t>
      </w:r>
      <w:r w:rsidR="00D87876" w:rsidRPr="00793402">
        <w:rPr>
          <w:color w:val="000000" w:themeColor="text1"/>
          <w:sz w:val="28"/>
          <w:szCs w:val="28"/>
        </w:rPr>
        <w:t>oncluyó que: “</w:t>
      </w:r>
      <w:r w:rsidR="00D87876" w:rsidRPr="00793402">
        <w:rPr>
          <w:i/>
          <w:iCs/>
          <w:color w:val="000000" w:themeColor="text1"/>
          <w:sz w:val="28"/>
          <w:szCs w:val="28"/>
        </w:rPr>
        <w:t xml:space="preserve">(…) </w:t>
      </w:r>
      <w:r w:rsidR="00CA2D34" w:rsidRPr="00793402">
        <w:rPr>
          <w:color w:val="000000" w:themeColor="text1"/>
          <w:sz w:val="28"/>
          <w:szCs w:val="28"/>
        </w:rPr>
        <w:t xml:space="preserve">[aquella] </w:t>
      </w:r>
      <w:r w:rsidR="00D87876" w:rsidRPr="00793402">
        <w:rPr>
          <w:i/>
          <w:iCs/>
          <w:color w:val="000000" w:themeColor="text1"/>
          <w:sz w:val="28"/>
          <w:szCs w:val="28"/>
        </w:rPr>
        <w:t>cuenta con el reporte de 968,14 semanas cotizadas en pensiones por (sic) Colpensiones a corte 18 de febrero de 2021, (…), lo que permite presumir que, a la fecha de su desvinculación, es decir el 15 de marzo de 2022, no tendría las semana</w:t>
      </w:r>
      <w:r w:rsidR="00235FD7" w:rsidRPr="00793402">
        <w:rPr>
          <w:i/>
          <w:iCs/>
          <w:color w:val="000000" w:themeColor="text1"/>
          <w:sz w:val="28"/>
          <w:szCs w:val="28"/>
        </w:rPr>
        <w:t>s</w:t>
      </w:r>
      <w:r w:rsidR="00E64FD5" w:rsidRPr="00793402">
        <w:rPr>
          <w:i/>
          <w:iCs/>
          <w:color w:val="000000" w:themeColor="text1"/>
          <w:sz w:val="28"/>
          <w:szCs w:val="28"/>
        </w:rPr>
        <w:t xml:space="preserve"> </w:t>
      </w:r>
      <w:r w:rsidR="00D87876" w:rsidRPr="00793402">
        <w:rPr>
          <w:i/>
          <w:iCs/>
          <w:color w:val="000000" w:themeColor="text1"/>
          <w:sz w:val="28"/>
          <w:szCs w:val="28"/>
        </w:rPr>
        <w:t>efectivamente cotizadas, teniendo en cuenta que cada año tiene 52 semanas de cotización.(…)</w:t>
      </w:r>
      <w:r w:rsidR="00D87876" w:rsidRPr="00793402">
        <w:rPr>
          <w:color w:val="000000" w:themeColor="text1"/>
          <w:sz w:val="28"/>
          <w:szCs w:val="28"/>
        </w:rPr>
        <w:t>”</w:t>
      </w:r>
      <w:r w:rsidR="00D87876" w:rsidRPr="00793402">
        <w:rPr>
          <w:rStyle w:val="Refdenotaalpie"/>
          <w:color w:val="000000" w:themeColor="text1"/>
          <w:sz w:val="28"/>
          <w:szCs w:val="28"/>
        </w:rPr>
        <w:footnoteReference w:id="26"/>
      </w:r>
      <w:r w:rsidR="00D87876" w:rsidRPr="00793402">
        <w:rPr>
          <w:color w:val="000000" w:themeColor="text1"/>
          <w:sz w:val="28"/>
          <w:szCs w:val="28"/>
        </w:rPr>
        <w:t xml:space="preserve">. </w:t>
      </w:r>
    </w:p>
    <w:p w14:paraId="699A37F7" w14:textId="5C61E6BB" w:rsidR="0099357B" w:rsidRPr="00793402" w:rsidRDefault="0099357B" w:rsidP="00D87876">
      <w:pPr>
        <w:pStyle w:val="NormalWeb"/>
        <w:widowControl w:val="0"/>
        <w:contextualSpacing/>
        <w:jc w:val="both"/>
        <w:rPr>
          <w:color w:val="000000" w:themeColor="text1"/>
          <w:sz w:val="28"/>
          <w:szCs w:val="28"/>
        </w:rPr>
      </w:pPr>
    </w:p>
    <w:p w14:paraId="17F691C2" w14:textId="3EA9AD83" w:rsidR="00FD403B" w:rsidRPr="00793402" w:rsidRDefault="0099357B" w:rsidP="00D87876">
      <w:pPr>
        <w:pStyle w:val="NormalWeb"/>
        <w:widowControl w:val="0"/>
        <w:contextualSpacing/>
        <w:jc w:val="both"/>
        <w:rPr>
          <w:color w:val="000000" w:themeColor="text1"/>
          <w:sz w:val="28"/>
          <w:szCs w:val="28"/>
        </w:rPr>
      </w:pPr>
      <w:r w:rsidRPr="00793402">
        <w:rPr>
          <w:color w:val="000000" w:themeColor="text1"/>
          <w:sz w:val="28"/>
          <w:szCs w:val="28"/>
        </w:rPr>
        <w:lastRenderedPageBreak/>
        <w:t xml:space="preserve">12. </w:t>
      </w:r>
      <w:r w:rsidRPr="00793402">
        <w:rPr>
          <w:i/>
          <w:iCs/>
          <w:color w:val="000000" w:themeColor="text1"/>
          <w:sz w:val="28"/>
          <w:szCs w:val="28"/>
        </w:rPr>
        <w:t>La desafiliación al sistema de seguridad social en salud de la actora</w:t>
      </w:r>
      <w:r w:rsidRPr="00793402">
        <w:rPr>
          <w:color w:val="000000" w:themeColor="text1"/>
          <w:sz w:val="28"/>
          <w:szCs w:val="28"/>
        </w:rPr>
        <w:t xml:space="preserve">. El 15 de junio de 2022, la accionante fue desafiliada del régimen de seguridad social en salud. Lo anterior, </w:t>
      </w:r>
      <w:r w:rsidR="00FD403B" w:rsidRPr="00793402">
        <w:rPr>
          <w:color w:val="000000" w:themeColor="text1"/>
          <w:sz w:val="28"/>
          <w:szCs w:val="28"/>
        </w:rPr>
        <w:t xml:space="preserve">porque el </w:t>
      </w:r>
      <w:r w:rsidR="00615C4C" w:rsidRPr="00793402">
        <w:rPr>
          <w:color w:val="000000" w:themeColor="text1"/>
          <w:sz w:val="28"/>
          <w:szCs w:val="28"/>
        </w:rPr>
        <w:t>artículo</w:t>
      </w:r>
      <w:r w:rsidR="00FD403B" w:rsidRPr="00793402">
        <w:rPr>
          <w:color w:val="000000" w:themeColor="text1"/>
          <w:sz w:val="28"/>
          <w:szCs w:val="28"/>
        </w:rPr>
        <w:t xml:space="preserve"> 66</w:t>
      </w:r>
      <w:r w:rsidR="00615C4C" w:rsidRPr="00793402">
        <w:rPr>
          <w:rStyle w:val="Refdenotaalpie"/>
          <w:color w:val="000000" w:themeColor="text1"/>
          <w:sz w:val="28"/>
          <w:szCs w:val="28"/>
        </w:rPr>
        <w:footnoteReference w:id="27"/>
      </w:r>
      <w:r w:rsidR="00FD403B" w:rsidRPr="00793402">
        <w:rPr>
          <w:color w:val="000000" w:themeColor="text1"/>
          <w:sz w:val="28"/>
          <w:szCs w:val="28"/>
        </w:rPr>
        <w:t xml:space="preserve"> del </w:t>
      </w:r>
      <w:r w:rsidR="002F4449" w:rsidRPr="00793402">
        <w:rPr>
          <w:color w:val="000000" w:themeColor="text1"/>
          <w:sz w:val="28"/>
          <w:szCs w:val="28"/>
        </w:rPr>
        <w:t>D</w:t>
      </w:r>
      <w:r w:rsidR="00FD403B" w:rsidRPr="00793402">
        <w:rPr>
          <w:color w:val="000000" w:themeColor="text1"/>
          <w:sz w:val="28"/>
          <w:szCs w:val="28"/>
        </w:rPr>
        <w:t xml:space="preserve">ecreto 2353 de 2015 dispuso un periodo de protección laboral </w:t>
      </w:r>
      <w:r w:rsidR="00615C4C" w:rsidRPr="00793402">
        <w:rPr>
          <w:color w:val="000000" w:themeColor="text1"/>
          <w:sz w:val="28"/>
          <w:szCs w:val="28"/>
        </w:rPr>
        <w:t>ante la desvinculación laboral del titular que lo beneficia por un periodo de tres meses.</w:t>
      </w:r>
    </w:p>
    <w:p w14:paraId="1E900A7C" w14:textId="77777777" w:rsidR="00D87876" w:rsidRPr="00793402" w:rsidRDefault="00D87876" w:rsidP="00D87876">
      <w:pPr>
        <w:pStyle w:val="NormalWeb"/>
        <w:widowControl w:val="0"/>
        <w:contextualSpacing/>
        <w:jc w:val="both"/>
        <w:rPr>
          <w:color w:val="000000" w:themeColor="text1"/>
          <w:sz w:val="28"/>
          <w:szCs w:val="28"/>
        </w:rPr>
      </w:pPr>
    </w:p>
    <w:p w14:paraId="1C269AB1" w14:textId="0693C7A3" w:rsidR="00615C4C" w:rsidRPr="00793402" w:rsidRDefault="006D1FCD" w:rsidP="00615C4C">
      <w:pPr>
        <w:pStyle w:val="NormalWeb"/>
        <w:widowControl w:val="0"/>
        <w:contextualSpacing/>
        <w:jc w:val="both"/>
        <w:rPr>
          <w:color w:val="000000" w:themeColor="text1"/>
          <w:spacing w:val="-1"/>
          <w:sz w:val="28"/>
          <w:szCs w:val="28"/>
        </w:rPr>
      </w:pPr>
      <w:r w:rsidRPr="00793402">
        <w:rPr>
          <w:color w:val="000000" w:themeColor="text1"/>
          <w:sz w:val="28"/>
          <w:szCs w:val="28"/>
        </w:rPr>
        <w:t>1</w:t>
      </w:r>
      <w:r w:rsidR="0099357B" w:rsidRPr="00793402">
        <w:rPr>
          <w:color w:val="000000" w:themeColor="text1"/>
          <w:sz w:val="28"/>
          <w:szCs w:val="28"/>
        </w:rPr>
        <w:t>3</w:t>
      </w:r>
      <w:r w:rsidR="00D87876" w:rsidRPr="00793402">
        <w:rPr>
          <w:color w:val="000000" w:themeColor="text1"/>
          <w:sz w:val="28"/>
          <w:szCs w:val="28"/>
        </w:rPr>
        <w:t xml:space="preserve">. </w:t>
      </w:r>
      <w:r w:rsidR="00513D70" w:rsidRPr="00793402">
        <w:rPr>
          <w:i/>
          <w:iCs/>
          <w:color w:val="000000" w:themeColor="text1"/>
          <w:sz w:val="28"/>
          <w:szCs w:val="28"/>
        </w:rPr>
        <w:t>La a</w:t>
      </w:r>
      <w:r w:rsidR="00D363E5" w:rsidRPr="00793402">
        <w:rPr>
          <w:i/>
          <w:iCs/>
          <w:color w:val="000000" w:themeColor="text1"/>
          <w:sz w:val="28"/>
          <w:szCs w:val="28"/>
        </w:rPr>
        <w:t>cción de tutela</w:t>
      </w:r>
      <w:r w:rsidR="00D363E5" w:rsidRPr="00793402">
        <w:rPr>
          <w:color w:val="000000" w:themeColor="text1"/>
          <w:sz w:val="28"/>
          <w:szCs w:val="28"/>
        </w:rPr>
        <w:t xml:space="preserve">. </w:t>
      </w:r>
      <w:r w:rsidR="00B948DE" w:rsidRPr="00793402">
        <w:rPr>
          <w:color w:val="000000" w:themeColor="text1"/>
          <w:sz w:val="28"/>
          <w:szCs w:val="28"/>
        </w:rPr>
        <w:t>Por lo anterior, e</w:t>
      </w:r>
      <w:r w:rsidR="00D87876" w:rsidRPr="00793402">
        <w:rPr>
          <w:color w:val="000000" w:themeColor="text1"/>
          <w:sz w:val="28"/>
          <w:szCs w:val="28"/>
        </w:rPr>
        <w:t>l 2</w:t>
      </w:r>
      <w:r w:rsidR="009C516E" w:rsidRPr="00793402">
        <w:rPr>
          <w:color w:val="000000" w:themeColor="text1"/>
          <w:sz w:val="28"/>
          <w:szCs w:val="28"/>
        </w:rPr>
        <w:t>8</w:t>
      </w:r>
      <w:r w:rsidR="00D87876" w:rsidRPr="00793402">
        <w:rPr>
          <w:color w:val="000000" w:themeColor="text1"/>
          <w:sz w:val="28"/>
          <w:szCs w:val="28"/>
        </w:rPr>
        <w:t xml:space="preserve"> de junio de 2022, mediante apoderado</w:t>
      </w:r>
      <w:r w:rsidR="00F9585E" w:rsidRPr="00793402">
        <w:rPr>
          <w:rStyle w:val="Refdenotaalpie"/>
          <w:color w:val="000000" w:themeColor="text1"/>
          <w:sz w:val="28"/>
          <w:szCs w:val="28"/>
        </w:rPr>
        <w:footnoteReference w:id="28"/>
      </w:r>
      <w:r w:rsidR="00D87876" w:rsidRPr="00793402">
        <w:rPr>
          <w:color w:val="000000" w:themeColor="text1"/>
          <w:sz w:val="28"/>
          <w:szCs w:val="28"/>
        </w:rPr>
        <w:t xml:space="preserve">, la </w:t>
      </w:r>
      <w:r w:rsidR="00513D70" w:rsidRPr="00793402">
        <w:rPr>
          <w:color w:val="000000" w:themeColor="text1"/>
          <w:sz w:val="28"/>
          <w:szCs w:val="28"/>
        </w:rPr>
        <w:t>demandante</w:t>
      </w:r>
      <w:r w:rsidR="003F380F" w:rsidRPr="00793402">
        <w:rPr>
          <w:color w:val="000000" w:themeColor="text1"/>
          <w:sz w:val="28"/>
          <w:szCs w:val="28"/>
        </w:rPr>
        <w:t xml:space="preserve"> </w:t>
      </w:r>
      <w:r w:rsidR="00D87876" w:rsidRPr="00793402">
        <w:rPr>
          <w:color w:val="000000" w:themeColor="text1"/>
          <w:sz w:val="28"/>
          <w:szCs w:val="28"/>
        </w:rPr>
        <w:t>presentó acción de tutela</w:t>
      </w:r>
      <w:r w:rsidR="009C516E" w:rsidRPr="00793402">
        <w:rPr>
          <w:rStyle w:val="Refdenotaalpie"/>
          <w:color w:val="000000" w:themeColor="text1"/>
          <w:sz w:val="28"/>
          <w:szCs w:val="28"/>
        </w:rPr>
        <w:footnoteReference w:id="29"/>
      </w:r>
      <w:r w:rsidR="00B948DE" w:rsidRPr="00793402">
        <w:rPr>
          <w:color w:val="000000" w:themeColor="text1"/>
          <w:sz w:val="28"/>
          <w:szCs w:val="28"/>
        </w:rPr>
        <w:t xml:space="preserve">. </w:t>
      </w:r>
      <w:r w:rsidR="00D87876" w:rsidRPr="00793402">
        <w:rPr>
          <w:color w:val="000000" w:themeColor="text1"/>
          <w:sz w:val="28"/>
          <w:szCs w:val="28"/>
        </w:rPr>
        <w:t xml:space="preserve">Según su escrito, </w:t>
      </w:r>
      <w:r w:rsidR="00D87876" w:rsidRPr="00793402">
        <w:rPr>
          <w:color w:val="000000" w:themeColor="text1"/>
          <w:spacing w:val="1"/>
          <w:sz w:val="28"/>
          <w:szCs w:val="28"/>
        </w:rPr>
        <w:t>la SED</w:t>
      </w:r>
      <w:r w:rsidR="00D87876" w:rsidRPr="00793402">
        <w:rPr>
          <w:color w:val="000000" w:themeColor="text1"/>
          <w:sz w:val="28"/>
          <w:szCs w:val="28"/>
        </w:rPr>
        <w:t xml:space="preserve"> </w:t>
      </w:r>
      <w:r w:rsidR="00B948DE" w:rsidRPr="00793402">
        <w:rPr>
          <w:color w:val="000000" w:themeColor="text1"/>
          <w:sz w:val="28"/>
          <w:szCs w:val="28"/>
        </w:rPr>
        <w:t>afectó sus</w:t>
      </w:r>
      <w:r w:rsidR="00B948DE" w:rsidRPr="00793402">
        <w:rPr>
          <w:color w:val="000000" w:themeColor="text1"/>
          <w:spacing w:val="1"/>
          <w:sz w:val="28"/>
          <w:szCs w:val="28"/>
        </w:rPr>
        <w:t xml:space="preserve"> </w:t>
      </w:r>
      <w:r w:rsidR="00B948DE" w:rsidRPr="00793402">
        <w:rPr>
          <w:color w:val="000000" w:themeColor="text1"/>
          <w:sz w:val="28"/>
          <w:szCs w:val="28"/>
        </w:rPr>
        <w:t>derechos</w:t>
      </w:r>
      <w:r w:rsidR="00B948DE" w:rsidRPr="00793402">
        <w:rPr>
          <w:color w:val="000000" w:themeColor="text1"/>
          <w:spacing w:val="1"/>
          <w:sz w:val="28"/>
          <w:szCs w:val="28"/>
        </w:rPr>
        <w:t xml:space="preserve"> </w:t>
      </w:r>
      <w:r w:rsidR="00B948DE" w:rsidRPr="00793402">
        <w:rPr>
          <w:color w:val="000000" w:themeColor="text1"/>
          <w:sz w:val="28"/>
          <w:szCs w:val="28"/>
        </w:rPr>
        <w:t xml:space="preserve">fundamentales a la igualdad, al trabajo, a la seguridad social, a la estabilidad laboral reforzada, al debido proceso y al mínimo vital </w:t>
      </w:r>
      <w:r w:rsidR="00D87876" w:rsidRPr="00793402">
        <w:rPr>
          <w:color w:val="000000" w:themeColor="text1"/>
          <w:sz w:val="28"/>
          <w:szCs w:val="28"/>
        </w:rPr>
        <w:t>porque</w:t>
      </w:r>
      <w:r w:rsidR="00D87876" w:rsidRPr="00793402">
        <w:rPr>
          <w:color w:val="000000" w:themeColor="text1"/>
          <w:spacing w:val="-1"/>
          <w:sz w:val="28"/>
          <w:szCs w:val="28"/>
        </w:rPr>
        <w:t xml:space="preserve"> finalizó su vínculo laboral sin tener en cuenta su condición de </w:t>
      </w:r>
      <w:proofErr w:type="spellStart"/>
      <w:r w:rsidR="00D87876" w:rsidRPr="00793402">
        <w:rPr>
          <w:color w:val="000000" w:themeColor="text1"/>
          <w:spacing w:val="-1"/>
          <w:sz w:val="28"/>
          <w:szCs w:val="28"/>
        </w:rPr>
        <w:t>prepensionada</w:t>
      </w:r>
      <w:proofErr w:type="spellEnd"/>
      <w:r w:rsidR="00D87876" w:rsidRPr="00793402">
        <w:rPr>
          <w:color w:val="000000" w:themeColor="text1"/>
          <w:spacing w:val="-1"/>
          <w:sz w:val="28"/>
          <w:szCs w:val="28"/>
        </w:rPr>
        <w:t xml:space="preserve">. </w:t>
      </w:r>
      <w:r w:rsidR="00B948DE" w:rsidRPr="00793402">
        <w:rPr>
          <w:color w:val="000000" w:themeColor="text1"/>
          <w:spacing w:val="-1"/>
          <w:sz w:val="28"/>
          <w:szCs w:val="28"/>
        </w:rPr>
        <w:t>Con fundamento en certificación laboral</w:t>
      </w:r>
      <w:r w:rsidR="00513D70" w:rsidRPr="00793402">
        <w:rPr>
          <w:color w:val="000000" w:themeColor="text1"/>
          <w:spacing w:val="-1"/>
          <w:sz w:val="28"/>
          <w:szCs w:val="28"/>
        </w:rPr>
        <w:t xml:space="preserve"> </w:t>
      </w:r>
      <w:r w:rsidR="00AD75CE" w:rsidRPr="00793402">
        <w:rPr>
          <w:color w:val="000000" w:themeColor="text1"/>
          <w:spacing w:val="-1"/>
          <w:sz w:val="28"/>
          <w:szCs w:val="28"/>
        </w:rPr>
        <w:t>expedido por</w:t>
      </w:r>
      <w:r w:rsidR="00513D70" w:rsidRPr="00793402">
        <w:rPr>
          <w:color w:val="000000" w:themeColor="text1"/>
          <w:spacing w:val="-1"/>
          <w:sz w:val="28"/>
          <w:szCs w:val="28"/>
        </w:rPr>
        <w:t xml:space="preserve"> SED</w:t>
      </w:r>
      <w:r w:rsidR="00AD75CE" w:rsidRPr="00793402">
        <w:rPr>
          <w:rStyle w:val="Refdenotaalpie"/>
          <w:color w:val="000000" w:themeColor="text1"/>
          <w:spacing w:val="-1"/>
          <w:sz w:val="28"/>
          <w:szCs w:val="28"/>
        </w:rPr>
        <w:footnoteReference w:id="30"/>
      </w:r>
      <w:r w:rsidR="00B948DE" w:rsidRPr="00793402">
        <w:rPr>
          <w:color w:val="000000" w:themeColor="text1"/>
          <w:spacing w:val="-1"/>
          <w:sz w:val="28"/>
          <w:szCs w:val="28"/>
        </w:rPr>
        <w:t>,</w:t>
      </w:r>
      <w:r w:rsidR="002744BF" w:rsidRPr="00793402">
        <w:rPr>
          <w:color w:val="000000" w:themeColor="text1"/>
          <w:spacing w:val="-1"/>
          <w:sz w:val="28"/>
          <w:szCs w:val="28"/>
        </w:rPr>
        <w:t xml:space="preserve"> </w:t>
      </w:r>
      <w:r w:rsidR="00B948DE" w:rsidRPr="00793402">
        <w:rPr>
          <w:color w:val="000000" w:themeColor="text1"/>
          <w:spacing w:val="-1"/>
          <w:sz w:val="28"/>
          <w:szCs w:val="28"/>
        </w:rPr>
        <w:t>a</w:t>
      </w:r>
      <w:r w:rsidR="00D87876" w:rsidRPr="00793402">
        <w:rPr>
          <w:color w:val="000000" w:themeColor="text1"/>
          <w:spacing w:val="-1"/>
          <w:sz w:val="28"/>
          <w:szCs w:val="28"/>
        </w:rPr>
        <w:t>firmó que, a la fecha de</w:t>
      </w:r>
      <w:r w:rsidR="00B948DE" w:rsidRPr="00793402">
        <w:rPr>
          <w:color w:val="000000" w:themeColor="text1"/>
          <w:spacing w:val="-1"/>
          <w:sz w:val="28"/>
          <w:szCs w:val="28"/>
        </w:rPr>
        <w:t xml:space="preserve"> su desvinculación</w:t>
      </w:r>
      <w:r w:rsidR="00D87876" w:rsidRPr="00793402">
        <w:rPr>
          <w:color w:val="000000" w:themeColor="text1"/>
          <w:spacing w:val="-1"/>
          <w:sz w:val="28"/>
          <w:szCs w:val="28"/>
        </w:rPr>
        <w:t xml:space="preserve"> contaba con 59 años y 1224 semanas trabajadas. En tal sentido, pidió </w:t>
      </w:r>
      <w:r w:rsidR="00B948DE" w:rsidRPr="00793402">
        <w:rPr>
          <w:color w:val="000000" w:themeColor="text1"/>
          <w:spacing w:val="-1"/>
          <w:sz w:val="28"/>
          <w:szCs w:val="28"/>
        </w:rPr>
        <w:t xml:space="preserve">al juez de tutela </w:t>
      </w:r>
      <w:r w:rsidR="00D87876" w:rsidRPr="00793402">
        <w:rPr>
          <w:color w:val="000000" w:themeColor="text1"/>
          <w:spacing w:val="-1"/>
          <w:sz w:val="28"/>
          <w:szCs w:val="28"/>
        </w:rPr>
        <w:t xml:space="preserve">ordenar a la demandada su reintegro sin solución de continuidad en el puesto de trabajo que desempeñaba o </w:t>
      </w:r>
      <w:r w:rsidR="00D72C7B" w:rsidRPr="00793402">
        <w:rPr>
          <w:color w:val="000000" w:themeColor="text1"/>
          <w:spacing w:val="-1"/>
          <w:sz w:val="28"/>
          <w:szCs w:val="28"/>
        </w:rPr>
        <w:t xml:space="preserve">en </w:t>
      </w:r>
      <w:r w:rsidR="00D87876" w:rsidRPr="00793402">
        <w:rPr>
          <w:color w:val="000000" w:themeColor="text1"/>
          <w:spacing w:val="-1"/>
          <w:sz w:val="28"/>
          <w:szCs w:val="28"/>
        </w:rPr>
        <w:t>uno superior.</w:t>
      </w:r>
      <w:r w:rsidR="00FE5FA0" w:rsidRPr="00793402">
        <w:rPr>
          <w:color w:val="000000" w:themeColor="text1"/>
          <w:spacing w:val="-1"/>
          <w:sz w:val="28"/>
          <w:szCs w:val="28"/>
        </w:rPr>
        <w:t xml:space="preserve"> A</w:t>
      </w:r>
      <w:r w:rsidR="00D87876" w:rsidRPr="00793402">
        <w:rPr>
          <w:color w:val="000000" w:themeColor="text1"/>
          <w:spacing w:val="-1"/>
          <w:sz w:val="28"/>
          <w:szCs w:val="28"/>
        </w:rPr>
        <w:t xml:space="preserve">demás, que le </w:t>
      </w:r>
      <w:r w:rsidR="00B948DE" w:rsidRPr="00793402">
        <w:rPr>
          <w:color w:val="000000" w:themeColor="text1"/>
          <w:spacing w:val="-1"/>
          <w:sz w:val="28"/>
          <w:szCs w:val="28"/>
        </w:rPr>
        <w:t xml:space="preserve">pague </w:t>
      </w:r>
      <w:r w:rsidR="00D87876" w:rsidRPr="00793402">
        <w:rPr>
          <w:color w:val="000000" w:themeColor="text1"/>
          <w:spacing w:val="-1"/>
          <w:sz w:val="28"/>
          <w:szCs w:val="28"/>
        </w:rPr>
        <w:t>los aportes</w:t>
      </w:r>
      <w:r w:rsidR="000A2A7A" w:rsidRPr="00793402">
        <w:rPr>
          <w:color w:val="000000" w:themeColor="text1"/>
          <w:spacing w:val="-1"/>
          <w:sz w:val="28"/>
          <w:szCs w:val="28"/>
        </w:rPr>
        <w:t xml:space="preserve">, las acreencias laborales </w:t>
      </w:r>
      <w:r w:rsidR="00D87876" w:rsidRPr="00793402">
        <w:rPr>
          <w:color w:val="000000" w:themeColor="text1"/>
          <w:spacing w:val="-1"/>
          <w:sz w:val="28"/>
          <w:szCs w:val="28"/>
        </w:rPr>
        <w:t>y</w:t>
      </w:r>
      <w:r w:rsidR="000A2A7A" w:rsidRPr="00793402">
        <w:rPr>
          <w:color w:val="000000" w:themeColor="text1"/>
          <w:spacing w:val="-1"/>
          <w:sz w:val="28"/>
          <w:szCs w:val="28"/>
        </w:rPr>
        <w:t xml:space="preserve"> los</w:t>
      </w:r>
      <w:r w:rsidR="00D87876" w:rsidRPr="00793402">
        <w:rPr>
          <w:color w:val="000000" w:themeColor="text1"/>
          <w:spacing w:val="-1"/>
          <w:sz w:val="28"/>
          <w:szCs w:val="28"/>
        </w:rPr>
        <w:t xml:space="preserve"> salarios dejados de percibir</w:t>
      </w:r>
      <w:r w:rsidR="00D87876" w:rsidRPr="00793402">
        <w:rPr>
          <w:rStyle w:val="Refdenotaalpie"/>
          <w:color w:val="000000" w:themeColor="text1"/>
          <w:spacing w:val="-1"/>
          <w:sz w:val="28"/>
          <w:szCs w:val="28"/>
        </w:rPr>
        <w:footnoteReference w:id="31"/>
      </w:r>
      <w:r w:rsidR="00D87876" w:rsidRPr="00793402">
        <w:rPr>
          <w:color w:val="000000" w:themeColor="text1"/>
          <w:spacing w:val="-1"/>
          <w:sz w:val="28"/>
          <w:szCs w:val="28"/>
        </w:rPr>
        <w:t>.</w:t>
      </w:r>
    </w:p>
    <w:p w14:paraId="4B00E18B" w14:textId="77777777" w:rsidR="00615C4C" w:rsidRPr="00793402" w:rsidRDefault="00615C4C" w:rsidP="00615C4C">
      <w:pPr>
        <w:pStyle w:val="NormalWeb"/>
        <w:widowControl w:val="0"/>
        <w:contextualSpacing/>
        <w:jc w:val="both"/>
        <w:rPr>
          <w:color w:val="000000" w:themeColor="text1"/>
          <w:spacing w:val="-1"/>
          <w:sz w:val="28"/>
          <w:szCs w:val="28"/>
        </w:rPr>
      </w:pPr>
    </w:p>
    <w:p w14:paraId="070325EC" w14:textId="1545C4DB" w:rsidR="002744BF" w:rsidRPr="00793402" w:rsidRDefault="002744BF" w:rsidP="00615C4C">
      <w:pPr>
        <w:pStyle w:val="NormalWeb"/>
        <w:widowControl w:val="0"/>
        <w:contextualSpacing/>
        <w:jc w:val="both"/>
        <w:rPr>
          <w:color w:val="000000" w:themeColor="text1"/>
          <w:spacing w:val="-1"/>
          <w:sz w:val="28"/>
          <w:szCs w:val="28"/>
        </w:rPr>
      </w:pPr>
      <w:r w:rsidRPr="00793402">
        <w:rPr>
          <w:color w:val="000000" w:themeColor="text1"/>
          <w:sz w:val="28"/>
          <w:szCs w:val="28"/>
          <w:lang w:val="es-ES"/>
        </w:rPr>
        <w:t>1</w:t>
      </w:r>
      <w:r w:rsidR="0099357B" w:rsidRPr="00793402">
        <w:rPr>
          <w:color w:val="000000" w:themeColor="text1"/>
          <w:sz w:val="28"/>
          <w:szCs w:val="28"/>
          <w:lang w:val="es-ES"/>
        </w:rPr>
        <w:t>4</w:t>
      </w:r>
      <w:r w:rsidR="000D4584" w:rsidRPr="00793402">
        <w:rPr>
          <w:color w:val="000000" w:themeColor="text1"/>
          <w:sz w:val="28"/>
          <w:szCs w:val="28"/>
          <w:lang w:val="es-ES"/>
        </w:rPr>
        <w:t>.</w:t>
      </w:r>
      <w:r w:rsidR="00B155CF" w:rsidRPr="00793402">
        <w:rPr>
          <w:color w:val="000000" w:themeColor="text1"/>
          <w:sz w:val="28"/>
          <w:szCs w:val="28"/>
          <w:lang w:val="es-ES"/>
        </w:rPr>
        <w:t xml:space="preserve"> </w:t>
      </w:r>
      <w:r w:rsidR="00513D70" w:rsidRPr="00793402">
        <w:rPr>
          <w:i/>
          <w:iCs/>
          <w:color w:val="000000" w:themeColor="text1"/>
          <w:sz w:val="28"/>
          <w:szCs w:val="28"/>
          <w:lang w:val="es-ES"/>
        </w:rPr>
        <w:t>El a</w:t>
      </w:r>
      <w:r w:rsidR="00B155CF" w:rsidRPr="00793402">
        <w:rPr>
          <w:i/>
          <w:iCs/>
          <w:color w:val="000000" w:themeColor="text1"/>
          <w:sz w:val="28"/>
          <w:szCs w:val="28"/>
          <w:lang w:val="es-ES"/>
        </w:rPr>
        <w:t>uto de admisión</w:t>
      </w:r>
      <w:r w:rsidR="00B155CF" w:rsidRPr="00793402">
        <w:rPr>
          <w:color w:val="000000" w:themeColor="text1"/>
          <w:sz w:val="28"/>
          <w:szCs w:val="28"/>
          <w:lang w:val="es-ES"/>
        </w:rPr>
        <w:t>.</w:t>
      </w:r>
      <w:r w:rsidR="000D4584" w:rsidRPr="00793402">
        <w:rPr>
          <w:color w:val="000000" w:themeColor="text1"/>
          <w:sz w:val="28"/>
          <w:szCs w:val="28"/>
          <w:lang w:val="es-ES"/>
        </w:rPr>
        <w:t xml:space="preserve"> </w:t>
      </w:r>
      <w:r w:rsidR="00A24274" w:rsidRPr="00793402">
        <w:rPr>
          <w:color w:val="000000" w:themeColor="text1"/>
          <w:sz w:val="28"/>
          <w:szCs w:val="28"/>
          <w:lang w:val="es-ES"/>
        </w:rPr>
        <w:t>El 28 de junio de 2022, el Juzgado Segundo Civil Municipal de Mocoa</w:t>
      </w:r>
      <w:r w:rsidR="00A24274" w:rsidRPr="00793402">
        <w:rPr>
          <w:color w:val="000000" w:themeColor="text1"/>
          <w:sz w:val="28"/>
          <w:szCs w:val="28"/>
          <w:lang w:val="es-ES_tradnl"/>
        </w:rPr>
        <w:t xml:space="preserve"> </w:t>
      </w:r>
      <w:r w:rsidR="00A24274" w:rsidRPr="00793402">
        <w:rPr>
          <w:color w:val="000000" w:themeColor="text1"/>
          <w:sz w:val="28"/>
          <w:szCs w:val="28"/>
          <w:lang w:val="es-ES"/>
        </w:rPr>
        <w:t>admitió la acción de tutela</w:t>
      </w:r>
      <w:r w:rsidR="00856AD8" w:rsidRPr="00793402">
        <w:rPr>
          <w:rStyle w:val="Refdenotaalpie"/>
          <w:color w:val="000000" w:themeColor="text1"/>
          <w:sz w:val="28"/>
          <w:szCs w:val="28"/>
          <w:lang w:val="es-ES"/>
        </w:rPr>
        <w:footnoteReference w:id="32"/>
      </w:r>
      <w:r w:rsidR="003F380F" w:rsidRPr="00793402">
        <w:rPr>
          <w:color w:val="000000" w:themeColor="text1"/>
          <w:sz w:val="28"/>
          <w:szCs w:val="28"/>
          <w:lang w:val="es-ES"/>
        </w:rPr>
        <w:t xml:space="preserve">. </w:t>
      </w:r>
      <w:r w:rsidRPr="00793402">
        <w:rPr>
          <w:color w:val="000000" w:themeColor="text1"/>
          <w:sz w:val="28"/>
          <w:szCs w:val="28"/>
          <w:lang w:val="es-ES"/>
        </w:rPr>
        <w:t xml:space="preserve">Vinculó al trámite </w:t>
      </w:r>
      <w:r w:rsidR="00A24274" w:rsidRPr="00793402">
        <w:rPr>
          <w:color w:val="000000" w:themeColor="text1"/>
          <w:sz w:val="28"/>
          <w:szCs w:val="28"/>
          <w:lang w:val="es-ES"/>
        </w:rPr>
        <w:t>a la accionada</w:t>
      </w:r>
      <w:r w:rsidR="009E3856" w:rsidRPr="00793402">
        <w:rPr>
          <w:color w:val="000000" w:themeColor="text1"/>
          <w:sz w:val="28"/>
          <w:szCs w:val="28"/>
          <w:lang w:val="es-ES"/>
        </w:rPr>
        <w:t>,</w:t>
      </w:r>
      <w:r w:rsidR="003F380F" w:rsidRPr="00793402">
        <w:rPr>
          <w:color w:val="000000" w:themeColor="text1"/>
          <w:sz w:val="28"/>
          <w:szCs w:val="28"/>
          <w:lang w:val="es-ES"/>
        </w:rPr>
        <w:t xml:space="preserve"> al Departamento de Putumayo, a la CNSC, a </w:t>
      </w:r>
      <w:r w:rsidR="00940AF8" w:rsidRPr="00793402">
        <w:rPr>
          <w:color w:val="000000" w:themeColor="text1"/>
          <w:sz w:val="28"/>
          <w:szCs w:val="28"/>
        </w:rPr>
        <w:t>C</w:t>
      </w:r>
      <w:r w:rsidR="00042644" w:rsidRPr="00793402">
        <w:rPr>
          <w:color w:val="000000" w:themeColor="text1"/>
          <w:sz w:val="28"/>
          <w:szCs w:val="28"/>
        </w:rPr>
        <w:t>OLPENSIONES</w:t>
      </w:r>
      <w:r w:rsidR="00940AF8" w:rsidRPr="00793402">
        <w:rPr>
          <w:color w:val="000000" w:themeColor="text1"/>
          <w:sz w:val="28"/>
          <w:szCs w:val="28"/>
          <w:lang w:val="es-ES"/>
        </w:rPr>
        <w:t xml:space="preserve"> </w:t>
      </w:r>
      <w:r w:rsidR="003F380F" w:rsidRPr="00793402">
        <w:rPr>
          <w:color w:val="000000" w:themeColor="text1"/>
          <w:sz w:val="28"/>
          <w:szCs w:val="28"/>
          <w:lang w:val="es-ES"/>
        </w:rPr>
        <w:t xml:space="preserve">y a la señora </w:t>
      </w:r>
      <w:proofErr w:type="spellStart"/>
      <w:r w:rsidR="003F380F" w:rsidRPr="00793402">
        <w:rPr>
          <w:color w:val="000000" w:themeColor="text1"/>
          <w:sz w:val="28"/>
          <w:szCs w:val="28"/>
          <w:lang w:val="es-ES"/>
        </w:rPr>
        <w:t>Ingri</w:t>
      </w:r>
      <w:proofErr w:type="spellEnd"/>
      <w:r w:rsidR="003F380F" w:rsidRPr="00793402">
        <w:rPr>
          <w:color w:val="000000" w:themeColor="text1"/>
          <w:sz w:val="28"/>
          <w:szCs w:val="28"/>
          <w:lang w:val="es-ES"/>
        </w:rPr>
        <w:t xml:space="preserve"> Paola Cortés Ortiz, </w:t>
      </w:r>
      <w:r w:rsidRPr="00793402">
        <w:rPr>
          <w:color w:val="000000" w:themeColor="text1"/>
          <w:sz w:val="28"/>
          <w:szCs w:val="28"/>
          <w:lang w:val="es-ES"/>
        </w:rPr>
        <w:t>a quienes</w:t>
      </w:r>
      <w:r w:rsidR="003F380F" w:rsidRPr="00793402">
        <w:rPr>
          <w:color w:val="000000" w:themeColor="text1"/>
          <w:sz w:val="28"/>
          <w:szCs w:val="28"/>
          <w:lang w:val="es-ES"/>
        </w:rPr>
        <w:t xml:space="preserve"> les concedió el término de dos días</w:t>
      </w:r>
      <w:r w:rsidR="00A24274" w:rsidRPr="00793402">
        <w:rPr>
          <w:color w:val="000000" w:themeColor="text1"/>
          <w:sz w:val="28"/>
          <w:szCs w:val="28"/>
          <w:lang w:val="es-ES"/>
        </w:rPr>
        <w:t xml:space="preserve"> </w:t>
      </w:r>
      <w:r w:rsidR="00F5205D" w:rsidRPr="00793402">
        <w:rPr>
          <w:color w:val="000000" w:themeColor="text1"/>
          <w:sz w:val="28"/>
          <w:szCs w:val="28"/>
          <w:lang w:val="es-ES"/>
        </w:rPr>
        <w:t>para que e</w:t>
      </w:r>
      <w:r w:rsidR="00A24274" w:rsidRPr="00793402">
        <w:rPr>
          <w:color w:val="000000" w:themeColor="text1"/>
          <w:sz w:val="28"/>
          <w:szCs w:val="28"/>
          <w:lang w:val="es-ES"/>
        </w:rPr>
        <w:t>jer</w:t>
      </w:r>
      <w:r w:rsidR="00F5205D" w:rsidRPr="00793402">
        <w:rPr>
          <w:color w:val="000000" w:themeColor="text1"/>
          <w:sz w:val="28"/>
          <w:szCs w:val="28"/>
          <w:lang w:val="es-ES"/>
        </w:rPr>
        <w:t>ciera</w:t>
      </w:r>
      <w:r w:rsidR="003F380F" w:rsidRPr="00793402">
        <w:rPr>
          <w:color w:val="000000" w:themeColor="text1"/>
          <w:sz w:val="28"/>
          <w:szCs w:val="28"/>
          <w:lang w:val="es-ES"/>
        </w:rPr>
        <w:t>n</w:t>
      </w:r>
      <w:r w:rsidR="00A24274" w:rsidRPr="00793402">
        <w:rPr>
          <w:color w:val="000000" w:themeColor="text1"/>
          <w:sz w:val="28"/>
          <w:szCs w:val="28"/>
          <w:lang w:val="es-ES"/>
        </w:rPr>
        <w:t xml:space="preserve"> sus derechos de defensa y contradicción. </w:t>
      </w:r>
    </w:p>
    <w:p w14:paraId="0B47B566" w14:textId="27326831" w:rsidR="002744BF" w:rsidRPr="00793402" w:rsidRDefault="002744BF" w:rsidP="00A24274">
      <w:pPr>
        <w:widowControl w:val="0"/>
        <w:jc w:val="both"/>
        <w:rPr>
          <w:color w:val="000000" w:themeColor="text1"/>
          <w:sz w:val="28"/>
          <w:szCs w:val="28"/>
          <w:lang w:val="es-ES"/>
        </w:rPr>
      </w:pPr>
      <w:r w:rsidRPr="00793402">
        <w:rPr>
          <w:color w:val="000000" w:themeColor="text1"/>
          <w:sz w:val="28"/>
          <w:szCs w:val="28"/>
          <w:lang w:val="es-ES"/>
        </w:rPr>
        <w:t>1</w:t>
      </w:r>
      <w:r w:rsidR="0099357B" w:rsidRPr="00793402">
        <w:rPr>
          <w:color w:val="000000" w:themeColor="text1"/>
          <w:sz w:val="28"/>
          <w:szCs w:val="28"/>
          <w:lang w:val="es-ES"/>
        </w:rPr>
        <w:t>5</w:t>
      </w:r>
      <w:r w:rsidRPr="00793402">
        <w:rPr>
          <w:color w:val="000000" w:themeColor="text1"/>
          <w:sz w:val="28"/>
          <w:szCs w:val="28"/>
          <w:lang w:val="es-ES"/>
        </w:rPr>
        <w:t xml:space="preserve">. </w:t>
      </w:r>
      <w:r w:rsidR="00FD7710" w:rsidRPr="00793402">
        <w:rPr>
          <w:i/>
          <w:iCs/>
          <w:color w:val="000000" w:themeColor="text1"/>
          <w:sz w:val="28"/>
          <w:szCs w:val="28"/>
          <w:lang w:val="es-ES"/>
        </w:rPr>
        <w:t>Las r</w:t>
      </w:r>
      <w:r w:rsidRPr="00793402">
        <w:rPr>
          <w:i/>
          <w:iCs/>
          <w:color w:val="000000" w:themeColor="text1"/>
          <w:sz w:val="28"/>
          <w:szCs w:val="28"/>
          <w:lang w:val="es-ES"/>
        </w:rPr>
        <w:t>espuestas de las accionadas y/o vinculadas:</w:t>
      </w:r>
    </w:p>
    <w:p w14:paraId="6886E065" w14:textId="195B6A18" w:rsidR="005E3F4C" w:rsidRPr="00793402" w:rsidRDefault="005E3F4C" w:rsidP="00A24274">
      <w:pPr>
        <w:widowControl w:val="0"/>
        <w:jc w:val="both"/>
        <w:rPr>
          <w:color w:val="000000" w:themeColor="text1"/>
          <w:sz w:val="28"/>
          <w:szCs w:val="28"/>
          <w:lang w:val="es-ES"/>
        </w:rPr>
      </w:pPr>
    </w:p>
    <w:tbl>
      <w:tblPr>
        <w:tblStyle w:val="Tablaconcuadrcula"/>
        <w:tblW w:w="9067" w:type="dxa"/>
        <w:tblLayout w:type="fixed"/>
        <w:tblLook w:val="04A0" w:firstRow="1" w:lastRow="0" w:firstColumn="1" w:lastColumn="0" w:noHBand="0" w:noVBand="1"/>
      </w:tblPr>
      <w:tblGrid>
        <w:gridCol w:w="2263"/>
        <w:gridCol w:w="6804"/>
      </w:tblGrid>
      <w:tr w:rsidR="00EF05A8" w:rsidRPr="00793402" w14:paraId="6BCB929A" w14:textId="77777777" w:rsidTr="00940AF8">
        <w:tc>
          <w:tcPr>
            <w:tcW w:w="9067" w:type="dxa"/>
            <w:gridSpan w:val="2"/>
          </w:tcPr>
          <w:p w14:paraId="43429143" w14:textId="77777777" w:rsidR="005E3F4C" w:rsidRPr="00793402" w:rsidRDefault="005E3F4C" w:rsidP="00C64EB3">
            <w:pPr>
              <w:widowControl w:val="0"/>
              <w:jc w:val="center"/>
              <w:rPr>
                <w:b/>
                <w:bCs/>
                <w:color w:val="000000" w:themeColor="text1"/>
                <w:lang w:val="es-ES"/>
              </w:rPr>
            </w:pPr>
            <w:r w:rsidRPr="00793402">
              <w:rPr>
                <w:b/>
                <w:bCs/>
                <w:color w:val="000000" w:themeColor="text1"/>
                <w:lang w:val="es-ES"/>
              </w:rPr>
              <w:t>Respuestas allegadas al trámite</w:t>
            </w:r>
          </w:p>
        </w:tc>
      </w:tr>
      <w:tr w:rsidR="00EF05A8" w:rsidRPr="00793402" w14:paraId="0A29D54D" w14:textId="77777777" w:rsidTr="00940AF8">
        <w:tc>
          <w:tcPr>
            <w:tcW w:w="2263" w:type="dxa"/>
          </w:tcPr>
          <w:p w14:paraId="7BC400EC" w14:textId="77777777" w:rsidR="005E3F4C" w:rsidRPr="00793402" w:rsidRDefault="005E3F4C" w:rsidP="00C64EB3">
            <w:pPr>
              <w:widowControl w:val="0"/>
              <w:jc w:val="center"/>
              <w:rPr>
                <w:b/>
                <w:bCs/>
                <w:color w:val="000000" w:themeColor="text1"/>
                <w:lang w:val="es-ES"/>
              </w:rPr>
            </w:pPr>
            <w:r w:rsidRPr="00793402">
              <w:rPr>
                <w:b/>
                <w:bCs/>
                <w:color w:val="000000" w:themeColor="text1"/>
                <w:lang w:val="es-ES"/>
              </w:rPr>
              <w:t>Entidad</w:t>
            </w:r>
          </w:p>
        </w:tc>
        <w:tc>
          <w:tcPr>
            <w:tcW w:w="6804" w:type="dxa"/>
          </w:tcPr>
          <w:p w14:paraId="29645BFE" w14:textId="77777777" w:rsidR="005E3F4C" w:rsidRPr="00793402" w:rsidRDefault="005E3F4C" w:rsidP="00C64EB3">
            <w:pPr>
              <w:widowControl w:val="0"/>
              <w:jc w:val="center"/>
              <w:rPr>
                <w:b/>
                <w:bCs/>
                <w:color w:val="000000" w:themeColor="text1"/>
                <w:lang w:val="es-ES"/>
              </w:rPr>
            </w:pPr>
            <w:r w:rsidRPr="00793402">
              <w:rPr>
                <w:b/>
                <w:bCs/>
                <w:color w:val="000000" w:themeColor="text1"/>
                <w:lang w:val="es-ES"/>
              </w:rPr>
              <w:t>Argumento</w:t>
            </w:r>
          </w:p>
        </w:tc>
      </w:tr>
      <w:tr w:rsidR="00EF05A8" w:rsidRPr="00793402" w14:paraId="59A14EFF" w14:textId="77777777" w:rsidTr="00940AF8">
        <w:tc>
          <w:tcPr>
            <w:tcW w:w="2263" w:type="dxa"/>
          </w:tcPr>
          <w:p w14:paraId="53DCD5E8" w14:textId="6F324A20" w:rsidR="002744BF" w:rsidRPr="00793402" w:rsidRDefault="002744BF" w:rsidP="002744BF">
            <w:pPr>
              <w:widowControl w:val="0"/>
              <w:rPr>
                <w:b/>
                <w:bCs/>
                <w:color w:val="000000" w:themeColor="text1"/>
                <w:lang w:val="es-ES"/>
              </w:rPr>
            </w:pPr>
            <w:r w:rsidRPr="00793402">
              <w:rPr>
                <w:b/>
                <w:bCs/>
                <w:color w:val="000000" w:themeColor="text1"/>
                <w:lang w:val="es-ES"/>
              </w:rPr>
              <w:t>Secretaría Departamental de Educación</w:t>
            </w:r>
            <w:r w:rsidRPr="00793402">
              <w:rPr>
                <w:rStyle w:val="Refdenotaalpie"/>
                <w:b/>
                <w:bCs/>
                <w:color w:val="000000" w:themeColor="text1"/>
                <w:lang w:val="es-ES"/>
              </w:rPr>
              <w:footnoteReference w:id="33"/>
            </w:r>
            <w:r w:rsidRPr="00793402">
              <w:rPr>
                <w:b/>
                <w:bCs/>
                <w:color w:val="000000" w:themeColor="text1"/>
                <w:lang w:val="es-ES"/>
              </w:rPr>
              <w:t xml:space="preserve"> y Gobernación del Departamento de Putumayo</w:t>
            </w:r>
            <w:r w:rsidRPr="00793402">
              <w:rPr>
                <w:rStyle w:val="Refdenotaalpie"/>
                <w:b/>
                <w:bCs/>
                <w:color w:val="000000" w:themeColor="text1"/>
                <w:lang w:val="es-ES"/>
              </w:rPr>
              <w:footnoteReference w:id="34"/>
            </w:r>
          </w:p>
        </w:tc>
        <w:tc>
          <w:tcPr>
            <w:tcW w:w="6804" w:type="dxa"/>
          </w:tcPr>
          <w:p w14:paraId="5A07003F" w14:textId="08C2D333" w:rsidR="002744BF" w:rsidRPr="00793402" w:rsidRDefault="002744BF" w:rsidP="002744BF">
            <w:pPr>
              <w:widowControl w:val="0"/>
              <w:rPr>
                <w:color w:val="000000" w:themeColor="text1"/>
                <w:lang w:val="es-ES"/>
              </w:rPr>
            </w:pPr>
            <w:r w:rsidRPr="00793402">
              <w:rPr>
                <w:color w:val="000000" w:themeColor="text1"/>
                <w:lang w:val="es-ES"/>
              </w:rPr>
              <w:t xml:space="preserve">En escritos separados, pidieron no tutelar los derechos invocados por la accionante. Manifestaron que la desvinculación laboral de aquella tuvo fundamento en la provisión definitiva del cargo que había ocupado en provisionalidad. Con fundamento en la Sentencia SU-917 de 2010, afirmaron que la estabilidad laboral cede frente al derecho de quienes superaron el concurso público de méritos. De otro lado, señalaron que no está acreditado el requisito de subsidiariedad, pues la acción de tutela no procede para solicitar el </w:t>
            </w:r>
            <w:r w:rsidRPr="00793402">
              <w:rPr>
                <w:color w:val="000000" w:themeColor="text1"/>
                <w:lang w:val="es-ES"/>
              </w:rPr>
              <w:lastRenderedPageBreak/>
              <w:t xml:space="preserve">reintegro de empleados públicos. Además, indicaron que, en ese momento, el recurso de reposición y en subsidio apelación interpuesto no había sido desatado. Por lo tanto, solicitaron declarar improcedente el amparo. </w:t>
            </w:r>
          </w:p>
        </w:tc>
      </w:tr>
      <w:tr w:rsidR="00EF05A8" w:rsidRPr="00793402" w14:paraId="2400DCCB" w14:textId="77777777" w:rsidTr="00940AF8">
        <w:tc>
          <w:tcPr>
            <w:tcW w:w="2263" w:type="dxa"/>
          </w:tcPr>
          <w:p w14:paraId="1C606BE0" w14:textId="5B4A24A6" w:rsidR="002744BF" w:rsidRPr="00793402" w:rsidRDefault="00940AF8" w:rsidP="00042644">
            <w:pPr>
              <w:widowControl w:val="0"/>
              <w:ind w:right="-250"/>
              <w:rPr>
                <w:color w:val="000000" w:themeColor="text1"/>
                <w:lang w:val="es-ES"/>
              </w:rPr>
            </w:pPr>
            <w:r w:rsidRPr="00793402">
              <w:rPr>
                <w:b/>
                <w:bCs/>
                <w:color w:val="000000" w:themeColor="text1"/>
                <w:lang w:val="es-ES"/>
              </w:rPr>
              <w:lastRenderedPageBreak/>
              <w:t>C</w:t>
            </w:r>
            <w:r w:rsidR="00042644" w:rsidRPr="00793402">
              <w:rPr>
                <w:b/>
                <w:bCs/>
                <w:color w:val="000000" w:themeColor="text1"/>
                <w:lang w:val="es-ES"/>
              </w:rPr>
              <w:t>OLPENSIONES</w:t>
            </w:r>
            <w:r w:rsidRPr="00793402">
              <w:rPr>
                <w:rStyle w:val="Refdenotaalpie"/>
                <w:b/>
                <w:bCs/>
                <w:color w:val="000000" w:themeColor="text1"/>
                <w:vertAlign w:val="baseline"/>
                <w:lang w:val="es-ES"/>
              </w:rPr>
              <w:t xml:space="preserve"> </w:t>
            </w:r>
            <w:r w:rsidR="002744BF" w:rsidRPr="00793402">
              <w:rPr>
                <w:rStyle w:val="Refdenotaalpie"/>
                <w:b/>
                <w:bCs/>
                <w:color w:val="000000" w:themeColor="text1"/>
                <w:lang w:val="es-ES"/>
              </w:rPr>
              <w:footnoteReference w:id="35"/>
            </w:r>
          </w:p>
        </w:tc>
        <w:tc>
          <w:tcPr>
            <w:tcW w:w="6804" w:type="dxa"/>
          </w:tcPr>
          <w:p w14:paraId="3A171EAE" w14:textId="2703DD16" w:rsidR="002744BF" w:rsidRPr="00793402" w:rsidRDefault="002744BF" w:rsidP="002744BF">
            <w:pPr>
              <w:widowControl w:val="0"/>
              <w:rPr>
                <w:color w:val="000000" w:themeColor="text1"/>
                <w:lang w:val="es-ES"/>
              </w:rPr>
            </w:pPr>
            <w:r w:rsidRPr="00793402">
              <w:rPr>
                <w:color w:val="000000" w:themeColor="text1"/>
                <w:lang w:val="es-ES"/>
              </w:rPr>
              <w:t>Sostuvo que los hechos y pretensiones que fundamentaron la interposición de la tutela no están dentro del marco de sus competencias. En consecuencia, solicitó su desvinculación.</w:t>
            </w:r>
          </w:p>
        </w:tc>
      </w:tr>
      <w:tr w:rsidR="00EF05A8" w:rsidRPr="00793402" w14:paraId="57B8356E" w14:textId="77777777" w:rsidTr="00940AF8">
        <w:tc>
          <w:tcPr>
            <w:tcW w:w="2263" w:type="dxa"/>
          </w:tcPr>
          <w:p w14:paraId="6DBFA0DD" w14:textId="3B9C1DDC" w:rsidR="002744BF" w:rsidRPr="00793402" w:rsidRDefault="002744BF" w:rsidP="002744BF">
            <w:pPr>
              <w:widowControl w:val="0"/>
              <w:rPr>
                <w:b/>
                <w:bCs/>
                <w:color w:val="000000" w:themeColor="text1"/>
                <w:lang w:val="es-ES"/>
              </w:rPr>
            </w:pPr>
            <w:r w:rsidRPr="00793402">
              <w:rPr>
                <w:b/>
                <w:bCs/>
                <w:color w:val="000000" w:themeColor="text1"/>
                <w:lang w:val="es-ES"/>
              </w:rPr>
              <w:t>Comisión Nacional del Servicio Civil</w:t>
            </w:r>
            <w:r w:rsidRPr="00793402">
              <w:rPr>
                <w:rStyle w:val="Refdenotaalpie"/>
                <w:b/>
                <w:bCs/>
                <w:color w:val="000000" w:themeColor="text1"/>
                <w:lang w:val="es-ES"/>
              </w:rPr>
              <w:footnoteReference w:id="36"/>
            </w:r>
          </w:p>
        </w:tc>
        <w:tc>
          <w:tcPr>
            <w:tcW w:w="6804" w:type="dxa"/>
          </w:tcPr>
          <w:p w14:paraId="6B8B3D36" w14:textId="3058A57D" w:rsidR="002744BF" w:rsidRPr="00793402" w:rsidRDefault="002744BF" w:rsidP="002744BF">
            <w:pPr>
              <w:widowControl w:val="0"/>
              <w:rPr>
                <w:color w:val="000000" w:themeColor="text1"/>
                <w:lang w:val="es-ES"/>
              </w:rPr>
            </w:pPr>
            <w:r w:rsidRPr="00793402">
              <w:rPr>
                <w:color w:val="000000" w:themeColor="text1"/>
                <w:lang w:val="es-CO"/>
              </w:rPr>
              <w:t xml:space="preserve">Expresó que la solicitud de amparo es improcedente en relación con aquella por falta de legitimación en la causa por pasiva. De igual manera, encontró que la actora no superó la etapa de verificación de los requisitos mínimos en el concurso de méritos que adelantó. Finalmente, afirmó que los empleados provisionales cuentan con estabilidad laboral, hasta tanto un servidor público no adquiera derechos de carrera a través del mérito. </w:t>
            </w:r>
          </w:p>
        </w:tc>
      </w:tr>
      <w:tr w:rsidR="002744BF" w:rsidRPr="00793402" w14:paraId="3D775AC6" w14:textId="77777777" w:rsidTr="00940AF8">
        <w:tc>
          <w:tcPr>
            <w:tcW w:w="2263" w:type="dxa"/>
          </w:tcPr>
          <w:p w14:paraId="50E69DB1" w14:textId="77777777" w:rsidR="002744BF" w:rsidRPr="00793402" w:rsidRDefault="002744BF" w:rsidP="002744BF">
            <w:pPr>
              <w:widowControl w:val="0"/>
              <w:rPr>
                <w:b/>
                <w:bCs/>
                <w:color w:val="000000" w:themeColor="text1"/>
                <w:lang w:val="es-ES"/>
              </w:rPr>
            </w:pPr>
            <w:proofErr w:type="spellStart"/>
            <w:r w:rsidRPr="00793402">
              <w:rPr>
                <w:b/>
                <w:bCs/>
                <w:color w:val="000000" w:themeColor="text1"/>
                <w:lang w:val="es-ES"/>
              </w:rPr>
              <w:t>Ingri</w:t>
            </w:r>
            <w:proofErr w:type="spellEnd"/>
            <w:r w:rsidRPr="00793402">
              <w:rPr>
                <w:b/>
                <w:bCs/>
                <w:color w:val="000000" w:themeColor="text1"/>
                <w:lang w:val="es-ES"/>
              </w:rPr>
              <w:t xml:space="preserve"> Paola Cortés Ortiz</w:t>
            </w:r>
            <w:r w:rsidRPr="00793402">
              <w:rPr>
                <w:rStyle w:val="Refdenotaalpie"/>
                <w:b/>
                <w:bCs/>
                <w:color w:val="000000" w:themeColor="text1"/>
                <w:lang w:val="es-ES"/>
              </w:rPr>
              <w:footnoteReference w:id="37"/>
            </w:r>
          </w:p>
        </w:tc>
        <w:tc>
          <w:tcPr>
            <w:tcW w:w="6804" w:type="dxa"/>
          </w:tcPr>
          <w:p w14:paraId="3A3C7C3F" w14:textId="276B9EAF" w:rsidR="002744BF" w:rsidRPr="00793402" w:rsidRDefault="002744BF" w:rsidP="002744BF">
            <w:pPr>
              <w:widowControl w:val="0"/>
              <w:rPr>
                <w:color w:val="000000" w:themeColor="text1"/>
                <w:lang w:val="es-ES"/>
              </w:rPr>
            </w:pPr>
            <w:r w:rsidRPr="00793402">
              <w:rPr>
                <w:color w:val="000000" w:themeColor="text1"/>
                <w:lang w:val="es-CO"/>
              </w:rPr>
              <w:t>Informó que actualmente ocupa el cargo de Auxiliar de Servicios Generales Código 470 Grado 2 porque ganó el concurso de méritos. Sin embargo, solicitó ser reubicada en un cargo similar dentro del municipio de Mocoa. A su juicio, esta fórmula permite que la demandante continúe en el ejercicio de sus labores.</w:t>
            </w:r>
          </w:p>
        </w:tc>
      </w:tr>
    </w:tbl>
    <w:p w14:paraId="74F7B7B3" w14:textId="77777777" w:rsidR="006D1FCD" w:rsidRPr="00793402" w:rsidRDefault="006D1FCD" w:rsidP="00A24274">
      <w:pPr>
        <w:widowControl w:val="0"/>
        <w:jc w:val="both"/>
        <w:rPr>
          <w:b/>
          <w:bCs/>
          <w:color w:val="000000" w:themeColor="text1"/>
          <w:sz w:val="28"/>
          <w:szCs w:val="28"/>
          <w:lang w:val="es-ES"/>
        </w:rPr>
      </w:pPr>
    </w:p>
    <w:p w14:paraId="1F93B472" w14:textId="43294F54" w:rsidR="00FE5FA0" w:rsidRPr="00793402" w:rsidRDefault="00FE5FA0" w:rsidP="00A24274">
      <w:pPr>
        <w:widowControl w:val="0"/>
        <w:jc w:val="both"/>
        <w:rPr>
          <w:b/>
          <w:bCs/>
          <w:color w:val="000000" w:themeColor="text1"/>
          <w:sz w:val="28"/>
          <w:szCs w:val="28"/>
          <w:lang w:val="es-ES"/>
        </w:rPr>
      </w:pPr>
      <w:r w:rsidRPr="00793402">
        <w:rPr>
          <w:b/>
          <w:bCs/>
          <w:color w:val="000000" w:themeColor="text1"/>
          <w:sz w:val="28"/>
          <w:szCs w:val="28"/>
          <w:lang w:val="es-ES"/>
        </w:rPr>
        <w:t>Decisiones objeto de revisión</w:t>
      </w:r>
    </w:p>
    <w:p w14:paraId="4A1D09AE" w14:textId="77777777" w:rsidR="00FE5FA0" w:rsidRPr="00793402" w:rsidRDefault="00FE5FA0" w:rsidP="00A24274">
      <w:pPr>
        <w:widowControl w:val="0"/>
        <w:jc w:val="both"/>
        <w:rPr>
          <w:b/>
          <w:bCs/>
          <w:color w:val="000000" w:themeColor="text1"/>
          <w:sz w:val="28"/>
          <w:szCs w:val="28"/>
          <w:lang w:val="es-ES"/>
        </w:rPr>
      </w:pPr>
    </w:p>
    <w:p w14:paraId="703294CD" w14:textId="0422F104" w:rsidR="007C17B8" w:rsidRPr="00793402" w:rsidRDefault="000D4584" w:rsidP="007C17B8">
      <w:pPr>
        <w:widowControl w:val="0"/>
        <w:jc w:val="both"/>
        <w:rPr>
          <w:color w:val="000000" w:themeColor="text1"/>
          <w:sz w:val="28"/>
          <w:szCs w:val="28"/>
          <w:lang w:val="es-ES"/>
        </w:rPr>
      </w:pPr>
      <w:r w:rsidRPr="00793402">
        <w:rPr>
          <w:color w:val="000000" w:themeColor="text1"/>
          <w:sz w:val="28"/>
          <w:szCs w:val="28"/>
          <w:lang w:val="es-ES"/>
        </w:rPr>
        <w:t>1</w:t>
      </w:r>
      <w:r w:rsidR="0099357B" w:rsidRPr="00793402">
        <w:rPr>
          <w:color w:val="000000" w:themeColor="text1"/>
          <w:sz w:val="28"/>
          <w:szCs w:val="28"/>
          <w:lang w:val="es-ES"/>
        </w:rPr>
        <w:t>6</w:t>
      </w:r>
      <w:r w:rsidRPr="00793402">
        <w:rPr>
          <w:color w:val="000000" w:themeColor="text1"/>
          <w:sz w:val="28"/>
          <w:szCs w:val="28"/>
          <w:lang w:val="es-ES"/>
        </w:rPr>
        <w:t xml:space="preserve">. </w:t>
      </w:r>
      <w:r w:rsidR="00513D70" w:rsidRPr="00793402">
        <w:rPr>
          <w:i/>
          <w:iCs/>
          <w:color w:val="000000" w:themeColor="text1"/>
          <w:sz w:val="28"/>
          <w:szCs w:val="28"/>
          <w:lang w:val="es-ES"/>
        </w:rPr>
        <w:t>La s</w:t>
      </w:r>
      <w:r w:rsidR="007C17B8" w:rsidRPr="00793402">
        <w:rPr>
          <w:i/>
          <w:iCs/>
          <w:color w:val="000000" w:themeColor="text1"/>
          <w:sz w:val="28"/>
          <w:szCs w:val="28"/>
          <w:lang w:val="es-ES"/>
        </w:rPr>
        <w:t>entencia de primera instancia</w:t>
      </w:r>
      <w:r w:rsidR="007C17B8" w:rsidRPr="00793402">
        <w:rPr>
          <w:rStyle w:val="Refdenotaalpie"/>
          <w:color w:val="000000" w:themeColor="text1"/>
          <w:sz w:val="28"/>
          <w:szCs w:val="28"/>
          <w:lang w:val="es-ES"/>
        </w:rPr>
        <w:footnoteReference w:id="38"/>
      </w:r>
      <w:r w:rsidR="000A2A7A" w:rsidRPr="00793402">
        <w:rPr>
          <w:color w:val="000000" w:themeColor="text1"/>
          <w:sz w:val="28"/>
          <w:szCs w:val="28"/>
          <w:lang w:val="es-ES"/>
        </w:rPr>
        <w:t xml:space="preserve">. </w:t>
      </w:r>
      <w:r w:rsidR="007C17B8" w:rsidRPr="00793402">
        <w:rPr>
          <w:color w:val="000000" w:themeColor="text1"/>
          <w:sz w:val="28"/>
          <w:szCs w:val="28"/>
          <w:lang w:val="es-ES"/>
        </w:rPr>
        <w:t>El 12 de julio de 2022, el Juzgado Segundo Civil Municipal de Mocoa</w:t>
      </w:r>
      <w:r w:rsidR="002744BF" w:rsidRPr="00793402">
        <w:rPr>
          <w:color w:val="000000" w:themeColor="text1"/>
          <w:sz w:val="28"/>
          <w:szCs w:val="28"/>
          <w:lang w:val="es-ES"/>
        </w:rPr>
        <w:t xml:space="preserve"> (Putumayo)</w:t>
      </w:r>
      <w:r w:rsidR="007C17B8" w:rsidRPr="00793402">
        <w:rPr>
          <w:color w:val="000000" w:themeColor="text1"/>
          <w:sz w:val="28"/>
          <w:szCs w:val="28"/>
          <w:lang w:val="es-ES"/>
        </w:rPr>
        <w:t xml:space="preserve"> negó el amparo. Al respecto, consideró que: (i) el reintegro por vía de tutela procede solamente cuando se demuestra la vulneración a un derecho fundamental como el mínimo vital y la dignidad humana.</w:t>
      </w:r>
      <w:r w:rsidR="00FE5FA0" w:rsidRPr="00793402">
        <w:rPr>
          <w:color w:val="000000" w:themeColor="text1"/>
          <w:sz w:val="28"/>
          <w:szCs w:val="28"/>
          <w:lang w:val="es-ES"/>
        </w:rPr>
        <w:t xml:space="preserve"> Sin embargo</w:t>
      </w:r>
      <w:r w:rsidR="007C17B8" w:rsidRPr="00793402">
        <w:rPr>
          <w:color w:val="000000" w:themeColor="text1"/>
          <w:sz w:val="28"/>
          <w:szCs w:val="28"/>
          <w:lang w:val="es-ES"/>
        </w:rPr>
        <w:t>, la accionante no presentó elementos de prueba que soporten</w:t>
      </w:r>
      <w:r w:rsidR="000A2A7A" w:rsidRPr="00793402">
        <w:rPr>
          <w:color w:val="000000" w:themeColor="text1"/>
          <w:sz w:val="28"/>
          <w:szCs w:val="28"/>
          <w:lang w:val="es-ES"/>
        </w:rPr>
        <w:t xml:space="preserve"> dicha afectación</w:t>
      </w:r>
      <w:r w:rsidR="007C17B8" w:rsidRPr="00793402">
        <w:rPr>
          <w:color w:val="000000" w:themeColor="text1"/>
          <w:sz w:val="28"/>
          <w:szCs w:val="28"/>
          <w:lang w:val="es-ES"/>
        </w:rPr>
        <w:t>, más allá de sus afirmaciones;</w:t>
      </w:r>
      <w:r w:rsidR="002744BF" w:rsidRPr="00793402">
        <w:rPr>
          <w:color w:val="000000" w:themeColor="text1"/>
          <w:sz w:val="28"/>
          <w:szCs w:val="28"/>
          <w:lang w:val="es-ES"/>
        </w:rPr>
        <w:t xml:space="preserve"> y,</w:t>
      </w:r>
      <w:r w:rsidR="007C17B8" w:rsidRPr="00793402">
        <w:rPr>
          <w:color w:val="000000" w:themeColor="text1"/>
          <w:sz w:val="28"/>
          <w:szCs w:val="28"/>
          <w:lang w:val="es-ES"/>
        </w:rPr>
        <w:t xml:space="preserve"> (ii) la desvinculación de la actora obedeció a la provisión definitiva del </w:t>
      </w:r>
      <w:r w:rsidR="002744BF" w:rsidRPr="00793402">
        <w:rPr>
          <w:color w:val="000000" w:themeColor="text1"/>
          <w:sz w:val="28"/>
          <w:szCs w:val="28"/>
          <w:lang w:val="es-ES"/>
        </w:rPr>
        <w:t>empleo</w:t>
      </w:r>
      <w:r w:rsidR="007C17B8" w:rsidRPr="00793402">
        <w:rPr>
          <w:color w:val="000000" w:themeColor="text1"/>
          <w:sz w:val="28"/>
          <w:szCs w:val="28"/>
          <w:lang w:val="es-ES"/>
        </w:rPr>
        <w:t xml:space="preserve"> que ostentó en provisionalidad.</w:t>
      </w:r>
      <w:r w:rsidR="002744BF" w:rsidRPr="00793402">
        <w:rPr>
          <w:color w:val="000000" w:themeColor="text1"/>
          <w:sz w:val="28"/>
          <w:szCs w:val="28"/>
          <w:lang w:val="es-ES"/>
        </w:rPr>
        <w:t xml:space="preserve"> En tal sentido, su </w:t>
      </w:r>
      <w:r w:rsidR="00513D70" w:rsidRPr="00793402">
        <w:rPr>
          <w:color w:val="000000" w:themeColor="text1"/>
          <w:sz w:val="28"/>
          <w:szCs w:val="28"/>
          <w:lang w:val="es-ES"/>
        </w:rPr>
        <w:t>retiro</w:t>
      </w:r>
      <w:r w:rsidR="002744BF" w:rsidRPr="00793402">
        <w:rPr>
          <w:color w:val="000000" w:themeColor="text1"/>
          <w:sz w:val="28"/>
          <w:szCs w:val="28"/>
          <w:lang w:val="es-ES"/>
        </w:rPr>
        <w:t xml:space="preserve"> </w:t>
      </w:r>
      <w:r w:rsidR="007C17B8" w:rsidRPr="00793402">
        <w:rPr>
          <w:color w:val="000000" w:themeColor="text1"/>
          <w:sz w:val="28"/>
          <w:szCs w:val="28"/>
          <w:lang w:val="es-ES"/>
        </w:rPr>
        <w:t>no fue caprichos</w:t>
      </w:r>
      <w:r w:rsidR="00FD7710" w:rsidRPr="00793402">
        <w:rPr>
          <w:color w:val="000000" w:themeColor="text1"/>
          <w:sz w:val="28"/>
          <w:szCs w:val="28"/>
          <w:lang w:val="es-ES"/>
        </w:rPr>
        <w:t xml:space="preserve">o y </w:t>
      </w:r>
      <w:r w:rsidR="002744BF" w:rsidRPr="00793402">
        <w:rPr>
          <w:color w:val="000000" w:themeColor="text1"/>
          <w:sz w:val="28"/>
          <w:szCs w:val="28"/>
          <w:lang w:val="es-ES"/>
        </w:rPr>
        <w:t>no hubo afectación a sus derechos fundamentales.</w:t>
      </w:r>
    </w:p>
    <w:p w14:paraId="3A61482E" w14:textId="77777777" w:rsidR="002744BF" w:rsidRPr="00793402" w:rsidRDefault="002744BF" w:rsidP="007C17B8">
      <w:pPr>
        <w:widowControl w:val="0"/>
        <w:jc w:val="both"/>
        <w:rPr>
          <w:color w:val="000000" w:themeColor="text1"/>
          <w:sz w:val="28"/>
          <w:szCs w:val="28"/>
          <w:lang w:val="es-ES"/>
        </w:rPr>
      </w:pPr>
    </w:p>
    <w:p w14:paraId="27D086E2" w14:textId="420E181E" w:rsidR="002744BF" w:rsidRPr="00793402" w:rsidRDefault="000D4584" w:rsidP="002744BF">
      <w:pPr>
        <w:widowControl w:val="0"/>
        <w:jc w:val="both"/>
        <w:rPr>
          <w:b/>
          <w:bCs/>
          <w:color w:val="000000" w:themeColor="text1"/>
          <w:sz w:val="28"/>
          <w:szCs w:val="28"/>
        </w:rPr>
      </w:pPr>
      <w:r w:rsidRPr="00793402">
        <w:rPr>
          <w:color w:val="000000" w:themeColor="text1"/>
          <w:sz w:val="28"/>
          <w:szCs w:val="28"/>
        </w:rPr>
        <w:t>1</w:t>
      </w:r>
      <w:r w:rsidR="0099357B" w:rsidRPr="00793402">
        <w:rPr>
          <w:color w:val="000000" w:themeColor="text1"/>
          <w:sz w:val="28"/>
          <w:szCs w:val="28"/>
        </w:rPr>
        <w:t>7</w:t>
      </w:r>
      <w:r w:rsidRPr="00793402">
        <w:rPr>
          <w:color w:val="000000" w:themeColor="text1"/>
          <w:sz w:val="28"/>
          <w:szCs w:val="28"/>
        </w:rPr>
        <w:t>.</w:t>
      </w:r>
      <w:r w:rsidRPr="00793402">
        <w:rPr>
          <w:b/>
          <w:bCs/>
          <w:color w:val="000000" w:themeColor="text1"/>
          <w:sz w:val="28"/>
          <w:szCs w:val="28"/>
        </w:rPr>
        <w:t xml:space="preserve"> </w:t>
      </w:r>
      <w:r w:rsidR="00FD7710" w:rsidRPr="00793402">
        <w:rPr>
          <w:i/>
          <w:iCs/>
          <w:color w:val="000000" w:themeColor="text1"/>
          <w:sz w:val="28"/>
          <w:szCs w:val="28"/>
        </w:rPr>
        <w:t>La i</w:t>
      </w:r>
      <w:r w:rsidR="007C17B8" w:rsidRPr="00793402">
        <w:rPr>
          <w:i/>
          <w:iCs/>
          <w:color w:val="000000" w:themeColor="text1"/>
          <w:sz w:val="28"/>
          <w:szCs w:val="28"/>
        </w:rPr>
        <w:t>mpugnación</w:t>
      </w:r>
      <w:r w:rsidR="007C17B8" w:rsidRPr="00793402">
        <w:rPr>
          <w:rStyle w:val="Refdenotaalpie"/>
          <w:color w:val="000000" w:themeColor="text1"/>
          <w:sz w:val="28"/>
          <w:szCs w:val="28"/>
        </w:rPr>
        <w:footnoteReference w:id="39"/>
      </w:r>
      <w:r w:rsidRPr="00793402">
        <w:rPr>
          <w:color w:val="000000" w:themeColor="text1"/>
          <w:sz w:val="28"/>
          <w:szCs w:val="28"/>
        </w:rPr>
        <w:t xml:space="preserve">. </w:t>
      </w:r>
      <w:r w:rsidR="002744BF" w:rsidRPr="00793402">
        <w:rPr>
          <w:color w:val="000000" w:themeColor="text1"/>
          <w:sz w:val="28"/>
          <w:szCs w:val="28"/>
        </w:rPr>
        <w:t>La accionante impugnó la decisión de primera instancia. Afirmó que no cuenta con los recursos que garanticen su mínimo vital y que padece de hipertensión arterial, prediabetes y obesidad</w:t>
      </w:r>
      <w:r w:rsidR="002744BF" w:rsidRPr="00793402">
        <w:rPr>
          <w:rStyle w:val="Refdenotaalpie"/>
          <w:color w:val="000000" w:themeColor="text1"/>
          <w:sz w:val="28"/>
          <w:szCs w:val="28"/>
        </w:rPr>
        <w:footnoteReference w:id="40"/>
      </w:r>
      <w:r w:rsidR="002744BF" w:rsidRPr="00793402">
        <w:rPr>
          <w:color w:val="000000" w:themeColor="text1"/>
          <w:sz w:val="28"/>
          <w:szCs w:val="28"/>
        </w:rPr>
        <w:t>. Además, señaló que es responsable de los gastos de educación, alimentación y alojamiento de su hijo de 24 años</w:t>
      </w:r>
      <w:r w:rsidR="002744BF" w:rsidRPr="00793402">
        <w:rPr>
          <w:rStyle w:val="Refdenotaalpie"/>
          <w:color w:val="000000" w:themeColor="text1"/>
          <w:sz w:val="28"/>
          <w:szCs w:val="28"/>
        </w:rPr>
        <w:footnoteReference w:id="41"/>
      </w:r>
      <w:r w:rsidR="002744BF" w:rsidRPr="00793402">
        <w:rPr>
          <w:color w:val="000000" w:themeColor="text1"/>
          <w:sz w:val="28"/>
          <w:szCs w:val="28"/>
        </w:rPr>
        <w:t xml:space="preserve">. </w:t>
      </w:r>
      <w:r w:rsidR="00CA2D34" w:rsidRPr="00793402">
        <w:rPr>
          <w:color w:val="000000" w:themeColor="text1"/>
          <w:sz w:val="28"/>
          <w:szCs w:val="28"/>
        </w:rPr>
        <w:t>A su juicio</w:t>
      </w:r>
      <w:r w:rsidR="002744BF" w:rsidRPr="00793402">
        <w:rPr>
          <w:color w:val="000000" w:themeColor="text1"/>
          <w:sz w:val="28"/>
          <w:szCs w:val="28"/>
        </w:rPr>
        <w:t>, estos elementos permiten acudir a la acción de tutela</w:t>
      </w:r>
      <w:r w:rsidR="00D72C7B" w:rsidRPr="00793402">
        <w:rPr>
          <w:color w:val="000000" w:themeColor="text1"/>
          <w:sz w:val="28"/>
          <w:szCs w:val="28"/>
        </w:rPr>
        <w:t>,</w:t>
      </w:r>
      <w:r w:rsidR="002744BF" w:rsidRPr="00793402">
        <w:rPr>
          <w:color w:val="000000" w:themeColor="text1"/>
          <w:sz w:val="28"/>
          <w:szCs w:val="28"/>
        </w:rPr>
        <w:t xml:space="preserve"> en lugar de ejercer los mecanismos ordinarios de defensa. En consecuencia, solicitó amparar sus derechos y ordenar el reintegro laboral. </w:t>
      </w:r>
    </w:p>
    <w:p w14:paraId="018C9422" w14:textId="05D34F17" w:rsidR="000D4584" w:rsidRPr="00793402" w:rsidRDefault="000D4584" w:rsidP="007C17B8">
      <w:pPr>
        <w:widowControl w:val="0"/>
        <w:jc w:val="both"/>
        <w:rPr>
          <w:b/>
          <w:bCs/>
          <w:color w:val="000000" w:themeColor="text1"/>
          <w:sz w:val="28"/>
          <w:szCs w:val="28"/>
        </w:rPr>
      </w:pPr>
    </w:p>
    <w:p w14:paraId="5DCA4D92" w14:textId="0412FD53" w:rsidR="002744BF" w:rsidRPr="00793402" w:rsidRDefault="000D4584" w:rsidP="002744BF">
      <w:pPr>
        <w:widowControl w:val="0"/>
        <w:jc w:val="both"/>
        <w:rPr>
          <w:b/>
          <w:bCs/>
          <w:color w:val="000000" w:themeColor="text1"/>
          <w:sz w:val="28"/>
          <w:szCs w:val="28"/>
        </w:rPr>
      </w:pPr>
      <w:r w:rsidRPr="00793402">
        <w:rPr>
          <w:color w:val="000000" w:themeColor="text1"/>
          <w:sz w:val="28"/>
          <w:szCs w:val="28"/>
        </w:rPr>
        <w:t>1</w:t>
      </w:r>
      <w:r w:rsidR="0099357B" w:rsidRPr="00793402">
        <w:rPr>
          <w:color w:val="000000" w:themeColor="text1"/>
          <w:sz w:val="28"/>
          <w:szCs w:val="28"/>
        </w:rPr>
        <w:t>8</w:t>
      </w:r>
      <w:r w:rsidRPr="00793402">
        <w:rPr>
          <w:color w:val="000000" w:themeColor="text1"/>
          <w:sz w:val="28"/>
          <w:szCs w:val="28"/>
        </w:rPr>
        <w:t xml:space="preserve">. </w:t>
      </w:r>
      <w:r w:rsidR="00FD7710" w:rsidRPr="00793402">
        <w:rPr>
          <w:i/>
          <w:iCs/>
          <w:color w:val="000000" w:themeColor="text1"/>
          <w:sz w:val="28"/>
          <w:szCs w:val="28"/>
        </w:rPr>
        <w:t>La s</w:t>
      </w:r>
      <w:r w:rsidR="007C17B8" w:rsidRPr="00793402">
        <w:rPr>
          <w:i/>
          <w:iCs/>
          <w:color w:val="000000" w:themeColor="text1"/>
          <w:sz w:val="28"/>
          <w:szCs w:val="28"/>
        </w:rPr>
        <w:t>entencia de segunda instancia</w:t>
      </w:r>
      <w:r w:rsidR="007C17B8" w:rsidRPr="00793402">
        <w:rPr>
          <w:rStyle w:val="Refdenotaalpie"/>
          <w:color w:val="000000" w:themeColor="text1"/>
          <w:sz w:val="28"/>
          <w:szCs w:val="28"/>
        </w:rPr>
        <w:footnoteReference w:id="42"/>
      </w:r>
      <w:r w:rsidRPr="00793402">
        <w:rPr>
          <w:color w:val="000000" w:themeColor="text1"/>
          <w:sz w:val="28"/>
          <w:szCs w:val="28"/>
        </w:rPr>
        <w:t xml:space="preserve">. </w:t>
      </w:r>
      <w:r w:rsidR="007C17B8" w:rsidRPr="00793402">
        <w:rPr>
          <w:color w:val="000000" w:themeColor="text1"/>
          <w:sz w:val="28"/>
          <w:szCs w:val="28"/>
        </w:rPr>
        <w:t xml:space="preserve">El 23 de agosto de 2022, el Juzgado Civil del Circuito de Mocoa revocó la decisión de primera instancia. En su </w:t>
      </w:r>
      <w:r w:rsidR="007C17B8" w:rsidRPr="00793402">
        <w:rPr>
          <w:color w:val="000000" w:themeColor="text1"/>
          <w:sz w:val="28"/>
          <w:szCs w:val="28"/>
        </w:rPr>
        <w:lastRenderedPageBreak/>
        <w:t>lugar, declaró improc</w:t>
      </w:r>
      <w:r w:rsidR="002744BF" w:rsidRPr="00793402">
        <w:rPr>
          <w:color w:val="000000" w:themeColor="text1"/>
          <w:sz w:val="28"/>
          <w:szCs w:val="28"/>
        </w:rPr>
        <w:t xml:space="preserve">edente </w:t>
      </w:r>
      <w:r w:rsidR="007C17B8" w:rsidRPr="00793402">
        <w:rPr>
          <w:color w:val="000000" w:themeColor="text1"/>
          <w:sz w:val="28"/>
          <w:szCs w:val="28"/>
        </w:rPr>
        <w:t xml:space="preserve">el amparo. Expresó que la accionante </w:t>
      </w:r>
      <w:r w:rsidR="002744BF" w:rsidRPr="00793402">
        <w:rPr>
          <w:color w:val="000000" w:themeColor="text1"/>
          <w:sz w:val="28"/>
          <w:szCs w:val="28"/>
        </w:rPr>
        <w:t xml:space="preserve">puede acudir a la jurisdicción de lo contencioso administrativo para obtener un pronunciamiento sobre la validez del acto administrativo que ordenó su desvinculación sin tener en cuenta su condición de </w:t>
      </w:r>
      <w:proofErr w:type="spellStart"/>
      <w:r w:rsidR="002744BF" w:rsidRPr="00793402">
        <w:rPr>
          <w:color w:val="000000" w:themeColor="text1"/>
          <w:sz w:val="28"/>
          <w:szCs w:val="28"/>
        </w:rPr>
        <w:t>prepensionada</w:t>
      </w:r>
      <w:proofErr w:type="spellEnd"/>
      <w:r w:rsidR="002744BF" w:rsidRPr="00793402">
        <w:rPr>
          <w:color w:val="000000" w:themeColor="text1"/>
          <w:sz w:val="28"/>
          <w:szCs w:val="28"/>
        </w:rPr>
        <w:t>. De igual forma, valoró los documentos aportados con el escrito de impugnación. Sobre aquellos, señaló que la accionante: (i) no es una persona de la tercera edad; (ii) tiene algunas afectaciones en su salud, las cuales están controladas; (iii) puede afiliarse al régimen subsidiado de salud o ser beneficiaria de su cónyuge; y, (iv) cuenta con una situación económica estable, pues tiene el apoyo económico de su pareja. Por último, argumentó que no es posible determinar el número de semanas cotizadas a pensión debido a la inexactitud de la información</w:t>
      </w:r>
      <w:r w:rsidR="002744BF" w:rsidRPr="00793402">
        <w:rPr>
          <w:rStyle w:val="Refdenotaalpie"/>
          <w:color w:val="000000" w:themeColor="text1"/>
          <w:sz w:val="28"/>
          <w:szCs w:val="28"/>
        </w:rPr>
        <w:footnoteReference w:id="43"/>
      </w:r>
      <w:r w:rsidR="002744BF" w:rsidRPr="00793402">
        <w:rPr>
          <w:color w:val="000000" w:themeColor="text1"/>
          <w:sz w:val="28"/>
          <w:szCs w:val="28"/>
        </w:rPr>
        <w:t>.</w:t>
      </w:r>
    </w:p>
    <w:p w14:paraId="2FA2DB17" w14:textId="5A4B8E13" w:rsidR="00FD7710" w:rsidRPr="00793402" w:rsidRDefault="00685BB4" w:rsidP="00685BB4">
      <w:pPr>
        <w:widowControl w:val="0"/>
        <w:jc w:val="both"/>
        <w:rPr>
          <w:color w:val="000000" w:themeColor="text1"/>
          <w:sz w:val="28"/>
          <w:szCs w:val="28"/>
          <w:lang w:val="es-ES"/>
        </w:rPr>
      </w:pPr>
      <w:r w:rsidRPr="00793402">
        <w:rPr>
          <w:color w:val="000000" w:themeColor="text1"/>
          <w:sz w:val="28"/>
          <w:szCs w:val="28"/>
          <w:lang w:val="es-ES"/>
        </w:rPr>
        <w:t xml:space="preserve"> </w:t>
      </w:r>
    </w:p>
    <w:p w14:paraId="5FD0A5B8" w14:textId="69FD25DF" w:rsidR="00685BB4" w:rsidRPr="00793402" w:rsidRDefault="00685BB4" w:rsidP="00685BB4">
      <w:pPr>
        <w:widowControl w:val="0"/>
        <w:jc w:val="both"/>
        <w:rPr>
          <w:b/>
          <w:bCs/>
          <w:color w:val="000000" w:themeColor="text1"/>
          <w:sz w:val="28"/>
          <w:szCs w:val="28"/>
          <w:lang w:val="es-ES"/>
        </w:rPr>
      </w:pPr>
      <w:r w:rsidRPr="00793402">
        <w:rPr>
          <w:b/>
          <w:bCs/>
          <w:color w:val="000000" w:themeColor="text1"/>
          <w:sz w:val="28"/>
          <w:szCs w:val="28"/>
          <w:lang w:val="es-ES"/>
        </w:rPr>
        <w:t>Actuaciones en sede de revisión</w:t>
      </w:r>
    </w:p>
    <w:p w14:paraId="54BAD2D3" w14:textId="77777777" w:rsidR="00685BB4" w:rsidRPr="00793402" w:rsidRDefault="00685BB4" w:rsidP="00685BB4">
      <w:pPr>
        <w:widowControl w:val="0"/>
        <w:jc w:val="both"/>
        <w:rPr>
          <w:b/>
          <w:bCs/>
          <w:color w:val="000000" w:themeColor="text1"/>
          <w:sz w:val="28"/>
          <w:szCs w:val="28"/>
          <w:lang w:val="es-ES"/>
        </w:rPr>
      </w:pPr>
    </w:p>
    <w:p w14:paraId="51A5645C" w14:textId="6E736CEC" w:rsidR="00927ED2" w:rsidRPr="00793402" w:rsidRDefault="00B155CF" w:rsidP="00AE7055">
      <w:pPr>
        <w:widowControl w:val="0"/>
        <w:jc w:val="both"/>
        <w:rPr>
          <w:bCs/>
          <w:color w:val="000000" w:themeColor="text1"/>
          <w:sz w:val="28"/>
          <w:szCs w:val="28"/>
        </w:rPr>
      </w:pPr>
      <w:r w:rsidRPr="00793402">
        <w:rPr>
          <w:color w:val="000000" w:themeColor="text1"/>
          <w:sz w:val="28"/>
          <w:szCs w:val="28"/>
          <w:lang w:val="es-ES"/>
        </w:rPr>
        <w:t>1</w:t>
      </w:r>
      <w:r w:rsidR="0099357B" w:rsidRPr="00793402">
        <w:rPr>
          <w:color w:val="000000" w:themeColor="text1"/>
          <w:sz w:val="28"/>
          <w:szCs w:val="28"/>
          <w:lang w:val="es-ES"/>
        </w:rPr>
        <w:t>9</w:t>
      </w:r>
      <w:r w:rsidRPr="00793402">
        <w:rPr>
          <w:color w:val="000000" w:themeColor="text1"/>
          <w:sz w:val="28"/>
          <w:szCs w:val="28"/>
          <w:lang w:val="es-ES"/>
        </w:rPr>
        <w:t xml:space="preserve">. </w:t>
      </w:r>
      <w:r w:rsidR="00FD7710" w:rsidRPr="00793402">
        <w:rPr>
          <w:i/>
          <w:iCs/>
          <w:color w:val="000000" w:themeColor="text1"/>
          <w:sz w:val="28"/>
          <w:szCs w:val="28"/>
          <w:lang w:val="es-ES"/>
        </w:rPr>
        <w:t>El d</w:t>
      </w:r>
      <w:r w:rsidRPr="00793402">
        <w:rPr>
          <w:i/>
          <w:iCs/>
          <w:color w:val="000000" w:themeColor="text1"/>
          <w:sz w:val="28"/>
          <w:szCs w:val="28"/>
          <w:lang w:val="es-ES"/>
        </w:rPr>
        <w:t>ecreto oficioso de pruebas.</w:t>
      </w:r>
      <w:r w:rsidRPr="00793402">
        <w:rPr>
          <w:b/>
          <w:bCs/>
          <w:color w:val="000000" w:themeColor="text1"/>
          <w:sz w:val="28"/>
          <w:szCs w:val="28"/>
          <w:lang w:val="es-ES"/>
        </w:rPr>
        <w:t xml:space="preserve"> </w:t>
      </w:r>
      <w:r w:rsidR="00685BB4" w:rsidRPr="00793402">
        <w:rPr>
          <w:color w:val="000000" w:themeColor="text1"/>
          <w:sz w:val="28"/>
          <w:szCs w:val="28"/>
          <w:lang w:val="es-ES"/>
        </w:rPr>
        <w:t xml:space="preserve">Mediante </w:t>
      </w:r>
      <w:r w:rsidR="00CA2D34" w:rsidRPr="00793402">
        <w:rPr>
          <w:color w:val="000000" w:themeColor="text1"/>
          <w:sz w:val="28"/>
          <w:szCs w:val="28"/>
          <w:lang w:val="es-ES"/>
        </w:rPr>
        <w:t>a</w:t>
      </w:r>
      <w:r w:rsidR="00685BB4" w:rsidRPr="00793402">
        <w:rPr>
          <w:color w:val="000000" w:themeColor="text1"/>
          <w:sz w:val="28"/>
          <w:szCs w:val="28"/>
          <w:lang w:val="es-ES"/>
        </w:rPr>
        <w:t xml:space="preserve">uto del 5 de </w:t>
      </w:r>
      <w:r w:rsidR="00A24274" w:rsidRPr="00793402">
        <w:rPr>
          <w:color w:val="000000" w:themeColor="text1"/>
          <w:sz w:val="28"/>
          <w:szCs w:val="28"/>
          <w:lang w:val="es-ES"/>
        </w:rPr>
        <w:t>diciembre</w:t>
      </w:r>
      <w:r w:rsidR="00685BB4" w:rsidRPr="00793402">
        <w:rPr>
          <w:color w:val="000000" w:themeColor="text1"/>
          <w:sz w:val="28"/>
          <w:szCs w:val="28"/>
          <w:lang w:val="es-ES"/>
        </w:rPr>
        <w:t xml:space="preserve"> de 2022</w:t>
      </w:r>
      <w:r w:rsidR="008773AE" w:rsidRPr="00793402">
        <w:rPr>
          <w:rStyle w:val="Refdenotaalpie"/>
          <w:color w:val="000000" w:themeColor="text1"/>
          <w:sz w:val="28"/>
          <w:szCs w:val="28"/>
          <w:lang w:val="es-ES"/>
        </w:rPr>
        <w:footnoteReference w:id="44"/>
      </w:r>
      <w:r w:rsidR="00685BB4" w:rsidRPr="00793402">
        <w:rPr>
          <w:color w:val="000000" w:themeColor="text1"/>
          <w:sz w:val="28"/>
          <w:szCs w:val="28"/>
          <w:lang w:val="es-ES"/>
        </w:rPr>
        <w:t xml:space="preserve">, el </w:t>
      </w:r>
      <w:r w:rsidR="00D72C7B" w:rsidRPr="00793402">
        <w:rPr>
          <w:color w:val="000000" w:themeColor="text1"/>
          <w:sz w:val="28"/>
          <w:szCs w:val="28"/>
          <w:lang w:val="es-ES"/>
        </w:rPr>
        <w:t xml:space="preserve">magistrado sustanciador </w:t>
      </w:r>
      <w:r w:rsidR="00FE5FA0" w:rsidRPr="00793402">
        <w:rPr>
          <w:color w:val="000000" w:themeColor="text1"/>
          <w:sz w:val="28"/>
          <w:szCs w:val="28"/>
          <w:lang w:val="es-ES"/>
        </w:rPr>
        <w:t>decretó pruebas</w:t>
      </w:r>
      <w:r w:rsidR="00A24274" w:rsidRPr="00793402">
        <w:rPr>
          <w:color w:val="000000" w:themeColor="text1"/>
          <w:sz w:val="28"/>
          <w:szCs w:val="28"/>
          <w:lang w:val="es-ES"/>
        </w:rPr>
        <w:t xml:space="preserve"> de oficio</w:t>
      </w:r>
      <w:r w:rsidR="00FE5FA0" w:rsidRPr="00793402">
        <w:rPr>
          <w:color w:val="000000" w:themeColor="text1"/>
          <w:sz w:val="28"/>
          <w:szCs w:val="28"/>
          <w:lang w:val="es-ES"/>
        </w:rPr>
        <w:t>. Al respecto,</w:t>
      </w:r>
      <w:r w:rsidR="00E70538" w:rsidRPr="00793402">
        <w:rPr>
          <w:color w:val="000000" w:themeColor="text1"/>
          <w:sz w:val="28"/>
          <w:szCs w:val="28"/>
          <w:lang w:val="es-ES"/>
        </w:rPr>
        <w:t xml:space="preserve"> </w:t>
      </w:r>
      <w:r w:rsidR="00A24274" w:rsidRPr="00793402">
        <w:rPr>
          <w:bCs/>
          <w:color w:val="000000" w:themeColor="text1"/>
          <w:sz w:val="28"/>
          <w:szCs w:val="28"/>
        </w:rPr>
        <w:t>(i)</w:t>
      </w:r>
      <w:r w:rsidR="00D87876" w:rsidRPr="00793402">
        <w:rPr>
          <w:bCs/>
          <w:color w:val="000000" w:themeColor="text1"/>
          <w:sz w:val="28"/>
          <w:szCs w:val="28"/>
        </w:rPr>
        <w:t xml:space="preserve"> </w:t>
      </w:r>
      <w:r w:rsidR="007C17B8" w:rsidRPr="00793402">
        <w:rPr>
          <w:bCs/>
          <w:color w:val="000000" w:themeColor="text1"/>
          <w:sz w:val="28"/>
          <w:szCs w:val="28"/>
        </w:rPr>
        <w:t>solicitó</w:t>
      </w:r>
      <w:r w:rsidR="00A24274" w:rsidRPr="00793402">
        <w:rPr>
          <w:bCs/>
          <w:color w:val="000000" w:themeColor="text1"/>
          <w:sz w:val="28"/>
          <w:szCs w:val="28"/>
        </w:rPr>
        <w:t xml:space="preserve"> información a la accionante sobre su estado de salud, su situación económica, entre otras; y, (iii) ofició a </w:t>
      </w:r>
      <w:r w:rsidR="00940AF8" w:rsidRPr="00793402">
        <w:rPr>
          <w:bCs/>
          <w:color w:val="000000" w:themeColor="text1"/>
          <w:sz w:val="28"/>
          <w:szCs w:val="28"/>
        </w:rPr>
        <w:t>C</w:t>
      </w:r>
      <w:r w:rsidR="00BF1C2B" w:rsidRPr="00793402">
        <w:rPr>
          <w:bCs/>
          <w:color w:val="000000" w:themeColor="text1"/>
          <w:sz w:val="28"/>
          <w:szCs w:val="28"/>
        </w:rPr>
        <w:t>OLPENSIONES</w:t>
      </w:r>
      <w:r w:rsidR="00A24274" w:rsidRPr="00793402">
        <w:rPr>
          <w:bCs/>
          <w:color w:val="000000" w:themeColor="text1"/>
          <w:sz w:val="28"/>
          <w:szCs w:val="28"/>
        </w:rPr>
        <w:t xml:space="preserve"> a la S</w:t>
      </w:r>
      <w:r w:rsidR="00E70538" w:rsidRPr="00793402">
        <w:rPr>
          <w:bCs/>
          <w:color w:val="000000" w:themeColor="text1"/>
          <w:sz w:val="28"/>
          <w:szCs w:val="28"/>
        </w:rPr>
        <w:t>ED</w:t>
      </w:r>
      <w:r w:rsidR="00A24274" w:rsidRPr="00793402">
        <w:rPr>
          <w:bCs/>
          <w:color w:val="000000" w:themeColor="text1"/>
          <w:sz w:val="28"/>
          <w:szCs w:val="28"/>
        </w:rPr>
        <w:t xml:space="preserve"> y a la </w:t>
      </w:r>
      <w:r w:rsidR="00E70538" w:rsidRPr="00793402">
        <w:rPr>
          <w:bCs/>
          <w:color w:val="000000" w:themeColor="text1"/>
          <w:sz w:val="28"/>
          <w:szCs w:val="28"/>
        </w:rPr>
        <w:t>CNSC</w:t>
      </w:r>
      <w:r w:rsidR="00A24274" w:rsidRPr="00793402">
        <w:rPr>
          <w:bCs/>
          <w:color w:val="000000" w:themeColor="text1"/>
          <w:sz w:val="28"/>
          <w:szCs w:val="28"/>
        </w:rPr>
        <w:t xml:space="preserve"> para que allegaran documentos relacionados con la situación de la accionante y respondieran algunos interrogantes sobre los hechos expuestos en la tutela.</w:t>
      </w:r>
      <w:bookmarkEnd w:id="0"/>
    </w:p>
    <w:p w14:paraId="4DB18566" w14:textId="2E577086" w:rsidR="000C5EA9" w:rsidRPr="00793402" w:rsidRDefault="000C5EA9" w:rsidP="00AE7055">
      <w:pPr>
        <w:widowControl w:val="0"/>
        <w:jc w:val="both"/>
        <w:rPr>
          <w:bCs/>
          <w:color w:val="000000" w:themeColor="text1"/>
          <w:sz w:val="28"/>
          <w:szCs w:val="28"/>
        </w:rPr>
      </w:pPr>
    </w:p>
    <w:p w14:paraId="6B848FAE" w14:textId="3378D120" w:rsidR="000C5EA9" w:rsidRPr="00793402" w:rsidRDefault="0099357B" w:rsidP="000C5EA9">
      <w:pPr>
        <w:widowControl w:val="0"/>
        <w:jc w:val="both"/>
        <w:rPr>
          <w:color w:val="000000" w:themeColor="text1"/>
          <w:sz w:val="28"/>
          <w:szCs w:val="28"/>
          <w:lang w:val="es-ES"/>
        </w:rPr>
      </w:pPr>
      <w:r w:rsidRPr="00793402">
        <w:rPr>
          <w:color w:val="000000" w:themeColor="text1"/>
          <w:sz w:val="28"/>
          <w:szCs w:val="28"/>
          <w:lang w:val="es-ES"/>
        </w:rPr>
        <w:t>20</w:t>
      </w:r>
      <w:r w:rsidR="000C5EA9" w:rsidRPr="00793402">
        <w:rPr>
          <w:color w:val="000000" w:themeColor="text1"/>
          <w:sz w:val="28"/>
          <w:szCs w:val="28"/>
          <w:lang w:val="es-ES"/>
        </w:rPr>
        <w:t xml:space="preserve">. </w:t>
      </w:r>
      <w:r w:rsidR="00FD7710" w:rsidRPr="00793402">
        <w:rPr>
          <w:i/>
          <w:iCs/>
          <w:color w:val="000000" w:themeColor="text1"/>
          <w:sz w:val="28"/>
          <w:szCs w:val="28"/>
          <w:lang w:val="es-ES"/>
        </w:rPr>
        <w:t>Las r</w:t>
      </w:r>
      <w:r w:rsidR="000C5EA9" w:rsidRPr="00793402">
        <w:rPr>
          <w:i/>
          <w:iCs/>
          <w:color w:val="000000" w:themeColor="text1"/>
          <w:sz w:val="28"/>
          <w:szCs w:val="28"/>
          <w:lang w:val="es-ES"/>
        </w:rPr>
        <w:t xml:space="preserve">espuestas </w:t>
      </w:r>
      <w:r w:rsidR="00CA2D34" w:rsidRPr="00793402">
        <w:rPr>
          <w:i/>
          <w:iCs/>
          <w:color w:val="000000" w:themeColor="text1"/>
          <w:sz w:val="28"/>
          <w:szCs w:val="28"/>
          <w:lang w:val="es-ES"/>
        </w:rPr>
        <w:t>de las entidades oficiadas al auto de pruebas:</w:t>
      </w:r>
    </w:p>
    <w:p w14:paraId="379631A9" w14:textId="77777777" w:rsidR="00927ED2" w:rsidRPr="00793402" w:rsidRDefault="00927ED2" w:rsidP="008773AE">
      <w:pPr>
        <w:pBdr>
          <w:top w:val="nil"/>
          <w:left w:val="nil"/>
          <w:bottom w:val="nil"/>
          <w:right w:val="nil"/>
          <w:between w:val="nil"/>
        </w:pBdr>
        <w:ind w:right="40"/>
        <w:jc w:val="both"/>
        <w:rPr>
          <w:color w:val="000000" w:themeColor="text1"/>
          <w:sz w:val="28"/>
          <w:szCs w:val="28"/>
          <w:lang w:val="es-ES_tradnl"/>
        </w:rPr>
      </w:pPr>
    </w:p>
    <w:tbl>
      <w:tblPr>
        <w:tblStyle w:val="Tablaconcuadrcula"/>
        <w:tblW w:w="9067" w:type="dxa"/>
        <w:tblLayout w:type="fixed"/>
        <w:tblLook w:val="04A0" w:firstRow="1" w:lastRow="0" w:firstColumn="1" w:lastColumn="0" w:noHBand="0" w:noVBand="1"/>
      </w:tblPr>
      <w:tblGrid>
        <w:gridCol w:w="2405"/>
        <w:gridCol w:w="6662"/>
      </w:tblGrid>
      <w:tr w:rsidR="00EF05A8" w:rsidRPr="00793402" w14:paraId="37B7D654" w14:textId="77777777" w:rsidTr="00BF1C2B">
        <w:tc>
          <w:tcPr>
            <w:tcW w:w="9067" w:type="dxa"/>
            <w:gridSpan w:val="2"/>
          </w:tcPr>
          <w:p w14:paraId="0BEDAAA3" w14:textId="77777777" w:rsidR="00927ED2" w:rsidRPr="00793402" w:rsidRDefault="00927ED2" w:rsidP="00C64EB3">
            <w:pPr>
              <w:widowControl w:val="0"/>
              <w:jc w:val="center"/>
              <w:rPr>
                <w:b/>
                <w:bCs/>
                <w:color w:val="000000" w:themeColor="text1"/>
                <w:lang w:val="es-ES"/>
              </w:rPr>
            </w:pPr>
            <w:r w:rsidRPr="00793402">
              <w:rPr>
                <w:b/>
                <w:bCs/>
                <w:color w:val="000000" w:themeColor="text1"/>
                <w:lang w:val="es-ES"/>
              </w:rPr>
              <w:t>Respuestas allegadas al trámite</w:t>
            </w:r>
          </w:p>
        </w:tc>
      </w:tr>
      <w:tr w:rsidR="00BF1C2B" w:rsidRPr="00793402" w14:paraId="19923F9A" w14:textId="77777777" w:rsidTr="00BF1C2B">
        <w:tc>
          <w:tcPr>
            <w:tcW w:w="2405" w:type="dxa"/>
          </w:tcPr>
          <w:p w14:paraId="22A62750" w14:textId="77777777" w:rsidR="00927ED2" w:rsidRPr="00793402" w:rsidRDefault="00927ED2" w:rsidP="00C64EB3">
            <w:pPr>
              <w:widowControl w:val="0"/>
              <w:jc w:val="center"/>
              <w:rPr>
                <w:b/>
                <w:bCs/>
                <w:color w:val="000000" w:themeColor="text1"/>
                <w:lang w:val="es-ES"/>
              </w:rPr>
            </w:pPr>
            <w:r w:rsidRPr="00793402">
              <w:rPr>
                <w:b/>
                <w:bCs/>
                <w:color w:val="000000" w:themeColor="text1"/>
                <w:lang w:val="es-ES"/>
              </w:rPr>
              <w:t>Entidad</w:t>
            </w:r>
          </w:p>
        </w:tc>
        <w:tc>
          <w:tcPr>
            <w:tcW w:w="6662" w:type="dxa"/>
          </w:tcPr>
          <w:p w14:paraId="5B3EF6E3" w14:textId="77777777" w:rsidR="00927ED2" w:rsidRPr="00793402" w:rsidRDefault="00927ED2" w:rsidP="00C64EB3">
            <w:pPr>
              <w:widowControl w:val="0"/>
              <w:jc w:val="center"/>
              <w:rPr>
                <w:b/>
                <w:bCs/>
                <w:color w:val="000000" w:themeColor="text1"/>
                <w:lang w:val="es-ES"/>
              </w:rPr>
            </w:pPr>
            <w:r w:rsidRPr="00793402">
              <w:rPr>
                <w:b/>
                <w:bCs/>
                <w:color w:val="000000" w:themeColor="text1"/>
                <w:lang w:val="es-ES"/>
              </w:rPr>
              <w:t>Argumento</w:t>
            </w:r>
          </w:p>
        </w:tc>
      </w:tr>
      <w:tr w:rsidR="00BF1C2B" w:rsidRPr="00793402" w14:paraId="7B5FF09C" w14:textId="77777777" w:rsidTr="00BF1C2B">
        <w:tc>
          <w:tcPr>
            <w:tcW w:w="2405" w:type="dxa"/>
          </w:tcPr>
          <w:p w14:paraId="5877AF4E" w14:textId="477D65E6" w:rsidR="00927ED2" w:rsidRPr="00793402" w:rsidRDefault="00AE7055" w:rsidP="00927ED2">
            <w:pPr>
              <w:widowControl w:val="0"/>
              <w:rPr>
                <w:b/>
                <w:bCs/>
                <w:color w:val="000000" w:themeColor="text1"/>
                <w:lang w:val="es-ES"/>
              </w:rPr>
            </w:pPr>
            <w:r w:rsidRPr="00793402">
              <w:rPr>
                <w:b/>
                <w:bCs/>
                <w:color w:val="000000" w:themeColor="text1"/>
                <w:lang w:val="es-ES"/>
              </w:rPr>
              <w:t xml:space="preserve">Blanca </w:t>
            </w:r>
            <w:proofErr w:type="spellStart"/>
            <w:r w:rsidRPr="00793402">
              <w:rPr>
                <w:b/>
                <w:bCs/>
                <w:color w:val="000000" w:themeColor="text1"/>
                <w:lang w:val="es-ES"/>
              </w:rPr>
              <w:t>Bellanid</w:t>
            </w:r>
            <w:proofErr w:type="spellEnd"/>
            <w:r w:rsidRPr="00793402">
              <w:rPr>
                <w:b/>
                <w:bCs/>
                <w:color w:val="000000" w:themeColor="text1"/>
                <w:lang w:val="es-ES"/>
              </w:rPr>
              <w:t xml:space="preserve"> </w:t>
            </w:r>
            <w:proofErr w:type="spellStart"/>
            <w:r w:rsidRPr="00793402">
              <w:rPr>
                <w:b/>
                <w:bCs/>
                <w:color w:val="000000" w:themeColor="text1"/>
                <w:lang w:val="es-ES"/>
              </w:rPr>
              <w:t>Galíndez</w:t>
            </w:r>
            <w:proofErr w:type="spellEnd"/>
            <w:r w:rsidRPr="00793402">
              <w:rPr>
                <w:b/>
                <w:bCs/>
                <w:color w:val="000000" w:themeColor="text1"/>
                <w:lang w:val="es-ES"/>
              </w:rPr>
              <w:t xml:space="preserve"> Joven</w:t>
            </w:r>
            <w:r w:rsidRPr="00793402">
              <w:rPr>
                <w:rStyle w:val="Refdenotaalpie"/>
                <w:iCs/>
                <w:color w:val="000000" w:themeColor="text1"/>
                <w:lang w:val="es-ES_tradnl"/>
              </w:rPr>
              <w:footnoteReference w:id="45"/>
            </w:r>
          </w:p>
        </w:tc>
        <w:tc>
          <w:tcPr>
            <w:tcW w:w="6662" w:type="dxa"/>
          </w:tcPr>
          <w:p w14:paraId="028D220D" w14:textId="2F6C7C61" w:rsidR="00927ED2" w:rsidRPr="00793402" w:rsidRDefault="00AE7055" w:rsidP="00AE7055">
            <w:pPr>
              <w:pBdr>
                <w:top w:val="nil"/>
                <w:left w:val="nil"/>
                <w:bottom w:val="nil"/>
                <w:right w:val="nil"/>
                <w:between w:val="nil"/>
              </w:pBdr>
              <w:ind w:right="40"/>
              <w:rPr>
                <w:color w:val="000000" w:themeColor="text1"/>
                <w:lang w:val="es-CO"/>
              </w:rPr>
            </w:pPr>
            <w:r w:rsidRPr="00793402">
              <w:rPr>
                <w:rFonts w:eastAsia="Calibri"/>
                <w:color w:val="000000" w:themeColor="text1"/>
                <w:lang w:val="es-ES_tradnl" w:eastAsia="es-CO"/>
              </w:rPr>
              <w:t>A</w:t>
            </w:r>
            <w:r w:rsidRPr="00793402">
              <w:rPr>
                <w:color w:val="000000" w:themeColor="text1"/>
                <w:lang w:val="es-CO"/>
              </w:rPr>
              <w:t>firmó que su núcleo familiar está compuesto por su esposo de 56 años, quien se desempeña como docente de la SED; y, su hijo de 24 años, quien estudia en la Normal Superior de Florencia</w:t>
            </w:r>
            <w:r w:rsidRPr="00793402">
              <w:rPr>
                <w:rStyle w:val="Refdenotaalpie"/>
                <w:color w:val="000000" w:themeColor="text1"/>
              </w:rPr>
              <w:footnoteReference w:id="46"/>
            </w:r>
            <w:r w:rsidRPr="00793402">
              <w:rPr>
                <w:color w:val="000000" w:themeColor="text1"/>
                <w:lang w:val="es-CO"/>
              </w:rPr>
              <w:t>. Indicó que su esposo sufre de dolencias abdominales y que su hijo nació con una afectación respiratoria que aún persiste. Respecto de su situación económica y laboral, señaló que actualmente no labora y que los medios económicos para la subsistencia de su familia dependen de los ingresos de su esposo que ascienden</w:t>
            </w:r>
            <w:r w:rsidR="00BF1C2B" w:rsidRPr="00793402">
              <w:rPr>
                <w:color w:val="000000" w:themeColor="text1"/>
                <w:lang w:val="es-CO"/>
              </w:rPr>
              <w:t xml:space="preserve"> a</w:t>
            </w:r>
            <w:r w:rsidRPr="00793402">
              <w:rPr>
                <w:color w:val="000000" w:themeColor="text1"/>
                <w:lang w:val="es-CO"/>
              </w:rPr>
              <w:t xml:space="preserve"> $</w:t>
            </w:r>
            <w:r w:rsidR="008B1B51" w:rsidRPr="00793402">
              <w:rPr>
                <w:color w:val="000000" w:themeColor="text1"/>
                <w:lang w:val="es-CO"/>
              </w:rPr>
              <w:t>3.944.525</w:t>
            </w:r>
            <w:r w:rsidR="0099357B" w:rsidRPr="00793402">
              <w:rPr>
                <w:color w:val="000000" w:themeColor="text1"/>
                <w:lang w:val="es-CO"/>
              </w:rPr>
              <w:t>,</w:t>
            </w:r>
            <w:r w:rsidR="00BF1C2B" w:rsidRPr="00793402">
              <w:rPr>
                <w:color w:val="000000" w:themeColor="text1"/>
                <w:lang w:val="es-CO"/>
              </w:rPr>
              <w:t xml:space="preserve"> suma</w:t>
            </w:r>
            <w:r w:rsidR="0099357B" w:rsidRPr="00793402">
              <w:rPr>
                <w:color w:val="000000" w:themeColor="text1"/>
                <w:lang w:val="es-CO"/>
              </w:rPr>
              <w:t xml:space="preserve"> que después de los descuentos </w:t>
            </w:r>
            <w:r w:rsidR="004132F7" w:rsidRPr="00793402">
              <w:rPr>
                <w:color w:val="000000" w:themeColor="text1"/>
                <w:lang w:val="es-CO"/>
              </w:rPr>
              <w:t xml:space="preserve">legales </w:t>
            </w:r>
            <w:r w:rsidR="0099357B" w:rsidRPr="00793402">
              <w:rPr>
                <w:color w:val="000000" w:themeColor="text1"/>
                <w:lang w:val="es-CO"/>
              </w:rPr>
              <w:t>y créditos de libranza se estima en $1.987.154</w:t>
            </w:r>
            <w:r w:rsidRPr="00793402">
              <w:rPr>
                <w:rStyle w:val="Refdenotaalpie"/>
                <w:color w:val="000000" w:themeColor="text1"/>
              </w:rPr>
              <w:footnoteReference w:id="47"/>
            </w:r>
            <w:r w:rsidRPr="00793402">
              <w:rPr>
                <w:color w:val="000000" w:themeColor="text1"/>
                <w:lang w:val="es-CO"/>
              </w:rPr>
              <w:t xml:space="preserve">. Mencionó que con ellos cubren el pago de servicios públicos, obligaciones bancarias, alimentación, así como la educación y manutención de su hijo. Destacó que su esposo </w:t>
            </w:r>
            <w:r w:rsidR="00CA2D34" w:rsidRPr="00793402">
              <w:rPr>
                <w:color w:val="000000" w:themeColor="text1"/>
                <w:lang w:val="es-CO"/>
              </w:rPr>
              <w:t xml:space="preserve">y </w:t>
            </w:r>
            <w:r w:rsidRPr="00793402">
              <w:rPr>
                <w:color w:val="000000" w:themeColor="text1"/>
                <w:lang w:val="es-CO"/>
              </w:rPr>
              <w:t>ella tienen</w:t>
            </w:r>
            <w:r w:rsidR="00CA2D34" w:rsidRPr="00793402">
              <w:rPr>
                <w:color w:val="000000" w:themeColor="text1"/>
                <w:lang w:val="es-CO"/>
              </w:rPr>
              <w:t xml:space="preserve"> algunas</w:t>
            </w:r>
            <w:r w:rsidRPr="00793402">
              <w:rPr>
                <w:color w:val="000000" w:themeColor="text1"/>
                <w:lang w:val="es-CO"/>
              </w:rPr>
              <w:t xml:space="preserve"> obligaciones crediticias </w:t>
            </w:r>
            <w:r w:rsidR="00CA2D34" w:rsidRPr="00793402">
              <w:rPr>
                <w:color w:val="000000" w:themeColor="text1"/>
                <w:lang w:val="es-CO"/>
              </w:rPr>
              <w:t xml:space="preserve">de </w:t>
            </w:r>
            <w:r w:rsidRPr="00793402">
              <w:rPr>
                <w:color w:val="000000" w:themeColor="text1"/>
                <w:lang w:val="es-CO"/>
              </w:rPr>
              <w:t xml:space="preserve">aproximadamente $70.000.000 cada una. En relación con su estado de salud, manifestó que no está afiliada a </w:t>
            </w:r>
            <w:r w:rsidRPr="00793402">
              <w:rPr>
                <w:color w:val="000000" w:themeColor="text1"/>
                <w:lang w:val="es-CO"/>
              </w:rPr>
              <w:lastRenderedPageBreak/>
              <w:t>ninguna E.P.S. Por lo tanto, no ha continuado con el tratamiento de las patologías que padece</w:t>
            </w:r>
            <w:r w:rsidRPr="00793402">
              <w:rPr>
                <w:rStyle w:val="Refdenotaalpie"/>
                <w:color w:val="000000" w:themeColor="text1"/>
              </w:rPr>
              <w:footnoteReference w:id="48"/>
            </w:r>
            <w:r w:rsidRPr="00793402">
              <w:rPr>
                <w:color w:val="000000" w:themeColor="text1"/>
                <w:lang w:val="es-CO"/>
              </w:rPr>
              <w:t>. Finalmente, informó que no ha promovido ninguna actuación judicial diferente a la acción de tutela</w:t>
            </w:r>
            <w:r w:rsidRPr="00793402">
              <w:rPr>
                <w:rStyle w:val="Refdenotaalpie"/>
                <w:color w:val="000000" w:themeColor="text1"/>
              </w:rPr>
              <w:footnoteReference w:id="49"/>
            </w:r>
            <w:r w:rsidRPr="00793402">
              <w:rPr>
                <w:color w:val="000000" w:themeColor="text1"/>
                <w:lang w:val="es-CO"/>
              </w:rPr>
              <w:t>.</w:t>
            </w:r>
          </w:p>
        </w:tc>
      </w:tr>
      <w:tr w:rsidR="00BF1C2B" w:rsidRPr="00793402" w14:paraId="22B24297" w14:textId="77777777" w:rsidTr="00BF1C2B">
        <w:tc>
          <w:tcPr>
            <w:tcW w:w="2405" w:type="dxa"/>
          </w:tcPr>
          <w:p w14:paraId="2A9E911A" w14:textId="01895C97" w:rsidR="00927ED2" w:rsidRPr="00793402" w:rsidRDefault="00940AF8" w:rsidP="00940AF8">
            <w:pPr>
              <w:widowControl w:val="0"/>
              <w:ind w:right="44"/>
              <w:rPr>
                <w:color w:val="000000" w:themeColor="text1"/>
                <w:lang w:val="es-ES"/>
              </w:rPr>
            </w:pPr>
            <w:r w:rsidRPr="00793402">
              <w:rPr>
                <w:b/>
                <w:bCs/>
                <w:color w:val="000000" w:themeColor="text1"/>
                <w:lang w:val="es-ES"/>
              </w:rPr>
              <w:lastRenderedPageBreak/>
              <w:t>C</w:t>
            </w:r>
            <w:r w:rsidR="00BF1C2B" w:rsidRPr="00793402">
              <w:rPr>
                <w:b/>
                <w:bCs/>
                <w:color w:val="000000" w:themeColor="text1"/>
                <w:lang w:val="es-ES"/>
              </w:rPr>
              <w:t>OLPENSIONES</w:t>
            </w:r>
            <w:r w:rsidRPr="00793402">
              <w:rPr>
                <w:rStyle w:val="Refdenotaalpie"/>
                <w:b/>
                <w:bCs/>
                <w:color w:val="000000" w:themeColor="text1"/>
                <w:vertAlign w:val="baseline"/>
                <w:lang w:val="es-ES"/>
              </w:rPr>
              <w:t xml:space="preserve"> </w:t>
            </w:r>
            <w:r w:rsidR="00AE7055" w:rsidRPr="00793402">
              <w:rPr>
                <w:rStyle w:val="Refdenotaalpie"/>
                <w:b/>
                <w:bCs/>
                <w:color w:val="000000" w:themeColor="text1"/>
                <w:lang w:val="es-ES"/>
              </w:rPr>
              <w:footnoteReference w:id="50"/>
            </w:r>
          </w:p>
        </w:tc>
        <w:tc>
          <w:tcPr>
            <w:tcW w:w="6662" w:type="dxa"/>
          </w:tcPr>
          <w:p w14:paraId="203169BD" w14:textId="59F554B2" w:rsidR="00927ED2" w:rsidRPr="00793402" w:rsidRDefault="00AE7055" w:rsidP="00C64EB3">
            <w:pPr>
              <w:widowControl w:val="0"/>
              <w:rPr>
                <w:color w:val="000000" w:themeColor="text1"/>
                <w:lang w:val="es-ES"/>
              </w:rPr>
            </w:pPr>
            <w:r w:rsidRPr="00793402">
              <w:rPr>
                <w:color w:val="000000" w:themeColor="text1"/>
                <w:lang w:val="es-ES"/>
              </w:rPr>
              <w:t xml:space="preserve">Remitió copia de la Certificación de Tiempos Laborados (CETIL) y el reporte de semanas cotizadas al sistema pensional. A pesar de ello, la información contenida en aquellos documentos no precisó los aportes y los tiempos </w:t>
            </w:r>
            <w:r w:rsidR="00D72C7B" w:rsidRPr="00793402">
              <w:rPr>
                <w:color w:val="000000" w:themeColor="text1"/>
                <w:lang w:val="es-ES"/>
              </w:rPr>
              <w:t xml:space="preserve">laborados </w:t>
            </w:r>
            <w:r w:rsidRPr="00793402">
              <w:rPr>
                <w:color w:val="000000" w:themeColor="text1"/>
                <w:lang w:val="es-ES"/>
              </w:rPr>
              <w:t>por la actora. El primer documento demuestra que la accionante laboró desde el mes de mayo de 1998 hasta el mes de marzo de 2022. Sin embargo, el reporte de semanas cotizadas a pensión solo certificó el periodo comprendido entre octubre de 2002 y marzo de 2022.</w:t>
            </w:r>
          </w:p>
        </w:tc>
      </w:tr>
      <w:tr w:rsidR="00BF1C2B" w:rsidRPr="00793402" w14:paraId="208AD115" w14:textId="77777777" w:rsidTr="00BF1C2B">
        <w:tc>
          <w:tcPr>
            <w:tcW w:w="2405" w:type="dxa"/>
          </w:tcPr>
          <w:p w14:paraId="3690374B" w14:textId="77777777" w:rsidR="00AE7055" w:rsidRPr="00793402" w:rsidRDefault="00AE7055" w:rsidP="00AE7055">
            <w:pPr>
              <w:widowControl w:val="0"/>
              <w:rPr>
                <w:b/>
                <w:bCs/>
                <w:color w:val="000000" w:themeColor="text1"/>
                <w:lang w:val="es-ES"/>
              </w:rPr>
            </w:pPr>
            <w:r w:rsidRPr="00793402">
              <w:rPr>
                <w:b/>
                <w:bCs/>
                <w:color w:val="000000" w:themeColor="text1"/>
                <w:lang w:val="es-ES"/>
              </w:rPr>
              <w:t>Secretaría Departamental de Educación</w:t>
            </w:r>
            <w:r w:rsidRPr="00793402">
              <w:rPr>
                <w:rStyle w:val="Refdenotaalpie"/>
                <w:b/>
                <w:bCs/>
                <w:color w:val="000000" w:themeColor="text1"/>
                <w:lang w:val="es-ES"/>
              </w:rPr>
              <w:footnoteReference w:id="51"/>
            </w:r>
            <w:r w:rsidRPr="00793402">
              <w:rPr>
                <w:b/>
                <w:bCs/>
                <w:color w:val="000000" w:themeColor="text1"/>
                <w:lang w:val="es-ES"/>
              </w:rPr>
              <w:t xml:space="preserve"> </w:t>
            </w:r>
          </w:p>
          <w:p w14:paraId="0DCD6620" w14:textId="0087E416" w:rsidR="00927ED2" w:rsidRPr="00793402" w:rsidRDefault="00927ED2" w:rsidP="00C64EB3">
            <w:pPr>
              <w:widowControl w:val="0"/>
              <w:rPr>
                <w:b/>
                <w:bCs/>
                <w:color w:val="000000" w:themeColor="text1"/>
                <w:lang w:val="es-ES"/>
              </w:rPr>
            </w:pPr>
          </w:p>
        </w:tc>
        <w:tc>
          <w:tcPr>
            <w:tcW w:w="6662" w:type="dxa"/>
          </w:tcPr>
          <w:p w14:paraId="1BD39F16" w14:textId="587125FB" w:rsidR="00927ED2" w:rsidRPr="00793402" w:rsidRDefault="00AE7055" w:rsidP="00C64EB3">
            <w:pPr>
              <w:widowControl w:val="0"/>
              <w:rPr>
                <w:color w:val="000000" w:themeColor="text1"/>
                <w:lang w:val="es-ES"/>
              </w:rPr>
            </w:pPr>
            <w:r w:rsidRPr="00793402">
              <w:rPr>
                <w:color w:val="000000" w:themeColor="text1"/>
                <w:lang w:val="es-CO"/>
              </w:rPr>
              <w:t xml:space="preserve">Informó que en su planta existen 97 cargos similares al que </w:t>
            </w:r>
            <w:r w:rsidR="00FD7710" w:rsidRPr="00793402">
              <w:rPr>
                <w:color w:val="000000" w:themeColor="text1"/>
                <w:lang w:val="es-CO"/>
              </w:rPr>
              <w:t>tenía</w:t>
            </w:r>
            <w:r w:rsidRPr="00793402">
              <w:rPr>
                <w:color w:val="000000" w:themeColor="text1"/>
                <w:lang w:val="es-CO"/>
              </w:rPr>
              <w:t xml:space="preserve"> la accionante. Al respecto, explicó que </w:t>
            </w:r>
            <w:r w:rsidR="00D72C7B" w:rsidRPr="00793402">
              <w:rPr>
                <w:color w:val="000000" w:themeColor="text1"/>
                <w:lang w:val="es-CO"/>
              </w:rPr>
              <w:t xml:space="preserve">en </w:t>
            </w:r>
            <w:r w:rsidRPr="00793402">
              <w:rPr>
                <w:color w:val="000000" w:themeColor="text1"/>
                <w:lang w:val="es-CO"/>
              </w:rPr>
              <w:t>la I</w:t>
            </w:r>
            <w:r w:rsidR="00CA2D34" w:rsidRPr="00793402">
              <w:rPr>
                <w:color w:val="000000" w:themeColor="text1"/>
                <w:lang w:val="es-CO"/>
              </w:rPr>
              <w:t xml:space="preserve">nstitución </w:t>
            </w:r>
            <w:r w:rsidRPr="00793402">
              <w:rPr>
                <w:color w:val="000000" w:themeColor="text1"/>
                <w:lang w:val="es-CO"/>
              </w:rPr>
              <w:t>E</w:t>
            </w:r>
            <w:r w:rsidR="00CA2D34" w:rsidRPr="00793402">
              <w:rPr>
                <w:color w:val="000000" w:themeColor="text1"/>
                <w:lang w:val="es-CO"/>
              </w:rPr>
              <w:t>ducativa</w:t>
            </w:r>
            <w:r w:rsidRPr="00793402">
              <w:rPr>
                <w:color w:val="000000" w:themeColor="text1"/>
                <w:lang w:val="es-CO"/>
              </w:rPr>
              <w:t xml:space="preserve"> en la cual laboró la demandante, existen 4 cargos, de los cuales dos están en vacancia definitiva. Estos últimos deben ser provistos mediante la lista de elegibles. De otro lado, afirmó que la accionante no cumplió con el requisito de haber cotizado 1.150 semanas al sistema pensional. Por lo tanto, no fue posible reconocerla como </w:t>
            </w:r>
            <w:proofErr w:type="spellStart"/>
            <w:r w:rsidRPr="00793402">
              <w:rPr>
                <w:color w:val="000000" w:themeColor="text1"/>
                <w:lang w:val="es-CO"/>
              </w:rPr>
              <w:t>prepensionada</w:t>
            </w:r>
            <w:proofErr w:type="spellEnd"/>
            <w:r w:rsidRPr="00793402">
              <w:rPr>
                <w:color w:val="000000" w:themeColor="text1"/>
                <w:lang w:val="es-CO"/>
              </w:rPr>
              <w:t>.</w:t>
            </w:r>
          </w:p>
        </w:tc>
      </w:tr>
    </w:tbl>
    <w:p w14:paraId="01ECD65C" w14:textId="4AFA6ADD" w:rsidR="00B155CF" w:rsidRPr="00793402" w:rsidRDefault="00B155CF" w:rsidP="00B155CF">
      <w:pPr>
        <w:pBdr>
          <w:top w:val="nil"/>
          <w:left w:val="nil"/>
          <w:bottom w:val="nil"/>
          <w:right w:val="nil"/>
          <w:between w:val="nil"/>
        </w:pBdr>
        <w:ind w:right="40"/>
        <w:jc w:val="both"/>
        <w:rPr>
          <w:color w:val="000000" w:themeColor="text1"/>
          <w:sz w:val="28"/>
          <w:szCs w:val="28"/>
        </w:rPr>
      </w:pPr>
    </w:p>
    <w:p w14:paraId="3C576E87" w14:textId="696601EA" w:rsidR="00E91EED" w:rsidRPr="00793402" w:rsidRDefault="00DD78F7" w:rsidP="00E91EED">
      <w:pPr>
        <w:widowControl w:val="0"/>
        <w:jc w:val="both"/>
        <w:rPr>
          <w:bCs/>
          <w:color w:val="000000" w:themeColor="text1"/>
          <w:sz w:val="28"/>
          <w:szCs w:val="28"/>
        </w:rPr>
      </w:pPr>
      <w:r w:rsidRPr="00793402">
        <w:rPr>
          <w:bCs/>
          <w:color w:val="000000" w:themeColor="text1"/>
          <w:sz w:val="28"/>
          <w:szCs w:val="28"/>
        </w:rPr>
        <w:t>2</w:t>
      </w:r>
      <w:r w:rsidR="0099357B" w:rsidRPr="00793402">
        <w:rPr>
          <w:bCs/>
          <w:color w:val="000000" w:themeColor="text1"/>
          <w:sz w:val="28"/>
          <w:szCs w:val="28"/>
        </w:rPr>
        <w:t>1</w:t>
      </w:r>
      <w:r w:rsidRPr="00793402">
        <w:rPr>
          <w:bCs/>
          <w:color w:val="000000" w:themeColor="text1"/>
          <w:sz w:val="28"/>
          <w:szCs w:val="28"/>
        </w:rPr>
        <w:t xml:space="preserve">. </w:t>
      </w:r>
      <w:r w:rsidR="00FD7710" w:rsidRPr="00793402">
        <w:rPr>
          <w:bCs/>
          <w:i/>
          <w:iCs/>
          <w:color w:val="000000" w:themeColor="text1"/>
          <w:sz w:val="28"/>
          <w:szCs w:val="28"/>
        </w:rPr>
        <w:t>El r</w:t>
      </w:r>
      <w:r w:rsidRPr="00793402">
        <w:rPr>
          <w:bCs/>
          <w:i/>
          <w:iCs/>
          <w:color w:val="000000" w:themeColor="text1"/>
          <w:sz w:val="28"/>
          <w:szCs w:val="28"/>
        </w:rPr>
        <w:t xml:space="preserve">equerimiento </w:t>
      </w:r>
      <w:r w:rsidR="00FD7710" w:rsidRPr="00793402">
        <w:rPr>
          <w:bCs/>
          <w:i/>
          <w:iCs/>
          <w:color w:val="000000" w:themeColor="text1"/>
          <w:sz w:val="28"/>
          <w:szCs w:val="28"/>
        </w:rPr>
        <w:t>para el cumplimiento del</w:t>
      </w:r>
      <w:r w:rsidRPr="00793402">
        <w:rPr>
          <w:bCs/>
          <w:i/>
          <w:iCs/>
          <w:color w:val="000000" w:themeColor="text1"/>
          <w:sz w:val="28"/>
          <w:szCs w:val="28"/>
        </w:rPr>
        <w:t xml:space="preserve"> auto de pruebas</w:t>
      </w:r>
      <w:r w:rsidRPr="00793402">
        <w:rPr>
          <w:bCs/>
          <w:color w:val="000000" w:themeColor="text1"/>
          <w:sz w:val="28"/>
          <w:szCs w:val="28"/>
        </w:rPr>
        <w:t xml:space="preserve">. </w:t>
      </w:r>
      <w:r w:rsidR="00E91EED" w:rsidRPr="00793402">
        <w:rPr>
          <w:color w:val="000000" w:themeColor="text1"/>
          <w:sz w:val="28"/>
          <w:szCs w:val="28"/>
        </w:rPr>
        <w:t>E</w:t>
      </w:r>
      <w:r w:rsidRPr="00793402">
        <w:rPr>
          <w:color w:val="000000" w:themeColor="text1"/>
          <w:sz w:val="28"/>
          <w:szCs w:val="28"/>
        </w:rPr>
        <w:t>l 17 de enero de 2023, el</w:t>
      </w:r>
      <w:r w:rsidR="00E91EED" w:rsidRPr="00793402">
        <w:rPr>
          <w:color w:val="000000" w:themeColor="text1"/>
          <w:sz w:val="28"/>
          <w:szCs w:val="28"/>
        </w:rPr>
        <w:t xml:space="preserve"> </w:t>
      </w:r>
      <w:r w:rsidR="00D72C7B" w:rsidRPr="00793402">
        <w:rPr>
          <w:color w:val="000000" w:themeColor="text1"/>
          <w:sz w:val="28"/>
          <w:szCs w:val="28"/>
        </w:rPr>
        <w:t xml:space="preserve">magistrado sustanciador </w:t>
      </w:r>
      <w:r w:rsidR="00E91EED" w:rsidRPr="00793402">
        <w:rPr>
          <w:color w:val="000000" w:themeColor="text1"/>
          <w:sz w:val="28"/>
          <w:szCs w:val="28"/>
        </w:rPr>
        <w:t>requirió</w:t>
      </w:r>
      <w:r w:rsidR="00E91EED" w:rsidRPr="00793402">
        <w:rPr>
          <w:rStyle w:val="Refdenotaalpie"/>
          <w:color w:val="000000" w:themeColor="text1"/>
          <w:sz w:val="28"/>
          <w:szCs w:val="28"/>
        </w:rPr>
        <w:footnoteReference w:id="52"/>
      </w:r>
      <w:r w:rsidR="00E91EED" w:rsidRPr="00793402">
        <w:rPr>
          <w:color w:val="000000" w:themeColor="text1"/>
          <w:sz w:val="28"/>
          <w:szCs w:val="28"/>
        </w:rPr>
        <w:t xml:space="preserve"> a la SED para que respondiera algunos interrogantes puntuales sobre la situación laboral de la demandante y, a la</w:t>
      </w:r>
      <w:r w:rsidR="00E91EED" w:rsidRPr="00793402">
        <w:rPr>
          <w:bCs/>
          <w:color w:val="000000" w:themeColor="text1"/>
          <w:sz w:val="28"/>
          <w:szCs w:val="28"/>
        </w:rPr>
        <w:t xml:space="preserve"> CNSC para que cumpliera con lo ordenado en el auto de solicitud de pruebas. Adicionalmente, solicitó a </w:t>
      </w:r>
      <w:r w:rsidR="00940AF8" w:rsidRPr="00793402">
        <w:rPr>
          <w:color w:val="000000" w:themeColor="text1"/>
          <w:sz w:val="28"/>
          <w:szCs w:val="28"/>
        </w:rPr>
        <w:t>C</w:t>
      </w:r>
      <w:r w:rsidR="00BF1C2B" w:rsidRPr="00793402">
        <w:rPr>
          <w:color w:val="000000" w:themeColor="text1"/>
          <w:sz w:val="28"/>
          <w:szCs w:val="28"/>
        </w:rPr>
        <w:t>OLPENSIONES</w:t>
      </w:r>
      <w:r w:rsidR="00E91EED" w:rsidRPr="00793402">
        <w:rPr>
          <w:bCs/>
          <w:color w:val="000000" w:themeColor="text1"/>
          <w:sz w:val="28"/>
          <w:szCs w:val="28"/>
        </w:rPr>
        <w:t xml:space="preserve"> precisar la información sobre los tiempos laborados y los aportados efectivamente al sistema pensional.</w:t>
      </w:r>
    </w:p>
    <w:p w14:paraId="08283649" w14:textId="36CCF341" w:rsidR="00E91EED" w:rsidRPr="00793402" w:rsidRDefault="00E91EED" w:rsidP="00E91EED">
      <w:pPr>
        <w:widowControl w:val="0"/>
        <w:jc w:val="both"/>
        <w:rPr>
          <w:bCs/>
          <w:color w:val="000000" w:themeColor="text1"/>
          <w:sz w:val="28"/>
          <w:szCs w:val="28"/>
        </w:rPr>
      </w:pPr>
    </w:p>
    <w:p w14:paraId="373DC439" w14:textId="67D471DB" w:rsidR="000C5EA9" w:rsidRPr="00793402" w:rsidRDefault="00DD78F7" w:rsidP="00E91EED">
      <w:pPr>
        <w:pBdr>
          <w:top w:val="nil"/>
          <w:left w:val="nil"/>
          <w:bottom w:val="nil"/>
          <w:right w:val="nil"/>
          <w:between w:val="nil"/>
        </w:pBdr>
        <w:ind w:right="40"/>
        <w:jc w:val="both"/>
        <w:rPr>
          <w:color w:val="000000" w:themeColor="text1"/>
          <w:sz w:val="28"/>
          <w:szCs w:val="28"/>
        </w:rPr>
      </w:pPr>
      <w:r w:rsidRPr="00793402">
        <w:rPr>
          <w:color w:val="000000" w:themeColor="text1"/>
          <w:sz w:val="28"/>
          <w:szCs w:val="28"/>
        </w:rPr>
        <w:t>2</w:t>
      </w:r>
      <w:r w:rsidR="0099357B" w:rsidRPr="00793402">
        <w:rPr>
          <w:color w:val="000000" w:themeColor="text1"/>
          <w:sz w:val="28"/>
          <w:szCs w:val="28"/>
        </w:rPr>
        <w:t>2</w:t>
      </w:r>
      <w:r w:rsidRPr="00793402">
        <w:rPr>
          <w:color w:val="000000" w:themeColor="text1"/>
          <w:sz w:val="28"/>
          <w:szCs w:val="28"/>
        </w:rPr>
        <w:t>.</w:t>
      </w:r>
      <w:r w:rsidR="000C5EA9" w:rsidRPr="00793402">
        <w:rPr>
          <w:color w:val="000000" w:themeColor="text1"/>
          <w:sz w:val="28"/>
          <w:szCs w:val="28"/>
        </w:rPr>
        <w:t xml:space="preserve"> </w:t>
      </w:r>
      <w:r w:rsidR="00FD7710" w:rsidRPr="00793402">
        <w:rPr>
          <w:i/>
          <w:iCs/>
          <w:color w:val="000000" w:themeColor="text1"/>
          <w:sz w:val="28"/>
          <w:szCs w:val="28"/>
        </w:rPr>
        <w:t>Las r</w:t>
      </w:r>
      <w:r w:rsidR="000C5EA9" w:rsidRPr="00793402">
        <w:rPr>
          <w:i/>
          <w:iCs/>
          <w:color w:val="000000" w:themeColor="text1"/>
          <w:sz w:val="28"/>
          <w:szCs w:val="28"/>
        </w:rPr>
        <w:t xml:space="preserve">espuestas </w:t>
      </w:r>
      <w:r w:rsidR="007204B2" w:rsidRPr="00793402">
        <w:rPr>
          <w:i/>
          <w:iCs/>
          <w:color w:val="000000" w:themeColor="text1"/>
          <w:sz w:val="28"/>
          <w:szCs w:val="28"/>
        </w:rPr>
        <w:t>de las entidades oficiadas al auto de</w:t>
      </w:r>
      <w:r w:rsidR="000C5EA9" w:rsidRPr="00793402">
        <w:rPr>
          <w:i/>
          <w:iCs/>
          <w:color w:val="000000" w:themeColor="text1"/>
          <w:sz w:val="28"/>
          <w:szCs w:val="28"/>
        </w:rPr>
        <w:t xml:space="preserve"> requerimiento</w:t>
      </w:r>
      <w:r w:rsidR="007204B2" w:rsidRPr="00793402">
        <w:rPr>
          <w:i/>
          <w:iCs/>
          <w:color w:val="000000" w:themeColor="text1"/>
          <w:sz w:val="28"/>
          <w:szCs w:val="28"/>
        </w:rPr>
        <w:t>:</w:t>
      </w:r>
    </w:p>
    <w:p w14:paraId="6F149396" w14:textId="77777777" w:rsidR="000C5EA9" w:rsidRPr="00793402" w:rsidRDefault="000C5EA9" w:rsidP="00E91EED">
      <w:pPr>
        <w:pBdr>
          <w:top w:val="nil"/>
          <w:left w:val="nil"/>
          <w:bottom w:val="nil"/>
          <w:right w:val="nil"/>
          <w:between w:val="nil"/>
        </w:pBdr>
        <w:ind w:right="40"/>
        <w:jc w:val="both"/>
        <w:rPr>
          <w:color w:val="000000" w:themeColor="text1"/>
          <w:sz w:val="28"/>
          <w:szCs w:val="28"/>
        </w:rPr>
      </w:pPr>
    </w:p>
    <w:tbl>
      <w:tblPr>
        <w:tblStyle w:val="Tablaconcuadrcula"/>
        <w:tblW w:w="9067" w:type="dxa"/>
        <w:tblLayout w:type="fixed"/>
        <w:tblLook w:val="04A0" w:firstRow="1" w:lastRow="0" w:firstColumn="1" w:lastColumn="0" w:noHBand="0" w:noVBand="1"/>
      </w:tblPr>
      <w:tblGrid>
        <w:gridCol w:w="2405"/>
        <w:gridCol w:w="6662"/>
      </w:tblGrid>
      <w:tr w:rsidR="00EF05A8" w:rsidRPr="00793402" w14:paraId="241A3562" w14:textId="77777777" w:rsidTr="00C64EB3">
        <w:tc>
          <w:tcPr>
            <w:tcW w:w="9067" w:type="dxa"/>
            <w:gridSpan w:val="2"/>
          </w:tcPr>
          <w:p w14:paraId="3C97BC29" w14:textId="77777777" w:rsidR="000C5EA9" w:rsidRPr="00793402" w:rsidRDefault="000C5EA9" w:rsidP="00C64EB3">
            <w:pPr>
              <w:widowControl w:val="0"/>
              <w:jc w:val="center"/>
              <w:rPr>
                <w:b/>
                <w:bCs/>
                <w:color w:val="000000" w:themeColor="text1"/>
                <w:lang w:val="es-ES"/>
              </w:rPr>
            </w:pPr>
            <w:r w:rsidRPr="00793402">
              <w:rPr>
                <w:b/>
                <w:bCs/>
                <w:color w:val="000000" w:themeColor="text1"/>
                <w:lang w:val="es-ES"/>
              </w:rPr>
              <w:t>Respuestas allegadas al trámite</w:t>
            </w:r>
          </w:p>
        </w:tc>
      </w:tr>
      <w:tr w:rsidR="00EF05A8" w:rsidRPr="00793402" w14:paraId="5212477C" w14:textId="77777777" w:rsidTr="00C64EB3">
        <w:tc>
          <w:tcPr>
            <w:tcW w:w="2405" w:type="dxa"/>
          </w:tcPr>
          <w:p w14:paraId="1C7EA4D4" w14:textId="77777777" w:rsidR="000C5EA9" w:rsidRPr="00793402" w:rsidRDefault="000C5EA9" w:rsidP="00C64EB3">
            <w:pPr>
              <w:widowControl w:val="0"/>
              <w:jc w:val="center"/>
              <w:rPr>
                <w:b/>
                <w:bCs/>
                <w:color w:val="000000" w:themeColor="text1"/>
                <w:lang w:val="es-ES"/>
              </w:rPr>
            </w:pPr>
            <w:r w:rsidRPr="00793402">
              <w:rPr>
                <w:b/>
                <w:bCs/>
                <w:color w:val="000000" w:themeColor="text1"/>
                <w:lang w:val="es-ES"/>
              </w:rPr>
              <w:t>Entidad</w:t>
            </w:r>
          </w:p>
        </w:tc>
        <w:tc>
          <w:tcPr>
            <w:tcW w:w="6662" w:type="dxa"/>
          </w:tcPr>
          <w:p w14:paraId="418623A5" w14:textId="77777777" w:rsidR="000C5EA9" w:rsidRPr="00793402" w:rsidRDefault="000C5EA9" w:rsidP="00C64EB3">
            <w:pPr>
              <w:widowControl w:val="0"/>
              <w:jc w:val="center"/>
              <w:rPr>
                <w:b/>
                <w:bCs/>
                <w:color w:val="000000" w:themeColor="text1"/>
                <w:lang w:val="es-ES"/>
              </w:rPr>
            </w:pPr>
            <w:r w:rsidRPr="00793402">
              <w:rPr>
                <w:b/>
                <w:bCs/>
                <w:color w:val="000000" w:themeColor="text1"/>
                <w:lang w:val="es-ES"/>
              </w:rPr>
              <w:t>Argumento</w:t>
            </w:r>
          </w:p>
        </w:tc>
      </w:tr>
      <w:tr w:rsidR="00EF05A8" w:rsidRPr="00793402" w14:paraId="2CAF2896" w14:textId="77777777" w:rsidTr="00C64EB3">
        <w:tc>
          <w:tcPr>
            <w:tcW w:w="2405" w:type="dxa"/>
          </w:tcPr>
          <w:p w14:paraId="224D3205" w14:textId="6F9CCC78" w:rsidR="000C5EA9" w:rsidRPr="00793402" w:rsidRDefault="000C5EA9" w:rsidP="00C64EB3">
            <w:pPr>
              <w:widowControl w:val="0"/>
              <w:rPr>
                <w:b/>
                <w:bCs/>
                <w:color w:val="000000" w:themeColor="text1"/>
                <w:lang w:val="es-ES"/>
              </w:rPr>
            </w:pPr>
            <w:r w:rsidRPr="00793402">
              <w:rPr>
                <w:b/>
                <w:bCs/>
                <w:color w:val="000000" w:themeColor="text1"/>
                <w:lang w:val="es-ES"/>
              </w:rPr>
              <w:t>Secretaría Departamental de Educación</w:t>
            </w:r>
            <w:r w:rsidRPr="00793402">
              <w:rPr>
                <w:rStyle w:val="Refdenotaalpie"/>
                <w:b/>
                <w:bCs/>
                <w:color w:val="000000" w:themeColor="text1"/>
                <w:lang w:val="es-ES"/>
              </w:rPr>
              <w:footnoteReference w:id="53"/>
            </w:r>
            <w:r w:rsidRPr="00793402">
              <w:rPr>
                <w:b/>
                <w:bCs/>
                <w:color w:val="000000" w:themeColor="text1"/>
                <w:lang w:val="es-ES"/>
              </w:rPr>
              <w:t xml:space="preserve"> </w:t>
            </w:r>
          </w:p>
        </w:tc>
        <w:tc>
          <w:tcPr>
            <w:tcW w:w="6662" w:type="dxa"/>
          </w:tcPr>
          <w:p w14:paraId="0684B8B8" w14:textId="6ACFF1FC" w:rsidR="000C5EA9" w:rsidRPr="00793402" w:rsidRDefault="000C5EA9" w:rsidP="00C64EB3">
            <w:pPr>
              <w:pBdr>
                <w:top w:val="nil"/>
                <w:left w:val="nil"/>
                <w:bottom w:val="nil"/>
                <w:right w:val="nil"/>
                <w:between w:val="nil"/>
              </w:pBdr>
              <w:ind w:right="40"/>
              <w:rPr>
                <w:color w:val="000000" w:themeColor="text1"/>
                <w:lang w:val="es-ES_tradnl"/>
              </w:rPr>
            </w:pPr>
            <w:r w:rsidRPr="00793402">
              <w:rPr>
                <w:color w:val="000000" w:themeColor="text1"/>
                <w:lang w:val="es-CO"/>
              </w:rPr>
              <w:t xml:space="preserve">La entidad afirmó que la accionante contó con una sola vinculación laboral sin interrupciones y que el registro de sus cotizaciones a la seguridad social en pensión es el contenido en el </w:t>
            </w:r>
            <w:r w:rsidR="00BF1C2B" w:rsidRPr="00793402">
              <w:rPr>
                <w:color w:val="000000" w:themeColor="text1"/>
                <w:lang w:val="es-CO"/>
              </w:rPr>
              <w:t>c</w:t>
            </w:r>
            <w:r w:rsidRPr="00793402">
              <w:rPr>
                <w:color w:val="000000" w:themeColor="text1"/>
                <w:lang w:val="es-CO"/>
              </w:rPr>
              <w:t xml:space="preserve">ertificado de </w:t>
            </w:r>
            <w:r w:rsidR="00BF1C2B" w:rsidRPr="00793402">
              <w:rPr>
                <w:color w:val="000000" w:themeColor="text1"/>
                <w:lang w:val="es-CO"/>
              </w:rPr>
              <w:t>t</w:t>
            </w:r>
            <w:r w:rsidRPr="00793402">
              <w:rPr>
                <w:color w:val="000000" w:themeColor="text1"/>
                <w:lang w:val="es-CO"/>
              </w:rPr>
              <w:t xml:space="preserve">iempos de </w:t>
            </w:r>
            <w:r w:rsidR="00BF1C2B" w:rsidRPr="00793402">
              <w:rPr>
                <w:color w:val="000000" w:themeColor="text1"/>
                <w:lang w:val="es-CO"/>
              </w:rPr>
              <w:t>s</w:t>
            </w:r>
            <w:r w:rsidRPr="00793402">
              <w:rPr>
                <w:color w:val="000000" w:themeColor="text1"/>
                <w:lang w:val="es-CO"/>
              </w:rPr>
              <w:t>ervicios No. 3283</w:t>
            </w:r>
            <w:r w:rsidRPr="00793402">
              <w:rPr>
                <w:rStyle w:val="Refdenotaalpie"/>
                <w:color w:val="000000" w:themeColor="text1"/>
              </w:rPr>
              <w:footnoteReference w:id="54"/>
            </w:r>
            <w:r w:rsidRPr="00793402">
              <w:rPr>
                <w:color w:val="000000" w:themeColor="text1"/>
                <w:lang w:val="es-CO"/>
              </w:rPr>
              <w:t>. En aquel consta que la actora laboró por 23 años y 10 meses, entre el 13 de mayo de 1998 y el 14 de marzo de 2022.</w:t>
            </w:r>
          </w:p>
        </w:tc>
      </w:tr>
      <w:tr w:rsidR="00EF05A8" w:rsidRPr="00793402" w14:paraId="1EB5CEFC" w14:textId="77777777" w:rsidTr="00C64EB3">
        <w:tc>
          <w:tcPr>
            <w:tcW w:w="2405" w:type="dxa"/>
          </w:tcPr>
          <w:p w14:paraId="56B4CFBE" w14:textId="22B8E5DD" w:rsidR="000C5EA9" w:rsidRPr="00793402" w:rsidRDefault="000C5EA9" w:rsidP="00C64EB3">
            <w:pPr>
              <w:widowControl w:val="0"/>
              <w:rPr>
                <w:b/>
                <w:bCs/>
                <w:color w:val="000000" w:themeColor="text1"/>
                <w:lang w:val="es-ES"/>
              </w:rPr>
            </w:pPr>
            <w:r w:rsidRPr="00793402">
              <w:rPr>
                <w:b/>
                <w:bCs/>
                <w:color w:val="000000" w:themeColor="text1"/>
                <w:lang w:val="es-CO"/>
              </w:rPr>
              <w:t>Comisión Nacional del Servicio Civil</w:t>
            </w:r>
            <w:r w:rsidRPr="00793402">
              <w:rPr>
                <w:rStyle w:val="Refdenotaalpie"/>
                <w:b/>
                <w:bCs/>
                <w:color w:val="000000" w:themeColor="text1"/>
              </w:rPr>
              <w:footnoteReference w:id="55"/>
            </w:r>
          </w:p>
        </w:tc>
        <w:tc>
          <w:tcPr>
            <w:tcW w:w="6662" w:type="dxa"/>
          </w:tcPr>
          <w:p w14:paraId="71929046" w14:textId="1EE356CA" w:rsidR="000C5EA9" w:rsidRPr="00793402" w:rsidRDefault="000C5EA9" w:rsidP="000C5EA9">
            <w:pPr>
              <w:widowControl w:val="0"/>
              <w:tabs>
                <w:tab w:val="left" w:pos="284"/>
              </w:tabs>
              <w:rPr>
                <w:color w:val="000000" w:themeColor="text1"/>
                <w:lang w:val="es-CO"/>
              </w:rPr>
            </w:pPr>
            <w:r w:rsidRPr="00793402">
              <w:rPr>
                <w:color w:val="000000" w:themeColor="text1"/>
                <w:lang w:val="es-CO"/>
              </w:rPr>
              <w:t xml:space="preserve">Aportó los documentos relacionados con el concurso de méritos para </w:t>
            </w:r>
            <w:r w:rsidR="00BF1C2B" w:rsidRPr="00793402">
              <w:rPr>
                <w:color w:val="000000" w:themeColor="text1"/>
                <w:lang w:val="es-CO"/>
              </w:rPr>
              <w:t>proveer</w:t>
            </w:r>
            <w:r w:rsidRPr="00793402">
              <w:rPr>
                <w:color w:val="000000" w:themeColor="text1"/>
                <w:lang w:val="es-CO"/>
              </w:rPr>
              <w:t xml:space="preserve"> cuarenta y dos (42)</w:t>
            </w:r>
            <w:r w:rsidR="00BF1C2B" w:rsidRPr="00793402">
              <w:rPr>
                <w:color w:val="000000" w:themeColor="text1"/>
                <w:lang w:val="es-CO"/>
              </w:rPr>
              <w:t xml:space="preserve"> cargos</w:t>
            </w:r>
            <w:r w:rsidRPr="00793402">
              <w:rPr>
                <w:color w:val="000000" w:themeColor="text1"/>
                <w:lang w:val="es-CO"/>
              </w:rPr>
              <w:t xml:space="preserve"> de Auxiliar de Servicios Generales, código 470, Grado 2</w:t>
            </w:r>
            <w:r w:rsidRPr="00793402">
              <w:rPr>
                <w:rStyle w:val="Refdenotaalpie"/>
                <w:color w:val="000000" w:themeColor="text1"/>
              </w:rPr>
              <w:footnoteReference w:id="56"/>
            </w:r>
            <w:r w:rsidRPr="00793402">
              <w:rPr>
                <w:color w:val="000000" w:themeColor="text1"/>
                <w:lang w:val="es-CO"/>
              </w:rPr>
              <w:t xml:space="preserve"> dentro de la </w:t>
            </w:r>
            <w:r w:rsidR="00BF1C2B" w:rsidRPr="00793402">
              <w:rPr>
                <w:color w:val="000000" w:themeColor="text1"/>
                <w:lang w:val="es-CO"/>
              </w:rPr>
              <w:t xml:space="preserve">Gobernación de </w:t>
            </w:r>
            <w:r w:rsidR="00BF1C2B" w:rsidRPr="00793402">
              <w:rPr>
                <w:color w:val="000000" w:themeColor="text1"/>
                <w:lang w:val="es-CO"/>
              </w:rPr>
              <w:lastRenderedPageBreak/>
              <w:t>Putumayo</w:t>
            </w:r>
            <w:r w:rsidRPr="00793402">
              <w:rPr>
                <w:color w:val="000000" w:themeColor="text1"/>
                <w:lang w:val="es-CO"/>
              </w:rPr>
              <w:t>. Al respecto, informó que mediante el Acuerdo No. 20191000005986 del 14 de mayo de 2019 inició la convocatoria para proveer dichas vacantes, la cual finalizó el 17 de noviembre de 2022</w:t>
            </w:r>
            <w:r w:rsidR="00D72C7B" w:rsidRPr="00793402">
              <w:rPr>
                <w:color w:val="000000" w:themeColor="text1"/>
                <w:lang w:val="es-CO"/>
              </w:rPr>
              <w:t>,</w:t>
            </w:r>
            <w:r w:rsidRPr="00793402">
              <w:rPr>
                <w:color w:val="000000" w:themeColor="text1"/>
                <w:lang w:val="es-CO"/>
              </w:rPr>
              <w:t xml:space="preserve"> con la conformación de las listas de elegibles para </w:t>
            </w:r>
            <w:r w:rsidR="00BF1C2B" w:rsidRPr="00793402">
              <w:rPr>
                <w:color w:val="000000" w:themeColor="text1"/>
                <w:lang w:val="es-CO"/>
              </w:rPr>
              <w:t>ocupar</w:t>
            </w:r>
            <w:r w:rsidRPr="00793402">
              <w:rPr>
                <w:color w:val="000000" w:themeColor="text1"/>
                <w:lang w:val="es-CO"/>
              </w:rPr>
              <w:t xml:space="preserve"> esos cargos. De otro lado, expresó que las entidades no deben identificar la condición de </w:t>
            </w:r>
            <w:proofErr w:type="spellStart"/>
            <w:r w:rsidRPr="00793402">
              <w:rPr>
                <w:color w:val="000000" w:themeColor="text1"/>
                <w:lang w:val="es-CO"/>
              </w:rPr>
              <w:t>prepensionado</w:t>
            </w:r>
            <w:proofErr w:type="spellEnd"/>
            <w:r w:rsidRPr="00793402">
              <w:rPr>
                <w:color w:val="000000" w:themeColor="text1"/>
                <w:lang w:val="es-CO"/>
              </w:rPr>
              <w:t xml:space="preserve"> de las personas que ocupan las vacantes que será</w:t>
            </w:r>
            <w:r w:rsidR="00781AAD" w:rsidRPr="00793402">
              <w:rPr>
                <w:color w:val="000000" w:themeColor="text1"/>
                <w:lang w:val="es-CO"/>
              </w:rPr>
              <w:t>n</w:t>
            </w:r>
            <w:r w:rsidRPr="00793402">
              <w:rPr>
                <w:color w:val="000000" w:themeColor="text1"/>
                <w:lang w:val="es-CO"/>
              </w:rPr>
              <w:t xml:space="preserve"> ofertadas a través del concurso. Sin embargo, el Concepto Marco No. 9 del 2018 estableció los lineamientos para la provisión de cargos con listas de elegibles y la protección de las personas en situación de discapacidad, madres y padres cabeza de familia y </w:t>
            </w:r>
            <w:proofErr w:type="spellStart"/>
            <w:r w:rsidRPr="00793402">
              <w:rPr>
                <w:color w:val="000000" w:themeColor="text1"/>
                <w:lang w:val="es-CO"/>
              </w:rPr>
              <w:t>pr</w:t>
            </w:r>
            <w:r w:rsidR="00D634E9" w:rsidRPr="00793402">
              <w:rPr>
                <w:color w:val="000000" w:themeColor="text1"/>
                <w:lang w:val="es-CO"/>
              </w:rPr>
              <w:t>e</w:t>
            </w:r>
            <w:r w:rsidRPr="00793402">
              <w:rPr>
                <w:color w:val="000000" w:themeColor="text1"/>
                <w:lang w:val="es-CO"/>
              </w:rPr>
              <w:t>pensionados</w:t>
            </w:r>
            <w:proofErr w:type="spellEnd"/>
            <w:r w:rsidRPr="00793402">
              <w:rPr>
                <w:color w:val="000000" w:themeColor="text1"/>
                <w:lang w:val="es-CO"/>
              </w:rPr>
              <w:t>.</w:t>
            </w:r>
          </w:p>
        </w:tc>
      </w:tr>
      <w:tr w:rsidR="000C5EA9" w:rsidRPr="00793402" w14:paraId="0858D2CE" w14:textId="77777777" w:rsidTr="00C64EB3">
        <w:tc>
          <w:tcPr>
            <w:tcW w:w="2405" w:type="dxa"/>
          </w:tcPr>
          <w:p w14:paraId="0237ECFA" w14:textId="2DA2C520" w:rsidR="000C5EA9" w:rsidRPr="00793402" w:rsidRDefault="00940AF8" w:rsidP="000C5EA9">
            <w:pPr>
              <w:widowControl w:val="0"/>
              <w:rPr>
                <w:b/>
                <w:bCs/>
                <w:color w:val="000000" w:themeColor="text1"/>
                <w:lang w:val="es-ES"/>
              </w:rPr>
            </w:pPr>
            <w:r w:rsidRPr="00793402">
              <w:rPr>
                <w:b/>
                <w:bCs/>
                <w:color w:val="000000" w:themeColor="text1"/>
                <w:lang w:val="es-ES"/>
              </w:rPr>
              <w:lastRenderedPageBreak/>
              <w:t>C</w:t>
            </w:r>
            <w:r w:rsidR="00BF1C2B" w:rsidRPr="00793402">
              <w:rPr>
                <w:b/>
                <w:bCs/>
                <w:color w:val="000000" w:themeColor="text1"/>
                <w:lang w:val="es-ES"/>
              </w:rPr>
              <w:t>OLPENSIONES</w:t>
            </w:r>
            <w:r w:rsidR="000C5EA9" w:rsidRPr="00793402">
              <w:rPr>
                <w:b/>
                <w:bCs/>
                <w:i/>
                <w:iCs/>
                <w:color w:val="000000" w:themeColor="text1"/>
              </w:rPr>
              <w:t xml:space="preserve"> </w:t>
            </w:r>
            <w:r w:rsidR="000C5EA9" w:rsidRPr="00793402">
              <w:rPr>
                <w:rStyle w:val="Refdenotaalpie"/>
                <w:b/>
                <w:bCs/>
                <w:color w:val="000000" w:themeColor="text1"/>
              </w:rPr>
              <w:footnoteReference w:id="57"/>
            </w:r>
          </w:p>
        </w:tc>
        <w:tc>
          <w:tcPr>
            <w:tcW w:w="6662" w:type="dxa"/>
          </w:tcPr>
          <w:p w14:paraId="090EF061" w14:textId="7FEF6DCA" w:rsidR="000C5EA9" w:rsidRPr="00793402" w:rsidRDefault="000C5EA9" w:rsidP="000C5EA9">
            <w:pPr>
              <w:pBdr>
                <w:top w:val="nil"/>
                <w:left w:val="nil"/>
                <w:bottom w:val="nil"/>
                <w:right w:val="nil"/>
                <w:between w:val="nil"/>
              </w:pBdr>
              <w:ind w:right="40"/>
              <w:rPr>
                <w:color w:val="000000" w:themeColor="text1"/>
                <w:lang w:val="es-CO"/>
              </w:rPr>
            </w:pPr>
            <w:r w:rsidRPr="00793402">
              <w:rPr>
                <w:color w:val="000000" w:themeColor="text1"/>
                <w:lang w:val="es-ES"/>
              </w:rPr>
              <w:t>I</w:t>
            </w:r>
            <w:proofErr w:type="spellStart"/>
            <w:r w:rsidRPr="00793402">
              <w:rPr>
                <w:color w:val="000000" w:themeColor="text1"/>
                <w:lang w:val="es-CO"/>
              </w:rPr>
              <w:t>nformó</w:t>
            </w:r>
            <w:proofErr w:type="spellEnd"/>
            <w:r w:rsidRPr="00793402">
              <w:rPr>
                <w:color w:val="000000" w:themeColor="text1"/>
                <w:lang w:val="es-CO"/>
              </w:rPr>
              <w:t xml:space="preserve"> sobre las gestiones que realizó ante la UGPP</w:t>
            </w:r>
            <w:r w:rsidRPr="00793402">
              <w:rPr>
                <w:rStyle w:val="Refdenotaalpie"/>
                <w:color w:val="000000" w:themeColor="text1"/>
              </w:rPr>
              <w:footnoteReference w:id="58"/>
            </w:r>
            <w:r w:rsidRPr="00793402">
              <w:rPr>
                <w:color w:val="000000" w:themeColor="text1"/>
                <w:lang w:val="es-CO"/>
              </w:rPr>
              <w:t xml:space="preserve"> y la SED para regularizar el historial laboral de la accionante. Al respecto, indicó que</w:t>
            </w:r>
            <w:r w:rsidR="007204B2" w:rsidRPr="00793402">
              <w:rPr>
                <w:color w:val="000000" w:themeColor="text1"/>
                <w:lang w:val="es-CO"/>
              </w:rPr>
              <w:t>,</w:t>
            </w:r>
            <w:r w:rsidRPr="00793402">
              <w:rPr>
                <w:color w:val="000000" w:themeColor="text1"/>
                <w:lang w:val="es-CO"/>
              </w:rPr>
              <w:t xml:space="preserve"> de acuerdo con la CETIL, entre mayo de 1998 y junio de 2009, los aportes pensionales fueron cotizados a C</w:t>
            </w:r>
            <w:r w:rsidR="00BF1C2B" w:rsidRPr="00793402">
              <w:rPr>
                <w:color w:val="000000" w:themeColor="text1"/>
                <w:lang w:val="es-CO"/>
              </w:rPr>
              <w:t>AJANAL</w:t>
            </w:r>
            <w:r w:rsidRPr="00793402">
              <w:rPr>
                <w:color w:val="000000" w:themeColor="text1"/>
                <w:lang w:val="es-CO"/>
              </w:rPr>
              <w:t xml:space="preserve"> (hoy UGPP). A través de la Resolución RDP 001693 del 26 de enero de 2022, </w:t>
            </w:r>
            <w:r w:rsidR="00FD7710" w:rsidRPr="00793402">
              <w:rPr>
                <w:color w:val="000000" w:themeColor="text1"/>
                <w:lang w:val="es-CO"/>
              </w:rPr>
              <w:t>la UGPP</w:t>
            </w:r>
            <w:r w:rsidRPr="00793402">
              <w:rPr>
                <w:color w:val="000000" w:themeColor="text1"/>
                <w:lang w:val="es-CO"/>
              </w:rPr>
              <w:t xml:space="preserve"> autorizó el traslado de tales aportes. Sin embargo, </w:t>
            </w:r>
            <w:r w:rsidR="00940AF8" w:rsidRPr="00793402">
              <w:rPr>
                <w:color w:val="000000" w:themeColor="text1"/>
                <w:lang w:val="es-CO"/>
              </w:rPr>
              <w:t>C</w:t>
            </w:r>
            <w:r w:rsidR="00BF1C2B" w:rsidRPr="00793402">
              <w:rPr>
                <w:color w:val="000000" w:themeColor="text1"/>
                <w:lang w:val="es-CO"/>
              </w:rPr>
              <w:t>OLPENSIONES</w:t>
            </w:r>
            <w:r w:rsidRPr="00793402">
              <w:rPr>
                <w:color w:val="000000" w:themeColor="text1"/>
                <w:lang w:val="es-CO"/>
              </w:rPr>
              <w:t xml:space="preserve"> también encontró en sus registros</w:t>
            </w:r>
            <w:r w:rsidR="00D72C7B" w:rsidRPr="00793402">
              <w:rPr>
                <w:color w:val="000000" w:themeColor="text1"/>
                <w:lang w:val="es-CO"/>
              </w:rPr>
              <w:t>,</w:t>
            </w:r>
            <w:r w:rsidRPr="00793402">
              <w:rPr>
                <w:color w:val="000000" w:themeColor="text1"/>
                <w:lang w:val="es-CO"/>
              </w:rPr>
              <w:t xml:space="preserve"> aportes cotizados entre octubre de 2002 y marzo de 2022, lo que significa que la SED certificó aportes por los mismos periodos de cotización en dos administradoras de pensiones diferentes. Por tal situación, concluyó que la información reportada en la CETIL presenta inconsistencias. A partir de lo expuesto, consideró que la SED debe corregir y aclarar dicha situación para proceder a validar los soportes de las cotizaciones que traslade la UGPP para normalizar el historial laboral de la actora</w:t>
            </w:r>
            <w:r w:rsidRPr="00793402">
              <w:rPr>
                <w:rStyle w:val="Refdenotaalpie"/>
                <w:color w:val="000000" w:themeColor="text1"/>
              </w:rPr>
              <w:footnoteReference w:id="59"/>
            </w:r>
            <w:r w:rsidRPr="00793402">
              <w:rPr>
                <w:color w:val="000000" w:themeColor="text1"/>
                <w:lang w:val="es-CO"/>
              </w:rPr>
              <w:t xml:space="preserve">. </w:t>
            </w:r>
            <w:r w:rsidR="007204B2" w:rsidRPr="00793402">
              <w:rPr>
                <w:color w:val="000000" w:themeColor="text1"/>
                <w:lang w:val="es-CO"/>
              </w:rPr>
              <w:t xml:space="preserve">Sin embargo, no lo ha hecho. </w:t>
            </w:r>
            <w:r w:rsidRPr="00793402">
              <w:rPr>
                <w:color w:val="000000" w:themeColor="text1"/>
                <w:lang w:val="es-CO"/>
              </w:rPr>
              <w:t xml:space="preserve">A pesar de ello aportó </w:t>
            </w:r>
            <w:r w:rsidR="007204B2" w:rsidRPr="00793402">
              <w:rPr>
                <w:color w:val="000000" w:themeColor="text1"/>
                <w:lang w:val="es-CO"/>
              </w:rPr>
              <w:t xml:space="preserve">la </w:t>
            </w:r>
            <w:r w:rsidRPr="00793402">
              <w:rPr>
                <w:color w:val="000000" w:themeColor="text1"/>
                <w:lang w:val="es-CO"/>
              </w:rPr>
              <w:t>historial laboral del 26 de enero de 2022, en el que se acreditaron las siguientes cotizaciones:</w:t>
            </w:r>
          </w:p>
          <w:tbl>
            <w:tblPr>
              <w:tblStyle w:val="Tablaconcuadrcula"/>
              <w:tblW w:w="6662" w:type="dxa"/>
              <w:jc w:val="center"/>
              <w:tblLayout w:type="fixed"/>
              <w:tblLook w:val="04A0" w:firstRow="1" w:lastRow="0" w:firstColumn="1" w:lastColumn="0" w:noHBand="0" w:noVBand="1"/>
            </w:tblPr>
            <w:tblGrid>
              <w:gridCol w:w="2977"/>
              <w:gridCol w:w="2551"/>
              <w:gridCol w:w="1134"/>
            </w:tblGrid>
            <w:tr w:rsidR="00EF05A8" w:rsidRPr="00793402" w14:paraId="0EF19FF7" w14:textId="77777777" w:rsidTr="000C5EA9">
              <w:trPr>
                <w:jc w:val="center"/>
              </w:trPr>
              <w:tc>
                <w:tcPr>
                  <w:tcW w:w="2977" w:type="dxa"/>
                </w:tcPr>
                <w:p w14:paraId="7E40B659" w14:textId="77777777" w:rsidR="000C5EA9" w:rsidRPr="00793402" w:rsidRDefault="000C5EA9" w:rsidP="000C5EA9">
                  <w:pPr>
                    <w:ind w:right="40"/>
                    <w:jc w:val="center"/>
                    <w:rPr>
                      <w:b/>
                      <w:bCs/>
                      <w:color w:val="000000" w:themeColor="text1"/>
                      <w:sz w:val="22"/>
                      <w:szCs w:val="22"/>
                      <w:lang w:val="es-ES_tradnl"/>
                    </w:rPr>
                  </w:pPr>
                  <w:r w:rsidRPr="00793402">
                    <w:rPr>
                      <w:b/>
                      <w:bCs/>
                      <w:color w:val="000000" w:themeColor="text1"/>
                      <w:sz w:val="22"/>
                      <w:szCs w:val="22"/>
                      <w:lang w:val="es-ES_tradnl"/>
                    </w:rPr>
                    <w:t>Empleador</w:t>
                  </w:r>
                </w:p>
              </w:tc>
              <w:tc>
                <w:tcPr>
                  <w:tcW w:w="2551" w:type="dxa"/>
                </w:tcPr>
                <w:p w14:paraId="13A07C68" w14:textId="336A24AA" w:rsidR="000C5EA9" w:rsidRPr="00793402" w:rsidRDefault="000C5EA9" w:rsidP="000C5EA9">
                  <w:pPr>
                    <w:ind w:right="40"/>
                    <w:jc w:val="center"/>
                    <w:rPr>
                      <w:b/>
                      <w:bCs/>
                      <w:color w:val="000000" w:themeColor="text1"/>
                      <w:sz w:val="22"/>
                      <w:szCs w:val="22"/>
                      <w:lang w:val="es-ES_tradnl"/>
                    </w:rPr>
                  </w:pPr>
                  <w:r w:rsidRPr="00793402">
                    <w:rPr>
                      <w:b/>
                      <w:bCs/>
                      <w:color w:val="000000" w:themeColor="text1"/>
                      <w:sz w:val="22"/>
                      <w:szCs w:val="22"/>
                      <w:lang w:val="es-ES_tradnl"/>
                    </w:rPr>
                    <w:t xml:space="preserve">Periodos </w:t>
                  </w:r>
                  <w:r w:rsidR="007204B2" w:rsidRPr="00793402">
                    <w:rPr>
                      <w:b/>
                      <w:bCs/>
                      <w:color w:val="000000" w:themeColor="text1"/>
                      <w:sz w:val="22"/>
                      <w:szCs w:val="22"/>
                      <w:lang w:val="es-ES_tradnl"/>
                    </w:rPr>
                    <w:t>l</w:t>
                  </w:r>
                  <w:r w:rsidRPr="00793402">
                    <w:rPr>
                      <w:b/>
                      <w:bCs/>
                      <w:color w:val="000000" w:themeColor="text1"/>
                      <w:sz w:val="22"/>
                      <w:szCs w:val="22"/>
                      <w:lang w:val="es-ES_tradnl"/>
                    </w:rPr>
                    <w:t>aborados</w:t>
                  </w:r>
                </w:p>
              </w:tc>
              <w:tc>
                <w:tcPr>
                  <w:tcW w:w="1134" w:type="dxa"/>
                </w:tcPr>
                <w:p w14:paraId="0ED14FDE" w14:textId="77777777" w:rsidR="000C5EA9" w:rsidRPr="00793402" w:rsidRDefault="000C5EA9" w:rsidP="000C5EA9">
                  <w:pPr>
                    <w:ind w:right="40"/>
                    <w:jc w:val="center"/>
                    <w:rPr>
                      <w:b/>
                      <w:bCs/>
                      <w:color w:val="000000" w:themeColor="text1"/>
                      <w:sz w:val="22"/>
                      <w:szCs w:val="22"/>
                      <w:lang w:val="es-ES_tradnl"/>
                    </w:rPr>
                  </w:pPr>
                  <w:r w:rsidRPr="00793402">
                    <w:rPr>
                      <w:b/>
                      <w:bCs/>
                      <w:color w:val="000000" w:themeColor="text1"/>
                      <w:sz w:val="22"/>
                      <w:szCs w:val="22"/>
                      <w:lang w:val="es-ES_tradnl"/>
                    </w:rPr>
                    <w:t>Semanas</w:t>
                  </w:r>
                </w:p>
              </w:tc>
            </w:tr>
            <w:tr w:rsidR="00EF05A8" w:rsidRPr="00793402" w14:paraId="27DD89D8" w14:textId="77777777" w:rsidTr="000C5EA9">
              <w:trPr>
                <w:jc w:val="center"/>
              </w:trPr>
              <w:tc>
                <w:tcPr>
                  <w:tcW w:w="2977" w:type="dxa"/>
                </w:tcPr>
                <w:p w14:paraId="66926F90" w14:textId="77777777" w:rsidR="000C5EA9" w:rsidRPr="00793402" w:rsidRDefault="000C5EA9" w:rsidP="000C5EA9">
                  <w:pPr>
                    <w:ind w:right="40"/>
                    <w:rPr>
                      <w:color w:val="000000" w:themeColor="text1"/>
                      <w:sz w:val="22"/>
                      <w:szCs w:val="22"/>
                    </w:rPr>
                  </w:pPr>
                  <w:proofErr w:type="spellStart"/>
                  <w:r w:rsidRPr="00793402">
                    <w:rPr>
                      <w:color w:val="000000" w:themeColor="text1"/>
                      <w:sz w:val="22"/>
                      <w:szCs w:val="22"/>
                    </w:rPr>
                    <w:t>Industrias</w:t>
                  </w:r>
                  <w:proofErr w:type="spellEnd"/>
                  <w:r w:rsidRPr="00793402">
                    <w:rPr>
                      <w:color w:val="000000" w:themeColor="text1"/>
                      <w:sz w:val="22"/>
                      <w:szCs w:val="22"/>
                    </w:rPr>
                    <w:t xml:space="preserve"> Cato S.A.</w:t>
                  </w:r>
                </w:p>
              </w:tc>
              <w:tc>
                <w:tcPr>
                  <w:tcW w:w="2551" w:type="dxa"/>
                </w:tcPr>
                <w:p w14:paraId="1ACEE74B" w14:textId="77777777" w:rsidR="000C5EA9" w:rsidRPr="00793402" w:rsidRDefault="000C5EA9" w:rsidP="000C5EA9">
                  <w:pPr>
                    <w:ind w:right="40"/>
                    <w:rPr>
                      <w:color w:val="000000" w:themeColor="text1"/>
                      <w:sz w:val="22"/>
                      <w:szCs w:val="22"/>
                    </w:rPr>
                  </w:pPr>
                  <w:r w:rsidRPr="00793402">
                    <w:rPr>
                      <w:color w:val="000000" w:themeColor="text1"/>
                      <w:sz w:val="22"/>
                      <w:szCs w:val="22"/>
                    </w:rPr>
                    <w:t>27/07/1981 - 25/09/1981</w:t>
                  </w:r>
                </w:p>
              </w:tc>
              <w:tc>
                <w:tcPr>
                  <w:tcW w:w="1134" w:type="dxa"/>
                </w:tcPr>
                <w:p w14:paraId="0E8BE504" w14:textId="77777777" w:rsidR="000C5EA9" w:rsidRPr="00793402" w:rsidRDefault="000C5EA9" w:rsidP="000C5EA9">
                  <w:pPr>
                    <w:ind w:right="40"/>
                    <w:rPr>
                      <w:color w:val="000000" w:themeColor="text1"/>
                      <w:sz w:val="22"/>
                      <w:szCs w:val="22"/>
                    </w:rPr>
                  </w:pPr>
                  <w:r w:rsidRPr="00793402">
                    <w:rPr>
                      <w:color w:val="000000" w:themeColor="text1"/>
                      <w:sz w:val="22"/>
                      <w:szCs w:val="22"/>
                    </w:rPr>
                    <w:t>8,71</w:t>
                  </w:r>
                </w:p>
              </w:tc>
            </w:tr>
            <w:tr w:rsidR="00EF05A8" w:rsidRPr="00793402" w14:paraId="6C78A3AC" w14:textId="77777777" w:rsidTr="000C5EA9">
              <w:trPr>
                <w:jc w:val="center"/>
              </w:trPr>
              <w:tc>
                <w:tcPr>
                  <w:tcW w:w="2977" w:type="dxa"/>
                </w:tcPr>
                <w:p w14:paraId="78FDF091" w14:textId="77777777" w:rsidR="000C5EA9" w:rsidRPr="00793402" w:rsidRDefault="000C5EA9" w:rsidP="000C5EA9">
                  <w:pPr>
                    <w:ind w:right="40"/>
                    <w:rPr>
                      <w:color w:val="000000" w:themeColor="text1"/>
                      <w:sz w:val="22"/>
                      <w:szCs w:val="22"/>
                    </w:rPr>
                  </w:pPr>
                  <w:proofErr w:type="spellStart"/>
                  <w:r w:rsidRPr="00793402">
                    <w:rPr>
                      <w:color w:val="000000" w:themeColor="text1"/>
                      <w:sz w:val="22"/>
                      <w:szCs w:val="22"/>
                    </w:rPr>
                    <w:t>Industrias</w:t>
                  </w:r>
                  <w:proofErr w:type="spellEnd"/>
                  <w:r w:rsidRPr="00793402">
                    <w:rPr>
                      <w:color w:val="000000" w:themeColor="text1"/>
                      <w:sz w:val="22"/>
                      <w:szCs w:val="22"/>
                    </w:rPr>
                    <w:t xml:space="preserve"> Cato S.A.</w:t>
                  </w:r>
                </w:p>
              </w:tc>
              <w:tc>
                <w:tcPr>
                  <w:tcW w:w="2551" w:type="dxa"/>
                </w:tcPr>
                <w:p w14:paraId="4102E75B" w14:textId="77777777" w:rsidR="000C5EA9" w:rsidRPr="00793402" w:rsidRDefault="000C5EA9" w:rsidP="000C5EA9">
                  <w:pPr>
                    <w:ind w:right="40"/>
                    <w:rPr>
                      <w:color w:val="000000" w:themeColor="text1"/>
                      <w:sz w:val="22"/>
                      <w:szCs w:val="22"/>
                    </w:rPr>
                  </w:pPr>
                  <w:r w:rsidRPr="00793402">
                    <w:rPr>
                      <w:color w:val="000000" w:themeColor="text1"/>
                      <w:sz w:val="22"/>
                      <w:szCs w:val="22"/>
                    </w:rPr>
                    <w:t xml:space="preserve">26/04/1982 – 26/08/1982 </w:t>
                  </w:r>
                </w:p>
              </w:tc>
              <w:tc>
                <w:tcPr>
                  <w:tcW w:w="1134" w:type="dxa"/>
                </w:tcPr>
                <w:p w14:paraId="2772717E" w14:textId="77777777" w:rsidR="000C5EA9" w:rsidRPr="00793402" w:rsidRDefault="000C5EA9" w:rsidP="000C5EA9">
                  <w:pPr>
                    <w:ind w:right="40"/>
                    <w:rPr>
                      <w:color w:val="000000" w:themeColor="text1"/>
                      <w:sz w:val="22"/>
                      <w:szCs w:val="22"/>
                    </w:rPr>
                  </w:pPr>
                  <w:r w:rsidRPr="00793402">
                    <w:rPr>
                      <w:color w:val="000000" w:themeColor="text1"/>
                      <w:sz w:val="22"/>
                      <w:szCs w:val="22"/>
                    </w:rPr>
                    <w:t>17,57</w:t>
                  </w:r>
                </w:p>
              </w:tc>
            </w:tr>
            <w:tr w:rsidR="00EF05A8" w:rsidRPr="00793402" w14:paraId="0C51CAB9" w14:textId="77777777" w:rsidTr="000C5EA9">
              <w:trPr>
                <w:jc w:val="center"/>
              </w:trPr>
              <w:tc>
                <w:tcPr>
                  <w:tcW w:w="2977" w:type="dxa"/>
                </w:tcPr>
                <w:p w14:paraId="6B2BE076" w14:textId="222E2921" w:rsidR="000C5EA9" w:rsidRPr="00793402" w:rsidRDefault="000C5EA9" w:rsidP="000C5EA9">
                  <w:pPr>
                    <w:ind w:right="40"/>
                    <w:rPr>
                      <w:color w:val="000000" w:themeColor="text1"/>
                      <w:sz w:val="22"/>
                      <w:szCs w:val="22"/>
                      <w:lang w:val="es-CO"/>
                    </w:rPr>
                  </w:pPr>
                  <w:r w:rsidRPr="00793402">
                    <w:rPr>
                      <w:color w:val="000000" w:themeColor="text1"/>
                      <w:sz w:val="22"/>
                      <w:szCs w:val="22"/>
                      <w:lang w:val="es-CO"/>
                    </w:rPr>
                    <w:t>Servicios y asesorías del Valle</w:t>
                  </w:r>
                </w:p>
              </w:tc>
              <w:tc>
                <w:tcPr>
                  <w:tcW w:w="2551" w:type="dxa"/>
                </w:tcPr>
                <w:p w14:paraId="0D4F0D20" w14:textId="77777777" w:rsidR="000C5EA9" w:rsidRPr="00793402" w:rsidRDefault="000C5EA9" w:rsidP="000C5EA9">
                  <w:pPr>
                    <w:ind w:right="40"/>
                    <w:rPr>
                      <w:color w:val="000000" w:themeColor="text1"/>
                      <w:sz w:val="22"/>
                      <w:szCs w:val="22"/>
                    </w:rPr>
                  </w:pPr>
                  <w:r w:rsidRPr="00793402">
                    <w:rPr>
                      <w:color w:val="000000" w:themeColor="text1"/>
                      <w:sz w:val="22"/>
                      <w:szCs w:val="22"/>
                      <w:lang w:val="es-CO"/>
                    </w:rPr>
                    <w:t>01/12/1982 – 02/05/1983</w:t>
                  </w:r>
                </w:p>
              </w:tc>
              <w:tc>
                <w:tcPr>
                  <w:tcW w:w="1134" w:type="dxa"/>
                </w:tcPr>
                <w:p w14:paraId="2CB73AA6" w14:textId="77777777" w:rsidR="000C5EA9" w:rsidRPr="00793402" w:rsidRDefault="000C5EA9" w:rsidP="000C5EA9">
                  <w:pPr>
                    <w:ind w:right="40"/>
                    <w:rPr>
                      <w:color w:val="000000" w:themeColor="text1"/>
                      <w:sz w:val="22"/>
                      <w:szCs w:val="22"/>
                      <w:lang w:val="es-CO"/>
                    </w:rPr>
                  </w:pPr>
                  <w:r w:rsidRPr="00793402">
                    <w:rPr>
                      <w:color w:val="000000" w:themeColor="text1"/>
                      <w:sz w:val="22"/>
                      <w:szCs w:val="22"/>
                      <w:lang w:val="es-CO"/>
                    </w:rPr>
                    <w:t>21,86</w:t>
                  </w:r>
                </w:p>
              </w:tc>
            </w:tr>
            <w:tr w:rsidR="00EF05A8" w:rsidRPr="00793402" w14:paraId="296EDFE5" w14:textId="77777777" w:rsidTr="000C5EA9">
              <w:trPr>
                <w:jc w:val="center"/>
              </w:trPr>
              <w:tc>
                <w:tcPr>
                  <w:tcW w:w="2977" w:type="dxa"/>
                </w:tcPr>
                <w:p w14:paraId="38DADB92" w14:textId="11354125" w:rsidR="000C5EA9" w:rsidRPr="00793402" w:rsidRDefault="000C5EA9" w:rsidP="000C5EA9">
                  <w:pPr>
                    <w:ind w:right="40"/>
                    <w:rPr>
                      <w:color w:val="000000" w:themeColor="text1"/>
                      <w:sz w:val="22"/>
                      <w:szCs w:val="22"/>
                      <w:lang w:val="es-CO"/>
                    </w:rPr>
                  </w:pPr>
                  <w:r w:rsidRPr="00793402">
                    <w:rPr>
                      <w:color w:val="000000" w:themeColor="text1"/>
                      <w:sz w:val="22"/>
                      <w:szCs w:val="22"/>
                      <w:lang w:val="es-CO"/>
                    </w:rPr>
                    <w:t>Servicios y asesorías del Valle</w:t>
                  </w:r>
                </w:p>
              </w:tc>
              <w:tc>
                <w:tcPr>
                  <w:tcW w:w="2551" w:type="dxa"/>
                </w:tcPr>
                <w:p w14:paraId="3F264B01" w14:textId="77777777" w:rsidR="000C5EA9" w:rsidRPr="00793402" w:rsidRDefault="000C5EA9" w:rsidP="000C5EA9">
                  <w:pPr>
                    <w:ind w:right="40"/>
                    <w:rPr>
                      <w:color w:val="000000" w:themeColor="text1"/>
                      <w:sz w:val="22"/>
                      <w:szCs w:val="22"/>
                    </w:rPr>
                  </w:pPr>
                  <w:r w:rsidRPr="00793402">
                    <w:rPr>
                      <w:color w:val="000000" w:themeColor="text1"/>
                      <w:sz w:val="22"/>
                      <w:szCs w:val="22"/>
                      <w:lang w:val="es-CO"/>
                    </w:rPr>
                    <w:t>22/08/1983 – 01/09/1984</w:t>
                  </w:r>
                </w:p>
              </w:tc>
              <w:tc>
                <w:tcPr>
                  <w:tcW w:w="1134" w:type="dxa"/>
                </w:tcPr>
                <w:p w14:paraId="3B182C79" w14:textId="77777777" w:rsidR="000C5EA9" w:rsidRPr="00793402" w:rsidRDefault="000C5EA9" w:rsidP="000C5EA9">
                  <w:pPr>
                    <w:ind w:right="40"/>
                    <w:rPr>
                      <w:color w:val="000000" w:themeColor="text1"/>
                      <w:sz w:val="22"/>
                      <w:szCs w:val="22"/>
                      <w:lang w:val="es-CO"/>
                    </w:rPr>
                  </w:pPr>
                  <w:r w:rsidRPr="00793402">
                    <w:rPr>
                      <w:color w:val="000000" w:themeColor="text1"/>
                      <w:sz w:val="22"/>
                      <w:szCs w:val="22"/>
                      <w:lang w:val="es-CO"/>
                    </w:rPr>
                    <w:t>46</w:t>
                  </w:r>
                </w:p>
              </w:tc>
            </w:tr>
            <w:tr w:rsidR="00EF05A8" w:rsidRPr="00793402" w14:paraId="56B35189" w14:textId="77777777" w:rsidTr="000C5EA9">
              <w:trPr>
                <w:jc w:val="center"/>
              </w:trPr>
              <w:tc>
                <w:tcPr>
                  <w:tcW w:w="2977" w:type="dxa"/>
                </w:tcPr>
                <w:p w14:paraId="1D90280A" w14:textId="3B12EC57" w:rsidR="000C5EA9" w:rsidRPr="00793402" w:rsidRDefault="000C5EA9" w:rsidP="000C5EA9">
                  <w:pPr>
                    <w:ind w:right="40"/>
                    <w:rPr>
                      <w:color w:val="000000" w:themeColor="text1"/>
                      <w:sz w:val="22"/>
                      <w:szCs w:val="22"/>
                      <w:lang w:val="es-CO"/>
                    </w:rPr>
                  </w:pPr>
                  <w:r w:rsidRPr="00793402">
                    <w:rPr>
                      <w:color w:val="000000" w:themeColor="text1"/>
                      <w:sz w:val="22"/>
                      <w:szCs w:val="22"/>
                      <w:lang w:val="es-CO"/>
                    </w:rPr>
                    <w:t>Secretaría de Educación Departamental de Putumayo</w:t>
                  </w:r>
                </w:p>
              </w:tc>
              <w:tc>
                <w:tcPr>
                  <w:tcW w:w="2551" w:type="dxa"/>
                </w:tcPr>
                <w:p w14:paraId="3E5CC4ED" w14:textId="77777777" w:rsidR="000C5EA9" w:rsidRPr="00793402" w:rsidRDefault="000C5EA9" w:rsidP="000C5EA9">
                  <w:pPr>
                    <w:ind w:right="40"/>
                    <w:rPr>
                      <w:color w:val="000000" w:themeColor="text1"/>
                      <w:sz w:val="22"/>
                      <w:szCs w:val="22"/>
                    </w:rPr>
                  </w:pPr>
                  <w:r w:rsidRPr="00793402">
                    <w:rPr>
                      <w:color w:val="000000" w:themeColor="text1"/>
                      <w:sz w:val="22"/>
                      <w:szCs w:val="22"/>
                      <w:lang w:val="es-CO"/>
                    </w:rPr>
                    <w:t>01/10/2002 – 31/03/2022</w:t>
                  </w:r>
                </w:p>
              </w:tc>
              <w:tc>
                <w:tcPr>
                  <w:tcW w:w="1134" w:type="dxa"/>
                </w:tcPr>
                <w:p w14:paraId="07FB81E8" w14:textId="77777777" w:rsidR="000C5EA9" w:rsidRPr="00793402" w:rsidRDefault="000C5EA9" w:rsidP="000C5EA9">
                  <w:pPr>
                    <w:ind w:right="40"/>
                    <w:rPr>
                      <w:color w:val="000000" w:themeColor="text1"/>
                      <w:sz w:val="22"/>
                      <w:szCs w:val="22"/>
                      <w:lang w:val="es-CO"/>
                    </w:rPr>
                  </w:pPr>
                  <w:r w:rsidRPr="00793402">
                    <w:rPr>
                      <w:color w:val="000000" w:themeColor="text1"/>
                      <w:sz w:val="22"/>
                      <w:szCs w:val="22"/>
                      <w:lang w:val="es-CO"/>
                    </w:rPr>
                    <w:t>987,55</w:t>
                  </w:r>
                </w:p>
              </w:tc>
            </w:tr>
            <w:tr w:rsidR="00EF05A8" w:rsidRPr="00793402" w14:paraId="07F9FAAD" w14:textId="77777777" w:rsidTr="000C5EA9">
              <w:trPr>
                <w:jc w:val="center"/>
              </w:trPr>
              <w:tc>
                <w:tcPr>
                  <w:tcW w:w="5528" w:type="dxa"/>
                  <w:gridSpan w:val="2"/>
                </w:tcPr>
                <w:p w14:paraId="384BCDB6" w14:textId="77777777" w:rsidR="000C5EA9" w:rsidRPr="00793402" w:rsidRDefault="000C5EA9" w:rsidP="000C5EA9">
                  <w:pPr>
                    <w:ind w:right="40"/>
                    <w:rPr>
                      <w:color w:val="000000" w:themeColor="text1"/>
                      <w:sz w:val="22"/>
                      <w:szCs w:val="22"/>
                    </w:rPr>
                  </w:pPr>
                  <w:r w:rsidRPr="00793402">
                    <w:rPr>
                      <w:color w:val="000000" w:themeColor="text1"/>
                      <w:sz w:val="22"/>
                      <w:szCs w:val="22"/>
                    </w:rPr>
                    <w:t>TOTAL</w:t>
                  </w:r>
                </w:p>
              </w:tc>
              <w:tc>
                <w:tcPr>
                  <w:tcW w:w="1134" w:type="dxa"/>
                </w:tcPr>
                <w:p w14:paraId="4F1F89E5" w14:textId="77777777" w:rsidR="000C5EA9" w:rsidRPr="00793402" w:rsidRDefault="000C5EA9" w:rsidP="000C5EA9">
                  <w:pPr>
                    <w:ind w:right="40"/>
                    <w:rPr>
                      <w:color w:val="000000" w:themeColor="text1"/>
                      <w:sz w:val="22"/>
                      <w:szCs w:val="22"/>
                    </w:rPr>
                  </w:pPr>
                  <w:r w:rsidRPr="00793402">
                    <w:rPr>
                      <w:color w:val="000000" w:themeColor="text1"/>
                      <w:sz w:val="22"/>
                      <w:szCs w:val="22"/>
                    </w:rPr>
                    <w:t>1.081,71</w:t>
                  </w:r>
                </w:p>
              </w:tc>
            </w:tr>
          </w:tbl>
          <w:p w14:paraId="368ADD4E" w14:textId="22DBBEC0" w:rsidR="000C5EA9" w:rsidRPr="00793402" w:rsidRDefault="000C5EA9" w:rsidP="000C5EA9">
            <w:pPr>
              <w:pBdr>
                <w:top w:val="nil"/>
                <w:left w:val="nil"/>
                <w:bottom w:val="nil"/>
                <w:right w:val="nil"/>
                <w:between w:val="nil"/>
              </w:pBdr>
              <w:ind w:right="40"/>
              <w:rPr>
                <w:color w:val="000000" w:themeColor="text1"/>
                <w:lang w:val="es-CO"/>
              </w:rPr>
            </w:pPr>
          </w:p>
        </w:tc>
      </w:tr>
    </w:tbl>
    <w:p w14:paraId="141317AE" w14:textId="77777777" w:rsidR="00E75DBE" w:rsidRPr="00793402" w:rsidRDefault="00E75DBE" w:rsidP="00E75DBE">
      <w:pPr>
        <w:pStyle w:val="Prrafodelista"/>
        <w:widowControl w:val="0"/>
        <w:tabs>
          <w:tab w:val="left" w:pos="284"/>
        </w:tabs>
        <w:ind w:left="0"/>
        <w:rPr>
          <w:b/>
          <w:bCs/>
          <w:color w:val="000000" w:themeColor="text1"/>
          <w:sz w:val="28"/>
          <w:szCs w:val="28"/>
          <w:lang w:val="es-ES"/>
        </w:rPr>
      </w:pPr>
    </w:p>
    <w:p w14:paraId="7C634DAB" w14:textId="3A7ACCE4" w:rsidR="00685BB4" w:rsidRPr="00793402" w:rsidRDefault="00685BB4" w:rsidP="00685BB4">
      <w:pPr>
        <w:pStyle w:val="Prrafodelista"/>
        <w:widowControl w:val="0"/>
        <w:numPr>
          <w:ilvl w:val="0"/>
          <w:numId w:val="25"/>
        </w:numPr>
        <w:tabs>
          <w:tab w:val="left" w:pos="284"/>
        </w:tabs>
        <w:ind w:left="0" w:firstLine="0"/>
        <w:rPr>
          <w:b/>
          <w:bCs/>
          <w:color w:val="000000" w:themeColor="text1"/>
          <w:sz w:val="28"/>
          <w:szCs w:val="28"/>
          <w:lang w:val="es-ES"/>
        </w:rPr>
      </w:pPr>
      <w:r w:rsidRPr="00793402">
        <w:rPr>
          <w:b/>
          <w:color w:val="000000" w:themeColor="text1"/>
          <w:sz w:val="28"/>
          <w:szCs w:val="28"/>
        </w:rPr>
        <w:t>CONSIDERACIONES</w:t>
      </w:r>
    </w:p>
    <w:p w14:paraId="08A7A0D2" w14:textId="77777777" w:rsidR="00685BB4" w:rsidRPr="00793402" w:rsidRDefault="00685BB4" w:rsidP="00685BB4">
      <w:pPr>
        <w:widowControl w:val="0"/>
        <w:rPr>
          <w:color w:val="000000" w:themeColor="text1"/>
          <w:sz w:val="28"/>
          <w:szCs w:val="28"/>
          <w:lang w:val="es-ES"/>
        </w:rPr>
      </w:pPr>
    </w:p>
    <w:p w14:paraId="21D149F8" w14:textId="77777777" w:rsidR="00685BB4" w:rsidRPr="00793402" w:rsidRDefault="00685BB4" w:rsidP="00685BB4">
      <w:pPr>
        <w:widowControl w:val="0"/>
        <w:rPr>
          <w:b/>
          <w:bCs/>
          <w:color w:val="000000" w:themeColor="text1"/>
          <w:sz w:val="28"/>
          <w:szCs w:val="28"/>
          <w:lang w:val="es-ES"/>
        </w:rPr>
      </w:pPr>
      <w:r w:rsidRPr="00793402">
        <w:rPr>
          <w:b/>
          <w:bCs/>
          <w:color w:val="000000" w:themeColor="text1"/>
          <w:sz w:val="28"/>
          <w:szCs w:val="28"/>
          <w:lang w:val="es-ES"/>
        </w:rPr>
        <w:t>Competencia</w:t>
      </w:r>
    </w:p>
    <w:p w14:paraId="750F72FA" w14:textId="77777777" w:rsidR="00685BB4" w:rsidRPr="00793402" w:rsidRDefault="00685BB4" w:rsidP="00685BB4">
      <w:pPr>
        <w:widowControl w:val="0"/>
        <w:rPr>
          <w:b/>
          <w:bCs/>
          <w:color w:val="000000" w:themeColor="text1"/>
          <w:sz w:val="28"/>
          <w:szCs w:val="28"/>
          <w:lang w:val="es-ES"/>
        </w:rPr>
      </w:pPr>
    </w:p>
    <w:p w14:paraId="6CBAD063" w14:textId="73E95231" w:rsidR="00685BB4" w:rsidRPr="00793402" w:rsidRDefault="00BB6DF7" w:rsidP="00BB6DF7">
      <w:pPr>
        <w:widowControl w:val="0"/>
        <w:tabs>
          <w:tab w:val="left" w:pos="284"/>
        </w:tabs>
        <w:jc w:val="both"/>
        <w:rPr>
          <w:color w:val="000000" w:themeColor="text1"/>
          <w:sz w:val="28"/>
          <w:szCs w:val="28"/>
          <w:lang w:val="es-ES"/>
        </w:rPr>
      </w:pPr>
      <w:r w:rsidRPr="00793402">
        <w:rPr>
          <w:color w:val="000000" w:themeColor="text1"/>
          <w:sz w:val="28"/>
          <w:szCs w:val="28"/>
          <w:lang w:val="es-ES"/>
        </w:rPr>
        <w:t>2</w:t>
      </w:r>
      <w:r w:rsidR="0099357B" w:rsidRPr="00793402">
        <w:rPr>
          <w:color w:val="000000" w:themeColor="text1"/>
          <w:sz w:val="28"/>
          <w:szCs w:val="28"/>
          <w:lang w:val="es-ES"/>
        </w:rPr>
        <w:t>3</w:t>
      </w:r>
      <w:r w:rsidRPr="00793402">
        <w:rPr>
          <w:color w:val="000000" w:themeColor="text1"/>
          <w:sz w:val="28"/>
          <w:szCs w:val="28"/>
          <w:lang w:val="es-ES"/>
        </w:rPr>
        <w:t xml:space="preserve">. </w:t>
      </w:r>
      <w:r w:rsidR="00685BB4" w:rsidRPr="00793402">
        <w:rPr>
          <w:color w:val="000000" w:themeColor="text1"/>
          <w:sz w:val="28"/>
          <w:szCs w:val="28"/>
          <w:lang w:val="es-ES"/>
        </w:rPr>
        <w:t>La Sala Se</w:t>
      </w:r>
      <w:r w:rsidR="00A24274" w:rsidRPr="00793402">
        <w:rPr>
          <w:color w:val="000000" w:themeColor="text1"/>
          <w:sz w:val="28"/>
          <w:szCs w:val="28"/>
          <w:lang w:val="es-ES"/>
        </w:rPr>
        <w:t>gunda</w:t>
      </w:r>
      <w:r w:rsidR="00685BB4" w:rsidRPr="00793402">
        <w:rPr>
          <w:color w:val="000000" w:themeColor="text1"/>
          <w:sz w:val="28"/>
          <w:szCs w:val="28"/>
          <w:lang w:val="es-ES"/>
        </w:rPr>
        <w:t xml:space="preserve"> de Revisión de la Corte Constitucional es competente para revisar </w:t>
      </w:r>
      <w:r w:rsidR="00D72C7B" w:rsidRPr="00793402">
        <w:rPr>
          <w:color w:val="000000" w:themeColor="text1"/>
          <w:sz w:val="28"/>
          <w:szCs w:val="28"/>
          <w:lang w:val="es-ES"/>
        </w:rPr>
        <w:t xml:space="preserve">los </w:t>
      </w:r>
      <w:r w:rsidR="00685BB4" w:rsidRPr="00793402">
        <w:rPr>
          <w:color w:val="000000" w:themeColor="text1"/>
          <w:sz w:val="28"/>
          <w:szCs w:val="28"/>
          <w:lang w:val="es-ES"/>
        </w:rPr>
        <w:t>fallo</w:t>
      </w:r>
      <w:r w:rsidR="00D72C7B" w:rsidRPr="00793402">
        <w:rPr>
          <w:color w:val="000000" w:themeColor="text1"/>
          <w:sz w:val="28"/>
          <w:szCs w:val="28"/>
          <w:lang w:val="es-ES"/>
        </w:rPr>
        <w:t>s</w:t>
      </w:r>
      <w:r w:rsidR="00685BB4" w:rsidRPr="00793402">
        <w:rPr>
          <w:color w:val="000000" w:themeColor="text1"/>
          <w:sz w:val="28"/>
          <w:szCs w:val="28"/>
          <w:lang w:val="es-ES"/>
        </w:rPr>
        <w:t xml:space="preserve"> de tutela proferido</w:t>
      </w:r>
      <w:r w:rsidR="00D72C7B" w:rsidRPr="00793402">
        <w:rPr>
          <w:color w:val="000000" w:themeColor="text1"/>
          <w:sz w:val="28"/>
          <w:szCs w:val="28"/>
          <w:lang w:val="es-ES"/>
        </w:rPr>
        <w:t>s</w:t>
      </w:r>
      <w:r w:rsidR="00685BB4" w:rsidRPr="00793402">
        <w:rPr>
          <w:color w:val="000000" w:themeColor="text1"/>
          <w:sz w:val="28"/>
          <w:szCs w:val="28"/>
          <w:lang w:val="es-ES"/>
        </w:rPr>
        <w:t xml:space="preserve"> dentro del proceso de la referencia. </w:t>
      </w:r>
      <w:r w:rsidR="000C5EA9" w:rsidRPr="00793402">
        <w:rPr>
          <w:color w:val="000000" w:themeColor="text1"/>
          <w:sz w:val="28"/>
          <w:szCs w:val="28"/>
          <w:lang w:val="es-ES"/>
        </w:rPr>
        <w:t>Lo anterior</w:t>
      </w:r>
      <w:r w:rsidR="00685BB4" w:rsidRPr="00793402">
        <w:rPr>
          <w:color w:val="000000" w:themeColor="text1"/>
          <w:sz w:val="28"/>
          <w:szCs w:val="28"/>
          <w:lang w:val="es-ES"/>
        </w:rPr>
        <w:t>, de conformidad con lo dispuesto en los artículos 86 y 241.9 de la C</w:t>
      </w:r>
      <w:r w:rsidR="00BB3BA2" w:rsidRPr="00793402">
        <w:rPr>
          <w:color w:val="000000" w:themeColor="text1"/>
          <w:sz w:val="28"/>
          <w:szCs w:val="28"/>
          <w:lang w:val="es-ES"/>
        </w:rPr>
        <w:t>arta</w:t>
      </w:r>
      <w:r w:rsidR="00685BB4" w:rsidRPr="00793402">
        <w:rPr>
          <w:color w:val="000000" w:themeColor="text1"/>
          <w:sz w:val="28"/>
          <w:szCs w:val="28"/>
          <w:lang w:val="es-ES"/>
        </w:rPr>
        <w:t>, en concordancia con los artículos 31 a 36 del Decreto 2591 de 1991.</w:t>
      </w:r>
    </w:p>
    <w:p w14:paraId="08158681" w14:textId="77777777" w:rsidR="007C17B8" w:rsidRPr="00793402" w:rsidRDefault="007C17B8" w:rsidP="00685BB4">
      <w:pPr>
        <w:widowControl w:val="0"/>
        <w:rPr>
          <w:b/>
          <w:bCs/>
          <w:color w:val="000000" w:themeColor="text1"/>
          <w:sz w:val="28"/>
          <w:szCs w:val="28"/>
          <w:lang w:val="es-ES"/>
        </w:rPr>
      </w:pPr>
    </w:p>
    <w:p w14:paraId="0D1DB4CE" w14:textId="4C370BD0" w:rsidR="00685BB4" w:rsidRPr="00793402" w:rsidRDefault="00685BB4" w:rsidP="00685BB4">
      <w:pPr>
        <w:widowControl w:val="0"/>
        <w:rPr>
          <w:b/>
          <w:bCs/>
          <w:color w:val="000000" w:themeColor="text1"/>
          <w:sz w:val="28"/>
          <w:szCs w:val="28"/>
          <w:lang w:val="es-ES"/>
        </w:rPr>
      </w:pPr>
      <w:r w:rsidRPr="00793402">
        <w:rPr>
          <w:b/>
          <w:bCs/>
          <w:color w:val="000000" w:themeColor="text1"/>
          <w:sz w:val="28"/>
          <w:szCs w:val="28"/>
          <w:lang w:val="es-ES"/>
        </w:rPr>
        <w:t>Asunto objeto de análisis</w:t>
      </w:r>
    </w:p>
    <w:p w14:paraId="47AE0D77" w14:textId="77777777" w:rsidR="00685BB4" w:rsidRPr="00793402" w:rsidRDefault="00685BB4" w:rsidP="00685BB4">
      <w:pPr>
        <w:widowControl w:val="0"/>
        <w:rPr>
          <w:b/>
          <w:bCs/>
          <w:color w:val="000000" w:themeColor="text1"/>
          <w:sz w:val="28"/>
          <w:szCs w:val="28"/>
          <w:lang w:val="es-ES"/>
        </w:rPr>
      </w:pPr>
    </w:p>
    <w:p w14:paraId="2F366479" w14:textId="325DA027" w:rsidR="00E91EED" w:rsidRPr="00793402" w:rsidRDefault="00BB6DF7" w:rsidP="00E91EED">
      <w:pPr>
        <w:widowControl w:val="0"/>
        <w:tabs>
          <w:tab w:val="left" w:pos="284"/>
        </w:tabs>
        <w:jc w:val="both"/>
        <w:rPr>
          <w:color w:val="000000" w:themeColor="text1"/>
          <w:sz w:val="28"/>
          <w:szCs w:val="28"/>
          <w:lang w:val="es-ES"/>
        </w:rPr>
      </w:pPr>
      <w:r w:rsidRPr="00793402">
        <w:rPr>
          <w:color w:val="000000" w:themeColor="text1"/>
          <w:sz w:val="28"/>
          <w:szCs w:val="28"/>
          <w:lang w:val="es-ES"/>
        </w:rPr>
        <w:lastRenderedPageBreak/>
        <w:t>2</w:t>
      </w:r>
      <w:r w:rsidR="0099357B" w:rsidRPr="00793402">
        <w:rPr>
          <w:color w:val="000000" w:themeColor="text1"/>
          <w:sz w:val="28"/>
          <w:szCs w:val="28"/>
          <w:lang w:val="es-ES"/>
        </w:rPr>
        <w:t>4</w:t>
      </w:r>
      <w:r w:rsidRPr="00793402">
        <w:rPr>
          <w:color w:val="000000" w:themeColor="text1"/>
          <w:sz w:val="28"/>
          <w:szCs w:val="28"/>
          <w:lang w:val="es-ES"/>
        </w:rPr>
        <w:t xml:space="preserve">. </w:t>
      </w:r>
      <w:r w:rsidR="00E91EED" w:rsidRPr="00793402">
        <w:rPr>
          <w:color w:val="000000" w:themeColor="text1"/>
          <w:sz w:val="28"/>
          <w:szCs w:val="28"/>
          <w:lang w:val="es-ES"/>
        </w:rPr>
        <w:t xml:space="preserve">En esta oportunidad, la Sala estudia el caso de una mujer que fue desvinculada de </w:t>
      </w:r>
      <w:r w:rsidR="00BB3BA2" w:rsidRPr="00793402">
        <w:rPr>
          <w:color w:val="000000" w:themeColor="text1"/>
          <w:sz w:val="28"/>
          <w:szCs w:val="28"/>
          <w:lang w:val="es-ES"/>
        </w:rPr>
        <w:t>un</w:t>
      </w:r>
      <w:r w:rsidR="00E91EED" w:rsidRPr="00793402">
        <w:rPr>
          <w:color w:val="000000" w:themeColor="text1"/>
          <w:sz w:val="28"/>
          <w:szCs w:val="28"/>
          <w:lang w:val="es-ES"/>
        </w:rPr>
        <w:t xml:space="preserve"> cargo</w:t>
      </w:r>
      <w:r w:rsidR="00BB3BA2" w:rsidRPr="00793402">
        <w:rPr>
          <w:color w:val="000000" w:themeColor="text1"/>
          <w:sz w:val="28"/>
          <w:szCs w:val="28"/>
          <w:lang w:val="es-ES"/>
        </w:rPr>
        <w:t xml:space="preserve"> en</w:t>
      </w:r>
      <w:r w:rsidR="00E91EED" w:rsidRPr="00793402">
        <w:rPr>
          <w:color w:val="000000" w:themeColor="text1"/>
          <w:sz w:val="28"/>
          <w:szCs w:val="28"/>
          <w:lang w:val="es-ES"/>
        </w:rPr>
        <w:t xml:space="preserve"> provisional</w:t>
      </w:r>
      <w:r w:rsidR="00BB3BA2" w:rsidRPr="00793402">
        <w:rPr>
          <w:color w:val="000000" w:themeColor="text1"/>
          <w:sz w:val="28"/>
          <w:szCs w:val="28"/>
          <w:lang w:val="es-ES"/>
        </w:rPr>
        <w:t>idad</w:t>
      </w:r>
      <w:r w:rsidR="00D72C7B" w:rsidRPr="00793402">
        <w:rPr>
          <w:color w:val="000000" w:themeColor="text1"/>
          <w:sz w:val="28"/>
          <w:szCs w:val="28"/>
          <w:lang w:val="es-ES"/>
        </w:rPr>
        <w:t>,</w:t>
      </w:r>
      <w:r w:rsidR="00E91EED" w:rsidRPr="00793402">
        <w:rPr>
          <w:color w:val="000000" w:themeColor="text1"/>
          <w:sz w:val="28"/>
          <w:szCs w:val="28"/>
          <w:lang w:val="es-ES"/>
        </w:rPr>
        <w:t xml:space="preserve"> como Auxiliar de Servicios Generales</w:t>
      </w:r>
      <w:r w:rsidR="00D72C7B" w:rsidRPr="00793402">
        <w:rPr>
          <w:color w:val="000000" w:themeColor="text1"/>
          <w:sz w:val="28"/>
          <w:szCs w:val="28"/>
          <w:lang w:val="es-ES"/>
        </w:rPr>
        <w:t>,</w:t>
      </w:r>
      <w:r w:rsidR="00E91EED" w:rsidRPr="00793402">
        <w:rPr>
          <w:color w:val="000000" w:themeColor="text1"/>
          <w:sz w:val="28"/>
          <w:szCs w:val="28"/>
          <w:lang w:val="es-ES"/>
        </w:rPr>
        <w:t xml:space="preserve"> sin tener en cuenta su calidad de </w:t>
      </w:r>
      <w:proofErr w:type="spellStart"/>
      <w:r w:rsidR="00E91EED" w:rsidRPr="00793402">
        <w:rPr>
          <w:color w:val="000000" w:themeColor="text1"/>
          <w:sz w:val="28"/>
          <w:szCs w:val="28"/>
          <w:lang w:val="es-ES"/>
        </w:rPr>
        <w:t>prepensionada</w:t>
      </w:r>
      <w:proofErr w:type="spellEnd"/>
      <w:r w:rsidR="00E91EED" w:rsidRPr="00793402">
        <w:rPr>
          <w:color w:val="000000" w:themeColor="text1"/>
          <w:sz w:val="28"/>
          <w:szCs w:val="28"/>
          <w:lang w:val="es-ES"/>
        </w:rPr>
        <w:t xml:space="preserve">. La </w:t>
      </w:r>
      <w:r w:rsidR="00BB3BA2" w:rsidRPr="00793402">
        <w:rPr>
          <w:color w:val="000000" w:themeColor="text1"/>
          <w:sz w:val="28"/>
          <w:szCs w:val="28"/>
          <w:lang w:val="es-ES"/>
        </w:rPr>
        <w:t>SED</w:t>
      </w:r>
      <w:r w:rsidR="00E91EED" w:rsidRPr="00793402">
        <w:rPr>
          <w:color w:val="000000" w:themeColor="text1"/>
          <w:sz w:val="28"/>
          <w:szCs w:val="28"/>
          <w:lang w:val="es-ES"/>
        </w:rPr>
        <w:t xml:space="preserve"> argumentó que ello obedeció a la provisión definitiva del empleo </w:t>
      </w:r>
      <w:r w:rsidR="00D72C7B" w:rsidRPr="00793402">
        <w:rPr>
          <w:color w:val="000000" w:themeColor="text1"/>
          <w:sz w:val="28"/>
          <w:szCs w:val="28"/>
          <w:lang w:val="es-ES"/>
        </w:rPr>
        <w:t xml:space="preserve">con </w:t>
      </w:r>
      <w:r w:rsidR="00E91EED" w:rsidRPr="00793402">
        <w:rPr>
          <w:color w:val="000000" w:themeColor="text1"/>
          <w:sz w:val="28"/>
          <w:szCs w:val="28"/>
          <w:lang w:val="es-ES"/>
        </w:rPr>
        <w:t xml:space="preserve">la persona que superó las etapas del concurso de méritos. Asimismo, afirmó que la accionante no cumplía con los requisitos necesarios para ser beneficiaria de la condición de </w:t>
      </w:r>
      <w:proofErr w:type="spellStart"/>
      <w:r w:rsidR="00E91EED" w:rsidRPr="00793402">
        <w:rPr>
          <w:color w:val="000000" w:themeColor="text1"/>
          <w:sz w:val="28"/>
          <w:szCs w:val="28"/>
          <w:lang w:val="es-ES"/>
        </w:rPr>
        <w:t>prepensionada</w:t>
      </w:r>
      <w:proofErr w:type="spellEnd"/>
      <w:r w:rsidR="00D72C7B" w:rsidRPr="00793402">
        <w:rPr>
          <w:color w:val="000000" w:themeColor="text1"/>
          <w:sz w:val="28"/>
          <w:szCs w:val="28"/>
          <w:lang w:val="es-ES"/>
        </w:rPr>
        <w:t>,</w:t>
      </w:r>
      <w:r w:rsidR="00E91EED" w:rsidRPr="00793402">
        <w:rPr>
          <w:color w:val="000000" w:themeColor="text1"/>
          <w:sz w:val="28"/>
          <w:szCs w:val="28"/>
          <w:lang w:val="es-ES"/>
        </w:rPr>
        <w:t xml:space="preserve"> porque su</w:t>
      </w:r>
      <w:r w:rsidR="00385FA9" w:rsidRPr="00793402">
        <w:rPr>
          <w:color w:val="000000" w:themeColor="text1"/>
          <w:sz w:val="28"/>
          <w:szCs w:val="28"/>
          <w:lang w:val="es-ES"/>
        </w:rPr>
        <w:t xml:space="preserve"> historia laboral</w:t>
      </w:r>
      <w:r w:rsidR="00E91EED" w:rsidRPr="00793402">
        <w:rPr>
          <w:color w:val="000000" w:themeColor="text1"/>
          <w:sz w:val="28"/>
          <w:szCs w:val="28"/>
          <w:lang w:val="es-ES"/>
        </w:rPr>
        <w:t xml:space="preserve"> no </w:t>
      </w:r>
      <w:r w:rsidR="00C64EB3" w:rsidRPr="00793402">
        <w:rPr>
          <w:color w:val="000000" w:themeColor="text1"/>
          <w:sz w:val="28"/>
          <w:szCs w:val="28"/>
          <w:lang w:val="es-ES"/>
        </w:rPr>
        <w:t xml:space="preserve">demostró </w:t>
      </w:r>
      <w:r w:rsidR="00E91EED" w:rsidRPr="00793402">
        <w:rPr>
          <w:color w:val="000000" w:themeColor="text1"/>
          <w:sz w:val="28"/>
          <w:szCs w:val="28"/>
          <w:lang w:val="es-ES"/>
        </w:rPr>
        <w:t xml:space="preserve">que le </w:t>
      </w:r>
      <w:r w:rsidR="00BB3BA2" w:rsidRPr="00793402">
        <w:rPr>
          <w:color w:val="000000" w:themeColor="text1"/>
          <w:sz w:val="28"/>
          <w:szCs w:val="28"/>
          <w:lang w:val="es-ES"/>
        </w:rPr>
        <w:t>faltaran</w:t>
      </w:r>
      <w:r w:rsidR="00D72C7B" w:rsidRPr="00793402">
        <w:rPr>
          <w:color w:val="000000" w:themeColor="text1"/>
          <w:sz w:val="28"/>
          <w:szCs w:val="28"/>
          <w:lang w:val="es-ES"/>
        </w:rPr>
        <w:t xml:space="preserve"> </w:t>
      </w:r>
      <w:r w:rsidR="00E91EED" w:rsidRPr="00793402">
        <w:rPr>
          <w:color w:val="000000" w:themeColor="text1"/>
          <w:sz w:val="28"/>
          <w:szCs w:val="28"/>
          <w:lang w:val="es-ES"/>
        </w:rPr>
        <w:t xml:space="preserve">menos de tres años para obtener su pensión de vejez. Lo </w:t>
      </w:r>
      <w:r w:rsidR="000C5EA9" w:rsidRPr="00793402">
        <w:rPr>
          <w:color w:val="000000" w:themeColor="text1"/>
          <w:sz w:val="28"/>
          <w:szCs w:val="28"/>
          <w:lang w:val="es-ES"/>
        </w:rPr>
        <w:t>expuesto</w:t>
      </w:r>
      <w:r w:rsidR="00E91EED" w:rsidRPr="00793402">
        <w:rPr>
          <w:color w:val="000000" w:themeColor="text1"/>
          <w:sz w:val="28"/>
          <w:szCs w:val="28"/>
          <w:lang w:val="es-ES"/>
        </w:rPr>
        <w:t>, a pesar de las inconsistencias que presenta</w:t>
      </w:r>
      <w:r w:rsidR="00D72C7B" w:rsidRPr="00793402">
        <w:rPr>
          <w:color w:val="000000" w:themeColor="text1"/>
          <w:sz w:val="28"/>
          <w:szCs w:val="28"/>
          <w:lang w:val="es-ES"/>
        </w:rPr>
        <w:t>ba</w:t>
      </w:r>
      <w:r w:rsidR="00E91EED" w:rsidRPr="00793402">
        <w:rPr>
          <w:color w:val="000000" w:themeColor="text1"/>
          <w:sz w:val="28"/>
          <w:szCs w:val="28"/>
          <w:lang w:val="es-ES"/>
        </w:rPr>
        <w:t xml:space="preserve"> </w:t>
      </w:r>
      <w:r w:rsidR="00385FA9" w:rsidRPr="00793402">
        <w:rPr>
          <w:color w:val="000000" w:themeColor="text1"/>
          <w:sz w:val="28"/>
          <w:szCs w:val="28"/>
          <w:lang w:val="es-ES"/>
        </w:rPr>
        <w:t>dicho documento</w:t>
      </w:r>
      <w:r w:rsidR="00E91EED" w:rsidRPr="00793402">
        <w:rPr>
          <w:color w:val="000000" w:themeColor="text1"/>
          <w:sz w:val="28"/>
          <w:szCs w:val="28"/>
          <w:lang w:val="es-ES"/>
        </w:rPr>
        <w:t xml:space="preserve"> en relación con el número de semanas cotizadas. </w:t>
      </w:r>
    </w:p>
    <w:p w14:paraId="54B9556A" w14:textId="77777777" w:rsidR="00E91EED" w:rsidRPr="00793402" w:rsidRDefault="00E91EED" w:rsidP="00E91EED">
      <w:pPr>
        <w:pStyle w:val="Prrafodelista"/>
        <w:widowControl w:val="0"/>
        <w:tabs>
          <w:tab w:val="left" w:pos="284"/>
        </w:tabs>
        <w:ind w:left="0"/>
        <w:jc w:val="both"/>
        <w:rPr>
          <w:color w:val="000000" w:themeColor="text1"/>
          <w:sz w:val="28"/>
          <w:szCs w:val="28"/>
          <w:lang w:val="es-ES"/>
        </w:rPr>
      </w:pPr>
    </w:p>
    <w:p w14:paraId="22C39458" w14:textId="77777777" w:rsidR="00615C4C" w:rsidRPr="00793402" w:rsidRDefault="00E91EED" w:rsidP="00E91EED">
      <w:pPr>
        <w:widowControl w:val="0"/>
        <w:tabs>
          <w:tab w:val="left" w:pos="284"/>
        </w:tabs>
        <w:jc w:val="both"/>
        <w:rPr>
          <w:color w:val="000000" w:themeColor="text1"/>
          <w:sz w:val="28"/>
          <w:szCs w:val="28"/>
        </w:rPr>
      </w:pPr>
      <w:r w:rsidRPr="00793402">
        <w:rPr>
          <w:color w:val="000000" w:themeColor="text1"/>
          <w:sz w:val="28"/>
          <w:szCs w:val="28"/>
        </w:rPr>
        <w:t>2</w:t>
      </w:r>
      <w:r w:rsidR="0099357B" w:rsidRPr="00793402">
        <w:rPr>
          <w:color w:val="000000" w:themeColor="text1"/>
          <w:sz w:val="28"/>
          <w:szCs w:val="28"/>
        </w:rPr>
        <w:t>5</w:t>
      </w:r>
      <w:r w:rsidRPr="00793402">
        <w:rPr>
          <w:color w:val="000000" w:themeColor="text1"/>
          <w:sz w:val="28"/>
          <w:szCs w:val="28"/>
        </w:rPr>
        <w:t xml:space="preserve">. El amparo busca la protección de los derechos fundamentales a la seguridad social, la estabilidad laboral reforzada, el mínimo vital y el debido proceso de la actora. En consecuencia, pide </w:t>
      </w:r>
      <w:r w:rsidR="00BB3BA2" w:rsidRPr="00793402">
        <w:rPr>
          <w:color w:val="000000" w:themeColor="text1"/>
          <w:sz w:val="28"/>
          <w:szCs w:val="28"/>
        </w:rPr>
        <w:t>al</w:t>
      </w:r>
      <w:r w:rsidRPr="00793402">
        <w:rPr>
          <w:color w:val="000000" w:themeColor="text1"/>
          <w:sz w:val="28"/>
          <w:szCs w:val="28"/>
        </w:rPr>
        <w:t xml:space="preserve"> juez de tutela orden</w:t>
      </w:r>
      <w:r w:rsidR="00BB3BA2" w:rsidRPr="00793402">
        <w:rPr>
          <w:color w:val="000000" w:themeColor="text1"/>
          <w:sz w:val="28"/>
          <w:szCs w:val="28"/>
        </w:rPr>
        <w:t>ar</w:t>
      </w:r>
      <w:r w:rsidRPr="00793402">
        <w:rPr>
          <w:color w:val="000000" w:themeColor="text1"/>
          <w:sz w:val="28"/>
          <w:szCs w:val="28"/>
        </w:rPr>
        <w:t>: (i) reintegrarla sin solución de continuidad al cargo que desempeñaba o a uno equivalente; y, (ii) pagarle los salarios y demás prestaciones laborales dejadas de percibir</w:t>
      </w:r>
      <w:r w:rsidRPr="00793402">
        <w:rPr>
          <w:color w:val="000000" w:themeColor="text1"/>
          <w:sz w:val="28"/>
          <w:szCs w:val="28"/>
          <w:vertAlign w:val="superscript"/>
        </w:rPr>
        <w:footnoteReference w:id="60"/>
      </w:r>
      <w:r w:rsidRPr="00793402">
        <w:rPr>
          <w:color w:val="000000" w:themeColor="text1"/>
          <w:sz w:val="28"/>
          <w:szCs w:val="28"/>
        </w:rPr>
        <w:t>.</w:t>
      </w:r>
      <w:r w:rsidR="009B149E" w:rsidRPr="00793402">
        <w:rPr>
          <w:color w:val="000000" w:themeColor="text1"/>
          <w:sz w:val="28"/>
          <w:szCs w:val="28"/>
        </w:rPr>
        <w:t xml:space="preserve"> </w:t>
      </w:r>
    </w:p>
    <w:p w14:paraId="6B2C627E" w14:textId="77777777" w:rsidR="00615C4C" w:rsidRPr="00793402" w:rsidRDefault="00615C4C" w:rsidP="00E91EED">
      <w:pPr>
        <w:widowControl w:val="0"/>
        <w:tabs>
          <w:tab w:val="left" w:pos="284"/>
        </w:tabs>
        <w:jc w:val="both"/>
        <w:rPr>
          <w:color w:val="000000" w:themeColor="text1"/>
          <w:sz w:val="28"/>
          <w:szCs w:val="28"/>
        </w:rPr>
      </w:pPr>
    </w:p>
    <w:p w14:paraId="650EAD14" w14:textId="0F0558C7" w:rsidR="00E91EED" w:rsidRPr="00793402" w:rsidRDefault="00615C4C" w:rsidP="00E91EED">
      <w:pPr>
        <w:widowControl w:val="0"/>
        <w:tabs>
          <w:tab w:val="left" w:pos="284"/>
        </w:tabs>
        <w:jc w:val="both"/>
        <w:rPr>
          <w:color w:val="000000" w:themeColor="text1"/>
          <w:sz w:val="28"/>
          <w:szCs w:val="28"/>
        </w:rPr>
      </w:pPr>
      <w:r w:rsidRPr="00793402">
        <w:rPr>
          <w:color w:val="000000" w:themeColor="text1"/>
          <w:sz w:val="28"/>
          <w:szCs w:val="28"/>
        </w:rPr>
        <w:t xml:space="preserve">26. </w:t>
      </w:r>
      <w:r w:rsidR="002F4449" w:rsidRPr="00793402">
        <w:rPr>
          <w:color w:val="000000" w:themeColor="text1"/>
          <w:sz w:val="28"/>
          <w:szCs w:val="28"/>
        </w:rPr>
        <w:t>A continuación, la</w:t>
      </w:r>
      <w:r w:rsidR="009B149E" w:rsidRPr="00793402">
        <w:rPr>
          <w:color w:val="000000" w:themeColor="text1"/>
          <w:sz w:val="28"/>
          <w:szCs w:val="28"/>
        </w:rPr>
        <w:t xml:space="preserve"> Sala </w:t>
      </w:r>
      <w:r w:rsidR="002F4449" w:rsidRPr="00793402">
        <w:rPr>
          <w:color w:val="000000" w:themeColor="text1"/>
          <w:sz w:val="28"/>
          <w:szCs w:val="28"/>
        </w:rPr>
        <w:t>analizará</w:t>
      </w:r>
      <w:r w:rsidR="009B149E" w:rsidRPr="00793402">
        <w:rPr>
          <w:color w:val="000000" w:themeColor="text1"/>
          <w:sz w:val="28"/>
          <w:szCs w:val="28"/>
        </w:rPr>
        <w:t xml:space="preserve"> la procedencia de la acción de tutela</w:t>
      </w:r>
      <w:r w:rsidR="00F46C4C" w:rsidRPr="00793402">
        <w:rPr>
          <w:color w:val="000000" w:themeColor="text1"/>
          <w:sz w:val="28"/>
          <w:szCs w:val="28"/>
        </w:rPr>
        <w:t xml:space="preserve"> de acuerdo con los criterios legales y jurisprudenciales establecidos</w:t>
      </w:r>
      <w:r w:rsidRPr="00793402">
        <w:rPr>
          <w:color w:val="000000" w:themeColor="text1"/>
          <w:sz w:val="28"/>
          <w:szCs w:val="28"/>
        </w:rPr>
        <w:t>.</w:t>
      </w:r>
    </w:p>
    <w:p w14:paraId="239C0F4A" w14:textId="77777777" w:rsidR="00D047D3" w:rsidRPr="00793402" w:rsidRDefault="00D047D3" w:rsidP="00685BB4">
      <w:pPr>
        <w:widowControl w:val="0"/>
        <w:jc w:val="both"/>
        <w:rPr>
          <w:b/>
          <w:bCs/>
          <w:color w:val="000000" w:themeColor="text1"/>
          <w:sz w:val="28"/>
          <w:szCs w:val="28"/>
          <w:shd w:val="clear" w:color="auto" w:fill="FFFFFF"/>
        </w:rPr>
      </w:pPr>
    </w:p>
    <w:p w14:paraId="703CA90B" w14:textId="723EAA4B" w:rsidR="00685BB4" w:rsidRPr="00793402" w:rsidRDefault="00685BB4" w:rsidP="00685BB4">
      <w:pPr>
        <w:widowControl w:val="0"/>
        <w:jc w:val="both"/>
        <w:rPr>
          <w:b/>
          <w:bCs/>
          <w:color w:val="000000" w:themeColor="text1"/>
          <w:sz w:val="28"/>
          <w:szCs w:val="28"/>
          <w:shd w:val="clear" w:color="auto" w:fill="FFFFFF"/>
        </w:rPr>
      </w:pPr>
      <w:r w:rsidRPr="00793402">
        <w:rPr>
          <w:b/>
          <w:bCs/>
          <w:color w:val="000000" w:themeColor="text1"/>
          <w:sz w:val="28"/>
          <w:szCs w:val="28"/>
          <w:shd w:val="clear" w:color="auto" w:fill="FFFFFF"/>
        </w:rPr>
        <w:t>Procedencia de la acción de tutela</w:t>
      </w:r>
    </w:p>
    <w:p w14:paraId="1F96B825" w14:textId="4531AFE6" w:rsidR="007114F9" w:rsidRPr="00793402" w:rsidRDefault="007114F9" w:rsidP="00685BB4">
      <w:pPr>
        <w:widowControl w:val="0"/>
        <w:jc w:val="both"/>
        <w:rPr>
          <w:b/>
          <w:bCs/>
          <w:color w:val="000000" w:themeColor="text1"/>
          <w:sz w:val="28"/>
          <w:szCs w:val="28"/>
          <w:shd w:val="clear" w:color="auto" w:fill="FFFFFF"/>
        </w:rPr>
      </w:pPr>
    </w:p>
    <w:p w14:paraId="5A65D355" w14:textId="0FC722DB" w:rsidR="000C690C" w:rsidRPr="00793402" w:rsidRDefault="00FD743B" w:rsidP="000C690C">
      <w:pPr>
        <w:pStyle w:val="Prrafodelista"/>
        <w:widowControl w:val="0"/>
        <w:ind w:left="0"/>
        <w:jc w:val="both"/>
        <w:rPr>
          <w:rFonts w:eastAsia="Calibri"/>
          <w:color w:val="000000" w:themeColor="text1"/>
          <w:sz w:val="28"/>
          <w:szCs w:val="28"/>
          <w:lang w:val="es-ES_tradnl" w:eastAsia="es-CO"/>
        </w:rPr>
      </w:pPr>
      <w:r w:rsidRPr="00793402">
        <w:rPr>
          <w:color w:val="000000" w:themeColor="text1"/>
          <w:sz w:val="28"/>
          <w:szCs w:val="28"/>
        </w:rPr>
        <w:t>2</w:t>
      </w:r>
      <w:r w:rsidR="00615C4C" w:rsidRPr="00793402">
        <w:rPr>
          <w:color w:val="000000" w:themeColor="text1"/>
          <w:sz w:val="28"/>
          <w:szCs w:val="28"/>
        </w:rPr>
        <w:t>7</w:t>
      </w:r>
      <w:r w:rsidR="00147A1E" w:rsidRPr="00793402">
        <w:rPr>
          <w:color w:val="000000" w:themeColor="text1"/>
          <w:sz w:val="28"/>
          <w:szCs w:val="28"/>
        </w:rPr>
        <w:t>.</w:t>
      </w:r>
      <w:r w:rsidR="00B155CF" w:rsidRPr="00793402">
        <w:rPr>
          <w:color w:val="000000" w:themeColor="text1"/>
          <w:sz w:val="28"/>
          <w:szCs w:val="28"/>
        </w:rPr>
        <w:t xml:space="preserve"> </w:t>
      </w:r>
      <w:r w:rsidR="00B155CF" w:rsidRPr="00793402">
        <w:rPr>
          <w:i/>
          <w:iCs/>
          <w:color w:val="000000" w:themeColor="text1"/>
          <w:sz w:val="28"/>
          <w:szCs w:val="28"/>
        </w:rPr>
        <w:t>Legitimación por activa</w:t>
      </w:r>
      <w:r w:rsidR="00B155CF" w:rsidRPr="00793402">
        <w:rPr>
          <w:color w:val="000000" w:themeColor="text1"/>
          <w:sz w:val="28"/>
          <w:szCs w:val="28"/>
        </w:rPr>
        <w:t xml:space="preserve">. </w:t>
      </w:r>
      <w:r w:rsidR="00074D18" w:rsidRPr="00793402">
        <w:rPr>
          <w:color w:val="000000" w:themeColor="text1"/>
          <w:sz w:val="28"/>
          <w:szCs w:val="28"/>
        </w:rPr>
        <w:t>El artículo 86 de la Constitución</w:t>
      </w:r>
      <w:r w:rsidR="00074D18" w:rsidRPr="00793402">
        <w:rPr>
          <w:rStyle w:val="Refdenotaalpie"/>
          <w:color w:val="000000" w:themeColor="text1"/>
          <w:sz w:val="28"/>
          <w:szCs w:val="28"/>
        </w:rPr>
        <w:footnoteReference w:id="61"/>
      </w:r>
      <w:r w:rsidR="00074D18" w:rsidRPr="00793402">
        <w:rPr>
          <w:color w:val="000000" w:themeColor="text1"/>
          <w:sz w:val="28"/>
          <w:szCs w:val="28"/>
        </w:rPr>
        <w:t xml:space="preserve"> </w:t>
      </w:r>
      <w:r w:rsidR="000C690C" w:rsidRPr="00793402">
        <w:rPr>
          <w:color w:val="000000" w:themeColor="text1"/>
          <w:sz w:val="28"/>
          <w:szCs w:val="28"/>
          <w:shd w:val="clear" w:color="auto" w:fill="FFFFFF"/>
        </w:rPr>
        <w:t>establece que cualquier persona puede interponer la acción de tutela </w:t>
      </w:r>
      <w:r w:rsidR="000C690C" w:rsidRPr="00793402">
        <w:rPr>
          <w:i/>
          <w:iCs/>
          <w:color w:val="000000" w:themeColor="text1"/>
          <w:sz w:val="28"/>
          <w:szCs w:val="28"/>
          <w:shd w:val="clear" w:color="auto" w:fill="FFFFFF"/>
        </w:rPr>
        <w:t>“por sí misma o por quien actúe en su nombre”</w:t>
      </w:r>
      <w:r w:rsidR="00D72C7B" w:rsidRPr="00793402">
        <w:rPr>
          <w:i/>
          <w:iCs/>
          <w:color w:val="000000" w:themeColor="text1"/>
          <w:sz w:val="28"/>
          <w:szCs w:val="28"/>
          <w:shd w:val="clear" w:color="auto" w:fill="FFFFFF"/>
        </w:rPr>
        <w:t>,</w:t>
      </w:r>
      <w:r w:rsidR="00EC247F" w:rsidRPr="00793402">
        <w:rPr>
          <w:i/>
          <w:iCs/>
          <w:color w:val="000000" w:themeColor="text1"/>
          <w:sz w:val="28"/>
          <w:szCs w:val="28"/>
          <w:shd w:val="clear" w:color="auto" w:fill="FFFFFF"/>
        </w:rPr>
        <w:t xml:space="preserve"> </w:t>
      </w:r>
      <w:r w:rsidR="000C690C" w:rsidRPr="00793402">
        <w:rPr>
          <w:color w:val="000000" w:themeColor="text1"/>
          <w:sz w:val="28"/>
          <w:szCs w:val="28"/>
          <w:shd w:val="clear" w:color="auto" w:fill="FFFFFF"/>
        </w:rPr>
        <w:t>con el fin de reclamar la protección inmediata de sus derechos fundamentales cuando estos resulten amenazados o vulnerados por la acción u omisión de una autoridad o por el actuar de particulares. En concreto, e</w:t>
      </w:r>
      <w:r w:rsidR="000C690C" w:rsidRPr="00793402">
        <w:rPr>
          <w:color w:val="000000" w:themeColor="text1"/>
          <w:sz w:val="28"/>
          <w:szCs w:val="28"/>
        </w:rPr>
        <w:t>l artículo 10 del Decreto 2591 de 1991</w:t>
      </w:r>
      <w:r w:rsidR="000C690C" w:rsidRPr="00793402">
        <w:rPr>
          <w:rStyle w:val="Refdenotaalpie"/>
          <w:color w:val="000000" w:themeColor="text1"/>
          <w:sz w:val="28"/>
          <w:szCs w:val="28"/>
        </w:rPr>
        <w:footnoteReference w:id="62"/>
      </w:r>
      <w:r w:rsidR="000C690C" w:rsidRPr="00793402">
        <w:rPr>
          <w:color w:val="000000" w:themeColor="text1"/>
          <w:sz w:val="28"/>
          <w:szCs w:val="28"/>
        </w:rPr>
        <w:t xml:space="preserve"> define que la acción de tutela puede ejercerse, entre otros, a nombre propio o mediante apoderado judicial. </w:t>
      </w:r>
      <w:r w:rsidR="000C690C" w:rsidRPr="00793402">
        <w:rPr>
          <w:rFonts w:eastAsia="Calibri"/>
          <w:color w:val="000000" w:themeColor="text1"/>
          <w:sz w:val="28"/>
          <w:szCs w:val="28"/>
          <w:lang w:val="es-ES_tradnl" w:eastAsia="es-CO"/>
        </w:rPr>
        <w:t xml:space="preserve">En el caso objeto de estudio, la acción de tutela fue presentada por el señor Luis Alberto Ortega Revelo, como apoderado de la </w:t>
      </w:r>
      <w:r w:rsidR="00442034" w:rsidRPr="00793402">
        <w:rPr>
          <w:rFonts w:eastAsia="Calibri"/>
          <w:color w:val="000000" w:themeColor="text1"/>
          <w:sz w:val="28"/>
          <w:szCs w:val="28"/>
          <w:lang w:val="es-ES_tradnl" w:eastAsia="es-CO"/>
        </w:rPr>
        <w:t xml:space="preserve">señora </w:t>
      </w:r>
      <w:r w:rsidR="000C690C" w:rsidRPr="00793402">
        <w:rPr>
          <w:color w:val="000000" w:themeColor="text1"/>
          <w:sz w:val="28"/>
          <w:szCs w:val="28"/>
        </w:rPr>
        <w:t xml:space="preserve">Blanca </w:t>
      </w:r>
      <w:proofErr w:type="spellStart"/>
      <w:r w:rsidR="000C690C" w:rsidRPr="00793402">
        <w:rPr>
          <w:color w:val="000000" w:themeColor="text1"/>
          <w:sz w:val="28"/>
          <w:szCs w:val="28"/>
        </w:rPr>
        <w:t>Bellanid</w:t>
      </w:r>
      <w:proofErr w:type="spellEnd"/>
      <w:r w:rsidR="000C690C" w:rsidRPr="00793402">
        <w:rPr>
          <w:color w:val="000000" w:themeColor="text1"/>
          <w:sz w:val="28"/>
          <w:szCs w:val="28"/>
        </w:rPr>
        <w:t xml:space="preserve"> </w:t>
      </w:r>
      <w:proofErr w:type="spellStart"/>
      <w:r w:rsidR="000C690C" w:rsidRPr="00793402">
        <w:rPr>
          <w:color w:val="000000" w:themeColor="text1"/>
          <w:sz w:val="28"/>
          <w:szCs w:val="28"/>
        </w:rPr>
        <w:t>Galíndez</w:t>
      </w:r>
      <w:proofErr w:type="spellEnd"/>
      <w:r w:rsidR="000C690C" w:rsidRPr="00793402">
        <w:rPr>
          <w:color w:val="000000" w:themeColor="text1"/>
          <w:sz w:val="28"/>
          <w:szCs w:val="28"/>
        </w:rPr>
        <w:t xml:space="preserve"> Joven, con el fin de proteger sus derechos fundamentales a la seguridad social, a la estabilidad laboral reforzada y al mínimo vital. En tal sentido, es claro que quien presenta la acción de tutela </w:t>
      </w:r>
      <w:r w:rsidR="00D72C7B" w:rsidRPr="00793402">
        <w:rPr>
          <w:color w:val="000000" w:themeColor="text1"/>
          <w:sz w:val="28"/>
          <w:szCs w:val="28"/>
        </w:rPr>
        <w:t xml:space="preserve">es la afectada y </w:t>
      </w:r>
      <w:r w:rsidR="000C690C" w:rsidRPr="00793402">
        <w:rPr>
          <w:color w:val="000000" w:themeColor="text1"/>
          <w:sz w:val="28"/>
          <w:szCs w:val="28"/>
        </w:rPr>
        <w:t>cuenta con la debida representación para actuar dentro de este trámite</w:t>
      </w:r>
      <w:r w:rsidR="000C690C" w:rsidRPr="00793402">
        <w:rPr>
          <w:rStyle w:val="Refdenotaalpie"/>
          <w:rFonts w:eastAsia="Calibri"/>
          <w:color w:val="000000" w:themeColor="text1"/>
          <w:sz w:val="28"/>
          <w:szCs w:val="28"/>
          <w:lang w:val="es-ES_tradnl" w:eastAsia="es-CO"/>
        </w:rPr>
        <w:footnoteReference w:id="63"/>
      </w:r>
      <w:r w:rsidR="000C690C" w:rsidRPr="00793402">
        <w:rPr>
          <w:color w:val="000000" w:themeColor="text1"/>
          <w:sz w:val="28"/>
          <w:szCs w:val="28"/>
        </w:rPr>
        <w:t>. Por lo tanto, la legitimación por activa está comprobada</w:t>
      </w:r>
      <w:r w:rsidR="000C690C" w:rsidRPr="00793402">
        <w:rPr>
          <w:rStyle w:val="Refdenotaalpie"/>
          <w:color w:val="000000" w:themeColor="text1"/>
          <w:sz w:val="28"/>
          <w:szCs w:val="28"/>
        </w:rPr>
        <w:footnoteReference w:id="64"/>
      </w:r>
      <w:r w:rsidR="000C690C" w:rsidRPr="00793402">
        <w:rPr>
          <w:color w:val="000000" w:themeColor="text1"/>
          <w:sz w:val="28"/>
          <w:szCs w:val="28"/>
        </w:rPr>
        <w:t>.</w:t>
      </w:r>
    </w:p>
    <w:p w14:paraId="57374CFE" w14:textId="0F694105" w:rsidR="00B155CF" w:rsidRPr="00793402" w:rsidRDefault="00B155CF" w:rsidP="000C690C">
      <w:pPr>
        <w:pStyle w:val="Prrafodelista"/>
        <w:widowControl w:val="0"/>
        <w:ind w:left="0"/>
        <w:jc w:val="both"/>
        <w:rPr>
          <w:b/>
          <w:bCs/>
          <w:color w:val="000000" w:themeColor="text1"/>
          <w:sz w:val="28"/>
          <w:szCs w:val="28"/>
          <w:shd w:val="clear" w:color="auto" w:fill="FFFFFF"/>
        </w:rPr>
      </w:pPr>
    </w:p>
    <w:p w14:paraId="74222975" w14:textId="0014419A" w:rsidR="000C690C" w:rsidRPr="00793402" w:rsidRDefault="008B7416" w:rsidP="000C690C">
      <w:pPr>
        <w:pStyle w:val="Prrafodelista"/>
        <w:widowControl w:val="0"/>
        <w:ind w:left="0"/>
        <w:jc w:val="both"/>
        <w:rPr>
          <w:rFonts w:eastAsia="Calibri"/>
          <w:color w:val="000000" w:themeColor="text1"/>
          <w:sz w:val="28"/>
          <w:szCs w:val="28"/>
          <w:lang w:val="es-ES_tradnl" w:eastAsia="es-CO"/>
        </w:rPr>
      </w:pPr>
      <w:r w:rsidRPr="00793402">
        <w:rPr>
          <w:rFonts w:eastAsia="Calibri"/>
          <w:color w:val="000000" w:themeColor="text1"/>
          <w:sz w:val="28"/>
          <w:szCs w:val="28"/>
          <w:lang w:val="es-ES_tradnl" w:eastAsia="es-CO"/>
        </w:rPr>
        <w:t>2</w:t>
      </w:r>
      <w:r w:rsidR="00615C4C" w:rsidRPr="00793402">
        <w:rPr>
          <w:rFonts w:eastAsia="Calibri"/>
          <w:color w:val="000000" w:themeColor="text1"/>
          <w:sz w:val="28"/>
          <w:szCs w:val="28"/>
          <w:lang w:val="es-ES_tradnl" w:eastAsia="es-CO"/>
        </w:rPr>
        <w:t>8</w:t>
      </w:r>
      <w:r w:rsidR="004844E0" w:rsidRPr="00793402">
        <w:rPr>
          <w:rFonts w:eastAsia="Calibri"/>
          <w:color w:val="000000" w:themeColor="text1"/>
          <w:sz w:val="28"/>
          <w:szCs w:val="28"/>
          <w:lang w:val="es-ES_tradnl" w:eastAsia="es-CO"/>
        </w:rPr>
        <w:t xml:space="preserve">. </w:t>
      </w:r>
      <w:r w:rsidR="000C690C" w:rsidRPr="00793402">
        <w:rPr>
          <w:rFonts w:eastAsia="Calibri"/>
          <w:i/>
          <w:iCs/>
          <w:color w:val="000000" w:themeColor="text1"/>
          <w:sz w:val="28"/>
          <w:szCs w:val="28"/>
          <w:lang w:val="es-ES_tradnl" w:eastAsia="es-CO"/>
        </w:rPr>
        <w:t xml:space="preserve">Legitimación por pasiva. </w:t>
      </w:r>
      <w:r w:rsidR="000C690C" w:rsidRPr="00793402">
        <w:rPr>
          <w:color w:val="000000" w:themeColor="text1"/>
          <w:sz w:val="28"/>
          <w:szCs w:val="28"/>
          <w:shd w:val="clear" w:color="auto" w:fill="FFFFFF"/>
        </w:rPr>
        <w:t xml:space="preserve">Este presupuesto hace referencia a la capacidad </w:t>
      </w:r>
      <w:r w:rsidR="000C690C" w:rsidRPr="00793402">
        <w:rPr>
          <w:color w:val="000000" w:themeColor="text1"/>
          <w:sz w:val="28"/>
          <w:szCs w:val="28"/>
          <w:shd w:val="clear" w:color="auto" w:fill="FFFFFF"/>
        </w:rPr>
        <w:lastRenderedPageBreak/>
        <w:t>legal de quien está llamado a responder por la vulneración o amenaza del derecho fundamental</w:t>
      </w:r>
      <w:r w:rsidR="000C690C" w:rsidRPr="00793402">
        <w:rPr>
          <w:rStyle w:val="Refdenotaalpie"/>
          <w:color w:val="000000" w:themeColor="text1"/>
          <w:sz w:val="28"/>
          <w:szCs w:val="28"/>
          <w:shd w:val="clear" w:color="auto" w:fill="FFFFFF"/>
        </w:rPr>
        <w:footnoteReference w:id="65"/>
      </w:r>
      <w:r w:rsidR="000C690C" w:rsidRPr="00793402">
        <w:rPr>
          <w:color w:val="000000" w:themeColor="text1"/>
          <w:sz w:val="28"/>
          <w:szCs w:val="28"/>
          <w:shd w:val="clear" w:color="auto" w:fill="FFFFFF"/>
        </w:rPr>
        <w:t xml:space="preserve">. </w:t>
      </w:r>
      <w:r w:rsidR="000C690C" w:rsidRPr="00793402">
        <w:rPr>
          <w:rFonts w:eastAsia="Calibri"/>
          <w:color w:val="000000" w:themeColor="text1"/>
          <w:sz w:val="28"/>
          <w:szCs w:val="28"/>
          <w:lang w:val="es-ES_tradnl" w:eastAsia="es-CO"/>
        </w:rPr>
        <w:t>En este caso, la acción de tutela se diri</w:t>
      </w:r>
      <w:r w:rsidR="00FA2426" w:rsidRPr="00793402">
        <w:rPr>
          <w:rFonts w:eastAsia="Calibri"/>
          <w:color w:val="000000" w:themeColor="text1"/>
          <w:sz w:val="28"/>
          <w:szCs w:val="28"/>
          <w:lang w:val="es-ES_tradnl" w:eastAsia="es-CO"/>
        </w:rPr>
        <w:t>gió inicialmente</w:t>
      </w:r>
      <w:r w:rsidR="000C690C" w:rsidRPr="00793402">
        <w:rPr>
          <w:rFonts w:eastAsia="Calibri"/>
          <w:color w:val="000000" w:themeColor="text1"/>
          <w:sz w:val="28"/>
          <w:szCs w:val="28"/>
          <w:lang w:val="es-ES_tradnl" w:eastAsia="es-CO"/>
        </w:rPr>
        <w:t xml:space="preserve"> en contra de la Secretaría de Educación del Departamento de Putumayo, por ser la entidad que desvinculó del cargo </w:t>
      </w:r>
      <w:r w:rsidR="00D72C7B" w:rsidRPr="00793402">
        <w:rPr>
          <w:rFonts w:eastAsia="Calibri"/>
          <w:color w:val="000000" w:themeColor="text1"/>
          <w:sz w:val="28"/>
          <w:szCs w:val="28"/>
          <w:lang w:val="es-ES_tradnl" w:eastAsia="es-CO"/>
        </w:rPr>
        <w:t>a</w:t>
      </w:r>
      <w:r w:rsidR="000C690C" w:rsidRPr="00793402">
        <w:rPr>
          <w:rFonts w:eastAsia="Calibri"/>
          <w:color w:val="000000" w:themeColor="text1"/>
          <w:sz w:val="28"/>
          <w:szCs w:val="28"/>
          <w:lang w:val="es-ES_tradnl" w:eastAsia="es-CO"/>
        </w:rPr>
        <w:t xml:space="preserve"> la accionante. </w:t>
      </w:r>
      <w:r w:rsidR="00D72C7B" w:rsidRPr="00793402">
        <w:rPr>
          <w:rFonts w:eastAsia="Calibri"/>
          <w:color w:val="000000" w:themeColor="text1"/>
          <w:sz w:val="28"/>
          <w:szCs w:val="28"/>
          <w:lang w:val="es-ES_tradnl" w:eastAsia="es-CO"/>
        </w:rPr>
        <w:t>Adicionalmente,</w:t>
      </w:r>
      <w:r w:rsidR="00FA2426" w:rsidRPr="00793402">
        <w:rPr>
          <w:rFonts w:eastAsia="Calibri"/>
          <w:color w:val="000000" w:themeColor="text1"/>
          <w:sz w:val="28"/>
          <w:szCs w:val="28"/>
          <w:lang w:val="es-ES_tradnl" w:eastAsia="es-CO"/>
        </w:rPr>
        <w:t xml:space="preserve"> dicha entidad tenía deberes de actualización y gestión de la información de la historia laboral de la peticionaria. </w:t>
      </w:r>
      <w:r w:rsidR="000C690C" w:rsidRPr="00793402">
        <w:rPr>
          <w:rFonts w:eastAsia="Calibri"/>
          <w:color w:val="000000" w:themeColor="text1"/>
          <w:sz w:val="28"/>
          <w:szCs w:val="28"/>
          <w:lang w:val="es-ES_tradnl" w:eastAsia="es-CO"/>
        </w:rPr>
        <w:t xml:space="preserve">La Sala observa que aquella tiene </w:t>
      </w:r>
      <w:r w:rsidR="00D72C7B" w:rsidRPr="00793402">
        <w:rPr>
          <w:rFonts w:eastAsia="Calibri"/>
          <w:color w:val="000000" w:themeColor="text1"/>
          <w:sz w:val="28"/>
          <w:szCs w:val="28"/>
          <w:lang w:val="es-ES_tradnl" w:eastAsia="es-CO"/>
        </w:rPr>
        <w:t xml:space="preserve">aptitud y </w:t>
      </w:r>
      <w:r w:rsidR="000C690C" w:rsidRPr="00793402">
        <w:rPr>
          <w:rFonts w:eastAsia="Calibri"/>
          <w:color w:val="000000" w:themeColor="text1"/>
          <w:sz w:val="28"/>
          <w:szCs w:val="28"/>
          <w:lang w:val="es-ES_tradnl" w:eastAsia="es-CO"/>
        </w:rPr>
        <w:t>capacidad para ser parte del proceso y, en esa medida</w:t>
      </w:r>
      <w:r w:rsidR="001E4EDB" w:rsidRPr="00793402">
        <w:rPr>
          <w:rFonts w:eastAsia="Calibri"/>
          <w:color w:val="000000" w:themeColor="text1"/>
          <w:sz w:val="28"/>
          <w:szCs w:val="28"/>
          <w:lang w:val="es-ES_tradnl" w:eastAsia="es-CO"/>
        </w:rPr>
        <w:t>, está legitimada por pasiva</w:t>
      </w:r>
      <w:r w:rsidR="000C690C" w:rsidRPr="00793402">
        <w:rPr>
          <w:rFonts w:eastAsia="Calibri"/>
          <w:color w:val="000000" w:themeColor="text1"/>
          <w:sz w:val="28"/>
          <w:szCs w:val="28"/>
          <w:lang w:val="es-ES_tradnl" w:eastAsia="es-CO"/>
        </w:rPr>
        <w:t>.</w:t>
      </w:r>
    </w:p>
    <w:p w14:paraId="5D9D684F" w14:textId="77777777" w:rsidR="000C690C" w:rsidRPr="00793402" w:rsidRDefault="000C690C" w:rsidP="000C690C">
      <w:pPr>
        <w:pStyle w:val="Prrafodelista"/>
        <w:widowControl w:val="0"/>
        <w:ind w:left="0"/>
        <w:jc w:val="both"/>
        <w:rPr>
          <w:rFonts w:eastAsia="Calibri"/>
          <w:color w:val="000000" w:themeColor="text1"/>
          <w:sz w:val="28"/>
          <w:szCs w:val="28"/>
          <w:lang w:val="es-ES_tradnl" w:eastAsia="es-CO"/>
        </w:rPr>
      </w:pPr>
    </w:p>
    <w:p w14:paraId="58C12FDA" w14:textId="3B832267" w:rsidR="00B345CC" w:rsidRPr="00793402" w:rsidRDefault="00615C4C" w:rsidP="00B345CC">
      <w:pPr>
        <w:pStyle w:val="Prrafodelista"/>
        <w:widowControl w:val="0"/>
        <w:ind w:left="0"/>
        <w:jc w:val="both"/>
        <w:rPr>
          <w:rFonts w:eastAsia="Calibri"/>
          <w:color w:val="000000" w:themeColor="text1"/>
          <w:sz w:val="28"/>
          <w:szCs w:val="28"/>
          <w:lang w:val="es-ES_tradnl" w:eastAsia="es-CO"/>
        </w:rPr>
      </w:pPr>
      <w:r w:rsidRPr="00793402">
        <w:rPr>
          <w:rFonts w:eastAsia="Calibri"/>
          <w:color w:val="000000" w:themeColor="text1"/>
          <w:sz w:val="28"/>
          <w:szCs w:val="28"/>
          <w:lang w:val="es-ES_tradnl" w:eastAsia="es-CO"/>
        </w:rPr>
        <w:t>29</w:t>
      </w:r>
      <w:r w:rsidR="000C690C" w:rsidRPr="00793402">
        <w:rPr>
          <w:rFonts w:eastAsia="Calibri"/>
          <w:color w:val="000000" w:themeColor="text1"/>
          <w:sz w:val="28"/>
          <w:szCs w:val="28"/>
          <w:lang w:val="es-ES_tradnl" w:eastAsia="es-CO"/>
        </w:rPr>
        <w:t xml:space="preserve">. De otro lado, la autoridad de primera instancia vinculó al trámite a </w:t>
      </w:r>
      <w:r w:rsidR="00940AF8" w:rsidRPr="00793402">
        <w:rPr>
          <w:color w:val="000000" w:themeColor="text1"/>
          <w:sz w:val="28"/>
          <w:szCs w:val="28"/>
        </w:rPr>
        <w:t>C</w:t>
      </w:r>
      <w:r w:rsidR="00D671AA" w:rsidRPr="00793402">
        <w:rPr>
          <w:color w:val="000000" w:themeColor="text1"/>
          <w:sz w:val="28"/>
          <w:szCs w:val="28"/>
        </w:rPr>
        <w:t>OLPENSIONES</w:t>
      </w:r>
      <w:r w:rsidR="000C690C" w:rsidRPr="00793402">
        <w:rPr>
          <w:rFonts w:eastAsia="Calibri"/>
          <w:color w:val="000000" w:themeColor="text1"/>
          <w:sz w:val="28"/>
          <w:szCs w:val="28"/>
          <w:lang w:val="es-ES_tradnl" w:eastAsia="es-CO"/>
        </w:rPr>
        <w:t xml:space="preserve">, a la Comisión Nacional del Servicio Civil, a la Gobernación de Putumayo y a la señora </w:t>
      </w:r>
      <w:proofErr w:type="spellStart"/>
      <w:r w:rsidR="000C690C" w:rsidRPr="00793402">
        <w:rPr>
          <w:rFonts w:eastAsia="Calibri"/>
          <w:color w:val="000000" w:themeColor="text1"/>
          <w:sz w:val="28"/>
          <w:szCs w:val="28"/>
          <w:lang w:val="es-ES_tradnl" w:eastAsia="es-CO"/>
        </w:rPr>
        <w:t>Ingri</w:t>
      </w:r>
      <w:proofErr w:type="spellEnd"/>
      <w:r w:rsidR="000C690C" w:rsidRPr="00793402">
        <w:rPr>
          <w:rFonts w:eastAsia="Calibri"/>
          <w:color w:val="000000" w:themeColor="text1"/>
          <w:sz w:val="28"/>
          <w:szCs w:val="28"/>
          <w:lang w:val="es-ES_tradnl" w:eastAsia="es-CO"/>
        </w:rPr>
        <w:t xml:space="preserve"> Paola Cortés Ortiz. Al respecto, la Sala encuentra acreditada la </w:t>
      </w:r>
      <w:r w:rsidR="000C690C" w:rsidRPr="00793402">
        <w:rPr>
          <w:color w:val="000000" w:themeColor="text1"/>
          <w:sz w:val="28"/>
          <w:szCs w:val="28"/>
          <w:shd w:val="clear" w:color="auto" w:fill="FFFFFF"/>
        </w:rPr>
        <w:t>legitimación por pasiva únicamente en relación con</w:t>
      </w:r>
      <w:r w:rsidR="000C690C" w:rsidRPr="00793402">
        <w:rPr>
          <w:rFonts w:eastAsia="Calibri"/>
          <w:color w:val="000000" w:themeColor="text1"/>
          <w:sz w:val="28"/>
          <w:szCs w:val="28"/>
          <w:lang w:val="es-ES_tradnl" w:eastAsia="es-CO"/>
        </w:rPr>
        <w:t xml:space="preserve"> </w:t>
      </w:r>
      <w:r w:rsidR="00940AF8" w:rsidRPr="00793402">
        <w:rPr>
          <w:color w:val="000000" w:themeColor="text1"/>
          <w:sz w:val="28"/>
          <w:szCs w:val="28"/>
        </w:rPr>
        <w:t>C</w:t>
      </w:r>
      <w:r w:rsidR="00D671AA" w:rsidRPr="00793402">
        <w:rPr>
          <w:color w:val="000000" w:themeColor="text1"/>
          <w:sz w:val="28"/>
          <w:szCs w:val="28"/>
        </w:rPr>
        <w:t>OLPENSIONES</w:t>
      </w:r>
      <w:r w:rsidR="000C690C" w:rsidRPr="00793402">
        <w:rPr>
          <w:rFonts w:eastAsia="Calibri"/>
          <w:color w:val="000000" w:themeColor="text1"/>
          <w:sz w:val="28"/>
          <w:szCs w:val="28"/>
          <w:lang w:val="es-ES_tradnl" w:eastAsia="es-CO"/>
        </w:rPr>
        <w:t>. Lo expuesto, porque en ejercicio de sus competencias, le corresponde</w:t>
      </w:r>
      <w:r w:rsidR="00100270" w:rsidRPr="00793402">
        <w:rPr>
          <w:rFonts w:eastAsia="Calibri"/>
          <w:color w:val="000000" w:themeColor="text1"/>
          <w:sz w:val="28"/>
          <w:szCs w:val="28"/>
          <w:lang w:val="es-ES_tradnl" w:eastAsia="es-CO"/>
        </w:rPr>
        <w:t xml:space="preserve"> gestionar y actualizar </w:t>
      </w:r>
      <w:r w:rsidR="000C690C" w:rsidRPr="00793402">
        <w:rPr>
          <w:rFonts w:eastAsia="Calibri"/>
          <w:color w:val="000000" w:themeColor="text1"/>
          <w:sz w:val="28"/>
          <w:szCs w:val="28"/>
          <w:lang w:val="es-ES_tradnl" w:eastAsia="es-CO"/>
        </w:rPr>
        <w:t>el historial laboral de la accionante</w:t>
      </w:r>
      <w:r w:rsidR="00EC247F" w:rsidRPr="00793402">
        <w:rPr>
          <w:rStyle w:val="Refdenotaalpie"/>
          <w:rFonts w:eastAsia="Calibri"/>
          <w:color w:val="000000" w:themeColor="text1"/>
          <w:sz w:val="28"/>
          <w:szCs w:val="28"/>
          <w:lang w:val="es-ES_tradnl" w:eastAsia="es-CO"/>
        </w:rPr>
        <w:footnoteReference w:id="66"/>
      </w:r>
      <w:r w:rsidR="000C690C" w:rsidRPr="00793402">
        <w:rPr>
          <w:rFonts w:eastAsia="Calibri"/>
          <w:color w:val="000000" w:themeColor="text1"/>
          <w:sz w:val="28"/>
          <w:szCs w:val="28"/>
          <w:lang w:val="es-ES_tradnl" w:eastAsia="es-CO"/>
        </w:rPr>
        <w:t>. En relación con la CNSC</w:t>
      </w:r>
      <w:r w:rsidR="008B7416" w:rsidRPr="00793402">
        <w:rPr>
          <w:rFonts w:eastAsia="Calibri"/>
          <w:color w:val="000000" w:themeColor="text1"/>
          <w:sz w:val="28"/>
          <w:szCs w:val="28"/>
          <w:lang w:val="es-ES_tradnl" w:eastAsia="es-CO"/>
        </w:rPr>
        <w:t xml:space="preserve"> y</w:t>
      </w:r>
      <w:r w:rsidR="000C690C" w:rsidRPr="00793402">
        <w:rPr>
          <w:rFonts w:eastAsia="Calibri"/>
          <w:color w:val="000000" w:themeColor="text1"/>
          <w:sz w:val="28"/>
          <w:szCs w:val="28"/>
          <w:lang w:val="es-ES_tradnl" w:eastAsia="es-CO"/>
        </w:rPr>
        <w:t xml:space="preserve"> la Gobernación de Putumayo</w:t>
      </w:r>
      <w:r w:rsidR="001E4EDB" w:rsidRPr="00793402">
        <w:rPr>
          <w:rFonts w:eastAsia="Calibri"/>
          <w:color w:val="000000" w:themeColor="text1"/>
          <w:sz w:val="28"/>
          <w:szCs w:val="28"/>
          <w:lang w:val="es-ES_tradnl" w:eastAsia="es-CO"/>
        </w:rPr>
        <w:t xml:space="preserve"> </w:t>
      </w:r>
      <w:r w:rsidR="000C690C" w:rsidRPr="00793402">
        <w:rPr>
          <w:rFonts w:eastAsia="Calibri"/>
          <w:color w:val="000000" w:themeColor="text1"/>
          <w:sz w:val="28"/>
          <w:szCs w:val="28"/>
          <w:lang w:val="es-ES_tradnl" w:eastAsia="es-CO"/>
        </w:rPr>
        <w:t xml:space="preserve">la Sala advierte que carecen de legitimación por pasiva porque no administran la información laboral </w:t>
      </w:r>
      <w:r w:rsidR="001E4EDB" w:rsidRPr="00793402">
        <w:rPr>
          <w:rFonts w:eastAsia="Calibri"/>
          <w:color w:val="000000" w:themeColor="text1"/>
          <w:sz w:val="28"/>
          <w:szCs w:val="28"/>
          <w:lang w:val="es-ES_tradnl" w:eastAsia="es-CO"/>
        </w:rPr>
        <w:t xml:space="preserve">ni los aportes a pensión </w:t>
      </w:r>
      <w:r w:rsidR="000C690C" w:rsidRPr="00793402">
        <w:rPr>
          <w:rFonts w:eastAsia="Calibri"/>
          <w:color w:val="000000" w:themeColor="text1"/>
          <w:sz w:val="28"/>
          <w:szCs w:val="28"/>
          <w:lang w:val="es-ES_tradnl" w:eastAsia="es-CO"/>
        </w:rPr>
        <w:t xml:space="preserve">de la actora </w:t>
      </w:r>
      <w:r w:rsidR="001E4EDB" w:rsidRPr="00793402">
        <w:rPr>
          <w:rFonts w:eastAsia="Calibri"/>
          <w:color w:val="000000" w:themeColor="text1"/>
          <w:sz w:val="28"/>
          <w:szCs w:val="28"/>
          <w:lang w:val="es-ES_tradnl" w:eastAsia="es-CO"/>
        </w:rPr>
        <w:t>y tampoco</w:t>
      </w:r>
      <w:r w:rsidR="000C690C" w:rsidRPr="00793402">
        <w:rPr>
          <w:rFonts w:eastAsia="Calibri"/>
          <w:color w:val="000000" w:themeColor="text1"/>
          <w:sz w:val="28"/>
          <w:szCs w:val="28"/>
          <w:lang w:val="es-ES_tradnl" w:eastAsia="es-CO"/>
        </w:rPr>
        <w:t xml:space="preserve"> participaron en la</w:t>
      </w:r>
      <w:r w:rsidR="00BB3BA2" w:rsidRPr="00793402">
        <w:rPr>
          <w:rFonts w:eastAsia="Calibri"/>
          <w:color w:val="000000" w:themeColor="text1"/>
          <w:sz w:val="28"/>
          <w:szCs w:val="28"/>
          <w:lang w:val="es-ES_tradnl" w:eastAsia="es-CO"/>
        </w:rPr>
        <w:t xml:space="preserve"> desvinculación del cargo de </w:t>
      </w:r>
      <w:r w:rsidR="000C690C" w:rsidRPr="00793402">
        <w:rPr>
          <w:rFonts w:eastAsia="Calibri"/>
          <w:color w:val="000000" w:themeColor="text1"/>
          <w:sz w:val="28"/>
          <w:szCs w:val="28"/>
          <w:lang w:val="es-ES_tradnl" w:eastAsia="es-CO"/>
        </w:rPr>
        <w:t>la ac</w:t>
      </w:r>
      <w:r w:rsidR="00442034" w:rsidRPr="00793402">
        <w:rPr>
          <w:rFonts w:eastAsia="Calibri"/>
          <w:color w:val="000000" w:themeColor="text1"/>
          <w:sz w:val="28"/>
          <w:szCs w:val="28"/>
          <w:lang w:val="es-ES_tradnl" w:eastAsia="es-CO"/>
        </w:rPr>
        <w:t>cionante</w:t>
      </w:r>
      <w:r w:rsidR="000C690C" w:rsidRPr="00793402">
        <w:rPr>
          <w:rFonts w:eastAsia="Calibri"/>
          <w:color w:val="000000" w:themeColor="text1"/>
          <w:sz w:val="28"/>
          <w:szCs w:val="28"/>
          <w:lang w:val="es-ES_tradnl" w:eastAsia="es-CO"/>
        </w:rPr>
        <w:t>. Por esa razón, serán desvinculadas.</w:t>
      </w:r>
      <w:r w:rsidR="00B345CC" w:rsidRPr="00793402">
        <w:rPr>
          <w:rFonts w:eastAsia="Calibri"/>
          <w:color w:val="000000" w:themeColor="text1"/>
          <w:sz w:val="28"/>
          <w:szCs w:val="28"/>
          <w:lang w:val="es-ES_tradnl" w:eastAsia="es-CO"/>
        </w:rPr>
        <w:t xml:space="preserve"> Por otra parte, la </w:t>
      </w:r>
      <w:r w:rsidR="00942600" w:rsidRPr="00793402">
        <w:rPr>
          <w:rFonts w:eastAsia="Calibri"/>
          <w:color w:val="000000" w:themeColor="text1"/>
          <w:sz w:val="28"/>
          <w:szCs w:val="28"/>
          <w:lang w:val="es-ES_tradnl" w:eastAsia="es-CO"/>
        </w:rPr>
        <w:t>s</w:t>
      </w:r>
      <w:r w:rsidR="00B345CC" w:rsidRPr="00793402">
        <w:rPr>
          <w:rFonts w:eastAsia="Calibri"/>
          <w:color w:val="000000" w:themeColor="text1"/>
          <w:sz w:val="28"/>
          <w:szCs w:val="28"/>
          <w:lang w:val="es-ES_tradnl" w:eastAsia="es-CO"/>
        </w:rPr>
        <w:t xml:space="preserve">eñora </w:t>
      </w:r>
      <w:proofErr w:type="spellStart"/>
      <w:r w:rsidR="00B345CC" w:rsidRPr="00793402">
        <w:rPr>
          <w:rFonts w:eastAsia="Calibri"/>
          <w:color w:val="000000" w:themeColor="text1"/>
          <w:sz w:val="28"/>
          <w:szCs w:val="28"/>
          <w:lang w:val="es-ES_tradnl" w:eastAsia="es-CO"/>
        </w:rPr>
        <w:t>Ingri</w:t>
      </w:r>
      <w:proofErr w:type="spellEnd"/>
      <w:r w:rsidR="00B345CC" w:rsidRPr="00793402">
        <w:rPr>
          <w:rFonts w:eastAsia="Calibri"/>
          <w:color w:val="000000" w:themeColor="text1"/>
          <w:sz w:val="28"/>
          <w:szCs w:val="28"/>
          <w:lang w:val="es-ES_tradnl" w:eastAsia="es-CO"/>
        </w:rPr>
        <w:t xml:space="preserve"> Paola Cortés Ortiz </w:t>
      </w:r>
      <w:r w:rsidR="00942600" w:rsidRPr="00793402">
        <w:rPr>
          <w:rFonts w:eastAsia="Calibri"/>
          <w:color w:val="000000" w:themeColor="text1"/>
          <w:sz w:val="28"/>
          <w:szCs w:val="28"/>
          <w:lang w:val="es-ES_tradnl" w:eastAsia="es-CO"/>
        </w:rPr>
        <w:t>no</w:t>
      </w:r>
      <w:r w:rsidR="00566C7A" w:rsidRPr="00793402">
        <w:rPr>
          <w:rFonts w:eastAsia="Calibri"/>
          <w:color w:val="000000" w:themeColor="text1"/>
          <w:sz w:val="28"/>
          <w:szCs w:val="28"/>
          <w:lang w:val="es-ES_tradnl" w:eastAsia="es-CO"/>
        </w:rPr>
        <w:t xml:space="preserve"> cumple con los requisitos previstos en la ley para ser accionada como particular en este caso</w:t>
      </w:r>
      <w:r w:rsidR="00566C7A" w:rsidRPr="00793402">
        <w:rPr>
          <w:rStyle w:val="Refdenotaalpie"/>
          <w:rFonts w:eastAsia="Calibri"/>
          <w:color w:val="000000" w:themeColor="text1"/>
          <w:sz w:val="28"/>
          <w:szCs w:val="28"/>
          <w:lang w:val="es-ES_tradnl" w:eastAsia="es-CO"/>
        </w:rPr>
        <w:footnoteReference w:id="67"/>
      </w:r>
      <w:r w:rsidR="00D671AA" w:rsidRPr="00793402">
        <w:rPr>
          <w:rFonts w:eastAsia="Calibri"/>
          <w:color w:val="000000" w:themeColor="text1"/>
          <w:sz w:val="28"/>
          <w:szCs w:val="28"/>
          <w:lang w:val="es-ES_tradnl" w:eastAsia="es-CO"/>
        </w:rPr>
        <w:t>.</w:t>
      </w:r>
      <w:r w:rsidR="00942600" w:rsidRPr="00793402">
        <w:rPr>
          <w:rFonts w:eastAsia="Calibri"/>
          <w:color w:val="000000" w:themeColor="text1"/>
          <w:sz w:val="28"/>
          <w:szCs w:val="28"/>
          <w:lang w:val="es-ES_tradnl" w:eastAsia="es-CO"/>
        </w:rPr>
        <w:t xml:space="preserve"> </w:t>
      </w:r>
      <w:r w:rsidR="00566C7A" w:rsidRPr="00793402">
        <w:rPr>
          <w:rFonts w:eastAsia="Calibri"/>
          <w:color w:val="000000" w:themeColor="text1"/>
          <w:sz w:val="28"/>
          <w:szCs w:val="28"/>
          <w:lang w:val="es-ES_tradnl" w:eastAsia="es-CO"/>
        </w:rPr>
        <w:t xml:space="preserve">Sin embargo, aquella puede intervenir como tercero con interés </w:t>
      </w:r>
      <w:r w:rsidR="00B345CC" w:rsidRPr="00793402">
        <w:rPr>
          <w:rFonts w:eastAsia="Calibri"/>
          <w:color w:val="000000" w:themeColor="text1"/>
          <w:sz w:val="28"/>
          <w:szCs w:val="28"/>
          <w:lang w:val="es-ES_tradnl" w:eastAsia="es-CO"/>
        </w:rPr>
        <w:t xml:space="preserve">por </w:t>
      </w:r>
      <w:r w:rsidR="003F1F6C" w:rsidRPr="00793402">
        <w:rPr>
          <w:rFonts w:eastAsia="Calibri"/>
          <w:color w:val="000000" w:themeColor="text1"/>
          <w:sz w:val="28"/>
          <w:szCs w:val="28"/>
          <w:lang w:val="es-ES_tradnl" w:eastAsia="es-CO"/>
        </w:rPr>
        <w:t>ocupar</w:t>
      </w:r>
      <w:r w:rsidR="00B345CC" w:rsidRPr="00793402">
        <w:rPr>
          <w:rFonts w:eastAsia="Calibri"/>
          <w:color w:val="000000" w:themeColor="text1"/>
          <w:sz w:val="28"/>
          <w:szCs w:val="28"/>
          <w:lang w:val="es-ES_tradnl" w:eastAsia="es-CO"/>
        </w:rPr>
        <w:t xml:space="preserve"> el cargo que </w:t>
      </w:r>
      <w:r w:rsidR="00566C7A" w:rsidRPr="00793402">
        <w:rPr>
          <w:rFonts w:eastAsia="Calibri"/>
          <w:color w:val="000000" w:themeColor="text1"/>
          <w:sz w:val="28"/>
          <w:szCs w:val="28"/>
          <w:lang w:val="es-ES_tradnl" w:eastAsia="es-CO"/>
        </w:rPr>
        <w:t>desempeñaba</w:t>
      </w:r>
      <w:r w:rsidR="00B345CC" w:rsidRPr="00793402">
        <w:rPr>
          <w:rFonts w:eastAsia="Calibri"/>
          <w:color w:val="000000" w:themeColor="text1"/>
          <w:sz w:val="28"/>
          <w:szCs w:val="28"/>
          <w:lang w:val="es-ES_tradnl" w:eastAsia="es-CO"/>
        </w:rPr>
        <w:t xml:space="preserve"> la accionante. En ese sentido, se mantendrá su condición dentro del trámite</w:t>
      </w:r>
      <w:r w:rsidR="00566C7A" w:rsidRPr="00793402">
        <w:rPr>
          <w:rFonts w:eastAsia="Calibri"/>
          <w:color w:val="000000" w:themeColor="text1"/>
          <w:sz w:val="28"/>
          <w:szCs w:val="28"/>
          <w:lang w:val="es-ES_tradnl" w:eastAsia="es-CO"/>
        </w:rPr>
        <w:t>, pues la definición de la situación jurídica de la demandante incide en su vinculación laboral con la SED</w:t>
      </w:r>
      <w:r w:rsidR="00566C7A" w:rsidRPr="00793402">
        <w:rPr>
          <w:rStyle w:val="Refdenotaalpie"/>
          <w:rFonts w:eastAsia="Calibri"/>
          <w:color w:val="000000" w:themeColor="text1"/>
          <w:sz w:val="28"/>
          <w:szCs w:val="28"/>
          <w:lang w:val="es-ES_tradnl" w:eastAsia="es-CO"/>
        </w:rPr>
        <w:footnoteReference w:id="68"/>
      </w:r>
      <w:r w:rsidR="00B345CC" w:rsidRPr="00793402">
        <w:rPr>
          <w:rFonts w:eastAsia="Calibri"/>
          <w:color w:val="000000" w:themeColor="text1"/>
          <w:sz w:val="28"/>
          <w:szCs w:val="28"/>
          <w:lang w:val="es-ES_tradnl" w:eastAsia="es-CO"/>
        </w:rPr>
        <w:t>.</w:t>
      </w:r>
    </w:p>
    <w:p w14:paraId="5195F9E8" w14:textId="77777777" w:rsidR="000C690C" w:rsidRPr="00793402" w:rsidRDefault="000C690C" w:rsidP="000C690C">
      <w:pPr>
        <w:pStyle w:val="Prrafodelista"/>
        <w:widowControl w:val="0"/>
        <w:ind w:left="0"/>
        <w:jc w:val="both"/>
        <w:rPr>
          <w:rFonts w:eastAsia="Calibri"/>
          <w:color w:val="000000" w:themeColor="text1"/>
          <w:sz w:val="28"/>
          <w:szCs w:val="28"/>
          <w:lang w:val="es-ES_tradnl" w:eastAsia="es-CO"/>
        </w:rPr>
      </w:pPr>
    </w:p>
    <w:p w14:paraId="5BB81C8B" w14:textId="61A42F95" w:rsidR="00F6130D" w:rsidRPr="00793402" w:rsidRDefault="00402BD6" w:rsidP="00D124E2">
      <w:pPr>
        <w:pStyle w:val="Prrafodelista"/>
        <w:widowControl w:val="0"/>
        <w:ind w:left="0"/>
        <w:jc w:val="both"/>
        <w:rPr>
          <w:color w:val="000000" w:themeColor="text1"/>
          <w:sz w:val="28"/>
          <w:szCs w:val="28"/>
          <w:lang w:eastAsia="es-CO"/>
        </w:rPr>
      </w:pPr>
      <w:r w:rsidRPr="00793402">
        <w:rPr>
          <w:rFonts w:eastAsia="Calibri"/>
          <w:color w:val="000000" w:themeColor="text1"/>
          <w:sz w:val="28"/>
          <w:szCs w:val="28"/>
          <w:lang w:val="es-ES_tradnl" w:eastAsia="es-CO"/>
        </w:rPr>
        <w:t>3</w:t>
      </w:r>
      <w:r w:rsidR="00615C4C" w:rsidRPr="00793402">
        <w:rPr>
          <w:rFonts w:eastAsia="Calibri"/>
          <w:color w:val="000000" w:themeColor="text1"/>
          <w:sz w:val="28"/>
          <w:szCs w:val="28"/>
          <w:lang w:val="es-ES_tradnl" w:eastAsia="es-CO"/>
        </w:rPr>
        <w:t>0</w:t>
      </w:r>
      <w:r w:rsidRPr="00793402">
        <w:rPr>
          <w:rFonts w:eastAsia="Calibri"/>
          <w:color w:val="000000" w:themeColor="text1"/>
          <w:sz w:val="28"/>
          <w:szCs w:val="28"/>
          <w:lang w:val="es-ES_tradnl" w:eastAsia="es-CO"/>
        </w:rPr>
        <w:t>.</w:t>
      </w:r>
      <w:r w:rsidRPr="00793402">
        <w:rPr>
          <w:rFonts w:eastAsia="Calibri"/>
          <w:i/>
          <w:iCs/>
          <w:color w:val="000000" w:themeColor="text1"/>
          <w:sz w:val="28"/>
          <w:szCs w:val="28"/>
          <w:lang w:val="es-ES_tradnl" w:eastAsia="es-CO"/>
        </w:rPr>
        <w:t xml:space="preserve"> </w:t>
      </w:r>
      <w:r w:rsidR="00B155CF" w:rsidRPr="00793402">
        <w:rPr>
          <w:rFonts w:eastAsia="Calibri"/>
          <w:i/>
          <w:iCs/>
          <w:color w:val="000000" w:themeColor="text1"/>
          <w:sz w:val="28"/>
          <w:szCs w:val="28"/>
          <w:lang w:val="es-ES_tradnl" w:eastAsia="es-CO"/>
        </w:rPr>
        <w:t xml:space="preserve">Inmediatez. </w:t>
      </w:r>
      <w:r w:rsidR="00020158" w:rsidRPr="00793402">
        <w:rPr>
          <w:color w:val="000000" w:themeColor="text1"/>
          <w:sz w:val="28"/>
          <w:szCs w:val="28"/>
          <w:lang w:eastAsia="es-CO"/>
        </w:rPr>
        <w:t xml:space="preserve">Esta Corporación </w:t>
      </w:r>
      <w:r w:rsidR="000F6398" w:rsidRPr="00793402">
        <w:rPr>
          <w:color w:val="000000" w:themeColor="text1"/>
          <w:sz w:val="28"/>
          <w:szCs w:val="28"/>
          <w:lang w:eastAsia="es-CO"/>
        </w:rPr>
        <w:t>ha señalado</w:t>
      </w:r>
      <w:r w:rsidR="00020158" w:rsidRPr="00793402">
        <w:rPr>
          <w:color w:val="000000" w:themeColor="text1"/>
          <w:sz w:val="28"/>
          <w:szCs w:val="28"/>
          <w:lang w:eastAsia="es-CO"/>
        </w:rPr>
        <w:t xml:space="preserve"> que</w:t>
      </w:r>
      <w:r w:rsidR="000F6398" w:rsidRPr="00793402">
        <w:rPr>
          <w:color w:val="000000" w:themeColor="text1"/>
          <w:sz w:val="28"/>
          <w:szCs w:val="28"/>
          <w:lang w:eastAsia="es-CO"/>
        </w:rPr>
        <w:t xml:space="preserve"> </w:t>
      </w:r>
      <w:r w:rsidR="00020158" w:rsidRPr="00793402">
        <w:rPr>
          <w:color w:val="000000" w:themeColor="text1"/>
          <w:sz w:val="28"/>
          <w:szCs w:val="28"/>
          <w:lang w:eastAsia="es-CO"/>
        </w:rPr>
        <w:t xml:space="preserve">este requisito </w:t>
      </w:r>
      <w:r w:rsidR="000F6398" w:rsidRPr="00793402">
        <w:rPr>
          <w:color w:val="000000" w:themeColor="text1"/>
          <w:sz w:val="28"/>
          <w:szCs w:val="28"/>
          <w:lang w:eastAsia="es-CO"/>
        </w:rPr>
        <w:t xml:space="preserve">se cumple </w:t>
      </w:r>
      <w:r w:rsidR="00020158" w:rsidRPr="00793402">
        <w:rPr>
          <w:color w:val="000000" w:themeColor="text1"/>
          <w:sz w:val="28"/>
          <w:szCs w:val="28"/>
          <w:lang w:eastAsia="es-CO"/>
        </w:rPr>
        <w:t>cuando</w:t>
      </w:r>
      <w:r w:rsidR="00031D09" w:rsidRPr="00793402">
        <w:rPr>
          <w:color w:val="000000" w:themeColor="text1"/>
          <w:sz w:val="28"/>
          <w:szCs w:val="28"/>
          <w:lang w:eastAsia="es-CO"/>
        </w:rPr>
        <w:t xml:space="preserve"> es razonable: (i) el tiempo que va desde que se produjo la vulneración o amenaza a los derechos fundamentales, hasta la presentación de la acción de tutela;</w:t>
      </w:r>
      <w:r w:rsidR="009D3D42" w:rsidRPr="00793402">
        <w:rPr>
          <w:color w:val="000000" w:themeColor="text1"/>
          <w:sz w:val="28"/>
          <w:szCs w:val="28"/>
          <w:lang w:eastAsia="es-CO"/>
        </w:rPr>
        <w:t xml:space="preserve"> y/</w:t>
      </w:r>
      <w:r w:rsidR="006E1185" w:rsidRPr="00793402">
        <w:rPr>
          <w:color w:val="000000" w:themeColor="text1"/>
          <w:sz w:val="28"/>
          <w:szCs w:val="28"/>
          <w:lang w:eastAsia="es-CO"/>
        </w:rPr>
        <w:t>o</w:t>
      </w:r>
      <w:r w:rsidR="00031D09" w:rsidRPr="00793402">
        <w:rPr>
          <w:color w:val="000000" w:themeColor="text1"/>
          <w:sz w:val="28"/>
          <w:szCs w:val="28"/>
          <w:lang w:eastAsia="es-CO"/>
        </w:rPr>
        <w:t xml:space="preserve">, (ii) el lapso </w:t>
      </w:r>
      <w:r w:rsidR="00BB3BA2" w:rsidRPr="00793402">
        <w:rPr>
          <w:color w:val="000000" w:themeColor="text1"/>
          <w:sz w:val="28"/>
          <w:szCs w:val="28"/>
          <w:lang w:eastAsia="es-CO"/>
        </w:rPr>
        <w:t xml:space="preserve">en el </w:t>
      </w:r>
      <w:r w:rsidR="00031D09" w:rsidRPr="00793402">
        <w:rPr>
          <w:color w:val="000000" w:themeColor="text1"/>
          <w:sz w:val="28"/>
          <w:szCs w:val="28"/>
          <w:lang w:eastAsia="es-CO"/>
        </w:rPr>
        <w:t>cual se promovió la última actuación en defensa de los derechos aparentemente vulnerados y la solicitud de amparo (T-176 de 2018</w:t>
      </w:r>
      <w:r w:rsidR="00031D09" w:rsidRPr="00793402">
        <w:rPr>
          <w:rStyle w:val="Refdenotaalpie"/>
          <w:color w:val="000000" w:themeColor="text1"/>
          <w:sz w:val="28"/>
          <w:szCs w:val="28"/>
          <w:lang w:eastAsia="es-CO"/>
        </w:rPr>
        <w:footnoteReference w:id="69"/>
      </w:r>
      <w:r w:rsidR="00031D09" w:rsidRPr="00793402">
        <w:rPr>
          <w:color w:val="000000" w:themeColor="text1"/>
          <w:sz w:val="28"/>
          <w:szCs w:val="28"/>
          <w:lang w:eastAsia="es-CO"/>
        </w:rPr>
        <w:t xml:space="preserve">). </w:t>
      </w:r>
      <w:r w:rsidR="00D52CDF" w:rsidRPr="00793402">
        <w:rPr>
          <w:color w:val="000000" w:themeColor="text1"/>
          <w:sz w:val="28"/>
          <w:szCs w:val="28"/>
          <w:lang w:eastAsia="es-CO"/>
        </w:rPr>
        <w:t xml:space="preserve">También, procede la acción cuando la vulneración de los derechos de la víctima </w:t>
      </w:r>
      <w:proofErr w:type="gramStart"/>
      <w:r w:rsidR="00D52CDF" w:rsidRPr="00793402">
        <w:rPr>
          <w:color w:val="000000" w:themeColor="text1"/>
          <w:sz w:val="28"/>
          <w:szCs w:val="28"/>
          <w:lang w:eastAsia="es-CO"/>
        </w:rPr>
        <w:t>permanecen</w:t>
      </w:r>
      <w:proofErr w:type="gramEnd"/>
      <w:r w:rsidR="00D52CDF" w:rsidRPr="00793402">
        <w:rPr>
          <w:color w:val="000000" w:themeColor="text1"/>
          <w:sz w:val="28"/>
          <w:szCs w:val="28"/>
          <w:lang w:eastAsia="es-CO"/>
        </w:rPr>
        <w:t xml:space="preserve"> en el tiempo (T-413 de 2019</w:t>
      </w:r>
      <w:r w:rsidR="00D52CDF" w:rsidRPr="00793402">
        <w:rPr>
          <w:rStyle w:val="Refdenotaalpie"/>
          <w:color w:val="000000" w:themeColor="text1"/>
          <w:sz w:val="28"/>
          <w:szCs w:val="28"/>
          <w:lang w:eastAsia="es-CO"/>
        </w:rPr>
        <w:footnoteReference w:id="70"/>
      </w:r>
      <w:r w:rsidR="00D52CDF" w:rsidRPr="00793402">
        <w:rPr>
          <w:color w:val="000000" w:themeColor="text1"/>
          <w:sz w:val="28"/>
          <w:szCs w:val="28"/>
          <w:lang w:eastAsia="es-CO"/>
        </w:rPr>
        <w:t>).</w:t>
      </w:r>
    </w:p>
    <w:p w14:paraId="4BFEF46C" w14:textId="77777777" w:rsidR="00F6130D" w:rsidRPr="00793402" w:rsidRDefault="00F6130D" w:rsidP="00D124E2">
      <w:pPr>
        <w:pStyle w:val="Prrafodelista"/>
        <w:widowControl w:val="0"/>
        <w:ind w:left="0"/>
        <w:jc w:val="both"/>
        <w:rPr>
          <w:color w:val="000000" w:themeColor="text1"/>
          <w:sz w:val="28"/>
          <w:szCs w:val="28"/>
          <w:lang w:eastAsia="es-CO"/>
        </w:rPr>
      </w:pPr>
    </w:p>
    <w:p w14:paraId="794ACE2E" w14:textId="68698B42" w:rsidR="008C0BCD" w:rsidRPr="00793402" w:rsidRDefault="008C0BCD" w:rsidP="008C0BCD">
      <w:pPr>
        <w:pStyle w:val="Prrafodelista"/>
        <w:widowControl w:val="0"/>
        <w:ind w:left="0"/>
        <w:jc w:val="both"/>
        <w:rPr>
          <w:color w:val="000000" w:themeColor="text1"/>
          <w:sz w:val="28"/>
          <w:szCs w:val="28"/>
          <w:lang w:eastAsia="es-CO"/>
        </w:rPr>
      </w:pPr>
      <w:r w:rsidRPr="00793402">
        <w:rPr>
          <w:color w:val="000000" w:themeColor="text1"/>
          <w:sz w:val="28"/>
          <w:szCs w:val="28"/>
          <w:lang w:eastAsia="es-CO"/>
        </w:rPr>
        <w:t xml:space="preserve">31. La Sala estima que el presente caso satisface este presupuesto. La última actuación que la accionante promovió ante la </w:t>
      </w:r>
      <w:r w:rsidR="00E55723">
        <w:rPr>
          <w:color w:val="000000" w:themeColor="text1"/>
          <w:sz w:val="28"/>
          <w:szCs w:val="28"/>
          <w:lang w:eastAsia="es-CO"/>
        </w:rPr>
        <w:t>SED</w:t>
      </w:r>
      <w:r w:rsidRPr="00793402">
        <w:rPr>
          <w:color w:val="000000" w:themeColor="text1"/>
          <w:sz w:val="28"/>
          <w:szCs w:val="28"/>
          <w:lang w:eastAsia="es-CO"/>
        </w:rPr>
        <w:t xml:space="preserve"> en defensa de sus derechos fue resuelta desfavorablemente mediante resolución del 21 de junio de 2022</w:t>
      </w:r>
      <w:r w:rsidRPr="00793402">
        <w:rPr>
          <w:rStyle w:val="Refdenotaalpie"/>
          <w:color w:val="000000" w:themeColor="text1"/>
          <w:sz w:val="28"/>
          <w:szCs w:val="28"/>
          <w:lang w:eastAsia="es-CO"/>
        </w:rPr>
        <w:footnoteReference w:id="71"/>
      </w:r>
      <w:r w:rsidR="003E6D14" w:rsidRPr="00793402">
        <w:rPr>
          <w:color w:val="000000" w:themeColor="text1"/>
          <w:sz w:val="28"/>
          <w:szCs w:val="28"/>
          <w:lang w:eastAsia="es-CO"/>
        </w:rPr>
        <w:t>;</w:t>
      </w:r>
      <w:r w:rsidRPr="00793402">
        <w:rPr>
          <w:color w:val="000000" w:themeColor="text1"/>
          <w:sz w:val="28"/>
          <w:szCs w:val="28"/>
          <w:lang w:eastAsia="es-CO"/>
        </w:rPr>
        <w:t xml:space="preserve"> </w:t>
      </w:r>
      <w:r w:rsidR="003E6D14" w:rsidRPr="00793402">
        <w:rPr>
          <w:color w:val="000000" w:themeColor="text1"/>
          <w:sz w:val="28"/>
          <w:szCs w:val="28"/>
          <w:lang w:eastAsia="es-CO"/>
        </w:rPr>
        <w:t>y</w:t>
      </w:r>
      <w:r w:rsidRPr="00793402">
        <w:rPr>
          <w:color w:val="000000" w:themeColor="text1"/>
          <w:sz w:val="28"/>
          <w:szCs w:val="28"/>
          <w:lang w:eastAsia="es-CO"/>
        </w:rPr>
        <w:t>, la acción de tutela fue presentada el 28 de junio de</w:t>
      </w:r>
      <w:r w:rsidR="003E6D14" w:rsidRPr="00793402">
        <w:rPr>
          <w:color w:val="000000" w:themeColor="text1"/>
          <w:sz w:val="28"/>
          <w:szCs w:val="28"/>
          <w:lang w:eastAsia="es-CO"/>
        </w:rPr>
        <w:t>l mismo año</w:t>
      </w:r>
      <w:r w:rsidRPr="00793402">
        <w:rPr>
          <w:rStyle w:val="Refdenotaalpie"/>
          <w:color w:val="000000" w:themeColor="text1"/>
          <w:sz w:val="28"/>
          <w:szCs w:val="28"/>
          <w:lang w:eastAsia="es-CO"/>
        </w:rPr>
        <w:footnoteReference w:id="72"/>
      </w:r>
      <w:r w:rsidRPr="00793402">
        <w:rPr>
          <w:color w:val="000000" w:themeColor="text1"/>
          <w:sz w:val="28"/>
          <w:szCs w:val="28"/>
          <w:lang w:eastAsia="es-CO"/>
        </w:rPr>
        <w:t xml:space="preserve">. En ese sentido, </w:t>
      </w:r>
      <w:r w:rsidRPr="00793402">
        <w:rPr>
          <w:color w:val="000000" w:themeColor="text1"/>
          <w:sz w:val="28"/>
          <w:szCs w:val="28"/>
          <w:lang w:eastAsia="es-CO"/>
        </w:rPr>
        <w:lastRenderedPageBreak/>
        <w:t xml:space="preserve">el término de 7 días entre </w:t>
      </w:r>
      <w:r w:rsidR="006E1185" w:rsidRPr="00793402">
        <w:rPr>
          <w:color w:val="000000" w:themeColor="text1"/>
          <w:sz w:val="28"/>
          <w:szCs w:val="28"/>
          <w:lang w:eastAsia="es-CO"/>
        </w:rPr>
        <w:t>ambos eventos</w:t>
      </w:r>
      <w:r w:rsidRPr="00793402">
        <w:rPr>
          <w:color w:val="000000" w:themeColor="text1"/>
          <w:sz w:val="28"/>
          <w:szCs w:val="28"/>
          <w:lang w:eastAsia="es-CO"/>
        </w:rPr>
        <w:t xml:space="preserve"> es razonable y perentorio.</w:t>
      </w:r>
      <w:r w:rsidR="00D52CDF" w:rsidRPr="00793402">
        <w:rPr>
          <w:color w:val="000000" w:themeColor="text1"/>
          <w:sz w:val="28"/>
          <w:szCs w:val="28"/>
          <w:lang w:eastAsia="es-CO"/>
        </w:rPr>
        <w:t xml:space="preserve"> Asimismo, los efectos jurídicos y económicos del acto de desvinculación se han mantenido en el tiempo. Lo anterior, genera un perjuicio constante en la capacidad adquisitiva de la accionante y las expectativas de acceder a una pensión de vejez.</w:t>
      </w:r>
    </w:p>
    <w:p w14:paraId="2ABA0D2A" w14:textId="09C84911" w:rsidR="00685BB4" w:rsidRPr="00793402" w:rsidRDefault="00685BB4" w:rsidP="00D124E2">
      <w:pPr>
        <w:pStyle w:val="Prrafodelista"/>
        <w:widowControl w:val="0"/>
        <w:ind w:left="0"/>
        <w:jc w:val="both"/>
        <w:rPr>
          <w:b/>
          <w:bCs/>
          <w:i/>
          <w:iCs/>
          <w:color w:val="000000" w:themeColor="text1"/>
          <w:sz w:val="28"/>
          <w:szCs w:val="28"/>
        </w:rPr>
      </w:pPr>
    </w:p>
    <w:p w14:paraId="6C2A3DE8" w14:textId="7E801BEA" w:rsidR="006B2DF3" w:rsidRPr="00793402" w:rsidRDefault="005401CB" w:rsidP="00B77DF4">
      <w:pPr>
        <w:widowControl w:val="0"/>
        <w:jc w:val="both"/>
        <w:rPr>
          <w:rFonts w:eastAsia="Calibri"/>
          <w:color w:val="000000" w:themeColor="text1"/>
          <w:sz w:val="28"/>
          <w:szCs w:val="28"/>
          <w:lang w:val="es-ES_tradnl" w:eastAsia="es-CO"/>
        </w:rPr>
      </w:pPr>
      <w:r w:rsidRPr="00793402">
        <w:rPr>
          <w:rFonts w:eastAsia="Calibri"/>
          <w:color w:val="000000" w:themeColor="text1"/>
          <w:sz w:val="28"/>
          <w:szCs w:val="28"/>
          <w:lang w:val="es-ES_tradnl" w:eastAsia="es-CO"/>
        </w:rPr>
        <w:t>3</w:t>
      </w:r>
      <w:r w:rsidR="002C4CD1" w:rsidRPr="00793402">
        <w:rPr>
          <w:rFonts w:eastAsia="Calibri"/>
          <w:color w:val="000000" w:themeColor="text1"/>
          <w:sz w:val="28"/>
          <w:szCs w:val="28"/>
          <w:lang w:val="es-ES_tradnl" w:eastAsia="es-CO"/>
        </w:rPr>
        <w:t>2</w:t>
      </w:r>
      <w:r w:rsidRPr="00793402">
        <w:rPr>
          <w:rFonts w:eastAsia="Calibri"/>
          <w:color w:val="000000" w:themeColor="text1"/>
          <w:sz w:val="28"/>
          <w:szCs w:val="28"/>
          <w:lang w:val="es-ES_tradnl" w:eastAsia="es-CO"/>
        </w:rPr>
        <w:t xml:space="preserve">. </w:t>
      </w:r>
      <w:r w:rsidRPr="00793402">
        <w:rPr>
          <w:rFonts w:eastAsia="Calibri"/>
          <w:i/>
          <w:iCs/>
          <w:color w:val="000000" w:themeColor="text1"/>
          <w:sz w:val="28"/>
          <w:szCs w:val="28"/>
          <w:lang w:val="es-ES_tradnl" w:eastAsia="es-CO"/>
        </w:rPr>
        <w:t>Subsidiariedad.</w:t>
      </w:r>
      <w:r w:rsidRPr="00793402">
        <w:rPr>
          <w:rFonts w:eastAsia="Calibri"/>
          <w:b/>
          <w:bCs/>
          <w:color w:val="000000" w:themeColor="text1"/>
          <w:sz w:val="28"/>
          <w:szCs w:val="28"/>
          <w:lang w:val="es-ES_tradnl" w:eastAsia="es-CO"/>
        </w:rPr>
        <w:t xml:space="preserve"> </w:t>
      </w:r>
      <w:r w:rsidRPr="00793402">
        <w:rPr>
          <w:rFonts w:eastAsia="Calibri"/>
          <w:color w:val="000000" w:themeColor="text1"/>
          <w:sz w:val="28"/>
          <w:szCs w:val="28"/>
          <w:lang w:val="es-ES_tradnl" w:eastAsia="es-CO"/>
        </w:rPr>
        <w:t xml:space="preserve">De conformidad con </w:t>
      </w:r>
      <w:r w:rsidR="001E4EDB" w:rsidRPr="00793402">
        <w:rPr>
          <w:rFonts w:eastAsia="Calibri"/>
          <w:color w:val="000000" w:themeColor="text1"/>
          <w:sz w:val="28"/>
          <w:szCs w:val="28"/>
          <w:lang w:val="es-ES_tradnl" w:eastAsia="es-CO"/>
        </w:rPr>
        <w:t>los</w:t>
      </w:r>
      <w:r w:rsidRPr="00793402">
        <w:rPr>
          <w:rFonts w:eastAsia="Calibri"/>
          <w:color w:val="000000" w:themeColor="text1"/>
          <w:sz w:val="28"/>
          <w:szCs w:val="28"/>
          <w:lang w:val="es-ES_tradnl" w:eastAsia="es-CO"/>
        </w:rPr>
        <w:t xml:space="preserve"> artículo</w:t>
      </w:r>
      <w:r w:rsidR="001E4EDB" w:rsidRPr="00793402">
        <w:rPr>
          <w:rFonts w:eastAsia="Calibri"/>
          <w:color w:val="000000" w:themeColor="text1"/>
          <w:sz w:val="28"/>
          <w:szCs w:val="28"/>
          <w:lang w:val="es-ES_tradnl" w:eastAsia="es-CO"/>
        </w:rPr>
        <w:t>s</w:t>
      </w:r>
      <w:r w:rsidRPr="00793402">
        <w:rPr>
          <w:rFonts w:eastAsia="Calibri"/>
          <w:color w:val="000000" w:themeColor="text1"/>
          <w:sz w:val="28"/>
          <w:szCs w:val="28"/>
          <w:lang w:val="es-ES_tradnl" w:eastAsia="es-CO"/>
        </w:rPr>
        <w:t xml:space="preserve"> 86</w:t>
      </w:r>
      <w:r w:rsidRPr="00793402">
        <w:rPr>
          <w:rStyle w:val="Refdenotaalpie"/>
          <w:rFonts w:eastAsia="Calibri"/>
          <w:color w:val="000000" w:themeColor="text1"/>
          <w:sz w:val="28"/>
          <w:szCs w:val="28"/>
          <w:lang w:val="es-ES_tradnl" w:eastAsia="es-CO"/>
        </w:rPr>
        <w:footnoteReference w:id="73"/>
      </w:r>
      <w:r w:rsidRPr="00793402">
        <w:rPr>
          <w:rFonts w:eastAsia="Calibri"/>
          <w:color w:val="000000" w:themeColor="text1"/>
          <w:sz w:val="28"/>
          <w:szCs w:val="28"/>
          <w:lang w:val="es-ES_tradnl" w:eastAsia="es-CO"/>
        </w:rPr>
        <w:t xml:space="preserve"> de la </w:t>
      </w:r>
      <w:r w:rsidR="001E4EDB" w:rsidRPr="00793402">
        <w:rPr>
          <w:rFonts w:eastAsia="Calibri"/>
          <w:color w:val="000000" w:themeColor="text1"/>
          <w:sz w:val="28"/>
          <w:szCs w:val="28"/>
          <w:lang w:val="es-ES_tradnl" w:eastAsia="es-CO"/>
        </w:rPr>
        <w:t>C</w:t>
      </w:r>
      <w:r w:rsidRPr="00793402">
        <w:rPr>
          <w:rFonts w:eastAsia="Calibri"/>
          <w:color w:val="000000" w:themeColor="text1"/>
          <w:sz w:val="28"/>
          <w:szCs w:val="28"/>
          <w:lang w:val="es-ES_tradnl" w:eastAsia="es-CO"/>
        </w:rPr>
        <w:t>onstitución y el 6°</w:t>
      </w:r>
      <w:r w:rsidRPr="00793402">
        <w:rPr>
          <w:rStyle w:val="Refdenotaalpie"/>
          <w:rFonts w:eastAsia="Calibri"/>
          <w:color w:val="000000" w:themeColor="text1"/>
          <w:sz w:val="28"/>
          <w:szCs w:val="28"/>
          <w:lang w:val="es-ES_tradnl" w:eastAsia="es-CO"/>
        </w:rPr>
        <w:footnoteReference w:id="74"/>
      </w:r>
      <w:r w:rsidRPr="00793402">
        <w:rPr>
          <w:rFonts w:eastAsia="Calibri"/>
          <w:color w:val="000000" w:themeColor="text1"/>
          <w:sz w:val="28"/>
          <w:szCs w:val="28"/>
          <w:lang w:val="es-ES_tradnl" w:eastAsia="es-CO"/>
        </w:rPr>
        <w:t xml:space="preserve"> del Decreto 2591 de 1991 la acción de tutela es un recurso subsidiario que procede cuando: (i) no existan medios de defensa judicial</w:t>
      </w:r>
      <w:r w:rsidR="00B345CC" w:rsidRPr="00793402">
        <w:rPr>
          <w:rFonts w:eastAsia="Calibri"/>
          <w:color w:val="000000" w:themeColor="text1"/>
          <w:sz w:val="28"/>
          <w:szCs w:val="28"/>
          <w:lang w:val="es-ES_tradnl" w:eastAsia="es-CO"/>
        </w:rPr>
        <w:t>;</w:t>
      </w:r>
      <w:r w:rsidR="00106C7F" w:rsidRPr="00793402">
        <w:rPr>
          <w:rFonts w:eastAsia="Calibri"/>
          <w:color w:val="000000" w:themeColor="text1"/>
          <w:sz w:val="28"/>
          <w:szCs w:val="28"/>
          <w:lang w:val="es-ES_tradnl" w:eastAsia="es-CO"/>
        </w:rPr>
        <w:t xml:space="preserve"> y,</w:t>
      </w:r>
      <w:r w:rsidRPr="00793402">
        <w:rPr>
          <w:rFonts w:eastAsia="Calibri"/>
          <w:color w:val="000000" w:themeColor="text1"/>
          <w:sz w:val="28"/>
          <w:szCs w:val="28"/>
          <w:lang w:val="es-ES_tradnl" w:eastAsia="es-CO"/>
        </w:rPr>
        <w:t xml:space="preserve"> (ii) se utilice de manera transitoria para evitar un perjuicio irremediable.</w:t>
      </w:r>
      <w:r w:rsidR="00B226C0" w:rsidRPr="00793402">
        <w:rPr>
          <w:rFonts w:eastAsia="Calibri"/>
          <w:color w:val="000000" w:themeColor="text1"/>
          <w:sz w:val="28"/>
          <w:szCs w:val="28"/>
          <w:lang w:val="es-ES_tradnl" w:eastAsia="es-CO"/>
        </w:rPr>
        <w:t xml:space="preserve"> La Corte ha establecido que cuando se solicita el reintegro de empleados públicos el mecanismo de defensa idóneo es la acción de nulidad y restablecimiento del derecho (</w:t>
      </w:r>
      <w:r w:rsidR="002F4449" w:rsidRPr="00793402">
        <w:rPr>
          <w:rFonts w:eastAsia="Calibri"/>
          <w:color w:val="000000" w:themeColor="text1"/>
          <w:sz w:val="28"/>
          <w:szCs w:val="28"/>
          <w:lang w:val="es-ES_tradnl" w:eastAsia="es-CO"/>
        </w:rPr>
        <w:t>a</w:t>
      </w:r>
      <w:r w:rsidR="00B226C0" w:rsidRPr="00793402">
        <w:rPr>
          <w:rFonts w:eastAsia="Calibri"/>
          <w:color w:val="000000" w:themeColor="text1"/>
          <w:sz w:val="28"/>
          <w:szCs w:val="28"/>
          <w:lang w:val="es-ES_tradnl" w:eastAsia="es-CO"/>
        </w:rPr>
        <w:t>rtículo 138 del CPACA</w:t>
      </w:r>
      <w:r w:rsidR="00B226C0" w:rsidRPr="00793402">
        <w:rPr>
          <w:rStyle w:val="Refdenotaalpie"/>
          <w:rFonts w:eastAsia="Calibri"/>
          <w:color w:val="000000" w:themeColor="text1"/>
          <w:sz w:val="28"/>
          <w:szCs w:val="28"/>
          <w:lang w:val="es-ES_tradnl" w:eastAsia="es-CO"/>
        </w:rPr>
        <w:footnoteReference w:id="75"/>
      </w:r>
      <w:r w:rsidR="00B226C0" w:rsidRPr="00793402">
        <w:rPr>
          <w:rFonts w:eastAsia="Calibri"/>
          <w:color w:val="000000" w:themeColor="text1"/>
          <w:sz w:val="28"/>
          <w:szCs w:val="28"/>
          <w:lang w:val="es-ES_tradnl" w:eastAsia="es-CO"/>
        </w:rPr>
        <w:t xml:space="preserve">). La naturaleza de dicho proceso permite reclamar en sede de lo contencioso administrativo, la nulidad total o parcial del acto que presuntamente </w:t>
      </w:r>
      <w:r w:rsidR="00F45951" w:rsidRPr="00793402">
        <w:rPr>
          <w:rFonts w:eastAsia="Calibri"/>
          <w:color w:val="000000" w:themeColor="text1"/>
          <w:sz w:val="28"/>
          <w:szCs w:val="28"/>
          <w:lang w:val="es-ES_tradnl" w:eastAsia="es-CO"/>
        </w:rPr>
        <w:t>produce la vulneración de derechos</w:t>
      </w:r>
      <w:r w:rsidR="00BB3417" w:rsidRPr="00793402">
        <w:rPr>
          <w:rFonts w:eastAsia="Calibri"/>
          <w:color w:val="000000" w:themeColor="text1"/>
          <w:sz w:val="28"/>
          <w:szCs w:val="28"/>
          <w:lang w:val="es-ES_tradnl" w:eastAsia="es-CO"/>
        </w:rPr>
        <w:t xml:space="preserve"> y</w:t>
      </w:r>
      <w:r w:rsidR="00B226C0" w:rsidRPr="00793402">
        <w:rPr>
          <w:rFonts w:eastAsia="Calibri"/>
          <w:color w:val="000000" w:themeColor="text1"/>
          <w:sz w:val="28"/>
          <w:szCs w:val="28"/>
          <w:lang w:val="es-ES_tradnl" w:eastAsia="es-CO"/>
        </w:rPr>
        <w:t xml:space="preserve"> </w:t>
      </w:r>
      <w:r w:rsidR="00F45951" w:rsidRPr="00793402">
        <w:rPr>
          <w:rFonts w:eastAsia="Calibri"/>
          <w:color w:val="000000" w:themeColor="text1"/>
          <w:sz w:val="28"/>
          <w:szCs w:val="28"/>
          <w:lang w:val="es-ES_tradnl" w:eastAsia="es-CO"/>
        </w:rPr>
        <w:t xml:space="preserve">solicitar </w:t>
      </w:r>
      <w:r w:rsidR="00B226C0" w:rsidRPr="00793402">
        <w:rPr>
          <w:rFonts w:eastAsia="Calibri"/>
          <w:color w:val="000000" w:themeColor="text1"/>
          <w:sz w:val="28"/>
          <w:szCs w:val="28"/>
          <w:lang w:val="es-ES_tradnl" w:eastAsia="es-CO"/>
        </w:rPr>
        <w:t>la correspondiente reparación</w:t>
      </w:r>
      <w:r w:rsidR="00F45951" w:rsidRPr="00793402">
        <w:rPr>
          <w:rFonts w:eastAsia="Calibri"/>
          <w:color w:val="000000" w:themeColor="text1"/>
          <w:sz w:val="28"/>
          <w:szCs w:val="28"/>
          <w:lang w:val="es-ES_tradnl" w:eastAsia="es-CO"/>
        </w:rPr>
        <w:t xml:space="preserve"> por el</w:t>
      </w:r>
      <w:r w:rsidR="00B226C0" w:rsidRPr="00793402">
        <w:rPr>
          <w:rFonts w:eastAsia="Calibri"/>
          <w:color w:val="000000" w:themeColor="text1"/>
          <w:sz w:val="28"/>
          <w:szCs w:val="28"/>
          <w:lang w:val="es-ES_tradnl" w:eastAsia="es-CO"/>
        </w:rPr>
        <w:t xml:space="preserve"> daño causado</w:t>
      </w:r>
      <w:r w:rsidR="00F45951" w:rsidRPr="00793402">
        <w:rPr>
          <w:rFonts w:eastAsia="Calibri"/>
          <w:color w:val="000000" w:themeColor="text1"/>
          <w:sz w:val="28"/>
          <w:szCs w:val="28"/>
          <w:lang w:val="es-ES_tradnl" w:eastAsia="es-CO"/>
        </w:rPr>
        <w:t xml:space="preserve"> </w:t>
      </w:r>
      <w:r w:rsidR="00B226C0" w:rsidRPr="00793402">
        <w:rPr>
          <w:rFonts w:eastAsia="Calibri"/>
          <w:color w:val="000000" w:themeColor="text1"/>
          <w:sz w:val="28"/>
          <w:szCs w:val="28"/>
          <w:lang w:val="es-ES_tradnl" w:eastAsia="es-CO"/>
        </w:rPr>
        <w:t>(T-063 de 2022</w:t>
      </w:r>
      <w:r w:rsidR="00B226C0" w:rsidRPr="00793402">
        <w:rPr>
          <w:rStyle w:val="Refdenotaalpie"/>
          <w:rFonts w:eastAsia="Calibri"/>
          <w:color w:val="000000" w:themeColor="text1"/>
          <w:sz w:val="28"/>
          <w:szCs w:val="28"/>
          <w:lang w:val="es-ES_tradnl" w:eastAsia="es-CO"/>
        </w:rPr>
        <w:footnoteReference w:id="76"/>
      </w:r>
      <w:r w:rsidR="00B226C0" w:rsidRPr="00793402">
        <w:rPr>
          <w:rFonts w:eastAsia="Calibri"/>
          <w:color w:val="000000" w:themeColor="text1"/>
          <w:sz w:val="28"/>
          <w:szCs w:val="28"/>
          <w:lang w:val="es-ES_tradnl" w:eastAsia="es-CO"/>
        </w:rPr>
        <w:t>). Adicionalmente, dentro del trámite de dicho proceso</w:t>
      </w:r>
      <w:r w:rsidR="00F16680" w:rsidRPr="00793402">
        <w:rPr>
          <w:rFonts w:eastAsia="Calibri"/>
          <w:color w:val="000000" w:themeColor="text1"/>
          <w:sz w:val="28"/>
          <w:szCs w:val="28"/>
          <w:lang w:val="es-ES_tradnl" w:eastAsia="es-CO"/>
        </w:rPr>
        <w:t>, existe la posibilidad</w:t>
      </w:r>
      <w:r w:rsidR="00B226C0" w:rsidRPr="00793402">
        <w:rPr>
          <w:rFonts w:eastAsia="Calibri"/>
          <w:color w:val="000000" w:themeColor="text1"/>
          <w:sz w:val="28"/>
          <w:szCs w:val="28"/>
          <w:lang w:val="es-ES_tradnl" w:eastAsia="es-CO"/>
        </w:rPr>
        <w:t xml:space="preserve"> proponer medidas cautelares con el fin de proteger y garantizar</w:t>
      </w:r>
      <w:r w:rsidR="00525856" w:rsidRPr="00793402">
        <w:rPr>
          <w:rFonts w:eastAsia="Calibri"/>
          <w:color w:val="000000" w:themeColor="text1"/>
          <w:sz w:val="28"/>
          <w:szCs w:val="28"/>
          <w:lang w:val="es-ES_tradnl" w:eastAsia="es-CO"/>
        </w:rPr>
        <w:t xml:space="preserve"> el objeto de lo pretendido</w:t>
      </w:r>
      <w:r w:rsidR="00B226C0" w:rsidRPr="00793402">
        <w:rPr>
          <w:rFonts w:eastAsia="Calibri"/>
          <w:color w:val="000000" w:themeColor="text1"/>
          <w:sz w:val="28"/>
          <w:szCs w:val="28"/>
          <w:lang w:val="es-ES_tradnl" w:eastAsia="es-CO"/>
        </w:rPr>
        <w:t xml:space="preserve"> (</w:t>
      </w:r>
      <w:r w:rsidR="002F4449" w:rsidRPr="00793402">
        <w:rPr>
          <w:rFonts w:eastAsia="Calibri"/>
          <w:color w:val="000000" w:themeColor="text1"/>
          <w:sz w:val="28"/>
          <w:szCs w:val="28"/>
          <w:lang w:val="es-ES_tradnl" w:eastAsia="es-CO"/>
        </w:rPr>
        <w:t>a</w:t>
      </w:r>
      <w:r w:rsidR="00B226C0" w:rsidRPr="00793402">
        <w:rPr>
          <w:rFonts w:eastAsia="Calibri"/>
          <w:color w:val="000000" w:themeColor="text1"/>
          <w:sz w:val="28"/>
          <w:szCs w:val="28"/>
          <w:lang w:val="es-ES_tradnl" w:eastAsia="es-CO"/>
        </w:rPr>
        <w:t>rtículo 223 del CPACA</w:t>
      </w:r>
      <w:r w:rsidR="00B226C0" w:rsidRPr="00793402">
        <w:rPr>
          <w:rStyle w:val="Refdenotaalpie"/>
          <w:rFonts w:eastAsia="Calibri"/>
          <w:color w:val="000000" w:themeColor="text1"/>
          <w:sz w:val="28"/>
          <w:szCs w:val="28"/>
          <w:lang w:val="es-ES_tradnl" w:eastAsia="es-CO"/>
        </w:rPr>
        <w:footnoteReference w:id="77"/>
      </w:r>
      <w:r w:rsidR="00B226C0" w:rsidRPr="00793402">
        <w:rPr>
          <w:rFonts w:eastAsia="Calibri"/>
          <w:color w:val="000000" w:themeColor="text1"/>
          <w:sz w:val="28"/>
          <w:szCs w:val="28"/>
          <w:lang w:val="es-ES_tradnl" w:eastAsia="es-CO"/>
        </w:rPr>
        <w:t>). Sin embargo</w:t>
      </w:r>
      <w:r w:rsidR="00B77DF4" w:rsidRPr="00793402">
        <w:rPr>
          <w:rFonts w:eastAsia="Calibri"/>
          <w:color w:val="000000" w:themeColor="text1"/>
          <w:sz w:val="28"/>
          <w:szCs w:val="28"/>
          <w:lang w:val="es-ES_tradnl" w:eastAsia="es-CO"/>
        </w:rPr>
        <w:t xml:space="preserve">, </w:t>
      </w:r>
      <w:r w:rsidR="006B2DF3" w:rsidRPr="00793402">
        <w:rPr>
          <w:rFonts w:eastAsia="Calibri"/>
          <w:color w:val="000000" w:themeColor="text1"/>
          <w:sz w:val="28"/>
          <w:szCs w:val="28"/>
          <w:lang w:val="es-ES_tradnl" w:eastAsia="es-CO"/>
        </w:rPr>
        <w:t>lo anterior no significa la improcedencia automática de la tutela.</w:t>
      </w:r>
      <w:r w:rsidR="002F4449" w:rsidRPr="00793402">
        <w:rPr>
          <w:rFonts w:eastAsia="Calibri"/>
          <w:color w:val="000000" w:themeColor="text1"/>
          <w:sz w:val="28"/>
          <w:szCs w:val="28"/>
          <w:lang w:val="es-ES_tradnl" w:eastAsia="es-CO"/>
        </w:rPr>
        <w:t xml:space="preserve"> Bajo ese entendido</w:t>
      </w:r>
      <w:r w:rsidR="00F45951" w:rsidRPr="00793402">
        <w:rPr>
          <w:rFonts w:eastAsia="Calibri"/>
          <w:color w:val="000000" w:themeColor="text1"/>
          <w:sz w:val="28"/>
          <w:szCs w:val="28"/>
          <w:lang w:val="es-ES_tradnl" w:eastAsia="es-CO"/>
        </w:rPr>
        <w:t>,</w:t>
      </w:r>
      <w:r w:rsidR="006B2DF3" w:rsidRPr="00793402">
        <w:rPr>
          <w:rFonts w:eastAsia="Calibri"/>
          <w:color w:val="000000" w:themeColor="text1"/>
          <w:sz w:val="28"/>
          <w:szCs w:val="28"/>
          <w:lang w:val="es-ES_tradnl" w:eastAsia="es-CO"/>
        </w:rPr>
        <w:t xml:space="preserve"> </w:t>
      </w:r>
      <w:r w:rsidR="00B77DF4" w:rsidRPr="00793402">
        <w:rPr>
          <w:rFonts w:eastAsia="Calibri"/>
          <w:color w:val="000000" w:themeColor="text1"/>
          <w:sz w:val="28"/>
          <w:szCs w:val="28"/>
          <w:lang w:val="es-ES_tradnl" w:eastAsia="es-CO"/>
        </w:rPr>
        <w:t>l</w:t>
      </w:r>
      <w:r w:rsidR="006B2DF3" w:rsidRPr="00793402">
        <w:rPr>
          <w:rFonts w:eastAsia="Calibri"/>
          <w:color w:val="000000" w:themeColor="text1"/>
          <w:sz w:val="28"/>
          <w:szCs w:val="28"/>
          <w:lang w:val="es-ES_tradnl" w:eastAsia="es-CO"/>
        </w:rPr>
        <w:t xml:space="preserve">os jueces </w:t>
      </w:r>
      <w:r w:rsidR="00174555" w:rsidRPr="00793402">
        <w:rPr>
          <w:rFonts w:eastAsia="Calibri"/>
          <w:color w:val="000000" w:themeColor="text1"/>
          <w:sz w:val="28"/>
          <w:szCs w:val="28"/>
          <w:lang w:val="es-ES_tradnl" w:eastAsia="es-CO"/>
        </w:rPr>
        <w:t>constitucionales</w:t>
      </w:r>
      <w:r w:rsidR="006B2DF3" w:rsidRPr="00793402">
        <w:rPr>
          <w:rFonts w:eastAsia="Calibri"/>
          <w:color w:val="000000" w:themeColor="text1"/>
          <w:sz w:val="28"/>
          <w:szCs w:val="28"/>
          <w:lang w:val="es-ES_tradnl" w:eastAsia="es-CO"/>
        </w:rPr>
        <w:t xml:space="preserve"> est</w:t>
      </w:r>
      <w:r w:rsidR="00AE23F7" w:rsidRPr="00793402">
        <w:rPr>
          <w:rFonts w:eastAsia="Calibri"/>
          <w:color w:val="000000" w:themeColor="text1"/>
          <w:sz w:val="28"/>
          <w:szCs w:val="28"/>
          <w:lang w:val="es-ES_tradnl" w:eastAsia="es-CO"/>
        </w:rPr>
        <w:t>á</w:t>
      </w:r>
      <w:r w:rsidR="008A1CF4" w:rsidRPr="00793402">
        <w:rPr>
          <w:rFonts w:eastAsia="Calibri"/>
          <w:color w:val="000000" w:themeColor="text1"/>
          <w:sz w:val="28"/>
          <w:szCs w:val="28"/>
          <w:lang w:val="es-ES_tradnl" w:eastAsia="es-CO"/>
        </w:rPr>
        <w:t>n</w:t>
      </w:r>
      <w:r w:rsidR="006B2DF3" w:rsidRPr="00793402">
        <w:rPr>
          <w:rFonts w:eastAsia="Calibri"/>
          <w:color w:val="000000" w:themeColor="text1"/>
          <w:sz w:val="28"/>
          <w:szCs w:val="28"/>
          <w:lang w:val="es-ES_tradnl" w:eastAsia="es-CO"/>
        </w:rPr>
        <w:t xml:space="preserve"> obligados a determinar la </w:t>
      </w:r>
      <w:r w:rsidR="000C66D6" w:rsidRPr="00793402">
        <w:rPr>
          <w:rFonts w:eastAsia="Calibri"/>
          <w:color w:val="000000" w:themeColor="text1"/>
          <w:sz w:val="28"/>
          <w:szCs w:val="28"/>
          <w:lang w:val="es-ES_tradnl" w:eastAsia="es-CO"/>
        </w:rPr>
        <w:t>idoneidad y</w:t>
      </w:r>
      <w:r w:rsidR="00080E62" w:rsidRPr="00793402">
        <w:rPr>
          <w:rFonts w:eastAsia="Calibri"/>
          <w:color w:val="000000" w:themeColor="text1"/>
          <w:sz w:val="28"/>
          <w:szCs w:val="28"/>
          <w:lang w:val="es-ES_tradnl" w:eastAsia="es-CO"/>
        </w:rPr>
        <w:t>/o</w:t>
      </w:r>
      <w:r w:rsidR="000C66D6" w:rsidRPr="00793402">
        <w:rPr>
          <w:rFonts w:eastAsia="Calibri"/>
          <w:color w:val="000000" w:themeColor="text1"/>
          <w:sz w:val="28"/>
          <w:szCs w:val="28"/>
          <w:lang w:val="es-ES_tradnl" w:eastAsia="es-CO"/>
        </w:rPr>
        <w:t xml:space="preserve"> eficacia </w:t>
      </w:r>
      <w:r w:rsidR="006B2DF3" w:rsidRPr="00793402">
        <w:rPr>
          <w:rFonts w:eastAsia="Calibri"/>
          <w:color w:val="000000" w:themeColor="text1"/>
          <w:sz w:val="28"/>
          <w:szCs w:val="28"/>
          <w:lang w:val="es-ES_tradnl" w:eastAsia="es-CO"/>
        </w:rPr>
        <w:t>de los medios de defensa en concreto con respecto a: (i) el contenido de la pretensión y (ii) las condiciones de los sujetos involucrados (SU-</w:t>
      </w:r>
      <w:r w:rsidR="002C4CD1" w:rsidRPr="00793402">
        <w:rPr>
          <w:rFonts w:eastAsia="Calibri"/>
          <w:color w:val="000000" w:themeColor="text1"/>
          <w:sz w:val="28"/>
          <w:szCs w:val="28"/>
          <w:lang w:val="es-ES_tradnl" w:eastAsia="es-CO"/>
        </w:rPr>
        <w:t>691 de 2017</w:t>
      </w:r>
      <w:r w:rsidR="002C4CD1" w:rsidRPr="00793402">
        <w:rPr>
          <w:rStyle w:val="Refdenotaalpie"/>
          <w:rFonts w:eastAsia="Calibri"/>
          <w:color w:val="000000" w:themeColor="text1"/>
          <w:sz w:val="28"/>
          <w:szCs w:val="28"/>
          <w:lang w:val="es-ES_tradnl" w:eastAsia="es-CO"/>
        </w:rPr>
        <w:footnoteReference w:id="78"/>
      </w:r>
      <w:r w:rsidR="002C4CD1" w:rsidRPr="00793402">
        <w:rPr>
          <w:rFonts w:eastAsia="Calibri"/>
          <w:color w:val="000000" w:themeColor="text1"/>
          <w:sz w:val="28"/>
          <w:szCs w:val="28"/>
          <w:lang w:val="es-ES_tradnl" w:eastAsia="es-CO"/>
        </w:rPr>
        <w:t>)</w:t>
      </w:r>
      <w:r w:rsidR="006B2DF3" w:rsidRPr="00793402">
        <w:rPr>
          <w:rFonts w:eastAsia="Calibri"/>
          <w:color w:val="000000" w:themeColor="text1"/>
          <w:sz w:val="28"/>
          <w:szCs w:val="28"/>
          <w:lang w:val="es-ES_tradnl" w:eastAsia="es-CO"/>
        </w:rPr>
        <w:t>.</w:t>
      </w:r>
    </w:p>
    <w:p w14:paraId="27E2999A" w14:textId="77777777" w:rsidR="00B77DF4" w:rsidRPr="00793402" w:rsidRDefault="00B77DF4" w:rsidP="00B77DF4">
      <w:pPr>
        <w:widowControl w:val="0"/>
        <w:jc w:val="both"/>
        <w:rPr>
          <w:rFonts w:eastAsia="Calibri"/>
          <w:color w:val="000000" w:themeColor="text1"/>
          <w:sz w:val="28"/>
          <w:szCs w:val="28"/>
          <w:lang w:val="es-ES_tradnl" w:eastAsia="es-CO"/>
        </w:rPr>
      </w:pPr>
    </w:p>
    <w:p w14:paraId="059376B3" w14:textId="13BBD127" w:rsidR="00B77DF4" w:rsidRPr="00793402" w:rsidRDefault="00B77DF4" w:rsidP="00B77DF4">
      <w:pPr>
        <w:widowControl w:val="0"/>
        <w:jc w:val="both"/>
        <w:rPr>
          <w:rFonts w:eastAsia="Calibri"/>
          <w:color w:val="000000" w:themeColor="text1"/>
          <w:sz w:val="28"/>
          <w:szCs w:val="28"/>
          <w:lang w:val="es-ES_tradnl" w:eastAsia="es-CO"/>
        </w:rPr>
      </w:pPr>
      <w:r w:rsidRPr="00793402">
        <w:rPr>
          <w:rFonts w:eastAsia="Calibri"/>
          <w:color w:val="000000" w:themeColor="text1"/>
          <w:sz w:val="28"/>
          <w:szCs w:val="28"/>
          <w:lang w:val="es-ES_tradnl" w:eastAsia="es-CO"/>
        </w:rPr>
        <w:t>3</w:t>
      </w:r>
      <w:r w:rsidR="002C4CD1" w:rsidRPr="00793402">
        <w:rPr>
          <w:rFonts w:eastAsia="Calibri"/>
          <w:color w:val="000000" w:themeColor="text1"/>
          <w:sz w:val="28"/>
          <w:szCs w:val="28"/>
          <w:lang w:val="es-ES_tradnl" w:eastAsia="es-CO"/>
        </w:rPr>
        <w:t>2</w:t>
      </w:r>
      <w:r w:rsidR="008B1B51" w:rsidRPr="00793402">
        <w:rPr>
          <w:rFonts w:eastAsia="Calibri"/>
          <w:color w:val="000000" w:themeColor="text1"/>
          <w:sz w:val="28"/>
          <w:szCs w:val="28"/>
          <w:lang w:val="es-ES_tradnl" w:eastAsia="es-CO"/>
        </w:rPr>
        <w:t>.1.</w:t>
      </w:r>
      <w:r w:rsidR="009954E3" w:rsidRPr="00793402">
        <w:rPr>
          <w:rFonts w:eastAsia="Calibri"/>
          <w:color w:val="000000" w:themeColor="text1"/>
          <w:sz w:val="28"/>
          <w:szCs w:val="28"/>
          <w:lang w:val="es-ES_tradnl" w:eastAsia="es-CO"/>
        </w:rPr>
        <w:t xml:space="preserve"> Del mismo modo</w:t>
      </w:r>
      <w:r w:rsidR="008B1B51" w:rsidRPr="00793402">
        <w:rPr>
          <w:rFonts w:eastAsia="Calibri"/>
          <w:color w:val="000000" w:themeColor="text1"/>
          <w:sz w:val="28"/>
          <w:szCs w:val="28"/>
          <w:lang w:val="es-ES_tradnl" w:eastAsia="es-CO"/>
        </w:rPr>
        <w:t>, e</w:t>
      </w:r>
      <w:r w:rsidR="00936F7D" w:rsidRPr="00793402">
        <w:rPr>
          <w:rFonts w:eastAsia="Calibri"/>
          <w:color w:val="000000" w:themeColor="text1"/>
          <w:sz w:val="28"/>
          <w:szCs w:val="28"/>
          <w:lang w:val="es-ES_tradnl" w:eastAsia="es-CO"/>
        </w:rPr>
        <w:t>sta</w:t>
      </w:r>
      <w:r w:rsidRPr="00793402">
        <w:rPr>
          <w:rFonts w:eastAsia="Calibri"/>
          <w:color w:val="000000" w:themeColor="text1"/>
          <w:sz w:val="28"/>
          <w:szCs w:val="28"/>
          <w:lang w:val="es-ES_tradnl" w:eastAsia="es-CO"/>
        </w:rPr>
        <w:t xml:space="preserve"> Corporación ha aceptado la procedencia </w:t>
      </w:r>
      <w:r w:rsidR="00D85E77" w:rsidRPr="00793402">
        <w:rPr>
          <w:rFonts w:eastAsia="Calibri"/>
          <w:color w:val="000000" w:themeColor="text1"/>
          <w:sz w:val="28"/>
          <w:szCs w:val="28"/>
          <w:lang w:val="es-ES_tradnl" w:eastAsia="es-CO"/>
        </w:rPr>
        <w:t>excepcional</w:t>
      </w:r>
      <w:r w:rsidR="009A324D" w:rsidRPr="00793402">
        <w:rPr>
          <w:rFonts w:eastAsia="Calibri"/>
          <w:color w:val="000000" w:themeColor="text1"/>
          <w:sz w:val="28"/>
          <w:szCs w:val="28"/>
          <w:lang w:val="es-ES_tradnl" w:eastAsia="es-CO"/>
        </w:rPr>
        <w:t xml:space="preserve"> </w:t>
      </w:r>
      <w:r w:rsidRPr="00793402">
        <w:rPr>
          <w:rFonts w:eastAsia="Calibri"/>
          <w:color w:val="000000" w:themeColor="text1"/>
          <w:sz w:val="28"/>
          <w:szCs w:val="28"/>
          <w:lang w:val="es-ES_tradnl" w:eastAsia="es-CO"/>
        </w:rPr>
        <w:t xml:space="preserve">de la acción de tutela cuando el accionante </w:t>
      </w:r>
      <w:r w:rsidR="00D27007" w:rsidRPr="00793402">
        <w:rPr>
          <w:rFonts w:eastAsia="Calibri"/>
          <w:color w:val="000000" w:themeColor="text1"/>
          <w:sz w:val="28"/>
          <w:szCs w:val="28"/>
          <w:lang w:val="es-ES_tradnl" w:eastAsia="es-CO"/>
        </w:rPr>
        <w:t>alegue</w:t>
      </w:r>
      <w:r w:rsidRPr="00793402">
        <w:rPr>
          <w:rFonts w:eastAsia="Calibri"/>
          <w:color w:val="000000" w:themeColor="text1"/>
          <w:sz w:val="28"/>
          <w:szCs w:val="28"/>
          <w:lang w:val="es-ES_tradnl" w:eastAsia="es-CO"/>
        </w:rPr>
        <w:t xml:space="preserve"> tener la calidad de </w:t>
      </w:r>
      <w:proofErr w:type="spellStart"/>
      <w:r w:rsidRPr="00793402">
        <w:rPr>
          <w:rFonts w:eastAsia="Calibri"/>
          <w:color w:val="000000" w:themeColor="text1"/>
          <w:sz w:val="28"/>
          <w:szCs w:val="28"/>
          <w:lang w:val="es-ES_tradnl" w:eastAsia="es-CO"/>
        </w:rPr>
        <w:t>pre</w:t>
      </w:r>
      <w:r w:rsidR="009A324D" w:rsidRPr="00793402">
        <w:rPr>
          <w:rFonts w:eastAsia="Calibri"/>
          <w:color w:val="000000" w:themeColor="text1"/>
          <w:sz w:val="28"/>
          <w:szCs w:val="28"/>
          <w:lang w:val="es-ES_tradnl" w:eastAsia="es-CO"/>
        </w:rPr>
        <w:t>pensionado</w:t>
      </w:r>
      <w:proofErr w:type="spellEnd"/>
      <w:r w:rsidR="009A324D" w:rsidRPr="00793402">
        <w:rPr>
          <w:rFonts w:eastAsia="Calibri"/>
          <w:color w:val="000000" w:themeColor="text1"/>
          <w:sz w:val="28"/>
          <w:szCs w:val="28"/>
          <w:lang w:val="es-ES_tradnl" w:eastAsia="es-CO"/>
        </w:rPr>
        <w:t>.</w:t>
      </w:r>
      <w:r w:rsidRPr="00793402">
        <w:rPr>
          <w:rFonts w:eastAsia="Calibri"/>
          <w:color w:val="000000" w:themeColor="text1"/>
          <w:sz w:val="28"/>
          <w:szCs w:val="28"/>
          <w:lang w:val="es-ES_tradnl" w:eastAsia="es-CO"/>
        </w:rPr>
        <w:t xml:space="preserve"> Lo anterior, si demuestra que </w:t>
      </w:r>
      <w:r w:rsidR="00C01B9B" w:rsidRPr="00793402">
        <w:rPr>
          <w:rFonts w:eastAsia="Calibri"/>
          <w:color w:val="000000" w:themeColor="text1"/>
          <w:sz w:val="28"/>
          <w:szCs w:val="28"/>
          <w:lang w:val="es-ES_tradnl" w:eastAsia="es-CO"/>
        </w:rPr>
        <w:t>la</w:t>
      </w:r>
      <w:r w:rsidRPr="00793402">
        <w:rPr>
          <w:rFonts w:eastAsia="Calibri"/>
          <w:color w:val="000000" w:themeColor="text1"/>
          <w:sz w:val="28"/>
          <w:szCs w:val="28"/>
          <w:lang w:val="es-ES_tradnl" w:eastAsia="es-CO"/>
        </w:rPr>
        <w:t xml:space="preserve"> desvinculación pone en riesgo </w:t>
      </w:r>
      <w:r w:rsidR="00C01B9B" w:rsidRPr="00793402">
        <w:rPr>
          <w:rFonts w:eastAsia="Calibri"/>
          <w:color w:val="000000" w:themeColor="text1"/>
          <w:sz w:val="28"/>
          <w:szCs w:val="28"/>
          <w:lang w:val="es-ES_tradnl" w:eastAsia="es-CO"/>
        </w:rPr>
        <w:t>su derecho al</w:t>
      </w:r>
      <w:r w:rsidRPr="00793402">
        <w:rPr>
          <w:rFonts w:eastAsia="Calibri"/>
          <w:color w:val="000000" w:themeColor="text1"/>
          <w:sz w:val="28"/>
          <w:szCs w:val="28"/>
          <w:lang w:val="es-ES_tradnl" w:eastAsia="es-CO"/>
        </w:rPr>
        <w:t xml:space="preserve"> mínimo vital</w:t>
      </w:r>
      <w:r w:rsidR="008B69BF" w:rsidRPr="00793402">
        <w:rPr>
          <w:rFonts w:eastAsia="Calibri"/>
          <w:color w:val="000000" w:themeColor="text1"/>
          <w:sz w:val="28"/>
          <w:szCs w:val="28"/>
          <w:lang w:val="es-ES_tradnl" w:eastAsia="es-CO"/>
        </w:rPr>
        <w:t xml:space="preserve">. Esto puede acontecer cuando una persona </w:t>
      </w:r>
      <w:r w:rsidR="008B69BF" w:rsidRPr="00793402">
        <w:rPr>
          <w:rFonts w:eastAsia="Calibri"/>
          <w:color w:val="000000" w:themeColor="text1"/>
          <w:sz w:val="28"/>
          <w:szCs w:val="28"/>
          <w:lang w:val="es-ES_tradnl" w:eastAsia="es-CO"/>
        </w:rPr>
        <w:lastRenderedPageBreak/>
        <w:t xml:space="preserve">tiene dificultades para </w:t>
      </w:r>
      <w:r w:rsidRPr="00793402">
        <w:rPr>
          <w:rFonts w:eastAsia="Calibri"/>
          <w:color w:val="000000" w:themeColor="text1"/>
          <w:sz w:val="28"/>
          <w:szCs w:val="28"/>
          <w:lang w:val="es-ES_tradnl" w:eastAsia="es-CO"/>
        </w:rPr>
        <w:t xml:space="preserve">obtener </w:t>
      </w:r>
      <w:r w:rsidR="008B69BF" w:rsidRPr="00793402">
        <w:rPr>
          <w:rFonts w:eastAsia="Calibri"/>
          <w:color w:val="000000" w:themeColor="text1"/>
          <w:sz w:val="28"/>
          <w:szCs w:val="28"/>
          <w:lang w:val="es-ES_tradnl" w:eastAsia="es-CO"/>
        </w:rPr>
        <w:t>su</w:t>
      </w:r>
      <w:r w:rsidRPr="00793402">
        <w:rPr>
          <w:rFonts w:eastAsia="Calibri"/>
          <w:color w:val="000000" w:themeColor="text1"/>
          <w:sz w:val="28"/>
          <w:szCs w:val="28"/>
          <w:lang w:val="es-ES_tradnl" w:eastAsia="es-CO"/>
        </w:rPr>
        <w:t xml:space="preserve"> sustento</w:t>
      </w:r>
      <w:r w:rsidR="008B69BF" w:rsidRPr="00793402">
        <w:rPr>
          <w:rFonts w:eastAsia="Calibri"/>
          <w:color w:val="000000" w:themeColor="text1"/>
          <w:sz w:val="28"/>
          <w:szCs w:val="28"/>
          <w:lang w:val="es-ES_tradnl" w:eastAsia="es-CO"/>
        </w:rPr>
        <w:t xml:space="preserve"> y/o no le es posible asegurar su supervivencia autónoma</w:t>
      </w:r>
      <w:r w:rsidR="00F45951" w:rsidRPr="00793402">
        <w:rPr>
          <w:rFonts w:eastAsia="Calibri"/>
          <w:color w:val="000000" w:themeColor="text1"/>
          <w:sz w:val="28"/>
          <w:szCs w:val="28"/>
          <w:lang w:val="es-ES_tradnl" w:eastAsia="es-CO"/>
        </w:rPr>
        <w:t xml:space="preserve"> por factores como la edad, el estado de salud</w:t>
      </w:r>
      <w:r w:rsidR="00022FF7" w:rsidRPr="00793402">
        <w:rPr>
          <w:rFonts w:eastAsia="Calibri"/>
          <w:color w:val="000000" w:themeColor="text1"/>
          <w:sz w:val="28"/>
          <w:szCs w:val="28"/>
          <w:lang w:val="es-ES_tradnl" w:eastAsia="es-CO"/>
        </w:rPr>
        <w:t xml:space="preserve"> y el tiempo que tardaría el medio de defensa judicial</w:t>
      </w:r>
      <w:r w:rsidR="00F45951" w:rsidRPr="00793402">
        <w:rPr>
          <w:rFonts w:eastAsia="Calibri"/>
          <w:color w:val="000000" w:themeColor="text1"/>
          <w:sz w:val="28"/>
          <w:szCs w:val="28"/>
          <w:lang w:val="es-ES_tradnl" w:eastAsia="es-CO"/>
        </w:rPr>
        <w:t xml:space="preserve"> </w:t>
      </w:r>
      <w:r w:rsidR="00D85E77" w:rsidRPr="00793402">
        <w:rPr>
          <w:rFonts w:eastAsia="Calibri"/>
          <w:color w:val="000000" w:themeColor="text1"/>
          <w:sz w:val="28"/>
          <w:szCs w:val="28"/>
          <w:lang w:val="es-ES_tradnl" w:eastAsia="es-CO"/>
        </w:rPr>
        <w:t>(</w:t>
      </w:r>
      <w:r w:rsidR="009A324D" w:rsidRPr="00793402">
        <w:rPr>
          <w:rFonts w:eastAsia="Calibri"/>
          <w:color w:val="000000" w:themeColor="text1"/>
          <w:sz w:val="28"/>
          <w:szCs w:val="28"/>
          <w:lang w:val="es-ES_tradnl" w:eastAsia="es-CO"/>
        </w:rPr>
        <w:t>T-055 de 2020</w:t>
      </w:r>
      <w:r w:rsidR="009A324D" w:rsidRPr="00793402">
        <w:rPr>
          <w:rStyle w:val="Refdenotaalpie"/>
          <w:rFonts w:eastAsia="Calibri"/>
          <w:color w:val="000000" w:themeColor="text1"/>
          <w:sz w:val="28"/>
          <w:szCs w:val="28"/>
          <w:lang w:val="es-ES_tradnl" w:eastAsia="es-CO"/>
        </w:rPr>
        <w:footnoteReference w:id="79"/>
      </w:r>
      <w:r w:rsidR="009A324D" w:rsidRPr="00793402">
        <w:rPr>
          <w:rFonts w:eastAsia="Calibri"/>
          <w:color w:val="000000" w:themeColor="text1"/>
          <w:sz w:val="28"/>
          <w:szCs w:val="28"/>
          <w:lang w:val="es-ES_tradnl" w:eastAsia="es-CO"/>
        </w:rPr>
        <w:t>)</w:t>
      </w:r>
      <w:r w:rsidR="00C01B9B" w:rsidRPr="00793402">
        <w:rPr>
          <w:rFonts w:eastAsia="Calibri"/>
          <w:color w:val="000000" w:themeColor="text1"/>
          <w:sz w:val="28"/>
          <w:szCs w:val="28"/>
          <w:lang w:val="es-ES_tradnl" w:eastAsia="es-CO"/>
        </w:rPr>
        <w:t>.</w:t>
      </w:r>
    </w:p>
    <w:p w14:paraId="053D6F72" w14:textId="0B920EB4" w:rsidR="00B77DF4" w:rsidRPr="00793402" w:rsidRDefault="00B77DF4" w:rsidP="00B77DF4">
      <w:pPr>
        <w:jc w:val="both"/>
        <w:rPr>
          <w:rFonts w:eastAsia="Calibri"/>
          <w:color w:val="000000" w:themeColor="text1"/>
          <w:sz w:val="28"/>
          <w:szCs w:val="28"/>
          <w:lang w:val="es-ES_tradnl" w:eastAsia="es-CO"/>
        </w:rPr>
      </w:pPr>
    </w:p>
    <w:p w14:paraId="7D4AC99B" w14:textId="175203E8" w:rsidR="00C01B9B" w:rsidRPr="00793402" w:rsidRDefault="00B345CC" w:rsidP="00B77DF4">
      <w:pPr>
        <w:jc w:val="both"/>
        <w:rPr>
          <w:rFonts w:eastAsia="Calibri"/>
          <w:color w:val="000000" w:themeColor="text1"/>
          <w:sz w:val="28"/>
          <w:szCs w:val="28"/>
          <w:lang w:val="es-ES_tradnl" w:eastAsia="es-CO"/>
        </w:rPr>
      </w:pPr>
      <w:r w:rsidRPr="00793402">
        <w:rPr>
          <w:rFonts w:eastAsia="Calibri"/>
          <w:color w:val="000000" w:themeColor="text1"/>
          <w:sz w:val="28"/>
          <w:szCs w:val="28"/>
          <w:lang w:val="es-ES_tradnl" w:eastAsia="es-CO"/>
        </w:rPr>
        <w:t>3</w:t>
      </w:r>
      <w:r w:rsidR="002C4CD1" w:rsidRPr="00793402">
        <w:rPr>
          <w:rFonts w:eastAsia="Calibri"/>
          <w:color w:val="000000" w:themeColor="text1"/>
          <w:sz w:val="28"/>
          <w:szCs w:val="28"/>
          <w:lang w:val="es-ES_tradnl" w:eastAsia="es-CO"/>
        </w:rPr>
        <w:t>2</w:t>
      </w:r>
      <w:r w:rsidRPr="00793402">
        <w:rPr>
          <w:rFonts w:eastAsia="Calibri"/>
          <w:color w:val="000000" w:themeColor="text1"/>
          <w:sz w:val="28"/>
          <w:szCs w:val="28"/>
          <w:lang w:val="es-ES_tradnl" w:eastAsia="es-CO"/>
        </w:rPr>
        <w:t xml:space="preserve">.2. </w:t>
      </w:r>
      <w:r w:rsidR="009954E3" w:rsidRPr="00793402">
        <w:rPr>
          <w:rFonts w:eastAsia="Calibri"/>
          <w:color w:val="000000" w:themeColor="text1"/>
          <w:sz w:val="28"/>
          <w:szCs w:val="28"/>
          <w:lang w:val="es-ES_tradnl" w:eastAsia="es-CO"/>
        </w:rPr>
        <w:t>Asimismo</w:t>
      </w:r>
      <w:r w:rsidR="00C01B9B" w:rsidRPr="00793402">
        <w:rPr>
          <w:rFonts w:eastAsia="Calibri"/>
          <w:color w:val="000000" w:themeColor="text1"/>
          <w:sz w:val="28"/>
          <w:szCs w:val="28"/>
          <w:lang w:val="es-ES_tradnl" w:eastAsia="es-CO"/>
        </w:rPr>
        <w:t xml:space="preserve">, el juez constitucional tiene la obligación de aplicar </w:t>
      </w:r>
      <w:r w:rsidR="008B69BF" w:rsidRPr="00793402">
        <w:rPr>
          <w:rFonts w:eastAsia="Calibri"/>
          <w:color w:val="000000" w:themeColor="text1"/>
          <w:sz w:val="28"/>
          <w:szCs w:val="28"/>
          <w:lang w:val="es-ES_tradnl" w:eastAsia="es-CO"/>
        </w:rPr>
        <w:t>un</w:t>
      </w:r>
      <w:r w:rsidR="00C01B9B" w:rsidRPr="00793402">
        <w:rPr>
          <w:rFonts w:eastAsia="Calibri"/>
          <w:color w:val="000000" w:themeColor="text1"/>
          <w:sz w:val="28"/>
          <w:szCs w:val="28"/>
          <w:lang w:val="es-ES_tradnl" w:eastAsia="es-CO"/>
        </w:rPr>
        <w:t xml:space="preserve"> enfoque de género. Lo anterior, con el propósito de no pasar por alto ni reforzar patrones de desigualdad</w:t>
      </w:r>
      <w:r w:rsidR="00980A4B" w:rsidRPr="00793402">
        <w:rPr>
          <w:rFonts w:eastAsia="Calibri"/>
          <w:color w:val="000000" w:themeColor="text1"/>
          <w:sz w:val="28"/>
          <w:szCs w:val="28"/>
          <w:lang w:val="es-ES_tradnl" w:eastAsia="es-CO"/>
        </w:rPr>
        <w:t xml:space="preserve"> que afectan especialmente a las mujeres</w:t>
      </w:r>
      <w:r w:rsidR="00D27007" w:rsidRPr="00793402">
        <w:rPr>
          <w:rFonts w:eastAsia="Calibri"/>
          <w:color w:val="000000" w:themeColor="text1"/>
          <w:sz w:val="28"/>
          <w:szCs w:val="28"/>
          <w:lang w:val="es-ES_tradnl" w:eastAsia="es-CO"/>
        </w:rPr>
        <w:t xml:space="preserve"> (T- 401 de 2021</w:t>
      </w:r>
      <w:r w:rsidR="00D27007" w:rsidRPr="00793402">
        <w:rPr>
          <w:rStyle w:val="Refdenotaalpie"/>
          <w:rFonts w:eastAsia="Calibri"/>
          <w:color w:val="000000" w:themeColor="text1"/>
          <w:sz w:val="28"/>
          <w:szCs w:val="28"/>
          <w:lang w:val="es-ES_tradnl" w:eastAsia="es-CO"/>
        </w:rPr>
        <w:footnoteReference w:id="80"/>
      </w:r>
      <w:r w:rsidR="00D27007" w:rsidRPr="00793402">
        <w:rPr>
          <w:rFonts w:eastAsia="Calibri"/>
          <w:color w:val="000000" w:themeColor="text1"/>
          <w:sz w:val="28"/>
          <w:szCs w:val="28"/>
          <w:lang w:val="es-ES_tradnl" w:eastAsia="es-CO"/>
        </w:rPr>
        <w:t>)</w:t>
      </w:r>
      <w:r w:rsidR="007A3686" w:rsidRPr="00793402">
        <w:rPr>
          <w:rFonts w:eastAsia="Calibri"/>
          <w:color w:val="000000" w:themeColor="text1"/>
          <w:sz w:val="28"/>
          <w:szCs w:val="28"/>
          <w:lang w:val="es-ES_tradnl" w:eastAsia="es-CO"/>
        </w:rPr>
        <w:t>. Esto puede suceder, por ejemplo, cuando la incapacidad de las mujeres para trabajar o recibir un salario, las sitúa en una posición de inferioridad y desigualdad social</w:t>
      </w:r>
      <w:r w:rsidR="00183D44" w:rsidRPr="00793402">
        <w:rPr>
          <w:rFonts w:eastAsia="Calibri"/>
          <w:color w:val="000000" w:themeColor="text1"/>
          <w:sz w:val="28"/>
          <w:szCs w:val="28"/>
          <w:lang w:val="es-ES_tradnl" w:eastAsia="es-CO"/>
        </w:rPr>
        <w:t xml:space="preserve"> (T-878 de 2014</w:t>
      </w:r>
      <w:r w:rsidR="007A3686" w:rsidRPr="00793402">
        <w:rPr>
          <w:rStyle w:val="Refdenotaalpie"/>
          <w:rFonts w:eastAsia="Calibri"/>
          <w:color w:val="000000" w:themeColor="text1"/>
          <w:sz w:val="28"/>
          <w:szCs w:val="28"/>
          <w:lang w:val="es-ES_tradnl" w:eastAsia="es-CO"/>
        </w:rPr>
        <w:footnoteReference w:id="81"/>
      </w:r>
      <w:r w:rsidR="00183D44" w:rsidRPr="00793402">
        <w:rPr>
          <w:rFonts w:eastAsia="Calibri"/>
          <w:color w:val="000000" w:themeColor="text1"/>
          <w:sz w:val="28"/>
          <w:szCs w:val="28"/>
          <w:lang w:val="es-ES_tradnl" w:eastAsia="es-CO"/>
        </w:rPr>
        <w:t>)</w:t>
      </w:r>
      <w:r w:rsidR="007A3686" w:rsidRPr="00793402">
        <w:rPr>
          <w:rFonts w:eastAsia="Calibri"/>
          <w:color w:val="000000" w:themeColor="text1"/>
          <w:sz w:val="28"/>
          <w:szCs w:val="28"/>
          <w:lang w:val="es-ES_tradnl" w:eastAsia="es-CO"/>
        </w:rPr>
        <w:t xml:space="preserve">. Al respecto, </w:t>
      </w:r>
      <w:r w:rsidR="002F4449" w:rsidRPr="00793402">
        <w:rPr>
          <w:rFonts w:eastAsia="Calibri"/>
          <w:color w:val="000000" w:themeColor="text1"/>
          <w:sz w:val="28"/>
          <w:szCs w:val="28"/>
          <w:lang w:val="es-ES_tradnl" w:eastAsia="es-CO"/>
        </w:rPr>
        <w:t>la Sala reitera</w:t>
      </w:r>
      <w:r w:rsidR="007A3686" w:rsidRPr="00793402">
        <w:rPr>
          <w:rFonts w:eastAsia="Calibri"/>
          <w:color w:val="000000" w:themeColor="text1"/>
          <w:sz w:val="28"/>
          <w:szCs w:val="28"/>
          <w:lang w:val="es-ES_tradnl" w:eastAsia="es-CO"/>
        </w:rPr>
        <w:t xml:space="preserve"> que las mujeres son un grupo históricamente discriminado y, por esa razón,</w:t>
      </w:r>
      <w:r w:rsidR="002F4449" w:rsidRPr="00793402">
        <w:rPr>
          <w:rFonts w:eastAsia="Calibri"/>
          <w:color w:val="000000" w:themeColor="text1"/>
          <w:sz w:val="28"/>
          <w:szCs w:val="28"/>
          <w:lang w:val="es-ES_tradnl" w:eastAsia="es-CO"/>
        </w:rPr>
        <w:t xml:space="preserve"> tienen </w:t>
      </w:r>
      <w:r w:rsidR="007A3686" w:rsidRPr="00793402">
        <w:rPr>
          <w:rFonts w:eastAsia="Calibri"/>
          <w:color w:val="000000" w:themeColor="text1"/>
          <w:sz w:val="28"/>
          <w:szCs w:val="28"/>
          <w:lang w:val="es-ES_tradnl" w:eastAsia="es-CO"/>
        </w:rPr>
        <w:t>un tratamiento constitucional reforzado.</w:t>
      </w:r>
    </w:p>
    <w:p w14:paraId="65C8AD56" w14:textId="77777777" w:rsidR="00C01B9B" w:rsidRPr="00793402" w:rsidRDefault="00C01B9B" w:rsidP="00B77DF4">
      <w:pPr>
        <w:jc w:val="both"/>
        <w:rPr>
          <w:rFonts w:eastAsia="Calibri"/>
          <w:color w:val="000000" w:themeColor="text1"/>
          <w:sz w:val="28"/>
          <w:szCs w:val="28"/>
          <w:lang w:val="es-ES_tradnl" w:eastAsia="es-CO"/>
        </w:rPr>
      </w:pPr>
    </w:p>
    <w:p w14:paraId="20E927A8" w14:textId="72B59261" w:rsidR="00B77DF4" w:rsidRPr="00793402" w:rsidRDefault="00B77DF4" w:rsidP="00B77DF4">
      <w:pPr>
        <w:jc w:val="both"/>
        <w:rPr>
          <w:color w:val="000000" w:themeColor="text1"/>
          <w:sz w:val="28"/>
          <w:szCs w:val="28"/>
          <w:lang w:eastAsia="es-CO"/>
        </w:rPr>
      </w:pPr>
      <w:r w:rsidRPr="00793402">
        <w:rPr>
          <w:rFonts w:eastAsia="Calibri"/>
          <w:color w:val="000000" w:themeColor="text1"/>
          <w:sz w:val="28"/>
          <w:szCs w:val="28"/>
          <w:lang w:val="es-ES_tradnl" w:eastAsia="es-CO"/>
        </w:rPr>
        <w:t>3</w:t>
      </w:r>
      <w:r w:rsidR="002C4CD1" w:rsidRPr="00793402">
        <w:rPr>
          <w:rFonts w:eastAsia="Calibri"/>
          <w:color w:val="000000" w:themeColor="text1"/>
          <w:sz w:val="28"/>
          <w:szCs w:val="28"/>
          <w:lang w:val="es-ES_tradnl" w:eastAsia="es-CO"/>
        </w:rPr>
        <w:t>2</w:t>
      </w:r>
      <w:r w:rsidRPr="00793402">
        <w:rPr>
          <w:rFonts w:eastAsia="Calibri"/>
          <w:color w:val="000000" w:themeColor="text1"/>
          <w:sz w:val="28"/>
          <w:szCs w:val="28"/>
          <w:lang w:val="es-ES_tradnl" w:eastAsia="es-CO"/>
        </w:rPr>
        <w:t xml:space="preserve">.3. Finalmente, la Corte ha avalado el estudio de acciones que </w:t>
      </w:r>
      <w:r w:rsidRPr="00793402">
        <w:rPr>
          <w:color w:val="000000" w:themeColor="text1"/>
          <w:sz w:val="28"/>
          <w:szCs w:val="28"/>
          <w:lang w:eastAsia="es-CO"/>
        </w:rPr>
        <w:t>recaen sobre derechos ciertos e indiscutibles</w:t>
      </w:r>
      <w:r w:rsidR="008B69BF" w:rsidRPr="00793402">
        <w:rPr>
          <w:color w:val="000000" w:themeColor="text1"/>
          <w:sz w:val="28"/>
          <w:szCs w:val="28"/>
          <w:lang w:eastAsia="es-CO"/>
        </w:rPr>
        <w:t>, e</w:t>
      </w:r>
      <w:r w:rsidRPr="00793402">
        <w:rPr>
          <w:color w:val="000000" w:themeColor="text1"/>
          <w:sz w:val="28"/>
          <w:szCs w:val="28"/>
          <w:lang w:eastAsia="es-CO"/>
        </w:rPr>
        <w:t>s decir, garantías que no requieren de un profundo análisis probatorio para ser reconocidas porque surge</w:t>
      </w:r>
      <w:r w:rsidR="00B345CC" w:rsidRPr="00793402">
        <w:rPr>
          <w:color w:val="000000" w:themeColor="text1"/>
          <w:sz w:val="28"/>
          <w:szCs w:val="28"/>
          <w:lang w:eastAsia="es-CO"/>
        </w:rPr>
        <w:t>n</w:t>
      </w:r>
      <w:r w:rsidRPr="00793402">
        <w:rPr>
          <w:color w:val="000000" w:themeColor="text1"/>
          <w:sz w:val="28"/>
          <w:szCs w:val="28"/>
          <w:lang w:eastAsia="es-CO"/>
        </w:rPr>
        <w:t xml:space="preserve"> del cumplimiento de los supuestos de hechos establecidos en la norma. Por lo tanto, no existe duda sobre su carácter real, cierto e innegable</w:t>
      </w:r>
      <w:r w:rsidRPr="00793402">
        <w:rPr>
          <w:rStyle w:val="Refdenotaalpie"/>
          <w:color w:val="000000" w:themeColor="text1"/>
          <w:sz w:val="28"/>
          <w:szCs w:val="28"/>
          <w:lang w:eastAsia="es-CO"/>
        </w:rPr>
        <w:footnoteReference w:id="82"/>
      </w:r>
      <w:r w:rsidR="008B69BF" w:rsidRPr="00793402">
        <w:rPr>
          <w:color w:val="000000" w:themeColor="text1"/>
          <w:sz w:val="28"/>
          <w:szCs w:val="28"/>
          <w:lang w:eastAsia="es-CO"/>
        </w:rPr>
        <w:t xml:space="preserve"> </w:t>
      </w:r>
      <w:r w:rsidRPr="00793402">
        <w:rPr>
          <w:color w:val="000000" w:themeColor="text1"/>
          <w:sz w:val="28"/>
          <w:szCs w:val="28"/>
          <w:lang w:eastAsia="es-CO"/>
        </w:rPr>
        <w:t>(T-040 de 2018</w:t>
      </w:r>
      <w:r w:rsidRPr="00793402">
        <w:rPr>
          <w:rStyle w:val="Refdenotaalpie"/>
          <w:color w:val="000000" w:themeColor="text1"/>
          <w:sz w:val="28"/>
          <w:szCs w:val="28"/>
          <w:lang w:eastAsia="es-CO"/>
        </w:rPr>
        <w:footnoteReference w:id="83"/>
      </w:r>
      <w:r w:rsidRPr="00793402">
        <w:rPr>
          <w:color w:val="000000" w:themeColor="text1"/>
          <w:sz w:val="28"/>
          <w:szCs w:val="28"/>
          <w:lang w:eastAsia="es-CO"/>
        </w:rPr>
        <w:t>).</w:t>
      </w:r>
    </w:p>
    <w:p w14:paraId="2BA31733" w14:textId="77777777" w:rsidR="00B77DF4" w:rsidRPr="00793402" w:rsidRDefault="00B77DF4" w:rsidP="00B77DF4">
      <w:pPr>
        <w:widowControl w:val="0"/>
        <w:jc w:val="both"/>
        <w:rPr>
          <w:rFonts w:eastAsia="Calibri"/>
          <w:color w:val="000000" w:themeColor="text1"/>
          <w:sz w:val="28"/>
          <w:szCs w:val="28"/>
          <w:lang w:val="es-ES_tradnl" w:eastAsia="es-CO"/>
        </w:rPr>
      </w:pPr>
    </w:p>
    <w:p w14:paraId="35620089" w14:textId="61156FE8" w:rsidR="008A5E26" w:rsidRPr="00793402" w:rsidRDefault="00B77DF4" w:rsidP="00B77DF4">
      <w:pPr>
        <w:widowControl w:val="0"/>
        <w:jc w:val="both"/>
        <w:rPr>
          <w:rFonts w:eastAsia="Calibri"/>
          <w:color w:val="000000" w:themeColor="text1"/>
          <w:sz w:val="28"/>
          <w:szCs w:val="28"/>
          <w:lang w:val="es-ES_tradnl" w:eastAsia="es-CO"/>
        </w:rPr>
      </w:pPr>
      <w:r w:rsidRPr="00793402">
        <w:rPr>
          <w:rFonts w:eastAsia="Calibri"/>
          <w:color w:val="000000" w:themeColor="text1"/>
          <w:sz w:val="28"/>
          <w:szCs w:val="28"/>
          <w:lang w:val="es-ES_tradnl" w:eastAsia="es-CO"/>
        </w:rPr>
        <w:t>3</w:t>
      </w:r>
      <w:r w:rsidR="002C4CD1" w:rsidRPr="00793402">
        <w:rPr>
          <w:rFonts w:eastAsia="Calibri"/>
          <w:color w:val="000000" w:themeColor="text1"/>
          <w:sz w:val="28"/>
          <w:szCs w:val="28"/>
          <w:lang w:val="es-ES_tradnl" w:eastAsia="es-CO"/>
        </w:rPr>
        <w:t>3</w:t>
      </w:r>
      <w:r w:rsidRPr="00793402">
        <w:rPr>
          <w:rFonts w:eastAsia="Calibri"/>
          <w:color w:val="000000" w:themeColor="text1"/>
          <w:sz w:val="28"/>
          <w:szCs w:val="28"/>
          <w:lang w:val="es-ES_tradnl" w:eastAsia="es-CO"/>
        </w:rPr>
        <w:t xml:space="preserve">. En el presente caso, la accionante </w:t>
      </w:r>
      <w:r w:rsidRPr="00793402">
        <w:rPr>
          <w:color w:val="000000" w:themeColor="text1"/>
          <w:sz w:val="28"/>
          <w:szCs w:val="28"/>
          <w:lang w:eastAsia="es-CO"/>
        </w:rPr>
        <w:t>es una mujer</w:t>
      </w:r>
      <w:r w:rsidR="00022FF7" w:rsidRPr="00793402">
        <w:rPr>
          <w:color w:val="000000" w:themeColor="text1"/>
          <w:sz w:val="28"/>
          <w:szCs w:val="28"/>
          <w:lang w:eastAsia="es-CO"/>
        </w:rPr>
        <w:t>, adulta mayor,</w:t>
      </w:r>
      <w:r w:rsidRPr="00793402">
        <w:rPr>
          <w:color w:val="000000" w:themeColor="text1"/>
          <w:sz w:val="28"/>
          <w:szCs w:val="28"/>
          <w:lang w:eastAsia="es-CO"/>
        </w:rPr>
        <w:t xml:space="preserve"> de </w:t>
      </w:r>
      <w:r w:rsidR="00022FF7" w:rsidRPr="00793402">
        <w:rPr>
          <w:color w:val="000000" w:themeColor="text1"/>
          <w:sz w:val="28"/>
          <w:szCs w:val="28"/>
          <w:lang w:eastAsia="es-CO"/>
        </w:rPr>
        <w:t>60</w:t>
      </w:r>
      <w:r w:rsidRPr="00793402">
        <w:rPr>
          <w:color w:val="000000" w:themeColor="text1"/>
          <w:sz w:val="28"/>
          <w:szCs w:val="28"/>
          <w:lang w:eastAsia="es-CO"/>
        </w:rPr>
        <w:t xml:space="preserve"> años que aleg</w:t>
      </w:r>
      <w:r w:rsidR="00B345CC" w:rsidRPr="00793402">
        <w:rPr>
          <w:color w:val="000000" w:themeColor="text1"/>
          <w:sz w:val="28"/>
          <w:szCs w:val="28"/>
          <w:lang w:eastAsia="es-CO"/>
        </w:rPr>
        <w:t>a</w:t>
      </w:r>
      <w:r w:rsidRPr="00793402">
        <w:rPr>
          <w:color w:val="000000" w:themeColor="text1"/>
          <w:sz w:val="28"/>
          <w:szCs w:val="28"/>
          <w:lang w:eastAsia="es-CO"/>
        </w:rPr>
        <w:t xml:space="preserve"> tener la condición de </w:t>
      </w:r>
      <w:proofErr w:type="spellStart"/>
      <w:r w:rsidRPr="00793402">
        <w:rPr>
          <w:color w:val="000000" w:themeColor="text1"/>
          <w:sz w:val="28"/>
          <w:szCs w:val="28"/>
          <w:lang w:eastAsia="es-CO"/>
        </w:rPr>
        <w:t>prepensionada</w:t>
      </w:r>
      <w:proofErr w:type="spellEnd"/>
      <w:r w:rsidRPr="00793402">
        <w:rPr>
          <w:color w:val="000000" w:themeColor="text1"/>
          <w:sz w:val="28"/>
          <w:szCs w:val="28"/>
          <w:lang w:eastAsia="es-CO"/>
        </w:rPr>
        <w:t>.</w:t>
      </w:r>
      <w:r w:rsidRPr="00793402">
        <w:rPr>
          <w:rFonts w:eastAsia="Calibri"/>
          <w:color w:val="000000" w:themeColor="text1"/>
          <w:sz w:val="28"/>
          <w:szCs w:val="28"/>
          <w:lang w:val="es-ES_tradnl" w:eastAsia="es-CO"/>
        </w:rPr>
        <w:t xml:space="preserve"> La Sala </w:t>
      </w:r>
      <w:r w:rsidR="007A3686" w:rsidRPr="00793402">
        <w:rPr>
          <w:rFonts w:eastAsia="Calibri"/>
          <w:color w:val="000000" w:themeColor="text1"/>
          <w:sz w:val="28"/>
          <w:szCs w:val="28"/>
          <w:lang w:val="es-ES_tradnl" w:eastAsia="es-CO"/>
        </w:rPr>
        <w:t>encuentra</w:t>
      </w:r>
      <w:r w:rsidRPr="00793402">
        <w:rPr>
          <w:rFonts w:eastAsia="Calibri"/>
          <w:color w:val="000000" w:themeColor="text1"/>
          <w:sz w:val="28"/>
          <w:szCs w:val="28"/>
          <w:lang w:val="es-ES_tradnl" w:eastAsia="es-CO"/>
        </w:rPr>
        <w:t xml:space="preserve"> que</w:t>
      </w:r>
      <w:r w:rsidR="00022FF7" w:rsidRPr="00793402">
        <w:rPr>
          <w:rFonts w:eastAsia="Calibri"/>
          <w:color w:val="000000" w:themeColor="text1"/>
          <w:sz w:val="28"/>
          <w:szCs w:val="28"/>
          <w:lang w:val="es-ES_tradnl" w:eastAsia="es-CO"/>
        </w:rPr>
        <w:t xml:space="preserve">, en particular, </w:t>
      </w:r>
      <w:r w:rsidR="004F6F37" w:rsidRPr="00793402">
        <w:rPr>
          <w:rFonts w:eastAsia="Calibri"/>
          <w:color w:val="000000" w:themeColor="text1"/>
          <w:sz w:val="28"/>
          <w:szCs w:val="28"/>
          <w:lang w:val="es-ES_tradnl" w:eastAsia="es-CO"/>
        </w:rPr>
        <w:t>el medio de control de nulidad y restablecimiento del derecho</w:t>
      </w:r>
      <w:r w:rsidR="007A3686" w:rsidRPr="00793402">
        <w:rPr>
          <w:rFonts w:eastAsia="Calibri"/>
          <w:color w:val="000000" w:themeColor="text1"/>
          <w:sz w:val="28"/>
          <w:szCs w:val="28"/>
          <w:lang w:val="es-ES_tradnl" w:eastAsia="es-CO"/>
        </w:rPr>
        <w:t xml:space="preserve"> </w:t>
      </w:r>
      <w:r w:rsidR="00022FF7" w:rsidRPr="00793402">
        <w:rPr>
          <w:rFonts w:eastAsia="Calibri"/>
          <w:color w:val="000000" w:themeColor="text1"/>
          <w:sz w:val="28"/>
          <w:szCs w:val="28"/>
          <w:lang w:val="es-ES_tradnl" w:eastAsia="es-CO"/>
        </w:rPr>
        <w:t xml:space="preserve">no es </w:t>
      </w:r>
      <w:r w:rsidR="00141B5F" w:rsidRPr="00793402">
        <w:rPr>
          <w:rFonts w:eastAsia="Calibri"/>
          <w:color w:val="000000" w:themeColor="text1"/>
          <w:sz w:val="28"/>
          <w:szCs w:val="28"/>
          <w:lang w:val="es-ES_tradnl" w:eastAsia="es-CO"/>
        </w:rPr>
        <w:t>idóneo para conocer de lo pretendido</w:t>
      </w:r>
      <w:r w:rsidR="00022FF7" w:rsidRPr="00793402">
        <w:rPr>
          <w:rFonts w:eastAsia="Calibri"/>
          <w:color w:val="000000" w:themeColor="text1"/>
          <w:sz w:val="28"/>
          <w:szCs w:val="28"/>
          <w:lang w:val="es-ES_tradnl" w:eastAsia="es-CO"/>
        </w:rPr>
        <w:t>, porque la actora no cuestionó</w:t>
      </w:r>
      <w:r w:rsidR="00022FF7" w:rsidRPr="00793402">
        <w:rPr>
          <w:color w:val="000000" w:themeColor="text1"/>
          <w:sz w:val="28"/>
          <w:szCs w:val="28"/>
          <w:lang w:eastAsia="es-CO"/>
        </w:rPr>
        <w:t xml:space="preserve"> la legalidad de la resolución mediante la cual la desvincularon del cargo</w:t>
      </w:r>
      <w:r w:rsidR="00022FF7" w:rsidRPr="00793402">
        <w:rPr>
          <w:rFonts w:eastAsia="Calibri"/>
          <w:color w:val="000000" w:themeColor="text1"/>
          <w:sz w:val="28"/>
          <w:szCs w:val="28"/>
          <w:lang w:val="es-ES_tradnl" w:eastAsia="es-CO"/>
        </w:rPr>
        <w:t>, y tampoco alegó alguna de las causales de nulidad establecidas</w:t>
      </w:r>
      <w:r w:rsidR="00825060" w:rsidRPr="00793402">
        <w:rPr>
          <w:rFonts w:eastAsia="Calibri"/>
          <w:color w:val="000000" w:themeColor="text1"/>
          <w:sz w:val="28"/>
          <w:szCs w:val="28"/>
          <w:lang w:val="es-ES_tradnl" w:eastAsia="es-CO"/>
        </w:rPr>
        <w:t xml:space="preserve"> en el artículo 137</w:t>
      </w:r>
      <w:r w:rsidR="00825060" w:rsidRPr="00793402">
        <w:rPr>
          <w:rStyle w:val="Refdenotaalpie"/>
          <w:rFonts w:eastAsia="Calibri"/>
          <w:color w:val="000000" w:themeColor="text1"/>
          <w:sz w:val="28"/>
          <w:szCs w:val="28"/>
          <w:lang w:val="es-ES_tradnl" w:eastAsia="es-CO"/>
        </w:rPr>
        <w:footnoteReference w:id="84"/>
      </w:r>
      <w:r w:rsidR="00825060" w:rsidRPr="00793402">
        <w:rPr>
          <w:rFonts w:eastAsia="Calibri"/>
          <w:color w:val="000000" w:themeColor="text1"/>
          <w:sz w:val="28"/>
          <w:szCs w:val="28"/>
          <w:lang w:val="es-ES_tradnl" w:eastAsia="es-CO"/>
        </w:rPr>
        <w:t xml:space="preserve"> del CPACA</w:t>
      </w:r>
      <w:r w:rsidR="00022FF7" w:rsidRPr="00793402">
        <w:rPr>
          <w:rFonts w:eastAsia="Calibri"/>
          <w:color w:val="000000" w:themeColor="text1"/>
          <w:sz w:val="28"/>
          <w:szCs w:val="28"/>
          <w:lang w:val="es-ES_tradnl" w:eastAsia="es-CO"/>
        </w:rPr>
        <w:t xml:space="preserve"> (T-373 de 2017</w:t>
      </w:r>
      <w:r w:rsidR="00022FF7" w:rsidRPr="00793402">
        <w:rPr>
          <w:rStyle w:val="Refdenotaalpie"/>
          <w:rFonts w:eastAsia="Calibri"/>
          <w:color w:val="000000" w:themeColor="text1"/>
          <w:sz w:val="28"/>
          <w:szCs w:val="28"/>
          <w:lang w:val="es-ES_tradnl" w:eastAsia="es-CO"/>
        </w:rPr>
        <w:footnoteReference w:id="85"/>
      </w:r>
      <w:r w:rsidR="00022FF7" w:rsidRPr="00793402">
        <w:rPr>
          <w:rFonts w:eastAsia="Calibri"/>
          <w:color w:val="000000" w:themeColor="text1"/>
          <w:sz w:val="28"/>
          <w:szCs w:val="28"/>
          <w:lang w:val="es-ES_tradnl" w:eastAsia="es-CO"/>
        </w:rPr>
        <w:t>).</w:t>
      </w:r>
      <w:r w:rsidR="008A5E26" w:rsidRPr="00793402">
        <w:rPr>
          <w:rFonts w:eastAsia="Calibri"/>
          <w:color w:val="000000" w:themeColor="text1"/>
          <w:sz w:val="28"/>
          <w:szCs w:val="28"/>
          <w:lang w:val="es-ES_tradnl" w:eastAsia="es-CO"/>
        </w:rPr>
        <w:t xml:space="preserve"> </w:t>
      </w:r>
      <w:r w:rsidR="00825060" w:rsidRPr="00793402">
        <w:rPr>
          <w:rFonts w:eastAsia="Calibri"/>
          <w:color w:val="000000" w:themeColor="text1"/>
          <w:sz w:val="28"/>
          <w:szCs w:val="28"/>
          <w:lang w:val="es-ES_tradnl" w:eastAsia="es-CO"/>
        </w:rPr>
        <w:t>P</w:t>
      </w:r>
      <w:r w:rsidR="008A5E26" w:rsidRPr="00793402">
        <w:rPr>
          <w:rFonts w:eastAsia="Calibri"/>
          <w:color w:val="000000" w:themeColor="text1"/>
          <w:sz w:val="28"/>
          <w:szCs w:val="28"/>
          <w:lang w:val="es-ES_tradnl" w:eastAsia="es-CO"/>
        </w:rPr>
        <w:t>o</w:t>
      </w:r>
      <w:r w:rsidR="00825060" w:rsidRPr="00793402">
        <w:rPr>
          <w:rFonts w:eastAsia="Calibri"/>
          <w:color w:val="000000" w:themeColor="text1"/>
          <w:sz w:val="28"/>
          <w:szCs w:val="28"/>
          <w:lang w:val="es-ES_tradnl" w:eastAsia="es-CO"/>
        </w:rPr>
        <w:t xml:space="preserve">r otro lado, </w:t>
      </w:r>
      <w:r w:rsidR="00141B5F" w:rsidRPr="00793402">
        <w:rPr>
          <w:rFonts w:eastAsia="Calibri"/>
          <w:color w:val="000000" w:themeColor="text1"/>
          <w:sz w:val="28"/>
          <w:szCs w:val="28"/>
          <w:lang w:val="es-ES_tradnl" w:eastAsia="es-CO"/>
        </w:rPr>
        <w:t>dich</w:t>
      </w:r>
      <w:r w:rsidR="002F4449" w:rsidRPr="00793402">
        <w:rPr>
          <w:rFonts w:eastAsia="Calibri"/>
          <w:color w:val="000000" w:themeColor="text1"/>
          <w:sz w:val="28"/>
          <w:szCs w:val="28"/>
          <w:lang w:val="es-ES_tradnl" w:eastAsia="es-CO"/>
        </w:rPr>
        <w:t>o mecanismo</w:t>
      </w:r>
      <w:r w:rsidR="00E72A5D" w:rsidRPr="00793402">
        <w:rPr>
          <w:rFonts w:eastAsia="Calibri"/>
          <w:color w:val="000000" w:themeColor="text1"/>
          <w:sz w:val="28"/>
          <w:szCs w:val="28"/>
          <w:lang w:val="es-ES_tradnl" w:eastAsia="es-CO"/>
        </w:rPr>
        <w:t xml:space="preserve"> </w:t>
      </w:r>
      <w:r w:rsidR="007A3686" w:rsidRPr="00793402">
        <w:rPr>
          <w:color w:val="000000" w:themeColor="text1"/>
          <w:sz w:val="28"/>
          <w:szCs w:val="28"/>
          <w:lang w:eastAsia="es-CO"/>
        </w:rPr>
        <w:t xml:space="preserve">no es eficaz por </w:t>
      </w:r>
      <w:r w:rsidR="007A3686" w:rsidRPr="00793402">
        <w:rPr>
          <w:rFonts w:eastAsia="Calibri"/>
          <w:color w:val="000000" w:themeColor="text1"/>
          <w:sz w:val="28"/>
          <w:szCs w:val="28"/>
          <w:lang w:eastAsia="es-CO"/>
        </w:rPr>
        <w:t>su</w:t>
      </w:r>
      <w:r w:rsidR="007A3686" w:rsidRPr="00793402">
        <w:rPr>
          <w:rFonts w:eastAsia="Calibri"/>
          <w:color w:val="000000" w:themeColor="text1"/>
          <w:sz w:val="28"/>
          <w:szCs w:val="28"/>
          <w:lang w:val="es-ES_tradnl" w:eastAsia="es-CO"/>
        </w:rPr>
        <w:t xml:space="preserve"> prolongada duración en el tiempo</w:t>
      </w:r>
      <w:r w:rsidR="007A3686" w:rsidRPr="00793402">
        <w:rPr>
          <w:rStyle w:val="Refdenotaalpie"/>
          <w:color w:val="000000" w:themeColor="text1"/>
          <w:sz w:val="28"/>
          <w:szCs w:val="28"/>
          <w:lang w:eastAsia="es-CO"/>
        </w:rPr>
        <w:footnoteReference w:id="86"/>
      </w:r>
      <w:r w:rsidR="007A3686" w:rsidRPr="00793402">
        <w:rPr>
          <w:rFonts w:eastAsia="Calibri"/>
          <w:color w:val="000000" w:themeColor="text1"/>
          <w:sz w:val="28"/>
          <w:szCs w:val="28"/>
          <w:lang w:val="es-ES_tradnl" w:eastAsia="es-CO"/>
        </w:rPr>
        <w:t xml:space="preserve"> (T-186 de 2013</w:t>
      </w:r>
      <w:r w:rsidR="007A3686" w:rsidRPr="00793402">
        <w:rPr>
          <w:rStyle w:val="Refdenotaalpie"/>
          <w:rFonts w:eastAsia="Calibri"/>
          <w:color w:val="000000" w:themeColor="text1"/>
          <w:sz w:val="28"/>
          <w:szCs w:val="28"/>
          <w:lang w:val="es-ES_tradnl" w:eastAsia="es-CO"/>
        </w:rPr>
        <w:footnoteReference w:id="87"/>
      </w:r>
      <w:r w:rsidR="00080E62" w:rsidRPr="00793402">
        <w:rPr>
          <w:rFonts w:eastAsia="Calibri"/>
          <w:color w:val="000000" w:themeColor="text1"/>
          <w:sz w:val="28"/>
          <w:szCs w:val="28"/>
          <w:lang w:val="es-ES_tradnl" w:eastAsia="es-CO"/>
        </w:rPr>
        <w:t>). En</w:t>
      </w:r>
      <w:r w:rsidR="008A5E26" w:rsidRPr="00793402">
        <w:rPr>
          <w:rFonts w:eastAsia="Calibri"/>
          <w:color w:val="000000" w:themeColor="text1"/>
          <w:sz w:val="28"/>
          <w:szCs w:val="28"/>
          <w:lang w:val="es-ES_tradnl" w:eastAsia="es-CO"/>
        </w:rPr>
        <w:t xml:space="preserve"> ese sentido, </w:t>
      </w:r>
      <w:r w:rsidR="00FA5CE2" w:rsidRPr="00793402">
        <w:rPr>
          <w:rFonts w:eastAsia="Calibri"/>
          <w:color w:val="000000" w:themeColor="text1"/>
          <w:sz w:val="28"/>
          <w:szCs w:val="28"/>
          <w:lang w:val="es-ES_tradnl" w:eastAsia="es-CO"/>
        </w:rPr>
        <w:t>el</w:t>
      </w:r>
      <w:r w:rsidR="008A5E26" w:rsidRPr="00793402">
        <w:rPr>
          <w:rFonts w:eastAsia="Calibri"/>
          <w:color w:val="000000" w:themeColor="text1"/>
          <w:sz w:val="28"/>
          <w:szCs w:val="28"/>
          <w:lang w:val="es-ES_tradnl" w:eastAsia="es-CO"/>
        </w:rPr>
        <w:t xml:space="preserve"> </w:t>
      </w:r>
      <w:r w:rsidR="008A5E26" w:rsidRPr="00793402">
        <w:rPr>
          <w:rFonts w:eastAsia="Calibri"/>
          <w:color w:val="000000" w:themeColor="text1"/>
          <w:sz w:val="28"/>
          <w:szCs w:val="28"/>
          <w:lang w:val="es-ES_tradnl" w:eastAsia="es-CO"/>
        </w:rPr>
        <w:lastRenderedPageBreak/>
        <w:t>proceso</w:t>
      </w:r>
      <w:r w:rsidR="00FA5CE2" w:rsidRPr="00793402">
        <w:rPr>
          <w:rFonts w:eastAsia="Calibri"/>
          <w:color w:val="000000" w:themeColor="text1"/>
          <w:sz w:val="28"/>
          <w:szCs w:val="28"/>
          <w:lang w:val="es-ES_tradnl" w:eastAsia="es-CO"/>
        </w:rPr>
        <w:t xml:space="preserve"> ante lo contencioso administrativo</w:t>
      </w:r>
      <w:r w:rsidR="00106033" w:rsidRPr="00793402">
        <w:rPr>
          <w:rFonts w:eastAsia="Calibri"/>
          <w:color w:val="000000" w:themeColor="text1"/>
          <w:sz w:val="28"/>
          <w:szCs w:val="28"/>
          <w:lang w:val="es-ES_tradnl" w:eastAsia="es-CO"/>
        </w:rPr>
        <w:t xml:space="preserve"> </w:t>
      </w:r>
      <w:r w:rsidR="008A5E26" w:rsidRPr="00793402">
        <w:rPr>
          <w:rFonts w:eastAsia="Calibri"/>
          <w:color w:val="000000" w:themeColor="text1"/>
          <w:sz w:val="28"/>
          <w:szCs w:val="28"/>
          <w:lang w:val="es-ES_tradnl" w:eastAsia="es-CO"/>
        </w:rPr>
        <w:t>no tiene la virtud de garant</w:t>
      </w:r>
      <w:r w:rsidR="00080E62" w:rsidRPr="00793402">
        <w:rPr>
          <w:rFonts w:eastAsia="Calibri"/>
          <w:color w:val="000000" w:themeColor="text1"/>
          <w:sz w:val="28"/>
          <w:szCs w:val="28"/>
          <w:lang w:val="es-ES_tradnl" w:eastAsia="es-CO"/>
        </w:rPr>
        <w:t>iz</w:t>
      </w:r>
      <w:r w:rsidR="008A5E26" w:rsidRPr="00793402">
        <w:rPr>
          <w:rFonts w:eastAsia="Calibri"/>
          <w:color w:val="000000" w:themeColor="text1"/>
          <w:sz w:val="28"/>
          <w:szCs w:val="28"/>
          <w:lang w:val="es-ES_tradnl" w:eastAsia="es-CO"/>
        </w:rPr>
        <w:t xml:space="preserve">ar la efectividad de los derechos fundamentales de la accionante a la seguridad social, al mínimo vital, al trabajo y la dignidad humana. </w:t>
      </w:r>
      <w:r w:rsidR="002F4449" w:rsidRPr="00793402">
        <w:rPr>
          <w:rFonts w:eastAsia="Calibri"/>
          <w:color w:val="000000" w:themeColor="text1"/>
          <w:sz w:val="28"/>
          <w:szCs w:val="28"/>
          <w:lang w:val="es-ES_tradnl" w:eastAsia="es-CO"/>
        </w:rPr>
        <w:t>Dicha intervención del juez constitucional es requerida</w:t>
      </w:r>
      <w:r w:rsidR="008A5E26" w:rsidRPr="00793402">
        <w:rPr>
          <w:rFonts w:eastAsia="Calibri"/>
          <w:color w:val="000000" w:themeColor="text1"/>
          <w:sz w:val="28"/>
          <w:szCs w:val="28"/>
          <w:lang w:val="es-ES_tradnl" w:eastAsia="es-CO"/>
        </w:rPr>
        <w:t xml:space="preserve"> con urgencia dada </w:t>
      </w:r>
      <w:r w:rsidR="00080E62" w:rsidRPr="00793402">
        <w:rPr>
          <w:rFonts w:eastAsia="Calibri"/>
          <w:color w:val="000000" w:themeColor="text1"/>
          <w:sz w:val="28"/>
          <w:szCs w:val="28"/>
          <w:lang w:val="es-ES_tradnl" w:eastAsia="es-CO"/>
        </w:rPr>
        <w:t>su</w:t>
      </w:r>
      <w:r w:rsidR="008A5E26" w:rsidRPr="00793402">
        <w:rPr>
          <w:rFonts w:eastAsia="Calibri"/>
          <w:color w:val="000000" w:themeColor="text1"/>
          <w:sz w:val="28"/>
          <w:szCs w:val="28"/>
          <w:lang w:val="es-ES_tradnl" w:eastAsia="es-CO"/>
        </w:rPr>
        <w:t xml:space="preserve"> condición de adulta mayor </w:t>
      </w:r>
      <w:r w:rsidR="00080E62" w:rsidRPr="00793402">
        <w:rPr>
          <w:rFonts w:eastAsia="Calibri"/>
          <w:color w:val="000000" w:themeColor="text1"/>
          <w:sz w:val="28"/>
          <w:szCs w:val="28"/>
          <w:lang w:val="es-ES_tradnl" w:eastAsia="es-CO"/>
        </w:rPr>
        <w:t>y sus</w:t>
      </w:r>
      <w:r w:rsidR="008A5E26" w:rsidRPr="00793402">
        <w:rPr>
          <w:rFonts w:eastAsia="Calibri"/>
          <w:color w:val="000000" w:themeColor="text1"/>
          <w:sz w:val="28"/>
          <w:szCs w:val="28"/>
          <w:lang w:val="es-ES_tradnl" w:eastAsia="es-CO"/>
        </w:rPr>
        <w:t xml:space="preserve"> expectativas razonables de acceder a la pensión de vejez.</w:t>
      </w:r>
      <w:r w:rsidR="00C87A8D" w:rsidRPr="00793402">
        <w:rPr>
          <w:rFonts w:eastAsia="Calibri"/>
          <w:color w:val="000000" w:themeColor="text1"/>
          <w:sz w:val="28"/>
          <w:szCs w:val="28"/>
          <w:lang w:val="es-ES_tradnl" w:eastAsia="es-CO"/>
        </w:rPr>
        <w:t xml:space="preserve"> Adicionalmente, como consecuencia de su desvinculación, la demandante no cuenta con los medios para garantizar su mínimo vital y subsistencia, pues no tiene un empleo</w:t>
      </w:r>
      <w:r w:rsidR="00106C7F" w:rsidRPr="00793402">
        <w:rPr>
          <w:rFonts w:eastAsia="Calibri"/>
          <w:color w:val="000000" w:themeColor="text1"/>
          <w:sz w:val="28"/>
          <w:szCs w:val="28"/>
          <w:lang w:val="es-ES_tradnl" w:eastAsia="es-CO"/>
        </w:rPr>
        <w:t>,</w:t>
      </w:r>
      <w:r w:rsidR="00C87A8D" w:rsidRPr="00793402">
        <w:rPr>
          <w:rFonts w:eastAsia="Calibri"/>
          <w:color w:val="000000" w:themeColor="text1"/>
          <w:sz w:val="28"/>
          <w:szCs w:val="28"/>
          <w:lang w:val="es-ES_tradnl" w:eastAsia="es-CO"/>
        </w:rPr>
        <w:t xml:space="preserve"> ni ha podido acceder a la pensión de vejez. En efecto, la actora demostró que no posee una fuente de ingresos y que es titular de deudas por valor aproximado de $65.000.000</w:t>
      </w:r>
      <w:r w:rsidR="00C87A8D" w:rsidRPr="00793402">
        <w:rPr>
          <w:rStyle w:val="Refdenotaalpie"/>
          <w:rFonts w:eastAsia="Calibri"/>
          <w:color w:val="000000" w:themeColor="text1"/>
          <w:sz w:val="28"/>
          <w:szCs w:val="28"/>
          <w:lang w:val="es-ES_tradnl" w:eastAsia="es-CO"/>
        </w:rPr>
        <w:footnoteReference w:id="88"/>
      </w:r>
      <w:r w:rsidR="00C87A8D" w:rsidRPr="00793402">
        <w:rPr>
          <w:rFonts w:eastAsia="Calibri"/>
          <w:color w:val="000000" w:themeColor="text1"/>
          <w:sz w:val="28"/>
          <w:szCs w:val="28"/>
          <w:lang w:val="es-ES_tradnl" w:eastAsia="es-CO"/>
        </w:rPr>
        <w:t xml:space="preserve">. </w:t>
      </w:r>
      <w:r w:rsidR="000849DC" w:rsidRPr="00793402">
        <w:rPr>
          <w:rFonts w:eastAsia="Calibri"/>
          <w:color w:val="000000" w:themeColor="text1"/>
          <w:sz w:val="28"/>
          <w:szCs w:val="28"/>
          <w:lang w:val="es-ES_tradnl" w:eastAsia="es-CO"/>
        </w:rPr>
        <w:t>De igual forma</w:t>
      </w:r>
      <w:r w:rsidR="00C87A8D" w:rsidRPr="00793402">
        <w:rPr>
          <w:rFonts w:eastAsia="Calibri"/>
          <w:color w:val="000000" w:themeColor="text1"/>
          <w:sz w:val="28"/>
          <w:szCs w:val="28"/>
          <w:lang w:val="es-ES_tradnl" w:eastAsia="es-CO"/>
        </w:rPr>
        <w:t xml:space="preserve">, la accionante comparte con su esposo la manutención de su hijo y de su hogar. </w:t>
      </w:r>
      <w:r w:rsidR="00895676" w:rsidRPr="00793402">
        <w:rPr>
          <w:rFonts w:eastAsia="Calibri"/>
          <w:color w:val="000000" w:themeColor="text1"/>
          <w:sz w:val="28"/>
          <w:szCs w:val="28"/>
          <w:lang w:val="es-ES_tradnl" w:eastAsia="es-CO"/>
        </w:rPr>
        <w:t>Estos c</w:t>
      </w:r>
      <w:r w:rsidR="00C87A8D" w:rsidRPr="00793402">
        <w:rPr>
          <w:rFonts w:eastAsia="Calibri"/>
          <w:color w:val="000000" w:themeColor="text1"/>
          <w:sz w:val="28"/>
          <w:szCs w:val="28"/>
          <w:lang w:val="es-ES_tradnl" w:eastAsia="es-CO"/>
        </w:rPr>
        <w:t>ompromisos se han visto intempestivamente afectados por la reducción abrupta de sus ingresos.</w:t>
      </w:r>
      <w:r w:rsidR="008A5E26" w:rsidRPr="00793402">
        <w:rPr>
          <w:rFonts w:eastAsia="Calibri"/>
          <w:color w:val="000000" w:themeColor="text1"/>
          <w:sz w:val="28"/>
          <w:szCs w:val="28"/>
          <w:lang w:val="es-ES_tradnl" w:eastAsia="es-CO"/>
        </w:rPr>
        <w:t xml:space="preserve"> </w:t>
      </w:r>
      <w:r w:rsidR="00106033" w:rsidRPr="00793402">
        <w:rPr>
          <w:rFonts w:eastAsia="Calibri"/>
          <w:color w:val="000000" w:themeColor="text1"/>
          <w:sz w:val="28"/>
          <w:szCs w:val="28"/>
          <w:lang w:val="es-ES_tradnl" w:eastAsia="es-CO"/>
        </w:rPr>
        <w:t xml:space="preserve">Por lo </w:t>
      </w:r>
      <w:r w:rsidR="00153DC3" w:rsidRPr="00793402">
        <w:rPr>
          <w:rFonts w:eastAsia="Calibri"/>
          <w:color w:val="000000" w:themeColor="text1"/>
          <w:sz w:val="28"/>
          <w:szCs w:val="28"/>
          <w:lang w:val="es-ES_tradnl" w:eastAsia="es-CO"/>
        </w:rPr>
        <w:t>que</w:t>
      </w:r>
      <w:r w:rsidR="00106033" w:rsidRPr="00793402">
        <w:rPr>
          <w:rFonts w:eastAsia="Calibri"/>
          <w:color w:val="000000" w:themeColor="text1"/>
          <w:sz w:val="28"/>
          <w:szCs w:val="28"/>
          <w:lang w:val="es-ES_tradnl" w:eastAsia="es-CO"/>
        </w:rPr>
        <w:t>, resultaría desproporcionado</w:t>
      </w:r>
      <w:r w:rsidR="00153DC3" w:rsidRPr="00793402">
        <w:rPr>
          <w:rFonts w:eastAsia="Calibri"/>
          <w:color w:val="000000" w:themeColor="text1"/>
          <w:sz w:val="28"/>
          <w:szCs w:val="28"/>
          <w:lang w:val="es-ES_tradnl" w:eastAsia="es-CO"/>
        </w:rPr>
        <w:t xml:space="preserve"> para </w:t>
      </w:r>
      <w:r w:rsidR="00080E62" w:rsidRPr="00793402">
        <w:rPr>
          <w:rFonts w:eastAsia="Calibri"/>
          <w:color w:val="000000" w:themeColor="text1"/>
          <w:sz w:val="28"/>
          <w:szCs w:val="28"/>
          <w:lang w:val="es-ES_tradnl" w:eastAsia="es-CO"/>
        </w:rPr>
        <w:t xml:space="preserve">ella </w:t>
      </w:r>
      <w:r w:rsidR="00106033" w:rsidRPr="00793402">
        <w:rPr>
          <w:rFonts w:eastAsia="Calibri"/>
          <w:color w:val="000000" w:themeColor="text1"/>
          <w:sz w:val="28"/>
          <w:szCs w:val="28"/>
          <w:lang w:val="es-ES_tradnl" w:eastAsia="es-CO"/>
        </w:rPr>
        <w:t>esperar el pronunciamiento del juez administrativo</w:t>
      </w:r>
      <w:r w:rsidR="00825060" w:rsidRPr="00793402">
        <w:rPr>
          <w:rFonts w:eastAsia="Calibri"/>
          <w:color w:val="000000" w:themeColor="text1"/>
          <w:sz w:val="28"/>
          <w:szCs w:val="28"/>
          <w:lang w:val="es-ES_tradnl" w:eastAsia="es-CO"/>
        </w:rPr>
        <w:t xml:space="preserve"> </w:t>
      </w:r>
      <w:r w:rsidR="008377ED" w:rsidRPr="00793402">
        <w:rPr>
          <w:rFonts w:eastAsia="Calibri"/>
          <w:color w:val="000000" w:themeColor="text1"/>
          <w:sz w:val="28"/>
          <w:szCs w:val="28"/>
          <w:lang w:val="es-ES_tradnl" w:eastAsia="es-CO"/>
        </w:rPr>
        <w:t xml:space="preserve">en perjuicio de su derecho al mínimo vital y su subsistencia </w:t>
      </w:r>
      <w:r w:rsidR="00106033" w:rsidRPr="00793402">
        <w:rPr>
          <w:rFonts w:eastAsia="Calibri"/>
          <w:color w:val="000000" w:themeColor="text1"/>
          <w:sz w:val="28"/>
          <w:szCs w:val="28"/>
          <w:lang w:val="es-ES_tradnl" w:eastAsia="es-CO"/>
        </w:rPr>
        <w:t>(T-643 de 2015</w:t>
      </w:r>
      <w:r w:rsidR="00BB3BA2" w:rsidRPr="00793402">
        <w:rPr>
          <w:rStyle w:val="Refdenotaalpie"/>
          <w:rFonts w:eastAsia="Calibri"/>
          <w:color w:val="000000" w:themeColor="text1"/>
          <w:sz w:val="28"/>
          <w:szCs w:val="28"/>
          <w:lang w:val="es-ES_tradnl" w:eastAsia="es-CO"/>
        </w:rPr>
        <w:footnoteReference w:id="89"/>
      </w:r>
      <w:r w:rsidR="00106033" w:rsidRPr="00793402">
        <w:rPr>
          <w:rFonts w:eastAsia="Calibri"/>
          <w:color w:val="000000" w:themeColor="text1"/>
          <w:sz w:val="28"/>
          <w:szCs w:val="28"/>
          <w:lang w:val="es-ES_tradnl" w:eastAsia="es-CO"/>
        </w:rPr>
        <w:t>)</w:t>
      </w:r>
      <w:r w:rsidR="002C4CD1" w:rsidRPr="00793402">
        <w:rPr>
          <w:rFonts w:eastAsia="Calibri"/>
          <w:color w:val="000000" w:themeColor="text1"/>
          <w:sz w:val="28"/>
          <w:szCs w:val="28"/>
          <w:lang w:val="es-ES_tradnl" w:eastAsia="es-CO"/>
        </w:rPr>
        <w:t>.</w:t>
      </w:r>
    </w:p>
    <w:p w14:paraId="6639AFED" w14:textId="5286A422" w:rsidR="00980A4B" w:rsidRPr="00793402" w:rsidRDefault="00980A4B" w:rsidP="00B77DF4">
      <w:pPr>
        <w:widowControl w:val="0"/>
        <w:jc w:val="both"/>
        <w:rPr>
          <w:rFonts w:eastAsia="Calibri"/>
          <w:color w:val="000000" w:themeColor="text1"/>
          <w:sz w:val="28"/>
          <w:szCs w:val="28"/>
          <w:lang w:val="es-ES_tradnl" w:eastAsia="es-CO"/>
        </w:rPr>
      </w:pPr>
    </w:p>
    <w:p w14:paraId="40F4F4E8" w14:textId="2DFDA7FC" w:rsidR="00965628" w:rsidRPr="00793402" w:rsidRDefault="008A1CF4" w:rsidP="00B77DF4">
      <w:pPr>
        <w:widowControl w:val="0"/>
        <w:jc w:val="both"/>
        <w:rPr>
          <w:color w:val="000000" w:themeColor="text1"/>
          <w:sz w:val="28"/>
          <w:szCs w:val="28"/>
          <w:lang w:eastAsia="es-CO"/>
        </w:rPr>
      </w:pPr>
      <w:r w:rsidRPr="00793402">
        <w:rPr>
          <w:color w:val="000000" w:themeColor="text1"/>
          <w:sz w:val="28"/>
          <w:szCs w:val="28"/>
          <w:lang w:eastAsia="es-CO"/>
        </w:rPr>
        <w:t xml:space="preserve">33.1. Por otro lado, la accionante se encuentra en una situación de indefensión frente al mercado laboral por su género. Según el </w:t>
      </w:r>
      <w:r w:rsidR="00006D85" w:rsidRPr="00793402">
        <w:rPr>
          <w:color w:val="000000" w:themeColor="text1"/>
          <w:sz w:val="28"/>
          <w:szCs w:val="28"/>
          <w:lang w:eastAsia="es-CO"/>
        </w:rPr>
        <w:t>Departamento Administrativo Nacional de Estadística (</w:t>
      </w:r>
      <w:r w:rsidRPr="00793402">
        <w:rPr>
          <w:color w:val="000000" w:themeColor="text1"/>
          <w:sz w:val="28"/>
          <w:szCs w:val="28"/>
          <w:lang w:eastAsia="es-CO"/>
        </w:rPr>
        <w:t>DANE</w:t>
      </w:r>
      <w:r w:rsidR="00006D85" w:rsidRPr="00793402">
        <w:rPr>
          <w:color w:val="000000" w:themeColor="text1"/>
          <w:sz w:val="28"/>
          <w:szCs w:val="28"/>
          <w:lang w:eastAsia="es-CO"/>
        </w:rPr>
        <w:t>)</w:t>
      </w:r>
      <w:r w:rsidRPr="00793402">
        <w:rPr>
          <w:rStyle w:val="Refdenotaalpie"/>
          <w:color w:val="000000" w:themeColor="text1"/>
          <w:sz w:val="28"/>
          <w:szCs w:val="28"/>
          <w:lang w:eastAsia="es-CO"/>
        </w:rPr>
        <w:footnoteReference w:id="90"/>
      </w:r>
      <w:r w:rsidRPr="00793402">
        <w:rPr>
          <w:color w:val="000000" w:themeColor="text1"/>
          <w:sz w:val="28"/>
          <w:szCs w:val="28"/>
          <w:lang w:eastAsia="es-CO"/>
        </w:rPr>
        <w:t xml:space="preserve"> la tasa de desempleo en el último trimestre para las mujeres a nivel nacional fue de 12,6%, en contraste con la de los hombres que fue de 7,8%, con una diferencia de -4,7p.p.</w:t>
      </w:r>
      <w:r w:rsidRPr="00793402">
        <w:rPr>
          <w:rStyle w:val="Refdenotaalpie"/>
          <w:color w:val="000000" w:themeColor="text1"/>
          <w:sz w:val="28"/>
          <w:szCs w:val="28"/>
          <w:lang w:eastAsia="es-CO"/>
        </w:rPr>
        <w:footnoteReference w:id="91"/>
      </w:r>
      <w:r w:rsidRPr="00793402">
        <w:rPr>
          <w:color w:val="000000" w:themeColor="text1"/>
          <w:sz w:val="28"/>
          <w:szCs w:val="28"/>
          <w:lang w:eastAsia="es-CO"/>
        </w:rPr>
        <w:t>. Esa brecha crece hasta llegar, en los centros poblados y rurales dispersos del país, a alcanzar -7,8 p.p. en perjuicio de las mujeres</w:t>
      </w:r>
      <w:r w:rsidRPr="00793402">
        <w:rPr>
          <w:rStyle w:val="Refdenotaalpie"/>
          <w:color w:val="000000" w:themeColor="text1"/>
          <w:sz w:val="28"/>
          <w:szCs w:val="28"/>
          <w:lang w:eastAsia="es-CO"/>
        </w:rPr>
        <w:footnoteReference w:id="92"/>
      </w:r>
      <w:r w:rsidRPr="00793402">
        <w:rPr>
          <w:color w:val="000000" w:themeColor="text1"/>
          <w:sz w:val="28"/>
          <w:szCs w:val="28"/>
          <w:lang w:eastAsia="es-CO"/>
        </w:rPr>
        <w:t xml:space="preserve">. </w:t>
      </w:r>
      <w:r w:rsidR="00965628" w:rsidRPr="00793402">
        <w:rPr>
          <w:color w:val="000000" w:themeColor="text1"/>
          <w:sz w:val="28"/>
          <w:szCs w:val="28"/>
          <w:lang w:eastAsia="es-CO"/>
        </w:rPr>
        <w:t>En cuanto a la tasa de ocupación, del 100% de las mujeres en edad de trabajar, solamente el 45,4% está</w:t>
      </w:r>
      <w:r w:rsidR="000849DC" w:rsidRPr="00793402">
        <w:rPr>
          <w:color w:val="000000" w:themeColor="text1"/>
          <w:sz w:val="28"/>
          <w:szCs w:val="28"/>
          <w:lang w:eastAsia="es-CO"/>
        </w:rPr>
        <w:t>n</w:t>
      </w:r>
      <w:r w:rsidR="00965628" w:rsidRPr="00793402">
        <w:rPr>
          <w:color w:val="000000" w:themeColor="text1"/>
          <w:sz w:val="28"/>
          <w:szCs w:val="28"/>
          <w:lang w:eastAsia="es-CO"/>
        </w:rPr>
        <w:t xml:space="preserve"> efectivamente ocupada</w:t>
      </w:r>
      <w:r w:rsidR="000849DC" w:rsidRPr="00793402">
        <w:rPr>
          <w:color w:val="000000" w:themeColor="text1"/>
          <w:sz w:val="28"/>
          <w:szCs w:val="28"/>
          <w:lang w:eastAsia="es-CO"/>
        </w:rPr>
        <w:t>s</w:t>
      </w:r>
      <w:r w:rsidR="00965628" w:rsidRPr="00793402">
        <w:rPr>
          <w:color w:val="000000" w:themeColor="text1"/>
          <w:sz w:val="28"/>
          <w:szCs w:val="28"/>
          <w:lang w:eastAsia="es-CO"/>
        </w:rPr>
        <w:t>. En contraste con el 70,6% de hombres con respecto al total de los mismos en edad de trabajar</w:t>
      </w:r>
      <w:r w:rsidR="00C0781B" w:rsidRPr="00793402">
        <w:rPr>
          <w:rStyle w:val="Refdenotaalpie"/>
          <w:color w:val="000000" w:themeColor="text1"/>
          <w:sz w:val="28"/>
          <w:szCs w:val="28"/>
          <w:lang w:eastAsia="es-CO"/>
        </w:rPr>
        <w:footnoteReference w:id="93"/>
      </w:r>
      <w:r w:rsidR="00965628" w:rsidRPr="00793402">
        <w:rPr>
          <w:color w:val="000000" w:themeColor="text1"/>
          <w:sz w:val="28"/>
          <w:szCs w:val="28"/>
          <w:lang w:eastAsia="es-CO"/>
        </w:rPr>
        <w:t xml:space="preserve">. </w:t>
      </w:r>
      <w:r w:rsidRPr="00793402">
        <w:rPr>
          <w:color w:val="000000" w:themeColor="text1"/>
          <w:sz w:val="28"/>
          <w:szCs w:val="28"/>
          <w:lang w:eastAsia="es-CO"/>
        </w:rPr>
        <w:t xml:space="preserve">Esa situación de desigualdad evidencia una clara desventaja para acceder y permanecer </w:t>
      </w:r>
      <w:r w:rsidR="00CD3D94" w:rsidRPr="00793402">
        <w:rPr>
          <w:color w:val="000000" w:themeColor="text1"/>
          <w:sz w:val="28"/>
          <w:szCs w:val="28"/>
          <w:lang w:eastAsia="es-CO"/>
        </w:rPr>
        <w:t>en</w:t>
      </w:r>
      <w:r w:rsidRPr="00793402">
        <w:rPr>
          <w:color w:val="000000" w:themeColor="text1"/>
          <w:sz w:val="28"/>
          <w:szCs w:val="28"/>
          <w:lang w:eastAsia="es-CO"/>
        </w:rPr>
        <w:t xml:space="preserve"> un empleo </w:t>
      </w:r>
      <w:r w:rsidR="00965628" w:rsidRPr="00793402">
        <w:rPr>
          <w:color w:val="000000" w:themeColor="text1"/>
          <w:sz w:val="28"/>
          <w:szCs w:val="28"/>
          <w:lang w:eastAsia="es-CO"/>
        </w:rPr>
        <w:t xml:space="preserve">para las mujeres </w:t>
      </w:r>
      <w:r w:rsidRPr="00793402">
        <w:rPr>
          <w:color w:val="000000" w:themeColor="text1"/>
          <w:sz w:val="28"/>
          <w:szCs w:val="28"/>
          <w:lang w:eastAsia="es-CO"/>
        </w:rPr>
        <w:t xml:space="preserve">por el hecho de ser mujer. </w:t>
      </w:r>
      <w:r w:rsidR="00CD3D94" w:rsidRPr="00793402">
        <w:rPr>
          <w:color w:val="000000" w:themeColor="text1"/>
          <w:sz w:val="28"/>
          <w:szCs w:val="28"/>
          <w:lang w:eastAsia="es-CO"/>
        </w:rPr>
        <w:t xml:space="preserve">En </w:t>
      </w:r>
      <w:r w:rsidR="00965628" w:rsidRPr="00793402">
        <w:rPr>
          <w:color w:val="000000" w:themeColor="text1"/>
          <w:sz w:val="28"/>
          <w:szCs w:val="28"/>
          <w:lang w:eastAsia="es-CO"/>
        </w:rPr>
        <w:t xml:space="preserve">el caso concreto, como consecuencia de su desvinculación del cargo de auxiliar de servicios generales, la accionante se enfrenta al panorama descrito. Escenario </w:t>
      </w:r>
      <w:r w:rsidR="00F46C4C" w:rsidRPr="00793402">
        <w:rPr>
          <w:color w:val="000000" w:themeColor="text1"/>
          <w:sz w:val="28"/>
          <w:szCs w:val="28"/>
          <w:lang w:eastAsia="es-CO"/>
        </w:rPr>
        <w:t xml:space="preserve">que se </w:t>
      </w:r>
      <w:r w:rsidR="00AE23F7" w:rsidRPr="00793402">
        <w:rPr>
          <w:color w:val="000000" w:themeColor="text1"/>
          <w:sz w:val="28"/>
          <w:szCs w:val="28"/>
          <w:lang w:eastAsia="es-CO"/>
        </w:rPr>
        <w:t>agrava</w:t>
      </w:r>
      <w:r w:rsidR="00F46C4C" w:rsidRPr="00793402">
        <w:rPr>
          <w:color w:val="000000" w:themeColor="text1"/>
          <w:sz w:val="28"/>
          <w:szCs w:val="28"/>
          <w:lang w:eastAsia="es-CO"/>
        </w:rPr>
        <w:t xml:space="preserve"> </w:t>
      </w:r>
      <w:r w:rsidR="00006D85" w:rsidRPr="00793402">
        <w:rPr>
          <w:color w:val="000000" w:themeColor="text1"/>
          <w:sz w:val="28"/>
          <w:szCs w:val="28"/>
          <w:lang w:eastAsia="es-CO"/>
        </w:rPr>
        <w:t>por su condición de adulta mayor</w:t>
      </w:r>
      <w:r w:rsidR="00F46C4C" w:rsidRPr="00793402">
        <w:rPr>
          <w:color w:val="000000" w:themeColor="text1"/>
          <w:sz w:val="28"/>
          <w:szCs w:val="28"/>
          <w:lang w:eastAsia="es-CO"/>
        </w:rPr>
        <w:t>.</w:t>
      </w:r>
    </w:p>
    <w:p w14:paraId="392D64E3" w14:textId="77777777" w:rsidR="00F46C4C" w:rsidRPr="00793402" w:rsidRDefault="00F46C4C" w:rsidP="00411556">
      <w:pPr>
        <w:widowControl w:val="0"/>
        <w:jc w:val="both"/>
        <w:rPr>
          <w:color w:val="000000" w:themeColor="text1"/>
          <w:sz w:val="28"/>
          <w:szCs w:val="28"/>
          <w:lang w:eastAsia="es-CO"/>
        </w:rPr>
      </w:pPr>
    </w:p>
    <w:p w14:paraId="5327209E" w14:textId="07A237E8" w:rsidR="00411556" w:rsidRPr="00793402" w:rsidRDefault="00D76F3C" w:rsidP="00411556">
      <w:pPr>
        <w:widowControl w:val="0"/>
        <w:jc w:val="both"/>
        <w:rPr>
          <w:color w:val="000000" w:themeColor="text1"/>
          <w:sz w:val="28"/>
          <w:szCs w:val="28"/>
          <w:lang w:eastAsia="es-CO"/>
        </w:rPr>
      </w:pPr>
      <w:r w:rsidRPr="00793402">
        <w:rPr>
          <w:color w:val="000000" w:themeColor="text1"/>
          <w:sz w:val="28"/>
          <w:szCs w:val="28"/>
          <w:lang w:eastAsia="es-CO"/>
        </w:rPr>
        <w:t>3</w:t>
      </w:r>
      <w:r w:rsidR="002C4CD1" w:rsidRPr="00793402">
        <w:rPr>
          <w:color w:val="000000" w:themeColor="text1"/>
          <w:sz w:val="28"/>
          <w:szCs w:val="28"/>
          <w:lang w:eastAsia="es-CO"/>
        </w:rPr>
        <w:t>3</w:t>
      </w:r>
      <w:r w:rsidRPr="00793402">
        <w:rPr>
          <w:color w:val="000000" w:themeColor="text1"/>
          <w:sz w:val="28"/>
          <w:szCs w:val="28"/>
          <w:lang w:eastAsia="es-CO"/>
        </w:rPr>
        <w:t>.</w:t>
      </w:r>
      <w:r w:rsidR="00F46C4C" w:rsidRPr="00793402">
        <w:rPr>
          <w:color w:val="000000" w:themeColor="text1"/>
          <w:sz w:val="28"/>
          <w:szCs w:val="28"/>
          <w:lang w:eastAsia="es-CO"/>
        </w:rPr>
        <w:t>2</w:t>
      </w:r>
      <w:r w:rsidRPr="00793402">
        <w:rPr>
          <w:color w:val="000000" w:themeColor="text1"/>
          <w:sz w:val="28"/>
          <w:szCs w:val="28"/>
          <w:lang w:eastAsia="es-CO"/>
        </w:rPr>
        <w:t xml:space="preserve">. </w:t>
      </w:r>
      <w:r w:rsidR="00E43349" w:rsidRPr="00793402">
        <w:rPr>
          <w:color w:val="000000" w:themeColor="text1"/>
          <w:sz w:val="28"/>
          <w:szCs w:val="28"/>
          <w:lang w:eastAsia="es-CO"/>
        </w:rPr>
        <w:t>De igual forma,</w:t>
      </w:r>
      <w:r w:rsidR="00B77DF4" w:rsidRPr="00793402">
        <w:rPr>
          <w:color w:val="000000" w:themeColor="text1"/>
          <w:sz w:val="28"/>
          <w:szCs w:val="28"/>
          <w:lang w:eastAsia="es-CO"/>
        </w:rPr>
        <w:t xml:space="preserve"> lo pretendido con </w:t>
      </w:r>
      <w:r w:rsidR="00E404E6" w:rsidRPr="00793402">
        <w:rPr>
          <w:color w:val="000000" w:themeColor="text1"/>
          <w:sz w:val="28"/>
          <w:szCs w:val="28"/>
          <w:lang w:eastAsia="es-CO"/>
        </w:rPr>
        <w:t>esta</w:t>
      </w:r>
      <w:r w:rsidR="00B77DF4" w:rsidRPr="00793402">
        <w:rPr>
          <w:color w:val="000000" w:themeColor="text1"/>
          <w:sz w:val="28"/>
          <w:szCs w:val="28"/>
          <w:lang w:eastAsia="es-CO"/>
        </w:rPr>
        <w:t xml:space="preserve"> acción se trata del reconocimiento de un derecho cierto e indiscutible, como lo es la estabilidad laboral por ostentar la calidad de </w:t>
      </w:r>
      <w:proofErr w:type="spellStart"/>
      <w:r w:rsidR="00B77DF4" w:rsidRPr="00793402">
        <w:rPr>
          <w:color w:val="000000" w:themeColor="text1"/>
          <w:sz w:val="28"/>
          <w:szCs w:val="28"/>
          <w:lang w:eastAsia="es-CO"/>
        </w:rPr>
        <w:t>pre</w:t>
      </w:r>
      <w:r w:rsidR="00F7758F" w:rsidRPr="00793402">
        <w:rPr>
          <w:color w:val="000000" w:themeColor="text1"/>
          <w:sz w:val="28"/>
          <w:szCs w:val="28"/>
          <w:lang w:eastAsia="es-CO"/>
        </w:rPr>
        <w:t>pensionada</w:t>
      </w:r>
      <w:proofErr w:type="spellEnd"/>
      <w:r w:rsidR="00B77DF4" w:rsidRPr="00793402">
        <w:rPr>
          <w:color w:val="000000" w:themeColor="text1"/>
          <w:sz w:val="28"/>
          <w:szCs w:val="28"/>
          <w:lang w:eastAsia="es-CO"/>
        </w:rPr>
        <w:t>. Ese ejercicio</w:t>
      </w:r>
      <w:r w:rsidR="00B25C94" w:rsidRPr="00793402">
        <w:rPr>
          <w:color w:val="000000" w:themeColor="text1"/>
          <w:sz w:val="28"/>
          <w:szCs w:val="28"/>
          <w:lang w:eastAsia="es-CO"/>
        </w:rPr>
        <w:t>,</w:t>
      </w:r>
      <w:r w:rsidR="00B77DF4" w:rsidRPr="00793402">
        <w:rPr>
          <w:color w:val="000000" w:themeColor="text1"/>
          <w:sz w:val="28"/>
          <w:szCs w:val="28"/>
          <w:lang w:eastAsia="es-CO"/>
        </w:rPr>
        <w:t xml:space="preserve"> </w:t>
      </w:r>
      <w:r w:rsidR="00FC3E79" w:rsidRPr="00793402">
        <w:rPr>
          <w:color w:val="000000" w:themeColor="text1"/>
          <w:sz w:val="28"/>
          <w:szCs w:val="28"/>
          <w:lang w:eastAsia="es-CO"/>
        </w:rPr>
        <w:t xml:space="preserve">con fundamento en las pruebas que obran en el expediente, </w:t>
      </w:r>
      <w:r w:rsidR="00B77DF4" w:rsidRPr="00793402">
        <w:rPr>
          <w:color w:val="000000" w:themeColor="text1"/>
          <w:sz w:val="28"/>
          <w:szCs w:val="28"/>
          <w:lang w:eastAsia="es-CO"/>
        </w:rPr>
        <w:t xml:space="preserve">no requiere de un despliegue probatorio </w:t>
      </w:r>
      <w:r w:rsidR="00FC3E79" w:rsidRPr="00793402">
        <w:rPr>
          <w:color w:val="000000" w:themeColor="text1"/>
          <w:sz w:val="28"/>
          <w:szCs w:val="28"/>
          <w:lang w:eastAsia="es-CO"/>
        </w:rPr>
        <w:t>que desborde la acción de tutela y que deba darse en el marco de los procesos ante la jurisdicción de lo contencioso administrativo.</w:t>
      </w:r>
    </w:p>
    <w:p w14:paraId="70E81361" w14:textId="77777777" w:rsidR="00411556" w:rsidRPr="00793402" w:rsidRDefault="00411556" w:rsidP="00E43349">
      <w:pPr>
        <w:shd w:val="clear" w:color="auto" w:fill="FFFFFF"/>
        <w:tabs>
          <w:tab w:val="left" w:pos="284"/>
        </w:tabs>
        <w:jc w:val="both"/>
        <w:rPr>
          <w:color w:val="000000" w:themeColor="text1"/>
          <w:sz w:val="28"/>
          <w:szCs w:val="28"/>
        </w:rPr>
      </w:pPr>
    </w:p>
    <w:p w14:paraId="14B82815" w14:textId="1428E451" w:rsidR="00E43349" w:rsidRPr="00793402" w:rsidRDefault="00411556" w:rsidP="00E43349">
      <w:pPr>
        <w:shd w:val="clear" w:color="auto" w:fill="FFFFFF"/>
        <w:tabs>
          <w:tab w:val="left" w:pos="284"/>
        </w:tabs>
        <w:jc w:val="both"/>
        <w:rPr>
          <w:color w:val="000000" w:themeColor="text1"/>
          <w:sz w:val="28"/>
          <w:szCs w:val="28"/>
          <w:lang w:val="es-ES_tradnl"/>
        </w:rPr>
      </w:pPr>
      <w:r w:rsidRPr="00793402">
        <w:rPr>
          <w:color w:val="000000" w:themeColor="text1"/>
          <w:sz w:val="28"/>
          <w:szCs w:val="28"/>
        </w:rPr>
        <w:t>33.</w:t>
      </w:r>
      <w:r w:rsidR="00F46C4C" w:rsidRPr="00793402">
        <w:rPr>
          <w:color w:val="000000" w:themeColor="text1"/>
          <w:sz w:val="28"/>
          <w:szCs w:val="28"/>
        </w:rPr>
        <w:t>3</w:t>
      </w:r>
      <w:r w:rsidRPr="00793402">
        <w:rPr>
          <w:color w:val="000000" w:themeColor="text1"/>
          <w:sz w:val="28"/>
          <w:szCs w:val="28"/>
        </w:rPr>
        <w:t>.</w:t>
      </w:r>
      <w:r w:rsidR="00E43349" w:rsidRPr="00793402">
        <w:rPr>
          <w:color w:val="000000" w:themeColor="text1"/>
          <w:sz w:val="28"/>
          <w:szCs w:val="28"/>
        </w:rPr>
        <w:t xml:space="preserve"> Por último, en relación con la pretensión relativa al pago de salarios </w:t>
      </w:r>
      <w:r w:rsidR="00C87A8D" w:rsidRPr="00793402">
        <w:rPr>
          <w:color w:val="000000" w:themeColor="text1"/>
          <w:sz w:val="28"/>
          <w:szCs w:val="28"/>
        </w:rPr>
        <w:t xml:space="preserve">y prestaciones sociales </w:t>
      </w:r>
      <w:r w:rsidR="00E43349" w:rsidRPr="00793402">
        <w:rPr>
          <w:color w:val="000000" w:themeColor="text1"/>
          <w:sz w:val="28"/>
          <w:szCs w:val="28"/>
        </w:rPr>
        <w:t>dejados de percibir desde el momento de</w:t>
      </w:r>
      <w:r w:rsidR="00B25C94" w:rsidRPr="00793402">
        <w:rPr>
          <w:color w:val="000000" w:themeColor="text1"/>
          <w:sz w:val="28"/>
          <w:szCs w:val="28"/>
        </w:rPr>
        <w:t xml:space="preserve"> la</w:t>
      </w:r>
      <w:r w:rsidR="00E43349" w:rsidRPr="00793402">
        <w:rPr>
          <w:color w:val="000000" w:themeColor="text1"/>
          <w:sz w:val="28"/>
          <w:szCs w:val="28"/>
        </w:rPr>
        <w:t xml:space="preserve"> desvinculación de la actora, la Sala advierte que la procedencia de la acción de tutela surge únicamente respecto al reintegro laboral, pues la jurisprudencia constitucional ha delimitado </w:t>
      </w:r>
      <w:r w:rsidR="00E43349" w:rsidRPr="00793402">
        <w:rPr>
          <w:color w:val="000000" w:themeColor="text1"/>
          <w:sz w:val="28"/>
          <w:szCs w:val="28"/>
          <w:lang w:val="es-ES_tradnl"/>
        </w:rPr>
        <w:t xml:space="preserve">el estudio de estos casos </w:t>
      </w:r>
      <w:r w:rsidR="00FC3E79" w:rsidRPr="00793402">
        <w:rPr>
          <w:color w:val="000000" w:themeColor="text1"/>
          <w:sz w:val="28"/>
          <w:szCs w:val="28"/>
          <w:lang w:val="es-ES_tradnl"/>
        </w:rPr>
        <w:t>en</w:t>
      </w:r>
      <w:r w:rsidR="00E43349" w:rsidRPr="00793402">
        <w:rPr>
          <w:color w:val="000000" w:themeColor="text1"/>
          <w:sz w:val="28"/>
          <w:szCs w:val="28"/>
          <w:lang w:val="es-ES_tradnl"/>
        </w:rPr>
        <w:t xml:space="preserve"> relación </w:t>
      </w:r>
      <w:r w:rsidR="00FC3E79" w:rsidRPr="00793402">
        <w:rPr>
          <w:color w:val="000000" w:themeColor="text1"/>
          <w:sz w:val="28"/>
          <w:szCs w:val="28"/>
          <w:lang w:val="es-ES_tradnl"/>
        </w:rPr>
        <w:t>con el</w:t>
      </w:r>
      <w:r w:rsidR="00E43349" w:rsidRPr="00793402">
        <w:rPr>
          <w:color w:val="000000" w:themeColor="text1"/>
          <w:sz w:val="28"/>
          <w:szCs w:val="28"/>
          <w:lang w:val="es-ES_tradnl"/>
        </w:rPr>
        <w:t xml:space="preserve"> reintegro y no al pago de prestaciones sociales</w:t>
      </w:r>
      <w:r w:rsidR="006A753B" w:rsidRPr="00793402">
        <w:rPr>
          <w:color w:val="000000" w:themeColor="text1"/>
          <w:sz w:val="28"/>
          <w:szCs w:val="28"/>
          <w:lang w:val="es-ES_tradnl"/>
        </w:rPr>
        <w:t>.</w:t>
      </w:r>
      <w:r w:rsidR="00E43349" w:rsidRPr="00793402">
        <w:rPr>
          <w:color w:val="000000" w:themeColor="text1"/>
          <w:sz w:val="28"/>
          <w:szCs w:val="28"/>
          <w:lang w:val="es-ES_tradnl"/>
        </w:rPr>
        <w:t xml:space="preserve"> </w:t>
      </w:r>
      <w:r w:rsidR="00FC3E79" w:rsidRPr="00793402">
        <w:rPr>
          <w:color w:val="000000" w:themeColor="text1"/>
          <w:sz w:val="28"/>
          <w:szCs w:val="28"/>
          <w:lang w:val="es-ES_tradnl"/>
        </w:rPr>
        <w:t>Lo expuesto, por</w:t>
      </w:r>
      <w:r w:rsidR="00372231" w:rsidRPr="00793402">
        <w:rPr>
          <w:color w:val="000000" w:themeColor="text1"/>
          <w:sz w:val="28"/>
          <w:szCs w:val="28"/>
          <w:lang w:val="es-ES_tradnl"/>
        </w:rPr>
        <w:t>que en otras oportunidades, la Corte ha expresado que no puede ordenar el pago de prestaciones económicas por servicio</w:t>
      </w:r>
      <w:r w:rsidR="00B25C94" w:rsidRPr="00793402">
        <w:rPr>
          <w:color w:val="000000" w:themeColor="text1"/>
          <w:sz w:val="28"/>
          <w:szCs w:val="28"/>
          <w:lang w:val="es-ES_tradnl"/>
        </w:rPr>
        <w:t>s</w:t>
      </w:r>
      <w:r w:rsidR="00372231" w:rsidRPr="00793402">
        <w:rPr>
          <w:color w:val="000000" w:themeColor="text1"/>
          <w:sz w:val="28"/>
          <w:szCs w:val="28"/>
          <w:lang w:val="es-ES_tradnl"/>
        </w:rPr>
        <w:t xml:space="preserve"> no prestado</w:t>
      </w:r>
      <w:r w:rsidR="00B25C94" w:rsidRPr="00793402">
        <w:rPr>
          <w:color w:val="000000" w:themeColor="text1"/>
          <w:sz w:val="28"/>
          <w:szCs w:val="28"/>
          <w:lang w:val="es-ES_tradnl"/>
        </w:rPr>
        <w:t>s</w:t>
      </w:r>
      <w:r w:rsidR="00372231" w:rsidRPr="00793402">
        <w:rPr>
          <w:color w:val="000000" w:themeColor="text1"/>
          <w:sz w:val="28"/>
          <w:szCs w:val="28"/>
          <w:lang w:val="es-ES_tradnl"/>
        </w:rPr>
        <w:t xml:space="preserve"> (T-643 de 2015</w:t>
      </w:r>
      <w:r w:rsidR="00372231" w:rsidRPr="00793402">
        <w:rPr>
          <w:rStyle w:val="Refdenotaalpie"/>
          <w:color w:val="000000" w:themeColor="text1"/>
          <w:sz w:val="28"/>
          <w:szCs w:val="28"/>
          <w:lang w:val="es-ES_tradnl"/>
        </w:rPr>
        <w:footnoteReference w:id="94"/>
      </w:r>
      <w:r w:rsidR="00372231" w:rsidRPr="00793402">
        <w:rPr>
          <w:color w:val="000000" w:themeColor="text1"/>
          <w:sz w:val="28"/>
          <w:szCs w:val="28"/>
          <w:lang w:val="es-ES_tradnl"/>
        </w:rPr>
        <w:t xml:space="preserve">). </w:t>
      </w:r>
      <w:r w:rsidR="00E43349" w:rsidRPr="00793402">
        <w:rPr>
          <w:color w:val="000000" w:themeColor="text1"/>
          <w:sz w:val="28"/>
          <w:szCs w:val="28"/>
          <w:lang w:val="es-ES_tradnl"/>
        </w:rPr>
        <w:t xml:space="preserve">En </w:t>
      </w:r>
      <w:r w:rsidR="006A753B" w:rsidRPr="00793402">
        <w:rPr>
          <w:color w:val="000000" w:themeColor="text1"/>
          <w:sz w:val="28"/>
          <w:szCs w:val="28"/>
          <w:lang w:val="es-ES_tradnl"/>
        </w:rPr>
        <w:t>consecuencia,</w:t>
      </w:r>
      <w:r w:rsidR="00166F2F" w:rsidRPr="00793402">
        <w:rPr>
          <w:color w:val="000000" w:themeColor="text1"/>
          <w:sz w:val="28"/>
          <w:szCs w:val="28"/>
          <w:lang w:val="es-ES_tradnl"/>
        </w:rPr>
        <w:t xml:space="preserve"> </w:t>
      </w:r>
      <w:r w:rsidR="00E43349" w:rsidRPr="00793402">
        <w:rPr>
          <w:color w:val="000000" w:themeColor="text1"/>
          <w:sz w:val="28"/>
          <w:szCs w:val="28"/>
          <w:lang w:val="es-ES_tradnl"/>
        </w:rPr>
        <w:t>la demandante podrá acudir al proceso administrativo para reclamar tales emolumentos</w:t>
      </w:r>
      <w:r w:rsidR="006A753B" w:rsidRPr="00793402">
        <w:rPr>
          <w:color w:val="000000" w:themeColor="text1"/>
          <w:sz w:val="28"/>
          <w:szCs w:val="28"/>
          <w:lang w:val="es-ES_tradnl"/>
        </w:rPr>
        <w:t xml:space="preserve"> (T-063 de 2022</w:t>
      </w:r>
      <w:r w:rsidR="006A753B" w:rsidRPr="00793402">
        <w:rPr>
          <w:rStyle w:val="Refdenotaalpie"/>
          <w:color w:val="000000" w:themeColor="text1"/>
          <w:sz w:val="28"/>
          <w:szCs w:val="28"/>
          <w:lang w:val="es-ES_tradnl"/>
        </w:rPr>
        <w:footnoteReference w:id="95"/>
      </w:r>
      <w:r w:rsidR="006A753B" w:rsidRPr="00793402">
        <w:rPr>
          <w:color w:val="000000" w:themeColor="text1"/>
          <w:sz w:val="28"/>
          <w:szCs w:val="28"/>
          <w:lang w:val="es-ES_tradnl"/>
        </w:rPr>
        <w:t>).</w:t>
      </w:r>
    </w:p>
    <w:p w14:paraId="719FA635" w14:textId="77777777" w:rsidR="00E43349" w:rsidRPr="00793402" w:rsidRDefault="00E43349" w:rsidP="00B77DF4">
      <w:pPr>
        <w:widowControl w:val="0"/>
        <w:jc w:val="both"/>
        <w:rPr>
          <w:color w:val="000000" w:themeColor="text1"/>
          <w:sz w:val="28"/>
          <w:szCs w:val="28"/>
          <w:lang w:eastAsia="es-CO"/>
        </w:rPr>
      </w:pPr>
    </w:p>
    <w:p w14:paraId="56CC3BA0" w14:textId="0310C45C" w:rsidR="00EB20C6" w:rsidRPr="00793402" w:rsidRDefault="00EB20C6" w:rsidP="00374619">
      <w:pPr>
        <w:shd w:val="clear" w:color="auto" w:fill="FFFFFF"/>
        <w:tabs>
          <w:tab w:val="left" w:pos="284"/>
        </w:tabs>
        <w:jc w:val="both"/>
        <w:rPr>
          <w:color w:val="000000" w:themeColor="text1"/>
          <w:sz w:val="28"/>
          <w:szCs w:val="28"/>
          <w:lang w:val="es-ES"/>
        </w:rPr>
      </w:pPr>
      <w:r w:rsidRPr="00793402">
        <w:rPr>
          <w:color w:val="000000" w:themeColor="text1"/>
          <w:sz w:val="28"/>
          <w:szCs w:val="28"/>
          <w:lang w:val="es-ES"/>
        </w:rPr>
        <w:t>3</w:t>
      </w:r>
      <w:r w:rsidR="002C4CD1" w:rsidRPr="00793402">
        <w:rPr>
          <w:color w:val="000000" w:themeColor="text1"/>
          <w:sz w:val="28"/>
          <w:szCs w:val="28"/>
          <w:lang w:val="es-ES"/>
        </w:rPr>
        <w:t>4</w:t>
      </w:r>
      <w:r w:rsidRPr="00793402">
        <w:rPr>
          <w:color w:val="000000" w:themeColor="text1"/>
          <w:sz w:val="28"/>
          <w:szCs w:val="28"/>
          <w:lang w:val="es-ES"/>
        </w:rPr>
        <w:t xml:space="preserve">. La Sala concluye que la presente acción cumple con los requisitos de procedencia. Por lo tanto, </w:t>
      </w:r>
      <w:r w:rsidR="00C87A8D" w:rsidRPr="00793402">
        <w:rPr>
          <w:color w:val="000000" w:themeColor="text1"/>
          <w:sz w:val="28"/>
          <w:szCs w:val="28"/>
          <w:lang w:val="es-ES"/>
        </w:rPr>
        <w:t>fijar</w:t>
      </w:r>
      <w:r w:rsidR="001E5C39" w:rsidRPr="00793402">
        <w:rPr>
          <w:color w:val="000000" w:themeColor="text1"/>
          <w:sz w:val="28"/>
          <w:szCs w:val="28"/>
          <w:lang w:val="es-ES"/>
        </w:rPr>
        <w:t>á</w:t>
      </w:r>
      <w:r w:rsidR="00C87A8D" w:rsidRPr="00793402">
        <w:rPr>
          <w:color w:val="000000" w:themeColor="text1"/>
          <w:sz w:val="28"/>
          <w:szCs w:val="28"/>
          <w:lang w:val="es-ES"/>
        </w:rPr>
        <w:t xml:space="preserve"> los problemas jurídicos y </w:t>
      </w:r>
      <w:r w:rsidR="001E5C39" w:rsidRPr="00793402">
        <w:rPr>
          <w:color w:val="000000" w:themeColor="text1"/>
          <w:sz w:val="28"/>
          <w:szCs w:val="28"/>
          <w:lang w:val="es-ES"/>
        </w:rPr>
        <w:t xml:space="preserve">la </w:t>
      </w:r>
      <w:r w:rsidR="00C87A8D" w:rsidRPr="00793402">
        <w:rPr>
          <w:color w:val="000000" w:themeColor="text1"/>
          <w:sz w:val="28"/>
          <w:szCs w:val="28"/>
          <w:lang w:val="es-ES"/>
        </w:rPr>
        <w:t xml:space="preserve">metodología de </w:t>
      </w:r>
      <w:r w:rsidR="001E5C39" w:rsidRPr="00793402">
        <w:rPr>
          <w:color w:val="000000" w:themeColor="text1"/>
          <w:sz w:val="28"/>
          <w:szCs w:val="28"/>
          <w:lang w:val="es-ES"/>
        </w:rPr>
        <w:t>decisión.</w:t>
      </w:r>
      <w:r w:rsidRPr="00793402">
        <w:rPr>
          <w:color w:val="000000" w:themeColor="text1"/>
          <w:sz w:val="28"/>
          <w:szCs w:val="28"/>
          <w:lang w:val="es-ES"/>
        </w:rPr>
        <w:t xml:space="preserve"> </w:t>
      </w:r>
    </w:p>
    <w:p w14:paraId="2B94BE98" w14:textId="77777777" w:rsidR="00FA5CE2" w:rsidRPr="00793402" w:rsidRDefault="00FA5CE2" w:rsidP="00374619">
      <w:pPr>
        <w:shd w:val="clear" w:color="auto" w:fill="FFFFFF"/>
        <w:tabs>
          <w:tab w:val="left" w:pos="284"/>
        </w:tabs>
        <w:jc w:val="both"/>
        <w:rPr>
          <w:color w:val="000000" w:themeColor="text1"/>
          <w:sz w:val="28"/>
          <w:szCs w:val="28"/>
          <w:lang w:val="es-ES"/>
        </w:rPr>
      </w:pPr>
    </w:p>
    <w:p w14:paraId="3F1EE5BA" w14:textId="13FF1046" w:rsidR="00C87A8D" w:rsidRPr="00793402" w:rsidRDefault="00C87A8D" w:rsidP="00C87A8D">
      <w:pPr>
        <w:widowControl w:val="0"/>
        <w:rPr>
          <w:b/>
          <w:bCs/>
          <w:color w:val="000000" w:themeColor="text1"/>
          <w:sz w:val="28"/>
          <w:szCs w:val="28"/>
          <w:lang w:val="es-ES"/>
        </w:rPr>
      </w:pPr>
      <w:r w:rsidRPr="00793402">
        <w:rPr>
          <w:b/>
          <w:bCs/>
          <w:color w:val="000000" w:themeColor="text1"/>
          <w:sz w:val="28"/>
          <w:szCs w:val="28"/>
          <w:lang w:val="es-ES"/>
        </w:rPr>
        <w:t>Problema</w:t>
      </w:r>
      <w:r w:rsidR="001E5C39" w:rsidRPr="00793402">
        <w:rPr>
          <w:b/>
          <w:bCs/>
          <w:color w:val="000000" w:themeColor="text1"/>
          <w:sz w:val="28"/>
          <w:szCs w:val="28"/>
          <w:lang w:val="es-ES"/>
        </w:rPr>
        <w:t>s</w:t>
      </w:r>
      <w:r w:rsidRPr="00793402">
        <w:rPr>
          <w:b/>
          <w:bCs/>
          <w:color w:val="000000" w:themeColor="text1"/>
          <w:sz w:val="28"/>
          <w:szCs w:val="28"/>
          <w:lang w:val="es-ES"/>
        </w:rPr>
        <w:t xml:space="preserve"> jurídico</w:t>
      </w:r>
      <w:r w:rsidR="001E5C39" w:rsidRPr="00793402">
        <w:rPr>
          <w:b/>
          <w:bCs/>
          <w:color w:val="000000" w:themeColor="text1"/>
          <w:sz w:val="28"/>
          <w:szCs w:val="28"/>
          <w:lang w:val="es-ES"/>
        </w:rPr>
        <w:t>s</w:t>
      </w:r>
      <w:r w:rsidRPr="00793402">
        <w:rPr>
          <w:b/>
          <w:bCs/>
          <w:color w:val="000000" w:themeColor="text1"/>
          <w:sz w:val="28"/>
          <w:szCs w:val="28"/>
          <w:lang w:val="es-ES"/>
        </w:rPr>
        <w:t xml:space="preserve"> y metodología de decisió</w:t>
      </w:r>
      <w:r w:rsidR="00AC5765" w:rsidRPr="00793402">
        <w:rPr>
          <w:b/>
          <w:bCs/>
          <w:color w:val="000000" w:themeColor="text1"/>
          <w:sz w:val="28"/>
          <w:szCs w:val="28"/>
          <w:lang w:val="es-ES"/>
        </w:rPr>
        <w:t>n</w:t>
      </w:r>
    </w:p>
    <w:p w14:paraId="0C2B8645" w14:textId="7CCAB4F2" w:rsidR="009B149E" w:rsidRPr="00793402" w:rsidRDefault="009B149E" w:rsidP="00374619">
      <w:pPr>
        <w:shd w:val="clear" w:color="auto" w:fill="FFFFFF"/>
        <w:tabs>
          <w:tab w:val="left" w:pos="284"/>
        </w:tabs>
        <w:jc w:val="both"/>
        <w:rPr>
          <w:color w:val="000000" w:themeColor="text1"/>
          <w:sz w:val="28"/>
          <w:szCs w:val="28"/>
          <w:lang w:val="es-ES"/>
        </w:rPr>
      </w:pPr>
    </w:p>
    <w:p w14:paraId="36787272" w14:textId="5AA2B55C" w:rsidR="009B149E" w:rsidRPr="00793402" w:rsidRDefault="001E5C39" w:rsidP="009B149E">
      <w:pPr>
        <w:pStyle w:val="Prrafodelista"/>
        <w:widowControl w:val="0"/>
        <w:tabs>
          <w:tab w:val="left" w:pos="284"/>
        </w:tabs>
        <w:ind w:left="0"/>
        <w:jc w:val="both"/>
        <w:rPr>
          <w:color w:val="000000" w:themeColor="text1"/>
          <w:sz w:val="28"/>
          <w:szCs w:val="28"/>
          <w:shd w:val="clear" w:color="auto" w:fill="FFFFFF"/>
        </w:rPr>
      </w:pPr>
      <w:r w:rsidRPr="00793402">
        <w:rPr>
          <w:color w:val="000000" w:themeColor="text1"/>
          <w:sz w:val="28"/>
          <w:szCs w:val="28"/>
        </w:rPr>
        <w:t>35</w:t>
      </w:r>
      <w:r w:rsidR="009B149E" w:rsidRPr="00793402">
        <w:rPr>
          <w:color w:val="000000" w:themeColor="text1"/>
          <w:sz w:val="28"/>
          <w:szCs w:val="28"/>
        </w:rPr>
        <w:t xml:space="preserve">. </w:t>
      </w:r>
      <w:r w:rsidR="009B149E" w:rsidRPr="00793402">
        <w:rPr>
          <w:i/>
          <w:iCs/>
          <w:color w:val="000000" w:themeColor="text1"/>
          <w:sz w:val="28"/>
          <w:szCs w:val="28"/>
        </w:rPr>
        <w:t>Problemas jurídicos</w:t>
      </w:r>
      <w:r w:rsidR="009B149E" w:rsidRPr="00793402">
        <w:rPr>
          <w:color w:val="000000" w:themeColor="text1"/>
          <w:sz w:val="28"/>
          <w:szCs w:val="28"/>
        </w:rPr>
        <w:t xml:space="preserve">. </w:t>
      </w:r>
      <w:r w:rsidR="009B149E" w:rsidRPr="00793402">
        <w:rPr>
          <w:color w:val="000000" w:themeColor="text1"/>
          <w:sz w:val="28"/>
          <w:szCs w:val="28"/>
          <w:shd w:val="clear" w:color="auto" w:fill="FFFFFF"/>
        </w:rPr>
        <w:t>A partir de lo anterior, la Sala deberá resolver los siguientes problemas jurídicos:</w:t>
      </w:r>
    </w:p>
    <w:p w14:paraId="45CB52BC" w14:textId="77777777" w:rsidR="009B149E" w:rsidRPr="00793402" w:rsidRDefault="009B149E" w:rsidP="009B149E">
      <w:pPr>
        <w:pStyle w:val="Prrafodelista"/>
        <w:widowControl w:val="0"/>
        <w:tabs>
          <w:tab w:val="left" w:pos="284"/>
        </w:tabs>
        <w:ind w:left="0"/>
        <w:jc w:val="both"/>
        <w:rPr>
          <w:color w:val="000000" w:themeColor="text1"/>
          <w:sz w:val="28"/>
          <w:szCs w:val="28"/>
          <w:shd w:val="clear" w:color="auto" w:fill="FFFFFF"/>
        </w:rPr>
      </w:pPr>
    </w:p>
    <w:p w14:paraId="2431CF8A" w14:textId="7C29F4D8" w:rsidR="009B149E" w:rsidRPr="00793402" w:rsidRDefault="009B149E" w:rsidP="009B149E">
      <w:pPr>
        <w:pStyle w:val="Prrafodelista"/>
        <w:widowControl w:val="0"/>
        <w:tabs>
          <w:tab w:val="left" w:pos="284"/>
        </w:tabs>
        <w:ind w:left="0"/>
        <w:jc w:val="both"/>
        <w:rPr>
          <w:color w:val="000000" w:themeColor="text1"/>
          <w:sz w:val="28"/>
          <w:szCs w:val="28"/>
          <w:shd w:val="clear" w:color="auto" w:fill="FFFFFF"/>
        </w:rPr>
      </w:pPr>
      <w:r w:rsidRPr="00793402">
        <w:rPr>
          <w:color w:val="000000" w:themeColor="text1"/>
          <w:sz w:val="28"/>
          <w:szCs w:val="28"/>
          <w:shd w:val="clear" w:color="auto" w:fill="FFFFFF"/>
        </w:rPr>
        <w:t>(i) ¿C</w:t>
      </w:r>
      <w:r w:rsidR="008249DC" w:rsidRPr="00793402">
        <w:rPr>
          <w:color w:val="000000" w:themeColor="text1"/>
          <w:sz w:val="28"/>
          <w:szCs w:val="28"/>
          <w:shd w:val="clear" w:color="auto" w:fill="FFFFFF"/>
        </w:rPr>
        <w:t>OLPENSIONES</w:t>
      </w:r>
      <w:r w:rsidRPr="00793402">
        <w:rPr>
          <w:color w:val="000000" w:themeColor="text1"/>
          <w:sz w:val="28"/>
          <w:szCs w:val="28"/>
          <w:shd w:val="clear" w:color="auto" w:fill="FFFFFF"/>
        </w:rPr>
        <w:t xml:space="preserve"> y la SED vulneraron el derecho fundamental a la seguridad social al no actualizar la información contenida en la historia laboral y los aportes pensionales de la actora?</w:t>
      </w:r>
    </w:p>
    <w:p w14:paraId="25F3A16C" w14:textId="77777777" w:rsidR="009B149E" w:rsidRPr="00793402" w:rsidRDefault="009B149E" w:rsidP="009B149E">
      <w:pPr>
        <w:pStyle w:val="Prrafodelista"/>
        <w:widowControl w:val="0"/>
        <w:tabs>
          <w:tab w:val="left" w:pos="284"/>
        </w:tabs>
        <w:ind w:left="0"/>
        <w:jc w:val="both"/>
        <w:rPr>
          <w:color w:val="000000" w:themeColor="text1"/>
          <w:sz w:val="28"/>
          <w:szCs w:val="28"/>
          <w:shd w:val="clear" w:color="auto" w:fill="FFFFFF"/>
        </w:rPr>
      </w:pPr>
    </w:p>
    <w:p w14:paraId="0E84803B" w14:textId="47465988" w:rsidR="009B149E" w:rsidRPr="00793402" w:rsidRDefault="009B149E" w:rsidP="009B149E">
      <w:pPr>
        <w:widowControl w:val="0"/>
        <w:jc w:val="both"/>
        <w:rPr>
          <w:color w:val="000000" w:themeColor="text1"/>
          <w:sz w:val="28"/>
          <w:szCs w:val="28"/>
          <w:shd w:val="clear" w:color="auto" w:fill="FFFFFF"/>
        </w:rPr>
      </w:pPr>
      <w:r w:rsidRPr="00793402">
        <w:rPr>
          <w:color w:val="000000" w:themeColor="text1"/>
          <w:sz w:val="28"/>
          <w:szCs w:val="28"/>
          <w:shd w:val="clear" w:color="auto" w:fill="FFFFFF"/>
        </w:rPr>
        <w:t xml:space="preserve">(ii) ¿La SED vulneró los derechos fundamentales, a la estabilidad laboral, al trabajo, a la seguridad social, al mínimo vital y dignidad humana de la accionante al desvincularla del cargo que ocupó en provisionalidad, para nombrar a quien superó el concurso de méritos sin considerar la condición de </w:t>
      </w:r>
      <w:proofErr w:type="spellStart"/>
      <w:r w:rsidRPr="00793402">
        <w:rPr>
          <w:color w:val="000000" w:themeColor="text1"/>
          <w:sz w:val="28"/>
          <w:szCs w:val="28"/>
          <w:shd w:val="clear" w:color="auto" w:fill="FFFFFF"/>
        </w:rPr>
        <w:t>prepensionada</w:t>
      </w:r>
      <w:proofErr w:type="spellEnd"/>
      <w:r w:rsidRPr="00793402">
        <w:rPr>
          <w:color w:val="000000" w:themeColor="text1"/>
          <w:sz w:val="28"/>
          <w:szCs w:val="28"/>
          <w:shd w:val="clear" w:color="auto" w:fill="FFFFFF"/>
        </w:rPr>
        <w:t xml:space="preserve"> que aquella alego?</w:t>
      </w:r>
    </w:p>
    <w:p w14:paraId="0C3822AA" w14:textId="77777777" w:rsidR="009B149E" w:rsidRPr="00793402" w:rsidRDefault="009B149E" w:rsidP="009B149E">
      <w:pPr>
        <w:pStyle w:val="Prrafodelista"/>
        <w:widowControl w:val="0"/>
        <w:tabs>
          <w:tab w:val="left" w:pos="284"/>
        </w:tabs>
        <w:ind w:left="0"/>
        <w:jc w:val="both"/>
        <w:rPr>
          <w:color w:val="000000" w:themeColor="text1"/>
          <w:sz w:val="28"/>
          <w:szCs w:val="28"/>
        </w:rPr>
      </w:pPr>
    </w:p>
    <w:p w14:paraId="60969552" w14:textId="70E582AE" w:rsidR="009B149E" w:rsidRPr="00793402" w:rsidRDefault="001E5C39" w:rsidP="009B149E">
      <w:pPr>
        <w:jc w:val="both"/>
        <w:rPr>
          <w:color w:val="000000" w:themeColor="text1"/>
          <w:sz w:val="28"/>
          <w:szCs w:val="28"/>
          <w:shd w:val="clear" w:color="auto" w:fill="FFFFFF"/>
        </w:rPr>
      </w:pPr>
      <w:r w:rsidRPr="00793402">
        <w:rPr>
          <w:color w:val="000000" w:themeColor="text1"/>
          <w:sz w:val="28"/>
          <w:szCs w:val="28"/>
          <w:shd w:val="clear" w:color="auto" w:fill="FFFFFF"/>
        </w:rPr>
        <w:t>36</w:t>
      </w:r>
      <w:r w:rsidR="009B149E" w:rsidRPr="00793402">
        <w:rPr>
          <w:color w:val="000000" w:themeColor="text1"/>
          <w:sz w:val="28"/>
          <w:szCs w:val="28"/>
          <w:shd w:val="clear" w:color="auto" w:fill="FFFFFF"/>
        </w:rPr>
        <w:t xml:space="preserve">. </w:t>
      </w:r>
      <w:r w:rsidR="009B149E" w:rsidRPr="00793402">
        <w:rPr>
          <w:i/>
          <w:iCs/>
          <w:color w:val="000000" w:themeColor="text1"/>
          <w:sz w:val="28"/>
          <w:szCs w:val="28"/>
          <w:shd w:val="clear" w:color="auto" w:fill="FFFFFF"/>
        </w:rPr>
        <w:t>Metodología de la decisión</w:t>
      </w:r>
      <w:r w:rsidR="009B149E" w:rsidRPr="00793402">
        <w:rPr>
          <w:color w:val="000000" w:themeColor="text1"/>
          <w:sz w:val="28"/>
          <w:szCs w:val="28"/>
          <w:shd w:val="clear" w:color="auto" w:fill="FFFFFF"/>
        </w:rPr>
        <w:t xml:space="preserve">. Para resolver los anteriores interrogantes, la Sala abordará los siguientes asuntos: (i) la estabilidad laboral reforzada de los servidores públicos nombrados en provisionalidad en condición de </w:t>
      </w:r>
      <w:proofErr w:type="spellStart"/>
      <w:r w:rsidR="009B149E" w:rsidRPr="00793402">
        <w:rPr>
          <w:color w:val="000000" w:themeColor="text1"/>
          <w:sz w:val="28"/>
          <w:szCs w:val="28"/>
          <w:shd w:val="clear" w:color="auto" w:fill="FFFFFF"/>
        </w:rPr>
        <w:t>prepensionados</w:t>
      </w:r>
      <w:proofErr w:type="spellEnd"/>
      <w:r w:rsidR="009B149E" w:rsidRPr="00793402">
        <w:rPr>
          <w:color w:val="000000" w:themeColor="text1"/>
          <w:sz w:val="28"/>
          <w:szCs w:val="28"/>
          <w:shd w:val="clear" w:color="auto" w:fill="FFFFFF"/>
        </w:rPr>
        <w:t>; (ii) los deberes de las administradoras de pensiones y de los empleadores en relación con la información consignada en la historia laboral y la garantía del derecho a la pensión; y, (iii) resolverá el caso concreto.</w:t>
      </w:r>
    </w:p>
    <w:p w14:paraId="078C8FE1" w14:textId="77777777" w:rsidR="009B149E" w:rsidRPr="00793402" w:rsidRDefault="009B149E" w:rsidP="00374619">
      <w:pPr>
        <w:shd w:val="clear" w:color="auto" w:fill="FFFFFF"/>
        <w:tabs>
          <w:tab w:val="left" w:pos="284"/>
        </w:tabs>
        <w:jc w:val="both"/>
        <w:rPr>
          <w:color w:val="000000" w:themeColor="text1"/>
          <w:sz w:val="28"/>
          <w:szCs w:val="28"/>
        </w:rPr>
      </w:pPr>
    </w:p>
    <w:p w14:paraId="527881DE" w14:textId="56280651" w:rsidR="00C84E14" w:rsidRPr="00793402" w:rsidRDefault="001E5C39" w:rsidP="007F3218">
      <w:pPr>
        <w:shd w:val="clear" w:color="auto" w:fill="FFFFFF"/>
        <w:jc w:val="both"/>
        <w:rPr>
          <w:color w:val="000000" w:themeColor="text1"/>
          <w:sz w:val="28"/>
          <w:szCs w:val="28"/>
          <w:lang w:eastAsia="es-CO"/>
        </w:rPr>
      </w:pPr>
      <w:r w:rsidRPr="00793402">
        <w:rPr>
          <w:color w:val="000000" w:themeColor="text1"/>
          <w:sz w:val="28"/>
          <w:szCs w:val="28"/>
          <w:lang w:val="es-ES"/>
        </w:rPr>
        <w:t>37</w:t>
      </w:r>
      <w:r w:rsidR="00C87A8D" w:rsidRPr="00793402">
        <w:rPr>
          <w:color w:val="000000" w:themeColor="text1"/>
          <w:sz w:val="28"/>
          <w:szCs w:val="28"/>
          <w:lang w:val="es-ES"/>
        </w:rPr>
        <w:t>. La Sala procede, a continuación, con el estudio del fondo</w:t>
      </w:r>
      <w:r w:rsidR="00F46C4C" w:rsidRPr="00793402">
        <w:rPr>
          <w:color w:val="000000" w:themeColor="text1"/>
          <w:sz w:val="28"/>
          <w:szCs w:val="28"/>
          <w:lang w:val="es-ES"/>
        </w:rPr>
        <w:t xml:space="preserve"> del caso en el orden anunciado.</w:t>
      </w:r>
    </w:p>
    <w:p w14:paraId="1E4AE095" w14:textId="77777777" w:rsidR="00C87A8D" w:rsidRPr="00793402" w:rsidRDefault="00C87A8D" w:rsidP="007F3218">
      <w:pPr>
        <w:shd w:val="clear" w:color="auto" w:fill="FFFFFF"/>
        <w:jc w:val="both"/>
        <w:rPr>
          <w:color w:val="000000" w:themeColor="text1"/>
          <w:sz w:val="28"/>
          <w:szCs w:val="28"/>
          <w:lang w:eastAsia="es-CO"/>
        </w:rPr>
      </w:pPr>
    </w:p>
    <w:p w14:paraId="25A4DF11" w14:textId="2FD349F8" w:rsidR="00980A4B" w:rsidRPr="00793402" w:rsidRDefault="00980A4B" w:rsidP="00980A4B">
      <w:pPr>
        <w:shd w:val="clear" w:color="auto" w:fill="FFFFFF"/>
        <w:jc w:val="both"/>
        <w:rPr>
          <w:b/>
          <w:bCs/>
          <w:color w:val="000000" w:themeColor="text1"/>
          <w:sz w:val="28"/>
          <w:szCs w:val="28"/>
          <w:lang w:eastAsia="es-CO"/>
        </w:rPr>
      </w:pPr>
      <w:r w:rsidRPr="00793402">
        <w:rPr>
          <w:b/>
          <w:bCs/>
          <w:color w:val="000000" w:themeColor="text1"/>
          <w:sz w:val="28"/>
          <w:szCs w:val="28"/>
          <w:lang w:eastAsia="es-CO"/>
        </w:rPr>
        <w:t xml:space="preserve">La estabilidad laboral reforzada de los servidores públicos </w:t>
      </w:r>
      <w:r w:rsidR="0037768A" w:rsidRPr="00793402">
        <w:rPr>
          <w:b/>
          <w:bCs/>
          <w:color w:val="000000" w:themeColor="text1"/>
          <w:sz w:val="28"/>
          <w:szCs w:val="28"/>
          <w:lang w:eastAsia="es-CO"/>
        </w:rPr>
        <w:t>nombrado</w:t>
      </w:r>
      <w:r w:rsidR="00E37C36" w:rsidRPr="00793402">
        <w:rPr>
          <w:b/>
          <w:bCs/>
          <w:color w:val="000000" w:themeColor="text1"/>
          <w:sz w:val="28"/>
          <w:szCs w:val="28"/>
          <w:lang w:eastAsia="es-CO"/>
        </w:rPr>
        <w:t>s</w:t>
      </w:r>
      <w:r w:rsidR="0037768A" w:rsidRPr="00793402">
        <w:rPr>
          <w:b/>
          <w:bCs/>
          <w:color w:val="000000" w:themeColor="text1"/>
          <w:sz w:val="28"/>
          <w:szCs w:val="28"/>
          <w:lang w:eastAsia="es-CO"/>
        </w:rPr>
        <w:t xml:space="preserve"> en provisionalidad que ostentan la</w:t>
      </w:r>
      <w:r w:rsidRPr="00793402">
        <w:rPr>
          <w:b/>
          <w:bCs/>
          <w:color w:val="000000" w:themeColor="text1"/>
          <w:sz w:val="28"/>
          <w:szCs w:val="28"/>
          <w:lang w:eastAsia="es-CO"/>
        </w:rPr>
        <w:t xml:space="preserve"> condición de </w:t>
      </w:r>
      <w:proofErr w:type="spellStart"/>
      <w:r w:rsidRPr="00793402">
        <w:rPr>
          <w:b/>
          <w:bCs/>
          <w:color w:val="000000" w:themeColor="text1"/>
          <w:sz w:val="28"/>
          <w:szCs w:val="28"/>
          <w:lang w:eastAsia="es-CO"/>
        </w:rPr>
        <w:t>prepensionados</w:t>
      </w:r>
      <w:proofErr w:type="spellEnd"/>
      <w:r w:rsidRPr="00793402">
        <w:rPr>
          <w:b/>
          <w:bCs/>
          <w:color w:val="000000" w:themeColor="text1"/>
          <w:sz w:val="28"/>
          <w:szCs w:val="28"/>
          <w:lang w:eastAsia="es-CO"/>
        </w:rPr>
        <w:t>. Reiteración de jurisprudencia</w:t>
      </w:r>
    </w:p>
    <w:p w14:paraId="410E542F" w14:textId="77777777" w:rsidR="00980A4B" w:rsidRPr="00793402" w:rsidRDefault="00980A4B" w:rsidP="00980A4B">
      <w:pPr>
        <w:shd w:val="clear" w:color="auto" w:fill="FFFFFF"/>
        <w:jc w:val="both"/>
        <w:rPr>
          <w:color w:val="000000" w:themeColor="text1"/>
          <w:sz w:val="28"/>
          <w:szCs w:val="28"/>
          <w:lang w:eastAsia="es-CO"/>
        </w:rPr>
      </w:pPr>
    </w:p>
    <w:p w14:paraId="4016E26C" w14:textId="51C9DD16" w:rsidR="001442B4" w:rsidRPr="00793402" w:rsidRDefault="001442B4" w:rsidP="001442B4">
      <w:pPr>
        <w:shd w:val="clear" w:color="auto" w:fill="FFFFFF"/>
        <w:jc w:val="both"/>
        <w:rPr>
          <w:color w:val="000000" w:themeColor="text1"/>
          <w:sz w:val="28"/>
          <w:szCs w:val="28"/>
          <w:lang w:eastAsia="es-CO"/>
        </w:rPr>
      </w:pPr>
      <w:r w:rsidRPr="00793402">
        <w:rPr>
          <w:color w:val="000000" w:themeColor="text1"/>
          <w:sz w:val="28"/>
          <w:szCs w:val="28"/>
          <w:lang w:eastAsia="es-CO"/>
        </w:rPr>
        <w:t>3</w:t>
      </w:r>
      <w:r w:rsidR="001E5C39" w:rsidRPr="00793402">
        <w:rPr>
          <w:color w:val="000000" w:themeColor="text1"/>
          <w:sz w:val="28"/>
          <w:szCs w:val="28"/>
          <w:lang w:eastAsia="es-CO"/>
        </w:rPr>
        <w:t>8</w:t>
      </w:r>
      <w:r w:rsidRPr="00793402">
        <w:rPr>
          <w:color w:val="000000" w:themeColor="text1"/>
          <w:sz w:val="28"/>
          <w:szCs w:val="28"/>
          <w:lang w:eastAsia="es-CO"/>
        </w:rPr>
        <w:t xml:space="preserve">. </w:t>
      </w:r>
      <w:r w:rsidRPr="00793402">
        <w:rPr>
          <w:i/>
          <w:iCs/>
          <w:color w:val="000000" w:themeColor="text1"/>
          <w:sz w:val="28"/>
          <w:szCs w:val="28"/>
          <w:lang w:eastAsia="es-CO"/>
        </w:rPr>
        <w:t>De los servidores públicos nombrados en provisionalidad</w:t>
      </w:r>
      <w:r w:rsidRPr="00793402">
        <w:rPr>
          <w:color w:val="000000" w:themeColor="text1"/>
          <w:sz w:val="28"/>
          <w:szCs w:val="28"/>
          <w:lang w:eastAsia="es-CO"/>
        </w:rPr>
        <w:t xml:space="preserve">. Los servidores públicos en provisionalidad gozan de una estabilidad laboral relativa. Lo </w:t>
      </w:r>
      <w:r w:rsidRPr="00793402">
        <w:rPr>
          <w:color w:val="000000" w:themeColor="text1"/>
          <w:sz w:val="28"/>
          <w:szCs w:val="28"/>
          <w:lang w:eastAsia="es-CO"/>
        </w:rPr>
        <w:lastRenderedPageBreak/>
        <w:t>anterior, implica que solo pueden ser desvinculados por causales debidamente motivadas en el acto de desvinculación. Tales como, la comisión de faltas disciplinarios o la provisión definitiva del cargo por concurso de méritos</w:t>
      </w:r>
      <w:r w:rsidR="00AD5C61" w:rsidRPr="00793402">
        <w:rPr>
          <w:color w:val="000000" w:themeColor="text1"/>
          <w:sz w:val="28"/>
          <w:szCs w:val="28"/>
          <w:lang w:eastAsia="es-CO"/>
        </w:rPr>
        <w:t>, entre otras</w:t>
      </w:r>
      <w:r w:rsidR="002E2163" w:rsidRPr="00793402">
        <w:rPr>
          <w:color w:val="000000" w:themeColor="text1"/>
          <w:sz w:val="28"/>
          <w:szCs w:val="28"/>
          <w:lang w:eastAsia="es-CO"/>
        </w:rPr>
        <w:t xml:space="preserve"> </w:t>
      </w:r>
      <w:r w:rsidRPr="00793402">
        <w:rPr>
          <w:color w:val="000000" w:themeColor="text1"/>
          <w:sz w:val="28"/>
          <w:szCs w:val="28"/>
          <w:lang w:eastAsia="es-CO"/>
        </w:rPr>
        <w:t>(T-443</w:t>
      </w:r>
      <w:r w:rsidR="00C0781B" w:rsidRPr="00793402">
        <w:rPr>
          <w:color w:val="000000" w:themeColor="text1"/>
          <w:sz w:val="28"/>
          <w:szCs w:val="28"/>
          <w:lang w:eastAsia="es-CO"/>
        </w:rPr>
        <w:t xml:space="preserve"> </w:t>
      </w:r>
      <w:r w:rsidRPr="00793402">
        <w:rPr>
          <w:color w:val="000000" w:themeColor="text1"/>
          <w:sz w:val="28"/>
          <w:szCs w:val="28"/>
          <w:lang w:eastAsia="es-CO"/>
        </w:rPr>
        <w:t>de 2022</w:t>
      </w:r>
      <w:r w:rsidRPr="00793402">
        <w:rPr>
          <w:rStyle w:val="Refdenotaalpie"/>
          <w:color w:val="000000" w:themeColor="text1"/>
          <w:sz w:val="28"/>
          <w:szCs w:val="28"/>
          <w:lang w:eastAsia="es-CO"/>
        </w:rPr>
        <w:footnoteReference w:id="96"/>
      </w:r>
      <w:r w:rsidRPr="00793402">
        <w:rPr>
          <w:color w:val="000000" w:themeColor="text1"/>
          <w:sz w:val="28"/>
          <w:szCs w:val="28"/>
          <w:lang w:eastAsia="es-CO"/>
        </w:rPr>
        <w:t>).</w:t>
      </w:r>
    </w:p>
    <w:p w14:paraId="48F92386" w14:textId="77777777" w:rsidR="001442B4" w:rsidRPr="00793402" w:rsidRDefault="001442B4" w:rsidP="001442B4">
      <w:pPr>
        <w:shd w:val="clear" w:color="auto" w:fill="FFFFFF"/>
        <w:jc w:val="both"/>
        <w:rPr>
          <w:color w:val="000000" w:themeColor="text1"/>
          <w:sz w:val="28"/>
          <w:szCs w:val="28"/>
          <w:lang w:eastAsia="es-CO"/>
        </w:rPr>
      </w:pPr>
      <w:r w:rsidRPr="00793402">
        <w:rPr>
          <w:color w:val="000000" w:themeColor="text1"/>
          <w:sz w:val="28"/>
          <w:szCs w:val="28"/>
          <w:lang w:eastAsia="es-CO"/>
        </w:rPr>
        <w:t xml:space="preserve"> </w:t>
      </w:r>
    </w:p>
    <w:p w14:paraId="18D4A0CD" w14:textId="48338456" w:rsidR="001442B4" w:rsidRPr="00793402" w:rsidRDefault="001442B4" w:rsidP="001442B4">
      <w:pPr>
        <w:shd w:val="clear" w:color="auto" w:fill="FFFFFF"/>
        <w:jc w:val="both"/>
        <w:rPr>
          <w:color w:val="000000" w:themeColor="text1"/>
          <w:sz w:val="28"/>
          <w:szCs w:val="28"/>
          <w:lang w:eastAsia="es-CO"/>
        </w:rPr>
      </w:pPr>
      <w:r w:rsidRPr="00793402">
        <w:rPr>
          <w:color w:val="000000" w:themeColor="text1"/>
          <w:sz w:val="28"/>
          <w:szCs w:val="28"/>
          <w:lang w:eastAsia="es-CO"/>
        </w:rPr>
        <w:t>3</w:t>
      </w:r>
      <w:r w:rsidR="001E5C39" w:rsidRPr="00793402">
        <w:rPr>
          <w:color w:val="000000" w:themeColor="text1"/>
          <w:sz w:val="28"/>
          <w:szCs w:val="28"/>
          <w:lang w:eastAsia="es-CO"/>
        </w:rPr>
        <w:t>9</w:t>
      </w:r>
      <w:r w:rsidRPr="00793402">
        <w:rPr>
          <w:color w:val="000000" w:themeColor="text1"/>
          <w:sz w:val="28"/>
          <w:szCs w:val="28"/>
          <w:lang w:eastAsia="es-CO"/>
        </w:rPr>
        <w:t xml:space="preserve">. </w:t>
      </w:r>
      <w:r w:rsidRPr="00793402">
        <w:rPr>
          <w:i/>
          <w:iCs/>
          <w:color w:val="000000" w:themeColor="text1"/>
          <w:sz w:val="28"/>
          <w:szCs w:val="28"/>
          <w:lang w:eastAsia="es-CO"/>
        </w:rPr>
        <w:t xml:space="preserve">De los </w:t>
      </w:r>
      <w:proofErr w:type="spellStart"/>
      <w:r w:rsidRPr="00793402">
        <w:rPr>
          <w:i/>
          <w:iCs/>
          <w:color w:val="000000" w:themeColor="text1"/>
          <w:sz w:val="28"/>
          <w:szCs w:val="28"/>
          <w:lang w:eastAsia="es-CO"/>
        </w:rPr>
        <w:t>prepensionados</w:t>
      </w:r>
      <w:proofErr w:type="spellEnd"/>
      <w:r w:rsidRPr="00793402">
        <w:rPr>
          <w:color w:val="000000" w:themeColor="text1"/>
          <w:sz w:val="28"/>
          <w:szCs w:val="28"/>
          <w:lang w:eastAsia="es-CO"/>
        </w:rPr>
        <w:t xml:space="preserve">. La Corte, definió que los </w:t>
      </w:r>
      <w:proofErr w:type="spellStart"/>
      <w:r w:rsidRPr="00793402">
        <w:rPr>
          <w:color w:val="000000" w:themeColor="text1"/>
          <w:sz w:val="28"/>
          <w:szCs w:val="28"/>
          <w:lang w:eastAsia="es-CO"/>
        </w:rPr>
        <w:t>prepensionados</w:t>
      </w:r>
      <w:proofErr w:type="spellEnd"/>
      <w:r w:rsidRPr="00793402">
        <w:rPr>
          <w:color w:val="000000" w:themeColor="text1"/>
          <w:sz w:val="28"/>
          <w:szCs w:val="28"/>
          <w:lang w:eastAsia="es-CO"/>
        </w:rPr>
        <w:t xml:space="preserve"> “</w:t>
      </w:r>
      <w:r w:rsidRPr="00793402">
        <w:rPr>
          <w:i/>
          <w:iCs/>
          <w:color w:val="000000" w:themeColor="text1"/>
          <w:sz w:val="28"/>
          <w:szCs w:val="28"/>
          <w:lang w:eastAsia="es-CO"/>
        </w:rPr>
        <w:t>(…) serán (…) aquellos a los que les falte tres años o menos para cumplir los requisitos que les permitirían acceder a la pensión de jubilación o vejez</w:t>
      </w:r>
      <w:r w:rsidRPr="00793402">
        <w:rPr>
          <w:color w:val="000000" w:themeColor="text1"/>
          <w:sz w:val="28"/>
          <w:szCs w:val="28"/>
          <w:lang w:eastAsia="es-CO"/>
        </w:rPr>
        <w:t>” (SU-897 de 2012</w:t>
      </w:r>
      <w:r w:rsidRPr="00793402">
        <w:rPr>
          <w:rStyle w:val="Refdenotaalpie"/>
          <w:color w:val="000000" w:themeColor="text1"/>
          <w:sz w:val="28"/>
          <w:szCs w:val="28"/>
          <w:lang w:eastAsia="es-CO"/>
        </w:rPr>
        <w:footnoteReference w:id="97"/>
      </w:r>
      <w:r w:rsidRPr="00793402">
        <w:rPr>
          <w:color w:val="000000" w:themeColor="text1"/>
          <w:sz w:val="28"/>
          <w:szCs w:val="28"/>
          <w:lang w:eastAsia="es-CO"/>
        </w:rPr>
        <w:t>)</w:t>
      </w:r>
      <w:r w:rsidR="002E2163" w:rsidRPr="00793402">
        <w:rPr>
          <w:color w:val="000000" w:themeColor="text1"/>
          <w:sz w:val="28"/>
          <w:szCs w:val="28"/>
          <w:lang w:eastAsia="es-CO"/>
        </w:rPr>
        <w:t xml:space="preserve"> </w:t>
      </w:r>
      <w:r w:rsidRPr="00793402">
        <w:rPr>
          <w:rStyle w:val="Refdenotaalpie"/>
          <w:color w:val="000000" w:themeColor="text1"/>
          <w:sz w:val="28"/>
          <w:szCs w:val="28"/>
          <w:lang w:eastAsia="es-CO"/>
        </w:rPr>
        <w:footnoteReference w:id="98"/>
      </w:r>
      <w:r w:rsidRPr="00793402">
        <w:rPr>
          <w:color w:val="000000" w:themeColor="text1"/>
          <w:sz w:val="28"/>
          <w:szCs w:val="28"/>
          <w:lang w:eastAsia="es-CO"/>
        </w:rPr>
        <w:t>.</w:t>
      </w:r>
    </w:p>
    <w:p w14:paraId="30299923" w14:textId="77777777" w:rsidR="001442B4" w:rsidRPr="00793402" w:rsidRDefault="001442B4" w:rsidP="001442B4">
      <w:pPr>
        <w:shd w:val="clear" w:color="auto" w:fill="FFFFFF"/>
        <w:jc w:val="both"/>
        <w:rPr>
          <w:color w:val="000000" w:themeColor="text1"/>
          <w:sz w:val="28"/>
          <w:szCs w:val="28"/>
          <w:lang w:eastAsia="es-CO"/>
        </w:rPr>
      </w:pPr>
    </w:p>
    <w:p w14:paraId="46E4A430" w14:textId="1E370955" w:rsidR="001442B4" w:rsidRPr="00793402" w:rsidRDefault="001E5C39" w:rsidP="001442B4">
      <w:pPr>
        <w:shd w:val="clear" w:color="auto" w:fill="FFFFFF"/>
        <w:jc w:val="both"/>
        <w:rPr>
          <w:color w:val="000000" w:themeColor="text1"/>
          <w:sz w:val="28"/>
          <w:szCs w:val="28"/>
          <w:lang w:eastAsia="es-CO"/>
        </w:rPr>
      </w:pPr>
      <w:r w:rsidRPr="00793402">
        <w:rPr>
          <w:color w:val="000000" w:themeColor="text1"/>
          <w:sz w:val="28"/>
          <w:szCs w:val="28"/>
          <w:lang w:eastAsia="es-CO"/>
        </w:rPr>
        <w:t>40</w:t>
      </w:r>
      <w:r w:rsidR="001442B4" w:rsidRPr="00793402">
        <w:rPr>
          <w:color w:val="000000" w:themeColor="text1"/>
          <w:sz w:val="28"/>
          <w:szCs w:val="28"/>
          <w:lang w:eastAsia="es-CO"/>
        </w:rPr>
        <w:t xml:space="preserve">. Asimismo, fijó que el fundamento del reconocimiento de la estabilidad laboral reforzada de los </w:t>
      </w:r>
      <w:proofErr w:type="spellStart"/>
      <w:r w:rsidR="001442B4" w:rsidRPr="00793402">
        <w:rPr>
          <w:color w:val="000000" w:themeColor="text1"/>
          <w:sz w:val="28"/>
          <w:szCs w:val="28"/>
          <w:lang w:eastAsia="es-CO"/>
        </w:rPr>
        <w:t>prepensionados</w:t>
      </w:r>
      <w:proofErr w:type="spellEnd"/>
      <w:r w:rsidR="001442B4" w:rsidRPr="00793402">
        <w:rPr>
          <w:color w:val="000000" w:themeColor="text1"/>
          <w:sz w:val="28"/>
          <w:szCs w:val="28"/>
          <w:lang w:eastAsia="es-CO"/>
        </w:rPr>
        <w:t xml:space="preserve"> tiene raigambre constitucional y que no depende de un mandato legislativo particular. En ese sentido, “</w:t>
      </w:r>
      <w:r w:rsidR="001442B4" w:rsidRPr="00793402">
        <w:rPr>
          <w:i/>
          <w:iCs/>
          <w:color w:val="000000" w:themeColor="text1"/>
          <w:sz w:val="28"/>
          <w:szCs w:val="28"/>
          <w:lang w:eastAsia="es-CO"/>
        </w:rPr>
        <w:t>(…</w:t>
      </w:r>
      <w:proofErr w:type="gramStart"/>
      <w:r w:rsidR="001442B4" w:rsidRPr="00793402">
        <w:rPr>
          <w:i/>
          <w:iCs/>
          <w:color w:val="000000" w:themeColor="text1"/>
          <w:sz w:val="28"/>
          <w:szCs w:val="28"/>
          <w:lang w:eastAsia="es-CO"/>
        </w:rPr>
        <w:t>)dicha</w:t>
      </w:r>
      <w:proofErr w:type="gramEnd"/>
      <w:r w:rsidR="001442B4" w:rsidRPr="00793402">
        <w:rPr>
          <w:i/>
          <w:iCs/>
          <w:color w:val="000000" w:themeColor="text1"/>
          <w:sz w:val="28"/>
          <w:szCs w:val="28"/>
          <w:lang w:eastAsia="es-CO"/>
        </w:rPr>
        <w:t xml:space="preserve"> estabilidad opera como instrumento para la satisfacción de los derechos fundamentales de estos grupos poblacionales, que se verían gravemente interferidos por el retiro del empleo(…)</w:t>
      </w:r>
      <w:r w:rsidR="001442B4" w:rsidRPr="00793402">
        <w:rPr>
          <w:color w:val="000000" w:themeColor="text1"/>
          <w:sz w:val="28"/>
          <w:szCs w:val="28"/>
          <w:lang w:eastAsia="es-CO"/>
        </w:rPr>
        <w:t>” (T-186 de 2013</w:t>
      </w:r>
      <w:r w:rsidR="001442B4" w:rsidRPr="00793402">
        <w:rPr>
          <w:rStyle w:val="Refdenotaalpie"/>
          <w:color w:val="000000" w:themeColor="text1"/>
          <w:sz w:val="28"/>
          <w:szCs w:val="28"/>
          <w:lang w:eastAsia="es-CO"/>
        </w:rPr>
        <w:footnoteReference w:id="99"/>
      </w:r>
      <w:r w:rsidR="001442B4" w:rsidRPr="00793402">
        <w:rPr>
          <w:color w:val="000000" w:themeColor="text1"/>
          <w:sz w:val="28"/>
          <w:szCs w:val="28"/>
          <w:lang w:eastAsia="es-CO"/>
        </w:rPr>
        <w:t xml:space="preserve">). </w:t>
      </w:r>
      <w:r w:rsidR="00AD5C61" w:rsidRPr="00793402">
        <w:rPr>
          <w:color w:val="000000" w:themeColor="text1"/>
          <w:sz w:val="28"/>
          <w:szCs w:val="28"/>
          <w:lang w:eastAsia="es-CO"/>
        </w:rPr>
        <w:t>Por lo tanto</w:t>
      </w:r>
      <w:r w:rsidR="001442B4" w:rsidRPr="00793402">
        <w:rPr>
          <w:color w:val="000000" w:themeColor="text1"/>
          <w:sz w:val="28"/>
          <w:szCs w:val="28"/>
          <w:lang w:eastAsia="es-CO"/>
        </w:rPr>
        <w:t>, su finalidad constitucional es amparar la estabilidad del trabajador que tiene una exceptiva de obtener su pensión ante la repentina perdida de</w:t>
      </w:r>
      <w:r w:rsidR="00665883" w:rsidRPr="00793402">
        <w:rPr>
          <w:color w:val="000000" w:themeColor="text1"/>
          <w:sz w:val="28"/>
          <w:szCs w:val="28"/>
          <w:lang w:eastAsia="es-CO"/>
        </w:rPr>
        <w:t>l</w:t>
      </w:r>
      <w:r w:rsidR="001442B4" w:rsidRPr="00793402">
        <w:rPr>
          <w:color w:val="000000" w:themeColor="text1"/>
          <w:sz w:val="28"/>
          <w:szCs w:val="28"/>
          <w:lang w:eastAsia="es-CO"/>
        </w:rPr>
        <w:t xml:space="preserve"> empleo (SU-003 de 2018</w:t>
      </w:r>
      <w:r w:rsidR="001442B4" w:rsidRPr="00793402">
        <w:rPr>
          <w:rStyle w:val="Refdenotaalpie"/>
          <w:color w:val="000000" w:themeColor="text1"/>
          <w:sz w:val="28"/>
          <w:szCs w:val="28"/>
          <w:lang w:eastAsia="es-CO"/>
        </w:rPr>
        <w:footnoteReference w:id="100"/>
      </w:r>
      <w:r w:rsidR="001442B4" w:rsidRPr="00793402">
        <w:rPr>
          <w:color w:val="000000" w:themeColor="text1"/>
          <w:sz w:val="28"/>
          <w:szCs w:val="28"/>
          <w:lang w:eastAsia="es-CO"/>
        </w:rPr>
        <w:t>).</w:t>
      </w:r>
    </w:p>
    <w:p w14:paraId="4C7BA26C" w14:textId="77777777" w:rsidR="001442B4" w:rsidRPr="00793402" w:rsidRDefault="001442B4" w:rsidP="001442B4">
      <w:pPr>
        <w:shd w:val="clear" w:color="auto" w:fill="FFFFFF"/>
        <w:jc w:val="both"/>
        <w:rPr>
          <w:color w:val="000000" w:themeColor="text1"/>
          <w:sz w:val="28"/>
          <w:szCs w:val="28"/>
          <w:lang w:eastAsia="es-CO"/>
        </w:rPr>
      </w:pPr>
    </w:p>
    <w:p w14:paraId="5BF6F2F3" w14:textId="2E3FDCEB" w:rsidR="00D44F2B" w:rsidRPr="00793402" w:rsidRDefault="001E5C39" w:rsidP="001442B4">
      <w:pPr>
        <w:shd w:val="clear" w:color="auto" w:fill="FFFFFF"/>
        <w:jc w:val="both"/>
        <w:rPr>
          <w:color w:val="000000" w:themeColor="text1"/>
          <w:sz w:val="28"/>
          <w:szCs w:val="28"/>
          <w:lang w:eastAsia="es-CO"/>
        </w:rPr>
      </w:pPr>
      <w:r w:rsidRPr="00793402">
        <w:rPr>
          <w:color w:val="000000" w:themeColor="text1"/>
          <w:sz w:val="28"/>
          <w:szCs w:val="28"/>
          <w:lang w:eastAsia="es-CO"/>
        </w:rPr>
        <w:t>41</w:t>
      </w:r>
      <w:r w:rsidR="001442B4" w:rsidRPr="00793402">
        <w:rPr>
          <w:color w:val="000000" w:themeColor="text1"/>
          <w:sz w:val="28"/>
          <w:szCs w:val="28"/>
          <w:lang w:eastAsia="es-CO"/>
        </w:rPr>
        <w:t>. Posteriormente, esta Corporación estableció que cuando el único requisito faltante para acceder a la pensión es la edad, en caso de desvinculación, no se frustra su derecho al acceso a la pensión. Lo expuesto, porque dicho requisito puede acreditarse de manera posterior</w:t>
      </w:r>
      <w:r w:rsidR="00D44F2B" w:rsidRPr="00793402">
        <w:rPr>
          <w:color w:val="000000" w:themeColor="text1"/>
          <w:sz w:val="28"/>
          <w:szCs w:val="28"/>
          <w:lang w:eastAsia="es-CO"/>
        </w:rPr>
        <w:t>,</w:t>
      </w:r>
      <w:r w:rsidR="001442B4" w:rsidRPr="00793402">
        <w:rPr>
          <w:color w:val="000000" w:themeColor="text1"/>
          <w:sz w:val="28"/>
          <w:szCs w:val="28"/>
          <w:lang w:eastAsia="es-CO"/>
        </w:rPr>
        <w:t xml:space="preserve"> con o sin vinculación laboral</w:t>
      </w:r>
      <w:r w:rsidR="00D44F2B" w:rsidRPr="00793402">
        <w:rPr>
          <w:color w:val="000000" w:themeColor="text1"/>
          <w:sz w:val="28"/>
          <w:szCs w:val="28"/>
          <w:lang w:eastAsia="es-CO"/>
        </w:rPr>
        <w:t xml:space="preserve"> (SU-003 de 2018</w:t>
      </w:r>
      <w:r w:rsidR="00D44F2B" w:rsidRPr="00793402">
        <w:rPr>
          <w:rStyle w:val="Refdenotaalpie"/>
          <w:color w:val="000000" w:themeColor="text1"/>
          <w:sz w:val="28"/>
          <w:szCs w:val="28"/>
          <w:lang w:eastAsia="es-CO"/>
        </w:rPr>
        <w:footnoteReference w:id="101"/>
      </w:r>
      <w:r w:rsidR="00D44F2B" w:rsidRPr="00793402">
        <w:rPr>
          <w:color w:val="000000" w:themeColor="text1"/>
          <w:sz w:val="28"/>
          <w:szCs w:val="28"/>
          <w:lang w:eastAsia="es-CO"/>
        </w:rPr>
        <w:t>).</w:t>
      </w:r>
    </w:p>
    <w:p w14:paraId="5EF944F1" w14:textId="77777777" w:rsidR="00D44F2B" w:rsidRPr="00793402" w:rsidRDefault="00D44F2B" w:rsidP="001442B4">
      <w:pPr>
        <w:shd w:val="clear" w:color="auto" w:fill="FFFFFF"/>
        <w:jc w:val="both"/>
        <w:rPr>
          <w:color w:val="000000" w:themeColor="text1"/>
          <w:sz w:val="28"/>
          <w:szCs w:val="28"/>
          <w:lang w:eastAsia="es-CO"/>
        </w:rPr>
      </w:pPr>
    </w:p>
    <w:p w14:paraId="3E12F309" w14:textId="199657F0" w:rsidR="001442B4" w:rsidRPr="00793402" w:rsidRDefault="001E5C39" w:rsidP="001442B4">
      <w:pPr>
        <w:shd w:val="clear" w:color="auto" w:fill="FFFFFF"/>
        <w:jc w:val="both"/>
        <w:rPr>
          <w:color w:val="000000" w:themeColor="text1"/>
          <w:sz w:val="28"/>
          <w:szCs w:val="28"/>
          <w:lang w:eastAsia="es-CO"/>
        </w:rPr>
      </w:pPr>
      <w:r w:rsidRPr="00793402">
        <w:rPr>
          <w:color w:val="000000" w:themeColor="text1"/>
          <w:sz w:val="28"/>
          <w:szCs w:val="28"/>
          <w:lang w:eastAsia="es-CO"/>
        </w:rPr>
        <w:t>42</w:t>
      </w:r>
      <w:r w:rsidR="00D44F2B" w:rsidRPr="00793402">
        <w:rPr>
          <w:color w:val="000000" w:themeColor="text1"/>
          <w:sz w:val="28"/>
          <w:szCs w:val="28"/>
          <w:lang w:eastAsia="es-CO"/>
        </w:rPr>
        <w:t xml:space="preserve">. </w:t>
      </w:r>
      <w:r w:rsidR="001442B4" w:rsidRPr="00793402">
        <w:rPr>
          <w:color w:val="000000" w:themeColor="text1"/>
          <w:sz w:val="28"/>
          <w:szCs w:val="28"/>
          <w:lang w:eastAsia="es-CO"/>
        </w:rPr>
        <w:t xml:space="preserve">Con fundamento en lo anterior, la Corte consolidó la regla jurisprudencial sobre la materia. En tal sentido, señaló que son beneficiarios del fuero de estabilidad laboral reforzada de </w:t>
      </w:r>
      <w:proofErr w:type="spellStart"/>
      <w:r w:rsidR="001442B4" w:rsidRPr="00793402">
        <w:rPr>
          <w:color w:val="000000" w:themeColor="text1"/>
          <w:sz w:val="28"/>
          <w:szCs w:val="28"/>
          <w:lang w:eastAsia="es-CO"/>
        </w:rPr>
        <w:t>prepensionable</w:t>
      </w:r>
      <w:proofErr w:type="spellEnd"/>
      <w:r w:rsidR="001442B4" w:rsidRPr="00793402">
        <w:rPr>
          <w:color w:val="000000" w:themeColor="text1"/>
          <w:sz w:val="28"/>
          <w:szCs w:val="28"/>
          <w:lang w:eastAsia="es-CO"/>
        </w:rPr>
        <w:t xml:space="preserve"> las personas vinculadas laboralmente al sector público y/o privado a los que les falten lo equivalente a tres años o menos para acreditar el requisito de semanas en el régimen de prima media o el capital necesario en el régimen de ahorro individual con solidaridad, para acceder a la pensión </w:t>
      </w:r>
      <w:r w:rsidR="00AD5C61" w:rsidRPr="00793402">
        <w:rPr>
          <w:color w:val="000000" w:themeColor="text1"/>
          <w:sz w:val="28"/>
          <w:szCs w:val="28"/>
          <w:lang w:eastAsia="es-CO"/>
        </w:rPr>
        <w:t xml:space="preserve">de vejez </w:t>
      </w:r>
      <w:proofErr w:type="gramStart"/>
      <w:r w:rsidR="001442B4" w:rsidRPr="00793402">
        <w:rPr>
          <w:color w:val="000000" w:themeColor="text1"/>
          <w:sz w:val="28"/>
          <w:szCs w:val="28"/>
          <w:lang w:eastAsia="es-CO"/>
        </w:rPr>
        <w:t>(</w:t>
      </w:r>
      <w:r w:rsidR="006E1185" w:rsidRPr="00793402">
        <w:rPr>
          <w:color w:val="000000" w:themeColor="text1"/>
          <w:sz w:val="28"/>
          <w:szCs w:val="28"/>
          <w:lang w:eastAsia="es-CO"/>
        </w:rPr>
        <w:t xml:space="preserve"> </w:t>
      </w:r>
      <w:r w:rsidR="001442B4" w:rsidRPr="00793402">
        <w:rPr>
          <w:color w:val="000000" w:themeColor="text1"/>
          <w:sz w:val="28"/>
          <w:szCs w:val="28"/>
          <w:lang w:eastAsia="es-CO"/>
        </w:rPr>
        <w:t>SU</w:t>
      </w:r>
      <w:proofErr w:type="gramEnd"/>
      <w:r w:rsidR="001442B4" w:rsidRPr="00793402">
        <w:rPr>
          <w:color w:val="000000" w:themeColor="text1"/>
          <w:sz w:val="28"/>
          <w:szCs w:val="28"/>
          <w:lang w:eastAsia="es-CO"/>
        </w:rPr>
        <w:t>-003 de 2018</w:t>
      </w:r>
      <w:r w:rsidR="001442B4" w:rsidRPr="00793402">
        <w:rPr>
          <w:rStyle w:val="Refdenotaalpie"/>
          <w:color w:val="000000" w:themeColor="text1"/>
          <w:sz w:val="28"/>
          <w:szCs w:val="28"/>
          <w:lang w:eastAsia="es-CO"/>
        </w:rPr>
        <w:footnoteReference w:id="102"/>
      </w:r>
      <w:r w:rsidR="001442B4" w:rsidRPr="00793402">
        <w:rPr>
          <w:color w:val="000000" w:themeColor="text1"/>
          <w:sz w:val="28"/>
          <w:szCs w:val="28"/>
          <w:lang w:eastAsia="es-CO"/>
        </w:rPr>
        <w:t>).</w:t>
      </w:r>
    </w:p>
    <w:p w14:paraId="78026606" w14:textId="77777777" w:rsidR="001442B4" w:rsidRPr="00793402" w:rsidRDefault="001442B4" w:rsidP="001442B4">
      <w:pPr>
        <w:shd w:val="clear" w:color="auto" w:fill="FFFFFF"/>
        <w:jc w:val="both"/>
        <w:rPr>
          <w:color w:val="000000" w:themeColor="text1"/>
          <w:sz w:val="28"/>
          <w:szCs w:val="28"/>
          <w:lang w:eastAsia="es-CO"/>
        </w:rPr>
      </w:pPr>
    </w:p>
    <w:p w14:paraId="0F10F882" w14:textId="5738BD8B" w:rsidR="001442B4" w:rsidRPr="00793402" w:rsidRDefault="001442B4" w:rsidP="001442B4">
      <w:pPr>
        <w:shd w:val="clear" w:color="auto" w:fill="FFFFFF"/>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3</w:t>
      </w:r>
      <w:r w:rsidRPr="00793402">
        <w:rPr>
          <w:color w:val="000000" w:themeColor="text1"/>
          <w:sz w:val="28"/>
          <w:szCs w:val="28"/>
          <w:lang w:eastAsia="es-CO"/>
        </w:rPr>
        <w:t xml:space="preserve">. </w:t>
      </w:r>
      <w:r w:rsidRPr="00793402">
        <w:rPr>
          <w:i/>
          <w:iCs/>
          <w:color w:val="000000" w:themeColor="text1"/>
          <w:sz w:val="28"/>
          <w:szCs w:val="28"/>
          <w:lang w:eastAsia="es-CO"/>
        </w:rPr>
        <w:t xml:space="preserve">De los servidores públicos nombrados en provisionalidad que tienen la calidad de </w:t>
      </w:r>
      <w:proofErr w:type="spellStart"/>
      <w:r w:rsidRPr="00793402">
        <w:rPr>
          <w:i/>
          <w:iCs/>
          <w:color w:val="000000" w:themeColor="text1"/>
          <w:sz w:val="28"/>
          <w:szCs w:val="28"/>
          <w:lang w:eastAsia="es-CO"/>
        </w:rPr>
        <w:t>prepensionados</w:t>
      </w:r>
      <w:proofErr w:type="spellEnd"/>
      <w:r w:rsidRPr="00793402">
        <w:rPr>
          <w:color w:val="000000" w:themeColor="text1"/>
          <w:sz w:val="28"/>
          <w:szCs w:val="28"/>
          <w:lang w:eastAsia="es-CO"/>
        </w:rPr>
        <w:t xml:space="preserve">. La jurisprudencia indicó que </w:t>
      </w:r>
      <w:r w:rsidR="00AD5C61" w:rsidRPr="00793402">
        <w:rPr>
          <w:color w:val="000000" w:themeColor="text1"/>
          <w:sz w:val="28"/>
          <w:szCs w:val="28"/>
          <w:lang w:eastAsia="es-CO"/>
        </w:rPr>
        <w:t xml:space="preserve">con el fin de garantizar la protección especial que ofrece ser servidor público en provisionalidad y tener la calidad de </w:t>
      </w:r>
      <w:proofErr w:type="spellStart"/>
      <w:r w:rsidR="00AD5C61" w:rsidRPr="00793402">
        <w:rPr>
          <w:color w:val="000000" w:themeColor="text1"/>
          <w:sz w:val="28"/>
          <w:szCs w:val="28"/>
          <w:lang w:eastAsia="es-CO"/>
        </w:rPr>
        <w:t>prepensionado</w:t>
      </w:r>
      <w:proofErr w:type="spellEnd"/>
      <w:r w:rsidR="00AD5C61" w:rsidRPr="00793402">
        <w:rPr>
          <w:color w:val="000000" w:themeColor="text1"/>
          <w:sz w:val="28"/>
          <w:szCs w:val="28"/>
          <w:lang w:eastAsia="es-CO"/>
        </w:rPr>
        <w:t xml:space="preserve">, ante la provisión definitiva de su empleo por concurso de mérito, </w:t>
      </w:r>
      <w:r w:rsidRPr="00793402">
        <w:rPr>
          <w:color w:val="000000" w:themeColor="text1"/>
          <w:sz w:val="28"/>
          <w:szCs w:val="28"/>
          <w:lang w:eastAsia="es-CO"/>
        </w:rPr>
        <w:t>las entidades públicas tienen los siguientes deberes</w:t>
      </w:r>
      <w:r w:rsidR="00AD5C61" w:rsidRPr="00793402">
        <w:rPr>
          <w:color w:val="000000" w:themeColor="text1"/>
          <w:sz w:val="28"/>
          <w:szCs w:val="28"/>
          <w:lang w:eastAsia="es-CO"/>
        </w:rPr>
        <w:t xml:space="preserve">: </w:t>
      </w:r>
      <w:r w:rsidRPr="00793402">
        <w:rPr>
          <w:color w:val="000000" w:themeColor="text1"/>
          <w:sz w:val="28"/>
          <w:szCs w:val="28"/>
          <w:lang w:eastAsia="es-CO"/>
        </w:rPr>
        <w:t>(i) motiv</w:t>
      </w:r>
      <w:r w:rsidR="00AD5C61" w:rsidRPr="00793402">
        <w:rPr>
          <w:color w:val="000000" w:themeColor="text1"/>
          <w:sz w:val="28"/>
          <w:szCs w:val="28"/>
          <w:lang w:eastAsia="es-CO"/>
        </w:rPr>
        <w:t>ar</w:t>
      </w:r>
      <w:r w:rsidRPr="00793402">
        <w:rPr>
          <w:color w:val="000000" w:themeColor="text1"/>
          <w:sz w:val="28"/>
          <w:szCs w:val="28"/>
          <w:lang w:eastAsia="es-CO"/>
        </w:rPr>
        <w:t xml:space="preserve"> debidamente el acto de desvinculación; (ii) establecer los mecanismos necesarios para garantizar que</w:t>
      </w:r>
      <w:r w:rsidR="00AD5C61" w:rsidRPr="00793402">
        <w:rPr>
          <w:color w:val="000000" w:themeColor="text1"/>
          <w:sz w:val="28"/>
          <w:szCs w:val="28"/>
          <w:lang w:eastAsia="es-CO"/>
        </w:rPr>
        <w:t xml:space="preserve"> dicho grupo de personas sean</w:t>
      </w:r>
      <w:r w:rsidRPr="00793402">
        <w:rPr>
          <w:color w:val="000000" w:themeColor="text1"/>
          <w:sz w:val="28"/>
          <w:szCs w:val="28"/>
          <w:lang w:eastAsia="es-CO"/>
        </w:rPr>
        <w:t xml:space="preserve"> los últimos en ser </w:t>
      </w:r>
      <w:r w:rsidRPr="00793402">
        <w:rPr>
          <w:color w:val="000000" w:themeColor="text1"/>
          <w:sz w:val="28"/>
          <w:szCs w:val="28"/>
          <w:lang w:eastAsia="es-CO"/>
        </w:rPr>
        <w:lastRenderedPageBreak/>
        <w:t>desvinculados de sus cargos (SU-446 de 2011</w:t>
      </w:r>
      <w:r w:rsidRPr="00793402">
        <w:rPr>
          <w:rStyle w:val="Refdenotaalpie"/>
          <w:color w:val="000000" w:themeColor="text1"/>
          <w:sz w:val="28"/>
          <w:szCs w:val="28"/>
          <w:lang w:eastAsia="es-CO"/>
        </w:rPr>
        <w:footnoteReference w:id="103"/>
      </w:r>
      <w:r w:rsidRPr="00793402">
        <w:rPr>
          <w:color w:val="000000" w:themeColor="text1"/>
          <w:sz w:val="28"/>
          <w:szCs w:val="28"/>
          <w:lang w:eastAsia="es-CO"/>
        </w:rPr>
        <w:t xml:space="preserve">); y, (iii) mantener su permanencia en el empleo, siempre que los criterios de razonabilidad y proporcionalidad lo permitan, es decir, cuando se cuenten con vacantes para </w:t>
      </w:r>
      <w:r w:rsidR="00AD5C61" w:rsidRPr="00793402">
        <w:rPr>
          <w:color w:val="000000" w:themeColor="text1"/>
          <w:sz w:val="28"/>
          <w:szCs w:val="28"/>
          <w:lang w:eastAsia="es-CO"/>
        </w:rPr>
        <w:t>reubicarlos</w:t>
      </w:r>
      <w:r w:rsidR="001C4577" w:rsidRPr="00793402">
        <w:rPr>
          <w:color w:val="000000" w:themeColor="text1"/>
          <w:sz w:val="28"/>
          <w:szCs w:val="28"/>
          <w:lang w:eastAsia="es-CO"/>
        </w:rPr>
        <w:t xml:space="preserve"> </w:t>
      </w:r>
      <w:r w:rsidRPr="00793402">
        <w:rPr>
          <w:color w:val="000000" w:themeColor="text1"/>
          <w:sz w:val="28"/>
          <w:szCs w:val="28"/>
          <w:lang w:eastAsia="es-CO"/>
        </w:rPr>
        <w:t>(T-186 de 2013</w:t>
      </w:r>
      <w:r w:rsidRPr="00793402">
        <w:rPr>
          <w:rStyle w:val="Refdenotaalpie"/>
          <w:color w:val="000000" w:themeColor="text1"/>
          <w:sz w:val="28"/>
          <w:szCs w:val="28"/>
          <w:lang w:eastAsia="es-CO"/>
        </w:rPr>
        <w:footnoteReference w:id="104"/>
      </w:r>
      <w:r w:rsidRPr="00793402">
        <w:rPr>
          <w:color w:val="000000" w:themeColor="text1"/>
          <w:sz w:val="28"/>
          <w:szCs w:val="28"/>
          <w:lang w:eastAsia="es-CO"/>
        </w:rPr>
        <w:t>).</w:t>
      </w:r>
    </w:p>
    <w:p w14:paraId="191A3E50" w14:textId="77777777" w:rsidR="001442B4" w:rsidRPr="00793402" w:rsidRDefault="001442B4" w:rsidP="001442B4">
      <w:pPr>
        <w:shd w:val="clear" w:color="auto" w:fill="FFFFFF"/>
        <w:jc w:val="both"/>
        <w:rPr>
          <w:color w:val="000000" w:themeColor="text1"/>
          <w:sz w:val="28"/>
          <w:szCs w:val="28"/>
          <w:lang w:eastAsia="es-CO"/>
        </w:rPr>
      </w:pPr>
    </w:p>
    <w:p w14:paraId="572F46CD" w14:textId="5FF5D836" w:rsidR="00D44F2B" w:rsidRPr="00793402" w:rsidRDefault="00D44F2B" w:rsidP="00D44F2B">
      <w:pPr>
        <w:shd w:val="clear" w:color="auto" w:fill="FFFFFF"/>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4</w:t>
      </w:r>
      <w:r w:rsidRPr="00793402">
        <w:rPr>
          <w:color w:val="000000" w:themeColor="text1"/>
          <w:sz w:val="28"/>
          <w:szCs w:val="28"/>
          <w:lang w:eastAsia="es-CO"/>
        </w:rPr>
        <w:t xml:space="preserve">. </w:t>
      </w:r>
      <w:r w:rsidRPr="00793402">
        <w:rPr>
          <w:i/>
          <w:iCs/>
          <w:color w:val="000000" w:themeColor="text1"/>
          <w:sz w:val="28"/>
          <w:szCs w:val="28"/>
          <w:lang w:eastAsia="es-CO"/>
        </w:rPr>
        <w:t>Remedios constitucionales</w:t>
      </w:r>
      <w:r w:rsidRPr="00793402">
        <w:rPr>
          <w:color w:val="000000" w:themeColor="text1"/>
          <w:sz w:val="28"/>
          <w:szCs w:val="28"/>
          <w:lang w:eastAsia="es-CO"/>
        </w:rPr>
        <w:t xml:space="preserve">. Ante la omisión de los anteriores deberes, la Corte, ha ordenado a las entidades públicas reubicar al </w:t>
      </w:r>
      <w:proofErr w:type="spellStart"/>
      <w:r w:rsidRPr="00793402">
        <w:rPr>
          <w:color w:val="000000" w:themeColor="text1"/>
          <w:sz w:val="28"/>
          <w:szCs w:val="28"/>
          <w:lang w:eastAsia="es-CO"/>
        </w:rPr>
        <w:t>prepensionado</w:t>
      </w:r>
      <w:proofErr w:type="spellEnd"/>
      <w:r w:rsidRPr="00793402">
        <w:rPr>
          <w:color w:val="000000" w:themeColor="text1"/>
          <w:sz w:val="28"/>
          <w:szCs w:val="28"/>
          <w:lang w:eastAsia="es-CO"/>
        </w:rPr>
        <w:t xml:space="preserve"> en una vacante equivalente al cargo del que fue desvinculado, que se encuentre disponible, mientras completa los requisitos para acceder a la pensión. Cuando ello no sea posible, la jurisprudencia ha </w:t>
      </w:r>
      <w:r w:rsidR="00F46C4C" w:rsidRPr="00793402">
        <w:rPr>
          <w:color w:val="000000" w:themeColor="text1"/>
          <w:sz w:val="28"/>
          <w:szCs w:val="28"/>
          <w:lang w:eastAsia="es-CO"/>
        </w:rPr>
        <w:t>dispuesto</w:t>
      </w:r>
      <w:r w:rsidRPr="00793402">
        <w:rPr>
          <w:color w:val="000000" w:themeColor="text1"/>
          <w:sz w:val="28"/>
          <w:szCs w:val="28"/>
          <w:lang w:eastAsia="es-CO"/>
        </w:rPr>
        <w:t xml:space="preserve"> incluir al trabajador en la lista de personas con derecho a la estabilidad laboral para ser nombrado en provisionalidad en un cargo similar, hasta que obtenga su derecho pensional (T</w:t>
      </w:r>
      <w:r w:rsidR="00006D85" w:rsidRPr="00793402">
        <w:rPr>
          <w:color w:val="000000" w:themeColor="text1"/>
          <w:sz w:val="28"/>
          <w:szCs w:val="28"/>
          <w:lang w:eastAsia="es-CO"/>
        </w:rPr>
        <w:t>-</w:t>
      </w:r>
      <w:r w:rsidRPr="00793402">
        <w:rPr>
          <w:color w:val="000000" w:themeColor="text1"/>
          <w:sz w:val="28"/>
          <w:szCs w:val="28"/>
          <w:lang w:eastAsia="es-CO"/>
        </w:rPr>
        <w:t>443 de 2022</w:t>
      </w:r>
      <w:r w:rsidRPr="00793402">
        <w:rPr>
          <w:rStyle w:val="Refdenotaalpie"/>
          <w:color w:val="000000" w:themeColor="text1"/>
          <w:sz w:val="28"/>
          <w:szCs w:val="28"/>
          <w:lang w:eastAsia="es-CO"/>
        </w:rPr>
        <w:footnoteReference w:id="105"/>
      </w:r>
      <w:r w:rsidRPr="00793402">
        <w:rPr>
          <w:color w:val="000000" w:themeColor="text1"/>
          <w:sz w:val="28"/>
          <w:szCs w:val="28"/>
          <w:lang w:eastAsia="es-CO"/>
        </w:rPr>
        <w:t>).</w:t>
      </w:r>
    </w:p>
    <w:p w14:paraId="40E974B6" w14:textId="77777777" w:rsidR="00D44F2B" w:rsidRPr="00793402" w:rsidRDefault="00D44F2B" w:rsidP="001442B4">
      <w:pPr>
        <w:shd w:val="clear" w:color="auto" w:fill="FFFFFF"/>
        <w:jc w:val="both"/>
        <w:rPr>
          <w:color w:val="000000" w:themeColor="text1"/>
          <w:sz w:val="28"/>
          <w:szCs w:val="28"/>
          <w:lang w:eastAsia="es-CO"/>
        </w:rPr>
      </w:pPr>
    </w:p>
    <w:p w14:paraId="06380CD8" w14:textId="5BA648BA" w:rsidR="00980A4B" w:rsidRPr="00793402" w:rsidRDefault="001442B4" w:rsidP="00980A4B">
      <w:pPr>
        <w:shd w:val="clear" w:color="auto" w:fill="FFFFFF"/>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5</w:t>
      </w:r>
      <w:r w:rsidRPr="00793402">
        <w:rPr>
          <w:color w:val="000000" w:themeColor="text1"/>
          <w:sz w:val="28"/>
          <w:szCs w:val="28"/>
          <w:lang w:eastAsia="es-CO"/>
        </w:rPr>
        <w:t xml:space="preserve">. </w:t>
      </w:r>
      <w:r w:rsidRPr="00793402">
        <w:rPr>
          <w:i/>
          <w:iCs/>
          <w:color w:val="000000" w:themeColor="text1"/>
          <w:sz w:val="28"/>
          <w:szCs w:val="28"/>
          <w:lang w:eastAsia="es-CO"/>
        </w:rPr>
        <w:t>Protección legal.</w:t>
      </w:r>
      <w:r w:rsidRPr="00793402">
        <w:rPr>
          <w:color w:val="000000" w:themeColor="text1"/>
          <w:sz w:val="28"/>
          <w:szCs w:val="28"/>
          <w:lang w:eastAsia="es-CO"/>
        </w:rPr>
        <w:t xml:space="preserve"> </w:t>
      </w:r>
      <w:r w:rsidR="00411556" w:rsidRPr="00793402">
        <w:rPr>
          <w:color w:val="000000" w:themeColor="text1"/>
          <w:sz w:val="28"/>
          <w:szCs w:val="28"/>
          <w:lang w:eastAsia="es-CO"/>
        </w:rPr>
        <w:t>S</w:t>
      </w:r>
      <w:r w:rsidRPr="00793402">
        <w:rPr>
          <w:color w:val="000000" w:themeColor="text1"/>
          <w:sz w:val="28"/>
          <w:szCs w:val="28"/>
          <w:lang w:eastAsia="es-CO"/>
        </w:rPr>
        <w:t>egún la Ley 2040 del 2020</w:t>
      </w:r>
      <w:r w:rsidRPr="00793402">
        <w:rPr>
          <w:rStyle w:val="Refdenotaalpie"/>
          <w:color w:val="000000" w:themeColor="text1"/>
          <w:sz w:val="28"/>
          <w:szCs w:val="28"/>
          <w:lang w:eastAsia="es-CO"/>
        </w:rPr>
        <w:footnoteReference w:id="106"/>
      </w:r>
      <w:r w:rsidRPr="00793402">
        <w:rPr>
          <w:color w:val="000000" w:themeColor="text1"/>
          <w:sz w:val="28"/>
          <w:szCs w:val="28"/>
          <w:lang w:eastAsia="es-CO"/>
        </w:rPr>
        <w:t xml:space="preserve"> y el Decreto Reglamentario 1415 de 2021</w:t>
      </w:r>
      <w:r w:rsidRPr="00793402">
        <w:rPr>
          <w:rStyle w:val="Refdenotaalpie"/>
          <w:color w:val="000000" w:themeColor="text1"/>
          <w:sz w:val="28"/>
          <w:szCs w:val="28"/>
          <w:lang w:eastAsia="es-CO"/>
        </w:rPr>
        <w:footnoteReference w:id="107"/>
      </w:r>
      <w:r w:rsidRPr="00793402">
        <w:rPr>
          <w:color w:val="000000" w:themeColor="text1"/>
          <w:sz w:val="28"/>
          <w:szCs w:val="28"/>
          <w:lang w:eastAsia="es-CO"/>
        </w:rPr>
        <w:t xml:space="preserve"> los </w:t>
      </w:r>
      <w:proofErr w:type="spellStart"/>
      <w:r w:rsidRPr="00793402">
        <w:rPr>
          <w:color w:val="000000" w:themeColor="text1"/>
          <w:sz w:val="28"/>
          <w:szCs w:val="28"/>
          <w:lang w:eastAsia="es-CO"/>
        </w:rPr>
        <w:t>prepensionados</w:t>
      </w:r>
      <w:proofErr w:type="spellEnd"/>
      <w:r w:rsidRPr="00793402">
        <w:rPr>
          <w:color w:val="000000" w:themeColor="text1"/>
          <w:sz w:val="28"/>
          <w:szCs w:val="28"/>
          <w:lang w:eastAsia="es-CO"/>
        </w:rPr>
        <w:t xml:space="preserve"> que estén nombrados en entidades públicas en cargos provisionales y deban ser desvinculados por la provisión definitiva del mismo o por procesos de restructuración administrativa cuentan con una protección especial. En esos casos, las entidades deben reubicar a dichos funcionarios hasta que completen los requisitos mínimos para acceder a su pensión</w:t>
      </w:r>
      <w:r w:rsidRPr="00793402">
        <w:rPr>
          <w:rStyle w:val="Refdenotaalpie"/>
          <w:color w:val="000000" w:themeColor="text1"/>
          <w:sz w:val="28"/>
          <w:szCs w:val="28"/>
          <w:lang w:eastAsia="es-CO"/>
        </w:rPr>
        <w:footnoteReference w:id="108"/>
      </w:r>
      <w:r w:rsidRPr="00793402">
        <w:rPr>
          <w:color w:val="000000" w:themeColor="text1"/>
          <w:sz w:val="28"/>
          <w:szCs w:val="28"/>
          <w:lang w:eastAsia="es-CO"/>
        </w:rPr>
        <w:t>.</w:t>
      </w:r>
    </w:p>
    <w:p w14:paraId="31047F51" w14:textId="77777777" w:rsidR="001E5C39" w:rsidRPr="00793402" w:rsidRDefault="001E5C39" w:rsidP="00BB5C4C">
      <w:pPr>
        <w:shd w:val="clear" w:color="auto" w:fill="FFFFFF"/>
        <w:jc w:val="both"/>
        <w:rPr>
          <w:b/>
          <w:bCs/>
          <w:color w:val="000000" w:themeColor="text1"/>
          <w:sz w:val="28"/>
          <w:szCs w:val="28"/>
          <w:lang w:eastAsia="es-CO"/>
        </w:rPr>
      </w:pPr>
    </w:p>
    <w:p w14:paraId="6CEA3C71" w14:textId="64DDEE1B" w:rsidR="00BB5C4C" w:rsidRPr="00793402" w:rsidRDefault="00BB5C4C" w:rsidP="00BB5C4C">
      <w:pPr>
        <w:shd w:val="clear" w:color="auto" w:fill="FFFFFF"/>
        <w:jc w:val="both"/>
        <w:rPr>
          <w:b/>
          <w:bCs/>
          <w:color w:val="000000" w:themeColor="text1"/>
          <w:sz w:val="28"/>
          <w:szCs w:val="28"/>
          <w:lang w:eastAsia="es-CO"/>
        </w:rPr>
      </w:pPr>
      <w:r w:rsidRPr="00793402">
        <w:rPr>
          <w:b/>
          <w:bCs/>
          <w:color w:val="000000" w:themeColor="text1"/>
          <w:sz w:val="28"/>
          <w:szCs w:val="28"/>
          <w:lang w:eastAsia="es-CO"/>
        </w:rPr>
        <w:t xml:space="preserve">Deberes de las administradoras de pensiones </w:t>
      </w:r>
      <w:r w:rsidR="00180014" w:rsidRPr="00793402">
        <w:rPr>
          <w:b/>
          <w:bCs/>
          <w:color w:val="000000" w:themeColor="text1"/>
          <w:sz w:val="28"/>
          <w:szCs w:val="28"/>
          <w:lang w:eastAsia="es-CO"/>
        </w:rPr>
        <w:t xml:space="preserve">y de los empleadores </w:t>
      </w:r>
      <w:r w:rsidRPr="00793402">
        <w:rPr>
          <w:b/>
          <w:bCs/>
          <w:color w:val="000000" w:themeColor="text1"/>
          <w:sz w:val="28"/>
          <w:szCs w:val="28"/>
          <w:lang w:eastAsia="es-CO"/>
        </w:rPr>
        <w:t>en relación con la información consignada en la historia laboral</w:t>
      </w:r>
      <w:r w:rsidR="001E4EDB" w:rsidRPr="00793402">
        <w:rPr>
          <w:b/>
          <w:bCs/>
          <w:color w:val="000000" w:themeColor="text1"/>
          <w:sz w:val="28"/>
          <w:szCs w:val="28"/>
          <w:lang w:eastAsia="es-CO"/>
        </w:rPr>
        <w:t xml:space="preserve"> y garantía de la pensión</w:t>
      </w:r>
      <w:r w:rsidRPr="00793402">
        <w:rPr>
          <w:b/>
          <w:bCs/>
          <w:color w:val="000000" w:themeColor="text1"/>
          <w:sz w:val="28"/>
          <w:szCs w:val="28"/>
          <w:lang w:eastAsia="es-CO"/>
        </w:rPr>
        <w:t>. Reiteración de jurisprudencia</w:t>
      </w:r>
      <w:r w:rsidRPr="00793402">
        <w:rPr>
          <w:rStyle w:val="Refdenotaalpie"/>
          <w:b/>
          <w:bCs/>
          <w:color w:val="000000" w:themeColor="text1"/>
          <w:sz w:val="28"/>
          <w:szCs w:val="28"/>
          <w:lang w:eastAsia="es-CO"/>
        </w:rPr>
        <w:footnoteReference w:id="109"/>
      </w:r>
    </w:p>
    <w:p w14:paraId="711DBBB3" w14:textId="77777777" w:rsidR="00BB5C4C" w:rsidRPr="00793402" w:rsidRDefault="00BB5C4C" w:rsidP="00BB5C4C">
      <w:pPr>
        <w:shd w:val="clear" w:color="auto" w:fill="FFFFFF"/>
        <w:jc w:val="both"/>
        <w:rPr>
          <w:b/>
          <w:bCs/>
          <w:strike/>
          <w:color w:val="000000" w:themeColor="text1"/>
          <w:sz w:val="28"/>
          <w:szCs w:val="28"/>
          <w:lang w:eastAsia="es-CO"/>
        </w:rPr>
      </w:pPr>
    </w:p>
    <w:p w14:paraId="1CB6BD96" w14:textId="33B0F42B" w:rsidR="00BB5C4C" w:rsidRPr="00793402" w:rsidRDefault="00372231" w:rsidP="00BB5C4C">
      <w:pPr>
        <w:shd w:val="clear" w:color="auto" w:fill="FFFFFF"/>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 xml:space="preserve">. La historia laboral es un documento </w:t>
      </w:r>
      <w:r w:rsidR="00F7758F" w:rsidRPr="00793402">
        <w:rPr>
          <w:color w:val="000000" w:themeColor="text1"/>
          <w:sz w:val="28"/>
          <w:szCs w:val="28"/>
          <w:lang w:eastAsia="es-CO"/>
        </w:rPr>
        <w:t xml:space="preserve">esencial </w:t>
      </w:r>
      <w:r w:rsidR="00BB5C4C" w:rsidRPr="00793402">
        <w:rPr>
          <w:color w:val="000000" w:themeColor="text1"/>
          <w:sz w:val="28"/>
          <w:szCs w:val="28"/>
          <w:lang w:eastAsia="es-CO"/>
        </w:rPr>
        <w:t xml:space="preserve">para la garantía de varios derechos fundamentales, cuya </w:t>
      </w:r>
      <w:r w:rsidR="00D72C7B" w:rsidRPr="00793402">
        <w:rPr>
          <w:color w:val="000000" w:themeColor="text1"/>
          <w:sz w:val="28"/>
          <w:szCs w:val="28"/>
          <w:lang w:eastAsia="es-CO"/>
        </w:rPr>
        <w:t xml:space="preserve">administración y </w:t>
      </w:r>
      <w:r w:rsidR="00BB5C4C" w:rsidRPr="00793402">
        <w:rPr>
          <w:color w:val="000000" w:themeColor="text1"/>
          <w:sz w:val="28"/>
          <w:szCs w:val="28"/>
          <w:lang w:eastAsia="es-CO"/>
        </w:rPr>
        <w:t>conservación recae en las administradoras de pensiones, sin que los errores en su elaboración</w:t>
      </w:r>
      <w:r w:rsidRPr="00793402">
        <w:rPr>
          <w:color w:val="000000" w:themeColor="text1"/>
          <w:sz w:val="28"/>
          <w:szCs w:val="28"/>
          <w:lang w:eastAsia="es-CO"/>
        </w:rPr>
        <w:t>,</w:t>
      </w:r>
      <w:r w:rsidR="00BB5C4C" w:rsidRPr="00793402">
        <w:rPr>
          <w:color w:val="000000" w:themeColor="text1"/>
          <w:sz w:val="28"/>
          <w:szCs w:val="28"/>
          <w:lang w:eastAsia="es-CO"/>
        </w:rPr>
        <w:t xml:space="preserve"> gestión</w:t>
      </w:r>
      <w:r w:rsidRPr="00793402">
        <w:rPr>
          <w:color w:val="000000" w:themeColor="text1"/>
          <w:sz w:val="28"/>
          <w:szCs w:val="28"/>
          <w:lang w:eastAsia="es-CO"/>
        </w:rPr>
        <w:t xml:space="preserve"> y actualización en que incurra el empleador o las administradoras de pensiones </w:t>
      </w:r>
      <w:r w:rsidR="00F7758F" w:rsidRPr="00793402">
        <w:rPr>
          <w:color w:val="000000" w:themeColor="text1"/>
          <w:sz w:val="28"/>
          <w:szCs w:val="28"/>
          <w:lang w:eastAsia="es-CO"/>
        </w:rPr>
        <w:t xml:space="preserve">puedan </w:t>
      </w:r>
      <w:r w:rsidRPr="00793402">
        <w:rPr>
          <w:color w:val="000000" w:themeColor="text1"/>
          <w:sz w:val="28"/>
          <w:szCs w:val="28"/>
          <w:lang w:eastAsia="es-CO"/>
        </w:rPr>
        <w:t>afectar los derechos fundamentales de los trabajadores</w:t>
      </w:r>
      <w:r w:rsidR="00BB5C4C" w:rsidRPr="00793402">
        <w:rPr>
          <w:color w:val="000000" w:themeColor="text1"/>
          <w:sz w:val="28"/>
          <w:szCs w:val="28"/>
          <w:lang w:eastAsia="es-CO"/>
        </w:rPr>
        <w:t>. Al respecto</w:t>
      </w:r>
      <w:r w:rsidR="001E4EDB" w:rsidRPr="00793402">
        <w:rPr>
          <w:color w:val="000000" w:themeColor="text1"/>
          <w:sz w:val="28"/>
          <w:szCs w:val="28"/>
          <w:lang w:eastAsia="es-CO"/>
        </w:rPr>
        <w:t>,</w:t>
      </w:r>
      <w:r w:rsidR="00BB5C4C" w:rsidRPr="00793402">
        <w:rPr>
          <w:color w:val="000000" w:themeColor="text1"/>
          <w:sz w:val="28"/>
          <w:szCs w:val="28"/>
          <w:lang w:eastAsia="es-CO"/>
        </w:rPr>
        <w:t xml:space="preserve"> la</w:t>
      </w:r>
      <w:r w:rsidR="00E404E6" w:rsidRPr="00793402">
        <w:rPr>
          <w:color w:val="000000" w:themeColor="text1"/>
          <w:sz w:val="28"/>
          <w:szCs w:val="28"/>
          <w:lang w:eastAsia="es-CO"/>
        </w:rPr>
        <w:t xml:space="preserve"> ley y la </w:t>
      </w:r>
      <w:r w:rsidR="00BB5C4C" w:rsidRPr="00793402">
        <w:rPr>
          <w:color w:val="000000" w:themeColor="text1"/>
          <w:sz w:val="28"/>
          <w:szCs w:val="28"/>
          <w:lang w:eastAsia="es-CO"/>
        </w:rPr>
        <w:t>jurisprudencia ha</w:t>
      </w:r>
      <w:r w:rsidR="00E404E6" w:rsidRPr="00793402">
        <w:rPr>
          <w:color w:val="000000" w:themeColor="text1"/>
          <w:sz w:val="28"/>
          <w:szCs w:val="28"/>
          <w:lang w:eastAsia="es-CO"/>
        </w:rPr>
        <w:t>n</w:t>
      </w:r>
      <w:r w:rsidR="00BB5C4C" w:rsidRPr="00793402">
        <w:rPr>
          <w:color w:val="000000" w:themeColor="text1"/>
          <w:sz w:val="28"/>
          <w:szCs w:val="28"/>
          <w:lang w:eastAsia="es-CO"/>
        </w:rPr>
        <w:t xml:space="preserve"> establecido que:</w:t>
      </w:r>
    </w:p>
    <w:p w14:paraId="2993EB33" w14:textId="77777777" w:rsidR="00BB5C4C" w:rsidRPr="00793402" w:rsidRDefault="00BB5C4C" w:rsidP="00BB5C4C">
      <w:pPr>
        <w:pStyle w:val="Prrafodelista"/>
        <w:shd w:val="clear" w:color="auto" w:fill="FFFFFF"/>
        <w:ind w:left="0"/>
        <w:jc w:val="both"/>
        <w:rPr>
          <w:color w:val="000000" w:themeColor="text1"/>
          <w:sz w:val="28"/>
          <w:szCs w:val="28"/>
          <w:lang w:eastAsia="es-CO"/>
        </w:rPr>
      </w:pPr>
    </w:p>
    <w:p w14:paraId="2AB2D6D9" w14:textId="10935EDE" w:rsidR="00BB5C4C" w:rsidRPr="00793402" w:rsidRDefault="004B20AB" w:rsidP="00BB5C4C">
      <w:pPr>
        <w:pStyle w:val="Prrafodelista"/>
        <w:shd w:val="clear" w:color="auto" w:fill="FFFFFF"/>
        <w:ind w:left="0"/>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.1. La historia laboral tiene relevancia constitucional</w:t>
      </w:r>
      <w:r w:rsidR="00D72C7B" w:rsidRPr="00793402">
        <w:rPr>
          <w:color w:val="000000" w:themeColor="text1"/>
          <w:sz w:val="28"/>
          <w:szCs w:val="28"/>
          <w:lang w:eastAsia="es-CO"/>
        </w:rPr>
        <w:t>,</w:t>
      </w:r>
      <w:r w:rsidR="00BB5C4C" w:rsidRPr="00793402">
        <w:rPr>
          <w:color w:val="000000" w:themeColor="text1"/>
          <w:sz w:val="28"/>
          <w:szCs w:val="28"/>
          <w:lang w:eastAsia="es-CO"/>
        </w:rPr>
        <w:t xml:space="preserve"> porque permite el reconocimiento de derechos prestacionales que están sometidos a la verificación de la información en ella contenida (T-398 de 2015</w:t>
      </w:r>
      <w:r w:rsidR="00BB5C4C" w:rsidRPr="00793402">
        <w:rPr>
          <w:rStyle w:val="Refdenotaalpie"/>
          <w:color w:val="000000" w:themeColor="text1"/>
          <w:sz w:val="28"/>
          <w:szCs w:val="28"/>
          <w:lang w:eastAsia="es-CO"/>
        </w:rPr>
        <w:footnoteReference w:id="110"/>
      </w:r>
      <w:r w:rsidR="00BB5C4C" w:rsidRPr="00793402">
        <w:rPr>
          <w:color w:val="000000" w:themeColor="text1"/>
          <w:sz w:val="28"/>
          <w:szCs w:val="28"/>
          <w:lang w:eastAsia="es-CO"/>
        </w:rPr>
        <w:t>).</w:t>
      </w:r>
    </w:p>
    <w:p w14:paraId="29E91C13" w14:textId="77777777" w:rsidR="00BB5C4C" w:rsidRPr="00793402" w:rsidRDefault="00BB5C4C" w:rsidP="00BB5C4C">
      <w:pPr>
        <w:pStyle w:val="Prrafodelista"/>
        <w:shd w:val="clear" w:color="auto" w:fill="FFFFFF"/>
        <w:ind w:left="0"/>
        <w:jc w:val="both"/>
        <w:rPr>
          <w:color w:val="000000" w:themeColor="text1"/>
          <w:sz w:val="28"/>
          <w:szCs w:val="28"/>
          <w:lang w:eastAsia="es-CO"/>
        </w:rPr>
      </w:pPr>
    </w:p>
    <w:p w14:paraId="6EE6C530" w14:textId="3F8A24FA" w:rsidR="00BB5C4C" w:rsidRPr="00793402" w:rsidRDefault="004B20AB" w:rsidP="00BB5C4C">
      <w:pPr>
        <w:pStyle w:val="Prrafodelista"/>
        <w:shd w:val="clear" w:color="auto" w:fill="FFFFFF"/>
        <w:ind w:left="0"/>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.2. El tratamiento de los datos contenidos en ella debe observar las reglas establecidas en la Ley 1581 de 2012</w:t>
      </w:r>
      <w:r w:rsidR="00D72C7B" w:rsidRPr="00793402">
        <w:rPr>
          <w:color w:val="000000" w:themeColor="text1"/>
          <w:sz w:val="28"/>
          <w:szCs w:val="28"/>
          <w:lang w:eastAsia="es-CO"/>
        </w:rPr>
        <w:t>,</w:t>
      </w:r>
      <w:r w:rsidR="00BB5C4C" w:rsidRPr="00793402">
        <w:rPr>
          <w:color w:val="000000" w:themeColor="text1"/>
          <w:sz w:val="28"/>
          <w:szCs w:val="28"/>
          <w:lang w:eastAsia="es-CO"/>
        </w:rPr>
        <w:t xml:space="preserve"> en cuanto a los principios de legalidad, finalidad, libertad, veracidad, transparencia, seguridad y confidencialidad</w:t>
      </w:r>
      <w:r w:rsidR="00BB5C4C" w:rsidRPr="00793402">
        <w:rPr>
          <w:rStyle w:val="Refdenotaalpie"/>
          <w:color w:val="000000" w:themeColor="text1"/>
          <w:sz w:val="28"/>
          <w:szCs w:val="28"/>
          <w:lang w:eastAsia="es-CO"/>
        </w:rPr>
        <w:footnoteReference w:id="111"/>
      </w:r>
      <w:r w:rsidR="00BB5C4C" w:rsidRPr="00793402">
        <w:rPr>
          <w:color w:val="000000" w:themeColor="text1"/>
          <w:sz w:val="28"/>
          <w:szCs w:val="28"/>
          <w:lang w:eastAsia="es-CO"/>
        </w:rPr>
        <w:t xml:space="preserve">. En ese sentido, la información que </w:t>
      </w:r>
      <w:r w:rsidR="00D72C7B" w:rsidRPr="00793402">
        <w:rPr>
          <w:color w:val="000000" w:themeColor="text1"/>
          <w:sz w:val="28"/>
          <w:szCs w:val="28"/>
          <w:lang w:eastAsia="es-CO"/>
        </w:rPr>
        <w:t xml:space="preserve">se </w:t>
      </w:r>
      <w:r w:rsidR="00BB5C4C" w:rsidRPr="00793402">
        <w:rPr>
          <w:color w:val="000000" w:themeColor="text1"/>
          <w:sz w:val="28"/>
          <w:szCs w:val="28"/>
          <w:lang w:eastAsia="es-CO"/>
        </w:rPr>
        <w:t>suministre debe ser veraz, completa, exacta, actualizada, comprobable y comprensible</w:t>
      </w:r>
      <w:r w:rsidR="00BB5C4C" w:rsidRPr="00793402">
        <w:rPr>
          <w:rStyle w:val="Refdenotaalpie"/>
          <w:color w:val="000000" w:themeColor="text1"/>
          <w:sz w:val="28"/>
          <w:szCs w:val="28"/>
          <w:lang w:eastAsia="es-CO"/>
        </w:rPr>
        <w:footnoteReference w:id="112"/>
      </w:r>
      <w:r w:rsidR="00BB5C4C" w:rsidRPr="00793402">
        <w:rPr>
          <w:color w:val="000000" w:themeColor="text1"/>
          <w:sz w:val="28"/>
          <w:szCs w:val="28"/>
          <w:lang w:eastAsia="es-CO"/>
        </w:rPr>
        <w:t>.</w:t>
      </w:r>
    </w:p>
    <w:p w14:paraId="2627BCCC" w14:textId="77777777" w:rsidR="00BB5C4C" w:rsidRPr="00793402" w:rsidRDefault="00BB5C4C" w:rsidP="00BB5C4C">
      <w:pPr>
        <w:pStyle w:val="Prrafodelista"/>
        <w:shd w:val="clear" w:color="auto" w:fill="FFFFFF"/>
        <w:ind w:left="0"/>
        <w:jc w:val="both"/>
        <w:rPr>
          <w:color w:val="000000" w:themeColor="text1"/>
          <w:sz w:val="28"/>
          <w:szCs w:val="28"/>
          <w:lang w:eastAsia="es-CO"/>
        </w:rPr>
      </w:pPr>
    </w:p>
    <w:p w14:paraId="5D82A969" w14:textId="328DCB0E" w:rsidR="00BB5C4C" w:rsidRPr="00793402" w:rsidRDefault="004B20AB" w:rsidP="00BB5C4C">
      <w:pPr>
        <w:pStyle w:val="Prrafodelista"/>
        <w:shd w:val="clear" w:color="auto" w:fill="FFFFFF"/>
        <w:ind w:left="0"/>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.3. En cuanto al principio de veracidad o calidad, la jurisprudencia exige que la información que acredita la historia laboral debe ser confiable. Es decir, debe (i) reflejar el verdadero esfuerzo económico que ha realizado el afiliado; y, (ii) ser cierta, precisa, fidedigna y estar actualizada (T-436 de 2017</w:t>
      </w:r>
      <w:r w:rsidR="00BB5C4C" w:rsidRPr="00793402">
        <w:rPr>
          <w:rStyle w:val="Refdenotaalpie"/>
          <w:color w:val="000000" w:themeColor="text1"/>
          <w:sz w:val="28"/>
          <w:szCs w:val="28"/>
          <w:lang w:eastAsia="es-CO"/>
        </w:rPr>
        <w:footnoteReference w:id="113"/>
      </w:r>
      <w:r w:rsidR="00BB5C4C" w:rsidRPr="00793402">
        <w:rPr>
          <w:color w:val="000000" w:themeColor="text1"/>
          <w:sz w:val="28"/>
          <w:szCs w:val="28"/>
          <w:lang w:eastAsia="es-CO"/>
        </w:rPr>
        <w:t>).</w:t>
      </w:r>
    </w:p>
    <w:p w14:paraId="78AA1009" w14:textId="77777777" w:rsidR="00BB5C4C" w:rsidRPr="00793402" w:rsidRDefault="00BB5C4C" w:rsidP="00BB5C4C">
      <w:pPr>
        <w:pStyle w:val="Prrafodelista"/>
        <w:shd w:val="clear" w:color="auto" w:fill="FFFFFF"/>
        <w:ind w:left="0"/>
        <w:jc w:val="both"/>
        <w:rPr>
          <w:color w:val="000000" w:themeColor="text1"/>
          <w:sz w:val="28"/>
          <w:szCs w:val="28"/>
          <w:lang w:eastAsia="es-CO"/>
        </w:rPr>
      </w:pPr>
    </w:p>
    <w:p w14:paraId="4AE4E416" w14:textId="7A8A3C1D" w:rsidR="00BB5C4C" w:rsidRPr="00793402" w:rsidRDefault="004B20AB" w:rsidP="00BB5C4C">
      <w:pPr>
        <w:pStyle w:val="Prrafodelista"/>
        <w:shd w:val="clear" w:color="auto" w:fill="FFFFFF"/>
        <w:ind w:left="0"/>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 xml:space="preserve">.4. </w:t>
      </w:r>
      <w:r w:rsidR="00F7758F" w:rsidRPr="00793402">
        <w:rPr>
          <w:color w:val="000000" w:themeColor="text1"/>
          <w:sz w:val="28"/>
          <w:szCs w:val="28"/>
          <w:lang w:eastAsia="es-CO"/>
        </w:rPr>
        <w:t>Por ello</w:t>
      </w:r>
      <w:r w:rsidR="00BB5C4C" w:rsidRPr="00793402">
        <w:rPr>
          <w:color w:val="000000" w:themeColor="text1"/>
          <w:sz w:val="28"/>
          <w:szCs w:val="28"/>
          <w:lang w:eastAsia="es-CO"/>
        </w:rPr>
        <w:t>, el Decreto 1074 de 2015</w:t>
      </w:r>
      <w:r w:rsidR="00BB5C4C" w:rsidRPr="00793402">
        <w:rPr>
          <w:rStyle w:val="Refdenotaalpie"/>
          <w:color w:val="000000" w:themeColor="text1"/>
          <w:sz w:val="28"/>
          <w:szCs w:val="28"/>
          <w:lang w:eastAsia="es-CO"/>
        </w:rPr>
        <w:footnoteReference w:id="114"/>
      </w:r>
      <w:r w:rsidR="00BB5C4C" w:rsidRPr="00793402">
        <w:rPr>
          <w:color w:val="000000" w:themeColor="text1"/>
          <w:sz w:val="28"/>
          <w:szCs w:val="28"/>
          <w:lang w:eastAsia="es-CO"/>
        </w:rPr>
        <w:t xml:space="preserve"> dispuso que las administradoras de la información deben adoptar las medidas razonables para garantizar la precisión, suficiencia, actualización o rectificación de los datos que gestionan.</w:t>
      </w:r>
    </w:p>
    <w:p w14:paraId="173FD661" w14:textId="77777777" w:rsidR="00E404E6" w:rsidRPr="00793402" w:rsidRDefault="00E404E6" w:rsidP="00BB5C4C">
      <w:pPr>
        <w:pStyle w:val="Prrafodelista"/>
        <w:shd w:val="clear" w:color="auto" w:fill="FFFFFF"/>
        <w:ind w:left="0"/>
        <w:jc w:val="both"/>
        <w:rPr>
          <w:color w:val="000000" w:themeColor="text1"/>
          <w:sz w:val="28"/>
          <w:szCs w:val="28"/>
          <w:lang w:eastAsia="es-CO"/>
        </w:rPr>
      </w:pPr>
    </w:p>
    <w:p w14:paraId="4A0EEB5F" w14:textId="766B9F2A" w:rsidR="00BB5C4C" w:rsidRPr="00793402" w:rsidRDefault="004B20AB" w:rsidP="00BB5C4C">
      <w:pPr>
        <w:pStyle w:val="Prrafodelista"/>
        <w:shd w:val="clear" w:color="auto" w:fill="FFFFFF"/>
        <w:ind w:left="0"/>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 xml:space="preserve">.5. Por su parte, las administradoras de pensiones, como responsables del tratamiento de datos, también custodian, conservan y guardan los documentos físicos o magnéticos y las bases de datos en los que reposa la información de sus afiliados. </w:t>
      </w:r>
      <w:r w:rsidR="00D13AF0" w:rsidRPr="00793402">
        <w:rPr>
          <w:color w:val="000000" w:themeColor="text1"/>
          <w:sz w:val="28"/>
          <w:szCs w:val="28"/>
          <w:lang w:eastAsia="es-CO"/>
        </w:rPr>
        <w:t>En consecuencia</w:t>
      </w:r>
      <w:r w:rsidR="00BB5C4C" w:rsidRPr="00793402">
        <w:rPr>
          <w:color w:val="000000" w:themeColor="text1"/>
          <w:sz w:val="28"/>
          <w:szCs w:val="28"/>
          <w:lang w:eastAsia="es-CO"/>
        </w:rPr>
        <w:t>, tienen la carga de la prueba sobre la veracidad y la exactitud de lo que certifican en ellas</w:t>
      </w:r>
      <w:r w:rsidR="00166F2F" w:rsidRPr="00793402">
        <w:rPr>
          <w:color w:val="000000" w:themeColor="text1"/>
          <w:sz w:val="28"/>
          <w:szCs w:val="28"/>
          <w:lang w:eastAsia="es-CO"/>
        </w:rPr>
        <w:t xml:space="preserve"> </w:t>
      </w:r>
      <w:r w:rsidR="00BB5C4C" w:rsidRPr="00793402">
        <w:rPr>
          <w:color w:val="000000" w:themeColor="text1"/>
          <w:sz w:val="28"/>
          <w:szCs w:val="28"/>
          <w:lang w:eastAsia="es-CO"/>
        </w:rPr>
        <w:t>(SU-405 de 2021</w:t>
      </w:r>
      <w:r w:rsidR="00BB5C4C" w:rsidRPr="00793402">
        <w:rPr>
          <w:rStyle w:val="Refdenotaalpie"/>
          <w:color w:val="000000" w:themeColor="text1"/>
          <w:sz w:val="28"/>
          <w:szCs w:val="28"/>
          <w:lang w:eastAsia="es-CO"/>
        </w:rPr>
        <w:footnoteReference w:id="115"/>
      </w:r>
      <w:r w:rsidR="00BB5C4C" w:rsidRPr="00793402">
        <w:rPr>
          <w:color w:val="000000" w:themeColor="text1"/>
          <w:sz w:val="28"/>
          <w:szCs w:val="28"/>
          <w:lang w:eastAsia="es-CO"/>
        </w:rPr>
        <w:t xml:space="preserve">). </w:t>
      </w:r>
      <w:r w:rsidR="00940AF8" w:rsidRPr="00793402">
        <w:rPr>
          <w:color w:val="000000" w:themeColor="text1"/>
          <w:sz w:val="28"/>
          <w:szCs w:val="28"/>
        </w:rPr>
        <w:t>C</w:t>
      </w:r>
      <w:r w:rsidR="00FD227C" w:rsidRPr="00793402">
        <w:rPr>
          <w:color w:val="000000" w:themeColor="text1"/>
          <w:sz w:val="28"/>
          <w:szCs w:val="28"/>
        </w:rPr>
        <w:t>OLPENSIONES</w:t>
      </w:r>
      <w:r w:rsidR="00BB5C4C" w:rsidRPr="00793402">
        <w:rPr>
          <w:color w:val="000000" w:themeColor="text1"/>
          <w:sz w:val="28"/>
          <w:szCs w:val="28"/>
          <w:lang w:eastAsia="es-CO"/>
        </w:rPr>
        <w:t xml:space="preserve"> tiene la obligación de gestionar la historial laboral de sus afiliados y de responder por la consistencia de la información en ella contenida</w:t>
      </w:r>
      <w:r w:rsidR="00BB5C4C" w:rsidRPr="00793402">
        <w:rPr>
          <w:rStyle w:val="Refdenotaalpie"/>
          <w:color w:val="000000" w:themeColor="text1"/>
          <w:sz w:val="28"/>
          <w:szCs w:val="28"/>
          <w:lang w:eastAsia="es-CO"/>
        </w:rPr>
        <w:footnoteReference w:id="116"/>
      </w:r>
      <w:r w:rsidR="00BB5C4C" w:rsidRPr="00793402">
        <w:rPr>
          <w:color w:val="000000" w:themeColor="text1"/>
          <w:sz w:val="28"/>
          <w:szCs w:val="28"/>
          <w:lang w:eastAsia="es-CO"/>
        </w:rPr>
        <w:t>.</w:t>
      </w:r>
    </w:p>
    <w:p w14:paraId="39686B03" w14:textId="77777777" w:rsidR="00BB5C4C" w:rsidRPr="00793402" w:rsidRDefault="00BB5C4C" w:rsidP="00BB5C4C">
      <w:pPr>
        <w:pStyle w:val="Prrafodelista"/>
        <w:shd w:val="clear" w:color="auto" w:fill="FFFFFF"/>
        <w:ind w:left="0"/>
        <w:jc w:val="both"/>
        <w:rPr>
          <w:color w:val="000000" w:themeColor="text1"/>
          <w:sz w:val="28"/>
          <w:szCs w:val="28"/>
          <w:lang w:eastAsia="es-CO"/>
        </w:rPr>
      </w:pPr>
    </w:p>
    <w:p w14:paraId="3AF09A74" w14:textId="2AB65B4A" w:rsidR="00BB5C4C" w:rsidRPr="00793402" w:rsidRDefault="004B20AB" w:rsidP="00BB5C4C">
      <w:pPr>
        <w:pStyle w:val="Prrafodelista"/>
        <w:shd w:val="clear" w:color="auto" w:fill="FFFFFF"/>
        <w:ind w:left="0"/>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 xml:space="preserve">.6. </w:t>
      </w:r>
      <w:r w:rsidR="00D13AF0" w:rsidRPr="00793402">
        <w:rPr>
          <w:color w:val="000000" w:themeColor="text1"/>
          <w:sz w:val="28"/>
          <w:szCs w:val="28"/>
          <w:lang w:eastAsia="es-CO"/>
        </w:rPr>
        <w:t>De igual manera, es importante resaltar que</w:t>
      </w:r>
      <w:r w:rsidR="00BB5C4C" w:rsidRPr="00793402">
        <w:rPr>
          <w:color w:val="000000" w:themeColor="text1"/>
          <w:sz w:val="28"/>
          <w:szCs w:val="28"/>
          <w:lang w:eastAsia="es-CO"/>
        </w:rPr>
        <w:t xml:space="preserve"> las administradoras de pensiones cuentan con la infraestructura para administrar de manera adecuada la conducción de los datos de sus afiliados. De allí que</w:t>
      </w:r>
      <w:r w:rsidR="002B5B22" w:rsidRPr="00793402">
        <w:rPr>
          <w:color w:val="000000" w:themeColor="text1"/>
          <w:sz w:val="28"/>
          <w:szCs w:val="28"/>
          <w:lang w:eastAsia="es-CO"/>
        </w:rPr>
        <w:t>,</w:t>
      </w:r>
      <w:r w:rsidR="00BB5C4C" w:rsidRPr="00793402">
        <w:rPr>
          <w:color w:val="000000" w:themeColor="text1"/>
          <w:sz w:val="28"/>
          <w:szCs w:val="28"/>
          <w:lang w:eastAsia="es-CO"/>
        </w:rPr>
        <w:t xml:space="preserve"> los problemas logísticos y operativos no pueden ser trasladado</w:t>
      </w:r>
      <w:r w:rsidR="002B5B22" w:rsidRPr="00793402">
        <w:rPr>
          <w:color w:val="000000" w:themeColor="text1"/>
          <w:sz w:val="28"/>
          <w:szCs w:val="28"/>
          <w:lang w:eastAsia="es-CO"/>
        </w:rPr>
        <w:t>s</w:t>
      </w:r>
      <w:r w:rsidR="00BB5C4C" w:rsidRPr="00793402">
        <w:rPr>
          <w:color w:val="000000" w:themeColor="text1"/>
          <w:sz w:val="28"/>
          <w:szCs w:val="28"/>
          <w:lang w:eastAsia="es-CO"/>
        </w:rPr>
        <w:t xml:space="preserve"> a los </w:t>
      </w:r>
      <w:r w:rsidR="00B13D14" w:rsidRPr="00793402">
        <w:rPr>
          <w:color w:val="000000" w:themeColor="text1"/>
          <w:sz w:val="28"/>
          <w:szCs w:val="28"/>
          <w:lang w:eastAsia="es-CO"/>
        </w:rPr>
        <w:t>usuarios</w:t>
      </w:r>
      <w:r w:rsidR="00BB5C4C" w:rsidRPr="00793402">
        <w:rPr>
          <w:color w:val="000000" w:themeColor="text1"/>
          <w:sz w:val="28"/>
          <w:szCs w:val="28"/>
          <w:lang w:eastAsia="es-CO"/>
        </w:rPr>
        <w:t>, quienes no cuentan con acceso a dicha información (T-379 de 2017</w:t>
      </w:r>
      <w:r w:rsidR="00BB5C4C" w:rsidRPr="00793402">
        <w:rPr>
          <w:rStyle w:val="Refdenotaalpie"/>
          <w:color w:val="000000" w:themeColor="text1"/>
          <w:sz w:val="28"/>
          <w:szCs w:val="28"/>
          <w:lang w:eastAsia="es-CO"/>
        </w:rPr>
        <w:footnoteReference w:id="117"/>
      </w:r>
      <w:r w:rsidR="00BB5C4C" w:rsidRPr="00793402">
        <w:rPr>
          <w:color w:val="000000" w:themeColor="text1"/>
          <w:sz w:val="28"/>
          <w:szCs w:val="28"/>
          <w:lang w:eastAsia="es-CO"/>
        </w:rPr>
        <w:t>).</w:t>
      </w:r>
      <w:r w:rsidR="00D13AF0" w:rsidRPr="00793402">
        <w:rPr>
          <w:color w:val="000000" w:themeColor="text1"/>
          <w:sz w:val="28"/>
          <w:szCs w:val="28"/>
          <w:lang w:eastAsia="es-CO"/>
        </w:rPr>
        <w:t xml:space="preserve"> </w:t>
      </w:r>
      <w:r w:rsidR="00BB5C4C" w:rsidRPr="00793402">
        <w:rPr>
          <w:color w:val="000000" w:themeColor="text1"/>
          <w:sz w:val="28"/>
          <w:szCs w:val="28"/>
          <w:lang w:eastAsia="es-CO"/>
        </w:rPr>
        <w:t xml:space="preserve">En ese sentido, la desorganización y la no sistematización de los datos que deberían estar </w:t>
      </w:r>
      <w:r w:rsidR="00BB5C4C" w:rsidRPr="00793402">
        <w:rPr>
          <w:color w:val="000000" w:themeColor="text1"/>
          <w:sz w:val="28"/>
          <w:szCs w:val="28"/>
          <w:lang w:eastAsia="es-CO"/>
        </w:rPr>
        <w:lastRenderedPageBreak/>
        <w:t xml:space="preserve">consignados en la historia laboral, no pueden repercutir negativamente </w:t>
      </w:r>
      <w:r w:rsidR="00D72C7B" w:rsidRPr="00793402">
        <w:rPr>
          <w:color w:val="000000" w:themeColor="text1"/>
          <w:sz w:val="28"/>
          <w:szCs w:val="28"/>
          <w:lang w:eastAsia="es-CO"/>
        </w:rPr>
        <w:t>en los</w:t>
      </w:r>
      <w:r w:rsidR="00BB5C4C" w:rsidRPr="00793402">
        <w:rPr>
          <w:color w:val="000000" w:themeColor="text1"/>
          <w:sz w:val="28"/>
          <w:szCs w:val="28"/>
          <w:lang w:eastAsia="es-CO"/>
        </w:rPr>
        <w:t xml:space="preserve"> afiliados</w:t>
      </w:r>
      <w:r w:rsidR="00D72C7B" w:rsidRPr="00793402">
        <w:rPr>
          <w:color w:val="000000" w:themeColor="text1"/>
          <w:sz w:val="28"/>
          <w:szCs w:val="28"/>
          <w:lang w:eastAsia="es-CO"/>
        </w:rPr>
        <w:t>,</w:t>
      </w:r>
      <w:r w:rsidR="00BB5C4C" w:rsidRPr="00793402">
        <w:rPr>
          <w:color w:val="000000" w:themeColor="text1"/>
          <w:sz w:val="28"/>
          <w:szCs w:val="28"/>
          <w:lang w:eastAsia="es-CO"/>
        </w:rPr>
        <w:t xml:space="preserve"> ni traducirse en la denegación de su derecho a la seguridad social (T-101 de 2020</w:t>
      </w:r>
      <w:r w:rsidR="00BB5C4C" w:rsidRPr="00793402">
        <w:rPr>
          <w:rStyle w:val="Refdenotaalpie"/>
          <w:color w:val="000000" w:themeColor="text1"/>
          <w:sz w:val="28"/>
          <w:szCs w:val="28"/>
          <w:lang w:eastAsia="es-CO"/>
        </w:rPr>
        <w:footnoteReference w:id="118"/>
      </w:r>
      <w:r w:rsidR="00BB5C4C" w:rsidRPr="00793402">
        <w:rPr>
          <w:color w:val="000000" w:themeColor="text1"/>
          <w:sz w:val="28"/>
          <w:szCs w:val="28"/>
          <w:lang w:eastAsia="es-CO"/>
        </w:rPr>
        <w:t>).</w:t>
      </w:r>
    </w:p>
    <w:p w14:paraId="3B621A20" w14:textId="77777777" w:rsidR="00BB5C4C" w:rsidRPr="00793402" w:rsidRDefault="00BB5C4C" w:rsidP="00BB5C4C">
      <w:pPr>
        <w:shd w:val="clear" w:color="auto" w:fill="FFFFFF"/>
        <w:jc w:val="both"/>
        <w:rPr>
          <w:color w:val="000000" w:themeColor="text1"/>
          <w:sz w:val="28"/>
          <w:szCs w:val="28"/>
          <w:lang w:eastAsia="es-CO"/>
        </w:rPr>
      </w:pPr>
    </w:p>
    <w:p w14:paraId="3D910A21" w14:textId="0E3C2060" w:rsidR="00BB5C4C" w:rsidRPr="00793402" w:rsidRDefault="004B20AB" w:rsidP="00BB5C4C">
      <w:pPr>
        <w:shd w:val="clear" w:color="auto" w:fill="FFFFFF"/>
        <w:jc w:val="both"/>
        <w:rPr>
          <w:color w:val="000000" w:themeColor="text1"/>
          <w:sz w:val="28"/>
          <w:szCs w:val="28"/>
          <w:lang w:eastAsia="es-CO"/>
        </w:rPr>
      </w:pPr>
      <w:r w:rsidRPr="00793402">
        <w:rPr>
          <w:color w:val="000000" w:themeColor="text1"/>
          <w:sz w:val="28"/>
          <w:szCs w:val="28"/>
          <w:lang w:eastAsia="es-CO"/>
        </w:rPr>
        <w:t>4</w:t>
      </w:r>
      <w:r w:rsidR="001E5C39" w:rsidRPr="00793402">
        <w:rPr>
          <w:color w:val="000000" w:themeColor="text1"/>
          <w:sz w:val="28"/>
          <w:szCs w:val="28"/>
          <w:lang w:eastAsia="es-CO"/>
        </w:rPr>
        <w:t>6</w:t>
      </w:r>
      <w:r w:rsidR="00BB5C4C" w:rsidRPr="00793402">
        <w:rPr>
          <w:color w:val="000000" w:themeColor="text1"/>
          <w:sz w:val="28"/>
          <w:szCs w:val="28"/>
          <w:lang w:eastAsia="es-CO"/>
        </w:rPr>
        <w:t>.</w:t>
      </w:r>
      <w:r w:rsidR="00180014" w:rsidRPr="00793402">
        <w:rPr>
          <w:color w:val="000000" w:themeColor="text1"/>
          <w:sz w:val="28"/>
          <w:szCs w:val="28"/>
          <w:lang w:eastAsia="es-CO"/>
        </w:rPr>
        <w:t>7</w:t>
      </w:r>
      <w:r w:rsidR="00BB5C4C" w:rsidRPr="00793402">
        <w:rPr>
          <w:color w:val="000000" w:themeColor="text1"/>
          <w:sz w:val="28"/>
          <w:szCs w:val="28"/>
          <w:lang w:eastAsia="es-CO"/>
        </w:rPr>
        <w:t xml:space="preserve">. Tampoco es posible trasladar a los afiliados la negligencia de las administradoras de pensiones que no logran realizar el traslado de los aportes que se encuentran cotizados en otras entidades de esa misma naturaleza. </w:t>
      </w:r>
      <w:r w:rsidR="00F7758F" w:rsidRPr="00793402">
        <w:rPr>
          <w:color w:val="000000" w:themeColor="text1"/>
          <w:sz w:val="28"/>
          <w:szCs w:val="28"/>
          <w:lang w:eastAsia="es-CO"/>
        </w:rPr>
        <w:t>Es</w:t>
      </w:r>
      <w:r w:rsidR="00BB5C4C" w:rsidRPr="00793402">
        <w:rPr>
          <w:color w:val="000000" w:themeColor="text1"/>
          <w:sz w:val="28"/>
          <w:szCs w:val="28"/>
          <w:lang w:eastAsia="es-CO"/>
        </w:rPr>
        <w:t xml:space="preserve"> necesario</w:t>
      </w:r>
      <w:r w:rsidR="00F7758F" w:rsidRPr="00793402">
        <w:rPr>
          <w:color w:val="000000" w:themeColor="text1"/>
          <w:sz w:val="28"/>
          <w:szCs w:val="28"/>
          <w:lang w:eastAsia="es-CO"/>
        </w:rPr>
        <w:t>, en consecuencia,</w:t>
      </w:r>
      <w:r w:rsidR="00BB5C4C" w:rsidRPr="00793402">
        <w:rPr>
          <w:color w:val="000000" w:themeColor="text1"/>
          <w:sz w:val="28"/>
          <w:szCs w:val="28"/>
          <w:lang w:eastAsia="es-CO"/>
        </w:rPr>
        <w:t xml:space="preserve"> que </w:t>
      </w:r>
      <w:r w:rsidR="00B13D14" w:rsidRPr="00793402">
        <w:rPr>
          <w:color w:val="000000" w:themeColor="text1"/>
          <w:sz w:val="28"/>
          <w:szCs w:val="28"/>
          <w:lang w:eastAsia="es-CO"/>
        </w:rPr>
        <w:t>los fondos de pensiones</w:t>
      </w:r>
      <w:r w:rsidR="00BB5C4C" w:rsidRPr="00793402">
        <w:rPr>
          <w:color w:val="000000" w:themeColor="text1"/>
          <w:sz w:val="28"/>
          <w:szCs w:val="28"/>
          <w:lang w:eastAsia="es-CO"/>
        </w:rPr>
        <w:t xml:space="preserve"> ejecuten los trámites tendientes a obtener el traslado de dichos aportes (T-013 de 2020</w:t>
      </w:r>
      <w:r w:rsidR="00BB5C4C" w:rsidRPr="00793402">
        <w:rPr>
          <w:rStyle w:val="Refdenotaalpie"/>
          <w:color w:val="000000" w:themeColor="text1"/>
          <w:sz w:val="28"/>
          <w:szCs w:val="28"/>
          <w:lang w:eastAsia="es-CO"/>
        </w:rPr>
        <w:footnoteReference w:id="119"/>
      </w:r>
      <w:r w:rsidR="00BB5C4C" w:rsidRPr="00793402">
        <w:rPr>
          <w:color w:val="000000" w:themeColor="text1"/>
          <w:sz w:val="28"/>
          <w:szCs w:val="28"/>
          <w:lang w:eastAsia="es-CO"/>
        </w:rPr>
        <w:t>).</w:t>
      </w:r>
    </w:p>
    <w:p w14:paraId="0773628A" w14:textId="77777777" w:rsidR="00753F5E" w:rsidRPr="00793402" w:rsidRDefault="00753F5E" w:rsidP="00BB5C4C">
      <w:pPr>
        <w:shd w:val="clear" w:color="auto" w:fill="FFFFFF"/>
        <w:jc w:val="both"/>
        <w:rPr>
          <w:color w:val="000000" w:themeColor="text1"/>
          <w:sz w:val="28"/>
          <w:szCs w:val="28"/>
        </w:rPr>
      </w:pPr>
    </w:p>
    <w:p w14:paraId="17E1534C" w14:textId="6C0CF537" w:rsidR="00D41062" w:rsidRPr="00793402" w:rsidRDefault="004B20AB" w:rsidP="00BB5C4C">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6</w:t>
      </w:r>
      <w:r w:rsidR="00753F5E" w:rsidRPr="00793402">
        <w:rPr>
          <w:color w:val="000000" w:themeColor="text1"/>
          <w:sz w:val="28"/>
          <w:szCs w:val="28"/>
        </w:rPr>
        <w:t>.</w:t>
      </w:r>
      <w:r w:rsidRPr="00793402">
        <w:rPr>
          <w:color w:val="000000" w:themeColor="text1"/>
          <w:sz w:val="28"/>
          <w:szCs w:val="28"/>
        </w:rPr>
        <w:t>8</w:t>
      </w:r>
      <w:r w:rsidR="00D41062" w:rsidRPr="00793402">
        <w:rPr>
          <w:color w:val="000000" w:themeColor="text1"/>
          <w:sz w:val="28"/>
          <w:szCs w:val="28"/>
        </w:rPr>
        <w:t>. De igual forma, es importante resaltar el deber de diligencia que tienen las administradoras de pensiones al momento de proponer ajustes en el contenido de las historias laborales de sus afiliados. Dicho deber implica garantizar que las modificaciones se realicen por razones justificadas y que los afiliados tengan las garantías del debido proceso administrativo. Es decir, que puedan ser notificados de dichos cambios, y tenga</w:t>
      </w:r>
      <w:r w:rsidR="00F7758F" w:rsidRPr="00793402">
        <w:rPr>
          <w:color w:val="000000" w:themeColor="text1"/>
          <w:sz w:val="28"/>
          <w:szCs w:val="28"/>
        </w:rPr>
        <w:t>n</w:t>
      </w:r>
      <w:r w:rsidR="00D41062" w:rsidRPr="00793402">
        <w:rPr>
          <w:color w:val="000000" w:themeColor="text1"/>
          <w:sz w:val="28"/>
          <w:szCs w:val="28"/>
        </w:rPr>
        <w:t xml:space="preserve"> un tiempo razonable para ejercer sus derechos de contradicción y defensa (SU-405 de 2021</w:t>
      </w:r>
      <w:r w:rsidR="00ED73C3" w:rsidRPr="00793402">
        <w:rPr>
          <w:rStyle w:val="Refdenotaalpie"/>
          <w:color w:val="000000" w:themeColor="text1"/>
          <w:sz w:val="28"/>
          <w:szCs w:val="28"/>
        </w:rPr>
        <w:footnoteReference w:id="120"/>
      </w:r>
      <w:r w:rsidR="00D41062" w:rsidRPr="00793402">
        <w:rPr>
          <w:color w:val="000000" w:themeColor="text1"/>
          <w:sz w:val="28"/>
          <w:szCs w:val="28"/>
        </w:rPr>
        <w:t>).</w:t>
      </w:r>
    </w:p>
    <w:p w14:paraId="3DA92567" w14:textId="1D0CC041" w:rsidR="004B20AB" w:rsidRPr="00793402" w:rsidRDefault="004B20AB" w:rsidP="007D7057">
      <w:pPr>
        <w:shd w:val="clear" w:color="auto" w:fill="FFFFFF"/>
        <w:jc w:val="both"/>
        <w:rPr>
          <w:color w:val="000000" w:themeColor="text1"/>
          <w:sz w:val="28"/>
          <w:szCs w:val="28"/>
          <w:lang w:eastAsia="es-CO"/>
        </w:rPr>
      </w:pPr>
    </w:p>
    <w:p w14:paraId="41949BF3" w14:textId="49AB2FA7" w:rsidR="004B20AB" w:rsidRPr="00793402" w:rsidRDefault="00D41062" w:rsidP="004B20AB">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6</w:t>
      </w:r>
      <w:r w:rsidR="004B20AB" w:rsidRPr="00793402">
        <w:rPr>
          <w:color w:val="000000" w:themeColor="text1"/>
          <w:sz w:val="28"/>
          <w:szCs w:val="28"/>
        </w:rPr>
        <w:t>.</w:t>
      </w:r>
      <w:r w:rsidRPr="00793402">
        <w:rPr>
          <w:color w:val="000000" w:themeColor="text1"/>
          <w:sz w:val="28"/>
          <w:szCs w:val="28"/>
        </w:rPr>
        <w:t>9</w:t>
      </w:r>
      <w:r w:rsidR="004B20AB" w:rsidRPr="00793402">
        <w:rPr>
          <w:color w:val="000000" w:themeColor="text1"/>
          <w:sz w:val="28"/>
          <w:szCs w:val="28"/>
        </w:rPr>
        <w:t xml:space="preserve">. </w:t>
      </w:r>
      <w:r w:rsidRPr="00793402">
        <w:rPr>
          <w:color w:val="000000" w:themeColor="text1"/>
          <w:sz w:val="28"/>
          <w:szCs w:val="28"/>
        </w:rPr>
        <w:t>Por último</w:t>
      </w:r>
      <w:r w:rsidR="004B20AB" w:rsidRPr="00793402">
        <w:rPr>
          <w:color w:val="000000" w:themeColor="text1"/>
          <w:sz w:val="28"/>
          <w:szCs w:val="28"/>
        </w:rPr>
        <w:t>, la Corte Constitucional ha establecido que los empleadores y las administradoras de pensiones son responsables de almacenar correctamente la información que reposa en su poder, sobre la historia laboral de una persona (SU- 182 de 2019</w:t>
      </w:r>
      <w:r w:rsidR="004B20AB" w:rsidRPr="00793402">
        <w:rPr>
          <w:rStyle w:val="Refdenotaalpie"/>
          <w:color w:val="000000" w:themeColor="text1"/>
          <w:sz w:val="28"/>
          <w:szCs w:val="28"/>
        </w:rPr>
        <w:footnoteReference w:id="121"/>
      </w:r>
      <w:r w:rsidR="004B20AB" w:rsidRPr="00793402">
        <w:rPr>
          <w:color w:val="000000" w:themeColor="text1"/>
          <w:sz w:val="28"/>
          <w:szCs w:val="28"/>
        </w:rPr>
        <w:t>). Asimismo, esta corporación expresó que los empleadores incurren en una vulneración a las garantías a la seguridad social y al mínimo vital ante “</w:t>
      </w:r>
      <w:r w:rsidR="004B20AB" w:rsidRPr="00793402">
        <w:rPr>
          <w:i/>
          <w:iCs/>
          <w:color w:val="000000" w:themeColor="text1"/>
          <w:sz w:val="28"/>
          <w:szCs w:val="28"/>
        </w:rPr>
        <w:t>(…) la ausencia de acciones para la resolver sus solicitudes tendientes a la revisión y actualización de [la] historia laboral por parte de los fondos de pensiones</w:t>
      </w:r>
      <w:r w:rsidR="004B20AB" w:rsidRPr="00793402">
        <w:rPr>
          <w:color w:val="000000" w:themeColor="text1"/>
          <w:sz w:val="28"/>
          <w:szCs w:val="28"/>
        </w:rPr>
        <w:t>” (T-470 de 2019</w:t>
      </w:r>
      <w:r w:rsidR="004B20AB" w:rsidRPr="00793402">
        <w:rPr>
          <w:rStyle w:val="Refdenotaalpie"/>
          <w:color w:val="000000" w:themeColor="text1"/>
          <w:sz w:val="28"/>
          <w:szCs w:val="28"/>
        </w:rPr>
        <w:footnoteReference w:id="122"/>
      </w:r>
      <w:r w:rsidR="004B20AB" w:rsidRPr="00793402">
        <w:rPr>
          <w:color w:val="000000" w:themeColor="text1"/>
          <w:sz w:val="28"/>
          <w:szCs w:val="28"/>
        </w:rPr>
        <w:t>).</w:t>
      </w:r>
    </w:p>
    <w:p w14:paraId="540356EE" w14:textId="1F2ACD8B" w:rsidR="00D41062" w:rsidRPr="00793402" w:rsidRDefault="00D41062" w:rsidP="004B20AB">
      <w:pPr>
        <w:shd w:val="clear" w:color="auto" w:fill="FFFFFF"/>
        <w:jc w:val="both"/>
        <w:rPr>
          <w:color w:val="000000" w:themeColor="text1"/>
          <w:sz w:val="28"/>
          <w:szCs w:val="28"/>
        </w:rPr>
      </w:pPr>
    </w:p>
    <w:p w14:paraId="758EFFED" w14:textId="3EB7A797" w:rsidR="00D41062" w:rsidRPr="00793402" w:rsidRDefault="001E5C39" w:rsidP="00D41062">
      <w:pPr>
        <w:shd w:val="clear" w:color="auto" w:fill="FFFFFF"/>
        <w:jc w:val="both"/>
        <w:rPr>
          <w:color w:val="000000" w:themeColor="text1"/>
          <w:sz w:val="28"/>
          <w:szCs w:val="28"/>
        </w:rPr>
      </w:pPr>
      <w:r w:rsidRPr="00793402">
        <w:rPr>
          <w:color w:val="000000" w:themeColor="text1"/>
          <w:sz w:val="28"/>
          <w:szCs w:val="28"/>
        </w:rPr>
        <w:t>46.</w:t>
      </w:r>
      <w:r w:rsidR="00D41062" w:rsidRPr="00793402">
        <w:rPr>
          <w:color w:val="000000" w:themeColor="text1"/>
          <w:sz w:val="28"/>
          <w:szCs w:val="28"/>
        </w:rPr>
        <w:t>10. Por otro lado, el artículo 53 de la Ley 100 de 1993 dispone que, para asegurar el efectivo cumplimiento de las cotizaciones a pensión, las administradoras de pensiones pueden, entre otras:</w:t>
      </w:r>
    </w:p>
    <w:p w14:paraId="09FD2D86" w14:textId="77777777" w:rsidR="00D41062" w:rsidRPr="00793402" w:rsidRDefault="00D41062" w:rsidP="00D41062">
      <w:pPr>
        <w:shd w:val="clear" w:color="auto" w:fill="FFFFFF"/>
        <w:jc w:val="both"/>
        <w:rPr>
          <w:color w:val="000000" w:themeColor="text1"/>
          <w:sz w:val="28"/>
          <w:szCs w:val="28"/>
        </w:rPr>
      </w:pPr>
    </w:p>
    <w:p w14:paraId="50C81C0F" w14:textId="77777777" w:rsidR="00D41062" w:rsidRPr="00793402" w:rsidRDefault="00D41062" w:rsidP="0084679E">
      <w:pPr>
        <w:shd w:val="clear" w:color="auto" w:fill="FFFFFF"/>
        <w:ind w:left="567"/>
        <w:jc w:val="both"/>
        <w:rPr>
          <w:i/>
          <w:iCs/>
          <w:color w:val="000000" w:themeColor="text1"/>
          <w:sz w:val="28"/>
          <w:szCs w:val="28"/>
        </w:rPr>
      </w:pPr>
      <w:r w:rsidRPr="00793402">
        <w:rPr>
          <w:i/>
          <w:iCs/>
          <w:color w:val="000000" w:themeColor="text1"/>
          <w:sz w:val="28"/>
          <w:szCs w:val="28"/>
        </w:rPr>
        <w:t>“a. Verificar la exactitud de las cotizaciones y aportes u otros informes, cuando lo consideren necesario;</w:t>
      </w:r>
    </w:p>
    <w:p w14:paraId="27E95600" w14:textId="77777777" w:rsidR="00D41062" w:rsidRPr="00793402" w:rsidRDefault="00D41062" w:rsidP="0084679E">
      <w:pPr>
        <w:shd w:val="clear" w:color="auto" w:fill="FFFFFF"/>
        <w:ind w:left="567"/>
        <w:jc w:val="both"/>
        <w:rPr>
          <w:i/>
          <w:iCs/>
          <w:color w:val="000000" w:themeColor="text1"/>
          <w:sz w:val="28"/>
          <w:szCs w:val="28"/>
        </w:rPr>
      </w:pPr>
    </w:p>
    <w:p w14:paraId="3D94FCB7" w14:textId="77777777" w:rsidR="00D41062" w:rsidRPr="00793402" w:rsidRDefault="00D41062" w:rsidP="0084679E">
      <w:pPr>
        <w:shd w:val="clear" w:color="auto" w:fill="FFFFFF"/>
        <w:ind w:left="567"/>
        <w:jc w:val="both"/>
        <w:rPr>
          <w:i/>
          <w:iCs/>
          <w:color w:val="000000" w:themeColor="text1"/>
          <w:sz w:val="28"/>
          <w:szCs w:val="28"/>
        </w:rPr>
      </w:pPr>
      <w:r w:rsidRPr="00793402">
        <w:rPr>
          <w:i/>
          <w:iCs/>
          <w:color w:val="000000" w:themeColor="text1"/>
          <w:sz w:val="28"/>
          <w:szCs w:val="28"/>
        </w:rPr>
        <w:t>c. Citar o requerir a los empleadores o agentes retenedores de las cotizaciones al régimen, o a terceros, para que rindan informes;</w:t>
      </w:r>
    </w:p>
    <w:p w14:paraId="17AFD399" w14:textId="77777777" w:rsidR="00D41062" w:rsidRPr="00793402" w:rsidRDefault="00D41062" w:rsidP="0084679E">
      <w:pPr>
        <w:shd w:val="clear" w:color="auto" w:fill="FFFFFF"/>
        <w:ind w:left="567"/>
        <w:jc w:val="both"/>
        <w:rPr>
          <w:i/>
          <w:iCs/>
          <w:color w:val="000000" w:themeColor="text1"/>
          <w:sz w:val="28"/>
          <w:szCs w:val="28"/>
        </w:rPr>
      </w:pPr>
    </w:p>
    <w:p w14:paraId="4F554343" w14:textId="77777777" w:rsidR="00D41062" w:rsidRPr="00793402" w:rsidRDefault="00D41062" w:rsidP="0084679E">
      <w:pPr>
        <w:shd w:val="clear" w:color="auto" w:fill="FFFFFF"/>
        <w:ind w:left="567"/>
        <w:jc w:val="both"/>
        <w:rPr>
          <w:i/>
          <w:iCs/>
          <w:color w:val="000000" w:themeColor="text1"/>
          <w:sz w:val="28"/>
          <w:szCs w:val="28"/>
        </w:rPr>
      </w:pPr>
      <w:r w:rsidRPr="00793402">
        <w:rPr>
          <w:i/>
          <w:iCs/>
          <w:color w:val="000000" w:themeColor="text1"/>
          <w:sz w:val="28"/>
          <w:szCs w:val="28"/>
        </w:rPr>
        <w:t>d. Exigir a los empleadores o agentes retenedores de las cotizaciones al régimen, o a terceros, la presentación de documentos o registros de operaciones, cuando unos u otros estén obligados a llevar libros registrados;</w:t>
      </w:r>
    </w:p>
    <w:p w14:paraId="15024167" w14:textId="77777777" w:rsidR="00D41062" w:rsidRPr="00793402" w:rsidRDefault="00D41062" w:rsidP="0084679E">
      <w:pPr>
        <w:shd w:val="clear" w:color="auto" w:fill="FFFFFF"/>
        <w:ind w:left="567"/>
        <w:jc w:val="both"/>
        <w:rPr>
          <w:i/>
          <w:iCs/>
          <w:color w:val="000000" w:themeColor="text1"/>
          <w:sz w:val="28"/>
          <w:szCs w:val="28"/>
        </w:rPr>
      </w:pPr>
    </w:p>
    <w:p w14:paraId="02D04FA6" w14:textId="22D81FC0" w:rsidR="007D7057" w:rsidRPr="00793402" w:rsidRDefault="00D41062" w:rsidP="0084679E">
      <w:pPr>
        <w:shd w:val="clear" w:color="auto" w:fill="FFFFFF"/>
        <w:ind w:left="567"/>
        <w:jc w:val="both"/>
        <w:rPr>
          <w:i/>
          <w:iCs/>
          <w:color w:val="000000" w:themeColor="text1"/>
          <w:sz w:val="28"/>
          <w:szCs w:val="28"/>
          <w:lang w:eastAsia="es-CO"/>
        </w:rPr>
      </w:pPr>
      <w:r w:rsidRPr="00793402">
        <w:rPr>
          <w:i/>
          <w:iCs/>
          <w:color w:val="000000" w:themeColor="text1"/>
          <w:sz w:val="28"/>
          <w:szCs w:val="28"/>
        </w:rPr>
        <w:t>[…]”</w:t>
      </w:r>
    </w:p>
    <w:p w14:paraId="7EB3A4C4" w14:textId="77777777" w:rsidR="00C7718D" w:rsidRPr="00793402" w:rsidRDefault="00C7718D" w:rsidP="005F01FF">
      <w:pPr>
        <w:shd w:val="clear" w:color="auto" w:fill="FFFFFF"/>
        <w:jc w:val="both"/>
        <w:rPr>
          <w:b/>
          <w:bCs/>
          <w:color w:val="000000" w:themeColor="text1"/>
          <w:sz w:val="28"/>
          <w:szCs w:val="28"/>
          <w:lang w:eastAsia="es-CO"/>
        </w:rPr>
      </w:pPr>
    </w:p>
    <w:p w14:paraId="4980D386" w14:textId="600A1AD1" w:rsidR="00374619" w:rsidRPr="00793402" w:rsidRDefault="00374619" w:rsidP="005F01FF">
      <w:pPr>
        <w:shd w:val="clear" w:color="auto" w:fill="FFFFFF"/>
        <w:jc w:val="both"/>
        <w:rPr>
          <w:b/>
          <w:bCs/>
          <w:color w:val="000000" w:themeColor="text1"/>
          <w:sz w:val="28"/>
          <w:szCs w:val="28"/>
          <w:lang w:eastAsia="es-CO"/>
        </w:rPr>
      </w:pPr>
      <w:r w:rsidRPr="00793402">
        <w:rPr>
          <w:b/>
          <w:bCs/>
          <w:color w:val="000000" w:themeColor="text1"/>
          <w:sz w:val="28"/>
          <w:szCs w:val="28"/>
          <w:lang w:eastAsia="es-CO"/>
        </w:rPr>
        <w:t>Solución al caso concreto</w:t>
      </w:r>
    </w:p>
    <w:p w14:paraId="22964397" w14:textId="77777777" w:rsidR="00301869" w:rsidRPr="00793402" w:rsidRDefault="00301869" w:rsidP="00A11270">
      <w:pPr>
        <w:pStyle w:val="Prrafodelista"/>
        <w:shd w:val="clear" w:color="auto" w:fill="FFFFFF"/>
        <w:ind w:left="0"/>
        <w:jc w:val="both"/>
        <w:rPr>
          <w:color w:val="000000" w:themeColor="text1"/>
          <w:sz w:val="28"/>
          <w:szCs w:val="28"/>
          <w:lang w:eastAsia="es-CO"/>
        </w:rPr>
      </w:pPr>
    </w:p>
    <w:p w14:paraId="4A8343F2" w14:textId="293F285B" w:rsidR="00816BE1" w:rsidRPr="00793402" w:rsidRDefault="00D41062" w:rsidP="00816BE1">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816BE1" w:rsidRPr="00793402">
        <w:rPr>
          <w:color w:val="000000" w:themeColor="text1"/>
          <w:sz w:val="28"/>
          <w:szCs w:val="28"/>
        </w:rPr>
        <w:t>.</w:t>
      </w:r>
      <w:r w:rsidR="00301869" w:rsidRPr="00793402">
        <w:rPr>
          <w:color w:val="000000" w:themeColor="text1"/>
          <w:sz w:val="28"/>
          <w:szCs w:val="28"/>
        </w:rPr>
        <w:t xml:space="preserve"> </w:t>
      </w:r>
      <w:r w:rsidR="00AD2DF2" w:rsidRPr="00793402">
        <w:rPr>
          <w:color w:val="000000" w:themeColor="text1"/>
          <w:sz w:val="28"/>
          <w:szCs w:val="28"/>
        </w:rPr>
        <w:t>A continuación</w:t>
      </w:r>
      <w:r w:rsidR="00E002A5" w:rsidRPr="00793402">
        <w:rPr>
          <w:color w:val="000000" w:themeColor="text1"/>
          <w:sz w:val="28"/>
          <w:szCs w:val="28"/>
        </w:rPr>
        <w:t>,</w:t>
      </w:r>
      <w:r w:rsidR="004B4E55" w:rsidRPr="00793402">
        <w:rPr>
          <w:color w:val="000000" w:themeColor="text1"/>
          <w:sz w:val="28"/>
          <w:szCs w:val="28"/>
        </w:rPr>
        <w:t xml:space="preserve"> </w:t>
      </w:r>
      <w:r w:rsidR="00816BE1" w:rsidRPr="00793402">
        <w:rPr>
          <w:color w:val="000000" w:themeColor="text1"/>
          <w:sz w:val="28"/>
          <w:szCs w:val="28"/>
        </w:rPr>
        <w:t xml:space="preserve">la Sala realizará el estudio del caso concreto. Para tal efecto, en primer lugar, verificará los hechos que están debidamente probados y, posteriormente, establecerá si las entidades </w:t>
      </w:r>
      <w:r w:rsidR="00DD295A" w:rsidRPr="00793402">
        <w:rPr>
          <w:color w:val="000000" w:themeColor="text1"/>
          <w:sz w:val="28"/>
          <w:szCs w:val="28"/>
        </w:rPr>
        <w:t>accionadas</w:t>
      </w:r>
      <w:r w:rsidR="00816BE1" w:rsidRPr="00793402">
        <w:rPr>
          <w:color w:val="000000" w:themeColor="text1"/>
          <w:sz w:val="28"/>
          <w:szCs w:val="28"/>
        </w:rPr>
        <w:t xml:space="preserve"> vulneraron los derechos invocados por la actora. Dentro del trámite están probados los siguientes hechos</w:t>
      </w:r>
      <w:r w:rsidR="008059F4" w:rsidRPr="00793402">
        <w:rPr>
          <w:color w:val="000000" w:themeColor="text1"/>
          <w:sz w:val="28"/>
          <w:szCs w:val="28"/>
        </w:rPr>
        <w:t xml:space="preserve"> relevantes</w:t>
      </w:r>
      <w:r w:rsidR="00816BE1" w:rsidRPr="00793402">
        <w:rPr>
          <w:color w:val="000000" w:themeColor="text1"/>
          <w:sz w:val="28"/>
          <w:szCs w:val="28"/>
        </w:rPr>
        <w:t>:</w:t>
      </w:r>
    </w:p>
    <w:p w14:paraId="093530A3" w14:textId="77777777" w:rsidR="006779BA" w:rsidRPr="00793402" w:rsidRDefault="006779BA" w:rsidP="00816BE1">
      <w:pPr>
        <w:shd w:val="clear" w:color="auto" w:fill="FFFFFF"/>
        <w:jc w:val="both"/>
        <w:rPr>
          <w:color w:val="000000" w:themeColor="text1"/>
          <w:sz w:val="28"/>
          <w:szCs w:val="28"/>
        </w:rPr>
      </w:pPr>
    </w:p>
    <w:p w14:paraId="080BB359" w14:textId="7FC932D0" w:rsidR="006779BA" w:rsidRPr="00793402" w:rsidRDefault="00D41062" w:rsidP="006779BA">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6779BA" w:rsidRPr="00793402">
        <w:rPr>
          <w:color w:val="000000" w:themeColor="text1"/>
          <w:sz w:val="28"/>
          <w:szCs w:val="28"/>
        </w:rPr>
        <w:t>.</w:t>
      </w:r>
      <w:r w:rsidR="003F1F6C" w:rsidRPr="00793402">
        <w:rPr>
          <w:color w:val="000000" w:themeColor="text1"/>
          <w:sz w:val="28"/>
          <w:szCs w:val="28"/>
        </w:rPr>
        <w:t>1</w:t>
      </w:r>
      <w:r w:rsidR="006779BA" w:rsidRPr="00793402">
        <w:rPr>
          <w:color w:val="000000" w:themeColor="text1"/>
          <w:sz w:val="28"/>
          <w:szCs w:val="28"/>
        </w:rPr>
        <w:t xml:space="preserve">. </w:t>
      </w:r>
      <w:r w:rsidR="00DD295A" w:rsidRPr="00793402">
        <w:rPr>
          <w:color w:val="000000" w:themeColor="text1"/>
          <w:sz w:val="28"/>
          <w:szCs w:val="28"/>
        </w:rPr>
        <w:t>Entre el 15 de mayo de 1998 y el 15 de marzo de 2022, l</w:t>
      </w:r>
      <w:r w:rsidR="0041494F" w:rsidRPr="00793402">
        <w:rPr>
          <w:color w:val="000000" w:themeColor="text1"/>
          <w:sz w:val="28"/>
          <w:szCs w:val="28"/>
        </w:rPr>
        <w:t xml:space="preserve">a demandante </w:t>
      </w:r>
      <w:r w:rsidR="00DD295A" w:rsidRPr="00793402">
        <w:rPr>
          <w:color w:val="000000" w:themeColor="text1"/>
          <w:sz w:val="28"/>
          <w:szCs w:val="28"/>
        </w:rPr>
        <w:t>se desempeñó en el cargo de auxiliar de servicios generales de</w:t>
      </w:r>
      <w:r w:rsidR="0041494F" w:rsidRPr="00793402">
        <w:rPr>
          <w:color w:val="000000" w:themeColor="text1"/>
          <w:sz w:val="28"/>
          <w:szCs w:val="28"/>
        </w:rPr>
        <w:t xml:space="preserve"> la SED</w:t>
      </w:r>
      <w:r w:rsidR="0041494F" w:rsidRPr="00793402">
        <w:rPr>
          <w:rStyle w:val="Refdenotaalpie"/>
          <w:color w:val="000000" w:themeColor="text1"/>
          <w:sz w:val="28"/>
          <w:szCs w:val="28"/>
        </w:rPr>
        <w:footnoteReference w:id="123"/>
      </w:r>
      <w:r w:rsidR="0041494F" w:rsidRPr="00793402">
        <w:rPr>
          <w:color w:val="000000" w:themeColor="text1"/>
          <w:sz w:val="28"/>
          <w:szCs w:val="28"/>
        </w:rPr>
        <w:t>.</w:t>
      </w:r>
      <w:r w:rsidR="00DD295A" w:rsidRPr="00793402">
        <w:rPr>
          <w:color w:val="000000" w:themeColor="text1"/>
          <w:sz w:val="28"/>
          <w:szCs w:val="28"/>
        </w:rPr>
        <w:t xml:space="preserve"> El vínculo </w:t>
      </w:r>
      <w:r w:rsidRPr="00793402">
        <w:rPr>
          <w:color w:val="000000" w:themeColor="text1"/>
          <w:sz w:val="28"/>
          <w:szCs w:val="28"/>
        </w:rPr>
        <w:t xml:space="preserve">con esa entidad </w:t>
      </w:r>
      <w:r w:rsidR="00DD295A" w:rsidRPr="00793402">
        <w:rPr>
          <w:color w:val="000000" w:themeColor="text1"/>
          <w:sz w:val="28"/>
          <w:szCs w:val="28"/>
        </w:rPr>
        <w:t>se dio a través de nombramiento en provisionalidad.</w:t>
      </w:r>
    </w:p>
    <w:p w14:paraId="76997F2D" w14:textId="77777777" w:rsidR="006779BA" w:rsidRPr="00793402" w:rsidRDefault="006779BA" w:rsidP="006779BA">
      <w:pPr>
        <w:shd w:val="clear" w:color="auto" w:fill="FFFFFF"/>
        <w:jc w:val="both"/>
        <w:rPr>
          <w:color w:val="000000" w:themeColor="text1"/>
          <w:sz w:val="28"/>
          <w:szCs w:val="28"/>
        </w:rPr>
      </w:pPr>
    </w:p>
    <w:p w14:paraId="388B414D" w14:textId="02826F7D" w:rsidR="006779BA" w:rsidRPr="00793402" w:rsidRDefault="00D41062" w:rsidP="006779BA">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6779BA" w:rsidRPr="00793402">
        <w:rPr>
          <w:color w:val="000000" w:themeColor="text1"/>
          <w:sz w:val="28"/>
          <w:szCs w:val="28"/>
        </w:rPr>
        <w:t xml:space="preserve">.2. El 14 de mayo de 2019, </w:t>
      </w:r>
      <w:r w:rsidR="00DD295A" w:rsidRPr="00793402">
        <w:rPr>
          <w:color w:val="000000" w:themeColor="text1"/>
          <w:sz w:val="28"/>
          <w:szCs w:val="28"/>
        </w:rPr>
        <w:t>l</w:t>
      </w:r>
      <w:r w:rsidR="006779BA" w:rsidRPr="00793402">
        <w:rPr>
          <w:color w:val="000000" w:themeColor="text1"/>
          <w:sz w:val="28"/>
          <w:szCs w:val="28"/>
        </w:rPr>
        <w:t xml:space="preserve">a CNSC convocó </w:t>
      </w:r>
      <w:r w:rsidR="00B13D14" w:rsidRPr="00793402">
        <w:rPr>
          <w:color w:val="000000" w:themeColor="text1"/>
          <w:sz w:val="28"/>
          <w:szCs w:val="28"/>
        </w:rPr>
        <w:t xml:space="preserve">el </w:t>
      </w:r>
      <w:r w:rsidR="00753F5E" w:rsidRPr="00793402">
        <w:rPr>
          <w:color w:val="000000" w:themeColor="text1"/>
          <w:sz w:val="28"/>
          <w:szCs w:val="28"/>
        </w:rPr>
        <w:t>c</w:t>
      </w:r>
      <w:r w:rsidR="00DD295A" w:rsidRPr="00793402">
        <w:rPr>
          <w:color w:val="000000" w:themeColor="text1"/>
          <w:sz w:val="28"/>
          <w:szCs w:val="28"/>
        </w:rPr>
        <w:t xml:space="preserve">oncurso de </w:t>
      </w:r>
      <w:r w:rsidR="00753F5E" w:rsidRPr="00793402">
        <w:rPr>
          <w:color w:val="000000" w:themeColor="text1"/>
          <w:sz w:val="28"/>
          <w:szCs w:val="28"/>
        </w:rPr>
        <w:t>m</w:t>
      </w:r>
      <w:r w:rsidR="00DD295A" w:rsidRPr="00793402">
        <w:rPr>
          <w:color w:val="000000" w:themeColor="text1"/>
          <w:sz w:val="28"/>
          <w:szCs w:val="28"/>
        </w:rPr>
        <w:t>éritos</w:t>
      </w:r>
      <w:r w:rsidR="006779BA" w:rsidRPr="00793402">
        <w:rPr>
          <w:color w:val="000000" w:themeColor="text1"/>
          <w:sz w:val="28"/>
          <w:szCs w:val="28"/>
        </w:rPr>
        <w:t xml:space="preserve"> para proveer definitivamente los empleos vacantes de la Gobernación de Putumayo</w:t>
      </w:r>
      <w:r w:rsidR="006779BA" w:rsidRPr="00793402">
        <w:rPr>
          <w:rStyle w:val="Refdenotaalpie"/>
          <w:color w:val="000000" w:themeColor="text1"/>
          <w:sz w:val="28"/>
          <w:szCs w:val="28"/>
        </w:rPr>
        <w:footnoteReference w:id="124"/>
      </w:r>
      <w:r w:rsidR="006779BA" w:rsidRPr="00793402">
        <w:rPr>
          <w:color w:val="000000" w:themeColor="text1"/>
          <w:sz w:val="28"/>
          <w:szCs w:val="28"/>
        </w:rPr>
        <w:t>. Entre ellos, ofertó el cargo de auxiliar de servicios generales código 470 que desempeñaba la accionante</w:t>
      </w:r>
      <w:r w:rsidR="006779BA" w:rsidRPr="00793402">
        <w:rPr>
          <w:rStyle w:val="Refdenotaalpie"/>
          <w:color w:val="000000" w:themeColor="text1"/>
          <w:sz w:val="28"/>
          <w:szCs w:val="28"/>
        </w:rPr>
        <w:footnoteReference w:id="125"/>
      </w:r>
      <w:r w:rsidR="006779BA" w:rsidRPr="00793402">
        <w:rPr>
          <w:color w:val="000000" w:themeColor="text1"/>
          <w:sz w:val="28"/>
          <w:szCs w:val="28"/>
        </w:rPr>
        <w:t>.</w:t>
      </w:r>
    </w:p>
    <w:p w14:paraId="5154F127" w14:textId="77777777" w:rsidR="006779BA" w:rsidRPr="00793402" w:rsidRDefault="006779BA" w:rsidP="006779BA">
      <w:pPr>
        <w:shd w:val="clear" w:color="auto" w:fill="FFFFFF"/>
        <w:jc w:val="both"/>
        <w:rPr>
          <w:color w:val="000000" w:themeColor="text1"/>
          <w:sz w:val="28"/>
          <w:szCs w:val="28"/>
        </w:rPr>
      </w:pPr>
      <w:r w:rsidRPr="00793402">
        <w:rPr>
          <w:color w:val="000000" w:themeColor="text1"/>
          <w:sz w:val="28"/>
          <w:szCs w:val="28"/>
        </w:rPr>
        <w:t xml:space="preserve"> </w:t>
      </w:r>
    </w:p>
    <w:p w14:paraId="42B43843" w14:textId="33054D44" w:rsidR="006779BA" w:rsidRPr="00793402" w:rsidRDefault="00D41062" w:rsidP="006779BA">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6779BA" w:rsidRPr="00793402">
        <w:rPr>
          <w:color w:val="000000" w:themeColor="text1"/>
          <w:sz w:val="28"/>
          <w:szCs w:val="28"/>
        </w:rPr>
        <w:t xml:space="preserve">.3. El 6 de enero de 2022, la SED </w:t>
      </w:r>
      <w:r w:rsidR="0041494F" w:rsidRPr="00793402">
        <w:rPr>
          <w:color w:val="000000" w:themeColor="text1"/>
          <w:sz w:val="28"/>
          <w:szCs w:val="28"/>
        </w:rPr>
        <w:t xml:space="preserve">le </w:t>
      </w:r>
      <w:r w:rsidR="006779BA" w:rsidRPr="00793402">
        <w:rPr>
          <w:color w:val="000000" w:themeColor="text1"/>
          <w:sz w:val="28"/>
          <w:szCs w:val="28"/>
        </w:rPr>
        <w:t xml:space="preserve">manifestó </w:t>
      </w:r>
      <w:r w:rsidR="00DD295A" w:rsidRPr="00793402">
        <w:rPr>
          <w:color w:val="000000" w:themeColor="text1"/>
          <w:sz w:val="28"/>
          <w:szCs w:val="28"/>
        </w:rPr>
        <w:t xml:space="preserve">a la accionante </w:t>
      </w:r>
      <w:r w:rsidR="006779BA" w:rsidRPr="00793402">
        <w:rPr>
          <w:color w:val="000000" w:themeColor="text1"/>
          <w:sz w:val="28"/>
          <w:szCs w:val="28"/>
        </w:rPr>
        <w:t xml:space="preserve">que garantizaría su continuidad laboral </w:t>
      </w:r>
      <w:r w:rsidR="006779BA" w:rsidRPr="00793402">
        <w:rPr>
          <w:i/>
          <w:iCs/>
          <w:color w:val="000000" w:themeColor="text1"/>
          <w:sz w:val="28"/>
          <w:szCs w:val="28"/>
        </w:rPr>
        <w:t xml:space="preserve">“con el fin que no se vea vulnerado el status de </w:t>
      </w:r>
      <w:proofErr w:type="spellStart"/>
      <w:r w:rsidR="006779BA" w:rsidRPr="00793402">
        <w:rPr>
          <w:i/>
          <w:iCs/>
          <w:color w:val="000000" w:themeColor="text1"/>
          <w:sz w:val="28"/>
          <w:szCs w:val="28"/>
        </w:rPr>
        <w:t>prepensionada</w:t>
      </w:r>
      <w:proofErr w:type="spellEnd"/>
      <w:r w:rsidR="006779BA" w:rsidRPr="00793402">
        <w:rPr>
          <w:i/>
          <w:iCs/>
          <w:color w:val="000000" w:themeColor="text1"/>
          <w:sz w:val="28"/>
          <w:szCs w:val="28"/>
        </w:rPr>
        <w:t>”</w:t>
      </w:r>
      <w:r w:rsidR="006779BA" w:rsidRPr="00793402">
        <w:rPr>
          <w:rStyle w:val="Refdenotaalpie"/>
          <w:i/>
          <w:iCs/>
          <w:color w:val="000000" w:themeColor="text1"/>
          <w:sz w:val="28"/>
          <w:szCs w:val="28"/>
        </w:rPr>
        <w:footnoteReference w:id="126"/>
      </w:r>
      <w:r w:rsidR="006779BA" w:rsidRPr="00793402">
        <w:rPr>
          <w:i/>
          <w:iCs/>
          <w:color w:val="000000" w:themeColor="text1"/>
          <w:sz w:val="28"/>
          <w:szCs w:val="28"/>
        </w:rPr>
        <w:t xml:space="preserve">. </w:t>
      </w:r>
      <w:r w:rsidR="006779BA" w:rsidRPr="00793402">
        <w:rPr>
          <w:color w:val="000000" w:themeColor="text1"/>
          <w:sz w:val="28"/>
          <w:szCs w:val="28"/>
        </w:rPr>
        <w:t xml:space="preserve">Lo expuesto, porque encontró que la actora </w:t>
      </w:r>
      <w:r w:rsidR="00DD295A" w:rsidRPr="00793402">
        <w:rPr>
          <w:color w:val="000000" w:themeColor="text1"/>
          <w:sz w:val="28"/>
          <w:szCs w:val="28"/>
        </w:rPr>
        <w:t>laboró</w:t>
      </w:r>
      <w:r w:rsidR="006779BA" w:rsidRPr="00793402">
        <w:rPr>
          <w:color w:val="000000" w:themeColor="text1"/>
          <w:sz w:val="28"/>
          <w:szCs w:val="28"/>
        </w:rPr>
        <w:t xml:space="preserve"> durante 23 años con la entidad, lo que equivale a aproximadamente </w:t>
      </w:r>
      <w:r w:rsidR="00EE6446" w:rsidRPr="00793402">
        <w:rPr>
          <w:color w:val="000000" w:themeColor="text1"/>
          <w:sz w:val="28"/>
          <w:szCs w:val="28"/>
        </w:rPr>
        <w:t xml:space="preserve">a </w:t>
      </w:r>
      <w:r w:rsidR="006779BA" w:rsidRPr="00793402">
        <w:rPr>
          <w:color w:val="000000" w:themeColor="text1"/>
          <w:sz w:val="28"/>
          <w:szCs w:val="28"/>
        </w:rPr>
        <w:t>1196 semanas cotizadas a pensión.</w:t>
      </w:r>
    </w:p>
    <w:p w14:paraId="16DF4D0A" w14:textId="77777777" w:rsidR="006779BA" w:rsidRPr="00793402" w:rsidRDefault="006779BA" w:rsidP="006779BA">
      <w:pPr>
        <w:shd w:val="clear" w:color="auto" w:fill="FFFFFF"/>
        <w:jc w:val="both"/>
        <w:rPr>
          <w:color w:val="000000" w:themeColor="text1"/>
          <w:sz w:val="28"/>
          <w:szCs w:val="28"/>
        </w:rPr>
      </w:pPr>
    </w:p>
    <w:p w14:paraId="0F9B454A" w14:textId="45E58C5F" w:rsidR="006779BA" w:rsidRPr="00793402" w:rsidRDefault="00D41062" w:rsidP="006779BA">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6779BA" w:rsidRPr="00793402">
        <w:rPr>
          <w:color w:val="000000" w:themeColor="text1"/>
          <w:sz w:val="28"/>
          <w:szCs w:val="28"/>
        </w:rPr>
        <w:t>.</w:t>
      </w:r>
      <w:r w:rsidR="009A31B0" w:rsidRPr="00793402">
        <w:rPr>
          <w:color w:val="000000" w:themeColor="text1"/>
          <w:sz w:val="28"/>
          <w:szCs w:val="28"/>
        </w:rPr>
        <w:t>4</w:t>
      </w:r>
      <w:r w:rsidR="006779BA" w:rsidRPr="00793402">
        <w:rPr>
          <w:color w:val="000000" w:themeColor="text1"/>
          <w:sz w:val="28"/>
          <w:szCs w:val="28"/>
        </w:rPr>
        <w:t xml:space="preserve"> Mediante Resolución No. 1224 del 24 de febrero de 2022, la SED </w:t>
      </w:r>
      <w:r w:rsidRPr="00793402">
        <w:rPr>
          <w:color w:val="000000" w:themeColor="text1"/>
          <w:sz w:val="28"/>
          <w:szCs w:val="28"/>
        </w:rPr>
        <w:t>desvinculó a</w:t>
      </w:r>
      <w:r w:rsidR="006779BA" w:rsidRPr="00793402">
        <w:rPr>
          <w:color w:val="000000" w:themeColor="text1"/>
          <w:sz w:val="28"/>
          <w:szCs w:val="28"/>
        </w:rPr>
        <w:t xml:space="preserve"> la actora a partir del 15 de marzo siguiente. </w:t>
      </w:r>
      <w:r w:rsidR="00DD295A" w:rsidRPr="00793402">
        <w:rPr>
          <w:color w:val="000000" w:themeColor="text1"/>
          <w:sz w:val="28"/>
          <w:szCs w:val="28"/>
        </w:rPr>
        <w:t xml:space="preserve">Lo anterior, con el propósito de nombrar en el mismo cargo </w:t>
      </w:r>
      <w:r w:rsidR="006779BA" w:rsidRPr="00793402">
        <w:rPr>
          <w:color w:val="000000" w:themeColor="text1"/>
          <w:sz w:val="28"/>
          <w:szCs w:val="28"/>
        </w:rPr>
        <w:t xml:space="preserve">a la señora </w:t>
      </w:r>
      <w:proofErr w:type="spellStart"/>
      <w:r w:rsidR="006779BA" w:rsidRPr="00793402">
        <w:rPr>
          <w:color w:val="000000" w:themeColor="text1"/>
          <w:sz w:val="28"/>
          <w:szCs w:val="28"/>
        </w:rPr>
        <w:t>Ingri</w:t>
      </w:r>
      <w:proofErr w:type="spellEnd"/>
      <w:r w:rsidR="006779BA" w:rsidRPr="00793402">
        <w:rPr>
          <w:color w:val="000000" w:themeColor="text1"/>
          <w:sz w:val="28"/>
          <w:szCs w:val="28"/>
        </w:rPr>
        <w:t xml:space="preserve"> Paola Cortés Ortiz</w:t>
      </w:r>
      <w:r w:rsidR="00DD295A" w:rsidRPr="00793402">
        <w:rPr>
          <w:color w:val="000000" w:themeColor="text1"/>
          <w:sz w:val="28"/>
          <w:szCs w:val="28"/>
        </w:rPr>
        <w:t>, quien</w:t>
      </w:r>
      <w:r w:rsidR="006779BA" w:rsidRPr="00793402">
        <w:rPr>
          <w:color w:val="000000" w:themeColor="text1"/>
          <w:sz w:val="28"/>
          <w:szCs w:val="28"/>
        </w:rPr>
        <w:t xml:space="preserve"> hacía parte de la lista de elegibles p</w:t>
      </w:r>
      <w:r w:rsidR="00DD295A" w:rsidRPr="00793402">
        <w:rPr>
          <w:color w:val="000000" w:themeColor="text1"/>
          <w:sz w:val="28"/>
          <w:szCs w:val="28"/>
        </w:rPr>
        <w:t>rovista por el concurso público de méritos p</w:t>
      </w:r>
      <w:r w:rsidR="006779BA" w:rsidRPr="00793402">
        <w:rPr>
          <w:color w:val="000000" w:themeColor="text1"/>
          <w:sz w:val="28"/>
          <w:szCs w:val="28"/>
        </w:rPr>
        <w:t>ara ocupar dicho empleo</w:t>
      </w:r>
      <w:r w:rsidR="006779BA" w:rsidRPr="00793402">
        <w:rPr>
          <w:rStyle w:val="Refdenotaalpie"/>
          <w:color w:val="000000" w:themeColor="text1"/>
          <w:sz w:val="28"/>
          <w:szCs w:val="28"/>
        </w:rPr>
        <w:footnoteReference w:id="127"/>
      </w:r>
      <w:r w:rsidR="006779BA" w:rsidRPr="00793402">
        <w:rPr>
          <w:color w:val="000000" w:themeColor="text1"/>
          <w:sz w:val="28"/>
          <w:szCs w:val="28"/>
        </w:rPr>
        <w:t>.</w:t>
      </w:r>
    </w:p>
    <w:p w14:paraId="52BDD464" w14:textId="77777777" w:rsidR="006779BA" w:rsidRPr="00793402" w:rsidRDefault="006779BA" w:rsidP="006779BA">
      <w:pPr>
        <w:shd w:val="clear" w:color="auto" w:fill="FFFFFF"/>
        <w:jc w:val="both"/>
        <w:rPr>
          <w:color w:val="000000" w:themeColor="text1"/>
          <w:sz w:val="28"/>
          <w:szCs w:val="28"/>
        </w:rPr>
      </w:pPr>
    </w:p>
    <w:p w14:paraId="1B5A310E" w14:textId="38D09C58" w:rsidR="00DD295A" w:rsidRPr="00793402" w:rsidRDefault="00D41062" w:rsidP="006779BA">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Pr="00793402">
        <w:rPr>
          <w:color w:val="000000" w:themeColor="text1"/>
          <w:sz w:val="28"/>
          <w:szCs w:val="28"/>
        </w:rPr>
        <w:t>.5</w:t>
      </w:r>
      <w:r w:rsidR="006779BA" w:rsidRPr="00793402">
        <w:rPr>
          <w:color w:val="000000" w:themeColor="text1"/>
          <w:sz w:val="28"/>
          <w:szCs w:val="28"/>
        </w:rPr>
        <w:t xml:space="preserve">. </w:t>
      </w:r>
      <w:r w:rsidR="003C6333" w:rsidRPr="00793402">
        <w:rPr>
          <w:color w:val="000000" w:themeColor="text1"/>
          <w:sz w:val="28"/>
          <w:szCs w:val="28"/>
        </w:rPr>
        <w:t>Al momento de ser desvinculada de su empleo, la actora tenía 59 años</w:t>
      </w:r>
      <w:r w:rsidR="003C6333" w:rsidRPr="00793402">
        <w:rPr>
          <w:rStyle w:val="Refdenotaalpie"/>
          <w:color w:val="000000" w:themeColor="text1"/>
          <w:sz w:val="28"/>
          <w:szCs w:val="28"/>
          <w:lang w:eastAsia="es-CO"/>
        </w:rPr>
        <w:t xml:space="preserve"> </w:t>
      </w:r>
      <w:r w:rsidR="0041494F" w:rsidRPr="00793402">
        <w:rPr>
          <w:rStyle w:val="Refdenotaalpie"/>
          <w:color w:val="000000" w:themeColor="text1"/>
          <w:sz w:val="28"/>
          <w:szCs w:val="28"/>
          <w:lang w:eastAsia="es-CO"/>
        </w:rPr>
        <w:footnoteReference w:id="128"/>
      </w:r>
      <w:r w:rsidR="0041494F" w:rsidRPr="00793402">
        <w:rPr>
          <w:color w:val="000000" w:themeColor="text1"/>
          <w:sz w:val="28"/>
          <w:szCs w:val="28"/>
        </w:rPr>
        <w:t>.</w:t>
      </w:r>
    </w:p>
    <w:p w14:paraId="43267FB2" w14:textId="77777777" w:rsidR="00DD295A" w:rsidRPr="00793402" w:rsidRDefault="00DD295A" w:rsidP="006779BA">
      <w:pPr>
        <w:shd w:val="clear" w:color="auto" w:fill="FFFFFF"/>
        <w:jc w:val="both"/>
        <w:rPr>
          <w:color w:val="000000" w:themeColor="text1"/>
          <w:sz w:val="28"/>
          <w:szCs w:val="28"/>
        </w:rPr>
      </w:pPr>
    </w:p>
    <w:p w14:paraId="53F6FD3A" w14:textId="60B0C89D" w:rsidR="00DD295A" w:rsidRPr="00793402" w:rsidRDefault="00D41062" w:rsidP="006779BA">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DD295A" w:rsidRPr="00793402">
        <w:rPr>
          <w:color w:val="000000" w:themeColor="text1"/>
          <w:sz w:val="28"/>
          <w:szCs w:val="28"/>
        </w:rPr>
        <w:t>.6. S</w:t>
      </w:r>
      <w:r w:rsidR="006779BA" w:rsidRPr="00793402">
        <w:rPr>
          <w:color w:val="000000" w:themeColor="text1"/>
          <w:sz w:val="28"/>
          <w:szCs w:val="28"/>
        </w:rPr>
        <w:t>egún la CETIL</w:t>
      </w:r>
      <w:r w:rsidR="0041494F" w:rsidRPr="00793402">
        <w:rPr>
          <w:color w:val="000000" w:themeColor="text1"/>
          <w:sz w:val="28"/>
          <w:szCs w:val="28"/>
        </w:rPr>
        <w:t xml:space="preserve">, </w:t>
      </w:r>
      <w:r w:rsidR="006779BA" w:rsidRPr="00793402">
        <w:rPr>
          <w:color w:val="000000" w:themeColor="text1"/>
          <w:sz w:val="28"/>
          <w:szCs w:val="28"/>
        </w:rPr>
        <w:t xml:space="preserve">entre el 15 de mayo de 1998 y el 30 de junio de 2009, </w:t>
      </w:r>
      <w:r w:rsidR="00DD295A" w:rsidRPr="00793402">
        <w:rPr>
          <w:color w:val="000000" w:themeColor="text1"/>
          <w:sz w:val="28"/>
          <w:szCs w:val="28"/>
        </w:rPr>
        <w:t xml:space="preserve">la tutelante </w:t>
      </w:r>
      <w:r w:rsidR="006779BA" w:rsidRPr="00793402">
        <w:rPr>
          <w:color w:val="000000" w:themeColor="text1"/>
          <w:sz w:val="28"/>
          <w:szCs w:val="28"/>
        </w:rPr>
        <w:t xml:space="preserve">cotizó a </w:t>
      </w:r>
      <w:r w:rsidR="00DD295A" w:rsidRPr="00793402">
        <w:rPr>
          <w:color w:val="000000" w:themeColor="text1"/>
          <w:sz w:val="28"/>
          <w:szCs w:val="28"/>
        </w:rPr>
        <w:t xml:space="preserve">pensión a </w:t>
      </w:r>
      <w:r w:rsidR="006779BA" w:rsidRPr="00793402">
        <w:rPr>
          <w:color w:val="000000" w:themeColor="text1"/>
          <w:sz w:val="28"/>
          <w:szCs w:val="28"/>
        </w:rPr>
        <w:t>la Caja Nacional de Previsión (C</w:t>
      </w:r>
      <w:r w:rsidR="00AF701C" w:rsidRPr="00793402">
        <w:rPr>
          <w:color w:val="000000" w:themeColor="text1"/>
          <w:sz w:val="28"/>
          <w:szCs w:val="28"/>
        </w:rPr>
        <w:t>AJANAL</w:t>
      </w:r>
      <w:r w:rsidR="006779BA" w:rsidRPr="00793402">
        <w:rPr>
          <w:color w:val="000000" w:themeColor="text1"/>
          <w:sz w:val="28"/>
          <w:szCs w:val="28"/>
        </w:rPr>
        <w:t>); y entre el 1</w:t>
      </w:r>
      <w:r w:rsidRPr="00793402">
        <w:rPr>
          <w:color w:val="000000" w:themeColor="text1"/>
          <w:sz w:val="28"/>
          <w:szCs w:val="28"/>
        </w:rPr>
        <w:t>°</w:t>
      </w:r>
      <w:r w:rsidR="006779BA" w:rsidRPr="00793402">
        <w:rPr>
          <w:color w:val="000000" w:themeColor="text1"/>
          <w:sz w:val="28"/>
          <w:szCs w:val="28"/>
        </w:rPr>
        <w:t xml:space="preserve"> de julio de 2009 y el 1</w:t>
      </w:r>
      <w:r w:rsidR="00B13D14" w:rsidRPr="00793402">
        <w:rPr>
          <w:color w:val="000000" w:themeColor="text1"/>
          <w:sz w:val="28"/>
          <w:szCs w:val="28"/>
        </w:rPr>
        <w:t>5</w:t>
      </w:r>
      <w:r w:rsidR="006779BA" w:rsidRPr="00793402">
        <w:rPr>
          <w:color w:val="000000" w:themeColor="text1"/>
          <w:sz w:val="28"/>
          <w:szCs w:val="28"/>
        </w:rPr>
        <w:t xml:space="preserve"> de marzo de 2022, a </w:t>
      </w:r>
      <w:r w:rsidR="00940AF8" w:rsidRPr="00793402">
        <w:rPr>
          <w:color w:val="000000" w:themeColor="text1"/>
          <w:sz w:val="28"/>
          <w:szCs w:val="28"/>
        </w:rPr>
        <w:t>C</w:t>
      </w:r>
      <w:r w:rsidR="00AF701C" w:rsidRPr="00793402">
        <w:rPr>
          <w:color w:val="000000" w:themeColor="text1"/>
          <w:sz w:val="28"/>
          <w:szCs w:val="28"/>
        </w:rPr>
        <w:t>OLPENSIONES</w:t>
      </w:r>
      <w:r w:rsidR="00940AF8" w:rsidRPr="00793402">
        <w:rPr>
          <w:rStyle w:val="Refdenotaalpie"/>
          <w:color w:val="000000" w:themeColor="text1"/>
          <w:sz w:val="28"/>
          <w:szCs w:val="28"/>
        </w:rPr>
        <w:t xml:space="preserve"> </w:t>
      </w:r>
      <w:r w:rsidR="006779BA" w:rsidRPr="00793402">
        <w:rPr>
          <w:rStyle w:val="Refdenotaalpie"/>
          <w:color w:val="000000" w:themeColor="text1"/>
          <w:sz w:val="28"/>
          <w:szCs w:val="28"/>
        </w:rPr>
        <w:footnoteReference w:id="129"/>
      </w:r>
      <w:r w:rsidR="006779BA" w:rsidRPr="00793402">
        <w:rPr>
          <w:color w:val="000000" w:themeColor="text1"/>
          <w:sz w:val="28"/>
          <w:szCs w:val="28"/>
        </w:rPr>
        <w:t>.</w:t>
      </w:r>
    </w:p>
    <w:p w14:paraId="2E3CF76B" w14:textId="77777777" w:rsidR="00DD295A" w:rsidRPr="00793402" w:rsidRDefault="00DD295A" w:rsidP="006779BA">
      <w:pPr>
        <w:shd w:val="clear" w:color="auto" w:fill="FFFFFF"/>
        <w:jc w:val="both"/>
        <w:rPr>
          <w:color w:val="000000" w:themeColor="text1"/>
          <w:sz w:val="28"/>
          <w:szCs w:val="28"/>
        </w:rPr>
      </w:pPr>
    </w:p>
    <w:p w14:paraId="260B6E80" w14:textId="179C140B" w:rsidR="006779BA" w:rsidRPr="00793402" w:rsidRDefault="00D41062" w:rsidP="00B87BDD">
      <w:pPr>
        <w:shd w:val="clear" w:color="auto" w:fill="FFFFFF"/>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7</w:t>
      </w:r>
      <w:r w:rsidR="00DD295A" w:rsidRPr="00793402">
        <w:rPr>
          <w:color w:val="000000" w:themeColor="text1"/>
          <w:sz w:val="28"/>
          <w:szCs w:val="28"/>
        </w:rPr>
        <w:t>.7. E</w:t>
      </w:r>
      <w:r w:rsidR="006779BA" w:rsidRPr="00793402">
        <w:rPr>
          <w:color w:val="000000" w:themeColor="text1"/>
          <w:sz w:val="28"/>
          <w:szCs w:val="28"/>
        </w:rPr>
        <w:t xml:space="preserve">l historial laboral </w:t>
      </w:r>
      <w:r w:rsidRPr="00793402">
        <w:rPr>
          <w:color w:val="000000" w:themeColor="text1"/>
          <w:sz w:val="28"/>
          <w:szCs w:val="28"/>
        </w:rPr>
        <w:t>informado</w:t>
      </w:r>
      <w:r w:rsidR="0041494F" w:rsidRPr="00793402">
        <w:rPr>
          <w:color w:val="000000" w:themeColor="text1"/>
          <w:sz w:val="28"/>
          <w:szCs w:val="28"/>
        </w:rPr>
        <w:t xml:space="preserve"> por </w:t>
      </w:r>
      <w:r w:rsidR="00940AF8" w:rsidRPr="00793402">
        <w:rPr>
          <w:color w:val="000000" w:themeColor="text1"/>
          <w:sz w:val="28"/>
          <w:szCs w:val="28"/>
        </w:rPr>
        <w:t>C</w:t>
      </w:r>
      <w:r w:rsidR="00AF701C" w:rsidRPr="00793402">
        <w:rPr>
          <w:color w:val="000000" w:themeColor="text1"/>
          <w:sz w:val="28"/>
          <w:szCs w:val="28"/>
        </w:rPr>
        <w:t>OLPENSIONES</w:t>
      </w:r>
      <w:r w:rsidR="0041494F" w:rsidRPr="00793402">
        <w:rPr>
          <w:color w:val="000000" w:themeColor="text1"/>
          <w:sz w:val="28"/>
          <w:szCs w:val="28"/>
        </w:rPr>
        <w:t xml:space="preserve"> </w:t>
      </w:r>
      <w:r w:rsidR="00DD295A" w:rsidRPr="00793402">
        <w:rPr>
          <w:color w:val="000000" w:themeColor="text1"/>
          <w:sz w:val="28"/>
          <w:szCs w:val="28"/>
        </w:rPr>
        <w:t xml:space="preserve">reconoce </w:t>
      </w:r>
      <w:r w:rsidR="006779BA" w:rsidRPr="00793402">
        <w:rPr>
          <w:color w:val="000000" w:themeColor="text1"/>
          <w:sz w:val="28"/>
          <w:szCs w:val="28"/>
        </w:rPr>
        <w:t xml:space="preserve">1081,71 semanas cotizadas </w:t>
      </w:r>
      <w:r w:rsidR="00B87BDD" w:rsidRPr="00793402">
        <w:rPr>
          <w:color w:val="000000" w:themeColor="text1"/>
          <w:sz w:val="28"/>
          <w:szCs w:val="28"/>
        </w:rPr>
        <w:t xml:space="preserve">por la actora </w:t>
      </w:r>
      <w:r w:rsidR="006779BA" w:rsidRPr="00793402">
        <w:rPr>
          <w:color w:val="000000" w:themeColor="text1"/>
          <w:sz w:val="28"/>
          <w:szCs w:val="28"/>
        </w:rPr>
        <w:t>al sistema pensiona</w:t>
      </w:r>
      <w:r w:rsidR="00B13D14" w:rsidRPr="00793402">
        <w:rPr>
          <w:color w:val="000000" w:themeColor="text1"/>
          <w:sz w:val="28"/>
          <w:szCs w:val="28"/>
        </w:rPr>
        <w:t>l</w:t>
      </w:r>
      <w:r w:rsidR="006779BA" w:rsidRPr="00793402">
        <w:rPr>
          <w:color w:val="000000" w:themeColor="text1"/>
          <w:sz w:val="28"/>
          <w:szCs w:val="28"/>
        </w:rPr>
        <w:t>.</w:t>
      </w:r>
      <w:r w:rsidR="00DD295A" w:rsidRPr="00793402">
        <w:rPr>
          <w:color w:val="000000" w:themeColor="text1"/>
          <w:sz w:val="28"/>
          <w:szCs w:val="28"/>
        </w:rPr>
        <w:t xml:space="preserve"> De acuerdo con esa entidad, </w:t>
      </w:r>
      <w:r w:rsidR="00B87BDD" w:rsidRPr="00793402">
        <w:rPr>
          <w:color w:val="000000" w:themeColor="text1"/>
          <w:sz w:val="28"/>
          <w:szCs w:val="28"/>
        </w:rPr>
        <w:t xml:space="preserve">en tal documento no están reflejados los aportes a pensión comprendidos entre </w:t>
      </w:r>
      <w:r w:rsidR="006779BA" w:rsidRPr="00793402">
        <w:rPr>
          <w:color w:val="000000" w:themeColor="text1"/>
          <w:sz w:val="28"/>
          <w:szCs w:val="28"/>
        </w:rPr>
        <w:t>mayo de 1998 y septiembre de 2002</w:t>
      </w:r>
      <w:r w:rsidR="00B87BDD" w:rsidRPr="00793402">
        <w:rPr>
          <w:color w:val="000000" w:themeColor="text1"/>
          <w:sz w:val="28"/>
          <w:szCs w:val="28"/>
        </w:rPr>
        <w:t>. Al respecto, manifestó que</w:t>
      </w:r>
      <w:r w:rsidR="000F5BE2" w:rsidRPr="00793402">
        <w:rPr>
          <w:color w:val="000000" w:themeColor="text1"/>
          <w:sz w:val="28"/>
          <w:szCs w:val="28"/>
        </w:rPr>
        <w:t>,</w:t>
      </w:r>
      <w:r w:rsidR="00B87BDD" w:rsidRPr="00793402">
        <w:rPr>
          <w:color w:val="000000" w:themeColor="text1"/>
          <w:sz w:val="28"/>
          <w:szCs w:val="28"/>
        </w:rPr>
        <w:t xml:space="preserve"> en ese periodo, el empleador</w:t>
      </w:r>
      <w:r w:rsidR="000F5BE2" w:rsidRPr="00793402">
        <w:rPr>
          <w:color w:val="000000" w:themeColor="text1"/>
          <w:sz w:val="28"/>
          <w:szCs w:val="28"/>
        </w:rPr>
        <w:t xml:space="preserve"> de la demandante</w:t>
      </w:r>
      <w:r w:rsidR="00B87BDD" w:rsidRPr="00793402">
        <w:rPr>
          <w:color w:val="000000" w:themeColor="text1"/>
          <w:sz w:val="28"/>
          <w:szCs w:val="28"/>
        </w:rPr>
        <w:t xml:space="preserve"> hizo </w:t>
      </w:r>
      <w:r w:rsidR="006779BA" w:rsidRPr="00793402">
        <w:rPr>
          <w:color w:val="000000" w:themeColor="text1"/>
          <w:sz w:val="28"/>
          <w:szCs w:val="28"/>
        </w:rPr>
        <w:t xml:space="preserve">aportes </w:t>
      </w:r>
      <w:r w:rsidR="00B13D14" w:rsidRPr="00793402">
        <w:rPr>
          <w:color w:val="000000" w:themeColor="text1"/>
          <w:sz w:val="28"/>
          <w:szCs w:val="28"/>
        </w:rPr>
        <w:t xml:space="preserve">simultáneos </w:t>
      </w:r>
      <w:r w:rsidR="006779BA" w:rsidRPr="00793402">
        <w:rPr>
          <w:color w:val="000000" w:themeColor="text1"/>
          <w:sz w:val="28"/>
          <w:szCs w:val="28"/>
        </w:rPr>
        <w:t xml:space="preserve">al </w:t>
      </w:r>
      <w:r w:rsidR="00B87BDD" w:rsidRPr="00793402">
        <w:rPr>
          <w:color w:val="000000" w:themeColor="text1"/>
          <w:sz w:val="28"/>
          <w:szCs w:val="28"/>
        </w:rPr>
        <w:lastRenderedPageBreak/>
        <w:t xml:space="preserve">extinto </w:t>
      </w:r>
      <w:r w:rsidR="006779BA" w:rsidRPr="00793402">
        <w:rPr>
          <w:color w:val="000000" w:themeColor="text1"/>
          <w:sz w:val="28"/>
          <w:szCs w:val="28"/>
        </w:rPr>
        <w:t>I</w:t>
      </w:r>
      <w:r w:rsidR="00B87BDD" w:rsidRPr="00793402">
        <w:rPr>
          <w:color w:val="000000" w:themeColor="text1"/>
          <w:sz w:val="28"/>
          <w:szCs w:val="28"/>
        </w:rPr>
        <w:t xml:space="preserve">nstituto de </w:t>
      </w:r>
      <w:r w:rsidR="006779BA" w:rsidRPr="00793402">
        <w:rPr>
          <w:color w:val="000000" w:themeColor="text1"/>
          <w:sz w:val="28"/>
          <w:szCs w:val="28"/>
        </w:rPr>
        <w:t>S</w:t>
      </w:r>
      <w:r w:rsidR="00B87BDD" w:rsidRPr="00793402">
        <w:rPr>
          <w:color w:val="000000" w:themeColor="text1"/>
          <w:sz w:val="28"/>
          <w:szCs w:val="28"/>
        </w:rPr>
        <w:t xml:space="preserve">eguro </w:t>
      </w:r>
      <w:r w:rsidR="006779BA" w:rsidRPr="00793402">
        <w:rPr>
          <w:color w:val="000000" w:themeColor="text1"/>
          <w:sz w:val="28"/>
          <w:szCs w:val="28"/>
        </w:rPr>
        <w:t>S</w:t>
      </w:r>
      <w:r w:rsidR="00B87BDD" w:rsidRPr="00793402">
        <w:rPr>
          <w:color w:val="000000" w:themeColor="text1"/>
          <w:sz w:val="28"/>
          <w:szCs w:val="28"/>
        </w:rPr>
        <w:t>ocial (ISS)</w:t>
      </w:r>
      <w:r w:rsidR="006779BA" w:rsidRPr="00793402">
        <w:rPr>
          <w:color w:val="000000" w:themeColor="text1"/>
          <w:sz w:val="28"/>
          <w:szCs w:val="28"/>
        </w:rPr>
        <w:t xml:space="preserve"> y a C</w:t>
      </w:r>
      <w:r w:rsidR="00CB3E1B" w:rsidRPr="00793402">
        <w:rPr>
          <w:color w:val="000000" w:themeColor="text1"/>
          <w:sz w:val="28"/>
          <w:szCs w:val="28"/>
        </w:rPr>
        <w:t>AJANAL</w:t>
      </w:r>
      <w:r w:rsidR="006779BA" w:rsidRPr="00793402">
        <w:rPr>
          <w:color w:val="000000" w:themeColor="text1"/>
          <w:sz w:val="28"/>
          <w:szCs w:val="28"/>
        </w:rPr>
        <w:t xml:space="preserve">. </w:t>
      </w:r>
      <w:r w:rsidR="00B87BDD" w:rsidRPr="00793402">
        <w:rPr>
          <w:color w:val="000000" w:themeColor="text1"/>
          <w:sz w:val="28"/>
          <w:szCs w:val="28"/>
        </w:rPr>
        <w:t>Por lo anterior</w:t>
      </w:r>
      <w:r w:rsidR="006779BA" w:rsidRPr="00793402">
        <w:rPr>
          <w:color w:val="000000" w:themeColor="text1"/>
          <w:sz w:val="28"/>
          <w:szCs w:val="28"/>
        </w:rPr>
        <w:t xml:space="preserve">, señaló que </w:t>
      </w:r>
      <w:r w:rsidR="00B87BDD" w:rsidRPr="00793402">
        <w:rPr>
          <w:color w:val="000000" w:themeColor="text1"/>
          <w:sz w:val="28"/>
          <w:szCs w:val="28"/>
        </w:rPr>
        <w:t>la SED debe</w:t>
      </w:r>
      <w:r w:rsidR="00B13D14" w:rsidRPr="00793402">
        <w:rPr>
          <w:color w:val="000000" w:themeColor="text1"/>
          <w:sz w:val="28"/>
          <w:szCs w:val="28"/>
        </w:rPr>
        <w:t xml:space="preserve"> aclarar dicha situación</w:t>
      </w:r>
      <w:r w:rsidR="006779BA" w:rsidRPr="00793402">
        <w:rPr>
          <w:color w:val="000000" w:themeColor="text1"/>
          <w:sz w:val="28"/>
          <w:szCs w:val="28"/>
        </w:rPr>
        <w:t xml:space="preserve">. </w:t>
      </w:r>
      <w:r w:rsidRPr="00793402">
        <w:rPr>
          <w:color w:val="000000" w:themeColor="text1"/>
          <w:sz w:val="28"/>
          <w:szCs w:val="28"/>
        </w:rPr>
        <w:t xml:space="preserve">A </w:t>
      </w:r>
      <w:r w:rsidR="000F5BE2" w:rsidRPr="00793402">
        <w:rPr>
          <w:color w:val="000000" w:themeColor="text1"/>
          <w:sz w:val="28"/>
          <w:szCs w:val="28"/>
        </w:rPr>
        <w:t>la fecha</w:t>
      </w:r>
      <w:r w:rsidRPr="00793402">
        <w:rPr>
          <w:color w:val="000000" w:themeColor="text1"/>
          <w:sz w:val="28"/>
          <w:szCs w:val="28"/>
        </w:rPr>
        <w:t xml:space="preserve"> esa entidad</w:t>
      </w:r>
      <w:r w:rsidR="000F5BE2" w:rsidRPr="00793402">
        <w:rPr>
          <w:color w:val="000000" w:themeColor="text1"/>
          <w:sz w:val="28"/>
          <w:szCs w:val="28"/>
        </w:rPr>
        <w:t xml:space="preserve"> </w:t>
      </w:r>
      <w:r w:rsidR="00B87BDD" w:rsidRPr="00793402">
        <w:rPr>
          <w:color w:val="000000" w:themeColor="text1"/>
          <w:sz w:val="28"/>
          <w:szCs w:val="28"/>
        </w:rPr>
        <w:t>no lo ha hecho</w:t>
      </w:r>
      <w:r w:rsidR="006779BA" w:rsidRPr="00793402">
        <w:rPr>
          <w:color w:val="000000" w:themeColor="text1"/>
          <w:sz w:val="28"/>
          <w:szCs w:val="28"/>
        </w:rPr>
        <w:t>.</w:t>
      </w:r>
    </w:p>
    <w:p w14:paraId="19995C47" w14:textId="77777777" w:rsidR="006779BA" w:rsidRPr="00793402" w:rsidRDefault="006779BA" w:rsidP="006779BA">
      <w:pPr>
        <w:shd w:val="clear" w:color="auto" w:fill="FFFFFF"/>
        <w:jc w:val="both"/>
        <w:rPr>
          <w:color w:val="000000" w:themeColor="text1"/>
          <w:sz w:val="28"/>
          <w:szCs w:val="28"/>
        </w:rPr>
      </w:pPr>
    </w:p>
    <w:p w14:paraId="29511DDF" w14:textId="406DD606" w:rsidR="000F5BE2" w:rsidRPr="00793402" w:rsidRDefault="00D41062" w:rsidP="006779BA">
      <w:pPr>
        <w:shd w:val="clear" w:color="auto" w:fill="FFFFFF"/>
        <w:tabs>
          <w:tab w:val="left" w:pos="284"/>
        </w:tabs>
        <w:jc w:val="both"/>
        <w:rPr>
          <w:color w:val="000000" w:themeColor="text1"/>
          <w:sz w:val="28"/>
          <w:szCs w:val="28"/>
          <w:lang w:eastAsia="es-CO"/>
        </w:rPr>
      </w:pPr>
      <w:r w:rsidRPr="00793402">
        <w:rPr>
          <w:color w:val="000000" w:themeColor="text1"/>
          <w:sz w:val="28"/>
          <w:szCs w:val="28"/>
        </w:rPr>
        <w:t>4</w:t>
      </w:r>
      <w:r w:rsidR="001E5C39" w:rsidRPr="00793402">
        <w:rPr>
          <w:color w:val="000000" w:themeColor="text1"/>
          <w:sz w:val="28"/>
          <w:szCs w:val="28"/>
        </w:rPr>
        <w:t>8</w:t>
      </w:r>
      <w:r w:rsidR="006779BA" w:rsidRPr="00793402">
        <w:rPr>
          <w:color w:val="000000" w:themeColor="text1"/>
          <w:sz w:val="28"/>
          <w:szCs w:val="28"/>
        </w:rPr>
        <w:t xml:space="preserve">. Para la Sala, </w:t>
      </w:r>
      <w:r w:rsidR="006779BA" w:rsidRPr="00793402">
        <w:rPr>
          <w:color w:val="000000" w:themeColor="text1"/>
          <w:sz w:val="28"/>
          <w:szCs w:val="28"/>
          <w:lang w:eastAsia="es-CO"/>
        </w:rPr>
        <w:t xml:space="preserve">la SED y </w:t>
      </w:r>
      <w:r w:rsidR="00940AF8" w:rsidRPr="00793402">
        <w:rPr>
          <w:color w:val="000000" w:themeColor="text1"/>
          <w:sz w:val="28"/>
          <w:szCs w:val="28"/>
        </w:rPr>
        <w:t>C</w:t>
      </w:r>
      <w:r w:rsidR="00FD227C" w:rsidRPr="00793402">
        <w:rPr>
          <w:color w:val="000000" w:themeColor="text1"/>
          <w:sz w:val="28"/>
          <w:szCs w:val="28"/>
        </w:rPr>
        <w:t>OLPENSIONES</w:t>
      </w:r>
      <w:r w:rsidR="006779BA" w:rsidRPr="00793402">
        <w:rPr>
          <w:color w:val="000000" w:themeColor="text1"/>
          <w:sz w:val="28"/>
          <w:szCs w:val="28"/>
          <w:lang w:eastAsia="es-CO"/>
        </w:rPr>
        <w:t xml:space="preserve"> vulneraron los derechos fundamentales de </w:t>
      </w:r>
      <w:r w:rsidR="000F5BE2" w:rsidRPr="00793402">
        <w:rPr>
          <w:color w:val="000000" w:themeColor="text1"/>
          <w:sz w:val="28"/>
          <w:szCs w:val="28"/>
          <w:lang w:eastAsia="es-CO"/>
        </w:rPr>
        <w:t xml:space="preserve">la </w:t>
      </w:r>
      <w:r w:rsidR="006779BA" w:rsidRPr="00793402">
        <w:rPr>
          <w:color w:val="000000" w:themeColor="text1"/>
          <w:sz w:val="28"/>
          <w:szCs w:val="28"/>
          <w:lang w:eastAsia="es-CO"/>
        </w:rPr>
        <w:t>actora</w:t>
      </w:r>
      <w:r w:rsidR="000F5BE2" w:rsidRPr="00793402">
        <w:rPr>
          <w:color w:val="000000" w:themeColor="text1"/>
          <w:sz w:val="28"/>
          <w:szCs w:val="28"/>
          <w:lang w:eastAsia="es-CO"/>
        </w:rPr>
        <w:t xml:space="preserve"> a la seguridad social, a la estabilidad laboral reforzada, </w:t>
      </w:r>
      <w:r w:rsidR="00F70EC1" w:rsidRPr="00793402">
        <w:rPr>
          <w:color w:val="000000" w:themeColor="text1"/>
          <w:sz w:val="28"/>
          <w:szCs w:val="28"/>
          <w:lang w:eastAsia="es-CO"/>
        </w:rPr>
        <w:t xml:space="preserve">al trabajo, </w:t>
      </w:r>
      <w:r w:rsidR="000F5BE2" w:rsidRPr="00793402">
        <w:rPr>
          <w:color w:val="000000" w:themeColor="text1"/>
          <w:sz w:val="28"/>
          <w:szCs w:val="28"/>
          <w:lang w:eastAsia="es-CO"/>
        </w:rPr>
        <w:t xml:space="preserve">a la dignidad humana y al mínimo vital. La inconsistencia en la historia laboral respecto al número de semanas cotizadas impactó en el reconocimiento de su condición de </w:t>
      </w:r>
      <w:proofErr w:type="spellStart"/>
      <w:r w:rsidR="000F5BE2" w:rsidRPr="00793402">
        <w:rPr>
          <w:color w:val="000000" w:themeColor="text1"/>
          <w:sz w:val="28"/>
          <w:szCs w:val="28"/>
          <w:lang w:eastAsia="es-CO"/>
        </w:rPr>
        <w:t>prepensionada</w:t>
      </w:r>
      <w:proofErr w:type="spellEnd"/>
      <w:r w:rsidR="000F5BE2" w:rsidRPr="00793402">
        <w:rPr>
          <w:color w:val="000000" w:themeColor="text1"/>
          <w:sz w:val="28"/>
          <w:szCs w:val="28"/>
          <w:lang w:eastAsia="es-CO"/>
        </w:rPr>
        <w:t xml:space="preserve"> y su consecuente derecho a la estabilidad laboral reforzada. A continuación,</w:t>
      </w:r>
      <w:r w:rsidRPr="00793402">
        <w:rPr>
          <w:color w:val="000000" w:themeColor="text1"/>
          <w:sz w:val="28"/>
          <w:szCs w:val="28"/>
          <w:lang w:eastAsia="es-CO"/>
        </w:rPr>
        <w:t xml:space="preserve"> la Sala</w:t>
      </w:r>
      <w:r w:rsidR="000F5BE2" w:rsidRPr="00793402">
        <w:rPr>
          <w:color w:val="000000" w:themeColor="text1"/>
          <w:sz w:val="28"/>
          <w:szCs w:val="28"/>
          <w:lang w:eastAsia="es-CO"/>
        </w:rPr>
        <w:t xml:space="preserve"> expondrán las razones que sustentan esta postura.</w:t>
      </w:r>
    </w:p>
    <w:p w14:paraId="61A82B7D" w14:textId="08B4CD1B" w:rsidR="006779BA" w:rsidRPr="00793402" w:rsidRDefault="006779BA" w:rsidP="006779BA">
      <w:pPr>
        <w:shd w:val="clear" w:color="auto" w:fill="FFFFFF"/>
        <w:tabs>
          <w:tab w:val="left" w:pos="284"/>
        </w:tabs>
        <w:jc w:val="both"/>
        <w:rPr>
          <w:color w:val="000000" w:themeColor="text1"/>
          <w:sz w:val="28"/>
          <w:szCs w:val="28"/>
        </w:rPr>
      </w:pPr>
    </w:p>
    <w:p w14:paraId="0B994AE2" w14:textId="15DDC3E2" w:rsidR="006779BA" w:rsidRPr="00793402" w:rsidRDefault="006779BA" w:rsidP="006779BA">
      <w:pPr>
        <w:shd w:val="clear" w:color="auto" w:fill="FFFFFF"/>
        <w:tabs>
          <w:tab w:val="left" w:pos="284"/>
        </w:tabs>
        <w:jc w:val="both"/>
        <w:rPr>
          <w:b/>
          <w:bCs/>
          <w:i/>
          <w:iCs/>
          <w:color w:val="000000" w:themeColor="text1"/>
          <w:sz w:val="28"/>
          <w:szCs w:val="28"/>
        </w:rPr>
      </w:pPr>
      <w:r w:rsidRPr="00793402">
        <w:rPr>
          <w:b/>
          <w:bCs/>
          <w:i/>
          <w:iCs/>
          <w:color w:val="000000" w:themeColor="text1"/>
          <w:sz w:val="28"/>
          <w:szCs w:val="28"/>
        </w:rPr>
        <w:t xml:space="preserve">La </w:t>
      </w:r>
      <w:r w:rsidR="000F5BE2" w:rsidRPr="00793402">
        <w:rPr>
          <w:b/>
          <w:bCs/>
          <w:i/>
          <w:iCs/>
          <w:color w:val="000000" w:themeColor="text1"/>
          <w:sz w:val="28"/>
          <w:szCs w:val="28"/>
        </w:rPr>
        <w:t xml:space="preserve">inconsistencia en la </w:t>
      </w:r>
      <w:r w:rsidRPr="00793402">
        <w:rPr>
          <w:b/>
          <w:bCs/>
          <w:i/>
          <w:iCs/>
          <w:color w:val="000000" w:themeColor="text1"/>
          <w:sz w:val="28"/>
          <w:szCs w:val="28"/>
        </w:rPr>
        <w:t xml:space="preserve">historia laboral de la actora </w:t>
      </w:r>
      <w:r w:rsidR="000F5BE2" w:rsidRPr="00793402">
        <w:rPr>
          <w:b/>
          <w:bCs/>
          <w:i/>
          <w:iCs/>
          <w:color w:val="000000" w:themeColor="text1"/>
          <w:sz w:val="28"/>
          <w:szCs w:val="28"/>
        </w:rPr>
        <w:t>afecta los derechos fundamentales a la seguridad social, a la dignidad humana y al mínimo vital</w:t>
      </w:r>
    </w:p>
    <w:p w14:paraId="12DA65DE" w14:textId="77777777" w:rsidR="006779BA" w:rsidRPr="00793402" w:rsidRDefault="006779BA" w:rsidP="006779BA">
      <w:pPr>
        <w:shd w:val="clear" w:color="auto" w:fill="FFFFFF"/>
        <w:tabs>
          <w:tab w:val="left" w:pos="284"/>
        </w:tabs>
        <w:jc w:val="both"/>
        <w:rPr>
          <w:b/>
          <w:bCs/>
          <w:i/>
          <w:iCs/>
          <w:color w:val="000000" w:themeColor="text1"/>
          <w:sz w:val="28"/>
          <w:szCs w:val="28"/>
        </w:rPr>
      </w:pPr>
    </w:p>
    <w:p w14:paraId="41DF3232" w14:textId="03F5291C" w:rsidR="008D09B2" w:rsidRPr="00793402" w:rsidRDefault="00E515C6" w:rsidP="009A31B0">
      <w:pPr>
        <w:shd w:val="clear" w:color="auto" w:fill="FFFFFF"/>
        <w:tabs>
          <w:tab w:val="left" w:pos="284"/>
        </w:tabs>
        <w:jc w:val="both"/>
        <w:rPr>
          <w:color w:val="000000" w:themeColor="text1"/>
          <w:sz w:val="28"/>
          <w:szCs w:val="28"/>
        </w:rPr>
      </w:pPr>
      <w:r w:rsidRPr="00793402">
        <w:rPr>
          <w:color w:val="000000" w:themeColor="text1"/>
          <w:sz w:val="28"/>
          <w:szCs w:val="28"/>
        </w:rPr>
        <w:t>4</w:t>
      </w:r>
      <w:r w:rsidR="001E5C39" w:rsidRPr="00793402">
        <w:rPr>
          <w:color w:val="000000" w:themeColor="text1"/>
          <w:sz w:val="28"/>
          <w:szCs w:val="28"/>
        </w:rPr>
        <w:t>9</w:t>
      </w:r>
      <w:r w:rsidR="009A31B0" w:rsidRPr="00793402">
        <w:rPr>
          <w:color w:val="000000" w:themeColor="text1"/>
          <w:sz w:val="28"/>
          <w:szCs w:val="28"/>
        </w:rPr>
        <w:t xml:space="preserve">. </w:t>
      </w:r>
      <w:r w:rsidR="008D09B2" w:rsidRPr="00793402">
        <w:rPr>
          <w:color w:val="000000" w:themeColor="text1"/>
          <w:sz w:val="28"/>
          <w:szCs w:val="28"/>
        </w:rPr>
        <w:t xml:space="preserve">La Sala observa que </w:t>
      </w:r>
      <w:r w:rsidR="00940AF8" w:rsidRPr="00793402">
        <w:rPr>
          <w:color w:val="000000" w:themeColor="text1"/>
          <w:sz w:val="28"/>
          <w:szCs w:val="28"/>
        </w:rPr>
        <w:t>C</w:t>
      </w:r>
      <w:r w:rsidR="00AF701C" w:rsidRPr="00793402">
        <w:rPr>
          <w:color w:val="000000" w:themeColor="text1"/>
          <w:sz w:val="28"/>
          <w:szCs w:val="28"/>
        </w:rPr>
        <w:t>OLPENSIONES</w:t>
      </w:r>
      <w:r w:rsidR="008D09B2" w:rsidRPr="00793402">
        <w:rPr>
          <w:color w:val="000000" w:themeColor="text1"/>
          <w:sz w:val="28"/>
          <w:szCs w:val="28"/>
        </w:rPr>
        <w:t xml:space="preserve"> desconoció e</w:t>
      </w:r>
      <w:r w:rsidR="00D41062" w:rsidRPr="00793402">
        <w:rPr>
          <w:color w:val="000000" w:themeColor="text1"/>
          <w:sz w:val="28"/>
          <w:szCs w:val="28"/>
        </w:rPr>
        <w:t>l</w:t>
      </w:r>
      <w:r w:rsidR="008D09B2" w:rsidRPr="00793402">
        <w:rPr>
          <w:color w:val="000000" w:themeColor="text1"/>
          <w:sz w:val="28"/>
          <w:szCs w:val="28"/>
        </w:rPr>
        <w:t xml:space="preserve"> deber</w:t>
      </w:r>
      <w:r w:rsidR="00D41062" w:rsidRPr="00793402">
        <w:rPr>
          <w:color w:val="000000" w:themeColor="text1"/>
          <w:sz w:val="28"/>
          <w:szCs w:val="28"/>
        </w:rPr>
        <w:t xml:space="preserve"> de mantener actualizada la historia laboral de la demandada</w:t>
      </w:r>
      <w:r w:rsidR="00F7758F" w:rsidRPr="00793402">
        <w:rPr>
          <w:color w:val="000000" w:themeColor="text1"/>
          <w:sz w:val="28"/>
          <w:szCs w:val="28"/>
        </w:rPr>
        <w:t>,</w:t>
      </w:r>
      <w:r w:rsidR="008D09B2" w:rsidRPr="00793402">
        <w:rPr>
          <w:color w:val="000000" w:themeColor="text1"/>
          <w:sz w:val="28"/>
          <w:szCs w:val="28"/>
        </w:rPr>
        <w:t xml:space="preserve"> porque la información consignada en aquel documento no refleja de manera real </w:t>
      </w:r>
      <w:r w:rsidR="00F70EC1" w:rsidRPr="00793402">
        <w:rPr>
          <w:color w:val="000000" w:themeColor="text1"/>
          <w:sz w:val="28"/>
          <w:szCs w:val="28"/>
        </w:rPr>
        <w:t>la trayectoria</w:t>
      </w:r>
      <w:r w:rsidR="008D09B2" w:rsidRPr="00793402">
        <w:rPr>
          <w:color w:val="000000" w:themeColor="text1"/>
          <w:sz w:val="28"/>
          <w:szCs w:val="28"/>
        </w:rPr>
        <w:t xml:space="preserve"> laboral de la trabajadora</w:t>
      </w:r>
      <w:r w:rsidR="00164425" w:rsidRPr="00793402">
        <w:rPr>
          <w:color w:val="000000" w:themeColor="text1"/>
          <w:sz w:val="28"/>
          <w:szCs w:val="28"/>
        </w:rPr>
        <w:t xml:space="preserve"> y su contenido no es cierto, preciso, fidedigno y actualizado</w:t>
      </w:r>
      <w:r w:rsidR="00D84249" w:rsidRPr="00793402">
        <w:rPr>
          <w:rStyle w:val="Refdenotaalpie"/>
          <w:color w:val="000000" w:themeColor="text1"/>
          <w:sz w:val="28"/>
          <w:szCs w:val="28"/>
        </w:rPr>
        <w:footnoteReference w:id="130"/>
      </w:r>
      <w:r w:rsidR="00164425" w:rsidRPr="00793402">
        <w:rPr>
          <w:color w:val="000000" w:themeColor="text1"/>
          <w:sz w:val="28"/>
          <w:szCs w:val="28"/>
        </w:rPr>
        <w:t xml:space="preserve">, </w:t>
      </w:r>
      <w:r w:rsidR="00D84249" w:rsidRPr="00793402">
        <w:rPr>
          <w:color w:val="000000" w:themeColor="text1"/>
          <w:sz w:val="28"/>
          <w:szCs w:val="28"/>
        </w:rPr>
        <w:t>en los términos de</w:t>
      </w:r>
      <w:r w:rsidR="00164425" w:rsidRPr="00793402">
        <w:rPr>
          <w:color w:val="000000" w:themeColor="text1"/>
          <w:sz w:val="28"/>
          <w:szCs w:val="28"/>
        </w:rPr>
        <w:t xml:space="preserve"> la jurisprudencia de esta Corporación</w:t>
      </w:r>
      <w:r w:rsidR="00D84249" w:rsidRPr="00793402">
        <w:rPr>
          <w:rStyle w:val="Refdenotaalpie"/>
          <w:color w:val="000000" w:themeColor="text1"/>
          <w:sz w:val="28"/>
          <w:szCs w:val="28"/>
        </w:rPr>
        <w:footnoteReference w:id="131"/>
      </w:r>
      <w:r w:rsidR="008D09B2" w:rsidRPr="00793402">
        <w:rPr>
          <w:color w:val="000000" w:themeColor="text1"/>
          <w:sz w:val="28"/>
          <w:szCs w:val="28"/>
        </w:rPr>
        <w:t>. En efecto, según la CETIL, la accionante laboró y cotizó a pensión</w:t>
      </w:r>
      <w:r w:rsidR="00C4401D" w:rsidRPr="00793402">
        <w:rPr>
          <w:color w:val="000000" w:themeColor="text1"/>
          <w:sz w:val="28"/>
          <w:szCs w:val="28"/>
        </w:rPr>
        <w:t xml:space="preserve"> en C</w:t>
      </w:r>
      <w:r w:rsidR="00CB3E1B" w:rsidRPr="00793402">
        <w:rPr>
          <w:color w:val="000000" w:themeColor="text1"/>
          <w:sz w:val="28"/>
          <w:szCs w:val="28"/>
        </w:rPr>
        <w:t>AJANAL</w:t>
      </w:r>
      <w:r w:rsidR="008D09B2" w:rsidRPr="00793402">
        <w:rPr>
          <w:color w:val="000000" w:themeColor="text1"/>
          <w:sz w:val="28"/>
          <w:szCs w:val="28"/>
        </w:rPr>
        <w:t xml:space="preserve"> en el periodo comprendido entre mayo de 1998 y septiembre de 2002. Tales fechas no están reportadas en la historia laboral de la actora. Según la administradora de pensiones, </w:t>
      </w:r>
      <w:r w:rsidR="00C4401D" w:rsidRPr="00793402">
        <w:rPr>
          <w:color w:val="000000" w:themeColor="text1"/>
          <w:sz w:val="28"/>
          <w:szCs w:val="28"/>
        </w:rPr>
        <w:t xml:space="preserve">aquellas fueron efectivamente trasladadas por la UGPP de acuerdo con la Resolución No. 001693 del 26 de enero de 2022. Sin embargo, </w:t>
      </w:r>
      <w:r w:rsidR="00C4401D" w:rsidRPr="00793402">
        <w:rPr>
          <w:i/>
          <w:iCs/>
          <w:color w:val="000000" w:themeColor="text1"/>
          <w:sz w:val="28"/>
          <w:szCs w:val="28"/>
        </w:rPr>
        <w:t>“se hicieron aportes al ISS y a CAJANAL por los mismos periodos”</w:t>
      </w:r>
      <w:r w:rsidR="00C4401D" w:rsidRPr="00793402">
        <w:rPr>
          <w:rStyle w:val="Refdenotaalpie"/>
          <w:i/>
          <w:iCs/>
          <w:color w:val="000000" w:themeColor="text1"/>
          <w:sz w:val="28"/>
          <w:szCs w:val="28"/>
        </w:rPr>
        <w:footnoteReference w:id="132"/>
      </w:r>
      <w:r w:rsidR="00D41062" w:rsidRPr="00793402">
        <w:rPr>
          <w:i/>
          <w:iCs/>
          <w:color w:val="000000" w:themeColor="text1"/>
          <w:sz w:val="28"/>
          <w:szCs w:val="28"/>
        </w:rPr>
        <w:t xml:space="preserve">. </w:t>
      </w:r>
      <w:r w:rsidR="00D41062" w:rsidRPr="00793402">
        <w:rPr>
          <w:color w:val="000000" w:themeColor="text1"/>
          <w:sz w:val="28"/>
          <w:szCs w:val="28"/>
        </w:rPr>
        <w:t>Por esa ra</w:t>
      </w:r>
      <w:r w:rsidR="00C4401D" w:rsidRPr="00793402">
        <w:rPr>
          <w:color w:val="000000" w:themeColor="text1"/>
          <w:sz w:val="28"/>
          <w:szCs w:val="28"/>
        </w:rPr>
        <w:t>zón</w:t>
      </w:r>
      <w:r w:rsidR="00D41062" w:rsidRPr="00793402">
        <w:rPr>
          <w:color w:val="000000" w:themeColor="text1"/>
          <w:sz w:val="28"/>
          <w:szCs w:val="28"/>
        </w:rPr>
        <w:t>,</w:t>
      </w:r>
      <w:r w:rsidR="00C4401D" w:rsidRPr="00793402">
        <w:rPr>
          <w:color w:val="000000" w:themeColor="text1"/>
          <w:sz w:val="28"/>
          <w:szCs w:val="28"/>
        </w:rPr>
        <w:t xml:space="preserve"> debe verificar esta situación con el empleador para su correspondiente aclaración. </w:t>
      </w:r>
      <w:r w:rsidRPr="00793402">
        <w:rPr>
          <w:color w:val="000000" w:themeColor="text1"/>
          <w:sz w:val="28"/>
          <w:szCs w:val="28"/>
        </w:rPr>
        <w:t>Bajo ese entendido</w:t>
      </w:r>
      <w:r w:rsidR="00C4401D" w:rsidRPr="00793402">
        <w:rPr>
          <w:color w:val="000000" w:themeColor="text1"/>
          <w:sz w:val="28"/>
          <w:szCs w:val="28"/>
        </w:rPr>
        <w:t>, afirmó que no podía cargar los ciclos faltantes en la historia laboral de la accionante.</w:t>
      </w:r>
    </w:p>
    <w:p w14:paraId="4BFB1543" w14:textId="77777777" w:rsidR="00940FFE" w:rsidRPr="00793402" w:rsidRDefault="00940FFE" w:rsidP="00174CFA">
      <w:pPr>
        <w:shd w:val="clear" w:color="auto" w:fill="FFFFFF"/>
        <w:tabs>
          <w:tab w:val="left" w:pos="284"/>
        </w:tabs>
        <w:jc w:val="both"/>
        <w:rPr>
          <w:i/>
          <w:iCs/>
          <w:color w:val="000000" w:themeColor="text1"/>
          <w:sz w:val="28"/>
          <w:szCs w:val="28"/>
        </w:rPr>
      </w:pPr>
    </w:p>
    <w:p w14:paraId="70A37E95" w14:textId="50B87D58" w:rsidR="00A70FAD" w:rsidRPr="00793402" w:rsidRDefault="001E5C39" w:rsidP="00174CFA">
      <w:pPr>
        <w:shd w:val="clear" w:color="auto" w:fill="FFFFFF"/>
        <w:tabs>
          <w:tab w:val="left" w:pos="284"/>
        </w:tabs>
        <w:jc w:val="both"/>
        <w:rPr>
          <w:color w:val="000000" w:themeColor="text1"/>
          <w:sz w:val="28"/>
          <w:szCs w:val="28"/>
        </w:rPr>
      </w:pPr>
      <w:r w:rsidRPr="00793402">
        <w:rPr>
          <w:color w:val="000000" w:themeColor="text1"/>
          <w:sz w:val="28"/>
          <w:szCs w:val="28"/>
        </w:rPr>
        <w:t>50</w:t>
      </w:r>
      <w:r w:rsidR="00C4401D" w:rsidRPr="00793402">
        <w:rPr>
          <w:color w:val="000000" w:themeColor="text1"/>
          <w:sz w:val="28"/>
          <w:szCs w:val="28"/>
        </w:rPr>
        <w:t xml:space="preserve">. </w:t>
      </w:r>
      <w:r w:rsidR="00E515C6" w:rsidRPr="00793402">
        <w:rPr>
          <w:color w:val="000000" w:themeColor="text1"/>
          <w:sz w:val="28"/>
          <w:szCs w:val="28"/>
        </w:rPr>
        <w:t>De acuerdo con lo expuesto</w:t>
      </w:r>
      <w:r w:rsidR="00C4401D" w:rsidRPr="00793402">
        <w:rPr>
          <w:color w:val="000000" w:themeColor="text1"/>
          <w:sz w:val="28"/>
          <w:szCs w:val="28"/>
        </w:rPr>
        <w:t xml:space="preserve">, </w:t>
      </w:r>
      <w:r w:rsidR="00164425" w:rsidRPr="00793402">
        <w:rPr>
          <w:color w:val="000000" w:themeColor="text1"/>
          <w:sz w:val="28"/>
          <w:szCs w:val="28"/>
        </w:rPr>
        <w:t xml:space="preserve">es claro que la indebida actualización de la historia laboral de la demandante </w:t>
      </w:r>
      <w:r w:rsidR="00277127" w:rsidRPr="00793402">
        <w:rPr>
          <w:color w:val="000000" w:themeColor="text1"/>
          <w:sz w:val="28"/>
          <w:szCs w:val="28"/>
        </w:rPr>
        <w:t>desconoc</w:t>
      </w:r>
      <w:r w:rsidR="00E515C6" w:rsidRPr="00793402">
        <w:rPr>
          <w:color w:val="000000" w:themeColor="text1"/>
          <w:sz w:val="28"/>
          <w:szCs w:val="28"/>
        </w:rPr>
        <w:t>ió</w:t>
      </w:r>
      <w:r w:rsidR="00277127" w:rsidRPr="00793402">
        <w:rPr>
          <w:color w:val="000000" w:themeColor="text1"/>
          <w:sz w:val="28"/>
          <w:szCs w:val="28"/>
        </w:rPr>
        <w:t xml:space="preserve"> </w:t>
      </w:r>
      <w:r w:rsidR="00164425" w:rsidRPr="00793402">
        <w:rPr>
          <w:color w:val="000000" w:themeColor="text1"/>
          <w:sz w:val="28"/>
          <w:szCs w:val="28"/>
        </w:rPr>
        <w:t>los</w:t>
      </w:r>
      <w:r w:rsidR="00277127" w:rsidRPr="00793402">
        <w:rPr>
          <w:color w:val="000000" w:themeColor="text1"/>
          <w:sz w:val="28"/>
          <w:szCs w:val="28"/>
        </w:rPr>
        <w:t xml:space="preserve"> esfuerzos </w:t>
      </w:r>
      <w:r w:rsidR="00164425" w:rsidRPr="00793402">
        <w:rPr>
          <w:color w:val="000000" w:themeColor="text1"/>
          <w:sz w:val="28"/>
          <w:szCs w:val="28"/>
        </w:rPr>
        <w:t xml:space="preserve">que ha hecho la trabajadora </w:t>
      </w:r>
      <w:r w:rsidR="00277127" w:rsidRPr="00793402">
        <w:rPr>
          <w:color w:val="000000" w:themeColor="text1"/>
          <w:sz w:val="28"/>
          <w:szCs w:val="28"/>
        </w:rPr>
        <w:t>a lo largo de su vida laboral</w:t>
      </w:r>
      <w:r w:rsidR="00164425" w:rsidRPr="00793402">
        <w:rPr>
          <w:color w:val="000000" w:themeColor="text1"/>
          <w:sz w:val="28"/>
          <w:szCs w:val="28"/>
        </w:rPr>
        <w:t xml:space="preserve"> en relación con su </w:t>
      </w:r>
      <w:r w:rsidR="00277127" w:rsidRPr="00793402">
        <w:rPr>
          <w:color w:val="000000" w:themeColor="text1"/>
          <w:sz w:val="28"/>
          <w:szCs w:val="28"/>
        </w:rPr>
        <w:t>expectativa legítima de acceder a su derecho a la pensión.</w:t>
      </w:r>
      <w:r w:rsidR="008D09B2" w:rsidRPr="00793402">
        <w:rPr>
          <w:color w:val="000000" w:themeColor="text1"/>
          <w:sz w:val="28"/>
          <w:szCs w:val="28"/>
        </w:rPr>
        <w:t xml:space="preserve"> </w:t>
      </w:r>
      <w:r w:rsidR="00174CFA" w:rsidRPr="00793402">
        <w:rPr>
          <w:color w:val="000000" w:themeColor="text1"/>
          <w:sz w:val="28"/>
          <w:szCs w:val="28"/>
        </w:rPr>
        <w:t>Así, la administradora de pensiones descuidó su deber de gestionar y actualizar la información que contiene la historia laboral de acuerdo con el principio de veracidad y con las reglas establecidas en el artículo 17 de la Ley 1581 de 2012</w:t>
      </w:r>
      <w:r w:rsidR="00174CFA" w:rsidRPr="00793402">
        <w:rPr>
          <w:rStyle w:val="Refdenotaalpie"/>
          <w:color w:val="000000" w:themeColor="text1"/>
          <w:sz w:val="28"/>
          <w:szCs w:val="28"/>
        </w:rPr>
        <w:footnoteReference w:id="133"/>
      </w:r>
      <w:r w:rsidR="00A70FAD" w:rsidRPr="00793402">
        <w:rPr>
          <w:color w:val="000000" w:themeColor="text1"/>
          <w:sz w:val="28"/>
          <w:szCs w:val="28"/>
        </w:rPr>
        <w:t>,</w:t>
      </w:r>
      <w:r w:rsidR="00C65105" w:rsidRPr="00793402">
        <w:rPr>
          <w:color w:val="000000" w:themeColor="text1"/>
          <w:sz w:val="28"/>
          <w:szCs w:val="28"/>
        </w:rPr>
        <w:t xml:space="preserve"> la jurisprudencia constitucional</w:t>
      </w:r>
      <w:r w:rsidR="00C65105" w:rsidRPr="00793402">
        <w:rPr>
          <w:rStyle w:val="Refdenotaalpie"/>
          <w:color w:val="000000" w:themeColor="text1"/>
          <w:sz w:val="28"/>
          <w:szCs w:val="28"/>
        </w:rPr>
        <w:footnoteReference w:id="134"/>
      </w:r>
      <w:r w:rsidR="00A70FAD" w:rsidRPr="00793402">
        <w:rPr>
          <w:color w:val="000000" w:themeColor="text1"/>
          <w:sz w:val="28"/>
          <w:szCs w:val="28"/>
        </w:rPr>
        <w:t xml:space="preserve"> y sus funciones legales</w:t>
      </w:r>
      <w:r w:rsidR="00A70FAD" w:rsidRPr="00793402">
        <w:rPr>
          <w:rStyle w:val="Refdenotaalpie"/>
          <w:color w:val="000000" w:themeColor="text1"/>
          <w:sz w:val="28"/>
          <w:szCs w:val="28"/>
        </w:rPr>
        <w:footnoteReference w:id="135"/>
      </w:r>
      <w:r w:rsidR="00C65105" w:rsidRPr="00793402">
        <w:rPr>
          <w:color w:val="000000" w:themeColor="text1"/>
          <w:sz w:val="28"/>
          <w:szCs w:val="28"/>
        </w:rPr>
        <w:t xml:space="preserve">. </w:t>
      </w:r>
      <w:r w:rsidR="00D84249" w:rsidRPr="00793402">
        <w:rPr>
          <w:color w:val="000000" w:themeColor="text1"/>
          <w:sz w:val="28"/>
          <w:szCs w:val="28"/>
        </w:rPr>
        <w:t>Esta</w:t>
      </w:r>
      <w:r w:rsidR="00A70FAD" w:rsidRPr="00793402">
        <w:rPr>
          <w:color w:val="000000" w:themeColor="text1"/>
          <w:sz w:val="28"/>
          <w:szCs w:val="28"/>
        </w:rPr>
        <w:t>s</w:t>
      </w:r>
      <w:r w:rsidR="00D84249" w:rsidRPr="00793402">
        <w:rPr>
          <w:color w:val="000000" w:themeColor="text1"/>
          <w:sz w:val="28"/>
          <w:szCs w:val="28"/>
        </w:rPr>
        <w:t xml:space="preserve"> </w:t>
      </w:r>
      <w:r w:rsidR="00A70FAD" w:rsidRPr="00793402">
        <w:rPr>
          <w:color w:val="000000" w:themeColor="text1"/>
          <w:sz w:val="28"/>
          <w:szCs w:val="28"/>
        </w:rPr>
        <w:t>omisiones</w:t>
      </w:r>
      <w:r w:rsidR="00D84249" w:rsidRPr="00793402">
        <w:rPr>
          <w:color w:val="000000" w:themeColor="text1"/>
          <w:sz w:val="28"/>
          <w:szCs w:val="28"/>
        </w:rPr>
        <w:t xml:space="preserve"> repercuti</w:t>
      </w:r>
      <w:r w:rsidR="00A70FAD" w:rsidRPr="00793402">
        <w:rPr>
          <w:color w:val="000000" w:themeColor="text1"/>
          <w:sz w:val="28"/>
          <w:szCs w:val="28"/>
        </w:rPr>
        <w:t>eron</w:t>
      </w:r>
      <w:r w:rsidR="00D84249" w:rsidRPr="00793402">
        <w:rPr>
          <w:color w:val="000000" w:themeColor="text1"/>
          <w:sz w:val="28"/>
          <w:szCs w:val="28"/>
        </w:rPr>
        <w:t xml:space="preserve"> </w:t>
      </w:r>
      <w:r w:rsidR="00D84249" w:rsidRPr="00793402">
        <w:rPr>
          <w:color w:val="000000" w:themeColor="text1"/>
          <w:sz w:val="28"/>
          <w:szCs w:val="28"/>
        </w:rPr>
        <w:lastRenderedPageBreak/>
        <w:t xml:space="preserve">negativamente en la demandante porque impidió que le fuera reconocida su calidad de </w:t>
      </w:r>
      <w:proofErr w:type="spellStart"/>
      <w:r w:rsidR="00D84249" w:rsidRPr="00793402">
        <w:rPr>
          <w:color w:val="000000" w:themeColor="text1"/>
          <w:sz w:val="28"/>
          <w:szCs w:val="28"/>
        </w:rPr>
        <w:t>prepensionada</w:t>
      </w:r>
      <w:proofErr w:type="spellEnd"/>
      <w:r w:rsidR="00D84249" w:rsidRPr="00793402">
        <w:rPr>
          <w:color w:val="000000" w:themeColor="text1"/>
          <w:sz w:val="28"/>
          <w:szCs w:val="28"/>
        </w:rPr>
        <w:t xml:space="preserve"> por parte de la SED</w:t>
      </w:r>
      <w:r w:rsidR="00D84249" w:rsidRPr="00793402">
        <w:rPr>
          <w:rStyle w:val="Refdenotaalpie"/>
          <w:color w:val="000000" w:themeColor="text1"/>
          <w:sz w:val="28"/>
          <w:szCs w:val="28"/>
        </w:rPr>
        <w:footnoteReference w:id="136"/>
      </w:r>
      <w:r w:rsidR="00D84249" w:rsidRPr="00793402">
        <w:rPr>
          <w:color w:val="000000" w:themeColor="text1"/>
          <w:sz w:val="28"/>
          <w:szCs w:val="28"/>
        </w:rPr>
        <w:t>.</w:t>
      </w:r>
      <w:r w:rsidR="00174CFA" w:rsidRPr="00793402">
        <w:rPr>
          <w:color w:val="000000" w:themeColor="text1"/>
          <w:sz w:val="28"/>
          <w:szCs w:val="28"/>
        </w:rPr>
        <w:t xml:space="preserve"> En efecto, el número de semanas reportadas en la historia laboral (1081,71) no tuvo en cuenta el periodo comprendido entre el 15 de mayo de 1998 y el 30 septiembre de 2002 el cual equivale a 228,3 semanas que la actora cotizó a pensión. </w:t>
      </w:r>
      <w:r w:rsidR="00F70EC1" w:rsidRPr="00793402">
        <w:rPr>
          <w:color w:val="000000" w:themeColor="text1"/>
          <w:sz w:val="28"/>
          <w:szCs w:val="28"/>
        </w:rPr>
        <w:t xml:space="preserve">Periodo que fue reconocido por la administradora de pensiones y que solamente está pendiente de la validación de posibles dobles aportes por parte del empleador en ese lapso de tiempo. </w:t>
      </w:r>
      <w:r w:rsidR="00174CFA" w:rsidRPr="00793402">
        <w:rPr>
          <w:color w:val="000000" w:themeColor="text1"/>
          <w:sz w:val="28"/>
          <w:szCs w:val="28"/>
        </w:rPr>
        <w:t>Esta situación configura un déficit de protección en las garantías superiores de la demandante, específicamente las relacionadas con sus derechos fundamentales a la seguridad social, la dignidad humana y el mínimo vital, lo cual es intolerable en términos constitucionales</w:t>
      </w:r>
      <w:r w:rsidR="00E515C6" w:rsidRPr="00793402">
        <w:rPr>
          <w:color w:val="000000" w:themeColor="text1"/>
          <w:sz w:val="28"/>
          <w:szCs w:val="28"/>
        </w:rPr>
        <w:t>.</w:t>
      </w:r>
    </w:p>
    <w:p w14:paraId="7F4E76CD" w14:textId="77777777" w:rsidR="00E515C6" w:rsidRPr="00793402" w:rsidRDefault="00E515C6" w:rsidP="00174CFA">
      <w:pPr>
        <w:shd w:val="clear" w:color="auto" w:fill="FFFFFF"/>
        <w:tabs>
          <w:tab w:val="left" w:pos="284"/>
        </w:tabs>
        <w:jc w:val="both"/>
        <w:rPr>
          <w:color w:val="000000" w:themeColor="text1"/>
          <w:sz w:val="28"/>
          <w:szCs w:val="28"/>
        </w:rPr>
      </w:pPr>
    </w:p>
    <w:p w14:paraId="7D71B220" w14:textId="2AA2AA16" w:rsidR="00146837" w:rsidRPr="00793402" w:rsidRDefault="001E5C39" w:rsidP="00174CFA">
      <w:pPr>
        <w:shd w:val="clear" w:color="auto" w:fill="FFFFFF"/>
        <w:tabs>
          <w:tab w:val="left" w:pos="284"/>
        </w:tabs>
        <w:jc w:val="both"/>
        <w:rPr>
          <w:color w:val="000000" w:themeColor="text1"/>
          <w:sz w:val="28"/>
          <w:szCs w:val="28"/>
        </w:rPr>
      </w:pPr>
      <w:r w:rsidRPr="00793402">
        <w:rPr>
          <w:color w:val="000000" w:themeColor="text1"/>
          <w:sz w:val="28"/>
          <w:szCs w:val="28"/>
        </w:rPr>
        <w:t>51</w:t>
      </w:r>
      <w:r w:rsidR="007033DA" w:rsidRPr="00793402">
        <w:rPr>
          <w:color w:val="000000" w:themeColor="text1"/>
          <w:sz w:val="28"/>
          <w:szCs w:val="28"/>
        </w:rPr>
        <w:t xml:space="preserve">. </w:t>
      </w:r>
      <w:r w:rsidR="00E515C6" w:rsidRPr="00793402">
        <w:rPr>
          <w:color w:val="000000" w:themeColor="text1"/>
          <w:sz w:val="28"/>
          <w:szCs w:val="28"/>
        </w:rPr>
        <w:t>De igual forma</w:t>
      </w:r>
      <w:r w:rsidR="00A70FAD" w:rsidRPr="00793402">
        <w:rPr>
          <w:color w:val="000000" w:themeColor="text1"/>
          <w:sz w:val="28"/>
          <w:szCs w:val="28"/>
        </w:rPr>
        <w:t>, el artículo 53 de la ley 100 de 1993</w:t>
      </w:r>
      <w:r w:rsidR="00A70FAD" w:rsidRPr="00793402">
        <w:rPr>
          <w:rStyle w:val="Refdenotaalpie"/>
          <w:color w:val="000000" w:themeColor="text1"/>
          <w:sz w:val="28"/>
          <w:szCs w:val="28"/>
        </w:rPr>
        <w:footnoteReference w:id="137"/>
      </w:r>
      <w:r w:rsidR="00A70FAD" w:rsidRPr="00793402">
        <w:rPr>
          <w:color w:val="000000" w:themeColor="text1"/>
          <w:sz w:val="28"/>
          <w:szCs w:val="28"/>
        </w:rPr>
        <w:t xml:space="preserve"> concede a C</w:t>
      </w:r>
      <w:r w:rsidR="00042644" w:rsidRPr="00793402">
        <w:rPr>
          <w:color w:val="000000" w:themeColor="text1"/>
          <w:sz w:val="28"/>
          <w:szCs w:val="28"/>
        </w:rPr>
        <w:t>OLPENSIONES</w:t>
      </w:r>
      <w:r w:rsidR="00A70FAD" w:rsidRPr="00793402">
        <w:rPr>
          <w:color w:val="000000" w:themeColor="text1"/>
          <w:sz w:val="28"/>
          <w:szCs w:val="28"/>
        </w:rPr>
        <w:t xml:space="preserve"> las facultades para requerir al empleador para que rindan informes </w:t>
      </w:r>
      <w:r w:rsidR="00CF29BE" w:rsidRPr="00793402">
        <w:rPr>
          <w:color w:val="000000" w:themeColor="text1"/>
          <w:sz w:val="28"/>
          <w:szCs w:val="28"/>
        </w:rPr>
        <w:t xml:space="preserve">para garantizar el cumplimiento de sus funciones dentro del sistema pensional. </w:t>
      </w:r>
      <w:r w:rsidR="007033DA" w:rsidRPr="00793402">
        <w:rPr>
          <w:color w:val="000000" w:themeColor="text1"/>
          <w:sz w:val="28"/>
          <w:szCs w:val="28"/>
        </w:rPr>
        <w:t>En tal sentido, a pesar de que el 28 de octubre de 2021</w:t>
      </w:r>
      <w:r w:rsidR="00146837" w:rsidRPr="00793402">
        <w:rPr>
          <w:rStyle w:val="Refdenotaalpie"/>
          <w:color w:val="000000" w:themeColor="text1"/>
          <w:sz w:val="28"/>
          <w:szCs w:val="28"/>
        </w:rPr>
        <w:footnoteReference w:id="138"/>
      </w:r>
      <w:r w:rsidR="007033DA" w:rsidRPr="00793402">
        <w:rPr>
          <w:color w:val="000000" w:themeColor="text1"/>
          <w:sz w:val="28"/>
          <w:szCs w:val="28"/>
        </w:rPr>
        <w:t xml:space="preserve">, </w:t>
      </w:r>
      <w:r w:rsidR="00940AF8" w:rsidRPr="00793402">
        <w:rPr>
          <w:color w:val="000000" w:themeColor="text1"/>
          <w:sz w:val="28"/>
          <w:szCs w:val="28"/>
        </w:rPr>
        <w:t>C</w:t>
      </w:r>
      <w:r w:rsidR="00042644" w:rsidRPr="00793402">
        <w:rPr>
          <w:color w:val="000000" w:themeColor="text1"/>
          <w:sz w:val="28"/>
          <w:szCs w:val="28"/>
        </w:rPr>
        <w:t>OLPENSIONES</w:t>
      </w:r>
      <w:r w:rsidR="007033DA" w:rsidRPr="00793402">
        <w:rPr>
          <w:color w:val="000000" w:themeColor="text1"/>
          <w:sz w:val="28"/>
          <w:szCs w:val="28"/>
        </w:rPr>
        <w:t xml:space="preserve"> solicitó a la SED aclarar</w:t>
      </w:r>
      <w:r w:rsidR="00146837" w:rsidRPr="00793402">
        <w:rPr>
          <w:color w:val="000000" w:themeColor="text1"/>
          <w:sz w:val="28"/>
          <w:szCs w:val="28"/>
        </w:rPr>
        <w:t xml:space="preserve"> y ajustar la información certificada en relación con algunos periodos en los que existe aportes a pensión tanto al ISS como a </w:t>
      </w:r>
      <w:r w:rsidR="00940AF8" w:rsidRPr="00793402">
        <w:rPr>
          <w:color w:val="000000" w:themeColor="text1"/>
          <w:sz w:val="28"/>
          <w:szCs w:val="28"/>
        </w:rPr>
        <w:t>C</w:t>
      </w:r>
      <w:r w:rsidR="0097714A" w:rsidRPr="00793402">
        <w:rPr>
          <w:color w:val="000000" w:themeColor="text1"/>
          <w:sz w:val="28"/>
          <w:szCs w:val="28"/>
        </w:rPr>
        <w:t>AJANAL</w:t>
      </w:r>
      <w:r w:rsidR="00146837" w:rsidRPr="00793402">
        <w:rPr>
          <w:color w:val="000000" w:themeColor="text1"/>
          <w:sz w:val="28"/>
          <w:szCs w:val="28"/>
        </w:rPr>
        <w:t xml:space="preserve"> y que tal entidad no atendió el requerimiento</w:t>
      </w:r>
      <w:r w:rsidR="00F7758F" w:rsidRPr="00793402">
        <w:rPr>
          <w:color w:val="000000" w:themeColor="text1"/>
          <w:sz w:val="28"/>
          <w:szCs w:val="28"/>
        </w:rPr>
        <w:t>. La</w:t>
      </w:r>
      <w:r w:rsidR="007033DA" w:rsidRPr="00793402">
        <w:rPr>
          <w:color w:val="000000" w:themeColor="text1"/>
          <w:sz w:val="28"/>
          <w:szCs w:val="28"/>
        </w:rPr>
        <w:t xml:space="preserve"> Sala observa que la administradora de pensiones c</w:t>
      </w:r>
      <w:r w:rsidR="00E515C6" w:rsidRPr="00793402">
        <w:rPr>
          <w:color w:val="000000" w:themeColor="text1"/>
          <w:sz w:val="28"/>
          <w:szCs w:val="28"/>
        </w:rPr>
        <w:t>ontaba</w:t>
      </w:r>
      <w:r w:rsidR="007033DA" w:rsidRPr="00793402">
        <w:rPr>
          <w:color w:val="000000" w:themeColor="text1"/>
          <w:sz w:val="28"/>
          <w:szCs w:val="28"/>
        </w:rPr>
        <w:t xml:space="preserve"> con los mecanismos jurídicos </w:t>
      </w:r>
      <w:r w:rsidR="00146837" w:rsidRPr="00793402">
        <w:rPr>
          <w:color w:val="000000" w:themeColor="text1"/>
          <w:sz w:val="28"/>
          <w:szCs w:val="28"/>
        </w:rPr>
        <w:t xml:space="preserve">suficientes para </w:t>
      </w:r>
      <w:r w:rsidR="00DA7798" w:rsidRPr="00793402">
        <w:rPr>
          <w:color w:val="000000" w:themeColor="text1"/>
          <w:sz w:val="28"/>
          <w:szCs w:val="28"/>
        </w:rPr>
        <w:t>requerir</w:t>
      </w:r>
      <w:r w:rsidR="00146837" w:rsidRPr="00793402">
        <w:rPr>
          <w:color w:val="000000" w:themeColor="text1"/>
          <w:sz w:val="28"/>
          <w:szCs w:val="28"/>
        </w:rPr>
        <w:t xml:space="preserve"> al empleador </w:t>
      </w:r>
      <w:r w:rsidR="00DA7798" w:rsidRPr="00793402">
        <w:rPr>
          <w:color w:val="000000" w:themeColor="text1"/>
          <w:sz w:val="28"/>
          <w:szCs w:val="28"/>
        </w:rPr>
        <w:t>sobre</w:t>
      </w:r>
      <w:r w:rsidR="00146837" w:rsidRPr="00793402">
        <w:rPr>
          <w:color w:val="000000" w:themeColor="text1"/>
          <w:sz w:val="28"/>
          <w:szCs w:val="28"/>
        </w:rPr>
        <w:t xml:space="preserve"> las cotizaciones aportadas al sistema</w:t>
      </w:r>
      <w:r w:rsidR="00E515C6" w:rsidRPr="00793402">
        <w:rPr>
          <w:color w:val="000000" w:themeColor="text1"/>
          <w:sz w:val="28"/>
          <w:szCs w:val="28"/>
        </w:rPr>
        <w:t xml:space="preserve"> y actualizar la información laboral de la accionante</w:t>
      </w:r>
      <w:r w:rsidR="00146837" w:rsidRPr="00793402">
        <w:rPr>
          <w:color w:val="000000" w:themeColor="text1"/>
          <w:sz w:val="28"/>
          <w:szCs w:val="28"/>
        </w:rPr>
        <w:t>.</w:t>
      </w:r>
      <w:r w:rsidR="00DA7798" w:rsidRPr="00793402">
        <w:rPr>
          <w:color w:val="000000" w:themeColor="text1"/>
          <w:sz w:val="28"/>
          <w:szCs w:val="28"/>
        </w:rPr>
        <w:t xml:space="preserve"> </w:t>
      </w:r>
      <w:r w:rsidR="00747A72" w:rsidRPr="00793402">
        <w:rPr>
          <w:color w:val="000000" w:themeColor="text1"/>
          <w:sz w:val="28"/>
          <w:szCs w:val="28"/>
        </w:rPr>
        <w:t>Por lo tanto</w:t>
      </w:r>
      <w:r w:rsidR="00DA7798" w:rsidRPr="00793402">
        <w:rPr>
          <w:color w:val="000000" w:themeColor="text1"/>
          <w:sz w:val="28"/>
          <w:szCs w:val="28"/>
        </w:rPr>
        <w:t xml:space="preserve">, no es posible alegar que el empleador no atendió la solicitud realizada por esa entidad para persistir en la desactualización de la historia laboral de la accionante. Esta actuación es contraria a los principios de veracidad y buena fe, pues </w:t>
      </w:r>
      <w:r w:rsidR="00E515C6" w:rsidRPr="00793402">
        <w:rPr>
          <w:color w:val="000000" w:themeColor="text1"/>
          <w:sz w:val="28"/>
          <w:szCs w:val="28"/>
        </w:rPr>
        <w:t>la falta de ejercicio</w:t>
      </w:r>
      <w:r w:rsidR="00DA7798" w:rsidRPr="00793402">
        <w:rPr>
          <w:color w:val="000000" w:themeColor="text1"/>
          <w:sz w:val="28"/>
          <w:szCs w:val="28"/>
        </w:rPr>
        <w:t xml:space="preserve"> de </w:t>
      </w:r>
      <w:r w:rsidR="00166F2F" w:rsidRPr="00793402">
        <w:rPr>
          <w:color w:val="000000" w:themeColor="text1"/>
          <w:sz w:val="28"/>
          <w:szCs w:val="28"/>
        </w:rPr>
        <w:t>dicha</w:t>
      </w:r>
      <w:r w:rsidR="00DA7798" w:rsidRPr="00793402">
        <w:rPr>
          <w:color w:val="000000" w:themeColor="text1"/>
          <w:sz w:val="28"/>
          <w:szCs w:val="28"/>
        </w:rPr>
        <w:t xml:space="preserve"> facultad no puede representar una </w:t>
      </w:r>
      <w:r w:rsidR="00747A72" w:rsidRPr="00793402">
        <w:rPr>
          <w:color w:val="000000" w:themeColor="text1"/>
          <w:sz w:val="28"/>
          <w:szCs w:val="28"/>
        </w:rPr>
        <w:t>consecuencia</w:t>
      </w:r>
      <w:r w:rsidR="00DA7798" w:rsidRPr="00793402">
        <w:rPr>
          <w:color w:val="000000" w:themeColor="text1"/>
          <w:sz w:val="28"/>
          <w:szCs w:val="28"/>
        </w:rPr>
        <w:t xml:space="preserve"> negativa para l</w:t>
      </w:r>
      <w:r w:rsidR="00E515C6" w:rsidRPr="00793402">
        <w:rPr>
          <w:color w:val="000000" w:themeColor="text1"/>
          <w:sz w:val="28"/>
          <w:szCs w:val="28"/>
        </w:rPr>
        <w:t>os derechos fundamentales de la</w:t>
      </w:r>
      <w:r w:rsidR="00DA7798" w:rsidRPr="00793402">
        <w:rPr>
          <w:color w:val="000000" w:themeColor="text1"/>
          <w:sz w:val="28"/>
          <w:szCs w:val="28"/>
        </w:rPr>
        <w:t xml:space="preserve"> demandante.</w:t>
      </w:r>
    </w:p>
    <w:p w14:paraId="0BD7F1AB" w14:textId="77777777" w:rsidR="00174CFA" w:rsidRPr="00793402" w:rsidRDefault="00174CFA" w:rsidP="009A31B0">
      <w:pPr>
        <w:shd w:val="clear" w:color="auto" w:fill="FFFFFF"/>
        <w:tabs>
          <w:tab w:val="left" w:pos="284"/>
        </w:tabs>
        <w:jc w:val="both"/>
        <w:rPr>
          <w:color w:val="000000" w:themeColor="text1"/>
          <w:sz w:val="28"/>
          <w:szCs w:val="28"/>
        </w:rPr>
      </w:pPr>
    </w:p>
    <w:p w14:paraId="6E63E0FC" w14:textId="004D909A" w:rsidR="00812A2A" w:rsidRPr="00793402" w:rsidRDefault="001E5C39" w:rsidP="00812A2A">
      <w:pPr>
        <w:shd w:val="clear" w:color="auto" w:fill="FFFFFF"/>
        <w:tabs>
          <w:tab w:val="left" w:pos="284"/>
        </w:tabs>
        <w:jc w:val="both"/>
        <w:rPr>
          <w:color w:val="000000" w:themeColor="text1"/>
          <w:sz w:val="28"/>
          <w:szCs w:val="28"/>
        </w:rPr>
      </w:pPr>
      <w:r w:rsidRPr="00793402">
        <w:rPr>
          <w:color w:val="000000" w:themeColor="text1"/>
          <w:sz w:val="28"/>
          <w:szCs w:val="28"/>
        </w:rPr>
        <w:t>52</w:t>
      </w:r>
      <w:r w:rsidR="00812A2A" w:rsidRPr="00793402">
        <w:rPr>
          <w:color w:val="000000" w:themeColor="text1"/>
          <w:sz w:val="28"/>
          <w:szCs w:val="28"/>
        </w:rPr>
        <w:t xml:space="preserve">. Por otro lado, la SED también afectó las garantías </w:t>
      </w:r>
      <w:r w:rsidR="00812A2A" w:rsidRPr="00793402">
        <w:rPr>
          <w:i/>
          <w:iCs/>
          <w:color w:val="000000" w:themeColor="text1"/>
          <w:sz w:val="28"/>
          <w:szCs w:val="28"/>
        </w:rPr>
        <w:t>ius fundamentales</w:t>
      </w:r>
      <w:r w:rsidR="00812A2A" w:rsidRPr="00793402">
        <w:rPr>
          <w:color w:val="000000" w:themeColor="text1"/>
          <w:sz w:val="28"/>
          <w:szCs w:val="28"/>
        </w:rPr>
        <w:t xml:space="preserve"> de la actora. La Sala observa que dicha entidad conocía de las inconsistencias en la historia laboral de la </w:t>
      </w:r>
      <w:r w:rsidR="00F86ABC" w:rsidRPr="00793402">
        <w:rPr>
          <w:color w:val="000000" w:themeColor="text1"/>
          <w:sz w:val="28"/>
          <w:szCs w:val="28"/>
        </w:rPr>
        <w:t>demandante</w:t>
      </w:r>
      <w:r w:rsidR="00812A2A" w:rsidRPr="00793402">
        <w:rPr>
          <w:color w:val="000000" w:themeColor="text1"/>
          <w:sz w:val="28"/>
          <w:szCs w:val="28"/>
        </w:rPr>
        <w:t xml:space="preserve">, en relación con las semanas del periodo que va de mayo de 1998 hasta septiembre de 2002, cuyas cotizaciones estuvieron a </w:t>
      </w:r>
      <w:r w:rsidR="00812A2A" w:rsidRPr="00793402">
        <w:rPr>
          <w:color w:val="000000" w:themeColor="text1"/>
          <w:sz w:val="28"/>
          <w:szCs w:val="28"/>
        </w:rPr>
        <w:lastRenderedPageBreak/>
        <w:t>su cargo. Tal situación le fue comunicada por la administradora de pensiones el 28 de octubre de 2021</w:t>
      </w:r>
      <w:r w:rsidR="00812A2A" w:rsidRPr="00793402">
        <w:rPr>
          <w:rStyle w:val="Refdenotaalpie"/>
          <w:color w:val="000000" w:themeColor="text1"/>
          <w:sz w:val="28"/>
          <w:szCs w:val="28"/>
        </w:rPr>
        <w:footnoteReference w:id="139"/>
      </w:r>
      <w:r w:rsidR="00812A2A" w:rsidRPr="00793402">
        <w:rPr>
          <w:color w:val="000000" w:themeColor="text1"/>
          <w:sz w:val="28"/>
          <w:szCs w:val="28"/>
        </w:rPr>
        <w:t xml:space="preserve">. Sin embargo, no desplegó ninguna acción para aclarar </w:t>
      </w:r>
      <w:r w:rsidR="00501176" w:rsidRPr="00793402">
        <w:rPr>
          <w:color w:val="000000" w:themeColor="text1"/>
          <w:sz w:val="28"/>
          <w:szCs w:val="28"/>
        </w:rPr>
        <w:t xml:space="preserve">la </w:t>
      </w:r>
      <w:r w:rsidR="00E515C6" w:rsidRPr="00793402">
        <w:rPr>
          <w:color w:val="000000" w:themeColor="text1"/>
          <w:sz w:val="28"/>
          <w:szCs w:val="28"/>
        </w:rPr>
        <w:t>información sobre los aportes</w:t>
      </w:r>
      <w:r w:rsidR="00501176" w:rsidRPr="00793402">
        <w:rPr>
          <w:color w:val="000000" w:themeColor="text1"/>
          <w:sz w:val="28"/>
          <w:szCs w:val="28"/>
        </w:rPr>
        <w:t xml:space="preserve"> </w:t>
      </w:r>
      <w:r w:rsidR="00812A2A" w:rsidRPr="00793402">
        <w:rPr>
          <w:color w:val="000000" w:themeColor="text1"/>
          <w:sz w:val="28"/>
          <w:szCs w:val="28"/>
        </w:rPr>
        <w:t>de la actora</w:t>
      </w:r>
      <w:r w:rsidR="00812A2A" w:rsidRPr="00793402">
        <w:rPr>
          <w:rStyle w:val="Refdenotaalpie"/>
          <w:color w:val="000000" w:themeColor="text1"/>
          <w:sz w:val="28"/>
          <w:szCs w:val="28"/>
        </w:rPr>
        <w:footnoteReference w:id="140"/>
      </w:r>
      <w:r w:rsidR="00812A2A" w:rsidRPr="00793402">
        <w:rPr>
          <w:color w:val="000000" w:themeColor="text1"/>
          <w:sz w:val="28"/>
          <w:szCs w:val="28"/>
        </w:rPr>
        <w:t xml:space="preserve">. Por lo anterior, la Sala considera que la SED no </w:t>
      </w:r>
      <w:r w:rsidR="00F70EC1" w:rsidRPr="00793402">
        <w:rPr>
          <w:color w:val="000000" w:themeColor="text1"/>
          <w:sz w:val="28"/>
          <w:szCs w:val="28"/>
        </w:rPr>
        <w:t>observó</w:t>
      </w:r>
      <w:r w:rsidR="00812A2A" w:rsidRPr="00793402">
        <w:rPr>
          <w:color w:val="000000" w:themeColor="text1"/>
          <w:sz w:val="28"/>
          <w:szCs w:val="28"/>
        </w:rPr>
        <w:t xml:space="preserve"> la obligación que tiene de </w:t>
      </w:r>
      <w:r w:rsidR="00CF29BE" w:rsidRPr="00793402">
        <w:rPr>
          <w:color w:val="000000" w:themeColor="text1"/>
          <w:sz w:val="28"/>
          <w:szCs w:val="28"/>
        </w:rPr>
        <w:t>atender oportunamente los requerimientos que sobre la revisión de la historia laboral realice el fondo pensional</w:t>
      </w:r>
      <w:r w:rsidR="00CF29BE" w:rsidRPr="00793402">
        <w:rPr>
          <w:rStyle w:val="Refdenotaalpie"/>
          <w:color w:val="000000" w:themeColor="text1"/>
          <w:sz w:val="28"/>
          <w:szCs w:val="28"/>
        </w:rPr>
        <w:footnoteReference w:id="141"/>
      </w:r>
      <w:r w:rsidR="00812A2A" w:rsidRPr="00793402">
        <w:rPr>
          <w:color w:val="000000" w:themeColor="text1"/>
          <w:sz w:val="28"/>
          <w:szCs w:val="28"/>
        </w:rPr>
        <w:t>. Tal omisión afectó los derechos a la seguridad social, al mínimo vital</w:t>
      </w:r>
      <w:r w:rsidR="00F70EC1" w:rsidRPr="00793402">
        <w:rPr>
          <w:color w:val="000000" w:themeColor="text1"/>
          <w:sz w:val="28"/>
          <w:szCs w:val="28"/>
        </w:rPr>
        <w:t>, a la estabilidad laboral reforzada, al trabajo</w:t>
      </w:r>
      <w:r w:rsidR="00812A2A" w:rsidRPr="00793402">
        <w:rPr>
          <w:color w:val="000000" w:themeColor="text1"/>
          <w:sz w:val="28"/>
          <w:szCs w:val="28"/>
        </w:rPr>
        <w:t xml:space="preserve"> y a la dignidad humana de la actora porque impidió su continuidad laboral en la entidad.</w:t>
      </w:r>
    </w:p>
    <w:p w14:paraId="5BD6CA9A" w14:textId="662DBCFB" w:rsidR="006779BA" w:rsidRPr="00793402" w:rsidRDefault="006779BA" w:rsidP="006779BA">
      <w:pPr>
        <w:shd w:val="clear" w:color="auto" w:fill="FFFFFF"/>
        <w:tabs>
          <w:tab w:val="left" w:pos="284"/>
        </w:tabs>
        <w:jc w:val="both"/>
        <w:rPr>
          <w:color w:val="000000" w:themeColor="text1"/>
          <w:sz w:val="28"/>
          <w:szCs w:val="28"/>
        </w:rPr>
      </w:pPr>
    </w:p>
    <w:p w14:paraId="5A2750D5" w14:textId="50AD78A7" w:rsidR="006779BA" w:rsidRPr="00793402" w:rsidRDefault="00DA7798" w:rsidP="006779BA">
      <w:pPr>
        <w:shd w:val="clear" w:color="auto" w:fill="FFFFFF"/>
        <w:tabs>
          <w:tab w:val="left" w:pos="284"/>
        </w:tabs>
        <w:jc w:val="both"/>
        <w:rPr>
          <w:b/>
          <w:bCs/>
          <w:i/>
          <w:iCs/>
          <w:color w:val="000000" w:themeColor="text1"/>
          <w:sz w:val="28"/>
          <w:szCs w:val="28"/>
        </w:rPr>
      </w:pPr>
      <w:r w:rsidRPr="00793402">
        <w:rPr>
          <w:b/>
          <w:bCs/>
          <w:i/>
          <w:iCs/>
          <w:color w:val="000000" w:themeColor="text1"/>
          <w:sz w:val="28"/>
          <w:szCs w:val="28"/>
        </w:rPr>
        <w:t xml:space="preserve">La inconsistencia en la historia laboral de la actora afectó su condición de </w:t>
      </w:r>
      <w:proofErr w:type="spellStart"/>
      <w:r w:rsidRPr="00793402">
        <w:rPr>
          <w:b/>
          <w:bCs/>
          <w:i/>
          <w:iCs/>
          <w:color w:val="000000" w:themeColor="text1"/>
          <w:sz w:val="28"/>
          <w:szCs w:val="28"/>
        </w:rPr>
        <w:t>prepensionada</w:t>
      </w:r>
      <w:proofErr w:type="spellEnd"/>
    </w:p>
    <w:p w14:paraId="3154E1E2" w14:textId="77777777" w:rsidR="006779BA" w:rsidRPr="00793402" w:rsidRDefault="006779BA" w:rsidP="006779BA">
      <w:pPr>
        <w:shd w:val="clear" w:color="auto" w:fill="FFFFFF"/>
        <w:tabs>
          <w:tab w:val="left" w:pos="284"/>
        </w:tabs>
        <w:jc w:val="both"/>
        <w:rPr>
          <w:b/>
          <w:bCs/>
          <w:i/>
          <w:iCs/>
          <w:color w:val="000000" w:themeColor="text1"/>
          <w:sz w:val="28"/>
          <w:szCs w:val="28"/>
        </w:rPr>
      </w:pPr>
    </w:p>
    <w:p w14:paraId="2EAB8403" w14:textId="29FA76C9" w:rsidR="00AF68F7" w:rsidRPr="00793402" w:rsidRDefault="00605A9B" w:rsidP="0027362C">
      <w:pPr>
        <w:shd w:val="clear" w:color="auto" w:fill="FFFFFF"/>
        <w:tabs>
          <w:tab w:val="left" w:pos="284"/>
        </w:tabs>
        <w:jc w:val="both"/>
        <w:rPr>
          <w:color w:val="000000" w:themeColor="text1"/>
          <w:sz w:val="28"/>
          <w:szCs w:val="28"/>
        </w:rPr>
      </w:pPr>
      <w:r w:rsidRPr="00793402">
        <w:rPr>
          <w:color w:val="000000" w:themeColor="text1"/>
          <w:sz w:val="28"/>
          <w:szCs w:val="28"/>
        </w:rPr>
        <w:t>5</w:t>
      </w:r>
      <w:r w:rsidR="001E5C39" w:rsidRPr="00793402">
        <w:rPr>
          <w:color w:val="000000" w:themeColor="text1"/>
          <w:sz w:val="28"/>
          <w:szCs w:val="28"/>
        </w:rPr>
        <w:t>3</w:t>
      </w:r>
      <w:r w:rsidR="003F1F6C" w:rsidRPr="00793402">
        <w:rPr>
          <w:color w:val="000000" w:themeColor="text1"/>
          <w:sz w:val="28"/>
          <w:szCs w:val="28"/>
        </w:rPr>
        <w:t>.</w:t>
      </w:r>
      <w:r w:rsidR="00E515C6" w:rsidRPr="00793402">
        <w:rPr>
          <w:color w:val="000000" w:themeColor="text1"/>
          <w:sz w:val="28"/>
          <w:szCs w:val="28"/>
        </w:rPr>
        <w:t xml:space="preserve"> A partir de</w:t>
      </w:r>
      <w:r w:rsidR="003F7BE7" w:rsidRPr="00793402">
        <w:rPr>
          <w:color w:val="000000" w:themeColor="text1"/>
          <w:sz w:val="28"/>
          <w:szCs w:val="28"/>
        </w:rPr>
        <w:t xml:space="preserve"> que la historia laboral de la accionante present</w:t>
      </w:r>
      <w:r w:rsidR="00F7758F" w:rsidRPr="00793402">
        <w:rPr>
          <w:color w:val="000000" w:themeColor="text1"/>
          <w:sz w:val="28"/>
          <w:szCs w:val="28"/>
        </w:rPr>
        <w:t>ó</w:t>
      </w:r>
      <w:r w:rsidR="003F7BE7" w:rsidRPr="00793402">
        <w:rPr>
          <w:color w:val="000000" w:themeColor="text1"/>
          <w:sz w:val="28"/>
          <w:szCs w:val="28"/>
        </w:rPr>
        <w:t xml:space="preserve"> inconsistencias en relación con el número de semanas que efectivamente cotizó a pensión</w:t>
      </w:r>
      <w:r w:rsidR="00F7758F" w:rsidRPr="00793402">
        <w:rPr>
          <w:color w:val="000000" w:themeColor="text1"/>
          <w:sz w:val="28"/>
          <w:szCs w:val="28"/>
        </w:rPr>
        <w:t xml:space="preserve">, se presentó </w:t>
      </w:r>
      <w:r w:rsidR="00F70EC1" w:rsidRPr="00793402">
        <w:rPr>
          <w:color w:val="000000" w:themeColor="text1"/>
          <w:sz w:val="28"/>
          <w:szCs w:val="28"/>
        </w:rPr>
        <w:t xml:space="preserve">una </w:t>
      </w:r>
      <w:r w:rsidR="00F7758F" w:rsidRPr="00793402">
        <w:rPr>
          <w:color w:val="000000" w:themeColor="text1"/>
          <w:sz w:val="28"/>
          <w:szCs w:val="28"/>
        </w:rPr>
        <w:t>afectación a los derechos de la accionante</w:t>
      </w:r>
      <w:r w:rsidR="00E515C6" w:rsidRPr="00793402">
        <w:rPr>
          <w:color w:val="000000" w:themeColor="text1"/>
          <w:sz w:val="28"/>
          <w:szCs w:val="28"/>
        </w:rPr>
        <w:t>. Los documentos probatorios que obran en el expediente</w:t>
      </w:r>
      <w:r w:rsidR="00F7758F" w:rsidRPr="00793402">
        <w:rPr>
          <w:color w:val="000000" w:themeColor="text1"/>
          <w:sz w:val="28"/>
          <w:szCs w:val="28"/>
        </w:rPr>
        <w:t>,</w:t>
      </w:r>
      <w:r w:rsidR="00E515C6" w:rsidRPr="00793402">
        <w:rPr>
          <w:color w:val="000000" w:themeColor="text1"/>
          <w:sz w:val="28"/>
          <w:szCs w:val="28"/>
        </w:rPr>
        <w:t xml:space="preserve"> le permiten concluir a la Sala </w:t>
      </w:r>
      <w:r w:rsidR="003F7BE7" w:rsidRPr="00793402">
        <w:rPr>
          <w:color w:val="000000" w:themeColor="text1"/>
          <w:sz w:val="28"/>
          <w:szCs w:val="28"/>
        </w:rPr>
        <w:t xml:space="preserve">que aquella </w:t>
      </w:r>
      <w:r w:rsidR="00F7758F" w:rsidRPr="00793402">
        <w:rPr>
          <w:color w:val="000000" w:themeColor="text1"/>
          <w:sz w:val="28"/>
          <w:szCs w:val="28"/>
        </w:rPr>
        <w:t xml:space="preserve">reunía </w:t>
      </w:r>
      <w:r w:rsidR="003F7BE7" w:rsidRPr="00793402">
        <w:rPr>
          <w:color w:val="000000" w:themeColor="text1"/>
          <w:sz w:val="28"/>
          <w:szCs w:val="28"/>
        </w:rPr>
        <w:t xml:space="preserve">la condición de </w:t>
      </w:r>
      <w:proofErr w:type="spellStart"/>
      <w:r w:rsidR="003F7BE7" w:rsidRPr="00793402">
        <w:rPr>
          <w:color w:val="000000" w:themeColor="text1"/>
          <w:sz w:val="28"/>
          <w:szCs w:val="28"/>
        </w:rPr>
        <w:t>prepensionada</w:t>
      </w:r>
      <w:proofErr w:type="spellEnd"/>
      <w:r w:rsidR="003F7BE7" w:rsidRPr="00793402">
        <w:rPr>
          <w:color w:val="000000" w:themeColor="text1"/>
          <w:sz w:val="28"/>
          <w:szCs w:val="28"/>
        </w:rPr>
        <w:t xml:space="preserve">. </w:t>
      </w:r>
      <w:r w:rsidR="00E515C6" w:rsidRPr="00793402">
        <w:rPr>
          <w:color w:val="000000" w:themeColor="text1"/>
          <w:sz w:val="28"/>
          <w:szCs w:val="28"/>
        </w:rPr>
        <w:t xml:space="preserve">Lo anterior, porque </w:t>
      </w:r>
      <w:r w:rsidR="00747A72" w:rsidRPr="00793402">
        <w:rPr>
          <w:color w:val="000000" w:themeColor="text1"/>
          <w:sz w:val="28"/>
          <w:szCs w:val="28"/>
        </w:rPr>
        <w:t>está</w:t>
      </w:r>
      <w:r w:rsidR="00E515C6" w:rsidRPr="00793402">
        <w:rPr>
          <w:color w:val="000000" w:themeColor="text1"/>
          <w:sz w:val="28"/>
          <w:szCs w:val="28"/>
        </w:rPr>
        <w:t xml:space="preserve"> acreditado que al momento de la desvinculación, la actora </w:t>
      </w:r>
      <w:r w:rsidR="00AF68F7" w:rsidRPr="00793402">
        <w:rPr>
          <w:color w:val="000000" w:themeColor="text1"/>
          <w:sz w:val="28"/>
          <w:szCs w:val="28"/>
        </w:rPr>
        <w:t xml:space="preserve">contaba con 59 años y trabajó de manera continua </w:t>
      </w:r>
      <w:r w:rsidR="00F70EC1" w:rsidRPr="00793402">
        <w:rPr>
          <w:color w:val="000000" w:themeColor="text1"/>
          <w:sz w:val="28"/>
          <w:szCs w:val="28"/>
        </w:rPr>
        <w:t xml:space="preserve">en la SED </w:t>
      </w:r>
      <w:r w:rsidR="00AF68F7" w:rsidRPr="00793402">
        <w:rPr>
          <w:color w:val="000000" w:themeColor="text1"/>
          <w:sz w:val="28"/>
          <w:szCs w:val="28"/>
        </w:rPr>
        <w:t>entre el 15 de mayo de 1998 y el 15 de marzo de 2022</w:t>
      </w:r>
      <w:r w:rsidR="00AF68F7" w:rsidRPr="00793402">
        <w:rPr>
          <w:rStyle w:val="Refdenotaalpie"/>
          <w:color w:val="000000" w:themeColor="text1"/>
          <w:sz w:val="28"/>
          <w:szCs w:val="28"/>
          <w:lang w:eastAsia="es-CO"/>
        </w:rPr>
        <w:footnoteReference w:id="142"/>
      </w:r>
      <w:r w:rsidR="00AF68F7" w:rsidRPr="00793402">
        <w:rPr>
          <w:color w:val="000000" w:themeColor="text1"/>
          <w:sz w:val="28"/>
          <w:szCs w:val="28"/>
        </w:rPr>
        <w:t xml:space="preserve">. </w:t>
      </w:r>
      <w:r w:rsidR="00767FFE" w:rsidRPr="00793402">
        <w:rPr>
          <w:color w:val="000000" w:themeColor="text1"/>
          <w:sz w:val="28"/>
          <w:szCs w:val="28"/>
        </w:rPr>
        <w:t>Sin tener en cuenta los tiempos reportados en la historia laboral por parte de otros empleadores</w:t>
      </w:r>
      <w:r w:rsidR="00767FFE" w:rsidRPr="00793402">
        <w:rPr>
          <w:rStyle w:val="Refdenotaalpie"/>
          <w:color w:val="000000" w:themeColor="text1"/>
          <w:sz w:val="28"/>
          <w:szCs w:val="28"/>
        </w:rPr>
        <w:footnoteReference w:id="143"/>
      </w:r>
      <w:r w:rsidR="00767FFE" w:rsidRPr="00793402">
        <w:rPr>
          <w:color w:val="000000" w:themeColor="text1"/>
          <w:sz w:val="28"/>
          <w:szCs w:val="28"/>
        </w:rPr>
        <w:t>, tal</w:t>
      </w:r>
      <w:r w:rsidR="00AF68F7" w:rsidRPr="00793402">
        <w:rPr>
          <w:color w:val="000000" w:themeColor="text1"/>
          <w:sz w:val="28"/>
          <w:szCs w:val="28"/>
        </w:rPr>
        <w:t xml:space="preserve"> periodo</w:t>
      </w:r>
      <w:r w:rsidR="00940AF8" w:rsidRPr="00793402">
        <w:rPr>
          <w:rStyle w:val="Refdenotaalpie"/>
          <w:color w:val="000000" w:themeColor="text1"/>
          <w:sz w:val="28"/>
          <w:szCs w:val="28"/>
        </w:rPr>
        <w:footnoteReference w:id="144"/>
      </w:r>
      <w:r w:rsidR="00767FFE" w:rsidRPr="00793402">
        <w:rPr>
          <w:color w:val="000000" w:themeColor="text1"/>
          <w:sz w:val="28"/>
          <w:szCs w:val="28"/>
        </w:rPr>
        <w:t>, por sí solo,</w:t>
      </w:r>
      <w:r w:rsidR="00AF68F7" w:rsidRPr="00793402">
        <w:rPr>
          <w:color w:val="000000" w:themeColor="text1"/>
          <w:sz w:val="28"/>
          <w:szCs w:val="28"/>
        </w:rPr>
        <w:t xml:space="preserve"> </w:t>
      </w:r>
      <w:r w:rsidR="00940AF8" w:rsidRPr="00793402">
        <w:rPr>
          <w:color w:val="000000" w:themeColor="text1"/>
          <w:sz w:val="28"/>
          <w:szCs w:val="28"/>
        </w:rPr>
        <w:t xml:space="preserve">es suficiente para acreditar que </w:t>
      </w:r>
      <w:r w:rsidR="00767FFE" w:rsidRPr="00793402">
        <w:rPr>
          <w:color w:val="000000" w:themeColor="text1"/>
          <w:sz w:val="28"/>
          <w:szCs w:val="28"/>
        </w:rPr>
        <w:t xml:space="preserve">a la demandante le hacía falta menos de tres años </w:t>
      </w:r>
      <w:r w:rsidR="00382257" w:rsidRPr="00793402">
        <w:rPr>
          <w:color w:val="000000" w:themeColor="text1"/>
          <w:sz w:val="28"/>
          <w:szCs w:val="28"/>
        </w:rPr>
        <w:t xml:space="preserve">para acceder </w:t>
      </w:r>
      <w:r w:rsidR="00F70EC1" w:rsidRPr="00793402">
        <w:rPr>
          <w:color w:val="000000" w:themeColor="text1"/>
          <w:sz w:val="28"/>
          <w:szCs w:val="28"/>
        </w:rPr>
        <w:t>a la</w:t>
      </w:r>
      <w:r w:rsidR="00382257" w:rsidRPr="00793402">
        <w:rPr>
          <w:color w:val="000000" w:themeColor="text1"/>
          <w:sz w:val="28"/>
          <w:szCs w:val="28"/>
        </w:rPr>
        <w:t xml:space="preserve"> pensión de vejez</w:t>
      </w:r>
      <w:r w:rsidR="00382257" w:rsidRPr="00793402">
        <w:rPr>
          <w:rStyle w:val="Refdenotaalpie"/>
          <w:color w:val="000000" w:themeColor="text1"/>
          <w:sz w:val="28"/>
          <w:szCs w:val="28"/>
        </w:rPr>
        <w:footnoteReference w:id="145"/>
      </w:r>
      <w:r w:rsidR="00382257" w:rsidRPr="00793402">
        <w:rPr>
          <w:color w:val="000000" w:themeColor="text1"/>
          <w:sz w:val="28"/>
          <w:szCs w:val="28"/>
        </w:rPr>
        <w:t>.</w:t>
      </w:r>
      <w:r w:rsidR="005C20BD" w:rsidRPr="00793402">
        <w:rPr>
          <w:color w:val="000000" w:themeColor="text1"/>
          <w:sz w:val="28"/>
          <w:szCs w:val="28"/>
        </w:rPr>
        <w:t xml:space="preserve"> En tal escenario, la SED </w:t>
      </w:r>
      <w:r w:rsidR="00F70EC1" w:rsidRPr="00793402">
        <w:rPr>
          <w:color w:val="000000" w:themeColor="text1"/>
          <w:sz w:val="28"/>
          <w:szCs w:val="28"/>
        </w:rPr>
        <w:t xml:space="preserve">frustro la expectativas </w:t>
      </w:r>
      <w:proofErr w:type="gramStart"/>
      <w:r w:rsidR="00F70EC1" w:rsidRPr="00793402">
        <w:rPr>
          <w:color w:val="000000" w:themeColor="text1"/>
          <w:sz w:val="28"/>
          <w:szCs w:val="28"/>
        </w:rPr>
        <w:t>legitimas</w:t>
      </w:r>
      <w:proofErr w:type="gramEnd"/>
      <w:r w:rsidR="00F70EC1" w:rsidRPr="00793402">
        <w:rPr>
          <w:color w:val="000000" w:themeColor="text1"/>
          <w:sz w:val="28"/>
          <w:szCs w:val="28"/>
        </w:rPr>
        <w:t xml:space="preserve"> de la accionante de beneficiarse de una pensión y </w:t>
      </w:r>
      <w:r w:rsidR="005C20BD" w:rsidRPr="00793402">
        <w:rPr>
          <w:color w:val="000000" w:themeColor="text1"/>
          <w:sz w:val="28"/>
          <w:szCs w:val="28"/>
        </w:rPr>
        <w:t>desconoció los derechos fundamentales al trabajo, a la estabilidad laboral reforzada</w:t>
      </w:r>
      <w:r w:rsidR="00F70EC1" w:rsidRPr="00793402">
        <w:rPr>
          <w:color w:val="000000" w:themeColor="text1"/>
          <w:sz w:val="28"/>
          <w:szCs w:val="28"/>
        </w:rPr>
        <w:t>, a la seguridad social</w:t>
      </w:r>
      <w:r w:rsidR="005C20BD" w:rsidRPr="00793402">
        <w:rPr>
          <w:color w:val="000000" w:themeColor="text1"/>
          <w:sz w:val="28"/>
          <w:szCs w:val="28"/>
        </w:rPr>
        <w:t xml:space="preserve"> y al mínimo vital.</w:t>
      </w:r>
    </w:p>
    <w:p w14:paraId="1465EBE6" w14:textId="77777777" w:rsidR="00F7758F" w:rsidRPr="00793402" w:rsidRDefault="00F7758F" w:rsidP="0027362C">
      <w:pPr>
        <w:shd w:val="clear" w:color="auto" w:fill="FFFFFF"/>
        <w:tabs>
          <w:tab w:val="left" w:pos="284"/>
        </w:tabs>
        <w:jc w:val="both"/>
        <w:rPr>
          <w:color w:val="000000" w:themeColor="text1"/>
          <w:sz w:val="28"/>
          <w:szCs w:val="28"/>
        </w:rPr>
      </w:pPr>
    </w:p>
    <w:p w14:paraId="4BB1BBC1" w14:textId="32EF82E5" w:rsidR="00454711" w:rsidRPr="00793402" w:rsidRDefault="00605A9B" w:rsidP="00454711">
      <w:pPr>
        <w:shd w:val="clear" w:color="auto" w:fill="FFFFFF"/>
        <w:tabs>
          <w:tab w:val="left" w:pos="284"/>
        </w:tabs>
        <w:jc w:val="both"/>
        <w:rPr>
          <w:color w:val="000000" w:themeColor="text1"/>
          <w:sz w:val="28"/>
          <w:szCs w:val="28"/>
          <w:shd w:val="clear" w:color="auto" w:fill="FFFFFF"/>
        </w:rPr>
      </w:pPr>
      <w:r w:rsidRPr="00793402">
        <w:rPr>
          <w:color w:val="000000" w:themeColor="text1"/>
          <w:sz w:val="28"/>
          <w:szCs w:val="28"/>
        </w:rPr>
        <w:t>5</w:t>
      </w:r>
      <w:r w:rsidR="001E5C39" w:rsidRPr="00793402">
        <w:rPr>
          <w:color w:val="000000" w:themeColor="text1"/>
          <w:sz w:val="28"/>
          <w:szCs w:val="28"/>
        </w:rPr>
        <w:t>4</w:t>
      </w:r>
      <w:r w:rsidR="00382257" w:rsidRPr="00793402">
        <w:rPr>
          <w:color w:val="000000" w:themeColor="text1"/>
          <w:sz w:val="28"/>
          <w:szCs w:val="28"/>
        </w:rPr>
        <w:t>. Para la Sala, la inconsistencia en la información de la historia laboral de la demandante no puede significar la vulneración de sus derechos fundamentales al trabajo, al mínimo vital</w:t>
      </w:r>
      <w:r w:rsidR="00454711" w:rsidRPr="00793402">
        <w:rPr>
          <w:color w:val="000000" w:themeColor="text1"/>
          <w:sz w:val="28"/>
          <w:szCs w:val="28"/>
        </w:rPr>
        <w:t>, a la seguridad social</w:t>
      </w:r>
      <w:r w:rsidR="00382257" w:rsidRPr="00793402">
        <w:rPr>
          <w:color w:val="000000" w:themeColor="text1"/>
          <w:sz w:val="28"/>
          <w:szCs w:val="28"/>
        </w:rPr>
        <w:t xml:space="preserve"> y a la estabilidad laboral reforzada. Al respecto, reprocha que, pese a que la SED conocía de tales irregularidades, decidió desvincular a la trabajadora </w:t>
      </w:r>
      <w:r w:rsidR="00282892" w:rsidRPr="00793402">
        <w:rPr>
          <w:color w:val="000000" w:themeColor="text1"/>
          <w:sz w:val="28"/>
          <w:szCs w:val="28"/>
        </w:rPr>
        <w:t xml:space="preserve">sin desplegar las actuaciones necesarias para garantizar </w:t>
      </w:r>
      <w:r w:rsidR="00C7277A" w:rsidRPr="00793402">
        <w:rPr>
          <w:color w:val="000000" w:themeColor="text1"/>
          <w:sz w:val="28"/>
          <w:szCs w:val="28"/>
        </w:rPr>
        <w:t>sus</w:t>
      </w:r>
      <w:r w:rsidR="00282892" w:rsidRPr="00793402">
        <w:rPr>
          <w:color w:val="000000" w:themeColor="text1"/>
          <w:sz w:val="28"/>
          <w:szCs w:val="28"/>
        </w:rPr>
        <w:t xml:space="preserve"> derechos fundamentales. En efecto, esta Corporación ha sostenido </w:t>
      </w:r>
      <w:r w:rsidR="00282892" w:rsidRPr="00793402">
        <w:rPr>
          <w:color w:val="000000" w:themeColor="text1"/>
          <w:sz w:val="28"/>
          <w:szCs w:val="28"/>
        </w:rPr>
        <w:lastRenderedPageBreak/>
        <w:t xml:space="preserve">que, aunque las entidades están obligadas a realizar el nombramiento de quien hace parte de la lista de elegibles, como resultado del concurso de méritos, </w:t>
      </w:r>
      <w:r w:rsidR="00282892" w:rsidRPr="00793402">
        <w:rPr>
          <w:color w:val="000000" w:themeColor="text1"/>
          <w:sz w:val="28"/>
          <w:szCs w:val="28"/>
          <w:shd w:val="clear" w:color="auto" w:fill="FFFFFF"/>
        </w:rPr>
        <w:t xml:space="preserve">lo procedente es ofrecer a las personas en condición de </w:t>
      </w:r>
      <w:proofErr w:type="spellStart"/>
      <w:r w:rsidR="00282892" w:rsidRPr="00793402">
        <w:rPr>
          <w:color w:val="000000" w:themeColor="text1"/>
          <w:sz w:val="28"/>
          <w:szCs w:val="28"/>
          <w:shd w:val="clear" w:color="auto" w:fill="FFFFFF"/>
        </w:rPr>
        <w:t>prepensionadas</w:t>
      </w:r>
      <w:proofErr w:type="spellEnd"/>
      <w:r w:rsidR="00282892" w:rsidRPr="00793402">
        <w:rPr>
          <w:color w:val="000000" w:themeColor="text1"/>
          <w:sz w:val="28"/>
          <w:szCs w:val="28"/>
          <w:shd w:val="clear" w:color="auto" w:fill="FFFFFF"/>
        </w:rPr>
        <w:t xml:space="preserve"> otr</w:t>
      </w:r>
      <w:r w:rsidR="00454711" w:rsidRPr="00793402">
        <w:rPr>
          <w:color w:val="000000" w:themeColor="text1"/>
          <w:sz w:val="28"/>
          <w:szCs w:val="28"/>
          <w:shd w:val="clear" w:color="auto" w:fill="FFFFFF"/>
        </w:rPr>
        <w:t>o cargo</w:t>
      </w:r>
      <w:r w:rsidR="00282892" w:rsidRPr="00793402">
        <w:rPr>
          <w:color w:val="000000" w:themeColor="text1"/>
          <w:sz w:val="28"/>
          <w:szCs w:val="28"/>
          <w:shd w:val="clear" w:color="auto" w:fill="FFFFFF"/>
        </w:rPr>
        <w:t xml:space="preserve"> equivalente que esté</w:t>
      </w:r>
      <w:r w:rsidR="00C7277A" w:rsidRPr="00793402">
        <w:rPr>
          <w:color w:val="000000" w:themeColor="text1"/>
          <w:sz w:val="28"/>
          <w:szCs w:val="28"/>
          <w:shd w:val="clear" w:color="auto" w:fill="FFFFFF"/>
        </w:rPr>
        <w:t>n</w:t>
      </w:r>
      <w:r w:rsidR="00282892" w:rsidRPr="00793402">
        <w:rPr>
          <w:color w:val="000000" w:themeColor="text1"/>
          <w:sz w:val="28"/>
          <w:szCs w:val="28"/>
          <w:shd w:val="clear" w:color="auto" w:fill="FFFFFF"/>
        </w:rPr>
        <w:t xml:space="preserve"> disponible</w:t>
      </w:r>
      <w:r w:rsidR="00F7758F" w:rsidRPr="00793402">
        <w:rPr>
          <w:color w:val="000000" w:themeColor="text1"/>
          <w:sz w:val="28"/>
          <w:szCs w:val="28"/>
          <w:shd w:val="clear" w:color="auto" w:fill="FFFFFF"/>
        </w:rPr>
        <w:t>,</w:t>
      </w:r>
      <w:r w:rsidR="00282892" w:rsidRPr="00793402">
        <w:rPr>
          <w:color w:val="000000" w:themeColor="text1"/>
          <w:sz w:val="28"/>
          <w:szCs w:val="28"/>
          <w:shd w:val="clear" w:color="auto" w:fill="FFFFFF"/>
        </w:rPr>
        <w:t xml:space="preserve"> mientras completa las semanas suficientes para acceder efectivamente a su derecho pensional</w:t>
      </w:r>
      <w:r w:rsidR="005C20BD" w:rsidRPr="00793402">
        <w:rPr>
          <w:color w:val="000000" w:themeColor="text1"/>
          <w:sz w:val="28"/>
          <w:szCs w:val="28"/>
          <w:shd w:val="clear" w:color="auto" w:fill="FFFFFF"/>
        </w:rPr>
        <w:t xml:space="preserve"> o si procede el reconocimiento y la inserción en nómina para el pago de la pensión</w:t>
      </w:r>
      <w:r w:rsidR="00282892" w:rsidRPr="00793402">
        <w:rPr>
          <w:rStyle w:val="Refdenotaalpie"/>
          <w:color w:val="000000" w:themeColor="text1"/>
          <w:sz w:val="28"/>
          <w:szCs w:val="28"/>
          <w:shd w:val="clear" w:color="auto" w:fill="FFFFFF"/>
        </w:rPr>
        <w:footnoteReference w:id="146"/>
      </w:r>
      <w:r w:rsidR="00282892" w:rsidRPr="00793402">
        <w:rPr>
          <w:color w:val="000000" w:themeColor="text1"/>
          <w:sz w:val="28"/>
          <w:szCs w:val="28"/>
          <w:shd w:val="clear" w:color="auto" w:fill="FFFFFF"/>
        </w:rPr>
        <w:t>.</w:t>
      </w:r>
      <w:r w:rsidRPr="00793402">
        <w:rPr>
          <w:color w:val="000000" w:themeColor="text1"/>
          <w:sz w:val="28"/>
          <w:szCs w:val="28"/>
          <w:shd w:val="clear" w:color="auto" w:fill="FFFFFF"/>
        </w:rPr>
        <w:t xml:space="preserve"> </w:t>
      </w:r>
      <w:r w:rsidR="00454711" w:rsidRPr="00793402">
        <w:rPr>
          <w:color w:val="000000" w:themeColor="text1"/>
          <w:sz w:val="28"/>
          <w:szCs w:val="28"/>
          <w:shd w:val="clear" w:color="auto" w:fill="FFFFFF"/>
        </w:rPr>
        <w:t xml:space="preserve">Por otro lado, la Sala estima que la duda </w:t>
      </w:r>
      <w:r w:rsidR="003C6333" w:rsidRPr="00793402">
        <w:rPr>
          <w:color w:val="000000" w:themeColor="text1"/>
          <w:sz w:val="28"/>
          <w:szCs w:val="28"/>
          <w:shd w:val="clear" w:color="auto" w:fill="FFFFFF"/>
        </w:rPr>
        <w:t xml:space="preserve">del empleador </w:t>
      </w:r>
      <w:r w:rsidR="00454711" w:rsidRPr="00793402">
        <w:rPr>
          <w:color w:val="000000" w:themeColor="text1"/>
          <w:sz w:val="28"/>
          <w:szCs w:val="28"/>
          <w:shd w:val="clear" w:color="auto" w:fill="FFFFFF"/>
        </w:rPr>
        <w:t xml:space="preserve">sobre la densidad de las cotizaciones de </w:t>
      </w:r>
      <w:r w:rsidR="003C6333" w:rsidRPr="00793402">
        <w:rPr>
          <w:color w:val="000000" w:themeColor="text1"/>
          <w:sz w:val="28"/>
          <w:szCs w:val="28"/>
          <w:shd w:val="clear" w:color="auto" w:fill="FFFFFF"/>
        </w:rPr>
        <w:t>sus</w:t>
      </w:r>
      <w:r w:rsidR="00454711" w:rsidRPr="00793402">
        <w:rPr>
          <w:color w:val="000000" w:themeColor="text1"/>
          <w:sz w:val="28"/>
          <w:szCs w:val="28"/>
          <w:shd w:val="clear" w:color="auto" w:fill="FFFFFF"/>
        </w:rPr>
        <w:t xml:space="preserve"> trabajadores</w:t>
      </w:r>
      <w:r w:rsidR="003C6333" w:rsidRPr="00793402">
        <w:rPr>
          <w:color w:val="000000" w:themeColor="text1"/>
          <w:sz w:val="28"/>
          <w:szCs w:val="28"/>
          <w:shd w:val="clear" w:color="auto" w:fill="FFFFFF"/>
        </w:rPr>
        <w:t>,</w:t>
      </w:r>
      <w:r w:rsidR="00454711" w:rsidRPr="00793402">
        <w:rPr>
          <w:color w:val="000000" w:themeColor="text1"/>
          <w:sz w:val="28"/>
          <w:szCs w:val="28"/>
          <w:shd w:val="clear" w:color="auto" w:fill="FFFFFF"/>
        </w:rPr>
        <w:t xml:space="preserve"> que razonablemente se presuman próximos a pensionarse por el tiempo de servicio laborado en la entidad, debe ser resulta a favor de estos</w:t>
      </w:r>
      <w:r w:rsidR="00454711" w:rsidRPr="00793402">
        <w:rPr>
          <w:rStyle w:val="Refdenotaalpie"/>
          <w:color w:val="000000" w:themeColor="text1"/>
          <w:sz w:val="28"/>
          <w:szCs w:val="28"/>
          <w:shd w:val="clear" w:color="auto" w:fill="FFFFFF"/>
        </w:rPr>
        <w:footnoteReference w:id="147"/>
      </w:r>
      <w:r w:rsidR="00454711" w:rsidRPr="00793402">
        <w:rPr>
          <w:color w:val="000000" w:themeColor="text1"/>
          <w:sz w:val="28"/>
          <w:szCs w:val="28"/>
          <w:shd w:val="clear" w:color="auto" w:fill="FFFFFF"/>
        </w:rPr>
        <w:t xml:space="preserve">. Lo anterior, </w:t>
      </w:r>
      <w:r w:rsidR="00C0781B" w:rsidRPr="00793402">
        <w:rPr>
          <w:color w:val="000000" w:themeColor="text1"/>
          <w:sz w:val="28"/>
          <w:szCs w:val="28"/>
          <w:shd w:val="clear" w:color="auto" w:fill="FFFFFF"/>
        </w:rPr>
        <w:t>implica</w:t>
      </w:r>
      <w:r w:rsidR="00454711" w:rsidRPr="00793402">
        <w:rPr>
          <w:color w:val="000000" w:themeColor="text1"/>
          <w:sz w:val="28"/>
          <w:szCs w:val="28"/>
          <w:shd w:val="clear" w:color="auto" w:fill="FFFFFF"/>
        </w:rPr>
        <w:t xml:space="preserve"> activar la descrita protección hasta que la entidad tenga certeza de su condición </w:t>
      </w:r>
      <w:proofErr w:type="spellStart"/>
      <w:r w:rsidR="00454711" w:rsidRPr="00793402">
        <w:rPr>
          <w:color w:val="000000" w:themeColor="text1"/>
          <w:sz w:val="28"/>
          <w:szCs w:val="28"/>
          <w:shd w:val="clear" w:color="auto" w:fill="FFFFFF"/>
        </w:rPr>
        <w:t>cotizacional</w:t>
      </w:r>
      <w:proofErr w:type="spellEnd"/>
      <w:r w:rsidR="00454711" w:rsidRPr="00793402">
        <w:rPr>
          <w:color w:val="000000" w:themeColor="text1"/>
          <w:sz w:val="28"/>
          <w:szCs w:val="28"/>
          <w:shd w:val="clear" w:color="auto" w:fill="FFFFFF"/>
        </w:rPr>
        <w:t xml:space="preserve"> en la historia laboral expedida por la administradora de pensiones.</w:t>
      </w:r>
    </w:p>
    <w:p w14:paraId="5AFF6E33" w14:textId="77777777" w:rsidR="00AF68F7" w:rsidRPr="00793402" w:rsidRDefault="00AF68F7" w:rsidP="0027362C">
      <w:pPr>
        <w:shd w:val="clear" w:color="auto" w:fill="FFFFFF"/>
        <w:tabs>
          <w:tab w:val="left" w:pos="284"/>
        </w:tabs>
        <w:jc w:val="both"/>
        <w:rPr>
          <w:color w:val="000000" w:themeColor="text1"/>
          <w:sz w:val="28"/>
          <w:szCs w:val="28"/>
        </w:rPr>
      </w:pPr>
    </w:p>
    <w:p w14:paraId="5296C84F" w14:textId="411FA176" w:rsidR="007251F4" w:rsidRPr="00793402" w:rsidRDefault="005C20BD" w:rsidP="0027362C">
      <w:pPr>
        <w:shd w:val="clear" w:color="auto" w:fill="FFFFFF"/>
        <w:tabs>
          <w:tab w:val="left" w:pos="284"/>
        </w:tabs>
        <w:jc w:val="both"/>
        <w:rPr>
          <w:color w:val="000000" w:themeColor="text1"/>
          <w:sz w:val="28"/>
          <w:szCs w:val="28"/>
          <w:shd w:val="clear" w:color="auto" w:fill="FFFFFF"/>
        </w:rPr>
      </w:pPr>
      <w:r w:rsidRPr="00793402">
        <w:rPr>
          <w:color w:val="000000" w:themeColor="text1"/>
          <w:sz w:val="28"/>
          <w:szCs w:val="28"/>
        </w:rPr>
        <w:t>5</w:t>
      </w:r>
      <w:r w:rsidR="001E5C39" w:rsidRPr="00793402">
        <w:rPr>
          <w:color w:val="000000" w:themeColor="text1"/>
          <w:sz w:val="28"/>
          <w:szCs w:val="28"/>
        </w:rPr>
        <w:t>5</w:t>
      </w:r>
      <w:r w:rsidR="003F1F6C" w:rsidRPr="00793402">
        <w:rPr>
          <w:color w:val="000000" w:themeColor="text1"/>
          <w:sz w:val="28"/>
          <w:szCs w:val="28"/>
        </w:rPr>
        <w:t xml:space="preserve">. </w:t>
      </w:r>
      <w:r w:rsidR="007251F4" w:rsidRPr="00793402">
        <w:rPr>
          <w:color w:val="000000" w:themeColor="text1"/>
          <w:sz w:val="28"/>
          <w:szCs w:val="28"/>
        </w:rPr>
        <w:t xml:space="preserve">Ahora bien, esta Corte también ha señalado que existe una tensión entre los derechos de las personas </w:t>
      </w:r>
      <w:proofErr w:type="spellStart"/>
      <w:r w:rsidR="007251F4" w:rsidRPr="00793402">
        <w:rPr>
          <w:color w:val="000000" w:themeColor="text1"/>
          <w:sz w:val="28"/>
          <w:szCs w:val="28"/>
        </w:rPr>
        <w:t>prepensionadas</w:t>
      </w:r>
      <w:proofErr w:type="spellEnd"/>
      <w:r w:rsidR="007251F4" w:rsidRPr="00793402">
        <w:rPr>
          <w:color w:val="000000" w:themeColor="text1"/>
          <w:sz w:val="28"/>
          <w:szCs w:val="28"/>
        </w:rPr>
        <w:t xml:space="preserve"> y el respeto de la carrera administrativa</w:t>
      </w:r>
      <w:r w:rsidR="007251F4" w:rsidRPr="00793402">
        <w:rPr>
          <w:rStyle w:val="Refdenotaalpie"/>
          <w:color w:val="000000" w:themeColor="text1"/>
          <w:sz w:val="28"/>
          <w:szCs w:val="28"/>
        </w:rPr>
        <w:footnoteReference w:id="148"/>
      </w:r>
      <w:r w:rsidR="007251F4" w:rsidRPr="00793402">
        <w:rPr>
          <w:color w:val="000000" w:themeColor="text1"/>
          <w:sz w:val="28"/>
          <w:szCs w:val="28"/>
        </w:rPr>
        <w:t xml:space="preserve">. Así, no es posible ordenar el reintegro inmediato al cargo que desempeñaba la actora porque esta decisión vulneraría los derechos fundamentales de la señora </w:t>
      </w:r>
      <w:proofErr w:type="spellStart"/>
      <w:r w:rsidR="007251F4" w:rsidRPr="00793402">
        <w:rPr>
          <w:color w:val="000000" w:themeColor="text1"/>
          <w:sz w:val="28"/>
          <w:szCs w:val="28"/>
        </w:rPr>
        <w:t>Ingri</w:t>
      </w:r>
      <w:proofErr w:type="spellEnd"/>
      <w:r w:rsidR="007251F4" w:rsidRPr="00793402">
        <w:rPr>
          <w:color w:val="000000" w:themeColor="text1"/>
          <w:sz w:val="28"/>
          <w:szCs w:val="28"/>
        </w:rPr>
        <w:t xml:space="preserve"> Paola Cortes Ortiz, quien accedió a la vacante a través de concurso de méritos </w:t>
      </w:r>
      <w:r w:rsidR="007251F4" w:rsidRPr="00793402">
        <w:rPr>
          <w:color w:val="000000" w:themeColor="text1"/>
          <w:sz w:val="28"/>
          <w:szCs w:val="28"/>
          <w:shd w:val="clear" w:color="auto" w:fill="FFFFFF"/>
        </w:rPr>
        <w:t>e iría en contra de la jurisprudencia de este Tribunal</w:t>
      </w:r>
      <w:r w:rsidR="00F7758F" w:rsidRPr="00793402">
        <w:rPr>
          <w:color w:val="000000" w:themeColor="text1"/>
          <w:sz w:val="28"/>
          <w:szCs w:val="28"/>
          <w:shd w:val="clear" w:color="auto" w:fill="FFFFFF"/>
        </w:rPr>
        <w:t>,</w:t>
      </w:r>
      <w:r w:rsidRPr="00793402">
        <w:rPr>
          <w:color w:val="000000" w:themeColor="text1"/>
          <w:sz w:val="28"/>
          <w:szCs w:val="28"/>
          <w:shd w:val="clear" w:color="auto" w:fill="FFFFFF"/>
        </w:rPr>
        <w:t xml:space="preserve"> </w:t>
      </w:r>
      <w:r w:rsidR="007251F4" w:rsidRPr="00793402">
        <w:rPr>
          <w:color w:val="000000" w:themeColor="text1"/>
          <w:sz w:val="28"/>
          <w:szCs w:val="28"/>
          <w:shd w:val="clear" w:color="auto" w:fill="FFFFFF"/>
        </w:rPr>
        <w:t>que reconoce la carrera administrativa como</w:t>
      </w:r>
      <w:r w:rsidR="00CF29BE" w:rsidRPr="00793402">
        <w:rPr>
          <w:color w:val="000000" w:themeColor="text1"/>
          <w:sz w:val="28"/>
          <w:szCs w:val="28"/>
          <w:shd w:val="clear" w:color="auto" w:fill="FFFFFF"/>
        </w:rPr>
        <w:t xml:space="preserve"> </w:t>
      </w:r>
      <w:r w:rsidR="007251F4" w:rsidRPr="00793402">
        <w:rPr>
          <w:color w:val="000000" w:themeColor="text1"/>
          <w:sz w:val="28"/>
          <w:szCs w:val="28"/>
          <w:shd w:val="clear" w:color="auto" w:fill="FFFFFF"/>
        </w:rPr>
        <w:t>el mecanismo preferente para el acceso y la gestión de empleos públicos.</w:t>
      </w:r>
      <w:r w:rsidRPr="00793402">
        <w:rPr>
          <w:color w:val="000000" w:themeColor="text1"/>
          <w:sz w:val="28"/>
          <w:szCs w:val="28"/>
          <w:shd w:val="clear" w:color="auto" w:fill="FFFFFF"/>
        </w:rPr>
        <w:t xml:space="preserve"> Por tal razón, la decisión que adopte debe tener en cuenta dicha situación.</w:t>
      </w:r>
    </w:p>
    <w:p w14:paraId="2DFA253D" w14:textId="77777777" w:rsidR="007251F4" w:rsidRPr="00793402" w:rsidRDefault="007251F4" w:rsidP="0027362C">
      <w:pPr>
        <w:shd w:val="clear" w:color="auto" w:fill="FFFFFF"/>
        <w:tabs>
          <w:tab w:val="left" w:pos="284"/>
        </w:tabs>
        <w:jc w:val="both"/>
        <w:rPr>
          <w:color w:val="000000" w:themeColor="text1"/>
          <w:sz w:val="28"/>
          <w:szCs w:val="28"/>
        </w:rPr>
      </w:pPr>
    </w:p>
    <w:p w14:paraId="26259D22" w14:textId="711E796D" w:rsidR="009F2CE7" w:rsidRPr="00793402" w:rsidRDefault="009F2CE7" w:rsidP="009F2CE7">
      <w:pPr>
        <w:shd w:val="clear" w:color="auto" w:fill="FFFFFF"/>
        <w:jc w:val="both"/>
        <w:rPr>
          <w:b/>
          <w:bCs/>
          <w:color w:val="000000" w:themeColor="text1"/>
          <w:sz w:val="28"/>
          <w:szCs w:val="28"/>
          <w:lang w:eastAsia="es-CO"/>
        </w:rPr>
      </w:pPr>
      <w:r w:rsidRPr="00793402">
        <w:rPr>
          <w:b/>
          <w:bCs/>
          <w:color w:val="000000" w:themeColor="text1"/>
          <w:sz w:val="28"/>
          <w:szCs w:val="28"/>
          <w:lang w:eastAsia="es-CO"/>
        </w:rPr>
        <w:t xml:space="preserve">Órdenes por proferir </w:t>
      </w:r>
    </w:p>
    <w:p w14:paraId="60775F55" w14:textId="77777777" w:rsidR="009F2CE7" w:rsidRPr="00793402" w:rsidRDefault="009F2CE7" w:rsidP="0027362C">
      <w:pPr>
        <w:shd w:val="clear" w:color="auto" w:fill="FFFFFF"/>
        <w:tabs>
          <w:tab w:val="left" w:pos="284"/>
        </w:tabs>
        <w:jc w:val="both"/>
        <w:rPr>
          <w:color w:val="000000" w:themeColor="text1"/>
          <w:sz w:val="28"/>
          <w:szCs w:val="28"/>
        </w:rPr>
      </w:pPr>
    </w:p>
    <w:p w14:paraId="4B96003E" w14:textId="5579DAA7" w:rsidR="00454711" w:rsidRPr="00793402" w:rsidRDefault="005C20BD" w:rsidP="0027362C">
      <w:pPr>
        <w:shd w:val="clear" w:color="auto" w:fill="FFFFFF"/>
        <w:tabs>
          <w:tab w:val="left" w:pos="284"/>
        </w:tabs>
        <w:jc w:val="both"/>
        <w:rPr>
          <w:color w:val="000000" w:themeColor="text1"/>
          <w:sz w:val="28"/>
          <w:szCs w:val="28"/>
        </w:rPr>
      </w:pPr>
      <w:r w:rsidRPr="00793402">
        <w:rPr>
          <w:color w:val="000000" w:themeColor="text1"/>
          <w:sz w:val="28"/>
          <w:szCs w:val="28"/>
        </w:rPr>
        <w:t>5</w:t>
      </w:r>
      <w:r w:rsidR="001E5C39" w:rsidRPr="00793402">
        <w:rPr>
          <w:color w:val="000000" w:themeColor="text1"/>
          <w:sz w:val="28"/>
          <w:szCs w:val="28"/>
        </w:rPr>
        <w:t>6</w:t>
      </w:r>
      <w:r w:rsidR="0027362C" w:rsidRPr="00793402">
        <w:rPr>
          <w:color w:val="000000" w:themeColor="text1"/>
          <w:sz w:val="28"/>
          <w:szCs w:val="28"/>
        </w:rPr>
        <w:t>.</w:t>
      </w:r>
      <w:r w:rsidR="007033DA" w:rsidRPr="00793402">
        <w:rPr>
          <w:color w:val="000000" w:themeColor="text1"/>
          <w:sz w:val="28"/>
          <w:szCs w:val="28"/>
        </w:rPr>
        <w:t xml:space="preserve"> En virtud de lo expuesto, la Sala revocará </w:t>
      </w:r>
      <w:r w:rsidR="008A3757" w:rsidRPr="00793402">
        <w:rPr>
          <w:color w:val="000000" w:themeColor="text1"/>
          <w:sz w:val="28"/>
          <w:szCs w:val="28"/>
        </w:rPr>
        <w:t xml:space="preserve">parcialmente </w:t>
      </w:r>
      <w:r w:rsidR="007033DA" w:rsidRPr="00793402">
        <w:rPr>
          <w:color w:val="000000" w:themeColor="text1"/>
          <w:sz w:val="28"/>
          <w:szCs w:val="28"/>
        </w:rPr>
        <w:t xml:space="preserve">la sentencia </w:t>
      </w:r>
      <w:r w:rsidR="007033DA" w:rsidRPr="00793402">
        <w:rPr>
          <w:color w:val="000000" w:themeColor="text1"/>
          <w:sz w:val="28"/>
          <w:szCs w:val="28"/>
          <w:lang w:eastAsia="es-CO"/>
        </w:rPr>
        <w:t xml:space="preserve">del 23 de agosto de 2022 proferida por el Juzgado Civil del Circuito de Mocoa en segunda instancia, mediante la cual revocó la Sentencia del 12 de julio del 2022 emitida por el Juzgado </w:t>
      </w:r>
      <w:r w:rsidR="009C516E" w:rsidRPr="00793402">
        <w:rPr>
          <w:color w:val="000000" w:themeColor="text1"/>
          <w:sz w:val="28"/>
          <w:szCs w:val="28"/>
          <w:lang w:eastAsia="es-CO"/>
        </w:rPr>
        <w:t>Segundo Civil Municipal</w:t>
      </w:r>
      <w:r w:rsidR="007033DA" w:rsidRPr="00793402">
        <w:rPr>
          <w:color w:val="000000" w:themeColor="text1"/>
          <w:sz w:val="28"/>
          <w:szCs w:val="28"/>
          <w:lang w:eastAsia="es-CO"/>
        </w:rPr>
        <w:t xml:space="preserve"> de la misma ciudad</w:t>
      </w:r>
      <w:r w:rsidR="00F7758F" w:rsidRPr="00793402">
        <w:rPr>
          <w:color w:val="000000" w:themeColor="text1"/>
          <w:sz w:val="28"/>
          <w:szCs w:val="28"/>
          <w:lang w:eastAsia="es-CO"/>
        </w:rPr>
        <w:t>,</w:t>
      </w:r>
      <w:r w:rsidR="007033DA" w:rsidRPr="00793402">
        <w:rPr>
          <w:color w:val="000000" w:themeColor="text1"/>
          <w:sz w:val="28"/>
          <w:szCs w:val="28"/>
          <w:lang w:eastAsia="es-CO"/>
        </w:rPr>
        <w:t xml:space="preserve"> </w:t>
      </w:r>
      <w:r w:rsidR="00C7277A" w:rsidRPr="00793402">
        <w:rPr>
          <w:color w:val="000000" w:themeColor="text1"/>
          <w:sz w:val="28"/>
          <w:szCs w:val="28"/>
          <w:lang w:eastAsia="es-CO"/>
        </w:rPr>
        <w:t>y declaró la improcedencia del amparo</w:t>
      </w:r>
      <w:r w:rsidR="007033DA" w:rsidRPr="00793402">
        <w:rPr>
          <w:color w:val="000000" w:themeColor="text1"/>
          <w:sz w:val="28"/>
          <w:szCs w:val="28"/>
          <w:lang w:eastAsia="es-CO"/>
        </w:rPr>
        <w:t>. En su lugar, tutelará los derechos fundamentales a la seguridad social, a la dignidad humana, a la estabilidad laboral reforzada</w:t>
      </w:r>
      <w:r w:rsidR="00747A72" w:rsidRPr="00793402">
        <w:rPr>
          <w:color w:val="000000" w:themeColor="text1"/>
          <w:sz w:val="28"/>
          <w:szCs w:val="28"/>
          <w:lang w:eastAsia="es-CO"/>
        </w:rPr>
        <w:t>, al trabajo</w:t>
      </w:r>
      <w:r w:rsidR="007033DA" w:rsidRPr="00793402">
        <w:rPr>
          <w:color w:val="000000" w:themeColor="text1"/>
          <w:sz w:val="28"/>
          <w:szCs w:val="28"/>
          <w:lang w:eastAsia="es-CO"/>
        </w:rPr>
        <w:t xml:space="preserve"> y al mínimo vital de la señora Blanca </w:t>
      </w:r>
      <w:proofErr w:type="spellStart"/>
      <w:r w:rsidR="007033DA" w:rsidRPr="00793402">
        <w:rPr>
          <w:color w:val="000000" w:themeColor="text1"/>
          <w:sz w:val="28"/>
          <w:szCs w:val="28"/>
          <w:lang w:eastAsia="es-CO"/>
        </w:rPr>
        <w:t>Bellanid</w:t>
      </w:r>
      <w:proofErr w:type="spellEnd"/>
      <w:r w:rsidR="007033DA" w:rsidRPr="00793402">
        <w:rPr>
          <w:color w:val="000000" w:themeColor="text1"/>
          <w:sz w:val="28"/>
          <w:szCs w:val="28"/>
          <w:lang w:eastAsia="es-CO"/>
        </w:rPr>
        <w:t xml:space="preserve"> </w:t>
      </w:r>
      <w:proofErr w:type="spellStart"/>
      <w:r w:rsidR="007033DA" w:rsidRPr="00793402">
        <w:rPr>
          <w:color w:val="000000" w:themeColor="text1"/>
          <w:sz w:val="28"/>
          <w:szCs w:val="28"/>
          <w:lang w:eastAsia="es-CO"/>
        </w:rPr>
        <w:t>Galíndez</w:t>
      </w:r>
      <w:proofErr w:type="spellEnd"/>
      <w:r w:rsidR="007033DA" w:rsidRPr="00793402">
        <w:rPr>
          <w:color w:val="000000" w:themeColor="text1"/>
          <w:sz w:val="28"/>
          <w:szCs w:val="28"/>
          <w:lang w:eastAsia="es-CO"/>
        </w:rPr>
        <w:t xml:space="preserve"> Joven. En consecuencia, ordenará </w:t>
      </w:r>
      <w:r w:rsidR="00C7718D" w:rsidRPr="00793402">
        <w:rPr>
          <w:color w:val="000000" w:themeColor="text1"/>
          <w:sz w:val="28"/>
          <w:szCs w:val="28"/>
          <w:lang w:eastAsia="es-CO"/>
        </w:rPr>
        <w:t>a</w:t>
      </w:r>
      <w:r w:rsidR="00454711" w:rsidRPr="00793402">
        <w:rPr>
          <w:color w:val="000000" w:themeColor="text1"/>
          <w:sz w:val="28"/>
          <w:szCs w:val="28"/>
          <w:lang w:eastAsia="es-CO"/>
        </w:rPr>
        <w:t xml:space="preserve"> COLPENSIONES </w:t>
      </w:r>
      <w:r w:rsidR="00C7718D" w:rsidRPr="00793402">
        <w:rPr>
          <w:color w:val="000000" w:themeColor="text1"/>
          <w:sz w:val="28"/>
          <w:szCs w:val="28"/>
          <w:lang w:eastAsia="es-CO"/>
        </w:rPr>
        <w:t xml:space="preserve">y a la SED </w:t>
      </w:r>
      <w:r w:rsidR="00C7718D" w:rsidRPr="00793402">
        <w:rPr>
          <w:color w:val="000000" w:themeColor="text1"/>
          <w:sz w:val="28"/>
          <w:szCs w:val="28"/>
        </w:rPr>
        <w:t>que, dentro de las cuarenta y ocho (48) horas siguientes a la notificación de esta providencia, adelanten de forma coordinada las gestiones a que haya lugar para validar y actualizar todos los aspectos concernientes con la historia laboral de la accionante</w:t>
      </w:r>
      <w:r w:rsidR="00C7718D" w:rsidRPr="00793402">
        <w:rPr>
          <w:i/>
          <w:iCs/>
          <w:color w:val="000000" w:themeColor="text1"/>
          <w:sz w:val="28"/>
          <w:szCs w:val="28"/>
        </w:rPr>
        <w:t xml:space="preserve">. </w:t>
      </w:r>
      <w:r w:rsidR="00C7718D" w:rsidRPr="00793402">
        <w:rPr>
          <w:color w:val="000000" w:themeColor="text1"/>
          <w:sz w:val="28"/>
          <w:szCs w:val="28"/>
        </w:rPr>
        <w:t xml:space="preserve">En este punto, </w:t>
      </w:r>
      <w:r w:rsidR="00231727" w:rsidRPr="00793402">
        <w:rPr>
          <w:color w:val="000000" w:themeColor="text1"/>
          <w:sz w:val="28"/>
          <w:szCs w:val="28"/>
          <w:lang w:eastAsia="es-CO"/>
        </w:rPr>
        <w:t xml:space="preserve">la SED deberá cumplir con su obligación como empleador en cuanto a certificar, hacer los respectivos aportes y demás gestiones </w:t>
      </w:r>
      <w:r w:rsidR="00231727" w:rsidRPr="00793402">
        <w:rPr>
          <w:color w:val="000000" w:themeColor="text1"/>
          <w:sz w:val="28"/>
          <w:szCs w:val="28"/>
          <w:lang w:eastAsia="es-CO"/>
        </w:rPr>
        <w:lastRenderedPageBreak/>
        <w:t>incluido el pago del cálculo actuarial, si hay lugar a aquel, a favor de la accionante en el periodo entre mayo de 1998 y septiembre de 2002. COLPENSIONES deberá realizar todas las gestiones a su cargo para revisar y actualizar completamente la historia laboral de la accionante y</w:t>
      </w:r>
      <w:r w:rsidR="00895676" w:rsidRPr="00793402">
        <w:rPr>
          <w:color w:val="000000" w:themeColor="text1"/>
          <w:sz w:val="28"/>
          <w:szCs w:val="28"/>
          <w:lang w:eastAsia="es-CO"/>
        </w:rPr>
        <w:t>,</w:t>
      </w:r>
      <w:r w:rsidR="00231727" w:rsidRPr="00793402">
        <w:rPr>
          <w:color w:val="000000" w:themeColor="text1"/>
          <w:sz w:val="28"/>
          <w:szCs w:val="28"/>
          <w:lang w:eastAsia="es-CO"/>
        </w:rPr>
        <w:t xml:space="preserve"> en caso de que estén acreditados los requisitos para acceder a una pensión de vejez, dentro de los cinco (5) días siguientes al vencimiento del término anterior, deberá brindar a la actora la información y asesoría necesaria para realizar los trámites con el fin de acceder a dicha pensión y, en caso de que la afiliada solicite el reconocimiento y pago de la misma, deberá adelantar de forma ágil las gestiones necesarias para atender su petición, sin dilaciones ni trabas administrativas.</w:t>
      </w:r>
    </w:p>
    <w:p w14:paraId="5F847888" w14:textId="77777777" w:rsidR="00454711" w:rsidRPr="00793402" w:rsidRDefault="00454711" w:rsidP="0027362C">
      <w:pPr>
        <w:shd w:val="clear" w:color="auto" w:fill="FFFFFF"/>
        <w:tabs>
          <w:tab w:val="left" w:pos="284"/>
        </w:tabs>
        <w:jc w:val="both"/>
        <w:rPr>
          <w:color w:val="000000" w:themeColor="text1"/>
          <w:sz w:val="28"/>
          <w:szCs w:val="28"/>
        </w:rPr>
      </w:pPr>
    </w:p>
    <w:p w14:paraId="1126EC6C" w14:textId="6E686B71" w:rsidR="00890EEC" w:rsidRPr="00793402" w:rsidRDefault="005C20BD" w:rsidP="00890EEC">
      <w:pPr>
        <w:shd w:val="clear" w:color="auto" w:fill="FFFFFF"/>
        <w:tabs>
          <w:tab w:val="left" w:pos="284"/>
        </w:tabs>
        <w:jc w:val="both"/>
        <w:rPr>
          <w:color w:val="000000" w:themeColor="text1"/>
          <w:sz w:val="28"/>
          <w:szCs w:val="28"/>
        </w:rPr>
      </w:pPr>
      <w:r w:rsidRPr="00793402">
        <w:rPr>
          <w:color w:val="000000" w:themeColor="text1"/>
          <w:sz w:val="28"/>
          <w:szCs w:val="28"/>
          <w:lang w:eastAsia="es-CO"/>
        </w:rPr>
        <w:t>5</w:t>
      </w:r>
      <w:r w:rsidR="00C7718D" w:rsidRPr="00793402">
        <w:rPr>
          <w:color w:val="000000" w:themeColor="text1"/>
          <w:sz w:val="28"/>
          <w:szCs w:val="28"/>
          <w:lang w:eastAsia="es-CO"/>
        </w:rPr>
        <w:t>7</w:t>
      </w:r>
      <w:r w:rsidR="0027362C" w:rsidRPr="00793402">
        <w:rPr>
          <w:color w:val="000000" w:themeColor="text1"/>
          <w:sz w:val="28"/>
          <w:szCs w:val="28"/>
          <w:lang w:eastAsia="es-CO"/>
        </w:rPr>
        <w:t>.</w:t>
      </w:r>
      <w:r w:rsidR="005B5424" w:rsidRPr="00793402">
        <w:rPr>
          <w:color w:val="000000" w:themeColor="text1"/>
          <w:sz w:val="28"/>
          <w:szCs w:val="28"/>
          <w:lang w:eastAsia="es-CO"/>
        </w:rPr>
        <w:t xml:space="preserve"> Asimismo</w:t>
      </w:r>
      <w:r w:rsidR="003F7BE7" w:rsidRPr="00793402">
        <w:rPr>
          <w:color w:val="000000" w:themeColor="text1"/>
          <w:sz w:val="28"/>
          <w:szCs w:val="28"/>
          <w:lang w:eastAsia="es-CO"/>
        </w:rPr>
        <w:t>,</w:t>
      </w:r>
      <w:r w:rsidR="00F20898" w:rsidRPr="00793402">
        <w:rPr>
          <w:color w:val="000000" w:themeColor="text1"/>
          <w:sz w:val="28"/>
          <w:szCs w:val="28"/>
          <w:lang w:eastAsia="es-CO"/>
        </w:rPr>
        <w:t xml:space="preserve"> </w:t>
      </w:r>
      <w:r w:rsidR="00890EEC" w:rsidRPr="00793402">
        <w:rPr>
          <w:color w:val="000000" w:themeColor="text1"/>
          <w:sz w:val="28"/>
          <w:szCs w:val="28"/>
        </w:rPr>
        <w:t xml:space="preserve">ordenará a la SED que, dentro de las cuarenta y ocho (48) horas siguientes a la notificación de esta providencia, </w:t>
      </w:r>
      <w:r w:rsidR="00E55728" w:rsidRPr="00793402">
        <w:rPr>
          <w:color w:val="000000" w:themeColor="text1"/>
          <w:sz w:val="28"/>
          <w:szCs w:val="28"/>
        </w:rPr>
        <w:t>vincule</w:t>
      </w:r>
      <w:r w:rsidR="00890EEC" w:rsidRPr="00793402">
        <w:rPr>
          <w:color w:val="000000" w:themeColor="text1"/>
          <w:sz w:val="28"/>
          <w:szCs w:val="28"/>
        </w:rPr>
        <w:t xml:space="preserve"> a la accionante </w:t>
      </w:r>
      <w:r w:rsidRPr="00793402">
        <w:rPr>
          <w:color w:val="000000" w:themeColor="text1"/>
          <w:sz w:val="28"/>
          <w:szCs w:val="28"/>
        </w:rPr>
        <w:t xml:space="preserve">a </w:t>
      </w:r>
      <w:r w:rsidR="00890EEC" w:rsidRPr="00793402">
        <w:rPr>
          <w:color w:val="000000" w:themeColor="text1"/>
          <w:sz w:val="28"/>
          <w:szCs w:val="28"/>
        </w:rPr>
        <w:t>un cargo vacante como el que desempeñaba o uno con funciones similares o equivalentes a las que desarrollaba antes de la fecha en la que fue desvinculada y hasta que</w:t>
      </w:r>
      <w:r w:rsidRPr="00793402">
        <w:rPr>
          <w:color w:val="000000" w:themeColor="text1"/>
          <w:sz w:val="28"/>
          <w:szCs w:val="28"/>
        </w:rPr>
        <w:t xml:space="preserve"> su derecho pensional sea reconocido y esté incluida en nómina</w:t>
      </w:r>
      <w:r w:rsidR="00890EEC" w:rsidRPr="00793402">
        <w:rPr>
          <w:color w:val="000000" w:themeColor="text1"/>
          <w:sz w:val="28"/>
          <w:szCs w:val="28"/>
        </w:rPr>
        <w:t>. En caso de no contar con vacantes</w:t>
      </w:r>
      <w:r w:rsidR="00B916F2" w:rsidRPr="00793402">
        <w:rPr>
          <w:color w:val="000000" w:themeColor="text1"/>
          <w:sz w:val="28"/>
          <w:szCs w:val="28"/>
        </w:rPr>
        <w:t xml:space="preserve"> disponibles</w:t>
      </w:r>
      <w:r w:rsidR="00890EEC" w:rsidRPr="00793402">
        <w:rPr>
          <w:color w:val="000000" w:themeColor="text1"/>
          <w:sz w:val="28"/>
          <w:szCs w:val="28"/>
        </w:rPr>
        <w:t xml:space="preserve">, la accionante deberá ser incluida en la lista de servidores con estabilidad laboral a ser reintegrados en cuanto la entidad cuente con </w:t>
      </w:r>
      <w:r w:rsidR="005B5424" w:rsidRPr="00793402">
        <w:rPr>
          <w:color w:val="000000" w:themeColor="text1"/>
          <w:sz w:val="28"/>
          <w:szCs w:val="28"/>
        </w:rPr>
        <w:t>disponibilidad de cargos</w:t>
      </w:r>
      <w:r w:rsidR="00890EEC" w:rsidRPr="00793402">
        <w:rPr>
          <w:color w:val="000000" w:themeColor="text1"/>
          <w:sz w:val="28"/>
          <w:szCs w:val="28"/>
        </w:rPr>
        <w:t>.</w:t>
      </w:r>
    </w:p>
    <w:p w14:paraId="570F1C07" w14:textId="1D48AF7F" w:rsidR="00F20898" w:rsidRPr="00793402" w:rsidRDefault="00F20898" w:rsidP="0027362C">
      <w:pPr>
        <w:shd w:val="clear" w:color="auto" w:fill="FFFFFF"/>
        <w:tabs>
          <w:tab w:val="left" w:pos="284"/>
        </w:tabs>
        <w:jc w:val="both"/>
        <w:rPr>
          <w:color w:val="000000" w:themeColor="text1"/>
          <w:sz w:val="28"/>
          <w:szCs w:val="28"/>
          <w:lang w:eastAsia="es-CO"/>
        </w:rPr>
      </w:pPr>
    </w:p>
    <w:p w14:paraId="6C072836" w14:textId="01FE2A47" w:rsidR="0027362C" w:rsidRPr="00793402" w:rsidRDefault="005C20BD" w:rsidP="0027362C">
      <w:pPr>
        <w:shd w:val="clear" w:color="auto" w:fill="FFFFFF"/>
        <w:tabs>
          <w:tab w:val="left" w:pos="284"/>
        </w:tabs>
        <w:jc w:val="both"/>
        <w:rPr>
          <w:color w:val="000000" w:themeColor="text1"/>
          <w:sz w:val="28"/>
          <w:szCs w:val="28"/>
          <w:lang w:eastAsia="es-CO"/>
        </w:rPr>
      </w:pPr>
      <w:r w:rsidRPr="00793402">
        <w:rPr>
          <w:color w:val="000000" w:themeColor="text1"/>
          <w:sz w:val="28"/>
          <w:szCs w:val="28"/>
          <w:lang w:eastAsia="es-CO"/>
        </w:rPr>
        <w:t>5</w:t>
      </w:r>
      <w:r w:rsidR="00C7718D" w:rsidRPr="00793402">
        <w:rPr>
          <w:color w:val="000000" w:themeColor="text1"/>
          <w:sz w:val="28"/>
          <w:szCs w:val="28"/>
          <w:lang w:eastAsia="es-CO"/>
        </w:rPr>
        <w:t>8</w:t>
      </w:r>
      <w:r w:rsidR="00F20898" w:rsidRPr="00793402">
        <w:rPr>
          <w:color w:val="000000" w:themeColor="text1"/>
          <w:sz w:val="28"/>
          <w:szCs w:val="28"/>
          <w:lang w:eastAsia="es-CO"/>
        </w:rPr>
        <w:t>.</w:t>
      </w:r>
      <w:r w:rsidR="00187738" w:rsidRPr="00793402">
        <w:rPr>
          <w:color w:val="000000" w:themeColor="text1"/>
          <w:sz w:val="28"/>
          <w:szCs w:val="28"/>
          <w:lang w:eastAsia="es-CO"/>
        </w:rPr>
        <w:t xml:space="preserve"> Adicionalmente</w:t>
      </w:r>
      <w:r w:rsidR="0027362C" w:rsidRPr="00793402">
        <w:rPr>
          <w:color w:val="000000" w:themeColor="text1"/>
          <w:sz w:val="28"/>
          <w:szCs w:val="28"/>
          <w:lang w:eastAsia="es-CO"/>
        </w:rPr>
        <w:t xml:space="preserve">, </w:t>
      </w:r>
      <w:r w:rsidR="0027362C" w:rsidRPr="00793402">
        <w:rPr>
          <w:rFonts w:eastAsia="Calibri"/>
          <w:color w:val="000000" w:themeColor="text1"/>
          <w:sz w:val="28"/>
          <w:szCs w:val="28"/>
          <w:lang w:val="es-ES_tradnl" w:eastAsia="es-CO"/>
        </w:rPr>
        <w:t>oficiará</w:t>
      </w:r>
      <w:r w:rsidR="0027362C" w:rsidRPr="00793402">
        <w:rPr>
          <w:color w:val="000000" w:themeColor="text1"/>
          <w:sz w:val="28"/>
          <w:szCs w:val="28"/>
          <w:shd w:val="clear" w:color="auto" w:fill="FFFFFF"/>
        </w:rPr>
        <w:t xml:space="preserve"> a la Procuraduría General de la Nación, para que, dentro del ámbito de sus competencias constitucionales</w:t>
      </w:r>
      <w:r w:rsidR="0027362C" w:rsidRPr="00793402">
        <w:rPr>
          <w:rStyle w:val="Refdenotaalpie"/>
          <w:color w:val="000000" w:themeColor="text1"/>
          <w:sz w:val="28"/>
          <w:szCs w:val="28"/>
          <w:shd w:val="clear" w:color="auto" w:fill="FFFFFF"/>
        </w:rPr>
        <w:footnoteReference w:id="149"/>
      </w:r>
      <w:r w:rsidR="0027362C" w:rsidRPr="00793402">
        <w:rPr>
          <w:color w:val="000000" w:themeColor="text1"/>
          <w:sz w:val="28"/>
          <w:szCs w:val="28"/>
          <w:shd w:val="clear" w:color="auto" w:fill="FFFFFF"/>
        </w:rPr>
        <w:t>, acompañe el cumplimiento de esta sentencia</w:t>
      </w:r>
      <w:r w:rsidR="00637624" w:rsidRPr="00793402">
        <w:rPr>
          <w:color w:val="000000" w:themeColor="text1"/>
          <w:sz w:val="28"/>
          <w:szCs w:val="28"/>
          <w:shd w:val="clear" w:color="auto" w:fill="FFFFFF"/>
        </w:rPr>
        <w:t>.</w:t>
      </w:r>
    </w:p>
    <w:p w14:paraId="699E98B3" w14:textId="77777777" w:rsidR="0027362C" w:rsidRPr="00793402" w:rsidRDefault="0027362C" w:rsidP="0027362C">
      <w:pPr>
        <w:shd w:val="clear" w:color="auto" w:fill="FFFFFF"/>
        <w:jc w:val="both"/>
        <w:rPr>
          <w:color w:val="000000" w:themeColor="text1"/>
          <w:sz w:val="28"/>
          <w:szCs w:val="28"/>
          <w:lang w:eastAsia="es-CO"/>
        </w:rPr>
      </w:pPr>
    </w:p>
    <w:p w14:paraId="0454F940" w14:textId="77777777" w:rsidR="0027362C" w:rsidRPr="00793402" w:rsidRDefault="0027362C" w:rsidP="0027362C">
      <w:pPr>
        <w:shd w:val="clear" w:color="auto" w:fill="FFFFFF"/>
        <w:jc w:val="both"/>
        <w:rPr>
          <w:b/>
          <w:bCs/>
          <w:color w:val="000000" w:themeColor="text1"/>
          <w:sz w:val="28"/>
          <w:szCs w:val="28"/>
          <w:lang w:eastAsia="es-CO"/>
        </w:rPr>
      </w:pPr>
      <w:r w:rsidRPr="00793402">
        <w:rPr>
          <w:b/>
          <w:bCs/>
          <w:color w:val="000000" w:themeColor="text1"/>
          <w:sz w:val="28"/>
          <w:szCs w:val="28"/>
          <w:lang w:eastAsia="es-CO"/>
        </w:rPr>
        <w:t>Síntesis de la decisión</w:t>
      </w:r>
    </w:p>
    <w:p w14:paraId="4AEAC725" w14:textId="77777777" w:rsidR="0027362C" w:rsidRPr="00793402" w:rsidRDefault="0027362C" w:rsidP="0027362C">
      <w:pPr>
        <w:shd w:val="clear" w:color="auto" w:fill="FFFFFF"/>
        <w:jc w:val="both"/>
        <w:rPr>
          <w:color w:val="000000" w:themeColor="text1"/>
          <w:sz w:val="28"/>
          <w:szCs w:val="28"/>
          <w:lang w:eastAsia="es-CO"/>
        </w:rPr>
      </w:pPr>
    </w:p>
    <w:p w14:paraId="482282BA" w14:textId="4C5105DF" w:rsidR="00353D3D" w:rsidRPr="00793402" w:rsidRDefault="00C7718D" w:rsidP="00353D3D">
      <w:pPr>
        <w:shd w:val="clear" w:color="auto" w:fill="FFFFFF"/>
        <w:jc w:val="both"/>
        <w:rPr>
          <w:color w:val="000000" w:themeColor="text1"/>
          <w:sz w:val="28"/>
          <w:szCs w:val="28"/>
          <w:shd w:val="clear" w:color="auto" w:fill="FFFFFF"/>
        </w:rPr>
      </w:pPr>
      <w:r w:rsidRPr="00793402">
        <w:rPr>
          <w:color w:val="000000" w:themeColor="text1"/>
          <w:sz w:val="28"/>
          <w:szCs w:val="28"/>
          <w:lang w:eastAsia="es-CO"/>
        </w:rPr>
        <w:t>59</w:t>
      </w:r>
      <w:r w:rsidR="0027362C" w:rsidRPr="00793402">
        <w:rPr>
          <w:color w:val="000000" w:themeColor="text1"/>
          <w:sz w:val="28"/>
          <w:szCs w:val="28"/>
          <w:lang w:eastAsia="es-CO"/>
        </w:rPr>
        <w:t xml:space="preserve">. En esta oportunidad, la Sala </w:t>
      </w:r>
      <w:r w:rsidR="00802819" w:rsidRPr="00793402">
        <w:rPr>
          <w:color w:val="000000" w:themeColor="text1"/>
          <w:sz w:val="28"/>
          <w:szCs w:val="28"/>
          <w:lang w:eastAsia="es-CO"/>
        </w:rPr>
        <w:t>conoció</w:t>
      </w:r>
      <w:r w:rsidR="0027362C" w:rsidRPr="00793402">
        <w:rPr>
          <w:color w:val="000000" w:themeColor="text1"/>
          <w:sz w:val="28"/>
          <w:szCs w:val="28"/>
          <w:lang w:eastAsia="es-CO"/>
        </w:rPr>
        <w:t xml:space="preserve"> el caso de una mujer</w:t>
      </w:r>
      <w:r w:rsidR="0097714A" w:rsidRPr="00793402">
        <w:rPr>
          <w:color w:val="000000" w:themeColor="text1"/>
          <w:sz w:val="28"/>
          <w:szCs w:val="28"/>
          <w:lang w:eastAsia="es-CO"/>
        </w:rPr>
        <w:t>, adulta mayor,</w:t>
      </w:r>
      <w:r w:rsidR="0027362C" w:rsidRPr="00793402">
        <w:rPr>
          <w:color w:val="000000" w:themeColor="text1"/>
          <w:sz w:val="28"/>
          <w:szCs w:val="28"/>
          <w:lang w:eastAsia="es-CO"/>
        </w:rPr>
        <w:t xml:space="preserve"> que acudió a la acción de tutela con el propósito de que se garantizara su estabilidad laboral debido a su condición de </w:t>
      </w:r>
      <w:proofErr w:type="spellStart"/>
      <w:r w:rsidR="0027362C" w:rsidRPr="00793402">
        <w:rPr>
          <w:color w:val="000000" w:themeColor="text1"/>
          <w:sz w:val="28"/>
          <w:szCs w:val="28"/>
          <w:lang w:eastAsia="es-CO"/>
        </w:rPr>
        <w:t>prepensionada</w:t>
      </w:r>
      <w:proofErr w:type="spellEnd"/>
      <w:r w:rsidR="0027362C" w:rsidRPr="00793402">
        <w:rPr>
          <w:color w:val="000000" w:themeColor="text1"/>
          <w:sz w:val="28"/>
          <w:szCs w:val="28"/>
          <w:lang w:eastAsia="es-CO"/>
        </w:rPr>
        <w:t>.</w:t>
      </w:r>
      <w:r w:rsidR="00353D3D" w:rsidRPr="00793402">
        <w:rPr>
          <w:color w:val="000000" w:themeColor="text1"/>
          <w:sz w:val="28"/>
          <w:szCs w:val="28"/>
          <w:lang w:eastAsia="es-CO"/>
        </w:rPr>
        <w:t xml:space="preserve"> </w:t>
      </w:r>
      <w:r w:rsidR="007251F4" w:rsidRPr="00793402">
        <w:rPr>
          <w:color w:val="000000" w:themeColor="text1"/>
          <w:sz w:val="28"/>
          <w:szCs w:val="28"/>
        </w:rPr>
        <w:t>Según la accionante</w:t>
      </w:r>
      <w:r w:rsidR="00353D3D" w:rsidRPr="00793402">
        <w:rPr>
          <w:color w:val="000000" w:themeColor="text1"/>
          <w:sz w:val="28"/>
          <w:szCs w:val="28"/>
        </w:rPr>
        <w:t xml:space="preserve"> </w:t>
      </w:r>
      <w:r w:rsidR="00353D3D" w:rsidRPr="00793402">
        <w:rPr>
          <w:color w:val="000000" w:themeColor="text1"/>
          <w:sz w:val="28"/>
          <w:szCs w:val="28"/>
          <w:shd w:val="clear" w:color="auto" w:fill="FFFFFF"/>
        </w:rPr>
        <w:t xml:space="preserve">la </w:t>
      </w:r>
      <w:r w:rsidR="007251F4" w:rsidRPr="00793402">
        <w:rPr>
          <w:color w:val="000000" w:themeColor="text1"/>
          <w:sz w:val="28"/>
          <w:szCs w:val="28"/>
          <w:shd w:val="clear" w:color="auto" w:fill="FFFFFF"/>
        </w:rPr>
        <w:t xml:space="preserve">entidad </w:t>
      </w:r>
      <w:r w:rsidR="005C20BD" w:rsidRPr="00793402">
        <w:rPr>
          <w:color w:val="000000" w:themeColor="text1"/>
          <w:sz w:val="28"/>
          <w:szCs w:val="28"/>
          <w:shd w:val="clear" w:color="auto" w:fill="FFFFFF"/>
        </w:rPr>
        <w:t>accionada</w:t>
      </w:r>
      <w:r w:rsidR="00353D3D" w:rsidRPr="00793402">
        <w:rPr>
          <w:color w:val="000000" w:themeColor="text1"/>
          <w:sz w:val="28"/>
          <w:szCs w:val="28"/>
          <w:shd w:val="clear" w:color="auto" w:fill="FFFFFF"/>
        </w:rPr>
        <w:t xml:space="preserve"> vulneró </w:t>
      </w:r>
      <w:r w:rsidR="007251F4" w:rsidRPr="00793402">
        <w:rPr>
          <w:color w:val="000000" w:themeColor="text1"/>
          <w:sz w:val="28"/>
          <w:szCs w:val="28"/>
          <w:shd w:val="clear" w:color="auto" w:fill="FFFFFF"/>
        </w:rPr>
        <w:t>sus</w:t>
      </w:r>
      <w:r w:rsidR="00353D3D" w:rsidRPr="00793402">
        <w:rPr>
          <w:color w:val="000000" w:themeColor="text1"/>
          <w:sz w:val="28"/>
          <w:szCs w:val="28"/>
          <w:shd w:val="clear" w:color="auto" w:fill="FFFFFF"/>
        </w:rPr>
        <w:t xml:space="preserve"> derechos fundamentales </w:t>
      </w:r>
      <w:r w:rsidR="00747A72" w:rsidRPr="00793402">
        <w:rPr>
          <w:color w:val="000000" w:themeColor="text1"/>
          <w:sz w:val="28"/>
          <w:szCs w:val="28"/>
          <w:shd w:val="clear" w:color="auto" w:fill="FFFFFF"/>
        </w:rPr>
        <w:t xml:space="preserve">a </w:t>
      </w:r>
      <w:r w:rsidR="00747A72" w:rsidRPr="00793402">
        <w:rPr>
          <w:color w:val="000000" w:themeColor="text1"/>
          <w:sz w:val="28"/>
          <w:szCs w:val="28"/>
          <w:lang w:eastAsia="es-CO"/>
        </w:rPr>
        <w:t>la seguridad social, a la dignidad humana, a la estabilidad laboral reforzada, al trabajo y al mínimo vital</w:t>
      </w:r>
      <w:r w:rsidR="00747A72" w:rsidRPr="00793402">
        <w:rPr>
          <w:color w:val="000000" w:themeColor="text1"/>
          <w:sz w:val="28"/>
          <w:szCs w:val="28"/>
          <w:shd w:val="clear" w:color="auto" w:fill="FFFFFF"/>
        </w:rPr>
        <w:t xml:space="preserve"> </w:t>
      </w:r>
      <w:r w:rsidR="00353D3D" w:rsidRPr="00793402">
        <w:rPr>
          <w:color w:val="000000" w:themeColor="text1"/>
          <w:sz w:val="28"/>
          <w:szCs w:val="28"/>
          <w:shd w:val="clear" w:color="auto" w:fill="FFFFFF"/>
        </w:rPr>
        <w:t xml:space="preserve">al desvincularla del cargo que ocupó en provisionalidad, para nombrar a quien superó el concurso de méritos sin tener en consideración su calidad de </w:t>
      </w:r>
      <w:proofErr w:type="spellStart"/>
      <w:r w:rsidR="00353D3D" w:rsidRPr="00793402">
        <w:rPr>
          <w:color w:val="000000" w:themeColor="text1"/>
          <w:sz w:val="28"/>
          <w:szCs w:val="28"/>
          <w:shd w:val="clear" w:color="auto" w:fill="FFFFFF"/>
        </w:rPr>
        <w:t>prepensionada</w:t>
      </w:r>
      <w:proofErr w:type="spellEnd"/>
      <w:r w:rsidR="007251F4" w:rsidRPr="00793402">
        <w:rPr>
          <w:color w:val="000000" w:themeColor="text1"/>
          <w:sz w:val="28"/>
          <w:szCs w:val="28"/>
          <w:shd w:val="clear" w:color="auto" w:fill="FFFFFF"/>
        </w:rPr>
        <w:t>.</w:t>
      </w:r>
    </w:p>
    <w:p w14:paraId="4AB25B17" w14:textId="77777777" w:rsidR="0027362C" w:rsidRPr="00793402" w:rsidRDefault="0027362C" w:rsidP="0027362C">
      <w:pPr>
        <w:shd w:val="clear" w:color="auto" w:fill="FFFFFF"/>
        <w:jc w:val="both"/>
        <w:rPr>
          <w:color w:val="000000" w:themeColor="text1"/>
          <w:sz w:val="28"/>
          <w:szCs w:val="28"/>
          <w:shd w:val="clear" w:color="auto" w:fill="FFFFFF"/>
        </w:rPr>
      </w:pPr>
    </w:p>
    <w:p w14:paraId="0347143C" w14:textId="59BE1E8C" w:rsidR="00516546" w:rsidRPr="00793402" w:rsidRDefault="001E5C39" w:rsidP="00516546">
      <w:pPr>
        <w:pStyle w:val="Prrafodelista"/>
        <w:widowControl w:val="0"/>
        <w:tabs>
          <w:tab w:val="left" w:pos="284"/>
        </w:tabs>
        <w:ind w:left="0"/>
        <w:jc w:val="both"/>
        <w:rPr>
          <w:color w:val="000000" w:themeColor="text1"/>
          <w:sz w:val="28"/>
          <w:szCs w:val="28"/>
          <w:shd w:val="clear" w:color="auto" w:fill="FFFFFF"/>
        </w:rPr>
      </w:pPr>
      <w:r w:rsidRPr="00793402">
        <w:rPr>
          <w:color w:val="000000" w:themeColor="text1"/>
          <w:sz w:val="28"/>
          <w:szCs w:val="28"/>
          <w:shd w:val="clear" w:color="auto" w:fill="FFFFFF"/>
        </w:rPr>
        <w:t>6</w:t>
      </w:r>
      <w:r w:rsidR="00C7718D" w:rsidRPr="00793402">
        <w:rPr>
          <w:color w:val="000000" w:themeColor="text1"/>
          <w:sz w:val="28"/>
          <w:szCs w:val="28"/>
          <w:shd w:val="clear" w:color="auto" w:fill="FFFFFF"/>
        </w:rPr>
        <w:t>0</w:t>
      </w:r>
      <w:r w:rsidR="0027362C" w:rsidRPr="00793402">
        <w:rPr>
          <w:color w:val="000000" w:themeColor="text1"/>
          <w:sz w:val="28"/>
          <w:szCs w:val="28"/>
          <w:shd w:val="clear" w:color="auto" w:fill="FFFFFF"/>
        </w:rPr>
        <w:t xml:space="preserve">. </w:t>
      </w:r>
      <w:r w:rsidR="005C20BD" w:rsidRPr="00793402">
        <w:rPr>
          <w:color w:val="000000" w:themeColor="text1"/>
          <w:sz w:val="28"/>
          <w:szCs w:val="28"/>
          <w:shd w:val="clear" w:color="auto" w:fill="FFFFFF"/>
        </w:rPr>
        <w:t xml:space="preserve">Luego de establecer la procedencia de la acción de tutela únicamente para el reintegro y en relación con </w:t>
      </w:r>
      <w:r w:rsidR="00940AF8" w:rsidRPr="00793402">
        <w:rPr>
          <w:color w:val="000000" w:themeColor="text1"/>
          <w:sz w:val="28"/>
          <w:szCs w:val="28"/>
        </w:rPr>
        <w:t>C</w:t>
      </w:r>
      <w:r w:rsidR="00042644" w:rsidRPr="00793402">
        <w:rPr>
          <w:color w:val="000000" w:themeColor="text1"/>
          <w:sz w:val="28"/>
          <w:szCs w:val="28"/>
        </w:rPr>
        <w:t xml:space="preserve">OLPENSIONES </w:t>
      </w:r>
      <w:r w:rsidR="005C20BD" w:rsidRPr="00793402">
        <w:rPr>
          <w:color w:val="000000" w:themeColor="text1"/>
          <w:sz w:val="28"/>
          <w:szCs w:val="28"/>
          <w:shd w:val="clear" w:color="auto" w:fill="FFFFFF"/>
        </w:rPr>
        <w:t xml:space="preserve">y la SED, la Sala </w:t>
      </w:r>
      <w:r w:rsidR="009B58D9" w:rsidRPr="00793402">
        <w:rPr>
          <w:color w:val="000000" w:themeColor="text1"/>
          <w:sz w:val="28"/>
          <w:szCs w:val="28"/>
          <w:shd w:val="clear" w:color="auto" w:fill="FFFFFF"/>
        </w:rPr>
        <w:t>debió</w:t>
      </w:r>
      <w:r w:rsidR="005C20BD" w:rsidRPr="00793402">
        <w:rPr>
          <w:color w:val="000000" w:themeColor="text1"/>
          <w:sz w:val="28"/>
          <w:szCs w:val="28"/>
          <w:shd w:val="clear" w:color="auto" w:fill="FFFFFF"/>
        </w:rPr>
        <w:t xml:space="preserve"> resolver los siguientes problemas jurídicos</w:t>
      </w:r>
      <w:r w:rsidR="00516546" w:rsidRPr="00793402">
        <w:rPr>
          <w:color w:val="000000" w:themeColor="text1"/>
          <w:sz w:val="28"/>
          <w:szCs w:val="28"/>
          <w:shd w:val="clear" w:color="auto" w:fill="FFFFFF"/>
        </w:rPr>
        <w:t xml:space="preserve">: </w:t>
      </w:r>
      <w:r w:rsidR="002E2589" w:rsidRPr="00793402">
        <w:rPr>
          <w:color w:val="000000" w:themeColor="text1"/>
          <w:sz w:val="28"/>
          <w:szCs w:val="28"/>
          <w:shd w:val="clear" w:color="auto" w:fill="FFFFFF"/>
        </w:rPr>
        <w:t>(i) ¿</w:t>
      </w:r>
      <w:r w:rsidR="002E2589" w:rsidRPr="00793402">
        <w:rPr>
          <w:color w:val="000000" w:themeColor="text1"/>
          <w:sz w:val="28"/>
          <w:szCs w:val="28"/>
        </w:rPr>
        <w:t xml:space="preserve"> </w:t>
      </w:r>
      <w:r w:rsidR="002E2589" w:rsidRPr="00793402">
        <w:rPr>
          <w:color w:val="000000" w:themeColor="text1"/>
          <w:sz w:val="28"/>
          <w:szCs w:val="28"/>
          <w:shd w:val="clear" w:color="auto" w:fill="FFFFFF"/>
        </w:rPr>
        <w:t>C</w:t>
      </w:r>
      <w:r w:rsidR="008249DC" w:rsidRPr="00793402">
        <w:rPr>
          <w:color w:val="000000" w:themeColor="text1"/>
          <w:sz w:val="28"/>
          <w:szCs w:val="28"/>
          <w:shd w:val="clear" w:color="auto" w:fill="FFFFFF"/>
        </w:rPr>
        <w:t>OLPENSIONES</w:t>
      </w:r>
      <w:r w:rsidR="002E2589" w:rsidRPr="00793402">
        <w:rPr>
          <w:color w:val="000000" w:themeColor="text1"/>
          <w:sz w:val="28"/>
          <w:szCs w:val="28"/>
          <w:shd w:val="clear" w:color="auto" w:fill="FFFFFF"/>
        </w:rPr>
        <w:t xml:space="preserve"> y la SED vulneraron el derecho fundamental a la seguridad social al no actualizar la información contenida en la historia laboral y los aportes pensionales de la actora?; y, (ii) ¿La SED vulneró los derechos fundamentales, a la estabilidad laboral, al trabajo, a la seguridad social, al mínimo vital y dignidad humana de la accionante al desvincularla del cargo que ocupó en provisionalidad, para nombrar a quien superó el concurso de méritos sin considerar la condición de </w:t>
      </w:r>
      <w:proofErr w:type="spellStart"/>
      <w:r w:rsidR="002E2589" w:rsidRPr="00793402">
        <w:rPr>
          <w:color w:val="000000" w:themeColor="text1"/>
          <w:sz w:val="28"/>
          <w:szCs w:val="28"/>
          <w:shd w:val="clear" w:color="auto" w:fill="FFFFFF"/>
        </w:rPr>
        <w:t>prepensionada</w:t>
      </w:r>
      <w:proofErr w:type="spellEnd"/>
      <w:r w:rsidR="002E2589" w:rsidRPr="00793402">
        <w:rPr>
          <w:color w:val="000000" w:themeColor="text1"/>
          <w:sz w:val="28"/>
          <w:szCs w:val="28"/>
          <w:shd w:val="clear" w:color="auto" w:fill="FFFFFF"/>
        </w:rPr>
        <w:t xml:space="preserve"> que aquella alego?</w:t>
      </w:r>
    </w:p>
    <w:p w14:paraId="7A3BBF15" w14:textId="77777777" w:rsidR="002E2589" w:rsidRPr="00793402" w:rsidRDefault="002E2589" w:rsidP="00516546">
      <w:pPr>
        <w:pStyle w:val="Prrafodelista"/>
        <w:widowControl w:val="0"/>
        <w:tabs>
          <w:tab w:val="left" w:pos="284"/>
        </w:tabs>
        <w:ind w:left="0"/>
        <w:jc w:val="both"/>
        <w:rPr>
          <w:color w:val="000000" w:themeColor="text1"/>
          <w:sz w:val="28"/>
          <w:szCs w:val="28"/>
          <w:shd w:val="clear" w:color="auto" w:fill="FFFFFF"/>
        </w:rPr>
      </w:pPr>
    </w:p>
    <w:p w14:paraId="375D4E4F" w14:textId="4E906C22" w:rsidR="0027362C" w:rsidRPr="00793402" w:rsidRDefault="001E5C39" w:rsidP="00516546">
      <w:pPr>
        <w:pStyle w:val="Prrafodelista"/>
        <w:widowControl w:val="0"/>
        <w:tabs>
          <w:tab w:val="left" w:pos="284"/>
        </w:tabs>
        <w:ind w:left="0"/>
        <w:jc w:val="both"/>
        <w:rPr>
          <w:color w:val="000000" w:themeColor="text1"/>
          <w:sz w:val="28"/>
          <w:szCs w:val="28"/>
          <w:shd w:val="clear" w:color="auto" w:fill="FFFFFF"/>
        </w:rPr>
      </w:pPr>
      <w:r w:rsidRPr="00793402">
        <w:rPr>
          <w:color w:val="000000" w:themeColor="text1"/>
          <w:sz w:val="28"/>
          <w:szCs w:val="28"/>
          <w:shd w:val="clear" w:color="auto" w:fill="FFFFFF"/>
        </w:rPr>
        <w:lastRenderedPageBreak/>
        <w:t>6</w:t>
      </w:r>
      <w:r w:rsidR="00C7718D" w:rsidRPr="00793402">
        <w:rPr>
          <w:color w:val="000000" w:themeColor="text1"/>
          <w:sz w:val="28"/>
          <w:szCs w:val="28"/>
          <w:shd w:val="clear" w:color="auto" w:fill="FFFFFF"/>
        </w:rPr>
        <w:t>1</w:t>
      </w:r>
      <w:r w:rsidR="00516546" w:rsidRPr="00793402">
        <w:rPr>
          <w:color w:val="000000" w:themeColor="text1"/>
          <w:sz w:val="28"/>
          <w:szCs w:val="28"/>
          <w:shd w:val="clear" w:color="auto" w:fill="FFFFFF"/>
        </w:rPr>
        <w:t>. Para resolver las mencionadas cuestiones</w:t>
      </w:r>
      <w:r w:rsidR="0027362C" w:rsidRPr="00793402">
        <w:rPr>
          <w:color w:val="000000" w:themeColor="text1"/>
          <w:sz w:val="28"/>
          <w:szCs w:val="28"/>
          <w:shd w:val="clear" w:color="auto" w:fill="FFFFFF"/>
        </w:rPr>
        <w:t xml:space="preserve">, reiteró las reglas jurisprudenciales sobre: </w:t>
      </w:r>
      <w:r w:rsidR="00353D3D" w:rsidRPr="00793402">
        <w:rPr>
          <w:color w:val="000000" w:themeColor="text1"/>
          <w:sz w:val="28"/>
          <w:szCs w:val="28"/>
          <w:shd w:val="clear" w:color="auto" w:fill="FFFFFF"/>
        </w:rPr>
        <w:t xml:space="preserve">(i) </w:t>
      </w:r>
      <w:r w:rsidR="002E2589" w:rsidRPr="00793402">
        <w:rPr>
          <w:color w:val="000000" w:themeColor="text1"/>
          <w:sz w:val="28"/>
          <w:szCs w:val="28"/>
          <w:shd w:val="clear" w:color="auto" w:fill="FFFFFF"/>
        </w:rPr>
        <w:t xml:space="preserve">la estabilidad laboral reforzada de los servidores públicos nombrados en provisionalidad que ostentan la condición de </w:t>
      </w:r>
      <w:proofErr w:type="spellStart"/>
      <w:r w:rsidR="002E2589" w:rsidRPr="00793402">
        <w:rPr>
          <w:color w:val="000000" w:themeColor="text1"/>
          <w:sz w:val="28"/>
          <w:szCs w:val="28"/>
          <w:shd w:val="clear" w:color="auto" w:fill="FFFFFF"/>
        </w:rPr>
        <w:t>prepensionados</w:t>
      </w:r>
      <w:proofErr w:type="spellEnd"/>
      <w:r w:rsidR="00353D3D" w:rsidRPr="00793402">
        <w:rPr>
          <w:color w:val="000000" w:themeColor="text1"/>
          <w:sz w:val="28"/>
          <w:szCs w:val="28"/>
          <w:shd w:val="clear" w:color="auto" w:fill="FFFFFF"/>
        </w:rPr>
        <w:t>;</w:t>
      </w:r>
      <w:r w:rsidR="009B58D9" w:rsidRPr="00793402">
        <w:rPr>
          <w:color w:val="000000" w:themeColor="text1"/>
          <w:sz w:val="28"/>
          <w:szCs w:val="28"/>
          <w:shd w:val="clear" w:color="auto" w:fill="FFFFFF"/>
        </w:rPr>
        <w:t xml:space="preserve"> y,</w:t>
      </w:r>
      <w:r w:rsidR="00353D3D" w:rsidRPr="00793402">
        <w:rPr>
          <w:color w:val="000000" w:themeColor="text1"/>
          <w:sz w:val="28"/>
          <w:szCs w:val="28"/>
          <w:shd w:val="clear" w:color="auto" w:fill="FFFFFF"/>
        </w:rPr>
        <w:t xml:space="preserve"> (ii) los deberes de las administradoras de pensiones y de los empleadores en relación con la información consignada en la historia laboral y la garantía del derecho a la pensión</w:t>
      </w:r>
      <w:r w:rsidR="009B58D9" w:rsidRPr="00793402">
        <w:rPr>
          <w:color w:val="000000" w:themeColor="text1"/>
          <w:sz w:val="28"/>
          <w:szCs w:val="28"/>
          <w:shd w:val="clear" w:color="auto" w:fill="FFFFFF"/>
        </w:rPr>
        <w:t>.</w:t>
      </w:r>
    </w:p>
    <w:p w14:paraId="1191F515" w14:textId="77777777" w:rsidR="0027362C" w:rsidRPr="00793402" w:rsidRDefault="0027362C" w:rsidP="0027362C">
      <w:pPr>
        <w:shd w:val="clear" w:color="auto" w:fill="FFFFFF"/>
        <w:jc w:val="both"/>
        <w:rPr>
          <w:color w:val="000000" w:themeColor="text1"/>
          <w:sz w:val="28"/>
          <w:szCs w:val="28"/>
        </w:rPr>
      </w:pPr>
    </w:p>
    <w:p w14:paraId="5273AA24" w14:textId="4F9FB08A" w:rsidR="003C6333" w:rsidRPr="00793402" w:rsidRDefault="001E5C39" w:rsidP="003C6333">
      <w:pPr>
        <w:shd w:val="clear" w:color="auto" w:fill="FFFFFF"/>
        <w:tabs>
          <w:tab w:val="left" w:pos="284"/>
        </w:tabs>
        <w:jc w:val="both"/>
        <w:rPr>
          <w:color w:val="000000" w:themeColor="text1"/>
          <w:sz w:val="28"/>
          <w:szCs w:val="28"/>
          <w:lang w:eastAsia="es-CO"/>
        </w:rPr>
      </w:pPr>
      <w:r w:rsidRPr="00793402">
        <w:rPr>
          <w:color w:val="000000" w:themeColor="text1"/>
          <w:sz w:val="28"/>
          <w:szCs w:val="28"/>
          <w:lang w:eastAsia="es-CO"/>
        </w:rPr>
        <w:t>6</w:t>
      </w:r>
      <w:r w:rsidR="00C7718D" w:rsidRPr="00793402">
        <w:rPr>
          <w:color w:val="000000" w:themeColor="text1"/>
          <w:sz w:val="28"/>
          <w:szCs w:val="28"/>
          <w:lang w:eastAsia="es-CO"/>
        </w:rPr>
        <w:t>2</w:t>
      </w:r>
      <w:r w:rsidR="0027362C" w:rsidRPr="00793402">
        <w:rPr>
          <w:color w:val="000000" w:themeColor="text1"/>
          <w:sz w:val="28"/>
          <w:szCs w:val="28"/>
          <w:lang w:eastAsia="es-CO"/>
        </w:rPr>
        <w:t xml:space="preserve">. </w:t>
      </w:r>
      <w:r w:rsidR="00516546" w:rsidRPr="00793402">
        <w:rPr>
          <w:color w:val="000000" w:themeColor="text1"/>
          <w:sz w:val="28"/>
          <w:szCs w:val="28"/>
          <w:lang w:eastAsia="es-CO"/>
        </w:rPr>
        <w:t>Al analizar el caso concreto, l</w:t>
      </w:r>
      <w:r w:rsidR="0027362C" w:rsidRPr="00793402">
        <w:rPr>
          <w:color w:val="000000" w:themeColor="text1"/>
          <w:sz w:val="28"/>
          <w:szCs w:val="28"/>
          <w:lang w:eastAsia="es-CO"/>
        </w:rPr>
        <w:t>a Sala</w:t>
      </w:r>
      <w:r w:rsidR="007251F4" w:rsidRPr="00793402">
        <w:rPr>
          <w:color w:val="000000" w:themeColor="text1"/>
          <w:sz w:val="28"/>
          <w:szCs w:val="28"/>
          <w:lang w:eastAsia="es-CO"/>
        </w:rPr>
        <w:t xml:space="preserve"> encontró que la historia laboral de la demandante presentaba algunas inconsistencias en relación con el número de semanas cotizadas a pensión. En tal sentido, evidenció que </w:t>
      </w:r>
      <w:r w:rsidR="00940AF8" w:rsidRPr="00793402">
        <w:rPr>
          <w:color w:val="000000" w:themeColor="text1"/>
          <w:sz w:val="28"/>
          <w:szCs w:val="28"/>
        </w:rPr>
        <w:t>C</w:t>
      </w:r>
      <w:r w:rsidR="00042644" w:rsidRPr="00793402">
        <w:rPr>
          <w:color w:val="000000" w:themeColor="text1"/>
          <w:sz w:val="28"/>
          <w:szCs w:val="28"/>
        </w:rPr>
        <w:t>OLPENSIONES</w:t>
      </w:r>
      <w:r w:rsidR="007251F4" w:rsidRPr="00793402">
        <w:rPr>
          <w:color w:val="000000" w:themeColor="text1"/>
          <w:sz w:val="28"/>
          <w:szCs w:val="28"/>
          <w:lang w:eastAsia="es-CO"/>
        </w:rPr>
        <w:t xml:space="preserve"> </w:t>
      </w:r>
      <w:r w:rsidR="00516546" w:rsidRPr="00793402">
        <w:rPr>
          <w:color w:val="000000" w:themeColor="text1"/>
          <w:sz w:val="28"/>
          <w:szCs w:val="28"/>
          <w:lang w:eastAsia="es-CO"/>
        </w:rPr>
        <w:t xml:space="preserve">y la SED </w:t>
      </w:r>
      <w:r w:rsidR="007251F4" w:rsidRPr="00793402">
        <w:rPr>
          <w:color w:val="000000" w:themeColor="text1"/>
          <w:sz w:val="28"/>
          <w:szCs w:val="28"/>
          <w:lang w:eastAsia="es-CO"/>
        </w:rPr>
        <w:t>afect</w:t>
      </w:r>
      <w:r w:rsidR="00516546" w:rsidRPr="00793402">
        <w:rPr>
          <w:color w:val="000000" w:themeColor="text1"/>
          <w:sz w:val="28"/>
          <w:szCs w:val="28"/>
          <w:lang w:eastAsia="es-CO"/>
        </w:rPr>
        <w:t>aron</w:t>
      </w:r>
      <w:r w:rsidR="007251F4" w:rsidRPr="00793402">
        <w:rPr>
          <w:color w:val="000000" w:themeColor="text1"/>
          <w:sz w:val="28"/>
          <w:szCs w:val="28"/>
          <w:lang w:eastAsia="es-CO"/>
        </w:rPr>
        <w:t xml:space="preserve"> las garantías </w:t>
      </w:r>
      <w:r w:rsidR="007251F4" w:rsidRPr="00793402">
        <w:rPr>
          <w:i/>
          <w:iCs/>
          <w:color w:val="000000" w:themeColor="text1"/>
          <w:sz w:val="28"/>
          <w:szCs w:val="28"/>
          <w:lang w:eastAsia="es-CO"/>
        </w:rPr>
        <w:t>ius</w:t>
      </w:r>
      <w:r w:rsidR="007B4C2F" w:rsidRPr="00793402">
        <w:rPr>
          <w:i/>
          <w:iCs/>
          <w:color w:val="000000" w:themeColor="text1"/>
          <w:sz w:val="28"/>
          <w:szCs w:val="28"/>
          <w:lang w:eastAsia="es-CO"/>
        </w:rPr>
        <w:t xml:space="preserve"> </w:t>
      </w:r>
      <w:r w:rsidR="007251F4" w:rsidRPr="00793402">
        <w:rPr>
          <w:i/>
          <w:iCs/>
          <w:color w:val="000000" w:themeColor="text1"/>
          <w:sz w:val="28"/>
          <w:szCs w:val="28"/>
          <w:lang w:eastAsia="es-CO"/>
        </w:rPr>
        <w:t>fundamentales</w:t>
      </w:r>
      <w:r w:rsidR="007251F4" w:rsidRPr="00793402">
        <w:rPr>
          <w:color w:val="000000" w:themeColor="text1"/>
          <w:sz w:val="28"/>
          <w:szCs w:val="28"/>
          <w:lang w:eastAsia="es-CO"/>
        </w:rPr>
        <w:t xml:space="preserve"> de la actora porque incumpli</w:t>
      </w:r>
      <w:r w:rsidR="009B58D9" w:rsidRPr="00793402">
        <w:rPr>
          <w:color w:val="000000" w:themeColor="text1"/>
          <w:sz w:val="28"/>
          <w:szCs w:val="28"/>
          <w:lang w:eastAsia="es-CO"/>
        </w:rPr>
        <w:t>eron</w:t>
      </w:r>
      <w:r w:rsidR="007251F4" w:rsidRPr="00793402">
        <w:rPr>
          <w:color w:val="000000" w:themeColor="text1"/>
          <w:sz w:val="28"/>
          <w:szCs w:val="28"/>
          <w:lang w:eastAsia="es-CO"/>
        </w:rPr>
        <w:t xml:space="preserve"> </w:t>
      </w:r>
      <w:r w:rsidR="0027362C" w:rsidRPr="00793402">
        <w:rPr>
          <w:color w:val="000000" w:themeColor="text1"/>
          <w:sz w:val="28"/>
          <w:szCs w:val="28"/>
          <w:lang w:eastAsia="es-CO"/>
        </w:rPr>
        <w:t xml:space="preserve">con su deber de </w:t>
      </w:r>
      <w:r w:rsidR="002E2589" w:rsidRPr="00793402">
        <w:rPr>
          <w:color w:val="000000" w:themeColor="text1"/>
          <w:sz w:val="28"/>
          <w:szCs w:val="28"/>
        </w:rPr>
        <w:t>validar</w:t>
      </w:r>
      <w:r w:rsidR="0027362C" w:rsidRPr="00793402">
        <w:rPr>
          <w:color w:val="000000" w:themeColor="text1"/>
          <w:sz w:val="28"/>
          <w:szCs w:val="28"/>
        </w:rPr>
        <w:t xml:space="preserve"> </w:t>
      </w:r>
      <w:r w:rsidR="009B58D9" w:rsidRPr="00793402">
        <w:rPr>
          <w:color w:val="000000" w:themeColor="text1"/>
          <w:sz w:val="28"/>
          <w:szCs w:val="28"/>
        </w:rPr>
        <w:t xml:space="preserve">y mantener actualizada </w:t>
      </w:r>
      <w:r w:rsidR="0027362C" w:rsidRPr="00793402">
        <w:rPr>
          <w:color w:val="000000" w:themeColor="text1"/>
          <w:sz w:val="28"/>
          <w:szCs w:val="28"/>
        </w:rPr>
        <w:t>la información relacionada con sus aportes al sistema pensional.</w:t>
      </w:r>
      <w:r w:rsidR="003F1F6C" w:rsidRPr="00793402">
        <w:rPr>
          <w:color w:val="000000" w:themeColor="text1"/>
          <w:sz w:val="28"/>
          <w:szCs w:val="28"/>
        </w:rPr>
        <w:t xml:space="preserve"> </w:t>
      </w:r>
      <w:r w:rsidR="0027362C" w:rsidRPr="00793402">
        <w:rPr>
          <w:color w:val="000000" w:themeColor="text1"/>
          <w:sz w:val="28"/>
          <w:szCs w:val="28"/>
        </w:rPr>
        <w:t xml:space="preserve">Al respecto, </w:t>
      </w:r>
      <w:r w:rsidR="002E2589" w:rsidRPr="00793402">
        <w:rPr>
          <w:color w:val="000000" w:themeColor="text1"/>
          <w:sz w:val="28"/>
          <w:szCs w:val="28"/>
        </w:rPr>
        <w:t xml:space="preserve">la Sala </w:t>
      </w:r>
      <w:r w:rsidR="0027362C" w:rsidRPr="00793402">
        <w:rPr>
          <w:color w:val="000000" w:themeColor="text1"/>
          <w:sz w:val="28"/>
          <w:szCs w:val="28"/>
        </w:rPr>
        <w:t>expresó que la accionante no es</w:t>
      </w:r>
      <w:r w:rsidR="00187738" w:rsidRPr="00793402">
        <w:rPr>
          <w:color w:val="000000" w:themeColor="text1"/>
          <w:sz w:val="28"/>
          <w:szCs w:val="28"/>
        </w:rPr>
        <w:t xml:space="preserve">tá obligada </w:t>
      </w:r>
      <w:r w:rsidR="0027362C" w:rsidRPr="00793402">
        <w:rPr>
          <w:color w:val="000000" w:themeColor="text1"/>
          <w:sz w:val="28"/>
          <w:szCs w:val="28"/>
        </w:rPr>
        <w:t xml:space="preserve">a soportar las consecuencias negativas de la inexactitud de </w:t>
      </w:r>
      <w:r w:rsidR="00187738" w:rsidRPr="00793402">
        <w:rPr>
          <w:color w:val="000000" w:themeColor="text1"/>
          <w:sz w:val="28"/>
          <w:szCs w:val="28"/>
        </w:rPr>
        <w:t xml:space="preserve">la información que reposa en </w:t>
      </w:r>
      <w:r w:rsidR="0027362C" w:rsidRPr="00793402">
        <w:rPr>
          <w:color w:val="000000" w:themeColor="text1"/>
          <w:sz w:val="28"/>
          <w:szCs w:val="28"/>
        </w:rPr>
        <w:t>su historial laboral</w:t>
      </w:r>
      <w:r w:rsidR="007251F4" w:rsidRPr="00793402">
        <w:rPr>
          <w:color w:val="000000" w:themeColor="text1"/>
          <w:sz w:val="28"/>
          <w:szCs w:val="28"/>
        </w:rPr>
        <w:t xml:space="preserve">. Esta situación impactó en el reconocimiento de la calidad de </w:t>
      </w:r>
      <w:proofErr w:type="spellStart"/>
      <w:r w:rsidR="007251F4" w:rsidRPr="00793402">
        <w:rPr>
          <w:color w:val="000000" w:themeColor="text1"/>
          <w:sz w:val="28"/>
          <w:szCs w:val="28"/>
        </w:rPr>
        <w:t>prepensionada</w:t>
      </w:r>
      <w:proofErr w:type="spellEnd"/>
      <w:r w:rsidR="007251F4" w:rsidRPr="00793402">
        <w:rPr>
          <w:color w:val="000000" w:themeColor="text1"/>
          <w:sz w:val="28"/>
          <w:szCs w:val="28"/>
        </w:rPr>
        <w:t xml:space="preserve"> de la demandante</w:t>
      </w:r>
      <w:r w:rsidR="00DA4DEC" w:rsidRPr="00793402">
        <w:rPr>
          <w:color w:val="000000" w:themeColor="text1"/>
          <w:sz w:val="28"/>
          <w:szCs w:val="28"/>
        </w:rPr>
        <w:t xml:space="preserve">, pues la SED </w:t>
      </w:r>
      <w:r w:rsidR="003F1F6C" w:rsidRPr="00793402">
        <w:rPr>
          <w:color w:val="000000" w:themeColor="text1"/>
          <w:sz w:val="28"/>
          <w:szCs w:val="28"/>
          <w:lang w:eastAsia="es-CO"/>
        </w:rPr>
        <w:t xml:space="preserve">se valió de dicha </w:t>
      </w:r>
      <w:r w:rsidR="00516546" w:rsidRPr="00793402">
        <w:rPr>
          <w:color w:val="000000" w:themeColor="text1"/>
          <w:sz w:val="28"/>
          <w:szCs w:val="28"/>
          <w:lang w:eastAsia="es-CO"/>
        </w:rPr>
        <w:t>circunstancia</w:t>
      </w:r>
      <w:r w:rsidR="003F1F6C" w:rsidRPr="00793402">
        <w:rPr>
          <w:color w:val="000000" w:themeColor="text1"/>
          <w:sz w:val="28"/>
          <w:szCs w:val="28"/>
          <w:lang w:eastAsia="es-CO"/>
        </w:rPr>
        <w:t xml:space="preserve"> para desconocer la </w:t>
      </w:r>
      <w:r w:rsidR="00DA4DEC" w:rsidRPr="00793402">
        <w:rPr>
          <w:color w:val="000000" w:themeColor="text1"/>
          <w:sz w:val="28"/>
          <w:szCs w:val="28"/>
          <w:lang w:eastAsia="es-CO"/>
        </w:rPr>
        <w:t>garantía de estabilidad laboral reforzada</w:t>
      </w:r>
      <w:r w:rsidR="009B58D9" w:rsidRPr="00793402">
        <w:rPr>
          <w:color w:val="000000" w:themeColor="text1"/>
          <w:sz w:val="28"/>
          <w:szCs w:val="28"/>
          <w:lang w:eastAsia="es-CO"/>
        </w:rPr>
        <w:t xml:space="preserve"> por la condición de </w:t>
      </w:r>
      <w:proofErr w:type="spellStart"/>
      <w:r w:rsidR="009B58D9" w:rsidRPr="00793402">
        <w:rPr>
          <w:color w:val="000000" w:themeColor="text1"/>
          <w:sz w:val="28"/>
          <w:szCs w:val="28"/>
          <w:lang w:eastAsia="es-CO"/>
        </w:rPr>
        <w:t>prepensionada</w:t>
      </w:r>
      <w:proofErr w:type="spellEnd"/>
      <w:r w:rsidR="003F1F6C" w:rsidRPr="00793402">
        <w:rPr>
          <w:color w:val="000000" w:themeColor="text1"/>
          <w:sz w:val="28"/>
          <w:szCs w:val="28"/>
          <w:lang w:eastAsia="es-CO"/>
        </w:rPr>
        <w:t xml:space="preserve"> de la actora. </w:t>
      </w:r>
    </w:p>
    <w:p w14:paraId="3C448097" w14:textId="3623178F" w:rsidR="00D82321" w:rsidRPr="00793402" w:rsidRDefault="00D82321" w:rsidP="003C6333">
      <w:pPr>
        <w:shd w:val="clear" w:color="auto" w:fill="FFFFFF"/>
        <w:tabs>
          <w:tab w:val="left" w:pos="284"/>
        </w:tabs>
        <w:jc w:val="both"/>
        <w:rPr>
          <w:color w:val="000000" w:themeColor="text1"/>
          <w:sz w:val="28"/>
          <w:szCs w:val="28"/>
          <w:lang w:eastAsia="es-CO"/>
        </w:rPr>
      </w:pPr>
    </w:p>
    <w:p w14:paraId="1C8375A8" w14:textId="2B534C4F" w:rsidR="00D82321" w:rsidRPr="00793402" w:rsidRDefault="00D82321" w:rsidP="00D82321">
      <w:pPr>
        <w:shd w:val="clear" w:color="auto" w:fill="FFFFFF"/>
        <w:tabs>
          <w:tab w:val="left" w:pos="284"/>
        </w:tabs>
        <w:jc w:val="both"/>
        <w:rPr>
          <w:color w:val="000000" w:themeColor="text1"/>
          <w:sz w:val="28"/>
          <w:szCs w:val="28"/>
          <w:lang w:eastAsia="es-CO"/>
        </w:rPr>
      </w:pPr>
      <w:r w:rsidRPr="00793402">
        <w:rPr>
          <w:color w:val="000000" w:themeColor="text1"/>
          <w:sz w:val="28"/>
          <w:szCs w:val="28"/>
          <w:lang w:eastAsia="es-CO"/>
        </w:rPr>
        <w:t xml:space="preserve">63. En ese sentido, la Sala decidió revocar parcialmente la decisión del Juzgado Civil del Circuito de Mocoa que en segunda instancia declaró la improcedencia de la acción. En su lugar tuteló los derechos fundamentales de la accionante y ordenó a </w:t>
      </w:r>
      <w:r w:rsidRPr="00793402">
        <w:rPr>
          <w:color w:val="000000" w:themeColor="text1"/>
          <w:sz w:val="28"/>
          <w:szCs w:val="28"/>
        </w:rPr>
        <w:t>COLPENSIONES</w:t>
      </w:r>
      <w:r w:rsidRPr="00793402">
        <w:rPr>
          <w:color w:val="000000" w:themeColor="text1"/>
          <w:sz w:val="28"/>
          <w:szCs w:val="28"/>
          <w:lang w:eastAsia="es-CO"/>
        </w:rPr>
        <w:t xml:space="preserve"> y a la SED realizar las gestiones necesarias para validar y actualizar la historia laboral de la accionante. Lo anterior, implica para la SED certificar y hacer los respectivos aportes al sistema pensional incluido el pago del cálculo actuarial, si hay lugar a aquel, a favor de la accionante. Asimismo, COLPENSIONES deberá realizar todas las gestiones a su cargo para revisar y actualizar completamente la historia laboral de la actora. En el evento que encuentre acreditados los requisitos para que ella acceda a una pensión de vejez, deberá informarle sobre los trámites tendientes a su consecución. Y, en caso de que la afiliada solicite el reconocimiento y pago de la misma, deberá adelantar de forma ágil las gestiones para atender su petición. </w:t>
      </w:r>
      <w:r w:rsidRPr="00793402">
        <w:rPr>
          <w:color w:val="000000" w:themeColor="text1"/>
          <w:sz w:val="28"/>
          <w:szCs w:val="28"/>
        </w:rPr>
        <w:t xml:space="preserve">También, ordenó </w:t>
      </w:r>
      <w:r w:rsidRPr="00793402">
        <w:rPr>
          <w:color w:val="000000" w:themeColor="text1"/>
          <w:sz w:val="28"/>
          <w:szCs w:val="28"/>
          <w:lang w:eastAsia="es-CO"/>
        </w:rPr>
        <w:t xml:space="preserve">a </w:t>
      </w:r>
      <w:r w:rsidRPr="00793402">
        <w:rPr>
          <w:color w:val="000000" w:themeColor="text1"/>
          <w:sz w:val="28"/>
          <w:szCs w:val="28"/>
        </w:rPr>
        <w:t>la SED vincular a la accionante a un cargo vacante como el que desempeñaba o uno con funciones similares a las que desarrollaba antes de la fecha en la que fue desvinculada y hasta que le sea reconocido el derecho a la pensión y se verifique su inclusión en nómina. En caso de no contar con vacantes disponibles, la accionante deberá ser incluida en la lista de servidores con estabilidad laboral a ser reintegrados en cuanto la entidad cuente con vacantes.</w:t>
      </w:r>
    </w:p>
    <w:p w14:paraId="4B2D2B04" w14:textId="77777777" w:rsidR="008249DC" w:rsidRPr="00793402" w:rsidRDefault="008249DC" w:rsidP="0027362C">
      <w:pPr>
        <w:shd w:val="clear" w:color="auto" w:fill="FFFFFF"/>
        <w:jc w:val="both"/>
        <w:rPr>
          <w:b/>
          <w:bCs/>
          <w:color w:val="000000" w:themeColor="text1"/>
          <w:sz w:val="28"/>
          <w:szCs w:val="28"/>
        </w:rPr>
      </w:pPr>
    </w:p>
    <w:p w14:paraId="1E6C2D0E" w14:textId="77777777" w:rsidR="0027362C" w:rsidRPr="00793402" w:rsidRDefault="0027362C" w:rsidP="0027362C">
      <w:pPr>
        <w:pStyle w:val="Prrafodelista"/>
        <w:ind w:left="0"/>
        <w:jc w:val="both"/>
        <w:rPr>
          <w:b/>
          <w:bCs/>
          <w:color w:val="000000" w:themeColor="text1"/>
          <w:sz w:val="28"/>
          <w:szCs w:val="28"/>
        </w:rPr>
      </w:pPr>
      <w:r w:rsidRPr="00793402">
        <w:rPr>
          <w:b/>
          <w:bCs/>
          <w:color w:val="000000" w:themeColor="text1"/>
          <w:sz w:val="28"/>
          <w:szCs w:val="28"/>
        </w:rPr>
        <w:t xml:space="preserve">III. DECISIÓN </w:t>
      </w:r>
    </w:p>
    <w:p w14:paraId="37092663" w14:textId="77777777" w:rsidR="0027362C" w:rsidRPr="00793402" w:rsidRDefault="0027362C" w:rsidP="0027362C">
      <w:pPr>
        <w:pStyle w:val="Prrafodelista"/>
        <w:ind w:left="0"/>
        <w:jc w:val="both"/>
        <w:rPr>
          <w:b/>
          <w:bCs/>
          <w:color w:val="000000" w:themeColor="text1"/>
          <w:sz w:val="28"/>
          <w:szCs w:val="28"/>
        </w:rPr>
      </w:pPr>
    </w:p>
    <w:p w14:paraId="6034E7BB" w14:textId="4E2BC2C5" w:rsidR="0027362C" w:rsidRPr="00793402" w:rsidRDefault="0027362C" w:rsidP="007D5C80">
      <w:pPr>
        <w:pStyle w:val="Prrafodelista"/>
        <w:ind w:left="0"/>
        <w:jc w:val="both"/>
        <w:rPr>
          <w:color w:val="000000" w:themeColor="text1"/>
          <w:sz w:val="28"/>
          <w:szCs w:val="28"/>
          <w:shd w:val="clear" w:color="auto" w:fill="FFFFFF"/>
        </w:rPr>
      </w:pPr>
      <w:r w:rsidRPr="00793402">
        <w:rPr>
          <w:color w:val="000000" w:themeColor="text1"/>
          <w:sz w:val="28"/>
          <w:szCs w:val="28"/>
          <w:shd w:val="clear" w:color="auto" w:fill="FFFFFF"/>
        </w:rPr>
        <w:t>En mérito de lo expuesto, la Sala Segunda de Revisión de la Corte Constitucional, administrando justicia en nombre del Pueblo y por mandato de la Constitución Política,</w:t>
      </w:r>
    </w:p>
    <w:p w14:paraId="7FDBEF6E" w14:textId="77777777" w:rsidR="007D5C80" w:rsidRPr="00793402" w:rsidRDefault="007D5C80" w:rsidP="007D5C80">
      <w:pPr>
        <w:pStyle w:val="Prrafodelista"/>
        <w:ind w:left="0"/>
        <w:jc w:val="both"/>
        <w:rPr>
          <w:color w:val="000000" w:themeColor="text1"/>
          <w:sz w:val="28"/>
          <w:szCs w:val="28"/>
          <w:shd w:val="clear" w:color="auto" w:fill="FFFFFF"/>
        </w:rPr>
      </w:pPr>
    </w:p>
    <w:p w14:paraId="68AAE9A4" w14:textId="77777777" w:rsidR="0027362C" w:rsidRPr="00793402" w:rsidRDefault="0027362C" w:rsidP="0027362C">
      <w:pPr>
        <w:pStyle w:val="Prrafodelista"/>
        <w:widowControl w:val="0"/>
        <w:ind w:left="0"/>
        <w:jc w:val="center"/>
        <w:rPr>
          <w:b/>
          <w:color w:val="000000" w:themeColor="text1"/>
          <w:sz w:val="28"/>
          <w:szCs w:val="28"/>
        </w:rPr>
      </w:pPr>
      <w:r w:rsidRPr="00793402">
        <w:rPr>
          <w:b/>
          <w:color w:val="000000" w:themeColor="text1"/>
          <w:sz w:val="28"/>
          <w:szCs w:val="28"/>
        </w:rPr>
        <w:t>RESUELVE</w:t>
      </w:r>
    </w:p>
    <w:p w14:paraId="7FD22A51" w14:textId="77777777" w:rsidR="0027362C" w:rsidRPr="00793402" w:rsidRDefault="0027362C" w:rsidP="0027362C">
      <w:pPr>
        <w:shd w:val="clear" w:color="auto" w:fill="FFFFFF"/>
        <w:jc w:val="both"/>
        <w:rPr>
          <w:color w:val="000000" w:themeColor="text1"/>
          <w:sz w:val="28"/>
          <w:szCs w:val="28"/>
          <w:lang w:eastAsia="es-CO"/>
        </w:rPr>
      </w:pPr>
    </w:p>
    <w:p w14:paraId="07F0F516" w14:textId="25B84939" w:rsidR="0027362C" w:rsidRPr="00793402" w:rsidRDefault="0027362C" w:rsidP="003F1F6C">
      <w:pPr>
        <w:shd w:val="clear" w:color="auto" w:fill="FFFFFF"/>
        <w:tabs>
          <w:tab w:val="left" w:pos="8505"/>
        </w:tabs>
        <w:jc w:val="both"/>
        <w:rPr>
          <w:color w:val="000000" w:themeColor="text1"/>
          <w:sz w:val="28"/>
          <w:szCs w:val="28"/>
          <w:lang w:eastAsia="es-CO"/>
        </w:rPr>
      </w:pPr>
      <w:r w:rsidRPr="00793402">
        <w:rPr>
          <w:b/>
          <w:bCs/>
          <w:color w:val="000000" w:themeColor="text1"/>
          <w:sz w:val="28"/>
          <w:szCs w:val="28"/>
          <w:lang w:eastAsia="es-CO"/>
        </w:rPr>
        <w:t>PRIMERO.- REVOCAR</w:t>
      </w:r>
      <w:r w:rsidRPr="00793402">
        <w:rPr>
          <w:color w:val="000000" w:themeColor="text1"/>
          <w:sz w:val="28"/>
          <w:szCs w:val="28"/>
          <w:lang w:eastAsia="es-CO"/>
        </w:rPr>
        <w:t xml:space="preserve"> </w:t>
      </w:r>
      <w:r w:rsidR="008A3757" w:rsidRPr="00793402">
        <w:rPr>
          <w:color w:val="000000" w:themeColor="text1"/>
          <w:sz w:val="28"/>
          <w:szCs w:val="28"/>
          <w:lang w:eastAsia="es-CO"/>
        </w:rPr>
        <w:t xml:space="preserve">parcialmente </w:t>
      </w:r>
      <w:r w:rsidRPr="00793402">
        <w:rPr>
          <w:color w:val="000000" w:themeColor="text1"/>
          <w:sz w:val="28"/>
          <w:szCs w:val="28"/>
          <w:lang w:eastAsia="es-CO"/>
        </w:rPr>
        <w:t xml:space="preserve">la decisión del 23 de agosto de 2022 proferida por el Juzgado Civil del Circuito de Mocoa en segunda instancia, </w:t>
      </w:r>
      <w:r w:rsidRPr="00793402">
        <w:rPr>
          <w:color w:val="000000" w:themeColor="text1"/>
          <w:sz w:val="28"/>
          <w:szCs w:val="28"/>
          <w:lang w:eastAsia="es-CO"/>
        </w:rPr>
        <w:lastRenderedPageBreak/>
        <w:t>mediante la cual revocó la Sentencia del 12 de ju</w:t>
      </w:r>
      <w:r w:rsidR="00CF45DC" w:rsidRPr="00793402">
        <w:rPr>
          <w:color w:val="000000" w:themeColor="text1"/>
          <w:sz w:val="28"/>
          <w:szCs w:val="28"/>
          <w:lang w:eastAsia="es-CO"/>
        </w:rPr>
        <w:t>l</w:t>
      </w:r>
      <w:r w:rsidRPr="00793402">
        <w:rPr>
          <w:color w:val="000000" w:themeColor="text1"/>
          <w:sz w:val="28"/>
          <w:szCs w:val="28"/>
          <w:lang w:eastAsia="es-CO"/>
        </w:rPr>
        <w:t xml:space="preserve">io del 2022 emitida por el Juzgado </w:t>
      </w:r>
      <w:r w:rsidR="009C516E" w:rsidRPr="00793402">
        <w:rPr>
          <w:color w:val="000000" w:themeColor="text1"/>
          <w:sz w:val="28"/>
          <w:szCs w:val="28"/>
          <w:lang w:eastAsia="es-CO"/>
        </w:rPr>
        <w:t>Segundo Civil Municipal</w:t>
      </w:r>
      <w:r w:rsidRPr="00793402">
        <w:rPr>
          <w:color w:val="000000" w:themeColor="text1"/>
          <w:sz w:val="28"/>
          <w:szCs w:val="28"/>
          <w:lang w:eastAsia="es-CO"/>
        </w:rPr>
        <w:t xml:space="preserve"> de la misma ciudad</w:t>
      </w:r>
      <w:r w:rsidR="003E3D9A" w:rsidRPr="00793402">
        <w:rPr>
          <w:color w:val="000000" w:themeColor="text1"/>
          <w:sz w:val="28"/>
          <w:szCs w:val="28"/>
          <w:lang w:eastAsia="es-CO"/>
        </w:rPr>
        <w:t>, y declaró la improcedencia de la acción</w:t>
      </w:r>
      <w:r w:rsidR="00BB7A17" w:rsidRPr="00793402">
        <w:rPr>
          <w:color w:val="000000" w:themeColor="text1"/>
          <w:sz w:val="28"/>
          <w:szCs w:val="28"/>
          <w:lang w:eastAsia="es-CO"/>
        </w:rPr>
        <w:t>, por lo expuesto en la parte motiva de esta providencia</w:t>
      </w:r>
      <w:r w:rsidRPr="00793402">
        <w:rPr>
          <w:color w:val="000000" w:themeColor="text1"/>
          <w:sz w:val="28"/>
          <w:szCs w:val="28"/>
          <w:lang w:eastAsia="es-CO"/>
        </w:rPr>
        <w:t xml:space="preserve">. En su lugar, </w:t>
      </w:r>
      <w:r w:rsidRPr="00793402">
        <w:rPr>
          <w:b/>
          <w:bCs/>
          <w:color w:val="000000" w:themeColor="text1"/>
          <w:sz w:val="28"/>
          <w:szCs w:val="28"/>
          <w:lang w:eastAsia="es-CO"/>
        </w:rPr>
        <w:t>TUTELAR</w:t>
      </w:r>
      <w:r w:rsidRPr="00793402">
        <w:rPr>
          <w:color w:val="000000" w:themeColor="text1"/>
          <w:sz w:val="28"/>
          <w:szCs w:val="28"/>
          <w:lang w:eastAsia="es-CO"/>
        </w:rPr>
        <w:t xml:space="preserve"> los derechos fundamentales a la seguridad social</w:t>
      </w:r>
      <w:r w:rsidR="008A3757" w:rsidRPr="00793402">
        <w:rPr>
          <w:color w:val="000000" w:themeColor="text1"/>
          <w:sz w:val="28"/>
          <w:szCs w:val="28"/>
          <w:lang w:eastAsia="es-CO"/>
        </w:rPr>
        <w:t xml:space="preserve">, </w:t>
      </w:r>
      <w:r w:rsidR="00637624" w:rsidRPr="00793402">
        <w:rPr>
          <w:color w:val="000000" w:themeColor="text1"/>
          <w:sz w:val="28"/>
          <w:szCs w:val="28"/>
          <w:lang w:eastAsia="es-CO"/>
        </w:rPr>
        <w:t>a la dignidad humana</w:t>
      </w:r>
      <w:r w:rsidR="007033DA" w:rsidRPr="00793402">
        <w:rPr>
          <w:color w:val="000000" w:themeColor="text1"/>
          <w:sz w:val="28"/>
          <w:szCs w:val="28"/>
          <w:lang w:eastAsia="es-CO"/>
        </w:rPr>
        <w:t>, a la estabilidad laboral reforzada</w:t>
      </w:r>
      <w:r w:rsidR="00747A72" w:rsidRPr="00793402">
        <w:rPr>
          <w:color w:val="000000" w:themeColor="text1"/>
          <w:sz w:val="28"/>
          <w:szCs w:val="28"/>
          <w:lang w:eastAsia="es-CO"/>
        </w:rPr>
        <w:t>, al trabajo</w:t>
      </w:r>
      <w:r w:rsidR="00196316" w:rsidRPr="00793402">
        <w:rPr>
          <w:color w:val="000000" w:themeColor="text1"/>
          <w:sz w:val="28"/>
          <w:szCs w:val="28"/>
          <w:lang w:eastAsia="es-CO"/>
        </w:rPr>
        <w:t xml:space="preserve"> y </w:t>
      </w:r>
      <w:r w:rsidRPr="00793402">
        <w:rPr>
          <w:color w:val="000000" w:themeColor="text1"/>
          <w:sz w:val="28"/>
          <w:szCs w:val="28"/>
          <w:lang w:eastAsia="es-CO"/>
        </w:rPr>
        <w:t xml:space="preserve">al mínimo vital de la señora Blanca </w:t>
      </w:r>
      <w:proofErr w:type="spellStart"/>
      <w:r w:rsidRPr="00793402">
        <w:rPr>
          <w:color w:val="000000" w:themeColor="text1"/>
          <w:sz w:val="28"/>
          <w:szCs w:val="28"/>
          <w:lang w:eastAsia="es-CO"/>
        </w:rPr>
        <w:t>Bellanid</w:t>
      </w:r>
      <w:proofErr w:type="spellEnd"/>
      <w:r w:rsidRPr="00793402">
        <w:rPr>
          <w:color w:val="000000" w:themeColor="text1"/>
          <w:sz w:val="28"/>
          <w:szCs w:val="28"/>
          <w:lang w:eastAsia="es-CO"/>
        </w:rPr>
        <w:t xml:space="preserve"> </w:t>
      </w:r>
      <w:proofErr w:type="spellStart"/>
      <w:r w:rsidRPr="00793402">
        <w:rPr>
          <w:color w:val="000000" w:themeColor="text1"/>
          <w:sz w:val="28"/>
          <w:szCs w:val="28"/>
          <w:lang w:eastAsia="es-CO"/>
        </w:rPr>
        <w:t>Galíndez</w:t>
      </w:r>
      <w:proofErr w:type="spellEnd"/>
      <w:r w:rsidRPr="00793402">
        <w:rPr>
          <w:color w:val="000000" w:themeColor="text1"/>
          <w:sz w:val="28"/>
          <w:szCs w:val="28"/>
          <w:lang w:eastAsia="es-CO"/>
        </w:rPr>
        <w:t xml:space="preserve"> Joven.</w:t>
      </w:r>
    </w:p>
    <w:p w14:paraId="51851988" w14:textId="77777777" w:rsidR="000E41CB" w:rsidRPr="00793402" w:rsidRDefault="000E41CB" w:rsidP="000E41CB">
      <w:pPr>
        <w:shd w:val="clear" w:color="auto" w:fill="FFFFFF"/>
        <w:tabs>
          <w:tab w:val="left" w:pos="284"/>
        </w:tabs>
        <w:jc w:val="both"/>
        <w:rPr>
          <w:b/>
          <w:bCs/>
          <w:color w:val="000000" w:themeColor="text1"/>
          <w:sz w:val="28"/>
          <w:szCs w:val="28"/>
          <w:lang w:eastAsia="es-CO"/>
        </w:rPr>
      </w:pPr>
    </w:p>
    <w:p w14:paraId="1F5FCD12" w14:textId="552DC490" w:rsidR="000E41CB" w:rsidRPr="00793402" w:rsidRDefault="00231727" w:rsidP="000E41CB">
      <w:pPr>
        <w:shd w:val="clear" w:color="auto" w:fill="FFFFFF"/>
        <w:tabs>
          <w:tab w:val="left" w:pos="284"/>
        </w:tabs>
        <w:jc w:val="both"/>
        <w:rPr>
          <w:color w:val="000000" w:themeColor="text1"/>
          <w:sz w:val="28"/>
          <w:szCs w:val="28"/>
          <w:lang w:eastAsia="es-CO"/>
        </w:rPr>
      </w:pPr>
      <w:r w:rsidRPr="00793402">
        <w:rPr>
          <w:b/>
          <w:bCs/>
          <w:color w:val="000000" w:themeColor="text1"/>
          <w:sz w:val="28"/>
          <w:szCs w:val="28"/>
          <w:lang w:eastAsia="es-CO"/>
        </w:rPr>
        <w:t>SEGUNDO</w:t>
      </w:r>
      <w:r w:rsidR="00C7718D" w:rsidRPr="00793402">
        <w:rPr>
          <w:b/>
          <w:bCs/>
          <w:color w:val="000000" w:themeColor="text1"/>
          <w:sz w:val="28"/>
          <w:szCs w:val="28"/>
          <w:lang w:eastAsia="es-CO"/>
        </w:rPr>
        <w:t>.- ORDENAR</w:t>
      </w:r>
      <w:r w:rsidR="00C7718D" w:rsidRPr="00793402">
        <w:rPr>
          <w:color w:val="000000" w:themeColor="text1"/>
          <w:sz w:val="28"/>
          <w:szCs w:val="28"/>
          <w:lang w:eastAsia="es-CO"/>
        </w:rPr>
        <w:t xml:space="preserve"> a</w:t>
      </w:r>
      <w:r w:rsidR="00C7718D" w:rsidRPr="00793402">
        <w:rPr>
          <w:b/>
          <w:bCs/>
          <w:color w:val="000000" w:themeColor="text1"/>
          <w:sz w:val="28"/>
          <w:szCs w:val="28"/>
          <w:lang w:eastAsia="es-CO"/>
        </w:rPr>
        <w:t xml:space="preserve"> </w:t>
      </w:r>
      <w:r w:rsidR="00C7718D" w:rsidRPr="00793402">
        <w:rPr>
          <w:color w:val="000000" w:themeColor="text1"/>
          <w:sz w:val="28"/>
          <w:szCs w:val="28"/>
          <w:lang w:eastAsia="es-CO"/>
        </w:rPr>
        <w:t>COLPENSIONES</w:t>
      </w:r>
      <w:r w:rsidR="00C7718D" w:rsidRPr="00793402">
        <w:rPr>
          <w:b/>
          <w:bCs/>
          <w:color w:val="000000" w:themeColor="text1"/>
          <w:sz w:val="28"/>
          <w:szCs w:val="28"/>
          <w:lang w:eastAsia="es-CO"/>
        </w:rPr>
        <w:t xml:space="preserve"> </w:t>
      </w:r>
      <w:r w:rsidR="00C7718D" w:rsidRPr="00793402">
        <w:rPr>
          <w:color w:val="000000" w:themeColor="text1"/>
          <w:sz w:val="28"/>
          <w:szCs w:val="28"/>
          <w:lang w:eastAsia="es-CO"/>
        </w:rPr>
        <w:t>y a la Secretaría de Educación Departamental de Putumayo</w:t>
      </w:r>
      <w:r w:rsidR="00C7718D" w:rsidRPr="00793402">
        <w:rPr>
          <w:b/>
          <w:bCs/>
          <w:color w:val="000000" w:themeColor="text1"/>
          <w:sz w:val="28"/>
          <w:szCs w:val="28"/>
          <w:lang w:eastAsia="es-CO"/>
        </w:rPr>
        <w:t xml:space="preserve"> </w:t>
      </w:r>
      <w:r w:rsidR="00C7718D" w:rsidRPr="00793402">
        <w:rPr>
          <w:color w:val="000000" w:themeColor="text1"/>
          <w:sz w:val="28"/>
          <w:szCs w:val="28"/>
          <w:lang w:eastAsia="es-CO"/>
        </w:rPr>
        <w:t xml:space="preserve">(SED) que, dentro de las cuarenta y ocho (48) horas siguientes a la notificación de esta providencia, adelanten de forma coordinada las gestiones a que haya lugar para validar y actualizar todos los aspectos concernientes con la historia laboral de la accionante. En este punto, la SED deberá cumplir con su obligación como empleador </w:t>
      </w:r>
      <w:r w:rsidRPr="00793402">
        <w:rPr>
          <w:color w:val="000000" w:themeColor="text1"/>
          <w:sz w:val="28"/>
          <w:szCs w:val="28"/>
          <w:lang w:eastAsia="es-CO"/>
        </w:rPr>
        <w:t>en cuanto a</w:t>
      </w:r>
      <w:r w:rsidR="00C7718D" w:rsidRPr="00793402">
        <w:rPr>
          <w:color w:val="000000" w:themeColor="text1"/>
          <w:sz w:val="28"/>
          <w:szCs w:val="28"/>
          <w:lang w:eastAsia="es-CO"/>
        </w:rPr>
        <w:t xml:space="preserve"> certificar, hacer los respectivos aportes y demás gestiones incluido el pago del cálculo actuarial, si hay lugar a aquel, a favor de la accionante en el periodo entre mayo de 1998 y septiembre de 2002. COLPENSIONES deberá realizar todas las gestiones a su cargo para revisar y actualizar completamente la historia laboral de la accionante y en caso de que estén acreditados los requisitos para acceder a una pensión de vejez, dentro de los cinco (5) días siguientes al vencimiento del término anterior, deberá brindar a la actora la información</w:t>
      </w:r>
      <w:r w:rsidRPr="00793402">
        <w:rPr>
          <w:color w:val="000000" w:themeColor="text1"/>
          <w:sz w:val="28"/>
          <w:szCs w:val="28"/>
          <w:lang w:eastAsia="es-CO"/>
        </w:rPr>
        <w:t xml:space="preserve"> y asesoría</w:t>
      </w:r>
      <w:r w:rsidR="00C7718D" w:rsidRPr="00793402">
        <w:rPr>
          <w:color w:val="000000" w:themeColor="text1"/>
          <w:sz w:val="28"/>
          <w:szCs w:val="28"/>
          <w:lang w:eastAsia="es-CO"/>
        </w:rPr>
        <w:t xml:space="preserve"> necesaria para realizar los trámites con el fin de acceder a dicha pensión y</w:t>
      </w:r>
      <w:r w:rsidRPr="00793402">
        <w:rPr>
          <w:color w:val="000000" w:themeColor="text1"/>
          <w:sz w:val="28"/>
          <w:szCs w:val="28"/>
          <w:lang w:eastAsia="es-CO"/>
        </w:rPr>
        <w:t>,</w:t>
      </w:r>
      <w:r w:rsidR="00C7718D" w:rsidRPr="00793402">
        <w:rPr>
          <w:color w:val="000000" w:themeColor="text1"/>
          <w:sz w:val="28"/>
          <w:szCs w:val="28"/>
          <w:lang w:eastAsia="es-CO"/>
        </w:rPr>
        <w:t xml:space="preserve"> en caso de que la afiliada solicite el reconocimiento y pago de la misma, deberá adelantar de forma ágil las gestiones necesarias para atender su petición, sin dilaciones ni trabas administrativas</w:t>
      </w:r>
      <w:r w:rsidR="000E41CB" w:rsidRPr="00793402">
        <w:rPr>
          <w:color w:val="000000" w:themeColor="text1"/>
          <w:sz w:val="28"/>
          <w:szCs w:val="28"/>
          <w:lang w:eastAsia="es-CO"/>
        </w:rPr>
        <w:t>.</w:t>
      </w:r>
    </w:p>
    <w:p w14:paraId="0D66EA2D" w14:textId="272F379A" w:rsidR="00637624" w:rsidRPr="00793402" w:rsidRDefault="00637624" w:rsidP="0027362C">
      <w:pPr>
        <w:shd w:val="clear" w:color="auto" w:fill="FFFFFF"/>
        <w:tabs>
          <w:tab w:val="left" w:pos="284"/>
        </w:tabs>
        <w:jc w:val="both"/>
        <w:rPr>
          <w:color w:val="000000" w:themeColor="text1"/>
          <w:sz w:val="28"/>
          <w:szCs w:val="28"/>
          <w:lang w:eastAsia="es-CO"/>
        </w:rPr>
      </w:pPr>
    </w:p>
    <w:p w14:paraId="37D4DA8F" w14:textId="56C75F0C" w:rsidR="00DD2814" w:rsidRPr="00793402" w:rsidRDefault="00231727" w:rsidP="00516546">
      <w:pPr>
        <w:shd w:val="clear" w:color="auto" w:fill="FFFFFF"/>
        <w:tabs>
          <w:tab w:val="left" w:pos="284"/>
        </w:tabs>
        <w:jc w:val="both"/>
        <w:rPr>
          <w:color w:val="000000" w:themeColor="text1"/>
          <w:sz w:val="28"/>
          <w:szCs w:val="28"/>
        </w:rPr>
      </w:pPr>
      <w:r w:rsidRPr="00793402">
        <w:rPr>
          <w:b/>
          <w:bCs/>
          <w:color w:val="000000" w:themeColor="text1"/>
          <w:sz w:val="28"/>
          <w:szCs w:val="28"/>
          <w:lang w:eastAsia="es-CO"/>
        </w:rPr>
        <w:t>TERCERO</w:t>
      </w:r>
      <w:r w:rsidR="00F20898" w:rsidRPr="00793402">
        <w:rPr>
          <w:b/>
          <w:bCs/>
          <w:color w:val="000000" w:themeColor="text1"/>
          <w:sz w:val="28"/>
          <w:szCs w:val="28"/>
          <w:lang w:eastAsia="es-CO"/>
        </w:rPr>
        <w:t xml:space="preserve">.- </w:t>
      </w:r>
      <w:r w:rsidR="00890EEC" w:rsidRPr="00793402">
        <w:rPr>
          <w:b/>
          <w:bCs/>
          <w:color w:val="000000" w:themeColor="text1"/>
          <w:sz w:val="28"/>
          <w:szCs w:val="28"/>
          <w:lang w:eastAsia="es-CO"/>
        </w:rPr>
        <w:t>ORDENAR</w:t>
      </w:r>
      <w:r w:rsidR="00187738" w:rsidRPr="00793402">
        <w:rPr>
          <w:b/>
          <w:bCs/>
          <w:color w:val="000000" w:themeColor="text1"/>
          <w:sz w:val="28"/>
          <w:szCs w:val="28"/>
          <w:lang w:eastAsia="es-CO"/>
        </w:rPr>
        <w:t xml:space="preserve"> </w:t>
      </w:r>
      <w:r w:rsidR="00F20898" w:rsidRPr="00793402">
        <w:rPr>
          <w:color w:val="000000" w:themeColor="text1"/>
          <w:sz w:val="28"/>
          <w:szCs w:val="28"/>
          <w:lang w:eastAsia="es-CO"/>
        </w:rPr>
        <w:t xml:space="preserve">a </w:t>
      </w:r>
      <w:r w:rsidR="00890EEC" w:rsidRPr="00793402">
        <w:rPr>
          <w:color w:val="000000" w:themeColor="text1"/>
          <w:sz w:val="28"/>
          <w:szCs w:val="28"/>
        </w:rPr>
        <w:t xml:space="preserve">la </w:t>
      </w:r>
      <w:r w:rsidR="009C516E" w:rsidRPr="00793402">
        <w:rPr>
          <w:color w:val="000000" w:themeColor="text1"/>
          <w:sz w:val="28"/>
          <w:szCs w:val="28"/>
        </w:rPr>
        <w:t>Secretaría de Educación Departamental de Putumayo</w:t>
      </w:r>
      <w:r w:rsidR="00890EEC" w:rsidRPr="00793402">
        <w:rPr>
          <w:color w:val="000000" w:themeColor="text1"/>
          <w:sz w:val="28"/>
          <w:szCs w:val="28"/>
        </w:rPr>
        <w:t xml:space="preserve"> que, dentro de las cuarenta y ocho (48) horas siguientes a la notificación de esta providencia, </w:t>
      </w:r>
      <w:r w:rsidR="00E55728" w:rsidRPr="00793402">
        <w:rPr>
          <w:color w:val="000000" w:themeColor="text1"/>
          <w:sz w:val="28"/>
          <w:szCs w:val="28"/>
        </w:rPr>
        <w:t>vincule</w:t>
      </w:r>
      <w:r w:rsidR="00890EEC" w:rsidRPr="00793402">
        <w:rPr>
          <w:color w:val="000000" w:themeColor="text1"/>
          <w:sz w:val="28"/>
          <w:szCs w:val="28"/>
        </w:rPr>
        <w:t xml:space="preserve"> a la accionante </w:t>
      </w:r>
      <w:r w:rsidR="00F7758F" w:rsidRPr="00793402">
        <w:rPr>
          <w:color w:val="000000" w:themeColor="text1"/>
          <w:sz w:val="28"/>
          <w:szCs w:val="28"/>
        </w:rPr>
        <w:t xml:space="preserve">a </w:t>
      </w:r>
      <w:r w:rsidR="00890EEC" w:rsidRPr="00793402">
        <w:rPr>
          <w:color w:val="000000" w:themeColor="text1"/>
          <w:sz w:val="28"/>
          <w:szCs w:val="28"/>
        </w:rPr>
        <w:t>un cargo vacante como el que desempeñaba o uno con funciones similares o equivalentes a las que desarrollaba antes de la fecha en la que fue desvinculada y hasta que</w:t>
      </w:r>
      <w:r w:rsidR="00516546" w:rsidRPr="00793402">
        <w:rPr>
          <w:color w:val="000000" w:themeColor="text1"/>
          <w:sz w:val="28"/>
          <w:szCs w:val="28"/>
        </w:rPr>
        <w:t xml:space="preserve"> le sea reconocido el derecho a la pensión y se verifique su inclusión en nómina.</w:t>
      </w:r>
      <w:r w:rsidR="00E3012D" w:rsidRPr="00793402">
        <w:rPr>
          <w:color w:val="000000" w:themeColor="text1"/>
          <w:sz w:val="28"/>
          <w:szCs w:val="28"/>
        </w:rPr>
        <w:t xml:space="preserve"> En caso de no contar con vacantes</w:t>
      </w:r>
      <w:r w:rsidR="00B916F2" w:rsidRPr="00793402">
        <w:rPr>
          <w:color w:val="000000" w:themeColor="text1"/>
          <w:sz w:val="28"/>
          <w:szCs w:val="28"/>
        </w:rPr>
        <w:t xml:space="preserve"> disponibles</w:t>
      </w:r>
      <w:r w:rsidR="00E3012D" w:rsidRPr="00793402">
        <w:rPr>
          <w:color w:val="000000" w:themeColor="text1"/>
          <w:sz w:val="28"/>
          <w:szCs w:val="28"/>
        </w:rPr>
        <w:t>, la accionante deberá ser incluida en la lista de servidores con estabilidad laboral a ser reintegrados en cuanto la entidad cuente con vacantes.</w:t>
      </w:r>
    </w:p>
    <w:p w14:paraId="4916364B" w14:textId="77777777" w:rsidR="00516546" w:rsidRPr="00793402" w:rsidRDefault="00516546" w:rsidP="00516546">
      <w:pPr>
        <w:shd w:val="clear" w:color="auto" w:fill="FFFFFF"/>
        <w:tabs>
          <w:tab w:val="left" w:pos="284"/>
        </w:tabs>
        <w:jc w:val="both"/>
        <w:rPr>
          <w:color w:val="000000" w:themeColor="text1"/>
          <w:sz w:val="28"/>
          <w:szCs w:val="28"/>
          <w:lang w:eastAsia="es-CO"/>
        </w:rPr>
      </w:pPr>
    </w:p>
    <w:p w14:paraId="592F3C45" w14:textId="542FDE4F" w:rsidR="00890EEC" w:rsidRPr="00793402" w:rsidRDefault="00231727" w:rsidP="0027362C">
      <w:pPr>
        <w:shd w:val="clear" w:color="auto" w:fill="FFFFFF"/>
        <w:tabs>
          <w:tab w:val="left" w:pos="284"/>
        </w:tabs>
        <w:jc w:val="both"/>
        <w:rPr>
          <w:color w:val="000000" w:themeColor="text1"/>
          <w:sz w:val="28"/>
          <w:szCs w:val="28"/>
          <w:shd w:val="clear" w:color="auto" w:fill="FFFFFF"/>
        </w:rPr>
      </w:pPr>
      <w:r w:rsidRPr="00793402">
        <w:rPr>
          <w:b/>
          <w:bCs/>
          <w:color w:val="000000" w:themeColor="text1"/>
          <w:sz w:val="28"/>
          <w:szCs w:val="28"/>
          <w:shd w:val="clear" w:color="auto" w:fill="FFFFFF"/>
        </w:rPr>
        <w:t>CUARTO</w:t>
      </w:r>
      <w:r w:rsidR="0027362C" w:rsidRPr="00793402">
        <w:rPr>
          <w:b/>
          <w:bCs/>
          <w:color w:val="000000" w:themeColor="text1"/>
          <w:sz w:val="28"/>
          <w:szCs w:val="28"/>
          <w:lang w:eastAsia="es-CO"/>
        </w:rPr>
        <w:t xml:space="preserve">.- </w:t>
      </w:r>
      <w:r w:rsidR="0027362C" w:rsidRPr="00793402">
        <w:rPr>
          <w:b/>
          <w:bCs/>
          <w:color w:val="000000" w:themeColor="text1"/>
          <w:sz w:val="28"/>
          <w:szCs w:val="28"/>
          <w:shd w:val="clear" w:color="auto" w:fill="FFFFFF"/>
        </w:rPr>
        <w:t>O</w:t>
      </w:r>
      <w:r w:rsidR="00890EEC" w:rsidRPr="00793402">
        <w:rPr>
          <w:b/>
          <w:bCs/>
          <w:color w:val="000000" w:themeColor="text1"/>
          <w:sz w:val="28"/>
          <w:szCs w:val="28"/>
          <w:shd w:val="clear" w:color="auto" w:fill="FFFFFF"/>
        </w:rPr>
        <w:t xml:space="preserve">FICIAR </w:t>
      </w:r>
      <w:r w:rsidR="00890EEC" w:rsidRPr="00793402">
        <w:rPr>
          <w:color w:val="000000" w:themeColor="text1"/>
          <w:sz w:val="28"/>
          <w:szCs w:val="28"/>
          <w:shd w:val="clear" w:color="auto" w:fill="FFFFFF"/>
        </w:rPr>
        <w:t>a la Procuraduría General de la Nación, para que, dentro del ámbito de sus competencias constitucionales, acompañe el cumplimiento de esta sentencia.</w:t>
      </w:r>
    </w:p>
    <w:p w14:paraId="5559A62C" w14:textId="77777777" w:rsidR="00E55728" w:rsidRPr="00793402" w:rsidRDefault="00E55728" w:rsidP="0027362C">
      <w:pPr>
        <w:shd w:val="clear" w:color="auto" w:fill="FFFFFF"/>
        <w:tabs>
          <w:tab w:val="left" w:pos="284"/>
        </w:tabs>
        <w:jc w:val="both"/>
        <w:rPr>
          <w:b/>
          <w:bCs/>
          <w:color w:val="000000" w:themeColor="text1"/>
          <w:sz w:val="28"/>
          <w:szCs w:val="28"/>
          <w:shd w:val="clear" w:color="auto" w:fill="FFFFFF"/>
        </w:rPr>
      </w:pPr>
    </w:p>
    <w:p w14:paraId="43BCBB61" w14:textId="65F3CDAF" w:rsidR="0027362C" w:rsidRPr="00793402" w:rsidRDefault="00231727" w:rsidP="0027362C">
      <w:pPr>
        <w:shd w:val="clear" w:color="auto" w:fill="FFFFFF"/>
        <w:tabs>
          <w:tab w:val="left" w:pos="284"/>
        </w:tabs>
        <w:jc w:val="both"/>
        <w:rPr>
          <w:color w:val="000000" w:themeColor="text1"/>
          <w:sz w:val="28"/>
          <w:szCs w:val="28"/>
          <w:lang w:eastAsia="es-CO"/>
        </w:rPr>
      </w:pPr>
      <w:r w:rsidRPr="00793402">
        <w:rPr>
          <w:b/>
          <w:bCs/>
          <w:color w:val="000000" w:themeColor="text1"/>
          <w:sz w:val="28"/>
          <w:szCs w:val="28"/>
          <w:lang w:eastAsia="es-CO"/>
        </w:rPr>
        <w:t>QUINTO</w:t>
      </w:r>
      <w:r w:rsidR="00E55728" w:rsidRPr="00793402">
        <w:rPr>
          <w:b/>
          <w:bCs/>
          <w:color w:val="000000" w:themeColor="text1"/>
          <w:sz w:val="28"/>
          <w:szCs w:val="28"/>
          <w:lang w:eastAsia="es-CO"/>
        </w:rPr>
        <w:t xml:space="preserve">.- </w:t>
      </w:r>
      <w:r w:rsidR="0027362C" w:rsidRPr="00793402">
        <w:rPr>
          <w:b/>
          <w:bCs/>
          <w:color w:val="000000" w:themeColor="text1"/>
          <w:sz w:val="28"/>
          <w:szCs w:val="28"/>
          <w:lang w:eastAsia="es-CO"/>
        </w:rPr>
        <w:t>DESVINCULAR</w:t>
      </w:r>
      <w:r w:rsidR="0027362C" w:rsidRPr="00793402">
        <w:rPr>
          <w:color w:val="000000" w:themeColor="text1"/>
          <w:sz w:val="28"/>
          <w:szCs w:val="28"/>
          <w:lang w:eastAsia="es-CO"/>
        </w:rPr>
        <w:t xml:space="preserve"> a la Comisión Nacional del Servicio Civil</w:t>
      </w:r>
      <w:r w:rsidR="008F1B09" w:rsidRPr="00793402">
        <w:rPr>
          <w:color w:val="000000" w:themeColor="text1"/>
          <w:sz w:val="28"/>
          <w:szCs w:val="28"/>
          <w:lang w:eastAsia="es-CO"/>
        </w:rPr>
        <w:t xml:space="preserve"> y</w:t>
      </w:r>
      <w:r w:rsidR="0027362C" w:rsidRPr="00793402">
        <w:rPr>
          <w:color w:val="000000" w:themeColor="text1"/>
          <w:sz w:val="28"/>
          <w:szCs w:val="28"/>
          <w:lang w:eastAsia="es-CO"/>
        </w:rPr>
        <w:t xml:space="preserve"> a la Gobernación de Putumayo </w:t>
      </w:r>
      <w:r w:rsidR="0027362C" w:rsidRPr="00793402">
        <w:rPr>
          <w:rFonts w:eastAsia="Calibri"/>
          <w:color w:val="000000" w:themeColor="text1"/>
          <w:sz w:val="28"/>
          <w:szCs w:val="28"/>
          <w:lang w:val="es-ES_tradnl" w:eastAsia="es-CO"/>
        </w:rPr>
        <w:t>del trámite</w:t>
      </w:r>
      <w:r w:rsidR="009C516E" w:rsidRPr="00793402">
        <w:rPr>
          <w:rFonts w:eastAsia="Calibri"/>
          <w:color w:val="000000" w:themeColor="text1"/>
          <w:sz w:val="28"/>
          <w:szCs w:val="28"/>
          <w:lang w:val="es-ES_tradnl" w:eastAsia="es-CO"/>
        </w:rPr>
        <w:t>.</w:t>
      </w:r>
    </w:p>
    <w:p w14:paraId="0F29387C" w14:textId="77777777" w:rsidR="0027362C" w:rsidRPr="00793402" w:rsidRDefault="0027362C" w:rsidP="0027362C">
      <w:pPr>
        <w:shd w:val="clear" w:color="auto" w:fill="FFFFFF"/>
        <w:jc w:val="both"/>
        <w:rPr>
          <w:color w:val="000000" w:themeColor="text1"/>
          <w:sz w:val="28"/>
          <w:szCs w:val="28"/>
          <w:lang w:eastAsia="es-CO"/>
        </w:rPr>
      </w:pPr>
    </w:p>
    <w:p w14:paraId="3B689E80" w14:textId="4E2A3B6E" w:rsidR="0027362C" w:rsidRPr="00793402" w:rsidRDefault="00DA7798" w:rsidP="0027362C">
      <w:pPr>
        <w:shd w:val="clear" w:color="auto" w:fill="FFFFFF"/>
        <w:tabs>
          <w:tab w:val="left" w:pos="284"/>
        </w:tabs>
        <w:jc w:val="both"/>
        <w:rPr>
          <w:color w:val="000000" w:themeColor="text1"/>
          <w:sz w:val="28"/>
          <w:szCs w:val="28"/>
          <w:shd w:val="clear" w:color="auto" w:fill="FFFFFF"/>
        </w:rPr>
      </w:pPr>
      <w:r w:rsidRPr="00793402">
        <w:rPr>
          <w:b/>
          <w:bCs/>
          <w:color w:val="000000" w:themeColor="text1"/>
          <w:sz w:val="28"/>
          <w:szCs w:val="28"/>
          <w:lang w:eastAsia="es-CO"/>
        </w:rPr>
        <w:t>S</w:t>
      </w:r>
      <w:r w:rsidR="00231727" w:rsidRPr="00793402">
        <w:rPr>
          <w:b/>
          <w:bCs/>
          <w:color w:val="000000" w:themeColor="text1"/>
          <w:sz w:val="28"/>
          <w:szCs w:val="28"/>
          <w:lang w:eastAsia="es-CO"/>
        </w:rPr>
        <w:t>EXTO</w:t>
      </w:r>
      <w:r w:rsidR="0027362C" w:rsidRPr="00793402">
        <w:rPr>
          <w:b/>
          <w:bCs/>
          <w:color w:val="000000" w:themeColor="text1"/>
          <w:sz w:val="28"/>
          <w:szCs w:val="28"/>
          <w:lang w:eastAsia="es-CO"/>
        </w:rPr>
        <w:t xml:space="preserve">.- </w:t>
      </w:r>
      <w:r w:rsidR="0027362C" w:rsidRPr="00793402">
        <w:rPr>
          <w:color w:val="000000" w:themeColor="text1"/>
          <w:sz w:val="28"/>
          <w:szCs w:val="28"/>
          <w:shd w:val="clear" w:color="auto" w:fill="FFFFFF"/>
        </w:rPr>
        <w:t>Por Secretaría General,</w:t>
      </w:r>
      <w:r w:rsidR="000F4A38" w:rsidRPr="00793402">
        <w:rPr>
          <w:color w:val="000000" w:themeColor="text1"/>
          <w:sz w:val="28"/>
          <w:szCs w:val="28"/>
          <w:shd w:val="clear" w:color="auto" w:fill="FFFFFF"/>
        </w:rPr>
        <w:t xml:space="preserve"> </w:t>
      </w:r>
      <w:r w:rsidR="0027362C" w:rsidRPr="00793402">
        <w:rPr>
          <w:b/>
          <w:bCs/>
          <w:color w:val="000000" w:themeColor="text1"/>
          <w:sz w:val="28"/>
          <w:szCs w:val="28"/>
          <w:shd w:val="clear" w:color="auto" w:fill="FFFFFF"/>
        </w:rPr>
        <w:t>LÍBRENSE</w:t>
      </w:r>
      <w:r w:rsidR="000F4A38" w:rsidRPr="00793402">
        <w:rPr>
          <w:color w:val="000000" w:themeColor="text1"/>
          <w:sz w:val="28"/>
          <w:szCs w:val="28"/>
          <w:shd w:val="clear" w:color="auto" w:fill="FFFFFF"/>
        </w:rPr>
        <w:t xml:space="preserve"> </w:t>
      </w:r>
      <w:r w:rsidR="0027362C" w:rsidRPr="00793402">
        <w:rPr>
          <w:color w:val="000000" w:themeColor="text1"/>
          <w:sz w:val="28"/>
          <w:szCs w:val="28"/>
          <w:shd w:val="clear" w:color="auto" w:fill="FFFFFF"/>
        </w:rPr>
        <w:t>las comunicaciones a que se refiere el artículo 36 del decreto 2591 de 1991.</w:t>
      </w:r>
    </w:p>
    <w:p w14:paraId="379569D8" w14:textId="77777777" w:rsidR="0027362C" w:rsidRPr="00793402" w:rsidRDefault="0027362C" w:rsidP="0027362C">
      <w:pPr>
        <w:shd w:val="clear" w:color="auto" w:fill="FFFFFF"/>
        <w:tabs>
          <w:tab w:val="left" w:pos="284"/>
        </w:tabs>
        <w:jc w:val="both"/>
        <w:rPr>
          <w:color w:val="000000" w:themeColor="text1"/>
          <w:sz w:val="28"/>
          <w:szCs w:val="28"/>
          <w:shd w:val="clear" w:color="auto" w:fill="FFFFFF"/>
        </w:rPr>
      </w:pPr>
    </w:p>
    <w:p w14:paraId="0DB60977" w14:textId="0F8E85F5" w:rsidR="0050062D" w:rsidRDefault="0027362C" w:rsidP="0027362C">
      <w:pPr>
        <w:shd w:val="clear" w:color="auto" w:fill="FFFFFF"/>
        <w:tabs>
          <w:tab w:val="left" w:pos="284"/>
        </w:tabs>
        <w:jc w:val="both"/>
        <w:rPr>
          <w:color w:val="000000" w:themeColor="text1"/>
          <w:sz w:val="28"/>
          <w:szCs w:val="28"/>
          <w:shd w:val="clear" w:color="auto" w:fill="FFFFFF"/>
        </w:rPr>
      </w:pPr>
      <w:r w:rsidRPr="00793402">
        <w:rPr>
          <w:color w:val="000000" w:themeColor="text1"/>
          <w:sz w:val="28"/>
          <w:szCs w:val="28"/>
          <w:shd w:val="clear" w:color="auto" w:fill="FFFFFF"/>
        </w:rPr>
        <w:t>Notifíquese, comuníquese y cúmplase.</w:t>
      </w:r>
    </w:p>
    <w:p w14:paraId="69B5D374" w14:textId="7F7E05F8" w:rsidR="00E20D38" w:rsidRDefault="00E20D38" w:rsidP="0027362C">
      <w:pPr>
        <w:shd w:val="clear" w:color="auto" w:fill="FFFFFF"/>
        <w:tabs>
          <w:tab w:val="left" w:pos="284"/>
        </w:tabs>
        <w:jc w:val="both"/>
        <w:rPr>
          <w:color w:val="000000" w:themeColor="text1"/>
          <w:sz w:val="28"/>
          <w:szCs w:val="28"/>
          <w:shd w:val="clear" w:color="auto" w:fill="FFFFFF"/>
        </w:rPr>
      </w:pPr>
    </w:p>
    <w:p w14:paraId="20B7EC76" w14:textId="46FCE5D4" w:rsidR="00E20D38" w:rsidRDefault="00E20D38" w:rsidP="0027362C">
      <w:pPr>
        <w:shd w:val="clear" w:color="auto" w:fill="FFFFFF"/>
        <w:tabs>
          <w:tab w:val="left" w:pos="284"/>
        </w:tabs>
        <w:jc w:val="both"/>
        <w:rPr>
          <w:color w:val="000000" w:themeColor="text1"/>
          <w:sz w:val="28"/>
          <w:szCs w:val="28"/>
          <w:shd w:val="clear" w:color="auto" w:fill="FFFFFF"/>
        </w:rPr>
      </w:pPr>
    </w:p>
    <w:p w14:paraId="0A10F112" w14:textId="0ECDF712"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JUAN CARLOS CORTÉS GONZÁLEZ</w:t>
      </w:r>
    </w:p>
    <w:p w14:paraId="0E8C1FE5" w14:textId="761638A7"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lastRenderedPageBreak/>
        <w:t>Magistrado</w:t>
      </w:r>
    </w:p>
    <w:p w14:paraId="4D884DA3" w14:textId="0178A937" w:rsidR="00E20D38" w:rsidRDefault="00E20D38" w:rsidP="00E20D38">
      <w:pPr>
        <w:shd w:val="clear" w:color="auto" w:fill="FFFFFF"/>
        <w:tabs>
          <w:tab w:val="left" w:pos="284"/>
        </w:tabs>
        <w:jc w:val="center"/>
        <w:rPr>
          <w:color w:val="000000" w:themeColor="text1"/>
          <w:sz w:val="28"/>
          <w:szCs w:val="28"/>
          <w:shd w:val="clear" w:color="auto" w:fill="FFFFFF"/>
        </w:rPr>
      </w:pPr>
    </w:p>
    <w:p w14:paraId="0D0058B5" w14:textId="6157D44C" w:rsidR="00E20D38" w:rsidRDefault="00E20D38" w:rsidP="00E20D38">
      <w:pPr>
        <w:shd w:val="clear" w:color="auto" w:fill="FFFFFF"/>
        <w:tabs>
          <w:tab w:val="left" w:pos="284"/>
        </w:tabs>
        <w:jc w:val="center"/>
        <w:rPr>
          <w:color w:val="000000" w:themeColor="text1"/>
          <w:sz w:val="28"/>
          <w:szCs w:val="28"/>
          <w:shd w:val="clear" w:color="auto" w:fill="FFFFFF"/>
        </w:rPr>
      </w:pPr>
    </w:p>
    <w:p w14:paraId="017843F6" w14:textId="7DD3F627" w:rsidR="00E20D38" w:rsidRDefault="00E20D38" w:rsidP="00E20D38">
      <w:pPr>
        <w:shd w:val="clear" w:color="auto" w:fill="FFFFFF"/>
        <w:tabs>
          <w:tab w:val="left" w:pos="284"/>
        </w:tabs>
        <w:jc w:val="center"/>
        <w:rPr>
          <w:color w:val="000000" w:themeColor="text1"/>
          <w:sz w:val="28"/>
          <w:szCs w:val="28"/>
          <w:shd w:val="clear" w:color="auto" w:fill="FFFFFF"/>
        </w:rPr>
      </w:pPr>
    </w:p>
    <w:p w14:paraId="741269FB" w14:textId="0726E581"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DIANA FAJARDO RIVERA</w:t>
      </w:r>
    </w:p>
    <w:p w14:paraId="7A3F4A92" w14:textId="0CF9F00A"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Magistrada</w:t>
      </w:r>
    </w:p>
    <w:p w14:paraId="6B7A60EF" w14:textId="2D70D524" w:rsidR="00E20D38" w:rsidRDefault="00E20D38" w:rsidP="00E20D38">
      <w:pPr>
        <w:shd w:val="clear" w:color="auto" w:fill="FFFFFF"/>
        <w:tabs>
          <w:tab w:val="left" w:pos="284"/>
        </w:tabs>
        <w:jc w:val="center"/>
        <w:rPr>
          <w:color w:val="000000" w:themeColor="text1"/>
          <w:sz w:val="28"/>
          <w:szCs w:val="28"/>
          <w:shd w:val="clear" w:color="auto" w:fill="FFFFFF"/>
        </w:rPr>
      </w:pPr>
    </w:p>
    <w:p w14:paraId="5CAD80BF" w14:textId="073101D9" w:rsidR="00E20D38" w:rsidRDefault="00E20D38" w:rsidP="00E20D38">
      <w:pPr>
        <w:shd w:val="clear" w:color="auto" w:fill="FFFFFF"/>
        <w:tabs>
          <w:tab w:val="left" w:pos="284"/>
        </w:tabs>
        <w:jc w:val="center"/>
        <w:rPr>
          <w:color w:val="000000" w:themeColor="text1"/>
          <w:sz w:val="28"/>
          <w:szCs w:val="28"/>
          <w:shd w:val="clear" w:color="auto" w:fill="FFFFFF"/>
        </w:rPr>
      </w:pPr>
    </w:p>
    <w:p w14:paraId="7E2088DE" w14:textId="412F9ED7" w:rsidR="00E20D38" w:rsidRDefault="00E20D38" w:rsidP="00E20D38">
      <w:pPr>
        <w:shd w:val="clear" w:color="auto" w:fill="FFFFFF"/>
        <w:tabs>
          <w:tab w:val="left" w:pos="284"/>
        </w:tabs>
        <w:jc w:val="center"/>
        <w:rPr>
          <w:color w:val="000000" w:themeColor="text1"/>
          <w:sz w:val="28"/>
          <w:szCs w:val="28"/>
          <w:shd w:val="clear" w:color="auto" w:fill="FFFFFF"/>
        </w:rPr>
      </w:pPr>
    </w:p>
    <w:p w14:paraId="14020B1B" w14:textId="221555F1"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 xml:space="preserve">JORGE ENRIQUE IBÁÑEZ NAJAR </w:t>
      </w:r>
    </w:p>
    <w:p w14:paraId="278ED0AD" w14:textId="6305ACA6"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Magistrado</w:t>
      </w:r>
    </w:p>
    <w:p w14:paraId="6BBD50AA" w14:textId="2F321A1A" w:rsidR="00E20D38" w:rsidRDefault="00E20D38" w:rsidP="00E20D38">
      <w:pPr>
        <w:shd w:val="clear" w:color="auto" w:fill="FFFFFF"/>
        <w:tabs>
          <w:tab w:val="left" w:pos="284"/>
        </w:tabs>
        <w:jc w:val="center"/>
        <w:rPr>
          <w:color w:val="000000" w:themeColor="text1"/>
          <w:sz w:val="28"/>
          <w:szCs w:val="28"/>
          <w:shd w:val="clear" w:color="auto" w:fill="FFFFFF"/>
        </w:rPr>
      </w:pPr>
    </w:p>
    <w:p w14:paraId="30203688" w14:textId="5ED8C623" w:rsidR="00E20D38" w:rsidRDefault="00E20D38" w:rsidP="00E20D38">
      <w:pPr>
        <w:shd w:val="clear" w:color="auto" w:fill="FFFFFF"/>
        <w:tabs>
          <w:tab w:val="left" w:pos="284"/>
        </w:tabs>
        <w:jc w:val="center"/>
        <w:rPr>
          <w:color w:val="000000" w:themeColor="text1"/>
          <w:sz w:val="28"/>
          <w:szCs w:val="28"/>
          <w:shd w:val="clear" w:color="auto" w:fill="FFFFFF"/>
        </w:rPr>
      </w:pPr>
    </w:p>
    <w:p w14:paraId="3D36188A" w14:textId="5F582838" w:rsidR="00E20D38" w:rsidRDefault="00E20D38" w:rsidP="00E20D38">
      <w:pPr>
        <w:shd w:val="clear" w:color="auto" w:fill="FFFFFF"/>
        <w:tabs>
          <w:tab w:val="left" w:pos="284"/>
        </w:tabs>
        <w:jc w:val="center"/>
        <w:rPr>
          <w:color w:val="000000" w:themeColor="text1"/>
          <w:sz w:val="28"/>
          <w:szCs w:val="28"/>
          <w:shd w:val="clear" w:color="auto" w:fill="FFFFFF"/>
        </w:rPr>
      </w:pPr>
    </w:p>
    <w:p w14:paraId="3A56CE38" w14:textId="759CB32F"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MARTHA VICTORIA SÁCHICA MÉNDEZ</w:t>
      </w:r>
    </w:p>
    <w:p w14:paraId="17930804" w14:textId="6F1C6656" w:rsidR="00E20D38" w:rsidRDefault="00E20D38" w:rsidP="00E20D38">
      <w:pPr>
        <w:shd w:val="clear" w:color="auto" w:fill="FFFFFF"/>
        <w:tabs>
          <w:tab w:val="left" w:pos="284"/>
        </w:tabs>
        <w:jc w:val="center"/>
        <w:rPr>
          <w:color w:val="000000" w:themeColor="text1"/>
          <w:sz w:val="28"/>
          <w:szCs w:val="28"/>
          <w:shd w:val="clear" w:color="auto" w:fill="FFFFFF"/>
        </w:rPr>
      </w:pPr>
      <w:r w:rsidRPr="00E20D38">
        <w:rPr>
          <w:color w:val="000000" w:themeColor="text1"/>
          <w:sz w:val="28"/>
          <w:szCs w:val="28"/>
          <w:shd w:val="clear" w:color="auto" w:fill="FFFFFF"/>
        </w:rPr>
        <w:t>Secretaria General</w:t>
      </w:r>
    </w:p>
    <w:p w14:paraId="2F8EF724" w14:textId="327D3C21" w:rsidR="00E20D38" w:rsidRDefault="00E20D38" w:rsidP="00E20D38">
      <w:pPr>
        <w:shd w:val="clear" w:color="auto" w:fill="FFFFFF"/>
        <w:tabs>
          <w:tab w:val="left" w:pos="284"/>
        </w:tabs>
        <w:jc w:val="center"/>
        <w:rPr>
          <w:color w:val="000000" w:themeColor="text1"/>
          <w:sz w:val="28"/>
          <w:szCs w:val="28"/>
          <w:shd w:val="clear" w:color="auto" w:fill="FFFFFF"/>
        </w:rPr>
      </w:pPr>
    </w:p>
    <w:p w14:paraId="09788B05" w14:textId="7079E7CD" w:rsidR="00E20D38" w:rsidRDefault="00E20D38" w:rsidP="00E20D38">
      <w:pPr>
        <w:shd w:val="clear" w:color="auto" w:fill="FFFFFF"/>
        <w:tabs>
          <w:tab w:val="left" w:pos="284"/>
        </w:tabs>
        <w:jc w:val="center"/>
        <w:rPr>
          <w:color w:val="000000" w:themeColor="text1"/>
          <w:sz w:val="28"/>
          <w:szCs w:val="28"/>
          <w:shd w:val="clear" w:color="auto" w:fill="FFFFFF"/>
        </w:rPr>
      </w:pPr>
    </w:p>
    <w:p w14:paraId="0FBE8B07" w14:textId="1BE84038" w:rsidR="00E20D38" w:rsidRDefault="00E20D38" w:rsidP="00E20D38">
      <w:pPr>
        <w:shd w:val="clear" w:color="auto" w:fill="FFFFFF"/>
        <w:tabs>
          <w:tab w:val="left" w:pos="284"/>
        </w:tabs>
        <w:jc w:val="center"/>
        <w:rPr>
          <w:color w:val="000000" w:themeColor="text1"/>
          <w:sz w:val="28"/>
          <w:szCs w:val="28"/>
          <w:shd w:val="clear" w:color="auto" w:fill="FFFFFF"/>
        </w:rPr>
      </w:pPr>
    </w:p>
    <w:p w14:paraId="504998F1" w14:textId="37D6570D" w:rsidR="00E20D38" w:rsidRDefault="00E20D38" w:rsidP="00E20D38">
      <w:pPr>
        <w:shd w:val="clear" w:color="auto" w:fill="FFFFFF"/>
        <w:tabs>
          <w:tab w:val="left" w:pos="284"/>
        </w:tabs>
        <w:jc w:val="center"/>
        <w:rPr>
          <w:color w:val="000000" w:themeColor="text1"/>
          <w:sz w:val="28"/>
          <w:szCs w:val="28"/>
          <w:shd w:val="clear" w:color="auto" w:fill="FFFFFF"/>
        </w:rPr>
      </w:pPr>
    </w:p>
    <w:p w14:paraId="34D661F1" w14:textId="77777777" w:rsidR="00E20D38" w:rsidRPr="00E20D38" w:rsidRDefault="00E20D38" w:rsidP="00E20D38">
      <w:pPr>
        <w:shd w:val="clear" w:color="auto" w:fill="FFFFFF"/>
        <w:tabs>
          <w:tab w:val="left" w:pos="284"/>
        </w:tabs>
        <w:jc w:val="center"/>
        <w:rPr>
          <w:color w:val="000000" w:themeColor="text1"/>
          <w:sz w:val="28"/>
          <w:szCs w:val="28"/>
          <w:shd w:val="clear" w:color="auto" w:fill="FFFFFF"/>
        </w:rPr>
      </w:pPr>
    </w:p>
    <w:sectPr w:rsidR="00E20D38" w:rsidRPr="00E20D38" w:rsidSect="00C64EB3">
      <w:headerReference w:type="default" r:id="rId10"/>
      <w:footerReference w:type="default" r:id="rId11"/>
      <w:pgSz w:w="12242" w:h="18722"/>
      <w:pgMar w:top="1276" w:right="1588" w:bottom="130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8346F" w14:textId="77777777" w:rsidR="002E27AD" w:rsidRDefault="002E27AD" w:rsidP="00685BB4">
      <w:r>
        <w:separator/>
      </w:r>
    </w:p>
  </w:endnote>
  <w:endnote w:type="continuationSeparator" w:id="0">
    <w:p w14:paraId="2FF2C1CA" w14:textId="77777777" w:rsidR="002E27AD" w:rsidRDefault="002E27AD" w:rsidP="0068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699275"/>
      <w:docPartObj>
        <w:docPartGallery w:val="Page Numbers (Bottom of Page)"/>
        <w:docPartUnique/>
      </w:docPartObj>
    </w:sdtPr>
    <w:sdtEndPr/>
    <w:sdtContent>
      <w:p w14:paraId="0884725A" w14:textId="77777777" w:rsidR="00C64EB3" w:rsidRDefault="00C64EB3">
        <w:pPr>
          <w:pStyle w:val="Piedepgina"/>
          <w:jc w:val="right"/>
        </w:pPr>
        <w:r>
          <w:fldChar w:fldCharType="begin"/>
        </w:r>
        <w:r>
          <w:instrText>PAGE   \* MERGEFORMAT</w:instrText>
        </w:r>
        <w:r>
          <w:fldChar w:fldCharType="separate"/>
        </w:r>
        <w:r w:rsidR="003B7505" w:rsidRPr="003B7505">
          <w:rPr>
            <w:noProof/>
            <w:lang w:val="es-ES"/>
          </w:rPr>
          <w:t>28</w:t>
        </w:r>
        <w:r>
          <w:fldChar w:fldCharType="end"/>
        </w:r>
      </w:p>
    </w:sdtContent>
  </w:sdt>
  <w:p w14:paraId="5C239839" w14:textId="77777777" w:rsidR="00C64EB3" w:rsidRDefault="00C64E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0CF20" w14:textId="77777777" w:rsidR="002E27AD" w:rsidRDefault="002E27AD" w:rsidP="00685BB4">
      <w:r>
        <w:separator/>
      </w:r>
    </w:p>
  </w:footnote>
  <w:footnote w:type="continuationSeparator" w:id="0">
    <w:p w14:paraId="6EFA308B" w14:textId="77777777" w:rsidR="002E27AD" w:rsidRDefault="002E27AD" w:rsidP="00685BB4">
      <w:r>
        <w:continuationSeparator/>
      </w:r>
    </w:p>
  </w:footnote>
  <w:footnote w:id="1">
    <w:p w14:paraId="7100F83D" w14:textId="70E0797D" w:rsidR="00C64EB3" w:rsidRPr="008249DC" w:rsidRDefault="00C64EB3" w:rsidP="00EF05A8">
      <w:pPr>
        <w:pStyle w:val="Textonotapie"/>
        <w:ind w:right="-6"/>
        <w:jc w:val="both"/>
        <w:rPr>
          <w:color w:val="000000" w:themeColor="text1"/>
          <w:lang w:val="es-ES"/>
        </w:rPr>
      </w:pPr>
      <w:r w:rsidRPr="008249DC">
        <w:rPr>
          <w:rStyle w:val="Refdenotaalpie"/>
          <w:color w:val="000000" w:themeColor="text1"/>
        </w:rPr>
        <w:footnoteRef/>
      </w:r>
      <w:r w:rsidRPr="008249DC">
        <w:rPr>
          <w:color w:val="000000" w:themeColor="text1"/>
          <w:lang w:val="es-ES"/>
        </w:rPr>
        <w:t>Auto del 28 de octubre de 2022 proferido por la Sala de Selección de Tutelas Número Diez.</w:t>
      </w:r>
    </w:p>
  </w:footnote>
  <w:footnote w:id="2">
    <w:p w14:paraId="7F401973" w14:textId="3A873F09"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El 30 de noviembre de 2022, Juan Carlos Cortés González se posesionó como magistrado titular, con efectos a partir del 1 de diciembre siguiente, a partir de entonces le correspondió sustanciar el presente asunto.</w:t>
      </w:r>
    </w:p>
  </w:footnote>
  <w:footnote w:id="3">
    <w:p w14:paraId="4D404069" w14:textId="260C2229" w:rsidR="00C64EB3" w:rsidRPr="008249DC" w:rsidRDefault="00C64EB3" w:rsidP="00EF05A8">
      <w:pPr>
        <w:pStyle w:val="Textonotapie"/>
        <w:ind w:right="-6"/>
        <w:jc w:val="both"/>
        <w:rPr>
          <w:color w:val="000000" w:themeColor="text1"/>
          <w:lang w:val="es-ES"/>
        </w:rPr>
      </w:pPr>
      <w:r w:rsidRPr="008249DC">
        <w:rPr>
          <w:rStyle w:val="Refdenotaalpie"/>
          <w:color w:val="000000" w:themeColor="text1"/>
        </w:rPr>
        <w:footnoteRef/>
      </w:r>
      <w:r w:rsidRPr="008249DC">
        <w:rPr>
          <w:color w:val="000000" w:themeColor="text1"/>
          <w:lang w:val="es-ES"/>
        </w:rPr>
        <w:t>Constancia del 15 de noviembre de 2022 suscrita por la Secretaría General de esta Corporación.</w:t>
      </w:r>
    </w:p>
  </w:footnote>
  <w:footnote w:id="4">
    <w:p w14:paraId="0A84694A" w14:textId="7A9DD2BC" w:rsidR="00C64EB3" w:rsidRPr="008249DC" w:rsidRDefault="00C64EB3" w:rsidP="00EF05A8">
      <w:pPr>
        <w:pStyle w:val="Textonotapie"/>
        <w:ind w:right="-6"/>
        <w:jc w:val="both"/>
        <w:rPr>
          <w:color w:val="000000" w:themeColor="text1"/>
        </w:rPr>
      </w:pPr>
      <w:r w:rsidRPr="008249DC">
        <w:rPr>
          <w:rStyle w:val="Refdenotaalpie"/>
          <w:color w:val="000000" w:themeColor="text1"/>
        </w:rPr>
        <w:footnoteRef/>
      </w:r>
      <w:r w:rsidRPr="008249DC">
        <w:rPr>
          <w:color w:val="000000" w:themeColor="text1"/>
        </w:rPr>
        <w:t xml:space="preserve">Acción de tutela. En expediente digital: </w:t>
      </w:r>
      <w:r w:rsidRPr="008249DC">
        <w:rPr>
          <w:i/>
          <w:iCs/>
          <w:color w:val="000000" w:themeColor="text1"/>
        </w:rPr>
        <w:t>“03-TutelaBlancaGalindezVsSecretariaDeEducacion.pdf”</w:t>
      </w:r>
      <w:r w:rsidRPr="008249DC">
        <w:rPr>
          <w:color w:val="000000" w:themeColor="text1"/>
        </w:rPr>
        <w:t>.</w:t>
      </w:r>
    </w:p>
  </w:footnote>
  <w:footnote w:id="5">
    <w:p w14:paraId="47E780B8" w14:textId="6ABF6536"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Cedula de Ciudadanía. Blanca Bellanid Galíndez Joven.</w:t>
      </w:r>
      <w:r w:rsidR="000B71AB" w:rsidRPr="008249DC">
        <w:rPr>
          <w:color w:val="000000" w:themeColor="text1"/>
        </w:rPr>
        <w:t xml:space="preserve"> Fecha de nacimiento: 10/02/1963</w:t>
      </w:r>
      <w:r w:rsidRPr="008249DC">
        <w:rPr>
          <w:color w:val="000000" w:themeColor="text1"/>
        </w:rPr>
        <w:t xml:space="preserve"> Tomado de expediente digital: “</w:t>
      </w:r>
      <w:r w:rsidRPr="008249DC">
        <w:rPr>
          <w:i/>
          <w:iCs/>
          <w:color w:val="000000" w:themeColor="text1"/>
        </w:rPr>
        <w:t>ANEXOS_28_6_2022, 8_54_53.pdf</w:t>
      </w:r>
      <w:r w:rsidRPr="008249DC">
        <w:rPr>
          <w:color w:val="000000" w:themeColor="text1"/>
        </w:rPr>
        <w:t>”. Pág. 1.</w:t>
      </w:r>
    </w:p>
  </w:footnote>
  <w:footnote w:id="6">
    <w:p w14:paraId="398EA9A1" w14:textId="4D25336F"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Anterior Colegio Nacional José María Hernández. Decreto N° 0042 del 13 de mayo de 1998. Tomado de expediente digital: “</w:t>
      </w:r>
      <w:r w:rsidRPr="008249DC">
        <w:rPr>
          <w:i/>
          <w:iCs/>
          <w:color w:val="000000" w:themeColor="text1"/>
        </w:rPr>
        <w:t>ANEXOS_28_6_2022, 8_54_53.pdf</w:t>
      </w:r>
      <w:r w:rsidRPr="008249DC">
        <w:rPr>
          <w:color w:val="000000" w:themeColor="text1"/>
        </w:rPr>
        <w:t>”. Pág. 2.</w:t>
      </w:r>
    </w:p>
  </w:footnote>
  <w:footnote w:id="7">
    <w:p w14:paraId="310E6420" w14:textId="74D5E7A9"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Decreto N° 0042 del 13 de mayo de 1998. </w:t>
      </w:r>
      <w:r w:rsidRPr="008249DC">
        <w:rPr>
          <w:i/>
          <w:iCs/>
          <w:color w:val="000000" w:themeColor="text1"/>
        </w:rPr>
        <w:t>“Por medio del cual se hace un nombramiento provisional a un administrativo del Colegio José María Hernández del Municipio de Puerto Leguizamo, mientras se convoca concurso”.</w:t>
      </w:r>
      <w:r w:rsidRPr="008249DC">
        <w:rPr>
          <w:color w:val="000000" w:themeColor="text1"/>
        </w:rPr>
        <w:t xml:space="preserve"> Tomado de expediente digital: “</w:t>
      </w:r>
      <w:r w:rsidRPr="008249DC">
        <w:rPr>
          <w:i/>
          <w:iCs/>
          <w:color w:val="000000" w:themeColor="text1"/>
        </w:rPr>
        <w:t>ANEXOS_28_6_2022, 8_54_53.pdf</w:t>
      </w:r>
      <w:r w:rsidRPr="008249DC">
        <w:rPr>
          <w:color w:val="000000" w:themeColor="text1"/>
        </w:rPr>
        <w:t>”. Pág. 2.</w:t>
      </w:r>
    </w:p>
  </w:footnote>
  <w:footnote w:id="8">
    <w:p w14:paraId="58182825" w14:textId="168EB427"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Historia laboral del 26 de enero de 2023 elaborada por </w:t>
      </w:r>
      <w:r w:rsidR="00940AF8" w:rsidRPr="008249DC">
        <w:rPr>
          <w:color w:val="000000" w:themeColor="text1"/>
        </w:rPr>
        <w:t>C</w:t>
      </w:r>
      <w:r w:rsidR="004873A6" w:rsidRPr="008249DC">
        <w:rPr>
          <w:color w:val="000000" w:themeColor="text1"/>
        </w:rPr>
        <w:t>OLPENSIONES</w:t>
      </w:r>
      <w:r w:rsidRPr="008249DC">
        <w:rPr>
          <w:color w:val="000000" w:themeColor="text1"/>
        </w:rPr>
        <w:t>.</w:t>
      </w:r>
      <w:r w:rsidR="004873A6" w:rsidRPr="008249DC">
        <w:rPr>
          <w:color w:val="000000" w:themeColor="text1"/>
        </w:rPr>
        <w:t xml:space="preserve"> Tomado de expediente digital: “</w:t>
      </w:r>
      <w:r w:rsidR="004873A6" w:rsidRPr="008249DC">
        <w:rPr>
          <w:i/>
          <w:iCs/>
          <w:color w:val="000000" w:themeColor="text1"/>
        </w:rPr>
        <w:t>HL.pdf</w:t>
      </w:r>
      <w:r w:rsidR="004873A6" w:rsidRPr="008249DC">
        <w:rPr>
          <w:color w:val="000000" w:themeColor="text1"/>
        </w:rPr>
        <w:t>”</w:t>
      </w:r>
      <w:r w:rsidR="00CB3E1B" w:rsidRPr="008249DC">
        <w:rPr>
          <w:color w:val="000000" w:themeColor="text1"/>
        </w:rPr>
        <w:t>.</w:t>
      </w:r>
    </w:p>
  </w:footnote>
  <w:footnote w:id="9">
    <w:p w14:paraId="7A95E32C" w14:textId="71DB9061"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lang w:val="es-ES_tradnl"/>
        </w:rPr>
        <w:t xml:space="preserve">Tomado de expediente digital: </w:t>
      </w:r>
      <w:r w:rsidRPr="008249DC">
        <w:rPr>
          <w:i/>
          <w:iCs/>
          <w:color w:val="000000" w:themeColor="text1"/>
          <w:lang w:val="es-ES_tradnl"/>
        </w:rPr>
        <w:t>“19-RespuestaAccionDeTutelaCNSC.pdf”</w:t>
      </w:r>
      <w:r w:rsidRPr="008249DC">
        <w:rPr>
          <w:color w:val="000000" w:themeColor="text1"/>
          <w:lang w:val="es-ES_tradnl"/>
        </w:rPr>
        <w:t>. Pág.1.</w:t>
      </w:r>
    </w:p>
  </w:footnote>
  <w:footnote w:id="10">
    <w:p w14:paraId="63391721" w14:textId="1F5DF062"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Proceso de selección territorial 2019- Gobernación de Putumayo. </w:t>
      </w:r>
      <w:r w:rsidRPr="008249DC">
        <w:rPr>
          <w:color w:val="000000" w:themeColor="text1"/>
          <w:lang w:val="es-ES_tradnl"/>
        </w:rPr>
        <w:t>Tomado de expediente digital:</w:t>
      </w:r>
      <w:r w:rsidRPr="008249DC">
        <w:rPr>
          <w:i/>
          <w:iCs/>
          <w:color w:val="000000" w:themeColor="text1"/>
          <w:lang w:val="es-ES_tradnl"/>
        </w:rPr>
        <w:t xml:space="preserve"> “19-RespuestaAccionDeTutelaCNSC.pdf”</w:t>
      </w:r>
      <w:r w:rsidRPr="008249DC">
        <w:rPr>
          <w:color w:val="000000" w:themeColor="text1"/>
          <w:lang w:val="es-ES_tradnl"/>
        </w:rPr>
        <w:t>. Pág.1.</w:t>
      </w:r>
    </w:p>
  </w:footnote>
  <w:footnote w:id="11">
    <w:p w14:paraId="2039287A" w14:textId="364F6838"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Tomado de expediente digital: “</w:t>
      </w:r>
      <w:r w:rsidRPr="008249DC">
        <w:rPr>
          <w:i/>
          <w:iCs/>
          <w:color w:val="000000" w:themeColor="text1"/>
        </w:rPr>
        <w:t>Respuesta2021_11479895_2021_11_11_17_42.pdf</w:t>
      </w:r>
      <w:r w:rsidRPr="008249DC">
        <w:rPr>
          <w:color w:val="000000" w:themeColor="text1"/>
        </w:rPr>
        <w:t>”. Pág. 1.</w:t>
      </w:r>
    </w:p>
  </w:footnote>
  <w:footnote w:id="12">
    <w:p w14:paraId="4BD2A1D8" w14:textId="220BB5EF"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Comisión Nacional del Servicio Civil. Resolución N° 10797 del 17 de noviembre de 2021. </w:t>
      </w:r>
      <w:r w:rsidRPr="008249DC">
        <w:rPr>
          <w:color w:val="000000" w:themeColor="text1"/>
          <w:lang w:val="es-ES_tradnl"/>
        </w:rPr>
        <w:t>Tomado de expediente digital:</w:t>
      </w:r>
      <w:r w:rsidRPr="008249DC">
        <w:rPr>
          <w:i/>
          <w:iCs/>
          <w:color w:val="000000" w:themeColor="text1"/>
          <w:lang w:val="es-ES_tradnl"/>
        </w:rPr>
        <w:t xml:space="preserve"> “19-RespuestaAccionDeTutelaCNSC.pdf”</w:t>
      </w:r>
      <w:r w:rsidRPr="008249DC">
        <w:rPr>
          <w:color w:val="000000" w:themeColor="text1"/>
          <w:lang w:val="es-ES_tradnl"/>
        </w:rPr>
        <w:t>. Págs. 1-4.</w:t>
      </w:r>
    </w:p>
  </w:footnote>
  <w:footnote w:id="13">
    <w:p w14:paraId="6A97A6EB" w14:textId="1653A5C8"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i/>
          <w:iCs/>
          <w:color w:val="000000" w:themeColor="text1"/>
        </w:rPr>
        <w:t xml:space="preserve">“(…) [U]na vez realizadas todas las etapas del proceso de selección y publicados los resultados definitivos obtenidos por los aspirantes en cada una de las pruebas aplicadas, la CNSC elaborará en estricto orden de mérito la lista de elegibles que tendrá una vigencia de dos (2) años. Con esta y en estricto orden de méritos se cubrirán las vacantes para las cuales se efectuó el concurso.(…)”. </w:t>
      </w:r>
      <w:r w:rsidRPr="008249DC">
        <w:rPr>
          <w:color w:val="000000" w:themeColor="text1"/>
          <w:lang w:val="es-ES_tradnl"/>
        </w:rPr>
        <w:t>Tomado de expediente digital:</w:t>
      </w:r>
      <w:r w:rsidRPr="008249DC">
        <w:rPr>
          <w:i/>
          <w:iCs/>
          <w:color w:val="000000" w:themeColor="text1"/>
          <w:lang w:val="es-ES_tradnl"/>
        </w:rPr>
        <w:t xml:space="preserve"> “19-RespuestaAccionDeTutelaCNSC.pdf”</w:t>
      </w:r>
      <w:r w:rsidRPr="008249DC">
        <w:rPr>
          <w:color w:val="000000" w:themeColor="text1"/>
          <w:lang w:val="es-ES_tradnl"/>
        </w:rPr>
        <w:t>. Pág.1.</w:t>
      </w:r>
    </w:p>
  </w:footnote>
  <w:footnote w:id="14">
    <w:p w14:paraId="56EB8233" w14:textId="57387A08"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Ley 2040 de 2020. </w:t>
      </w:r>
      <w:r w:rsidRPr="008249DC">
        <w:rPr>
          <w:i/>
          <w:iCs/>
          <w:color w:val="000000" w:themeColor="text1"/>
        </w:rPr>
        <w:t>“Articulo 8°. Protección en caso de reestructuración administrativa o provisión definitiva de cargos. Las personas a las que les falte tres años o menos para cumplir los requisitos que les permitirían acceder a la pensión de jubilación o vejez, que hagan parte de las plantas de las entidades públicas en nombramiento provisional o temporal y que, derivado de procesos de restructuración administrativa o provisión definitiva de cargos públicos a través de concursos de mérito, deberían ser separados de sus cargos, serán sujetos de especial protección por parte del Estado y en virtud de la misma deberán ser reubicados hasta tanto adquieran los requisitos mínimos para el acceso al beneficio pensional.”.</w:t>
      </w:r>
    </w:p>
  </w:footnote>
  <w:footnote w:id="15">
    <w:p w14:paraId="23EECFE5" w14:textId="6D4A51FE"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lang w:val="es-ES_tradnl"/>
        </w:rPr>
        <w:t xml:space="preserve">Tomado de expediente digital: </w:t>
      </w:r>
      <w:r w:rsidRPr="008249DC">
        <w:rPr>
          <w:color w:val="000000" w:themeColor="text1"/>
        </w:rPr>
        <w:t>“</w:t>
      </w:r>
      <w:r w:rsidRPr="008249DC">
        <w:rPr>
          <w:i/>
          <w:iCs/>
          <w:color w:val="000000" w:themeColor="text1"/>
        </w:rPr>
        <w:t>RTA PUT2021032137</w:t>
      </w:r>
      <w:r w:rsidRPr="008249DC">
        <w:rPr>
          <w:color w:val="000000" w:themeColor="text1"/>
        </w:rPr>
        <w:t>”</w:t>
      </w:r>
      <w:r w:rsidRPr="008249DC">
        <w:rPr>
          <w:color w:val="000000" w:themeColor="text1"/>
          <w:lang w:val="es-ES_tradnl"/>
        </w:rPr>
        <w:t>. Págs.1-3.</w:t>
      </w:r>
    </w:p>
  </w:footnote>
  <w:footnote w:id="16">
    <w:p w14:paraId="1BAA5737" w14:textId="0008D119"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i/>
          <w:iCs/>
          <w:color w:val="000000" w:themeColor="text1"/>
        </w:rPr>
        <w:t>“(…) [E]ste despacho procederá a generar una solución para garantizar la continuidad laboral en la entidad, con el fin que no se vea vulnerado el status de prepensionada de la señora GALINDEZ JOVEN BLANCA BELLANI (sic)(…)”.</w:t>
      </w:r>
      <w:r w:rsidRPr="008249DC">
        <w:rPr>
          <w:color w:val="000000" w:themeColor="text1"/>
        </w:rPr>
        <w:t xml:space="preserve"> Ibidem. Pág. 10.</w:t>
      </w:r>
    </w:p>
  </w:footnote>
  <w:footnote w:id="17">
    <w:p w14:paraId="70E09658" w14:textId="2D60178B" w:rsidR="00C64EB3" w:rsidRPr="008249DC" w:rsidRDefault="00C64EB3" w:rsidP="00EF05A8">
      <w:pPr>
        <w:pStyle w:val="NormalWeb"/>
        <w:widowControl w:val="0"/>
        <w:spacing w:before="0" w:beforeAutospacing="0" w:after="0" w:afterAutospacing="0"/>
        <w:contextualSpacing/>
        <w:jc w:val="both"/>
        <w:rPr>
          <w:i/>
          <w:iCs/>
          <w:color w:val="000000" w:themeColor="text1"/>
          <w:sz w:val="20"/>
          <w:szCs w:val="20"/>
        </w:rPr>
      </w:pPr>
      <w:r w:rsidRPr="008249DC">
        <w:rPr>
          <w:rStyle w:val="Refdenotaalpie"/>
          <w:color w:val="000000" w:themeColor="text1"/>
          <w:sz w:val="20"/>
          <w:szCs w:val="20"/>
        </w:rPr>
        <w:footnoteRef/>
      </w:r>
      <w:r w:rsidRPr="008249DC">
        <w:rPr>
          <w:i/>
          <w:iCs/>
          <w:color w:val="000000" w:themeColor="text1"/>
          <w:sz w:val="20"/>
          <w:szCs w:val="20"/>
        </w:rPr>
        <w:t>“(…) [A] la fecha tiene 58 años, (cumple con el requisito de edad pues tiene más de la edad mínima de 54 años); ahora si analizamos el tiempo de servicios, tiene 23 años.</w:t>
      </w:r>
      <w:r w:rsidR="00606C1E" w:rsidRPr="008249DC">
        <w:rPr>
          <w:i/>
          <w:iCs/>
          <w:color w:val="000000" w:themeColor="text1"/>
          <w:sz w:val="20"/>
          <w:szCs w:val="20"/>
        </w:rPr>
        <w:t xml:space="preserve"> </w:t>
      </w:r>
      <w:r w:rsidRPr="008249DC">
        <w:rPr>
          <w:i/>
          <w:iCs/>
          <w:color w:val="000000" w:themeColor="text1"/>
          <w:sz w:val="20"/>
          <w:szCs w:val="20"/>
        </w:rPr>
        <w:t>(</w:t>
      </w:r>
      <w:r w:rsidR="00606C1E" w:rsidRPr="008249DC">
        <w:rPr>
          <w:i/>
          <w:iCs/>
          <w:color w:val="000000" w:themeColor="text1"/>
          <w:sz w:val="20"/>
          <w:szCs w:val="20"/>
        </w:rPr>
        <w:t>L</w:t>
      </w:r>
      <w:r w:rsidRPr="008249DC">
        <w:rPr>
          <w:i/>
          <w:iCs/>
          <w:color w:val="000000" w:themeColor="text1"/>
          <w:sz w:val="20"/>
          <w:szCs w:val="20"/>
        </w:rPr>
        <w:t>o que equivale, aproximadamente 1.196 semanas cotizadas) En conclusión, Si cumple con la edad mínima, y además, con el requisito de tiempo de servicio)(…)”</w:t>
      </w:r>
    </w:p>
  </w:footnote>
  <w:footnote w:id="18">
    <w:p w14:paraId="2E6ECF75" w14:textId="7470C527"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Secretaria de Educación Departamental. Resolución 1224 del 24 de febrero de 2022. </w:t>
      </w:r>
      <w:r w:rsidRPr="008249DC">
        <w:rPr>
          <w:color w:val="000000" w:themeColor="text1"/>
          <w:lang w:val="es-ES_tradnl"/>
        </w:rPr>
        <w:t xml:space="preserve">Tomado de expediente digital: </w:t>
      </w:r>
      <w:r w:rsidRPr="008249DC">
        <w:rPr>
          <w:color w:val="000000" w:themeColor="text1"/>
        </w:rPr>
        <w:t>“</w:t>
      </w:r>
      <w:r w:rsidRPr="008249DC">
        <w:rPr>
          <w:i/>
          <w:iCs/>
          <w:color w:val="000000" w:themeColor="text1"/>
        </w:rPr>
        <w:t>ANEXOS_28_6_2022, 8_54_53.pdf</w:t>
      </w:r>
      <w:r w:rsidRPr="008249DC">
        <w:rPr>
          <w:color w:val="000000" w:themeColor="text1"/>
        </w:rPr>
        <w:t>”</w:t>
      </w:r>
      <w:r w:rsidRPr="008249DC">
        <w:rPr>
          <w:color w:val="000000" w:themeColor="text1"/>
          <w:lang w:val="es-ES_tradnl"/>
        </w:rPr>
        <w:t>. Págs.6-8.</w:t>
      </w:r>
    </w:p>
  </w:footnote>
  <w:footnote w:id="19">
    <w:p w14:paraId="6C197C77" w14:textId="77C24F7F"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Luis Alberto Ortega Revelo. Poder. </w:t>
      </w:r>
      <w:r w:rsidRPr="008249DC">
        <w:rPr>
          <w:color w:val="000000" w:themeColor="text1"/>
          <w:lang w:val="es-ES_tradnl"/>
        </w:rPr>
        <w:t xml:space="preserve">Tomado de expediente digital: </w:t>
      </w:r>
      <w:r w:rsidRPr="008249DC">
        <w:rPr>
          <w:color w:val="000000" w:themeColor="text1"/>
        </w:rPr>
        <w:t>“</w:t>
      </w:r>
      <w:r w:rsidRPr="008249DC">
        <w:rPr>
          <w:i/>
          <w:iCs/>
          <w:color w:val="000000" w:themeColor="text1"/>
        </w:rPr>
        <w:t>ANEXOS_28_6_2022, 8_54_53.pdf</w:t>
      </w:r>
      <w:r w:rsidRPr="008249DC">
        <w:rPr>
          <w:color w:val="000000" w:themeColor="text1"/>
        </w:rPr>
        <w:t>”</w:t>
      </w:r>
      <w:r w:rsidRPr="008249DC">
        <w:rPr>
          <w:color w:val="000000" w:themeColor="text1"/>
          <w:lang w:val="es-ES_tradnl"/>
        </w:rPr>
        <w:t>. Págs.17-19.</w:t>
      </w:r>
    </w:p>
  </w:footnote>
  <w:footnote w:id="20">
    <w:p w14:paraId="0CBE8E1E" w14:textId="0C175FC9" w:rsidR="00C64EB3" w:rsidRPr="008249DC" w:rsidRDefault="00C64EB3" w:rsidP="00EF05A8">
      <w:pPr>
        <w:pStyle w:val="Textonotapie"/>
        <w:jc w:val="both"/>
        <w:rPr>
          <w:i/>
          <w:iCs/>
          <w:color w:val="000000" w:themeColor="text1"/>
          <w:lang w:val="es-ES_tradnl"/>
        </w:rPr>
      </w:pPr>
      <w:r w:rsidRPr="008249DC">
        <w:rPr>
          <w:rStyle w:val="Refdenotaalpie"/>
          <w:color w:val="000000" w:themeColor="text1"/>
        </w:rPr>
        <w:footnoteRef/>
      </w:r>
      <w:r w:rsidRPr="008249DC">
        <w:rPr>
          <w:color w:val="000000" w:themeColor="text1"/>
        </w:rPr>
        <w:t>Derecho de petición del 21 de marzo de 2022. Tomado de expediente digital: “</w:t>
      </w:r>
      <w:r w:rsidRPr="008249DC">
        <w:rPr>
          <w:i/>
          <w:iCs/>
          <w:color w:val="000000" w:themeColor="text1"/>
        </w:rPr>
        <w:t xml:space="preserve">DEMANDA_28_6_2022, 8_55_33”. </w:t>
      </w:r>
      <w:r w:rsidRPr="008249DC">
        <w:rPr>
          <w:color w:val="000000" w:themeColor="text1"/>
        </w:rPr>
        <w:t>Págs. 1-7.</w:t>
      </w:r>
    </w:p>
  </w:footnote>
  <w:footnote w:id="21">
    <w:p w14:paraId="5F554AE2" w14:textId="77777777" w:rsidR="00856AD8" w:rsidRPr="008249DC" w:rsidRDefault="00856AD8" w:rsidP="00856AD8">
      <w:pPr>
        <w:pStyle w:val="Textonotapie"/>
        <w:jc w:val="both"/>
        <w:rPr>
          <w:i/>
          <w:iCs/>
          <w:color w:val="000000" w:themeColor="text1"/>
          <w:lang w:val="es-ES_tradnl"/>
        </w:rPr>
      </w:pPr>
      <w:r w:rsidRPr="008249DC">
        <w:rPr>
          <w:rStyle w:val="Refdenotaalpie"/>
          <w:color w:val="000000" w:themeColor="text1"/>
        </w:rPr>
        <w:footnoteRef/>
      </w:r>
      <w:r w:rsidRPr="008249DC">
        <w:rPr>
          <w:i/>
          <w:iCs/>
          <w:color w:val="000000" w:themeColor="text1"/>
        </w:rPr>
        <w:t>“PRETENSIONES: (sic) 1. Sírvase reintegrar a la señora BLANCA BELLANID GALINDEZ JOVEN en su cargo de Auxiliar de Servicios General o a uno superior, por ostentar una estabilidad reforzada al haber alcanzado categoría de prepensionada. 2. El lugar o sitio de reintegro no debe atentar contra la unidad familiar, ni ocasionarle gastos de transporte. 3. El reintegro debe ser sin solución de continuidad, se debe cancelar todos los salarios dejados de percibir, con sus primas y demás derechos laborales y prestacionales que gozaba mi representada.”</w:t>
      </w:r>
      <w:r w:rsidRPr="008249DC">
        <w:rPr>
          <w:color w:val="000000" w:themeColor="text1"/>
        </w:rPr>
        <w:t xml:space="preserve"> Tomado de expediente digital: “</w:t>
      </w:r>
      <w:r w:rsidRPr="008249DC">
        <w:rPr>
          <w:i/>
          <w:iCs/>
          <w:color w:val="000000" w:themeColor="text1"/>
        </w:rPr>
        <w:t xml:space="preserve">DEMANDA_28_6_2022, 8_55_33”. </w:t>
      </w:r>
      <w:r w:rsidRPr="008249DC">
        <w:rPr>
          <w:color w:val="000000" w:themeColor="text1"/>
        </w:rPr>
        <w:t>Pág. 6.</w:t>
      </w:r>
    </w:p>
  </w:footnote>
  <w:footnote w:id="22">
    <w:p w14:paraId="5FEFA2BD" w14:textId="268616BA"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 Tomado de expediente digital: “</w:t>
      </w:r>
      <w:r w:rsidRPr="008249DC">
        <w:rPr>
          <w:i/>
          <w:iCs/>
          <w:color w:val="000000" w:themeColor="text1"/>
        </w:rPr>
        <w:t>ANEXOS_28_6_2022, 8_54_53.pdf</w:t>
      </w:r>
      <w:r w:rsidRPr="008249DC">
        <w:rPr>
          <w:color w:val="000000" w:themeColor="text1"/>
        </w:rPr>
        <w:t xml:space="preserve">”. Págs. 11-12. </w:t>
      </w:r>
    </w:p>
  </w:footnote>
  <w:footnote w:id="23">
    <w:p w14:paraId="074328D2" w14:textId="3A52F9C3"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i/>
          <w:iCs/>
          <w:color w:val="000000" w:themeColor="text1"/>
        </w:rPr>
        <w:t xml:space="preserve">“[I]nterposición de recurso de reposición y e en subsidio apelación contra el acto administrativo mediante el cual da respuesta a la petición No radico PUT2022ER006587 del 23/03/2022. Oficio de salida PUT2022EE010321 del 21 de abril de 2022”. </w:t>
      </w:r>
      <w:r w:rsidRPr="008249DC">
        <w:rPr>
          <w:color w:val="000000" w:themeColor="text1"/>
        </w:rPr>
        <w:t>Tomado de expediente digital: “</w:t>
      </w:r>
      <w:r w:rsidRPr="008249DC">
        <w:rPr>
          <w:i/>
          <w:iCs/>
          <w:color w:val="000000" w:themeColor="text1"/>
        </w:rPr>
        <w:t>RECURSO REPOSICION.pdf</w:t>
      </w:r>
      <w:r w:rsidRPr="008249DC">
        <w:rPr>
          <w:color w:val="000000" w:themeColor="text1"/>
        </w:rPr>
        <w:t xml:space="preserve">”. Págs. 1-3. </w:t>
      </w:r>
    </w:p>
  </w:footnote>
  <w:footnote w:id="24">
    <w:p w14:paraId="3681B2F1" w14:textId="02D6C469"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Secretaría de Educación Departamental de Putumayo. Resolución No. 2936 del 21 de junio de 2022. Tomado de expediente digital: “RESOLUCION 2936 BLANCA BELLANDI GALINDEZ JOVEN.pdf. Págs. 1-12.</w:t>
      </w:r>
    </w:p>
  </w:footnote>
  <w:footnote w:id="25">
    <w:p w14:paraId="4A446D70" w14:textId="5E306D1C"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De igual forma, no concedió el recurso de apelación. Al respecto, afirmó que cuenta con delegación expresa de las funciones para resolver y agotar la vía gubernativa de todos los asuntos que conoce su dependencia. Tomado de expediente digital: “RESOLUCION 2936 BLANCA BELLANDI GALINDEZ JOVEN.pdf. Pág. 8</w:t>
      </w:r>
    </w:p>
  </w:footnote>
  <w:footnote w:id="26">
    <w:p w14:paraId="28BA994D" w14:textId="4C546EEE"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Secretaría de Educación Departamental de Putumayo. Resolución No. 2936 del 21 de junio de 2022. Tomado de expediente digital: “RESOLUCION 2936 BLANCA BELLANDI GALINDEZ JOVEN.pdf. Pág. 8.</w:t>
      </w:r>
    </w:p>
  </w:footnote>
  <w:footnote w:id="27">
    <w:p w14:paraId="50F9C945" w14:textId="662F8C9B" w:rsidR="00615C4C" w:rsidRPr="008249DC" w:rsidRDefault="00615C4C" w:rsidP="00615C4C">
      <w:pPr>
        <w:pStyle w:val="Textonotapie"/>
        <w:jc w:val="both"/>
        <w:rPr>
          <w:color w:val="000000" w:themeColor="text1"/>
        </w:rPr>
      </w:pPr>
      <w:r w:rsidRPr="008249DC">
        <w:rPr>
          <w:rStyle w:val="Refdenotaalpie"/>
          <w:color w:val="000000" w:themeColor="text1"/>
        </w:rPr>
        <w:footnoteRef/>
      </w:r>
      <w:r w:rsidRPr="008249DC">
        <w:rPr>
          <w:color w:val="000000" w:themeColor="text1"/>
        </w:rPr>
        <w:t>Decreto 2353 de 2015. “</w:t>
      </w:r>
      <w:r w:rsidRPr="008249DC">
        <w:rPr>
          <w:i/>
          <w:iCs/>
          <w:color w:val="000000" w:themeColor="text1"/>
        </w:rPr>
        <w:t>Artículo 66. Período de protección laboral. Cuando el empleador reporte la novedad de terminación del vínculo laboral o cuando el trabajador independiente pierda las condiciones para continuar como cotizante y reporte la novedad, el cotizante y su núcleo familiar gozarán del período de protección laboral hasta por uno (1) o tres (3) meses más contados a partir del día siguiente al vencimiento del período o días por los cuales se efectuó la última cotización. Durante el período de protección laboral, el afiliado cotizante y su núcleo familiar tendrán derecho a la prestación de los servicios de salud del plan de beneficios por el período de un {1) mes cuando haya estado inscrito en la misma EPS como mínimo los doce (12) meses anteriores y de tres (3) meses cuando haya estado inscrito de manera continua durante cinco (5) años o más. (…)”.</w:t>
      </w:r>
    </w:p>
  </w:footnote>
  <w:footnote w:id="28">
    <w:p w14:paraId="60702926" w14:textId="791F9999"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Luis Alberto Ortega Revelo. Poder. </w:t>
      </w:r>
      <w:r w:rsidRPr="008249DC">
        <w:rPr>
          <w:color w:val="000000" w:themeColor="text1"/>
          <w:lang w:val="es-ES_tradnl"/>
        </w:rPr>
        <w:t xml:space="preserve">Tomado de expediente digital: </w:t>
      </w:r>
      <w:r w:rsidRPr="008249DC">
        <w:rPr>
          <w:color w:val="000000" w:themeColor="text1"/>
        </w:rPr>
        <w:t>“</w:t>
      </w:r>
      <w:r w:rsidRPr="008249DC">
        <w:rPr>
          <w:i/>
          <w:iCs/>
          <w:color w:val="000000" w:themeColor="text1"/>
        </w:rPr>
        <w:t>ANEXOS_28_6_2022, 8_54_53.pdf</w:t>
      </w:r>
      <w:r w:rsidRPr="008249DC">
        <w:rPr>
          <w:color w:val="000000" w:themeColor="text1"/>
        </w:rPr>
        <w:t>”</w:t>
      </w:r>
      <w:r w:rsidRPr="008249DC">
        <w:rPr>
          <w:color w:val="000000" w:themeColor="text1"/>
          <w:lang w:val="es-ES_tradnl"/>
        </w:rPr>
        <w:t>. Págs.17-19.</w:t>
      </w:r>
    </w:p>
  </w:footnote>
  <w:footnote w:id="29">
    <w:p w14:paraId="21F00C7C" w14:textId="565E6CE5" w:rsidR="009C516E" w:rsidRPr="008249DC" w:rsidRDefault="009C516E">
      <w:pPr>
        <w:pStyle w:val="Textonotapie"/>
        <w:rPr>
          <w:color w:val="000000" w:themeColor="text1"/>
        </w:rPr>
      </w:pPr>
      <w:r w:rsidRPr="008249DC">
        <w:rPr>
          <w:rStyle w:val="Refdenotaalpie"/>
          <w:color w:val="000000" w:themeColor="text1"/>
        </w:rPr>
        <w:footnoteRef/>
      </w:r>
      <w:r w:rsidRPr="008249DC">
        <w:rPr>
          <w:color w:val="000000" w:themeColor="text1"/>
        </w:rPr>
        <w:t>Acta Individual de Reparto. Tomado de expediente digital: “</w:t>
      </w:r>
      <w:r w:rsidRPr="008249DC">
        <w:rPr>
          <w:i/>
          <w:iCs/>
          <w:color w:val="000000" w:themeColor="text1"/>
        </w:rPr>
        <w:t>02-Acta312JzCivilMpal.pdf</w:t>
      </w:r>
      <w:r w:rsidRPr="008249DC">
        <w:rPr>
          <w:color w:val="000000" w:themeColor="text1"/>
        </w:rPr>
        <w:t>”.</w:t>
      </w:r>
    </w:p>
  </w:footnote>
  <w:footnote w:id="30">
    <w:p w14:paraId="12A9A7E0" w14:textId="77777777" w:rsidR="00AD75CE" w:rsidRPr="008249DC" w:rsidRDefault="00AD75CE" w:rsidP="00AD75CE">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Formato Único para la Expedición de Certificado de Historia Laboral – Consecutivo No.710. Secretaría de Educación Departamental de Putumayo. Tomado de expediente digital: “</w:t>
      </w:r>
      <w:r w:rsidRPr="008249DC">
        <w:rPr>
          <w:i/>
          <w:iCs/>
          <w:color w:val="000000" w:themeColor="text1"/>
        </w:rPr>
        <w:t>ANEXOS_28_6_2022, 8_54_53.pdf</w:t>
      </w:r>
      <w:r w:rsidRPr="008249DC">
        <w:rPr>
          <w:color w:val="000000" w:themeColor="text1"/>
        </w:rPr>
        <w:t>”. Pág. 13-16.</w:t>
      </w:r>
    </w:p>
  </w:footnote>
  <w:footnote w:id="31">
    <w:p w14:paraId="716B6C32" w14:textId="4451B31C"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Tomado de expediente digital. </w:t>
      </w:r>
      <w:r w:rsidRPr="008249DC">
        <w:rPr>
          <w:i/>
          <w:iCs/>
          <w:color w:val="000000" w:themeColor="text1"/>
        </w:rPr>
        <w:t>“03-TutelaBlancaGalindezVsSecretariaDeEducacion.pdf”.</w:t>
      </w:r>
      <w:r w:rsidRPr="008249DC">
        <w:rPr>
          <w:color w:val="000000" w:themeColor="text1"/>
        </w:rPr>
        <w:t xml:space="preserve"> Págs. 1-15.</w:t>
      </w:r>
    </w:p>
  </w:footnote>
  <w:footnote w:id="32">
    <w:p w14:paraId="028D512F" w14:textId="77777777" w:rsidR="00856AD8" w:rsidRPr="008249DC" w:rsidRDefault="00856AD8" w:rsidP="00856AD8">
      <w:pPr>
        <w:pStyle w:val="Textonotapie"/>
        <w:jc w:val="both"/>
        <w:rPr>
          <w:color w:val="000000" w:themeColor="text1"/>
        </w:rPr>
      </w:pPr>
      <w:r w:rsidRPr="008249DC">
        <w:rPr>
          <w:rStyle w:val="Refdenotaalpie"/>
          <w:color w:val="000000" w:themeColor="text1"/>
        </w:rPr>
        <w:footnoteRef/>
      </w:r>
      <w:r w:rsidRPr="008249DC">
        <w:rPr>
          <w:color w:val="000000" w:themeColor="text1"/>
        </w:rPr>
        <w:t>Tomado de expediente digital. Carpeta: “</w:t>
      </w:r>
      <w:r w:rsidRPr="008249DC">
        <w:rPr>
          <w:i/>
          <w:iCs/>
          <w:color w:val="000000" w:themeColor="text1"/>
        </w:rPr>
        <w:t>02SegundaInstanciaJCCtoM2022-00126-01</w:t>
      </w:r>
      <w:r w:rsidRPr="008249DC">
        <w:rPr>
          <w:color w:val="000000" w:themeColor="text1"/>
        </w:rPr>
        <w:t>”. Documento: “</w:t>
      </w:r>
      <w:r w:rsidRPr="008249DC">
        <w:rPr>
          <w:i/>
          <w:iCs/>
          <w:color w:val="000000" w:themeColor="text1"/>
        </w:rPr>
        <w:t>05-Autoadmite.pdf”</w:t>
      </w:r>
      <w:r w:rsidRPr="008249DC">
        <w:rPr>
          <w:color w:val="000000" w:themeColor="text1"/>
        </w:rPr>
        <w:t>. pág. 2.</w:t>
      </w:r>
    </w:p>
  </w:footnote>
  <w:footnote w:id="33">
    <w:p w14:paraId="26E22843" w14:textId="070DA2BD"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Tomado de expediente digital. Documento: </w:t>
      </w:r>
      <w:r w:rsidRPr="008249DC">
        <w:rPr>
          <w:i/>
          <w:iCs/>
          <w:color w:val="000000" w:themeColor="text1"/>
        </w:rPr>
        <w:t>“11-RespuestaAccionDeTutelaSED.pdf”.</w:t>
      </w:r>
    </w:p>
  </w:footnote>
  <w:footnote w:id="34">
    <w:p w14:paraId="4D2F4D02" w14:textId="6F541099"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Tomado de expediente digital. Documento: </w:t>
      </w:r>
      <w:r w:rsidRPr="008249DC">
        <w:rPr>
          <w:i/>
          <w:iCs/>
          <w:color w:val="000000" w:themeColor="text1"/>
        </w:rPr>
        <w:t>“22-RespuestaAccionDeTutelaGobernacion.pdf”.</w:t>
      </w:r>
    </w:p>
  </w:footnote>
  <w:footnote w:id="35">
    <w:p w14:paraId="5A85F425" w14:textId="5F879460"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Tomado de expediente digital. Documento: </w:t>
      </w:r>
      <w:r w:rsidRPr="008249DC">
        <w:rPr>
          <w:i/>
          <w:iCs/>
          <w:color w:val="000000" w:themeColor="text1"/>
        </w:rPr>
        <w:t>“16-RespuestaAccionDeTutelaColpensiones.pdf”.</w:t>
      </w:r>
    </w:p>
  </w:footnote>
  <w:footnote w:id="36">
    <w:p w14:paraId="5FF428C0" w14:textId="717CE5C4"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Pr="008249DC">
        <w:rPr>
          <w:color w:val="000000" w:themeColor="text1"/>
        </w:rPr>
        <w:t>Tomado de expediente digital. Documento:</w:t>
      </w:r>
      <w:r w:rsidRPr="008249DC">
        <w:rPr>
          <w:i/>
          <w:iCs/>
          <w:color w:val="000000" w:themeColor="text1"/>
        </w:rPr>
        <w:t xml:space="preserve"> “19-RespuestaAccionDeTutelaCNSC.pdf”.</w:t>
      </w:r>
    </w:p>
  </w:footnote>
  <w:footnote w:id="37">
    <w:p w14:paraId="1787B87D" w14:textId="5A405800"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Pr="008249DC">
        <w:rPr>
          <w:color w:val="000000" w:themeColor="text1"/>
        </w:rPr>
        <w:t>Tomado de expediente digital. Documento:</w:t>
      </w:r>
      <w:r w:rsidRPr="008249DC">
        <w:rPr>
          <w:i/>
          <w:iCs/>
          <w:color w:val="000000" w:themeColor="text1"/>
        </w:rPr>
        <w:t xml:space="preserve"> “13-RespuestaAccionDeTutelaIngriCortez.pdf”.</w:t>
      </w:r>
    </w:p>
  </w:footnote>
  <w:footnote w:id="38">
    <w:p w14:paraId="1439C5F9" w14:textId="1E76A4B5"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Sentencia del 12 de julio de 2022 proferida por el Juzgado 2 Civil Municipal de Mocoa. Tomado de expediente digital. Documento: </w:t>
      </w:r>
      <w:r w:rsidRPr="008249DC">
        <w:rPr>
          <w:i/>
          <w:iCs/>
          <w:color w:val="000000" w:themeColor="text1"/>
        </w:rPr>
        <w:t>“24-Falloniegaderechos.pdf”</w:t>
      </w:r>
      <w:r w:rsidRPr="008249DC">
        <w:rPr>
          <w:color w:val="000000" w:themeColor="text1"/>
        </w:rPr>
        <w:t>. pág. 1.</w:t>
      </w:r>
    </w:p>
  </w:footnote>
  <w:footnote w:id="39">
    <w:p w14:paraId="076C990F" w14:textId="1FAA104F"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Tomado de expediente digital. Documento: </w:t>
      </w:r>
      <w:r w:rsidRPr="008249DC">
        <w:rPr>
          <w:i/>
          <w:iCs/>
          <w:color w:val="000000" w:themeColor="text1"/>
        </w:rPr>
        <w:t>“blanca impugnación tutela Corregido.pdf”.</w:t>
      </w:r>
    </w:p>
  </w:footnote>
  <w:footnote w:id="40">
    <w:p w14:paraId="168DE7AB" w14:textId="132C2592"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Tomado de expediente digital. Documento: </w:t>
      </w:r>
      <w:r w:rsidRPr="008249DC">
        <w:rPr>
          <w:i/>
          <w:iCs/>
          <w:color w:val="000000" w:themeColor="text1"/>
        </w:rPr>
        <w:t>“blanca impugnacion tutela Corregido.pdf”.</w:t>
      </w:r>
      <w:r w:rsidRPr="008249DC">
        <w:rPr>
          <w:color w:val="000000" w:themeColor="text1"/>
        </w:rPr>
        <w:t xml:space="preserve"> Pág. 5.</w:t>
      </w:r>
    </w:p>
  </w:footnote>
  <w:footnote w:id="41">
    <w:p w14:paraId="5CFD5B71" w14:textId="74163640"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Anexo: Historia Clínica, Copia de la finalización de la atención médica a la señora Blanca Bellanid, por parte de la NUEVA EPS, copia del último comprobante de pago, copia del crédito que la señora Blanca Bellanid tiene con el banco BBVA, declaración notarial extra proceso, en la que manifestó tener una vivienda avaluada en $30.000.000 como único patrimonio, carta dirigida a la señora Juez, constancia de estudio del señor José Luis Andrade Galíndez y registro civil del hijo de la accionante.</w:t>
      </w:r>
    </w:p>
  </w:footnote>
  <w:footnote w:id="42">
    <w:p w14:paraId="3E5B623C" w14:textId="75B3216D"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Tomado de expediente digital. Documento:</w:t>
      </w:r>
      <w:r w:rsidRPr="008249DC">
        <w:rPr>
          <w:i/>
          <w:iCs/>
          <w:color w:val="000000" w:themeColor="text1"/>
        </w:rPr>
        <w:t xml:space="preserve"> “04FalloSegundaInstancia20220823.pdf”.</w:t>
      </w:r>
    </w:p>
  </w:footnote>
  <w:footnote w:id="43">
    <w:p w14:paraId="10A749F2" w14:textId="7FD5BEED"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En concreto, señaló que persiste una indeterminación en cuanto a las semanas cotizadas por la accionante. Manifestó que la información aportada por la accionante y la SED no coincide. Por tal razón, en su criterio, es necesario hacer la verificación con la entidad que tiene a su cargo la administración de los aportes a pensión.</w:t>
      </w:r>
      <w:r w:rsidR="00F748D3" w:rsidRPr="008249DC">
        <w:rPr>
          <w:color w:val="000000" w:themeColor="text1"/>
        </w:rPr>
        <w:t xml:space="preserve"> Tomado de expediente digital:“</w:t>
      </w:r>
      <w:r w:rsidR="00F748D3" w:rsidRPr="008249DC">
        <w:rPr>
          <w:i/>
          <w:iCs/>
          <w:color w:val="000000" w:themeColor="text1"/>
        </w:rPr>
        <w:t>04fFalloSegundaInstancia20220823.pdf</w:t>
      </w:r>
      <w:r w:rsidR="00F748D3" w:rsidRPr="008249DC">
        <w:rPr>
          <w:color w:val="000000" w:themeColor="text1"/>
        </w:rPr>
        <w:t>”</w:t>
      </w:r>
      <w:r w:rsidR="00BF1C2B" w:rsidRPr="008249DC">
        <w:rPr>
          <w:color w:val="000000" w:themeColor="text1"/>
        </w:rPr>
        <w:t>.</w:t>
      </w:r>
    </w:p>
  </w:footnote>
  <w:footnote w:id="44">
    <w:p w14:paraId="4BF2F65B" w14:textId="5B084AA6"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00F748D3" w:rsidRPr="008249DC">
        <w:rPr>
          <w:color w:val="000000" w:themeColor="text1"/>
        </w:rPr>
        <w:t>Tomado de</w:t>
      </w:r>
      <w:r w:rsidRPr="008249DC">
        <w:rPr>
          <w:color w:val="000000" w:themeColor="text1"/>
        </w:rPr>
        <w:t xml:space="preserve"> expediente digital:“</w:t>
      </w:r>
      <w:r w:rsidRPr="008249DC">
        <w:rPr>
          <w:i/>
          <w:iCs/>
          <w:color w:val="000000" w:themeColor="text1"/>
        </w:rPr>
        <w:t>Auto_de_pruebas_T8987455</w:t>
      </w:r>
      <w:r w:rsidR="00E574B0" w:rsidRPr="008249DC">
        <w:rPr>
          <w:i/>
          <w:iCs/>
          <w:color w:val="000000" w:themeColor="text1"/>
        </w:rPr>
        <w:t>.pdf</w:t>
      </w:r>
      <w:r w:rsidRPr="008249DC">
        <w:rPr>
          <w:color w:val="000000" w:themeColor="text1"/>
        </w:rPr>
        <w:t>”.</w:t>
      </w:r>
    </w:p>
  </w:footnote>
  <w:footnote w:id="45">
    <w:p w14:paraId="30BAF50F" w14:textId="061E4515" w:rsidR="00C64EB3" w:rsidRPr="008249DC" w:rsidRDefault="00C64EB3" w:rsidP="00EF05A8">
      <w:pPr>
        <w:pStyle w:val="Textonotapie"/>
        <w:ind w:right="-6"/>
        <w:jc w:val="both"/>
        <w:rPr>
          <w:i/>
          <w:iCs/>
          <w:color w:val="000000" w:themeColor="text1"/>
        </w:rPr>
      </w:pPr>
      <w:r w:rsidRPr="008249DC">
        <w:rPr>
          <w:rStyle w:val="Refdenotaalpie"/>
          <w:color w:val="000000" w:themeColor="text1"/>
        </w:rPr>
        <w:footnoteRef/>
      </w:r>
      <w:r w:rsidR="00F748D3" w:rsidRPr="008249DC">
        <w:rPr>
          <w:color w:val="000000" w:themeColor="text1"/>
        </w:rPr>
        <w:t xml:space="preserve">Tomado de </w:t>
      </w:r>
      <w:r w:rsidRPr="008249DC">
        <w:rPr>
          <w:color w:val="000000" w:themeColor="text1"/>
        </w:rPr>
        <w:t>expediente digital</w:t>
      </w:r>
      <w:r w:rsidR="00F748D3" w:rsidRPr="008249DC">
        <w:rPr>
          <w:color w:val="000000" w:themeColor="text1"/>
        </w:rPr>
        <w:t>:</w:t>
      </w:r>
      <w:r w:rsidRPr="008249DC">
        <w:rPr>
          <w:i/>
          <w:iCs/>
          <w:color w:val="000000" w:themeColor="text1"/>
        </w:rPr>
        <w:t>“2.1 RESPUESTAS CORTE CONSTITUCIONAL</w:t>
      </w:r>
      <w:r w:rsidR="00054D9D" w:rsidRPr="008249DC">
        <w:rPr>
          <w:i/>
          <w:iCs/>
          <w:color w:val="000000" w:themeColor="text1"/>
        </w:rPr>
        <w:t>.</w:t>
      </w:r>
      <w:r w:rsidR="00B169FB" w:rsidRPr="008249DC">
        <w:rPr>
          <w:i/>
          <w:iCs/>
          <w:color w:val="000000" w:themeColor="text1"/>
        </w:rPr>
        <w:t>pdf</w:t>
      </w:r>
      <w:r w:rsidR="00054D9D" w:rsidRPr="008249DC">
        <w:rPr>
          <w:i/>
          <w:iCs/>
          <w:color w:val="000000" w:themeColor="text1"/>
        </w:rPr>
        <w:t>.</w:t>
      </w:r>
      <w:r w:rsidRPr="008249DC">
        <w:rPr>
          <w:i/>
          <w:iCs/>
          <w:color w:val="000000" w:themeColor="text1"/>
        </w:rPr>
        <w:t>”.</w:t>
      </w:r>
    </w:p>
  </w:footnote>
  <w:footnote w:id="46">
    <w:p w14:paraId="6992F80D" w14:textId="7CC4F9F0"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El cual depende económicamente de sus padres.</w:t>
      </w:r>
    </w:p>
  </w:footnote>
  <w:footnote w:id="47">
    <w:p w14:paraId="46430934" w14:textId="69C9F169"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El esposo de la demandante </w:t>
      </w:r>
      <w:r w:rsidR="004132F7" w:rsidRPr="008249DC">
        <w:rPr>
          <w:color w:val="000000" w:themeColor="text1"/>
        </w:rPr>
        <w:t>recibe</w:t>
      </w:r>
      <w:r w:rsidR="0099357B" w:rsidRPr="008249DC">
        <w:rPr>
          <w:color w:val="000000" w:themeColor="text1"/>
        </w:rPr>
        <w:t xml:space="preserve"> (i) un salario como docente activo por un valor básico de $2.305.574, el cual después de los descuentos se estima en $1.242.098; (ii) además, es titular de una pensión de jubilación por valor de $1.638.951. La cual, después de los descuentos se estima en $745.056. En total, el esposo de la accionante recibe por concepto de ingresos $3.944.525 , suma que después de los descuentos quedaría en $1.987.154.</w:t>
      </w:r>
      <w:r w:rsidR="00BF1C2B" w:rsidRPr="008249DC">
        <w:rPr>
          <w:color w:val="000000" w:themeColor="text1"/>
        </w:rPr>
        <w:t xml:space="preserve"> </w:t>
      </w:r>
      <w:r w:rsidRPr="008249DC">
        <w:rPr>
          <w:color w:val="000000" w:themeColor="text1"/>
        </w:rPr>
        <w:t>Tomado de expediente digital:</w:t>
      </w:r>
      <w:r w:rsidRPr="008249DC">
        <w:rPr>
          <w:i/>
          <w:iCs/>
          <w:color w:val="000000" w:themeColor="text1"/>
        </w:rPr>
        <w:t xml:space="preserve"> “7.DESPRENDIBLE-OCTUBRE.pdf”</w:t>
      </w:r>
      <w:r w:rsidRPr="008249DC">
        <w:rPr>
          <w:color w:val="000000" w:themeColor="text1"/>
        </w:rPr>
        <w:t xml:space="preserve"> y</w:t>
      </w:r>
      <w:r w:rsidRPr="008249DC">
        <w:rPr>
          <w:i/>
          <w:iCs/>
          <w:color w:val="000000" w:themeColor="text1"/>
        </w:rPr>
        <w:t xml:space="preserve"> “ 9.COMPROBANTE DE NOMINA-GENTIL.pdf”</w:t>
      </w:r>
      <w:r w:rsidR="00BF1C2B" w:rsidRPr="008249DC">
        <w:rPr>
          <w:i/>
          <w:iCs/>
          <w:color w:val="000000" w:themeColor="text1"/>
        </w:rPr>
        <w:t>.</w:t>
      </w:r>
    </w:p>
  </w:footnote>
  <w:footnote w:id="48">
    <w:p w14:paraId="14C4DABF" w14:textId="614C250A"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Hipertensión, pre-diabetes y obesidad.</w:t>
      </w:r>
    </w:p>
  </w:footnote>
  <w:footnote w:id="49">
    <w:p w14:paraId="6A223BB2" w14:textId="360A3567"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Como soporte a sus respuestas, la accionante aportó los siguientes documentos: (i) su historia clínica y la de su esposo; (ii) los extractos de su crédito bancario con BBVA ($64.968.805,47); (iii) los soportes del crédito bancario con BBVA ($68.265.188,00) y de libranza con FINSOCIAL ($42.963.428) de los que es titular su esposo; y, (iv) los desprendibles de pago del salario a cargo de la Secretaria de Educación de Putumayo y comprobantes de nómina del FOMAG por concepto de pensión de jubilación, ambos de su esposo.</w:t>
      </w:r>
    </w:p>
  </w:footnote>
  <w:footnote w:id="50">
    <w:p w14:paraId="7D64BD65" w14:textId="3A0BE465"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00E574B0" w:rsidRPr="008249DC">
        <w:rPr>
          <w:color w:val="000000" w:themeColor="text1"/>
        </w:rPr>
        <w:t>Tomado de</w:t>
      </w:r>
      <w:r w:rsidRPr="008249DC">
        <w:rPr>
          <w:color w:val="000000" w:themeColor="text1"/>
        </w:rPr>
        <w:t xml:space="preserve"> expediente digital: “</w:t>
      </w:r>
      <w:r w:rsidRPr="008249DC">
        <w:rPr>
          <w:i/>
          <w:iCs/>
          <w:color w:val="000000" w:themeColor="text1"/>
        </w:rPr>
        <w:t>Respuesta2022_18548474_2022_12_20_7_33.pdf</w:t>
      </w:r>
      <w:r w:rsidRPr="008249DC">
        <w:rPr>
          <w:color w:val="000000" w:themeColor="text1"/>
        </w:rPr>
        <w:t>”</w:t>
      </w:r>
      <w:r w:rsidRPr="008249DC">
        <w:rPr>
          <w:i/>
          <w:iCs/>
          <w:color w:val="000000" w:themeColor="text1"/>
        </w:rPr>
        <w:t>.</w:t>
      </w:r>
    </w:p>
  </w:footnote>
  <w:footnote w:id="51">
    <w:p w14:paraId="55A61708" w14:textId="5A99FDFF"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00E574B0" w:rsidRPr="008249DC">
        <w:rPr>
          <w:color w:val="000000" w:themeColor="text1"/>
        </w:rPr>
        <w:t>Tomado de</w:t>
      </w:r>
      <w:r w:rsidRPr="008249DC">
        <w:rPr>
          <w:color w:val="000000" w:themeColor="text1"/>
        </w:rPr>
        <w:t xml:space="preserve"> expediente digital: “</w:t>
      </w:r>
      <w:r w:rsidRPr="008249DC">
        <w:rPr>
          <w:i/>
          <w:iCs/>
          <w:color w:val="000000" w:themeColor="text1"/>
        </w:rPr>
        <w:t>RESPUESTA AUTO CORTE CONSTITUCIONAL.pdf</w:t>
      </w:r>
      <w:r w:rsidRPr="008249DC">
        <w:rPr>
          <w:color w:val="000000" w:themeColor="text1"/>
        </w:rPr>
        <w:t>”.</w:t>
      </w:r>
    </w:p>
  </w:footnote>
  <w:footnote w:id="52">
    <w:p w14:paraId="5FD23A5F" w14:textId="297FAF2E"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00E574B0" w:rsidRPr="008249DC">
        <w:rPr>
          <w:color w:val="000000" w:themeColor="text1"/>
        </w:rPr>
        <w:t>Tomado de</w:t>
      </w:r>
      <w:r w:rsidRPr="008249DC">
        <w:rPr>
          <w:color w:val="000000" w:themeColor="text1"/>
        </w:rPr>
        <w:t xml:space="preserve"> expediente digital: “</w:t>
      </w:r>
      <w:r w:rsidRPr="008249DC">
        <w:rPr>
          <w:i/>
          <w:iCs/>
          <w:color w:val="000000" w:themeColor="text1"/>
        </w:rPr>
        <w:t>Requerimiento-Pruebas-T-8987455</w:t>
      </w:r>
      <w:r w:rsidRPr="008249DC">
        <w:rPr>
          <w:color w:val="000000" w:themeColor="text1"/>
        </w:rPr>
        <w:t>”.</w:t>
      </w:r>
    </w:p>
  </w:footnote>
  <w:footnote w:id="53">
    <w:p w14:paraId="0CC90391" w14:textId="47717CDD"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00E574B0" w:rsidRPr="008249DC">
        <w:rPr>
          <w:color w:val="000000" w:themeColor="text1"/>
        </w:rPr>
        <w:t>Tomado de</w:t>
      </w:r>
      <w:r w:rsidRPr="008249DC">
        <w:rPr>
          <w:color w:val="000000" w:themeColor="text1"/>
        </w:rPr>
        <w:t xml:space="preserve"> expediente digital: “</w:t>
      </w:r>
      <w:r w:rsidRPr="008249DC">
        <w:rPr>
          <w:i/>
          <w:iCs/>
          <w:color w:val="000000" w:themeColor="text1"/>
        </w:rPr>
        <w:t xml:space="preserve">RESPUESTA AUTO </w:t>
      </w:r>
      <w:r w:rsidR="00054D9D" w:rsidRPr="008249DC">
        <w:rPr>
          <w:i/>
          <w:iCs/>
          <w:color w:val="000000" w:themeColor="text1"/>
        </w:rPr>
        <w:t xml:space="preserve">ENERO </w:t>
      </w:r>
      <w:r w:rsidRPr="008249DC">
        <w:rPr>
          <w:i/>
          <w:iCs/>
          <w:color w:val="000000" w:themeColor="text1"/>
        </w:rPr>
        <w:t>CORTE CONSTITUCIONAL.pdf</w:t>
      </w:r>
      <w:r w:rsidRPr="008249DC">
        <w:rPr>
          <w:color w:val="000000" w:themeColor="text1"/>
        </w:rPr>
        <w:t>”.</w:t>
      </w:r>
    </w:p>
  </w:footnote>
  <w:footnote w:id="54">
    <w:p w14:paraId="6E83F0FA" w14:textId="42C05279"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00E574B0" w:rsidRPr="008249DC">
        <w:rPr>
          <w:color w:val="000000" w:themeColor="text1"/>
        </w:rPr>
        <w:t>Tomado de</w:t>
      </w:r>
      <w:r w:rsidRPr="008249DC">
        <w:rPr>
          <w:color w:val="000000" w:themeColor="text1"/>
        </w:rPr>
        <w:t xml:space="preserve"> expediente digital: “</w:t>
      </w:r>
      <w:r w:rsidRPr="008249DC">
        <w:rPr>
          <w:i/>
          <w:iCs/>
          <w:color w:val="000000" w:themeColor="text1"/>
        </w:rPr>
        <w:t>TIEMPO DE SERVICIO GALIMDEZ J. BLANCA.pdf</w:t>
      </w:r>
      <w:r w:rsidR="00BF1C2B" w:rsidRPr="008249DC">
        <w:rPr>
          <w:i/>
          <w:iCs/>
          <w:color w:val="000000" w:themeColor="text1"/>
        </w:rPr>
        <w:t>”.</w:t>
      </w:r>
    </w:p>
  </w:footnote>
  <w:footnote w:id="55">
    <w:p w14:paraId="0FBA41A5" w14:textId="6728BF5A"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00E574B0" w:rsidRPr="008249DC">
        <w:rPr>
          <w:color w:val="000000" w:themeColor="text1"/>
        </w:rPr>
        <w:t xml:space="preserve">Tomado de </w:t>
      </w:r>
      <w:r w:rsidRPr="008249DC">
        <w:rPr>
          <w:color w:val="000000" w:themeColor="text1"/>
        </w:rPr>
        <w:t>expediente digital: “</w:t>
      </w:r>
      <w:r w:rsidRPr="008249DC">
        <w:rPr>
          <w:i/>
          <w:iCs/>
          <w:color w:val="000000" w:themeColor="text1"/>
        </w:rPr>
        <w:t>Blanca Bellanid Galíndez Joven-RESPUESTA A REQUERIMIENTO DE PRUEBAS EN SEDE DE REVISION.pdf.</w:t>
      </w:r>
      <w:r w:rsidRPr="008249DC">
        <w:rPr>
          <w:color w:val="000000" w:themeColor="text1"/>
        </w:rPr>
        <w:t>”</w:t>
      </w:r>
      <w:r w:rsidR="00BF1C2B" w:rsidRPr="008249DC">
        <w:rPr>
          <w:color w:val="000000" w:themeColor="text1"/>
        </w:rPr>
        <w:t>.</w:t>
      </w:r>
    </w:p>
  </w:footnote>
  <w:footnote w:id="56">
    <w:p w14:paraId="30122181" w14:textId="52AD20D0"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00E574B0" w:rsidRPr="008249DC">
        <w:rPr>
          <w:color w:val="000000" w:themeColor="text1"/>
        </w:rPr>
        <w:t>Tomado de</w:t>
      </w:r>
      <w:r w:rsidRPr="008249DC">
        <w:rPr>
          <w:color w:val="000000" w:themeColor="text1"/>
          <w:lang w:val="es-ES_tradnl"/>
        </w:rPr>
        <w:t xml:space="preserve"> expediente</w:t>
      </w:r>
      <w:r w:rsidR="00E574B0" w:rsidRPr="008249DC">
        <w:rPr>
          <w:color w:val="000000" w:themeColor="text1"/>
          <w:lang w:val="es-ES_tradnl"/>
        </w:rPr>
        <w:t xml:space="preserve"> digital</w:t>
      </w:r>
      <w:r w:rsidRPr="008249DC">
        <w:rPr>
          <w:color w:val="000000" w:themeColor="text1"/>
          <w:lang w:val="es-ES_tradnl"/>
        </w:rPr>
        <w:t>: “</w:t>
      </w:r>
      <w:r w:rsidRPr="008249DC">
        <w:rPr>
          <w:i/>
          <w:iCs/>
          <w:color w:val="000000" w:themeColor="text1"/>
          <w:lang w:val="es-ES_tradnl"/>
        </w:rPr>
        <w:t>ACUERDO_20191000005986_GOBERNACION_PUTUMAYO.pdf</w:t>
      </w:r>
      <w:r w:rsidRPr="008249DC">
        <w:rPr>
          <w:color w:val="000000" w:themeColor="text1"/>
          <w:lang w:val="es-ES_tradnl"/>
        </w:rPr>
        <w:t>”, “</w:t>
      </w:r>
      <w:r w:rsidRPr="008249DC">
        <w:rPr>
          <w:i/>
          <w:iCs/>
          <w:color w:val="000000" w:themeColor="text1"/>
          <w:lang w:val="es-ES_tradnl"/>
        </w:rPr>
        <w:t>2021RES-400.300.24-9216 OPEC 25976.pdf</w:t>
      </w:r>
      <w:r w:rsidRPr="008249DC">
        <w:rPr>
          <w:color w:val="000000" w:themeColor="text1"/>
          <w:lang w:val="es-ES_tradnl"/>
        </w:rPr>
        <w:t>”, “</w:t>
      </w:r>
      <w:r w:rsidRPr="008249DC">
        <w:rPr>
          <w:i/>
          <w:iCs/>
          <w:color w:val="000000" w:themeColor="text1"/>
          <w:lang w:val="es-ES_tradnl"/>
        </w:rPr>
        <w:t>2021RES-400.300.24-9239 opec 120420.pdf</w:t>
      </w:r>
      <w:r w:rsidRPr="008249DC">
        <w:rPr>
          <w:color w:val="000000" w:themeColor="text1"/>
          <w:lang w:val="es-ES_tradnl"/>
        </w:rPr>
        <w:t>”, “</w:t>
      </w:r>
      <w:r w:rsidRPr="008249DC">
        <w:rPr>
          <w:i/>
          <w:iCs/>
          <w:color w:val="000000" w:themeColor="text1"/>
          <w:lang w:val="es-ES_tradnl"/>
        </w:rPr>
        <w:t>2021RES-400.300.24-9247 OPEC 25975.pdf</w:t>
      </w:r>
      <w:r w:rsidRPr="008249DC">
        <w:rPr>
          <w:color w:val="000000" w:themeColor="text1"/>
          <w:lang w:val="es-ES_tradnl"/>
        </w:rPr>
        <w:t>” y “</w:t>
      </w:r>
      <w:r w:rsidRPr="008249DC">
        <w:rPr>
          <w:i/>
          <w:iCs/>
          <w:color w:val="000000" w:themeColor="text1"/>
          <w:lang w:val="es-ES_tradnl"/>
        </w:rPr>
        <w:t>2021RES-400.300.24-10797 OPEC 25974.pdf</w:t>
      </w:r>
      <w:r w:rsidRPr="008249DC">
        <w:rPr>
          <w:color w:val="000000" w:themeColor="text1"/>
          <w:lang w:val="es-ES_tradnl"/>
        </w:rPr>
        <w:t>”.</w:t>
      </w:r>
    </w:p>
  </w:footnote>
  <w:footnote w:id="57">
    <w:p w14:paraId="7DA9DC4C" w14:textId="254D8FB0"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00A3622E" w:rsidRPr="008249DC">
        <w:rPr>
          <w:color w:val="000000" w:themeColor="text1"/>
        </w:rPr>
        <w:t>Tomado de</w:t>
      </w:r>
      <w:r w:rsidRPr="008249DC">
        <w:rPr>
          <w:color w:val="000000" w:themeColor="text1"/>
        </w:rPr>
        <w:t xml:space="preserve"> expediente digital: “</w:t>
      </w:r>
      <w:r w:rsidRPr="008249DC">
        <w:rPr>
          <w:i/>
          <w:iCs/>
          <w:color w:val="000000" w:themeColor="text1"/>
        </w:rPr>
        <w:t>Respuesta2023_1115175_2023_1_27_7_56.pdf</w:t>
      </w:r>
      <w:r w:rsidRPr="008249DC">
        <w:rPr>
          <w:color w:val="000000" w:themeColor="text1"/>
        </w:rPr>
        <w:t>”</w:t>
      </w:r>
      <w:r w:rsidR="00A3622E" w:rsidRPr="008249DC">
        <w:rPr>
          <w:color w:val="000000" w:themeColor="text1"/>
        </w:rPr>
        <w:t>.</w:t>
      </w:r>
    </w:p>
  </w:footnote>
  <w:footnote w:id="58">
    <w:p w14:paraId="263AF9C0" w14:textId="4A112E2B"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Unidad de Gestión Pensional y Parafiscales.</w:t>
      </w:r>
    </w:p>
  </w:footnote>
  <w:footnote w:id="59">
    <w:p w14:paraId="3F8BF100" w14:textId="6FE5483D"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w:t>
      </w:r>
      <w:r w:rsidRPr="008249DC">
        <w:rPr>
          <w:i/>
          <w:iCs/>
          <w:color w:val="000000" w:themeColor="text1"/>
        </w:rPr>
        <w:t>[N]o podemos cargar únicamente los ciclos faltantes 199805 a 200209, puesto que la Resolución de la UGPP informa más periodos y un total a pagar que los incluye. Para dar solución a tal yerro de la entidad certificadora, se realizó solicitud para corregir la certificación en la plataforma cetil 20220000212639 sin que a la fecha la SECRETARÍA DE EDUCACIÓN DEL PUTUMAYO haya corregido dicha situación.</w:t>
      </w:r>
      <w:r w:rsidRPr="008249DC">
        <w:rPr>
          <w:color w:val="000000" w:themeColor="text1"/>
        </w:rPr>
        <w:t>”. Tomado de expediente digital: “</w:t>
      </w:r>
      <w:r w:rsidRPr="008249DC">
        <w:rPr>
          <w:i/>
          <w:iCs/>
          <w:color w:val="000000" w:themeColor="text1"/>
        </w:rPr>
        <w:t>Respuesta2023_1115175_2023_1_27_7_56</w:t>
      </w:r>
      <w:r w:rsidRPr="008249DC">
        <w:rPr>
          <w:color w:val="000000" w:themeColor="text1"/>
        </w:rPr>
        <w:t>” Pág. 2.</w:t>
      </w:r>
    </w:p>
  </w:footnote>
  <w:footnote w:id="60">
    <w:p w14:paraId="10A2A9CC" w14:textId="15CCE120" w:rsidR="00C64EB3" w:rsidRPr="008249DC" w:rsidRDefault="00C64EB3" w:rsidP="00EF05A8">
      <w:pPr>
        <w:pStyle w:val="Textonotapie"/>
        <w:ind w:right="-6"/>
        <w:jc w:val="both"/>
        <w:rPr>
          <w:color w:val="000000" w:themeColor="text1"/>
        </w:rPr>
      </w:pPr>
      <w:r w:rsidRPr="008249DC">
        <w:rPr>
          <w:rStyle w:val="Refdenotaalpie"/>
          <w:color w:val="000000" w:themeColor="text1"/>
        </w:rPr>
        <w:footnoteRef/>
      </w:r>
      <w:r w:rsidRPr="008249DC">
        <w:rPr>
          <w:color w:val="000000" w:themeColor="text1"/>
        </w:rPr>
        <w:t>Tomado de Expediente digital: “</w:t>
      </w:r>
      <w:r w:rsidRPr="008249DC">
        <w:rPr>
          <w:i/>
          <w:iCs/>
          <w:color w:val="000000" w:themeColor="text1"/>
        </w:rPr>
        <w:t>03-TutelaBlancaGalindezVsSecretariaDeEducacion</w:t>
      </w:r>
      <w:r w:rsidRPr="008249DC">
        <w:rPr>
          <w:color w:val="000000" w:themeColor="text1"/>
        </w:rPr>
        <w:t>”. Pág. 13.</w:t>
      </w:r>
    </w:p>
  </w:footnote>
  <w:footnote w:id="61">
    <w:p w14:paraId="1ECE2F67" w14:textId="64B6112F"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Constitución Política. </w:t>
      </w:r>
      <w:r w:rsidRPr="008249DC">
        <w:rPr>
          <w:i/>
          <w:iCs/>
          <w:color w:val="000000" w:themeColor="text1"/>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8249DC">
        <w:rPr>
          <w:color w:val="000000" w:themeColor="text1"/>
        </w:rPr>
        <w:t>.</w:t>
      </w:r>
    </w:p>
  </w:footnote>
  <w:footnote w:id="62">
    <w:p w14:paraId="53F007D3" w14:textId="2BE75509"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Decreto 2591 de 1991. “</w:t>
      </w:r>
      <w:r w:rsidRPr="008249DC">
        <w:rPr>
          <w:i/>
          <w:iCs/>
          <w:color w:val="000000" w:themeColor="text1"/>
        </w:rPr>
        <w:t>Artículo 10. LEGITIMIDAD E INTERES. La acción de tutela podrá ser ejercida, en todo momento y lugar, por cualquiera persona vulnerada o amenazada en uno de sus derechos fundamentales, quien actuará por sí misma o a través de representante. Los poderes se presumirán auténticos. || También se pueden agenciar derechos ajenos cuando el titular de los mismos no esté en condiciones de promover su propia defensa. Cuando tal circunstancia ocurra, deberá manifestarse en la solicitud. || También podrá ejercerla el Defensor del Pueblo y los personeros municipales.</w:t>
      </w:r>
      <w:r w:rsidRPr="008249DC">
        <w:rPr>
          <w:color w:val="000000" w:themeColor="text1"/>
        </w:rPr>
        <w:t>”</w:t>
      </w:r>
    </w:p>
  </w:footnote>
  <w:footnote w:id="63">
    <w:p w14:paraId="3A690D88" w14:textId="501D0D1C"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Luis Alberto Ortega Revelo. Poder. </w:t>
      </w:r>
      <w:r w:rsidRPr="008249DC">
        <w:rPr>
          <w:color w:val="000000" w:themeColor="text1"/>
          <w:lang w:val="es-ES_tradnl"/>
        </w:rPr>
        <w:t xml:space="preserve">Tomado de expediente digital: </w:t>
      </w:r>
      <w:r w:rsidRPr="008249DC">
        <w:rPr>
          <w:color w:val="000000" w:themeColor="text1"/>
        </w:rPr>
        <w:t>“</w:t>
      </w:r>
      <w:r w:rsidRPr="008249DC">
        <w:rPr>
          <w:i/>
          <w:iCs/>
          <w:color w:val="000000" w:themeColor="text1"/>
        </w:rPr>
        <w:t>ANEXOS_28_6_2022, 8_54_53.pdf</w:t>
      </w:r>
      <w:r w:rsidRPr="008249DC">
        <w:rPr>
          <w:color w:val="000000" w:themeColor="text1"/>
        </w:rPr>
        <w:t>”</w:t>
      </w:r>
      <w:r w:rsidRPr="008249DC">
        <w:rPr>
          <w:color w:val="000000" w:themeColor="text1"/>
          <w:lang w:val="es-ES_tradnl"/>
        </w:rPr>
        <w:t>. Págs.17-19.</w:t>
      </w:r>
    </w:p>
  </w:footnote>
  <w:footnote w:id="64">
    <w:p w14:paraId="6B38F91D" w14:textId="058CD26D" w:rsidR="00C64EB3" w:rsidRPr="008249DC" w:rsidRDefault="00C64EB3" w:rsidP="00EF05A8">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Adicionalmente, el artículo 10 del Decreto 2591 de 1991 establece que </w:t>
      </w:r>
      <w:r w:rsidRPr="008249DC">
        <w:rPr>
          <w:i/>
          <w:iCs/>
          <w:color w:val="000000" w:themeColor="text1"/>
        </w:rPr>
        <w:t>“los poderes se presumirán auténticos”.</w:t>
      </w:r>
    </w:p>
  </w:footnote>
  <w:footnote w:id="65">
    <w:p w14:paraId="6FAE68BA" w14:textId="06715E9E"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Ver sentencias T-1015 de 2006, M.P. Álvaro Tafur Galvis; T-780 de 2011, M.P. Jorge Ignacio Pretelt Chaljub; T-373 de 2015 y T-098 de 2016 ambas con ponencia de la magistrada Gloria Stella Ortiz Delgado, entre otras.</w:t>
      </w:r>
    </w:p>
  </w:footnote>
  <w:footnote w:id="66">
    <w:p w14:paraId="05D08C93" w14:textId="77777777" w:rsidR="00EC247F" w:rsidRPr="008249DC" w:rsidRDefault="00EC247F" w:rsidP="00EC247F">
      <w:pPr>
        <w:pStyle w:val="Textonotapie"/>
        <w:jc w:val="both"/>
        <w:rPr>
          <w:color w:val="000000" w:themeColor="text1"/>
        </w:rPr>
      </w:pPr>
      <w:r w:rsidRPr="008249DC">
        <w:rPr>
          <w:rStyle w:val="Refdenotaalpie"/>
          <w:color w:val="000000" w:themeColor="text1"/>
        </w:rPr>
        <w:footnoteRef/>
      </w:r>
      <w:r w:rsidRPr="008249DC">
        <w:rPr>
          <w:color w:val="000000" w:themeColor="text1"/>
        </w:rPr>
        <w:t>Decreto 309 de 2017. “</w:t>
      </w:r>
      <w:r w:rsidRPr="008249DC">
        <w:rPr>
          <w:i/>
          <w:iCs/>
          <w:color w:val="000000" w:themeColor="text1"/>
        </w:rPr>
        <w:t>Por el cual se modifica la estructura de la Administradora Colombiana de Pensiones (Colpensiones)”. “Artículo 5°. Funciones. En desarrollo de su objeto, la Administradora Colombiana de Pensiones (Colpensiones), cumplirá las siguientes funciones: (…) 9. Gestionar la historia laboral y pensional, las cuentas individuales de los vinculados, los registros de novedades y la consistencia de la información. 10. Gestionar el manejo, administración, control, custodia y conservación de los expedientes pensionales, en los términos previstos en las normas vigentes”.</w:t>
      </w:r>
    </w:p>
  </w:footnote>
  <w:footnote w:id="67">
    <w:p w14:paraId="5FA02518" w14:textId="032C8D88" w:rsidR="00566C7A" w:rsidRPr="008249DC" w:rsidRDefault="00566C7A" w:rsidP="00566C7A">
      <w:pPr>
        <w:pStyle w:val="Textonotapie"/>
        <w:jc w:val="both"/>
        <w:rPr>
          <w:color w:val="000000" w:themeColor="text1"/>
        </w:rPr>
      </w:pPr>
      <w:r w:rsidRPr="008249DC">
        <w:rPr>
          <w:rStyle w:val="Refdenotaalpie"/>
          <w:color w:val="000000" w:themeColor="text1"/>
        </w:rPr>
        <w:footnoteRef/>
      </w:r>
      <w:r w:rsidRPr="008249DC">
        <w:rPr>
          <w:color w:val="000000" w:themeColor="text1"/>
        </w:rPr>
        <w:t>En efecto, no está encargada de prestar ningún servicio público ni existe una relación de subordinación o indefensión en relación con la demandante.</w:t>
      </w:r>
    </w:p>
  </w:footnote>
  <w:footnote w:id="68">
    <w:p w14:paraId="5C7E1AD1" w14:textId="78EC4048" w:rsidR="00566C7A" w:rsidRPr="008249DC" w:rsidRDefault="00566C7A">
      <w:pPr>
        <w:pStyle w:val="Textonotapie"/>
        <w:rPr>
          <w:color w:val="000000" w:themeColor="text1"/>
        </w:rPr>
      </w:pPr>
      <w:r w:rsidRPr="008249DC">
        <w:rPr>
          <w:rStyle w:val="Refdenotaalpie"/>
          <w:color w:val="000000" w:themeColor="text1"/>
        </w:rPr>
        <w:footnoteRef/>
      </w:r>
      <w:r w:rsidRPr="008249DC">
        <w:rPr>
          <w:color w:val="000000" w:themeColor="text1"/>
        </w:rPr>
        <w:t xml:space="preserve">Sentencia T-443 de 2022, M.P. Diana Fajardo Rivera. </w:t>
      </w:r>
    </w:p>
  </w:footnote>
  <w:footnote w:id="69">
    <w:p w14:paraId="4569E412" w14:textId="3FAC80F4"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M.P. Alberto Rojas Ríos.</w:t>
      </w:r>
    </w:p>
  </w:footnote>
  <w:footnote w:id="70">
    <w:p w14:paraId="13FDA60D" w14:textId="4C8EE61C" w:rsidR="00D52CDF" w:rsidRPr="00D52CDF" w:rsidRDefault="00D52CDF">
      <w:pPr>
        <w:pStyle w:val="Textonotapie"/>
        <w:rPr>
          <w:lang w:val="es-ES_tradnl"/>
        </w:rPr>
      </w:pPr>
      <w:r>
        <w:rPr>
          <w:rStyle w:val="Refdenotaalpie"/>
        </w:rPr>
        <w:footnoteRef/>
      </w:r>
      <w:r w:rsidRPr="008249DC">
        <w:rPr>
          <w:color w:val="000000" w:themeColor="text1"/>
        </w:rPr>
        <w:t>M.P. Cristina Pardo Shlesinger.</w:t>
      </w:r>
    </w:p>
  </w:footnote>
  <w:footnote w:id="71">
    <w:p w14:paraId="45D4BF7C" w14:textId="06CF1087" w:rsidR="008C0BCD" w:rsidRPr="009C30E7" w:rsidRDefault="008C0BCD" w:rsidP="008C0BCD">
      <w:pPr>
        <w:pStyle w:val="Textonotapie"/>
        <w:rPr>
          <w:lang w:val="es-ES_tradnl"/>
        </w:rPr>
      </w:pPr>
      <w:r>
        <w:rPr>
          <w:rStyle w:val="Refdenotaalpie"/>
        </w:rPr>
        <w:footnoteRef/>
      </w:r>
      <w:r w:rsidRPr="008249DC">
        <w:rPr>
          <w:color w:val="000000" w:themeColor="text1"/>
        </w:rPr>
        <w:t>Secretaría de Educación Departamental de Putumayo. Resolución No. 2936 del 21 de junio de 2022. Tomado de expediente digital: “RESOLUCION 2936 BLANCA BELLANDI GALINDEZ JOVEN.pdf. Págs. 1-12.</w:t>
      </w:r>
    </w:p>
  </w:footnote>
  <w:footnote w:id="72">
    <w:p w14:paraId="0DC2CCCB" w14:textId="560A7488" w:rsidR="008C0BCD" w:rsidRPr="009C30E7" w:rsidRDefault="008C0BCD" w:rsidP="008C0BCD">
      <w:pPr>
        <w:pStyle w:val="Textonotapie"/>
        <w:rPr>
          <w:lang w:val="es-ES_tradnl"/>
        </w:rPr>
      </w:pPr>
      <w:r>
        <w:rPr>
          <w:rStyle w:val="Refdenotaalpie"/>
        </w:rPr>
        <w:footnoteRef/>
      </w:r>
      <w:r w:rsidRPr="008249DC">
        <w:rPr>
          <w:color w:val="000000" w:themeColor="text1"/>
        </w:rPr>
        <w:t>Acta Individual de Reparto. Tomado de expediente digital: “</w:t>
      </w:r>
      <w:r w:rsidRPr="008249DC">
        <w:rPr>
          <w:i/>
          <w:iCs/>
          <w:color w:val="000000" w:themeColor="text1"/>
        </w:rPr>
        <w:t>02-Acta312JzCivilMpal.pdf</w:t>
      </w:r>
      <w:r w:rsidRPr="008249DC">
        <w:rPr>
          <w:color w:val="000000" w:themeColor="text1"/>
        </w:rPr>
        <w:t>”.</w:t>
      </w:r>
    </w:p>
  </w:footnote>
  <w:footnote w:id="73">
    <w:p w14:paraId="0A8260C8" w14:textId="6A25678F"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Constitución Política. </w:t>
      </w:r>
      <w:r w:rsidRPr="008249DC">
        <w:rPr>
          <w:i/>
          <w:iCs/>
          <w:color w:val="000000" w:themeColor="text1"/>
        </w:rPr>
        <w:t>“Artículo 86. (…)Esta acción solo procederá cuando el afectado no disponga de otro medio de defensa judicial, salvo que aquella se utilice como mecanismo transitorio para evitar un perjuicio irremediable.(…)”</w:t>
      </w:r>
      <w:r w:rsidR="008C0BCD">
        <w:rPr>
          <w:i/>
          <w:iCs/>
          <w:color w:val="000000" w:themeColor="text1"/>
        </w:rPr>
        <w:t>.</w:t>
      </w:r>
    </w:p>
  </w:footnote>
  <w:footnote w:id="74">
    <w:p w14:paraId="4891F90F" w14:textId="48BEE169" w:rsidR="00C64EB3" w:rsidRPr="008249DC" w:rsidRDefault="00C64EB3" w:rsidP="000C66D6">
      <w:pPr>
        <w:pStyle w:val="Textonotapie"/>
        <w:jc w:val="both"/>
        <w:rPr>
          <w:i/>
          <w:iCs/>
          <w:color w:val="000000" w:themeColor="text1"/>
        </w:rPr>
      </w:pPr>
      <w:r w:rsidRPr="008249DC">
        <w:rPr>
          <w:rStyle w:val="Refdenotaalpie"/>
          <w:color w:val="000000" w:themeColor="text1"/>
        </w:rPr>
        <w:footnoteRef/>
      </w:r>
      <w:r w:rsidRPr="008249DC">
        <w:rPr>
          <w:color w:val="000000" w:themeColor="text1"/>
        </w:rPr>
        <w:t>Decreto 2591 de 1991. “</w:t>
      </w:r>
      <w:r w:rsidRPr="008249DC">
        <w:rPr>
          <w:i/>
          <w:iCs/>
          <w:color w:val="000000" w:themeColor="text1"/>
        </w:rPr>
        <w:t>Artículo 6°. Causales de improcedencia de la tutela. a acción de tutela no procederá: 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w:t>
      </w:r>
      <w:r w:rsidR="000C66D6" w:rsidRPr="008249DC">
        <w:rPr>
          <w:i/>
          <w:iCs/>
          <w:color w:val="000000" w:themeColor="text1"/>
        </w:rPr>
        <w:t>| 2. Cuando para proteger el derecho se pueda invocar el recurso de habeas corpus.| 3. Cuando se pretenda proteger derechos colectivos, tales como la paz y los demás mencionados en el artículo 88 de la Constitución Política. Lo anterior no obsta, para que el titular solicite la tutela de sus derechos amenazados o violados en situaciones que comprometan intereses o derechos colectivos siempre que se trate de impedir un perjuicio irremediable.</w:t>
      </w:r>
      <w:r w:rsidR="000C66D6" w:rsidRPr="008249DC">
        <w:rPr>
          <w:color w:val="000000" w:themeColor="text1"/>
        </w:rPr>
        <w:t xml:space="preserve"> </w:t>
      </w:r>
      <w:r w:rsidR="000C66D6" w:rsidRPr="008249DC">
        <w:rPr>
          <w:i/>
          <w:iCs/>
          <w:color w:val="000000" w:themeColor="text1"/>
        </w:rPr>
        <w:t>4. Cuando sea evidente que la violación del derecho originó un daño consumado, salvo cuando continúe la acción u omisión violatoria del derecho.| 5. Cuando se trate de actos de carácter general, impersonal y abstracto.</w:t>
      </w:r>
      <w:r w:rsidRPr="008249DC">
        <w:rPr>
          <w:color w:val="000000" w:themeColor="text1"/>
        </w:rPr>
        <w:t>”.</w:t>
      </w:r>
    </w:p>
  </w:footnote>
  <w:footnote w:id="75">
    <w:p w14:paraId="291FB974" w14:textId="77777777" w:rsidR="00B226C0" w:rsidRPr="008249DC" w:rsidRDefault="00B226C0" w:rsidP="00B226C0">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 Código de Procedimiento Administrativo y de lo Contencioso Administrativo. </w:t>
      </w:r>
      <w:r w:rsidRPr="008249DC">
        <w:rPr>
          <w:i/>
          <w:iCs/>
          <w:color w:val="000000" w:themeColor="text1"/>
        </w:rPr>
        <w:t>“Artículo 138. Nulidad y restablecimiento del derecho.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 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r w:rsidRPr="008249DC">
        <w:rPr>
          <w:color w:val="000000" w:themeColor="text1"/>
        </w:rPr>
        <w:t>.</w:t>
      </w:r>
    </w:p>
  </w:footnote>
  <w:footnote w:id="76">
    <w:p w14:paraId="69A448AA" w14:textId="0814F55B" w:rsidR="00B226C0" w:rsidRPr="008249DC" w:rsidRDefault="00B226C0">
      <w:pPr>
        <w:pStyle w:val="Textonotapie"/>
        <w:rPr>
          <w:color w:val="000000" w:themeColor="text1"/>
        </w:rPr>
      </w:pPr>
      <w:r w:rsidRPr="008249DC">
        <w:rPr>
          <w:rStyle w:val="Refdenotaalpie"/>
          <w:color w:val="000000" w:themeColor="text1"/>
        </w:rPr>
        <w:footnoteRef/>
      </w:r>
      <w:r w:rsidRPr="008249DC">
        <w:rPr>
          <w:color w:val="000000" w:themeColor="text1"/>
        </w:rPr>
        <w:t>M.P. Alberto Rojas Ríos.</w:t>
      </w:r>
    </w:p>
  </w:footnote>
  <w:footnote w:id="77">
    <w:p w14:paraId="310D4AF3" w14:textId="77777777" w:rsidR="00B226C0" w:rsidRPr="008249DC" w:rsidRDefault="00B226C0" w:rsidP="00B226C0">
      <w:pPr>
        <w:pStyle w:val="Textonotapie"/>
        <w:jc w:val="both"/>
        <w:rPr>
          <w:color w:val="000000" w:themeColor="text1"/>
        </w:rPr>
      </w:pPr>
      <w:r w:rsidRPr="008249DC">
        <w:rPr>
          <w:rStyle w:val="Refdenotaalpie"/>
          <w:color w:val="000000" w:themeColor="text1"/>
        </w:rPr>
        <w:footnoteRef/>
      </w:r>
      <w:r w:rsidRPr="008249DC">
        <w:rPr>
          <w:color w:val="000000" w:themeColor="text1"/>
        </w:rPr>
        <w:t>Código de Procedimiento Administrativo y de lo Contencioso Administrativo. “</w:t>
      </w:r>
      <w:r w:rsidRPr="008249DC">
        <w:rPr>
          <w:i/>
          <w:iCs/>
          <w:color w:val="000000" w:themeColor="text1"/>
        </w:rPr>
        <w:t>Artículo 233. Procedimiento para la adopción de las medidas cautelares. La medida cautelar podrá ser solicitada desde la presentación de la demanda y en cualquier estado del proceso.(…)”.</w:t>
      </w:r>
    </w:p>
  </w:footnote>
  <w:footnote w:id="78">
    <w:p w14:paraId="0AAA6403" w14:textId="70B858D0" w:rsidR="002C4CD1" w:rsidRPr="008249DC" w:rsidRDefault="002C4CD1">
      <w:pPr>
        <w:pStyle w:val="Textonotapie"/>
        <w:rPr>
          <w:color w:val="000000" w:themeColor="text1"/>
        </w:rPr>
      </w:pPr>
      <w:r w:rsidRPr="008249DC">
        <w:rPr>
          <w:rStyle w:val="Refdenotaalpie"/>
          <w:color w:val="000000" w:themeColor="text1"/>
        </w:rPr>
        <w:footnoteRef/>
      </w:r>
      <w:r w:rsidRPr="008249DC">
        <w:rPr>
          <w:color w:val="000000" w:themeColor="text1"/>
        </w:rPr>
        <w:t xml:space="preserve"> M.P. Alejandro Linares Cantillo.</w:t>
      </w:r>
    </w:p>
  </w:footnote>
  <w:footnote w:id="79">
    <w:p w14:paraId="3EB3B438" w14:textId="79CAA2BD" w:rsidR="009A324D" w:rsidRPr="008249DC" w:rsidRDefault="009A324D" w:rsidP="009A324D">
      <w:pPr>
        <w:pStyle w:val="Textonotapie"/>
        <w:jc w:val="both"/>
        <w:rPr>
          <w:color w:val="000000" w:themeColor="text1"/>
        </w:rPr>
      </w:pPr>
      <w:r w:rsidRPr="008249DC">
        <w:rPr>
          <w:rStyle w:val="Refdenotaalpie"/>
          <w:color w:val="000000" w:themeColor="text1"/>
        </w:rPr>
        <w:footnoteRef/>
      </w:r>
      <w:r w:rsidRPr="008249DC">
        <w:rPr>
          <w:color w:val="000000" w:themeColor="text1"/>
        </w:rPr>
        <w:t>M.P. Luis Guillermo Guerrero Pérez.</w:t>
      </w:r>
    </w:p>
  </w:footnote>
  <w:footnote w:id="80">
    <w:p w14:paraId="704DC554" w14:textId="394727B2" w:rsidR="00D27007" w:rsidRPr="008249DC" w:rsidRDefault="00D27007">
      <w:pPr>
        <w:pStyle w:val="Textonotapie"/>
        <w:rPr>
          <w:color w:val="000000" w:themeColor="text1"/>
          <w:lang w:val="es-ES_tradnl"/>
        </w:rPr>
      </w:pPr>
      <w:r w:rsidRPr="008249DC">
        <w:rPr>
          <w:rStyle w:val="Refdenotaalpie"/>
          <w:color w:val="000000" w:themeColor="text1"/>
        </w:rPr>
        <w:footnoteRef/>
      </w:r>
      <w:r w:rsidRPr="008249DC">
        <w:rPr>
          <w:color w:val="000000" w:themeColor="text1"/>
        </w:rPr>
        <w:t>M.P. Diana Fajardo Rivera.</w:t>
      </w:r>
    </w:p>
  </w:footnote>
  <w:footnote w:id="81">
    <w:p w14:paraId="7AE54E30" w14:textId="1B12BF72" w:rsidR="007A3686" w:rsidRPr="008249DC" w:rsidRDefault="007A3686">
      <w:pPr>
        <w:pStyle w:val="Textonotapie"/>
        <w:rPr>
          <w:color w:val="000000" w:themeColor="text1"/>
        </w:rPr>
      </w:pPr>
      <w:r w:rsidRPr="008249DC">
        <w:rPr>
          <w:rStyle w:val="Refdenotaalpie"/>
          <w:color w:val="000000" w:themeColor="text1"/>
        </w:rPr>
        <w:footnoteRef/>
      </w:r>
      <w:r w:rsidRPr="008249DC">
        <w:rPr>
          <w:color w:val="000000" w:themeColor="text1"/>
          <w:shd w:val="clear" w:color="auto" w:fill="FFFFFF"/>
        </w:rPr>
        <w:t>M.P. Jorge Iván Palacio Palacio.</w:t>
      </w:r>
    </w:p>
  </w:footnote>
  <w:footnote w:id="82">
    <w:p w14:paraId="081B9998" w14:textId="3315ABC6" w:rsidR="00B77DF4" w:rsidRPr="008249DC" w:rsidRDefault="00B77DF4" w:rsidP="00B77DF4">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Corte Suprema de Justicia, Sala de Casación Laboral. Sentencia del 08 de junio de 2011, radicado No. 3515. </w:t>
      </w:r>
      <w:r w:rsidRPr="008249DC">
        <w:rPr>
          <w:i/>
          <w:iCs/>
          <w:color w:val="000000" w:themeColor="text1"/>
        </w:rPr>
        <w:t>“el carácter de cierto e indiscutible de un derecho laboral, que impide que sea materia de una transacción o de una conciliación, surge del cumplimiento de los supuestos de hecho o de las condiciones establecidas en la norma jurídica que lo consagra un derecho será cierto, real e innegable, cuando no haya duda sobre la existencia de los hechos que le dan origen y exista certeza de que no hay ningún elemento que impida su configuración o su exigibilidad.”.</w:t>
      </w:r>
    </w:p>
  </w:footnote>
  <w:footnote w:id="83">
    <w:p w14:paraId="25E00714" w14:textId="616BA31E" w:rsidR="00B77DF4" w:rsidRPr="008249DC" w:rsidRDefault="00B77DF4" w:rsidP="00B77DF4">
      <w:pPr>
        <w:pStyle w:val="Textonotapie"/>
        <w:jc w:val="both"/>
        <w:rPr>
          <w:color w:val="000000" w:themeColor="text1"/>
        </w:rPr>
      </w:pPr>
      <w:r w:rsidRPr="008249DC">
        <w:rPr>
          <w:rStyle w:val="Refdenotaalpie"/>
          <w:color w:val="000000" w:themeColor="text1"/>
        </w:rPr>
        <w:footnoteRef/>
      </w:r>
      <w:r w:rsidRPr="008249DC">
        <w:rPr>
          <w:color w:val="000000" w:themeColor="text1"/>
        </w:rPr>
        <w:t>M.P. Gloria Stella Ortiz Delgado.</w:t>
      </w:r>
    </w:p>
  </w:footnote>
  <w:footnote w:id="84">
    <w:p w14:paraId="75D97CE4" w14:textId="0927C4B0" w:rsidR="00825060" w:rsidRPr="008249DC" w:rsidRDefault="00825060" w:rsidP="00825060">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Código de Procedimiento Administrativo y de lo Contencioso Administrativo. </w:t>
      </w:r>
      <w:r w:rsidRPr="008249DC">
        <w:rPr>
          <w:i/>
          <w:iCs/>
          <w:color w:val="000000" w:themeColor="text1"/>
        </w:rPr>
        <w:t>“Artículo 137. Nulidad. Toda persona podrá solicitar por sí, o por medio de representante, que se declare la nulidad de los actos administrativos de carácter general. |Procederá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 También puede pedirse que se declare la nulidad de las circulares de servicio y de los actos de certificación y registro. Excepcionalmente podrá pedirse la nulidad de actos administrativos de contenido particular en los siguientes casos: |1. Cuando con la demanda no se persiga o de la sentencia de nulidad que se produjere no se genere el restablecimiento automático de un derecho subjetivo a favor del demandante o de un tercero. |2. Cuando se trate de recuperar bienes de uso público.|3. Cuando los efectos nocivos del acto administrativo afecten en materia grave el orden público, político, económico, social o ecológico.|4. Cuando la ley lo consagre expresamente.</w:t>
      </w:r>
    </w:p>
  </w:footnote>
  <w:footnote w:id="85">
    <w:p w14:paraId="2164182D" w14:textId="77777777" w:rsidR="00022FF7" w:rsidRPr="008249DC" w:rsidRDefault="00022FF7" w:rsidP="00022FF7">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Cristina Pardo Shlesinger.</w:t>
      </w:r>
    </w:p>
  </w:footnote>
  <w:footnote w:id="86">
    <w:p w14:paraId="18A68D5D" w14:textId="569413B4" w:rsidR="007A3686" w:rsidRPr="008249DC" w:rsidRDefault="007A3686" w:rsidP="007A3686">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 </w:t>
      </w:r>
      <w:r w:rsidRPr="008249DC">
        <w:rPr>
          <w:color w:val="000000" w:themeColor="text1"/>
          <w:lang w:val="es-ES_tradnl"/>
        </w:rPr>
        <w:t xml:space="preserve">El promedio de duración de procesos de nulidad y restablecimiento del derecho en el régimen escritural es de 844 días, mientras que en el régimen oral es de 299 días. </w:t>
      </w:r>
      <w:r w:rsidRPr="008249DC">
        <w:rPr>
          <w:i/>
          <w:iCs/>
          <w:color w:val="000000" w:themeColor="text1"/>
          <w:lang w:val="es-ES_tradnl"/>
        </w:rPr>
        <w:t>“Resultado del estudio de costos procesales</w:t>
      </w:r>
      <w:r w:rsidRPr="008249DC">
        <w:rPr>
          <w:color w:val="000000" w:themeColor="text1"/>
          <w:lang w:val="es-ES_tradnl"/>
        </w:rPr>
        <w:t xml:space="preserve">”. Consejo Superior de la Judicatura. 2016.Tomo II. Pág. 124. Asimismo, </w:t>
      </w:r>
      <w:r w:rsidRPr="008249DC">
        <w:rPr>
          <w:color w:val="000000" w:themeColor="text1"/>
        </w:rPr>
        <w:t>“</w:t>
      </w:r>
      <w:r w:rsidRPr="008249DC">
        <w:rPr>
          <w:i/>
          <w:iCs/>
          <w:color w:val="000000" w:themeColor="text1"/>
        </w:rPr>
        <w:t>Para el caso de los procesos de nulidad y restablecimiento del derecho es importante mencionar que, en estos procesos la reclamación se realiza sobre un acto administrativo proferido por una entidad pública, en la que, por ejemplo, se desvinculó a un funcionario, (…) Como se evidencia gráficamente en las curvas de supervivencia de Kaplan-Meier, el valor de la media del tiempo procesal es de 2.48 años.</w:t>
      </w:r>
      <w:r w:rsidRPr="008249DC">
        <w:rPr>
          <w:color w:val="000000" w:themeColor="text1"/>
        </w:rPr>
        <w:t>”. García Ramírez, V. (2022). Predictores en la duración de los procesos judiciales en Colombia. Universidad de los Andes. Pág. 15. “</w:t>
      </w:r>
      <w:r w:rsidRPr="008249DC">
        <w:rPr>
          <w:i/>
          <w:iCs/>
          <w:color w:val="000000" w:themeColor="text1"/>
        </w:rPr>
        <w:t>Para el caso de los procesos de nulidad y restablecimiento del derecho es importante mencionar que, en estos procesos la reclamación se realiza sobre un acto administrativo proferido por una entidad pública, en la que, por ejemplo, se desvinculó a un funcionario, (…) Como se evidencia gráficamente en las curvas de supervivencia de Kaplan-Meier, el valor de la media del tiempo procesal es de 2.48 años.</w:t>
      </w:r>
      <w:r w:rsidRPr="008249DC">
        <w:rPr>
          <w:color w:val="000000" w:themeColor="text1"/>
        </w:rPr>
        <w:t>”.</w:t>
      </w:r>
    </w:p>
  </w:footnote>
  <w:footnote w:id="87">
    <w:p w14:paraId="4889DEE2" w14:textId="12FB9C28" w:rsidR="007A3686" w:rsidRPr="008249DC" w:rsidRDefault="007A3686" w:rsidP="007A3686">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Luis Ernesto Vargas Silva.</w:t>
      </w:r>
    </w:p>
  </w:footnote>
  <w:footnote w:id="88">
    <w:p w14:paraId="1E80F2E6" w14:textId="51E01C54" w:rsidR="00C87A8D" w:rsidRPr="008249DC" w:rsidRDefault="00C87A8D" w:rsidP="00C87A8D">
      <w:pPr>
        <w:pStyle w:val="Textonotapie"/>
        <w:rPr>
          <w:color w:val="000000" w:themeColor="text1"/>
          <w:lang w:val="es-ES_tradnl"/>
        </w:rPr>
      </w:pPr>
      <w:r w:rsidRPr="008249DC">
        <w:rPr>
          <w:rStyle w:val="Refdenotaalpie"/>
          <w:color w:val="000000" w:themeColor="text1"/>
        </w:rPr>
        <w:footnoteRef/>
      </w:r>
      <w:r w:rsidRPr="008249DC">
        <w:rPr>
          <w:color w:val="000000" w:themeColor="text1"/>
        </w:rPr>
        <w:t>Tomado de expediente digital: “Extractos de su crédito bancario con BBVA” ($64.968.805,47)</w:t>
      </w:r>
      <w:r w:rsidR="006E1185">
        <w:rPr>
          <w:color w:val="000000" w:themeColor="text1"/>
        </w:rPr>
        <w:t>.</w:t>
      </w:r>
    </w:p>
  </w:footnote>
  <w:footnote w:id="89">
    <w:p w14:paraId="2B585AF3" w14:textId="043F7F19" w:rsidR="00BB3BA2" w:rsidRPr="008249DC" w:rsidRDefault="00BB3BA2">
      <w:pPr>
        <w:pStyle w:val="Textonotapie"/>
        <w:rPr>
          <w:color w:val="000000" w:themeColor="text1"/>
        </w:rPr>
      </w:pPr>
      <w:r w:rsidRPr="008249DC">
        <w:rPr>
          <w:rStyle w:val="Refdenotaalpie"/>
          <w:color w:val="000000" w:themeColor="text1"/>
        </w:rPr>
        <w:footnoteRef/>
      </w:r>
      <w:r w:rsidRPr="008249DC">
        <w:rPr>
          <w:color w:val="000000" w:themeColor="text1"/>
        </w:rPr>
        <w:t>M.P. Luis Guillermo Guerrero Pérez.</w:t>
      </w:r>
    </w:p>
  </w:footnote>
  <w:footnote w:id="90">
    <w:p w14:paraId="2D30AE99" w14:textId="77777777" w:rsidR="008A1CF4" w:rsidRPr="008249DC" w:rsidRDefault="008A1CF4" w:rsidP="008A1CF4">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Gran encuesta de hogares (GEIH). Boletín técnico. Octubre- diciembre de 2022. DANE. Tomado de: </w:t>
      </w:r>
      <w:hyperlink r:id="rId1" w:history="1">
        <w:r w:rsidRPr="008249DC">
          <w:rPr>
            <w:rStyle w:val="Hipervnculo"/>
            <w:color w:val="000000" w:themeColor="text1"/>
          </w:rPr>
          <w:t>https://www.dane.gov.co/index.php/estadisticas-por-tema/mercado-laboral/segun-sexo</w:t>
        </w:r>
      </w:hyperlink>
      <w:r w:rsidRPr="008249DC">
        <w:rPr>
          <w:color w:val="000000" w:themeColor="text1"/>
        </w:rPr>
        <w:t xml:space="preserve"> </w:t>
      </w:r>
    </w:p>
  </w:footnote>
  <w:footnote w:id="91">
    <w:p w14:paraId="3FA6EBAA" w14:textId="77777777" w:rsidR="008A1CF4" w:rsidRPr="008249DC" w:rsidRDefault="008A1CF4" w:rsidP="008A1CF4">
      <w:pPr>
        <w:pStyle w:val="Textonotapie"/>
        <w:rPr>
          <w:color w:val="000000" w:themeColor="text1"/>
        </w:rPr>
      </w:pPr>
      <w:r w:rsidRPr="008249DC">
        <w:rPr>
          <w:rStyle w:val="Refdenotaalpie"/>
          <w:color w:val="000000" w:themeColor="text1"/>
        </w:rPr>
        <w:footnoteRef/>
      </w:r>
      <w:r w:rsidRPr="008249DC">
        <w:rPr>
          <w:color w:val="000000" w:themeColor="text1"/>
        </w:rPr>
        <w:t>P.p.: puntos porcentuales.</w:t>
      </w:r>
    </w:p>
  </w:footnote>
  <w:footnote w:id="92">
    <w:p w14:paraId="01ABA890" w14:textId="57B5BD39" w:rsidR="008A1CF4" w:rsidRPr="008249DC" w:rsidRDefault="008A1CF4" w:rsidP="00C0781B">
      <w:pPr>
        <w:pStyle w:val="Textonotapie"/>
        <w:jc w:val="both"/>
        <w:rPr>
          <w:color w:val="000000" w:themeColor="text1"/>
        </w:rPr>
      </w:pPr>
      <w:r w:rsidRPr="008249DC">
        <w:rPr>
          <w:rStyle w:val="Refdenotaalpie"/>
          <w:color w:val="000000" w:themeColor="text1"/>
        </w:rPr>
        <w:footnoteRef/>
      </w:r>
      <w:r w:rsidR="00C0781B" w:rsidRPr="008249DC">
        <w:rPr>
          <w:color w:val="000000" w:themeColor="text1"/>
        </w:rPr>
        <w:t xml:space="preserve">Gran encuesta de hogares (GEIH). Boletín técnico. Octubre- diciembre de 2022. DANE. Tomado de: </w:t>
      </w:r>
      <w:hyperlink r:id="rId2" w:history="1">
        <w:r w:rsidR="00C0781B" w:rsidRPr="008249DC">
          <w:rPr>
            <w:rStyle w:val="Hipervnculo"/>
            <w:color w:val="000000" w:themeColor="text1"/>
          </w:rPr>
          <w:t>https://www.dane.gov.co/index.php/estadisticas-por-tema/mercado-laboral/segun-sexo</w:t>
        </w:r>
      </w:hyperlink>
    </w:p>
  </w:footnote>
  <w:footnote w:id="93">
    <w:p w14:paraId="6B787D65" w14:textId="42CC42F7" w:rsidR="00C0781B" w:rsidRPr="008249DC" w:rsidRDefault="00C0781B">
      <w:pPr>
        <w:pStyle w:val="Textonotapie"/>
        <w:rPr>
          <w:color w:val="000000" w:themeColor="text1"/>
          <w:lang w:val="es-ES_tradnl"/>
        </w:rPr>
      </w:pPr>
      <w:r w:rsidRPr="008249DC">
        <w:rPr>
          <w:rStyle w:val="Refdenotaalpie"/>
          <w:color w:val="000000" w:themeColor="text1"/>
        </w:rPr>
        <w:footnoteRef/>
      </w:r>
      <w:r w:rsidRPr="008249DC">
        <w:rPr>
          <w:color w:val="000000" w:themeColor="text1"/>
        </w:rPr>
        <w:t xml:space="preserve">Ibidem. </w:t>
      </w:r>
    </w:p>
  </w:footnote>
  <w:footnote w:id="94">
    <w:p w14:paraId="321C0F02" w14:textId="2F741EF7" w:rsidR="00372231" w:rsidRPr="008249DC" w:rsidRDefault="00372231">
      <w:pPr>
        <w:pStyle w:val="Textonotapie"/>
        <w:rPr>
          <w:color w:val="000000" w:themeColor="text1"/>
          <w:lang w:val="es-ES_tradnl"/>
        </w:rPr>
      </w:pPr>
      <w:r w:rsidRPr="008249DC">
        <w:rPr>
          <w:rStyle w:val="Refdenotaalpie"/>
          <w:color w:val="000000" w:themeColor="text1"/>
        </w:rPr>
        <w:footnoteRef/>
      </w:r>
      <w:r w:rsidRPr="008249DC">
        <w:rPr>
          <w:color w:val="000000" w:themeColor="text1"/>
        </w:rPr>
        <w:t>M.P. Luis Guillermo Guerrero Pérez.</w:t>
      </w:r>
    </w:p>
  </w:footnote>
  <w:footnote w:id="95">
    <w:p w14:paraId="4E151538" w14:textId="77777777" w:rsidR="006A753B" w:rsidRPr="008249DC" w:rsidRDefault="006A753B" w:rsidP="006A753B">
      <w:pPr>
        <w:pStyle w:val="Textonotapie"/>
        <w:rPr>
          <w:color w:val="000000" w:themeColor="text1"/>
          <w:lang w:val="es-ES_tradnl"/>
        </w:rPr>
      </w:pPr>
      <w:r w:rsidRPr="008249DC">
        <w:rPr>
          <w:rStyle w:val="Refdenotaalpie"/>
          <w:color w:val="000000" w:themeColor="text1"/>
        </w:rPr>
        <w:footnoteRef/>
      </w:r>
      <w:r w:rsidRPr="008249DC">
        <w:rPr>
          <w:color w:val="000000" w:themeColor="text1"/>
        </w:rPr>
        <w:t>M.P. Alberto Rojas Ríos.</w:t>
      </w:r>
    </w:p>
  </w:footnote>
  <w:footnote w:id="96">
    <w:p w14:paraId="5B5C3A52" w14:textId="1E09A474" w:rsidR="001442B4" w:rsidRPr="008249DC" w:rsidRDefault="001442B4" w:rsidP="001442B4">
      <w:pPr>
        <w:pStyle w:val="Textonotapie"/>
        <w:rPr>
          <w:color w:val="000000" w:themeColor="text1"/>
          <w:lang w:val="es-ES_tradnl"/>
        </w:rPr>
      </w:pPr>
      <w:r w:rsidRPr="008249DC">
        <w:rPr>
          <w:rStyle w:val="Refdenotaalpie"/>
          <w:color w:val="000000" w:themeColor="text1"/>
        </w:rPr>
        <w:footnoteRef/>
      </w:r>
      <w:r w:rsidR="00C0781B" w:rsidRPr="008249DC">
        <w:rPr>
          <w:color w:val="000000" w:themeColor="text1"/>
        </w:rPr>
        <w:t>M.P. Diana Fajardo Rivera.</w:t>
      </w:r>
    </w:p>
  </w:footnote>
  <w:footnote w:id="97">
    <w:p w14:paraId="7C36541F" w14:textId="101D2009" w:rsidR="001442B4" w:rsidRPr="008249DC" w:rsidRDefault="001442B4" w:rsidP="001442B4">
      <w:pPr>
        <w:pStyle w:val="Textonotapie"/>
        <w:rPr>
          <w:color w:val="000000" w:themeColor="text1"/>
          <w:lang w:val="es-ES_tradnl"/>
        </w:rPr>
      </w:pPr>
      <w:r w:rsidRPr="008249DC">
        <w:rPr>
          <w:rStyle w:val="Refdenotaalpie"/>
          <w:color w:val="000000" w:themeColor="text1"/>
        </w:rPr>
        <w:footnoteRef/>
      </w:r>
      <w:r w:rsidR="00C0781B" w:rsidRPr="008249DC">
        <w:rPr>
          <w:color w:val="000000" w:themeColor="text1"/>
        </w:rPr>
        <w:t>M.P. Alexei Julio Estrada.</w:t>
      </w:r>
    </w:p>
  </w:footnote>
  <w:footnote w:id="98">
    <w:p w14:paraId="4B461E86" w14:textId="6E951EC2" w:rsidR="001442B4" w:rsidRPr="008249DC" w:rsidRDefault="001442B4" w:rsidP="001442B4">
      <w:pPr>
        <w:pStyle w:val="Textonotapie"/>
        <w:jc w:val="both"/>
        <w:rPr>
          <w:color w:val="000000" w:themeColor="text1"/>
        </w:rPr>
      </w:pPr>
      <w:r w:rsidRPr="008249DC">
        <w:rPr>
          <w:rStyle w:val="Refdenotaalpie"/>
          <w:color w:val="000000" w:themeColor="text1"/>
        </w:rPr>
        <w:footnoteRef/>
      </w:r>
      <w:r w:rsidRPr="008249DC">
        <w:rPr>
          <w:color w:val="000000" w:themeColor="text1"/>
        </w:rPr>
        <w:t>El artículo 34 de la Ley 100 de 1993 estableció los requisitos que deben cumplir las mujeres en el régimen de prima media para acceder a la pensión de vejez. En ese sentido, deben contar con 57 años y 1300 semanas cotizadas al sistema pensional.</w:t>
      </w:r>
    </w:p>
  </w:footnote>
  <w:footnote w:id="99">
    <w:p w14:paraId="5C0DDEDC" w14:textId="77777777" w:rsidR="001442B4" w:rsidRPr="008249DC" w:rsidRDefault="001442B4" w:rsidP="001442B4">
      <w:pPr>
        <w:pStyle w:val="Textonotapie"/>
        <w:jc w:val="both"/>
        <w:rPr>
          <w:color w:val="000000" w:themeColor="text1"/>
        </w:rPr>
      </w:pPr>
      <w:r w:rsidRPr="008249DC">
        <w:rPr>
          <w:rStyle w:val="Refdenotaalpie"/>
          <w:color w:val="000000" w:themeColor="text1"/>
        </w:rPr>
        <w:footnoteRef/>
      </w:r>
      <w:r w:rsidRPr="008249DC">
        <w:rPr>
          <w:color w:val="000000" w:themeColor="text1"/>
        </w:rPr>
        <w:t>M.P. Luis Ernesto Vargas Silva.</w:t>
      </w:r>
    </w:p>
  </w:footnote>
  <w:footnote w:id="100">
    <w:p w14:paraId="1B2B7225" w14:textId="77777777" w:rsidR="001442B4" w:rsidRPr="008249DC" w:rsidRDefault="001442B4" w:rsidP="001442B4">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Carlos Bernal Pulido.</w:t>
      </w:r>
    </w:p>
  </w:footnote>
  <w:footnote w:id="101">
    <w:p w14:paraId="657B61EC" w14:textId="77777777" w:rsidR="00D44F2B" w:rsidRPr="008249DC" w:rsidRDefault="00D44F2B" w:rsidP="00D44F2B">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Carlos Bernal Pulido.</w:t>
      </w:r>
    </w:p>
  </w:footnote>
  <w:footnote w:id="102">
    <w:p w14:paraId="6CC6AF35" w14:textId="77777777" w:rsidR="001442B4" w:rsidRPr="008249DC" w:rsidRDefault="001442B4" w:rsidP="001442B4">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Carlos Bernal Pulido.</w:t>
      </w:r>
    </w:p>
  </w:footnote>
  <w:footnote w:id="103">
    <w:p w14:paraId="1D3C862F" w14:textId="77777777" w:rsidR="001442B4" w:rsidRPr="008249DC" w:rsidRDefault="001442B4" w:rsidP="001442B4">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Jorge Ignacio Pretelt Chaljub.</w:t>
      </w:r>
    </w:p>
  </w:footnote>
  <w:footnote w:id="104">
    <w:p w14:paraId="35F46B5A" w14:textId="77777777" w:rsidR="001442B4" w:rsidRPr="008249DC" w:rsidRDefault="001442B4" w:rsidP="001442B4">
      <w:pPr>
        <w:pStyle w:val="Textonotapie"/>
        <w:jc w:val="both"/>
        <w:rPr>
          <w:color w:val="000000" w:themeColor="text1"/>
        </w:rPr>
      </w:pPr>
      <w:r w:rsidRPr="008249DC">
        <w:rPr>
          <w:rStyle w:val="Refdenotaalpie"/>
          <w:color w:val="000000" w:themeColor="text1"/>
        </w:rPr>
        <w:footnoteRef/>
      </w:r>
      <w:r w:rsidRPr="008249DC">
        <w:rPr>
          <w:color w:val="000000" w:themeColor="text1"/>
        </w:rPr>
        <w:t>M.P. Luis Ernesto Vargas Silva.</w:t>
      </w:r>
    </w:p>
  </w:footnote>
  <w:footnote w:id="105">
    <w:p w14:paraId="4BBC1AC3" w14:textId="77777777" w:rsidR="00D44F2B" w:rsidRPr="008249DC" w:rsidRDefault="00D44F2B" w:rsidP="00D44F2B">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Diana Fajardo Rivera.</w:t>
      </w:r>
    </w:p>
  </w:footnote>
  <w:footnote w:id="106">
    <w:p w14:paraId="7CC730F6" w14:textId="77777777" w:rsidR="001442B4" w:rsidRPr="008249DC" w:rsidRDefault="001442B4" w:rsidP="001442B4">
      <w:pPr>
        <w:pStyle w:val="Textonotapie"/>
        <w:jc w:val="both"/>
        <w:rPr>
          <w:i/>
          <w:iCs/>
          <w:color w:val="000000" w:themeColor="text1"/>
          <w:lang w:val="es-ES_tradnl"/>
        </w:rPr>
      </w:pPr>
      <w:r w:rsidRPr="008249DC">
        <w:rPr>
          <w:rStyle w:val="Refdenotaalpie"/>
          <w:color w:val="000000" w:themeColor="text1"/>
        </w:rPr>
        <w:footnoteRef/>
      </w:r>
      <w:r w:rsidRPr="008249DC">
        <w:rPr>
          <w:color w:val="000000" w:themeColor="text1"/>
        </w:rPr>
        <w:t>Ley 2040 de 2020. “</w:t>
      </w:r>
      <w:r w:rsidRPr="008249DC">
        <w:rPr>
          <w:i/>
          <w:iCs/>
          <w:color w:val="000000" w:themeColor="text1"/>
        </w:rPr>
        <w:t>Por medio de la cual se adoptan medidas para impulsar el trabajo para adultos mayores y se dictan otras disposiciones</w:t>
      </w:r>
      <w:r w:rsidRPr="008249DC">
        <w:rPr>
          <w:color w:val="000000" w:themeColor="text1"/>
        </w:rPr>
        <w:t xml:space="preserve">”. </w:t>
      </w:r>
      <w:r w:rsidRPr="008249DC">
        <w:rPr>
          <w:i/>
          <w:iCs/>
          <w:color w:val="000000" w:themeColor="text1"/>
        </w:rPr>
        <w:t>“Artículo 1°. Objeto. La presente ley tiene por objeto impulsar el empleo de las personas adultas mayores que no gozan de pensión, promoviendo la autonomía y autosuficiencia económica del adulto mayor, garantizando así el envejecimiento activo, satisfactorio y saludable de la población colombiana”.</w:t>
      </w:r>
    </w:p>
  </w:footnote>
  <w:footnote w:id="107">
    <w:p w14:paraId="00AE4256" w14:textId="77777777" w:rsidR="001442B4" w:rsidRPr="008249DC" w:rsidRDefault="001442B4" w:rsidP="001442B4">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 </w:t>
      </w:r>
      <w:r w:rsidRPr="008249DC">
        <w:rPr>
          <w:color w:val="000000" w:themeColor="text1"/>
          <w:lang w:val="es-ES_tradnl"/>
        </w:rPr>
        <w:t xml:space="preserve">Decreto 1415 de 2021. </w:t>
      </w:r>
      <w:r w:rsidRPr="008249DC">
        <w:rPr>
          <w:i/>
          <w:iCs/>
          <w:color w:val="000000" w:themeColor="text1"/>
          <w:lang w:val="es-ES_tradnl"/>
        </w:rPr>
        <w:t>“Por medio del cual de modifica y adiciona el Decreto 1083 de 2015 en lo relacionado a la (sic) Protección en caso de reestructuración administrativa o provisión definitiva de cargos para el personal que ostente la condición de prepensionados”</w:t>
      </w:r>
      <w:r w:rsidRPr="008249DC">
        <w:rPr>
          <w:color w:val="000000" w:themeColor="text1"/>
          <w:lang w:val="es-ES_tradnl"/>
        </w:rPr>
        <w:t>. “</w:t>
      </w:r>
      <w:r w:rsidRPr="008249DC">
        <w:rPr>
          <w:i/>
          <w:iCs/>
          <w:color w:val="000000" w:themeColor="text1"/>
          <w:lang w:val="es-ES_tradnl"/>
        </w:rPr>
        <w:t>Artículo 2°. Adicionar el artículo 2.2.12.1.2.4 al Decreto 1083 de 2015, el cual quedará así: Provisión definitiva de cargos públicos a través de concursos de mérito. Para el caso de la provisión definitiva de cargos públicos a través de concursos de mérito de servidores públicos vinculados mediante nombramiento provisional que les falte tres (3) años o menos para causar el derecho a la pensión de jubilación o de vejez, se deberá tener en cuenta lo establecido en el parágrafo 2 del artículo 263 de la Ley 1955 de 2019</w:t>
      </w:r>
      <w:r w:rsidRPr="008249DC">
        <w:rPr>
          <w:color w:val="000000" w:themeColor="text1"/>
          <w:lang w:val="es-ES_tradnl"/>
        </w:rPr>
        <w:t>”.</w:t>
      </w:r>
    </w:p>
  </w:footnote>
  <w:footnote w:id="108">
    <w:p w14:paraId="38337F2F" w14:textId="77777777" w:rsidR="001442B4" w:rsidRPr="008249DC" w:rsidRDefault="001442B4" w:rsidP="001442B4">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 Ley 2040 de 2020. </w:t>
      </w:r>
      <w:r w:rsidRPr="008249DC">
        <w:rPr>
          <w:i/>
          <w:iCs/>
          <w:color w:val="000000" w:themeColor="text1"/>
        </w:rPr>
        <w:t>“Articulo 8°. Protección en caso de reestructuración administrativa o provisión definitiva de cargos. Las personas a las que les falte tres años o menos para cumplir los requisitos que les permitirían acceder a la pensión de jubilación o vejez, que hagan parte de las plantas de las entidades públicas en nombramiento provisional o temporal y que, derivado de procesos de restructuración administrativa o provisión definitiva de cargos públicos a través de concursos de mérito, deberían ser separados de sus cargos, serán sujetos de especial protección por parte del Estado y en virtud de la misma deberán ser reubicados hasta tanto adquieran los requisitos mínimos para el acceso al beneficio pensional.”.</w:t>
      </w:r>
    </w:p>
  </w:footnote>
  <w:footnote w:id="109">
    <w:p w14:paraId="3ED973FF" w14:textId="1ED8B5A5"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T-379 de 2017 M.P. Alejandro Linares</w:t>
      </w:r>
      <w:r w:rsidR="00414BC7" w:rsidRPr="008249DC">
        <w:rPr>
          <w:color w:val="000000" w:themeColor="text1"/>
        </w:rPr>
        <w:t xml:space="preserve"> Cantillo</w:t>
      </w:r>
      <w:r w:rsidRPr="008249DC">
        <w:rPr>
          <w:color w:val="000000" w:themeColor="text1"/>
        </w:rPr>
        <w:t>.</w:t>
      </w:r>
    </w:p>
  </w:footnote>
  <w:footnote w:id="110">
    <w:p w14:paraId="3743D262" w14:textId="4CDBBEF4"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Gloria Stella Ortiz Delgado.</w:t>
      </w:r>
    </w:p>
  </w:footnote>
  <w:footnote w:id="111">
    <w:p w14:paraId="3FEABDC9" w14:textId="6EA1B64E"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Ley 1581 de 2012. Artículo 4°. Principios para el tratamiento de datos personales.</w:t>
      </w:r>
    </w:p>
  </w:footnote>
  <w:footnote w:id="112">
    <w:p w14:paraId="2B7FAD19" w14:textId="77777777"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Ley 1581 de 2012. </w:t>
      </w:r>
      <w:r w:rsidRPr="008249DC">
        <w:rPr>
          <w:i/>
          <w:iCs/>
          <w:color w:val="000000" w:themeColor="text1"/>
        </w:rPr>
        <w:t>“Artículo 17. Deberes de los responsables del tratamiento. Los Responsables del Tratamiento deberán cumplir los siguientes deberes, sin perjuicio de las demás disposiciones previstas en la presente ley y en otras que rijan su actividad: (…) e) Garantizar que la información que se suministre al Encargado del Tratamiento sea veraz, completa, exacta, actualizada, comprobable y comprensible;(…)”</w:t>
      </w:r>
      <w:r w:rsidRPr="008249DC">
        <w:rPr>
          <w:color w:val="000000" w:themeColor="text1"/>
        </w:rPr>
        <w:t>.</w:t>
      </w:r>
    </w:p>
  </w:footnote>
  <w:footnote w:id="113">
    <w:p w14:paraId="5C207332" w14:textId="27A86FD7"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Gloria Stella Ortiz Delgado.</w:t>
      </w:r>
    </w:p>
  </w:footnote>
  <w:footnote w:id="114">
    <w:p w14:paraId="63F01A35" w14:textId="206F3D51"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lang w:val="es-ES_tradnl"/>
        </w:rPr>
        <w:t xml:space="preserve">Decreto 1074 de 2015. </w:t>
      </w:r>
      <w:r w:rsidRPr="008249DC">
        <w:rPr>
          <w:i/>
          <w:iCs/>
          <w:color w:val="000000" w:themeColor="text1"/>
          <w:lang w:val="es-ES_tradnl"/>
        </w:rPr>
        <w:t xml:space="preserve">“Artículo 2.2.2.25.4.3. Del derecho de actualización, rectificación y supresión. En desarrollo del principio de veracidad o calidad, en el tratamiento de los datos personales deberán adoptarse las medidas razonables para asegurar que los datos personales que reposan en las bases de datos sean precisos y suficientes y, cuando así lo solicite el Titular o cuando el Responsable </w:t>
      </w:r>
      <w:r w:rsidR="00C0781B" w:rsidRPr="008249DC">
        <w:rPr>
          <w:i/>
          <w:iCs/>
          <w:color w:val="000000" w:themeColor="text1"/>
          <w:lang w:val="es-ES_tradnl"/>
        </w:rPr>
        <w:t xml:space="preserve">(sic) </w:t>
      </w:r>
      <w:r w:rsidRPr="008249DC">
        <w:rPr>
          <w:i/>
          <w:iCs/>
          <w:color w:val="000000" w:themeColor="text1"/>
          <w:lang w:val="es-ES_tradnl"/>
        </w:rPr>
        <w:t>haya podido advertirlo, sean actualizados, rectificados o suprimidos, de tal manera que satisfagan los propósitos del tratamiento.”</w:t>
      </w:r>
      <w:r w:rsidRPr="008249DC">
        <w:rPr>
          <w:color w:val="000000" w:themeColor="text1"/>
          <w:lang w:val="es-ES_tradnl"/>
        </w:rPr>
        <w:t>.</w:t>
      </w:r>
      <w:r w:rsidRPr="008249DC">
        <w:rPr>
          <w:color w:val="000000" w:themeColor="text1"/>
        </w:rPr>
        <w:t xml:space="preserve"> </w:t>
      </w:r>
    </w:p>
  </w:footnote>
  <w:footnote w:id="115">
    <w:p w14:paraId="0D2A4351" w14:textId="12464096"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Diana Fajardo Rivera.</w:t>
      </w:r>
    </w:p>
  </w:footnote>
  <w:footnote w:id="116">
    <w:p w14:paraId="296528A9" w14:textId="0FB4484C" w:rsidR="00C64EB3" w:rsidRPr="008249DC"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rPr>
        <w:t>Decreto 309 de 2017. “</w:t>
      </w:r>
      <w:r w:rsidRPr="008249DC">
        <w:rPr>
          <w:i/>
          <w:iCs/>
          <w:color w:val="000000" w:themeColor="text1"/>
        </w:rPr>
        <w:t>Por el cual se modifica la estructura de la Administradora Colombiana de Pensiones (Colpensiones)”. “Artículo 5°. Funciones. En desarrollo de su objeto, la Administradora Colombiana de Pensiones (Colpensiones), cumplirá las siguientes funciones: (…) 9. Gestionar la historia laboral y pensional, las cuentas individuales de los vinculados, los registros de novedades y la consistencia de la información. 10. Gestionar el manejo, administración, control, custodia y conservación de los expedientes pensionales, en los términos previstos en las normas vigentes”.</w:t>
      </w:r>
    </w:p>
  </w:footnote>
  <w:footnote w:id="117">
    <w:p w14:paraId="28D591A5" w14:textId="2C287E14"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 xml:space="preserve">M.P. Alejandro Linares Cantillo. </w:t>
      </w:r>
    </w:p>
  </w:footnote>
  <w:footnote w:id="118">
    <w:p w14:paraId="24412DE7" w14:textId="7ABD3083"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Cristina Pardo S</w:t>
      </w:r>
      <w:r w:rsidR="00414BC7" w:rsidRPr="008249DC">
        <w:rPr>
          <w:color w:val="000000" w:themeColor="text1"/>
        </w:rPr>
        <w:t>c</w:t>
      </w:r>
      <w:r w:rsidRPr="008249DC">
        <w:rPr>
          <w:color w:val="000000" w:themeColor="text1"/>
        </w:rPr>
        <w:t>hlesinger.</w:t>
      </w:r>
    </w:p>
  </w:footnote>
  <w:footnote w:id="119">
    <w:p w14:paraId="738AAAEA" w14:textId="5BEDEB15" w:rsidR="00C64EB3" w:rsidRPr="008249DC" w:rsidRDefault="00C64EB3" w:rsidP="00EF05A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M.P. Gloria Stella Ortiz Delgado.</w:t>
      </w:r>
    </w:p>
  </w:footnote>
  <w:footnote w:id="120">
    <w:p w14:paraId="0C78BC54" w14:textId="07B37DAE" w:rsidR="00ED73C3" w:rsidRPr="008249DC" w:rsidRDefault="00ED73C3">
      <w:pPr>
        <w:pStyle w:val="Textonotapie"/>
        <w:rPr>
          <w:color w:val="000000" w:themeColor="text1"/>
          <w:lang w:val="es-ES_tradnl"/>
        </w:rPr>
      </w:pPr>
      <w:r w:rsidRPr="008249DC">
        <w:rPr>
          <w:rStyle w:val="Refdenotaalpie"/>
          <w:color w:val="000000" w:themeColor="text1"/>
        </w:rPr>
        <w:footnoteRef/>
      </w:r>
      <w:r w:rsidRPr="008249DC">
        <w:rPr>
          <w:color w:val="000000" w:themeColor="text1"/>
        </w:rPr>
        <w:t xml:space="preserve">M.P. Diana Fajardo Rivera. </w:t>
      </w:r>
    </w:p>
  </w:footnote>
  <w:footnote w:id="121">
    <w:p w14:paraId="7D2F7F1B" w14:textId="77777777" w:rsidR="004B20AB" w:rsidRPr="008249DC" w:rsidRDefault="004B20AB" w:rsidP="004B20AB">
      <w:pPr>
        <w:pStyle w:val="Textonotapie"/>
        <w:rPr>
          <w:color w:val="000000" w:themeColor="text1"/>
          <w:lang w:val="es-ES_tradnl"/>
        </w:rPr>
      </w:pPr>
      <w:r w:rsidRPr="008249DC">
        <w:rPr>
          <w:rStyle w:val="Refdenotaalpie"/>
          <w:color w:val="000000" w:themeColor="text1"/>
        </w:rPr>
        <w:footnoteRef/>
      </w:r>
      <w:r w:rsidRPr="008249DC">
        <w:rPr>
          <w:color w:val="000000" w:themeColor="text1"/>
        </w:rPr>
        <w:t>M.P. Diana Fajardo Rivera.</w:t>
      </w:r>
    </w:p>
  </w:footnote>
  <w:footnote w:id="122">
    <w:p w14:paraId="222C3A1A" w14:textId="77777777" w:rsidR="004B20AB" w:rsidRPr="008249DC" w:rsidRDefault="004B20AB" w:rsidP="004B20AB">
      <w:pPr>
        <w:pStyle w:val="Textonotapie"/>
        <w:rPr>
          <w:color w:val="000000" w:themeColor="text1"/>
        </w:rPr>
      </w:pPr>
      <w:r w:rsidRPr="008249DC">
        <w:rPr>
          <w:rStyle w:val="Refdenotaalpie"/>
          <w:color w:val="000000" w:themeColor="text1"/>
        </w:rPr>
        <w:footnoteRef/>
      </w:r>
      <w:r w:rsidRPr="008249DC">
        <w:rPr>
          <w:color w:val="000000" w:themeColor="text1"/>
        </w:rPr>
        <w:t>M.P. Antonio José Lizarazo Ocampo.</w:t>
      </w:r>
    </w:p>
  </w:footnote>
  <w:footnote w:id="123">
    <w:p w14:paraId="7D1E00F2" w14:textId="05D9F7EA" w:rsidR="0041494F" w:rsidRPr="008249DC" w:rsidRDefault="0041494F" w:rsidP="0041494F">
      <w:pPr>
        <w:pStyle w:val="Textonotapie"/>
        <w:jc w:val="both"/>
        <w:rPr>
          <w:color w:val="000000" w:themeColor="text1"/>
        </w:rPr>
      </w:pPr>
      <w:r w:rsidRPr="008249DC">
        <w:rPr>
          <w:rStyle w:val="Refdenotaalpie"/>
          <w:color w:val="000000" w:themeColor="text1"/>
        </w:rPr>
        <w:footnoteRef/>
      </w:r>
      <w:r w:rsidRPr="008249DC">
        <w:rPr>
          <w:color w:val="000000" w:themeColor="text1"/>
        </w:rPr>
        <w:t>En expediente digital: “</w:t>
      </w:r>
      <w:r w:rsidRPr="008249DC">
        <w:rPr>
          <w:i/>
          <w:iCs/>
          <w:color w:val="000000" w:themeColor="text1"/>
        </w:rPr>
        <w:t>TIEMPO DE SERVICIO GALIMDEZ   J.  BLANCA.pdf”</w:t>
      </w:r>
    </w:p>
  </w:footnote>
  <w:footnote w:id="124">
    <w:p w14:paraId="450CA509" w14:textId="160877D9" w:rsidR="006779BA" w:rsidRPr="008249DC" w:rsidRDefault="006779BA" w:rsidP="006779BA">
      <w:pPr>
        <w:pStyle w:val="Textonotapie"/>
        <w:jc w:val="both"/>
        <w:rPr>
          <w:color w:val="000000" w:themeColor="text1"/>
        </w:rPr>
      </w:pPr>
      <w:r w:rsidRPr="008249DC">
        <w:rPr>
          <w:rStyle w:val="Refdenotaalpie"/>
          <w:color w:val="000000" w:themeColor="text1"/>
        </w:rPr>
        <w:footnoteRef/>
      </w:r>
      <w:r w:rsidRPr="008249DC">
        <w:rPr>
          <w:color w:val="000000" w:themeColor="text1"/>
        </w:rPr>
        <w:t>Acuerdo No. 201900000598 de 2019.</w:t>
      </w:r>
    </w:p>
  </w:footnote>
  <w:footnote w:id="125">
    <w:p w14:paraId="112434E5" w14:textId="5DEA6DE7" w:rsidR="006779BA" w:rsidRPr="008249DC" w:rsidRDefault="006779BA" w:rsidP="006779BA">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Artículo 7° del Acuerdo No. 201900000598 de 2019. </w:t>
      </w:r>
      <w:r w:rsidRPr="008249DC">
        <w:rPr>
          <w:i/>
          <w:iCs/>
          <w:color w:val="000000" w:themeColor="text1"/>
        </w:rPr>
        <w:t xml:space="preserve">“empleos convocados. Los empleos vacantes de la Oferta Pública de Empleos de Carrera – OPEC que se convocan para este proceso de selección son: </w:t>
      </w:r>
      <w:r w:rsidRPr="008249DC">
        <w:rPr>
          <w:color w:val="000000" w:themeColor="text1"/>
        </w:rPr>
        <w:t xml:space="preserve">[…] </w:t>
      </w:r>
      <w:r w:rsidRPr="008249DC">
        <w:rPr>
          <w:i/>
          <w:iCs/>
          <w:color w:val="000000" w:themeColor="text1"/>
        </w:rPr>
        <w:t>asistencial, auxiliar de servicios generales, código 470, grado 2, número de empleos 3, número de vacantes 37”.</w:t>
      </w:r>
    </w:p>
  </w:footnote>
  <w:footnote w:id="126">
    <w:p w14:paraId="350DFAE0" w14:textId="05871CB6" w:rsidR="006779BA" w:rsidRPr="008249DC" w:rsidRDefault="006779BA" w:rsidP="006779BA">
      <w:pPr>
        <w:pStyle w:val="Textonotapie"/>
        <w:jc w:val="both"/>
        <w:rPr>
          <w:color w:val="000000" w:themeColor="text1"/>
        </w:rPr>
      </w:pPr>
      <w:r w:rsidRPr="008249DC">
        <w:rPr>
          <w:rStyle w:val="Refdenotaalpie"/>
          <w:color w:val="000000" w:themeColor="text1"/>
        </w:rPr>
        <w:footnoteRef/>
      </w:r>
      <w:r w:rsidRPr="008249DC">
        <w:rPr>
          <w:color w:val="000000" w:themeColor="text1"/>
        </w:rPr>
        <w:t>En expediente digital: “</w:t>
      </w:r>
      <w:r w:rsidRPr="008249DC">
        <w:rPr>
          <w:i/>
          <w:iCs/>
          <w:color w:val="000000" w:themeColor="text1"/>
        </w:rPr>
        <w:t>RTA PUT2021032137.pdf”.</w:t>
      </w:r>
      <w:r w:rsidRPr="008249DC">
        <w:rPr>
          <w:color w:val="000000" w:themeColor="text1"/>
        </w:rPr>
        <w:t>Pág. 2.</w:t>
      </w:r>
    </w:p>
  </w:footnote>
  <w:footnote w:id="127">
    <w:p w14:paraId="745E3A5D" w14:textId="53D47621" w:rsidR="006779BA" w:rsidRPr="008249DC" w:rsidRDefault="006779BA" w:rsidP="006779BA">
      <w:pPr>
        <w:pStyle w:val="Textonotapie"/>
        <w:jc w:val="both"/>
        <w:rPr>
          <w:color w:val="000000" w:themeColor="text1"/>
        </w:rPr>
      </w:pPr>
      <w:r w:rsidRPr="008249DC">
        <w:rPr>
          <w:rStyle w:val="Refdenotaalpie"/>
          <w:color w:val="000000" w:themeColor="text1"/>
        </w:rPr>
        <w:footnoteRef/>
      </w:r>
      <w:r w:rsidRPr="008249DC">
        <w:rPr>
          <w:color w:val="000000" w:themeColor="text1"/>
        </w:rPr>
        <w:t>Resolución No. 1224 del 24 de febrero de 2022.</w:t>
      </w:r>
      <w:r w:rsidR="00166F2F" w:rsidRPr="008249DC">
        <w:rPr>
          <w:color w:val="000000" w:themeColor="text1"/>
        </w:rPr>
        <w:t xml:space="preserve"> </w:t>
      </w:r>
      <w:r w:rsidR="00166F2F" w:rsidRPr="008249DC">
        <w:rPr>
          <w:color w:val="000000" w:themeColor="text1"/>
          <w:lang w:val="es-ES_tradnl"/>
        </w:rPr>
        <w:t xml:space="preserve">Tomado de expediente digital: </w:t>
      </w:r>
      <w:r w:rsidR="00166F2F" w:rsidRPr="008249DC">
        <w:rPr>
          <w:color w:val="000000" w:themeColor="text1"/>
        </w:rPr>
        <w:t>“</w:t>
      </w:r>
      <w:r w:rsidR="00166F2F" w:rsidRPr="008249DC">
        <w:rPr>
          <w:i/>
          <w:iCs/>
          <w:color w:val="000000" w:themeColor="text1"/>
        </w:rPr>
        <w:t>ANEXOS_28_6_2022, 8_54_53.pdf</w:t>
      </w:r>
      <w:r w:rsidR="00166F2F" w:rsidRPr="008249DC">
        <w:rPr>
          <w:color w:val="000000" w:themeColor="text1"/>
        </w:rPr>
        <w:t>”</w:t>
      </w:r>
      <w:r w:rsidR="00166F2F" w:rsidRPr="008249DC">
        <w:rPr>
          <w:color w:val="000000" w:themeColor="text1"/>
          <w:lang w:val="es-ES_tradnl"/>
        </w:rPr>
        <w:t>. Págs.6-8.</w:t>
      </w:r>
    </w:p>
  </w:footnote>
  <w:footnote w:id="128">
    <w:p w14:paraId="6F97843D" w14:textId="46246353" w:rsidR="0041494F" w:rsidRPr="008249DC" w:rsidRDefault="0041494F" w:rsidP="0041494F">
      <w:pPr>
        <w:pStyle w:val="Textonotapie"/>
        <w:jc w:val="both"/>
        <w:rPr>
          <w:color w:val="000000" w:themeColor="text1"/>
          <w:lang w:val="es-ES_tradnl"/>
        </w:rPr>
      </w:pPr>
      <w:r w:rsidRPr="008249DC">
        <w:rPr>
          <w:rStyle w:val="Refdenotaalpie"/>
          <w:color w:val="000000" w:themeColor="text1"/>
        </w:rPr>
        <w:footnoteRef/>
      </w:r>
      <w:r w:rsidR="00CB3E1B" w:rsidRPr="008249DC">
        <w:rPr>
          <w:color w:val="000000" w:themeColor="text1"/>
        </w:rPr>
        <w:t>Cedula de Ciudadanía. Blanca Bellanid Galíndez Joven. Fecha de nacimiento: 10/02/1963 Tomado de expediente digital: “</w:t>
      </w:r>
      <w:r w:rsidR="00CB3E1B" w:rsidRPr="008249DC">
        <w:rPr>
          <w:i/>
          <w:iCs/>
          <w:color w:val="000000" w:themeColor="text1"/>
        </w:rPr>
        <w:t>ANEXOS_28_6_2022, 8_54_53.pdf</w:t>
      </w:r>
      <w:r w:rsidR="00CB3E1B" w:rsidRPr="008249DC">
        <w:rPr>
          <w:color w:val="000000" w:themeColor="text1"/>
        </w:rPr>
        <w:t>”. Pág. 1</w:t>
      </w:r>
      <w:r w:rsidRPr="008249DC">
        <w:rPr>
          <w:color w:val="000000" w:themeColor="text1"/>
        </w:rPr>
        <w:t>.</w:t>
      </w:r>
      <w:r w:rsidR="003C6333" w:rsidRPr="008249DC">
        <w:rPr>
          <w:color w:val="000000" w:themeColor="text1"/>
        </w:rPr>
        <w:t xml:space="preserve"> Fecha de desvinculación 15/03/2022.</w:t>
      </w:r>
    </w:p>
  </w:footnote>
  <w:footnote w:id="129">
    <w:p w14:paraId="27998037" w14:textId="681C044C" w:rsidR="006779BA" w:rsidRPr="008249DC" w:rsidRDefault="006779BA" w:rsidP="006779BA">
      <w:pPr>
        <w:pStyle w:val="Textonotapie"/>
        <w:jc w:val="both"/>
        <w:rPr>
          <w:color w:val="000000" w:themeColor="text1"/>
        </w:rPr>
      </w:pPr>
      <w:r w:rsidRPr="008249DC">
        <w:rPr>
          <w:rStyle w:val="Refdenotaalpie"/>
          <w:color w:val="000000" w:themeColor="text1"/>
        </w:rPr>
        <w:footnoteRef/>
      </w:r>
      <w:r w:rsidRPr="008249DC">
        <w:rPr>
          <w:color w:val="000000" w:themeColor="text1"/>
        </w:rPr>
        <w:t>Certificación Electrónica de Tiempos Laborados del 26 de agosto de 2022.</w:t>
      </w:r>
    </w:p>
  </w:footnote>
  <w:footnote w:id="130">
    <w:p w14:paraId="270BA9D7" w14:textId="77777777" w:rsidR="00D84249" w:rsidRPr="008249DC" w:rsidRDefault="00D84249" w:rsidP="00D84249">
      <w:pPr>
        <w:jc w:val="both"/>
        <w:rPr>
          <w:i/>
          <w:iCs/>
          <w:color w:val="000000" w:themeColor="text1"/>
          <w:sz w:val="20"/>
          <w:szCs w:val="20"/>
        </w:rPr>
      </w:pPr>
      <w:r w:rsidRPr="008249DC">
        <w:rPr>
          <w:rStyle w:val="Refdenotaalpie"/>
          <w:color w:val="000000" w:themeColor="text1"/>
          <w:sz w:val="20"/>
          <w:szCs w:val="20"/>
        </w:rPr>
        <w:footnoteRef/>
      </w:r>
      <w:r w:rsidRPr="008249DC">
        <w:rPr>
          <w:color w:val="000000" w:themeColor="text1"/>
          <w:sz w:val="20"/>
          <w:szCs w:val="20"/>
        </w:rPr>
        <w:t>Ley 1581 de 2012. “</w:t>
      </w:r>
      <w:r w:rsidRPr="008249DC">
        <w:rPr>
          <w:i/>
          <w:iCs/>
          <w:color w:val="000000" w:themeColor="text1"/>
          <w:sz w:val="20"/>
          <w:szCs w:val="20"/>
        </w:rPr>
        <w:t>Artículo 4°. Principios para el tratamiento de datos personales. En el desarrollo, interpretación y aplicación de la presente ley, se aplicarán, de manera armónica e integral, los siguientes principios: (…) d) Principio de veracidad o calidad: La información sujeta a Tratamiento debe ser veraz, completa, exacta, actualizada, comprobable y comprensible. Se prohíbe el Tratamiento de datos parciales, incompletos, fraccionados o que induzcan a error;(…)”.</w:t>
      </w:r>
    </w:p>
  </w:footnote>
  <w:footnote w:id="131">
    <w:p w14:paraId="4427E65C" w14:textId="5A28BE5E" w:rsidR="00D84249" w:rsidRPr="008249DC" w:rsidRDefault="00D84249">
      <w:pPr>
        <w:pStyle w:val="Textonotapie"/>
        <w:rPr>
          <w:color w:val="000000" w:themeColor="text1"/>
        </w:rPr>
      </w:pPr>
      <w:r w:rsidRPr="008249DC">
        <w:rPr>
          <w:rStyle w:val="Refdenotaalpie"/>
          <w:color w:val="000000" w:themeColor="text1"/>
        </w:rPr>
        <w:footnoteRef/>
      </w:r>
      <w:r w:rsidRPr="008249DC">
        <w:rPr>
          <w:color w:val="000000" w:themeColor="text1"/>
        </w:rPr>
        <w:t>Sentencia SU-405 de 2021, M.P. Diana Fajardo Rivera.</w:t>
      </w:r>
    </w:p>
  </w:footnote>
  <w:footnote w:id="132">
    <w:p w14:paraId="43FBCDD7" w14:textId="17208EB0" w:rsidR="00C4401D" w:rsidRPr="008249DC" w:rsidRDefault="00C4401D" w:rsidP="00A70FAD">
      <w:pPr>
        <w:pStyle w:val="Textonotapie"/>
        <w:jc w:val="both"/>
        <w:rPr>
          <w:color w:val="000000" w:themeColor="text1"/>
          <w:lang w:val="es-ES_tradnl"/>
        </w:rPr>
      </w:pPr>
      <w:r w:rsidRPr="008249DC">
        <w:rPr>
          <w:rStyle w:val="Refdenotaalpie"/>
          <w:color w:val="000000" w:themeColor="text1"/>
        </w:rPr>
        <w:footnoteRef/>
      </w:r>
      <w:r w:rsidR="00A70FAD" w:rsidRPr="008249DC">
        <w:rPr>
          <w:color w:val="000000" w:themeColor="text1"/>
        </w:rPr>
        <w:t>“</w:t>
      </w:r>
      <w:r w:rsidR="00A70FAD" w:rsidRPr="008249DC">
        <w:rPr>
          <w:i/>
          <w:iCs/>
          <w:color w:val="000000" w:themeColor="text1"/>
        </w:rPr>
        <w:t>[N]o podemos cargar únicamente los ciclos faltantes 199805 a 200209, puesto que la Resolución de la UGPP informa más periodos y un total a pagar que los incluye. Para dar solución a tal yerro de la entidad certificadora, se realizó solicitud para corregir la certificación en la plataforma cetil 20220000212639 sin que a la fecha la SECRETARÍA DE EDUCACIÓN DEL PUTUMAYO haya corregido dicha situación.</w:t>
      </w:r>
      <w:r w:rsidR="00A70FAD" w:rsidRPr="008249DC">
        <w:rPr>
          <w:color w:val="000000" w:themeColor="text1"/>
        </w:rPr>
        <w:t>”. Tomado de expediente digital: “</w:t>
      </w:r>
      <w:r w:rsidR="00A70FAD" w:rsidRPr="008249DC">
        <w:rPr>
          <w:i/>
          <w:iCs/>
          <w:color w:val="000000" w:themeColor="text1"/>
        </w:rPr>
        <w:t>Respuesta2023_1115175_2023_1_27_7_56</w:t>
      </w:r>
      <w:r w:rsidR="00A70FAD" w:rsidRPr="008249DC">
        <w:rPr>
          <w:color w:val="000000" w:themeColor="text1"/>
        </w:rPr>
        <w:t>” Pág. 2.</w:t>
      </w:r>
    </w:p>
  </w:footnote>
  <w:footnote w:id="133">
    <w:p w14:paraId="6ED1FEC2" w14:textId="66CA51AB" w:rsidR="00174CFA" w:rsidRPr="008249DC" w:rsidRDefault="00174CFA" w:rsidP="00166F2F">
      <w:pPr>
        <w:jc w:val="both"/>
        <w:rPr>
          <w:i/>
          <w:iCs/>
          <w:color w:val="000000" w:themeColor="text1"/>
          <w:sz w:val="20"/>
          <w:szCs w:val="20"/>
        </w:rPr>
      </w:pPr>
      <w:r w:rsidRPr="008249DC">
        <w:rPr>
          <w:rStyle w:val="Refdenotaalpie"/>
          <w:color w:val="000000" w:themeColor="text1"/>
          <w:sz w:val="20"/>
          <w:szCs w:val="20"/>
        </w:rPr>
        <w:footnoteRef/>
      </w:r>
      <w:r w:rsidRPr="008249DC">
        <w:rPr>
          <w:color w:val="000000" w:themeColor="text1"/>
          <w:sz w:val="20"/>
          <w:szCs w:val="20"/>
        </w:rPr>
        <w:t>Ley 1581 de 2012. “Artículo 17. Deberes de los responsables del tratamiento. Los Responsables del Tratamiento deberán cumplir los siguientes deberes, sin perjuicio de las demás disposiciones previstas en la presente ley y en otras que rijan su actividad: (…) e) Garantizar que la información que se suministre al Encargado del Tratamiento sea veraz, completa, exacta, actualizada, comprobable y comprensible;(…)”.</w:t>
      </w:r>
    </w:p>
  </w:footnote>
  <w:footnote w:id="134">
    <w:p w14:paraId="53D47870" w14:textId="2F122962" w:rsidR="00C65105" w:rsidRPr="008249DC" w:rsidRDefault="00C65105" w:rsidP="00166F2F">
      <w:pPr>
        <w:pStyle w:val="Textonotapie"/>
        <w:jc w:val="both"/>
        <w:rPr>
          <w:color w:val="000000" w:themeColor="text1"/>
        </w:rPr>
      </w:pPr>
      <w:r w:rsidRPr="008249DC">
        <w:rPr>
          <w:rStyle w:val="Refdenotaalpie"/>
          <w:color w:val="000000" w:themeColor="text1"/>
        </w:rPr>
        <w:footnoteRef/>
      </w:r>
      <w:r w:rsidRPr="008249DC">
        <w:rPr>
          <w:color w:val="000000" w:themeColor="text1"/>
        </w:rPr>
        <w:t>Sentencia SU-405 de 2021, M.P. Diana Fajardo Rivera.</w:t>
      </w:r>
    </w:p>
  </w:footnote>
  <w:footnote w:id="135">
    <w:p w14:paraId="3B968E7A" w14:textId="038C3BA0" w:rsidR="00A70FAD" w:rsidRPr="008249DC" w:rsidRDefault="00A70FAD" w:rsidP="00166F2F">
      <w:pPr>
        <w:pStyle w:val="Textonotapie"/>
        <w:jc w:val="both"/>
        <w:rPr>
          <w:color w:val="000000" w:themeColor="text1"/>
        </w:rPr>
      </w:pPr>
      <w:r w:rsidRPr="008249DC">
        <w:rPr>
          <w:rStyle w:val="Refdenotaalpie"/>
          <w:color w:val="000000" w:themeColor="text1"/>
        </w:rPr>
        <w:footnoteRef/>
      </w:r>
      <w:r w:rsidRPr="008249DC">
        <w:rPr>
          <w:color w:val="000000" w:themeColor="text1"/>
        </w:rPr>
        <w:t>Decreto 309 de 2017. “</w:t>
      </w:r>
      <w:r w:rsidRPr="008249DC">
        <w:rPr>
          <w:i/>
          <w:iCs/>
          <w:color w:val="000000" w:themeColor="text1"/>
        </w:rPr>
        <w:t>Por el cual se modifica la estructura de la Administradora Colombiana de Pensiones (Colpensiones)”. “Artículo 5°. Funciones. En desarrollo de su objeto, la Administradora Colombiana de Pensiones (Colpensiones), cumplirá las siguientes funciones: (…) 9. Gestionar la historia laboral y pensional, las cuentas individuales de los vinculados, los registros de novedades y la consistencia de la información. 10. Gestionar el manejo, administración, control, custodia y conservación de los expedientes pensionales, en los términos previstos en las normas vigentes”.</w:t>
      </w:r>
    </w:p>
  </w:footnote>
  <w:footnote w:id="136">
    <w:p w14:paraId="72C036CC" w14:textId="72DD4E4F" w:rsidR="00D84249" w:rsidRPr="008249DC" w:rsidRDefault="00D84249" w:rsidP="00166F2F">
      <w:pPr>
        <w:pStyle w:val="Textonotapie"/>
        <w:jc w:val="both"/>
        <w:rPr>
          <w:color w:val="000000" w:themeColor="text1"/>
        </w:rPr>
      </w:pPr>
      <w:r w:rsidRPr="008249DC">
        <w:rPr>
          <w:rStyle w:val="Refdenotaalpie"/>
          <w:color w:val="000000" w:themeColor="text1"/>
        </w:rPr>
        <w:footnoteRef/>
      </w:r>
      <w:r w:rsidRPr="008249DC">
        <w:rPr>
          <w:color w:val="000000" w:themeColor="text1"/>
        </w:rPr>
        <w:t xml:space="preserve">Esta Corporación ha sostenido de forma pacífica que </w:t>
      </w:r>
      <w:r w:rsidRPr="008249DC">
        <w:rPr>
          <w:i/>
          <w:iCs/>
          <w:color w:val="000000" w:themeColor="text1"/>
        </w:rPr>
        <w:t xml:space="preserve">“En tanto la historia laboral es un documento que emana de las administradoras de pensiones -el cual se nutre de las bases de datos a su cargo- la desorganización, la no sistematización de los datos o el descuido, no pueden repercutir negativamente en el trabajador”. </w:t>
      </w:r>
      <w:r w:rsidRPr="008249DC">
        <w:rPr>
          <w:color w:val="000000" w:themeColor="text1"/>
        </w:rPr>
        <w:t>Sentencia SU-405 de 2021, M.P. Diana Fajardo Rivera.</w:t>
      </w:r>
    </w:p>
  </w:footnote>
  <w:footnote w:id="137">
    <w:p w14:paraId="3BDD0946" w14:textId="1ED8039C" w:rsidR="00A70FAD" w:rsidRPr="008249DC" w:rsidRDefault="00A70FAD" w:rsidP="00166F2F">
      <w:pPr>
        <w:pStyle w:val="Textonotapie"/>
        <w:jc w:val="both"/>
        <w:rPr>
          <w:color w:val="000000" w:themeColor="text1"/>
        </w:rPr>
      </w:pPr>
      <w:r w:rsidRPr="008249DC">
        <w:rPr>
          <w:rStyle w:val="Refdenotaalpie"/>
          <w:color w:val="000000" w:themeColor="text1"/>
        </w:rPr>
        <w:footnoteRef/>
      </w:r>
      <w:r w:rsidRPr="008249DC">
        <w:rPr>
          <w:color w:val="000000" w:themeColor="text1"/>
        </w:rPr>
        <w:t>Ley 100 de 1993</w:t>
      </w:r>
      <w:r w:rsidR="00CF29BE" w:rsidRPr="008249DC">
        <w:rPr>
          <w:color w:val="000000" w:themeColor="text1"/>
        </w:rPr>
        <w:t>.</w:t>
      </w:r>
      <w:r w:rsidRPr="008249DC">
        <w:rPr>
          <w:color w:val="000000" w:themeColor="text1"/>
        </w:rPr>
        <w:t xml:space="preserve"> </w:t>
      </w:r>
      <w:r w:rsidR="00CF29BE" w:rsidRPr="008249DC">
        <w:rPr>
          <w:color w:val="000000" w:themeColor="text1"/>
        </w:rPr>
        <w:t>“</w:t>
      </w:r>
      <w:r w:rsidR="00CF29BE" w:rsidRPr="008249DC">
        <w:rPr>
          <w:i/>
          <w:iCs/>
          <w:color w:val="000000" w:themeColor="text1"/>
        </w:rPr>
        <w:t>A</w:t>
      </w:r>
      <w:r w:rsidRPr="008249DC">
        <w:rPr>
          <w:i/>
          <w:iCs/>
          <w:color w:val="000000" w:themeColor="text1"/>
        </w:rPr>
        <w:t>rtículo 53.</w:t>
      </w:r>
      <w:r w:rsidR="00CF29BE" w:rsidRPr="008249DC">
        <w:rPr>
          <w:i/>
          <w:iCs/>
          <w:color w:val="000000" w:themeColor="text1"/>
        </w:rPr>
        <w:t xml:space="preserve"> Focalización</w:t>
      </w:r>
      <w:r w:rsidRPr="008249DC">
        <w:rPr>
          <w:i/>
          <w:iCs/>
          <w:color w:val="000000" w:themeColor="text1"/>
        </w:rPr>
        <w:t xml:space="preserve"> </w:t>
      </w:r>
      <w:r w:rsidR="00CF29BE" w:rsidRPr="008249DC">
        <w:rPr>
          <w:i/>
          <w:iCs/>
          <w:color w:val="000000" w:themeColor="text1"/>
        </w:rPr>
        <w:t>e</w:t>
      </w:r>
      <w:r w:rsidRPr="008249DC">
        <w:rPr>
          <w:i/>
          <w:iCs/>
          <w:color w:val="000000" w:themeColor="text1"/>
        </w:rPr>
        <w:t xml:space="preserve"> </w:t>
      </w:r>
      <w:r w:rsidR="00CF29BE" w:rsidRPr="008249DC">
        <w:rPr>
          <w:i/>
          <w:iCs/>
          <w:color w:val="000000" w:themeColor="text1"/>
        </w:rPr>
        <w:t>investigación</w:t>
      </w:r>
      <w:r w:rsidRPr="008249DC">
        <w:rPr>
          <w:i/>
          <w:iCs/>
          <w:color w:val="000000" w:themeColor="text1"/>
        </w:rPr>
        <w:t>. Las entidades administradoras del régimen solidario de prestación definida tienen amplias facultades de fiscalización e investigación sobre el empleador o agente retenedor de las cotizaciones al régimen, para asegurar el efectivo cumplimiento de la presente Ley. Para tal efecto podrán: || a. Verificar la exactitud de las cotizaciones y aportes u otros informes, cuando lo consideren necesario; || b. Adelantar las investigaciones que estimen convenientes para verificar la ocurrencia de hechos generadores de obligaciones no declarados; || c. Citar o requerir a los empleadores o agentes retenedores de las cotizaciones al régimen, o a terceros, para que rindan informes; || d. Exigir a los empleadores o agentes retenedores de las cotizaciones al régimen, o a terceros, la presentación de documentos o registros de operaciones, cuando unos u otros estén obligados a llevar libros registrados; || e. Ordenar la exhibición y examen de los libros, comprobantes y documentos del empleador o agente retenedor de las cotizaciones al régimen, y realizar las diligencias necesarias para la correcta y oportuna determinación de las obligaciones</w:t>
      </w:r>
      <w:r w:rsidR="00CF29BE" w:rsidRPr="008249DC">
        <w:rPr>
          <w:color w:val="000000" w:themeColor="text1"/>
        </w:rPr>
        <w:t>”</w:t>
      </w:r>
      <w:r w:rsidRPr="008249DC">
        <w:rPr>
          <w:color w:val="000000" w:themeColor="text1"/>
        </w:rPr>
        <w:t>.</w:t>
      </w:r>
    </w:p>
  </w:footnote>
  <w:footnote w:id="138">
    <w:p w14:paraId="6181833E" w14:textId="66900A8A" w:rsidR="00146837" w:rsidRPr="008249DC" w:rsidRDefault="00146837" w:rsidP="00166F2F">
      <w:pPr>
        <w:pStyle w:val="Textonotapie"/>
        <w:jc w:val="both"/>
        <w:rPr>
          <w:color w:val="000000" w:themeColor="text1"/>
        </w:rPr>
      </w:pPr>
      <w:r w:rsidRPr="008249DC">
        <w:rPr>
          <w:rStyle w:val="Refdenotaalpie"/>
          <w:color w:val="000000" w:themeColor="text1"/>
        </w:rPr>
        <w:footnoteRef/>
      </w:r>
      <w:r w:rsidR="00E55728" w:rsidRPr="008249DC">
        <w:rPr>
          <w:color w:val="000000" w:themeColor="text1"/>
        </w:rPr>
        <w:t>Tomado de expediente digital: “</w:t>
      </w:r>
      <w:r w:rsidR="00E55728" w:rsidRPr="008249DC">
        <w:rPr>
          <w:i/>
          <w:iCs/>
          <w:color w:val="000000" w:themeColor="text1"/>
        </w:rPr>
        <w:t>Respuesta2021_11479895_2021_11_11_17_42.pdf</w:t>
      </w:r>
      <w:r w:rsidR="00E55728" w:rsidRPr="008249DC">
        <w:rPr>
          <w:color w:val="000000" w:themeColor="text1"/>
        </w:rPr>
        <w:t>”. Pág. 1.</w:t>
      </w:r>
    </w:p>
  </w:footnote>
  <w:footnote w:id="139">
    <w:p w14:paraId="08BB1BF6" w14:textId="77777777" w:rsidR="00812A2A" w:rsidRPr="008249DC" w:rsidRDefault="00812A2A" w:rsidP="00C7277A">
      <w:pPr>
        <w:pStyle w:val="Textonotapie"/>
        <w:jc w:val="both"/>
        <w:rPr>
          <w:color w:val="000000" w:themeColor="text1"/>
        </w:rPr>
      </w:pPr>
      <w:r w:rsidRPr="008249DC">
        <w:rPr>
          <w:rStyle w:val="Refdenotaalpie"/>
          <w:color w:val="000000" w:themeColor="text1"/>
        </w:rPr>
        <w:footnoteRef/>
      </w:r>
      <w:r w:rsidRPr="008249DC">
        <w:rPr>
          <w:color w:val="000000" w:themeColor="text1"/>
        </w:rPr>
        <w:t>“</w:t>
      </w:r>
      <w:r w:rsidRPr="008249DC">
        <w:rPr>
          <w:i/>
          <w:iCs/>
          <w:color w:val="000000" w:themeColor="text1"/>
        </w:rPr>
        <w:t>(…) [C]on relación a los periodos 15-05-1998 al 30-06-2009 con el empleador SECRETARIA DE EDUCACIÓN DEL PUTUMAYO, se requirió a la entidad encargada por medio de BZ 2021_12798401 del 28 de octubre de 2021, dar inicio a las gestiones tendientes del traslado de sus aportes con el fin de normalizar su historia laboral. Por lo anterior, se sugiere validar con posterioridad(…)</w:t>
      </w:r>
      <w:r w:rsidRPr="008249DC">
        <w:rPr>
          <w:color w:val="000000" w:themeColor="text1"/>
        </w:rPr>
        <w:t>”. Tomado de expediente digital: “</w:t>
      </w:r>
      <w:r w:rsidRPr="008249DC">
        <w:rPr>
          <w:i/>
          <w:iCs/>
          <w:color w:val="000000" w:themeColor="text1"/>
        </w:rPr>
        <w:t>Respuesta2021_11479895_2021_11_11_17_42.pdf</w:t>
      </w:r>
      <w:r w:rsidRPr="008249DC">
        <w:rPr>
          <w:color w:val="000000" w:themeColor="text1"/>
        </w:rPr>
        <w:t>”. Pág. 1.</w:t>
      </w:r>
    </w:p>
  </w:footnote>
  <w:footnote w:id="140">
    <w:p w14:paraId="0D2C5BF3" w14:textId="77777777" w:rsidR="00812A2A" w:rsidRPr="008249DC" w:rsidRDefault="00812A2A" w:rsidP="00C7277A">
      <w:pPr>
        <w:pStyle w:val="Textonotapie"/>
        <w:jc w:val="both"/>
        <w:rPr>
          <w:i/>
          <w:iCs/>
          <w:color w:val="000000" w:themeColor="text1"/>
        </w:rPr>
      </w:pPr>
      <w:r w:rsidRPr="008249DC">
        <w:rPr>
          <w:rStyle w:val="Refdenotaalpie"/>
          <w:color w:val="000000" w:themeColor="text1"/>
        </w:rPr>
        <w:footnoteRef/>
      </w:r>
      <w:r w:rsidRPr="008249DC">
        <w:rPr>
          <w:color w:val="000000" w:themeColor="text1"/>
        </w:rPr>
        <w:t xml:space="preserve">Al respecto, COLPENSIONES afirmó que: </w:t>
      </w:r>
      <w:r w:rsidRPr="008249DC">
        <w:rPr>
          <w:i/>
          <w:iCs/>
          <w:color w:val="000000" w:themeColor="text1"/>
        </w:rPr>
        <w:t>“Vale la pena aclarar que no podemos cargar únicamente los ciclos faltantes 199805 a 200209, puesto que la Resolución de la UGPP informa más periodos y un total a pagar que los incluye. Para dar solución a tal yerro de la entidad certificadora, se realizó solicitud para corregir la certificación en la plataforma cetil 20220000212639 sin que a la fecha la SECRETARÍA DE EDUCACIÓN DEL PUTUMAYO haya corregido dicha situación”.</w:t>
      </w:r>
    </w:p>
  </w:footnote>
  <w:footnote w:id="141">
    <w:p w14:paraId="2B959F0B" w14:textId="75C30268" w:rsidR="00CF29BE" w:rsidRPr="008249DC" w:rsidRDefault="00CF29BE" w:rsidP="00C7277A">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lang w:val="es-ES_tradnl"/>
        </w:rPr>
        <w:t>Sentencia T-470 de 2019 M.P. Antonio José Lizarazo Ocampo.</w:t>
      </w:r>
    </w:p>
  </w:footnote>
  <w:footnote w:id="142">
    <w:p w14:paraId="5B0B96AC" w14:textId="21ABB00A" w:rsidR="00AF68F7" w:rsidRPr="008249DC" w:rsidRDefault="00AF68F7" w:rsidP="00C7277A">
      <w:pPr>
        <w:pStyle w:val="Textonotapie"/>
        <w:jc w:val="both"/>
        <w:rPr>
          <w:color w:val="000000" w:themeColor="text1"/>
        </w:rPr>
      </w:pPr>
      <w:r w:rsidRPr="008249DC">
        <w:rPr>
          <w:rStyle w:val="Refdenotaalpie"/>
          <w:color w:val="000000" w:themeColor="text1"/>
        </w:rPr>
        <w:footnoteRef/>
      </w:r>
      <w:r w:rsidRPr="008249DC">
        <w:rPr>
          <w:color w:val="000000" w:themeColor="text1"/>
        </w:rPr>
        <w:t>En expediente digital: “</w:t>
      </w:r>
      <w:r w:rsidRPr="008249DC">
        <w:rPr>
          <w:i/>
          <w:iCs/>
          <w:color w:val="000000" w:themeColor="text1"/>
        </w:rPr>
        <w:t>TIEMPO DE SERVICIO GALIMDEZ   J.  BLANCA.pdf”</w:t>
      </w:r>
    </w:p>
  </w:footnote>
  <w:footnote w:id="143">
    <w:p w14:paraId="2A3D1958" w14:textId="1D01D03B" w:rsidR="00767FFE" w:rsidRPr="008249DC" w:rsidRDefault="00767FFE" w:rsidP="00C7277A">
      <w:pPr>
        <w:pStyle w:val="Textonotapie"/>
        <w:jc w:val="both"/>
        <w:rPr>
          <w:color w:val="000000" w:themeColor="text1"/>
        </w:rPr>
      </w:pPr>
      <w:r w:rsidRPr="008249DC">
        <w:rPr>
          <w:rStyle w:val="Refdenotaalpie"/>
          <w:color w:val="000000" w:themeColor="text1"/>
        </w:rPr>
        <w:footnoteRef/>
      </w:r>
      <w:r w:rsidRPr="008249DC">
        <w:rPr>
          <w:color w:val="000000" w:themeColor="text1"/>
        </w:rPr>
        <w:t>Según ese documento, entre el 27 de julio y el 25 de septiembre de 1981, así como entre el 26 de abril y el 26 de agosto de 1982, la tutelante cotizó a pensión con su empleador Industrias Cato S.A; y, entre el 1 de diciembre de 1982 y el 2 de mayo de 1983, así como entre el 22 de agosto de 1983 y el 1 de septiembre de 1984, con Servicios y Asesorías del Valle</w:t>
      </w:r>
      <w:r w:rsidR="00E55728" w:rsidRPr="008249DC">
        <w:rPr>
          <w:color w:val="000000" w:themeColor="text1"/>
        </w:rPr>
        <w:t xml:space="preserve">. Historia laboral del 26 de enero de 2023 elaborada por </w:t>
      </w:r>
      <w:r w:rsidR="00940AF8" w:rsidRPr="008249DC">
        <w:rPr>
          <w:color w:val="000000" w:themeColor="text1"/>
        </w:rPr>
        <w:t>C</w:t>
      </w:r>
      <w:r w:rsidR="002E2589" w:rsidRPr="008249DC">
        <w:rPr>
          <w:color w:val="000000" w:themeColor="text1"/>
        </w:rPr>
        <w:t>OLPENSIONES</w:t>
      </w:r>
      <w:r w:rsidR="00E55728" w:rsidRPr="008249DC">
        <w:rPr>
          <w:color w:val="000000" w:themeColor="text1"/>
        </w:rPr>
        <w:t>.</w:t>
      </w:r>
    </w:p>
  </w:footnote>
  <w:footnote w:id="144">
    <w:p w14:paraId="62D6318A" w14:textId="77777777" w:rsidR="00940AF8" w:rsidRPr="008249DC" w:rsidRDefault="00940AF8" w:rsidP="00940AF8">
      <w:pPr>
        <w:pStyle w:val="Textonotapie"/>
        <w:jc w:val="both"/>
        <w:rPr>
          <w:color w:val="000000" w:themeColor="text1"/>
          <w:lang w:val="es-ES_tradnl"/>
        </w:rPr>
      </w:pPr>
      <w:r w:rsidRPr="008249DC">
        <w:rPr>
          <w:rStyle w:val="Refdenotaalpie"/>
          <w:color w:val="000000" w:themeColor="text1"/>
        </w:rPr>
        <w:footnoteRef/>
      </w:r>
      <w:r w:rsidRPr="008249DC">
        <w:rPr>
          <w:color w:val="000000" w:themeColor="text1"/>
        </w:rPr>
        <w:t>De acuerdo con el Certificado de Tiempos Laborados (CETIL), la accionante cuenta con los siguientes periodos cotizados: del 15/05/1998 al 30/06/2009 y del 01/07/2009 al 14/03/2022. Lo que equivale a 1.243 semanas cotizadas al sistema pensional. De igual forma la SED en certificado de tiempos de servicios No. 3283 acreditó que la actora trabajo sin solución de continuidad desde su nombramiento el 15/05/1998 hasta su desvinculación 14/03/2022.</w:t>
      </w:r>
    </w:p>
  </w:footnote>
  <w:footnote w:id="145">
    <w:p w14:paraId="50905A5B" w14:textId="0B31A5BB" w:rsidR="00382257" w:rsidRPr="008249DC" w:rsidRDefault="00382257" w:rsidP="00C7277A">
      <w:pPr>
        <w:pStyle w:val="Textonotapie"/>
        <w:jc w:val="both"/>
        <w:rPr>
          <w:color w:val="000000" w:themeColor="text1"/>
        </w:rPr>
      </w:pPr>
      <w:r w:rsidRPr="008249DC">
        <w:rPr>
          <w:rStyle w:val="Refdenotaalpie"/>
          <w:color w:val="000000" w:themeColor="text1"/>
        </w:rPr>
        <w:footnoteRef/>
      </w:r>
      <w:r w:rsidRPr="008249DC">
        <w:rPr>
          <w:color w:val="000000" w:themeColor="text1"/>
        </w:rPr>
        <w:t>Sentencia SU-003 de 2018, M.P. Carlos Bernal Pulido.</w:t>
      </w:r>
    </w:p>
  </w:footnote>
  <w:footnote w:id="146">
    <w:p w14:paraId="59978086" w14:textId="72174C53" w:rsidR="00282892" w:rsidRPr="008249DC" w:rsidRDefault="00282892">
      <w:pPr>
        <w:pStyle w:val="Textonotapie"/>
        <w:rPr>
          <w:color w:val="000000" w:themeColor="text1"/>
        </w:rPr>
      </w:pPr>
      <w:r w:rsidRPr="008249DC">
        <w:rPr>
          <w:rStyle w:val="Refdenotaalpie"/>
          <w:color w:val="000000" w:themeColor="text1"/>
        </w:rPr>
        <w:footnoteRef/>
      </w:r>
      <w:r w:rsidRPr="008249DC">
        <w:rPr>
          <w:color w:val="000000" w:themeColor="text1"/>
        </w:rPr>
        <w:t>Sentencia T-443 de 2022, M.P. Diana Fajardo Rivera.</w:t>
      </w:r>
    </w:p>
  </w:footnote>
  <w:footnote w:id="147">
    <w:p w14:paraId="59225032" w14:textId="3EF1403A" w:rsidR="00454711" w:rsidRPr="008249DC" w:rsidRDefault="00454711" w:rsidP="00454711">
      <w:pPr>
        <w:pStyle w:val="Textonotapie"/>
        <w:jc w:val="both"/>
        <w:rPr>
          <w:color w:val="000000" w:themeColor="text1"/>
        </w:rPr>
      </w:pPr>
      <w:r w:rsidRPr="008249DC">
        <w:rPr>
          <w:rStyle w:val="Refdenotaalpie"/>
          <w:color w:val="000000" w:themeColor="text1"/>
        </w:rPr>
        <w:footnoteRef/>
      </w:r>
      <w:r w:rsidRPr="008249DC">
        <w:rPr>
          <w:color w:val="000000" w:themeColor="text1"/>
        </w:rPr>
        <w:t>Constitución Política. “</w:t>
      </w:r>
      <w:r w:rsidRPr="008249DC">
        <w:rPr>
          <w:i/>
          <w:iCs/>
          <w:color w:val="000000" w:themeColor="text1"/>
        </w:rPr>
        <w:t>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w:t>
      </w:r>
    </w:p>
  </w:footnote>
  <w:footnote w:id="148">
    <w:p w14:paraId="663D9AF3" w14:textId="02D80AC9" w:rsidR="007251F4" w:rsidRPr="008249DC" w:rsidRDefault="007251F4">
      <w:pPr>
        <w:pStyle w:val="Textonotapie"/>
        <w:rPr>
          <w:color w:val="000000" w:themeColor="text1"/>
        </w:rPr>
      </w:pPr>
      <w:r w:rsidRPr="008249DC">
        <w:rPr>
          <w:rStyle w:val="Refdenotaalpie"/>
          <w:color w:val="000000" w:themeColor="text1"/>
        </w:rPr>
        <w:footnoteRef/>
      </w:r>
      <w:r w:rsidRPr="008249DC">
        <w:rPr>
          <w:color w:val="000000" w:themeColor="text1"/>
        </w:rPr>
        <w:t>Sentencia T-063 de 2022, M.P. Alberto Rojas Ríos y Sentencia T-443 de 2022, M.P. Diana Fajardo Rivera.</w:t>
      </w:r>
    </w:p>
  </w:footnote>
  <w:footnote w:id="149">
    <w:p w14:paraId="769ECF8B" w14:textId="09150139" w:rsidR="00C64EB3" w:rsidRPr="00EF05A8" w:rsidRDefault="00C64EB3" w:rsidP="00EF05A8">
      <w:pPr>
        <w:pStyle w:val="Textonotapie"/>
        <w:jc w:val="both"/>
        <w:rPr>
          <w:color w:val="000000" w:themeColor="text1"/>
        </w:rPr>
      </w:pPr>
      <w:r w:rsidRPr="008249DC">
        <w:rPr>
          <w:rStyle w:val="Refdenotaalpie"/>
          <w:color w:val="000000" w:themeColor="text1"/>
        </w:rPr>
        <w:footnoteRef/>
      </w:r>
      <w:r w:rsidRPr="008249DC">
        <w:rPr>
          <w:color w:val="000000" w:themeColor="text1"/>
          <w:shd w:val="clear" w:color="auto" w:fill="FFFFFF"/>
        </w:rPr>
        <w:t>Constitución Política. Artículo 277. Numeral 1. “</w:t>
      </w:r>
      <w:r w:rsidRPr="008249DC">
        <w:rPr>
          <w:i/>
          <w:iCs/>
          <w:color w:val="000000" w:themeColor="text1"/>
          <w:shd w:val="clear" w:color="auto" w:fill="FFFFFF"/>
        </w:rPr>
        <w:t>El Procurador General de la Nación, por sí o por medio de sus delegados y agentes, tendrá las siguientes funciones: // 1. Vigilar el cumplimiento de la Constitución, las leyes, las decisiones judiciales y los actos administrativos […]</w:t>
      </w:r>
      <w:r w:rsidRPr="008249DC">
        <w:rPr>
          <w:color w:val="000000" w:themeColor="text1"/>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A781" w14:textId="304368B6" w:rsidR="00C64EB3" w:rsidRPr="00AB3D19" w:rsidRDefault="00C64EB3" w:rsidP="00C64EB3">
    <w:pPr>
      <w:pStyle w:val="Encabezado"/>
      <w:rPr>
        <w:rFonts w:eastAsia="Calibri"/>
        <w:bCs/>
        <w:sz w:val="20"/>
        <w:szCs w:val="20"/>
        <w:lang w:val="es-ES"/>
      </w:rPr>
    </w:pPr>
    <w:bookmarkStart w:id="3" w:name="_Hlk38611053"/>
    <w:r w:rsidRPr="00AB3D19">
      <w:rPr>
        <w:rFonts w:eastAsia="Calibri"/>
        <w:sz w:val="20"/>
        <w:szCs w:val="20"/>
      </w:rPr>
      <w:t xml:space="preserve">Expediente </w:t>
    </w:r>
    <w:r w:rsidRPr="009A7AD8">
      <w:rPr>
        <w:rFonts w:eastAsia="Calibri"/>
        <w:bCs/>
        <w:sz w:val="20"/>
        <w:szCs w:val="20"/>
        <w:lang w:val="es-ES"/>
      </w:rPr>
      <w:t>T-</w:t>
    </w:r>
    <w:r w:rsidRPr="00A24274">
      <w:rPr>
        <w:rFonts w:eastAsia="Calibri"/>
        <w:bCs/>
        <w:sz w:val="20"/>
        <w:szCs w:val="20"/>
        <w:lang w:val="es-ES"/>
      </w:rPr>
      <w:t>8.987.455</w:t>
    </w:r>
  </w:p>
  <w:p w14:paraId="4F5AEE15" w14:textId="54346808" w:rsidR="00C64EB3" w:rsidRPr="009A7AD8" w:rsidRDefault="00C64EB3" w:rsidP="00C64EB3">
    <w:pPr>
      <w:pStyle w:val="Encabezado"/>
      <w:rPr>
        <w:rFonts w:eastAsia="Calibri"/>
        <w:sz w:val="20"/>
        <w:szCs w:val="20"/>
      </w:rPr>
    </w:pPr>
    <w:r w:rsidRPr="00AB3D19">
      <w:rPr>
        <w:rFonts w:eastAsia="Calibri"/>
        <w:bCs/>
        <w:sz w:val="20"/>
        <w:szCs w:val="20"/>
        <w:lang w:val="es-ES"/>
      </w:rPr>
      <w:t xml:space="preserve">M.P. </w:t>
    </w:r>
    <w:bookmarkEnd w:id="3"/>
    <w:r>
      <w:rPr>
        <w:rFonts w:eastAsia="Calibri"/>
        <w:bCs/>
        <w:sz w:val="20"/>
        <w:szCs w:val="20"/>
        <w:lang w:val="es-ES"/>
      </w:rPr>
      <w:t>Juan Carlos Cortés González</w:t>
    </w:r>
  </w:p>
  <w:p w14:paraId="6E6C7CF5" w14:textId="77777777" w:rsidR="00C64EB3" w:rsidRDefault="00C64E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0C"/>
    <w:multiLevelType w:val="hybridMultilevel"/>
    <w:tmpl w:val="186A134A"/>
    <w:lvl w:ilvl="0" w:tplc="88CA28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0630BB"/>
    <w:multiLevelType w:val="hybridMultilevel"/>
    <w:tmpl w:val="8E605E42"/>
    <w:lvl w:ilvl="0" w:tplc="88CA28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D2353C"/>
    <w:multiLevelType w:val="hybridMultilevel"/>
    <w:tmpl w:val="6EA4F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D31CCD"/>
    <w:multiLevelType w:val="hybridMultilevel"/>
    <w:tmpl w:val="ABEC0AA8"/>
    <w:lvl w:ilvl="0" w:tplc="733C2494">
      <w:start w:val="1"/>
      <w:numFmt w:val="decimal"/>
      <w:suff w:val="space"/>
      <w:lvlText w:val="%1."/>
      <w:lvlJc w:val="left"/>
      <w:pPr>
        <w:ind w:left="0" w:firstLine="0"/>
      </w:pPr>
      <w:rPr>
        <w:rFonts w:hint="default"/>
        <w:b w:val="0"/>
        <w:bCs w:val="0"/>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827891"/>
    <w:multiLevelType w:val="hybridMultilevel"/>
    <w:tmpl w:val="DFE4D4B8"/>
    <w:lvl w:ilvl="0" w:tplc="245A17DE">
      <w:start w:val="1"/>
      <w:numFmt w:val="decimal"/>
      <w:suff w:val="nothing"/>
      <w:lvlText w:val="%1."/>
      <w:lvlJc w:val="left"/>
      <w:pPr>
        <w:ind w:left="0" w:firstLine="0"/>
      </w:pPr>
      <w:rPr>
        <w:b w:val="0"/>
        <w:bCs w:val="0"/>
      </w:rPr>
    </w:lvl>
    <w:lvl w:ilvl="1" w:tplc="A6E63A1E">
      <w:start w:val="1"/>
      <w:numFmt w:val="lowerRoman"/>
      <w:suff w:val="nothing"/>
      <w:lvlText w:val="(%2)"/>
      <w:lvlJc w:val="left"/>
      <w:pPr>
        <w:ind w:left="567" w:firstLine="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0BC35816"/>
    <w:multiLevelType w:val="hybridMultilevel"/>
    <w:tmpl w:val="E9504F14"/>
    <w:lvl w:ilvl="0" w:tplc="28688D30">
      <w:start w:val="1"/>
      <w:numFmt w:val="bullet"/>
      <w:suff w:val="nothing"/>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F85209"/>
    <w:multiLevelType w:val="hybridMultilevel"/>
    <w:tmpl w:val="37AE6A44"/>
    <w:lvl w:ilvl="0" w:tplc="F1DAC0E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C8A4B07"/>
    <w:multiLevelType w:val="hybridMultilevel"/>
    <w:tmpl w:val="2D382D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D465914"/>
    <w:multiLevelType w:val="hybridMultilevel"/>
    <w:tmpl w:val="FFFFFFFF"/>
    <w:lvl w:ilvl="0" w:tplc="E57EC19A">
      <w:start w:val="1"/>
      <w:numFmt w:val="decimal"/>
      <w:suff w:val="nothing"/>
      <w:lvlText w:val="%1."/>
      <w:lvlJc w:val="left"/>
      <w:pPr>
        <w:ind w:left="928" w:hanging="360"/>
      </w:pPr>
      <w:rPr>
        <w:rFonts w:cs="Times New Roman" w:hint="default"/>
        <w:b w:val="0"/>
        <w:i w:val="0"/>
        <w:sz w:val="28"/>
        <w:szCs w:val="28"/>
      </w:rPr>
    </w:lvl>
    <w:lvl w:ilvl="1" w:tplc="EB56EDF2">
      <w:start w:val="1"/>
      <w:numFmt w:val="lowerLetter"/>
      <w:suff w:val="nothing"/>
      <w:lvlText w:val="%2."/>
      <w:lvlJc w:val="left"/>
      <w:pPr>
        <w:ind w:left="1440" w:hanging="360"/>
      </w:pPr>
      <w:rPr>
        <w:rFonts w:cs="Times New Roman" w:hint="default"/>
        <w:b w:val="0"/>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0E213C97"/>
    <w:multiLevelType w:val="hybridMultilevel"/>
    <w:tmpl w:val="24961220"/>
    <w:lvl w:ilvl="0" w:tplc="CC4E43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EEF154A"/>
    <w:multiLevelType w:val="hybridMultilevel"/>
    <w:tmpl w:val="DA940CD2"/>
    <w:lvl w:ilvl="0" w:tplc="8EEC9F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963D31"/>
    <w:multiLevelType w:val="hybridMultilevel"/>
    <w:tmpl w:val="A07054C0"/>
    <w:lvl w:ilvl="0" w:tplc="E98403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6075156"/>
    <w:multiLevelType w:val="hybridMultilevel"/>
    <w:tmpl w:val="DD6ADFE4"/>
    <w:lvl w:ilvl="0" w:tplc="C84CB198">
      <w:start w:val="1"/>
      <w:numFmt w:val="decimal"/>
      <w:lvlText w:val="%1."/>
      <w:lvlJc w:val="left"/>
      <w:pPr>
        <w:ind w:left="4046"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A741467"/>
    <w:multiLevelType w:val="hybridMultilevel"/>
    <w:tmpl w:val="634E1C84"/>
    <w:lvl w:ilvl="0" w:tplc="75443358">
      <w:start w:val="1"/>
      <w:numFmt w:val="decimal"/>
      <w:pStyle w:val="ListaN3"/>
      <w:lvlText w:val="%1."/>
      <w:lvlJc w:val="left"/>
      <w:pPr>
        <w:tabs>
          <w:tab w:val="num" w:pos="3459"/>
        </w:tabs>
        <w:ind w:left="3119" w:firstLine="0"/>
      </w:pPr>
      <w:rPr>
        <w:rFonts w:hint="default"/>
        <w:b w:val="0"/>
        <w:i w:val="0"/>
        <w:color w:val="auto"/>
        <w:sz w:val="28"/>
        <w:szCs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pStyle w:val="ListaN4"/>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1AB600D5"/>
    <w:multiLevelType w:val="hybridMultilevel"/>
    <w:tmpl w:val="3CF87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BCA3A22"/>
    <w:multiLevelType w:val="hybridMultilevel"/>
    <w:tmpl w:val="F1FE2C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5074135"/>
    <w:multiLevelType w:val="hybridMultilevel"/>
    <w:tmpl w:val="C7E0837A"/>
    <w:lvl w:ilvl="0" w:tplc="88CA28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1372D1"/>
    <w:multiLevelType w:val="hybridMultilevel"/>
    <w:tmpl w:val="FFFFFFFF"/>
    <w:lvl w:ilvl="0" w:tplc="A274BFC4">
      <w:start w:val="168"/>
      <w:numFmt w:val="decimal"/>
      <w:lvlText w:val="%1."/>
      <w:lvlJc w:val="left"/>
      <w:pPr>
        <w:ind w:left="360" w:hanging="360"/>
      </w:pPr>
      <w:rPr>
        <w:rFonts w:ascii="Times New Roman" w:hAnsi="Times New Roman" w:cs="Times New Roman" w:hint="default"/>
        <w:b w:val="0"/>
        <w:sz w:val="28"/>
        <w:szCs w:val="28"/>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8">
    <w:nsid w:val="30B95DF2"/>
    <w:multiLevelType w:val="hybridMultilevel"/>
    <w:tmpl w:val="6818D958"/>
    <w:lvl w:ilvl="0" w:tplc="4CD60006">
      <w:start w:val="1"/>
      <w:numFmt w:val="lowerRoman"/>
      <w:lvlText w:val="(%1)"/>
      <w:lvlJc w:val="left"/>
      <w:pPr>
        <w:ind w:left="800" w:hanging="720"/>
      </w:pPr>
      <w:rPr>
        <w:rFonts w:hint="default"/>
      </w:rPr>
    </w:lvl>
    <w:lvl w:ilvl="1" w:tplc="080A0019" w:tentative="1">
      <w:start w:val="1"/>
      <w:numFmt w:val="lowerLetter"/>
      <w:lvlText w:val="%2."/>
      <w:lvlJc w:val="left"/>
      <w:pPr>
        <w:ind w:left="1160" w:hanging="360"/>
      </w:pPr>
    </w:lvl>
    <w:lvl w:ilvl="2" w:tplc="080A001B" w:tentative="1">
      <w:start w:val="1"/>
      <w:numFmt w:val="lowerRoman"/>
      <w:lvlText w:val="%3."/>
      <w:lvlJc w:val="right"/>
      <w:pPr>
        <w:ind w:left="1880" w:hanging="180"/>
      </w:pPr>
    </w:lvl>
    <w:lvl w:ilvl="3" w:tplc="080A000F" w:tentative="1">
      <w:start w:val="1"/>
      <w:numFmt w:val="decimal"/>
      <w:lvlText w:val="%4."/>
      <w:lvlJc w:val="left"/>
      <w:pPr>
        <w:ind w:left="2600" w:hanging="360"/>
      </w:pPr>
    </w:lvl>
    <w:lvl w:ilvl="4" w:tplc="080A0019" w:tentative="1">
      <w:start w:val="1"/>
      <w:numFmt w:val="lowerLetter"/>
      <w:lvlText w:val="%5."/>
      <w:lvlJc w:val="left"/>
      <w:pPr>
        <w:ind w:left="3320" w:hanging="360"/>
      </w:pPr>
    </w:lvl>
    <w:lvl w:ilvl="5" w:tplc="080A001B" w:tentative="1">
      <w:start w:val="1"/>
      <w:numFmt w:val="lowerRoman"/>
      <w:lvlText w:val="%6."/>
      <w:lvlJc w:val="right"/>
      <w:pPr>
        <w:ind w:left="4040" w:hanging="180"/>
      </w:pPr>
    </w:lvl>
    <w:lvl w:ilvl="6" w:tplc="080A000F" w:tentative="1">
      <w:start w:val="1"/>
      <w:numFmt w:val="decimal"/>
      <w:lvlText w:val="%7."/>
      <w:lvlJc w:val="left"/>
      <w:pPr>
        <w:ind w:left="4760" w:hanging="360"/>
      </w:pPr>
    </w:lvl>
    <w:lvl w:ilvl="7" w:tplc="080A0019" w:tentative="1">
      <w:start w:val="1"/>
      <w:numFmt w:val="lowerLetter"/>
      <w:lvlText w:val="%8."/>
      <w:lvlJc w:val="left"/>
      <w:pPr>
        <w:ind w:left="5480" w:hanging="360"/>
      </w:pPr>
    </w:lvl>
    <w:lvl w:ilvl="8" w:tplc="080A001B" w:tentative="1">
      <w:start w:val="1"/>
      <w:numFmt w:val="lowerRoman"/>
      <w:lvlText w:val="%9."/>
      <w:lvlJc w:val="right"/>
      <w:pPr>
        <w:ind w:left="6200" w:hanging="180"/>
      </w:pPr>
    </w:lvl>
  </w:abstractNum>
  <w:abstractNum w:abstractNumId="19">
    <w:nsid w:val="31802999"/>
    <w:multiLevelType w:val="hybridMultilevel"/>
    <w:tmpl w:val="6F488372"/>
    <w:lvl w:ilvl="0" w:tplc="0A8614F6">
      <w:start w:val="1"/>
      <w:numFmt w:val="decimal"/>
      <w:suff w:val="space"/>
      <w:lvlText w:val="%1."/>
      <w:lvlJc w:val="left"/>
      <w:pPr>
        <w:ind w:left="0" w:firstLine="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20539A9"/>
    <w:multiLevelType w:val="hybridMultilevel"/>
    <w:tmpl w:val="EDCE8474"/>
    <w:lvl w:ilvl="0" w:tplc="88CA28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2306EB"/>
    <w:multiLevelType w:val="hybridMultilevel"/>
    <w:tmpl w:val="20781960"/>
    <w:lvl w:ilvl="0" w:tplc="408A39D6">
      <w:start w:val="1"/>
      <w:numFmt w:val="lowerRoman"/>
      <w:lvlText w:val="%1)"/>
      <w:lvlJc w:val="left"/>
      <w:pPr>
        <w:ind w:left="720" w:hanging="72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nsid w:val="3ABB628F"/>
    <w:multiLevelType w:val="multilevel"/>
    <w:tmpl w:val="AE544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FC1F3A"/>
    <w:multiLevelType w:val="hybridMultilevel"/>
    <w:tmpl w:val="783E7662"/>
    <w:lvl w:ilvl="0" w:tplc="733C2494">
      <w:start w:val="1"/>
      <w:numFmt w:val="decimal"/>
      <w:suff w:val="space"/>
      <w:lvlText w:val="%1."/>
      <w:lvlJc w:val="left"/>
      <w:pPr>
        <w:ind w:left="0" w:firstLine="0"/>
      </w:pPr>
      <w:rPr>
        <w:rFonts w:hint="default"/>
        <w:b w:val="0"/>
        <w:bCs w:val="0"/>
        <w:i w:val="0"/>
        <w:iCs w:val="0"/>
        <w:sz w:val="28"/>
        <w:szCs w:val="28"/>
      </w:rPr>
    </w:lvl>
    <w:lvl w:ilvl="1" w:tplc="3EF81B82">
      <w:start w:val="1"/>
      <w:numFmt w:val="lowerRoman"/>
      <w:suff w:val="space"/>
      <w:lvlText w:val="(%2)"/>
      <w:lvlJc w:val="left"/>
      <w:pPr>
        <w:ind w:left="0" w:firstLine="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07F7AA0"/>
    <w:multiLevelType w:val="hybridMultilevel"/>
    <w:tmpl w:val="A2C024C2"/>
    <w:lvl w:ilvl="0" w:tplc="88CA28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C011A9"/>
    <w:multiLevelType w:val="hybridMultilevel"/>
    <w:tmpl w:val="A9A6EB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7303CC6"/>
    <w:multiLevelType w:val="hybridMultilevel"/>
    <w:tmpl w:val="A2C024C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C18767E"/>
    <w:multiLevelType w:val="hybridMultilevel"/>
    <w:tmpl w:val="C9EAB39E"/>
    <w:lvl w:ilvl="0" w:tplc="4D46D4E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C6E5D0C"/>
    <w:multiLevelType w:val="hybridMultilevel"/>
    <w:tmpl w:val="DD4E9068"/>
    <w:lvl w:ilvl="0" w:tplc="B6C65DC6">
      <w:numFmt w:val="bullet"/>
      <w:lvlText w:val=""/>
      <w:lvlJc w:val="left"/>
      <w:pPr>
        <w:ind w:left="1020" w:hanging="6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D7A0265"/>
    <w:multiLevelType w:val="hybridMultilevel"/>
    <w:tmpl w:val="287EE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6431A4D"/>
    <w:multiLevelType w:val="hybridMultilevel"/>
    <w:tmpl w:val="7BA4C950"/>
    <w:lvl w:ilvl="0" w:tplc="2C7CDC1E">
      <w:start w:val="1"/>
      <w:numFmt w:val="upp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7970F2E"/>
    <w:multiLevelType w:val="hybridMultilevel"/>
    <w:tmpl w:val="FFFFFFFF"/>
    <w:lvl w:ilvl="0" w:tplc="F4AC2E2A">
      <w:start w:val="1"/>
      <w:numFmt w:val="decimal"/>
      <w:suff w:val="space"/>
      <w:lvlText w:val="%1."/>
      <w:lvlJc w:val="left"/>
      <w:rPr>
        <w:rFonts w:ascii="Times New Roman" w:hAnsi="Times New Roman" w:cs="Times New Roman" w:hint="default"/>
        <w:b w:val="0"/>
        <w:i w:val="0"/>
        <w:sz w:val="28"/>
        <w:szCs w:val="2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5C5B6760"/>
    <w:multiLevelType w:val="hybridMultilevel"/>
    <w:tmpl w:val="6E868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DB70F27"/>
    <w:multiLevelType w:val="hybridMultilevel"/>
    <w:tmpl w:val="41BC4440"/>
    <w:lvl w:ilvl="0" w:tplc="2C7CDC1E">
      <w:start w:val="1"/>
      <w:numFmt w:val="upp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7270C49"/>
    <w:multiLevelType w:val="hybridMultilevel"/>
    <w:tmpl w:val="FBBCDE7E"/>
    <w:lvl w:ilvl="0" w:tplc="439C2F90">
      <w:start w:val="1"/>
      <w:numFmt w:val="decimal"/>
      <w:suff w:val="nothing"/>
      <w:lvlText w:val="%1."/>
      <w:lvlJc w:val="left"/>
      <w:pPr>
        <w:ind w:left="360" w:hanging="360"/>
      </w:pPr>
      <w:rPr>
        <w:rFonts w:hint="default"/>
        <w:b w:val="0"/>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9C15EC8"/>
    <w:multiLevelType w:val="hybridMultilevel"/>
    <w:tmpl w:val="1D8282C2"/>
    <w:lvl w:ilvl="0" w:tplc="C9E4AD5A">
      <w:start w:val="1"/>
      <w:numFmt w:val="upperLetter"/>
      <w:lvlText w:val="%1."/>
      <w:lvlJc w:val="left"/>
      <w:pPr>
        <w:ind w:left="360" w:hanging="360"/>
      </w:pPr>
      <w:rPr>
        <w:rFonts w:hint="default"/>
        <w:b/>
        <w:bCs/>
        <w:i w:val="0"/>
        <w:iCs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nsid w:val="6C281083"/>
    <w:multiLevelType w:val="hybridMultilevel"/>
    <w:tmpl w:val="B0BC968C"/>
    <w:lvl w:ilvl="0" w:tplc="2C506DF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E32A2B"/>
    <w:multiLevelType w:val="hybridMultilevel"/>
    <w:tmpl w:val="C07E4D12"/>
    <w:lvl w:ilvl="0" w:tplc="2C7CDC1E">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FD67EAA"/>
    <w:multiLevelType w:val="hybridMultilevel"/>
    <w:tmpl w:val="FFFFFFFF"/>
    <w:lvl w:ilvl="0" w:tplc="2B606CE0">
      <w:start w:val="1"/>
      <w:numFmt w:val="decimal"/>
      <w:lvlText w:val="%1."/>
      <w:lvlJc w:val="left"/>
      <w:pPr>
        <w:ind w:left="360" w:hanging="360"/>
      </w:pPr>
      <w:rPr>
        <w:rFonts w:ascii="Times New Roman" w:hAnsi="Times New Roman" w:cs="Times New Roman" w:hint="default"/>
        <w:b w:val="0"/>
        <w:i w:val="0"/>
      </w:rPr>
    </w:lvl>
    <w:lvl w:ilvl="1" w:tplc="240A000F">
      <w:start w:val="1"/>
      <w:numFmt w:val="decimal"/>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35"/>
  </w:num>
  <w:num w:numId="2">
    <w:abstractNumId w:val="37"/>
  </w:num>
  <w:num w:numId="3">
    <w:abstractNumId w:val="5"/>
  </w:num>
  <w:num w:numId="4">
    <w:abstractNumId w:val="2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1"/>
  </w:num>
  <w:num w:numId="10">
    <w:abstractNumId w:val="13"/>
  </w:num>
  <w:num w:numId="11">
    <w:abstractNumId w:val="38"/>
  </w:num>
  <w:num w:numId="12">
    <w:abstractNumId w:val="34"/>
  </w:num>
  <w:num w:numId="13">
    <w:abstractNumId w:val="3"/>
  </w:num>
  <w:num w:numId="14">
    <w:abstractNumId w:val="17"/>
  </w:num>
  <w:num w:numId="15">
    <w:abstractNumId w:val="15"/>
  </w:num>
  <w:num w:numId="16">
    <w:abstractNumId w:val="6"/>
  </w:num>
  <w:num w:numId="17">
    <w:abstractNumId w:val="19"/>
  </w:num>
  <w:num w:numId="18">
    <w:abstractNumId w:val="28"/>
  </w:num>
  <w:num w:numId="19">
    <w:abstractNumId w:val="12"/>
  </w:num>
  <w:num w:numId="20">
    <w:abstractNumId w:val="21"/>
  </w:num>
  <w:num w:numId="21">
    <w:abstractNumId w:val="29"/>
  </w:num>
  <w:num w:numId="22">
    <w:abstractNumId w:val="7"/>
  </w:num>
  <w:num w:numId="23">
    <w:abstractNumId w:val="22"/>
  </w:num>
  <w:num w:numId="24">
    <w:abstractNumId w:val="25"/>
  </w:num>
  <w:num w:numId="25">
    <w:abstractNumId w:val="30"/>
  </w:num>
  <w:num w:numId="26">
    <w:abstractNumId w:val="11"/>
  </w:num>
  <w:num w:numId="27">
    <w:abstractNumId w:val="33"/>
  </w:num>
  <w:num w:numId="28">
    <w:abstractNumId w:val="23"/>
  </w:num>
  <w:num w:numId="29">
    <w:abstractNumId w:val="2"/>
  </w:num>
  <w:num w:numId="30">
    <w:abstractNumId w:val="32"/>
  </w:num>
  <w:num w:numId="31">
    <w:abstractNumId w:val="36"/>
  </w:num>
  <w:num w:numId="32">
    <w:abstractNumId w:val="24"/>
  </w:num>
  <w:num w:numId="33">
    <w:abstractNumId w:val="10"/>
  </w:num>
  <w:num w:numId="34">
    <w:abstractNumId w:val="26"/>
  </w:num>
  <w:num w:numId="35">
    <w:abstractNumId w:val="20"/>
  </w:num>
  <w:num w:numId="36">
    <w:abstractNumId w:val="0"/>
  </w:num>
  <w:num w:numId="37">
    <w:abstractNumId w:val="18"/>
  </w:num>
  <w:num w:numId="38">
    <w:abstractNumId w:val="1"/>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B4"/>
    <w:rsid w:val="00000C93"/>
    <w:rsid w:val="00001AAD"/>
    <w:rsid w:val="00002C37"/>
    <w:rsid w:val="00006D85"/>
    <w:rsid w:val="00010A62"/>
    <w:rsid w:val="00015CA8"/>
    <w:rsid w:val="00016EEC"/>
    <w:rsid w:val="00020158"/>
    <w:rsid w:val="00022FF7"/>
    <w:rsid w:val="000232C3"/>
    <w:rsid w:val="00024831"/>
    <w:rsid w:val="00030063"/>
    <w:rsid w:val="00030979"/>
    <w:rsid w:val="00031D09"/>
    <w:rsid w:val="00032DF0"/>
    <w:rsid w:val="000346F7"/>
    <w:rsid w:val="0003560E"/>
    <w:rsid w:val="000378EB"/>
    <w:rsid w:val="00042644"/>
    <w:rsid w:val="00050967"/>
    <w:rsid w:val="00054D9D"/>
    <w:rsid w:val="00072835"/>
    <w:rsid w:val="00074D18"/>
    <w:rsid w:val="000777EE"/>
    <w:rsid w:val="00080E62"/>
    <w:rsid w:val="000849DC"/>
    <w:rsid w:val="0008598B"/>
    <w:rsid w:val="00087188"/>
    <w:rsid w:val="00095600"/>
    <w:rsid w:val="000A0901"/>
    <w:rsid w:val="000A2A7A"/>
    <w:rsid w:val="000A7407"/>
    <w:rsid w:val="000B6B3D"/>
    <w:rsid w:val="000B71AB"/>
    <w:rsid w:val="000B7F78"/>
    <w:rsid w:val="000C2F40"/>
    <w:rsid w:val="000C5EA9"/>
    <w:rsid w:val="000C66D6"/>
    <w:rsid w:val="000C690C"/>
    <w:rsid w:val="000D4584"/>
    <w:rsid w:val="000E01D5"/>
    <w:rsid w:val="000E0B59"/>
    <w:rsid w:val="000E41CB"/>
    <w:rsid w:val="000F4A38"/>
    <w:rsid w:val="000F4A8B"/>
    <w:rsid w:val="000F58B5"/>
    <w:rsid w:val="000F5BE2"/>
    <w:rsid w:val="000F6398"/>
    <w:rsid w:val="000F691B"/>
    <w:rsid w:val="000F775C"/>
    <w:rsid w:val="00100270"/>
    <w:rsid w:val="00103BAF"/>
    <w:rsid w:val="00106033"/>
    <w:rsid w:val="00106C7F"/>
    <w:rsid w:val="001223E4"/>
    <w:rsid w:val="00126519"/>
    <w:rsid w:val="001275B4"/>
    <w:rsid w:val="0013420B"/>
    <w:rsid w:val="00134B52"/>
    <w:rsid w:val="001356E4"/>
    <w:rsid w:val="00141B5F"/>
    <w:rsid w:val="00143FD6"/>
    <w:rsid w:val="001442B4"/>
    <w:rsid w:val="00146837"/>
    <w:rsid w:val="00147A1E"/>
    <w:rsid w:val="001514EC"/>
    <w:rsid w:val="00151698"/>
    <w:rsid w:val="00153DC3"/>
    <w:rsid w:val="001616E4"/>
    <w:rsid w:val="00164425"/>
    <w:rsid w:val="001661B2"/>
    <w:rsid w:val="00166F2F"/>
    <w:rsid w:val="00167264"/>
    <w:rsid w:val="001723AC"/>
    <w:rsid w:val="0017278D"/>
    <w:rsid w:val="00174555"/>
    <w:rsid w:val="00174CFA"/>
    <w:rsid w:val="00180014"/>
    <w:rsid w:val="00183D44"/>
    <w:rsid w:val="00187738"/>
    <w:rsid w:val="00196316"/>
    <w:rsid w:val="001979ED"/>
    <w:rsid w:val="001A1E29"/>
    <w:rsid w:val="001A2745"/>
    <w:rsid w:val="001A40A5"/>
    <w:rsid w:val="001B2195"/>
    <w:rsid w:val="001B3F89"/>
    <w:rsid w:val="001C186E"/>
    <w:rsid w:val="001C1B0F"/>
    <w:rsid w:val="001C20E4"/>
    <w:rsid w:val="001C4577"/>
    <w:rsid w:val="001D21E4"/>
    <w:rsid w:val="001D77E3"/>
    <w:rsid w:val="001E102F"/>
    <w:rsid w:val="001E4EDB"/>
    <w:rsid w:val="001E5C39"/>
    <w:rsid w:val="001E6C8C"/>
    <w:rsid w:val="001E713E"/>
    <w:rsid w:val="001F31CE"/>
    <w:rsid w:val="001F39BE"/>
    <w:rsid w:val="0020164B"/>
    <w:rsid w:val="00213286"/>
    <w:rsid w:val="00220FC2"/>
    <w:rsid w:val="00221910"/>
    <w:rsid w:val="0022757C"/>
    <w:rsid w:val="00231511"/>
    <w:rsid w:val="00231727"/>
    <w:rsid w:val="00235FD7"/>
    <w:rsid w:val="002364A0"/>
    <w:rsid w:val="002371D8"/>
    <w:rsid w:val="00243640"/>
    <w:rsid w:val="00244608"/>
    <w:rsid w:val="00247342"/>
    <w:rsid w:val="00251157"/>
    <w:rsid w:val="00251C14"/>
    <w:rsid w:val="0025219D"/>
    <w:rsid w:val="002576A5"/>
    <w:rsid w:val="00273053"/>
    <w:rsid w:val="0027362C"/>
    <w:rsid w:val="002744BF"/>
    <w:rsid w:val="00277127"/>
    <w:rsid w:val="00282892"/>
    <w:rsid w:val="00283A98"/>
    <w:rsid w:val="00285210"/>
    <w:rsid w:val="00290913"/>
    <w:rsid w:val="00296357"/>
    <w:rsid w:val="002975D3"/>
    <w:rsid w:val="002A0005"/>
    <w:rsid w:val="002A01E8"/>
    <w:rsid w:val="002A09CD"/>
    <w:rsid w:val="002A1BF8"/>
    <w:rsid w:val="002A75B2"/>
    <w:rsid w:val="002B1CE8"/>
    <w:rsid w:val="002B2128"/>
    <w:rsid w:val="002B4C51"/>
    <w:rsid w:val="002B5B22"/>
    <w:rsid w:val="002B6EC0"/>
    <w:rsid w:val="002C161D"/>
    <w:rsid w:val="002C3EBD"/>
    <w:rsid w:val="002C4CD1"/>
    <w:rsid w:val="002D0F11"/>
    <w:rsid w:val="002D3AE7"/>
    <w:rsid w:val="002E0243"/>
    <w:rsid w:val="002E2163"/>
    <w:rsid w:val="002E2589"/>
    <w:rsid w:val="002E27AD"/>
    <w:rsid w:val="002F06CF"/>
    <w:rsid w:val="002F4449"/>
    <w:rsid w:val="002F571B"/>
    <w:rsid w:val="002F7293"/>
    <w:rsid w:val="00300C72"/>
    <w:rsid w:val="00301869"/>
    <w:rsid w:val="00304B46"/>
    <w:rsid w:val="00305703"/>
    <w:rsid w:val="003120C1"/>
    <w:rsid w:val="00313C11"/>
    <w:rsid w:val="003162CD"/>
    <w:rsid w:val="00325519"/>
    <w:rsid w:val="00332B99"/>
    <w:rsid w:val="00333462"/>
    <w:rsid w:val="00334393"/>
    <w:rsid w:val="0033515B"/>
    <w:rsid w:val="00353D3D"/>
    <w:rsid w:val="003570D5"/>
    <w:rsid w:val="00363C95"/>
    <w:rsid w:val="003710AF"/>
    <w:rsid w:val="00371ECB"/>
    <w:rsid w:val="00372231"/>
    <w:rsid w:val="00373474"/>
    <w:rsid w:val="00374619"/>
    <w:rsid w:val="003762EA"/>
    <w:rsid w:val="00376586"/>
    <w:rsid w:val="0037768A"/>
    <w:rsid w:val="00382257"/>
    <w:rsid w:val="00385FA9"/>
    <w:rsid w:val="00395821"/>
    <w:rsid w:val="00395D1B"/>
    <w:rsid w:val="003A508C"/>
    <w:rsid w:val="003A6239"/>
    <w:rsid w:val="003B7505"/>
    <w:rsid w:val="003C0A9D"/>
    <w:rsid w:val="003C6333"/>
    <w:rsid w:val="003D265F"/>
    <w:rsid w:val="003D478E"/>
    <w:rsid w:val="003D7C9F"/>
    <w:rsid w:val="003E088A"/>
    <w:rsid w:val="003E0D1E"/>
    <w:rsid w:val="003E1516"/>
    <w:rsid w:val="003E3D9A"/>
    <w:rsid w:val="003E5655"/>
    <w:rsid w:val="003E6D14"/>
    <w:rsid w:val="003F1A52"/>
    <w:rsid w:val="003F1F6C"/>
    <w:rsid w:val="003F380F"/>
    <w:rsid w:val="003F7BE7"/>
    <w:rsid w:val="00402BD6"/>
    <w:rsid w:val="00411556"/>
    <w:rsid w:val="004132F7"/>
    <w:rsid w:val="0041494F"/>
    <w:rsid w:val="00414BC7"/>
    <w:rsid w:val="004159B2"/>
    <w:rsid w:val="00416A56"/>
    <w:rsid w:val="0041763B"/>
    <w:rsid w:val="00426933"/>
    <w:rsid w:val="0043791E"/>
    <w:rsid w:val="00440270"/>
    <w:rsid w:val="00442034"/>
    <w:rsid w:val="00454711"/>
    <w:rsid w:val="00454972"/>
    <w:rsid w:val="0045511E"/>
    <w:rsid w:val="00455E98"/>
    <w:rsid w:val="0046096C"/>
    <w:rsid w:val="00463CC0"/>
    <w:rsid w:val="00464BC2"/>
    <w:rsid w:val="00474BB8"/>
    <w:rsid w:val="004844E0"/>
    <w:rsid w:val="004873A6"/>
    <w:rsid w:val="0049135F"/>
    <w:rsid w:val="00492B23"/>
    <w:rsid w:val="0049443E"/>
    <w:rsid w:val="004A6EA3"/>
    <w:rsid w:val="004A717A"/>
    <w:rsid w:val="004A72BF"/>
    <w:rsid w:val="004B04CB"/>
    <w:rsid w:val="004B1002"/>
    <w:rsid w:val="004B20AB"/>
    <w:rsid w:val="004B4E55"/>
    <w:rsid w:val="004C0C32"/>
    <w:rsid w:val="004C6A06"/>
    <w:rsid w:val="004C70E7"/>
    <w:rsid w:val="004D25B6"/>
    <w:rsid w:val="004E2ACE"/>
    <w:rsid w:val="004E4FE8"/>
    <w:rsid w:val="004F5D05"/>
    <w:rsid w:val="004F6634"/>
    <w:rsid w:val="004F6F37"/>
    <w:rsid w:val="0050062D"/>
    <w:rsid w:val="00501176"/>
    <w:rsid w:val="00513D70"/>
    <w:rsid w:val="00514E29"/>
    <w:rsid w:val="00516546"/>
    <w:rsid w:val="005215F3"/>
    <w:rsid w:val="00523B3E"/>
    <w:rsid w:val="00525856"/>
    <w:rsid w:val="00532526"/>
    <w:rsid w:val="00535FEA"/>
    <w:rsid w:val="005401CB"/>
    <w:rsid w:val="005461DA"/>
    <w:rsid w:val="005576DF"/>
    <w:rsid w:val="00564069"/>
    <w:rsid w:val="00564F6D"/>
    <w:rsid w:val="00566C7A"/>
    <w:rsid w:val="00575E2E"/>
    <w:rsid w:val="00576B10"/>
    <w:rsid w:val="00580F47"/>
    <w:rsid w:val="00582867"/>
    <w:rsid w:val="00584294"/>
    <w:rsid w:val="00586780"/>
    <w:rsid w:val="00587ADE"/>
    <w:rsid w:val="0059299F"/>
    <w:rsid w:val="005942D3"/>
    <w:rsid w:val="005A24FC"/>
    <w:rsid w:val="005A30E3"/>
    <w:rsid w:val="005B06D4"/>
    <w:rsid w:val="005B3A8C"/>
    <w:rsid w:val="005B5424"/>
    <w:rsid w:val="005B6E98"/>
    <w:rsid w:val="005C20BD"/>
    <w:rsid w:val="005D51A6"/>
    <w:rsid w:val="005D59B1"/>
    <w:rsid w:val="005E3F4C"/>
    <w:rsid w:val="005E6456"/>
    <w:rsid w:val="005F01FF"/>
    <w:rsid w:val="005F0586"/>
    <w:rsid w:val="005F5E22"/>
    <w:rsid w:val="00601990"/>
    <w:rsid w:val="006022D4"/>
    <w:rsid w:val="00604473"/>
    <w:rsid w:val="00605A9B"/>
    <w:rsid w:val="00606C1E"/>
    <w:rsid w:val="00611466"/>
    <w:rsid w:val="00611794"/>
    <w:rsid w:val="00615C4C"/>
    <w:rsid w:val="00617260"/>
    <w:rsid w:val="00621E7C"/>
    <w:rsid w:val="00621F92"/>
    <w:rsid w:val="00623873"/>
    <w:rsid w:val="0062484F"/>
    <w:rsid w:val="006263C1"/>
    <w:rsid w:val="006300CA"/>
    <w:rsid w:val="0063344C"/>
    <w:rsid w:val="00637624"/>
    <w:rsid w:val="00640AF0"/>
    <w:rsid w:val="0064277E"/>
    <w:rsid w:val="0065096B"/>
    <w:rsid w:val="00653699"/>
    <w:rsid w:val="00657522"/>
    <w:rsid w:val="00665883"/>
    <w:rsid w:val="006701DC"/>
    <w:rsid w:val="00673007"/>
    <w:rsid w:val="00675DDE"/>
    <w:rsid w:val="006779BA"/>
    <w:rsid w:val="0068011E"/>
    <w:rsid w:val="00685BB4"/>
    <w:rsid w:val="00694F11"/>
    <w:rsid w:val="00695E97"/>
    <w:rsid w:val="00696F4C"/>
    <w:rsid w:val="006A33C5"/>
    <w:rsid w:val="006A753B"/>
    <w:rsid w:val="006B287A"/>
    <w:rsid w:val="006B2DF3"/>
    <w:rsid w:val="006B6218"/>
    <w:rsid w:val="006B776F"/>
    <w:rsid w:val="006C4D89"/>
    <w:rsid w:val="006D0600"/>
    <w:rsid w:val="006D1FCD"/>
    <w:rsid w:val="006E1185"/>
    <w:rsid w:val="006E1475"/>
    <w:rsid w:val="006E5916"/>
    <w:rsid w:val="006E6E73"/>
    <w:rsid w:val="006F2C80"/>
    <w:rsid w:val="006F6D8E"/>
    <w:rsid w:val="007033DA"/>
    <w:rsid w:val="007114F9"/>
    <w:rsid w:val="007148F6"/>
    <w:rsid w:val="007174E4"/>
    <w:rsid w:val="007204B2"/>
    <w:rsid w:val="007251F4"/>
    <w:rsid w:val="00734E44"/>
    <w:rsid w:val="007421B2"/>
    <w:rsid w:val="0074366B"/>
    <w:rsid w:val="007473A9"/>
    <w:rsid w:val="00747A72"/>
    <w:rsid w:val="00753800"/>
    <w:rsid w:val="00753F5E"/>
    <w:rsid w:val="007576AD"/>
    <w:rsid w:val="007604D2"/>
    <w:rsid w:val="00767FFE"/>
    <w:rsid w:val="00771A8D"/>
    <w:rsid w:val="00781AAD"/>
    <w:rsid w:val="00784DDB"/>
    <w:rsid w:val="00787F38"/>
    <w:rsid w:val="00793402"/>
    <w:rsid w:val="00795517"/>
    <w:rsid w:val="007A3686"/>
    <w:rsid w:val="007A41D1"/>
    <w:rsid w:val="007A4847"/>
    <w:rsid w:val="007A5555"/>
    <w:rsid w:val="007A55E3"/>
    <w:rsid w:val="007B4C2F"/>
    <w:rsid w:val="007B6C75"/>
    <w:rsid w:val="007C17B8"/>
    <w:rsid w:val="007C4416"/>
    <w:rsid w:val="007D5C80"/>
    <w:rsid w:val="007D7057"/>
    <w:rsid w:val="007E04D1"/>
    <w:rsid w:val="007E3298"/>
    <w:rsid w:val="007E730E"/>
    <w:rsid w:val="007F1063"/>
    <w:rsid w:val="007F182C"/>
    <w:rsid w:val="007F3218"/>
    <w:rsid w:val="0080073D"/>
    <w:rsid w:val="00802819"/>
    <w:rsid w:val="008031CD"/>
    <w:rsid w:val="00804798"/>
    <w:rsid w:val="008059F4"/>
    <w:rsid w:val="00807B41"/>
    <w:rsid w:val="00812848"/>
    <w:rsid w:val="00812A2A"/>
    <w:rsid w:val="008169B0"/>
    <w:rsid w:val="00816BE1"/>
    <w:rsid w:val="008209F9"/>
    <w:rsid w:val="008249DC"/>
    <w:rsid w:val="00825060"/>
    <w:rsid w:val="008377ED"/>
    <w:rsid w:val="008400CF"/>
    <w:rsid w:val="008411C5"/>
    <w:rsid w:val="0084679E"/>
    <w:rsid w:val="00852459"/>
    <w:rsid w:val="00856AD8"/>
    <w:rsid w:val="00856E49"/>
    <w:rsid w:val="00860281"/>
    <w:rsid w:val="00862112"/>
    <w:rsid w:val="00867795"/>
    <w:rsid w:val="00873EC9"/>
    <w:rsid w:val="00877053"/>
    <w:rsid w:val="008773AE"/>
    <w:rsid w:val="00877C85"/>
    <w:rsid w:val="00890EEC"/>
    <w:rsid w:val="008912C0"/>
    <w:rsid w:val="00891A1A"/>
    <w:rsid w:val="00895676"/>
    <w:rsid w:val="00897AB9"/>
    <w:rsid w:val="00897F55"/>
    <w:rsid w:val="008A1CF4"/>
    <w:rsid w:val="008A3757"/>
    <w:rsid w:val="008A5E26"/>
    <w:rsid w:val="008A63A8"/>
    <w:rsid w:val="008A6A74"/>
    <w:rsid w:val="008B1B51"/>
    <w:rsid w:val="008B69BF"/>
    <w:rsid w:val="008B7397"/>
    <w:rsid w:val="008B7416"/>
    <w:rsid w:val="008B74B1"/>
    <w:rsid w:val="008C0BCD"/>
    <w:rsid w:val="008C4678"/>
    <w:rsid w:val="008C5358"/>
    <w:rsid w:val="008D09B2"/>
    <w:rsid w:val="008D458D"/>
    <w:rsid w:val="008D76CA"/>
    <w:rsid w:val="008E1D2C"/>
    <w:rsid w:val="008E2333"/>
    <w:rsid w:val="008F160C"/>
    <w:rsid w:val="008F1B09"/>
    <w:rsid w:val="008F1C9F"/>
    <w:rsid w:val="00902A05"/>
    <w:rsid w:val="00903B35"/>
    <w:rsid w:val="00920B2D"/>
    <w:rsid w:val="00926126"/>
    <w:rsid w:val="00927ED2"/>
    <w:rsid w:val="00932C93"/>
    <w:rsid w:val="00933BEF"/>
    <w:rsid w:val="009356DF"/>
    <w:rsid w:val="009365FC"/>
    <w:rsid w:val="00936DED"/>
    <w:rsid w:val="00936F7D"/>
    <w:rsid w:val="00940AF8"/>
    <w:rsid w:val="00940FFE"/>
    <w:rsid w:val="00941735"/>
    <w:rsid w:val="00942600"/>
    <w:rsid w:val="0095058A"/>
    <w:rsid w:val="00957B04"/>
    <w:rsid w:val="009618CC"/>
    <w:rsid w:val="009638DB"/>
    <w:rsid w:val="00965628"/>
    <w:rsid w:val="00971AF9"/>
    <w:rsid w:val="00971EF2"/>
    <w:rsid w:val="0097714A"/>
    <w:rsid w:val="00980A4B"/>
    <w:rsid w:val="0099357B"/>
    <w:rsid w:val="0099397E"/>
    <w:rsid w:val="009950AE"/>
    <w:rsid w:val="009954E3"/>
    <w:rsid w:val="00996960"/>
    <w:rsid w:val="009A31B0"/>
    <w:rsid w:val="009A324D"/>
    <w:rsid w:val="009A3316"/>
    <w:rsid w:val="009A677E"/>
    <w:rsid w:val="009B149E"/>
    <w:rsid w:val="009B1673"/>
    <w:rsid w:val="009B58D9"/>
    <w:rsid w:val="009C1A65"/>
    <w:rsid w:val="009C211B"/>
    <w:rsid w:val="009C257A"/>
    <w:rsid w:val="009C30E7"/>
    <w:rsid w:val="009C516E"/>
    <w:rsid w:val="009C5B9D"/>
    <w:rsid w:val="009D0BF5"/>
    <w:rsid w:val="009D3D42"/>
    <w:rsid w:val="009D4A56"/>
    <w:rsid w:val="009E2F47"/>
    <w:rsid w:val="009E3856"/>
    <w:rsid w:val="009E45FB"/>
    <w:rsid w:val="009E4BAB"/>
    <w:rsid w:val="009E5ABE"/>
    <w:rsid w:val="009F1B1D"/>
    <w:rsid w:val="009F2CE7"/>
    <w:rsid w:val="00A01DFD"/>
    <w:rsid w:val="00A05B0F"/>
    <w:rsid w:val="00A11270"/>
    <w:rsid w:val="00A1326A"/>
    <w:rsid w:val="00A24274"/>
    <w:rsid w:val="00A3622E"/>
    <w:rsid w:val="00A3762F"/>
    <w:rsid w:val="00A40047"/>
    <w:rsid w:val="00A461AE"/>
    <w:rsid w:val="00A47EE8"/>
    <w:rsid w:val="00A52153"/>
    <w:rsid w:val="00A5318F"/>
    <w:rsid w:val="00A551DA"/>
    <w:rsid w:val="00A60B55"/>
    <w:rsid w:val="00A61C33"/>
    <w:rsid w:val="00A62401"/>
    <w:rsid w:val="00A62B0F"/>
    <w:rsid w:val="00A6534B"/>
    <w:rsid w:val="00A7006D"/>
    <w:rsid w:val="00A70FAD"/>
    <w:rsid w:val="00A807F5"/>
    <w:rsid w:val="00A85ABE"/>
    <w:rsid w:val="00A94EDE"/>
    <w:rsid w:val="00A958E5"/>
    <w:rsid w:val="00AB12B6"/>
    <w:rsid w:val="00AC0897"/>
    <w:rsid w:val="00AC5765"/>
    <w:rsid w:val="00AC6A45"/>
    <w:rsid w:val="00AC6D98"/>
    <w:rsid w:val="00AD218D"/>
    <w:rsid w:val="00AD2C42"/>
    <w:rsid w:val="00AD2DF2"/>
    <w:rsid w:val="00AD5C61"/>
    <w:rsid w:val="00AD7397"/>
    <w:rsid w:val="00AD75CE"/>
    <w:rsid w:val="00AD78E7"/>
    <w:rsid w:val="00AE1D74"/>
    <w:rsid w:val="00AE1EEE"/>
    <w:rsid w:val="00AE23F7"/>
    <w:rsid w:val="00AE7055"/>
    <w:rsid w:val="00AF5478"/>
    <w:rsid w:val="00AF6824"/>
    <w:rsid w:val="00AF68F7"/>
    <w:rsid w:val="00AF701C"/>
    <w:rsid w:val="00B036E9"/>
    <w:rsid w:val="00B05ADA"/>
    <w:rsid w:val="00B0617C"/>
    <w:rsid w:val="00B1141E"/>
    <w:rsid w:val="00B13D14"/>
    <w:rsid w:val="00B155CF"/>
    <w:rsid w:val="00B169FB"/>
    <w:rsid w:val="00B226C0"/>
    <w:rsid w:val="00B24E65"/>
    <w:rsid w:val="00B25C94"/>
    <w:rsid w:val="00B26675"/>
    <w:rsid w:val="00B3205E"/>
    <w:rsid w:val="00B32A7C"/>
    <w:rsid w:val="00B345CC"/>
    <w:rsid w:val="00B379C7"/>
    <w:rsid w:val="00B40AB7"/>
    <w:rsid w:val="00B41D58"/>
    <w:rsid w:val="00B43FE1"/>
    <w:rsid w:val="00B44595"/>
    <w:rsid w:val="00B46F70"/>
    <w:rsid w:val="00B50D9E"/>
    <w:rsid w:val="00B612A8"/>
    <w:rsid w:val="00B74BA0"/>
    <w:rsid w:val="00B77DF4"/>
    <w:rsid w:val="00B810B1"/>
    <w:rsid w:val="00B81ABF"/>
    <w:rsid w:val="00B87BDD"/>
    <w:rsid w:val="00B916F2"/>
    <w:rsid w:val="00B948DE"/>
    <w:rsid w:val="00BA364B"/>
    <w:rsid w:val="00BA3B1F"/>
    <w:rsid w:val="00BA7E1B"/>
    <w:rsid w:val="00BB1363"/>
    <w:rsid w:val="00BB1525"/>
    <w:rsid w:val="00BB3417"/>
    <w:rsid w:val="00BB3BA2"/>
    <w:rsid w:val="00BB5C4C"/>
    <w:rsid w:val="00BB6DF7"/>
    <w:rsid w:val="00BB7A17"/>
    <w:rsid w:val="00BC2261"/>
    <w:rsid w:val="00BC6DA1"/>
    <w:rsid w:val="00BC7837"/>
    <w:rsid w:val="00BD385F"/>
    <w:rsid w:val="00BE7408"/>
    <w:rsid w:val="00BF1B69"/>
    <w:rsid w:val="00BF1C2B"/>
    <w:rsid w:val="00BF2C67"/>
    <w:rsid w:val="00C01B9B"/>
    <w:rsid w:val="00C024D2"/>
    <w:rsid w:val="00C02C54"/>
    <w:rsid w:val="00C05E7F"/>
    <w:rsid w:val="00C0781B"/>
    <w:rsid w:val="00C1372E"/>
    <w:rsid w:val="00C16609"/>
    <w:rsid w:val="00C20C14"/>
    <w:rsid w:val="00C2330D"/>
    <w:rsid w:val="00C323BD"/>
    <w:rsid w:val="00C33AB6"/>
    <w:rsid w:val="00C36517"/>
    <w:rsid w:val="00C432B1"/>
    <w:rsid w:val="00C4401D"/>
    <w:rsid w:val="00C442D5"/>
    <w:rsid w:val="00C446C7"/>
    <w:rsid w:val="00C47146"/>
    <w:rsid w:val="00C60CE0"/>
    <w:rsid w:val="00C6281B"/>
    <w:rsid w:val="00C64EB3"/>
    <w:rsid w:val="00C65105"/>
    <w:rsid w:val="00C6723F"/>
    <w:rsid w:val="00C7277A"/>
    <w:rsid w:val="00C7718D"/>
    <w:rsid w:val="00C80748"/>
    <w:rsid w:val="00C84E14"/>
    <w:rsid w:val="00C86A91"/>
    <w:rsid w:val="00C872BC"/>
    <w:rsid w:val="00C87A8D"/>
    <w:rsid w:val="00C87DCB"/>
    <w:rsid w:val="00CA2D34"/>
    <w:rsid w:val="00CB0F78"/>
    <w:rsid w:val="00CB1759"/>
    <w:rsid w:val="00CB211D"/>
    <w:rsid w:val="00CB3E1B"/>
    <w:rsid w:val="00CC0269"/>
    <w:rsid w:val="00CC2FAD"/>
    <w:rsid w:val="00CC3C5D"/>
    <w:rsid w:val="00CC7E22"/>
    <w:rsid w:val="00CD226F"/>
    <w:rsid w:val="00CD3D94"/>
    <w:rsid w:val="00CD48C6"/>
    <w:rsid w:val="00CD60A4"/>
    <w:rsid w:val="00CE05A9"/>
    <w:rsid w:val="00CE08E3"/>
    <w:rsid w:val="00CE430C"/>
    <w:rsid w:val="00CE4D41"/>
    <w:rsid w:val="00CE5A08"/>
    <w:rsid w:val="00CE6425"/>
    <w:rsid w:val="00CE6FA3"/>
    <w:rsid w:val="00CF29BE"/>
    <w:rsid w:val="00CF45DC"/>
    <w:rsid w:val="00CF4E27"/>
    <w:rsid w:val="00D004C0"/>
    <w:rsid w:val="00D047D3"/>
    <w:rsid w:val="00D124E2"/>
    <w:rsid w:val="00D13AF0"/>
    <w:rsid w:val="00D16A4B"/>
    <w:rsid w:val="00D17FC1"/>
    <w:rsid w:val="00D27007"/>
    <w:rsid w:val="00D30864"/>
    <w:rsid w:val="00D31D0C"/>
    <w:rsid w:val="00D363E5"/>
    <w:rsid w:val="00D40E9F"/>
    <w:rsid w:val="00D41062"/>
    <w:rsid w:val="00D41F95"/>
    <w:rsid w:val="00D44F2B"/>
    <w:rsid w:val="00D45E31"/>
    <w:rsid w:val="00D46669"/>
    <w:rsid w:val="00D4739A"/>
    <w:rsid w:val="00D52CDF"/>
    <w:rsid w:val="00D5406B"/>
    <w:rsid w:val="00D634E9"/>
    <w:rsid w:val="00D63590"/>
    <w:rsid w:val="00D64845"/>
    <w:rsid w:val="00D65F5B"/>
    <w:rsid w:val="00D671AA"/>
    <w:rsid w:val="00D710CA"/>
    <w:rsid w:val="00D72815"/>
    <w:rsid w:val="00D72C7B"/>
    <w:rsid w:val="00D73BDB"/>
    <w:rsid w:val="00D76481"/>
    <w:rsid w:val="00D76F3C"/>
    <w:rsid w:val="00D82321"/>
    <w:rsid w:val="00D84249"/>
    <w:rsid w:val="00D857B3"/>
    <w:rsid w:val="00D85E77"/>
    <w:rsid w:val="00D87876"/>
    <w:rsid w:val="00D93225"/>
    <w:rsid w:val="00DA4DEC"/>
    <w:rsid w:val="00DA7798"/>
    <w:rsid w:val="00DB312C"/>
    <w:rsid w:val="00DC304B"/>
    <w:rsid w:val="00DD0727"/>
    <w:rsid w:val="00DD2814"/>
    <w:rsid w:val="00DD295A"/>
    <w:rsid w:val="00DD78F7"/>
    <w:rsid w:val="00DE32A1"/>
    <w:rsid w:val="00DE58E8"/>
    <w:rsid w:val="00DF4986"/>
    <w:rsid w:val="00E002A5"/>
    <w:rsid w:val="00E00566"/>
    <w:rsid w:val="00E068BA"/>
    <w:rsid w:val="00E06DA9"/>
    <w:rsid w:val="00E20D38"/>
    <w:rsid w:val="00E2387A"/>
    <w:rsid w:val="00E23DE4"/>
    <w:rsid w:val="00E3012D"/>
    <w:rsid w:val="00E35FB5"/>
    <w:rsid w:val="00E37135"/>
    <w:rsid w:val="00E37C36"/>
    <w:rsid w:val="00E404E6"/>
    <w:rsid w:val="00E43349"/>
    <w:rsid w:val="00E45B32"/>
    <w:rsid w:val="00E50E28"/>
    <w:rsid w:val="00E515C6"/>
    <w:rsid w:val="00E5192B"/>
    <w:rsid w:val="00E524C8"/>
    <w:rsid w:val="00E55723"/>
    <w:rsid w:val="00E55728"/>
    <w:rsid w:val="00E574B0"/>
    <w:rsid w:val="00E61E94"/>
    <w:rsid w:val="00E64FD5"/>
    <w:rsid w:val="00E70538"/>
    <w:rsid w:val="00E72A5D"/>
    <w:rsid w:val="00E75000"/>
    <w:rsid w:val="00E759A1"/>
    <w:rsid w:val="00E75DBE"/>
    <w:rsid w:val="00E7741B"/>
    <w:rsid w:val="00E84D56"/>
    <w:rsid w:val="00E84DB7"/>
    <w:rsid w:val="00E87FB3"/>
    <w:rsid w:val="00E91686"/>
    <w:rsid w:val="00E91EED"/>
    <w:rsid w:val="00EA6E03"/>
    <w:rsid w:val="00EB20C6"/>
    <w:rsid w:val="00EB3787"/>
    <w:rsid w:val="00EC247F"/>
    <w:rsid w:val="00EC78B8"/>
    <w:rsid w:val="00ED3915"/>
    <w:rsid w:val="00ED3A6A"/>
    <w:rsid w:val="00ED73C3"/>
    <w:rsid w:val="00EE3C15"/>
    <w:rsid w:val="00EE6446"/>
    <w:rsid w:val="00EE7EAA"/>
    <w:rsid w:val="00EF05A8"/>
    <w:rsid w:val="00EF6201"/>
    <w:rsid w:val="00EF6B4F"/>
    <w:rsid w:val="00F07024"/>
    <w:rsid w:val="00F118F7"/>
    <w:rsid w:val="00F16680"/>
    <w:rsid w:val="00F2035F"/>
    <w:rsid w:val="00F20898"/>
    <w:rsid w:val="00F221BE"/>
    <w:rsid w:val="00F22BC5"/>
    <w:rsid w:val="00F23713"/>
    <w:rsid w:val="00F24BA5"/>
    <w:rsid w:val="00F25627"/>
    <w:rsid w:val="00F301A3"/>
    <w:rsid w:val="00F36DCB"/>
    <w:rsid w:val="00F43DF7"/>
    <w:rsid w:val="00F44F6D"/>
    <w:rsid w:val="00F45951"/>
    <w:rsid w:val="00F46C4C"/>
    <w:rsid w:val="00F5205D"/>
    <w:rsid w:val="00F53F48"/>
    <w:rsid w:val="00F6130D"/>
    <w:rsid w:val="00F63833"/>
    <w:rsid w:val="00F65624"/>
    <w:rsid w:val="00F65D0D"/>
    <w:rsid w:val="00F70EC1"/>
    <w:rsid w:val="00F748D3"/>
    <w:rsid w:val="00F749AC"/>
    <w:rsid w:val="00F761E3"/>
    <w:rsid w:val="00F77255"/>
    <w:rsid w:val="00F7758F"/>
    <w:rsid w:val="00F859FE"/>
    <w:rsid w:val="00F861F9"/>
    <w:rsid w:val="00F86ABC"/>
    <w:rsid w:val="00F87C0A"/>
    <w:rsid w:val="00F9262C"/>
    <w:rsid w:val="00F9585E"/>
    <w:rsid w:val="00FA00B4"/>
    <w:rsid w:val="00FA2426"/>
    <w:rsid w:val="00FA3F0F"/>
    <w:rsid w:val="00FA5CE2"/>
    <w:rsid w:val="00FA6B5C"/>
    <w:rsid w:val="00FC0F30"/>
    <w:rsid w:val="00FC2672"/>
    <w:rsid w:val="00FC3E79"/>
    <w:rsid w:val="00FC7858"/>
    <w:rsid w:val="00FD227C"/>
    <w:rsid w:val="00FD403B"/>
    <w:rsid w:val="00FD61D8"/>
    <w:rsid w:val="00FD743B"/>
    <w:rsid w:val="00FD7710"/>
    <w:rsid w:val="00FE037C"/>
    <w:rsid w:val="00FE06BB"/>
    <w:rsid w:val="00FE1E1A"/>
    <w:rsid w:val="00FE5FA0"/>
    <w:rsid w:val="00FF010C"/>
    <w:rsid w:val="00FF20FB"/>
    <w:rsid w:val="00FF7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F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List Paragraph2,Normal1"/>
    <w:basedOn w:val="Normal"/>
    <w:link w:val="PrrafodelistaCar"/>
    <w:uiPriority w:val="34"/>
    <w:qFormat/>
    <w:rsid w:val="00685BB4"/>
    <w:pPr>
      <w:ind w:left="720"/>
      <w:contextualSpacing/>
    </w:pPr>
  </w:style>
  <w:style w:type="paragraph" w:styleId="Encabezado">
    <w:name w:val="header"/>
    <w:basedOn w:val="Normal"/>
    <w:link w:val="EncabezadoCar"/>
    <w:uiPriority w:val="99"/>
    <w:unhideWhenUsed/>
    <w:rsid w:val="00685BB4"/>
    <w:pPr>
      <w:tabs>
        <w:tab w:val="center" w:pos="4419"/>
        <w:tab w:val="right" w:pos="8838"/>
      </w:tabs>
    </w:pPr>
  </w:style>
  <w:style w:type="character" w:customStyle="1" w:styleId="EncabezadoCar">
    <w:name w:val="Encabezado Car"/>
    <w:basedOn w:val="Fuentedeprrafopredeter"/>
    <w:link w:val="Encabezado"/>
    <w:uiPriority w:val="99"/>
    <w:rsid w:val="00685BB4"/>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85BB4"/>
    <w:pPr>
      <w:tabs>
        <w:tab w:val="center" w:pos="4419"/>
        <w:tab w:val="right" w:pos="8838"/>
      </w:tabs>
    </w:pPr>
  </w:style>
  <w:style w:type="character" w:customStyle="1" w:styleId="PiedepginaCar">
    <w:name w:val="Pie de página Car"/>
    <w:basedOn w:val="Fuentedeprrafopredeter"/>
    <w:link w:val="Piedepgina"/>
    <w:uiPriority w:val="99"/>
    <w:rsid w:val="00685BB4"/>
    <w:rPr>
      <w:rFonts w:ascii="Times New Roman" w:eastAsia="Times New Roman" w:hAnsi="Times New Roman" w:cs="Times New Roman"/>
      <w:sz w:val="24"/>
      <w:szCs w:val="24"/>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iPriority w:val="99"/>
    <w:unhideWhenUsed/>
    <w:qFormat/>
    <w:rsid w:val="00685BB4"/>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685BB4"/>
    <w:rPr>
      <w:rFonts w:ascii="Times New Roman" w:eastAsia="Times New Roman" w:hAnsi="Times New Roman" w:cs="Times New Roman"/>
      <w:sz w:val="20"/>
      <w:szCs w:val="20"/>
      <w:lang w:eastAsia="es-ES_tradnl"/>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R"/>
    <w:basedOn w:val="Fuentedeprrafopredeter"/>
    <w:link w:val="Piedepagina"/>
    <w:uiPriority w:val="99"/>
    <w:unhideWhenUsed/>
    <w:qFormat/>
    <w:rsid w:val="00685BB4"/>
    <w:rPr>
      <w:vertAlign w:val="superscript"/>
    </w:rPr>
  </w:style>
  <w:style w:type="paragraph" w:customStyle="1" w:styleId="Piedepagina">
    <w:name w:val="Pie de pagina"/>
    <w:basedOn w:val="Normal"/>
    <w:link w:val="Refdenotaalpie"/>
    <w:uiPriority w:val="99"/>
    <w:rsid w:val="00685BB4"/>
    <w:pPr>
      <w:spacing w:line="240" w:lineRule="exact"/>
    </w:pPr>
    <w:rPr>
      <w:rFonts w:asciiTheme="minorHAnsi" w:eastAsiaTheme="minorHAnsi" w:hAnsiTheme="minorHAnsi" w:cstheme="minorBidi"/>
      <w:sz w:val="22"/>
      <w:szCs w:val="22"/>
      <w:vertAlign w:val="superscript"/>
      <w:lang w:eastAsia="en-US"/>
    </w:rPr>
  </w:style>
  <w:style w:type="character" w:customStyle="1" w:styleId="PrrafodelistaCar">
    <w:name w:val="Párrafo de lista Car"/>
    <w:aliases w:val="Colorful List - Accent 11 Car,Ha Car,List Paragraph1 Car,lp1 Car,List Paragraph2 Car,Normal1 Car"/>
    <w:link w:val="Prrafodelista"/>
    <w:uiPriority w:val="34"/>
    <w:locked/>
    <w:rsid w:val="00685BB4"/>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685BB4"/>
    <w:pPr>
      <w:spacing w:before="100" w:beforeAutospacing="1" w:after="100" w:afterAutospacing="1"/>
    </w:pPr>
    <w:rPr>
      <w:lang w:eastAsia="es-CO"/>
    </w:rPr>
  </w:style>
  <w:style w:type="character" w:styleId="Hipervnculo">
    <w:name w:val="Hyperlink"/>
    <w:basedOn w:val="Fuentedeprrafopredeter"/>
    <w:uiPriority w:val="99"/>
    <w:unhideWhenUsed/>
    <w:rsid w:val="00685BB4"/>
    <w:rPr>
      <w:color w:val="0000FF"/>
      <w:u w:val="single"/>
    </w:rPr>
  </w:style>
  <w:style w:type="paragraph" w:styleId="Sinespaciado">
    <w:name w:val="No Spacing"/>
    <w:uiPriority w:val="1"/>
    <w:qFormat/>
    <w:rsid w:val="00685BB4"/>
    <w:pPr>
      <w:autoSpaceDE w:val="0"/>
      <w:autoSpaceDN w:val="0"/>
      <w:spacing w:after="0" w:line="240" w:lineRule="auto"/>
    </w:pPr>
    <w:rPr>
      <w:rFonts w:ascii="Times New Roman" w:eastAsia="Times New Roman" w:hAnsi="Times New Roman" w:cs="Times New Roman"/>
      <w:sz w:val="28"/>
      <w:szCs w:val="28"/>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685BB4"/>
    <w:pPr>
      <w:jc w:val="both"/>
    </w:pPr>
    <w:rPr>
      <w:rFonts w:asciiTheme="minorHAnsi" w:eastAsiaTheme="minorHAnsi" w:hAnsiTheme="minorHAnsi" w:cstheme="minorBidi"/>
      <w:sz w:val="22"/>
      <w:szCs w:val="22"/>
      <w:vertAlign w:val="superscript"/>
      <w:lang w:eastAsia="en-US"/>
    </w:rPr>
  </w:style>
  <w:style w:type="character" w:styleId="Refdecomentario">
    <w:name w:val="annotation reference"/>
    <w:basedOn w:val="Fuentedeprrafopredeter"/>
    <w:uiPriority w:val="99"/>
    <w:semiHidden/>
    <w:unhideWhenUsed/>
    <w:rsid w:val="00685BB4"/>
    <w:rPr>
      <w:sz w:val="16"/>
      <w:szCs w:val="16"/>
    </w:rPr>
  </w:style>
  <w:style w:type="paragraph" w:styleId="Textocomentario">
    <w:name w:val="annotation text"/>
    <w:basedOn w:val="Normal"/>
    <w:link w:val="TextocomentarioCar"/>
    <w:uiPriority w:val="99"/>
    <w:unhideWhenUsed/>
    <w:rsid w:val="00685BB4"/>
    <w:rPr>
      <w:sz w:val="20"/>
      <w:szCs w:val="20"/>
    </w:rPr>
  </w:style>
  <w:style w:type="character" w:customStyle="1" w:styleId="TextocomentarioCar">
    <w:name w:val="Texto comentario Car"/>
    <w:basedOn w:val="Fuentedeprrafopredeter"/>
    <w:link w:val="Textocomentario"/>
    <w:uiPriority w:val="99"/>
    <w:rsid w:val="00685BB4"/>
    <w:rPr>
      <w:rFonts w:ascii="Times New Roman" w:eastAsia="Times New Roman" w:hAnsi="Times New Roman" w:cs="Times New Roman"/>
      <w:sz w:val="20"/>
      <w:szCs w:val="20"/>
      <w:lang w:eastAsia="es-ES_tradnl"/>
    </w:rPr>
  </w:style>
  <w:style w:type="character" w:customStyle="1" w:styleId="Mencinsinresolver1">
    <w:name w:val="Mención sin resolver1"/>
    <w:basedOn w:val="Fuentedeprrafopredeter"/>
    <w:uiPriority w:val="99"/>
    <w:semiHidden/>
    <w:unhideWhenUsed/>
    <w:rsid w:val="00685BB4"/>
    <w:rPr>
      <w:color w:val="605E5C"/>
      <w:shd w:val="clear" w:color="auto" w:fill="E1DFDD"/>
    </w:rPr>
  </w:style>
  <w:style w:type="paragraph" w:customStyle="1" w:styleId="ListaN3">
    <w:name w:val="Lista N. 3"/>
    <w:basedOn w:val="Normal"/>
    <w:qFormat/>
    <w:rsid w:val="00685BB4"/>
    <w:pPr>
      <w:numPr>
        <w:numId w:val="10"/>
      </w:numPr>
      <w:tabs>
        <w:tab w:val="clear" w:pos="3459"/>
        <w:tab w:val="num" w:pos="340"/>
      </w:tabs>
      <w:contextualSpacing/>
      <w:mirrorIndents/>
      <w:jc w:val="both"/>
    </w:pPr>
    <w:rPr>
      <w:rFonts w:eastAsia="Calibri"/>
      <w:sz w:val="28"/>
      <w:szCs w:val="22"/>
      <w:lang w:val="es-ES_tradnl" w:eastAsia="en-US"/>
    </w:rPr>
  </w:style>
  <w:style w:type="paragraph" w:customStyle="1" w:styleId="ListaN4">
    <w:name w:val="Lista N. 4"/>
    <w:basedOn w:val="ListaN3"/>
    <w:qFormat/>
    <w:rsid w:val="00685BB4"/>
    <w:pPr>
      <w:numPr>
        <w:ilvl w:val="3"/>
      </w:numPr>
    </w:pPr>
  </w:style>
  <w:style w:type="paragraph" w:customStyle="1" w:styleId="Cuerpo">
    <w:name w:val="Cuerpo"/>
    <w:rsid w:val="00685BB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es-CO"/>
    </w:rPr>
  </w:style>
  <w:style w:type="character" w:styleId="Hipervnculovisitado">
    <w:name w:val="FollowedHyperlink"/>
    <w:basedOn w:val="Fuentedeprrafopredeter"/>
    <w:uiPriority w:val="99"/>
    <w:semiHidden/>
    <w:unhideWhenUsed/>
    <w:rsid w:val="00685BB4"/>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685BB4"/>
    <w:rPr>
      <w:b/>
      <w:bCs/>
    </w:rPr>
  </w:style>
  <w:style w:type="character" w:customStyle="1" w:styleId="AsuntodelcomentarioCar">
    <w:name w:val="Asunto del comentario Car"/>
    <w:basedOn w:val="TextocomentarioCar"/>
    <w:link w:val="Asuntodelcomentario"/>
    <w:uiPriority w:val="99"/>
    <w:semiHidden/>
    <w:rsid w:val="00685BB4"/>
    <w:rPr>
      <w:rFonts w:ascii="Times New Roman" w:eastAsia="Times New Roman" w:hAnsi="Times New Roman" w:cs="Times New Roman"/>
      <w:b/>
      <w:bCs/>
      <w:sz w:val="20"/>
      <w:szCs w:val="20"/>
      <w:lang w:eastAsia="es-ES_tradnl"/>
    </w:rPr>
  </w:style>
  <w:style w:type="character" w:customStyle="1" w:styleId="normaltextrun">
    <w:name w:val="normaltextrun"/>
    <w:basedOn w:val="Fuentedeprrafopredeter"/>
    <w:rsid w:val="00685BB4"/>
  </w:style>
  <w:style w:type="table" w:styleId="Tablaconcuadrcula">
    <w:name w:val="Table Grid"/>
    <w:basedOn w:val="Tablanormal"/>
    <w:uiPriority w:val="59"/>
    <w:rsid w:val="00685BB4"/>
    <w:pPr>
      <w:spacing w:after="0" w:line="240" w:lineRule="auto"/>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685BB4"/>
    <w:rPr>
      <w:b/>
      <w:bCs/>
    </w:rPr>
  </w:style>
  <w:style w:type="character" w:styleId="Nmerodepgina">
    <w:name w:val="page number"/>
    <w:basedOn w:val="Fuentedeprrafopredeter"/>
    <w:uiPriority w:val="99"/>
    <w:semiHidden/>
    <w:unhideWhenUsed/>
    <w:rsid w:val="00685BB4"/>
  </w:style>
  <w:style w:type="character" w:customStyle="1" w:styleId="cf01">
    <w:name w:val="cf01"/>
    <w:basedOn w:val="Fuentedeprrafopredeter"/>
    <w:rsid w:val="00685BB4"/>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685BB4"/>
    <w:rPr>
      <w:color w:val="605E5C"/>
      <w:shd w:val="clear" w:color="auto" w:fill="E1DFDD"/>
    </w:rPr>
  </w:style>
  <w:style w:type="character" w:customStyle="1" w:styleId="superscript">
    <w:name w:val="superscript"/>
    <w:basedOn w:val="Fuentedeprrafopredeter"/>
    <w:rsid w:val="00685BB4"/>
  </w:style>
  <w:style w:type="character" w:customStyle="1" w:styleId="eop">
    <w:name w:val="eop"/>
    <w:basedOn w:val="Fuentedeprrafopredeter"/>
    <w:rsid w:val="00685BB4"/>
  </w:style>
  <w:style w:type="paragraph" w:styleId="Revisin">
    <w:name w:val="Revision"/>
    <w:hidden/>
    <w:uiPriority w:val="99"/>
    <w:semiHidden/>
    <w:rsid w:val="00685BB4"/>
    <w:pPr>
      <w:spacing w:after="0"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243640"/>
    <w:rPr>
      <w:sz w:val="18"/>
      <w:szCs w:val="18"/>
    </w:rPr>
  </w:style>
  <w:style w:type="character" w:customStyle="1" w:styleId="TextodegloboCar">
    <w:name w:val="Texto de globo Car"/>
    <w:basedOn w:val="Fuentedeprrafopredeter"/>
    <w:link w:val="Textodeglobo"/>
    <w:uiPriority w:val="99"/>
    <w:semiHidden/>
    <w:rsid w:val="00243640"/>
    <w:rPr>
      <w:rFonts w:ascii="Times New Roman" w:eastAsia="Times New Roman" w:hAnsi="Times New Roman" w:cs="Times New Roman"/>
      <w:sz w:val="18"/>
      <w:szCs w:val="1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F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List Paragraph2,Normal1"/>
    <w:basedOn w:val="Normal"/>
    <w:link w:val="PrrafodelistaCar"/>
    <w:uiPriority w:val="34"/>
    <w:qFormat/>
    <w:rsid w:val="00685BB4"/>
    <w:pPr>
      <w:ind w:left="720"/>
      <w:contextualSpacing/>
    </w:pPr>
  </w:style>
  <w:style w:type="paragraph" w:styleId="Encabezado">
    <w:name w:val="header"/>
    <w:basedOn w:val="Normal"/>
    <w:link w:val="EncabezadoCar"/>
    <w:uiPriority w:val="99"/>
    <w:unhideWhenUsed/>
    <w:rsid w:val="00685BB4"/>
    <w:pPr>
      <w:tabs>
        <w:tab w:val="center" w:pos="4419"/>
        <w:tab w:val="right" w:pos="8838"/>
      </w:tabs>
    </w:pPr>
  </w:style>
  <w:style w:type="character" w:customStyle="1" w:styleId="EncabezadoCar">
    <w:name w:val="Encabezado Car"/>
    <w:basedOn w:val="Fuentedeprrafopredeter"/>
    <w:link w:val="Encabezado"/>
    <w:uiPriority w:val="99"/>
    <w:rsid w:val="00685BB4"/>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85BB4"/>
    <w:pPr>
      <w:tabs>
        <w:tab w:val="center" w:pos="4419"/>
        <w:tab w:val="right" w:pos="8838"/>
      </w:tabs>
    </w:pPr>
  </w:style>
  <w:style w:type="character" w:customStyle="1" w:styleId="PiedepginaCar">
    <w:name w:val="Pie de página Car"/>
    <w:basedOn w:val="Fuentedeprrafopredeter"/>
    <w:link w:val="Piedepgina"/>
    <w:uiPriority w:val="99"/>
    <w:rsid w:val="00685BB4"/>
    <w:rPr>
      <w:rFonts w:ascii="Times New Roman" w:eastAsia="Times New Roman" w:hAnsi="Times New Roman" w:cs="Times New Roman"/>
      <w:sz w:val="24"/>
      <w:szCs w:val="24"/>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iPriority w:val="99"/>
    <w:unhideWhenUsed/>
    <w:qFormat/>
    <w:rsid w:val="00685BB4"/>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685BB4"/>
    <w:rPr>
      <w:rFonts w:ascii="Times New Roman" w:eastAsia="Times New Roman" w:hAnsi="Times New Roman" w:cs="Times New Roman"/>
      <w:sz w:val="20"/>
      <w:szCs w:val="20"/>
      <w:lang w:eastAsia="es-ES_tradnl"/>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R"/>
    <w:basedOn w:val="Fuentedeprrafopredeter"/>
    <w:link w:val="Piedepagina"/>
    <w:uiPriority w:val="99"/>
    <w:unhideWhenUsed/>
    <w:qFormat/>
    <w:rsid w:val="00685BB4"/>
    <w:rPr>
      <w:vertAlign w:val="superscript"/>
    </w:rPr>
  </w:style>
  <w:style w:type="paragraph" w:customStyle="1" w:styleId="Piedepagina">
    <w:name w:val="Pie de pagina"/>
    <w:basedOn w:val="Normal"/>
    <w:link w:val="Refdenotaalpie"/>
    <w:uiPriority w:val="99"/>
    <w:rsid w:val="00685BB4"/>
    <w:pPr>
      <w:spacing w:line="240" w:lineRule="exact"/>
    </w:pPr>
    <w:rPr>
      <w:rFonts w:asciiTheme="minorHAnsi" w:eastAsiaTheme="minorHAnsi" w:hAnsiTheme="minorHAnsi" w:cstheme="minorBidi"/>
      <w:sz w:val="22"/>
      <w:szCs w:val="22"/>
      <w:vertAlign w:val="superscript"/>
      <w:lang w:eastAsia="en-US"/>
    </w:rPr>
  </w:style>
  <w:style w:type="character" w:customStyle="1" w:styleId="PrrafodelistaCar">
    <w:name w:val="Párrafo de lista Car"/>
    <w:aliases w:val="Colorful List - Accent 11 Car,Ha Car,List Paragraph1 Car,lp1 Car,List Paragraph2 Car,Normal1 Car"/>
    <w:link w:val="Prrafodelista"/>
    <w:uiPriority w:val="34"/>
    <w:locked/>
    <w:rsid w:val="00685BB4"/>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685BB4"/>
    <w:pPr>
      <w:spacing w:before="100" w:beforeAutospacing="1" w:after="100" w:afterAutospacing="1"/>
    </w:pPr>
    <w:rPr>
      <w:lang w:eastAsia="es-CO"/>
    </w:rPr>
  </w:style>
  <w:style w:type="character" w:styleId="Hipervnculo">
    <w:name w:val="Hyperlink"/>
    <w:basedOn w:val="Fuentedeprrafopredeter"/>
    <w:uiPriority w:val="99"/>
    <w:unhideWhenUsed/>
    <w:rsid w:val="00685BB4"/>
    <w:rPr>
      <w:color w:val="0000FF"/>
      <w:u w:val="single"/>
    </w:rPr>
  </w:style>
  <w:style w:type="paragraph" w:styleId="Sinespaciado">
    <w:name w:val="No Spacing"/>
    <w:uiPriority w:val="1"/>
    <w:qFormat/>
    <w:rsid w:val="00685BB4"/>
    <w:pPr>
      <w:autoSpaceDE w:val="0"/>
      <w:autoSpaceDN w:val="0"/>
      <w:spacing w:after="0" w:line="240" w:lineRule="auto"/>
    </w:pPr>
    <w:rPr>
      <w:rFonts w:ascii="Times New Roman" w:eastAsia="Times New Roman" w:hAnsi="Times New Roman" w:cs="Times New Roman"/>
      <w:sz w:val="28"/>
      <w:szCs w:val="28"/>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685BB4"/>
    <w:pPr>
      <w:jc w:val="both"/>
    </w:pPr>
    <w:rPr>
      <w:rFonts w:asciiTheme="minorHAnsi" w:eastAsiaTheme="minorHAnsi" w:hAnsiTheme="minorHAnsi" w:cstheme="minorBidi"/>
      <w:sz w:val="22"/>
      <w:szCs w:val="22"/>
      <w:vertAlign w:val="superscript"/>
      <w:lang w:eastAsia="en-US"/>
    </w:rPr>
  </w:style>
  <w:style w:type="character" w:styleId="Refdecomentario">
    <w:name w:val="annotation reference"/>
    <w:basedOn w:val="Fuentedeprrafopredeter"/>
    <w:uiPriority w:val="99"/>
    <w:semiHidden/>
    <w:unhideWhenUsed/>
    <w:rsid w:val="00685BB4"/>
    <w:rPr>
      <w:sz w:val="16"/>
      <w:szCs w:val="16"/>
    </w:rPr>
  </w:style>
  <w:style w:type="paragraph" w:styleId="Textocomentario">
    <w:name w:val="annotation text"/>
    <w:basedOn w:val="Normal"/>
    <w:link w:val="TextocomentarioCar"/>
    <w:uiPriority w:val="99"/>
    <w:unhideWhenUsed/>
    <w:rsid w:val="00685BB4"/>
    <w:rPr>
      <w:sz w:val="20"/>
      <w:szCs w:val="20"/>
    </w:rPr>
  </w:style>
  <w:style w:type="character" w:customStyle="1" w:styleId="TextocomentarioCar">
    <w:name w:val="Texto comentario Car"/>
    <w:basedOn w:val="Fuentedeprrafopredeter"/>
    <w:link w:val="Textocomentario"/>
    <w:uiPriority w:val="99"/>
    <w:rsid w:val="00685BB4"/>
    <w:rPr>
      <w:rFonts w:ascii="Times New Roman" w:eastAsia="Times New Roman" w:hAnsi="Times New Roman" w:cs="Times New Roman"/>
      <w:sz w:val="20"/>
      <w:szCs w:val="20"/>
      <w:lang w:eastAsia="es-ES_tradnl"/>
    </w:rPr>
  </w:style>
  <w:style w:type="character" w:customStyle="1" w:styleId="Mencinsinresolver1">
    <w:name w:val="Mención sin resolver1"/>
    <w:basedOn w:val="Fuentedeprrafopredeter"/>
    <w:uiPriority w:val="99"/>
    <w:semiHidden/>
    <w:unhideWhenUsed/>
    <w:rsid w:val="00685BB4"/>
    <w:rPr>
      <w:color w:val="605E5C"/>
      <w:shd w:val="clear" w:color="auto" w:fill="E1DFDD"/>
    </w:rPr>
  </w:style>
  <w:style w:type="paragraph" w:customStyle="1" w:styleId="ListaN3">
    <w:name w:val="Lista N. 3"/>
    <w:basedOn w:val="Normal"/>
    <w:qFormat/>
    <w:rsid w:val="00685BB4"/>
    <w:pPr>
      <w:numPr>
        <w:numId w:val="10"/>
      </w:numPr>
      <w:tabs>
        <w:tab w:val="clear" w:pos="3459"/>
        <w:tab w:val="num" w:pos="340"/>
      </w:tabs>
      <w:contextualSpacing/>
      <w:mirrorIndents/>
      <w:jc w:val="both"/>
    </w:pPr>
    <w:rPr>
      <w:rFonts w:eastAsia="Calibri"/>
      <w:sz w:val="28"/>
      <w:szCs w:val="22"/>
      <w:lang w:val="es-ES_tradnl" w:eastAsia="en-US"/>
    </w:rPr>
  </w:style>
  <w:style w:type="paragraph" w:customStyle="1" w:styleId="ListaN4">
    <w:name w:val="Lista N. 4"/>
    <w:basedOn w:val="ListaN3"/>
    <w:qFormat/>
    <w:rsid w:val="00685BB4"/>
    <w:pPr>
      <w:numPr>
        <w:ilvl w:val="3"/>
      </w:numPr>
    </w:pPr>
  </w:style>
  <w:style w:type="paragraph" w:customStyle="1" w:styleId="Cuerpo">
    <w:name w:val="Cuerpo"/>
    <w:rsid w:val="00685BB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es-CO"/>
    </w:rPr>
  </w:style>
  <w:style w:type="character" w:styleId="Hipervnculovisitado">
    <w:name w:val="FollowedHyperlink"/>
    <w:basedOn w:val="Fuentedeprrafopredeter"/>
    <w:uiPriority w:val="99"/>
    <w:semiHidden/>
    <w:unhideWhenUsed/>
    <w:rsid w:val="00685BB4"/>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685BB4"/>
    <w:rPr>
      <w:b/>
      <w:bCs/>
    </w:rPr>
  </w:style>
  <w:style w:type="character" w:customStyle="1" w:styleId="AsuntodelcomentarioCar">
    <w:name w:val="Asunto del comentario Car"/>
    <w:basedOn w:val="TextocomentarioCar"/>
    <w:link w:val="Asuntodelcomentario"/>
    <w:uiPriority w:val="99"/>
    <w:semiHidden/>
    <w:rsid w:val="00685BB4"/>
    <w:rPr>
      <w:rFonts w:ascii="Times New Roman" w:eastAsia="Times New Roman" w:hAnsi="Times New Roman" w:cs="Times New Roman"/>
      <w:b/>
      <w:bCs/>
      <w:sz w:val="20"/>
      <w:szCs w:val="20"/>
      <w:lang w:eastAsia="es-ES_tradnl"/>
    </w:rPr>
  </w:style>
  <w:style w:type="character" w:customStyle="1" w:styleId="normaltextrun">
    <w:name w:val="normaltextrun"/>
    <w:basedOn w:val="Fuentedeprrafopredeter"/>
    <w:rsid w:val="00685BB4"/>
  </w:style>
  <w:style w:type="table" w:styleId="Tablaconcuadrcula">
    <w:name w:val="Table Grid"/>
    <w:basedOn w:val="Tablanormal"/>
    <w:uiPriority w:val="59"/>
    <w:rsid w:val="00685BB4"/>
    <w:pPr>
      <w:spacing w:after="0" w:line="240" w:lineRule="auto"/>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685BB4"/>
    <w:rPr>
      <w:b/>
      <w:bCs/>
    </w:rPr>
  </w:style>
  <w:style w:type="character" w:styleId="Nmerodepgina">
    <w:name w:val="page number"/>
    <w:basedOn w:val="Fuentedeprrafopredeter"/>
    <w:uiPriority w:val="99"/>
    <w:semiHidden/>
    <w:unhideWhenUsed/>
    <w:rsid w:val="00685BB4"/>
  </w:style>
  <w:style w:type="character" w:customStyle="1" w:styleId="cf01">
    <w:name w:val="cf01"/>
    <w:basedOn w:val="Fuentedeprrafopredeter"/>
    <w:rsid w:val="00685BB4"/>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685BB4"/>
    <w:rPr>
      <w:color w:val="605E5C"/>
      <w:shd w:val="clear" w:color="auto" w:fill="E1DFDD"/>
    </w:rPr>
  </w:style>
  <w:style w:type="character" w:customStyle="1" w:styleId="superscript">
    <w:name w:val="superscript"/>
    <w:basedOn w:val="Fuentedeprrafopredeter"/>
    <w:rsid w:val="00685BB4"/>
  </w:style>
  <w:style w:type="character" w:customStyle="1" w:styleId="eop">
    <w:name w:val="eop"/>
    <w:basedOn w:val="Fuentedeprrafopredeter"/>
    <w:rsid w:val="00685BB4"/>
  </w:style>
  <w:style w:type="paragraph" w:styleId="Revisin">
    <w:name w:val="Revision"/>
    <w:hidden/>
    <w:uiPriority w:val="99"/>
    <w:semiHidden/>
    <w:rsid w:val="00685BB4"/>
    <w:pPr>
      <w:spacing w:after="0"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243640"/>
    <w:rPr>
      <w:sz w:val="18"/>
      <w:szCs w:val="18"/>
    </w:rPr>
  </w:style>
  <w:style w:type="character" w:customStyle="1" w:styleId="TextodegloboCar">
    <w:name w:val="Texto de globo Car"/>
    <w:basedOn w:val="Fuentedeprrafopredeter"/>
    <w:link w:val="Textodeglobo"/>
    <w:uiPriority w:val="99"/>
    <w:semiHidden/>
    <w:rsid w:val="00243640"/>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2274">
      <w:bodyDiv w:val="1"/>
      <w:marLeft w:val="0"/>
      <w:marRight w:val="0"/>
      <w:marTop w:val="0"/>
      <w:marBottom w:val="0"/>
      <w:divBdr>
        <w:top w:val="none" w:sz="0" w:space="0" w:color="auto"/>
        <w:left w:val="none" w:sz="0" w:space="0" w:color="auto"/>
        <w:bottom w:val="none" w:sz="0" w:space="0" w:color="auto"/>
        <w:right w:val="none" w:sz="0" w:space="0" w:color="auto"/>
      </w:divBdr>
    </w:div>
    <w:div w:id="1003121384">
      <w:bodyDiv w:val="1"/>
      <w:marLeft w:val="0"/>
      <w:marRight w:val="0"/>
      <w:marTop w:val="0"/>
      <w:marBottom w:val="0"/>
      <w:divBdr>
        <w:top w:val="none" w:sz="0" w:space="0" w:color="auto"/>
        <w:left w:val="none" w:sz="0" w:space="0" w:color="auto"/>
        <w:bottom w:val="none" w:sz="0" w:space="0" w:color="auto"/>
        <w:right w:val="none" w:sz="0" w:space="0" w:color="auto"/>
      </w:divBdr>
    </w:div>
    <w:div w:id="2116553755">
      <w:bodyDiv w:val="1"/>
      <w:marLeft w:val="0"/>
      <w:marRight w:val="0"/>
      <w:marTop w:val="0"/>
      <w:marBottom w:val="0"/>
      <w:divBdr>
        <w:top w:val="none" w:sz="0" w:space="0" w:color="auto"/>
        <w:left w:val="none" w:sz="0" w:space="0" w:color="auto"/>
        <w:bottom w:val="none" w:sz="0" w:space="0" w:color="auto"/>
        <w:right w:val="none" w:sz="0" w:space="0" w:color="auto"/>
      </w:divBdr>
      <w:divsChild>
        <w:div w:id="374041686">
          <w:marLeft w:val="525"/>
          <w:marRight w:val="0"/>
          <w:marTop w:val="0"/>
          <w:marBottom w:val="0"/>
          <w:divBdr>
            <w:top w:val="none" w:sz="0" w:space="0" w:color="auto"/>
            <w:left w:val="none" w:sz="0" w:space="0" w:color="auto"/>
            <w:bottom w:val="none" w:sz="0" w:space="0" w:color="auto"/>
            <w:right w:val="none" w:sz="0" w:space="0" w:color="auto"/>
          </w:divBdr>
        </w:div>
        <w:div w:id="1027950526">
          <w:marLeft w:val="525"/>
          <w:marRight w:val="0"/>
          <w:marTop w:val="0"/>
          <w:marBottom w:val="0"/>
          <w:divBdr>
            <w:top w:val="none" w:sz="0" w:space="0" w:color="auto"/>
            <w:left w:val="none" w:sz="0" w:space="0" w:color="auto"/>
            <w:bottom w:val="none" w:sz="0" w:space="0" w:color="auto"/>
            <w:right w:val="none" w:sz="0" w:space="0" w:color="auto"/>
          </w:divBdr>
        </w:div>
        <w:div w:id="1448155321">
          <w:marLeft w:val="525"/>
          <w:marRight w:val="0"/>
          <w:marTop w:val="0"/>
          <w:marBottom w:val="0"/>
          <w:divBdr>
            <w:top w:val="none" w:sz="0" w:space="0" w:color="auto"/>
            <w:left w:val="none" w:sz="0" w:space="0" w:color="auto"/>
            <w:bottom w:val="none" w:sz="0" w:space="0" w:color="auto"/>
            <w:right w:val="none" w:sz="0" w:space="0" w:color="auto"/>
          </w:divBdr>
        </w:div>
        <w:div w:id="301235337">
          <w:marLeft w:val="525"/>
          <w:marRight w:val="0"/>
          <w:marTop w:val="0"/>
          <w:marBottom w:val="0"/>
          <w:divBdr>
            <w:top w:val="none" w:sz="0" w:space="0" w:color="auto"/>
            <w:left w:val="none" w:sz="0" w:space="0" w:color="auto"/>
            <w:bottom w:val="none" w:sz="0" w:space="0" w:color="auto"/>
            <w:right w:val="none" w:sz="0" w:space="0" w:color="auto"/>
          </w:divBdr>
        </w:div>
        <w:div w:id="1026178729">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index.php/estadisticas-por-tema/mercado-laboral/segun-sexo" TargetMode="External"/><Relationship Id="rId1" Type="http://schemas.openxmlformats.org/officeDocument/2006/relationships/hyperlink" Target="https://www.dane.gov.co/index.php/estadisticas-por-tema/mercado-laboral/segun-sex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E510-4F4B-4F27-9E8B-47DB18D1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9640</Words>
  <Characters>53023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Javier Quiroga Vega</dc:creator>
  <cp:lastModifiedBy>personal</cp:lastModifiedBy>
  <cp:revision>2</cp:revision>
  <dcterms:created xsi:type="dcterms:W3CDTF">2023-08-07T15:30:00Z</dcterms:created>
  <dcterms:modified xsi:type="dcterms:W3CDTF">2023-08-07T15:30:00Z</dcterms:modified>
</cp:coreProperties>
</file>